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D1941" w14:textId="77777777" w:rsidR="00BF4A51" w:rsidRPr="00BF4A51" w:rsidRDefault="00BB4A6D" w:rsidP="00BF4A51">
      <w:pPr>
        <w:pStyle w:val="Ttulo1"/>
        <w:spacing w:after="240" w:line="240" w:lineRule="auto"/>
        <w:jc w:val="both"/>
        <w:rPr>
          <w:rFonts w:ascii="ITC Avant Garde" w:hAnsi="ITC Avant Garde"/>
          <w:b/>
          <w:color w:val="000000" w:themeColor="text1"/>
          <w:sz w:val="22"/>
          <w:szCs w:val="22"/>
          <w:lang w:eastAsia="es-MX"/>
        </w:rPr>
      </w:pPr>
      <w:r w:rsidRPr="00BF4A51">
        <w:rPr>
          <w:rFonts w:ascii="ITC Avant Garde" w:hAnsi="ITC Avant Garde"/>
          <w:b/>
          <w:color w:val="000000" w:themeColor="text1"/>
          <w:sz w:val="22"/>
          <w:szCs w:val="22"/>
          <w:lang w:eastAsia="es-MX"/>
        </w:rPr>
        <w:t>RESOLUCIÓN MEDIANTE LA CUAL EL PLENO DEL INSTITUTO FEDERAL DE TELECOMUNICACIONES AUTORIZA A AT&amp;T COMUNICACIONES DIGITALES, S. DE R.L. DE C.V., LA PRÓRROGA DE VIGENCIA DE LA CONCESIÓN PARA USAR, APROVECHAR Y EXPLOTAR BANDAS DE FRECUENCIAS DEL ESPECTRO RADIOELÉCTRICO, PARA USO</w:t>
      </w:r>
      <w:r w:rsidR="00374EA2" w:rsidRPr="00BF4A51">
        <w:rPr>
          <w:rFonts w:ascii="ITC Avant Garde" w:hAnsi="ITC Avant Garde"/>
          <w:b/>
          <w:color w:val="000000" w:themeColor="text1"/>
          <w:sz w:val="22"/>
          <w:szCs w:val="22"/>
          <w:lang w:eastAsia="es-MX"/>
        </w:rPr>
        <w:t>S</w:t>
      </w:r>
      <w:r w:rsidRPr="00BF4A51">
        <w:rPr>
          <w:rFonts w:ascii="ITC Avant Garde" w:hAnsi="ITC Avant Garde"/>
          <w:b/>
          <w:color w:val="000000" w:themeColor="text1"/>
          <w:sz w:val="22"/>
          <w:szCs w:val="22"/>
          <w:lang w:eastAsia="es-MX"/>
        </w:rPr>
        <w:t xml:space="preserve"> DETERMINADO</w:t>
      </w:r>
      <w:r w:rsidR="00374EA2" w:rsidRPr="00BF4A51">
        <w:rPr>
          <w:rFonts w:ascii="ITC Avant Garde" w:hAnsi="ITC Avant Garde"/>
          <w:b/>
          <w:color w:val="000000" w:themeColor="text1"/>
          <w:sz w:val="22"/>
          <w:szCs w:val="22"/>
          <w:lang w:eastAsia="es-MX"/>
        </w:rPr>
        <w:t>S</w:t>
      </w:r>
      <w:r w:rsidRPr="00BF4A51">
        <w:rPr>
          <w:rFonts w:ascii="ITC Avant Garde" w:hAnsi="ITC Avant Garde"/>
          <w:b/>
          <w:color w:val="000000" w:themeColor="text1"/>
          <w:sz w:val="22"/>
          <w:szCs w:val="22"/>
          <w:lang w:eastAsia="es-MX"/>
        </w:rPr>
        <w:t xml:space="preserve"> EN LOS ESTADOS UNIDOS MEXICANOS, CON COBERTURA EN </w:t>
      </w:r>
      <w:r w:rsidR="00DB692F" w:rsidRPr="00BF4A51">
        <w:rPr>
          <w:rFonts w:ascii="ITC Avant Garde" w:hAnsi="ITC Avant Garde"/>
          <w:b/>
          <w:color w:val="000000" w:themeColor="text1"/>
          <w:sz w:val="22"/>
          <w:szCs w:val="22"/>
          <w:lang w:eastAsia="es-MX"/>
        </w:rPr>
        <w:t xml:space="preserve">LAS CIUDADES DE GUADALAJARA, </w:t>
      </w:r>
      <w:r w:rsidRPr="00BF4A51">
        <w:rPr>
          <w:rFonts w:ascii="ITC Avant Garde" w:hAnsi="ITC Avant Garde"/>
          <w:b/>
          <w:color w:val="000000" w:themeColor="text1"/>
          <w:sz w:val="22"/>
          <w:szCs w:val="22"/>
          <w:lang w:eastAsia="es-MX"/>
        </w:rPr>
        <w:t xml:space="preserve">JALISCO, </w:t>
      </w:r>
      <w:r w:rsidR="00DB692F" w:rsidRPr="00BF4A51">
        <w:rPr>
          <w:rFonts w:ascii="ITC Avant Garde" w:hAnsi="ITC Avant Garde"/>
          <w:b/>
          <w:color w:val="000000" w:themeColor="text1"/>
          <w:sz w:val="22"/>
          <w:szCs w:val="22"/>
          <w:lang w:eastAsia="es-MX"/>
        </w:rPr>
        <w:t xml:space="preserve">MONTERREY, </w:t>
      </w:r>
      <w:r w:rsidRPr="00BF4A51">
        <w:rPr>
          <w:rFonts w:ascii="ITC Avant Garde" w:hAnsi="ITC Avant Garde"/>
          <w:b/>
          <w:color w:val="000000" w:themeColor="text1"/>
          <w:sz w:val="22"/>
          <w:szCs w:val="22"/>
          <w:lang w:eastAsia="es-MX"/>
        </w:rPr>
        <w:t xml:space="preserve">NUEVO LEÓN, </w:t>
      </w:r>
      <w:r w:rsidR="00DB692F" w:rsidRPr="00BF4A51">
        <w:rPr>
          <w:rFonts w:ascii="ITC Avant Garde" w:hAnsi="ITC Avant Garde"/>
          <w:b/>
          <w:color w:val="000000" w:themeColor="text1"/>
          <w:sz w:val="22"/>
          <w:szCs w:val="22"/>
          <w:lang w:eastAsia="es-MX"/>
        </w:rPr>
        <w:t xml:space="preserve">PUEBLA, </w:t>
      </w:r>
      <w:r w:rsidRPr="00BF4A51">
        <w:rPr>
          <w:rFonts w:ascii="ITC Avant Garde" w:hAnsi="ITC Avant Garde"/>
          <w:b/>
          <w:color w:val="000000" w:themeColor="text1"/>
          <w:sz w:val="22"/>
          <w:szCs w:val="22"/>
          <w:lang w:eastAsia="es-MX"/>
        </w:rPr>
        <w:t xml:space="preserve">PUEBLA, </w:t>
      </w:r>
      <w:r w:rsidR="00DB692F" w:rsidRPr="00BF4A51">
        <w:rPr>
          <w:rFonts w:ascii="ITC Avant Garde" w:hAnsi="ITC Avant Garde"/>
          <w:b/>
          <w:color w:val="000000" w:themeColor="text1"/>
          <w:sz w:val="22"/>
          <w:szCs w:val="22"/>
          <w:lang w:eastAsia="es-MX"/>
        </w:rPr>
        <w:t xml:space="preserve">LEÓN, </w:t>
      </w:r>
      <w:r w:rsidRPr="00BF4A51">
        <w:rPr>
          <w:rFonts w:ascii="ITC Avant Garde" w:hAnsi="ITC Avant Garde"/>
          <w:b/>
          <w:color w:val="000000" w:themeColor="text1"/>
          <w:sz w:val="22"/>
          <w:szCs w:val="22"/>
          <w:lang w:eastAsia="es-MX"/>
        </w:rPr>
        <w:t>GUANAJUATO</w:t>
      </w:r>
      <w:r w:rsidR="00D257C4" w:rsidRPr="00BF4A51">
        <w:rPr>
          <w:rFonts w:ascii="ITC Avant Garde" w:hAnsi="ITC Avant Garde"/>
          <w:b/>
          <w:color w:val="000000" w:themeColor="text1"/>
          <w:sz w:val="22"/>
          <w:szCs w:val="22"/>
          <w:lang w:eastAsia="es-MX"/>
        </w:rPr>
        <w:t>,</w:t>
      </w:r>
      <w:r w:rsidRPr="00BF4A51">
        <w:rPr>
          <w:rFonts w:ascii="ITC Avant Garde" w:hAnsi="ITC Avant Garde"/>
          <w:b/>
          <w:color w:val="000000" w:themeColor="text1"/>
          <w:sz w:val="22"/>
          <w:szCs w:val="22"/>
          <w:lang w:eastAsia="es-MX"/>
        </w:rPr>
        <w:t xml:space="preserve"> Y </w:t>
      </w:r>
      <w:r w:rsidR="004C5FE8" w:rsidRPr="00BF4A51">
        <w:rPr>
          <w:rFonts w:ascii="ITC Avant Garde" w:hAnsi="ITC Avant Garde"/>
          <w:b/>
          <w:color w:val="000000" w:themeColor="text1"/>
          <w:sz w:val="22"/>
          <w:szCs w:val="22"/>
          <w:lang w:eastAsia="es-MX"/>
        </w:rPr>
        <w:t>SUS RESPECTIVAS</w:t>
      </w:r>
      <w:r w:rsidR="00D257C4" w:rsidRPr="00BF4A51">
        <w:rPr>
          <w:rFonts w:ascii="ITC Avant Garde" w:hAnsi="ITC Avant Garde"/>
          <w:b/>
          <w:color w:val="000000" w:themeColor="text1"/>
          <w:sz w:val="22"/>
          <w:szCs w:val="22"/>
          <w:lang w:eastAsia="es-MX"/>
        </w:rPr>
        <w:t xml:space="preserve"> </w:t>
      </w:r>
      <w:r w:rsidRPr="00BF4A51">
        <w:rPr>
          <w:rFonts w:ascii="ITC Avant Garde" w:hAnsi="ITC Avant Garde"/>
          <w:b/>
          <w:color w:val="000000" w:themeColor="text1"/>
          <w:sz w:val="22"/>
          <w:szCs w:val="22"/>
          <w:lang w:eastAsia="es-MX"/>
        </w:rPr>
        <w:t>ZONAS CONURBADAS, PRORROGADA Y MODIFICADA EL 15 DE DICIEMBRE DE 2009.</w:t>
      </w:r>
    </w:p>
    <w:p w14:paraId="6E50337D" w14:textId="77777777" w:rsidR="00BF4A51" w:rsidRPr="00BF4A51" w:rsidRDefault="00B048BA" w:rsidP="00BF4A51">
      <w:pPr>
        <w:pStyle w:val="Ttulo2"/>
        <w:spacing w:after="240" w:line="276" w:lineRule="auto"/>
        <w:jc w:val="center"/>
        <w:rPr>
          <w:rFonts w:ascii="ITC Avant Garde" w:hAnsi="ITC Avant Garde"/>
          <w:b/>
          <w:color w:val="000000" w:themeColor="text1"/>
          <w:sz w:val="22"/>
          <w:szCs w:val="22"/>
          <w:lang w:val="es-MX" w:eastAsia="en-US"/>
        </w:rPr>
      </w:pPr>
      <w:r w:rsidRPr="00BF4A51">
        <w:rPr>
          <w:rFonts w:ascii="ITC Avant Garde" w:hAnsi="ITC Avant Garde"/>
          <w:b/>
          <w:color w:val="000000" w:themeColor="text1"/>
          <w:sz w:val="22"/>
          <w:szCs w:val="22"/>
          <w:lang w:val="es-MX" w:eastAsia="en-US"/>
        </w:rPr>
        <w:t>ANTECEDENTES</w:t>
      </w:r>
    </w:p>
    <w:p w14:paraId="073C8D2E" w14:textId="776EBCDC" w:rsidR="00BF4A51" w:rsidRPr="00BF4A51" w:rsidRDefault="00C939EE" w:rsidP="00BF4A51">
      <w:pPr>
        <w:numPr>
          <w:ilvl w:val="0"/>
          <w:numId w:val="3"/>
        </w:numPr>
        <w:spacing w:before="240" w:line="240" w:lineRule="auto"/>
        <w:ind w:left="567"/>
        <w:jc w:val="both"/>
        <w:rPr>
          <w:rFonts w:ascii="ITC Avant Garde" w:hAnsi="ITC Avant Garde"/>
          <w:bCs/>
          <w:color w:val="000000"/>
          <w:lang w:eastAsia="es-MX"/>
        </w:rPr>
      </w:pPr>
      <w:r w:rsidRPr="00BF4A51">
        <w:rPr>
          <w:rFonts w:ascii="ITC Avant Garde" w:hAnsi="ITC Avant Garde"/>
          <w:b/>
          <w:bCs/>
          <w:color w:val="000000"/>
          <w:lang w:eastAsia="es-MX"/>
        </w:rPr>
        <w:t>Prórro</w:t>
      </w:r>
      <w:r w:rsidR="008E6371" w:rsidRPr="00BF4A51">
        <w:rPr>
          <w:rFonts w:ascii="ITC Avant Garde" w:hAnsi="ITC Avant Garde"/>
          <w:b/>
          <w:bCs/>
          <w:color w:val="000000"/>
          <w:lang w:eastAsia="es-MX"/>
        </w:rPr>
        <w:t>ga y modificación de Concesión</w:t>
      </w:r>
      <w:r w:rsidR="0014189A" w:rsidRPr="00BF4A51">
        <w:rPr>
          <w:rStyle w:val="Refdenotaalpie"/>
          <w:rFonts w:ascii="ITC Avant Garde" w:hAnsi="ITC Avant Garde"/>
          <w:b/>
          <w:bCs/>
          <w:color w:val="000000"/>
          <w:lang w:eastAsia="es-MX"/>
        </w:rPr>
        <w:footnoteReference w:id="1"/>
      </w:r>
      <w:r w:rsidRPr="00BF4A51">
        <w:rPr>
          <w:rFonts w:ascii="ITC Avant Garde" w:hAnsi="ITC Avant Garde"/>
          <w:b/>
          <w:bCs/>
          <w:color w:val="000000"/>
          <w:lang w:eastAsia="es-MX"/>
        </w:rPr>
        <w:t xml:space="preserve">. </w:t>
      </w:r>
      <w:r w:rsidR="00BB4A6D" w:rsidRPr="00BF4A51">
        <w:rPr>
          <w:rFonts w:ascii="ITC Avant Garde" w:hAnsi="ITC Avant Garde"/>
          <w:bCs/>
          <w:color w:val="000000"/>
          <w:lang w:eastAsia="es-MX"/>
        </w:rPr>
        <w:t>El 15 de diciembre de 2009, la Secretaría de Comunicaciones y Transportes (la “Secretaría”) otorgó a Inversiones Nextel de México, S.A. de C.V. la prórroga y modificación de la concesión para usar, aprovechar y explotar bandas de frecuencias del espectro radioeléctrico para usos determinados en los Estados Unidos Mexicanos, para la prestación del servicio de acceso inalámbrico fijo y móvil, con una vigencia de 10 años, contados a partir del 24 de septiembre de 2006 (la “Concesión”), utilizando las siguientes bandas de frecuencias en la cobertura que se señala a continuación:</w:t>
      </w:r>
    </w:p>
    <w:p w14:paraId="6CEAACB0" w14:textId="77777777" w:rsidR="00BF4A51" w:rsidRPr="00BF4A51" w:rsidRDefault="001B7C74" w:rsidP="00BF4A51">
      <w:pPr>
        <w:pStyle w:val="Prrafodelista"/>
        <w:ind w:left="567"/>
        <w:jc w:val="both"/>
        <w:rPr>
          <w:rFonts w:ascii="ITC Avant Garde" w:hAnsi="ITC Avant Garde"/>
          <w:b/>
          <w:bCs/>
          <w:color w:val="000000"/>
          <w:sz w:val="14"/>
          <w:szCs w:val="14"/>
          <w:lang w:eastAsia="es-MX"/>
        </w:rPr>
      </w:pPr>
      <w:r w:rsidRPr="00BF4A51">
        <w:rPr>
          <w:rFonts w:ascii="ITC Avant Garde" w:hAnsi="ITC Avant Garde"/>
          <w:b/>
          <w:bCs/>
          <w:color w:val="000000"/>
          <w:sz w:val="14"/>
          <w:szCs w:val="14"/>
          <w:lang w:eastAsia="es-MX"/>
        </w:rPr>
        <w:t>Frecuencias concesionadas:</w:t>
      </w:r>
    </w:p>
    <w:p w14:paraId="52EBB0C0" w14:textId="3900C0A1" w:rsidR="004A7A17" w:rsidRPr="00BF4A51" w:rsidRDefault="004A7A17" w:rsidP="00BF4A51">
      <w:pPr>
        <w:pStyle w:val="Prrafodelista"/>
        <w:ind w:left="567"/>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lang w:eastAsia="es-MX"/>
        </w:rPr>
        <w:t xml:space="preserve">En la Ciudad de León, </w:t>
      </w:r>
      <w:proofErr w:type="spellStart"/>
      <w:r w:rsidRPr="00BF4A51">
        <w:rPr>
          <w:rFonts w:ascii="ITC Avant Garde" w:hAnsi="ITC Avant Garde"/>
          <w:b/>
          <w:bCs/>
          <w:color w:val="000000"/>
          <w:sz w:val="14"/>
          <w:szCs w:val="14"/>
          <w:lang w:eastAsia="es-MX"/>
        </w:rPr>
        <w:t>Gto</w:t>
      </w:r>
      <w:proofErr w:type="spellEnd"/>
      <w:r w:rsidRPr="00BF4A51">
        <w:rPr>
          <w:rFonts w:ascii="ITC Avant Garde" w:hAnsi="ITC Avant Garde"/>
          <w:b/>
          <w:bCs/>
          <w:color w:val="000000"/>
          <w:sz w:val="14"/>
          <w:szCs w:val="14"/>
          <w:lang w:eastAsia="es-MX"/>
        </w:rPr>
        <w:t xml:space="preserve">. </w:t>
      </w:r>
      <w:proofErr w:type="gramStart"/>
      <w:r w:rsidRPr="00BF4A51">
        <w:rPr>
          <w:rFonts w:ascii="ITC Avant Garde" w:hAnsi="ITC Avant Garde"/>
          <w:b/>
          <w:bCs/>
          <w:color w:val="000000"/>
          <w:sz w:val="14"/>
          <w:szCs w:val="14"/>
          <w:lang w:eastAsia="es-MX"/>
        </w:rPr>
        <w:t>y</w:t>
      </w:r>
      <w:proofErr w:type="gramEnd"/>
      <w:r w:rsidRPr="00BF4A51">
        <w:rPr>
          <w:rFonts w:ascii="ITC Avant Garde" w:hAnsi="ITC Avant Garde"/>
          <w:b/>
          <w:bCs/>
          <w:color w:val="000000"/>
          <w:sz w:val="14"/>
          <w:szCs w:val="14"/>
          <w:lang w:eastAsia="es-MX"/>
        </w:rPr>
        <w:t xml:space="preserve"> zona conurbada</w:t>
      </w:r>
    </w:p>
    <w:p w14:paraId="4BBE49AF" w14:textId="2B0DDA58" w:rsidR="0089538E" w:rsidRPr="00BF4A51" w:rsidRDefault="004A7A17" w:rsidP="00BF4A51">
      <w:pPr>
        <w:pStyle w:val="Prrafodelista"/>
        <w:ind w:left="567"/>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lang w:eastAsia="es-MX"/>
        </w:rPr>
        <w:t>Sitio Cerro del Cubilete</w:t>
      </w:r>
    </w:p>
    <w:p w14:paraId="755DA142" w14:textId="0372AF1A" w:rsidR="001B7C74" w:rsidRPr="00BF4A51" w:rsidRDefault="001B7C74" w:rsidP="00BF4A51">
      <w:pPr>
        <w:pStyle w:val="Prrafodelista"/>
        <w:ind w:left="567"/>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lang w:eastAsia="es-MX"/>
        </w:rPr>
        <w:t>LN</w:t>
      </w:r>
      <w:r w:rsidR="004A7A17" w:rsidRPr="00BF4A51">
        <w:rPr>
          <w:rFonts w:ascii="ITC Avant Garde" w:hAnsi="ITC Avant Garde"/>
          <w:b/>
          <w:bCs/>
          <w:color w:val="000000"/>
          <w:sz w:val="14"/>
          <w:szCs w:val="14"/>
          <w:lang w:eastAsia="es-MX"/>
        </w:rPr>
        <w:t>:</w:t>
      </w:r>
      <w:r w:rsidRPr="00BF4A51">
        <w:rPr>
          <w:rFonts w:ascii="ITC Avant Garde" w:hAnsi="ITC Avant Garde"/>
          <w:b/>
          <w:bCs/>
          <w:color w:val="000000"/>
          <w:sz w:val="14"/>
          <w:szCs w:val="14"/>
          <w:lang w:eastAsia="es-MX"/>
        </w:rPr>
        <w:t xml:space="preserve"> </w:t>
      </w:r>
      <w:r w:rsidR="004A7A17" w:rsidRPr="00BF4A51">
        <w:rPr>
          <w:rFonts w:ascii="ITC Avant Garde" w:hAnsi="ITC Avant Garde"/>
          <w:b/>
          <w:bCs/>
          <w:color w:val="000000"/>
          <w:sz w:val="14"/>
          <w:szCs w:val="14"/>
          <w:lang w:eastAsia="es-MX"/>
        </w:rPr>
        <w:t>21</w:t>
      </w:r>
      <w:r w:rsidRPr="00BF4A51">
        <w:rPr>
          <w:rFonts w:ascii="ITC Avant Garde" w:hAnsi="ITC Avant Garde"/>
          <w:b/>
          <w:bCs/>
          <w:color w:val="000000"/>
          <w:sz w:val="14"/>
          <w:szCs w:val="14"/>
          <w:lang w:eastAsia="es-MX"/>
        </w:rPr>
        <w:t>°</w:t>
      </w:r>
      <w:r w:rsidR="004A7A17" w:rsidRPr="00BF4A51">
        <w:rPr>
          <w:rFonts w:ascii="ITC Avant Garde" w:hAnsi="ITC Avant Garde"/>
          <w:b/>
          <w:bCs/>
          <w:color w:val="000000"/>
          <w:sz w:val="14"/>
          <w:szCs w:val="14"/>
          <w:lang w:eastAsia="es-MX"/>
        </w:rPr>
        <w:t>00</w:t>
      </w:r>
      <w:r w:rsidRPr="00BF4A51">
        <w:rPr>
          <w:rFonts w:ascii="ITC Avant Garde" w:hAnsi="ITC Avant Garde"/>
          <w:b/>
          <w:bCs/>
          <w:color w:val="000000"/>
          <w:sz w:val="14"/>
          <w:szCs w:val="14"/>
          <w:lang w:eastAsia="es-MX"/>
        </w:rPr>
        <w:t>´</w:t>
      </w:r>
      <w:r w:rsidR="004A7A17" w:rsidRPr="00BF4A51">
        <w:rPr>
          <w:rFonts w:ascii="ITC Avant Garde" w:hAnsi="ITC Avant Garde"/>
          <w:b/>
          <w:bCs/>
          <w:color w:val="000000"/>
          <w:sz w:val="14"/>
          <w:szCs w:val="14"/>
          <w:lang w:eastAsia="es-MX"/>
        </w:rPr>
        <w:t>12</w:t>
      </w:r>
      <w:r w:rsidRPr="00BF4A51">
        <w:rPr>
          <w:rFonts w:ascii="ITC Avant Garde" w:hAnsi="ITC Avant Garde"/>
          <w:b/>
          <w:bCs/>
          <w:color w:val="000000"/>
          <w:sz w:val="14"/>
          <w:szCs w:val="14"/>
          <w:lang w:eastAsia="es-MX"/>
        </w:rPr>
        <w:t>” LW</w:t>
      </w:r>
      <w:r w:rsidR="004A7A17" w:rsidRPr="00BF4A51">
        <w:rPr>
          <w:rFonts w:ascii="ITC Avant Garde" w:hAnsi="ITC Avant Garde"/>
          <w:b/>
          <w:bCs/>
          <w:color w:val="000000"/>
          <w:sz w:val="14"/>
          <w:szCs w:val="14"/>
          <w:lang w:eastAsia="es-MX"/>
        </w:rPr>
        <w:t>:</w:t>
      </w:r>
      <w:r w:rsidRPr="00BF4A51">
        <w:rPr>
          <w:rFonts w:ascii="ITC Avant Garde" w:hAnsi="ITC Avant Garde"/>
          <w:b/>
          <w:bCs/>
          <w:color w:val="000000"/>
          <w:sz w:val="14"/>
          <w:szCs w:val="14"/>
          <w:lang w:eastAsia="es-MX"/>
        </w:rPr>
        <w:t xml:space="preserve"> </w:t>
      </w:r>
      <w:r w:rsidR="008D18C4" w:rsidRPr="00BF4A51">
        <w:rPr>
          <w:rFonts w:ascii="ITC Avant Garde" w:hAnsi="ITC Avant Garde"/>
          <w:b/>
          <w:bCs/>
          <w:color w:val="000000"/>
          <w:sz w:val="14"/>
          <w:szCs w:val="14"/>
          <w:lang w:eastAsia="es-MX"/>
        </w:rPr>
        <w:t>10</w:t>
      </w:r>
      <w:r w:rsidR="004A7A17" w:rsidRPr="00BF4A51">
        <w:rPr>
          <w:rFonts w:ascii="ITC Avant Garde" w:hAnsi="ITC Avant Garde"/>
          <w:b/>
          <w:bCs/>
          <w:color w:val="000000"/>
          <w:sz w:val="14"/>
          <w:szCs w:val="14"/>
          <w:lang w:eastAsia="es-MX"/>
        </w:rPr>
        <w:t>1</w:t>
      </w:r>
      <w:r w:rsidRPr="00BF4A51">
        <w:rPr>
          <w:rFonts w:ascii="ITC Avant Garde" w:hAnsi="ITC Avant Garde"/>
          <w:b/>
          <w:bCs/>
          <w:color w:val="000000"/>
          <w:sz w:val="14"/>
          <w:szCs w:val="14"/>
          <w:lang w:eastAsia="es-MX"/>
        </w:rPr>
        <w:t>°</w:t>
      </w:r>
      <w:r w:rsidR="004A7A17" w:rsidRPr="00BF4A51">
        <w:rPr>
          <w:rFonts w:ascii="ITC Avant Garde" w:hAnsi="ITC Avant Garde"/>
          <w:b/>
          <w:bCs/>
          <w:color w:val="000000"/>
          <w:sz w:val="14"/>
          <w:szCs w:val="14"/>
          <w:lang w:eastAsia="es-MX"/>
        </w:rPr>
        <w:t>22</w:t>
      </w:r>
      <w:r w:rsidRPr="00BF4A51">
        <w:rPr>
          <w:rFonts w:ascii="ITC Avant Garde" w:hAnsi="ITC Avant Garde"/>
          <w:b/>
          <w:bCs/>
          <w:color w:val="000000"/>
          <w:sz w:val="14"/>
          <w:szCs w:val="14"/>
          <w:lang w:eastAsia="es-MX"/>
        </w:rPr>
        <w:t>´</w:t>
      </w:r>
      <w:r w:rsidR="004A7A17" w:rsidRPr="00BF4A51">
        <w:rPr>
          <w:rFonts w:ascii="ITC Avant Garde" w:hAnsi="ITC Avant Garde"/>
          <w:b/>
          <w:bCs/>
          <w:color w:val="000000"/>
          <w:sz w:val="14"/>
          <w:szCs w:val="14"/>
          <w:lang w:eastAsia="es-MX"/>
        </w:rPr>
        <w:t>23</w:t>
      </w:r>
      <w:r w:rsidRPr="00BF4A51">
        <w:rPr>
          <w:rFonts w:ascii="ITC Avant Garde" w:hAnsi="ITC Avant Garde"/>
          <w:b/>
          <w:bCs/>
          <w:color w:val="000000"/>
          <w:sz w:val="14"/>
          <w:szCs w:val="14"/>
          <w:lang w:eastAsia="es-MX"/>
        </w:rPr>
        <w:t>”</w:t>
      </w:r>
    </w:p>
    <w:tbl>
      <w:tblPr>
        <w:tblStyle w:val="Tablaconcuadrcula"/>
        <w:tblW w:w="6988" w:type="dxa"/>
        <w:jc w:val="center"/>
        <w:tblLayout w:type="fixed"/>
        <w:tblLook w:val="04A0" w:firstRow="1" w:lastRow="0" w:firstColumn="1" w:lastColumn="0" w:noHBand="0" w:noVBand="1"/>
        <w:tblCaption w:val="Frecuencias concesionadas: En la Ciudad de León, Gto. y zona conurbada"/>
        <w:tblDescription w:val="En una tabla irregular a manera de diagrama o esquema, se proporcionan para 2 grandes Grupos, 2 series para cada uno divididas en RX y TX cada serie."/>
      </w:tblPr>
      <w:tblGrid>
        <w:gridCol w:w="850"/>
        <w:gridCol w:w="851"/>
        <w:gridCol w:w="850"/>
        <w:gridCol w:w="993"/>
        <w:gridCol w:w="892"/>
        <w:gridCol w:w="841"/>
        <w:gridCol w:w="10"/>
        <w:gridCol w:w="850"/>
        <w:gridCol w:w="851"/>
      </w:tblGrid>
      <w:tr w:rsidR="00377FDF" w:rsidRPr="00BF4A51" w14:paraId="52579DAB" w14:textId="77777777" w:rsidTr="00AA2293">
        <w:trPr>
          <w:tblHeader/>
          <w:jc w:val="center"/>
        </w:trPr>
        <w:tc>
          <w:tcPr>
            <w:tcW w:w="3544" w:type="dxa"/>
            <w:gridSpan w:val="4"/>
          </w:tcPr>
          <w:p w14:paraId="71EBEF17" w14:textId="4539CEA5" w:rsidR="00377FDF" w:rsidRPr="00BF4A51" w:rsidRDefault="00377FDF" w:rsidP="00BF4A51">
            <w:pPr>
              <w:pStyle w:val="Prrafodelista"/>
              <w:ind w:left="0"/>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lang w:eastAsia="es-MX"/>
              </w:rPr>
              <w:t>GRUPO 8E</w:t>
            </w:r>
          </w:p>
        </w:tc>
        <w:tc>
          <w:tcPr>
            <w:tcW w:w="3444" w:type="dxa"/>
            <w:gridSpan w:val="5"/>
          </w:tcPr>
          <w:p w14:paraId="589B2141" w14:textId="4030629C" w:rsidR="00377FDF" w:rsidRPr="00BF4A51" w:rsidRDefault="00377FDF" w:rsidP="00BF4A51">
            <w:pPr>
              <w:pStyle w:val="Prrafodelista"/>
              <w:ind w:left="0"/>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lang w:eastAsia="es-MX"/>
              </w:rPr>
              <w:t>Grupo 9E</w:t>
            </w:r>
          </w:p>
        </w:tc>
      </w:tr>
      <w:tr w:rsidR="00F32BBA" w:rsidRPr="00BF4A51" w14:paraId="0D6FB9E4" w14:textId="505DAD32" w:rsidTr="00634985">
        <w:trPr>
          <w:jc w:val="center"/>
        </w:trPr>
        <w:tc>
          <w:tcPr>
            <w:tcW w:w="1701" w:type="dxa"/>
            <w:gridSpan w:val="2"/>
          </w:tcPr>
          <w:p w14:paraId="25F2CEB6" w14:textId="6662CD71" w:rsidR="00F32BBA" w:rsidRPr="00BF4A51" w:rsidRDefault="00F32BBA" w:rsidP="00BF4A51">
            <w:pPr>
              <w:pStyle w:val="Prrafodelista"/>
              <w:ind w:left="0"/>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lang w:eastAsia="es-MX"/>
              </w:rPr>
              <w:t xml:space="preserve">Serie </w:t>
            </w:r>
            <w:r w:rsidR="00290CE3" w:rsidRPr="00BF4A51">
              <w:rPr>
                <w:rFonts w:ascii="ITC Avant Garde" w:hAnsi="ITC Avant Garde"/>
                <w:b/>
                <w:bCs/>
                <w:color w:val="000000"/>
                <w:sz w:val="14"/>
                <w:szCs w:val="14"/>
                <w:lang w:eastAsia="es-MX"/>
              </w:rPr>
              <w:t>408</w:t>
            </w:r>
            <w:r w:rsidRPr="00BF4A51">
              <w:rPr>
                <w:rFonts w:ascii="ITC Avant Garde" w:hAnsi="ITC Avant Garde"/>
                <w:b/>
                <w:bCs/>
                <w:color w:val="000000"/>
                <w:sz w:val="14"/>
                <w:szCs w:val="14"/>
                <w:lang w:eastAsia="es-MX"/>
              </w:rPr>
              <w:t>E</w:t>
            </w:r>
          </w:p>
        </w:tc>
        <w:tc>
          <w:tcPr>
            <w:tcW w:w="1843" w:type="dxa"/>
            <w:gridSpan w:val="2"/>
          </w:tcPr>
          <w:p w14:paraId="0797D73E" w14:textId="7C5EA56B" w:rsidR="00F32BBA" w:rsidRPr="00BF4A51" w:rsidRDefault="00F32BBA" w:rsidP="00BF4A51">
            <w:pPr>
              <w:pStyle w:val="Prrafodelista"/>
              <w:ind w:left="0"/>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lang w:eastAsia="es-MX"/>
              </w:rPr>
              <w:t xml:space="preserve">Serie </w:t>
            </w:r>
            <w:r w:rsidR="00290CE3" w:rsidRPr="00BF4A51">
              <w:rPr>
                <w:rFonts w:ascii="ITC Avant Garde" w:hAnsi="ITC Avant Garde"/>
                <w:b/>
                <w:bCs/>
                <w:color w:val="000000"/>
                <w:sz w:val="14"/>
                <w:szCs w:val="14"/>
                <w:lang w:eastAsia="es-MX"/>
              </w:rPr>
              <w:t>428</w:t>
            </w:r>
            <w:r w:rsidRPr="00BF4A51">
              <w:rPr>
                <w:rFonts w:ascii="ITC Avant Garde" w:hAnsi="ITC Avant Garde"/>
                <w:b/>
                <w:bCs/>
                <w:color w:val="000000"/>
                <w:sz w:val="14"/>
                <w:szCs w:val="14"/>
                <w:lang w:eastAsia="es-MX"/>
              </w:rPr>
              <w:t>E</w:t>
            </w:r>
          </w:p>
        </w:tc>
        <w:tc>
          <w:tcPr>
            <w:tcW w:w="1733" w:type="dxa"/>
            <w:gridSpan w:val="2"/>
          </w:tcPr>
          <w:p w14:paraId="6E56A7C9" w14:textId="005A2D46" w:rsidR="00F32BBA" w:rsidRPr="00BF4A51" w:rsidRDefault="00F32BBA" w:rsidP="00BF4A51">
            <w:pPr>
              <w:pStyle w:val="Prrafodelista"/>
              <w:ind w:left="0"/>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lang w:eastAsia="es-MX"/>
              </w:rPr>
              <w:t>Serie 409E</w:t>
            </w:r>
          </w:p>
        </w:tc>
        <w:tc>
          <w:tcPr>
            <w:tcW w:w="1711" w:type="dxa"/>
            <w:gridSpan w:val="3"/>
          </w:tcPr>
          <w:p w14:paraId="34CA37E6" w14:textId="02825303" w:rsidR="00F32BBA" w:rsidRPr="00BF4A51" w:rsidRDefault="00F32BBA" w:rsidP="00BF4A51">
            <w:pPr>
              <w:pStyle w:val="Prrafodelista"/>
              <w:ind w:left="0"/>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lang w:eastAsia="es-MX"/>
              </w:rPr>
              <w:t xml:space="preserve">Serie </w:t>
            </w:r>
            <w:r w:rsidR="00290CE3" w:rsidRPr="00BF4A51">
              <w:rPr>
                <w:rFonts w:ascii="ITC Avant Garde" w:hAnsi="ITC Avant Garde"/>
                <w:b/>
                <w:bCs/>
                <w:color w:val="000000"/>
                <w:sz w:val="14"/>
                <w:szCs w:val="14"/>
                <w:lang w:eastAsia="es-MX"/>
              </w:rPr>
              <w:t>439</w:t>
            </w:r>
            <w:r w:rsidRPr="00BF4A51">
              <w:rPr>
                <w:rFonts w:ascii="ITC Avant Garde" w:hAnsi="ITC Avant Garde"/>
                <w:b/>
                <w:bCs/>
                <w:color w:val="000000"/>
                <w:sz w:val="14"/>
                <w:szCs w:val="14"/>
                <w:lang w:eastAsia="es-MX"/>
              </w:rPr>
              <w:t>E</w:t>
            </w:r>
          </w:p>
        </w:tc>
      </w:tr>
      <w:tr w:rsidR="00377FDF" w:rsidRPr="00BF4A51" w14:paraId="31A5F101" w14:textId="77777777" w:rsidTr="00634985">
        <w:trPr>
          <w:jc w:val="center"/>
        </w:trPr>
        <w:tc>
          <w:tcPr>
            <w:tcW w:w="850" w:type="dxa"/>
          </w:tcPr>
          <w:p w14:paraId="28755F17" w14:textId="6421707D" w:rsidR="00377FDF" w:rsidRPr="00BF4A51" w:rsidRDefault="00377FDF" w:rsidP="00BF4A51">
            <w:pPr>
              <w:pStyle w:val="Prrafodelista"/>
              <w:ind w:left="0"/>
              <w:jc w:val="center"/>
              <w:rPr>
                <w:rFonts w:ascii="ITC Avant Garde" w:hAnsi="ITC Avant Garde"/>
                <w:b/>
                <w:bCs/>
                <w:color w:val="000000"/>
                <w:sz w:val="14"/>
                <w:szCs w:val="14"/>
              </w:rPr>
            </w:pPr>
            <w:r w:rsidRPr="00BF4A51">
              <w:rPr>
                <w:rFonts w:ascii="ITC Avant Garde" w:hAnsi="ITC Avant Garde"/>
                <w:b/>
                <w:bCs/>
                <w:color w:val="000000"/>
                <w:sz w:val="14"/>
                <w:szCs w:val="14"/>
              </w:rPr>
              <w:t>RX (MHz)</w:t>
            </w:r>
          </w:p>
        </w:tc>
        <w:tc>
          <w:tcPr>
            <w:tcW w:w="851" w:type="dxa"/>
          </w:tcPr>
          <w:p w14:paraId="39CDB678" w14:textId="71E56744" w:rsidR="00377FDF" w:rsidRPr="00BF4A51" w:rsidRDefault="00377FDF" w:rsidP="00BF4A51">
            <w:pPr>
              <w:pStyle w:val="Prrafodelista"/>
              <w:ind w:left="0"/>
              <w:jc w:val="center"/>
              <w:rPr>
                <w:rFonts w:ascii="ITC Avant Garde" w:hAnsi="ITC Avant Garde"/>
                <w:b/>
                <w:bCs/>
                <w:color w:val="000000"/>
                <w:sz w:val="14"/>
                <w:szCs w:val="14"/>
              </w:rPr>
            </w:pPr>
            <w:r w:rsidRPr="00BF4A51">
              <w:rPr>
                <w:rFonts w:ascii="ITC Avant Garde" w:hAnsi="ITC Avant Garde"/>
                <w:b/>
                <w:bCs/>
                <w:color w:val="000000"/>
                <w:sz w:val="14"/>
                <w:szCs w:val="14"/>
              </w:rPr>
              <w:t>TX (MHz)</w:t>
            </w:r>
          </w:p>
        </w:tc>
        <w:tc>
          <w:tcPr>
            <w:tcW w:w="850" w:type="dxa"/>
          </w:tcPr>
          <w:p w14:paraId="2E3B0BFA" w14:textId="435160D9" w:rsidR="00377FDF" w:rsidRPr="00BF4A51" w:rsidRDefault="00377FDF" w:rsidP="00BF4A51">
            <w:pPr>
              <w:pStyle w:val="Prrafodelista"/>
              <w:ind w:left="0"/>
              <w:jc w:val="center"/>
              <w:rPr>
                <w:rFonts w:ascii="ITC Avant Garde" w:hAnsi="ITC Avant Garde"/>
                <w:b/>
                <w:bCs/>
                <w:color w:val="000000"/>
                <w:sz w:val="14"/>
                <w:szCs w:val="14"/>
              </w:rPr>
            </w:pPr>
            <w:r w:rsidRPr="00BF4A51">
              <w:rPr>
                <w:rFonts w:ascii="ITC Avant Garde" w:hAnsi="ITC Avant Garde"/>
                <w:b/>
                <w:bCs/>
                <w:color w:val="000000"/>
                <w:sz w:val="14"/>
                <w:szCs w:val="14"/>
              </w:rPr>
              <w:t>RX (MHz)</w:t>
            </w:r>
          </w:p>
        </w:tc>
        <w:tc>
          <w:tcPr>
            <w:tcW w:w="993" w:type="dxa"/>
          </w:tcPr>
          <w:p w14:paraId="2A47385C" w14:textId="23FD34EF" w:rsidR="00377FDF" w:rsidRPr="00BF4A51" w:rsidRDefault="00377FDF" w:rsidP="00BF4A51">
            <w:pPr>
              <w:pStyle w:val="Prrafodelista"/>
              <w:ind w:left="0"/>
              <w:jc w:val="center"/>
              <w:rPr>
                <w:rFonts w:ascii="ITC Avant Garde" w:hAnsi="ITC Avant Garde"/>
                <w:b/>
                <w:bCs/>
                <w:color w:val="000000"/>
                <w:sz w:val="14"/>
                <w:szCs w:val="14"/>
              </w:rPr>
            </w:pPr>
            <w:r w:rsidRPr="00BF4A51">
              <w:rPr>
                <w:rFonts w:ascii="ITC Avant Garde" w:hAnsi="ITC Avant Garde"/>
                <w:b/>
                <w:bCs/>
                <w:color w:val="000000"/>
                <w:sz w:val="14"/>
                <w:szCs w:val="14"/>
              </w:rPr>
              <w:t>TX (MHz)</w:t>
            </w:r>
          </w:p>
        </w:tc>
        <w:tc>
          <w:tcPr>
            <w:tcW w:w="892" w:type="dxa"/>
          </w:tcPr>
          <w:p w14:paraId="123B1AA6" w14:textId="637E09DE" w:rsidR="00377FDF" w:rsidRPr="00BF4A51" w:rsidRDefault="00377FDF" w:rsidP="00BF4A51">
            <w:pPr>
              <w:pStyle w:val="Prrafodelista"/>
              <w:ind w:left="0"/>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rPr>
              <w:t>RX (MHz)</w:t>
            </w:r>
          </w:p>
        </w:tc>
        <w:tc>
          <w:tcPr>
            <w:tcW w:w="851" w:type="dxa"/>
            <w:gridSpan w:val="2"/>
          </w:tcPr>
          <w:p w14:paraId="007A1C57" w14:textId="65F90917" w:rsidR="00377FDF" w:rsidRPr="00BF4A51" w:rsidRDefault="00377FDF" w:rsidP="00BF4A51">
            <w:pPr>
              <w:pStyle w:val="Prrafodelista"/>
              <w:ind w:left="0"/>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rPr>
              <w:t>TX (MHz)</w:t>
            </w:r>
          </w:p>
        </w:tc>
        <w:tc>
          <w:tcPr>
            <w:tcW w:w="850" w:type="dxa"/>
          </w:tcPr>
          <w:p w14:paraId="679DD466" w14:textId="1DDEA0C8" w:rsidR="00377FDF" w:rsidRPr="00BF4A51" w:rsidRDefault="00377FDF" w:rsidP="00BF4A51">
            <w:pPr>
              <w:pStyle w:val="Prrafodelista"/>
              <w:ind w:left="0"/>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rPr>
              <w:t>RX (MHz)</w:t>
            </w:r>
          </w:p>
        </w:tc>
        <w:tc>
          <w:tcPr>
            <w:tcW w:w="851" w:type="dxa"/>
          </w:tcPr>
          <w:p w14:paraId="2CEA3FFF" w14:textId="00CAE1F1" w:rsidR="00377FDF" w:rsidRPr="00BF4A51" w:rsidRDefault="00377FDF" w:rsidP="00BF4A51">
            <w:pPr>
              <w:pStyle w:val="Prrafodelista"/>
              <w:ind w:left="0"/>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rPr>
              <w:t>TX (MHz)</w:t>
            </w:r>
          </w:p>
        </w:tc>
      </w:tr>
      <w:tr w:rsidR="00377FDF" w:rsidRPr="00BF4A51" w14:paraId="54895530" w14:textId="77777777" w:rsidTr="00634985">
        <w:trPr>
          <w:jc w:val="center"/>
        </w:trPr>
        <w:tc>
          <w:tcPr>
            <w:tcW w:w="850" w:type="dxa"/>
          </w:tcPr>
          <w:p w14:paraId="13EDA537" w14:textId="08B77F36" w:rsidR="00377FDF" w:rsidRPr="00BF4A51" w:rsidRDefault="00377FD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816.200</w:t>
            </w:r>
          </w:p>
        </w:tc>
        <w:tc>
          <w:tcPr>
            <w:tcW w:w="851" w:type="dxa"/>
          </w:tcPr>
          <w:p w14:paraId="1EE7F4AB" w14:textId="0297F67D" w:rsidR="00377FDF" w:rsidRPr="00BF4A51" w:rsidRDefault="00377FD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861.200</w:t>
            </w:r>
          </w:p>
        </w:tc>
        <w:tc>
          <w:tcPr>
            <w:tcW w:w="850" w:type="dxa"/>
          </w:tcPr>
          <w:p w14:paraId="722E3991" w14:textId="1457BF65" w:rsidR="00377FDF" w:rsidRPr="00BF4A51" w:rsidRDefault="00377FD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816.700</w:t>
            </w:r>
          </w:p>
        </w:tc>
        <w:tc>
          <w:tcPr>
            <w:tcW w:w="993" w:type="dxa"/>
          </w:tcPr>
          <w:p w14:paraId="726362D6" w14:textId="3A45B678" w:rsidR="00377FDF" w:rsidRPr="00BF4A51" w:rsidRDefault="00377FD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861.700</w:t>
            </w:r>
          </w:p>
        </w:tc>
        <w:tc>
          <w:tcPr>
            <w:tcW w:w="892" w:type="dxa"/>
          </w:tcPr>
          <w:p w14:paraId="461B8543" w14:textId="3995A6F2" w:rsidR="00377FDF" w:rsidRPr="00BF4A51" w:rsidRDefault="00377FD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816.225</w:t>
            </w:r>
          </w:p>
        </w:tc>
        <w:tc>
          <w:tcPr>
            <w:tcW w:w="851" w:type="dxa"/>
            <w:gridSpan w:val="2"/>
          </w:tcPr>
          <w:p w14:paraId="28D42346" w14:textId="0627B5AE" w:rsidR="00377FDF" w:rsidRPr="00BF4A51" w:rsidRDefault="00377FD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861.225</w:t>
            </w:r>
          </w:p>
        </w:tc>
        <w:tc>
          <w:tcPr>
            <w:tcW w:w="850" w:type="dxa"/>
          </w:tcPr>
          <w:p w14:paraId="6D59F64A" w14:textId="5B54ECF3" w:rsidR="00377FDF" w:rsidRPr="00BF4A51" w:rsidRDefault="00377FD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816.975</w:t>
            </w:r>
          </w:p>
        </w:tc>
        <w:tc>
          <w:tcPr>
            <w:tcW w:w="851" w:type="dxa"/>
          </w:tcPr>
          <w:p w14:paraId="2F4A6820" w14:textId="6412FD44" w:rsidR="00377FDF" w:rsidRPr="00BF4A51" w:rsidRDefault="00377FD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861.975</w:t>
            </w:r>
          </w:p>
        </w:tc>
      </w:tr>
      <w:tr w:rsidR="00377FDF" w:rsidRPr="00BF4A51" w14:paraId="096F0290" w14:textId="77777777" w:rsidTr="00634985">
        <w:trPr>
          <w:jc w:val="center"/>
        </w:trPr>
        <w:tc>
          <w:tcPr>
            <w:tcW w:w="850" w:type="dxa"/>
          </w:tcPr>
          <w:p w14:paraId="37373F2B" w14:textId="1AD7D1E9" w:rsidR="00377FDF" w:rsidRPr="00BF4A51" w:rsidRDefault="00377FD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817.200</w:t>
            </w:r>
          </w:p>
        </w:tc>
        <w:tc>
          <w:tcPr>
            <w:tcW w:w="851" w:type="dxa"/>
          </w:tcPr>
          <w:p w14:paraId="5D7F3128" w14:textId="649C8979" w:rsidR="00377FDF" w:rsidRPr="00BF4A51" w:rsidRDefault="00377FD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862.200</w:t>
            </w:r>
          </w:p>
        </w:tc>
        <w:tc>
          <w:tcPr>
            <w:tcW w:w="850" w:type="dxa"/>
          </w:tcPr>
          <w:p w14:paraId="79866880" w14:textId="05564B61" w:rsidR="00377FDF" w:rsidRPr="00BF4A51" w:rsidRDefault="00377FD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817.700</w:t>
            </w:r>
          </w:p>
        </w:tc>
        <w:tc>
          <w:tcPr>
            <w:tcW w:w="993" w:type="dxa"/>
          </w:tcPr>
          <w:p w14:paraId="3463F97A" w14:textId="1F75F815" w:rsidR="00377FDF" w:rsidRPr="00BF4A51" w:rsidRDefault="00377FD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862.700</w:t>
            </w:r>
          </w:p>
        </w:tc>
        <w:tc>
          <w:tcPr>
            <w:tcW w:w="892" w:type="dxa"/>
          </w:tcPr>
          <w:p w14:paraId="3395E9CE" w14:textId="4F713E69" w:rsidR="00377FDF" w:rsidRPr="00BF4A51" w:rsidRDefault="00377FD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817.225</w:t>
            </w:r>
          </w:p>
        </w:tc>
        <w:tc>
          <w:tcPr>
            <w:tcW w:w="851" w:type="dxa"/>
            <w:gridSpan w:val="2"/>
          </w:tcPr>
          <w:p w14:paraId="193755BC" w14:textId="6B46D2E8" w:rsidR="00377FDF" w:rsidRPr="00BF4A51" w:rsidRDefault="00377FD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862.225</w:t>
            </w:r>
          </w:p>
        </w:tc>
        <w:tc>
          <w:tcPr>
            <w:tcW w:w="850" w:type="dxa"/>
          </w:tcPr>
          <w:p w14:paraId="7AE0D53A" w14:textId="1E8796B8" w:rsidR="00377FDF" w:rsidRPr="00BF4A51" w:rsidRDefault="00F32BBA"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817.975</w:t>
            </w:r>
          </w:p>
        </w:tc>
        <w:tc>
          <w:tcPr>
            <w:tcW w:w="851" w:type="dxa"/>
          </w:tcPr>
          <w:p w14:paraId="1E60FA4C" w14:textId="28B78449" w:rsidR="00377FDF" w:rsidRPr="00BF4A51" w:rsidRDefault="00F32BBA"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862.975</w:t>
            </w:r>
          </w:p>
        </w:tc>
      </w:tr>
      <w:tr w:rsidR="00377FDF" w:rsidRPr="00BF4A51" w14:paraId="3A701ABB" w14:textId="77777777" w:rsidTr="00634985">
        <w:trPr>
          <w:jc w:val="center"/>
        </w:trPr>
        <w:tc>
          <w:tcPr>
            <w:tcW w:w="850" w:type="dxa"/>
          </w:tcPr>
          <w:p w14:paraId="1DEE0997" w14:textId="6452CFC8" w:rsidR="00377FDF" w:rsidRPr="00BF4A51" w:rsidRDefault="00377FD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818.200</w:t>
            </w:r>
          </w:p>
        </w:tc>
        <w:tc>
          <w:tcPr>
            <w:tcW w:w="851" w:type="dxa"/>
          </w:tcPr>
          <w:p w14:paraId="4FF29B47" w14:textId="57FA09EA" w:rsidR="00377FDF" w:rsidRPr="00BF4A51" w:rsidRDefault="00377FD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863.200</w:t>
            </w:r>
          </w:p>
        </w:tc>
        <w:tc>
          <w:tcPr>
            <w:tcW w:w="850" w:type="dxa"/>
          </w:tcPr>
          <w:p w14:paraId="49ED7228" w14:textId="5A9678DE" w:rsidR="00377FDF" w:rsidRPr="00BF4A51" w:rsidRDefault="00377FD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818.700</w:t>
            </w:r>
          </w:p>
        </w:tc>
        <w:tc>
          <w:tcPr>
            <w:tcW w:w="993" w:type="dxa"/>
          </w:tcPr>
          <w:p w14:paraId="354144C5" w14:textId="0BBAF2FB" w:rsidR="00377FDF" w:rsidRPr="00BF4A51" w:rsidRDefault="00377FD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863.700</w:t>
            </w:r>
          </w:p>
        </w:tc>
        <w:tc>
          <w:tcPr>
            <w:tcW w:w="892" w:type="dxa"/>
          </w:tcPr>
          <w:p w14:paraId="02C216B3" w14:textId="6EE9A9A6" w:rsidR="00377FDF" w:rsidRPr="00BF4A51" w:rsidRDefault="00377FD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818.225</w:t>
            </w:r>
          </w:p>
        </w:tc>
        <w:tc>
          <w:tcPr>
            <w:tcW w:w="851" w:type="dxa"/>
            <w:gridSpan w:val="2"/>
          </w:tcPr>
          <w:p w14:paraId="6AED6FF8" w14:textId="43D1E13F" w:rsidR="00377FDF" w:rsidRPr="00BF4A51" w:rsidRDefault="00377FD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863.225</w:t>
            </w:r>
          </w:p>
        </w:tc>
        <w:tc>
          <w:tcPr>
            <w:tcW w:w="850" w:type="dxa"/>
          </w:tcPr>
          <w:p w14:paraId="31ED7DF9" w14:textId="52ADE4D7" w:rsidR="00377FDF" w:rsidRPr="00BF4A51" w:rsidRDefault="00F32BBA"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818.975</w:t>
            </w:r>
          </w:p>
        </w:tc>
        <w:tc>
          <w:tcPr>
            <w:tcW w:w="851" w:type="dxa"/>
          </w:tcPr>
          <w:p w14:paraId="7F069431" w14:textId="235AB897" w:rsidR="00377FDF" w:rsidRPr="00BF4A51" w:rsidRDefault="00F32BBA"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863.975</w:t>
            </w:r>
          </w:p>
        </w:tc>
      </w:tr>
      <w:tr w:rsidR="00377FDF" w:rsidRPr="00BF4A51" w14:paraId="3068AF0B" w14:textId="77777777" w:rsidTr="00634985">
        <w:trPr>
          <w:jc w:val="center"/>
        </w:trPr>
        <w:tc>
          <w:tcPr>
            <w:tcW w:w="850" w:type="dxa"/>
          </w:tcPr>
          <w:p w14:paraId="791472C4" w14:textId="2E5B432E" w:rsidR="00377FDF" w:rsidRPr="00BF4A51" w:rsidRDefault="00377FD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819.200</w:t>
            </w:r>
          </w:p>
        </w:tc>
        <w:tc>
          <w:tcPr>
            <w:tcW w:w="851" w:type="dxa"/>
          </w:tcPr>
          <w:p w14:paraId="2083C789" w14:textId="7E2D0822" w:rsidR="00377FDF" w:rsidRPr="00BF4A51" w:rsidRDefault="00377FD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864.200</w:t>
            </w:r>
          </w:p>
        </w:tc>
        <w:tc>
          <w:tcPr>
            <w:tcW w:w="850" w:type="dxa"/>
          </w:tcPr>
          <w:p w14:paraId="7CC008F6" w14:textId="59A7B211" w:rsidR="00377FDF" w:rsidRPr="00BF4A51" w:rsidRDefault="00377FD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819.700</w:t>
            </w:r>
          </w:p>
        </w:tc>
        <w:tc>
          <w:tcPr>
            <w:tcW w:w="993" w:type="dxa"/>
          </w:tcPr>
          <w:p w14:paraId="6E24C5F1" w14:textId="1E084740" w:rsidR="00377FDF" w:rsidRPr="00BF4A51" w:rsidRDefault="00377FD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864.700</w:t>
            </w:r>
          </w:p>
        </w:tc>
        <w:tc>
          <w:tcPr>
            <w:tcW w:w="892" w:type="dxa"/>
          </w:tcPr>
          <w:p w14:paraId="79BE4661" w14:textId="427D7F15" w:rsidR="00377FDF" w:rsidRPr="00BF4A51" w:rsidRDefault="00377FD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819.225</w:t>
            </w:r>
          </w:p>
        </w:tc>
        <w:tc>
          <w:tcPr>
            <w:tcW w:w="851" w:type="dxa"/>
            <w:gridSpan w:val="2"/>
          </w:tcPr>
          <w:p w14:paraId="139EFE43" w14:textId="51B16CED" w:rsidR="00377FDF" w:rsidRPr="00BF4A51" w:rsidRDefault="00377FD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864.225</w:t>
            </w:r>
          </w:p>
        </w:tc>
        <w:tc>
          <w:tcPr>
            <w:tcW w:w="850" w:type="dxa"/>
          </w:tcPr>
          <w:p w14:paraId="558D101A" w14:textId="7430E5B8" w:rsidR="00377FDF" w:rsidRPr="00BF4A51" w:rsidRDefault="00F32BBA"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819.975</w:t>
            </w:r>
          </w:p>
        </w:tc>
        <w:tc>
          <w:tcPr>
            <w:tcW w:w="851" w:type="dxa"/>
          </w:tcPr>
          <w:p w14:paraId="1FAFA564" w14:textId="6A684B0D" w:rsidR="00377FDF" w:rsidRPr="00BF4A51" w:rsidRDefault="00F32BBA"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864.975</w:t>
            </w:r>
          </w:p>
        </w:tc>
      </w:tr>
      <w:tr w:rsidR="00377FDF" w:rsidRPr="00BF4A51" w14:paraId="5A3F83AE" w14:textId="77777777" w:rsidTr="00634985">
        <w:trPr>
          <w:jc w:val="center"/>
        </w:trPr>
        <w:tc>
          <w:tcPr>
            <w:tcW w:w="850" w:type="dxa"/>
          </w:tcPr>
          <w:p w14:paraId="30BCE002" w14:textId="209E0B0C" w:rsidR="00377FDF" w:rsidRPr="00BF4A51" w:rsidRDefault="00377FD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820.200</w:t>
            </w:r>
          </w:p>
        </w:tc>
        <w:tc>
          <w:tcPr>
            <w:tcW w:w="851" w:type="dxa"/>
          </w:tcPr>
          <w:p w14:paraId="58EA697E" w14:textId="6A1A873A" w:rsidR="00377FDF" w:rsidRPr="00BF4A51" w:rsidRDefault="00377FD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865.200</w:t>
            </w:r>
          </w:p>
        </w:tc>
        <w:tc>
          <w:tcPr>
            <w:tcW w:w="850" w:type="dxa"/>
          </w:tcPr>
          <w:p w14:paraId="5FDE8809" w14:textId="116712B7" w:rsidR="00377FDF" w:rsidRPr="00BF4A51" w:rsidRDefault="00377FD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820.700</w:t>
            </w:r>
          </w:p>
        </w:tc>
        <w:tc>
          <w:tcPr>
            <w:tcW w:w="993" w:type="dxa"/>
          </w:tcPr>
          <w:p w14:paraId="77159855" w14:textId="3EA22157" w:rsidR="00377FDF" w:rsidRPr="00BF4A51" w:rsidRDefault="00377FD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865.700</w:t>
            </w:r>
          </w:p>
        </w:tc>
        <w:tc>
          <w:tcPr>
            <w:tcW w:w="892" w:type="dxa"/>
          </w:tcPr>
          <w:p w14:paraId="3B0FF7F0" w14:textId="6A2E5D1F" w:rsidR="00377FDF" w:rsidRPr="00BF4A51" w:rsidRDefault="00377FD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820.225</w:t>
            </w:r>
          </w:p>
        </w:tc>
        <w:tc>
          <w:tcPr>
            <w:tcW w:w="851" w:type="dxa"/>
            <w:gridSpan w:val="2"/>
          </w:tcPr>
          <w:p w14:paraId="6EA77BD7" w14:textId="5DB74813" w:rsidR="00377FDF" w:rsidRPr="00BF4A51" w:rsidRDefault="00377FD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865.225</w:t>
            </w:r>
          </w:p>
        </w:tc>
        <w:tc>
          <w:tcPr>
            <w:tcW w:w="850" w:type="dxa"/>
          </w:tcPr>
          <w:p w14:paraId="2A46D627" w14:textId="12E9A6FA" w:rsidR="00377FDF" w:rsidRPr="00BF4A51" w:rsidRDefault="00F32BBA"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820.975</w:t>
            </w:r>
          </w:p>
        </w:tc>
        <w:tc>
          <w:tcPr>
            <w:tcW w:w="851" w:type="dxa"/>
          </w:tcPr>
          <w:p w14:paraId="7A925122" w14:textId="3E141587" w:rsidR="00377FDF" w:rsidRPr="00BF4A51" w:rsidRDefault="00F32BBA"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865.975</w:t>
            </w:r>
          </w:p>
        </w:tc>
      </w:tr>
    </w:tbl>
    <w:p w14:paraId="25906AFB" w14:textId="77777777" w:rsidR="00BF4A51" w:rsidRPr="00BF4A51" w:rsidRDefault="00BF4A51" w:rsidP="00BF4A51">
      <w:pPr>
        <w:pStyle w:val="Prrafodelista"/>
        <w:ind w:left="567"/>
        <w:jc w:val="center"/>
        <w:rPr>
          <w:rFonts w:ascii="ITC Avant Garde" w:hAnsi="ITC Avant Garde"/>
          <w:b/>
          <w:bCs/>
          <w:color w:val="000000"/>
          <w:sz w:val="14"/>
          <w:szCs w:val="14"/>
          <w:lang w:eastAsia="es-MX"/>
        </w:rPr>
      </w:pPr>
    </w:p>
    <w:p w14:paraId="20BB6490" w14:textId="02CF3BF2" w:rsidR="00A37EAB" w:rsidRPr="00BF4A51" w:rsidRDefault="00EF0AE8" w:rsidP="00BF4A51">
      <w:pPr>
        <w:pStyle w:val="Prrafodelista"/>
        <w:ind w:left="567"/>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lang w:eastAsia="es-MX"/>
        </w:rPr>
        <w:t>En la Ciudad de Monterrey, N.L. y zona conurbada</w:t>
      </w:r>
    </w:p>
    <w:p w14:paraId="68A0FB22" w14:textId="633B584D" w:rsidR="00EF0AE8" w:rsidRPr="00BF4A51" w:rsidRDefault="00EF0AE8" w:rsidP="00BF4A51">
      <w:pPr>
        <w:pStyle w:val="Prrafodelista"/>
        <w:ind w:left="567"/>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lang w:eastAsia="es-MX"/>
        </w:rPr>
        <w:t>Sitio: Cerro del Mirador</w:t>
      </w:r>
    </w:p>
    <w:p w14:paraId="4F6ABE67" w14:textId="4118F9C7" w:rsidR="009C0D32" w:rsidRPr="00BF4A51" w:rsidRDefault="009C0D32" w:rsidP="00BF4A51">
      <w:pPr>
        <w:pStyle w:val="Prrafodelista"/>
        <w:ind w:left="567"/>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lang w:eastAsia="es-MX"/>
        </w:rPr>
        <w:t>LN</w:t>
      </w:r>
      <w:r w:rsidR="00EF0AE8" w:rsidRPr="00BF4A51">
        <w:rPr>
          <w:rFonts w:ascii="ITC Avant Garde" w:hAnsi="ITC Avant Garde"/>
          <w:b/>
          <w:bCs/>
          <w:color w:val="000000"/>
          <w:sz w:val="14"/>
          <w:szCs w:val="14"/>
          <w:lang w:eastAsia="es-MX"/>
        </w:rPr>
        <w:t>:</w:t>
      </w:r>
      <w:r w:rsidRPr="00BF4A51">
        <w:rPr>
          <w:rFonts w:ascii="ITC Avant Garde" w:hAnsi="ITC Avant Garde"/>
          <w:b/>
          <w:bCs/>
          <w:color w:val="000000"/>
          <w:sz w:val="14"/>
          <w:szCs w:val="14"/>
          <w:lang w:eastAsia="es-MX"/>
        </w:rPr>
        <w:t xml:space="preserve"> </w:t>
      </w:r>
      <w:r w:rsidR="00022492" w:rsidRPr="00BF4A51">
        <w:rPr>
          <w:rFonts w:ascii="ITC Avant Garde" w:hAnsi="ITC Avant Garde"/>
          <w:b/>
          <w:bCs/>
          <w:color w:val="000000"/>
          <w:sz w:val="14"/>
          <w:szCs w:val="14"/>
          <w:lang w:eastAsia="es-MX"/>
        </w:rPr>
        <w:t>2</w:t>
      </w:r>
      <w:r w:rsidR="00EF0AE8" w:rsidRPr="00BF4A51">
        <w:rPr>
          <w:rFonts w:ascii="ITC Avant Garde" w:hAnsi="ITC Avant Garde"/>
          <w:b/>
          <w:bCs/>
          <w:color w:val="000000"/>
          <w:sz w:val="14"/>
          <w:szCs w:val="14"/>
          <w:lang w:eastAsia="es-MX"/>
        </w:rPr>
        <w:t>5</w:t>
      </w:r>
      <w:r w:rsidRPr="00BF4A51">
        <w:rPr>
          <w:rFonts w:ascii="ITC Avant Garde" w:hAnsi="ITC Avant Garde"/>
          <w:b/>
          <w:bCs/>
          <w:color w:val="000000"/>
          <w:sz w:val="14"/>
          <w:szCs w:val="14"/>
          <w:lang w:eastAsia="es-MX"/>
        </w:rPr>
        <w:t>°</w:t>
      </w:r>
      <w:r w:rsidR="00022492" w:rsidRPr="00BF4A51">
        <w:rPr>
          <w:rFonts w:ascii="ITC Avant Garde" w:hAnsi="ITC Avant Garde"/>
          <w:b/>
          <w:bCs/>
          <w:color w:val="000000"/>
          <w:sz w:val="14"/>
          <w:szCs w:val="14"/>
          <w:lang w:eastAsia="es-MX"/>
        </w:rPr>
        <w:t>3</w:t>
      </w:r>
      <w:r w:rsidR="00EF0AE8" w:rsidRPr="00BF4A51">
        <w:rPr>
          <w:rFonts w:ascii="ITC Avant Garde" w:hAnsi="ITC Avant Garde"/>
          <w:b/>
          <w:bCs/>
          <w:color w:val="000000"/>
          <w:sz w:val="14"/>
          <w:szCs w:val="14"/>
          <w:lang w:eastAsia="es-MX"/>
        </w:rPr>
        <w:t>7</w:t>
      </w:r>
      <w:r w:rsidRPr="00BF4A51">
        <w:rPr>
          <w:rFonts w:ascii="ITC Avant Garde" w:hAnsi="ITC Avant Garde"/>
          <w:b/>
          <w:bCs/>
          <w:color w:val="000000"/>
          <w:sz w:val="14"/>
          <w:szCs w:val="14"/>
          <w:lang w:eastAsia="es-MX"/>
        </w:rPr>
        <w:t>´</w:t>
      </w:r>
      <w:r w:rsidR="00EF0AE8" w:rsidRPr="00BF4A51">
        <w:rPr>
          <w:rFonts w:ascii="ITC Avant Garde" w:hAnsi="ITC Avant Garde"/>
          <w:b/>
          <w:bCs/>
          <w:color w:val="000000"/>
          <w:sz w:val="14"/>
          <w:szCs w:val="14"/>
          <w:lang w:eastAsia="es-MX"/>
        </w:rPr>
        <w:t>24</w:t>
      </w:r>
      <w:r w:rsidRPr="00BF4A51">
        <w:rPr>
          <w:rFonts w:ascii="ITC Avant Garde" w:hAnsi="ITC Avant Garde"/>
          <w:b/>
          <w:bCs/>
          <w:color w:val="000000"/>
          <w:sz w:val="14"/>
          <w:szCs w:val="14"/>
          <w:lang w:eastAsia="es-MX"/>
        </w:rPr>
        <w:t>” LW</w:t>
      </w:r>
      <w:r w:rsidR="00EF0AE8" w:rsidRPr="00BF4A51">
        <w:rPr>
          <w:rFonts w:ascii="ITC Avant Garde" w:hAnsi="ITC Avant Garde"/>
          <w:b/>
          <w:bCs/>
          <w:color w:val="000000"/>
          <w:sz w:val="14"/>
          <w:szCs w:val="14"/>
          <w:lang w:eastAsia="es-MX"/>
        </w:rPr>
        <w:t>:</w:t>
      </w:r>
      <w:r w:rsidRPr="00BF4A51">
        <w:rPr>
          <w:rFonts w:ascii="ITC Avant Garde" w:hAnsi="ITC Avant Garde"/>
          <w:b/>
          <w:bCs/>
          <w:color w:val="000000"/>
          <w:sz w:val="14"/>
          <w:szCs w:val="14"/>
          <w:lang w:eastAsia="es-MX"/>
        </w:rPr>
        <w:t xml:space="preserve"> </w:t>
      </w:r>
      <w:r w:rsidR="00022492" w:rsidRPr="00BF4A51">
        <w:rPr>
          <w:rFonts w:ascii="ITC Avant Garde" w:hAnsi="ITC Avant Garde"/>
          <w:b/>
          <w:bCs/>
          <w:color w:val="000000"/>
          <w:sz w:val="14"/>
          <w:szCs w:val="14"/>
          <w:lang w:eastAsia="es-MX"/>
        </w:rPr>
        <w:t>100</w:t>
      </w:r>
      <w:r w:rsidRPr="00BF4A51">
        <w:rPr>
          <w:rFonts w:ascii="ITC Avant Garde" w:hAnsi="ITC Avant Garde"/>
          <w:b/>
          <w:bCs/>
          <w:color w:val="000000"/>
          <w:sz w:val="14"/>
          <w:szCs w:val="14"/>
          <w:lang w:eastAsia="es-MX"/>
        </w:rPr>
        <w:t>°</w:t>
      </w:r>
      <w:r w:rsidR="00EF0AE8" w:rsidRPr="00BF4A51">
        <w:rPr>
          <w:rFonts w:ascii="ITC Avant Garde" w:hAnsi="ITC Avant Garde"/>
          <w:b/>
          <w:bCs/>
          <w:color w:val="000000"/>
          <w:sz w:val="14"/>
          <w:szCs w:val="14"/>
          <w:lang w:eastAsia="es-MX"/>
        </w:rPr>
        <w:t>1</w:t>
      </w:r>
      <w:r w:rsidR="00022492" w:rsidRPr="00BF4A51">
        <w:rPr>
          <w:rFonts w:ascii="ITC Avant Garde" w:hAnsi="ITC Avant Garde"/>
          <w:b/>
          <w:bCs/>
          <w:color w:val="000000"/>
          <w:sz w:val="14"/>
          <w:szCs w:val="14"/>
          <w:lang w:eastAsia="es-MX"/>
        </w:rPr>
        <w:t>9</w:t>
      </w:r>
      <w:r w:rsidRPr="00BF4A51">
        <w:rPr>
          <w:rFonts w:ascii="ITC Avant Garde" w:hAnsi="ITC Avant Garde"/>
          <w:b/>
          <w:bCs/>
          <w:color w:val="000000"/>
          <w:sz w:val="14"/>
          <w:szCs w:val="14"/>
          <w:lang w:eastAsia="es-MX"/>
        </w:rPr>
        <w:t>´</w:t>
      </w:r>
      <w:r w:rsidR="00022492" w:rsidRPr="00BF4A51">
        <w:rPr>
          <w:rFonts w:ascii="ITC Avant Garde" w:hAnsi="ITC Avant Garde"/>
          <w:b/>
          <w:bCs/>
          <w:color w:val="000000"/>
          <w:sz w:val="14"/>
          <w:szCs w:val="14"/>
          <w:lang w:eastAsia="es-MX"/>
        </w:rPr>
        <w:t>0</w:t>
      </w:r>
      <w:r w:rsidR="00EF0AE8" w:rsidRPr="00BF4A51">
        <w:rPr>
          <w:rFonts w:ascii="ITC Avant Garde" w:hAnsi="ITC Avant Garde"/>
          <w:b/>
          <w:bCs/>
          <w:color w:val="000000"/>
          <w:sz w:val="14"/>
          <w:szCs w:val="14"/>
          <w:lang w:eastAsia="es-MX"/>
        </w:rPr>
        <w:t>8</w:t>
      </w:r>
      <w:r w:rsidRPr="00BF4A51">
        <w:rPr>
          <w:rFonts w:ascii="ITC Avant Garde" w:hAnsi="ITC Avant Garde"/>
          <w:b/>
          <w:bCs/>
          <w:color w:val="000000"/>
          <w:sz w:val="14"/>
          <w:szCs w:val="14"/>
          <w:lang w:eastAsia="es-MX"/>
        </w:rPr>
        <w:t>”</w:t>
      </w:r>
    </w:p>
    <w:tbl>
      <w:tblPr>
        <w:tblStyle w:val="Tablaconcuadrcula"/>
        <w:tblW w:w="6988" w:type="dxa"/>
        <w:jc w:val="center"/>
        <w:tblLayout w:type="fixed"/>
        <w:tblLook w:val="04A0" w:firstRow="1" w:lastRow="0" w:firstColumn="1" w:lastColumn="0" w:noHBand="0" w:noVBand="1"/>
        <w:tblCaption w:val="Frecuencias concesionadas: En la Ciudad de Monterrey, N.L. y zona conurbada"/>
        <w:tblDescription w:val="En una tabla irregular a manera de diagrama o esquema, se proporcionan para 2 grandes Grupos, 2 series para cada uno divididas en RX y TX cada serie."/>
      </w:tblPr>
      <w:tblGrid>
        <w:gridCol w:w="850"/>
        <w:gridCol w:w="851"/>
        <w:gridCol w:w="850"/>
        <w:gridCol w:w="993"/>
        <w:gridCol w:w="892"/>
        <w:gridCol w:w="804"/>
        <w:gridCol w:w="897"/>
        <w:gridCol w:w="851"/>
      </w:tblGrid>
      <w:tr w:rsidR="00D379E6" w:rsidRPr="00BF4A51" w14:paraId="52869CF6" w14:textId="77777777" w:rsidTr="00AA2293">
        <w:trPr>
          <w:tblHeader/>
          <w:jc w:val="center"/>
        </w:trPr>
        <w:tc>
          <w:tcPr>
            <w:tcW w:w="3544" w:type="dxa"/>
            <w:gridSpan w:val="4"/>
          </w:tcPr>
          <w:p w14:paraId="24E3AD6C" w14:textId="77777777" w:rsidR="00D379E6" w:rsidRPr="00BF4A51" w:rsidRDefault="00D379E6" w:rsidP="00BF4A51">
            <w:pPr>
              <w:pStyle w:val="Prrafodelista"/>
              <w:ind w:left="0"/>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lang w:eastAsia="es-MX"/>
              </w:rPr>
              <w:t>GRUPO 5C</w:t>
            </w:r>
          </w:p>
        </w:tc>
        <w:tc>
          <w:tcPr>
            <w:tcW w:w="1696" w:type="dxa"/>
            <w:gridSpan w:val="2"/>
          </w:tcPr>
          <w:p w14:paraId="4D80DB1B" w14:textId="77777777" w:rsidR="00D379E6" w:rsidRPr="00BF4A51" w:rsidRDefault="00D379E6" w:rsidP="00BF4A51">
            <w:pPr>
              <w:pStyle w:val="Prrafodelista"/>
              <w:ind w:left="0"/>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lang w:eastAsia="es-MX"/>
              </w:rPr>
              <w:t>GRUPO 6E</w:t>
            </w:r>
          </w:p>
        </w:tc>
        <w:tc>
          <w:tcPr>
            <w:tcW w:w="1748" w:type="dxa"/>
            <w:gridSpan w:val="2"/>
          </w:tcPr>
          <w:p w14:paraId="6362709A" w14:textId="77777777" w:rsidR="00D379E6" w:rsidRPr="00BF4A51" w:rsidRDefault="00D379E6" w:rsidP="00BF4A51">
            <w:pPr>
              <w:pStyle w:val="Prrafodelista"/>
              <w:ind w:left="0"/>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lang w:eastAsia="es-MX"/>
              </w:rPr>
              <w:t>GRUPO 7C</w:t>
            </w:r>
          </w:p>
        </w:tc>
      </w:tr>
      <w:tr w:rsidR="00D379E6" w:rsidRPr="00BF4A51" w14:paraId="4B17A410" w14:textId="77777777" w:rsidTr="00634985">
        <w:trPr>
          <w:jc w:val="center"/>
        </w:trPr>
        <w:tc>
          <w:tcPr>
            <w:tcW w:w="1701" w:type="dxa"/>
            <w:gridSpan w:val="2"/>
          </w:tcPr>
          <w:p w14:paraId="11405B1E" w14:textId="77777777" w:rsidR="00D379E6" w:rsidRPr="00BF4A51" w:rsidRDefault="00D379E6" w:rsidP="00BF4A51">
            <w:pPr>
              <w:pStyle w:val="Prrafodelista"/>
              <w:ind w:left="0"/>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lang w:eastAsia="es-MX"/>
              </w:rPr>
              <w:t>Serie 25C</w:t>
            </w:r>
          </w:p>
        </w:tc>
        <w:tc>
          <w:tcPr>
            <w:tcW w:w="1843" w:type="dxa"/>
            <w:gridSpan w:val="2"/>
          </w:tcPr>
          <w:p w14:paraId="6CF447E4" w14:textId="77777777" w:rsidR="00D379E6" w:rsidRPr="00BF4A51" w:rsidRDefault="00D379E6" w:rsidP="00BF4A51">
            <w:pPr>
              <w:pStyle w:val="Prrafodelista"/>
              <w:ind w:left="0"/>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lang w:eastAsia="es-MX"/>
              </w:rPr>
              <w:t>Serie 35C</w:t>
            </w:r>
          </w:p>
        </w:tc>
        <w:tc>
          <w:tcPr>
            <w:tcW w:w="1696" w:type="dxa"/>
            <w:gridSpan w:val="2"/>
          </w:tcPr>
          <w:p w14:paraId="7276E64B" w14:textId="77777777" w:rsidR="00D379E6" w:rsidRPr="00BF4A51" w:rsidRDefault="00D379E6" w:rsidP="00BF4A51">
            <w:pPr>
              <w:pStyle w:val="Prrafodelista"/>
              <w:ind w:left="0"/>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lang w:eastAsia="es-MX"/>
              </w:rPr>
              <w:t>Serie 426E</w:t>
            </w:r>
          </w:p>
        </w:tc>
        <w:tc>
          <w:tcPr>
            <w:tcW w:w="1748" w:type="dxa"/>
            <w:gridSpan w:val="2"/>
          </w:tcPr>
          <w:p w14:paraId="566DBDCF" w14:textId="77777777" w:rsidR="00D379E6" w:rsidRPr="00BF4A51" w:rsidRDefault="00D379E6" w:rsidP="00BF4A51">
            <w:pPr>
              <w:pStyle w:val="Prrafodelista"/>
              <w:ind w:left="0"/>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lang w:eastAsia="es-MX"/>
              </w:rPr>
              <w:t>Serie 7C</w:t>
            </w:r>
          </w:p>
        </w:tc>
      </w:tr>
      <w:tr w:rsidR="00D379E6" w:rsidRPr="00BF4A51" w14:paraId="4D823AF0" w14:textId="77777777" w:rsidTr="00634985">
        <w:trPr>
          <w:jc w:val="center"/>
        </w:trPr>
        <w:tc>
          <w:tcPr>
            <w:tcW w:w="850" w:type="dxa"/>
          </w:tcPr>
          <w:p w14:paraId="64FDC8EF" w14:textId="77777777" w:rsidR="00D379E6" w:rsidRPr="00BF4A51" w:rsidRDefault="00D379E6" w:rsidP="00BF4A51">
            <w:pPr>
              <w:pStyle w:val="Prrafodelista"/>
              <w:ind w:left="0"/>
              <w:jc w:val="center"/>
              <w:rPr>
                <w:rFonts w:ascii="ITC Avant Garde" w:hAnsi="ITC Avant Garde"/>
                <w:b/>
                <w:bCs/>
                <w:color w:val="000000"/>
                <w:sz w:val="14"/>
                <w:szCs w:val="14"/>
              </w:rPr>
            </w:pPr>
            <w:r w:rsidRPr="00BF4A51">
              <w:rPr>
                <w:rFonts w:ascii="ITC Avant Garde" w:hAnsi="ITC Avant Garde"/>
                <w:b/>
                <w:bCs/>
                <w:color w:val="000000"/>
                <w:sz w:val="14"/>
                <w:szCs w:val="14"/>
              </w:rPr>
              <w:t>RX (MHz)</w:t>
            </w:r>
          </w:p>
        </w:tc>
        <w:tc>
          <w:tcPr>
            <w:tcW w:w="851" w:type="dxa"/>
          </w:tcPr>
          <w:p w14:paraId="771271D5" w14:textId="77777777" w:rsidR="00D379E6" w:rsidRPr="00BF4A51" w:rsidRDefault="00D379E6" w:rsidP="00BF4A51">
            <w:pPr>
              <w:pStyle w:val="Prrafodelista"/>
              <w:ind w:left="0"/>
              <w:jc w:val="center"/>
              <w:rPr>
                <w:rFonts w:ascii="ITC Avant Garde" w:hAnsi="ITC Avant Garde"/>
                <w:b/>
                <w:bCs/>
                <w:color w:val="000000"/>
                <w:sz w:val="14"/>
                <w:szCs w:val="14"/>
              </w:rPr>
            </w:pPr>
            <w:r w:rsidRPr="00BF4A51">
              <w:rPr>
                <w:rFonts w:ascii="ITC Avant Garde" w:hAnsi="ITC Avant Garde"/>
                <w:b/>
                <w:bCs/>
                <w:color w:val="000000"/>
                <w:sz w:val="14"/>
                <w:szCs w:val="14"/>
              </w:rPr>
              <w:t>TX (MHz)</w:t>
            </w:r>
          </w:p>
        </w:tc>
        <w:tc>
          <w:tcPr>
            <w:tcW w:w="850" w:type="dxa"/>
          </w:tcPr>
          <w:p w14:paraId="19A5DFA2" w14:textId="77777777" w:rsidR="00D379E6" w:rsidRPr="00BF4A51" w:rsidRDefault="00D379E6" w:rsidP="00BF4A51">
            <w:pPr>
              <w:pStyle w:val="Prrafodelista"/>
              <w:ind w:left="0"/>
              <w:jc w:val="center"/>
              <w:rPr>
                <w:rFonts w:ascii="ITC Avant Garde" w:hAnsi="ITC Avant Garde"/>
                <w:b/>
                <w:bCs/>
                <w:color w:val="000000"/>
                <w:sz w:val="14"/>
                <w:szCs w:val="14"/>
              </w:rPr>
            </w:pPr>
            <w:r w:rsidRPr="00BF4A51">
              <w:rPr>
                <w:rFonts w:ascii="ITC Avant Garde" w:hAnsi="ITC Avant Garde"/>
                <w:b/>
                <w:bCs/>
                <w:color w:val="000000"/>
                <w:sz w:val="14"/>
                <w:szCs w:val="14"/>
              </w:rPr>
              <w:t>RX (MHz)</w:t>
            </w:r>
          </w:p>
        </w:tc>
        <w:tc>
          <w:tcPr>
            <w:tcW w:w="993" w:type="dxa"/>
          </w:tcPr>
          <w:p w14:paraId="0B810905" w14:textId="77777777" w:rsidR="00D379E6" w:rsidRPr="00BF4A51" w:rsidRDefault="00D379E6" w:rsidP="00BF4A51">
            <w:pPr>
              <w:pStyle w:val="Prrafodelista"/>
              <w:ind w:left="0"/>
              <w:jc w:val="center"/>
              <w:rPr>
                <w:rFonts w:ascii="ITC Avant Garde" w:hAnsi="ITC Avant Garde"/>
                <w:b/>
                <w:bCs/>
                <w:color w:val="000000"/>
                <w:sz w:val="14"/>
                <w:szCs w:val="14"/>
              </w:rPr>
            </w:pPr>
            <w:r w:rsidRPr="00BF4A51">
              <w:rPr>
                <w:rFonts w:ascii="ITC Avant Garde" w:hAnsi="ITC Avant Garde"/>
                <w:b/>
                <w:bCs/>
                <w:color w:val="000000"/>
                <w:sz w:val="14"/>
                <w:szCs w:val="14"/>
              </w:rPr>
              <w:t>TX (MHz)</w:t>
            </w:r>
          </w:p>
        </w:tc>
        <w:tc>
          <w:tcPr>
            <w:tcW w:w="892" w:type="dxa"/>
          </w:tcPr>
          <w:p w14:paraId="7043BD03" w14:textId="77777777" w:rsidR="00D379E6" w:rsidRPr="00BF4A51" w:rsidRDefault="00D379E6" w:rsidP="00BF4A51">
            <w:pPr>
              <w:pStyle w:val="Prrafodelista"/>
              <w:ind w:left="0"/>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rPr>
              <w:t>RX (MHz)</w:t>
            </w:r>
          </w:p>
        </w:tc>
        <w:tc>
          <w:tcPr>
            <w:tcW w:w="804" w:type="dxa"/>
          </w:tcPr>
          <w:p w14:paraId="71B6FEC5" w14:textId="77777777" w:rsidR="00D379E6" w:rsidRPr="00BF4A51" w:rsidRDefault="00D379E6" w:rsidP="00BF4A51">
            <w:pPr>
              <w:pStyle w:val="Prrafodelista"/>
              <w:ind w:left="0"/>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rPr>
              <w:t>TX (MHz)</w:t>
            </w:r>
          </w:p>
        </w:tc>
        <w:tc>
          <w:tcPr>
            <w:tcW w:w="897" w:type="dxa"/>
          </w:tcPr>
          <w:p w14:paraId="1458ADF3" w14:textId="77777777" w:rsidR="00D379E6" w:rsidRPr="00BF4A51" w:rsidRDefault="00D379E6" w:rsidP="00BF4A51">
            <w:pPr>
              <w:pStyle w:val="Prrafodelista"/>
              <w:ind w:left="0"/>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rPr>
              <w:t>RX (MHz)</w:t>
            </w:r>
          </w:p>
        </w:tc>
        <w:tc>
          <w:tcPr>
            <w:tcW w:w="851" w:type="dxa"/>
          </w:tcPr>
          <w:p w14:paraId="291609C9" w14:textId="77777777" w:rsidR="00D379E6" w:rsidRPr="00BF4A51" w:rsidRDefault="00D379E6" w:rsidP="00BF4A51">
            <w:pPr>
              <w:pStyle w:val="Prrafodelista"/>
              <w:ind w:left="0"/>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rPr>
              <w:t>TX (MHz)</w:t>
            </w:r>
          </w:p>
        </w:tc>
      </w:tr>
      <w:tr w:rsidR="00D379E6" w:rsidRPr="00BF4A51" w14:paraId="36CF4577" w14:textId="77777777" w:rsidTr="00634985">
        <w:trPr>
          <w:jc w:val="center"/>
        </w:trPr>
        <w:tc>
          <w:tcPr>
            <w:tcW w:w="850" w:type="dxa"/>
          </w:tcPr>
          <w:p w14:paraId="181BD7A4"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806.625</w:t>
            </w:r>
          </w:p>
        </w:tc>
        <w:tc>
          <w:tcPr>
            <w:tcW w:w="851" w:type="dxa"/>
          </w:tcPr>
          <w:p w14:paraId="7F2C68DE"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851.625</w:t>
            </w:r>
          </w:p>
        </w:tc>
        <w:tc>
          <w:tcPr>
            <w:tcW w:w="850" w:type="dxa"/>
          </w:tcPr>
          <w:p w14:paraId="65C018FD"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806.875</w:t>
            </w:r>
          </w:p>
        </w:tc>
        <w:tc>
          <w:tcPr>
            <w:tcW w:w="993" w:type="dxa"/>
          </w:tcPr>
          <w:p w14:paraId="158B83FF"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851.875</w:t>
            </w:r>
          </w:p>
        </w:tc>
        <w:tc>
          <w:tcPr>
            <w:tcW w:w="892" w:type="dxa"/>
          </w:tcPr>
          <w:p w14:paraId="24537833"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816.650</w:t>
            </w:r>
          </w:p>
        </w:tc>
        <w:tc>
          <w:tcPr>
            <w:tcW w:w="804" w:type="dxa"/>
          </w:tcPr>
          <w:p w14:paraId="3136F699"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861.650</w:t>
            </w:r>
          </w:p>
        </w:tc>
        <w:tc>
          <w:tcPr>
            <w:tcW w:w="897" w:type="dxa"/>
          </w:tcPr>
          <w:p w14:paraId="249F1CA8"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806.175</w:t>
            </w:r>
          </w:p>
        </w:tc>
        <w:tc>
          <w:tcPr>
            <w:tcW w:w="851" w:type="dxa"/>
          </w:tcPr>
          <w:p w14:paraId="071B210B"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851.175</w:t>
            </w:r>
          </w:p>
        </w:tc>
      </w:tr>
      <w:tr w:rsidR="00D379E6" w:rsidRPr="00BF4A51" w14:paraId="43C015D7" w14:textId="77777777" w:rsidTr="00634985">
        <w:trPr>
          <w:jc w:val="center"/>
        </w:trPr>
        <w:tc>
          <w:tcPr>
            <w:tcW w:w="850" w:type="dxa"/>
          </w:tcPr>
          <w:p w14:paraId="48A8AEFC"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807.625</w:t>
            </w:r>
          </w:p>
        </w:tc>
        <w:tc>
          <w:tcPr>
            <w:tcW w:w="851" w:type="dxa"/>
          </w:tcPr>
          <w:p w14:paraId="0A4DE1B3"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852.625</w:t>
            </w:r>
          </w:p>
        </w:tc>
        <w:tc>
          <w:tcPr>
            <w:tcW w:w="850" w:type="dxa"/>
          </w:tcPr>
          <w:p w14:paraId="68D855EF"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807.875</w:t>
            </w:r>
          </w:p>
        </w:tc>
        <w:tc>
          <w:tcPr>
            <w:tcW w:w="993" w:type="dxa"/>
          </w:tcPr>
          <w:p w14:paraId="4E659DB8"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852.875</w:t>
            </w:r>
          </w:p>
        </w:tc>
        <w:tc>
          <w:tcPr>
            <w:tcW w:w="892" w:type="dxa"/>
          </w:tcPr>
          <w:p w14:paraId="2B608B44"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817.650</w:t>
            </w:r>
          </w:p>
        </w:tc>
        <w:tc>
          <w:tcPr>
            <w:tcW w:w="804" w:type="dxa"/>
          </w:tcPr>
          <w:p w14:paraId="31CB6700"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862.650</w:t>
            </w:r>
          </w:p>
        </w:tc>
        <w:tc>
          <w:tcPr>
            <w:tcW w:w="897" w:type="dxa"/>
          </w:tcPr>
          <w:p w14:paraId="633B46C9"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807.175</w:t>
            </w:r>
          </w:p>
        </w:tc>
        <w:tc>
          <w:tcPr>
            <w:tcW w:w="851" w:type="dxa"/>
          </w:tcPr>
          <w:p w14:paraId="74177A69"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852.175</w:t>
            </w:r>
          </w:p>
        </w:tc>
      </w:tr>
      <w:tr w:rsidR="00D379E6" w:rsidRPr="00BF4A51" w14:paraId="1735F379" w14:textId="77777777" w:rsidTr="00634985">
        <w:trPr>
          <w:jc w:val="center"/>
        </w:trPr>
        <w:tc>
          <w:tcPr>
            <w:tcW w:w="850" w:type="dxa"/>
          </w:tcPr>
          <w:p w14:paraId="3B12B126"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808.625</w:t>
            </w:r>
          </w:p>
        </w:tc>
        <w:tc>
          <w:tcPr>
            <w:tcW w:w="851" w:type="dxa"/>
          </w:tcPr>
          <w:p w14:paraId="5722C2B0"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853.625</w:t>
            </w:r>
          </w:p>
        </w:tc>
        <w:tc>
          <w:tcPr>
            <w:tcW w:w="850" w:type="dxa"/>
          </w:tcPr>
          <w:p w14:paraId="6B93C981"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808.875</w:t>
            </w:r>
          </w:p>
        </w:tc>
        <w:tc>
          <w:tcPr>
            <w:tcW w:w="993" w:type="dxa"/>
          </w:tcPr>
          <w:p w14:paraId="1FA64576"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853.875</w:t>
            </w:r>
          </w:p>
        </w:tc>
        <w:tc>
          <w:tcPr>
            <w:tcW w:w="892" w:type="dxa"/>
          </w:tcPr>
          <w:p w14:paraId="48C39369"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818.650</w:t>
            </w:r>
          </w:p>
        </w:tc>
        <w:tc>
          <w:tcPr>
            <w:tcW w:w="804" w:type="dxa"/>
          </w:tcPr>
          <w:p w14:paraId="11FB114B"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863.650</w:t>
            </w:r>
          </w:p>
        </w:tc>
        <w:tc>
          <w:tcPr>
            <w:tcW w:w="897" w:type="dxa"/>
          </w:tcPr>
          <w:p w14:paraId="67D31E2B"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808.175</w:t>
            </w:r>
          </w:p>
        </w:tc>
        <w:tc>
          <w:tcPr>
            <w:tcW w:w="851" w:type="dxa"/>
          </w:tcPr>
          <w:p w14:paraId="2939531B"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853.175</w:t>
            </w:r>
          </w:p>
        </w:tc>
      </w:tr>
      <w:tr w:rsidR="00D379E6" w:rsidRPr="00BF4A51" w14:paraId="082AB1FF" w14:textId="77777777" w:rsidTr="00634985">
        <w:trPr>
          <w:jc w:val="center"/>
        </w:trPr>
        <w:tc>
          <w:tcPr>
            <w:tcW w:w="850" w:type="dxa"/>
          </w:tcPr>
          <w:p w14:paraId="0BCA396F"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809.625</w:t>
            </w:r>
          </w:p>
        </w:tc>
        <w:tc>
          <w:tcPr>
            <w:tcW w:w="851" w:type="dxa"/>
          </w:tcPr>
          <w:p w14:paraId="680A0DF2"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854.625</w:t>
            </w:r>
          </w:p>
        </w:tc>
        <w:tc>
          <w:tcPr>
            <w:tcW w:w="850" w:type="dxa"/>
          </w:tcPr>
          <w:p w14:paraId="64C5E6B6"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809.875</w:t>
            </w:r>
          </w:p>
        </w:tc>
        <w:tc>
          <w:tcPr>
            <w:tcW w:w="993" w:type="dxa"/>
          </w:tcPr>
          <w:p w14:paraId="1730C03E"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854.875</w:t>
            </w:r>
          </w:p>
        </w:tc>
        <w:tc>
          <w:tcPr>
            <w:tcW w:w="892" w:type="dxa"/>
          </w:tcPr>
          <w:p w14:paraId="444BC21F"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819.650</w:t>
            </w:r>
          </w:p>
        </w:tc>
        <w:tc>
          <w:tcPr>
            <w:tcW w:w="804" w:type="dxa"/>
          </w:tcPr>
          <w:p w14:paraId="2962F090"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864.650</w:t>
            </w:r>
          </w:p>
        </w:tc>
        <w:tc>
          <w:tcPr>
            <w:tcW w:w="897" w:type="dxa"/>
          </w:tcPr>
          <w:p w14:paraId="53B37ADC"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809.175</w:t>
            </w:r>
          </w:p>
        </w:tc>
        <w:tc>
          <w:tcPr>
            <w:tcW w:w="851" w:type="dxa"/>
          </w:tcPr>
          <w:p w14:paraId="277D2CC1"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854.175</w:t>
            </w:r>
          </w:p>
        </w:tc>
      </w:tr>
      <w:tr w:rsidR="00D379E6" w:rsidRPr="00BF4A51" w14:paraId="660481CB" w14:textId="77777777" w:rsidTr="00634985">
        <w:trPr>
          <w:jc w:val="center"/>
        </w:trPr>
        <w:tc>
          <w:tcPr>
            <w:tcW w:w="850" w:type="dxa"/>
          </w:tcPr>
          <w:p w14:paraId="68FB3ADB"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810.625</w:t>
            </w:r>
          </w:p>
        </w:tc>
        <w:tc>
          <w:tcPr>
            <w:tcW w:w="851" w:type="dxa"/>
          </w:tcPr>
          <w:p w14:paraId="090DDEBF"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855.625</w:t>
            </w:r>
          </w:p>
        </w:tc>
        <w:tc>
          <w:tcPr>
            <w:tcW w:w="850" w:type="dxa"/>
          </w:tcPr>
          <w:p w14:paraId="7426EA2C"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810.875</w:t>
            </w:r>
          </w:p>
        </w:tc>
        <w:tc>
          <w:tcPr>
            <w:tcW w:w="993" w:type="dxa"/>
          </w:tcPr>
          <w:p w14:paraId="13F2A14F"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855.875</w:t>
            </w:r>
          </w:p>
        </w:tc>
        <w:tc>
          <w:tcPr>
            <w:tcW w:w="892" w:type="dxa"/>
          </w:tcPr>
          <w:p w14:paraId="5E2308F9"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820.650</w:t>
            </w:r>
          </w:p>
        </w:tc>
        <w:tc>
          <w:tcPr>
            <w:tcW w:w="804" w:type="dxa"/>
          </w:tcPr>
          <w:p w14:paraId="011C17EB"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865.650</w:t>
            </w:r>
          </w:p>
        </w:tc>
        <w:tc>
          <w:tcPr>
            <w:tcW w:w="897" w:type="dxa"/>
          </w:tcPr>
          <w:p w14:paraId="2DCE5595"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810.175</w:t>
            </w:r>
          </w:p>
        </w:tc>
        <w:tc>
          <w:tcPr>
            <w:tcW w:w="851" w:type="dxa"/>
          </w:tcPr>
          <w:p w14:paraId="5FB60C58" w14:textId="77777777" w:rsidR="00D379E6" w:rsidRPr="00BF4A51" w:rsidRDefault="00D379E6"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855.175</w:t>
            </w:r>
          </w:p>
        </w:tc>
      </w:tr>
    </w:tbl>
    <w:p w14:paraId="41D11593" w14:textId="77777777" w:rsidR="00AA2293" w:rsidRDefault="00AA2293" w:rsidP="00BF4A51">
      <w:pPr>
        <w:pStyle w:val="Prrafodelista"/>
        <w:ind w:left="567"/>
        <w:jc w:val="center"/>
        <w:rPr>
          <w:rFonts w:ascii="ITC Avant Garde" w:hAnsi="ITC Avant Garde"/>
          <w:b/>
          <w:bCs/>
          <w:color w:val="000000"/>
          <w:sz w:val="14"/>
          <w:szCs w:val="14"/>
          <w:lang w:eastAsia="es-MX"/>
        </w:rPr>
        <w:sectPr w:rsidR="00AA2293" w:rsidSect="00C74C17">
          <w:headerReference w:type="even" r:id="rId8"/>
          <w:footerReference w:type="default" r:id="rId9"/>
          <w:headerReference w:type="first" r:id="rId10"/>
          <w:type w:val="continuous"/>
          <w:pgSz w:w="12240" w:h="15840"/>
          <w:pgMar w:top="2268" w:right="1418" w:bottom="567" w:left="1418" w:header="709" w:footer="709" w:gutter="0"/>
          <w:cols w:space="708"/>
          <w:docGrid w:linePitch="360"/>
        </w:sectPr>
      </w:pPr>
    </w:p>
    <w:p w14:paraId="4A488B9B" w14:textId="7E0285B9" w:rsidR="00CF25F1" w:rsidRPr="00BF4A51" w:rsidRDefault="00D379E6" w:rsidP="00BF4A51">
      <w:pPr>
        <w:pStyle w:val="Prrafodelista"/>
        <w:ind w:left="567"/>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lang w:eastAsia="es-MX"/>
        </w:rPr>
        <w:lastRenderedPageBreak/>
        <w:t xml:space="preserve">En la Ciudad de Guadalajara, Jal. </w:t>
      </w:r>
      <w:proofErr w:type="gramStart"/>
      <w:r w:rsidRPr="00BF4A51">
        <w:rPr>
          <w:rFonts w:ascii="ITC Avant Garde" w:hAnsi="ITC Avant Garde"/>
          <w:b/>
          <w:bCs/>
          <w:color w:val="000000"/>
          <w:sz w:val="14"/>
          <w:szCs w:val="14"/>
          <w:lang w:eastAsia="es-MX"/>
        </w:rPr>
        <w:t>y</w:t>
      </w:r>
      <w:proofErr w:type="gramEnd"/>
      <w:r w:rsidRPr="00BF4A51">
        <w:rPr>
          <w:rFonts w:ascii="ITC Avant Garde" w:hAnsi="ITC Avant Garde"/>
          <w:b/>
          <w:bCs/>
          <w:color w:val="000000"/>
          <w:sz w:val="14"/>
          <w:szCs w:val="14"/>
          <w:lang w:eastAsia="es-MX"/>
        </w:rPr>
        <w:t xml:space="preserve"> zona conurbada</w:t>
      </w:r>
    </w:p>
    <w:p w14:paraId="706742E1" w14:textId="33C06F6E" w:rsidR="00D379E6" w:rsidRPr="00BF4A51" w:rsidRDefault="00D379E6" w:rsidP="00BF4A51">
      <w:pPr>
        <w:pStyle w:val="Prrafodelista"/>
        <w:ind w:left="567"/>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lang w:eastAsia="es-MX"/>
        </w:rPr>
        <w:t>Sitio: Cerro del Cuatro</w:t>
      </w:r>
    </w:p>
    <w:p w14:paraId="5C209EAF" w14:textId="5B88C268" w:rsidR="00CF25F1" w:rsidRPr="00BF4A51" w:rsidRDefault="00CF25F1" w:rsidP="00BF4A51">
      <w:pPr>
        <w:pStyle w:val="Prrafodelista"/>
        <w:ind w:left="567"/>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lang w:eastAsia="es-MX"/>
        </w:rPr>
        <w:t>LN</w:t>
      </w:r>
      <w:r w:rsidR="00D379E6" w:rsidRPr="00BF4A51">
        <w:rPr>
          <w:rFonts w:ascii="ITC Avant Garde" w:hAnsi="ITC Avant Garde"/>
          <w:b/>
          <w:bCs/>
          <w:color w:val="000000"/>
          <w:sz w:val="14"/>
          <w:szCs w:val="14"/>
          <w:lang w:eastAsia="es-MX"/>
        </w:rPr>
        <w:t>:</w:t>
      </w:r>
      <w:r w:rsidRPr="00BF4A51">
        <w:rPr>
          <w:rFonts w:ascii="ITC Avant Garde" w:hAnsi="ITC Avant Garde"/>
          <w:b/>
          <w:bCs/>
          <w:color w:val="000000"/>
          <w:sz w:val="14"/>
          <w:szCs w:val="14"/>
          <w:lang w:eastAsia="es-MX"/>
        </w:rPr>
        <w:t xml:space="preserve"> </w:t>
      </w:r>
      <w:r w:rsidR="00697A37" w:rsidRPr="00BF4A51">
        <w:rPr>
          <w:rFonts w:ascii="ITC Avant Garde" w:hAnsi="ITC Avant Garde"/>
          <w:b/>
          <w:bCs/>
          <w:color w:val="000000"/>
          <w:sz w:val="14"/>
          <w:szCs w:val="14"/>
          <w:lang w:eastAsia="es-MX"/>
        </w:rPr>
        <w:t>20</w:t>
      </w:r>
      <w:r w:rsidRPr="00BF4A51">
        <w:rPr>
          <w:rFonts w:ascii="ITC Avant Garde" w:hAnsi="ITC Avant Garde"/>
          <w:b/>
          <w:bCs/>
          <w:color w:val="000000"/>
          <w:sz w:val="14"/>
          <w:szCs w:val="14"/>
          <w:lang w:eastAsia="es-MX"/>
        </w:rPr>
        <w:t>°</w:t>
      </w:r>
      <w:r w:rsidR="00D379E6" w:rsidRPr="00BF4A51">
        <w:rPr>
          <w:rFonts w:ascii="ITC Avant Garde" w:hAnsi="ITC Avant Garde"/>
          <w:b/>
          <w:bCs/>
          <w:color w:val="000000"/>
          <w:sz w:val="14"/>
          <w:szCs w:val="14"/>
          <w:lang w:eastAsia="es-MX"/>
        </w:rPr>
        <w:t>36</w:t>
      </w:r>
      <w:r w:rsidRPr="00BF4A51">
        <w:rPr>
          <w:rFonts w:ascii="ITC Avant Garde" w:hAnsi="ITC Avant Garde"/>
          <w:b/>
          <w:bCs/>
          <w:color w:val="000000"/>
          <w:sz w:val="14"/>
          <w:szCs w:val="14"/>
          <w:lang w:eastAsia="es-MX"/>
        </w:rPr>
        <w:t>´</w:t>
      </w:r>
      <w:r w:rsidR="00D379E6" w:rsidRPr="00BF4A51">
        <w:rPr>
          <w:rFonts w:ascii="ITC Avant Garde" w:hAnsi="ITC Avant Garde"/>
          <w:b/>
          <w:bCs/>
          <w:color w:val="000000"/>
          <w:sz w:val="14"/>
          <w:szCs w:val="14"/>
          <w:lang w:eastAsia="es-MX"/>
        </w:rPr>
        <w:t>09” LW</w:t>
      </w:r>
      <w:proofErr w:type="gramStart"/>
      <w:r w:rsidR="00D379E6" w:rsidRPr="00BF4A51">
        <w:rPr>
          <w:rFonts w:ascii="ITC Avant Garde" w:hAnsi="ITC Avant Garde"/>
          <w:b/>
          <w:bCs/>
          <w:color w:val="000000"/>
          <w:sz w:val="14"/>
          <w:szCs w:val="14"/>
          <w:lang w:eastAsia="es-MX"/>
        </w:rPr>
        <w:t>:</w:t>
      </w:r>
      <w:r w:rsidRPr="00BF4A51">
        <w:rPr>
          <w:rFonts w:ascii="ITC Avant Garde" w:hAnsi="ITC Avant Garde"/>
          <w:b/>
          <w:bCs/>
          <w:color w:val="000000"/>
          <w:sz w:val="14"/>
          <w:szCs w:val="14"/>
          <w:lang w:eastAsia="es-MX"/>
        </w:rPr>
        <w:t>10</w:t>
      </w:r>
      <w:r w:rsidR="00D379E6" w:rsidRPr="00BF4A51">
        <w:rPr>
          <w:rFonts w:ascii="ITC Avant Garde" w:hAnsi="ITC Avant Garde"/>
          <w:b/>
          <w:bCs/>
          <w:color w:val="000000"/>
          <w:sz w:val="14"/>
          <w:szCs w:val="14"/>
          <w:lang w:eastAsia="es-MX"/>
        </w:rPr>
        <w:t>3</w:t>
      </w:r>
      <w:proofErr w:type="gramEnd"/>
      <w:r w:rsidRPr="00BF4A51">
        <w:rPr>
          <w:rFonts w:ascii="ITC Avant Garde" w:hAnsi="ITC Avant Garde"/>
          <w:b/>
          <w:bCs/>
          <w:color w:val="000000"/>
          <w:sz w:val="14"/>
          <w:szCs w:val="14"/>
          <w:lang w:eastAsia="es-MX"/>
        </w:rPr>
        <w:t>°</w:t>
      </w:r>
      <w:r w:rsidR="00697A37" w:rsidRPr="00BF4A51">
        <w:rPr>
          <w:rFonts w:ascii="ITC Avant Garde" w:hAnsi="ITC Avant Garde"/>
          <w:b/>
          <w:bCs/>
          <w:color w:val="000000"/>
          <w:sz w:val="14"/>
          <w:szCs w:val="14"/>
          <w:lang w:eastAsia="es-MX"/>
        </w:rPr>
        <w:t>21</w:t>
      </w:r>
      <w:r w:rsidR="00D379E6" w:rsidRPr="00BF4A51">
        <w:rPr>
          <w:rFonts w:ascii="ITC Avant Garde" w:hAnsi="ITC Avant Garde"/>
          <w:b/>
          <w:bCs/>
          <w:color w:val="000000"/>
          <w:sz w:val="14"/>
          <w:szCs w:val="14"/>
          <w:lang w:eastAsia="es-MX"/>
        </w:rPr>
        <w:t>´31</w:t>
      </w:r>
      <w:r w:rsidRPr="00BF4A51">
        <w:rPr>
          <w:rFonts w:ascii="ITC Avant Garde" w:hAnsi="ITC Avant Garde"/>
          <w:b/>
          <w:bCs/>
          <w:color w:val="000000"/>
          <w:sz w:val="14"/>
          <w:szCs w:val="14"/>
          <w:lang w:eastAsia="es-MX"/>
        </w:rPr>
        <w:t>”</w:t>
      </w:r>
    </w:p>
    <w:tbl>
      <w:tblPr>
        <w:tblStyle w:val="Tablaconcuadrcula"/>
        <w:tblW w:w="0" w:type="auto"/>
        <w:jc w:val="center"/>
        <w:tblLook w:val="04A0" w:firstRow="1" w:lastRow="0" w:firstColumn="1" w:lastColumn="0" w:noHBand="0" w:noVBand="1"/>
        <w:tblCaption w:val="Frecuencias concesionadas: En la Ciudad de Guadalajara, Jal. y zona conurbada"/>
        <w:tblDescription w:val="En una tabla irregular a manera de diagrama o esquema, se proporcionan para 2 grandes Grupos, 2 series para cada uno divididas en RX y TX cada serie."/>
      </w:tblPr>
      <w:tblGrid>
        <w:gridCol w:w="846"/>
        <w:gridCol w:w="839"/>
        <w:gridCol w:w="862"/>
        <w:gridCol w:w="850"/>
        <w:gridCol w:w="851"/>
        <w:gridCol w:w="850"/>
        <w:gridCol w:w="851"/>
        <w:gridCol w:w="1010"/>
      </w:tblGrid>
      <w:tr w:rsidR="005419A6" w:rsidRPr="00BF4A51" w14:paraId="2CB80116" w14:textId="77777777" w:rsidTr="00AA2293">
        <w:trPr>
          <w:tblHeader/>
          <w:jc w:val="center"/>
        </w:trPr>
        <w:tc>
          <w:tcPr>
            <w:tcW w:w="1685" w:type="dxa"/>
            <w:gridSpan w:val="2"/>
            <w:vAlign w:val="center"/>
          </w:tcPr>
          <w:p w14:paraId="046F131C" w14:textId="4D1DE2F2" w:rsidR="005419A6" w:rsidRPr="00BF4A51" w:rsidRDefault="005419A6" w:rsidP="00BF4A51">
            <w:pPr>
              <w:spacing w:after="0" w:line="240" w:lineRule="auto"/>
              <w:jc w:val="center"/>
              <w:rPr>
                <w:rFonts w:ascii="ITC Avant Garde" w:hAnsi="ITC Avant Garde"/>
                <w:b/>
                <w:bCs/>
                <w:color w:val="000000"/>
                <w:sz w:val="14"/>
                <w:szCs w:val="14"/>
              </w:rPr>
            </w:pPr>
            <w:r w:rsidRPr="00BF4A51">
              <w:rPr>
                <w:rFonts w:ascii="ITC Avant Garde" w:hAnsi="ITC Avant Garde"/>
                <w:b/>
                <w:bCs/>
                <w:color w:val="000000"/>
                <w:sz w:val="14"/>
                <w:szCs w:val="14"/>
              </w:rPr>
              <w:t>GRUPO 3D</w:t>
            </w:r>
          </w:p>
        </w:tc>
        <w:tc>
          <w:tcPr>
            <w:tcW w:w="1712" w:type="dxa"/>
            <w:gridSpan w:val="2"/>
            <w:vAlign w:val="center"/>
          </w:tcPr>
          <w:p w14:paraId="18F18B98" w14:textId="1903E71B" w:rsidR="005419A6" w:rsidRPr="00BF4A51" w:rsidRDefault="005419A6" w:rsidP="00BF4A51">
            <w:pPr>
              <w:spacing w:after="0" w:line="240" w:lineRule="auto"/>
              <w:jc w:val="center"/>
              <w:rPr>
                <w:rFonts w:ascii="ITC Avant Garde" w:hAnsi="ITC Avant Garde"/>
                <w:b/>
                <w:bCs/>
                <w:color w:val="000000"/>
                <w:sz w:val="14"/>
                <w:szCs w:val="14"/>
              </w:rPr>
            </w:pPr>
            <w:r w:rsidRPr="00BF4A51">
              <w:rPr>
                <w:rFonts w:ascii="ITC Avant Garde" w:hAnsi="ITC Avant Garde"/>
                <w:b/>
                <w:bCs/>
                <w:color w:val="000000"/>
                <w:sz w:val="14"/>
                <w:szCs w:val="14"/>
              </w:rPr>
              <w:t>GRUPO 4D</w:t>
            </w:r>
          </w:p>
        </w:tc>
        <w:tc>
          <w:tcPr>
            <w:tcW w:w="1701" w:type="dxa"/>
            <w:gridSpan w:val="2"/>
            <w:vAlign w:val="center"/>
          </w:tcPr>
          <w:p w14:paraId="5CCD2C68" w14:textId="52292632" w:rsidR="005419A6" w:rsidRPr="00BF4A51" w:rsidRDefault="005419A6" w:rsidP="00BF4A51">
            <w:pPr>
              <w:spacing w:after="0" w:line="240" w:lineRule="auto"/>
              <w:jc w:val="center"/>
              <w:rPr>
                <w:rFonts w:ascii="ITC Avant Garde" w:hAnsi="ITC Avant Garde"/>
                <w:b/>
                <w:bCs/>
                <w:color w:val="000000"/>
                <w:sz w:val="14"/>
                <w:szCs w:val="14"/>
              </w:rPr>
            </w:pPr>
            <w:r w:rsidRPr="00BF4A51">
              <w:rPr>
                <w:rFonts w:ascii="ITC Avant Garde" w:hAnsi="ITC Avant Garde"/>
                <w:b/>
                <w:bCs/>
                <w:color w:val="000000"/>
                <w:sz w:val="14"/>
                <w:szCs w:val="14"/>
              </w:rPr>
              <w:t>GRUPO 5D</w:t>
            </w:r>
          </w:p>
        </w:tc>
        <w:tc>
          <w:tcPr>
            <w:tcW w:w="1861" w:type="dxa"/>
            <w:gridSpan w:val="2"/>
            <w:vAlign w:val="center"/>
          </w:tcPr>
          <w:p w14:paraId="5B49791C" w14:textId="190B0EC4" w:rsidR="005419A6" w:rsidRPr="00BF4A51" w:rsidRDefault="005419A6" w:rsidP="00BF4A51">
            <w:pPr>
              <w:spacing w:after="0" w:line="240" w:lineRule="auto"/>
              <w:jc w:val="center"/>
              <w:rPr>
                <w:rFonts w:ascii="ITC Avant Garde" w:hAnsi="ITC Avant Garde"/>
                <w:b/>
                <w:bCs/>
                <w:color w:val="000000"/>
                <w:sz w:val="14"/>
                <w:szCs w:val="14"/>
              </w:rPr>
            </w:pPr>
            <w:r w:rsidRPr="00BF4A51">
              <w:rPr>
                <w:rFonts w:ascii="ITC Avant Garde" w:hAnsi="ITC Avant Garde"/>
                <w:b/>
                <w:bCs/>
                <w:color w:val="000000"/>
                <w:sz w:val="14"/>
                <w:szCs w:val="14"/>
              </w:rPr>
              <w:t>GRUPO 6D</w:t>
            </w:r>
          </w:p>
        </w:tc>
      </w:tr>
      <w:tr w:rsidR="005419A6" w:rsidRPr="00BF4A51" w14:paraId="60D0477C" w14:textId="77777777" w:rsidTr="00634985">
        <w:trPr>
          <w:jc w:val="center"/>
        </w:trPr>
        <w:tc>
          <w:tcPr>
            <w:tcW w:w="1685" w:type="dxa"/>
            <w:gridSpan w:val="2"/>
            <w:vAlign w:val="center"/>
          </w:tcPr>
          <w:p w14:paraId="098FF920" w14:textId="46500D4A" w:rsidR="005419A6" w:rsidRPr="00BF4A51" w:rsidRDefault="005419A6" w:rsidP="00BF4A51">
            <w:pPr>
              <w:spacing w:after="0" w:line="240" w:lineRule="auto"/>
              <w:jc w:val="center"/>
              <w:rPr>
                <w:rFonts w:ascii="ITC Avant Garde" w:hAnsi="ITC Avant Garde"/>
                <w:b/>
                <w:bCs/>
                <w:color w:val="000000"/>
                <w:sz w:val="14"/>
                <w:szCs w:val="14"/>
              </w:rPr>
            </w:pPr>
            <w:r w:rsidRPr="00BF4A51">
              <w:rPr>
                <w:rFonts w:ascii="ITC Avant Garde" w:hAnsi="ITC Avant Garde"/>
                <w:b/>
                <w:bCs/>
                <w:color w:val="000000"/>
                <w:sz w:val="14"/>
                <w:szCs w:val="14"/>
              </w:rPr>
              <w:t>Serie 233D</w:t>
            </w:r>
          </w:p>
        </w:tc>
        <w:tc>
          <w:tcPr>
            <w:tcW w:w="1712" w:type="dxa"/>
            <w:gridSpan w:val="2"/>
            <w:vAlign w:val="center"/>
          </w:tcPr>
          <w:p w14:paraId="1B762E85" w14:textId="2B069DB2" w:rsidR="005419A6" w:rsidRPr="00BF4A51" w:rsidRDefault="005419A6" w:rsidP="00BF4A51">
            <w:pPr>
              <w:spacing w:after="0" w:line="240" w:lineRule="auto"/>
              <w:jc w:val="center"/>
              <w:rPr>
                <w:rFonts w:ascii="ITC Avant Garde" w:hAnsi="ITC Avant Garde"/>
                <w:b/>
                <w:bCs/>
                <w:color w:val="000000"/>
                <w:sz w:val="14"/>
                <w:szCs w:val="14"/>
              </w:rPr>
            </w:pPr>
            <w:r w:rsidRPr="00BF4A51">
              <w:rPr>
                <w:rFonts w:ascii="ITC Avant Garde" w:hAnsi="ITC Avant Garde"/>
                <w:b/>
                <w:bCs/>
                <w:color w:val="000000"/>
                <w:sz w:val="14"/>
                <w:szCs w:val="14"/>
              </w:rPr>
              <w:t>S</w:t>
            </w:r>
            <w:r w:rsidR="00290CE3" w:rsidRPr="00BF4A51">
              <w:rPr>
                <w:rFonts w:ascii="ITC Avant Garde" w:hAnsi="ITC Avant Garde"/>
                <w:b/>
                <w:bCs/>
                <w:color w:val="000000"/>
                <w:sz w:val="14"/>
                <w:szCs w:val="14"/>
              </w:rPr>
              <w:t>erie 234</w:t>
            </w:r>
            <w:r w:rsidRPr="00BF4A51">
              <w:rPr>
                <w:rFonts w:ascii="ITC Avant Garde" w:hAnsi="ITC Avant Garde"/>
                <w:b/>
                <w:bCs/>
                <w:color w:val="000000"/>
                <w:sz w:val="14"/>
                <w:szCs w:val="14"/>
              </w:rPr>
              <w:t>D</w:t>
            </w:r>
          </w:p>
        </w:tc>
        <w:tc>
          <w:tcPr>
            <w:tcW w:w="1701" w:type="dxa"/>
            <w:gridSpan w:val="2"/>
            <w:vAlign w:val="center"/>
          </w:tcPr>
          <w:p w14:paraId="704151B1" w14:textId="22DEE085" w:rsidR="005419A6" w:rsidRPr="00BF4A51" w:rsidRDefault="00290CE3" w:rsidP="00BF4A51">
            <w:pPr>
              <w:spacing w:after="0" w:line="240" w:lineRule="auto"/>
              <w:jc w:val="center"/>
              <w:rPr>
                <w:rFonts w:ascii="ITC Avant Garde" w:hAnsi="ITC Avant Garde"/>
                <w:b/>
                <w:bCs/>
                <w:color w:val="000000"/>
                <w:sz w:val="14"/>
                <w:szCs w:val="14"/>
              </w:rPr>
            </w:pPr>
            <w:r w:rsidRPr="00BF4A51">
              <w:rPr>
                <w:rFonts w:ascii="ITC Avant Garde" w:hAnsi="ITC Avant Garde"/>
                <w:b/>
                <w:bCs/>
                <w:color w:val="000000"/>
                <w:sz w:val="14"/>
                <w:szCs w:val="14"/>
              </w:rPr>
              <w:t>Serie 235</w:t>
            </w:r>
            <w:r w:rsidR="005419A6" w:rsidRPr="00BF4A51">
              <w:rPr>
                <w:rFonts w:ascii="ITC Avant Garde" w:hAnsi="ITC Avant Garde"/>
                <w:b/>
                <w:bCs/>
                <w:color w:val="000000"/>
                <w:sz w:val="14"/>
                <w:szCs w:val="14"/>
              </w:rPr>
              <w:t>D</w:t>
            </w:r>
          </w:p>
        </w:tc>
        <w:tc>
          <w:tcPr>
            <w:tcW w:w="1861" w:type="dxa"/>
            <w:gridSpan w:val="2"/>
            <w:vAlign w:val="center"/>
          </w:tcPr>
          <w:p w14:paraId="1E05D530" w14:textId="5ED2E62B" w:rsidR="005419A6" w:rsidRPr="00BF4A51" w:rsidRDefault="00290CE3" w:rsidP="00BF4A51">
            <w:pPr>
              <w:spacing w:after="0" w:line="240" w:lineRule="auto"/>
              <w:jc w:val="center"/>
              <w:rPr>
                <w:rFonts w:ascii="ITC Avant Garde" w:hAnsi="ITC Avant Garde"/>
                <w:b/>
                <w:bCs/>
                <w:color w:val="000000"/>
                <w:sz w:val="14"/>
                <w:szCs w:val="14"/>
              </w:rPr>
            </w:pPr>
            <w:r w:rsidRPr="00BF4A51">
              <w:rPr>
                <w:rFonts w:ascii="ITC Avant Garde" w:hAnsi="ITC Avant Garde"/>
                <w:b/>
                <w:bCs/>
                <w:color w:val="000000"/>
                <w:sz w:val="14"/>
                <w:szCs w:val="14"/>
              </w:rPr>
              <w:t>Serie 236</w:t>
            </w:r>
            <w:r w:rsidR="005419A6" w:rsidRPr="00BF4A51">
              <w:rPr>
                <w:rFonts w:ascii="ITC Avant Garde" w:hAnsi="ITC Avant Garde"/>
                <w:b/>
                <w:bCs/>
                <w:color w:val="000000"/>
                <w:sz w:val="14"/>
                <w:szCs w:val="14"/>
              </w:rPr>
              <w:t>D</w:t>
            </w:r>
          </w:p>
        </w:tc>
      </w:tr>
      <w:tr w:rsidR="005419A6" w:rsidRPr="00BF4A51" w14:paraId="18E92DEC" w14:textId="77777777" w:rsidTr="00634985">
        <w:trPr>
          <w:jc w:val="center"/>
        </w:trPr>
        <w:tc>
          <w:tcPr>
            <w:tcW w:w="846" w:type="dxa"/>
          </w:tcPr>
          <w:p w14:paraId="315350F7" w14:textId="168A79C5" w:rsidR="005419A6" w:rsidRPr="00BF4A51" w:rsidRDefault="005419A6" w:rsidP="00BF4A51">
            <w:pPr>
              <w:spacing w:after="0" w:line="240" w:lineRule="auto"/>
              <w:jc w:val="both"/>
              <w:rPr>
                <w:rFonts w:ascii="ITC Avant Garde" w:hAnsi="ITC Avant Garde"/>
                <w:b/>
                <w:bCs/>
                <w:color w:val="000000"/>
                <w:sz w:val="14"/>
                <w:szCs w:val="14"/>
              </w:rPr>
            </w:pPr>
            <w:r w:rsidRPr="00BF4A51">
              <w:rPr>
                <w:rFonts w:ascii="ITC Avant Garde" w:hAnsi="ITC Avant Garde"/>
                <w:b/>
                <w:bCs/>
                <w:color w:val="000000"/>
                <w:sz w:val="14"/>
                <w:szCs w:val="14"/>
              </w:rPr>
              <w:t>RX (MHz)</w:t>
            </w:r>
          </w:p>
        </w:tc>
        <w:tc>
          <w:tcPr>
            <w:tcW w:w="839" w:type="dxa"/>
          </w:tcPr>
          <w:p w14:paraId="6455E34D" w14:textId="596E414C" w:rsidR="005419A6" w:rsidRPr="00BF4A51" w:rsidRDefault="005419A6" w:rsidP="00BF4A51">
            <w:pPr>
              <w:spacing w:after="0" w:line="240" w:lineRule="auto"/>
              <w:jc w:val="both"/>
              <w:rPr>
                <w:rFonts w:ascii="ITC Avant Garde" w:hAnsi="ITC Avant Garde"/>
                <w:b/>
                <w:bCs/>
                <w:color w:val="000000"/>
                <w:sz w:val="14"/>
                <w:szCs w:val="14"/>
              </w:rPr>
            </w:pPr>
            <w:r w:rsidRPr="00BF4A51">
              <w:rPr>
                <w:rFonts w:ascii="ITC Avant Garde" w:hAnsi="ITC Avant Garde"/>
                <w:b/>
                <w:bCs/>
                <w:color w:val="000000"/>
                <w:sz w:val="14"/>
                <w:szCs w:val="14"/>
              </w:rPr>
              <w:t>TX (MHz)</w:t>
            </w:r>
          </w:p>
        </w:tc>
        <w:tc>
          <w:tcPr>
            <w:tcW w:w="862" w:type="dxa"/>
          </w:tcPr>
          <w:p w14:paraId="4DFDFD6E" w14:textId="75CBEC6E" w:rsidR="005419A6" w:rsidRPr="00BF4A51" w:rsidRDefault="005419A6" w:rsidP="00BF4A51">
            <w:pPr>
              <w:spacing w:after="0" w:line="240" w:lineRule="auto"/>
              <w:jc w:val="both"/>
              <w:rPr>
                <w:rFonts w:ascii="ITC Avant Garde" w:hAnsi="ITC Avant Garde"/>
                <w:b/>
                <w:bCs/>
                <w:color w:val="000000"/>
                <w:sz w:val="14"/>
                <w:szCs w:val="14"/>
              </w:rPr>
            </w:pPr>
            <w:r w:rsidRPr="00BF4A51">
              <w:rPr>
                <w:rFonts w:ascii="ITC Avant Garde" w:hAnsi="ITC Avant Garde"/>
                <w:b/>
                <w:bCs/>
                <w:color w:val="000000"/>
                <w:sz w:val="14"/>
                <w:szCs w:val="14"/>
              </w:rPr>
              <w:t>RX (MHz)</w:t>
            </w:r>
          </w:p>
        </w:tc>
        <w:tc>
          <w:tcPr>
            <w:tcW w:w="850" w:type="dxa"/>
          </w:tcPr>
          <w:p w14:paraId="23F0337D" w14:textId="2B3A206A" w:rsidR="005419A6" w:rsidRPr="00BF4A51" w:rsidRDefault="005419A6" w:rsidP="00BF4A51">
            <w:pPr>
              <w:spacing w:after="0" w:line="240" w:lineRule="auto"/>
              <w:jc w:val="both"/>
              <w:rPr>
                <w:rFonts w:ascii="ITC Avant Garde" w:hAnsi="ITC Avant Garde"/>
                <w:b/>
                <w:bCs/>
                <w:color w:val="000000"/>
                <w:sz w:val="14"/>
                <w:szCs w:val="14"/>
              </w:rPr>
            </w:pPr>
            <w:r w:rsidRPr="00BF4A51">
              <w:rPr>
                <w:rFonts w:ascii="ITC Avant Garde" w:hAnsi="ITC Avant Garde"/>
                <w:b/>
                <w:bCs/>
                <w:color w:val="000000"/>
                <w:sz w:val="14"/>
                <w:szCs w:val="14"/>
              </w:rPr>
              <w:t>TX (MHz)</w:t>
            </w:r>
          </w:p>
        </w:tc>
        <w:tc>
          <w:tcPr>
            <w:tcW w:w="851" w:type="dxa"/>
          </w:tcPr>
          <w:p w14:paraId="50F403AC" w14:textId="6FFA3E13" w:rsidR="005419A6" w:rsidRPr="00BF4A51" w:rsidRDefault="005419A6" w:rsidP="00BF4A51">
            <w:pPr>
              <w:spacing w:after="0" w:line="240" w:lineRule="auto"/>
              <w:jc w:val="both"/>
              <w:rPr>
                <w:rFonts w:ascii="ITC Avant Garde" w:hAnsi="ITC Avant Garde"/>
                <w:b/>
                <w:bCs/>
                <w:color w:val="000000"/>
                <w:sz w:val="14"/>
                <w:szCs w:val="14"/>
              </w:rPr>
            </w:pPr>
            <w:r w:rsidRPr="00BF4A51">
              <w:rPr>
                <w:rFonts w:ascii="ITC Avant Garde" w:hAnsi="ITC Avant Garde"/>
                <w:b/>
                <w:bCs/>
                <w:color w:val="000000"/>
                <w:sz w:val="14"/>
                <w:szCs w:val="14"/>
              </w:rPr>
              <w:t>RX (MHz)</w:t>
            </w:r>
          </w:p>
        </w:tc>
        <w:tc>
          <w:tcPr>
            <w:tcW w:w="850" w:type="dxa"/>
          </w:tcPr>
          <w:p w14:paraId="3C3DBF57" w14:textId="6E2C4840" w:rsidR="005419A6" w:rsidRPr="00BF4A51" w:rsidRDefault="005419A6" w:rsidP="00BF4A51">
            <w:pPr>
              <w:spacing w:after="0" w:line="240" w:lineRule="auto"/>
              <w:jc w:val="both"/>
              <w:rPr>
                <w:rFonts w:ascii="ITC Avant Garde" w:hAnsi="ITC Avant Garde"/>
                <w:b/>
                <w:bCs/>
                <w:color w:val="000000"/>
                <w:sz w:val="14"/>
                <w:szCs w:val="14"/>
              </w:rPr>
            </w:pPr>
            <w:r w:rsidRPr="00BF4A51">
              <w:rPr>
                <w:rFonts w:ascii="ITC Avant Garde" w:hAnsi="ITC Avant Garde"/>
                <w:b/>
                <w:bCs/>
                <w:color w:val="000000"/>
                <w:sz w:val="14"/>
                <w:szCs w:val="14"/>
              </w:rPr>
              <w:t>TX (MHz)</w:t>
            </w:r>
          </w:p>
        </w:tc>
        <w:tc>
          <w:tcPr>
            <w:tcW w:w="851" w:type="dxa"/>
          </w:tcPr>
          <w:p w14:paraId="27E24EFD" w14:textId="33DCA813" w:rsidR="005419A6" w:rsidRPr="00BF4A51" w:rsidRDefault="005419A6" w:rsidP="00BF4A51">
            <w:pPr>
              <w:spacing w:after="0" w:line="240" w:lineRule="auto"/>
              <w:jc w:val="both"/>
              <w:rPr>
                <w:rFonts w:ascii="ITC Avant Garde" w:hAnsi="ITC Avant Garde"/>
                <w:b/>
                <w:bCs/>
                <w:color w:val="000000"/>
                <w:sz w:val="14"/>
                <w:szCs w:val="14"/>
              </w:rPr>
            </w:pPr>
            <w:r w:rsidRPr="00BF4A51">
              <w:rPr>
                <w:rFonts w:ascii="ITC Avant Garde" w:hAnsi="ITC Avant Garde"/>
                <w:b/>
                <w:bCs/>
                <w:color w:val="000000"/>
                <w:sz w:val="14"/>
                <w:szCs w:val="14"/>
              </w:rPr>
              <w:t>RX (MHz)</w:t>
            </w:r>
          </w:p>
        </w:tc>
        <w:tc>
          <w:tcPr>
            <w:tcW w:w="1010" w:type="dxa"/>
          </w:tcPr>
          <w:p w14:paraId="2FFD0658" w14:textId="3328BF3D" w:rsidR="005419A6" w:rsidRPr="00BF4A51" w:rsidRDefault="005419A6" w:rsidP="00BF4A51">
            <w:pPr>
              <w:spacing w:after="0" w:line="240" w:lineRule="auto"/>
              <w:jc w:val="both"/>
              <w:rPr>
                <w:rFonts w:ascii="ITC Avant Garde" w:hAnsi="ITC Avant Garde"/>
                <w:b/>
                <w:bCs/>
                <w:color w:val="000000"/>
                <w:sz w:val="14"/>
                <w:szCs w:val="14"/>
              </w:rPr>
            </w:pPr>
            <w:r w:rsidRPr="00BF4A51">
              <w:rPr>
                <w:rFonts w:ascii="ITC Avant Garde" w:hAnsi="ITC Avant Garde"/>
                <w:b/>
                <w:bCs/>
                <w:color w:val="000000"/>
                <w:sz w:val="14"/>
                <w:szCs w:val="14"/>
              </w:rPr>
              <w:t>TX (MHz)</w:t>
            </w:r>
          </w:p>
        </w:tc>
      </w:tr>
      <w:tr w:rsidR="00D379E6" w:rsidRPr="00BF4A51" w14:paraId="2BF10DFF" w14:textId="77777777" w:rsidTr="00634985">
        <w:trPr>
          <w:jc w:val="center"/>
        </w:trPr>
        <w:tc>
          <w:tcPr>
            <w:tcW w:w="846" w:type="dxa"/>
            <w:vAlign w:val="center"/>
          </w:tcPr>
          <w:p w14:paraId="449362F1" w14:textId="0174AE45" w:rsidR="00D379E6" w:rsidRPr="00BF4A51" w:rsidRDefault="00E84CB1"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811.825</w:t>
            </w:r>
          </w:p>
        </w:tc>
        <w:tc>
          <w:tcPr>
            <w:tcW w:w="839" w:type="dxa"/>
            <w:vAlign w:val="center"/>
          </w:tcPr>
          <w:p w14:paraId="654797D5" w14:textId="744E3693" w:rsidR="00D379E6" w:rsidRPr="00BF4A51" w:rsidRDefault="00E84CB1"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856.825</w:t>
            </w:r>
          </w:p>
        </w:tc>
        <w:tc>
          <w:tcPr>
            <w:tcW w:w="862" w:type="dxa"/>
            <w:vAlign w:val="center"/>
          </w:tcPr>
          <w:p w14:paraId="0698AFE2" w14:textId="7790975E" w:rsidR="00D379E6" w:rsidRPr="00BF4A51" w:rsidRDefault="00E84CB1"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811.850</w:t>
            </w:r>
          </w:p>
        </w:tc>
        <w:tc>
          <w:tcPr>
            <w:tcW w:w="850" w:type="dxa"/>
            <w:vAlign w:val="center"/>
          </w:tcPr>
          <w:p w14:paraId="2AA01AFD" w14:textId="010BE12C" w:rsidR="00D379E6" w:rsidRPr="00BF4A51" w:rsidRDefault="00E84CB1"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856.850</w:t>
            </w:r>
          </w:p>
        </w:tc>
        <w:tc>
          <w:tcPr>
            <w:tcW w:w="851" w:type="dxa"/>
            <w:vAlign w:val="center"/>
          </w:tcPr>
          <w:p w14:paraId="5B3823FD" w14:textId="3FC9F760" w:rsidR="00D379E6" w:rsidRPr="00BF4A51" w:rsidRDefault="00E84CB1"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811.875</w:t>
            </w:r>
          </w:p>
        </w:tc>
        <w:tc>
          <w:tcPr>
            <w:tcW w:w="850" w:type="dxa"/>
            <w:vAlign w:val="center"/>
          </w:tcPr>
          <w:p w14:paraId="13C99713" w14:textId="42240607" w:rsidR="00D379E6" w:rsidRPr="00BF4A51" w:rsidRDefault="00E84CB1"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856.875</w:t>
            </w:r>
          </w:p>
        </w:tc>
        <w:tc>
          <w:tcPr>
            <w:tcW w:w="851" w:type="dxa"/>
            <w:vAlign w:val="center"/>
          </w:tcPr>
          <w:p w14:paraId="37B5788A" w14:textId="7B080BE9" w:rsidR="00D379E6" w:rsidRPr="00BF4A51" w:rsidRDefault="00E84CB1"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811.900</w:t>
            </w:r>
          </w:p>
        </w:tc>
        <w:tc>
          <w:tcPr>
            <w:tcW w:w="1010" w:type="dxa"/>
            <w:vAlign w:val="center"/>
          </w:tcPr>
          <w:p w14:paraId="47DE084B" w14:textId="7EBDF3E2" w:rsidR="00D379E6" w:rsidRPr="00BF4A51" w:rsidRDefault="00E84CB1"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856.900</w:t>
            </w:r>
          </w:p>
        </w:tc>
      </w:tr>
      <w:tr w:rsidR="00D379E6" w:rsidRPr="00BF4A51" w14:paraId="468DF07D" w14:textId="77777777" w:rsidTr="00634985">
        <w:trPr>
          <w:jc w:val="center"/>
        </w:trPr>
        <w:tc>
          <w:tcPr>
            <w:tcW w:w="846" w:type="dxa"/>
            <w:vAlign w:val="center"/>
          </w:tcPr>
          <w:p w14:paraId="59B2C6ED" w14:textId="15E399B5" w:rsidR="00D379E6" w:rsidRPr="00BF4A51" w:rsidRDefault="00AA6BD9"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812.825</w:t>
            </w:r>
          </w:p>
        </w:tc>
        <w:tc>
          <w:tcPr>
            <w:tcW w:w="839" w:type="dxa"/>
            <w:vAlign w:val="center"/>
          </w:tcPr>
          <w:p w14:paraId="3A866364" w14:textId="17FB86EE" w:rsidR="00D379E6" w:rsidRPr="00BF4A51" w:rsidRDefault="00AA6BD9"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857.825</w:t>
            </w:r>
          </w:p>
        </w:tc>
        <w:tc>
          <w:tcPr>
            <w:tcW w:w="862" w:type="dxa"/>
            <w:vAlign w:val="center"/>
          </w:tcPr>
          <w:p w14:paraId="509FBF61" w14:textId="69DB6F40" w:rsidR="00D379E6" w:rsidRPr="00BF4A51" w:rsidRDefault="00AA6BD9"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812.850</w:t>
            </w:r>
          </w:p>
        </w:tc>
        <w:tc>
          <w:tcPr>
            <w:tcW w:w="850" w:type="dxa"/>
            <w:vAlign w:val="center"/>
          </w:tcPr>
          <w:p w14:paraId="1B7DD417" w14:textId="3B0AA6DF" w:rsidR="00D379E6" w:rsidRPr="00BF4A51" w:rsidRDefault="00AA6BD9"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857.850</w:t>
            </w:r>
          </w:p>
        </w:tc>
        <w:tc>
          <w:tcPr>
            <w:tcW w:w="851" w:type="dxa"/>
            <w:vAlign w:val="center"/>
          </w:tcPr>
          <w:p w14:paraId="453E46C1" w14:textId="6F55242B" w:rsidR="00D379E6" w:rsidRPr="00BF4A51" w:rsidRDefault="00AA6BD9"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812.875</w:t>
            </w:r>
          </w:p>
        </w:tc>
        <w:tc>
          <w:tcPr>
            <w:tcW w:w="850" w:type="dxa"/>
            <w:vAlign w:val="center"/>
          </w:tcPr>
          <w:p w14:paraId="012D3023" w14:textId="6156767C" w:rsidR="00D379E6" w:rsidRPr="00BF4A51" w:rsidRDefault="00FC16FF"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857.875</w:t>
            </w:r>
          </w:p>
        </w:tc>
        <w:tc>
          <w:tcPr>
            <w:tcW w:w="851" w:type="dxa"/>
            <w:vAlign w:val="center"/>
          </w:tcPr>
          <w:p w14:paraId="3D9C4FE9" w14:textId="022F73C8" w:rsidR="00D379E6" w:rsidRPr="00BF4A51" w:rsidRDefault="00FC16FF"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812.900</w:t>
            </w:r>
          </w:p>
        </w:tc>
        <w:tc>
          <w:tcPr>
            <w:tcW w:w="1010" w:type="dxa"/>
            <w:vAlign w:val="center"/>
          </w:tcPr>
          <w:p w14:paraId="30B26308" w14:textId="62C9229E" w:rsidR="00D379E6" w:rsidRPr="00BF4A51" w:rsidRDefault="00FC16FF"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857.900</w:t>
            </w:r>
          </w:p>
        </w:tc>
      </w:tr>
      <w:tr w:rsidR="00D379E6" w:rsidRPr="00BF4A51" w14:paraId="76C89AF5" w14:textId="77777777" w:rsidTr="00634985">
        <w:trPr>
          <w:jc w:val="center"/>
        </w:trPr>
        <w:tc>
          <w:tcPr>
            <w:tcW w:w="846" w:type="dxa"/>
            <w:vAlign w:val="center"/>
          </w:tcPr>
          <w:p w14:paraId="4E4FC94B" w14:textId="578C77D0" w:rsidR="00D379E6" w:rsidRPr="00BF4A51" w:rsidRDefault="00AA6BD9"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813.825</w:t>
            </w:r>
          </w:p>
        </w:tc>
        <w:tc>
          <w:tcPr>
            <w:tcW w:w="839" w:type="dxa"/>
            <w:vAlign w:val="center"/>
          </w:tcPr>
          <w:p w14:paraId="65EA32F0" w14:textId="2774209E" w:rsidR="00D379E6" w:rsidRPr="00BF4A51" w:rsidRDefault="00AA6BD9"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858.825</w:t>
            </w:r>
          </w:p>
        </w:tc>
        <w:tc>
          <w:tcPr>
            <w:tcW w:w="862" w:type="dxa"/>
            <w:vAlign w:val="center"/>
          </w:tcPr>
          <w:p w14:paraId="64B10238" w14:textId="2247CF7B" w:rsidR="00D379E6" w:rsidRPr="00BF4A51" w:rsidRDefault="00AA6BD9"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813.850</w:t>
            </w:r>
          </w:p>
        </w:tc>
        <w:tc>
          <w:tcPr>
            <w:tcW w:w="850" w:type="dxa"/>
            <w:vAlign w:val="center"/>
          </w:tcPr>
          <w:p w14:paraId="75AF00CC" w14:textId="22B08691" w:rsidR="00D379E6" w:rsidRPr="00BF4A51" w:rsidRDefault="00AA6BD9"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858.850</w:t>
            </w:r>
          </w:p>
        </w:tc>
        <w:tc>
          <w:tcPr>
            <w:tcW w:w="851" w:type="dxa"/>
            <w:vAlign w:val="center"/>
          </w:tcPr>
          <w:p w14:paraId="55BE85DF" w14:textId="3059665B" w:rsidR="00D379E6" w:rsidRPr="00BF4A51" w:rsidRDefault="00AA6BD9"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813.875</w:t>
            </w:r>
          </w:p>
        </w:tc>
        <w:tc>
          <w:tcPr>
            <w:tcW w:w="850" w:type="dxa"/>
            <w:vAlign w:val="center"/>
          </w:tcPr>
          <w:p w14:paraId="0922AE48" w14:textId="4D0C646A" w:rsidR="00D379E6" w:rsidRPr="00BF4A51" w:rsidRDefault="00FC16FF"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858.875</w:t>
            </w:r>
          </w:p>
        </w:tc>
        <w:tc>
          <w:tcPr>
            <w:tcW w:w="851" w:type="dxa"/>
            <w:vAlign w:val="center"/>
          </w:tcPr>
          <w:p w14:paraId="1284B3B6" w14:textId="717972D4" w:rsidR="00D379E6" w:rsidRPr="00BF4A51" w:rsidRDefault="00FC16FF"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813.900</w:t>
            </w:r>
          </w:p>
        </w:tc>
        <w:tc>
          <w:tcPr>
            <w:tcW w:w="1010" w:type="dxa"/>
            <w:vAlign w:val="center"/>
          </w:tcPr>
          <w:p w14:paraId="07EEFF66" w14:textId="5942044D" w:rsidR="00D379E6" w:rsidRPr="00BF4A51" w:rsidRDefault="00FC16FF"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858.900</w:t>
            </w:r>
          </w:p>
        </w:tc>
      </w:tr>
      <w:tr w:rsidR="00D379E6" w:rsidRPr="00BF4A51" w14:paraId="5BF5C55F" w14:textId="77777777" w:rsidTr="00634985">
        <w:trPr>
          <w:jc w:val="center"/>
        </w:trPr>
        <w:tc>
          <w:tcPr>
            <w:tcW w:w="846" w:type="dxa"/>
            <w:vAlign w:val="center"/>
          </w:tcPr>
          <w:p w14:paraId="08ED9DF8" w14:textId="42DD5635" w:rsidR="00D379E6" w:rsidRPr="00BF4A51" w:rsidRDefault="00AA6BD9"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814.825</w:t>
            </w:r>
          </w:p>
        </w:tc>
        <w:tc>
          <w:tcPr>
            <w:tcW w:w="839" w:type="dxa"/>
            <w:vAlign w:val="center"/>
          </w:tcPr>
          <w:p w14:paraId="1ED1FB67" w14:textId="2D14242B" w:rsidR="00D379E6" w:rsidRPr="00BF4A51" w:rsidRDefault="00AA6BD9"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859.825</w:t>
            </w:r>
          </w:p>
        </w:tc>
        <w:tc>
          <w:tcPr>
            <w:tcW w:w="862" w:type="dxa"/>
            <w:vAlign w:val="center"/>
          </w:tcPr>
          <w:p w14:paraId="78A65CC1" w14:textId="37EF645F" w:rsidR="00D379E6" w:rsidRPr="00BF4A51" w:rsidRDefault="00AA6BD9"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814.850</w:t>
            </w:r>
          </w:p>
        </w:tc>
        <w:tc>
          <w:tcPr>
            <w:tcW w:w="850" w:type="dxa"/>
            <w:vAlign w:val="center"/>
          </w:tcPr>
          <w:p w14:paraId="21415D1D" w14:textId="69271C13" w:rsidR="00D379E6" w:rsidRPr="00BF4A51" w:rsidRDefault="00AA6BD9"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859.850</w:t>
            </w:r>
          </w:p>
        </w:tc>
        <w:tc>
          <w:tcPr>
            <w:tcW w:w="851" w:type="dxa"/>
            <w:vAlign w:val="center"/>
          </w:tcPr>
          <w:p w14:paraId="639DE4E5" w14:textId="2D932E00" w:rsidR="00AA6BD9" w:rsidRPr="00BF4A51" w:rsidRDefault="00AA6BD9"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814.875</w:t>
            </w:r>
          </w:p>
        </w:tc>
        <w:tc>
          <w:tcPr>
            <w:tcW w:w="850" w:type="dxa"/>
            <w:vAlign w:val="center"/>
          </w:tcPr>
          <w:p w14:paraId="3B630A58" w14:textId="6F750987" w:rsidR="00D379E6" w:rsidRPr="00BF4A51" w:rsidRDefault="00FC16FF"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859.875</w:t>
            </w:r>
          </w:p>
        </w:tc>
        <w:tc>
          <w:tcPr>
            <w:tcW w:w="851" w:type="dxa"/>
            <w:vAlign w:val="center"/>
          </w:tcPr>
          <w:p w14:paraId="6190B40C" w14:textId="5B37318B" w:rsidR="00D379E6" w:rsidRPr="00BF4A51" w:rsidRDefault="00FC16FF"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814.900</w:t>
            </w:r>
          </w:p>
        </w:tc>
        <w:tc>
          <w:tcPr>
            <w:tcW w:w="1010" w:type="dxa"/>
            <w:vAlign w:val="center"/>
          </w:tcPr>
          <w:p w14:paraId="075827A6" w14:textId="54ABF64E" w:rsidR="00D379E6" w:rsidRPr="00BF4A51" w:rsidRDefault="00FC16FF"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859.900</w:t>
            </w:r>
          </w:p>
        </w:tc>
      </w:tr>
      <w:tr w:rsidR="00D379E6" w:rsidRPr="00BF4A51" w14:paraId="1D9E4653" w14:textId="77777777" w:rsidTr="00634985">
        <w:trPr>
          <w:jc w:val="center"/>
        </w:trPr>
        <w:tc>
          <w:tcPr>
            <w:tcW w:w="846" w:type="dxa"/>
            <w:vAlign w:val="center"/>
          </w:tcPr>
          <w:p w14:paraId="7EA1C4F2" w14:textId="6FD58C55" w:rsidR="00D379E6" w:rsidRPr="00BF4A51" w:rsidRDefault="00AA6BD9"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815.825</w:t>
            </w:r>
          </w:p>
        </w:tc>
        <w:tc>
          <w:tcPr>
            <w:tcW w:w="839" w:type="dxa"/>
            <w:vAlign w:val="center"/>
          </w:tcPr>
          <w:p w14:paraId="1F0D6649" w14:textId="78BC4622" w:rsidR="00D379E6" w:rsidRPr="00BF4A51" w:rsidRDefault="00AA6BD9"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860.825</w:t>
            </w:r>
          </w:p>
        </w:tc>
        <w:tc>
          <w:tcPr>
            <w:tcW w:w="862" w:type="dxa"/>
            <w:vAlign w:val="center"/>
          </w:tcPr>
          <w:p w14:paraId="6019C76C" w14:textId="75EA5D4F" w:rsidR="00D379E6" w:rsidRPr="00BF4A51" w:rsidRDefault="00AA6BD9"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815.850</w:t>
            </w:r>
          </w:p>
        </w:tc>
        <w:tc>
          <w:tcPr>
            <w:tcW w:w="850" w:type="dxa"/>
            <w:vAlign w:val="center"/>
          </w:tcPr>
          <w:p w14:paraId="58047052" w14:textId="1C6CF5F9" w:rsidR="00D379E6" w:rsidRPr="00BF4A51" w:rsidRDefault="00AA6BD9"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860.850</w:t>
            </w:r>
          </w:p>
        </w:tc>
        <w:tc>
          <w:tcPr>
            <w:tcW w:w="851" w:type="dxa"/>
            <w:vAlign w:val="center"/>
          </w:tcPr>
          <w:p w14:paraId="3D55DDD2" w14:textId="025893BD" w:rsidR="00D379E6" w:rsidRPr="00BF4A51" w:rsidRDefault="00AA6BD9"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815.875</w:t>
            </w:r>
          </w:p>
        </w:tc>
        <w:tc>
          <w:tcPr>
            <w:tcW w:w="850" w:type="dxa"/>
            <w:vAlign w:val="center"/>
          </w:tcPr>
          <w:p w14:paraId="222B8793" w14:textId="77FB63C5" w:rsidR="00D379E6" w:rsidRPr="00BF4A51" w:rsidRDefault="00FC16FF"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860.875</w:t>
            </w:r>
          </w:p>
        </w:tc>
        <w:tc>
          <w:tcPr>
            <w:tcW w:w="851" w:type="dxa"/>
            <w:vAlign w:val="center"/>
          </w:tcPr>
          <w:p w14:paraId="7AFCD469" w14:textId="6F747C15" w:rsidR="00D379E6" w:rsidRPr="00BF4A51" w:rsidRDefault="00FC16FF"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815.900</w:t>
            </w:r>
          </w:p>
        </w:tc>
        <w:tc>
          <w:tcPr>
            <w:tcW w:w="1010" w:type="dxa"/>
            <w:vAlign w:val="center"/>
          </w:tcPr>
          <w:p w14:paraId="506DC152" w14:textId="64150399" w:rsidR="00D379E6" w:rsidRPr="00BF4A51" w:rsidRDefault="00FC16FF" w:rsidP="00BF4A51">
            <w:pPr>
              <w:spacing w:after="0" w:line="240" w:lineRule="auto"/>
              <w:jc w:val="both"/>
              <w:rPr>
                <w:rFonts w:ascii="ITC Avant Garde" w:hAnsi="ITC Avant Garde"/>
                <w:bCs/>
                <w:color w:val="000000"/>
                <w:sz w:val="14"/>
                <w:szCs w:val="14"/>
              </w:rPr>
            </w:pPr>
            <w:r w:rsidRPr="00BF4A51">
              <w:rPr>
                <w:rFonts w:ascii="ITC Avant Garde" w:hAnsi="ITC Avant Garde"/>
                <w:bCs/>
                <w:color w:val="000000"/>
                <w:sz w:val="14"/>
                <w:szCs w:val="14"/>
              </w:rPr>
              <w:t>860.900</w:t>
            </w:r>
          </w:p>
        </w:tc>
      </w:tr>
    </w:tbl>
    <w:p w14:paraId="2D002FC1" w14:textId="77777777" w:rsidR="00BF4A51" w:rsidRPr="00BF4A51" w:rsidRDefault="00BF4A51" w:rsidP="00BF4A51">
      <w:pPr>
        <w:pStyle w:val="Prrafodelista"/>
        <w:ind w:left="567"/>
        <w:jc w:val="center"/>
        <w:rPr>
          <w:rFonts w:ascii="ITC Avant Garde" w:hAnsi="ITC Avant Garde"/>
          <w:b/>
          <w:bCs/>
          <w:color w:val="000000"/>
          <w:sz w:val="14"/>
          <w:szCs w:val="14"/>
          <w:lang w:eastAsia="es-MX"/>
        </w:rPr>
      </w:pPr>
    </w:p>
    <w:p w14:paraId="044DDF51" w14:textId="1F3655F5" w:rsidR="00E77668" w:rsidRPr="00BF4A51" w:rsidRDefault="00290CE3" w:rsidP="00BF4A51">
      <w:pPr>
        <w:pStyle w:val="Prrafodelista"/>
        <w:ind w:left="567"/>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lang w:eastAsia="es-MX"/>
        </w:rPr>
        <w:t xml:space="preserve">En la ciudad de Puebla, Pue. </w:t>
      </w:r>
      <w:proofErr w:type="gramStart"/>
      <w:r w:rsidRPr="00BF4A51">
        <w:rPr>
          <w:rFonts w:ascii="ITC Avant Garde" w:hAnsi="ITC Avant Garde"/>
          <w:b/>
          <w:bCs/>
          <w:color w:val="000000"/>
          <w:sz w:val="14"/>
          <w:szCs w:val="14"/>
          <w:lang w:eastAsia="es-MX"/>
        </w:rPr>
        <w:t>y</w:t>
      </w:r>
      <w:proofErr w:type="gramEnd"/>
      <w:r w:rsidRPr="00BF4A51">
        <w:rPr>
          <w:rFonts w:ascii="ITC Avant Garde" w:hAnsi="ITC Avant Garde"/>
          <w:b/>
          <w:bCs/>
          <w:color w:val="000000"/>
          <w:sz w:val="14"/>
          <w:szCs w:val="14"/>
          <w:lang w:eastAsia="es-MX"/>
        </w:rPr>
        <w:t xml:space="preserve"> zona conurbada</w:t>
      </w:r>
    </w:p>
    <w:p w14:paraId="618DFD2B" w14:textId="028C4ABC" w:rsidR="00290CE3" w:rsidRPr="00BF4A51" w:rsidRDefault="00290CE3" w:rsidP="00BF4A51">
      <w:pPr>
        <w:pStyle w:val="Prrafodelista"/>
        <w:ind w:left="567"/>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lang w:eastAsia="es-MX"/>
        </w:rPr>
        <w:t>Sitio: Ciudad de Puebla</w:t>
      </w:r>
    </w:p>
    <w:p w14:paraId="17570C1A" w14:textId="77777777" w:rsidR="00BF4A51" w:rsidRPr="00BF4A51" w:rsidRDefault="0099048E" w:rsidP="00BF4A51">
      <w:pPr>
        <w:pStyle w:val="Prrafodelista"/>
        <w:ind w:left="567"/>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lang w:eastAsia="es-MX"/>
        </w:rPr>
        <w:t>LN</w:t>
      </w:r>
      <w:r w:rsidR="00290CE3" w:rsidRPr="00BF4A51">
        <w:rPr>
          <w:rFonts w:ascii="ITC Avant Garde" w:hAnsi="ITC Avant Garde"/>
          <w:b/>
          <w:bCs/>
          <w:color w:val="000000"/>
          <w:sz w:val="14"/>
          <w:szCs w:val="14"/>
          <w:lang w:eastAsia="es-MX"/>
        </w:rPr>
        <w:t>:</w:t>
      </w:r>
      <w:r w:rsidRPr="00BF4A51">
        <w:rPr>
          <w:rFonts w:ascii="ITC Avant Garde" w:hAnsi="ITC Avant Garde"/>
          <w:b/>
          <w:bCs/>
          <w:color w:val="000000"/>
          <w:sz w:val="14"/>
          <w:szCs w:val="14"/>
          <w:lang w:eastAsia="es-MX"/>
        </w:rPr>
        <w:t xml:space="preserve"> 19°</w:t>
      </w:r>
      <w:r w:rsidR="00290CE3" w:rsidRPr="00BF4A51">
        <w:rPr>
          <w:rFonts w:ascii="ITC Avant Garde" w:hAnsi="ITC Avant Garde"/>
          <w:b/>
          <w:bCs/>
          <w:color w:val="000000"/>
          <w:sz w:val="14"/>
          <w:szCs w:val="14"/>
          <w:lang w:eastAsia="es-MX"/>
        </w:rPr>
        <w:t>02</w:t>
      </w:r>
      <w:r w:rsidRPr="00BF4A51">
        <w:rPr>
          <w:rFonts w:ascii="ITC Avant Garde" w:hAnsi="ITC Avant Garde"/>
          <w:b/>
          <w:bCs/>
          <w:color w:val="000000"/>
          <w:sz w:val="14"/>
          <w:szCs w:val="14"/>
          <w:lang w:eastAsia="es-MX"/>
        </w:rPr>
        <w:t>´</w:t>
      </w:r>
      <w:r w:rsidR="00290CE3" w:rsidRPr="00BF4A51">
        <w:rPr>
          <w:rFonts w:ascii="ITC Avant Garde" w:hAnsi="ITC Avant Garde"/>
          <w:b/>
          <w:bCs/>
          <w:color w:val="000000"/>
          <w:sz w:val="14"/>
          <w:szCs w:val="14"/>
          <w:lang w:eastAsia="es-MX"/>
        </w:rPr>
        <w:t>52</w:t>
      </w:r>
      <w:r w:rsidRPr="00BF4A51">
        <w:rPr>
          <w:rFonts w:ascii="ITC Avant Garde" w:hAnsi="ITC Avant Garde"/>
          <w:b/>
          <w:bCs/>
          <w:color w:val="000000"/>
          <w:sz w:val="14"/>
          <w:szCs w:val="14"/>
          <w:lang w:eastAsia="es-MX"/>
        </w:rPr>
        <w:t>” LW</w:t>
      </w:r>
      <w:r w:rsidR="00290CE3" w:rsidRPr="00BF4A51">
        <w:rPr>
          <w:rFonts w:ascii="ITC Avant Garde" w:hAnsi="ITC Avant Garde"/>
          <w:b/>
          <w:bCs/>
          <w:color w:val="000000"/>
          <w:sz w:val="14"/>
          <w:szCs w:val="14"/>
          <w:lang w:eastAsia="es-MX"/>
        </w:rPr>
        <w:t>:</w:t>
      </w:r>
      <w:r w:rsidRPr="00BF4A51">
        <w:rPr>
          <w:rFonts w:ascii="ITC Avant Garde" w:hAnsi="ITC Avant Garde"/>
          <w:b/>
          <w:bCs/>
          <w:color w:val="000000"/>
          <w:sz w:val="14"/>
          <w:szCs w:val="14"/>
          <w:lang w:eastAsia="es-MX"/>
        </w:rPr>
        <w:t xml:space="preserve"> </w:t>
      </w:r>
      <w:r w:rsidR="00290CE3" w:rsidRPr="00BF4A51">
        <w:rPr>
          <w:rFonts w:ascii="ITC Avant Garde" w:hAnsi="ITC Avant Garde"/>
          <w:b/>
          <w:bCs/>
          <w:color w:val="000000"/>
          <w:sz w:val="14"/>
          <w:szCs w:val="14"/>
          <w:lang w:eastAsia="es-MX"/>
        </w:rPr>
        <w:t>98</w:t>
      </w:r>
      <w:r w:rsidRPr="00BF4A51">
        <w:rPr>
          <w:rFonts w:ascii="ITC Avant Garde" w:hAnsi="ITC Avant Garde"/>
          <w:b/>
          <w:bCs/>
          <w:color w:val="000000"/>
          <w:sz w:val="14"/>
          <w:szCs w:val="14"/>
          <w:lang w:eastAsia="es-MX"/>
        </w:rPr>
        <w:t>°</w:t>
      </w:r>
      <w:r w:rsidR="00290CE3" w:rsidRPr="00BF4A51">
        <w:rPr>
          <w:rFonts w:ascii="ITC Avant Garde" w:hAnsi="ITC Avant Garde"/>
          <w:b/>
          <w:bCs/>
          <w:color w:val="000000"/>
          <w:sz w:val="14"/>
          <w:szCs w:val="14"/>
          <w:lang w:eastAsia="es-MX"/>
        </w:rPr>
        <w:t>12</w:t>
      </w:r>
      <w:r w:rsidRPr="00BF4A51">
        <w:rPr>
          <w:rFonts w:ascii="ITC Avant Garde" w:hAnsi="ITC Avant Garde"/>
          <w:b/>
          <w:bCs/>
          <w:color w:val="000000"/>
          <w:sz w:val="14"/>
          <w:szCs w:val="14"/>
          <w:lang w:eastAsia="es-MX"/>
        </w:rPr>
        <w:t>´</w:t>
      </w:r>
      <w:r w:rsidR="00290CE3" w:rsidRPr="00BF4A51">
        <w:rPr>
          <w:rFonts w:ascii="ITC Avant Garde" w:hAnsi="ITC Avant Garde"/>
          <w:b/>
          <w:bCs/>
          <w:color w:val="000000"/>
          <w:sz w:val="14"/>
          <w:szCs w:val="14"/>
          <w:lang w:eastAsia="es-MX"/>
        </w:rPr>
        <w:t>43</w:t>
      </w:r>
      <w:r w:rsidRPr="00BF4A51">
        <w:rPr>
          <w:rFonts w:ascii="ITC Avant Garde" w:hAnsi="ITC Avant Garde"/>
          <w:b/>
          <w:bCs/>
          <w:color w:val="000000"/>
          <w:sz w:val="14"/>
          <w:szCs w:val="14"/>
          <w:lang w:eastAsia="es-MX"/>
        </w:rPr>
        <w:t>”</w:t>
      </w:r>
    </w:p>
    <w:tbl>
      <w:tblPr>
        <w:tblStyle w:val="Tablaconcuadrcula"/>
        <w:tblW w:w="6988" w:type="dxa"/>
        <w:jc w:val="center"/>
        <w:tblLayout w:type="fixed"/>
        <w:tblLook w:val="04A0" w:firstRow="1" w:lastRow="0" w:firstColumn="1" w:lastColumn="0" w:noHBand="0" w:noVBand="1"/>
        <w:tblCaption w:val="Frecuencias concesionadas: En la ciudad de Puebla, Pue. y zona conurbada"/>
        <w:tblDescription w:val="En una tabla irregular a manera de diagrama o esquema, se proporcionan para 2 grandes Grupos, 2 series para cada uno divididas en RX y TX cada serie."/>
      </w:tblPr>
      <w:tblGrid>
        <w:gridCol w:w="850"/>
        <w:gridCol w:w="851"/>
        <w:gridCol w:w="850"/>
        <w:gridCol w:w="993"/>
        <w:gridCol w:w="892"/>
        <w:gridCol w:w="841"/>
        <w:gridCol w:w="10"/>
        <w:gridCol w:w="850"/>
        <w:gridCol w:w="851"/>
      </w:tblGrid>
      <w:tr w:rsidR="00290CE3" w:rsidRPr="00BF4A51" w14:paraId="35ECDDF1" w14:textId="77777777" w:rsidTr="00AA2293">
        <w:trPr>
          <w:tblHeader/>
          <w:jc w:val="center"/>
        </w:trPr>
        <w:tc>
          <w:tcPr>
            <w:tcW w:w="3544" w:type="dxa"/>
            <w:gridSpan w:val="4"/>
          </w:tcPr>
          <w:p w14:paraId="7F49848C" w14:textId="572D0054" w:rsidR="00290CE3" w:rsidRPr="00BF4A51" w:rsidRDefault="00290CE3" w:rsidP="00BF4A51">
            <w:pPr>
              <w:pStyle w:val="Prrafodelista"/>
              <w:ind w:left="0"/>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lang w:eastAsia="es-MX"/>
              </w:rPr>
              <w:t>GRUPO 5E</w:t>
            </w:r>
          </w:p>
        </w:tc>
        <w:tc>
          <w:tcPr>
            <w:tcW w:w="3444" w:type="dxa"/>
            <w:gridSpan w:val="5"/>
          </w:tcPr>
          <w:p w14:paraId="426EF654" w14:textId="690A59AA" w:rsidR="00290CE3" w:rsidRPr="00BF4A51" w:rsidRDefault="00290CE3" w:rsidP="00BF4A51">
            <w:pPr>
              <w:pStyle w:val="Prrafodelista"/>
              <w:ind w:left="0"/>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lang w:eastAsia="es-MX"/>
              </w:rPr>
              <w:t>Grupo 8E</w:t>
            </w:r>
          </w:p>
        </w:tc>
      </w:tr>
      <w:tr w:rsidR="00290CE3" w:rsidRPr="00BF4A51" w14:paraId="61122FDD" w14:textId="77777777" w:rsidTr="00634985">
        <w:trPr>
          <w:jc w:val="center"/>
        </w:trPr>
        <w:tc>
          <w:tcPr>
            <w:tcW w:w="1701" w:type="dxa"/>
            <w:gridSpan w:val="2"/>
          </w:tcPr>
          <w:p w14:paraId="5B0B2FD4" w14:textId="5BD4F016" w:rsidR="00290CE3" w:rsidRPr="00BF4A51" w:rsidRDefault="00290CE3" w:rsidP="00BF4A51">
            <w:pPr>
              <w:pStyle w:val="Prrafodelista"/>
              <w:ind w:left="0"/>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lang w:eastAsia="es-MX"/>
              </w:rPr>
              <w:t>Serie 425E</w:t>
            </w:r>
          </w:p>
        </w:tc>
        <w:tc>
          <w:tcPr>
            <w:tcW w:w="1843" w:type="dxa"/>
            <w:gridSpan w:val="2"/>
          </w:tcPr>
          <w:p w14:paraId="5736CA94" w14:textId="130B6E7C" w:rsidR="00290CE3" w:rsidRPr="00BF4A51" w:rsidRDefault="00290CE3" w:rsidP="00BF4A51">
            <w:pPr>
              <w:pStyle w:val="Prrafodelista"/>
              <w:ind w:left="0"/>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lang w:eastAsia="es-MX"/>
              </w:rPr>
              <w:t>Serie 435E</w:t>
            </w:r>
          </w:p>
        </w:tc>
        <w:tc>
          <w:tcPr>
            <w:tcW w:w="1733" w:type="dxa"/>
            <w:gridSpan w:val="2"/>
          </w:tcPr>
          <w:p w14:paraId="6C06858D" w14:textId="6449AC2B" w:rsidR="00290CE3" w:rsidRPr="00BF4A51" w:rsidRDefault="00290CE3" w:rsidP="00BF4A51">
            <w:pPr>
              <w:pStyle w:val="Prrafodelista"/>
              <w:ind w:left="0"/>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lang w:eastAsia="es-MX"/>
              </w:rPr>
              <w:t>Serie 408E</w:t>
            </w:r>
          </w:p>
        </w:tc>
        <w:tc>
          <w:tcPr>
            <w:tcW w:w="1711" w:type="dxa"/>
            <w:gridSpan w:val="3"/>
          </w:tcPr>
          <w:p w14:paraId="513E60BE" w14:textId="19696E02" w:rsidR="00290CE3" w:rsidRPr="00BF4A51" w:rsidRDefault="00290CE3" w:rsidP="00BF4A51">
            <w:pPr>
              <w:pStyle w:val="Prrafodelista"/>
              <w:ind w:left="0"/>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lang w:eastAsia="es-MX"/>
              </w:rPr>
              <w:t>Serie 418E</w:t>
            </w:r>
          </w:p>
        </w:tc>
      </w:tr>
      <w:tr w:rsidR="00290CE3" w:rsidRPr="00BF4A51" w14:paraId="4061D976" w14:textId="77777777" w:rsidTr="00634985">
        <w:trPr>
          <w:jc w:val="center"/>
        </w:trPr>
        <w:tc>
          <w:tcPr>
            <w:tcW w:w="850" w:type="dxa"/>
          </w:tcPr>
          <w:p w14:paraId="11C31F22" w14:textId="77777777" w:rsidR="00290CE3" w:rsidRPr="00BF4A51" w:rsidRDefault="00290CE3" w:rsidP="00BF4A51">
            <w:pPr>
              <w:pStyle w:val="Prrafodelista"/>
              <w:ind w:left="0"/>
              <w:jc w:val="center"/>
              <w:rPr>
                <w:rFonts w:ascii="ITC Avant Garde" w:hAnsi="ITC Avant Garde"/>
                <w:b/>
                <w:bCs/>
                <w:color w:val="000000"/>
                <w:sz w:val="14"/>
                <w:szCs w:val="14"/>
              </w:rPr>
            </w:pPr>
            <w:r w:rsidRPr="00BF4A51">
              <w:rPr>
                <w:rFonts w:ascii="ITC Avant Garde" w:hAnsi="ITC Avant Garde"/>
                <w:b/>
                <w:bCs/>
                <w:color w:val="000000"/>
                <w:sz w:val="14"/>
                <w:szCs w:val="14"/>
              </w:rPr>
              <w:t>RX (MHz)</w:t>
            </w:r>
          </w:p>
        </w:tc>
        <w:tc>
          <w:tcPr>
            <w:tcW w:w="851" w:type="dxa"/>
          </w:tcPr>
          <w:p w14:paraId="058E19C5" w14:textId="77777777" w:rsidR="00290CE3" w:rsidRPr="00BF4A51" w:rsidRDefault="00290CE3" w:rsidP="00BF4A51">
            <w:pPr>
              <w:pStyle w:val="Prrafodelista"/>
              <w:ind w:left="0"/>
              <w:jc w:val="center"/>
              <w:rPr>
                <w:rFonts w:ascii="ITC Avant Garde" w:hAnsi="ITC Avant Garde"/>
                <w:b/>
                <w:bCs/>
                <w:color w:val="000000"/>
                <w:sz w:val="14"/>
                <w:szCs w:val="14"/>
              </w:rPr>
            </w:pPr>
            <w:r w:rsidRPr="00BF4A51">
              <w:rPr>
                <w:rFonts w:ascii="ITC Avant Garde" w:hAnsi="ITC Avant Garde"/>
                <w:b/>
                <w:bCs/>
                <w:color w:val="000000"/>
                <w:sz w:val="14"/>
                <w:szCs w:val="14"/>
              </w:rPr>
              <w:t>TX (MHz)</w:t>
            </w:r>
          </w:p>
        </w:tc>
        <w:tc>
          <w:tcPr>
            <w:tcW w:w="850" w:type="dxa"/>
          </w:tcPr>
          <w:p w14:paraId="377F59CF" w14:textId="77777777" w:rsidR="00290CE3" w:rsidRPr="00BF4A51" w:rsidRDefault="00290CE3" w:rsidP="00BF4A51">
            <w:pPr>
              <w:pStyle w:val="Prrafodelista"/>
              <w:ind w:left="0"/>
              <w:jc w:val="center"/>
              <w:rPr>
                <w:rFonts w:ascii="ITC Avant Garde" w:hAnsi="ITC Avant Garde"/>
                <w:b/>
                <w:bCs/>
                <w:color w:val="000000"/>
                <w:sz w:val="14"/>
                <w:szCs w:val="14"/>
              </w:rPr>
            </w:pPr>
            <w:r w:rsidRPr="00BF4A51">
              <w:rPr>
                <w:rFonts w:ascii="ITC Avant Garde" w:hAnsi="ITC Avant Garde"/>
                <w:b/>
                <w:bCs/>
                <w:color w:val="000000"/>
                <w:sz w:val="14"/>
                <w:szCs w:val="14"/>
              </w:rPr>
              <w:t>RX (MHz)</w:t>
            </w:r>
          </w:p>
        </w:tc>
        <w:tc>
          <w:tcPr>
            <w:tcW w:w="993" w:type="dxa"/>
          </w:tcPr>
          <w:p w14:paraId="2BA5195E" w14:textId="77777777" w:rsidR="00290CE3" w:rsidRPr="00BF4A51" w:rsidRDefault="00290CE3" w:rsidP="00BF4A51">
            <w:pPr>
              <w:pStyle w:val="Prrafodelista"/>
              <w:ind w:left="0"/>
              <w:jc w:val="center"/>
              <w:rPr>
                <w:rFonts w:ascii="ITC Avant Garde" w:hAnsi="ITC Avant Garde"/>
                <w:b/>
                <w:bCs/>
                <w:color w:val="000000"/>
                <w:sz w:val="14"/>
                <w:szCs w:val="14"/>
              </w:rPr>
            </w:pPr>
            <w:r w:rsidRPr="00BF4A51">
              <w:rPr>
                <w:rFonts w:ascii="ITC Avant Garde" w:hAnsi="ITC Avant Garde"/>
                <w:b/>
                <w:bCs/>
                <w:color w:val="000000"/>
                <w:sz w:val="14"/>
                <w:szCs w:val="14"/>
              </w:rPr>
              <w:t>TX (MHz)</w:t>
            </w:r>
          </w:p>
        </w:tc>
        <w:tc>
          <w:tcPr>
            <w:tcW w:w="892" w:type="dxa"/>
          </w:tcPr>
          <w:p w14:paraId="77CAE357" w14:textId="77777777" w:rsidR="00290CE3" w:rsidRPr="00BF4A51" w:rsidRDefault="00290CE3" w:rsidP="00BF4A51">
            <w:pPr>
              <w:pStyle w:val="Prrafodelista"/>
              <w:ind w:left="0"/>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rPr>
              <w:t>RX (MHz)</w:t>
            </w:r>
          </w:p>
        </w:tc>
        <w:tc>
          <w:tcPr>
            <w:tcW w:w="851" w:type="dxa"/>
            <w:gridSpan w:val="2"/>
          </w:tcPr>
          <w:p w14:paraId="3D8089A6" w14:textId="77777777" w:rsidR="00290CE3" w:rsidRPr="00BF4A51" w:rsidRDefault="00290CE3" w:rsidP="00BF4A51">
            <w:pPr>
              <w:pStyle w:val="Prrafodelista"/>
              <w:ind w:left="0"/>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rPr>
              <w:t>TX (MHz)</w:t>
            </w:r>
          </w:p>
        </w:tc>
        <w:tc>
          <w:tcPr>
            <w:tcW w:w="850" w:type="dxa"/>
          </w:tcPr>
          <w:p w14:paraId="072D87B0" w14:textId="77777777" w:rsidR="00290CE3" w:rsidRPr="00BF4A51" w:rsidRDefault="00290CE3" w:rsidP="00BF4A51">
            <w:pPr>
              <w:pStyle w:val="Prrafodelista"/>
              <w:ind w:left="0"/>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rPr>
              <w:t>RX (MHz)</w:t>
            </w:r>
          </w:p>
        </w:tc>
        <w:tc>
          <w:tcPr>
            <w:tcW w:w="851" w:type="dxa"/>
          </w:tcPr>
          <w:p w14:paraId="78BB315E" w14:textId="77777777" w:rsidR="00290CE3" w:rsidRPr="00BF4A51" w:rsidRDefault="00290CE3" w:rsidP="00BF4A51">
            <w:pPr>
              <w:pStyle w:val="Prrafodelista"/>
              <w:ind w:left="0"/>
              <w:jc w:val="center"/>
              <w:rPr>
                <w:rFonts w:ascii="ITC Avant Garde" w:hAnsi="ITC Avant Garde"/>
                <w:b/>
                <w:bCs/>
                <w:color w:val="000000"/>
                <w:sz w:val="14"/>
                <w:szCs w:val="14"/>
                <w:lang w:eastAsia="es-MX"/>
              </w:rPr>
            </w:pPr>
            <w:r w:rsidRPr="00BF4A51">
              <w:rPr>
                <w:rFonts w:ascii="ITC Avant Garde" w:hAnsi="ITC Avant Garde"/>
                <w:b/>
                <w:bCs/>
                <w:color w:val="000000"/>
                <w:sz w:val="14"/>
                <w:szCs w:val="14"/>
              </w:rPr>
              <w:t>TX (MHz)</w:t>
            </w:r>
          </w:p>
        </w:tc>
      </w:tr>
      <w:tr w:rsidR="00290CE3" w:rsidRPr="00BF4A51" w14:paraId="06DA1273" w14:textId="77777777" w:rsidTr="00634985">
        <w:trPr>
          <w:jc w:val="center"/>
        </w:trPr>
        <w:tc>
          <w:tcPr>
            <w:tcW w:w="850" w:type="dxa"/>
          </w:tcPr>
          <w:p w14:paraId="04E05684" w14:textId="13824825" w:rsidR="00290CE3" w:rsidRPr="00BF4A51" w:rsidRDefault="00290CE3"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816.625</w:t>
            </w:r>
          </w:p>
        </w:tc>
        <w:tc>
          <w:tcPr>
            <w:tcW w:w="851" w:type="dxa"/>
          </w:tcPr>
          <w:p w14:paraId="2D63C6D8" w14:textId="766EFF74" w:rsidR="00290CE3" w:rsidRPr="00BF4A51" w:rsidRDefault="00290CE3"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861.625</w:t>
            </w:r>
          </w:p>
        </w:tc>
        <w:tc>
          <w:tcPr>
            <w:tcW w:w="850" w:type="dxa"/>
          </w:tcPr>
          <w:p w14:paraId="67D00B7B" w14:textId="4C1616A0" w:rsidR="00290CE3" w:rsidRPr="00BF4A51" w:rsidRDefault="00DC142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816.875</w:t>
            </w:r>
          </w:p>
        </w:tc>
        <w:tc>
          <w:tcPr>
            <w:tcW w:w="993" w:type="dxa"/>
          </w:tcPr>
          <w:p w14:paraId="335564AC" w14:textId="7781CE26" w:rsidR="00290CE3" w:rsidRPr="00BF4A51" w:rsidRDefault="00DC142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861.875</w:t>
            </w:r>
          </w:p>
        </w:tc>
        <w:tc>
          <w:tcPr>
            <w:tcW w:w="892" w:type="dxa"/>
          </w:tcPr>
          <w:p w14:paraId="6E03DF0B" w14:textId="021B1DFC" w:rsidR="00290CE3" w:rsidRPr="00BF4A51" w:rsidRDefault="00DC142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816.200</w:t>
            </w:r>
          </w:p>
        </w:tc>
        <w:tc>
          <w:tcPr>
            <w:tcW w:w="851" w:type="dxa"/>
            <w:gridSpan w:val="2"/>
          </w:tcPr>
          <w:p w14:paraId="25908A8E" w14:textId="56405247" w:rsidR="00290CE3" w:rsidRPr="00BF4A51" w:rsidRDefault="00DC142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861.200</w:t>
            </w:r>
          </w:p>
        </w:tc>
        <w:tc>
          <w:tcPr>
            <w:tcW w:w="850" w:type="dxa"/>
          </w:tcPr>
          <w:p w14:paraId="3520303F" w14:textId="559B9D3D" w:rsidR="00290CE3" w:rsidRPr="00BF4A51" w:rsidRDefault="00DC142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816.</w:t>
            </w:r>
            <w:r w:rsidR="0056276A" w:rsidRPr="00BF4A51">
              <w:rPr>
                <w:rFonts w:ascii="ITC Avant Garde" w:hAnsi="ITC Avant Garde"/>
                <w:bCs/>
                <w:color w:val="000000"/>
                <w:sz w:val="14"/>
                <w:szCs w:val="14"/>
                <w:lang w:eastAsia="es-MX"/>
              </w:rPr>
              <w:t>450</w:t>
            </w:r>
          </w:p>
        </w:tc>
        <w:tc>
          <w:tcPr>
            <w:tcW w:w="851" w:type="dxa"/>
          </w:tcPr>
          <w:p w14:paraId="2EE79F61" w14:textId="204C8C7E" w:rsidR="00290CE3" w:rsidRPr="00BF4A51" w:rsidRDefault="0056276A"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861.450</w:t>
            </w:r>
          </w:p>
        </w:tc>
      </w:tr>
      <w:tr w:rsidR="00290CE3" w:rsidRPr="00BF4A51" w14:paraId="7B3C4809" w14:textId="77777777" w:rsidTr="00634985">
        <w:trPr>
          <w:jc w:val="center"/>
        </w:trPr>
        <w:tc>
          <w:tcPr>
            <w:tcW w:w="850" w:type="dxa"/>
          </w:tcPr>
          <w:p w14:paraId="770280D1" w14:textId="68002E94" w:rsidR="00290CE3" w:rsidRPr="00BF4A51" w:rsidRDefault="00290CE3"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817.625</w:t>
            </w:r>
          </w:p>
        </w:tc>
        <w:tc>
          <w:tcPr>
            <w:tcW w:w="851" w:type="dxa"/>
          </w:tcPr>
          <w:p w14:paraId="3614D739" w14:textId="25F0EB8C" w:rsidR="00290CE3" w:rsidRPr="00BF4A51" w:rsidRDefault="00290CE3"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862.625</w:t>
            </w:r>
          </w:p>
        </w:tc>
        <w:tc>
          <w:tcPr>
            <w:tcW w:w="850" w:type="dxa"/>
          </w:tcPr>
          <w:p w14:paraId="589184F1" w14:textId="639F4C3B" w:rsidR="00290CE3" w:rsidRPr="00BF4A51" w:rsidRDefault="00DC142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817.875</w:t>
            </w:r>
          </w:p>
        </w:tc>
        <w:tc>
          <w:tcPr>
            <w:tcW w:w="993" w:type="dxa"/>
          </w:tcPr>
          <w:p w14:paraId="61A5E638" w14:textId="0FEBED04" w:rsidR="00290CE3" w:rsidRPr="00BF4A51" w:rsidRDefault="00DC142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862.875</w:t>
            </w:r>
          </w:p>
        </w:tc>
        <w:tc>
          <w:tcPr>
            <w:tcW w:w="892" w:type="dxa"/>
          </w:tcPr>
          <w:p w14:paraId="347DD5ED" w14:textId="4904B4C0" w:rsidR="00290CE3" w:rsidRPr="00BF4A51" w:rsidRDefault="00DC142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817.200</w:t>
            </w:r>
          </w:p>
        </w:tc>
        <w:tc>
          <w:tcPr>
            <w:tcW w:w="851" w:type="dxa"/>
            <w:gridSpan w:val="2"/>
          </w:tcPr>
          <w:p w14:paraId="5A84A7EF" w14:textId="54510BFC" w:rsidR="00290CE3" w:rsidRPr="00BF4A51" w:rsidRDefault="00290CE3"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w:t>
            </w:r>
            <w:r w:rsidR="00DC142F" w:rsidRPr="00BF4A51">
              <w:rPr>
                <w:rFonts w:ascii="ITC Avant Garde" w:hAnsi="ITC Avant Garde"/>
                <w:bCs/>
                <w:color w:val="000000"/>
                <w:sz w:val="14"/>
                <w:szCs w:val="14"/>
                <w:lang w:eastAsia="es-MX"/>
              </w:rPr>
              <w:t>62.200</w:t>
            </w:r>
          </w:p>
        </w:tc>
        <w:tc>
          <w:tcPr>
            <w:tcW w:w="850" w:type="dxa"/>
          </w:tcPr>
          <w:p w14:paraId="2E2B5690" w14:textId="71C728D3" w:rsidR="00290CE3" w:rsidRPr="00BF4A51" w:rsidRDefault="0056276A"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817.450</w:t>
            </w:r>
          </w:p>
        </w:tc>
        <w:tc>
          <w:tcPr>
            <w:tcW w:w="851" w:type="dxa"/>
          </w:tcPr>
          <w:p w14:paraId="4FA4AAE1" w14:textId="79B60F53" w:rsidR="00290CE3" w:rsidRPr="00BF4A51" w:rsidRDefault="0056276A"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862.450</w:t>
            </w:r>
          </w:p>
        </w:tc>
      </w:tr>
      <w:tr w:rsidR="00290CE3" w:rsidRPr="00BF4A51" w14:paraId="545602BA" w14:textId="77777777" w:rsidTr="00634985">
        <w:trPr>
          <w:jc w:val="center"/>
        </w:trPr>
        <w:tc>
          <w:tcPr>
            <w:tcW w:w="850" w:type="dxa"/>
          </w:tcPr>
          <w:p w14:paraId="52A47A5A" w14:textId="47FE7E17" w:rsidR="00290CE3" w:rsidRPr="00BF4A51" w:rsidRDefault="00290CE3"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818.625</w:t>
            </w:r>
          </w:p>
        </w:tc>
        <w:tc>
          <w:tcPr>
            <w:tcW w:w="851" w:type="dxa"/>
          </w:tcPr>
          <w:p w14:paraId="0AF6BCEB" w14:textId="77635946" w:rsidR="00290CE3" w:rsidRPr="00BF4A51" w:rsidRDefault="00290CE3"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863.625</w:t>
            </w:r>
          </w:p>
        </w:tc>
        <w:tc>
          <w:tcPr>
            <w:tcW w:w="850" w:type="dxa"/>
          </w:tcPr>
          <w:p w14:paraId="36BA3E44" w14:textId="324D7E04" w:rsidR="00290CE3" w:rsidRPr="00BF4A51" w:rsidRDefault="00DC142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818.875</w:t>
            </w:r>
          </w:p>
        </w:tc>
        <w:tc>
          <w:tcPr>
            <w:tcW w:w="993" w:type="dxa"/>
          </w:tcPr>
          <w:p w14:paraId="21F387B4" w14:textId="6A8E811A" w:rsidR="00290CE3" w:rsidRPr="00BF4A51" w:rsidRDefault="00DC142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863.875</w:t>
            </w:r>
          </w:p>
        </w:tc>
        <w:tc>
          <w:tcPr>
            <w:tcW w:w="892" w:type="dxa"/>
          </w:tcPr>
          <w:p w14:paraId="16A9C56E" w14:textId="407FE8E2" w:rsidR="00290CE3" w:rsidRPr="00BF4A51" w:rsidRDefault="00DC142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818.200</w:t>
            </w:r>
          </w:p>
        </w:tc>
        <w:tc>
          <w:tcPr>
            <w:tcW w:w="851" w:type="dxa"/>
            <w:gridSpan w:val="2"/>
          </w:tcPr>
          <w:p w14:paraId="0A07D9EA" w14:textId="401136AB" w:rsidR="00290CE3" w:rsidRPr="00BF4A51" w:rsidRDefault="00DC142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863.200</w:t>
            </w:r>
          </w:p>
        </w:tc>
        <w:tc>
          <w:tcPr>
            <w:tcW w:w="850" w:type="dxa"/>
          </w:tcPr>
          <w:p w14:paraId="6A3FAE63" w14:textId="503BEB9D" w:rsidR="00290CE3" w:rsidRPr="00BF4A51" w:rsidRDefault="0056276A"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818.450</w:t>
            </w:r>
          </w:p>
        </w:tc>
        <w:tc>
          <w:tcPr>
            <w:tcW w:w="851" w:type="dxa"/>
          </w:tcPr>
          <w:p w14:paraId="2811F7A3" w14:textId="612B6C31" w:rsidR="00290CE3" w:rsidRPr="00BF4A51" w:rsidRDefault="0056276A"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863.450</w:t>
            </w:r>
          </w:p>
        </w:tc>
      </w:tr>
      <w:tr w:rsidR="00290CE3" w:rsidRPr="00BF4A51" w14:paraId="41CC1211" w14:textId="77777777" w:rsidTr="00634985">
        <w:trPr>
          <w:jc w:val="center"/>
        </w:trPr>
        <w:tc>
          <w:tcPr>
            <w:tcW w:w="850" w:type="dxa"/>
          </w:tcPr>
          <w:p w14:paraId="02B38399" w14:textId="46F97B84" w:rsidR="00290CE3" w:rsidRPr="00BF4A51" w:rsidRDefault="00290CE3"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819.625</w:t>
            </w:r>
          </w:p>
        </w:tc>
        <w:tc>
          <w:tcPr>
            <w:tcW w:w="851" w:type="dxa"/>
          </w:tcPr>
          <w:p w14:paraId="3BCC38E2" w14:textId="6D7B30CE" w:rsidR="00290CE3" w:rsidRPr="00BF4A51" w:rsidRDefault="00290CE3"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864.625</w:t>
            </w:r>
          </w:p>
        </w:tc>
        <w:tc>
          <w:tcPr>
            <w:tcW w:w="850" w:type="dxa"/>
          </w:tcPr>
          <w:p w14:paraId="24AF07B4" w14:textId="22ABDDC9" w:rsidR="00290CE3" w:rsidRPr="00BF4A51" w:rsidRDefault="00DC142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819.875</w:t>
            </w:r>
          </w:p>
        </w:tc>
        <w:tc>
          <w:tcPr>
            <w:tcW w:w="993" w:type="dxa"/>
          </w:tcPr>
          <w:p w14:paraId="69C74773" w14:textId="10644C1C" w:rsidR="00290CE3" w:rsidRPr="00BF4A51" w:rsidRDefault="00DC142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864.875</w:t>
            </w:r>
          </w:p>
        </w:tc>
        <w:tc>
          <w:tcPr>
            <w:tcW w:w="892" w:type="dxa"/>
          </w:tcPr>
          <w:p w14:paraId="1D0CF66C" w14:textId="11E0D691" w:rsidR="00290CE3" w:rsidRPr="00BF4A51" w:rsidRDefault="00DC142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819.200</w:t>
            </w:r>
          </w:p>
        </w:tc>
        <w:tc>
          <w:tcPr>
            <w:tcW w:w="851" w:type="dxa"/>
            <w:gridSpan w:val="2"/>
          </w:tcPr>
          <w:p w14:paraId="15565970" w14:textId="7A15CEF3" w:rsidR="00290CE3" w:rsidRPr="00BF4A51" w:rsidRDefault="00DC142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864.200</w:t>
            </w:r>
          </w:p>
        </w:tc>
        <w:tc>
          <w:tcPr>
            <w:tcW w:w="850" w:type="dxa"/>
          </w:tcPr>
          <w:p w14:paraId="2CB1ED1D" w14:textId="70BC5427" w:rsidR="00290CE3" w:rsidRPr="00BF4A51" w:rsidRDefault="0056276A"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819.450</w:t>
            </w:r>
          </w:p>
        </w:tc>
        <w:tc>
          <w:tcPr>
            <w:tcW w:w="851" w:type="dxa"/>
          </w:tcPr>
          <w:p w14:paraId="40E239B1" w14:textId="5E4D217B" w:rsidR="00290CE3" w:rsidRPr="00BF4A51" w:rsidRDefault="0056276A"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864.450</w:t>
            </w:r>
          </w:p>
        </w:tc>
      </w:tr>
      <w:tr w:rsidR="00290CE3" w:rsidRPr="00BF4A51" w14:paraId="53A92B13" w14:textId="77777777" w:rsidTr="00634985">
        <w:trPr>
          <w:jc w:val="center"/>
        </w:trPr>
        <w:tc>
          <w:tcPr>
            <w:tcW w:w="850" w:type="dxa"/>
          </w:tcPr>
          <w:p w14:paraId="4CDDFD0D" w14:textId="7ED293F0" w:rsidR="00290CE3" w:rsidRPr="00BF4A51" w:rsidRDefault="00290CE3"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820.625</w:t>
            </w:r>
          </w:p>
        </w:tc>
        <w:tc>
          <w:tcPr>
            <w:tcW w:w="851" w:type="dxa"/>
          </w:tcPr>
          <w:p w14:paraId="7B41C49E" w14:textId="3110D4B2" w:rsidR="00290CE3" w:rsidRPr="00BF4A51" w:rsidRDefault="00290CE3"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865.625</w:t>
            </w:r>
          </w:p>
        </w:tc>
        <w:tc>
          <w:tcPr>
            <w:tcW w:w="850" w:type="dxa"/>
          </w:tcPr>
          <w:p w14:paraId="2520ECFE" w14:textId="55AB4983" w:rsidR="00290CE3" w:rsidRPr="00BF4A51" w:rsidRDefault="00DC142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820.875</w:t>
            </w:r>
          </w:p>
        </w:tc>
        <w:tc>
          <w:tcPr>
            <w:tcW w:w="993" w:type="dxa"/>
          </w:tcPr>
          <w:p w14:paraId="7B308F08" w14:textId="11B24883" w:rsidR="00290CE3" w:rsidRPr="00BF4A51" w:rsidRDefault="00DC142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865.875</w:t>
            </w:r>
          </w:p>
        </w:tc>
        <w:tc>
          <w:tcPr>
            <w:tcW w:w="892" w:type="dxa"/>
          </w:tcPr>
          <w:p w14:paraId="10EC200B" w14:textId="456E7A54" w:rsidR="00290CE3" w:rsidRPr="00BF4A51" w:rsidRDefault="00DC142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820.200</w:t>
            </w:r>
          </w:p>
        </w:tc>
        <w:tc>
          <w:tcPr>
            <w:tcW w:w="851" w:type="dxa"/>
            <w:gridSpan w:val="2"/>
          </w:tcPr>
          <w:p w14:paraId="4D95FC78" w14:textId="786AFBC6" w:rsidR="00290CE3" w:rsidRPr="00BF4A51" w:rsidRDefault="00DC142F"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865.200</w:t>
            </w:r>
          </w:p>
        </w:tc>
        <w:tc>
          <w:tcPr>
            <w:tcW w:w="850" w:type="dxa"/>
          </w:tcPr>
          <w:p w14:paraId="0E036376" w14:textId="736A6259" w:rsidR="00290CE3" w:rsidRPr="00BF4A51" w:rsidRDefault="0056276A"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820.450</w:t>
            </w:r>
          </w:p>
        </w:tc>
        <w:tc>
          <w:tcPr>
            <w:tcW w:w="851" w:type="dxa"/>
          </w:tcPr>
          <w:p w14:paraId="330B4D81" w14:textId="38F9AABC" w:rsidR="00290CE3" w:rsidRPr="00BF4A51" w:rsidRDefault="0056276A" w:rsidP="00BF4A51">
            <w:pPr>
              <w:pStyle w:val="Prrafodelista"/>
              <w:ind w:left="0"/>
              <w:jc w:val="center"/>
              <w:rPr>
                <w:rFonts w:ascii="ITC Avant Garde" w:hAnsi="ITC Avant Garde"/>
                <w:bCs/>
                <w:color w:val="000000"/>
                <w:sz w:val="14"/>
                <w:szCs w:val="14"/>
                <w:lang w:eastAsia="es-MX"/>
              </w:rPr>
            </w:pPr>
            <w:r w:rsidRPr="00BF4A51">
              <w:rPr>
                <w:rFonts w:ascii="ITC Avant Garde" w:hAnsi="ITC Avant Garde"/>
                <w:bCs/>
                <w:color w:val="000000"/>
                <w:sz w:val="14"/>
                <w:szCs w:val="14"/>
                <w:lang w:eastAsia="es-MX"/>
              </w:rPr>
              <w:t>865.450</w:t>
            </w:r>
          </w:p>
        </w:tc>
      </w:tr>
    </w:tbl>
    <w:p w14:paraId="6B734CF8" w14:textId="77777777" w:rsidR="00BF4A51" w:rsidRPr="00BF4A51" w:rsidRDefault="00DB7A12" w:rsidP="00BF4A51">
      <w:pPr>
        <w:numPr>
          <w:ilvl w:val="0"/>
          <w:numId w:val="3"/>
        </w:numPr>
        <w:spacing w:before="240" w:line="240" w:lineRule="auto"/>
        <w:ind w:left="567"/>
        <w:jc w:val="both"/>
        <w:rPr>
          <w:rFonts w:ascii="ITC Avant Garde" w:hAnsi="ITC Avant Garde"/>
          <w:b/>
          <w:bCs/>
          <w:color w:val="000000"/>
          <w:lang w:eastAsia="es-MX"/>
        </w:rPr>
      </w:pPr>
      <w:r w:rsidRPr="00BF4A51">
        <w:rPr>
          <w:rFonts w:ascii="ITC Avant Garde" w:hAnsi="ITC Avant Garde"/>
          <w:b/>
          <w:bCs/>
          <w:color w:val="000000"/>
          <w:lang w:eastAsia="es-MX"/>
        </w:rPr>
        <w:t>Solicitud de Prórroga.</w:t>
      </w:r>
      <w:r w:rsidRPr="00BF4A51">
        <w:rPr>
          <w:rFonts w:ascii="ITC Avant Garde" w:hAnsi="ITC Avant Garde"/>
          <w:bCs/>
          <w:color w:val="000000" w:themeColor="text1"/>
          <w:lang w:eastAsia="es-MX"/>
        </w:rPr>
        <w:t xml:space="preserve"> </w:t>
      </w:r>
      <w:r w:rsidR="000373B7" w:rsidRPr="00BF4A51">
        <w:rPr>
          <w:rFonts w:ascii="ITC Avant Garde" w:hAnsi="ITC Avant Garde"/>
          <w:bCs/>
          <w:color w:val="000000"/>
          <w:lang w:eastAsia="es-MX"/>
        </w:rPr>
        <w:t xml:space="preserve">El 12 de septiembre de 2012, el representante legal de </w:t>
      </w:r>
      <w:r w:rsidR="00C92219" w:rsidRPr="00BF4A51">
        <w:rPr>
          <w:rFonts w:ascii="ITC Avant Garde" w:hAnsi="ITC Avant Garde"/>
          <w:bCs/>
          <w:color w:val="000000"/>
          <w:lang w:eastAsia="es-MX"/>
        </w:rPr>
        <w:t xml:space="preserve">Inversiones </w:t>
      </w:r>
      <w:r w:rsidR="000373B7" w:rsidRPr="00BF4A51">
        <w:rPr>
          <w:rFonts w:ascii="ITC Avant Garde" w:hAnsi="ITC Avant Garde"/>
          <w:bCs/>
          <w:color w:val="000000"/>
          <w:lang w:eastAsia="es-MX"/>
        </w:rPr>
        <w:t>Nextel</w:t>
      </w:r>
      <w:r w:rsidR="001C505C" w:rsidRPr="00BF4A51">
        <w:rPr>
          <w:rFonts w:ascii="ITC Avant Garde" w:hAnsi="ITC Avant Garde"/>
          <w:bCs/>
          <w:color w:val="000000"/>
          <w:lang w:eastAsia="es-MX"/>
        </w:rPr>
        <w:t xml:space="preserve"> de México</w:t>
      </w:r>
      <w:r w:rsidR="00C92219" w:rsidRPr="00BF4A51">
        <w:rPr>
          <w:rFonts w:ascii="ITC Avant Garde" w:hAnsi="ITC Avant Garde"/>
          <w:bCs/>
          <w:color w:val="000000"/>
          <w:lang w:eastAsia="es-MX"/>
        </w:rPr>
        <w:t>, S.A. de C.V.</w:t>
      </w:r>
      <w:r w:rsidR="000373B7" w:rsidRPr="00BF4A51">
        <w:rPr>
          <w:rFonts w:ascii="ITC Avant Garde" w:hAnsi="ITC Avant Garde"/>
          <w:bCs/>
          <w:color w:val="000000"/>
          <w:lang w:eastAsia="es-MX"/>
        </w:rPr>
        <w:t xml:space="preserve"> presentó ante la Secretaría escrito por el que solicitó la prórroga de vigencia de la Concesión (la “Solicitud de Prórroga”), mismo que fue remitido el 1 de octubre de 2012 a la extinta Comisión Federal de Telecomunicaciones (la “Comisión”), por la Dirección General de Política de Telecomunicaciones y de Radiodifusión de la Secretaría</w:t>
      </w:r>
      <w:r w:rsidR="00C92219" w:rsidRPr="00BF4A51">
        <w:rPr>
          <w:rFonts w:ascii="ITC Avant Garde" w:hAnsi="ITC Avant Garde"/>
          <w:bCs/>
          <w:color w:val="000000"/>
          <w:lang w:eastAsia="es-MX"/>
        </w:rPr>
        <w:t>,</w:t>
      </w:r>
      <w:r w:rsidR="000373B7" w:rsidRPr="00BF4A51">
        <w:rPr>
          <w:rFonts w:ascii="ITC Avant Garde" w:hAnsi="ITC Avant Garde"/>
          <w:bCs/>
          <w:color w:val="000000"/>
          <w:lang w:eastAsia="es-MX"/>
        </w:rPr>
        <w:t xml:space="preserve"> mediante el oficio 2.1.203.-462</w:t>
      </w:r>
      <w:r w:rsidR="00325AD0" w:rsidRPr="00BF4A51">
        <w:rPr>
          <w:rFonts w:ascii="ITC Avant Garde" w:hAnsi="ITC Avant Garde"/>
          <w:bCs/>
          <w:color w:val="000000"/>
          <w:lang w:eastAsia="es-MX"/>
        </w:rPr>
        <w:t>4</w:t>
      </w:r>
      <w:r w:rsidR="000373B7" w:rsidRPr="00BF4A51">
        <w:rPr>
          <w:rFonts w:ascii="ITC Avant Garde" w:hAnsi="ITC Avant Garde"/>
          <w:bCs/>
          <w:color w:val="000000"/>
          <w:lang w:eastAsia="es-MX"/>
        </w:rPr>
        <w:t>.</w:t>
      </w:r>
    </w:p>
    <w:p w14:paraId="1EB1A90D" w14:textId="77777777" w:rsidR="00BF4A51" w:rsidRPr="00BF4A51" w:rsidRDefault="007A132C" w:rsidP="00BF4A51">
      <w:pPr>
        <w:numPr>
          <w:ilvl w:val="0"/>
          <w:numId w:val="3"/>
        </w:numPr>
        <w:spacing w:before="240" w:line="240" w:lineRule="auto"/>
        <w:ind w:left="567"/>
        <w:jc w:val="both"/>
        <w:rPr>
          <w:rFonts w:ascii="ITC Avant Garde" w:hAnsi="ITC Avant Garde"/>
          <w:b/>
          <w:bCs/>
          <w:color w:val="000000"/>
          <w:lang w:eastAsia="es-MX"/>
        </w:rPr>
      </w:pPr>
      <w:r w:rsidRPr="00BF4A51">
        <w:rPr>
          <w:rFonts w:ascii="ITC Avant Garde" w:hAnsi="ITC Avant Garde"/>
          <w:b/>
          <w:bCs/>
          <w:color w:val="000000"/>
          <w:lang w:eastAsia="es-MX"/>
        </w:rPr>
        <w:t xml:space="preserve">Decreto de Reforma Constitucional. </w:t>
      </w:r>
      <w:r w:rsidRPr="00BF4A51">
        <w:rPr>
          <w:rFonts w:ascii="ITC Avant Garde" w:hAnsi="ITC Avant Garde"/>
          <w:bCs/>
          <w:color w:val="000000"/>
          <w:lang w:eastAsia="es-MX"/>
        </w:rPr>
        <w:t xml:space="preserve">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w:t>
      </w:r>
      <w:r w:rsidRPr="00BF4A51">
        <w:rPr>
          <w:rFonts w:ascii="ITC Avant Garde" w:hAnsi="ITC Avant Garde"/>
          <w:lang w:eastAsia="es-MX"/>
        </w:rPr>
        <w:t>como un órgano autónomo que tiene por objeto el desarrollo eficiente de la radiodifusión y las telecomunicaciones</w:t>
      </w:r>
      <w:r w:rsidRPr="00BF4A51">
        <w:rPr>
          <w:rFonts w:ascii="ITC Avant Garde" w:hAnsi="ITC Avant Garde"/>
          <w:bCs/>
          <w:color w:val="000000"/>
          <w:lang w:eastAsia="es-MX"/>
        </w:rPr>
        <w:t>.</w:t>
      </w:r>
    </w:p>
    <w:p w14:paraId="53DFCEE2" w14:textId="415CC300" w:rsidR="007A132C" w:rsidRPr="00BF4A51" w:rsidRDefault="007A132C" w:rsidP="00BF4A51">
      <w:pPr>
        <w:numPr>
          <w:ilvl w:val="0"/>
          <w:numId w:val="3"/>
        </w:numPr>
        <w:spacing w:before="240" w:line="240" w:lineRule="auto"/>
        <w:ind w:left="567"/>
        <w:jc w:val="both"/>
        <w:rPr>
          <w:rFonts w:ascii="ITC Avant Garde" w:hAnsi="ITC Avant Garde"/>
          <w:b/>
          <w:bCs/>
          <w:color w:val="000000"/>
          <w:lang w:eastAsia="es-MX"/>
        </w:rPr>
      </w:pPr>
      <w:r w:rsidRPr="00BF4A51">
        <w:rPr>
          <w:rFonts w:ascii="ITC Avant Garde" w:hAnsi="ITC Avant Garde"/>
          <w:b/>
          <w:bCs/>
          <w:color w:val="000000"/>
          <w:lang w:eastAsia="es-MX"/>
        </w:rPr>
        <w:t xml:space="preserve">Modificación de Estatutos Sociales. </w:t>
      </w:r>
      <w:r w:rsidRPr="00BF4A51">
        <w:rPr>
          <w:rFonts w:ascii="ITC Avant Garde" w:hAnsi="ITC Avant Garde"/>
          <w:bCs/>
          <w:color w:val="000000"/>
          <w:lang w:eastAsia="es-MX"/>
        </w:rPr>
        <w:t xml:space="preserve">El 5 de agosto de 2013, la </w:t>
      </w:r>
      <w:r w:rsidR="001C505C" w:rsidRPr="00BF4A51">
        <w:rPr>
          <w:rFonts w:ascii="ITC Avant Garde" w:hAnsi="ITC Avant Garde"/>
          <w:bCs/>
          <w:color w:val="000000"/>
          <w:lang w:eastAsia="es-MX"/>
        </w:rPr>
        <w:t xml:space="preserve">Dirección General Política de Telecomunicaciones y de Radiodifusión de la </w:t>
      </w:r>
      <w:r w:rsidRPr="00BF4A51">
        <w:rPr>
          <w:rFonts w:ascii="ITC Avant Garde" w:hAnsi="ITC Avant Garde"/>
          <w:bCs/>
          <w:color w:val="000000"/>
          <w:lang w:eastAsia="es-MX"/>
        </w:rPr>
        <w:t>Secretaría</w:t>
      </w:r>
      <w:r w:rsidR="001C505C" w:rsidRPr="00BF4A51">
        <w:rPr>
          <w:rFonts w:ascii="ITC Avant Garde" w:hAnsi="ITC Avant Garde"/>
          <w:bCs/>
          <w:color w:val="000000"/>
          <w:lang w:eastAsia="es-MX"/>
        </w:rPr>
        <w:t>,</w:t>
      </w:r>
      <w:r w:rsidRPr="00BF4A51">
        <w:rPr>
          <w:rFonts w:ascii="ITC Avant Garde" w:hAnsi="ITC Avant Garde"/>
          <w:bCs/>
          <w:color w:val="000000"/>
          <w:lang w:eastAsia="es-MX"/>
        </w:rPr>
        <w:t xml:space="preserve"> autorizó la modificación de los estatutos sociales de </w:t>
      </w:r>
      <w:r w:rsidR="001C505C" w:rsidRPr="00BF4A51">
        <w:rPr>
          <w:rFonts w:ascii="ITC Avant Garde" w:hAnsi="ITC Avant Garde"/>
          <w:bCs/>
          <w:color w:val="000000"/>
          <w:lang w:eastAsia="es-MX"/>
        </w:rPr>
        <w:t>Inversiones Nextel de México, S.A. de C.V.</w:t>
      </w:r>
      <w:r w:rsidRPr="00BF4A51">
        <w:rPr>
          <w:rFonts w:ascii="ITC Avant Garde" w:hAnsi="ITC Avant Garde"/>
          <w:bCs/>
          <w:color w:val="000000"/>
          <w:lang w:eastAsia="es-MX"/>
        </w:rPr>
        <w:t xml:space="preserve">, específicamente su transformación de una Sociedad Anónima de Capital Variable a una Sociedad de Responsabilidad Limitada de Capital Variable, para quedar como Inversiones Nextel </w:t>
      </w:r>
      <w:r w:rsidR="001C505C" w:rsidRPr="00BF4A51">
        <w:rPr>
          <w:rFonts w:ascii="ITC Avant Garde" w:hAnsi="ITC Avant Garde"/>
          <w:bCs/>
          <w:color w:val="000000"/>
          <w:lang w:eastAsia="es-MX"/>
        </w:rPr>
        <w:t xml:space="preserve">de México, </w:t>
      </w:r>
      <w:r w:rsidRPr="00BF4A51">
        <w:rPr>
          <w:rFonts w:ascii="ITC Avant Garde" w:hAnsi="ITC Avant Garde"/>
          <w:bCs/>
          <w:color w:val="000000"/>
          <w:lang w:eastAsia="es-MX"/>
        </w:rPr>
        <w:t>S. de R.L. de C.V.</w:t>
      </w:r>
    </w:p>
    <w:p w14:paraId="75B51C0D" w14:textId="77777777" w:rsidR="00BF4A51" w:rsidRPr="00BF4A51" w:rsidRDefault="000E1116" w:rsidP="00BF4A51">
      <w:pPr>
        <w:numPr>
          <w:ilvl w:val="0"/>
          <w:numId w:val="3"/>
        </w:numPr>
        <w:spacing w:before="240" w:line="240" w:lineRule="auto"/>
        <w:ind w:left="567"/>
        <w:jc w:val="both"/>
        <w:rPr>
          <w:rFonts w:ascii="ITC Avant Garde" w:hAnsi="ITC Avant Garde"/>
          <w:b/>
          <w:bCs/>
          <w:color w:val="000000"/>
          <w:lang w:eastAsia="es-MX"/>
        </w:rPr>
      </w:pPr>
      <w:r w:rsidRPr="00BF4A51">
        <w:rPr>
          <w:rFonts w:ascii="ITC Avant Garde" w:hAnsi="ITC Avant Garde"/>
          <w:b/>
          <w:bCs/>
          <w:color w:val="000000" w:themeColor="text1"/>
          <w:lang w:eastAsia="es-MX"/>
        </w:rPr>
        <w:t xml:space="preserve">Decreto de Ley. </w:t>
      </w:r>
      <w:r w:rsidRPr="00BF4A51">
        <w:rPr>
          <w:rFonts w:ascii="ITC Avant Garde" w:hAnsi="ITC Avant Garde"/>
          <w:bCs/>
          <w:color w:val="000000" w:themeColor="text1"/>
          <w:lang w:eastAsia="es-MX"/>
        </w:rPr>
        <w:t xml:space="preserve">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w:t>
      </w:r>
      <w:r w:rsidRPr="00BF4A51">
        <w:rPr>
          <w:rFonts w:ascii="ITC Avant Garde" w:hAnsi="ITC Avant Garde"/>
          <w:bCs/>
          <w:color w:val="000000" w:themeColor="text1"/>
          <w:lang w:eastAsia="es-MX"/>
        </w:rPr>
        <w:lastRenderedPageBreak/>
        <w:t>telecomunicaciones y radiodifusión” (el “Decreto de Ley”), mismo que entró en vigor el 13 de agosto de 2014.</w:t>
      </w:r>
    </w:p>
    <w:p w14:paraId="2A94B0DA" w14:textId="77777777" w:rsidR="00BF4A51" w:rsidRPr="00BF4A51" w:rsidRDefault="000E1116" w:rsidP="00BF4A51">
      <w:pPr>
        <w:numPr>
          <w:ilvl w:val="0"/>
          <w:numId w:val="3"/>
        </w:numPr>
        <w:spacing w:before="240" w:line="240" w:lineRule="auto"/>
        <w:ind w:left="567"/>
        <w:jc w:val="both"/>
        <w:rPr>
          <w:rFonts w:ascii="ITC Avant Garde" w:hAnsi="ITC Avant Garde"/>
          <w:bCs/>
          <w:color w:val="000000"/>
          <w:lang w:eastAsia="es-MX"/>
        </w:rPr>
      </w:pPr>
      <w:r w:rsidRPr="00BF4A51">
        <w:rPr>
          <w:rFonts w:ascii="ITC Avant Garde" w:hAnsi="ITC Avant Garde" w:cs="Arial"/>
          <w:b/>
          <w:bCs/>
          <w:color w:val="000000"/>
          <w:shd w:val="clear" w:color="auto" w:fill="FFFFFF"/>
        </w:rPr>
        <w:t>Estatuto Orgánico.</w:t>
      </w:r>
      <w:r w:rsidRPr="00BF4A51">
        <w:rPr>
          <w:rStyle w:val="apple-converted-space"/>
          <w:rFonts w:ascii="ITC Avant Garde" w:hAnsi="ITC Avant Garde" w:cs="Arial"/>
          <w:b/>
          <w:bCs/>
          <w:color w:val="000000"/>
          <w:shd w:val="clear" w:color="auto" w:fill="FFFFFF"/>
        </w:rPr>
        <w:t xml:space="preserve"> </w:t>
      </w:r>
      <w:r w:rsidRPr="00BF4A51">
        <w:rPr>
          <w:rFonts w:ascii="ITC Avant Garde" w:hAnsi="ITC Avant Garde"/>
          <w:color w:val="000000"/>
          <w:shd w:val="clear" w:color="auto" w:fill="FFFFFF"/>
        </w:rPr>
        <w:t>El 4 de septiembre de 2014, se publicó en el Diario Oficial de la Federación el “Estatuto Orgánico del Instituto Federal de Telecomunicaciones” (el “Estatuto Orgánico”), mismo que entró en vigor el 26 de septiembre de 2014</w:t>
      </w:r>
      <w:r w:rsidR="0032206A" w:rsidRPr="00BF4A51">
        <w:rPr>
          <w:rFonts w:ascii="ITC Avant Garde" w:hAnsi="ITC Avant Garde"/>
          <w:color w:val="000000"/>
          <w:shd w:val="clear" w:color="auto" w:fill="FFFFFF"/>
        </w:rPr>
        <w:t xml:space="preserve"> y fue modificado por última vez el 17 de octubre del 2016.</w:t>
      </w:r>
    </w:p>
    <w:p w14:paraId="3E20ED2E" w14:textId="77777777" w:rsidR="00BF4A51" w:rsidRPr="00BF4A51" w:rsidRDefault="001C505C" w:rsidP="00BF4A51">
      <w:pPr>
        <w:numPr>
          <w:ilvl w:val="0"/>
          <w:numId w:val="3"/>
        </w:numPr>
        <w:spacing w:before="240" w:line="240" w:lineRule="auto"/>
        <w:ind w:left="567"/>
        <w:jc w:val="both"/>
        <w:rPr>
          <w:rFonts w:ascii="ITC Avant Garde" w:hAnsi="ITC Avant Garde"/>
          <w:bCs/>
          <w:color w:val="000000"/>
          <w:lang w:eastAsia="es-MX"/>
        </w:rPr>
      </w:pPr>
      <w:r w:rsidRPr="00BF4A51">
        <w:rPr>
          <w:rFonts w:ascii="ITC Avant Garde" w:hAnsi="ITC Avant Garde"/>
          <w:b/>
          <w:bCs/>
          <w:color w:val="000000"/>
          <w:lang w:eastAsia="es-MX"/>
        </w:rPr>
        <w:t xml:space="preserve">Primera </w:t>
      </w:r>
      <w:r w:rsidR="00F64809" w:rsidRPr="00BF4A51">
        <w:rPr>
          <w:rFonts w:ascii="ITC Avant Garde" w:hAnsi="ITC Avant Garde"/>
          <w:b/>
          <w:bCs/>
          <w:color w:val="000000"/>
          <w:lang w:eastAsia="es-MX"/>
        </w:rPr>
        <w:t>Cesión de Derechos y Obligaciones de la Concesi</w:t>
      </w:r>
      <w:r w:rsidR="002F610C" w:rsidRPr="00BF4A51">
        <w:rPr>
          <w:rFonts w:ascii="ITC Avant Garde" w:hAnsi="ITC Avant Garde"/>
          <w:b/>
          <w:bCs/>
          <w:color w:val="000000"/>
          <w:lang w:eastAsia="es-MX"/>
        </w:rPr>
        <w:t>ó</w:t>
      </w:r>
      <w:r w:rsidR="00F64809" w:rsidRPr="00BF4A51">
        <w:rPr>
          <w:rFonts w:ascii="ITC Avant Garde" w:hAnsi="ITC Avant Garde"/>
          <w:b/>
          <w:bCs/>
          <w:color w:val="000000"/>
          <w:lang w:eastAsia="es-MX"/>
        </w:rPr>
        <w:t>n</w:t>
      </w:r>
      <w:r w:rsidR="00F64809" w:rsidRPr="00BF4A51">
        <w:rPr>
          <w:rFonts w:ascii="ITC Avant Garde" w:hAnsi="ITC Avant Garde"/>
          <w:bCs/>
          <w:color w:val="000000"/>
          <w:lang w:eastAsia="es-MX"/>
        </w:rPr>
        <w:t>. El 6 de febrero de 2015, la Dirección General Adjunta del Registro Público de Telecomunicaciones, adscrita a la Unidad de Concesiones y Servicios d</w:t>
      </w:r>
      <w:r w:rsidR="00EC0253" w:rsidRPr="00BF4A51">
        <w:rPr>
          <w:rFonts w:ascii="ITC Avant Garde" w:hAnsi="ITC Avant Garde"/>
          <w:bCs/>
          <w:color w:val="000000"/>
          <w:lang w:eastAsia="es-MX"/>
        </w:rPr>
        <w:t xml:space="preserve">el Instituto, </w:t>
      </w:r>
      <w:r w:rsidRPr="00BF4A51">
        <w:rPr>
          <w:rFonts w:ascii="ITC Avant Garde" w:hAnsi="ITC Avant Garde"/>
          <w:bCs/>
          <w:color w:val="000000"/>
          <w:lang w:eastAsia="es-MX"/>
        </w:rPr>
        <w:t>inscribi</w:t>
      </w:r>
      <w:r w:rsidR="00EC0253" w:rsidRPr="00BF4A51">
        <w:rPr>
          <w:rFonts w:ascii="ITC Avant Garde" w:hAnsi="ITC Avant Garde"/>
          <w:bCs/>
          <w:color w:val="000000"/>
          <w:lang w:eastAsia="es-MX"/>
        </w:rPr>
        <w:t xml:space="preserve">ó </w:t>
      </w:r>
      <w:r w:rsidRPr="00BF4A51">
        <w:rPr>
          <w:rFonts w:ascii="ITC Avant Garde" w:hAnsi="ITC Avant Garde"/>
          <w:bCs/>
          <w:color w:val="000000"/>
          <w:lang w:eastAsia="es-MX"/>
        </w:rPr>
        <w:t>en el Registro Público de Concesiones la c</w:t>
      </w:r>
      <w:r w:rsidR="00EC0253" w:rsidRPr="00BF4A51">
        <w:rPr>
          <w:rFonts w:ascii="ITC Avant Garde" w:hAnsi="ITC Avant Garde"/>
          <w:bCs/>
          <w:color w:val="000000"/>
          <w:lang w:eastAsia="es-MX"/>
        </w:rPr>
        <w:t>onstancia</w:t>
      </w:r>
      <w:r w:rsidR="00F64809" w:rsidRPr="00BF4A51">
        <w:rPr>
          <w:rFonts w:ascii="ITC Avant Garde" w:hAnsi="ITC Avant Garde"/>
          <w:bCs/>
          <w:color w:val="000000"/>
          <w:lang w:eastAsia="es-MX"/>
        </w:rPr>
        <w:t xml:space="preserve"> de </w:t>
      </w:r>
      <w:r w:rsidRPr="00BF4A51">
        <w:rPr>
          <w:rFonts w:ascii="ITC Avant Garde" w:hAnsi="ITC Avant Garde"/>
          <w:bCs/>
          <w:color w:val="000000"/>
          <w:lang w:eastAsia="es-MX"/>
        </w:rPr>
        <w:t>i</w:t>
      </w:r>
      <w:r w:rsidR="00F64809" w:rsidRPr="00BF4A51">
        <w:rPr>
          <w:rFonts w:ascii="ITC Avant Garde" w:hAnsi="ITC Avant Garde"/>
          <w:bCs/>
          <w:color w:val="000000"/>
          <w:lang w:eastAsia="es-MX"/>
        </w:rPr>
        <w:t>nscripción número 009</w:t>
      </w:r>
      <w:r w:rsidR="00325AD0" w:rsidRPr="00BF4A51">
        <w:rPr>
          <w:rFonts w:ascii="ITC Avant Garde" w:hAnsi="ITC Avant Garde"/>
          <w:bCs/>
          <w:color w:val="000000"/>
          <w:lang w:eastAsia="es-MX"/>
        </w:rPr>
        <w:t>279</w:t>
      </w:r>
      <w:r w:rsidR="00F64809" w:rsidRPr="00BF4A51">
        <w:rPr>
          <w:rFonts w:ascii="ITC Avant Garde" w:hAnsi="ITC Avant Garde"/>
          <w:bCs/>
          <w:color w:val="000000"/>
          <w:lang w:eastAsia="es-MX"/>
        </w:rPr>
        <w:t xml:space="preserve">, en la cual </w:t>
      </w:r>
      <w:r w:rsidR="00EC0253" w:rsidRPr="00BF4A51">
        <w:rPr>
          <w:rFonts w:ascii="ITC Avant Garde" w:hAnsi="ITC Avant Garde"/>
          <w:bCs/>
          <w:color w:val="000000"/>
          <w:lang w:eastAsia="es-MX"/>
        </w:rPr>
        <w:t xml:space="preserve">se </w:t>
      </w:r>
      <w:r w:rsidR="00F64809" w:rsidRPr="00BF4A51">
        <w:rPr>
          <w:rFonts w:ascii="ITC Avant Garde" w:hAnsi="ITC Avant Garde"/>
          <w:bCs/>
          <w:color w:val="000000"/>
          <w:lang w:eastAsia="es-MX"/>
        </w:rPr>
        <w:t xml:space="preserve">hace constar la </w:t>
      </w:r>
      <w:r w:rsidR="00811963" w:rsidRPr="00BF4A51">
        <w:rPr>
          <w:rFonts w:ascii="ITC Avant Garde" w:hAnsi="ITC Avant Garde"/>
          <w:bCs/>
          <w:color w:val="000000"/>
          <w:lang w:eastAsia="es-MX"/>
        </w:rPr>
        <w:t>c</w:t>
      </w:r>
      <w:r w:rsidR="00F64809" w:rsidRPr="00BF4A51">
        <w:rPr>
          <w:rFonts w:ascii="ITC Avant Garde" w:hAnsi="ITC Avant Garde"/>
          <w:bCs/>
          <w:color w:val="000000"/>
          <w:lang w:eastAsia="es-MX"/>
        </w:rPr>
        <w:t xml:space="preserve">esión de </w:t>
      </w:r>
      <w:r w:rsidR="00811963" w:rsidRPr="00BF4A51">
        <w:rPr>
          <w:rFonts w:ascii="ITC Avant Garde" w:hAnsi="ITC Avant Garde"/>
          <w:bCs/>
          <w:color w:val="000000"/>
          <w:lang w:eastAsia="es-MX"/>
        </w:rPr>
        <w:t>d</w:t>
      </w:r>
      <w:r w:rsidR="00F64809" w:rsidRPr="00BF4A51">
        <w:rPr>
          <w:rFonts w:ascii="ITC Avant Garde" w:hAnsi="ITC Avant Garde"/>
          <w:bCs/>
          <w:color w:val="000000"/>
          <w:lang w:eastAsia="es-MX"/>
        </w:rPr>
        <w:t xml:space="preserve">erechos y </w:t>
      </w:r>
      <w:r w:rsidR="00811963" w:rsidRPr="00BF4A51">
        <w:rPr>
          <w:rFonts w:ascii="ITC Avant Garde" w:hAnsi="ITC Avant Garde"/>
          <w:bCs/>
          <w:color w:val="000000"/>
          <w:lang w:eastAsia="es-MX"/>
        </w:rPr>
        <w:t>o</w:t>
      </w:r>
      <w:r w:rsidR="00F64809" w:rsidRPr="00BF4A51">
        <w:rPr>
          <w:rFonts w:ascii="ITC Avant Garde" w:hAnsi="ITC Avant Garde"/>
          <w:bCs/>
          <w:color w:val="000000"/>
          <w:lang w:eastAsia="es-MX"/>
        </w:rPr>
        <w:t>bligaciones de la Concesión</w:t>
      </w:r>
      <w:r w:rsidR="000E07D0" w:rsidRPr="00BF4A51">
        <w:rPr>
          <w:rFonts w:ascii="ITC Avant Garde" w:hAnsi="ITC Avant Garde"/>
          <w:bCs/>
          <w:color w:val="000000"/>
          <w:lang w:eastAsia="es-MX"/>
        </w:rPr>
        <w:t>,</w:t>
      </w:r>
      <w:r w:rsidR="00F64809" w:rsidRPr="00BF4A51">
        <w:rPr>
          <w:rFonts w:ascii="ITC Avant Garde" w:hAnsi="ITC Avant Garde"/>
          <w:bCs/>
          <w:color w:val="000000"/>
          <w:lang w:eastAsia="es-MX"/>
        </w:rPr>
        <w:t xml:space="preserve"> </w:t>
      </w:r>
      <w:r w:rsidR="000E07D0" w:rsidRPr="00BF4A51">
        <w:rPr>
          <w:rFonts w:ascii="ITC Avant Garde" w:hAnsi="ITC Avant Garde"/>
          <w:bCs/>
          <w:color w:val="000000"/>
          <w:lang w:eastAsia="es-MX"/>
        </w:rPr>
        <w:t xml:space="preserve">por fusión de empresas dentro del mismo grupo de control o agente económico, </w:t>
      </w:r>
      <w:r w:rsidR="00F64809" w:rsidRPr="00BF4A51">
        <w:rPr>
          <w:rFonts w:ascii="ITC Avant Garde" w:hAnsi="ITC Avant Garde"/>
          <w:bCs/>
          <w:color w:val="000000"/>
          <w:lang w:eastAsia="es-MX"/>
        </w:rPr>
        <w:t>a favor de NII Telecom, S. de R.L. de C.V.</w:t>
      </w:r>
    </w:p>
    <w:p w14:paraId="470208AA" w14:textId="77777777" w:rsidR="00BF4A51" w:rsidRPr="00BF4A51" w:rsidRDefault="000E1116" w:rsidP="00BF4A51">
      <w:pPr>
        <w:numPr>
          <w:ilvl w:val="0"/>
          <w:numId w:val="3"/>
        </w:numPr>
        <w:spacing w:before="240" w:line="240" w:lineRule="auto"/>
        <w:ind w:left="567"/>
        <w:jc w:val="both"/>
        <w:rPr>
          <w:rFonts w:ascii="ITC Avant Garde" w:hAnsi="ITC Avant Garde"/>
          <w:b/>
          <w:bCs/>
          <w:color w:val="000000"/>
          <w:lang w:eastAsia="es-MX"/>
        </w:rPr>
      </w:pPr>
      <w:r w:rsidRPr="00BF4A51">
        <w:rPr>
          <w:rFonts w:ascii="ITC Avant Garde" w:hAnsi="ITC Avant Garde"/>
          <w:b/>
          <w:bCs/>
          <w:color w:val="000000"/>
          <w:lang w:eastAsia="es-MX"/>
        </w:rPr>
        <w:t xml:space="preserve">Opinión en Materia de Competencia Económica.- </w:t>
      </w:r>
      <w:r w:rsidRPr="00BF4A51">
        <w:rPr>
          <w:rFonts w:ascii="ITC Avant Garde" w:hAnsi="ITC Avant Garde"/>
          <w:bCs/>
          <w:color w:val="000000"/>
          <w:lang w:eastAsia="es-MX"/>
        </w:rPr>
        <w:t>Con oficio IFT/226/UCE/DG-CCON/141/2015 de fecha 1 de julio de 2015, la Unidad de Competencia Económica, a través de la Dirección General de Concentraciones y Concesiones, emitió la opinión en ma</w:t>
      </w:r>
      <w:r w:rsidR="00EC0253" w:rsidRPr="00BF4A51">
        <w:rPr>
          <w:rFonts w:ascii="ITC Avant Garde" w:hAnsi="ITC Avant Garde"/>
          <w:bCs/>
          <w:color w:val="000000"/>
          <w:lang w:eastAsia="es-MX"/>
        </w:rPr>
        <w:t>teria de competencia económica</w:t>
      </w:r>
      <w:r w:rsidRPr="00BF4A51">
        <w:rPr>
          <w:rFonts w:ascii="ITC Avant Garde" w:hAnsi="ITC Avant Garde"/>
          <w:bCs/>
          <w:color w:val="000000"/>
          <w:lang w:eastAsia="es-MX"/>
        </w:rPr>
        <w:t xml:space="preserve"> respecto </w:t>
      </w:r>
      <w:r w:rsidR="00EC0253" w:rsidRPr="00BF4A51">
        <w:rPr>
          <w:rFonts w:ascii="ITC Avant Garde" w:hAnsi="ITC Avant Garde"/>
          <w:bCs/>
          <w:color w:val="000000"/>
          <w:lang w:eastAsia="es-MX"/>
        </w:rPr>
        <w:t xml:space="preserve">de </w:t>
      </w:r>
      <w:r w:rsidRPr="00BF4A51">
        <w:rPr>
          <w:rFonts w:ascii="ITC Avant Garde" w:hAnsi="ITC Avant Garde"/>
          <w:bCs/>
          <w:color w:val="000000"/>
          <w:lang w:eastAsia="es-MX"/>
        </w:rPr>
        <w:t>la Solicitud de Prórroga</w:t>
      </w:r>
      <w:r w:rsidR="000E07D0" w:rsidRPr="00BF4A51">
        <w:rPr>
          <w:rFonts w:ascii="ITC Avant Garde" w:hAnsi="ITC Avant Garde"/>
          <w:bCs/>
          <w:color w:val="000000"/>
          <w:lang w:eastAsia="es-MX"/>
        </w:rPr>
        <w:t>, en sentido favorable</w:t>
      </w:r>
      <w:r w:rsidRPr="00BF4A51">
        <w:rPr>
          <w:rFonts w:ascii="ITC Avant Garde" w:hAnsi="ITC Avant Garde"/>
          <w:bCs/>
          <w:color w:val="000000"/>
          <w:lang w:eastAsia="es-MX"/>
        </w:rPr>
        <w:t>.</w:t>
      </w:r>
    </w:p>
    <w:p w14:paraId="622CBF61" w14:textId="77777777" w:rsidR="00BF4A51" w:rsidRPr="00BF4A51" w:rsidRDefault="000E07D0" w:rsidP="00BF4A51">
      <w:pPr>
        <w:numPr>
          <w:ilvl w:val="0"/>
          <w:numId w:val="3"/>
        </w:numPr>
        <w:spacing w:before="240" w:line="240" w:lineRule="auto"/>
        <w:ind w:left="567"/>
        <w:jc w:val="both"/>
        <w:rPr>
          <w:rFonts w:ascii="ITC Avant Garde" w:hAnsi="ITC Avant Garde"/>
          <w:bCs/>
          <w:color w:val="000000"/>
          <w:lang w:eastAsia="es-MX"/>
        </w:rPr>
      </w:pPr>
      <w:r w:rsidRPr="00BF4A51">
        <w:rPr>
          <w:rFonts w:ascii="ITC Avant Garde" w:hAnsi="ITC Avant Garde"/>
          <w:b/>
          <w:bCs/>
          <w:lang w:eastAsia="es-MX"/>
        </w:rPr>
        <w:t xml:space="preserve">Dictamen </w:t>
      </w:r>
      <w:r w:rsidR="007476D8" w:rsidRPr="00BF4A51">
        <w:rPr>
          <w:rFonts w:ascii="ITC Avant Garde" w:hAnsi="ITC Avant Garde"/>
          <w:b/>
          <w:bCs/>
          <w:lang w:eastAsia="es-MX"/>
        </w:rPr>
        <w:t>en Materia de Cumplimiento de Obligaciones.</w:t>
      </w:r>
      <w:r w:rsidR="007476D8" w:rsidRPr="00BF4A51">
        <w:rPr>
          <w:rFonts w:ascii="ITC Avant Garde" w:hAnsi="ITC Avant Garde"/>
          <w:bCs/>
          <w:lang w:eastAsia="es-MX"/>
        </w:rPr>
        <w:t xml:space="preserve"> Con oficio IFT/225/UC/</w:t>
      </w:r>
      <w:r w:rsidR="00325AD0" w:rsidRPr="00BF4A51">
        <w:rPr>
          <w:rFonts w:ascii="ITC Avant Garde" w:hAnsi="ITC Avant Garde"/>
          <w:bCs/>
          <w:lang w:eastAsia="es-MX"/>
        </w:rPr>
        <w:t>2074</w:t>
      </w:r>
      <w:r w:rsidR="007476D8" w:rsidRPr="00BF4A51">
        <w:rPr>
          <w:rFonts w:ascii="ITC Avant Garde" w:hAnsi="ITC Avant Garde"/>
          <w:bCs/>
          <w:lang w:eastAsia="es-MX"/>
        </w:rPr>
        <w:t xml:space="preserve">/2015 de fecha 18 de septiembre de 2015, la Unidad de Cumplimiento </w:t>
      </w:r>
      <w:r w:rsidR="007476D8" w:rsidRPr="00BF4A51">
        <w:rPr>
          <w:rFonts w:ascii="ITC Avant Garde" w:hAnsi="ITC Avant Garde"/>
          <w:bCs/>
          <w:color w:val="000000"/>
          <w:lang w:eastAsia="es-MX"/>
        </w:rPr>
        <w:t xml:space="preserve">informó a la Unidad de Concesiones y Servicios </w:t>
      </w:r>
      <w:r w:rsidRPr="00BF4A51">
        <w:rPr>
          <w:rFonts w:ascii="ITC Avant Garde" w:hAnsi="ITC Avant Garde"/>
          <w:bCs/>
          <w:color w:val="000000"/>
          <w:lang w:eastAsia="es-MX"/>
        </w:rPr>
        <w:t>el</w:t>
      </w:r>
      <w:r w:rsidR="007476D8" w:rsidRPr="00BF4A51">
        <w:rPr>
          <w:rFonts w:ascii="ITC Avant Garde" w:hAnsi="ITC Avant Garde"/>
          <w:bCs/>
          <w:color w:val="000000"/>
          <w:lang w:eastAsia="es-MX"/>
        </w:rPr>
        <w:t xml:space="preserve"> estado que guarda</w:t>
      </w:r>
      <w:r w:rsidRPr="00BF4A51">
        <w:rPr>
          <w:rFonts w:ascii="ITC Avant Garde" w:hAnsi="ITC Avant Garde"/>
          <w:bCs/>
          <w:color w:val="000000"/>
          <w:lang w:eastAsia="es-MX"/>
        </w:rPr>
        <w:t>ba</w:t>
      </w:r>
      <w:r w:rsidR="007476D8" w:rsidRPr="00BF4A51">
        <w:rPr>
          <w:rFonts w:ascii="ITC Avant Garde" w:hAnsi="ITC Avant Garde"/>
          <w:bCs/>
          <w:color w:val="000000"/>
          <w:lang w:eastAsia="es-MX"/>
        </w:rPr>
        <w:t xml:space="preserve"> el cumplimiento de obligaciones a cargo de NII Telecom, S. de R.L. de C.V., con respecto a la Solicitud de Prórroga.</w:t>
      </w:r>
    </w:p>
    <w:p w14:paraId="277FF4E9" w14:textId="77777777" w:rsidR="00BF4A51" w:rsidRPr="00BF4A51" w:rsidRDefault="000E07D0" w:rsidP="00BF4A51">
      <w:pPr>
        <w:numPr>
          <w:ilvl w:val="0"/>
          <w:numId w:val="3"/>
        </w:numPr>
        <w:spacing w:before="240" w:line="240" w:lineRule="auto"/>
        <w:ind w:left="567"/>
        <w:jc w:val="both"/>
        <w:rPr>
          <w:rFonts w:ascii="ITC Avant Garde" w:hAnsi="ITC Avant Garde"/>
          <w:b/>
          <w:bCs/>
          <w:color w:val="000000"/>
          <w:lang w:eastAsia="es-MX"/>
        </w:rPr>
      </w:pPr>
      <w:r w:rsidRPr="00BF4A51">
        <w:rPr>
          <w:rFonts w:ascii="ITC Avant Garde" w:hAnsi="ITC Avant Garde"/>
          <w:b/>
          <w:bCs/>
          <w:color w:val="000000"/>
          <w:lang w:eastAsia="es-MX"/>
        </w:rPr>
        <w:t>Cambio de Denominación Social</w:t>
      </w:r>
      <w:r w:rsidR="000F7644" w:rsidRPr="00BF4A51">
        <w:rPr>
          <w:rFonts w:ascii="ITC Avant Garde" w:hAnsi="ITC Avant Garde"/>
          <w:b/>
          <w:bCs/>
          <w:color w:val="000000"/>
          <w:lang w:eastAsia="es-MX"/>
        </w:rPr>
        <w:t xml:space="preserve">. </w:t>
      </w:r>
      <w:r w:rsidR="000F7644" w:rsidRPr="00BF4A51">
        <w:rPr>
          <w:rFonts w:ascii="ITC Avant Garde" w:hAnsi="ITC Avant Garde"/>
          <w:bCs/>
          <w:color w:val="000000"/>
          <w:lang w:eastAsia="es-MX"/>
        </w:rPr>
        <w:t xml:space="preserve">El </w:t>
      </w:r>
      <w:r w:rsidR="008D1F8D" w:rsidRPr="00BF4A51">
        <w:rPr>
          <w:rFonts w:ascii="ITC Avant Garde" w:hAnsi="ITC Avant Garde"/>
          <w:bCs/>
          <w:color w:val="000000"/>
          <w:lang w:eastAsia="es-MX"/>
        </w:rPr>
        <w:t xml:space="preserve">9 de octubre de 2015, la Dirección General Adjunta del Registro Público de Telecomunicaciones, adscrita a la Unidad de Concesiones y Servicios del Instituto, </w:t>
      </w:r>
      <w:r w:rsidRPr="00BF4A51">
        <w:rPr>
          <w:rFonts w:ascii="ITC Avant Garde" w:hAnsi="ITC Avant Garde"/>
          <w:bCs/>
          <w:color w:val="000000"/>
          <w:lang w:eastAsia="es-MX"/>
        </w:rPr>
        <w:t>inscribió en el Registro Público de Concesiones la co</w:t>
      </w:r>
      <w:r w:rsidR="008D1F8D" w:rsidRPr="00BF4A51">
        <w:rPr>
          <w:rFonts w:ascii="ITC Avant Garde" w:hAnsi="ITC Avant Garde"/>
          <w:bCs/>
          <w:color w:val="000000"/>
          <w:lang w:eastAsia="es-MX"/>
        </w:rPr>
        <w:t xml:space="preserve">nstancia de </w:t>
      </w:r>
      <w:r w:rsidRPr="00BF4A51">
        <w:rPr>
          <w:rFonts w:ascii="ITC Avant Garde" w:hAnsi="ITC Avant Garde"/>
          <w:bCs/>
          <w:color w:val="000000"/>
          <w:lang w:eastAsia="es-MX"/>
        </w:rPr>
        <w:t>i</w:t>
      </w:r>
      <w:r w:rsidR="008D1F8D" w:rsidRPr="00BF4A51">
        <w:rPr>
          <w:rFonts w:ascii="ITC Avant Garde" w:hAnsi="ITC Avant Garde"/>
          <w:bCs/>
          <w:color w:val="000000"/>
          <w:lang w:eastAsia="es-MX"/>
        </w:rPr>
        <w:t xml:space="preserve">nscripción número 010689, en la cual </w:t>
      </w:r>
      <w:r w:rsidRPr="00BF4A51">
        <w:rPr>
          <w:rFonts w:ascii="ITC Avant Garde" w:hAnsi="ITC Avant Garde"/>
          <w:bCs/>
          <w:color w:val="000000"/>
          <w:lang w:eastAsia="es-MX"/>
        </w:rPr>
        <w:t xml:space="preserve">se </w:t>
      </w:r>
      <w:r w:rsidR="008D1F8D" w:rsidRPr="00BF4A51">
        <w:rPr>
          <w:rFonts w:ascii="ITC Avant Garde" w:hAnsi="ITC Avant Garde"/>
          <w:bCs/>
          <w:color w:val="000000"/>
          <w:lang w:eastAsia="es-MX"/>
        </w:rPr>
        <w:t>hace constar el cambio de denominación social de NII Telecom, S.</w:t>
      </w:r>
      <w:r w:rsidR="008D1F8D" w:rsidRPr="00BF4A51">
        <w:rPr>
          <w:rFonts w:ascii="ITC Avant Garde" w:hAnsi="ITC Avant Garde"/>
          <w:b/>
          <w:bCs/>
          <w:color w:val="000000"/>
          <w:lang w:eastAsia="es-MX"/>
        </w:rPr>
        <w:t xml:space="preserve"> </w:t>
      </w:r>
      <w:r w:rsidR="008D1F8D" w:rsidRPr="00BF4A51">
        <w:rPr>
          <w:rFonts w:ascii="ITC Avant Garde" w:hAnsi="ITC Avant Garde"/>
          <w:bCs/>
          <w:color w:val="000000"/>
          <w:lang w:eastAsia="es-MX"/>
        </w:rPr>
        <w:t xml:space="preserve">de R.L. de C.V., para quedar como AT&amp;T </w:t>
      </w:r>
      <w:proofErr w:type="spellStart"/>
      <w:r w:rsidR="008D1F8D" w:rsidRPr="00BF4A51">
        <w:rPr>
          <w:rFonts w:ascii="ITC Avant Garde" w:hAnsi="ITC Avant Garde"/>
          <w:bCs/>
          <w:color w:val="000000"/>
          <w:lang w:eastAsia="es-MX"/>
        </w:rPr>
        <w:t>Ntelcommex</w:t>
      </w:r>
      <w:proofErr w:type="spellEnd"/>
      <w:r w:rsidR="008D1F8D" w:rsidRPr="00BF4A51">
        <w:rPr>
          <w:rFonts w:ascii="ITC Avant Garde" w:hAnsi="ITC Avant Garde"/>
          <w:bCs/>
          <w:color w:val="000000"/>
          <w:lang w:eastAsia="es-MX"/>
        </w:rPr>
        <w:t>, S. de R.L. de C.V.</w:t>
      </w:r>
      <w:r w:rsidR="008D1F8D" w:rsidRPr="00BF4A51">
        <w:rPr>
          <w:rFonts w:ascii="ITC Avant Garde" w:hAnsi="ITC Avant Garde"/>
          <w:b/>
          <w:bCs/>
          <w:color w:val="000000"/>
          <w:lang w:eastAsia="es-MX"/>
        </w:rPr>
        <w:t xml:space="preserve"> </w:t>
      </w:r>
    </w:p>
    <w:p w14:paraId="13DC8BE5" w14:textId="77777777" w:rsidR="00BF4A51" w:rsidRPr="00BF4A51" w:rsidRDefault="000E07D0" w:rsidP="00BF4A51">
      <w:pPr>
        <w:numPr>
          <w:ilvl w:val="0"/>
          <w:numId w:val="3"/>
        </w:numPr>
        <w:spacing w:before="240" w:line="240" w:lineRule="auto"/>
        <w:ind w:left="567"/>
        <w:jc w:val="both"/>
        <w:rPr>
          <w:rFonts w:ascii="ITC Avant Garde" w:hAnsi="ITC Avant Garde"/>
          <w:b/>
          <w:bCs/>
          <w:color w:val="000000"/>
          <w:lang w:eastAsia="es-MX"/>
        </w:rPr>
      </w:pPr>
      <w:r w:rsidRPr="00BF4A51">
        <w:rPr>
          <w:rFonts w:ascii="ITC Avant Garde" w:hAnsi="ITC Avant Garde"/>
          <w:b/>
          <w:bCs/>
          <w:color w:val="000000"/>
          <w:lang w:eastAsia="es-MX"/>
        </w:rPr>
        <w:t xml:space="preserve">Segunda </w:t>
      </w:r>
      <w:r w:rsidR="006F619E" w:rsidRPr="00BF4A51">
        <w:rPr>
          <w:rFonts w:ascii="ITC Avant Garde" w:hAnsi="ITC Avant Garde"/>
          <w:b/>
          <w:bCs/>
          <w:color w:val="000000"/>
          <w:lang w:eastAsia="es-MX"/>
        </w:rPr>
        <w:t>Cesión de Derechos y Obligaciones de la Concesi</w:t>
      </w:r>
      <w:r w:rsidR="002F610C" w:rsidRPr="00BF4A51">
        <w:rPr>
          <w:rFonts w:ascii="ITC Avant Garde" w:hAnsi="ITC Avant Garde"/>
          <w:b/>
          <w:bCs/>
          <w:color w:val="000000"/>
          <w:lang w:eastAsia="es-MX"/>
        </w:rPr>
        <w:t>ó</w:t>
      </w:r>
      <w:r w:rsidR="006F619E" w:rsidRPr="00BF4A51">
        <w:rPr>
          <w:rFonts w:ascii="ITC Avant Garde" w:hAnsi="ITC Avant Garde"/>
          <w:b/>
          <w:bCs/>
          <w:color w:val="000000"/>
          <w:lang w:eastAsia="es-MX"/>
        </w:rPr>
        <w:t>n.</w:t>
      </w:r>
      <w:r w:rsidR="006F619E" w:rsidRPr="00BF4A51">
        <w:rPr>
          <w:rFonts w:ascii="ITC Avant Garde" w:hAnsi="ITC Avant Garde"/>
          <w:bCs/>
          <w:color w:val="000000"/>
          <w:lang w:eastAsia="es-MX"/>
        </w:rPr>
        <w:t xml:space="preserve"> El 11 de diciembre de 2015, la Dirección General Adjunta del Registro Público de Telecomunicaciones, adscrita a la Unidad de Concesiones y Servicios d</w:t>
      </w:r>
      <w:r w:rsidR="00EC0253" w:rsidRPr="00BF4A51">
        <w:rPr>
          <w:rFonts w:ascii="ITC Avant Garde" w:hAnsi="ITC Avant Garde"/>
          <w:bCs/>
          <w:color w:val="000000"/>
          <w:lang w:eastAsia="es-MX"/>
        </w:rPr>
        <w:t xml:space="preserve">el Instituto, </w:t>
      </w:r>
      <w:r w:rsidRPr="00BF4A51">
        <w:rPr>
          <w:rFonts w:ascii="ITC Avant Garde" w:hAnsi="ITC Avant Garde"/>
          <w:bCs/>
          <w:color w:val="000000"/>
          <w:lang w:eastAsia="es-MX"/>
        </w:rPr>
        <w:t>inscribió en el Registro Público de Concesiones la c</w:t>
      </w:r>
      <w:r w:rsidR="00EC0253" w:rsidRPr="00BF4A51">
        <w:rPr>
          <w:rFonts w:ascii="ITC Avant Garde" w:hAnsi="ITC Avant Garde"/>
          <w:bCs/>
          <w:color w:val="000000"/>
          <w:lang w:eastAsia="es-MX"/>
        </w:rPr>
        <w:t>onstancia</w:t>
      </w:r>
      <w:r w:rsidR="006F619E" w:rsidRPr="00BF4A51">
        <w:rPr>
          <w:rFonts w:ascii="ITC Avant Garde" w:hAnsi="ITC Avant Garde"/>
          <w:bCs/>
          <w:color w:val="000000"/>
          <w:lang w:eastAsia="es-MX"/>
        </w:rPr>
        <w:t xml:space="preserve"> de</w:t>
      </w:r>
      <w:r w:rsidRPr="00BF4A51">
        <w:rPr>
          <w:rFonts w:ascii="ITC Avant Garde" w:hAnsi="ITC Avant Garde"/>
          <w:bCs/>
          <w:color w:val="000000"/>
          <w:lang w:eastAsia="es-MX"/>
        </w:rPr>
        <w:t xml:space="preserve"> i</w:t>
      </w:r>
      <w:r w:rsidR="006F619E" w:rsidRPr="00BF4A51">
        <w:rPr>
          <w:rFonts w:ascii="ITC Avant Garde" w:hAnsi="ITC Avant Garde"/>
          <w:bCs/>
          <w:color w:val="000000"/>
          <w:lang w:eastAsia="es-MX"/>
        </w:rPr>
        <w:t xml:space="preserve">nscripción número 011147, </w:t>
      </w:r>
      <w:r w:rsidR="008902BA" w:rsidRPr="00BF4A51">
        <w:rPr>
          <w:rFonts w:ascii="ITC Avant Garde" w:hAnsi="ITC Avant Garde"/>
          <w:bCs/>
          <w:color w:val="000000"/>
          <w:lang w:eastAsia="es-MX"/>
        </w:rPr>
        <w:t xml:space="preserve">en </w:t>
      </w:r>
      <w:r w:rsidR="00EC0253" w:rsidRPr="00BF4A51">
        <w:rPr>
          <w:rFonts w:ascii="ITC Avant Garde" w:hAnsi="ITC Avant Garde"/>
          <w:bCs/>
          <w:color w:val="000000"/>
          <w:lang w:eastAsia="es-MX"/>
        </w:rPr>
        <w:t>l</w:t>
      </w:r>
      <w:r w:rsidR="008902BA" w:rsidRPr="00BF4A51">
        <w:rPr>
          <w:rFonts w:ascii="ITC Avant Garde" w:hAnsi="ITC Avant Garde"/>
          <w:bCs/>
          <w:color w:val="000000"/>
          <w:lang w:eastAsia="es-MX"/>
        </w:rPr>
        <w:t>a</w:t>
      </w:r>
      <w:r w:rsidR="00EC0253" w:rsidRPr="00BF4A51">
        <w:rPr>
          <w:rFonts w:ascii="ITC Avant Garde" w:hAnsi="ITC Avant Garde"/>
          <w:bCs/>
          <w:color w:val="000000"/>
          <w:lang w:eastAsia="es-MX"/>
        </w:rPr>
        <w:t xml:space="preserve"> cual se</w:t>
      </w:r>
      <w:r w:rsidR="006F619E" w:rsidRPr="00BF4A51">
        <w:rPr>
          <w:rFonts w:ascii="ITC Avant Garde" w:hAnsi="ITC Avant Garde"/>
          <w:bCs/>
          <w:color w:val="000000"/>
          <w:lang w:eastAsia="es-MX"/>
        </w:rPr>
        <w:t xml:space="preserve"> hace constar la </w:t>
      </w:r>
      <w:r w:rsidR="008902BA" w:rsidRPr="00BF4A51">
        <w:rPr>
          <w:rFonts w:ascii="ITC Avant Garde" w:hAnsi="ITC Avant Garde"/>
          <w:bCs/>
          <w:color w:val="000000"/>
          <w:lang w:eastAsia="es-MX"/>
        </w:rPr>
        <w:t>c</w:t>
      </w:r>
      <w:r w:rsidR="006F619E" w:rsidRPr="00BF4A51">
        <w:rPr>
          <w:rFonts w:ascii="ITC Avant Garde" w:hAnsi="ITC Avant Garde"/>
          <w:bCs/>
          <w:color w:val="000000"/>
          <w:lang w:eastAsia="es-MX"/>
        </w:rPr>
        <w:t xml:space="preserve">esión de </w:t>
      </w:r>
      <w:r w:rsidR="008902BA" w:rsidRPr="00BF4A51">
        <w:rPr>
          <w:rFonts w:ascii="ITC Avant Garde" w:hAnsi="ITC Avant Garde"/>
          <w:bCs/>
          <w:color w:val="000000"/>
          <w:lang w:eastAsia="es-MX"/>
        </w:rPr>
        <w:t>d</w:t>
      </w:r>
      <w:r w:rsidR="006F619E" w:rsidRPr="00BF4A51">
        <w:rPr>
          <w:rFonts w:ascii="ITC Avant Garde" w:hAnsi="ITC Avant Garde"/>
          <w:bCs/>
          <w:color w:val="000000"/>
          <w:lang w:eastAsia="es-MX"/>
        </w:rPr>
        <w:t xml:space="preserve">erechos y </w:t>
      </w:r>
      <w:r w:rsidR="008902BA" w:rsidRPr="00BF4A51">
        <w:rPr>
          <w:rFonts w:ascii="ITC Avant Garde" w:hAnsi="ITC Avant Garde"/>
          <w:bCs/>
          <w:color w:val="000000"/>
          <w:lang w:eastAsia="es-MX"/>
        </w:rPr>
        <w:t>o</w:t>
      </w:r>
      <w:r w:rsidR="006F619E" w:rsidRPr="00BF4A51">
        <w:rPr>
          <w:rFonts w:ascii="ITC Avant Garde" w:hAnsi="ITC Avant Garde"/>
          <w:bCs/>
          <w:color w:val="000000"/>
          <w:lang w:eastAsia="es-MX"/>
        </w:rPr>
        <w:t>bligaciones de la Concesión</w:t>
      </w:r>
      <w:r w:rsidR="008902BA" w:rsidRPr="00BF4A51">
        <w:rPr>
          <w:rFonts w:ascii="ITC Avant Garde" w:hAnsi="ITC Avant Garde"/>
          <w:bCs/>
          <w:color w:val="000000"/>
          <w:lang w:eastAsia="es-MX"/>
        </w:rPr>
        <w:t xml:space="preserve"> por fusión de empresas dentro del mismo grupo de control o agente económico,</w:t>
      </w:r>
      <w:r w:rsidR="006F619E" w:rsidRPr="00BF4A51">
        <w:rPr>
          <w:rFonts w:ascii="ITC Avant Garde" w:hAnsi="ITC Avant Garde"/>
          <w:bCs/>
          <w:color w:val="000000"/>
          <w:lang w:eastAsia="es-MX"/>
        </w:rPr>
        <w:t xml:space="preserve"> a favor de </w:t>
      </w:r>
      <w:r w:rsidR="007476D8" w:rsidRPr="00BF4A51">
        <w:rPr>
          <w:rFonts w:ascii="ITC Avant Garde" w:hAnsi="ITC Avant Garde"/>
          <w:bCs/>
          <w:color w:val="000000"/>
          <w:lang w:eastAsia="es-MX"/>
        </w:rPr>
        <w:t>AT&amp;T Comunicaciones Digitales</w:t>
      </w:r>
      <w:r w:rsidR="006F619E" w:rsidRPr="00BF4A51">
        <w:rPr>
          <w:rFonts w:ascii="ITC Avant Garde" w:hAnsi="ITC Avant Garde"/>
          <w:bCs/>
          <w:color w:val="000000"/>
          <w:lang w:eastAsia="es-MX"/>
        </w:rPr>
        <w:t>, S. de R.L. de C.V.</w:t>
      </w:r>
      <w:r w:rsidR="008902BA" w:rsidRPr="00BF4A51">
        <w:rPr>
          <w:rFonts w:ascii="ITC Avant Garde" w:hAnsi="ITC Avant Garde"/>
          <w:bCs/>
          <w:color w:val="000000"/>
          <w:lang w:eastAsia="es-MX"/>
        </w:rPr>
        <w:t xml:space="preserve"> </w:t>
      </w:r>
      <w:r w:rsidR="00B31175" w:rsidRPr="00BF4A51">
        <w:rPr>
          <w:rFonts w:ascii="ITC Avant Garde" w:hAnsi="ITC Avant Garde"/>
          <w:bCs/>
          <w:color w:val="000000"/>
          <w:lang w:eastAsia="es-MX"/>
        </w:rPr>
        <w:t>(“</w:t>
      </w:r>
      <w:r w:rsidR="001B1C72" w:rsidRPr="00BF4A51">
        <w:rPr>
          <w:rFonts w:ascii="ITC Avant Garde" w:hAnsi="ITC Avant Garde"/>
          <w:bCs/>
          <w:color w:val="000000"/>
          <w:lang w:eastAsia="es-MX"/>
        </w:rPr>
        <w:t>AT&amp;T Comunicaciones Digitales</w:t>
      </w:r>
      <w:r w:rsidR="00B31175" w:rsidRPr="00BF4A51">
        <w:rPr>
          <w:rFonts w:ascii="ITC Avant Garde" w:hAnsi="ITC Avant Garde"/>
          <w:bCs/>
          <w:color w:val="000000"/>
          <w:lang w:eastAsia="es-MX"/>
        </w:rPr>
        <w:t>”)</w:t>
      </w:r>
      <w:r w:rsidR="008902BA" w:rsidRPr="00BF4A51">
        <w:rPr>
          <w:rFonts w:ascii="ITC Avant Garde" w:hAnsi="ITC Avant Garde"/>
          <w:bCs/>
          <w:color w:val="000000"/>
          <w:lang w:eastAsia="es-MX"/>
        </w:rPr>
        <w:t>.</w:t>
      </w:r>
    </w:p>
    <w:p w14:paraId="1475D5FD" w14:textId="77777777" w:rsidR="00BF4A51" w:rsidRPr="00BF4A51" w:rsidRDefault="001A2201" w:rsidP="00BF4A51">
      <w:pPr>
        <w:numPr>
          <w:ilvl w:val="0"/>
          <w:numId w:val="3"/>
        </w:numPr>
        <w:spacing w:before="240" w:line="240" w:lineRule="auto"/>
        <w:ind w:left="567"/>
        <w:jc w:val="both"/>
        <w:rPr>
          <w:rFonts w:ascii="ITC Avant Garde" w:hAnsi="ITC Avant Garde"/>
          <w:b/>
          <w:bCs/>
          <w:color w:val="000000"/>
          <w:lang w:eastAsia="es-MX"/>
        </w:rPr>
      </w:pPr>
      <w:r w:rsidRPr="00BF4A51">
        <w:rPr>
          <w:rFonts w:ascii="ITC Avant Garde" w:hAnsi="ITC Avant Garde"/>
          <w:b/>
          <w:bCs/>
          <w:color w:val="000000"/>
          <w:lang w:eastAsia="es-MX"/>
        </w:rPr>
        <w:t xml:space="preserve">Otorgamiento Concesión Única. </w:t>
      </w:r>
      <w:r w:rsidRPr="00BF4A51">
        <w:rPr>
          <w:rFonts w:ascii="ITC Avant Garde" w:hAnsi="ITC Avant Garde"/>
          <w:bCs/>
          <w:color w:val="000000"/>
          <w:lang w:eastAsia="es-MX"/>
        </w:rPr>
        <w:t>El 31 de marzo de 2016 el Instituto otorgó a AT&amp;T Comunicaciones Digitales un título de concesión única para uso comercial</w:t>
      </w:r>
      <w:r w:rsidR="00ED5134" w:rsidRPr="00BF4A51">
        <w:rPr>
          <w:rFonts w:ascii="ITC Avant Garde" w:hAnsi="ITC Avant Garde"/>
          <w:bCs/>
          <w:color w:val="000000"/>
          <w:lang w:eastAsia="es-MX"/>
        </w:rPr>
        <w:t xml:space="preserve"> con cobertura nacional, que </w:t>
      </w:r>
      <w:r w:rsidRPr="00BF4A51">
        <w:rPr>
          <w:rFonts w:ascii="ITC Avant Garde" w:hAnsi="ITC Avant Garde"/>
          <w:bCs/>
          <w:color w:val="000000"/>
          <w:lang w:eastAsia="es-MX"/>
        </w:rPr>
        <w:t xml:space="preserve">habilita a </w:t>
      </w:r>
      <w:r w:rsidR="00ED5134" w:rsidRPr="00BF4A51">
        <w:rPr>
          <w:rFonts w:ascii="ITC Avant Garde" w:hAnsi="ITC Avant Garde"/>
          <w:bCs/>
          <w:color w:val="000000"/>
          <w:lang w:eastAsia="es-MX"/>
        </w:rPr>
        <w:t xml:space="preserve">dicho concesionario a </w:t>
      </w:r>
      <w:r w:rsidRPr="00BF4A51">
        <w:rPr>
          <w:rFonts w:ascii="ITC Avant Garde" w:hAnsi="ITC Avant Garde"/>
          <w:bCs/>
          <w:color w:val="000000"/>
          <w:lang w:eastAsia="es-MX"/>
        </w:rPr>
        <w:t xml:space="preserve">prestar cualquier servicio </w:t>
      </w:r>
      <w:r w:rsidRPr="00BF4A51">
        <w:rPr>
          <w:rFonts w:ascii="ITC Avant Garde" w:hAnsi="ITC Avant Garde"/>
          <w:bCs/>
          <w:color w:val="000000"/>
          <w:lang w:eastAsia="es-MX"/>
        </w:rPr>
        <w:lastRenderedPageBreak/>
        <w:t>público de telecomunicaciones y/o radiodifusión que sea técni</w:t>
      </w:r>
      <w:r w:rsidR="00ED5134" w:rsidRPr="00BF4A51">
        <w:rPr>
          <w:rFonts w:ascii="ITC Avant Garde" w:hAnsi="ITC Avant Garde"/>
          <w:bCs/>
          <w:color w:val="000000"/>
          <w:lang w:eastAsia="es-MX"/>
        </w:rPr>
        <w:t>camente factible</w:t>
      </w:r>
      <w:r w:rsidRPr="00BF4A51">
        <w:rPr>
          <w:rFonts w:ascii="ITC Avant Garde" w:hAnsi="ITC Avant Garde"/>
          <w:bCs/>
          <w:color w:val="000000"/>
          <w:lang w:eastAsia="es-MX"/>
        </w:rPr>
        <w:t xml:space="preserve">. Dicho título se otorgó con una vigencia de 30 (treinta) años contados a partir del 29 de septiembre de 2015. </w:t>
      </w:r>
    </w:p>
    <w:p w14:paraId="79417141" w14:textId="77777777" w:rsidR="00BF4A51" w:rsidRPr="00BF4A51" w:rsidRDefault="00E82C9B" w:rsidP="00BF4A51">
      <w:pPr>
        <w:numPr>
          <w:ilvl w:val="0"/>
          <w:numId w:val="3"/>
        </w:numPr>
        <w:spacing w:before="240" w:line="240" w:lineRule="auto"/>
        <w:ind w:left="567"/>
        <w:jc w:val="both"/>
        <w:rPr>
          <w:rFonts w:ascii="ITC Avant Garde" w:hAnsi="ITC Avant Garde"/>
          <w:b/>
          <w:bCs/>
          <w:color w:val="000000"/>
          <w:lang w:eastAsia="es-MX"/>
        </w:rPr>
      </w:pPr>
      <w:r w:rsidRPr="00BF4A51">
        <w:rPr>
          <w:rFonts w:ascii="ITC Avant Garde" w:hAnsi="ITC Avant Garde"/>
          <w:b/>
          <w:color w:val="000000"/>
        </w:rPr>
        <w:t xml:space="preserve">Acuerdo de Cambio de Bandas. </w:t>
      </w:r>
      <w:r w:rsidRPr="00BF4A51">
        <w:rPr>
          <w:rFonts w:ascii="ITC Avant Garde" w:hAnsi="ITC Avant Garde"/>
          <w:color w:val="000000"/>
        </w:rPr>
        <w:t xml:space="preserve">El 13 de septiembre de 2016, se publicó en el </w:t>
      </w:r>
      <w:r w:rsidRPr="00BF4A51">
        <w:rPr>
          <w:rFonts w:ascii="ITC Avant Garde" w:hAnsi="ITC Avant Garde"/>
          <w:color w:val="000000"/>
          <w:shd w:val="clear" w:color="auto" w:fill="FFFFFF"/>
        </w:rPr>
        <w:t xml:space="preserve">Diario Oficial de la Federación el “ACUERDO mediante el cual el Pleno del Instituto Federal de Telecomunicaciones aprueba el Plan de la Banda 806-824/851-869 MHz y aprueba la propuesta de cambio de bandas de frecuencias a las personas físicas o morales, que sean titulares de derechos sobre el uso, aprovechamiento y explotación de la Banda de Frecuencias 806-824/851-869 MHz”, </w:t>
      </w:r>
      <w:r w:rsidRPr="00BF4A51">
        <w:rPr>
          <w:rFonts w:ascii="ITC Avant Garde" w:hAnsi="ITC Avant Garde"/>
          <w:bCs/>
          <w:color w:val="000000" w:themeColor="text1"/>
          <w:lang w:eastAsia="es-MX"/>
        </w:rPr>
        <w:t>mismo que entró en vigor el 26 de octubre de 2016, con excepción del Acuerdo Primero, que contempla el Plan de la Banda 806-824/851-869 MHz, mismo que entró en vigor el 14 de septiembre de 2016 (el “Acuerdo de Cambio de Bandas”).</w:t>
      </w:r>
    </w:p>
    <w:p w14:paraId="6D026951" w14:textId="079EFC4B" w:rsidR="00BF4A51" w:rsidRPr="00BF4A51" w:rsidRDefault="00CF7F01" w:rsidP="00BF4A51">
      <w:pPr>
        <w:numPr>
          <w:ilvl w:val="0"/>
          <w:numId w:val="3"/>
        </w:numPr>
        <w:spacing w:before="240" w:line="240" w:lineRule="auto"/>
        <w:ind w:left="567"/>
        <w:jc w:val="both"/>
        <w:rPr>
          <w:rFonts w:ascii="ITC Avant Garde" w:hAnsi="ITC Avant Garde"/>
          <w:b/>
          <w:bCs/>
          <w:color w:val="000000"/>
          <w:lang w:eastAsia="es-MX"/>
        </w:rPr>
      </w:pPr>
      <w:r w:rsidRPr="00BF4A51">
        <w:rPr>
          <w:rFonts w:ascii="ITC Avant Garde" w:hAnsi="ITC Avant Garde"/>
          <w:b/>
          <w:color w:val="000000"/>
          <w:shd w:val="clear" w:color="auto" w:fill="FFFFFF"/>
        </w:rPr>
        <w:t>Opinión en materia de Espectro Radioeléctrico.</w:t>
      </w:r>
      <w:r w:rsidRPr="00BF4A51">
        <w:rPr>
          <w:rFonts w:ascii="ITC Avant Garde" w:hAnsi="ITC Avant Garde"/>
          <w:color w:val="000000"/>
          <w:shd w:val="clear" w:color="auto" w:fill="FFFFFF"/>
        </w:rPr>
        <w:t xml:space="preserve"> Con oficio IFT/222/UER/DGPE/</w:t>
      </w:r>
      <w:r w:rsidR="00C57E34" w:rsidRPr="00BF4A51">
        <w:rPr>
          <w:rFonts w:ascii="ITC Avant Garde" w:hAnsi="ITC Avant Garde"/>
          <w:color w:val="000000"/>
          <w:shd w:val="clear" w:color="auto" w:fill="FFFFFF"/>
        </w:rPr>
        <w:t>0</w:t>
      </w:r>
      <w:r w:rsidR="00325AD0" w:rsidRPr="00BF4A51">
        <w:rPr>
          <w:rFonts w:ascii="ITC Avant Garde" w:hAnsi="ITC Avant Garde"/>
          <w:color w:val="000000"/>
          <w:shd w:val="clear" w:color="auto" w:fill="FFFFFF"/>
        </w:rPr>
        <w:t>16</w:t>
      </w:r>
      <w:r w:rsidR="00C57E34" w:rsidRPr="00BF4A51">
        <w:rPr>
          <w:rFonts w:ascii="ITC Avant Garde" w:hAnsi="ITC Avant Garde"/>
          <w:color w:val="000000"/>
          <w:shd w:val="clear" w:color="auto" w:fill="FFFFFF"/>
        </w:rPr>
        <w:t>/2017</w:t>
      </w:r>
      <w:r w:rsidRPr="00BF4A51">
        <w:rPr>
          <w:rFonts w:ascii="ITC Avant Garde" w:hAnsi="ITC Avant Garde"/>
          <w:color w:val="000000"/>
          <w:shd w:val="clear" w:color="auto" w:fill="FFFFFF"/>
        </w:rPr>
        <w:t xml:space="preserve"> de fecha </w:t>
      </w:r>
      <w:r w:rsidR="00C57E34" w:rsidRPr="00BF4A51">
        <w:rPr>
          <w:rFonts w:ascii="ITC Avant Garde" w:hAnsi="ITC Avant Garde"/>
          <w:color w:val="000000"/>
          <w:shd w:val="clear" w:color="auto" w:fill="FFFFFF"/>
        </w:rPr>
        <w:t>13</w:t>
      </w:r>
      <w:r w:rsidRPr="00BF4A51">
        <w:rPr>
          <w:rFonts w:ascii="ITC Avant Garde" w:hAnsi="ITC Avant Garde"/>
          <w:color w:val="000000"/>
          <w:shd w:val="clear" w:color="auto" w:fill="FFFFFF"/>
        </w:rPr>
        <w:t xml:space="preserve"> de </w:t>
      </w:r>
      <w:r w:rsidR="00C57E34" w:rsidRPr="00BF4A51">
        <w:rPr>
          <w:rFonts w:ascii="ITC Avant Garde" w:hAnsi="ITC Avant Garde"/>
          <w:color w:val="000000"/>
          <w:shd w:val="clear" w:color="auto" w:fill="FFFFFF"/>
        </w:rPr>
        <w:t>febrero de 2017</w:t>
      </w:r>
      <w:r w:rsidRPr="00BF4A51">
        <w:rPr>
          <w:rFonts w:ascii="ITC Avant Garde" w:hAnsi="ITC Avant Garde"/>
          <w:color w:val="000000"/>
          <w:shd w:val="clear" w:color="auto" w:fill="FFFFFF"/>
        </w:rPr>
        <w:t xml:space="preserve">, la Unidad de Espectro Radioeléctrico, a través de la Dirección General de Planeación del Espectro, remitió el dictamen de planificación espectral para la banda de frecuencias </w:t>
      </w:r>
      <w:r w:rsidR="00C57E34" w:rsidRPr="00BF4A51">
        <w:rPr>
          <w:rFonts w:ascii="ITC Avant Garde" w:hAnsi="ITC Avant Garde"/>
          <w:color w:val="000000"/>
          <w:shd w:val="clear" w:color="auto" w:fill="FFFFFF"/>
        </w:rPr>
        <w:t>806-824/851-869 MHz</w:t>
      </w:r>
      <w:r w:rsidRPr="00BF4A51">
        <w:rPr>
          <w:rFonts w:ascii="ITC Avant Garde" w:hAnsi="ITC Avant Garde"/>
          <w:color w:val="000000"/>
          <w:shd w:val="clear" w:color="auto" w:fill="FFFFFF"/>
        </w:rPr>
        <w:t>, así como el dictamen técnico en el que se establecen las medidas técnico-operativas para evitar o minimizar el riesgo de interferencias perjudiciales.</w:t>
      </w:r>
    </w:p>
    <w:p w14:paraId="60C2FE30" w14:textId="77777777" w:rsidR="00BF4A51" w:rsidRPr="00BF4A51" w:rsidRDefault="008902BA" w:rsidP="00BF4A51">
      <w:pPr>
        <w:spacing w:before="240" w:line="240" w:lineRule="auto"/>
        <w:ind w:left="567"/>
        <w:jc w:val="both"/>
        <w:rPr>
          <w:rFonts w:ascii="ITC Avant Garde" w:hAnsi="ITC Avant Garde"/>
          <w:bCs/>
          <w:color w:val="000000"/>
          <w:lang w:eastAsia="es-MX"/>
        </w:rPr>
      </w:pPr>
      <w:r w:rsidRPr="00BF4A51">
        <w:rPr>
          <w:rFonts w:ascii="ITC Avant Garde" w:hAnsi="ITC Avant Garde"/>
          <w:bCs/>
          <w:color w:val="000000"/>
          <w:lang w:eastAsia="es-MX"/>
        </w:rPr>
        <w:t>Asimismo, mediante oficio IFT/222/UER/DG-EERO/193/2017 de fecha 23 de febrero de 2017 y anexos, la Unidad de Espectro Radioeléctrico, a través de la Dirección General de Economía del Espectro y Recursos Orbitales, remitió entre otros aspectos, el oficio 349-B-059 de fecha 20 de febrero de 2017, emitido por la Unidad de Política de Ingresos no Tributarios de la Secretaría de Hacienda y Crédito Público</w:t>
      </w:r>
      <w:r w:rsidR="00790F65" w:rsidRPr="00BF4A51">
        <w:rPr>
          <w:rFonts w:ascii="ITC Avant Garde" w:hAnsi="ITC Avant Garde"/>
          <w:bCs/>
          <w:color w:val="000000"/>
          <w:lang w:eastAsia="es-MX"/>
        </w:rPr>
        <w:t xml:space="preserve"> (la “SHCP”)</w:t>
      </w:r>
      <w:r w:rsidRPr="00BF4A51">
        <w:rPr>
          <w:rFonts w:ascii="ITC Avant Garde" w:hAnsi="ITC Avant Garde"/>
          <w:bCs/>
          <w:color w:val="000000"/>
          <w:lang w:eastAsia="es-MX"/>
        </w:rPr>
        <w:t>, mismo que contiene la autorización de dicha Dependencia respecto del monto de contraprestación que deberá pagar AT&amp;T Comunicaciones Digitales por concepto de la prórroga de la Concesión.</w:t>
      </w:r>
    </w:p>
    <w:p w14:paraId="2645C5EF" w14:textId="77777777" w:rsidR="00BF4A51" w:rsidRPr="00BF4A51" w:rsidRDefault="00B048BA" w:rsidP="00BF4A51">
      <w:pPr>
        <w:spacing w:before="240" w:line="240" w:lineRule="auto"/>
        <w:jc w:val="both"/>
        <w:rPr>
          <w:rFonts w:ascii="ITC Avant Garde" w:hAnsi="ITC Avant Garde"/>
          <w:bCs/>
          <w:color w:val="000000"/>
          <w:lang w:eastAsia="es-MX"/>
        </w:rPr>
      </w:pPr>
      <w:r w:rsidRPr="00BF4A51">
        <w:rPr>
          <w:rFonts w:ascii="ITC Avant Garde" w:hAnsi="ITC Avant Garde"/>
          <w:bCs/>
          <w:color w:val="000000"/>
          <w:lang w:eastAsia="es-MX"/>
        </w:rPr>
        <w:t>En virtud de los Antecedentes referidos y,</w:t>
      </w:r>
    </w:p>
    <w:p w14:paraId="3BBF432B" w14:textId="77777777" w:rsidR="00BF4A51" w:rsidRPr="00BF4A51" w:rsidRDefault="00B048BA" w:rsidP="00BF4A51">
      <w:pPr>
        <w:pStyle w:val="Ttulo2"/>
        <w:spacing w:after="240" w:line="276" w:lineRule="auto"/>
        <w:jc w:val="center"/>
        <w:rPr>
          <w:rFonts w:ascii="ITC Avant Garde" w:hAnsi="ITC Avant Garde"/>
          <w:b/>
          <w:color w:val="000000" w:themeColor="text1"/>
          <w:sz w:val="22"/>
          <w:szCs w:val="22"/>
          <w:lang w:val="es-MX" w:eastAsia="en-US"/>
        </w:rPr>
      </w:pPr>
      <w:r w:rsidRPr="00BF4A51">
        <w:rPr>
          <w:rFonts w:ascii="ITC Avant Garde" w:hAnsi="ITC Avant Garde"/>
          <w:b/>
          <w:color w:val="000000" w:themeColor="text1"/>
          <w:sz w:val="22"/>
          <w:szCs w:val="22"/>
          <w:lang w:val="es-MX" w:eastAsia="en-US"/>
        </w:rPr>
        <w:t>CONSIDERANDO</w:t>
      </w:r>
    </w:p>
    <w:p w14:paraId="7EA9C924" w14:textId="5DC7240F" w:rsidR="00BF4A51" w:rsidRPr="00BF4A51" w:rsidRDefault="00D437E4" w:rsidP="00BF4A51">
      <w:pPr>
        <w:autoSpaceDE w:val="0"/>
        <w:autoSpaceDN w:val="0"/>
        <w:adjustRightInd w:val="0"/>
        <w:spacing w:before="240" w:line="240" w:lineRule="auto"/>
        <w:jc w:val="both"/>
        <w:rPr>
          <w:rFonts w:ascii="ITC Avant Garde" w:hAnsi="ITC Avant Garde"/>
          <w:bCs/>
          <w:color w:val="000000"/>
          <w:lang w:eastAsia="es-MX"/>
        </w:rPr>
      </w:pPr>
      <w:r w:rsidRPr="00BF4A51">
        <w:rPr>
          <w:rFonts w:ascii="ITC Avant Garde" w:hAnsi="ITC Avant Garde"/>
          <w:b/>
          <w:bCs/>
        </w:rPr>
        <w:t>Primero.- Competencia.</w:t>
      </w:r>
      <w:r w:rsidRPr="00BF4A51">
        <w:rPr>
          <w:rFonts w:ascii="ITC Avant Garde" w:hAnsi="ITC Avant Garde"/>
          <w:bCs/>
        </w:rPr>
        <w:t xml:space="preserve"> </w:t>
      </w:r>
      <w:r w:rsidRPr="00BF4A51">
        <w:rPr>
          <w:rFonts w:ascii="ITC Avant Garde" w:hAnsi="ITC Avant Garde"/>
          <w:bCs/>
          <w:color w:val="000000"/>
          <w:lang w:eastAsia="es-MX"/>
        </w:rPr>
        <w:t>Conforme 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14:paraId="6F8C3D12" w14:textId="77777777" w:rsidR="00BF4A51" w:rsidRPr="00BF4A51" w:rsidRDefault="00D437E4" w:rsidP="00BF4A51">
      <w:pPr>
        <w:autoSpaceDE w:val="0"/>
        <w:autoSpaceDN w:val="0"/>
        <w:adjustRightInd w:val="0"/>
        <w:spacing w:before="240" w:line="240" w:lineRule="auto"/>
        <w:jc w:val="both"/>
        <w:rPr>
          <w:rFonts w:ascii="ITC Avant Garde" w:hAnsi="ITC Avant Garde"/>
          <w:bCs/>
          <w:color w:val="000000"/>
          <w:lang w:eastAsia="es-MX"/>
        </w:rPr>
      </w:pPr>
      <w:r w:rsidRPr="00BF4A51">
        <w:rPr>
          <w:rFonts w:ascii="ITC Avant Garde" w:hAnsi="ITC Avant Garde"/>
          <w:bCs/>
          <w:color w:val="000000"/>
          <w:lang w:eastAsia="es-MX"/>
        </w:rPr>
        <w:lastRenderedPageBreak/>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BF4A51">
        <w:rPr>
          <w:rFonts w:ascii="ITC Avant Garde" w:hAnsi="ITC Avant Garde"/>
          <w:bCs/>
          <w:color w:val="000000"/>
          <w:lang w:eastAsia="es-MX"/>
        </w:rPr>
        <w:t>concesionamiento</w:t>
      </w:r>
      <w:proofErr w:type="spellEnd"/>
      <w:r w:rsidRPr="00BF4A51">
        <w:rPr>
          <w:rFonts w:ascii="ITC Avant Garde" w:hAnsi="ITC Avant Garde"/>
          <w:bCs/>
          <w:color w:val="000000"/>
          <w:lang w:eastAsia="es-MX"/>
        </w:rPr>
        <w:t xml:space="preserve">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14:paraId="6320945B" w14:textId="77777777" w:rsidR="00BF4A51" w:rsidRPr="00BF4A51" w:rsidRDefault="00D437E4" w:rsidP="00BF4A51">
      <w:pPr>
        <w:autoSpaceDE w:val="0"/>
        <w:autoSpaceDN w:val="0"/>
        <w:adjustRightInd w:val="0"/>
        <w:spacing w:before="240" w:line="240" w:lineRule="auto"/>
        <w:jc w:val="both"/>
        <w:rPr>
          <w:rFonts w:ascii="ITC Avant Garde" w:hAnsi="ITC Avant Garde"/>
          <w:bCs/>
          <w:color w:val="000000"/>
          <w:lang w:eastAsia="es-MX"/>
        </w:rPr>
      </w:pPr>
      <w:r w:rsidRPr="00BF4A51">
        <w:rPr>
          <w:rFonts w:ascii="ITC Avant Garde" w:hAnsi="ITC Avant Garde"/>
          <w:bCs/>
          <w:color w:val="000000"/>
          <w:lang w:eastAsia="es-MX"/>
        </w:rPr>
        <w:t>Por su parte, el artículo Sexto Transitorio del Decreto de Ley establece que la atención, trámite y resolución de los asuntos y procedimientos iniciados con anterioridad a la entrada en vigor del mismo, como es el caso en particular, se realizará en los términos establecidos en el artículo Séptimo Transitorio del Decreto de Reforma Constitucional.</w:t>
      </w:r>
    </w:p>
    <w:p w14:paraId="32367066" w14:textId="77777777" w:rsidR="00BF4A51" w:rsidRPr="00BF4A51" w:rsidRDefault="00D437E4" w:rsidP="00BF4A51">
      <w:pPr>
        <w:autoSpaceDE w:val="0"/>
        <w:autoSpaceDN w:val="0"/>
        <w:adjustRightInd w:val="0"/>
        <w:spacing w:before="240" w:line="240" w:lineRule="auto"/>
        <w:jc w:val="both"/>
        <w:rPr>
          <w:rFonts w:ascii="ITC Avant Garde" w:hAnsi="ITC Avant Garde"/>
          <w:bCs/>
          <w:color w:val="000000"/>
          <w:lang w:eastAsia="es-MX"/>
        </w:rPr>
      </w:pPr>
      <w:r w:rsidRPr="00BF4A51">
        <w:rPr>
          <w:rFonts w:ascii="ITC Avant Garde" w:hAnsi="ITC Avant Garde"/>
          <w:bCs/>
          <w:color w:val="000000"/>
          <w:lang w:eastAsia="es-MX"/>
        </w:rPr>
        <w:t>Al respecto, el Decreto de Reforma Constitucional establece en el segundo párrafo del artículo Séptimo Transitorio que los procedimientos iniciados con anterioridad a la integración del Instituto, siendo el caso del asunto que nos ocupa, continuarán su trámite ante dicho órgano, en los términos de la legislación aplicable al momento de su inicio.</w:t>
      </w:r>
    </w:p>
    <w:p w14:paraId="4B3E16C4" w14:textId="77777777" w:rsidR="00BF4A51" w:rsidRPr="00BF4A51" w:rsidRDefault="00D437E4" w:rsidP="00BF4A51">
      <w:pPr>
        <w:autoSpaceDE w:val="0"/>
        <w:autoSpaceDN w:val="0"/>
        <w:adjustRightInd w:val="0"/>
        <w:spacing w:before="240" w:line="240" w:lineRule="auto"/>
        <w:jc w:val="both"/>
        <w:rPr>
          <w:rFonts w:ascii="ITC Avant Garde" w:hAnsi="ITC Avant Garde" w:cs="Tahoma"/>
          <w:bCs/>
          <w:lang w:eastAsia="es-MX"/>
        </w:rPr>
      </w:pPr>
      <w:r w:rsidRPr="00BF4A51">
        <w:rPr>
          <w:rFonts w:ascii="ITC Avant Garde" w:hAnsi="ITC Avant Garde" w:cs="Tahoma"/>
          <w:bCs/>
          <w:lang w:eastAsia="es-MX"/>
        </w:rPr>
        <w:t>Ahora bien, corresponde al Pleno del Instituto, conforme a lo establec</w:t>
      </w:r>
      <w:r w:rsidR="00583C37" w:rsidRPr="00BF4A51">
        <w:rPr>
          <w:rFonts w:ascii="ITC Avant Garde" w:hAnsi="ITC Avant Garde" w:cs="Tahoma"/>
          <w:bCs/>
          <w:lang w:eastAsia="es-MX"/>
        </w:rPr>
        <w:t>ido en los artículos 15 fracciones</w:t>
      </w:r>
      <w:r w:rsidRPr="00BF4A51">
        <w:rPr>
          <w:rFonts w:ascii="ITC Avant Garde" w:hAnsi="ITC Avant Garde" w:cs="Tahoma"/>
          <w:bCs/>
          <w:lang w:eastAsia="es-MX"/>
        </w:rPr>
        <w:t xml:space="preserve"> IV</w:t>
      </w:r>
      <w:r w:rsidR="00583C37" w:rsidRPr="00BF4A51">
        <w:rPr>
          <w:rFonts w:ascii="ITC Avant Garde" w:hAnsi="ITC Avant Garde" w:cs="Tahoma"/>
          <w:bCs/>
          <w:lang w:eastAsia="es-MX"/>
        </w:rPr>
        <w:t xml:space="preserve"> y LVII</w:t>
      </w:r>
      <w:r w:rsidRPr="00BF4A51">
        <w:rPr>
          <w:rFonts w:ascii="ITC Avant Garde" w:hAnsi="ITC Avant Garde" w:cs="Tahoma"/>
          <w:bCs/>
          <w:lang w:eastAsia="es-MX"/>
        </w:rPr>
        <w:t xml:space="preserve"> y 17 fracción I de la Ley Federal de Telecomunicaciones y Radiodifusión (la “Ley”), el otorgamiento de concesiones, así como resolver respecto de las prórrogas, modificación o terminación de las mismas, e interpretar la Ley y demás disposiciones administrativas en materia de telecomunicaciones y radiodifusión, en el ámbito de sus atribuciones. </w:t>
      </w:r>
    </w:p>
    <w:p w14:paraId="10AD801F" w14:textId="77777777" w:rsidR="00BF4A51" w:rsidRPr="00BF4A51" w:rsidRDefault="00D437E4" w:rsidP="00BF4A51">
      <w:pPr>
        <w:autoSpaceDE w:val="0"/>
        <w:autoSpaceDN w:val="0"/>
        <w:adjustRightInd w:val="0"/>
        <w:spacing w:before="240" w:line="240" w:lineRule="auto"/>
        <w:jc w:val="both"/>
        <w:rPr>
          <w:rFonts w:ascii="ITC Avant Garde" w:hAnsi="ITC Avant Garde"/>
          <w:bCs/>
        </w:rPr>
      </w:pPr>
      <w:r w:rsidRPr="00BF4A51">
        <w:rPr>
          <w:rFonts w:ascii="ITC Avant Garde" w:hAnsi="ITC Avant Garde" w:cs="Tahoma"/>
          <w:bCs/>
          <w:lang w:eastAsia="es-MX"/>
        </w:rPr>
        <w:t xml:space="preserve">El artículo 6 fracciones I, XVIII y XXXVIII del </w:t>
      </w:r>
      <w:r w:rsidRPr="00BF4A51">
        <w:rPr>
          <w:rFonts w:ascii="ITC Avant Garde" w:hAnsi="ITC Avant Garde"/>
          <w:bCs/>
          <w:lang w:eastAsia="es-MX"/>
        </w:rPr>
        <w:t>Estatuto Orgánico,</w:t>
      </w:r>
      <w:r w:rsidRPr="00BF4A51">
        <w:rPr>
          <w:rFonts w:ascii="ITC Avant Garde" w:hAnsi="ITC Avant Garde" w:cs="Tahoma"/>
          <w:bCs/>
          <w:lang w:eastAsia="es-MX"/>
        </w:rPr>
        <w:t xml:space="preserve"> establece como atribuciones del Pleno del Instituto, entre otras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 interpretar, en su caso, la Ley y las disposiciones administrativas en materia de telecomunicaciones y radiodifusión, en el ámbito de sus atribuciones, así como las demás que la Ley y otros ordenamientos le confieran.</w:t>
      </w:r>
    </w:p>
    <w:p w14:paraId="342B51BA" w14:textId="77777777" w:rsidR="00BF4A51" w:rsidRPr="00BF4A51" w:rsidRDefault="00D437E4" w:rsidP="00BF4A51">
      <w:pPr>
        <w:autoSpaceDE w:val="0"/>
        <w:autoSpaceDN w:val="0"/>
        <w:adjustRightInd w:val="0"/>
        <w:spacing w:before="240" w:line="240" w:lineRule="auto"/>
        <w:contextualSpacing/>
        <w:jc w:val="both"/>
        <w:rPr>
          <w:rFonts w:ascii="ITC Avant Garde" w:hAnsi="ITC Avant Garde"/>
          <w:bCs/>
        </w:rPr>
      </w:pPr>
      <w:r w:rsidRPr="00BF4A51">
        <w:rPr>
          <w:rFonts w:ascii="ITC Avant Garde" w:hAnsi="ITC Avant Garde"/>
          <w:bCs/>
          <w:color w:val="000000"/>
          <w:lang w:eastAsia="es-MX"/>
        </w:rPr>
        <w:t>Así</w:t>
      </w:r>
      <w:r w:rsidRPr="00BF4A51">
        <w:rPr>
          <w:rFonts w:ascii="ITC Avant Garde" w:hAnsi="ITC Avant Garde" w:cs="Tahoma"/>
          <w:bCs/>
          <w:lang w:eastAsia="es-MX"/>
        </w:rPr>
        <w:t>, conforme a los artículos 32 y 33 fracción II del Estatuto Orgánico,</w:t>
      </w:r>
      <w:r w:rsidRPr="00BF4A51">
        <w:rPr>
          <w:rFonts w:ascii="ITC Avant Garde" w:hAnsi="ITC Avant Garde"/>
          <w:bCs/>
        </w:rPr>
        <w:t xml:space="preserve"> corresponde a </w:t>
      </w:r>
      <w:r w:rsidRPr="00BF4A51">
        <w:rPr>
          <w:rFonts w:ascii="ITC Avant Garde" w:hAnsi="ITC Avant Garde" w:cs="Tahoma"/>
          <w:bCs/>
          <w:lang w:eastAsia="es-MX"/>
        </w:rPr>
        <w:t>la Unidad de Concesiones y Servicios, a través de la Dirección General de Concesiones de Telecomunicaciones, tramitar y evaluar las solicitudes de cesión, modificación o prórroga de las concesiones en materia de telecomunicaciones para someterlas a consideración del Pleno;</w:t>
      </w:r>
      <w:r w:rsidRPr="00BF4A51">
        <w:rPr>
          <w:rFonts w:ascii="ITC Avant Garde" w:hAnsi="ITC Avant Garde"/>
          <w:bCs/>
        </w:rPr>
        <w:t xml:space="preserve"> tratándose de prórrogas de concesión de uso comercial, solicitará opinión previa a la Unidad de Competencia Económica.</w:t>
      </w:r>
    </w:p>
    <w:p w14:paraId="67E5860C" w14:textId="77777777" w:rsidR="00BF4A51" w:rsidRPr="00BF4A51" w:rsidRDefault="00D437E4" w:rsidP="00BF4A51">
      <w:pPr>
        <w:autoSpaceDE w:val="0"/>
        <w:autoSpaceDN w:val="0"/>
        <w:adjustRightInd w:val="0"/>
        <w:spacing w:before="240" w:line="240" w:lineRule="auto"/>
        <w:jc w:val="both"/>
        <w:rPr>
          <w:rFonts w:ascii="ITC Avant Garde" w:hAnsi="ITC Avant Garde" w:cs="Tahoma"/>
          <w:bCs/>
          <w:lang w:eastAsia="es-MX"/>
        </w:rPr>
      </w:pPr>
      <w:r w:rsidRPr="00BF4A51">
        <w:rPr>
          <w:rFonts w:ascii="ITC Avant Garde" w:hAnsi="ITC Avant Garde"/>
          <w:bCs/>
        </w:rPr>
        <w:t xml:space="preserve">En consecuencia, el Instituto está facultado para otorgar concesiones en materia de telecomunicaciones, así como resolver respecto de la prórroga, modificación o terminación de las mismas, asimismo tiene a su cargo la regulación, promoción y supervisión de las telecomunicaciones; y la atribución de regular, promover y supervisar el </w:t>
      </w:r>
      <w:r w:rsidRPr="00BF4A51">
        <w:rPr>
          <w:rFonts w:ascii="ITC Avant Garde" w:hAnsi="ITC Avant Garde" w:cs="Tahoma"/>
          <w:bCs/>
          <w:lang w:eastAsia="es-MX"/>
        </w:rPr>
        <w:t xml:space="preserve">uso, aprovechamiento y explotación eficiente del espectro radioeléctrico, los recursos </w:t>
      </w:r>
      <w:r w:rsidRPr="00BF4A51">
        <w:rPr>
          <w:rFonts w:ascii="ITC Avant Garde" w:hAnsi="ITC Avant Garde" w:cs="Tahoma"/>
          <w:bCs/>
          <w:lang w:eastAsia="es-MX"/>
        </w:rPr>
        <w:lastRenderedPageBreak/>
        <w:t xml:space="preserve">orbitales, los servicios satelitales, las redes de telecomunicaciones y la prestación de los servicios de radiodifusión y telecomunicaciones. Asimismo, el Instituto se encuentra facultado para interpretar la Ley y las disposiciones administrativas en materia de telecomunicaciones y radiodifusión, en el ámbito de sus atribuciones, por lo que </w:t>
      </w:r>
      <w:r w:rsidRPr="00BF4A51">
        <w:rPr>
          <w:rFonts w:ascii="ITC Avant Garde" w:hAnsi="ITC Avant Garde"/>
          <w:bCs/>
        </w:rPr>
        <w:t>el Pleno, como órgano máximo de gobierno y decisión del Instituto, se encuentra plenamente facultado para resolver la Solicitud de Prórroga.</w:t>
      </w:r>
    </w:p>
    <w:p w14:paraId="40C4960C" w14:textId="33809BCB" w:rsidR="00BF4A51" w:rsidRPr="00BF4A51" w:rsidRDefault="001A076C" w:rsidP="00BF4A51">
      <w:pPr>
        <w:pStyle w:val="Textoindependiente"/>
        <w:spacing w:before="240" w:after="200"/>
        <w:rPr>
          <w:rFonts w:ascii="ITC Avant Garde" w:eastAsia="Calibri" w:hAnsi="ITC Avant Garde"/>
          <w:bCs/>
          <w:color w:val="000000"/>
          <w:sz w:val="22"/>
          <w:szCs w:val="22"/>
          <w:lang w:eastAsia="es-MX"/>
        </w:rPr>
      </w:pPr>
      <w:r w:rsidRPr="00BF4A51">
        <w:rPr>
          <w:rFonts w:ascii="ITC Avant Garde" w:eastAsia="Calibri" w:hAnsi="ITC Avant Garde"/>
          <w:b/>
          <w:bCs/>
          <w:color w:val="000000"/>
          <w:sz w:val="22"/>
          <w:szCs w:val="22"/>
          <w:lang w:eastAsia="es-MX"/>
        </w:rPr>
        <w:t xml:space="preserve">Segundo.- </w:t>
      </w:r>
      <w:r w:rsidR="00942A29" w:rsidRPr="00BF4A51">
        <w:rPr>
          <w:rFonts w:ascii="ITC Avant Garde" w:eastAsia="Calibri" w:hAnsi="ITC Avant Garde"/>
          <w:b/>
          <w:bCs/>
          <w:color w:val="000000"/>
          <w:sz w:val="22"/>
          <w:szCs w:val="22"/>
          <w:lang w:eastAsia="es-MX"/>
        </w:rPr>
        <w:t>Marco legal aplicable a prórrogas de vigencia de concesiones en materia de telecomunicaciones</w:t>
      </w:r>
      <w:r w:rsidRPr="00BF4A51">
        <w:rPr>
          <w:rFonts w:ascii="ITC Avant Garde" w:eastAsia="Calibri" w:hAnsi="ITC Avant Garde"/>
          <w:b/>
          <w:bCs/>
          <w:color w:val="000000"/>
          <w:sz w:val="22"/>
          <w:szCs w:val="22"/>
          <w:lang w:eastAsia="es-MX"/>
        </w:rPr>
        <w:t>.</w:t>
      </w:r>
      <w:r w:rsidRPr="00BF4A51">
        <w:rPr>
          <w:rFonts w:ascii="ITC Avant Garde" w:hAnsi="ITC Avant Garde"/>
          <w:bCs/>
          <w:sz w:val="22"/>
          <w:szCs w:val="22"/>
        </w:rPr>
        <w:t xml:space="preserve"> </w:t>
      </w:r>
      <w:r w:rsidRPr="00BF4A51">
        <w:rPr>
          <w:rFonts w:ascii="ITC Avant Garde" w:eastAsia="Calibri" w:hAnsi="ITC Avant Garde"/>
          <w:bCs/>
          <w:color w:val="000000"/>
          <w:sz w:val="22"/>
          <w:szCs w:val="22"/>
          <w:lang w:eastAsia="es-MX"/>
        </w:rPr>
        <w:t>Como quedó señalado en el Considerando Primero, la atención, trámite y resolución de los asuntos y procedimientos iniciados con anterioridad a la entrada en vigor de la Ley, serán resueltos en los términos establecidos en el artículo Séptimo Transitorio del Decreto de Reforma Constitucional, por lo que la normatividad aplicable que establece los requisitos de procedencia para el análisis de la Solicitud de Prórroga se encuentra contenida en la Ley Federal de Telecomunicaciones (la “LFT”</w:t>
      </w:r>
      <w:r w:rsidR="00E84FC0" w:rsidRPr="00BF4A51">
        <w:rPr>
          <w:rFonts w:ascii="ITC Avant Garde" w:eastAsia="Calibri" w:hAnsi="ITC Avant Garde"/>
          <w:bCs/>
          <w:color w:val="000000"/>
          <w:sz w:val="22"/>
          <w:szCs w:val="22"/>
          <w:lang w:eastAsia="es-MX"/>
        </w:rPr>
        <w:t>)</w:t>
      </w:r>
      <w:r w:rsidRPr="00BF4A51">
        <w:rPr>
          <w:rFonts w:ascii="ITC Avant Garde" w:eastAsia="Calibri" w:hAnsi="ITC Avant Garde"/>
          <w:bCs/>
          <w:color w:val="000000"/>
          <w:sz w:val="22"/>
          <w:szCs w:val="22"/>
          <w:lang w:eastAsia="es-MX"/>
        </w:rPr>
        <w:t>.</w:t>
      </w:r>
    </w:p>
    <w:p w14:paraId="02FA4C04" w14:textId="77777777" w:rsidR="00BF4A51" w:rsidRPr="00BF4A51" w:rsidRDefault="001A076C" w:rsidP="00BF4A51">
      <w:pPr>
        <w:pStyle w:val="Textoindependiente"/>
        <w:spacing w:before="240" w:after="200"/>
        <w:rPr>
          <w:rFonts w:ascii="ITC Avant Garde" w:eastAsia="Calibri" w:hAnsi="ITC Avant Garde"/>
          <w:bCs/>
          <w:color w:val="000000"/>
          <w:sz w:val="22"/>
          <w:szCs w:val="22"/>
          <w:lang w:eastAsia="es-MX"/>
        </w:rPr>
      </w:pPr>
      <w:r w:rsidRPr="00BF4A51">
        <w:rPr>
          <w:rFonts w:ascii="ITC Avant Garde" w:eastAsia="Calibri" w:hAnsi="ITC Avant Garde"/>
          <w:bCs/>
          <w:color w:val="000000"/>
          <w:sz w:val="22"/>
          <w:szCs w:val="22"/>
          <w:lang w:eastAsia="es-MX"/>
        </w:rPr>
        <w:t xml:space="preserve">En virtud de que la Solicitud de Prórroga se presentó durante la vigencia de la LFT, es aplicable lo señalado en el artículo 19 del citado ordenamiento, </w:t>
      </w:r>
      <w:r w:rsidR="00B14FB6" w:rsidRPr="00BF4A51">
        <w:rPr>
          <w:rFonts w:ascii="ITC Avant Garde" w:eastAsia="Calibri" w:hAnsi="ITC Avant Garde"/>
          <w:bCs/>
          <w:color w:val="000000"/>
          <w:sz w:val="22"/>
          <w:szCs w:val="22"/>
          <w:lang w:eastAsia="es-MX"/>
        </w:rPr>
        <w:t>el cual dispone</w:t>
      </w:r>
      <w:r w:rsidRPr="00BF4A51">
        <w:rPr>
          <w:rFonts w:ascii="ITC Avant Garde" w:eastAsia="Calibri" w:hAnsi="ITC Avant Garde"/>
          <w:bCs/>
          <w:color w:val="000000"/>
          <w:sz w:val="22"/>
          <w:szCs w:val="22"/>
          <w:lang w:eastAsia="es-MX"/>
        </w:rPr>
        <w:t xml:space="preserve"> lo siguiente:</w:t>
      </w:r>
    </w:p>
    <w:p w14:paraId="3A0365C3" w14:textId="77777777" w:rsidR="00BF4A51" w:rsidRPr="00BF4A51" w:rsidRDefault="00D90C7B" w:rsidP="00BF4A51">
      <w:pPr>
        <w:spacing w:before="240" w:line="240" w:lineRule="auto"/>
        <w:ind w:left="567" w:right="670" w:firstLine="4"/>
        <w:jc w:val="both"/>
        <w:rPr>
          <w:rFonts w:ascii="ITC Avant Garde" w:hAnsi="ITC Avant Garde"/>
          <w:bCs/>
          <w:color w:val="000000"/>
          <w:sz w:val="18"/>
          <w:szCs w:val="18"/>
          <w:lang w:eastAsia="es-MX"/>
        </w:rPr>
      </w:pPr>
      <w:r w:rsidRPr="00BF4A51">
        <w:rPr>
          <w:rFonts w:ascii="ITC Avant Garde" w:hAnsi="ITC Avant Garde"/>
          <w:bCs/>
          <w:color w:val="000000"/>
          <w:sz w:val="18"/>
          <w:szCs w:val="18"/>
          <w:lang w:eastAsia="es-MX"/>
        </w:rPr>
        <w:t>“</w:t>
      </w:r>
      <w:r w:rsidRPr="00BF4A51">
        <w:rPr>
          <w:rFonts w:ascii="ITC Avant Garde" w:hAnsi="ITC Avant Garde"/>
          <w:b/>
          <w:bCs/>
          <w:color w:val="000000"/>
          <w:sz w:val="18"/>
          <w:szCs w:val="18"/>
          <w:lang w:eastAsia="es-MX"/>
        </w:rPr>
        <w:t>Artículo 19.</w:t>
      </w:r>
      <w:r w:rsidRPr="00BF4A51">
        <w:rPr>
          <w:rFonts w:ascii="ITC Avant Garde" w:eastAsia="Times New Roman" w:hAnsi="ITC Avant Garde"/>
          <w:b/>
          <w:bCs/>
          <w:color w:val="000000"/>
          <w:sz w:val="18"/>
          <w:szCs w:val="18"/>
          <w:lang w:val="es-ES" w:eastAsia="es-MX"/>
        </w:rPr>
        <w:t xml:space="preserve"> </w:t>
      </w:r>
      <w:r w:rsidRPr="00BF4A51">
        <w:rPr>
          <w:rFonts w:ascii="ITC Avant Garde" w:hAnsi="ITC Avant Garde"/>
          <w:bCs/>
          <w:color w:val="000000"/>
          <w:sz w:val="18"/>
          <w:szCs w:val="18"/>
          <w:lang w:eastAsia="es-MX"/>
        </w:rPr>
        <w:t>Las concesiones sobre bandas de frecuencias se otorgarán por un plazo hasta de 20 años y podrán ser prorrogadas hasta por plazos iguales a los originalmente establecidos, a juicio de la Secretaría.</w:t>
      </w:r>
    </w:p>
    <w:p w14:paraId="1E90BBD4" w14:textId="77777777" w:rsidR="00BF4A51" w:rsidRPr="00BF4A51" w:rsidRDefault="00D90C7B" w:rsidP="00BF4A51">
      <w:pPr>
        <w:spacing w:before="240" w:line="240" w:lineRule="auto"/>
        <w:ind w:left="567" w:right="670" w:firstLine="4"/>
        <w:jc w:val="both"/>
        <w:rPr>
          <w:rFonts w:ascii="ITC Avant Garde" w:hAnsi="ITC Avant Garde"/>
          <w:bCs/>
          <w:color w:val="000000"/>
          <w:sz w:val="18"/>
          <w:szCs w:val="18"/>
          <w:lang w:eastAsia="es-MX"/>
        </w:rPr>
      </w:pPr>
      <w:r w:rsidRPr="00BF4A51">
        <w:rPr>
          <w:rFonts w:ascii="ITC Avant Garde" w:hAnsi="ITC Avant Garde"/>
          <w:b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14:paraId="75C89BEA" w14:textId="77777777" w:rsidR="00BF4A51" w:rsidRPr="00BF4A51" w:rsidRDefault="00391499" w:rsidP="00BF4A51">
      <w:pPr>
        <w:tabs>
          <w:tab w:val="num" w:pos="540"/>
        </w:tabs>
        <w:spacing w:before="240" w:line="240" w:lineRule="auto"/>
        <w:jc w:val="both"/>
        <w:rPr>
          <w:rFonts w:ascii="ITC Avant Garde" w:hAnsi="ITC Avant Garde"/>
          <w:bCs/>
          <w:color w:val="000000"/>
          <w:lang w:eastAsia="es-MX"/>
        </w:rPr>
      </w:pPr>
      <w:r w:rsidRPr="00BF4A51">
        <w:rPr>
          <w:rFonts w:ascii="ITC Avant Garde" w:hAnsi="ITC Avant Garde"/>
          <w:bCs/>
          <w:color w:val="000000"/>
          <w:lang w:eastAsia="es-MX"/>
        </w:rPr>
        <w:t>En este sentido, dicho artículo establecía</w:t>
      </w:r>
      <w:r w:rsidR="00225801" w:rsidRPr="00BF4A51">
        <w:rPr>
          <w:rFonts w:ascii="ITC Avant Garde" w:hAnsi="ITC Avant Garde"/>
          <w:bCs/>
          <w:color w:val="000000"/>
          <w:lang w:eastAsia="es-MX"/>
        </w:rPr>
        <w:t xml:space="preserve"> que para el otorgamiento de prórrogas de concesiones de bandas de frecuencias era necesario que el concesionario: i) hubiere cumplido con las condiciones previstas en la concesión que se pretendiera prorrogar; ii) lo solicitara antes de que iniciara la última quinta parte del plazo de vigencia de la concesión, y iii) aceptara las nuevas condiciones que al efecto se establecieran.</w:t>
      </w:r>
    </w:p>
    <w:p w14:paraId="2056B5DC" w14:textId="77777777" w:rsidR="00BF4A51" w:rsidRPr="00BF4A51" w:rsidRDefault="00225801" w:rsidP="00BF4A51">
      <w:pPr>
        <w:autoSpaceDE w:val="0"/>
        <w:autoSpaceDN w:val="0"/>
        <w:adjustRightInd w:val="0"/>
        <w:spacing w:before="240" w:line="240" w:lineRule="auto"/>
        <w:jc w:val="both"/>
        <w:rPr>
          <w:rFonts w:ascii="ITC Avant Garde" w:hAnsi="ITC Avant Garde"/>
          <w:bCs/>
        </w:rPr>
      </w:pPr>
      <w:r w:rsidRPr="00BF4A51">
        <w:rPr>
          <w:rFonts w:ascii="ITC Avant Garde" w:hAnsi="ITC Avant Garde"/>
          <w:bCs/>
        </w:rPr>
        <w:t>Finalmente, cabe destacar que para este tipo de solicitudes deb</w:t>
      </w:r>
      <w:r w:rsidR="00E84FC0" w:rsidRPr="00BF4A51">
        <w:rPr>
          <w:rFonts w:ascii="ITC Avant Garde" w:hAnsi="ITC Avant Garde"/>
          <w:bCs/>
        </w:rPr>
        <w:t>ía</w:t>
      </w:r>
      <w:r w:rsidRPr="00BF4A51">
        <w:rPr>
          <w:rFonts w:ascii="ITC Avant Garde" w:hAnsi="ITC Avant Garde"/>
          <w:bCs/>
        </w:rPr>
        <w:t xml:space="preserve"> acatarse el requisito de procedencia establecido en el artículo 93 fracción III de la Ley Federal de Derechos vigente al momento de iniciar </w:t>
      </w:r>
      <w:r w:rsidR="00942A29" w:rsidRPr="00BF4A51">
        <w:rPr>
          <w:rFonts w:ascii="ITC Avant Garde" w:hAnsi="ITC Avant Garde"/>
          <w:bCs/>
        </w:rPr>
        <w:t>el</w:t>
      </w:r>
      <w:r w:rsidRPr="00BF4A51">
        <w:rPr>
          <w:rFonts w:ascii="ITC Avant Garde" w:hAnsi="ITC Avant Garde"/>
          <w:bCs/>
        </w:rPr>
        <w:t xml:space="preserve"> </w:t>
      </w:r>
      <w:r w:rsidR="00942A29" w:rsidRPr="00BF4A51">
        <w:rPr>
          <w:rFonts w:ascii="ITC Avant Garde" w:hAnsi="ITC Avant Garde"/>
          <w:bCs/>
        </w:rPr>
        <w:t>trámite, mismo que establecía</w:t>
      </w:r>
      <w:r w:rsidRPr="00BF4A51">
        <w:rPr>
          <w:rFonts w:ascii="ITC Avant Garde" w:hAnsi="ITC Avant Garde"/>
          <w:bCs/>
        </w:rPr>
        <w:t xml:space="preserve"> la obligación a cargo del solicitante de la prórroga de vigencia de la concesión en materia de telecomunicaciones que corresponda, de pagar los derechos por el trámite relativo al estudio de dicha </w:t>
      </w:r>
      <w:r w:rsidR="001B1C72" w:rsidRPr="00BF4A51">
        <w:rPr>
          <w:rFonts w:ascii="ITC Avant Garde" w:hAnsi="ITC Avant Garde"/>
          <w:bCs/>
        </w:rPr>
        <w:t>S</w:t>
      </w:r>
      <w:r w:rsidRPr="00BF4A51">
        <w:rPr>
          <w:rFonts w:ascii="ITC Avant Garde" w:hAnsi="ITC Avant Garde"/>
          <w:bCs/>
        </w:rPr>
        <w:t>olicitud</w:t>
      </w:r>
      <w:r w:rsidR="001B1C72" w:rsidRPr="00BF4A51">
        <w:rPr>
          <w:rFonts w:ascii="ITC Avant Garde" w:hAnsi="ITC Avant Garde"/>
          <w:bCs/>
        </w:rPr>
        <w:t xml:space="preserve"> de P</w:t>
      </w:r>
      <w:r w:rsidRPr="00BF4A51">
        <w:rPr>
          <w:rFonts w:ascii="ITC Avant Garde" w:hAnsi="ITC Avant Garde"/>
          <w:bCs/>
        </w:rPr>
        <w:t>rórroga.</w:t>
      </w:r>
    </w:p>
    <w:p w14:paraId="4F6214AC" w14:textId="6B546940" w:rsidR="00BF4A51" w:rsidRPr="00BF4A51" w:rsidRDefault="0056497B" w:rsidP="00BF4A51">
      <w:pPr>
        <w:spacing w:before="240" w:line="240" w:lineRule="auto"/>
        <w:ind w:right="-94"/>
        <w:jc w:val="both"/>
        <w:rPr>
          <w:rFonts w:ascii="ITC Avant Garde" w:hAnsi="ITC Avant Garde"/>
          <w:bCs/>
        </w:rPr>
      </w:pPr>
      <w:r w:rsidRPr="00BF4A51">
        <w:rPr>
          <w:rFonts w:ascii="ITC Avant Garde" w:hAnsi="ITC Avant Garde"/>
          <w:b/>
          <w:bCs/>
          <w:color w:val="000000"/>
          <w:lang w:eastAsia="es-MX"/>
        </w:rPr>
        <w:t xml:space="preserve">Tercero.- </w:t>
      </w:r>
      <w:r w:rsidR="002D546F" w:rsidRPr="00BF4A51">
        <w:rPr>
          <w:rFonts w:ascii="ITC Avant Garde" w:hAnsi="ITC Avant Garde"/>
          <w:b/>
          <w:bCs/>
          <w:color w:val="000000"/>
          <w:lang w:eastAsia="es-MX"/>
        </w:rPr>
        <w:t>Prórroga de la</w:t>
      </w:r>
      <w:r w:rsidR="00942A29" w:rsidRPr="00BF4A51">
        <w:rPr>
          <w:rFonts w:ascii="ITC Avant Garde" w:hAnsi="ITC Avant Garde"/>
          <w:b/>
          <w:bCs/>
          <w:color w:val="000000"/>
          <w:lang w:eastAsia="es-MX"/>
        </w:rPr>
        <w:t xml:space="preserve"> Concesió</w:t>
      </w:r>
      <w:r w:rsidR="002D546F" w:rsidRPr="00BF4A51">
        <w:rPr>
          <w:rFonts w:ascii="ITC Avant Garde" w:hAnsi="ITC Avant Garde"/>
          <w:b/>
          <w:bCs/>
          <w:color w:val="000000"/>
          <w:lang w:eastAsia="es-MX"/>
        </w:rPr>
        <w:t>n</w:t>
      </w:r>
      <w:r w:rsidR="00C41F9F" w:rsidRPr="00BF4A51">
        <w:rPr>
          <w:rFonts w:ascii="ITC Avant Garde" w:hAnsi="ITC Avant Garde"/>
          <w:b/>
          <w:bCs/>
          <w:color w:val="000000"/>
          <w:lang w:eastAsia="es-MX"/>
        </w:rPr>
        <w:t>.</w:t>
      </w:r>
      <w:r w:rsidR="00C41F9F" w:rsidRPr="00BF4A51">
        <w:rPr>
          <w:rFonts w:ascii="ITC Avant Garde" w:hAnsi="ITC Avant Garde"/>
          <w:bCs/>
          <w:color w:val="000000"/>
          <w:lang w:eastAsia="es-MX"/>
        </w:rPr>
        <w:t xml:space="preserve"> </w:t>
      </w:r>
      <w:r w:rsidR="002D546F" w:rsidRPr="00BF4A51">
        <w:rPr>
          <w:rFonts w:ascii="ITC Avant Garde" w:hAnsi="ITC Avant Garde"/>
          <w:bCs/>
        </w:rPr>
        <w:t xml:space="preserve">El artículo 10 </w:t>
      </w:r>
      <w:proofErr w:type="gramStart"/>
      <w:r w:rsidR="002D546F" w:rsidRPr="00BF4A51">
        <w:rPr>
          <w:rFonts w:ascii="ITC Avant Garde" w:hAnsi="ITC Avant Garde"/>
          <w:bCs/>
        </w:rPr>
        <w:t>fracción</w:t>
      </w:r>
      <w:proofErr w:type="gramEnd"/>
      <w:r w:rsidR="002D546F" w:rsidRPr="00BF4A51">
        <w:rPr>
          <w:rFonts w:ascii="ITC Avant Garde" w:hAnsi="ITC Avant Garde"/>
          <w:bCs/>
        </w:rPr>
        <w:t xml:space="preserve"> II de la </w:t>
      </w:r>
      <w:r w:rsidR="00942A29" w:rsidRPr="00BF4A51">
        <w:rPr>
          <w:rFonts w:ascii="ITC Avant Garde" w:hAnsi="ITC Avant Garde"/>
          <w:bCs/>
        </w:rPr>
        <w:t>LFT</w:t>
      </w:r>
      <w:r w:rsidR="002D546F" w:rsidRPr="00BF4A51">
        <w:rPr>
          <w:rFonts w:ascii="ITC Avant Garde" w:hAnsi="ITC Avant Garde"/>
          <w:bCs/>
        </w:rPr>
        <w:t xml:space="preserve"> señalaba que el espectro para usos determinados eran aquellas bandas de frecuencias otorgadas mediante concesión y que podían ser utilizadas para los servicios que autorizara la Secretaría en el título correspondiente. Por su parte, el artículo 11 </w:t>
      </w:r>
      <w:proofErr w:type="gramStart"/>
      <w:r w:rsidR="002D546F" w:rsidRPr="00BF4A51">
        <w:rPr>
          <w:rFonts w:ascii="ITC Avant Garde" w:hAnsi="ITC Avant Garde"/>
          <w:bCs/>
        </w:rPr>
        <w:t>fracción</w:t>
      </w:r>
      <w:proofErr w:type="gramEnd"/>
      <w:r w:rsidR="002D546F" w:rsidRPr="00BF4A51">
        <w:rPr>
          <w:rFonts w:ascii="ITC Avant Garde" w:hAnsi="ITC Avant Garde"/>
          <w:bCs/>
        </w:rPr>
        <w:t xml:space="preserve"> I del citado </w:t>
      </w:r>
      <w:r w:rsidR="002D546F" w:rsidRPr="00BF4A51">
        <w:rPr>
          <w:rFonts w:ascii="ITC Avant Garde" w:hAnsi="ITC Avant Garde"/>
          <w:bCs/>
        </w:rPr>
        <w:lastRenderedPageBreak/>
        <w:t xml:space="preserve">ordenamiento establecía que se requería concesión para usar, aprovechar o explotar una banda de frecuencias en el territorio nacional. </w:t>
      </w:r>
    </w:p>
    <w:p w14:paraId="5DEEC714" w14:textId="77777777" w:rsidR="00BF4A51" w:rsidRPr="00BF4A51" w:rsidRDefault="002D546F" w:rsidP="00BF4A51">
      <w:pPr>
        <w:spacing w:before="240" w:line="240" w:lineRule="auto"/>
        <w:ind w:right="-94"/>
        <w:jc w:val="both"/>
        <w:rPr>
          <w:rFonts w:ascii="ITC Avant Garde" w:hAnsi="ITC Avant Garde"/>
          <w:bCs/>
        </w:rPr>
      </w:pPr>
      <w:r w:rsidRPr="00BF4A51">
        <w:rPr>
          <w:rFonts w:ascii="ITC Avant Garde" w:hAnsi="ITC Avant Garde"/>
          <w:bCs/>
        </w:rPr>
        <w:t>En ese sentido, el artículo 3 fracción XIII de la Ley define a la concesión de espectro radioeléctrico como el acto administrativo mediante el cual el Instituto confiere el derecho para usar, aprovechar o explotar bandas de frecuencia</w:t>
      </w:r>
      <w:r w:rsidR="00221C8E" w:rsidRPr="00BF4A51">
        <w:rPr>
          <w:rFonts w:ascii="ITC Avant Garde" w:hAnsi="ITC Avant Garde"/>
          <w:bCs/>
        </w:rPr>
        <w:t>s</w:t>
      </w:r>
      <w:r w:rsidRPr="00BF4A51">
        <w:rPr>
          <w:rFonts w:ascii="ITC Avant Garde" w:hAnsi="ITC Avant Garde"/>
          <w:bCs/>
        </w:rPr>
        <w:t xml:space="preserve"> del espectro radioeléctrico, en los términos y modalidades establecidos en dicha Ley. Al respecto, el artículo 76 de la Ley establece una nueva clasificación para este tipo de concesiones de acuerdo a sus fines, entre las que destaca la concesión para uso comercial, que de acuerdo al artículo 76 fracción I, confiere el derecho a personas físicas y morales para usar, aprovechar y explotar bandas de frecuencias del espectro radioeléctrico de uso determinado, con fines de lucro. </w:t>
      </w:r>
    </w:p>
    <w:p w14:paraId="396AA172" w14:textId="77777777" w:rsidR="00BF4A51" w:rsidRPr="00BF4A51" w:rsidRDefault="002D546F" w:rsidP="00BF4A51">
      <w:pPr>
        <w:autoSpaceDE w:val="0"/>
        <w:autoSpaceDN w:val="0"/>
        <w:adjustRightInd w:val="0"/>
        <w:spacing w:before="240" w:line="240" w:lineRule="auto"/>
        <w:contextualSpacing/>
        <w:jc w:val="both"/>
        <w:rPr>
          <w:rFonts w:ascii="ITC Avant Garde" w:hAnsi="ITC Avant Garde"/>
          <w:bCs/>
        </w:rPr>
      </w:pPr>
      <w:r w:rsidRPr="00BF4A51">
        <w:rPr>
          <w:rFonts w:ascii="ITC Avant Garde" w:hAnsi="ITC Avant Garde"/>
          <w:bCs/>
        </w:rPr>
        <w:t>Derivado de lo anterior, la prórroga de vigencia de la Concesi</w:t>
      </w:r>
      <w:r w:rsidR="00A50B68" w:rsidRPr="00BF4A51">
        <w:rPr>
          <w:rFonts w:ascii="ITC Avant Garde" w:hAnsi="ITC Avant Garde"/>
          <w:bCs/>
        </w:rPr>
        <w:t>ó</w:t>
      </w:r>
      <w:r w:rsidRPr="00BF4A51">
        <w:rPr>
          <w:rFonts w:ascii="ITC Avant Garde" w:hAnsi="ITC Avant Garde"/>
          <w:bCs/>
        </w:rPr>
        <w:t xml:space="preserve">n debe otorgarse atendiendo a lo dispuesto por el nuevo régimen de </w:t>
      </w:r>
      <w:proofErr w:type="spellStart"/>
      <w:r w:rsidRPr="00BF4A51">
        <w:rPr>
          <w:rFonts w:ascii="ITC Avant Garde" w:hAnsi="ITC Avant Garde"/>
          <w:bCs/>
        </w:rPr>
        <w:t>concesionamiento</w:t>
      </w:r>
      <w:proofErr w:type="spellEnd"/>
      <w:r w:rsidRPr="00BF4A51">
        <w:rPr>
          <w:rFonts w:ascii="ITC Avant Garde" w:hAnsi="ITC Avant Garde"/>
          <w:bCs/>
        </w:rPr>
        <w:t xml:space="preserve"> previsto en la </w:t>
      </w:r>
      <w:r w:rsidR="00391499" w:rsidRPr="00BF4A51">
        <w:rPr>
          <w:rFonts w:ascii="ITC Avant Garde" w:hAnsi="ITC Avant Garde"/>
          <w:bCs/>
        </w:rPr>
        <w:t>Ley, es decir, de concederse la misma</w:t>
      </w:r>
      <w:r w:rsidRPr="00BF4A51">
        <w:rPr>
          <w:rFonts w:ascii="ITC Avant Garde" w:hAnsi="ITC Avant Garde"/>
          <w:bCs/>
        </w:rPr>
        <w:t xml:space="preserve">, se otorgaría a </w:t>
      </w:r>
      <w:r w:rsidR="00B31175" w:rsidRPr="00BF4A51">
        <w:rPr>
          <w:rFonts w:ascii="ITC Avant Garde" w:hAnsi="ITC Avant Garde"/>
          <w:bCs/>
        </w:rPr>
        <w:t xml:space="preserve">AT&amp;T Comunicaciones Digitales </w:t>
      </w:r>
      <w:r w:rsidRPr="00BF4A51">
        <w:rPr>
          <w:rFonts w:ascii="ITC Avant Garde" w:hAnsi="ITC Avant Garde"/>
          <w:bCs/>
        </w:rPr>
        <w:t>una concesión para usar, aprovechar y explotar bandas de frecuencias del espectro radioeléctrico para uso comercial.</w:t>
      </w:r>
    </w:p>
    <w:p w14:paraId="228F852D" w14:textId="398B8B45" w:rsidR="001D0E8B" w:rsidRPr="00BF4A51" w:rsidRDefault="004F7B6E" w:rsidP="00BF4A51">
      <w:pPr>
        <w:autoSpaceDE w:val="0"/>
        <w:autoSpaceDN w:val="0"/>
        <w:adjustRightInd w:val="0"/>
        <w:spacing w:before="240" w:line="240" w:lineRule="auto"/>
        <w:jc w:val="both"/>
        <w:rPr>
          <w:rFonts w:ascii="ITC Avant Garde" w:hAnsi="ITC Avant Garde"/>
          <w:bCs/>
          <w:lang w:eastAsia="es-MX"/>
        </w:rPr>
      </w:pPr>
      <w:r w:rsidRPr="00BF4A51">
        <w:rPr>
          <w:rFonts w:ascii="ITC Avant Garde" w:hAnsi="ITC Avant Garde"/>
          <w:b/>
          <w:bCs/>
          <w:lang w:eastAsia="es-MX"/>
        </w:rPr>
        <w:t>Cuarto</w:t>
      </w:r>
      <w:r w:rsidR="00C41F9F" w:rsidRPr="00BF4A51">
        <w:rPr>
          <w:rFonts w:ascii="ITC Avant Garde" w:hAnsi="ITC Avant Garde"/>
          <w:b/>
          <w:bCs/>
          <w:lang w:eastAsia="es-MX"/>
        </w:rPr>
        <w:t xml:space="preserve">.- Análisis </w:t>
      </w:r>
      <w:r w:rsidR="00C41F9F" w:rsidRPr="00BF4A51">
        <w:rPr>
          <w:rFonts w:ascii="ITC Avant Garde" w:hAnsi="ITC Avant Garde"/>
          <w:b/>
          <w:bCs/>
          <w:color w:val="000000"/>
          <w:lang w:eastAsia="es-MX"/>
        </w:rPr>
        <w:t>de la Solicitud de Prórroga.</w:t>
      </w:r>
      <w:r w:rsidR="00C41F9F" w:rsidRPr="00BF4A51">
        <w:rPr>
          <w:rFonts w:ascii="ITC Avant Garde" w:hAnsi="ITC Avant Garde"/>
          <w:bCs/>
          <w:color w:val="000000"/>
          <w:lang w:eastAsia="es-MX"/>
        </w:rPr>
        <w:t xml:space="preserve"> </w:t>
      </w:r>
      <w:r w:rsidR="001D0E8B" w:rsidRPr="00BF4A51">
        <w:rPr>
          <w:rFonts w:ascii="ITC Avant Garde" w:hAnsi="ITC Avant Garde"/>
          <w:bCs/>
          <w:lang w:eastAsia="es-MX"/>
        </w:rPr>
        <w:t>De conformidad con lo señalado por el artículo 19 de la LFT y la Ley Federal de Derechos vigente al momento de presentar la Solicitud de Prórroga</w:t>
      </w:r>
      <w:r w:rsidR="00221C8E" w:rsidRPr="00BF4A51">
        <w:rPr>
          <w:rFonts w:ascii="ITC Avant Garde" w:hAnsi="ITC Avant Garde"/>
          <w:bCs/>
          <w:lang w:eastAsia="es-MX"/>
        </w:rPr>
        <w:t>,</w:t>
      </w:r>
      <w:r w:rsidR="001D0E8B" w:rsidRPr="00BF4A51">
        <w:rPr>
          <w:rFonts w:ascii="ITC Avant Garde" w:hAnsi="ITC Avant Garde"/>
          <w:bCs/>
          <w:lang w:eastAsia="es-MX"/>
        </w:rPr>
        <w:t xml:space="preserve"> y como ya quedó señalado en el Considerado Segundo</w:t>
      </w:r>
      <w:r w:rsidR="00221C8E" w:rsidRPr="00BF4A51">
        <w:rPr>
          <w:rFonts w:ascii="ITC Avant Garde" w:hAnsi="ITC Avant Garde"/>
          <w:bCs/>
          <w:lang w:eastAsia="es-MX"/>
        </w:rPr>
        <w:t xml:space="preserve"> anterior</w:t>
      </w:r>
      <w:r w:rsidR="001D0E8B" w:rsidRPr="00BF4A51">
        <w:rPr>
          <w:rFonts w:ascii="ITC Avant Garde" w:hAnsi="ITC Avant Garde"/>
          <w:bCs/>
          <w:lang w:eastAsia="es-MX"/>
        </w:rPr>
        <w:t>, los requisitos de procedencia que debe observar AT&amp;T Comunicaciones Digitales, y que se verifican durante el análisis de la Solicitud de Prórroga, son los siguientes:</w:t>
      </w:r>
    </w:p>
    <w:p w14:paraId="3F4FEE9F" w14:textId="62E8E477" w:rsidR="00634B77" w:rsidRPr="00BF4A51" w:rsidRDefault="009E0012" w:rsidP="00BF4A51">
      <w:pPr>
        <w:autoSpaceDE w:val="0"/>
        <w:autoSpaceDN w:val="0"/>
        <w:adjustRightInd w:val="0"/>
        <w:spacing w:before="240" w:line="240" w:lineRule="auto"/>
        <w:jc w:val="both"/>
        <w:rPr>
          <w:rFonts w:ascii="ITC Avant Garde" w:hAnsi="ITC Avant Garde"/>
          <w:bCs/>
          <w:color w:val="000000"/>
          <w:lang w:val="es-ES" w:eastAsia="es-MX"/>
        </w:rPr>
      </w:pPr>
      <w:r w:rsidRPr="00BF4A51">
        <w:rPr>
          <w:rFonts w:ascii="ITC Avant Garde" w:hAnsi="ITC Avant Garde"/>
          <w:bCs/>
        </w:rPr>
        <w:t xml:space="preserve">Con respecto al primer requisito de procedencia, </w:t>
      </w:r>
      <w:r w:rsidR="00634B77" w:rsidRPr="00BF4A51">
        <w:rPr>
          <w:rFonts w:ascii="ITC Avant Garde" w:hAnsi="ITC Avant Garde"/>
          <w:bCs/>
        </w:rPr>
        <w:t xml:space="preserve">que señala que el concesionario </w:t>
      </w:r>
      <w:r w:rsidR="00634B77" w:rsidRPr="00BF4A51">
        <w:rPr>
          <w:rFonts w:ascii="ITC Avant Garde" w:hAnsi="ITC Avant Garde"/>
          <w:bCs/>
          <w:color w:val="000000"/>
          <w:lang w:eastAsia="es-MX"/>
        </w:rPr>
        <w:t xml:space="preserve">hubiere cumplido con las condiciones previstas en la concesión que se pretendiera prorrogar, </w:t>
      </w:r>
      <w:r w:rsidR="00634B77" w:rsidRPr="00BF4A51">
        <w:rPr>
          <w:rFonts w:ascii="ITC Avant Garde" w:hAnsi="ITC Avant Garde"/>
          <w:bCs/>
        </w:rPr>
        <w:t>la entonces Dirección General de Redes, Espectro y Servicios “B”, adscrita a la entonces Unidad de Servicios a la Industria</w:t>
      </w:r>
      <w:r w:rsidR="00221C8E" w:rsidRPr="00BF4A51">
        <w:rPr>
          <w:rFonts w:ascii="ITC Avant Garde" w:hAnsi="ITC Avant Garde"/>
          <w:bCs/>
        </w:rPr>
        <w:t xml:space="preserve"> de la Comisión</w:t>
      </w:r>
      <w:r w:rsidR="00634B77" w:rsidRPr="00BF4A51">
        <w:rPr>
          <w:rFonts w:ascii="ITC Avant Garde" w:hAnsi="ITC Avant Garde"/>
          <w:bCs/>
        </w:rPr>
        <w:t>, mediante oficio</w:t>
      </w:r>
      <w:r w:rsidR="00163A92" w:rsidRPr="00BF4A51">
        <w:rPr>
          <w:rFonts w:ascii="ITC Avant Garde" w:hAnsi="ITC Avant Garde"/>
          <w:bCs/>
        </w:rPr>
        <w:t xml:space="preserve"> CFT/D03/USI/DGB/466</w:t>
      </w:r>
      <w:r w:rsidR="00325AD0" w:rsidRPr="00BF4A51">
        <w:rPr>
          <w:rFonts w:ascii="ITC Avant Garde" w:hAnsi="ITC Avant Garde"/>
          <w:bCs/>
        </w:rPr>
        <w:t>5</w:t>
      </w:r>
      <w:r w:rsidR="00163A92" w:rsidRPr="00BF4A51">
        <w:rPr>
          <w:rFonts w:ascii="ITC Avant Garde" w:hAnsi="ITC Avant Garde"/>
          <w:bCs/>
        </w:rPr>
        <w:t xml:space="preserve">/12, de fecha </w:t>
      </w:r>
      <w:r w:rsidR="00634B77" w:rsidRPr="00BF4A51">
        <w:rPr>
          <w:rFonts w:ascii="ITC Avant Garde" w:hAnsi="ITC Avant Garde"/>
          <w:bCs/>
        </w:rPr>
        <w:t>18</w:t>
      </w:r>
      <w:r w:rsidR="00163A92" w:rsidRPr="00BF4A51">
        <w:rPr>
          <w:rFonts w:ascii="ITC Avant Garde" w:hAnsi="ITC Avant Garde"/>
          <w:bCs/>
        </w:rPr>
        <w:t xml:space="preserve"> de </w:t>
      </w:r>
      <w:r w:rsidR="00634B77" w:rsidRPr="00BF4A51">
        <w:rPr>
          <w:rFonts w:ascii="ITC Avant Garde" w:hAnsi="ITC Avant Garde"/>
          <w:bCs/>
        </w:rPr>
        <w:t>octubre</w:t>
      </w:r>
      <w:r w:rsidR="00163A92" w:rsidRPr="00BF4A51">
        <w:rPr>
          <w:rFonts w:ascii="ITC Avant Garde" w:hAnsi="ITC Avant Garde"/>
          <w:bCs/>
        </w:rPr>
        <w:t xml:space="preserve"> de 2012</w:t>
      </w:r>
      <w:r w:rsidR="00634B77" w:rsidRPr="00BF4A51">
        <w:rPr>
          <w:rFonts w:ascii="ITC Avant Garde" w:hAnsi="ITC Avant Garde"/>
          <w:bCs/>
        </w:rPr>
        <w:t>, solicitó a la entonces Unidad de Supervisión y Verificación informara si dicho concesionario se encontraba al corriente en el cumplimiento de las obligaciones derivadas de la Concesión</w:t>
      </w:r>
      <w:r w:rsidR="00C33FA9" w:rsidRPr="00BF4A51">
        <w:rPr>
          <w:rFonts w:ascii="ITC Avant Garde" w:hAnsi="ITC Avant Garde"/>
          <w:bCs/>
        </w:rPr>
        <w:t>.</w:t>
      </w:r>
      <w:r w:rsidR="00634B77" w:rsidRPr="00BF4A51">
        <w:rPr>
          <w:rFonts w:ascii="ITC Avant Garde" w:hAnsi="ITC Avant Garde"/>
          <w:bCs/>
        </w:rPr>
        <w:t xml:space="preserve"> Posteriormente, la Dirección General de Concesiones de Telecomunicaciones</w:t>
      </w:r>
      <w:r w:rsidR="000C05EB" w:rsidRPr="00BF4A51">
        <w:rPr>
          <w:rFonts w:ascii="ITC Avant Garde" w:hAnsi="ITC Avant Garde"/>
          <w:bCs/>
        </w:rPr>
        <w:t>,</w:t>
      </w:r>
      <w:r w:rsidR="00634B77" w:rsidRPr="00BF4A51">
        <w:rPr>
          <w:rFonts w:ascii="ITC Avant Garde" w:hAnsi="ITC Avant Garde"/>
          <w:bCs/>
        </w:rPr>
        <w:t xml:space="preserve"> adscrita a la Unida</w:t>
      </w:r>
      <w:r w:rsidR="00C33FA9" w:rsidRPr="00BF4A51">
        <w:rPr>
          <w:rFonts w:ascii="ITC Avant Garde" w:hAnsi="ITC Avant Garde"/>
          <w:bCs/>
        </w:rPr>
        <w:t>d</w:t>
      </w:r>
      <w:r w:rsidR="00634B77" w:rsidRPr="00BF4A51">
        <w:rPr>
          <w:rFonts w:ascii="ITC Avant Garde" w:hAnsi="ITC Avant Garde"/>
          <w:bCs/>
        </w:rPr>
        <w:t xml:space="preserve"> de Concesiones y Servicios</w:t>
      </w:r>
      <w:r w:rsidR="000C05EB" w:rsidRPr="00BF4A51">
        <w:rPr>
          <w:rFonts w:ascii="ITC Avant Garde" w:hAnsi="ITC Avant Garde"/>
          <w:bCs/>
        </w:rPr>
        <w:t xml:space="preserve"> del Instituto</w:t>
      </w:r>
      <w:r w:rsidR="00634B77" w:rsidRPr="00BF4A51">
        <w:rPr>
          <w:rFonts w:ascii="ITC Avant Garde" w:hAnsi="ITC Avant Garde"/>
          <w:bCs/>
        </w:rPr>
        <w:t xml:space="preserve">, mediante </w:t>
      </w:r>
      <w:r w:rsidR="00163A92" w:rsidRPr="00BF4A51">
        <w:rPr>
          <w:rFonts w:ascii="ITC Avant Garde" w:hAnsi="ITC Avant Garde"/>
          <w:bCs/>
        </w:rPr>
        <w:t>oficio IFT/223/UCS/DG-CTEL/</w:t>
      </w:r>
      <w:r w:rsidR="00634B77" w:rsidRPr="00BF4A51">
        <w:rPr>
          <w:rFonts w:ascii="ITC Avant Garde" w:hAnsi="ITC Avant Garde"/>
          <w:bCs/>
        </w:rPr>
        <w:t>154</w:t>
      </w:r>
      <w:r w:rsidR="00325AD0" w:rsidRPr="00BF4A51">
        <w:rPr>
          <w:rFonts w:ascii="ITC Avant Garde" w:hAnsi="ITC Avant Garde"/>
          <w:bCs/>
        </w:rPr>
        <w:t>3</w:t>
      </w:r>
      <w:r w:rsidR="00163A92" w:rsidRPr="00BF4A51">
        <w:rPr>
          <w:rFonts w:ascii="ITC Avant Garde" w:hAnsi="ITC Avant Garde"/>
          <w:bCs/>
        </w:rPr>
        <w:t xml:space="preserve">/2015 de fecha </w:t>
      </w:r>
      <w:r w:rsidR="00634B77" w:rsidRPr="00BF4A51">
        <w:rPr>
          <w:rFonts w:ascii="ITC Avant Garde" w:hAnsi="ITC Avant Garde"/>
          <w:bCs/>
        </w:rPr>
        <w:t>25</w:t>
      </w:r>
      <w:r w:rsidR="00163A92" w:rsidRPr="00BF4A51">
        <w:rPr>
          <w:rFonts w:ascii="ITC Avant Garde" w:hAnsi="ITC Avant Garde"/>
          <w:bCs/>
        </w:rPr>
        <w:t xml:space="preserve"> de mayo de 2015, solicitó a la </w:t>
      </w:r>
      <w:r w:rsidR="00163A92" w:rsidRPr="00BF4A51">
        <w:rPr>
          <w:rFonts w:ascii="ITC Avant Garde" w:hAnsi="ITC Avant Garde"/>
          <w:bCs/>
          <w:color w:val="000000"/>
          <w:lang w:val="es-ES" w:eastAsia="es-MX"/>
        </w:rPr>
        <w:t>Dirección General de Supervisión, adscrita a la Unidad de Cumplimiento, informara</w:t>
      </w:r>
      <w:r w:rsidR="00634B77" w:rsidRPr="00BF4A51">
        <w:rPr>
          <w:rFonts w:ascii="ITC Avant Garde" w:hAnsi="ITC Avant Garde"/>
          <w:bCs/>
          <w:color w:val="000000"/>
          <w:lang w:val="es-ES" w:eastAsia="es-MX"/>
        </w:rPr>
        <w:t xml:space="preserve"> el estado que guarda</w:t>
      </w:r>
      <w:r w:rsidR="00C33FA9" w:rsidRPr="00BF4A51">
        <w:rPr>
          <w:rFonts w:ascii="ITC Avant Garde" w:hAnsi="ITC Avant Garde"/>
          <w:bCs/>
          <w:color w:val="000000"/>
          <w:lang w:val="es-ES" w:eastAsia="es-MX"/>
        </w:rPr>
        <w:t>ba</w:t>
      </w:r>
      <w:r w:rsidR="00634B77" w:rsidRPr="00BF4A51">
        <w:rPr>
          <w:rFonts w:ascii="ITC Avant Garde" w:hAnsi="ITC Avant Garde"/>
          <w:bCs/>
          <w:color w:val="000000"/>
          <w:lang w:val="es-ES" w:eastAsia="es-MX"/>
        </w:rPr>
        <w:t xml:space="preserve"> el cumplimiento de las obligaciones de la Concesión</w:t>
      </w:r>
      <w:r w:rsidR="00163A92" w:rsidRPr="00BF4A51">
        <w:rPr>
          <w:rFonts w:ascii="ITC Avant Garde" w:hAnsi="ITC Avant Garde"/>
          <w:bCs/>
          <w:color w:val="000000"/>
          <w:lang w:val="es-ES" w:eastAsia="es-MX"/>
        </w:rPr>
        <w:t>.</w:t>
      </w:r>
      <w:r w:rsidR="00634B77" w:rsidRPr="00BF4A51">
        <w:rPr>
          <w:rFonts w:ascii="ITC Avant Garde" w:hAnsi="ITC Avant Garde"/>
          <w:bCs/>
          <w:color w:val="000000"/>
          <w:lang w:val="es-ES" w:eastAsia="es-MX"/>
        </w:rPr>
        <w:t xml:space="preserve"> </w:t>
      </w:r>
    </w:p>
    <w:p w14:paraId="330C44FC" w14:textId="77777777" w:rsidR="00BF4A51" w:rsidRPr="00BF4A51" w:rsidRDefault="00634B77" w:rsidP="00BF4A51">
      <w:pPr>
        <w:autoSpaceDE w:val="0"/>
        <w:autoSpaceDN w:val="0"/>
        <w:adjustRightInd w:val="0"/>
        <w:spacing w:before="240" w:line="240" w:lineRule="auto"/>
        <w:jc w:val="both"/>
        <w:rPr>
          <w:rFonts w:ascii="ITC Avant Garde" w:hAnsi="ITC Avant Garde"/>
          <w:bCs/>
        </w:rPr>
      </w:pPr>
      <w:r w:rsidRPr="00BF4A51">
        <w:rPr>
          <w:rFonts w:ascii="ITC Avant Garde" w:hAnsi="ITC Avant Garde"/>
          <w:bCs/>
          <w:color w:val="000000"/>
          <w:lang w:val="es-ES" w:eastAsia="es-MX"/>
        </w:rPr>
        <w:t xml:space="preserve">En respuesta a lo anterior, </w:t>
      </w:r>
      <w:r w:rsidR="00163A92" w:rsidRPr="00BF4A51">
        <w:rPr>
          <w:rFonts w:ascii="ITC Avant Garde" w:hAnsi="ITC Avant Garde"/>
          <w:bCs/>
        </w:rPr>
        <w:t xml:space="preserve">la </w:t>
      </w:r>
      <w:r w:rsidR="00163A92" w:rsidRPr="00BF4A51">
        <w:rPr>
          <w:rFonts w:ascii="ITC Avant Garde" w:hAnsi="ITC Avant Garde"/>
          <w:bCs/>
          <w:color w:val="000000"/>
          <w:lang w:val="es-ES" w:eastAsia="es-MX"/>
        </w:rPr>
        <w:t xml:space="preserve">Unidad de Cumplimiento del Instituto </w:t>
      </w:r>
      <w:r w:rsidR="00C33FA9" w:rsidRPr="00BF4A51">
        <w:rPr>
          <w:rFonts w:ascii="ITC Avant Garde" w:hAnsi="ITC Avant Garde"/>
          <w:bCs/>
        </w:rPr>
        <w:t xml:space="preserve">a través del oficio </w:t>
      </w:r>
      <w:r w:rsidR="00163A92" w:rsidRPr="00BF4A51">
        <w:rPr>
          <w:rFonts w:ascii="ITC Avant Garde" w:hAnsi="ITC Avant Garde"/>
          <w:bCs/>
          <w:color w:val="000000"/>
          <w:lang w:val="es-ES" w:eastAsia="es-MX"/>
        </w:rPr>
        <w:t>IFT/225/UC/207</w:t>
      </w:r>
      <w:r w:rsidR="005410B5" w:rsidRPr="00BF4A51">
        <w:rPr>
          <w:rFonts w:ascii="ITC Avant Garde" w:hAnsi="ITC Avant Garde"/>
          <w:bCs/>
          <w:color w:val="000000"/>
          <w:lang w:val="es-ES" w:eastAsia="es-MX"/>
        </w:rPr>
        <w:t>4</w:t>
      </w:r>
      <w:r w:rsidR="00163A92" w:rsidRPr="00BF4A51">
        <w:rPr>
          <w:rFonts w:ascii="ITC Avant Garde" w:hAnsi="ITC Avant Garde"/>
          <w:bCs/>
          <w:color w:val="000000"/>
          <w:lang w:val="es-ES" w:eastAsia="es-MX"/>
        </w:rPr>
        <w:t>/2015 de fecha 18 de septiembre de 2015</w:t>
      </w:r>
      <w:r w:rsidR="00163A92" w:rsidRPr="00BF4A51">
        <w:rPr>
          <w:rFonts w:ascii="ITC Avant Garde" w:hAnsi="ITC Avant Garde"/>
          <w:bCs/>
        </w:rPr>
        <w:t>,</w:t>
      </w:r>
      <w:r w:rsidR="00C33FA9" w:rsidRPr="00BF4A51">
        <w:rPr>
          <w:rFonts w:ascii="ITC Avant Garde" w:hAnsi="ITC Avant Garde"/>
          <w:bCs/>
        </w:rPr>
        <w:t xml:space="preserve"> informó entre otros aspectos, lo siguiente: </w:t>
      </w:r>
    </w:p>
    <w:p w14:paraId="5CCB2B5F" w14:textId="63B85E73" w:rsidR="00163A92" w:rsidRPr="00BF4A51" w:rsidRDefault="00163A92" w:rsidP="00BF4A51">
      <w:pPr>
        <w:spacing w:before="240" w:line="240" w:lineRule="auto"/>
        <w:ind w:right="473" w:firstLine="426"/>
        <w:jc w:val="both"/>
        <w:rPr>
          <w:rFonts w:ascii="ITC Avant Garde" w:hAnsi="ITC Avant Garde"/>
          <w:iCs/>
          <w:sz w:val="19"/>
          <w:szCs w:val="19"/>
          <w:lang w:eastAsia="es-MX"/>
        </w:rPr>
      </w:pPr>
      <w:r w:rsidRPr="00BF4A51">
        <w:rPr>
          <w:rFonts w:ascii="ITC Avant Garde" w:hAnsi="ITC Avant Garde"/>
          <w:iCs/>
          <w:sz w:val="19"/>
          <w:szCs w:val="19"/>
          <w:lang w:eastAsia="es-MX"/>
        </w:rPr>
        <w:t>“[…]</w:t>
      </w:r>
    </w:p>
    <w:p w14:paraId="5BB6B643" w14:textId="77777777" w:rsidR="00BF4A51" w:rsidRPr="00BF4A51" w:rsidRDefault="00163A92" w:rsidP="00BF4A51">
      <w:pPr>
        <w:autoSpaceDE w:val="0"/>
        <w:autoSpaceDN w:val="0"/>
        <w:adjustRightInd w:val="0"/>
        <w:spacing w:before="240" w:line="240" w:lineRule="auto"/>
        <w:ind w:left="284" w:right="615"/>
        <w:jc w:val="both"/>
        <w:rPr>
          <w:rFonts w:ascii="ITC Avant Garde" w:hAnsi="ITC Avant Garde"/>
          <w:bCs/>
          <w:sz w:val="18"/>
          <w:szCs w:val="18"/>
        </w:rPr>
      </w:pPr>
      <w:r w:rsidRPr="00BF4A51">
        <w:rPr>
          <w:rFonts w:ascii="ITC Avant Garde" w:hAnsi="ITC Avant Garde"/>
          <w:bCs/>
          <w:sz w:val="18"/>
          <w:szCs w:val="18"/>
        </w:rPr>
        <w:t xml:space="preserve">En atención a su solicitud y en ejercicio de las facultades de supervisión que tiene conferidas </w:t>
      </w:r>
      <w:r w:rsidR="00C33FA9" w:rsidRPr="00BF4A51">
        <w:rPr>
          <w:rFonts w:ascii="ITC Avant Garde" w:hAnsi="ITC Avant Garde"/>
          <w:bCs/>
          <w:sz w:val="18"/>
          <w:szCs w:val="18"/>
        </w:rPr>
        <w:t xml:space="preserve">a </w:t>
      </w:r>
      <w:r w:rsidRPr="00BF4A51">
        <w:rPr>
          <w:rFonts w:ascii="ITC Avant Garde" w:hAnsi="ITC Avant Garde"/>
          <w:bCs/>
          <w:sz w:val="18"/>
          <w:szCs w:val="18"/>
        </w:rPr>
        <w:t xml:space="preserve">esta Unidad, le informo que de la revisión documental del expediente </w:t>
      </w:r>
      <w:r w:rsidRPr="00BF4A51">
        <w:rPr>
          <w:rFonts w:ascii="ITC Avant Garde" w:hAnsi="ITC Avant Garde"/>
          <w:b/>
          <w:bCs/>
          <w:sz w:val="18"/>
          <w:szCs w:val="18"/>
        </w:rPr>
        <w:t>321.4/0161</w:t>
      </w:r>
      <w:r w:rsidRPr="00BF4A51">
        <w:rPr>
          <w:rFonts w:ascii="ITC Avant Garde" w:hAnsi="ITC Avant Garde"/>
          <w:bCs/>
          <w:sz w:val="18"/>
          <w:szCs w:val="18"/>
        </w:rPr>
        <w:t xml:space="preserve"> integrado por la Dirección General de Adquisiciones, Recursos Materiales y Servicios Generales de este Instituto a nombre de </w:t>
      </w:r>
      <w:r w:rsidRPr="00BF4A51">
        <w:rPr>
          <w:rFonts w:ascii="ITC Avant Garde" w:hAnsi="ITC Avant Garde"/>
          <w:b/>
          <w:bCs/>
          <w:sz w:val="18"/>
          <w:szCs w:val="18"/>
        </w:rPr>
        <w:t xml:space="preserve">INVERSIONES NEXTEL DE MÉXICO, S.A. de C.V. (antes </w:t>
      </w:r>
      <w:proofErr w:type="spellStart"/>
      <w:r w:rsidR="005410B5" w:rsidRPr="00BF4A51">
        <w:rPr>
          <w:rFonts w:ascii="ITC Avant Garde" w:hAnsi="ITC Avant Garde"/>
          <w:b/>
          <w:bCs/>
          <w:sz w:val="18"/>
          <w:szCs w:val="18"/>
        </w:rPr>
        <w:t>Comintermex</w:t>
      </w:r>
      <w:proofErr w:type="spellEnd"/>
      <w:r w:rsidRPr="00BF4A51">
        <w:rPr>
          <w:rFonts w:ascii="ITC Avant Garde" w:hAnsi="ITC Avant Garde"/>
          <w:b/>
          <w:bCs/>
          <w:sz w:val="18"/>
          <w:szCs w:val="18"/>
        </w:rPr>
        <w:t>, S.A. de C.V.)</w:t>
      </w:r>
      <w:r w:rsidRPr="00BF4A51">
        <w:rPr>
          <w:rFonts w:ascii="ITC Avant Garde" w:hAnsi="ITC Avant Garde"/>
          <w:bCs/>
          <w:sz w:val="18"/>
          <w:szCs w:val="18"/>
        </w:rPr>
        <w:t xml:space="preserve">, se </w:t>
      </w:r>
      <w:r w:rsidRPr="00BF4A51">
        <w:rPr>
          <w:rFonts w:ascii="ITC Avant Garde" w:hAnsi="ITC Avant Garde"/>
          <w:bCs/>
          <w:sz w:val="18"/>
          <w:szCs w:val="18"/>
        </w:rPr>
        <w:lastRenderedPageBreak/>
        <w:t xml:space="preserve">desprende que al día 18 de septiembre de 2015, </w:t>
      </w:r>
      <w:r w:rsidRPr="00BF4A51">
        <w:rPr>
          <w:rFonts w:ascii="ITC Avant Garde" w:hAnsi="ITC Avant Garde"/>
          <w:b/>
          <w:bCs/>
          <w:sz w:val="18"/>
          <w:szCs w:val="18"/>
          <w:u w:val="single"/>
        </w:rPr>
        <w:t>el concesionario se encuentra al corriente en la presentación de las documentales derivadas de las obligaciones que tiene a su cargo</w:t>
      </w:r>
      <w:r w:rsidRPr="00BF4A51">
        <w:rPr>
          <w:rFonts w:ascii="ITC Avant Garde" w:hAnsi="ITC Avant Garde"/>
          <w:bCs/>
          <w:sz w:val="18"/>
          <w:szCs w:val="18"/>
        </w:rPr>
        <w:t xml:space="preserve"> y que le son aplicables conforme a su título de concesión para instalar, operar y explotar una red pública de telecomunicaciones, así como de su título de concesión para usar, aprovechar y explotar bandas de frecuencia del espectro radioeléctrico para pres</w:t>
      </w:r>
      <w:r w:rsidR="00C33FA9" w:rsidRPr="00BF4A51">
        <w:rPr>
          <w:rFonts w:ascii="ITC Avant Garde" w:hAnsi="ITC Avant Garde"/>
          <w:bCs/>
          <w:sz w:val="18"/>
          <w:szCs w:val="18"/>
        </w:rPr>
        <w:t xml:space="preserve">tar, entre otros, el servicios </w:t>
      </w:r>
      <w:r w:rsidRPr="00BF4A51">
        <w:rPr>
          <w:rFonts w:ascii="ITC Avant Garde" w:hAnsi="ITC Avant Garde"/>
          <w:bCs/>
          <w:sz w:val="18"/>
          <w:szCs w:val="18"/>
        </w:rPr>
        <w:t>móvil de</w:t>
      </w:r>
      <w:r w:rsidR="00C33FA9" w:rsidRPr="00BF4A51">
        <w:rPr>
          <w:rFonts w:ascii="ITC Avant Garde" w:hAnsi="ITC Avant Garde"/>
          <w:bCs/>
          <w:sz w:val="18"/>
          <w:szCs w:val="18"/>
        </w:rPr>
        <w:t xml:space="preserve"> radiocomunicación especializada</w:t>
      </w:r>
      <w:r w:rsidRPr="00BF4A51">
        <w:rPr>
          <w:rFonts w:ascii="ITC Avant Garde" w:hAnsi="ITC Avant Garde"/>
          <w:bCs/>
          <w:sz w:val="18"/>
          <w:szCs w:val="18"/>
        </w:rPr>
        <w:t xml:space="preserve"> de flotillas.</w:t>
      </w:r>
    </w:p>
    <w:p w14:paraId="089C758F" w14:textId="77777777" w:rsidR="00BF4A51" w:rsidRPr="00BF4A51" w:rsidRDefault="00163A92" w:rsidP="00BF4A51">
      <w:pPr>
        <w:spacing w:before="240" w:line="240" w:lineRule="auto"/>
        <w:ind w:left="426" w:right="473"/>
        <w:jc w:val="both"/>
        <w:rPr>
          <w:rFonts w:ascii="ITC Avant Garde" w:hAnsi="ITC Avant Garde"/>
          <w:iCs/>
          <w:sz w:val="18"/>
          <w:szCs w:val="18"/>
          <w:lang w:eastAsia="es-MX"/>
        </w:rPr>
      </w:pPr>
      <w:r w:rsidRPr="00BF4A51">
        <w:rPr>
          <w:rFonts w:ascii="ITC Avant Garde" w:hAnsi="ITC Avant Garde"/>
          <w:iCs/>
          <w:sz w:val="18"/>
          <w:szCs w:val="18"/>
          <w:lang w:eastAsia="es-MX"/>
        </w:rPr>
        <w:t xml:space="preserve">[…]” </w:t>
      </w:r>
      <w:r w:rsidRPr="00BF4A51">
        <w:rPr>
          <w:rFonts w:ascii="ITC Avant Garde" w:eastAsia="Times New Roman" w:hAnsi="ITC Avant Garde"/>
          <w:bCs/>
          <w:sz w:val="18"/>
          <w:szCs w:val="18"/>
          <w:lang w:val="es-ES" w:eastAsia="es-ES"/>
        </w:rPr>
        <w:t>(Sic)</w:t>
      </w:r>
    </w:p>
    <w:p w14:paraId="1945AE64" w14:textId="77777777" w:rsidR="00BF4A51" w:rsidRPr="00BF4A51" w:rsidRDefault="00163A92" w:rsidP="00BF4A51">
      <w:pPr>
        <w:autoSpaceDE w:val="0"/>
        <w:autoSpaceDN w:val="0"/>
        <w:spacing w:before="240" w:line="240" w:lineRule="auto"/>
        <w:jc w:val="both"/>
        <w:rPr>
          <w:rFonts w:ascii="ITC Avant Garde" w:hAnsi="ITC Avant Garde"/>
        </w:rPr>
      </w:pPr>
      <w:r w:rsidRPr="00BF4A51">
        <w:rPr>
          <w:rFonts w:ascii="ITC Avant Garde" w:hAnsi="ITC Avant Garde"/>
        </w:rPr>
        <w:t>Derivado de lo señalado por la Unidad de Cumplimiento, puede concluirse que</w:t>
      </w:r>
      <w:r w:rsidR="00561C42" w:rsidRPr="00BF4A51">
        <w:rPr>
          <w:rFonts w:ascii="ITC Avant Garde" w:hAnsi="ITC Avant Garde"/>
        </w:rPr>
        <w:t>, al momento de la emisión del citado oficio,</w:t>
      </w:r>
      <w:r w:rsidRPr="00BF4A51">
        <w:rPr>
          <w:rFonts w:ascii="ITC Avant Garde" w:hAnsi="ITC Avant Garde"/>
        </w:rPr>
        <w:t xml:space="preserve"> </w:t>
      </w:r>
      <w:r w:rsidRPr="00BF4A51">
        <w:rPr>
          <w:rFonts w:ascii="ITC Avant Garde" w:hAnsi="ITC Avant Garde"/>
          <w:bCs/>
          <w:color w:val="000000"/>
          <w:lang w:eastAsia="es-MX"/>
        </w:rPr>
        <w:t>AT&amp;T Comunicaciones Digitales</w:t>
      </w:r>
      <w:r w:rsidRPr="00BF4A51">
        <w:rPr>
          <w:rFonts w:ascii="ITC Avant Garde" w:hAnsi="ITC Avant Garde"/>
        </w:rPr>
        <w:t xml:space="preserve"> se encuentra al corriente </w:t>
      </w:r>
      <w:r w:rsidR="00D56BFA" w:rsidRPr="00BF4A51">
        <w:rPr>
          <w:rFonts w:ascii="ITC Avant Garde" w:hAnsi="ITC Avant Garde"/>
        </w:rPr>
        <w:t>en la presentación de las documentales derivadas de las obligaciones</w:t>
      </w:r>
      <w:r w:rsidR="007C6E69" w:rsidRPr="00BF4A51">
        <w:rPr>
          <w:rFonts w:ascii="ITC Avant Garde" w:hAnsi="ITC Avant Garde"/>
        </w:rPr>
        <w:t xml:space="preserve"> </w:t>
      </w:r>
      <w:r w:rsidR="00C33FA9" w:rsidRPr="00BF4A51">
        <w:rPr>
          <w:rFonts w:ascii="ITC Avant Garde" w:hAnsi="ITC Avant Garde"/>
        </w:rPr>
        <w:t>establecidas en la Concesió</w:t>
      </w:r>
      <w:r w:rsidRPr="00BF4A51">
        <w:rPr>
          <w:rFonts w:ascii="ITC Avant Garde" w:hAnsi="ITC Avant Garde"/>
        </w:rPr>
        <w:t xml:space="preserve">n objeto de la Solicitud de Prórroga. </w:t>
      </w:r>
    </w:p>
    <w:p w14:paraId="2D204D56" w14:textId="77777777" w:rsidR="00BF4A51" w:rsidRPr="00BF4A51" w:rsidRDefault="003B7B13" w:rsidP="00BF4A51">
      <w:pPr>
        <w:autoSpaceDE w:val="0"/>
        <w:autoSpaceDN w:val="0"/>
        <w:adjustRightInd w:val="0"/>
        <w:spacing w:before="240" w:line="240" w:lineRule="auto"/>
        <w:jc w:val="both"/>
        <w:rPr>
          <w:rFonts w:ascii="ITC Avant Garde" w:hAnsi="ITC Avant Garde"/>
          <w:bCs/>
        </w:rPr>
      </w:pPr>
      <w:r w:rsidRPr="00BF4A51">
        <w:rPr>
          <w:rFonts w:ascii="ITC Avant Garde" w:hAnsi="ITC Avant Garde"/>
          <w:bCs/>
        </w:rPr>
        <w:t>Por lo que hace al segundo requisito de procedencia establecido por el artículo 19 de la LFT, relativo a que AT&amp;T Comunicaciones Digitales solicit</w:t>
      </w:r>
      <w:r w:rsidR="00C01F00" w:rsidRPr="00BF4A51">
        <w:rPr>
          <w:rFonts w:ascii="ITC Avant Garde" w:hAnsi="ITC Avant Garde"/>
          <w:bCs/>
        </w:rPr>
        <w:t>ara</w:t>
      </w:r>
      <w:r w:rsidRPr="00BF4A51">
        <w:rPr>
          <w:rFonts w:ascii="ITC Avant Garde" w:hAnsi="ITC Avant Garde"/>
          <w:bCs/>
        </w:rPr>
        <w:t xml:space="preserve"> la prórroga antes del inicio de la última quinta parte de la </w:t>
      </w:r>
      <w:r w:rsidR="00C01F00" w:rsidRPr="00BF4A51">
        <w:rPr>
          <w:rFonts w:ascii="ITC Avant Garde" w:hAnsi="ITC Avant Garde"/>
          <w:bCs/>
        </w:rPr>
        <w:t xml:space="preserve">vigencia de la </w:t>
      </w:r>
      <w:r w:rsidRPr="00BF4A51">
        <w:rPr>
          <w:rFonts w:ascii="ITC Avant Garde" w:hAnsi="ITC Avant Garde"/>
          <w:bCs/>
        </w:rPr>
        <w:t xml:space="preserve">Concesión, este Instituto considera que el mismo se encuentra cumplido, en virtud de que la Concesión fue otorgada con una vigencia de 10 (diez) años, contados a partir del </w:t>
      </w:r>
      <w:r w:rsidRPr="00BF4A51">
        <w:rPr>
          <w:rFonts w:ascii="ITC Avant Garde" w:hAnsi="ITC Avant Garde"/>
          <w:bCs/>
          <w:color w:val="000000"/>
          <w:lang w:eastAsia="es-MX"/>
        </w:rPr>
        <w:t>24 de septiembre de 2006</w:t>
      </w:r>
      <w:r w:rsidRPr="00BF4A51">
        <w:rPr>
          <w:rFonts w:ascii="ITC Avant Garde" w:hAnsi="ITC Avant Garde"/>
          <w:bCs/>
        </w:rPr>
        <w:t xml:space="preserve">, y la Solicitud de Prórroga fue presentada el </w:t>
      </w:r>
      <w:r w:rsidRPr="00BF4A51">
        <w:rPr>
          <w:rFonts w:ascii="ITC Avant Garde" w:hAnsi="ITC Avant Garde"/>
          <w:bCs/>
          <w:color w:val="000000"/>
          <w:lang w:eastAsia="es-MX"/>
        </w:rPr>
        <w:t>12 de septiembre de 2012</w:t>
      </w:r>
      <w:r w:rsidRPr="00BF4A51">
        <w:rPr>
          <w:rFonts w:ascii="ITC Avant Garde" w:hAnsi="ITC Avant Garde"/>
          <w:bCs/>
        </w:rPr>
        <w:t>, es decir, antes de iniciar la última quinta parte de la Concesión.</w:t>
      </w:r>
    </w:p>
    <w:p w14:paraId="7B408840" w14:textId="77777777" w:rsidR="00BF4A51" w:rsidRPr="00BF4A51" w:rsidRDefault="001E4E0A" w:rsidP="00BF4A51">
      <w:pPr>
        <w:autoSpaceDE w:val="0"/>
        <w:autoSpaceDN w:val="0"/>
        <w:adjustRightInd w:val="0"/>
        <w:spacing w:before="240" w:line="240" w:lineRule="auto"/>
        <w:jc w:val="both"/>
        <w:rPr>
          <w:rFonts w:ascii="ITC Avant Garde" w:hAnsi="ITC Avant Garde"/>
          <w:bCs/>
        </w:rPr>
      </w:pPr>
      <w:r w:rsidRPr="00BF4A51">
        <w:rPr>
          <w:rFonts w:ascii="ITC Avant Garde" w:hAnsi="ITC Avant Garde"/>
          <w:bCs/>
        </w:rPr>
        <w:t xml:space="preserve">Por lo que hace al tercer requisito de procedencia establecido por el artículo 19 de la LFT, el cual establece que el concesionario deberá aceptar las nuevas condiciones que establezca el propio Instituto, se considera que tendrá que recabarse de AT&amp;T Comunicaciones Digitales, su conformidad y total aceptación respecto de las nuevas condiciones que se establecerán en la concesión que en su caso se otorgue, previamente a la entrega de dicho </w:t>
      </w:r>
      <w:r w:rsidR="006A04FB" w:rsidRPr="00BF4A51">
        <w:rPr>
          <w:rFonts w:ascii="ITC Avant Garde" w:hAnsi="ITC Avant Garde"/>
          <w:bCs/>
        </w:rPr>
        <w:t>título</w:t>
      </w:r>
      <w:r w:rsidRPr="00BF4A51">
        <w:rPr>
          <w:rFonts w:ascii="ITC Avant Garde" w:hAnsi="ITC Avant Garde"/>
          <w:bCs/>
        </w:rPr>
        <w:t>.</w:t>
      </w:r>
    </w:p>
    <w:p w14:paraId="309BC232" w14:textId="77777777" w:rsidR="00BF4A51" w:rsidRPr="00BF4A51" w:rsidRDefault="001E4E0A" w:rsidP="00BF4A51">
      <w:pPr>
        <w:autoSpaceDE w:val="0"/>
        <w:autoSpaceDN w:val="0"/>
        <w:adjustRightInd w:val="0"/>
        <w:spacing w:before="240" w:line="240" w:lineRule="auto"/>
        <w:jc w:val="both"/>
        <w:rPr>
          <w:rFonts w:ascii="ITC Avant Garde" w:hAnsi="ITC Avant Garde"/>
          <w:bCs/>
        </w:rPr>
      </w:pPr>
      <w:r w:rsidRPr="00BF4A51">
        <w:rPr>
          <w:rFonts w:ascii="ITC Avant Garde" w:hAnsi="ITC Avant Garde"/>
          <w:bCs/>
        </w:rPr>
        <w:t>En este sentido, se estima conveniente que en el supuesto de que en la presente Resolución se autorice la prórroga de la Concesión, ésta deberá estar sujeta a la condición suspensiva relativa a que AT&amp;T Comunicaciones Digitales,</w:t>
      </w:r>
      <w:r w:rsidRPr="00BF4A51">
        <w:rPr>
          <w:rFonts w:ascii="ITC Avant Garde" w:hAnsi="ITC Avant Garde"/>
          <w:bCs/>
          <w:color w:val="000000"/>
          <w:lang w:eastAsia="es-MX"/>
        </w:rPr>
        <w:t xml:space="preserve"> </w:t>
      </w:r>
      <w:r w:rsidRPr="00BF4A51">
        <w:rPr>
          <w:rFonts w:ascii="ITC Avant Garde" w:hAnsi="ITC Avant Garde"/>
          <w:bCs/>
        </w:rPr>
        <w:t>acepte las nuevas condiciones del título de concesión de bandas de frecuencias del espectro radioeléctrico. Para tal efecto, la Unidad de Concesiones y Servicios deberá someter a consideración del solicitante el proyecto de título de concesión de bandas de frecuencias del espectro radioeléctrico, con la finalidad de recabar su aceptación.</w:t>
      </w:r>
    </w:p>
    <w:p w14:paraId="5CEF4311" w14:textId="77777777" w:rsidR="00BF4A51" w:rsidRPr="00BF4A51" w:rsidRDefault="001E4E0A" w:rsidP="00BF4A51">
      <w:pPr>
        <w:autoSpaceDE w:val="0"/>
        <w:autoSpaceDN w:val="0"/>
        <w:adjustRightInd w:val="0"/>
        <w:spacing w:before="240" w:line="240" w:lineRule="auto"/>
        <w:jc w:val="both"/>
        <w:rPr>
          <w:rFonts w:ascii="ITC Avant Garde" w:hAnsi="ITC Avant Garde"/>
          <w:bCs/>
        </w:rPr>
      </w:pPr>
      <w:r w:rsidRPr="00BF4A51">
        <w:rPr>
          <w:rFonts w:ascii="ITC Avant Garde" w:hAnsi="ITC Avant Garde"/>
          <w:bCs/>
        </w:rPr>
        <w:t>Lo anterior, en el entendido que de no recibirse la aceptación lisa y llana correspondiente por parte de AT&amp;T Comunicaciones Digitales, la prórroga que en su caso se emita en la presente Resolución no surtirá efectos.</w:t>
      </w:r>
    </w:p>
    <w:p w14:paraId="51791D22" w14:textId="77777777" w:rsidR="00BF4A51" w:rsidRPr="00BF4A51" w:rsidRDefault="00D841C6" w:rsidP="00BF4A51">
      <w:pPr>
        <w:autoSpaceDE w:val="0"/>
        <w:autoSpaceDN w:val="0"/>
        <w:adjustRightInd w:val="0"/>
        <w:spacing w:before="240" w:line="240" w:lineRule="auto"/>
        <w:jc w:val="both"/>
        <w:rPr>
          <w:rFonts w:ascii="ITC Avant Garde" w:hAnsi="ITC Avant Garde"/>
          <w:bCs/>
        </w:rPr>
      </w:pPr>
      <w:r w:rsidRPr="00BF4A51">
        <w:rPr>
          <w:rFonts w:ascii="ITC Avant Garde" w:hAnsi="ITC Avant Garde"/>
          <w:bCs/>
        </w:rPr>
        <w:t xml:space="preserve">Por otro lado, es de señalar que </w:t>
      </w:r>
      <w:r w:rsidR="00586809" w:rsidRPr="00BF4A51">
        <w:rPr>
          <w:rFonts w:ascii="ITC Avant Garde" w:hAnsi="ITC Avant Garde"/>
          <w:bCs/>
        </w:rPr>
        <w:t xml:space="preserve">AT&amp;T Comunicaciones Digitales </w:t>
      </w:r>
      <w:r w:rsidRPr="00BF4A51">
        <w:rPr>
          <w:rFonts w:ascii="ITC Avant Garde" w:hAnsi="ITC Avant Garde"/>
          <w:bCs/>
        </w:rPr>
        <w:t xml:space="preserve">presentó </w:t>
      </w:r>
      <w:r w:rsidR="00586809" w:rsidRPr="00BF4A51">
        <w:rPr>
          <w:rFonts w:ascii="ITC Avant Garde" w:hAnsi="ITC Avant Garde"/>
          <w:bCs/>
        </w:rPr>
        <w:t>el</w:t>
      </w:r>
      <w:r w:rsidRPr="00BF4A51">
        <w:rPr>
          <w:rFonts w:ascii="ITC Avant Garde" w:hAnsi="ITC Avant Garde"/>
          <w:bCs/>
        </w:rPr>
        <w:t xml:space="preserve"> comprobante de pago de derechos correspondiente al estudio de la Solicitud de Prórroga, conforme a lo dispuesto por la fracción III del artículo 93 de la Ley Federal de Derechos vigente en su momento.</w:t>
      </w:r>
    </w:p>
    <w:p w14:paraId="07FC167C" w14:textId="4AC061EA" w:rsidR="00446A21" w:rsidRPr="00BF4A51" w:rsidRDefault="00446A21" w:rsidP="00BF4A51">
      <w:pPr>
        <w:spacing w:before="240" w:line="240" w:lineRule="auto"/>
        <w:jc w:val="both"/>
        <w:rPr>
          <w:rFonts w:ascii="ITC Avant Garde" w:hAnsi="ITC Avant Garde"/>
          <w:color w:val="000000"/>
          <w:lang w:eastAsia="es-MX"/>
        </w:rPr>
      </w:pPr>
      <w:r w:rsidRPr="00BF4A51">
        <w:rPr>
          <w:rFonts w:ascii="ITC Avant Garde" w:hAnsi="ITC Avant Garde"/>
          <w:b/>
          <w:bCs/>
          <w:color w:val="000000"/>
          <w:lang w:eastAsia="es-MX"/>
        </w:rPr>
        <w:lastRenderedPageBreak/>
        <w:t xml:space="preserve">Quinto.- Cobro sobre el pago de derechos por diversos trámites ante la entrada en vigor de la Ley Federal de Derechos vigente para 2016. </w:t>
      </w:r>
      <w:r w:rsidRPr="00BF4A51">
        <w:rPr>
          <w:rFonts w:ascii="ITC Avant Garde" w:hAnsi="ITC Avant Garde"/>
          <w:color w:val="000000"/>
          <w:lang w:eastAsia="es-MX"/>
        </w:rPr>
        <w:t>El 18 de noviembre de 2015 se publicó en el Diario Oficial de la Federación el “</w:t>
      </w:r>
      <w:r w:rsidRPr="00BF4A51">
        <w:rPr>
          <w:rFonts w:ascii="ITC Avant Garde" w:hAnsi="ITC Avant Garde"/>
          <w:iCs/>
          <w:color w:val="000000"/>
          <w:lang w:eastAsia="es-MX"/>
        </w:rPr>
        <w:t>Decreto por el que se reforman, adicionan y derogan diversas disposiciones de la Ley Federal de Derechos</w:t>
      </w:r>
      <w:r w:rsidRPr="00BF4A51">
        <w:rPr>
          <w:rFonts w:ascii="ITC Avant Garde" w:hAnsi="ITC Avant Garde"/>
          <w:color w:val="000000"/>
          <w:lang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14:paraId="452404AE" w14:textId="77777777" w:rsidR="00BF4A51" w:rsidRPr="00BF4A51" w:rsidRDefault="008603D5" w:rsidP="00BF4A51">
      <w:pPr>
        <w:spacing w:before="240" w:line="240" w:lineRule="auto"/>
        <w:jc w:val="both"/>
        <w:rPr>
          <w:rFonts w:ascii="ITC Avant Garde" w:hAnsi="ITC Avant Garde"/>
          <w:color w:val="000000"/>
          <w:lang w:eastAsia="es-MX"/>
        </w:rPr>
      </w:pPr>
      <w:r w:rsidRPr="00BF4A51">
        <w:rPr>
          <w:rFonts w:ascii="ITC Avant Garde" w:hAnsi="ITC Avant Garde"/>
          <w:color w:val="000000"/>
          <w:lang w:eastAsia="es-MX"/>
        </w:rPr>
        <w:t>Derivado de lo anterior, y en atención a lo establecido por el artículo 6o. del Código Fiscal de la Federación, se debe tener en cuenta que el hecho generador de los derechos derivados de la autorización de prórroga se actualizan al momento de la emisión y notificación de la presente resolución y que el artículo 93 de la Ley Federal de Derechos, al haber sido derogado, no puede ser aplicado a los trámites de prórrogas de títulos de concesiones para el uso, aprovechamiento y explotación de bandas de frecuencias del espectro radioeléctrico.</w:t>
      </w:r>
    </w:p>
    <w:p w14:paraId="1A6B4F1B" w14:textId="77777777" w:rsidR="00BF4A51" w:rsidRPr="00BF4A51" w:rsidRDefault="008603D5" w:rsidP="00BF4A51">
      <w:pPr>
        <w:spacing w:before="240" w:line="240" w:lineRule="auto"/>
        <w:jc w:val="both"/>
        <w:rPr>
          <w:rFonts w:ascii="ITC Avant Garde" w:hAnsi="ITC Avant Garde"/>
          <w:color w:val="000000"/>
          <w:lang w:eastAsia="es-MX"/>
        </w:rPr>
      </w:pPr>
      <w:r w:rsidRPr="00BF4A51">
        <w:rPr>
          <w:rFonts w:ascii="ITC Avant Garde" w:hAnsi="ITC Avant Garde"/>
          <w:color w:val="000000"/>
          <w:lang w:eastAsia="es-MX"/>
        </w:rPr>
        <w:t>En este sentido, la Ley Federal de Derechos vigente a partir del 1 de enero de 2016 estableció en su artículo 173 un nuevo sistema de cobro de derechos para los trámites relativos a las prórrogas de concesiones en materia de telecomunicaciones o radiodifusión que hagan uso del espectro radioeléctrico, señalando que en un único cobro va integrado el estudio y, en su caso, la autorización de la misma, situación distinta a la prevista en la Ley Federal de Derechos vigente hasta 2015, que establecía de manera diferenciada los cobros para el estudio y, en su caso, autorización.</w:t>
      </w:r>
    </w:p>
    <w:p w14:paraId="1EF1E4E4" w14:textId="77777777" w:rsidR="00BF4A51" w:rsidRPr="00BF4A51" w:rsidRDefault="000F3FEE" w:rsidP="00BF4A51">
      <w:pPr>
        <w:spacing w:before="240" w:line="240" w:lineRule="auto"/>
        <w:jc w:val="both"/>
        <w:rPr>
          <w:rFonts w:ascii="ITC Avant Garde" w:hAnsi="ITC Avant Garde"/>
          <w:color w:val="000000"/>
          <w:lang w:eastAsia="es-MX"/>
        </w:rPr>
      </w:pPr>
      <w:r w:rsidRPr="00BF4A51">
        <w:rPr>
          <w:rFonts w:ascii="ITC Avant Garde" w:hAnsi="ITC Avant Garde"/>
          <w:color w:val="000000"/>
          <w:lang w:eastAsia="es-MX"/>
        </w:rPr>
        <w:t>No obstante lo anterior, a</w:t>
      </w:r>
      <w:r w:rsidR="00812A28" w:rsidRPr="00BF4A51">
        <w:rPr>
          <w:rFonts w:ascii="ITC Avant Garde" w:hAnsi="ITC Avant Garde"/>
          <w:color w:val="000000"/>
          <w:lang w:eastAsia="es-MX"/>
        </w:rPr>
        <w:t>l momento de iniciar el trámite que nos ocupa, únicamente se presentó el pago por el estudio del mismo. Sin embargo, si bien ahora proc</w:t>
      </w:r>
      <w:r w:rsidR="00B3572F" w:rsidRPr="00BF4A51">
        <w:rPr>
          <w:rFonts w:ascii="ITC Avant Garde" w:hAnsi="ITC Avant Garde"/>
          <w:color w:val="000000"/>
          <w:lang w:eastAsia="es-MX"/>
        </w:rPr>
        <w:t>edería realizar el cobro por la autorización</w:t>
      </w:r>
      <w:r w:rsidR="00812A28" w:rsidRPr="00BF4A51">
        <w:rPr>
          <w:rFonts w:ascii="ITC Avant Garde" w:hAnsi="ITC Avant Garde"/>
          <w:color w:val="000000"/>
          <w:lang w:eastAsia="es-MX"/>
        </w:rPr>
        <w:t xml:space="preserve"> correspondiente, este Instituto se encuentra imposibilitado para diferenciar el cobro que debiera corre</w:t>
      </w:r>
      <w:r w:rsidR="00F2715E" w:rsidRPr="00BF4A51">
        <w:rPr>
          <w:rFonts w:ascii="ITC Avant Garde" w:hAnsi="ITC Avant Garde"/>
          <w:color w:val="000000"/>
          <w:lang w:eastAsia="es-MX"/>
        </w:rPr>
        <w:t>sponder a la autorización de la prórroga</w:t>
      </w:r>
      <w:r w:rsidR="00812A28" w:rsidRPr="00BF4A51">
        <w:rPr>
          <w:rFonts w:ascii="ITC Avant Garde" w:hAnsi="ITC Avant Garde"/>
          <w:color w:val="000000"/>
          <w:lang w:eastAsia="es-MX"/>
        </w:rPr>
        <w:t xml:space="preserve"> de mérito, toda vez que como ya quedó señalado en el párrafo que antecede, actualmente se prevé un único pago por el estudio y, en su caso, la</w:t>
      </w:r>
      <w:r w:rsidR="00F2715E" w:rsidRPr="00BF4A51">
        <w:rPr>
          <w:rFonts w:ascii="ITC Avant Garde" w:hAnsi="ITC Avant Garde"/>
          <w:color w:val="000000"/>
          <w:lang w:eastAsia="es-MX"/>
        </w:rPr>
        <w:t xml:space="preserve"> autorización respectiva</w:t>
      </w:r>
      <w:r w:rsidR="00812A28" w:rsidRPr="00BF4A51">
        <w:rPr>
          <w:rFonts w:ascii="ITC Avant Garde" w:hAnsi="ITC Avant Garde"/>
          <w:color w:val="000000"/>
          <w:lang w:eastAsia="es-MX"/>
        </w:rPr>
        <w:t>. Finalmente, tratándose de disposiciones de carácter fiscal, se debe atender al principio de exacta aplicación de las mismas, por lo que no procede aplicar el cobro por la autorizaci</w:t>
      </w:r>
      <w:r w:rsidR="00CB5F9A" w:rsidRPr="00BF4A51">
        <w:rPr>
          <w:rFonts w:ascii="ITC Avant Garde" w:hAnsi="ITC Avant Garde"/>
          <w:color w:val="000000"/>
          <w:lang w:eastAsia="es-MX"/>
        </w:rPr>
        <w:t>ón</w:t>
      </w:r>
      <w:r w:rsidR="00812A28" w:rsidRPr="00BF4A51">
        <w:rPr>
          <w:rFonts w:ascii="ITC Avant Garde" w:hAnsi="ITC Avant Garde"/>
          <w:color w:val="000000"/>
          <w:lang w:eastAsia="es-MX"/>
        </w:rPr>
        <w:t xml:space="preserve"> de la prórroga que nos ocupa, to</w:t>
      </w:r>
      <w:r w:rsidR="00B3572F" w:rsidRPr="00BF4A51">
        <w:rPr>
          <w:rFonts w:ascii="ITC Avant Garde" w:hAnsi="ITC Avant Garde"/>
          <w:color w:val="000000"/>
          <w:lang w:eastAsia="es-MX"/>
        </w:rPr>
        <w:t>da vez que dicho cobro no puede</w:t>
      </w:r>
      <w:r w:rsidR="00812A28" w:rsidRPr="00BF4A51">
        <w:rPr>
          <w:rFonts w:ascii="ITC Avant Garde" w:hAnsi="ITC Avant Garde"/>
          <w:color w:val="000000"/>
          <w:lang w:eastAsia="es-MX"/>
        </w:rPr>
        <w:t xml:space="preserve"> se</w:t>
      </w:r>
      <w:r w:rsidR="00CC037D" w:rsidRPr="00BF4A51">
        <w:rPr>
          <w:rFonts w:ascii="ITC Avant Garde" w:hAnsi="ITC Avant Garde"/>
          <w:color w:val="000000"/>
          <w:lang w:eastAsia="es-MX"/>
        </w:rPr>
        <w:t>r</w:t>
      </w:r>
      <w:r w:rsidR="00812A28" w:rsidRPr="00BF4A51">
        <w:rPr>
          <w:rFonts w:ascii="ITC Avant Garde" w:hAnsi="ITC Avant Garde"/>
          <w:color w:val="000000"/>
          <w:lang w:eastAsia="es-MX"/>
        </w:rPr>
        <w:t xml:space="preserve"> diferenciado.</w:t>
      </w:r>
    </w:p>
    <w:p w14:paraId="29C2E641" w14:textId="2E5F7400" w:rsidR="00EA6A96" w:rsidRPr="00BF4A51" w:rsidRDefault="00FD106D" w:rsidP="00BF4A51">
      <w:pPr>
        <w:autoSpaceDE w:val="0"/>
        <w:autoSpaceDN w:val="0"/>
        <w:adjustRightInd w:val="0"/>
        <w:spacing w:before="240" w:line="240" w:lineRule="auto"/>
        <w:jc w:val="both"/>
        <w:rPr>
          <w:rFonts w:ascii="ITC Avant Garde" w:hAnsi="ITC Avant Garde"/>
          <w:bCs/>
          <w:color w:val="000000"/>
          <w:lang w:eastAsia="es-MX"/>
        </w:rPr>
      </w:pPr>
      <w:r w:rsidRPr="00BF4A51">
        <w:rPr>
          <w:rFonts w:ascii="ITC Avant Garde" w:hAnsi="ITC Avant Garde"/>
          <w:b/>
          <w:bCs/>
        </w:rPr>
        <w:t>S</w:t>
      </w:r>
      <w:r w:rsidR="00C347F8" w:rsidRPr="00BF4A51">
        <w:rPr>
          <w:rFonts w:ascii="ITC Avant Garde" w:hAnsi="ITC Avant Garde"/>
          <w:b/>
          <w:bCs/>
        </w:rPr>
        <w:t>exto</w:t>
      </w:r>
      <w:r w:rsidR="00C41F9F" w:rsidRPr="00BF4A51">
        <w:rPr>
          <w:rFonts w:ascii="ITC Avant Garde" w:hAnsi="ITC Avant Garde"/>
          <w:b/>
          <w:bCs/>
          <w:color w:val="000000"/>
          <w:lang w:eastAsia="es-MX"/>
        </w:rPr>
        <w:t>.-</w:t>
      </w:r>
      <w:r w:rsidR="00565663" w:rsidRPr="00BF4A51">
        <w:rPr>
          <w:rFonts w:ascii="ITC Avant Garde" w:hAnsi="ITC Avant Garde"/>
          <w:b/>
          <w:bCs/>
          <w:color w:val="000000"/>
          <w:lang w:eastAsia="es-MX"/>
        </w:rPr>
        <w:t xml:space="preserve"> </w:t>
      </w:r>
      <w:r w:rsidR="00EA6A96" w:rsidRPr="00BF4A51">
        <w:rPr>
          <w:rFonts w:ascii="ITC Avant Garde" w:hAnsi="ITC Avant Garde"/>
          <w:b/>
          <w:bCs/>
          <w:color w:val="000000"/>
          <w:lang w:eastAsia="es-MX"/>
        </w:rPr>
        <w:t>Opiniones Técnicas respecto a la Solicitud de Prórroga.</w:t>
      </w:r>
      <w:r w:rsidR="00EA6A96" w:rsidRPr="00BF4A51">
        <w:rPr>
          <w:rFonts w:ascii="ITC Avant Garde" w:hAnsi="ITC Avant Garde"/>
          <w:bCs/>
          <w:color w:val="000000"/>
          <w:lang w:eastAsia="es-MX"/>
        </w:rPr>
        <w:t xml:space="preserve"> Tal como quedó señalado en el Considerando Primero, el Instituto es la autoridad en materia de competencia económica de los sectores de radiodifusión y telecomunicaciones, por lo que atendiendo </w:t>
      </w:r>
      <w:r w:rsidR="00EA6A96" w:rsidRPr="00BF4A51">
        <w:rPr>
          <w:rFonts w:ascii="ITC Avant Garde" w:hAnsi="ITC Avant Garde" w:cs="Tahoma"/>
          <w:bCs/>
          <w:lang w:eastAsia="es-MX"/>
        </w:rPr>
        <w:t xml:space="preserve">a lo dispuesto por el artículo 33 fracción II del Estatuto, mediante oficio IFT/223/UCS/DG-CTEL/094/2014 de fecha 18 de noviembre de 2014, la Unidad de Concesiones y Servicios, a través de la Dirección General de Concesiones de </w:t>
      </w:r>
      <w:r w:rsidR="00EA6A96" w:rsidRPr="00BF4A51">
        <w:rPr>
          <w:rFonts w:ascii="ITC Avant Garde" w:hAnsi="ITC Avant Garde" w:cs="Tahoma"/>
          <w:bCs/>
          <w:lang w:eastAsia="es-MX"/>
        </w:rPr>
        <w:lastRenderedPageBreak/>
        <w:t xml:space="preserve">Telecomunicaciones, solicitó opinión a la Unidad de Competencia Económica, respecto de la Solicitud de Prórroga. </w:t>
      </w:r>
    </w:p>
    <w:p w14:paraId="35080F20" w14:textId="77777777" w:rsidR="00EA6A96" w:rsidRPr="00BF4A51" w:rsidRDefault="00EA6A96" w:rsidP="00BF4A51">
      <w:pPr>
        <w:autoSpaceDE w:val="0"/>
        <w:autoSpaceDN w:val="0"/>
        <w:adjustRightInd w:val="0"/>
        <w:spacing w:before="240" w:line="240" w:lineRule="auto"/>
        <w:jc w:val="both"/>
        <w:rPr>
          <w:rFonts w:ascii="ITC Avant Garde" w:hAnsi="ITC Avant Garde" w:cs="Tahoma"/>
          <w:bCs/>
          <w:color w:val="000000" w:themeColor="text1"/>
          <w:lang w:eastAsia="es-MX"/>
        </w:rPr>
      </w:pPr>
      <w:r w:rsidRPr="00BF4A51">
        <w:rPr>
          <w:rFonts w:ascii="ITC Avant Garde" w:hAnsi="ITC Avant Garde" w:cs="Tahoma"/>
          <w:bCs/>
          <w:color w:val="000000" w:themeColor="text1"/>
          <w:lang w:eastAsia="es-MX"/>
        </w:rPr>
        <w:t>En respuesta a lo anterior, mediante oficio IFT/226/UCE/DG-CCON/141/2015 de fecha 1 de julio de 2015, la Dirección General de Concentraciones y Concesiones, adscrita a la Unidad de Competencia Económica del Instituto, emitió opinión respecto de la Solicitud de Prórroga, en la que manifestó, entre otros aspectos, lo siguiente:</w:t>
      </w:r>
    </w:p>
    <w:p w14:paraId="11390B5B" w14:textId="77777777" w:rsidR="00EA6A96" w:rsidRPr="00BF4A51" w:rsidRDefault="00EA6A96" w:rsidP="00BF4A51">
      <w:pPr>
        <w:shd w:val="clear" w:color="auto" w:fill="FFFFFF" w:themeFill="background1"/>
        <w:autoSpaceDE w:val="0"/>
        <w:autoSpaceDN w:val="0"/>
        <w:spacing w:before="240" w:line="240" w:lineRule="auto"/>
        <w:ind w:left="709" w:right="615"/>
        <w:jc w:val="both"/>
        <w:rPr>
          <w:rFonts w:ascii="ITC Avant Garde" w:hAnsi="ITC Avant Garde"/>
          <w:iCs/>
          <w:sz w:val="18"/>
          <w:szCs w:val="18"/>
          <w:lang w:val="es-ES"/>
        </w:rPr>
      </w:pPr>
      <w:r w:rsidRPr="00BF4A51">
        <w:rPr>
          <w:rFonts w:ascii="ITC Avant Garde" w:hAnsi="ITC Avant Garde"/>
          <w:iCs/>
          <w:sz w:val="18"/>
          <w:szCs w:val="18"/>
          <w:lang w:val="es-ES"/>
        </w:rPr>
        <w:t>“[…]</w:t>
      </w:r>
    </w:p>
    <w:p w14:paraId="345F3A71" w14:textId="16D1A587" w:rsidR="00EA6A96" w:rsidRPr="00BF4A51" w:rsidRDefault="00EA6A96" w:rsidP="00BF4A51">
      <w:pPr>
        <w:shd w:val="clear" w:color="auto" w:fill="FFFFFF" w:themeFill="background1"/>
        <w:autoSpaceDE w:val="0"/>
        <w:autoSpaceDN w:val="0"/>
        <w:spacing w:before="240" w:line="240" w:lineRule="auto"/>
        <w:ind w:left="709" w:right="615"/>
        <w:jc w:val="both"/>
        <w:rPr>
          <w:rFonts w:ascii="ITC Avant Garde" w:hAnsi="ITC Avant Garde"/>
          <w:b/>
          <w:iCs/>
          <w:sz w:val="18"/>
          <w:szCs w:val="18"/>
          <w:lang w:val="es-ES"/>
        </w:rPr>
      </w:pPr>
      <w:r w:rsidRPr="00BF4A51">
        <w:rPr>
          <w:rFonts w:ascii="ITC Avant Garde" w:hAnsi="ITC Avant Garde"/>
          <w:b/>
          <w:iCs/>
          <w:sz w:val="18"/>
          <w:szCs w:val="18"/>
          <w:lang w:val="es-ES"/>
        </w:rPr>
        <w:t>IV</w:t>
      </w:r>
      <w:r w:rsidR="006035DD" w:rsidRPr="00BF4A51">
        <w:rPr>
          <w:rFonts w:ascii="ITC Avant Garde" w:hAnsi="ITC Avant Garde"/>
          <w:b/>
          <w:iCs/>
          <w:sz w:val="18"/>
          <w:szCs w:val="18"/>
          <w:lang w:val="es-ES"/>
        </w:rPr>
        <w:t>.</w:t>
      </w:r>
      <w:r w:rsidRPr="00BF4A51">
        <w:rPr>
          <w:rFonts w:ascii="ITC Avant Garde" w:hAnsi="ITC Avant Garde"/>
          <w:b/>
          <w:iCs/>
          <w:sz w:val="18"/>
          <w:szCs w:val="18"/>
          <w:lang w:val="es-ES"/>
        </w:rPr>
        <w:t xml:space="preserve"> Opinión en materia de competencia económica</w:t>
      </w:r>
    </w:p>
    <w:p w14:paraId="0B2D1A75" w14:textId="77777777" w:rsidR="00D22F59" w:rsidRPr="00BF4A51" w:rsidRDefault="00D22F59" w:rsidP="00BF4A51">
      <w:pPr>
        <w:autoSpaceDE w:val="0"/>
        <w:autoSpaceDN w:val="0"/>
        <w:spacing w:before="240" w:line="240" w:lineRule="auto"/>
        <w:ind w:left="709" w:right="615"/>
        <w:jc w:val="both"/>
        <w:rPr>
          <w:rFonts w:ascii="ITC Avant Garde" w:hAnsi="ITC Avant Garde"/>
          <w:iCs/>
          <w:sz w:val="18"/>
          <w:szCs w:val="18"/>
          <w:lang w:val="es-ES"/>
        </w:rPr>
      </w:pPr>
      <w:r w:rsidRPr="00BF4A51">
        <w:rPr>
          <w:rFonts w:ascii="ITC Avant Garde" w:hAnsi="ITC Avant Garde"/>
          <w:iCs/>
          <w:sz w:val="18"/>
          <w:szCs w:val="18"/>
          <w:lang w:val="es-ES"/>
        </w:rPr>
        <w:t>El análisis en materia de competencia económica de las Solicitudes de Prórroga considera los siguientes elementos:</w:t>
      </w:r>
    </w:p>
    <w:p w14:paraId="1FBDA5F6" w14:textId="77777777" w:rsidR="00BF4A51" w:rsidRPr="00BF4A51" w:rsidRDefault="00D22F59" w:rsidP="00BF4A51">
      <w:pPr>
        <w:pStyle w:val="Prrafodelista"/>
        <w:numPr>
          <w:ilvl w:val="0"/>
          <w:numId w:val="1"/>
        </w:numPr>
        <w:autoSpaceDE w:val="0"/>
        <w:autoSpaceDN w:val="0"/>
        <w:spacing w:before="240" w:after="200"/>
        <w:ind w:right="615"/>
        <w:jc w:val="both"/>
        <w:rPr>
          <w:rFonts w:ascii="ITC Avant Garde" w:hAnsi="ITC Avant Garde"/>
          <w:iCs/>
          <w:sz w:val="18"/>
          <w:szCs w:val="18"/>
        </w:rPr>
      </w:pPr>
      <w:r w:rsidRPr="00BF4A51">
        <w:rPr>
          <w:rFonts w:ascii="ITC Avant Garde" w:hAnsi="ITC Avant Garde"/>
          <w:iCs/>
          <w:sz w:val="18"/>
          <w:szCs w:val="18"/>
        </w:rPr>
        <w:t xml:space="preserve">El servicio de </w:t>
      </w:r>
      <w:proofErr w:type="spellStart"/>
      <w:r w:rsidRPr="00BF4A51">
        <w:rPr>
          <w:rFonts w:ascii="ITC Avant Garde" w:hAnsi="ITC Avant Garde"/>
          <w:iCs/>
          <w:sz w:val="18"/>
          <w:szCs w:val="18"/>
        </w:rPr>
        <w:t>Trunking</w:t>
      </w:r>
      <w:proofErr w:type="spellEnd"/>
      <w:r w:rsidRPr="00BF4A51">
        <w:rPr>
          <w:rFonts w:ascii="ITC Avant Garde" w:hAnsi="ITC Avant Garde"/>
          <w:iCs/>
          <w:sz w:val="18"/>
          <w:szCs w:val="18"/>
        </w:rPr>
        <w:t xml:space="preserve"> Analógico sólo permiten la transmisión de voz.</w:t>
      </w:r>
    </w:p>
    <w:p w14:paraId="61518C9F" w14:textId="77777777" w:rsidR="00BF4A51" w:rsidRPr="00BF4A51" w:rsidRDefault="00D22F59" w:rsidP="00BF4A51">
      <w:pPr>
        <w:pStyle w:val="Prrafodelista"/>
        <w:numPr>
          <w:ilvl w:val="0"/>
          <w:numId w:val="1"/>
        </w:numPr>
        <w:autoSpaceDE w:val="0"/>
        <w:autoSpaceDN w:val="0"/>
        <w:spacing w:before="240" w:after="200"/>
        <w:ind w:right="615"/>
        <w:jc w:val="both"/>
        <w:rPr>
          <w:rFonts w:ascii="ITC Avant Garde" w:hAnsi="ITC Avant Garde"/>
          <w:iCs/>
          <w:sz w:val="18"/>
          <w:szCs w:val="18"/>
        </w:rPr>
      </w:pPr>
      <w:r w:rsidRPr="00BF4A51">
        <w:rPr>
          <w:rFonts w:ascii="ITC Avant Garde" w:hAnsi="ITC Avant Garde"/>
          <w:iCs/>
          <w:sz w:val="18"/>
          <w:szCs w:val="18"/>
        </w:rPr>
        <w:t xml:space="preserve">El servicio de </w:t>
      </w:r>
      <w:proofErr w:type="spellStart"/>
      <w:r w:rsidRPr="00BF4A51">
        <w:rPr>
          <w:rFonts w:ascii="ITC Avant Garde" w:hAnsi="ITC Avant Garde"/>
          <w:iCs/>
          <w:sz w:val="18"/>
          <w:szCs w:val="18"/>
        </w:rPr>
        <w:t>Trunking</w:t>
      </w:r>
      <w:proofErr w:type="spellEnd"/>
      <w:r w:rsidRPr="00BF4A51">
        <w:rPr>
          <w:rFonts w:ascii="ITC Avant Garde" w:hAnsi="ITC Avant Garde"/>
          <w:iCs/>
          <w:sz w:val="18"/>
          <w:szCs w:val="18"/>
        </w:rPr>
        <w:t xml:space="preserve"> Digital tiene características similares al servicio de telecomunicaciones móviles de segunda generación, pues ambos permiten el uso de voz y datos, aunque el primero a velocidades relativamente más bajas que el segundo debido a la limitación de espectro contiguo concesionado.</w:t>
      </w:r>
    </w:p>
    <w:p w14:paraId="7DBDC5A0" w14:textId="77777777" w:rsidR="00BF4A51" w:rsidRPr="00BF4A51" w:rsidRDefault="00D22F59" w:rsidP="00BF4A51">
      <w:pPr>
        <w:pStyle w:val="Prrafodelista"/>
        <w:numPr>
          <w:ilvl w:val="0"/>
          <w:numId w:val="1"/>
        </w:numPr>
        <w:autoSpaceDE w:val="0"/>
        <w:autoSpaceDN w:val="0"/>
        <w:spacing w:before="240" w:after="200"/>
        <w:ind w:right="615"/>
        <w:jc w:val="both"/>
        <w:rPr>
          <w:rFonts w:ascii="ITC Avant Garde" w:hAnsi="ITC Avant Garde"/>
          <w:iCs/>
          <w:sz w:val="18"/>
          <w:szCs w:val="18"/>
        </w:rPr>
      </w:pPr>
      <w:r w:rsidRPr="00BF4A51">
        <w:rPr>
          <w:rFonts w:ascii="ITC Avant Garde" w:hAnsi="ITC Avant Garde"/>
          <w:iCs/>
          <w:sz w:val="18"/>
          <w:szCs w:val="18"/>
        </w:rPr>
        <w:t xml:space="preserve">Los principales demandantes del servicio de </w:t>
      </w:r>
      <w:proofErr w:type="spellStart"/>
      <w:r w:rsidRPr="00BF4A51">
        <w:rPr>
          <w:rFonts w:ascii="ITC Avant Garde" w:hAnsi="ITC Avant Garde"/>
          <w:iCs/>
          <w:sz w:val="18"/>
          <w:szCs w:val="18"/>
        </w:rPr>
        <w:t>Trunking</w:t>
      </w:r>
      <w:proofErr w:type="spellEnd"/>
      <w:r w:rsidRPr="00BF4A51">
        <w:rPr>
          <w:rFonts w:ascii="ITC Avant Garde" w:hAnsi="ITC Avant Garde"/>
          <w:iCs/>
          <w:sz w:val="18"/>
          <w:szCs w:val="18"/>
        </w:rPr>
        <w:t xml:space="preserve"> consisten de grupos cerrados de usuarios que requieren de servicios de radiocomunicación de voz y/o datos, tales como cuerpos de seguridad, policías, bomberos, taxistas, flotas de transportistas, grupos de protección civil, entre otros. Este servicio atiende necesidades particulares de usuarios de estos servicios: i) alta seguridad, ii) disponibilidad para establecer comunicaciones en situaciones de emergencia; y iii) costos menores para usuarios que generan una gran cantidad de comunicaciones de corta duración.</w:t>
      </w:r>
    </w:p>
    <w:p w14:paraId="459BD5AD" w14:textId="77777777" w:rsidR="00BF4A51" w:rsidRPr="00BF4A51" w:rsidRDefault="00D22F59" w:rsidP="00BF4A51">
      <w:pPr>
        <w:pStyle w:val="Prrafodelista"/>
        <w:numPr>
          <w:ilvl w:val="0"/>
          <w:numId w:val="1"/>
        </w:numPr>
        <w:autoSpaceDE w:val="0"/>
        <w:autoSpaceDN w:val="0"/>
        <w:spacing w:before="240" w:after="200"/>
        <w:ind w:right="615"/>
        <w:jc w:val="both"/>
        <w:rPr>
          <w:rFonts w:ascii="ITC Avant Garde" w:hAnsi="ITC Avant Garde"/>
          <w:iCs/>
          <w:sz w:val="18"/>
          <w:szCs w:val="18"/>
        </w:rPr>
      </w:pPr>
      <w:r w:rsidRPr="00BF4A51">
        <w:rPr>
          <w:rFonts w:ascii="ITC Avant Garde" w:hAnsi="ITC Avant Garde"/>
          <w:iCs/>
          <w:sz w:val="18"/>
          <w:szCs w:val="18"/>
        </w:rPr>
        <w:t xml:space="preserve">Los suscriptores del servicio </w:t>
      </w:r>
      <w:proofErr w:type="spellStart"/>
      <w:r w:rsidRPr="00BF4A51">
        <w:rPr>
          <w:rFonts w:ascii="ITC Avant Garde" w:hAnsi="ITC Avant Garde"/>
          <w:iCs/>
          <w:sz w:val="18"/>
          <w:szCs w:val="18"/>
        </w:rPr>
        <w:t>Trunking</w:t>
      </w:r>
      <w:proofErr w:type="spellEnd"/>
      <w:r w:rsidRPr="00BF4A51">
        <w:rPr>
          <w:rFonts w:ascii="ITC Avant Garde" w:hAnsi="ITC Avant Garde"/>
          <w:iCs/>
          <w:sz w:val="18"/>
          <w:szCs w:val="18"/>
        </w:rPr>
        <w:t xml:space="preserve"> que ofrece Grupo Nextel en su mayoría reciben el servicio con tecnología Digital y sólo 0.35% del total de suscriptores lo reciben con tecnología Analógica.</w:t>
      </w:r>
    </w:p>
    <w:p w14:paraId="55B87994" w14:textId="77777777" w:rsidR="00BF4A51" w:rsidRPr="00BF4A51" w:rsidRDefault="00D22F59" w:rsidP="00BF4A51">
      <w:pPr>
        <w:pStyle w:val="Prrafodelista"/>
        <w:numPr>
          <w:ilvl w:val="0"/>
          <w:numId w:val="1"/>
        </w:numPr>
        <w:autoSpaceDE w:val="0"/>
        <w:autoSpaceDN w:val="0"/>
        <w:spacing w:before="240" w:after="200"/>
        <w:ind w:right="615"/>
        <w:jc w:val="both"/>
        <w:rPr>
          <w:rFonts w:ascii="ITC Avant Garde" w:hAnsi="ITC Avant Garde"/>
          <w:iCs/>
          <w:sz w:val="18"/>
          <w:szCs w:val="18"/>
        </w:rPr>
      </w:pPr>
      <w:r w:rsidRPr="00BF4A51">
        <w:rPr>
          <w:rFonts w:ascii="ITC Avant Garde" w:hAnsi="ITC Avant Garde"/>
          <w:iCs/>
          <w:sz w:val="18"/>
          <w:szCs w:val="18"/>
        </w:rPr>
        <w:t xml:space="preserve">Los servicios de telecomunicaciones móviles de tercera y cuarta generación han incorporado avances tecnológicos que les permiten ofrecer una amplia variedad de servicios, incluyendo voz y acceso a internet móvil a velocidades sustancialmente más altas de las que puedan ofrecer los servicios de </w:t>
      </w:r>
      <w:proofErr w:type="spellStart"/>
      <w:r w:rsidRPr="00BF4A51">
        <w:rPr>
          <w:rFonts w:ascii="ITC Avant Garde" w:hAnsi="ITC Avant Garde"/>
          <w:iCs/>
          <w:sz w:val="18"/>
          <w:szCs w:val="18"/>
        </w:rPr>
        <w:t>Trunking</w:t>
      </w:r>
      <w:proofErr w:type="spellEnd"/>
      <w:r w:rsidRPr="00BF4A51">
        <w:rPr>
          <w:rFonts w:ascii="ITC Avant Garde" w:hAnsi="ITC Avant Garde"/>
          <w:iCs/>
          <w:sz w:val="18"/>
          <w:szCs w:val="18"/>
        </w:rPr>
        <w:t xml:space="preserve"> Digital.</w:t>
      </w:r>
    </w:p>
    <w:p w14:paraId="705E549E" w14:textId="77777777" w:rsidR="00BF4A51" w:rsidRPr="00BF4A51" w:rsidRDefault="00D22F59" w:rsidP="00BF4A51">
      <w:pPr>
        <w:pStyle w:val="Prrafodelista"/>
        <w:numPr>
          <w:ilvl w:val="0"/>
          <w:numId w:val="1"/>
        </w:numPr>
        <w:autoSpaceDE w:val="0"/>
        <w:autoSpaceDN w:val="0"/>
        <w:spacing w:before="240" w:after="200"/>
        <w:ind w:right="615"/>
        <w:jc w:val="both"/>
        <w:rPr>
          <w:rFonts w:ascii="ITC Avant Garde" w:hAnsi="ITC Avant Garde"/>
          <w:iCs/>
          <w:sz w:val="18"/>
          <w:szCs w:val="18"/>
        </w:rPr>
      </w:pPr>
      <w:r w:rsidRPr="00BF4A51">
        <w:rPr>
          <w:rFonts w:ascii="ITC Avant Garde" w:hAnsi="ITC Avant Garde"/>
          <w:iCs/>
          <w:sz w:val="18"/>
          <w:szCs w:val="18"/>
        </w:rPr>
        <w:t xml:space="preserve">El número de usuarios del servicio de </w:t>
      </w:r>
      <w:proofErr w:type="spellStart"/>
      <w:r w:rsidRPr="00BF4A51">
        <w:rPr>
          <w:rFonts w:ascii="ITC Avant Garde" w:hAnsi="ITC Avant Garde"/>
          <w:iCs/>
          <w:sz w:val="18"/>
          <w:szCs w:val="18"/>
        </w:rPr>
        <w:t>Trunking</w:t>
      </w:r>
      <w:proofErr w:type="spellEnd"/>
      <w:r w:rsidRPr="00BF4A51">
        <w:rPr>
          <w:rFonts w:ascii="ITC Avant Garde" w:hAnsi="ITC Avant Garde"/>
          <w:iCs/>
          <w:sz w:val="18"/>
          <w:szCs w:val="18"/>
        </w:rPr>
        <w:t xml:space="preserve"> se ha reducido significativamente en el periodo para el cual se tiene información (diciembre de dos mil diez y junio de dos mil catorce). Se observa que la base total de suscriptores de servicios </w:t>
      </w:r>
      <w:proofErr w:type="spellStart"/>
      <w:r w:rsidRPr="00BF4A51">
        <w:rPr>
          <w:rFonts w:ascii="ITC Avant Garde" w:hAnsi="ITC Avant Garde"/>
          <w:iCs/>
          <w:sz w:val="18"/>
          <w:szCs w:val="18"/>
        </w:rPr>
        <w:t>Trunking</w:t>
      </w:r>
      <w:proofErr w:type="spellEnd"/>
      <w:r w:rsidRPr="00BF4A51">
        <w:rPr>
          <w:rFonts w:ascii="ITC Avant Garde" w:hAnsi="ITC Avant Garde"/>
          <w:iCs/>
          <w:sz w:val="18"/>
          <w:szCs w:val="18"/>
        </w:rPr>
        <w:t>, así como el número de suscriptores de Grupo Nextel, ha disminuido significativamente en los últimos años. Los usuarios han migrado principalmente a los servicios de telecomunicaciones móviles de tercera y cuarta generación.</w:t>
      </w:r>
    </w:p>
    <w:p w14:paraId="6E9867F9" w14:textId="77777777" w:rsidR="00BF4A51" w:rsidRPr="00BF4A51" w:rsidRDefault="00D22F59" w:rsidP="00BF4A51">
      <w:pPr>
        <w:pStyle w:val="Prrafodelista"/>
        <w:numPr>
          <w:ilvl w:val="0"/>
          <w:numId w:val="1"/>
        </w:numPr>
        <w:autoSpaceDE w:val="0"/>
        <w:autoSpaceDN w:val="0"/>
        <w:spacing w:before="240" w:after="200"/>
        <w:ind w:right="615"/>
        <w:jc w:val="both"/>
        <w:rPr>
          <w:rFonts w:ascii="ITC Avant Garde" w:hAnsi="ITC Avant Garde"/>
          <w:iCs/>
          <w:sz w:val="18"/>
          <w:szCs w:val="18"/>
        </w:rPr>
      </w:pPr>
      <w:r w:rsidRPr="00BF4A51">
        <w:rPr>
          <w:rFonts w:ascii="ITC Avant Garde" w:hAnsi="ITC Avant Garde"/>
          <w:iCs/>
          <w:sz w:val="18"/>
          <w:szCs w:val="18"/>
        </w:rPr>
        <w:t xml:space="preserve">La información disponible permite inferir que los servicios de telecomunicaciones móviles son distintos y distinguibles del servicio de </w:t>
      </w:r>
      <w:proofErr w:type="spellStart"/>
      <w:r w:rsidRPr="00BF4A51">
        <w:rPr>
          <w:rFonts w:ascii="ITC Avant Garde" w:hAnsi="ITC Avant Garde"/>
          <w:iCs/>
          <w:sz w:val="18"/>
          <w:szCs w:val="18"/>
        </w:rPr>
        <w:t>Trunking</w:t>
      </w:r>
      <w:proofErr w:type="spellEnd"/>
      <w:r w:rsidRPr="00BF4A51">
        <w:rPr>
          <w:rFonts w:ascii="ITC Avant Garde" w:hAnsi="ITC Avant Garde"/>
          <w:iCs/>
          <w:sz w:val="18"/>
          <w:szCs w:val="18"/>
        </w:rPr>
        <w:t xml:space="preserve">; y los usuarios que antes utilizaban el servicio de </w:t>
      </w:r>
      <w:proofErr w:type="spellStart"/>
      <w:r w:rsidRPr="00BF4A51">
        <w:rPr>
          <w:rFonts w:ascii="ITC Avant Garde" w:hAnsi="ITC Avant Garde"/>
          <w:iCs/>
          <w:sz w:val="18"/>
          <w:szCs w:val="18"/>
        </w:rPr>
        <w:t>Trunking</w:t>
      </w:r>
      <w:proofErr w:type="spellEnd"/>
      <w:r w:rsidRPr="00BF4A51">
        <w:rPr>
          <w:rFonts w:ascii="ITC Avant Garde" w:hAnsi="ITC Avant Garde"/>
          <w:iCs/>
          <w:sz w:val="18"/>
          <w:szCs w:val="18"/>
        </w:rPr>
        <w:t xml:space="preserve"> debido a que percibían características similares con los servicios de telecomunicaciones móviles de segunda generación, están migrando a los servicios de telecomunicaciones móviles que han incorporado avances tecnológicos, en particular los denominados 3G y 4G (LTE).</w:t>
      </w:r>
    </w:p>
    <w:p w14:paraId="23B9B9E8" w14:textId="77777777" w:rsidR="00BF4A51" w:rsidRPr="00BF4A51" w:rsidRDefault="00D22F59" w:rsidP="00BF4A51">
      <w:pPr>
        <w:pStyle w:val="Prrafodelista"/>
        <w:numPr>
          <w:ilvl w:val="0"/>
          <w:numId w:val="1"/>
        </w:numPr>
        <w:autoSpaceDE w:val="0"/>
        <w:autoSpaceDN w:val="0"/>
        <w:spacing w:before="240" w:after="200"/>
        <w:ind w:right="615"/>
        <w:jc w:val="both"/>
        <w:rPr>
          <w:rFonts w:ascii="ITC Avant Garde" w:hAnsi="ITC Avant Garde"/>
          <w:iCs/>
          <w:sz w:val="18"/>
          <w:szCs w:val="18"/>
        </w:rPr>
      </w:pPr>
      <w:r w:rsidRPr="00BF4A51">
        <w:rPr>
          <w:rFonts w:ascii="ITC Avant Garde" w:hAnsi="ITC Avant Garde"/>
          <w:iCs/>
          <w:sz w:val="18"/>
          <w:szCs w:val="18"/>
        </w:rPr>
        <w:lastRenderedPageBreak/>
        <w:t xml:space="preserve">La información disponible permite inferir que existen grupos de usuarios para quienes el servicio de </w:t>
      </w:r>
      <w:proofErr w:type="spellStart"/>
      <w:r w:rsidRPr="00BF4A51">
        <w:rPr>
          <w:rFonts w:ascii="ITC Avant Garde" w:hAnsi="ITC Avant Garde"/>
          <w:iCs/>
          <w:sz w:val="18"/>
          <w:szCs w:val="18"/>
        </w:rPr>
        <w:t>Trunking</w:t>
      </w:r>
      <w:proofErr w:type="spellEnd"/>
      <w:r w:rsidRPr="00BF4A51">
        <w:rPr>
          <w:rFonts w:ascii="ITC Avant Garde" w:hAnsi="ITC Avant Garde"/>
          <w:iCs/>
          <w:sz w:val="18"/>
          <w:szCs w:val="18"/>
        </w:rPr>
        <w:t xml:space="preserve"> resulta el más eficiente para satisfacer sus necesidades de comunicación, como lo son los grupos de bombero, policías y cuerpos de seguridad, quienes requieren características particulares de seguridad, disponibilidad y costo para las comunicaciones que realizan.</w:t>
      </w:r>
    </w:p>
    <w:p w14:paraId="3B8FDC96" w14:textId="77777777" w:rsidR="00BF4A51" w:rsidRPr="00BF4A51" w:rsidRDefault="00D22F59" w:rsidP="00BF4A51">
      <w:pPr>
        <w:pStyle w:val="Prrafodelista"/>
        <w:numPr>
          <w:ilvl w:val="0"/>
          <w:numId w:val="1"/>
        </w:numPr>
        <w:autoSpaceDE w:val="0"/>
        <w:autoSpaceDN w:val="0"/>
        <w:spacing w:before="240" w:after="200"/>
        <w:ind w:right="615"/>
        <w:jc w:val="both"/>
        <w:rPr>
          <w:rFonts w:ascii="ITC Avant Garde" w:hAnsi="ITC Avant Garde"/>
          <w:iCs/>
          <w:sz w:val="18"/>
          <w:szCs w:val="18"/>
        </w:rPr>
      </w:pPr>
      <w:r w:rsidRPr="00BF4A51">
        <w:rPr>
          <w:rFonts w:ascii="ITC Avant Garde" w:hAnsi="ITC Avant Garde"/>
          <w:iCs/>
          <w:sz w:val="18"/>
          <w:szCs w:val="18"/>
        </w:rPr>
        <w:t xml:space="preserve">Grupo Nextel presentó solicitud para realizar un reordenamiento de la banda </w:t>
      </w:r>
      <w:proofErr w:type="spellStart"/>
      <w:r w:rsidRPr="00BF4A51">
        <w:rPr>
          <w:rFonts w:ascii="ITC Avant Garde" w:hAnsi="ITC Avant Garde"/>
          <w:iCs/>
          <w:sz w:val="18"/>
          <w:szCs w:val="18"/>
        </w:rPr>
        <w:t>Trunking</w:t>
      </w:r>
      <w:proofErr w:type="spellEnd"/>
      <w:r w:rsidRPr="00BF4A51">
        <w:rPr>
          <w:rFonts w:ascii="ITC Avant Garde" w:hAnsi="ITC Avant Garde"/>
          <w:iCs/>
          <w:sz w:val="18"/>
          <w:szCs w:val="18"/>
        </w:rPr>
        <w:t xml:space="preserve"> y de ese modo estar en posibilidad de adoptar/implementar tecnologías que permitan prestar servicios de telecomunicaciones de tercera y cuarta generación en esa banda. Se tiene previsto que la banda </w:t>
      </w:r>
      <w:proofErr w:type="spellStart"/>
      <w:r w:rsidRPr="00BF4A51">
        <w:rPr>
          <w:rFonts w:ascii="ITC Avant Garde" w:hAnsi="ITC Avant Garde"/>
          <w:iCs/>
          <w:sz w:val="18"/>
          <w:szCs w:val="18"/>
        </w:rPr>
        <w:t>Trunking</w:t>
      </w:r>
      <w:proofErr w:type="spellEnd"/>
      <w:r w:rsidRPr="00BF4A51">
        <w:rPr>
          <w:rFonts w:ascii="ITC Avant Garde" w:hAnsi="ITC Avant Garde"/>
          <w:iCs/>
          <w:sz w:val="18"/>
          <w:szCs w:val="18"/>
        </w:rPr>
        <w:t>, en la cual se encuentra el espectro radioeléctrico objeto de las Solicitudes de Prórroga, se sujete a un proceso de reorganización con el fin de posibilitar la introducción de servicios de banda ancha móvil, de conformidad con la identificación de esta banda como propicia para ofrecer servicios IMT.</w:t>
      </w:r>
    </w:p>
    <w:p w14:paraId="4F995326" w14:textId="77777777" w:rsidR="00BF4A51" w:rsidRPr="00BF4A51" w:rsidRDefault="00D22F59" w:rsidP="00BF4A51">
      <w:pPr>
        <w:pStyle w:val="Prrafodelista"/>
        <w:numPr>
          <w:ilvl w:val="0"/>
          <w:numId w:val="1"/>
        </w:numPr>
        <w:autoSpaceDE w:val="0"/>
        <w:autoSpaceDN w:val="0"/>
        <w:spacing w:before="240" w:after="200"/>
        <w:ind w:right="615"/>
        <w:jc w:val="both"/>
        <w:rPr>
          <w:rFonts w:ascii="ITC Avant Garde" w:hAnsi="ITC Avant Garde"/>
          <w:iCs/>
          <w:sz w:val="18"/>
          <w:szCs w:val="18"/>
        </w:rPr>
      </w:pPr>
      <w:r w:rsidRPr="00BF4A51">
        <w:rPr>
          <w:rFonts w:ascii="ITC Avant Garde" w:hAnsi="ITC Avant Garde"/>
          <w:iCs/>
          <w:sz w:val="18"/>
          <w:szCs w:val="18"/>
        </w:rPr>
        <w:t>En este contexto, se determinó necesario evaluar los posibles efectos de la autorización de las prórrogas solicitadas en el proceso de competencia y libre concurrencia en la provisión del servicio de telecomunicaciones móviles, pues el grupo económico AT&amp;T/Grupo Iusacell/Grupo Nextel cuenta con espectro radioeléctrico en otras bandas de frecuencias para la provisión de este servicio.</w:t>
      </w:r>
    </w:p>
    <w:p w14:paraId="52693BE0" w14:textId="77777777" w:rsidR="00BF4A51" w:rsidRPr="00BF4A51" w:rsidRDefault="00D22F59" w:rsidP="00BF4A51">
      <w:pPr>
        <w:pStyle w:val="Prrafodelista"/>
        <w:numPr>
          <w:ilvl w:val="0"/>
          <w:numId w:val="1"/>
        </w:numPr>
        <w:autoSpaceDE w:val="0"/>
        <w:autoSpaceDN w:val="0"/>
        <w:spacing w:before="240" w:after="200"/>
        <w:ind w:right="615"/>
        <w:jc w:val="both"/>
        <w:rPr>
          <w:rFonts w:ascii="ITC Avant Garde" w:hAnsi="ITC Avant Garde"/>
          <w:iCs/>
          <w:sz w:val="18"/>
          <w:szCs w:val="18"/>
        </w:rPr>
      </w:pPr>
      <w:r w:rsidRPr="00BF4A51">
        <w:rPr>
          <w:rFonts w:ascii="ITC Avant Garde" w:hAnsi="ITC Avant Garde"/>
          <w:iCs/>
          <w:sz w:val="18"/>
          <w:szCs w:val="18"/>
        </w:rPr>
        <w:t>Conforme a la Resolución del Pleno celebrada el veintin</w:t>
      </w:r>
      <w:r w:rsidR="00B4009E" w:rsidRPr="00BF4A51">
        <w:rPr>
          <w:rFonts w:ascii="ITC Avant Garde" w:hAnsi="ITC Avant Garde"/>
          <w:iCs/>
          <w:sz w:val="18"/>
          <w:szCs w:val="18"/>
        </w:rPr>
        <w:t>ueve de abril de dos mil quince</w:t>
      </w:r>
      <w:r w:rsidRPr="00BF4A51">
        <w:rPr>
          <w:rStyle w:val="Refdenotaalpie"/>
          <w:rFonts w:ascii="ITC Avant Garde" w:hAnsi="ITC Avant Garde"/>
          <w:iCs/>
          <w:sz w:val="18"/>
          <w:szCs w:val="18"/>
        </w:rPr>
        <w:footnoteReference w:id="2"/>
      </w:r>
    </w:p>
    <w:p w14:paraId="4C85F92C" w14:textId="77777777" w:rsidR="00BF4A51" w:rsidRPr="00BF4A51" w:rsidRDefault="00D22F59" w:rsidP="00BF4A51">
      <w:pPr>
        <w:pStyle w:val="Prrafodelista"/>
        <w:numPr>
          <w:ilvl w:val="0"/>
          <w:numId w:val="2"/>
        </w:numPr>
        <w:autoSpaceDE w:val="0"/>
        <w:autoSpaceDN w:val="0"/>
        <w:spacing w:before="240" w:after="200"/>
        <w:ind w:left="1985" w:right="615" w:hanging="426"/>
        <w:jc w:val="both"/>
        <w:rPr>
          <w:rFonts w:ascii="ITC Avant Garde" w:hAnsi="ITC Avant Garde"/>
          <w:iCs/>
          <w:sz w:val="18"/>
          <w:szCs w:val="18"/>
        </w:rPr>
      </w:pPr>
      <w:r w:rsidRPr="00BF4A51">
        <w:rPr>
          <w:rFonts w:ascii="ITC Avant Garde" w:hAnsi="ITC Avant Garde"/>
          <w:iCs/>
          <w:sz w:val="18"/>
          <w:szCs w:val="18"/>
        </w:rPr>
        <w:t>A pesar de la existencia de la barrera a la entrada en la provisión del servicio de telecomunicaciones móviles, no se prevé que AT&amp;T/Grupo/Iusacell/Grupo Nextel tenga la capacidad para fijar precios o restringir el abasto en la provisión de esos servicios sin que sus competidores puedan contrarrestar dichas acciones.</w:t>
      </w:r>
    </w:p>
    <w:p w14:paraId="1B218625" w14:textId="77777777" w:rsidR="00BF4A51" w:rsidRPr="00BF4A51" w:rsidRDefault="00D22F59" w:rsidP="00BF4A51">
      <w:pPr>
        <w:pStyle w:val="Prrafodelista"/>
        <w:numPr>
          <w:ilvl w:val="0"/>
          <w:numId w:val="2"/>
        </w:numPr>
        <w:autoSpaceDE w:val="0"/>
        <w:autoSpaceDN w:val="0"/>
        <w:spacing w:before="240" w:after="200"/>
        <w:ind w:left="1985" w:right="615" w:hanging="426"/>
        <w:jc w:val="both"/>
        <w:rPr>
          <w:rFonts w:ascii="ITC Avant Garde" w:hAnsi="ITC Avant Garde"/>
          <w:iCs/>
          <w:sz w:val="18"/>
          <w:szCs w:val="18"/>
        </w:rPr>
      </w:pPr>
      <w:r w:rsidRPr="00BF4A51">
        <w:rPr>
          <w:rFonts w:ascii="ITC Avant Garde" w:hAnsi="ITC Avant Garde"/>
          <w:iCs/>
          <w:sz w:val="18"/>
          <w:szCs w:val="18"/>
        </w:rPr>
        <w:t>No se prevé que el tamaño relativo de la red de AT&amp;T/Grupo Iusacell/Grupo Nextel, medida en términos de su base de clientes, le permita de manera unilateral, incrementar las tarifas del servicio mayorista de interconexión móvil que provee a sus competidores.</w:t>
      </w:r>
    </w:p>
    <w:p w14:paraId="2CB22BA4" w14:textId="77777777" w:rsidR="00BF4A51" w:rsidRPr="00BF4A51" w:rsidRDefault="00D22F59" w:rsidP="00BF4A51">
      <w:pPr>
        <w:pStyle w:val="Prrafodelista"/>
        <w:numPr>
          <w:ilvl w:val="0"/>
          <w:numId w:val="2"/>
        </w:numPr>
        <w:autoSpaceDE w:val="0"/>
        <w:autoSpaceDN w:val="0"/>
        <w:spacing w:before="240" w:after="200"/>
        <w:ind w:left="1985" w:right="615" w:hanging="426"/>
        <w:jc w:val="both"/>
        <w:rPr>
          <w:rFonts w:ascii="ITC Avant Garde" w:hAnsi="ITC Avant Garde"/>
          <w:iCs/>
          <w:sz w:val="18"/>
          <w:szCs w:val="18"/>
        </w:rPr>
      </w:pPr>
      <w:r w:rsidRPr="00BF4A51">
        <w:rPr>
          <w:rFonts w:ascii="ITC Avant Garde" w:hAnsi="ITC Avant Garde"/>
          <w:iCs/>
          <w:sz w:val="18"/>
          <w:szCs w:val="18"/>
        </w:rPr>
        <w:t xml:space="preserve">Dado que técnicamente es viable prestar los servicios de telecomunicaciones móviles de cuarta generación en el espectro asignado a la Banda </w:t>
      </w:r>
      <w:proofErr w:type="spellStart"/>
      <w:r w:rsidRPr="00BF4A51">
        <w:rPr>
          <w:rFonts w:ascii="ITC Avant Garde" w:hAnsi="ITC Avant Garde"/>
          <w:iCs/>
          <w:sz w:val="18"/>
          <w:szCs w:val="18"/>
        </w:rPr>
        <w:t>Trunking</w:t>
      </w:r>
      <w:proofErr w:type="spellEnd"/>
      <w:r w:rsidRPr="00BF4A51">
        <w:rPr>
          <w:rFonts w:ascii="ITC Avant Garde" w:hAnsi="ITC Avant Garde"/>
          <w:iCs/>
          <w:sz w:val="18"/>
          <w:szCs w:val="18"/>
        </w:rPr>
        <w:t>, se concluyó que ‘la acumulación de espectro radioeléctrico del [grupo formado por AT&amp;T/Grupo Iusacell/Grupo Nextel] no limitaría el acceso a nuevos competidores, ni restringiría la cantidad de espectro a los operadores actuales. Al mismo tiempo, permitiría a AT&amp;T competir con mayor efectividad en el servicio de telecomunicaciones móviles en México.’ Es decir no se prevé que la cantidad de espectro radioeléctrico que ya posee AT&amp;T/Grupo Iusacell/Grupo Nextel pudiera tener efectos contrarios a la competencia y libre concurrencia en la provisión del servicio de telecomunicaciones móviles.</w:t>
      </w:r>
    </w:p>
    <w:p w14:paraId="6C5C16C1" w14:textId="7023E918" w:rsidR="00D22F59" w:rsidRPr="00BF4A51" w:rsidRDefault="00D22F59" w:rsidP="00BF4A51">
      <w:pPr>
        <w:autoSpaceDE w:val="0"/>
        <w:autoSpaceDN w:val="0"/>
        <w:spacing w:before="240" w:line="240" w:lineRule="auto"/>
        <w:ind w:left="709" w:right="615"/>
        <w:jc w:val="both"/>
        <w:rPr>
          <w:rFonts w:ascii="ITC Avant Garde" w:hAnsi="ITC Avant Garde"/>
          <w:iCs/>
          <w:sz w:val="18"/>
          <w:szCs w:val="18"/>
        </w:rPr>
      </w:pPr>
      <w:r w:rsidRPr="00BF4A51">
        <w:rPr>
          <w:rFonts w:ascii="ITC Avant Garde" w:hAnsi="ITC Avant Garde"/>
          <w:iCs/>
          <w:sz w:val="18"/>
          <w:szCs w:val="18"/>
        </w:rPr>
        <w:t>En conclusión, con base en la información disponible, no se identifican elementos ni indicios de que la autorización de las prórrogas solicitadas de NII Telecom, S. de R.L. de C.V. pueda tener efectos contrarios en el proceso de competencia y libre concurrencia en los mercados.</w:t>
      </w:r>
    </w:p>
    <w:p w14:paraId="23E1E047" w14:textId="77777777" w:rsidR="00D22F59" w:rsidRPr="00BF4A51" w:rsidRDefault="00D22F59" w:rsidP="00BF4A51">
      <w:pPr>
        <w:autoSpaceDE w:val="0"/>
        <w:autoSpaceDN w:val="0"/>
        <w:spacing w:before="240" w:line="240" w:lineRule="auto"/>
        <w:ind w:left="709" w:right="615"/>
        <w:jc w:val="both"/>
        <w:rPr>
          <w:rFonts w:ascii="ITC Avant Garde" w:hAnsi="ITC Avant Garde"/>
          <w:iCs/>
          <w:sz w:val="18"/>
          <w:szCs w:val="18"/>
        </w:rPr>
      </w:pPr>
      <w:r w:rsidRPr="00BF4A51">
        <w:rPr>
          <w:rFonts w:ascii="ITC Avant Garde" w:hAnsi="ITC Avant Garde"/>
          <w:iCs/>
          <w:sz w:val="18"/>
          <w:szCs w:val="18"/>
        </w:rPr>
        <w:t xml:space="preserve">Los cometarios y opiniones respecto de las Solicitudes de Prórroga se emiten en materia de competencia económica, sin prejuzgar sobre otras autorizaciones, requisitos u obligaciones </w:t>
      </w:r>
      <w:r w:rsidRPr="00BF4A51">
        <w:rPr>
          <w:rFonts w:ascii="ITC Avant Garde" w:hAnsi="ITC Avant Garde"/>
          <w:iCs/>
          <w:sz w:val="18"/>
          <w:szCs w:val="18"/>
        </w:rPr>
        <w:lastRenderedPageBreak/>
        <w:t>que, en su caso, NII Telecom, S. de R.L. de C.V. deba obtener de este Instituto u otra autoridad competente. Tampoco se prejuzga sobre violaciones a la Ley Federal de Competencia Económica, la Ley Federal de Telecomunicaciones y Radiodifusión u otros ordenamientos, en que pudiera haber incurrido, o pudiera incurrir, NII Telecom, S. de R.L. de C.V.</w:t>
      </w:r>
    </w:p>
    <w:p w14:paraId="397859B8" w14:textId="77777777" w:rsidR="00BF4A51" w:rsidRPr="00BF4A51" w:rsidRDefault="00D22F59" w:rsidP="00BF4A51">
      <w:pPr>
        <w:autoSpaceDE w:val="0"/>
        <w:autoSpaceDN w:val="0"/>
        <w:spacing w:before="240" w:line="240" w:lineRule="auto"/>
        <w:ind w:left="709" w:right="615"/>
        <w:jc w:val="both"/>
        <w:rPr>
          <w:rFonts w:ascii="ITC Avant Garde" w:hAnsi="ITC Avant Garde"/>
          <w:iCs/>
          <w:sz w:val="18"/>
          <w:szCs w:val="18"/>
        </w:rPr>
      </w:pPr>
      <w:r w:rsidRPr="00BF4A51">
        <w:rPr>
          <w:rFonts w:ascii="ITC Avant Garde" w:hAnsi="ITC Avant Garde"/>
          <w:iCs/>
          <w:sz w:val="18"/>
          <w:szCs w:val="18"/>
        </w:rPr>
        <w:t>En particular, se advierte que, conforme al artículo 114, párrafos segundo y tercero, de la Ley Federal de Telecomunicaciones y Radiodifusión, la presente opinión no prejuzga en definitiva respecto si existe o no interés público en recuperar el espectro radioeléctrico concesionado ni sobre las condiciones que en su caso fije el Instituto, entre las que se incluirá el pago de una contraprestación, para otorgar las prórrogas de vigencia solicitadas por NII Telecom, S. de R.L. de C.V.</w:t>
      </w:r>
    </w:p>
    <w:p w14:paraId="55B518F5" w14:textId="4A40F809" w:rsidR="00C876D0" w:rsidRPr="00BF4A51" w:rsidRDefault="00C832A5" w:rsidP="00BF4A51">
      <w:pPr>
        <w:shd w:val="clear" w:color="auto" w:fill="FFFFFF" w:themeFill="background1"/>
        <w:spacing w:before="240" w:line="240" w:lineRule="auto"/>
        <w:jc w:val="both"/>
        <w:rPr>
          <w:rFonts w:ascii="ITC Avant Garde" w:hAnsi="ITC Avant Garde"/>
          <w:bCs/>
        </w:rPr>
      </w:pPr>
      <w:r w:rsidRPr="00BF4A51">
        <w:rPr>
          <w:rFonts w:ascii="ITC Avant Garde" w:hAnsi="ITC Avant Garde" w:cs="Tahoma"/>
          <w:bCs/>
          <w:lang w:eastAsia="es-MX"/>
        </w:rPr>
        <w:t>En ese sentido, la opinión en materia de competencia económica considera que no se identifican elementos que permitan concluir que la autorización de la Solicitud de Prórroga</w:t>
      </w:r>
      <w:r w:rsidRPr="00BF4A51">
        <w:rPr>
          <w:rFonts w:ascii="ITC Avant Garde" w:hAnsi="ITC Avant Garde"/>
          <w:bCs/>
        </w:rPr>
        <w:t>, pueda tener efectos contrarios en el proceso de competencia y libre concurrencia.</w:t>
      </w:r>
    </w:p>
    <w:p w14:paraId="764B3ECD" w14:textId="4E77F697" w:rsidR="007D630C" w:rsidRPr="00BF4A51" w:rsidRDefault="00C876D0" w:rsidP="00BF4A51">
      <w:pPr>
        <w:spacing w:before="240" w:line="240" w:lineRule="auto"/>
        <w:jc w:val="both"/>
        <w:rPr>
          <w:rFonts w:ascii="ITC Avant Garde" w:hAnsi="ITC Avant Garde"/>
          <w:bCs/>
        </w:rPr>
      </w:pPr>
      <w:r w:rsidRPr="00BF4A51">
        <w:rPr>
          <w:rFonts w:ascii="ITC Avant Garde" w:hAnsi="ITC Avant Garde"/>
          <w:bCs/>
          <w:lang w:eastAsia="es-MX"/>
        </w:rPr>
        <w:t>Por otro lado</w:t>
      </w:r>
      <w:r w:rsidR="004B0F96" w:rsidRPr="00BF4A51">
        <w:rPr>
          <w:rFonts w:ascii="ITC Avant Garde" w:hAnsi="ITC Avant Garde"/>
          <w:bCs/>
        </w:rPr>
        <w:t>,</w:t>
      </w:r>
      <w:r w:rsidR="007D630C" w:rsidRPr="00BF4A51">
        <w:rPr>
          <w:rFonts w:ascii="ITC Avant Garde" w:hAnsi="ITC Avant Garde"/>
          <w:bCs/>
        </w:rPr>
        <w:t xml:space="preserve"> el Instituto debe considerar en su análisis lo previsto </w:t>
      </w:r>
      <w:r w:rsidR="0058118E" w:rsidRPr="00BF4A51">
        <w:rPr>
          <w:rFonts w:ascii="ITC Avant Garde" w:hAnsi="ITC Avant Garde"/>
          <w:bCs/>
        </w:rPr>
        <w:t xml:space="preserve">en </w:t>
      </w:r>
      <w:r w:rsidR="007D630C" w:rsidRPr="00BF4A51">
        <w:rPr>
          <w:rFonts w:ascii="ITC Avant Garde" w:hAnsi="ITC Avant Garde"/>
          <w:bCs/>
        </w:rPr>
        <w:t>la Ley con respecto al espectro radioeléctrico, que como bien del dominio público de la Nación, corresponde al Instituto administrar. Para cumplir con dicha atribución, el artículo 54 de la Ley señala que el Instituto debe perseguir una serie de objetivos generales en beneficio de los usuarios, entre los que destacan la promoción de la cohesión social, regional o territorial y el uso eficaz del espectro y su protección.</w:t>
      </w:r>
    </w:p>
    <w:p w14:paraId="5A41DA89" w14:textId="77777777" w:rsidR="00BF4A51" w:rsidRPr="00BF4A51" w:rsidRDefault="00D12829" w:rsidP="00BF4A51">
      <w:pPr>
        <w:autoSpaceDE w:val="0"/>
        <w:autoSpaceDN w:val="0"/>
        <w:adjustRightInd w:val="0"/>
        <w:spacing w:before="240" w:line="240" w:lineRule="auto"/>
        <w:jc w:val="both"/>
        <w:rPr>
          <w:rFonts w:ascii="ITC Avant Garde" w:hAnsi="ITC Avant Garde"/>
          <w:bCs/>
        </w:rPr>
      </w:pPr>
      <w:r w:rsidRPr="00BF4A51">
        <w:rPr>
          <w:rFonts w:ascii="ITC Avant Garde" w:hAnsi="ITC Avant Garde"/>
          <w:bCs/>
        </w:rPr>
        <w:t>En virtud de lo anterior, y como se señaló previamente, mediante oficio IFT/223/UCS/DG-CTEL/</w:t>
      </w:r>
      <w:r w:rsidR="00AB7AD6" w:rsidRPr="00BF4A51">
        <w:rPr>
          <w:rFonts w:ascii="ITC Avant Garde" w:hAnsi="ITC Avant Garde"/>
          <w:bCs/>
        </w:rPr>
        <w:t>16</w:t>
      </w:r>
      <w:r w:rsidR="006719E0" w:rsidRPr="00BF4A51">
        <w:rPr>
          <w:rFonts w:ascii="ITC Avant Garde" w:hAnsi="ITC Avant Garde"/>
          <w:bCs/>
        </w:rPr>
        <w:t>37</w:t>
      </w:r>
      <w:r w:rsidRPr="00BF4A51">
        <w:rPr>
          <w:rFonts w:ascii="ITC Avant Garde" w:hAnsi="ITC Avant Garde"/>
          <w:bCs/>
        </w:rPr>
        <w:t>/201</w:t>
      </w:r>
      <w:r w:rsidR="00AB7AD6" w:rsidRPr="00BF4A51">
        <w:rPr>
          <w:rFonts w:ascii="ITC Avant Garde" w:hAnsi="ITC Avant Garde"/>
          <w:bCs/>
        </w:rPr>
        <w:t>5</w:t>
      </w:r>
      <w:r w:rsidRPr="00BF4A51">
        <w:rPr>
          <w:rFonts w:ascii="ITC Avant Garde" w:hAnsi="ITC Avant Garde"/>
          <w:bCs/>
        </w:rPr>
        <w:t xml:space="preserve"> de fecha 2</w:t>
      </w:r>
      <w:r w:rsidR="00AB7AD6" w:rsidRPr="00BF4A51">
        <w:rPr>
          <w:rFonts w:ascii="ITC Avant Garde" w:hAnsi="ITC Avant Garde"/>
          <w:bCs/>
        </w:rPr>
        <w:t>9</w:t>
      </w:r>
      <w:r w:rsidRPr="00BF4A51">
        <w:rPr>
          <w:rFonts w:ascii="ITC Avant Garde" w:hAnsi="ITC Avant Garde"/>
          <w:bCs/>
        </w:rPr>
        <w:t xml:space="preserve"> de mayo de 2015, la Unidad de Concesiones y Servicios, a través de la Dirección General de Concesiones de Telecomunicaciones, solicitó a la Unidad de Espectro Radioeléctrico </w:t>
      </w:r>
      <w:r w:rsidR="005822AF" w:rsidRPr="00BF4A51">
        <w:rPr>
          <w:rFonts w:ascii="ITC Avant Garde" w:hAnsi="ITC Avant Garde"/>
          <w:bCs/>
        </w:rPr>
        <w:t>informara el monto de la contraprestación que, en su caso, deberá cubrir AT&amp;T Comunicaciones Digitales por la prórroga de la Concesión, así como las condiciones técnico-operativas que busquen evitar o minimizar el riesgo de interferencias perjudiciales, a las cuales quedaría sujeta, en su caso, la</w:t>
      </w:r>
      <w:r w:rsidR="0067602D" w:rsidRPr="00BF4A51">
        <w:rPr>
          <w:rFonts w:ascii="ITC Avant Garde" w:hAnsi="ITC Avant Garde"/>
          <w:bCs/>
        </w:rPr>
        <w:t xml:space="preserve"> prórroga solicitada.</w:t>
      </w:r>
    </w:p>
    <w:p w14:paraId="0FC5F184" w14:textId="77777777" w:rsidR="00BF4A51" w:rsidRPr="00BF4A51" w:rsidRDefault="00267F64" w:rsidP="00BF4A51">
      <w:pPr>
        <w:autoSpaceDE w:val="0"/>
        <w:autoSpaceDN w:val="0"/>
        <w:adjustRightInd w:val="0"/>
        <w:spacing w:before="240" w:line="240" w:lineRule="auto"/>
        <w:jc w:val="both"/>
        <w:rPr>
          <w:rFonts w:ascii="ITC Avant Garde" w:hAnsi="ITC Avant Garde"/>
          <w:bCs/>
        </w:rPr>
      </w:pPr>
      <w:r w:rsidRPr="00BF4A51">
        <w:rPr>
          <w:rFonts w:ascii="ITC Avant Garde" w:hAnsi="ITC Avant Garde"/>
          <w:bCs/>
        </w:rPr>
        <w:t>En respuesta a lo anterior, mediante oficio IFT/222/UER/DGPE/01</w:t>
      </w:r>
      <w:r w:rsidR="00311C51" w:rsidRPr="00BF4A51">
        <w:rPr>
          <w:rFonts w:ascii="ITC Avant Garde" w:hAnsi="ITC Avant Garde"/>
          <w:bCs/>
        </w:rPr>
        <w:t>6</w:t>
      </w:r>
      <w:r w:rsidRPr="00BF4A51">
        <w:rPr>
          <w:rFonts w:ascii="ITC Avant Garde" w:hAnsi="ITC Avant Garde"/>
          <w:bCs/>
        </w:rPr>
        <w:t>/2017 de fecha 13 de febrero de 2017, la Unidad de Espectro Radioeléctrico, por conducto de la Dirección General de Planeación del Espectro, remitió el dictamen de planificación y optimización espectral DGPE/DA/DPE/01</w:t>
      </w:r>
      <w:r w:rsidR="00311C51" w:rsidRPr="00BF4A51">
        <w:rPr>
          <w:rFonts w:ascii="ITC Avant Garde" w:hAnsi="ITC Avant Garde"/>
          <w:bCs/>
        </w:rPr>
        <w:t>4</w:t>
      </w:r>
      <w:r w:rsidRPr="00BF4A51">
        <w:rPr>
          <w:rFonts w:ascii="ITC Avant Garde" w:hAnsi="ITC Avant Garde"/>
          <w:bCs/>
        </w:rPr>
        <w:t>-17, en el que se señala las acciones de planificación respecto a la banda de frecuencias 806-824/851-869</w:t>
      </w:r>
      <w:r w:rsidR="006719E0" w:rsidRPr="00BF4A51">
        <w:rPr>
          <w:rFonts w:ascii="ITC Avant Garde" w:hAnsi="ITC Avant Garde"/>
          <w:bCs/>
        </w:rPr>
        <w:t xml:space="preserve"> MHz</w:t>
      </w:r>
      <w:r w:rsidRPr="00BF4A51">
        <w:rPr>
          <w:rFonts w:ascii="ITC Avant Garde" w:hAnsi="ITC Avant Garde"/>
          <w:bCs/>
        </w:rPr>
        <w:t>, consistentes en lo siguiente:</w:t>
      </w:r>
    </w:p>
    <w:p w14:paraId="1BF37C1A" w14:textId="77777777" w:rsidR="00BF4A51" w:rsidRPr="00BF4A51" w:rsidRDefault="0090249F" w:rsidP="00BF4A51">
      <w:pPr>
        <w:autoSpaceDE w:val="0"/>
        <w:autoSpaceDN w:val="0"/>
        <w:adjustRightInd w:val="0"/>
        <w:spacing w:before="240" w:line="240" w:lineRule="auto"/>
        <w:ind w:left="567" w:right="615"/>
        <w:jc w:val="both"/>
        <w:rPr>
          <w:rFonts w:ascii="ITC Avant Garde" w:eastAsia="Times New Roman" w:hAnsi="ITC Avant Garde"/>
          <w:b/>
          <w:bCs/>
          <w:sz w:val="18"/>
          <w:lang w:val="es-ES" w:eastAsia="es-ES"/>
        </w:rPr>
      </w:pPr>
      <w:r w:rsidRPr="00BF4A51">
        <w:rPr>
          <w:rFonts w:ascii="ITC Avant Garde" w:eastAsia="Times New Roman" w:hAnsi="ITC Avant Garde"/>
          <w:bCs/>
          <w:sz w:val="18"/>
          <w:lang w:val="es-ES" w:eastAsia="es-ES"/>
        </w:rPr>
        <w:t>“</w:t>
      </w:r>
      <w:r w:rsidRPr="00BF4A51">
        <w:rPr>
          <w:rFonts w:ascii="ITC Avant Garde" w:eastAsia="Times New Roman" w:hAnsi="ITC Avant Garde"/>
          <w:b/>
          <w:bCs/>
          <w:sz w:val="18"/>
          <w:lang w:val="es-ES" w:eastAsia="es-ES"/>
        </w:rPr>
        <w:t>4. Acciones de Planificación</w:t>
      </w:r>
    </w:p>
    <w:p w14:paraId="2190AB9D" w14:textId="77777777" w:rsidR="00BF4A51" w:rsidRPr="00BF4A51" w:rsidRDefault="0090249F" w:rsidP="00BF4A51">
      <w:pPr>
        <w:spacing w:before="240" w:line="240" w:lineRule="auto"/>
        <w:ind w:left="567" w:right="899"/>
        <w:jc w:val="both"/>
        <w:rPr>
          <w:rFonts w:ascii="ITC Avant Garde" w:eastAsia="Times New Roman" w:hAnsi="ITC Avant Garde" w:cstheme="minorHAnsi"/>
          <w:sz w:val="18"/>
          <w:szCs w:val="18"/>
          <w:lang w:eastAsia="es-ES"/>
        </w:rPr>
      </w:pPr>
      <w:r w:rsidRPr="00BF4A51">
        <w:rPr>
          <w:rFonts w:ascii="ITC Avant Garde" w:eastAsia="Times New Roman" w:hAnsi="ITC Avant Garde" w:cstheme="minorHAnsi"/>
          <w:sz w:val="18"/>
          <w:szCs w:val="18"/>
          <w:lang w:eastAsia="es-ES"/>
        </w:rPr>
        <w:t>El espectro radioeléctrico se considera un recurso extremadamente escaso y de un valor estratégico sin precedentes en el contexto económico y tecnológico actual, de tal forma que es primordial garantizar su uso eficaz y eficiente. Por tal motivo, la gestión, administración y planificación del espectro se revela como una labor estratégica, con una enorme incidencia en los aspectos social y económico del país.</w:t>
      </w:r>
    </w:p>
    <w:p w14:paraId="17027985" w14:textId="77777777" w:rsidR="00BF4A51" w:rsidRPr="00BF4A51" w:rsidRDefault="0090249F" w:rsidP="00BF4A51">
      <w:pPr>
        <w:spacing w:before="240" w:line="240" w:lineRule="auto"/>
        <w:ind w:left="567" w:right="899"/>
        <w:jc w:val="both"/>
        <w:rPr>
          <w:rFonts w:ascii="ITC Avant Garde" w:hAnsi="ITC Avant Garde" w:cs="Arial"/>
          <w:sz w:val="18"/>
          <w:szCs w:val="18"/>
        </w:rPr>
      </w:pPr>
      <w:r w:rsidRPr="00BF4A51">
        <w:rPr>
          <w:rFonts w:ascii="ITC Avant Garde" w:hAnsi="ITC Avant Garde" w:cs="Arial"/>
          <w:sz w:val="18"/>
          <w:szCs w:val="18"/>
        </w:rPr>
        <w:t xml:space="preserve">En este sentido el Instituto se ha enfocado a la tarea de implementar una revisión integral de los procedimientos y herramientas asociados a la gestión, administración y planificación </w:t>
      </w:r>
      <w:r w:rsidRPr="00BF4A51">
        <w:rPr>
          <w:rFonts w:ascii="ITC Avant Garde" w:hAnsi="ITC Avant Garde" w:cs="Arial"/>
          <w:sz w:val="18"/>
          <w:szCs w:val="18"/>
        </w:rPr>
        <w:lastRenderedPageBreak/>
        <w:t xml:space="preserve">del espectro radioeléctrico, así como del uso que se da en nuestro país a las bandas de frecuencias relevantes con el objeto de </w:t>
      </w:r>
      <w:r w:rsidRPr="00BF4A51">
        <w:rPr>
          <w:rFonts w:ascii="ITC Avant Garde" w:hAnsi="ITC Avant Garde" w:cs="Calibri"/>
          <w:sz w:val="18"/>
          <w:szCs w:val="18"/>
        </w:rPr>
        <w:t>establecer una distribución óptima del espectro radioeléctrico, de tal modo que se logren acomodar los servicios y aplicaciones que mayor impacto tengan en beneficio del interés público, tomando ventaja de los últimos avances tecnológicos y del desarrollo de estándares armonizados a nivel mundial y regional</w:t>
      </w:r>
      <w:r w:rsidRPr="00BF4A51">
        <w:rPr>
          <w:rFonts w:ascii="ITC Avant Garde" w:hAnsi="ITC Avant Garde" w:cstheme="minorHAnsi"/>
          <w:sz w:val="18"/>
          <w:szCs w:val="18"/>
        </w:rPr>
        <w:t>.</w:t>
      </w:r>
    </w:p>
    <w:p w14:paraId="6F0DD817" w14:textId="77777777" w:rsidR="00BF4A51" w:rsidRPr="00BF4A51" w:rsidRDefault="0090249F" w:rsidP="00BF4A51">
      <w:pPr>
        <w:spacing w:before="240" w:line="240" w:lineRule="auto"/>
        <w:ind w:left="567" w:right="899"/>
        <w:jc w:val="both"/>
        <w:rPr>
          <w:rFonts w:ascii="ITC Avant Garde" w:hAnsi="ITC Avant Garde" w:cs="Arial"/>
          <w:sz w:val="18"/>
          <w:szCs w:val="18"/>
        </w:rPr>
      </w:pPr>
      <w:r w:rsidRPr="00BF4A51">
        <w:rPr>
          <w:rFonts w:ascii="ITC Avant Garde" w:hAnsi="ITC Avant Garde" w:cs="Arial"/>
          <w:sz w:val="18"/>
          <w:szCs w:val="18"/>
        </w:rPr>
        <w:t>Por tal motivo, se considera ineludible que algunos segmentos de frecuencias se sujeten a un proceso de reordenamiento en el mediano plazo, mediante el análisis y examinación minuciosa de diversos aspectos como: el uso actual que se tiene en México; la constante demanda de uso en la banda; las diversas oportunidades para los servicios existentes y proyectados; las tendencias y avances tecnológicos en materia de radiocomunicaciones; las economías de escala existentes para las diferentes tecnologías en este segmento; la flexibilidad y uso dinámico del espectro radioeléctrico; las tendencias internacionales sobre el uso de la banda; las mejores prácticas internacionales en materia de planificación espectral; las recomendaciones de la Unión Internacional de Telecomunicaciones (UIT), entre otros.</w:t>
      </w:r>
    </w:p>
    <w:p w14:paraId="0782D2B2" w14:textId="40E6BDD8" w:rsidR="00BF4A51" w:rsidRPr="00BF4A51" w:rsidRDefault="0090249F" w:rsidP="00BF4A51">
      <w:pPr>
        <w:spacing w:before="240" w:line="240" w:lineRule="auto"/>
        <w:ind w:left="567" w:right="899"/>
        <w:jc w:val="both"/>
        <w:rPr>
          <w:rFonts w:ascii="ITC Avant Garde" w:hAnsi="ITC Avant Garde" w:cs="Arial"/>
          <w:sz w:val="18"/>
          <w:szCs w:val="18"/>
        </w:rPr>
      </w:pPr>
      <w:r w:rsidRPr="00BF4A51">
        <w:rPr>
          <w:rFonts w:ascii="ITC Avant Garde" w:hAnsi="ITC Avant Garde" w:cs="Arial"/>
          <w:sz w:val="18"/>
          <w:szCs w:val="18"/>
        </w:rPr>
        <w:t xml:space="preserve">Ahora bien, en lo que respecta al uso actual de la banda de frecuencia que nos atañe, esta emplea un esquema de </w:t>
      </w:r>
      <w:proofErr w:type="spellStart"/>
      <w:r w:rsidRPr="00BF4A51">
        <w:rPr>
          <w:rFonts w:ascii="ITC Avant Garde" w:hAnsi="ITC Avant Garde" w:cs="Arial"/>
          <w:sz w:val="18"/>
          <w:szCs w:val="18"/>
        </w:rPr>
        <w:t>Duplexaje</w:t>
      </w:r>
      <w:proofErr w:type="spellEnd"/>
      <w:r w:rsidRPr="00BF4A51">
        <w:rPr>
          <w:rFonts w:ascii="ITC Avant Garde" w:hAnsi="ITC Avant Garde" w:cs="Arial"/>
          <w:sz w:val="18"/>
          <w:szCs w:val="18"/>
        </w:rPr>
        <w:t xml:space="preserve"> por División de Frecuencias (FDD) y se encuentra particionada en dos segmentos. El primer segmento 806</w:t>
      </w:r>
      <w:r w:rsidRPr="00BF4A51">
        <w:rPr>
          <w:rFonts w:ascii="Cambria Math" w:hAnsi="Cambria Math" w:cs="Cambria Math"/>
          <w:sz w:val="18"/>
          <w:szCs w:val="18"/>
        </w:rPr>
        <w:t>‐</w:t>
      </w:r>
      <w:r w:rsidRPr="00BF4A51">
        <w:rPr>
          <w:rFonts w:ascii="ITC Avant Garde" w:hAnsi="ITC Avant Garde" w:cs="Arial"/>
          <w:sz w:val="18"/>
          <w:szCs w:val="18"/>
        </w:rPr>
        <w:t>821/851</w:t>
      </w:r>
      <w:r w:rsidRPr="00BF4A51">
        <w:rPr>
          <w:rFonts w:ascii="Cambria Math" w:hAnsi="Cambria Math" w:cs="Cambria Math"/>
          <w:sz w:val="18"/>
          <w:szCs w:val="18"/>
        </w:rPr>
        <w:t>‐</w:t>
      </w:r>
      <w:r w:rsidRPr="00BF4A51">
        <w:rPr>
          <w:rFonts w:ascii="ITC Avant Garde" w:hAnsi="ITC Avant Garde" w:cs="Arial"/>
          <w:sz w:val="18"/>
          <w:szCs w:val="18"/>
        </w:rPr>
        <w:t xml:space="preserve">866 MHz que cuenta con un uso compartido entre tres tipos de servicios: i) Servicio Móvil de Radiocomunicación Especializada de Flotillas (SMREF), también conocido como radio </w:t>
      </w:r>
      <w:proofErr w:type="spellStart"/>
      <w:r w:rsidRPr="00BF4A51">
        <w:rPr>
          <w:rFonts w:ascii="ITC Avant Garde" w:hAnsi="ITC Avant Garde" w:cs="Arial"/>
          <w:sz w:val="18"/>
          <w:szCs w:val="18"/>
        </w:rPr>
        <w:t>troncalizado</w:t>
      </w:r>
      <w:proofErr w:type="spellEnd"/>
      <w:r w:rsidRPr="00BF4A51">
        <w:rPr>
          <w:rFonts w:ascii="ITC Avant Garde" w:hAnsi="ITC Avant Garde" w:cs="Arial"/>
          <w:sz w:val="18"/>
          <w:szCs w:val="18"/>
        </w:rPr>
        <w:t xml:space="preserve"> para uso comercial; ii) SMREF para uso público (tanto para aplicaciones generales como de misión crítica), y iii) Servicio Local Móvil (telefonía inalámbrica de banda angosta). El segundo segmento de 821</w:t>
      </w:r>
      <w:r w:rsidRPr="00BF4A51">
        <w:rPr>
          <w:rFonts w:ascii="Cambria Math" w:hAnsi="Cambria Math" w:cs="Cambria Math"/>
          <w:sz w:val="18"/>
          <w:szCs w:val="18"/>
        </w:rPr>
        <w:t>‐</w:t>
      </w:r>
      <w:r w:rsidRPr="00BF4A51">
        <w:rPr>
          <w:rFonts w:ascii="ITC Avant Garde" w:hAnsi="ITC Avant Garde" w:cs="Arial"/>
          <w:sz w:val="18"/>
          <w:szCs w:val="18"/>
        </w:rPr>
        <w:t>824/866</w:t>
      </w:r>
      <w:r w:rsidRPr="00BF4A51">
        <w:rPr>
          <w:rFonts w:ascii="Cambria Math" w:hAnsi="Cambria Math" w:cs="Cambria Math"/>
          <w:sz w:val="18"/>
          <w:szCs w:val="18"/>
        </w:rPr>
        <w:t>‐</w:t>
      </w:r>
      <w:r w:rsidRPr="00BF4A51">
        <w:rPr>
          <w:rFonts w:ascii="ITC Avant Garde" w:hAnsi="ITC Avant Garde" w:cs="Arial"/>
          <w:sz w:val="18"/>
          <w:szCs w:val="18"/>
        </w:rPr>
        <w:t>869 MHz es empleado por el SMREF para aplicaciones de seguridad p</w:t>
      </w:r>
      <w:r w:rsidRPr="00BF4A51">
        <w:rPr>
          <w:rFonts w:ascii="ITC Avant Garde" w:hAnsi="ITC Avant Garde" w:cs="ITC Avant Garde"/>
          <w:sz w:val="18"/>
          <w:szCs w:val="18"/>
        </w:rPr>
        <w:t>ú</w:t>
      </w:r>
      <w:r w:rsidRPr="00BF4A51">
        <w:rPr>
          <w:rFonts w:ascii="ITC Avant Garde" w:hAnsi="ITC Avant Garde" w:cs="Arial"/>
          <w:sz w:val="18"/>
          <w:szCs w:val="18"/>
        </w:rPr>
        <w:t>blica y de seguridad privada.</w:t>
      </w:r>
    </w:p>
    <w:p w14:paraId="78FC5D46" w14:textId="77777777" w:rsidR="00BF4A51" w:rsidRPr="00BF4A51" w:rsidRDefault="0090249F" w:rsidP="00BF4A51">
      <w:pPr>
        <w:spacing w:before="240" w:line="240" w:lineRule="auto"/>
        <w:ind w:left="567" w:right="899"/>
        <w:jc w:val="both"/>
        <w:rPr>
          <w:rFonts w:ascii="ITC Avant Garde" w:hAnsi="ITC Avant Garde" w:cs="Arial"/>
          <w:sz w:val="18"/>
          <w:szCs w:val="18"/>
        </w:rPr>
      </w:pPr>
      <w:r w:rsidRPr="00BF4A51">
        <w:rPr>
          <w:rFonts w:ascii="ITC Avant Garde" w:hAnsi="ITC Avant Garde" w:cs="Arial"/>
          <w:sz w:val="18"/>
          <w:szCs w:val="18"/>
        </w:rPr>
        <w:t>En este sentido, el estado de ocupación de esta banda de frecuencias es en extremo complejo debido a la diversidad de los usuarios y las áreas de cobertura otorgadas en su momento de manera heterogénea. Es por ello que en el ejercicio de una administración eficiente de espectro radioeléctrico y a efecto de lograr un balance óptimo de este recurso en la distribución de la banda de frecuencias, deben ser considerados segmentos específicos para servicios móviles de banda ancha y segmentos específicos para servicios móviles de banda angosta.</w:t>
      </w:r>
    </w:p>
    <w:p w14:paraId="1F96B75C" w14:textId="77777777" w:rsidR="00BF4A51" w:rsidRPr="00BF4A51" w:rsidRDefault="0090249F" w:rsidP="00BF4A51">
      <w:pPr>
        <w:spacing w:before="240" w:line="240" w:lineRule="auto"/>
        <w:ind w:left="567" w:right="899"/>
        <w:jc w:val="both"/>
        <w:rPr>
          <w:rFonts w:ascii="ITC Avant Garde" w:hAnsi="ITC Avant Garde" w:cs="Arial"/>
          <w:sz w:val="18"/>
          <w:szCs w:val="18"/>
        </w:rPr>
      </w:pPr>
      <w:r w:rsidRPr="00BF4A51">
        <w:rPr>
          <w:rFonts w:ascii="ITC Avant Garde" w:hAnsi="ITC Avant Garde" w:cs="Arial"/>
          <w:sz w:val="18"/>
          <w:szCs w:val="18"/>
        </w:rPr>
        <w:t>Por este motivo, dentro de las labores de planificación espectral desempeñadas por el Instituto, se considera fundamental que se cuente con espectro radioeléctrico disponible para aplicaciones de misión crítica, ya que dependen del uso del espectro radioeléctrico al ser el único medio de comunicación disponible que coadyuve a la seguridad en sus operaciones, la fiabilidad de sus comunicaciones, la interoperabilidad de sus equipos y la rapidez del establecimiento de comunicaciones en sus campos de actuación.</w:t>
      </w:r>
    </w:p>
    <w:p w14:paraId="7EDA9663" w14:textId="77777777" w:rsidR="00BF4A51" w:rsidRPr="00BF4A51" w:rsidRDefault="0090249F" w:rsidP="00BF4A51">
      <w:pPr>
        <w:spacing w:before="240" w:line="240" w:lineRule="auto"/>
        <w:ind w:left="567" w:right="899"/>
        <w:jc w:val="both"/>
        <w:rPr>
          <w:rFonts w:ascii="ITC Avant Garde" w:hAnsi="ITC Avant Garde"/>
          <w:sz w:val="18"/>
          <w:szCs w:val="18"/>
        </w:rPr>
      </w:pPr>
      <w:r w:rsidRPr="00BF4A51">
        <w:rPr>
          <w:rFonts w:ascii="ITC Avant Garde" w:hAnsi="ITC Avant Garde"/>
          <w:sz w:val="18"/>
          <w:szCs w:val="18"/>
        </w:rPr>
        <w:t xml:space="preserve">Adicionalmente, desde el punto de vista de las economías de escala, el segmento 806-814/851-859 MHz tiene un alto grado de armonización a nivel internacional para servicios de radio </w:t>
      </w:r>
      <w:proofErr w:type="spellStart"/>
      <w:r w:rsidRPr="00BF4A51">
        <w:rPr>
          <w:rFonts w:ascii="ITC Avant Garde" w:hAnsi="ITC Avant Garde"/>
          <w:sz w:val="18"/>
          <w:szCs w:val="18"/>
        </w:rPr>
        <w:t>troncalizado</w:t>
      </w:r>
      <w:proofErr w:type="spellEnd"/>
      <w:r w:rsidRPr="00BF4A51">
        <w:rPr>
          <w:rFonts w:ascii="ITC Avant Garde" w:hAnsi="ITC Avant Garde"/>
          <w:sz w:val="18"/>
          <w:szCs w:val="18"/>
        </w:rPr>
        <w:t>; esto conlleva a grandes beneficios como la reducción de costos de fabricación de los equipos, la disminución de los precios a los usuarios finales, el desarrollo de redes compatibles que presten servicios eficaces y el fomento de la interoperabilidad de equipos.</w:t>
      </w:r>
    </w:p>
    <w:p w14:paraId="776C28BB" w14:textId="77777777" w:rsidR="00BF4A51" w:rsidRPr="00BF4A51" w:rsidRDefault="0090249F" w:rsidP="00BF4A51">
      <w:pPr>
        <w:spacing w:before="240" w:line="240" w:lineRule="auto"/>
        <w:ind w:left="567" w:right="899"/>
        <w:jc w:val="both"/>
        <w:rPr>
          <w:rFonts w:ascii="ITC Avant Garde" w:hAnsi="ITC Avant Garde"/>
          <w:sz w:val="18"/>
          <w:szCs w:val="18"/>
        </w:rPr>
      </w:pPr>
      <w:r w:rsidRPr="00BF4A51">
        <w:rPr>
          <w:rFonts w:ascii="ITC Avant Garde" w:hAnsi="ITC Avant Garde"/>
          <w:sz w:val="18"/>
          <w:szCs w:val="18"/>
        </w:rPr>
        <w:t xml:space="preserve">Las aplicaciones del SMREF han alcanzado gran relevancia para las actividades de misión crítica, las cuales prevén y/o enfrentan perturbaciones del funcionamiento de la sociedad que supone una amenaza importante y generalizada para la vida humana, la salud, los bienes o el medio ambiente, ya sea provocada por un accidente, por la naturaleza o por el hombre, tanto de aparición súbita como resultado de un proceso de generación complejo de largo plazo. Bajo esta misma consideración, están las aplicaciones para el </w:t>
      </w:r>
      <w:r w:rsidRPr="00BF4A51">
        <w:rPr>
          <w:rFonts w:ascii="ITC Avant Garde" w:hAnsi="ITC Avant Garde"/>
          <w:sz w:val="18"/>
          <w:szCs w:val="18"/>
        </w:rPr>
        <w:lastRenderedPageBreak/>
        <w:t>seguimiento y control de procesos asociados a actividades estratégicas del Estado, como la extracción, procesamiento y conducción de hidrocarburos, así como a la generación, transmisión y distribución de energía eléctrica.</w:t>
      </w:r>
    </w:p>
    <w:p w14:paraId="04A70E05" w14:textId="77777777" w:rsidR="00BF4A51" w:rsidRPr="00BF4A51" w:rsidRDefault="0090249F" w:rsidP="00BF4A51">
      <w:pPr>
        <w:spacing w:before="240" w:line="240" w:lineRule="auto"/>
        <w:ind w:left="567" w:right="899"/>
        <w:jc w:val="both"/>
        <w:rPr>
          <w:rFonts w:ascii="ITC Avant Garde" w:hAnsi="ITC Avant Garde"/>
          <w:sz w:val="18"/>
          <w:szCs w:val="18"/>
        </w:rPr>
      </w:pPr>
      <w:r w:rsidRPr="00BF4A51">
        <w:rPr>
          <w:rFonts w:ascii="ITC Avant Garde" w:hAnsi="ITC Avant Garde"/>
          <w:sz w:val="18"/>
          <w:szCs w:val="18"/>
        </w:rPr>
        <w:t>En este sentido, de acuerdo con lo descrito previamente en materia de planificación del espectro, se prevé que el segmento 806-814/851</w:t>
      </w:r>
      <w:r w:rsidRPr="00BF4A51">
        <w:rPr>
          <w:rFonts w:ascii="Cambria Math" w:hAnsi="Cambria Math" w:cs="Cambria Math"/>
          <w:sz w:val="18"/>
          <w:szCs w:val="18"/>
        </w:rPr>
        <w:t>‐</w:t>
      </w:r>
      <w:r w:rsidRPr="00BF4A51">
        <w:rPr>
          <w:rFonts w:ascii="ITC Avant Garde" w:hAnsi="ITC Avant Garde"/>
          <w:sz w:val="18"/>
          <w:szCs w:val="18"/>
        </w:rPr>
        <w:t xml:space="preserve">859 MHz sea empleado para el servicio de radio </w:t>
      </w:r>
      <w:proofErr w:type="spellStart"/>
      <w:r w:rsidRPr="00BF4A51">
        <w:rPr>
          <w:rFonts w:ascii="ITC Avant Garde" w:hAnsi="ITC Avant Garde"/>
          <w:sz w:val="18"/>
          <w:szCs w:val="18"/>
        </w:rPr>
        <w:t>troncalizado</w:t>
      </w:r>
      <w:proofErr w:type="spellEnd"/>
      <w:r w:rsidRPr="00BF4A51">
        <w:rPr>
          <w:rFonts w:ascii="ITC Avant Garde" w:hAnsi="ITC Avant Garde"/>
          <w:sz w:val="18"/>
          <w:szCs w:val="18"/>
        </w:rPr>
        <w:t xml:space="preserve"> para aplicaciones de misi</w:t>
      </w:r>
      <w:r w:rsidRPr="00BF4A51">
        <w:rPr>
          <w:rFonts w:ascii="ITC Avant Garde" w:hAnsi="ITC Avant Garde" w:cs="ITC Avant Garde"/>
          <w:sz w:val="18"/>
          <w:szCs w:val="18"/>
        </w:rPr>
        <w:t>ó</w:t>
      </w:r>
      <w:r w:rsidRPr="00BF4A51">
        <w:rPr>
          <w:rFonts w:ascii="ITC Avant Garde" w:hAnsi="ITC Avant Garde"/>
          <w:sz w:val="18"/>
          <w:szCs w:val="18"/>
        </w:rPr>
        <w:t>n cr</w:t>
      </w:r>
      <w:r w:rsidRPr="00BF4A51">
        <w:rPr>
          <w:rFonts w:ascii="ITC Avant Garde" w:hAnsi="ITC Avant Garde" w:cs="ITC Avant Garde"/>
          <w:sz w:val="18"/>
          <w:szCs w:val="18"/>
        </w:rPr>
        <w:t>í</w:t>
      </w:r>
      <w:r w:rsidRPr="00BF4A51">
        <w:rPr>
          <w:rFonts w:ascii="ITC Avant Garde" w:hAnsi="ITC Avant Garde"/>
          <w:sz w:val="18"/>
          <w:szCs w:val="18"/>
        </w:rPr>
        <w:t>tica, en virtud de su impacto en la seguridad de la vida humana, as</w:t>
      </w:r>
      <w:r w:rsidRPr="00BF4A51">
        <w:rPr>
          <w:rFonts w:ascii="ITC Avant Garde" w:hAnsi="ITC Avant Garde" w:cs="ITC Avant Garde"/>
          <w:sz w:val="18"/>
          <w:szCs w:val="18"/>
        </w:rPr>
        <w:t>í</w:t>
      </w:r>
      <w:r w:rsidRPr="00BF4A51">
        <w:rPr>
          <w:rFonts w:ascii="ITC Avant Garde" w:hAnsi="ITC Avant Garde"/>
          <w:sz w:val="18"/>
          <w:szCs w:val="18"/>
        </w:rPr>
        <w:t xml:space="preserve"> como para garantizar la adecuada operación de infraestructura en sectores estratégicos.</w:t>
      </w:r>
    </w:p>
    <w:p w14:paraId="5E6CDE52" w14:textId="77777777" w:rsidR="00BF4A51" w:rsidRPr="00BF4A51" w:rsidRDefault="0090249F" w:rsidP="00BF4A51">
      <w:pPr>
        <w:spacing w:before="240" w:line="240" w:lineRule="auto"/>
        <w:ind w:left="567" w:right="899"/>
        <w:jc w:val="both"/>
        <w:rPr>
          <w:rFonts w:ascii="ITC Avant Garde" w:hAnsi="ITC Avant Garde"/>
          <w:sz w:val="18"/>
          <w:szCs w:val="18"/>
        </w:rPr>
      </w:pPr>
      <w:r w:rsidRPr="00BF4A51">
        <w:rPr>
          <w:rFonts w:ascii="ITC Avant Garde" w:hAnsi="ITC Avant Garde"/>
          <w:sz w:val="18"/>
          <w:szCs w:val="18"/>
        </w:rPr>
        <w:t>Aunado a lo anterior, el segmento 806-814/851</w:t>
      </w:r>
      <w:r w:rsidRPr="00BF4A51">
        <w:rPr>
          <w:rFonts w:ascii="Cambria Math" w:hAnsi="Cambria Math" w:cs="Cambria Math"/>
          <w:sz w:val="18"/>
          <w:szCs w:val="18"/>
        </w:rPr>
        <w:t>‐</w:t>
      </w:r>
      <w:r w:rsidRPr="00BF4A51">
        <w:rPr>
          <w:rFonts w:ascii="ITC Avant Garde" w:hAnsi="ITC Avant Garde"/>
          <w:sz w:val="18"/>
          <w:szCs w:val="18"/>
        </w:rPr>
        <w:t>859 MHz se incluy</w:t>
      </w:r>
      <w:r w:rsidRPr="00BF4A51">
        <w:rPr>
          <w:rFonts w:ascii="ITC Avant Garde" w:hAnsi="ITC Avant Garde" w:cs="ITC Avant Garde"/>
          <w:sz w:val="18"/>
          <w:szCs w:val="18"/>
        </w:rPr>
        <w:t>ó</w:t>
      </w:r>
      <w:r w:rsidRPr="00BF4A51">
        <w:rPr>
          <w:rFonts w:ascii="ITC Avant Garde" w:hAnsi="ITC Avant Garde"/>
          <w:sz w:val="18"/>
          <w:szCs w:val="18"/>
        </w:rPr>
        <w:t xml:space="preserve"> en el Programa Anual de Uso y Aprovechamiento de Bandas de Frecuencias (PABF) 2016, publicado en el Diario Oficial de la Federación el 21 de enero de 2016, con el objeto de informar sobre la disponibilidad de espectro que pudiera ser objeto a una concesión de uso público para el despliegue de redes de radio </w:t>
      </w:r>
      <w:proofErr w:type="spellStart"/>
      <w:r w:rsidRPr="00BF4A51">
        <w:rPr>
          <w:rFonts w:ascii="ITC Avant Garde" w:hAnsi="ITC Avant Garde"/>
          <w:sz w:val="18"/>
          <w:szCs w:val="18"/>
        </w:rPr>
        <w:t>troncalizado</w:t>
      </w:r>
      <w:proofErr w:type="spellEnd"/>
      <w:r w:rsidRPr="00BF4A51">
        <w:rPr>
          <w:rFonts w:ascii="ITC Avant Garde" w:hAnsi="ITC Avant Garde"/>
          <w:sz w:val="18"/>
          <w:szCs w:val="18"/>
        </w:rPr>
        <w:t xml:space="preserve"> para aplicaciones de misión crítica en todo el país.</w:t>
      </w:r>
    </w:p>
    <w:p w14:paraId="5420D3ED" w14:textId="77777777" w:rsidR="00BF4A51" w:rsidRPr="00BF4A51" w:rsidRDefault="0090249F" w:rsidP="00BF4A51">
      <w:pPr>
        <w:spacing w:before="240" w:line="240" w:lineRule="auto"/>
        <w:ind w:left="567" w:right="899"/>
        <w:jc w:val="both"/>
        <w:rPr>
          <w:rFonts w:ascii="ITC Avant Garde" w:hAnsi="ITC Avant Garde"/>
          <w:sz w:val="18"/>
          <w:szCs w:val="18"/>
        </w:rPr>
      </w:pPr>
      <w:r w:rsidRPr="00BF4A51">
        <w:rPr>
          <w:rFonts w:ascii="ITC Avant Garde" w:hAnsi="ITC Avant Garde"/>
          <w:sz w:val="18"/>
          <w:szCs w:val="18"/>
        </w:rPr>
        <w:t>Por otro lado, en lo que respecta a los servicios de banda ancha móvil, estos forman parte de una infraestructura fundamental que impacta directamente en la competitividad nacional de los países en la economía digital mundial. El desarrollo tecnológico de este tipo de redes, así como sus características de ubicuidad y movilidad, han generado un crecimiento exponencial y acelerado en el volumen de tráfico que transportan y, consecuentemente, en la demanda de recursos espectrales para satisfacer dicho incremento.</w:t>
      </w:r>
    </w:p>
    <w:p w14:paraId="61DAC8D0" w14:textId="77777777" w:rsidR="00BF4A51" w:rsidRPr="00BF4A51" w:rsidRDefault="0090249F" w:rsidP="00BF4A51">
      <w:pPr>
        <w:spacing w:before="240" w:line="240" w:lineRule="auto"/>
        <w:ind w:left="567" w:right="899"/>
        <w:jc w:val="both"/>
        <w:rPr>
          <w:rFonts w:ascii="ITC Avant Garde" w:eastAsia="Times New Roman" w:hAnsi="ITC Avant Garde" w:cstheme="minorHAnsi"/>
          <w:sz w:val="18"/>
          <w:szCs w:val="18"/>
          <w:lang w:eastAsia="es-ES"/>
        </w:rPr>
      </w:pPr>
      <w:r w:rsidRPr="00BF4A51">
        <w:rPr>
          <w:rFonts w:ascii="ITC Avant Garde" w:hAnsi="ITC Avant Garde"/>
          <w:sz w:val="18"/>
          <w:szCs w:val="18"/>
        </w:rPr>
        <w:t>Es por ello que e</w:t>
      </w:r>
      <w:r w:rsidRPr="00BF4A51">
        <w:rPr>
          <w:rFonts w:ascii="ITC Avant Garde" w:eastAsia="Times New Roman" w:hAnsi="ITC Avant Garde" w:cstheme="minorHAnsi"/>
          <w:sz w:val="18"/>
          <w:szCs w:val="18"/>
          <w:lang w:eastAsia="es-ES"/>
        </w:rPr>
        <w:t>l sector de Radiocomunicaciones de la Unión Internacional de Telecomunicaciones (UIT) realiza grandes esfuerzos para determinar las bandas del espectro que se consideran útiles para la provisión de servicios móviles de banda ancha, identificándolas como bandas destinadas para las Telecomunicaciones Móviles Internacionales (o IMT, por sus siglas en inglés).</w:t>
      </w:r>
    </w:p>
    <w:p w14:paraId="173863B8" w14:textId="77777777" w:rsidR="00BF4A51" w:rsidRPr="00BF4A51" w:rsidRDefault="0090249F" w:rsidP="00BF4A51">
      <w:pPr>
        <w:spacing w:before="240" w:line="240" w:lineRule="auto"/>
        <w:ind w:left="567" w:right="899"/>
        <w:jc w:val="both"/>
        <w:rPr>
          <w:rFonts w:ascii="ITC Avant Garde" w:eastAsia="Times New Roman" w:hAnsi="ITC Avant Garde" w:cstheme="minorHAnsi"/>
          <w:sz w:val="18"/>
          <w:szCs w:val="18"/>
          <w:lang w:eastAsia="es-ES"/>
        </w:rPr>
      </w:pPr>
      <w:r w:rsidRPr="00BF4A51">
        <w:rPr>
          <w:rFonts w:ascii="ITC Avant Garde" w:eastAsia="Times New Roman" w:hAnsi="ITC Avant Garde" w:cstheme="minorHAnsi"/>
          <w:sz w:val="18"/>
          <w:szCs w:val="18"/>
          <w:lang w:eastAsia="es-ES"/>
        </w:rPr>
        <w:t>En concordancia con lo anterior, el Instituto lleva a cabo un estudio continuo sobre el uso que se da en nuestro país a bandas del espectro radioeléctrico que han sido identificadas por la UIT para las IMT, con el fin de propiciar el uso eficiente del espectro radioeléctrico para la prestación de servicios móviles de banda ancha.</w:t>
      </w:r>
    </w:p>
    <w:p w14:paraId="2ECE49B1" w14:textId="77777777" w:rsidR="00BF4A51" w:rsidRPr="00BF4A51" w:rsidRDefault="0090249F" w:rsidP="00BF4A51">
      <w:pPr>
        <w:spacing w:before="240" w:line="240" w:lineRule="auto"/>
        <w:ind w:left="567" w:right="899"/>
        <w:jc w:val="both"/>
        <w:rPr>
          <w:rFonts w:ascii="ITC Avant Garde" w:eastAsia="Times New Roman" w:hAnsi="ITC Avant Garde" w:cstheme="minorHAnsi"/>
          <w:sz w:val="18"/>
          <w:szCs w:val="18"/>
          <w:lang w:eastAsia="es-ES"/>
        </w:rPr>
      </w:pPr>
      <w:r w:rsidRPr="00BF4A51">
        <w:rPr>
          <w:rFonts w:ascii="ITC Avant Garde" w:eastAsia="Times New Roman" w:hAnsi="ITC Avant Garde" w:cstheme="minorHAnsi"/>
          <w:sz w:val="18"/>
          <w:szCs w:val="18"/>
          <w:lang w:eastAsia="es-ES"/>
        </w:rPr>
        <w:t>Específicamente, el espectro comprendido por la banda 698</w:t>
      </w:r>
      <w:r w:rsidRPr="00BF4A51">
        <w:rPr>
          <w:rFonts w:ascii="Cambria Math" w:eastAsia="Times New Roman" w:hAnsi="Cambria Math" w:cs="Cambria Math"/>
          <w:sz w:val="18"/>
          <w:szCs w:val="18"/>
          <w:lang w:eastAsia="es-ES"/>
        </w:rPr>
        <w:t>‐</w:t>
      </w:r>
      <w:r w:rsidRPr="00BF4A51">
        <w:rPr>
          <w:rFonts w:ascii="ITC Avant Garde" w:eastAsia="Times New Roman" w:hAnsi="ITC Avant Garde" w:cstheme="minorHAnsi"/>
          <w:sz w:val="18"/>
          <w:szCs w:val="18"/>
          <w:lang w:eastAsia="es-ES"/>
        </w:rPr>
        <w:t>960 MHz ha sido identificado para su utilizaci</w:t>
      </w:r>
      <w:r w:rsidRPr="00BF4A51">
        <w:rPr>
          <w:rFonts w:ascii="ITC Avant Garde" w:eastAsia="Times New Roman" w:hAnsi="ITC Avant Garde" w:cs="ITC Avant Garde"/>
          <w:sz w:val="18"/>
          <w:szCs w:val="18"/>
          <w:lang w:eastAsia="es-ES"/>
        </w:rPr>
        <w:t>ó</w:t>
      </w:r>
      <w:r w:rsidRPr="00BF4A51">
        <w:rPr>
          <w:rFonts w:ascii="ITC Avant Garde" w:eastAsia="Times New Roman" w:hAnsi="ITC Avant Garde" w:cstheme="minorHAnsi"/>
          <w:sz w:val="18"/>
          <w:szCs w:val="18"/>
          <w:lang w:eastAsia="es-ES"/>
        </w:rPr>
        <w:t>n por las administraciones de la Regi</w:t>
      </w:r>
      <w:r w:rsidRPr="00BF4A51">
        <w:rPr>
          <w:rFonts w:ascii="ITC Avant Garde" w:eastAsia="Times New Roman" w:hAnsi="ITC Avant Garde" w:cs="ITC Avant Garde"/>
          <w:sz w:val="18"/>
          <w:szCs w:val="18"/>
          <w:lang w:eastAsia="es-ES"/>
        </w:rPr>
        <w:t>ó</w:t>
      </w:r>
      <w:r w:rsidRPr="00BF4A51">
        <w:rPr>
          <w:rFonts w:ascii="ITC Avant Garde" w:eastAsia="Times New Roman" w:hAnsi="ITC Avant Garde" w:cstheme="minorHAnsi"/>
          <w:sz w:val="18"/>
          <w:szCs w:val="18"/>
          <w:lang w:eastAsia="es-ES"/>
        </w:rPr>
        <w:t>n 2 que deseen introducir las IMT, esto debido a que sus caracter</w:t>
      </w:r>
      <w:r w:rsidRPr="00BF4A51">
        <w:rPr>
          <w:rFonts w:ascii="ITC Avant Garde" w:eastAsia="Times New Roman" w:hAnsi="ITC Avant Garde" w:cs="ITC Avant Garde"/>
          <w:sz w:val="18"/>
          <w:szCs w:val="18"/>
          <w:lang w:eastAsia="es-ES"/>
        </w:rPr>
        <w:t>í</w:t>
      </w:r>
      <w:r w:rsidRPr="00BF4A51">
        <w:rPr>
          <w:rFonts w:ascii="ITC Avant Garde" w:eastAsia="Times New Roman" w:hAnsi="ITC Avant Garde" w:cstheme="minorHAnsi"/>
          <w:sz w:val="18"/>
          <w:szCs w:val="18"/>
          <w:lang w:eastAsia="es-ES"/>
        </w:rPr>
        <w:t>sticas f</w:t>
      </w:r>
      <w:r w:rsidRPr="00BF4A51">
        <w:rPr>
          <w:rFonts w:ascii="ITC Avant Garde" w:eastAsia="Times New Roman" w:hAnsi="ITC Avant Garde" w:cs="ITC Avant Garde"/>
          <w:sz w:val="18"/>
          <w:szCs w:val="18"/>
          <w:lang w:eastAsia="es-ES"/>
        </w:rPr>
        <w:t>í</w:t>
      </w:r>
      <w:r w:rsidRPr="00BF4A51">
        <w:rPr>
          <w:rFonts w:ascii="ITC Avant Garde" w:eastAsia="Times New Roman" w:hAnsi="ITC Avant Garde" w:cstheme="minorHAnsi"/>
          <w:sz w:val="18"/>
          <w:szCs w:val="18"/>
          <w:lang w:eastAsia="es-ES"/>
        </w:rPr>
        <w:t>sicas, sus condiciones de propagaci</w:t>
      </w:r>
      <w:r w:rsidRPr="00BF4A51">
        <w:rPr>
          <w:rFonts w:ascii="ITC Avant Garde" w:eastAsia="Times New Roman" w:hAnsi="ITC Avant Garde" w:cs="ITC Avant Garde"/>
          <w:sz w:val="18"/>
          <w:szCs w:val="18"/>
          <w:lang w:eastAsia="es-ES"/>
        </w:rPr>
        <w:t>ó</w:t>
      </w:r>
      <w:r w:rsidRPr="00BF4A51">
        <w:rPr>
          <w:rFonts w:ascii="ITC Avant Garde" w:eastAsia="Times New Roman" w:hAnsi="ITC Avant Garde" w:cstheme="minorHAnsi"/>
          <w:sz w:val="18"/>
          <w:szCs w:val="18"/>
          <w:lang w:eastAsia="es-ES"/>
        </w:rPr>
        <w:t>n y la cantidad de espectro contiguo permiten la prestación de servicios móviles de banda ancha con niveles de cobertura y calidad que posibilitan el uso eficiente de los dispositivos móviles. Es por esto que la banda 698</w:t>
      </w:r>
      <w:r w:rsidRPr="00BF4A51">
        <w:rPr>
          <w:rFonts w:ascii="Cambria Math" w:eastAsia="Times New Roman" w:hAnsi="Cambria Math" w:cs="Cambria Math"/>
          <w:sz w:val="18"/>
          <w:szCs w:val="18"/>
          <w:lang w:eastAsia="es-ES"/>
        </w:rPr>
        <w:t>‐</w:t>
      </w:r>
      <w:r w:rsidRPr="00BF4A51">
        <w:rPr>
          <w:rFonts w:ascii="ITC Avant Garde" w:eastAsia="Times New Roman" w:hAnsi="ITC Avant Garde" w:cstheme="minorHAnsi"/>
          <w:sz w:val="18"/>
          <w:szCs w:val="18"/>
          <w:lang w:eastAsia="es-ES"/>
        </w:rPr>
        <w:t>960 MHz se ha convertido en una de las bandas con mayor impulso y armonizaci</w:t>
      </w:r>
      <w:r w:rsidRPr="00BF4A51">
        <w:rPr>
          <w:rFonts w:ascii="ITC Avant Garde" w:eastAsia="Times New Roman" w:hAnsi="ITC Avant Garde" w:cs="ITC Avant Garde"/>
          <w:sz w:val="18"/>
          <w:szCs w:val="18"/>
          <w:lang w:eastAsia="es-ES"/>
        </w:rPr>
        <w:t>ó</w:t>
      </w:r>
      <w:r w:rsidRPr="00BF4A51">
        <w:rPr>
          <w:rFonts w:ascii="ITC Avant Garde" w:eastAsia="Times New Roman" w:hAnsi="ITC Avant Garde" w:cstheme="minorHAnsi"/>
          <w:sz w:val="18"/>
          <w:szCs w:val="18"/>
          <w:lang w:eastAsia="es-ES"/>
        </w:rPr>
        <w:t>n para su utilización por tecnologías móviles de banda ancha.</w:t>
      </w:r>
    </w:p>
    <w:p w14:paraId="520F582C" w14:textId="77777777" w:rsidR="00BF4A51" w:rsidRPr="00BF4A51" w:rsidRDefault="008E7220" w:rsidP="00BF4A51">
      <w:pPr>
        <w:spacing w:before="240" w:line="240" w:lineRule="auto"/>
        <w:ind w:left="567" w:right="899"/>
        <w:jc w:val="both"/>
        <w:rPr>
          <w:rFonts w:ascii="ITC Avant Garde" w:eastAsia="Times New Roman" w:hAnsi="ITC Avant Garde" w:cstheme="minorHAnsi"/>
          <w:sz w:val="18"/>
          <w:szCs w:val="18"/>
          <w:lang w:eastAsia="es-ES"/>
        </w:rPr>
      </w:pPr>
      <w:r w:rsidRPr="00BF4A51">
        <w:rPr>
          <w:rFonts w:ascii="ITC Avant Garde" w:eastAsia="Times New Roman" w:hAnsi="ITC Avant Garde" w:cstheme="minorHAnsi"/>
          <w:sz w:val="18"/>
          <w:szCs w:val="18"/>
          <w:lang w:eastAsia="es-ES"/>
        </w:rPr>
        <w:t>D</w:t>
      </w:r>
      <w:r w:rsidR="0090249F" w:rsidRPr="00BF4A51">
        <w:rPr>
          <w:rFonts w:ascii="ITC Avant Garde" w:eastAsia="Times New Roman" w:hAnsi="ITC Avant Garde" w:cstheme="minorHAnsi"/>
          <w:sz w:val="18"/>
          <w:szCs w:val="18"/>
          <w:lang w:eastAsia="es-ES"/>
        </w:rPr>
        <w:t xml:space="preserve">esde el punto de vista de los trabajos de estandarización, el 3GPP (3rd </w:t>
      </w:r>
      <w:proofErr w:type="spellStart"/>
      <w:r w:rsidR="0090249F" w:rsidRPr="00BF4A51">
        <w:rPr>
          <w:rFonts w:ascii="ITC Avant Garde" w:eastAsia="Times New Roman" w:hAnsi="ITC Avant Garde" w:cstheme="minorHAnsi"/>
          <w:sz w:val="18"/>
          <w:szCs w:val="18"/>
          <w:lang w:eastAsia="es-ES"/>
        </w:rPr>
        <w:t>Generation</w:t>
      </w:r>
      <w:proofErr w:type="spellEnd"/>
      <w:r w:rsidR="0090249F" w:rsidRPr="00BF4A51">
        <w:rPr>
          <w:rFonts w:ascii="ITC Avant Garde" w:eastAsia="Times New Roman" w:hAnsi="ITC Avant Garde" w:cstheme="minorHAnsi"/>
          <w:sz w:val="18"/>
          <w:szCs w:val="18"/>
          <w:lang w:eastAsia="es-ES"/>
        </w:rPr>
        <w:t xml:space="preserve"> </w:t>
      </w:r>
      <w:proofErr w:type="spellStart"/>
      <w:r w:rsidR="0090249F" w:rsidRPr="00BF4A51">
        <w:rPr>
          <w:rFonts w:ascii="ITC Avant Garde" w:eastAsia="Times New Roman" w:hAnsi="ITC Avant Garde" w:cstheme="minorHAnsi"/>
          <w:sz w:val="18"/>
          <w:szCs w:val="18"/>
          <w:lang w:eastAsia="es-ES"/>
        </w:rPr>
        <w:t>Partnership</w:t>
      </w:r>
      <w:proofErr w:type="spellEnd"/>
      <w:r w:rsidR="0090249F" w:rsidRPr="00BF4A51">
        <w:rPr>
          <w:rFonts w:ascii="ITC Avant Garde" w:eastAsia="Times New Roman" w:hAnsi="ITC Avant Garde" w:cstheme="minorHAnsi"/>
          <w:sz w:val="18"/>
          <w:szCs w:val="18"/>
          <w:lang w:eastAsia="es-ES"/>
        </w:rPr>
        <w:t xml:space="preserve"> Project) ha incluido el segmento 814</w:t>
      </w:r>
      <w:r w:rsidR="0090249F" w:rsidRPr="00BF4A51">
        <w:rPr>
          <w:rFonts w:ascii="Cambria Math" w:eastAsia="Times New Roman" w:hAnsi="Cambria Math" w:cs="Cambria Math"/>
          <w:sz w:val="18"/>
          <w:szCs w:val="18"/>
          <w:lang w:eastAsia="es-ES"/>
        </w:rPr>
        <w:t>‐</w:t>
      </w:r>
      <w:r w:rsidR="0090249F" w:rsidRPr="00BF4A51">
        <w:rPr>
          <w:rFonts w:ascii="ITC Avant Garde" w:eastAsia="Times New Roman" w:hAnsi="ITC Avant Garde" w:cstheme="minorHAnsi"/>
          <w:sz w:val="18"/>
          <w:szCs w:val="18"/>
          <w:lang w:eastAsia="es-ES"/>
        </w:rPr>
        <w:t>824/859</w:t>
      </w:r>
      <w:r w:rsidR="0090249F" w:rsidRPr="00BF4A51">
        <w:rPr>
          <w:rFonts w:ascii="Cambria Math" w:eastAsia="Times New Roman" w:hAnsi="Cambria Math" w:cs="Cambria Math"/>
          <w:sz w:val="18"/>
          <w:szCs w:val="18"/>
          <w:lang w:eastAsia="es-ES"/>
        </w:rPr>
        <w:t>‐</w:t>
      </w:r>
      <w:r w:rsidR="0090249F" w:rsidRPr="00BF4A51">
        <w:rPr>
          <w:rFonts w:ascii="ITC Avant Garde" w:eastAsia="Times New Roman" w:hAnsi="ITC Avant Garde" w:cstheme="minorHAnsi"/>
          <w:sz w:val="18"/>
          <w:szCs w:val="18"/>
          <w:lang w:eastAsia="es-ES"/>
        </w:rPr>
        <w:t>869 MHz dentro de sus est</w:t>
      </w:r>
      <w:r w:rsidR="0090249F" w:rsidRPr="00BF4A51">
        <w:rPr>
          <w:rFonts w:ascii="ITC Avant Garde" w:eastAsia="Times New Roman" w:hAnsi="ITC Avant Garde" w:cs="ITC Avant Garde"/>
          <w:sz w:val="18"/>
          <w:szCs w:val="18"/>
          <w:lang w:eastAsia="es-ES"/>
        </w:rPr>
        <w:t>á</w:t>
      </w:r>
      <w:r w:rsidR="0090249F" w:rsidRPr="00BF4A51">
        <w:rPr>
          <w:rFonts w:ascii="ITC Avant Garde" w:eastAsia="Times New Roman" w:hAnsi="ITC Avant Garde" w:cstheme="minorHAnsi"/>
          <w:sz w:val="18"/>
          <w:szCs w:val="18"/>
          <w:lang w:eastAsia="es-ES"/>
        </w:rPr>
        <w:t>ndares para tecnolog</w:t>
      </w:r>
      <w:r w:rsidR="0090249F" w:rsidRPr="00BF4A51">
        <w:rPr>
          <w:rFonts w:ascii="ITC Avant Garde" w:eastAsia="Times New Roman" w:hAnsi="ITC Avant Garde" w:cs="ITC Avant Garde"/>
          <w:sz w:val="18"/>
          <w:szCs w:val="18"/>
          <w:lang w:eastAsia="es-ES"/>
        </w:rPr>
        <w:t>í</w:t>
      </w:r>
      <w:r w:rsidR="0090249F" w:rsidRPr="00BF4A51">
        <w:rPr>
          <w:rFonts w:ascii="ITC Avant Garde" w:eastAsia="Times New Roman" w:hAnsi="ITC Avant Garde" w:cstheme="minorHAnsi"/>
          <w:sz w:val="18"/>
          <w:szCs w:val="18"/>
          <w:lang w:eastAsia="es-ES"/>
        </w:rPr>
        <w:t>as de banda ancha móvil, los cuales aprovechan ventajas como la de contar con espectro contiguo para tales aplicaciones y la flexibilidad en las opciones de segmentación de la banda.</w:t>
      </w:r>
    </w:p>
    <w:p w14:paraId="41A70B8D" w14:textId="77777777" w:rsidR="00BF4A51" w:rsidRPr="00BF4A51" w:rsidRDefault="0090249F" w:rsidP="00BF4A51">
      <w:pPr>
        <w:spacing w:before="240" w:line="240" w:lineRule="auto"/>
        <w:ind w:left="567" w:right="899"/>
        <w:jc w:val="both"/>
        <w:rPr>
          <w:rFonts w:ascii="ITC Avant Garde" w:eastAsia="Times New Roman" w:hAnsi="ITC Avant Garde" w:cstheme="minorHAnsi"/>
          <w:sz w:val="18"/>
          <w:szCs w:val="18"/>
          <w:lang w:eastAsia="es-ES"/>
        </w:rPr>
      </w:pPr>
      <w:r w:rsidRPr="00BF4A51">
        <w:rPr>
          <w:rFonts w:ascii="ITC Avant Garde" w:hAnsi="ITC Avant Garde" w:cs="Arial"/>
          <w:sz w:val="18"/>
          <w:szCs w:val="18"/>
        </w:rPr>
        <w:t>Es por esto que</w:t>
      </w:r>
      <w:r w:rsidRPr="00BF4A51">
        <w:rPr>
          <w:rFonts w:ascii="ITC Avant Garde" w:hAnsi="ITC Avant Garde"/>
          <w:sz w:val="18"/>
          <w:szCs w:val="18"/>
        </w:rPr>
        <w:t xml:space="preserve"> se prevé que el segmento 814-824/859</w:t>
      </w:r>
      <w:r w:rsidRPr="00BF4A51">
        <w:rPr>
          <w:rFonts w:ascii="Cambria Math" w:hAnsi="Cambria Math" w:cs="Cambria Math"/>
          <w:sz w:val="18"/>
          <w:szCs w:val="18"/>
        </w:rPr>
        <w:t>‐</w:t>
      </w:r>
      <w:r w:rsidRPr="00BF4A51">
        <w:rPr>
          <w:rFonts w:ascii="ITC Avant Garde" w:hAnsi="ITC Avant Garde"/>
          <w:sz w:val="18"/>
          <w:szCs w:val="18"/>
        </w:rPr>
        <w:t xml:space="preserve">869 MHz sea empleado para la introducción de las IMT, </w:t>
      </w:r>
      <w:r w:rsidRPr="00BF4A51">
        <w:rPr>
          <w:rFonts w:ascii="ITC Avant Garde" w:eastAsia="Times New Roman" w:hAnsi="ITC Avant Garde" w:cstheme="minorHAnsi"/>
          <w:sz w:val="18"/>
          <w:szCs w:val="18"/>
          <w:lang w:eastAsia="es-ES"/>
        </w:rPr>
        <w:t xml:space="preserve">con el objetivo de promover el acceso a los servicios de banda ancha móvil así como fomentar el uso eficaz del espectro radioeléctrico. </w:t>
      </w:r>
    </w:p>
    <w:p w14:paraId="179C5638" w14:textId="77777777" w:rsidR="00BF4A51" w:rsidRPr="00BF4A51" w:rsidRDefault="0090249F" w:rsidP="00BF4A51">
      <w:pPr>
        <w:spacing w:before="240" w:line="240" w:lineRule="auto"/>
        <w:ind w:left="567" w:right="899"/>
        <w:jc w:val="both"/>
        <w:rPr>
          <w:rFonts w:ascii="ITC Avant Garde" w:eastAsia="Times New Roman" w:hAnsi="ITC Avant Garde" w:cstheme="minorHAnsi"/>
          <w:sz w:val="18"/>
          <w:szCs w:val="18"/>
          <w:lang w:eastAsia="es-ES"/>
        </w:rPr>
      </w:pPr>
      <w:r w:rsidRPr="00BF4A51">
        <w:rPr>
          <w:rFonts w:ascii="ITC Avant Garde" w:hAnsi="ITC Avant Garde" w:cs="Arial"/>
          <w:sz w:val="18"/>
          <w:szCs w:val="18"/>
        </w:rPr>
        <w:lastRenderedPageBreak/>
        <w:t xml:space="preserve">En virtud de todo lo expuesto anteriormente, dentro de las labores que se están llevando a cabo en este Instituto en materia de </w:t>
      </w:r>
      <w:r w:rsidRPr="00BF4A51">
        <w:rPr>
          <w:rFonts w:ascii="ITC Avant Garde" w:hAnsi="ITC Avant Garde"/>
          <w:sz w:val="18"/>
          <w:szCs w:val="18"/>
        </w:rPr>
        <w:t>planificación del espectro, se determina que conforme a la solicitud del requirente objeto del presente análisis, así como de la solicitud original, el segmento 806-814/851</w:t>
      </w:r>
      <w:r w:rsidRPr="00BF4A51">
        <w:rPr>
          <w:rFonts w:ascii="Cambria Math" w:hAnsi="Cambria Math" w:cs="Cambria Math"/>
          <w:sz w:val="18"/>
          <w:szCs w:val="18"/>
        </w:rPr>
        <w:t>‐</w:t>
      </w:r>
      <w:r w:rsidRPr="00BF4A51">
        <w:rPr>
          <w:rFonts w:ascii="ITC Avant Garde" w:hAnsi="ITC Avant Garde"/>
          <w:sz w:val="18"/>
          <w:szCs w:val="18"/>
        </w:rPr>
        <w:t xml:space="preserve">859 MHz no se considera viable para la operación de los servicios mencionados en las solicitudes. Por otro lado, </w:t>
      </w:r>
      <w:r w:rsidRPr="00BF4A51">
        <w:rPr>
          <w:rFonts w:ascii="ITC Avant Garde" w:eastAsia="Times New Roman" w:hAnsi="ITC Avant Garde" w:cstheme="minorHAnsi"/>
          <w:sz w:val="18"/>
          <w:szCs w:val="18"/>
          <w:lang w:eastAsia="es-ES"/>
        </w:rPr>
        <w:t>el segmento 814</w:t>
      </w:r>
      <w:r w:rsidRPr="00BF4A51">
        <w:rPr>
          <w:rFonts w:ascii="Cambria Math" w:eastAsia="Times New Roman" w:hAnsi="Cambria Math" w:cs="Cambria Math"/>
          <w:sz w:val="18"/>
          <w:szCs w:val="18"/>
          <w:lang w:eastAsia="es-ES"/>
        </w:rPr>
        <w:t>‐</w:t>
      </w:r>
      <w:r w:rsidRPr="00BF4A51">
        <w:rPr>
          <w:rFonts w:ascii="ITC Avant Garde" w:eastAsia="Times New Roman" w:hAnsi="ITC Avant Garde" w:cstheme="minorHAnsi"/>
          <w:sz w:val="18"/>
          <w:szCs w:val="18"/>
          <w:lang w:eastAsia="es-ES"/>
        </w:rPr>
        <w:t>824/859</w:t>
      </w:r>
      <w:r w:rsidRPr="00BF4A51">
        <w:rPr>
          <w:rFonts w:ascii="Cambria Math" w:eastAsia="Times New Roman" w:hAnsi="Cambria Math" w:cs="Cambria Math"/>
          <w:sz w:val="18"/>
          <w:szCs w:val="18"/>
          <w:lang w:eastAsia="es-ES"/>
        </w:rPr>
        <w:t>‐</w:t>
      </w:r>
      <w:r w:rsidRPr="00BF4A51">
        <w:rPr>
          <w:rFonts w:ascii="ITC Avant Garde" w:eastAsia="Times New Roman" w:hAnsi="ITC Avant Garde" w:cstheme="minorHAnsi"/>
          <w:sz w:val="18"/>
          <w:szCs w:val="18"/>
          <w:lang w:eastAsia="es-ES"/>
        </w:rPr>
        <w:t xml:space="preserve">869 MHz se considera propicio para la </w:t>
      </w:r>
      <w:r w:rsidR="008E7220" w:rsidRPr="00BF4A51">
        <w:rPr>
          <w:rFonts w:ascii="ITC Avant Garde" w:eastAsia="Times New Roman" w:hAnsi="ITC Avant Garde" w:cstheme="minorHAnsi"/>
          <w:sz w:val="18"/>
          <w:szCs w:val="18"/>
          <w:lang w:eastAsia="es-ES"/>
        </w:rPr>
        <w:t xml:space="preserve">operación de </w:t>
      </w:r>
      <w:r w:rsidRPr="00BF4A51">
        <w:rPr>
          <w:rFonts w:ascii="ITC Avant Garde" w:eastAsia="Times New Roman" w:hAnsi="ITC Avant Garde" w:cstheme="minorHAnsi"/>
          <w:sz w:val="18"/>
          <w:szCs w:val="18"/>
          <w:lang w:eastAsia="es-ES"/>
        </w:rPr>
        <w:t>perfiles de cuarta generaci</w:t>
      </w:r>
      <w:r w:rsidRPr="00BF4A51">
        <w:rPr>
          <w:rFonts w:ascii="ITC Avant Garde" w:eastAsia="Times New Roman" w:hAnsi="ITC Avant Garde" w:cs="ITC Avant Garde"/>
          <w:sz w:val="18"/>
          <w:szCs w:val="18"/>
          <w:lang w:eastAsia="es-ES"/>
        </w:rPr>
        <w:t>ó</w:t>
      </w:r>
      <w:r w:rsidRPr="00BF4A51">
        <w:rPr>
          <w:rFonts w:ascii="ITC Avant Garde" w:eastAsia="Times New Roman" w:hAnsi="ITC Avant Garde" w:cstheme="minorHAnsi"/>
          <w:sz w:val="18"/>
          <w:szCs w:val="18"/>
          <w:lang w:eastAsia="es-ES"/>
        </w:rPr>
        <w:t>n, por lo que esto es consistente con las acciones de planificación determinadas por el Instituto.</w:t>
      </w:r>
      <w:r w:rsidR="007E0435" w:rsidRPr="00BF4A51">
        <w:rPr>
          <w:rFonts w:ascii="ITC Avant Garde" w:eastAsia="Times New Roman" w:hAnsi="ITC Avant Garde" w:cstheme="minorHAnsi"/>
          <w:sz w:val="18"/>
          <w:szCs w:val="18"/>
          <w:lang w:eastAsia="es-ES"/>
        </w:rPr>
        <w:t xml:space="preserve"> Asimismo</w:t>
      </w:r>
      <w:r w:rsidRPr="00BF4A51">
        <w:rPr>
          <w:rFonts w:ascii="ITC Avant Garde" w:eastAsia="Times New Roman" w:hAnsi="ITC Avant Garde" w:cstheme="minorHAnsi"/>
          <w:sz w:val="18"/>
          <w:szCs w:val="18"/>
          <w:lang w:eastAsia="es-ES"/>
        </w:rPr>
        <w:t>, se recomienda que el solicitante opere con perfiles tecnológicos de última generación en el segmento 814</w:t>
      </w:r>
      <w:r w:rsidRPr="00BF4A51">
        <w:rPr>
          <w:rFonts w:ascii="Cambria Math" w:eastAsia="Times New Roman" w:hAnsi="Cambria Math" w:cs="Cambria Math"/>
          <w:sz w:val="18"/>
          <w:szCs w:val="18"/>
          <w:lang w:eastAsia="es-ES"/>
        </w:rPr>
        <w:t>‐</w:t>
      </w:r>
      <w:r w:rsidRPr="00BF4A51">
        <w:rPr>
          <w:rFonts w:ascii="ITC Avant Garde" w:eastAsia="Times New Roman" w:hAnsi="ITC Avant Garde" w:cstheme="minorHAnsi"/>
          <w:sz w:val="18"/>
          <w:szCs w:val="18"/>
          <w:lang w:eastAsia="es-ES"/>
        </w:rPr>
        <w:t>824/859</w:t>
      </w:r>
      <w:r w:rsidRPr="00BF4A51">
        <w:rPr>
          <w:rFonts w:ascii="Cambria Math" w:eastAsia="Times New Roman" w:hAnsi="Cambria Math" w:cs="Cambria Math"/>
          <w:sz w:val="18"/>
          <w:szCs w:val="18"/>
          <w:lang w:eastAsia="es-ES"/>
        </w:rPr>
        <w:t>‐</w:t>
      </w:r>
      <w:r w:rsidRPr="00BF4A51">
        <w:rPr>
          <w:rFonts w:ascii="ITC Avant Garde" w:eastAsia="Times New Roman" w:hAnsi="ITC Avant Garde" w:cstheme="minorHAnsi"/>
          <w:sz w:val="18"/>
          <w:szCs w:val="18"/>
          <w:lang w:eastAsia="es-ES"/>
        </w:rPr>
        <w:t xml:space="preserve">869 MHz </w:t>
      </w:r>
      <w:r w:rsidRPr="00BF4A51">
        <w:rPr>
          <w:rFonts w:ascii="ITC Avant Garde" w:eastAsia="Times New Roman" w:hAnsi="ITC Avant Garde" w:cstheme="minorHAnsi"/>
          <w:b/>
          <w:sz w:val="18"/>
          <w:szCs w:val="18"/>
          <w:lang w:eastAsia="es-ES"/>
        </w:rPr>
        <w:t>a más tardar en enero de 2019</w:t>
      </w:r>
      <w:r w:rsidRPr="00BF4A51">
        <w:rPr>
          <w:rFonts w:ascii="ITC Avant Garde" w:eastAsia="Times New Roman" w:hAnsi="ITC Avant Garde" w:cstheme="minorHAnsi"/>
          <w:sz w:val="18"/>
          <w:szCs w:val="18"/>
          <w:lang w:eastAsia="es-ES"/>
        </w:rPr>
        <w:t>, lo anterior con el objeto de introducir las IMT y proveer servicios de banda ancha móvil al usuario final.</w:t>
      </w:r>
    </w:p>
    <w:p w14:paraId="1D17E3E6" w14:textId="4073053A" w:rsidR="0090249F" w:rsidRPr="00BF4A51" w:rsidRDefault="0090249F" w:rsidP="00BF4A51">
      <w:pPr>
        <w:spacing w:before="240" w:line="240" w:lineRule="auto"/>
        <w:ind w:left="567" w:right="899"/>
        <w:jc w:val="both"/>
        <w:rPr>
          <w:rFonts w:ascii="ITC Avant Garde" w:hAnsi="ITC Avant Garde" w:cs="Arial"/>
          <w:b/>
          <w:iCs/>
          <w:sz w:val="18"/>
          <w:szCs w:val="18"/>
        </w:rPr>
      </w:pPr>
      <w:r w:rsidRPr="00BF4A51">
        <w:rPr>
          <w:rFonts w:ascii="ITC Avant Garde" w:hAnsi="ITC Avant Garde" w:cs="Arial"/>
          <w:b/>
          <w:iCs/>
          <w:sz w:val="18"/>
          <w:szCs w:val="18"/>
        </w:rPr>
        <w:t>5. Reordenamiento de la Banda: 806-824/851-869 MHz</w:t>
      </w:r>
    </w:p>
    <w:p w14:paraId="32634C20" w14:textId="77777777" w:rsidR="00BF4A51" w:rsidRPr="00BF4A51" w:rsidRDefault="0090249F" w:rsidP="00BF4A51">
      <w:pPr>
        <w:spacing w:before="240" w:line="240" w:lineRule="auto"/>
        <w:ind w:left="567" w:right="899"/>
        <w:jc w:val="both"/>
        <w:rPr>
          <w:rFonts w:ascii="ITC Avant Garde" w:hAnsi="ITC Avant Garde" w:cs="Arial"/>
          <w:b/>
          <w:iCs/>
          <w:sz w:val="18"/>
          <w:szCs w:val="18"/>
        </w:rPr>
      </w:pPr>
      <w:r w:rsidRPr="00BF4A51">
        <w:rPr>
          <w:rFonts w:ascii="ITC Avant Garde" w:hAnsi="ITC Avant Garde" w:cs="Arial"/>
          <w:b/>
          <w:iCs/>
          <w:sz w:val="18"/>
          <w:szCs w:val="18"/>
        </w:rPr>
        <w:t>5.1. Acciones de Optimización del Espectro</w:t>
      </w:r>
    </w:p>
    <w:p w14:paraId="21D626E1" w14:textId="77777777" w:rsidR="00BF4A51" w:rsidRPr="00BF4A51" w:rsidRDefault="0090249F" w:rsidP="00BF4A51">
      <w:pPr>
        <w:spacing w:before="240" w:line="240" w:lineRule="auto"/>
        <w:ind w:left="567" w:right="899"/>
        <w:contextualSpacing/>
        <w:jc w:val="both"/>
        <w:rPr>
          <w:rFonts w:ascii="ITC Avant Garde" w:eastAsia="Times New Roman" w:hAnsi="ITC Avant Garde" w:cstheme="minorHAnsi"/>
          <w:sz w:val="18"/>
          <w:szCs w:val="18"/>
          <w:lang w:eastAsia="es-ES"/>
        </w:rPr>
      </w:pPr>
      <w:r w:rsidRPr="00BF4A51">
        <w:rPr>
          <w:rFonts w:ascii="ITC Avant Garde" w:eastAsia="Times New Roman" w:hAnsi="ITC Avant Garde" w:cstheme="minorHAnsi"/>
          <w:sz w:val="18"/>
          <w:szCs w:val="18"/>
          <w:lang w:eastAsia="es-ES"/>
        </w:rPr>
        <w:t>Es primordial garantizar el uso eficaz y eficiente del espectro radioeléctrico, por lo que se considera fundamental que el país cuente con espectro disponible para nuevas aplicaciones y para la utilización creciente de las aplicaciones existentes.</w:t>
      </w:r>
    </w:p>
    <w:p w14:paraId="66A94642" w14:textId="77777777" w:rsidR="00BF4A51" w:rsidRPr="00BF4A51" w:rsidRDefault="0090249F" w:rsidP="00BF4A51">
      <w:pPr>
        <w:spacing w:before="240" w:line="240" w:lineRule="auto"/>
        <w:ind w:left="567" w:right="899"/>
        <w:contextualSpacing/>
        <w:jc w:val="both"/>
        <w:rPr>
          <w:rFonts w:ascii="ITC Avant Garde" w:eastAsia="Times New Roman" w:hAnsi="ITC Avant Garde" w:cstheme="minorHAnsi"/>
          <w:sz w:val="18"/>
          <w:szCs w:val="18"/>
          <w:lang w:eastAsia="es-ES"/>
        </w:rPr>
      </w:pPr>
      <w:r w:rsidRPr="00BF4A51">
        <w:rPr>
          <w:rFonts w:ascii="ITC Avant Garde" w:eastAsia="Times New Roman" w:hAnsi="ITC Avant Garde" w:cstheme="minorHAnsi"/>
          <w:sz w:val="18"/>
          <w:szCs w:val="18"/>
          <w:lang w:eastAsia="es-ES"/>
        </w:rPr>
        <w:t>Con el objeto de lograr esto, la reorganización resulta una actividad necesaria. Es así que la UIT a través de su recomendación UIT-R SM. 1603-1 establece que ‘La reorganización del espectro es un conjunto de medidas administrativas, financieras y técnicas para liberar, completa o parcialmente, las asignaciones de frecuencia existentes de usuarios o equipos en una determinada banda de frecuencias. Posteriormente la banda de frecuencias podrá atribuirse al mismo servicio o a servicios diferentes. Estas medidas pueden aplicarse a corto, medio o largo plazo´.</w:t>
      </w:r>
    </w:p>
    <w:p w14:paraId="2459F154" w14:textId="77777777" w:rsidR="00BF4A51" w:rsidRPr="00BF4A51" w:rsidRDefault="0090249F" w:rsidP="00BF4A51">
      <w:pPr>
        <w:spacing w:before="240" w:line="240" w:lineRule="auto"/>
        <w:ind w:left="567" w:right="899"/>
        <w:contextualSpacing/>
        <w:jc w:val="both"/>
        <w:rPr>
          <w:rFonts w:ascii="ITC Avant Garde" w:eastAsia="Times New Roman" w:hAnsi="ITC Avant Garde" w:cstheme="minorHAnsi"/>
          <w:sz w:val="18"/>
          <w:szCs w:val="18"/>
          <w:lang w:eastAsia="es-ES"/>
        </w:rPr>
      </w:pPr>
      <w:r w:rsidRPr="00BF4A51">
        <w:rPr>
          <w:rFonts w:ascii="ITC Avant Garde" w:eastAsia="Times New Roman" w:hAnsi="ITC Avant Garde" w:cstheme="minorHAnsi"/>
          <w:sz w:val="18"/>
          <w:szCs w:val="18"/>
          <w:lang w:eastAsia="es-ES"/>
        </w:rPr>
        <w:t>En este sentido, en las bandas de frecuencias que estén sujetas a una reorganización, se tendrán que considerar cambios sustanciales como el uso de la banda de frecuencias para fines distintos a los originalmente establecidos, la determinación de espectro para nuevas aplicaciones, aumentar la disponibilidad de espectro para el uso de las aplicaciones existentes, evitar que haya un uso atomizado del espectro, llevar a cabo una adecuada organización del espectro, entre otros. Asimismo, en estos procesos es de vital importancia considerar la importancia de la interacción de diversas medidas tanto técnicas como administrativas.</w:t>
      </w:r>
    </w:p>
    <w:p w14:paraId="751CBBEF" w14:textId="77777777" w:rsidR="00BF4A51" w:rsidRPr="00BF4A51" w:rsidRDefault="0090249F" w:rsidP="00BF4A51">
      <w:pPr>
        <w:spacing w:before="240" w:line="240" w:lineRule="auto"/>
        <w:ind w:left="567" w:right="899"/>
        <w:contextualSpacing/>
        <w:jc w:val="both"/>
        <w:rPr>
          <w:rFonts w:ascii="ITC Avant Garde" w:eastAsia="Times New Roman" w:hAnsi="ITC Avant Garde" w:cstheme="minorHAnsi"/>
          <w:sz w:val="18"/>
          <w:szCs w:val="18"/>
          <w:lang w:eastAsia="es-ES"/>
        </w:rPr>
      </w:pPr>
      <w:r w:rsidRPr="00BF4A51">
        <w:rPr>
          <w:rFonts w:ascii="ITC Avant Garde" w:eastAsia="Times New Roman" w:hAnsi="ITC Avant Garde" w:cstheme="minorHAnsi"/>
          <w:sz w:val="18"/>
          <w:szCs w:val="18"/>
          <w:lang w:eastAsia="es-ES"/>
        </w:rPr>
        <w:t xml:space="preserve">Cabe destacar que para poder determinar la viabilidad de reorganizar una banda de frecuencias, se debe analizar el uso que se le da a este recurso para identificar si este es el más óptimo, y evaluar la posibilidad de diseñar e implementar estrategias que sugieran un mejor uso y la explotación adecuada del mismo. </w:t>
      </w:r>
    </w:p>
    <w:p w14:paraId="677694D8" w14:textId="77777777" w:rsidR="00BF4A51" w:rsidRPr="00BF4A51" w:rsidRDefault="0090249F" w:rsidP="00BF4A51">
      <w:pPr>
        <w:spacing w:before="240" w:line="240" w:lineRule="auto"/>
        <w:ind w:left="567" w:right="899"/>
        <w:contextualSpacing/>
        <w:jc w:val="both"/>
        <w:rPr>
          <w:rFonts w:ascii="ITC Avant Garde" w:eastAsia="Times New Roman" w:hAnsi="ITC Avant Garde" w:cstheme="minorHAnsi"/>
          <w:sz w:val="18"/>
          <w:szCs w:val="18"/>
          <w:lang w:eastAsia="es-ES"/>
        </w:rPr>
      </w:pPr>
      <w:r w:rsidRPr="00BF4A51">
        <w:rPr>
          <w:rFonts w:ascii="ITC Avant Garde" w:eastAsia="Times New Roman" w:hAnsi="ITC Avant Garde" w:cstheme="minorHAnsi"/>
          <w:sz w:val="18"/>
          <w:szCs w:val="18"/>
          <w:lang w:eastAsia="es-ES"/>
        </w:rPr>
        <w:t xml:space="preserve">Particularmente en la banda 806-824/851-869 MHz, resulta necesario llevar a cabo diversas acciones de optimización del espectro radioeléctrico conforme lo establecido en el </w:t>
      </w:r>
      <w:r w:rsidRPr="00BF4A51">
        <w:rPr>
          <w:rFonts w:ascii="ITC Avant Garde" w:eastAsia="Times New Roman" w:hAnsi="ITC Avant Garde" w:cstheme="minorHAnsi"/>
          <w:b/>
          <w:sz w:val="18"/>
          <w:szCs w:val="18"/>
          <w:lang w:eastAsia="es-ES"/>
        </w:rPr>
        <w:t>Plan de la Banda 806-824/851-869</w:t>
      </w:r>
      <w:r w:rsidR="008E7220" w:rsidRPr="00BF4A51">
        <w:rPr>
          <w:rFonts w:ascii="ITC Avant Garde" w:eastAsia="Times New Roman" w:hAnsi="ITC Avant Garde" w:cstheme="minorHAnsi"/>
          <w:b/>
          <w:sz w:val="18"/>
          <w:szCs w:val="18"/>
          <w:lang w:eastAsia="es-ES"/>
        </w:rPr>
        <w:t xml:space="preserve"> </w:t>
      </w:r>
      <w:r w:rsidRPr="00BF4A51">
        <w:rPr>
          <w:rFonts w:ascii="ITC Avant Garde" w:eastAsia="Times New Roman" w:hAnsi="ITC Avant Garde" w:cstheme="minorHAnsi"/>
          <w:b/>
          <w:sz w:val="18"/>
          <w:szCs w:val="18"/>
          <w:lang w:eastAsia="es-ES"/>
        </w:rPr>
        <w:t>MHz</w:t>
      </w:r>
      <w:r w:rsidRPr="00BF4A51">
        <w:rPr>
          <w:rFonts w:ascii="ITC Avant Garde" w:eastAsia="Times New Roman" w:hAnsi="ITC Avant Garde" w:cstheme="minorHAnsi"/>
          <w:sz w:val="18"/>
          <w:szCs w:val="18"/>
          <w:lang w:eastAsia="es-ES"/>
        </w:rPr>
        <w:t>, en el cual se determina que el segmento 806-814/851-859 MHz será utilizado para la provisión del servicio de banda angosta de uso público limitado a aplicaciones de misión crítica, mientras que el segmento 814-824/859-869 MHz será destinado para la provisión del servicio móvil de banda ancha para uso comercial.</w:t>
      </w:r>
    </w:p>
    <w:p w14:paraId="285BF530" w14:textId="6A62B2E9" w:rsidR="00B42D5C" w:rsidRPr="00BF4A51" w:rsidRDefault="0090249F" w:rsidP="00BF4A51">
      <w:pPr>
        <w:spacing w:before="240" w:line="240" w:lineRule="auto"/>
        <w:ind w:left="567" w:right="899"/>
        <w:contextualSpacing/>
        <w:jc w:val="both"/>
        <w:rPr>
          <w:rFonts w:ascii="ITC Avant Garde" w:eastAsia="Times New Roman" w:hAnsi="ITC Avant Garde" w:cstheme="minorHAnsi"/>
          <w:color w:val="000000" w:themeColor="text1"/>
          <w:sz w:val="18"/>
          <w:szCs w:val="18"/>
          <w:lang w:eastAsia="es-ES"/>
        </w:rPr>
        <w:sectPr w:rsidR="00B42D5C" w:rsidRPr="00BF4A51" w:rsidSect="00AA2293">
          <w:pgSz w:w="12240" w:h="15840"/>
          <w:pgMar w:top="2268" w:right="1418" w:bottom="567" w:left="1418" w:header="709" w:footer="709" w:gutter="0"/>
          <w:cols w:space="708"/>
          <w:docGrid w:linePitch="360"/>
        </w:sectPr>
      </w:pPr>
      <w:r w:rsidRPr="00BF4A51">
        <w:rPr>
          <w:rFonts w:ascii="ITC Avant Garde" w:eastAsia="Times New Roman" w:hAnsi="ITC Avant Garde" w:cstheme="minorHAnsi"/>
          <w:color w:val="000000" w:themeColor="text1"/>
          <w:sz w:val="18"/>
          <w:szCs w:val="18"/>
          <w:lang w:eastAsia="es-ES"/>
        </w:rPr>
        <w:t>Para el caso que nos ocupa y en lo que respecta al servicio móvil de banda ancha, es importante resaltar que el estándar de una tecnología de última generación como lo es LTE</w:t>
      </w:r>
    </w:p>
    <w:p w14:paraId="68BAA040" w14:textId="77777777" w:rsidR="00BF4A51" w:rsidRPr="00BF4A51" w:rsidRDefault="0090249F" w:rsidP="00BF4A51">
      <w:pPr>
        <w:spacing w:before="240" w:line="240" w:lineRule="auto"/>
        <w:ind w:left="567" w:right="899"/>
        <w:contextualSpacing/>
        <w:jc w:val="both"/>
        <w:rPr>
          <w:rFonts w:ascii="ITC Avant Garde" w:eastAsia="Times New Roman" w:hAnsi="ITC Avant Garde" w:cstheme="minorHAnsi"/>
          <w:color w:val="000000" w:themeColor="text1"/>
          <w:sz w:val="18"/>
          <w:szCs w:val="18"/>
          <w:lang w:eastAsia="es-ES"/>
        </w:rPr>
      </w:pPr>
      <w:r w:rsidRPr="00BF4A51">
        <w:rPr>
          <w:rStyle w:val="Refdenotaalpie"/>
          <w:rFonts w:ascii="ITC Avant Garde" w:eastAsia="Times New Roman" w:hAnsi="ITC Avant Garde" w:cstheme="minorHAnsi"/>
          <w:color w:val="000000" w:themeColor="text1"/>
          <w:sz w:val="18"/>
          <w:szCs w:val="18"/>
          <w:lang w:eastAsia="es-ES"/>
        </w:rPr>
        <w:lastRenderedPageBreak/>
        <w:footnoteReference w:id="3"/>
      </w:r>
      <w:r w:rsidRPr="00BF4A51">
        <w:rPr>
          <w:rFonts w:ascii="ITC Avant Garde" w:eastAsia="Times New Roman" w:hAnsi="ITC Avant Garde" w:cstheme="minorHAnsi"/>
          <w:color w:val="000000" w:themeColor="text1"/>
          <w:sz w:val="18"/>
          <w:szCs w:val="18"/>
          <w:lang w:eastAsia="es-ES"/>
        </w:rPr>
        <w:t>, requiere contar con anchos de banda contiguos para poder brindar un funcionamiento óptimo de la tecnología y en consecuencia tener la posibilidad de proveer mayores capacidades de transferencia de datos al usuario final.</w:t>
      </w:r>
    </w:p>
    <w:p w14:paraId="2DA722DC" w14:textId="77777777" w:rsidR="00BF4A51" w:rsidRPr="00BF4A51" w:rsidRDefault="0090249F" w:rsidP="00BF4A51">
      <w:pPr>
        <w:spacing w:before="240" w:line="240" w:lineRule="auto"/>
        <w:ind w:left="567" w:right="899"/>
        <w:contextualSpacing/>
        <w:jc w:val="both"/>
        <w:rPr>
          <w:rFonts w:ascii="ITC Avant Garde" w:eastAsia="Times New Roman" w:hAnsi="ITC Avant Garde" w:cstheme="minorHAnsi"/>
          <w:sz w:val="18"/>
          <w:szCs w:val="18"/>
          <w:lang w:eastAsia="es-ES"/>
        </w:rPr>
      </w:pPr>
      <w:r w:rsidRPr="00BF4A51">
        <w:rPr>
          <w:rFonts w:ascii="ITC Avant Garde" w:eastAsia="Times New Roman" w:hAnsi="ITC Avant Garde" w:cstheme="minorHAnsi"/>
          <w:sz w:val="18"/>
          <w:szCs w:val="18"/>
          <w:lang w:eastAsia="es-ES"/>
        </w:rPr>
        <w:t xml:space="preserve">Es así que derivado del análisis de la presente solicitud, se observa que el solicitante cuenta con una tenencia de espectro en la banda de 800 MHz, que en bloques contiguos y conforme a los estándares tecnológicos, le permitirá proveer tasas de transferencia de datos suficientes para servicios de banda ancha móvil a través de tecnologías de última generación, lo cual es compatible tanto con las acciones establecidas en el Plan para la </w:t>
      </w:r>
      <w:r w:rsidRPr="00BF4A51">
        <w:rPr>
          <w:rFonts w:ascii="ITC Avant Garde" w:eastAsia="Times New Roman" w:hAnsi="ITC Avant Garde" w:cstheme="minorHAnsi"/>
          <w:sz w:val="18"/>
          <w:szCs w:val="18"/>
          <w:lang w:eastAsia="es-ES"/>
        </w:rPr>
        <w:lastRenderedPageBreak/>
        <w:t>banda 800 MHz, como con la distribución de frecuencias determinadas en el protocolo bilateral entre Estados Unidos de América y México para la operación en esta banda de frecuencias.</w:t>
      </w:r>
    </w:p>
    <w:p w14:paraId="6014E16F" w14:textId="77777777" w:rsidR="00BF4A51" w:rsidRPr="00BF4A51" w:rsidRDefault="0090249F" w:rsidP="00BF4A51">
      <w:pPr>
        <w:spacing w:before="240" w:line="240" w:lineRule="auto"/>
        <w:ind w:left="567" w:right="899"/>
        <w:contextualSpacing/>
        <w:jc w:val="both"/>
        <w:rPr>
          <w:rFonts w:ascii="ITC Avant Garde" w:eastAsia="Times New Roman" w:hAnsi="ITC Avant Garde" w:cstheme="minorHAnsi"/>
          <w:sz w:val="18"/>
          <w:szCs w:val="18"/>
          <w:lang w:eastAsia="es-ES"/>
        </w:rPr>
      </w:pPr>
      <w:r w:rsidRPr="00BF4A51">
        <w:rPr>
          <w:rFonts w:ascii="ITC Avant Garde" w:eastAsia="Times New Roman" w:hAnsi="ITC Avant Garde" w:cstheme="minorHAnsi"/>
          <w:sz w:val="18"/>
          <w:szCs w:val="18"/>
          <w:lang w:eastAsia="es-ES"/>
        </w:rPr>
        <w:t xml:space="preserve">Debido a esto, se observa indispensable que el solicitante ejecute diversos cambios de frecuencias en la banda con la finalidad de reordenar de manera contigua la totalidad del espectro concesionado en el segmento 814-824/859-869 MHz, mismo que se ha previsto para la introducción de servicios móviles de banda ancha. </w:t>
      </w:r>
    </w:p>
    <w:p w14:paraId="13A958C5" w14:textId="77777777" w:rsidR="00BF4A51" w:rsidRPr="00BF4A51" w:rsidRDefault="0090249F" w:rsidP="00BF4A51">
      <w:pPr>
        <w:spacing w:before="240" w:line="240" w:lineRule="auto"/>
        <w:ind w:left="567" w:right="899"/>
        <w:jc w:val="both"/>
        <w:rPr>
          <w:rFonts w:ascii="ITC Avant Garde" w:eastAsia="Times New Roman" w:hAnsi="ITC Avant Garde" w:cstheme="minorHAnsi"/>
          <w:sz w:val="18"/>
          <w:szCs w:val="18"/>
          <w:lang w:eastAsia="es-ES"/>
        </w:rPr>
      </w:pPr>
      <w:r w:rsidRPr="00BF4A51">
        <w:rPr>
          <w:rFonts w:ascii="ITC Avant Garde" w:eastAsia="Times New Roman" w:hAnsi="ITC Avant Garde" w:cstheme="minorHAnsi"/>
          <w:sz w:val="18"/>
          <w:szCs w:val="18"/>
          <w:lang w:eastAsia="es-ES"/>
        </w:rPr>
        <w:t>En esta tesitura, con el propósito de realizar un uso eficiente de la banda de frecuencias 806-824/851-869 MHz, tanto para la prestación del servicio móvil de banda ancha, como para la prestación de servicios de banda angosta de misión crítica, el 01 de septiembre de 2016, el Pleno del Instituto en su XXVII Sesión Ordinaria aprobó el Acuerdo de Reordenamiento en la banda de 800 MHz, en el cual se establecen los procesos asociados al reordenamiento de la banda de frecuencias en cuestión, indicándose los diferentes movimientos que se tienen previstos para cada uno de los usuarios o tenedores de espectro, señalando las bandas de origen y destino para cada uno de los casos.</w:t>
      </w:r>
    </w:p>
    <w:p w14:paraId="5EB4A30B" w14:textId="77777777" w:rsidR="00BF4A51" w:rsidRPr="00BF4A51" w:rsidRDefault="0090249F" w:rsidP="00BF4A51">
      <w:pPr>
        <w:autoSpaceDE w:val="0"/>
        <w:autoSpaceDN w:val="0"/>
        <w:adjustRightInd w:val="0"/>
        <w:spacing w:before="240" w:line="240" w:lineRule="auto"/>
        <w:ind w:left="567" w:right="473"/>
        <w:jc w:val="both"/>
        <w:rPr>
          <w:rFonts w:ascii="ITC Avant Garde" w:hAnsi="ITC Avant Garde"/>
          <w:b/>
          <w:iCs/>
          <w:sz w:val="18"/>
          <w:szCs w:val="18"/>
        </w:rPr>
      </w:pPr>
      <w:r w:rsidRPr="00BF4A51">
        <w:rPr>
          <w:rFonts w:ascii="ITC Avant Garde" w:hAnsi="ITC Avant Garde"/>
          <w:b/>
          <w:iCs/>
          <w:sz w:val="18"/>
          <w:szCs w:val="18"/>
        </w:rPr>
        <w:t>5.2. Consideraciones del reordenamiento</w:t>
      </w:r>
    </w:p>
    <w:p w14:paraId="6BCC3D88" w14:textId="77777777" w:rsidR="00BF4A51" w:rsidRPr="00BF4A51" w:rsidRDefault="0090249F" w:rsidP="00BF4A51">
      <w:pPr>
        <w:spacing w:before="240" w:line="240" w:lineRule="auto"/>
        <w:ind w:left="567" w:right="899"/>
        <w:contextualSpacing/>
        <w:jc w:val="both"/>
        <w:rPr>
          <w:rFonts w:ascii="ITC Avant Garde" w:eastAsia="Times New Roman" w:hAnsi="ITC Avant Garde" w:cstheme="minorHAnsi"/>
          <w:sz w:val="18"/>
          <w:szCs w:val="18"/>
          <w:lang w:eastAsia="es-ES"/>
        </w:rPr>
      </w:pPr>
      <w:r w:rsidRPr="00BF4A51">
        <w:rPr>
          <w:rFonts w:ascii="ITC Avant Garde" w:eastAsia="Times New Roman" w:hAnsi="ITC Avant Garde" w:cstheme="minorHAnsi"/>
          <w:bCs/>
          <w:sz w:val="18"/>
          <w:szCs w:val="18"/>
          <w:lang w:eastAsia="es-ES"/>
        </w:rPr>
        <w:t>El título de concesión objeto de la presente solicitud, contiene condiciones que correspondían al Marco Jurídico vigente en la fecha de su otorgamiento, tal es el caso de las condiciones relacionadas con la cobertura, donde se consideraron distintos criterios en los títulos habilitantes como: áreas básicas de servicios (ABS), rutas carreteras y/o la ubicación geográfica de las estaciones transmisoras</w:t>
      </w:r>
      <w:r w:rsidRPr="00BF4A51">
        <w:rPr>
          <w:rFonts w:ascii="ITC Avant Garde" w:eastAsia="Times New Roman" w:hAnsi="ITC Avant Garde" w:cstheme="minorHAnsi"/>
          <w:sz w:val="18"/>
          <w:szCs w:val="18"/>
          <w:lang w:eastAsia="es-ES"/>
        </w:rPr>
        <w:t>.</w:t>
      </w:r>
    </w:p>
    <w:p w14:paraId="58B663F0" w14:textId="77777777" w:rsidR="00BF4A51" w:rsidRPr="00BF4A51" w:rsidRDefault="0090249F" w:rsidP="00BF4A51">
      <w:pPr>
        <w:spacing w:before="240" w:line="240" w:lineRule="auto"/>
        <w:ind w:left="567" w:right="899"/>
        <w:contextualSpacing/>
        <w:jc w:val="both"/>
        <w:rPr>
          <w:rFonts w:ascii="ITC Avant Garde" w:eastAsia="Times New Roman" w:hAnsi="ITC Avant Garde" w:cstheme="minorHAnsi"/>
          <w:sz w:val="18"/>
          <w:szCs w:val="18"/>
          <w:lang w:eastAsia="es-ES"/>
        </w:rPr>
      </w:pPr>
      <w:r w:rsidRPr="00BF4A51">
        <w:rPr>
          <w:rFonts w:ascii="ITC Avant Garde" w:eastAsia="Times New Roman" w:hAnsi="ITC Avant Garde" w:cstheme="minorHAnsi"/>
          <w:sz w:val="18"/>
          <w:szCs w:val="18"/>
          <w:lang w:eastAsia="es-ES"/>
        </w:rPr>
        <w:t xml:space="preserve">Es así que los títulos habilitantes con estas condiciones, están sujetos a una interpretación que no permite definir de manera precisa el contorno sobre el área en la cual se presta el servicio. </w:t>
      </w:r>
      <w:r w:rsidRPr="00BF4A51">
        <w:rPr>
          <w:rFonts w:ascii="ITC Avant Garde" w:eastAsia="Times New Roman" w:hAnsi="ITC Avant Garde" w:cstheme="minorHAnsi"/>
          <w:bCs/>
          <w:sz w:val="18"/>
          <w:szCs w:val="18"/>
          <w:lang w:eastAsia="es-ES"/>
        </w:rPr>
        <w:t xml:space="preserve">Lo anterior conlleva a proponer una definición de cobertura de cada título de concesión, de tal manera que se brinde certeza sobre el contorno preciso de las áreas de cobertura, y así </w:t>
      </w:r>
      <w:r w:rsidRPr="00BF4A51">
        <w:rPr>
          <w:rFonts w:ascii="ITC Avant Garde" w:eastAsia="Times New Roman" w:hAnsi="ITC Avant Garde" w:cstheme="minorHAnsi"/>
          <w:sz w:val="18"/>
          <w:szCs w:val="18"/>
          <w:lang w:eastAsia="es-ES"/>
        </w:rPr>
        <w:t>eliminar potenciales incertidumbres respecto a su definición.</w:t>
      </w:r>
    </w:p>
    <w:p w14:paraId="6673A234" w14:textId="77777777" w:rsidR="00BF4A51" w:rsidRPr="00BF4A51" w:rsidRDefault="0090249F" w:rsidP="00BF4A51">
      <w:pPr>
        <w:spacing w:before="240" w:line="240" w:lineRule="auto"/>
        <w:ind w:left="567" w:right="899"/>
        <w:contextualSpacing/>
        <w:jc w:val="both"/>
        <w:rPr>
          <w:rFonts w:ascii="ITC Avant Garde" w:eastAsia="Times New Roman" w:hAnsi="ITC Avant Garde" w:cstheme="minorHAnsi"/>
          <w:sz w:val="18"/>
          <w:szCs w:val="18"/>
          <w:lang w:eastAsia="es-ES"/>
        </w:rPr>
      </w:pPr>
      <w:r w:rsidRPr="00BF4A51" w:rsidDel="007B3E01">
        <w:rPr>
          <w:rFonts w:ascii="ITC Avant Garde" w:eastAsia="Times New Roman" w:hAnsi="ITC Avant Garde" w:cstheme="minorHAnsi"/>
          <w:sz w:val="18"/>
          <w:szCs w:val="18"/>
          <w:lang w:eastAsia="es-ES"/>
        </w:rPr>
        <w:t>Debi</w:t>
      </w:r>
      <w:r w:rsidRPr="00BF4A51">
        <w:rPr>
          <w:rFonts w:ascii="ITC Avant Garde" w:eastAsia="Times New Roman" w:hAnsi="ITC Avant Garde" w:cstheme="minorHAnsi"/>
          <w:sz w:val="18"/>
          <w:szCs w:val="18"/>
          <w:lang w:eastAsia="es-ES"/>
        </w:rPr>
        <w:t>do a lo anterior, y para este caso de análisis en particular, se propone la adopción de</w:t>
      </w:r>
      <w:r w:rsidRPr="00BF4A51" w:rsidDel="007B3E01">
        <w:rPr>
          <w:rFonts w:ascii="ITC Avant Garde" w:eastAsia="Times New Roman" w:hAnsi="ITC Avant Garde" w:cstheme="minorHAnsi"/>
          <w:sz w:val="18"/>
          <w:szCs w:val="18"/>
          <w:lang w:eastAsia="es-ES"/>
        </w:rPr>
        <w:t xml:space="preserve"> criterios </w:t>
      </w:r>
      <w:r w:rsidRPr="00BF4A51">
        <w:rPr>
          <w:rFonts w:ascii="ITC Avant Garde" w:eastAsia="Times New Roman" w:hAnsi="ITC Avant Garde" w:cstheme="minorHAnsi"/>
          <w:sz w:val="18"/>
          <w:szCs w:val="18"/>
          <w:lang w:eastAsia="es-ES"/>
        </w:rPr>
        <w:t>con</w:t>
      </w:r>
      <w:r w:rsidRPr="00BF4A51" w:rsidDel="007B3E01">
        <w:rPr>
          <w:rFonts w:ascii="ITC Avant Garde" w:eastAsia="Times New Roman" w:hAnsi="ITC Avant Garde" w:cstheme="minorHAnsi"/>
          <w:sz w:val="18"/>
          <w:szCs w:val="18"/>
          <w:lang w:eastAsia="es-ES"/>
        </w:rPr>
        <w:t xml:space="preserve"> la finalidad de eliminar ambigüedades respecto la cobertura exacta de cada uno de los títulos, especialmente aquellas definidas po</w:t>
      </w:r>
      <w:r w:rsidRPr="00BF4A51">
        <w:rPr>
          <w:rFonts w:ascii="ITC Avant Garde" w:eastAsia="Times New Roman" w:hAnsi="ITC Avant Garde" w:cstheme="minorHAnsi"/>
          <w:sz w:val="18"/>
          <w:szCs w:val="18"/>
          <w:lang w:eastAsia="es-ES"/>
        </w:rPr>
        <w:t xml:space="preserve">r ruta carretera. </w:t>
      </w:r>
      <w:r w:rsidRPr="00BF4A51" w:rsidDel="007B3E01">
        <w:rPr>
          <w:rFonts w:ascii="ITC Avant Garde" w:eastAsia="Times New Roman" w:hAnsi="ITC Avant Garde" w:cstheme="minorHAnsi"/>
          <w:sz w:val="18"/>
          <w:szCs w:val="18"/>
          <w:lang w:eastAsia="es-ES"/>
        </w:rPr>
        <w:t>De este modo, se propone que</w:t>
      </w:r>
      <w:r w:rsidRPr="00BF4A51">
        <w:rPr>
          <w:rFonts w:ascii="ITC Avant Garde" w:eastAsia="Times New Roman" w:hAnsi="ITC Avant Garde" w:cstheme="minorHAnsi"/>
          <w:sz w:val="18"/>
          <w:szCs w:val="18"/>
          <w:lang w:eastAsia="es-ES"/>
        </w:rPr>
        <w:t xml:space="preserve"> la unidad mínima para establecer la cobertura de cada uno de los concesionarios sea el </w:t>
      </w:r>
      <w:r w:rsidRPr="00BF4A51">
        <w:rPr>
          <w:rFonts w:ascii="ITC Avant Garde" w:eastAsia="Times New Roman" w:hAnsi="ITC Avant Garde" w:cstheme="minorHAnsi"/>
          <w:b/>
          <w:sz w:val="18"/>
          <w:szCs w:val="18"/>
          <w:lang w:eastAsia="es-ES"/>
        </w:rPr>
        <w:t xml:space="preserve">municipio, </w:t>
      </w:r>
      <w:r w:rsidRPr="00BF4A51">
        <w:rPr>
          <w:rFonts w:ascii="ITC Avant Garde" w:eastAsia="Times New Roman" w:hAnsi="ITC Avant Garde" w:cstheme="minorHAnsi"/>
          <w:sz w:val="18"/>
          <w:szCs w:val="18"/>
          <w:lang w:eastAsia="es-ES"/>
        </w:rPr>
        <w:t>bajo la consideración de que se mantendrá dicha área de cobertura aún ante las modificaciones que pudiera sufrir el municipio, derivado de cambios de nombre y/o división geográfica del municipio en más entidades municipales, conforme a lo indicado en los últimos archivos publicados por el INEGI.</w:t>
      </w:r>
    </w:p>
    <w:p w14:paraId="332D5206" w14:textId="77777777" w:rsidR="00BF4A51" w:rsidRPr="00BF4A51" w:rsidRDefault="0090249F" w:rsidP="00BF4A51">
      <w:pPr>
        <w:spacing w:before="240" w:line="240" w:lineRule="auto"/>
        <w:ind w:left="567" w:right="899"/>
        <w:contextualSpacing/>
        <w:jc w:val="both"/>
        <w:rPr>
          <w:rFonts w:ascii="ITC Avant Garde" w:eastAsia="Times New Roman" w:hAnsi="ITC Avant Garde" w:cstheme="minorHAnsi"/>
          <w:sz w:val="18"/>
          <w:szCs w:val="18"/>
          <w:lang w:eastAsia="es-ES"/>
        </w:rPr>
      </w:pPr>
      <w:r w:rsidRPr="00BF4A51">
        <w:rPr>
          <w:rFonts w:ascii="ITC Avant Garde" w:eastAsia="Times New Roman" w:hAnsi="ITC Avant Garde" w:cstheme="minorHAnsi"/>
          <w:sz w:val="18"/>
          <w:szCs w:val="18"/>
          <w:lang w:eastAsia="es-ES"/>
        </w:rPr>
        <w:t>Aunado a lo anterior, se recomienda que el establecimiento de la cobertura se base en los siguientes criterios:</w:t>
      </w:r>
    </w:p>
    <w:p w14:paraId="4A754175" w14:textId="77777777" w:rsidR="00BF4A51" w:rsidRPr="00BF4A51" w:rsidRDefault="0090249F" w:rsidP="00BF4A51">
      <w:pPr>
        <w:pStyle w:val="Prrafodelista"/>
        <w:spacing w:before="240" w:after="200"/>
        <w:ind w:left="1287" w:right="899"/>
        <w:contextualSpacing/>
        <w:jc w:val="both"/>
        <w:rPr>
          <w:rFonts w:ascii="ITC Avant Garde" w:hAnsi="ITC Avant Garde" w:cstheme="minorHAnsi"/>
          <w:b/>
          <w:sz w:val="18"/>
          <w:szCs w:val="18"/>
          <w:u w:val="single"/>
        </w:rPr>
      </w:pPr>
      <w:r w:rsidRPr="00BF4A51" w:rsidDel="007B3E01">
        <w:rPr>
          <w:rFonts w:ascii="ITC Avant Garde" w:hAnsi="ITC Avant Garde" w:cstheme="minorHAnsi"/>
          <w:b/>
          <w:sz w:val="18"/>
          <w:szCs w:val="18"/>
          <w:u w:val="single"/>
        </w:rPr>
        <w:t>Rutas Carreteras</w:t>
      </w:r>
    </w:p>
    <w:p w14:paraId="7B66BF89" w14:textId="77777777" w:rsidR="00BF4A51" w:rsidRPr="00BF4A51" w:rsidRDefault="0090249F" w:rsidP="00BF4A51">
      <w:pPr>
        <w:pStyle w:val="Prrafodelista"/>
        <w:spacing w:before="240" w:after="200"/>
        <w:ind w:left="567" w:right="899"/>
        <w:jc w:val="both"/>
        <w:rPr>
          <w:rFonts w:ascii="ITC Avant Garde" w:hAnsi="ITC Avant Garde" w:cstheme="minorHAnsi"/>
          <w:sz w:val="18"/>
          <w:szCs w:val="18"/>
        </w:rPr>
      </w:pPr>
      <w:r w:rsidRPr="00BF4A51" w:rsidDel="007B3E01">
        <w:rPr>
          <w:rFonts w:ascii="ITC Avant Garde" w:hAnsi="ITC Avant Garde" w:cstheme="minorHAnsi"/>
          <w:sz w:val="18"/>
          <w:szCs w:val="18"/>
        </w:rPr>
        <w:t>Existen casos donde la cobertura autorizada en las concesiones se estableció por rutas carreteras, las cuales comunican ciudades y/o poblaciones.</w:t>
      </w:r>
    </w:p>
    <w:p w14:paraId="3201CE38" w14:textId="77777777" w:rsidR="00BF4A51" w:rsidRPr="00BF4A51" w:rsidRDefault="0090249F" w:rsidP="00BF4A51">
      <w:pPr>
        <w:pStyle w:val="Prrafodelista"/>
        <w:spacing w:before="240" w:after="200"/>
        <w:ind w:left="567" w:right="899"/>
        <w:jc w:val="both"/>
        <w:rPr>
          <w:rFonts w:ascii="ITC Avant Garde" w:hAnsi="ITC Avant Garde"/>
          <w:sz w:val="18"/>
          <w:szCs w:val="18"/>
        </w:rPr>
      </w:pPr>
      <w:r w:rsidRPr="00BF4A51" w:rsidDel="007B3E01">
        <w:rPr>
          <w:rFonts w:ascii="ITC Avant Garde" w:hAnsi="ITC Avant Garde" w:cstheme="minorHAnsi"/>
          <w:sz w:val="18"/>
          <w:szCs w:val="18"/>
        </w:rPr>
        <w:t xml:space="preserve">Conforme a lo indicado en los títulos de concesión, en su momento se otorgó la posibilidad a los concesionarios de ofrecer el servicio en </w:t>
      </w:r>
      <w:r w:rsidRPr="00BF4A51">
        <w:rPr>
          <w:rFonts w:ascii="ITC Avant Garde" w:hAnsi="ITC Avant Garde" w:cstheme="minorHAnsi"/>
          <w:sz w:val="18"/>
          <w:szCs w:val="18"/>
        </w:rPr>
        <w:t>‘</w:t>
      </w:r>
      <w:r w:rsidRPr="00BF4A51" w:rsidDel="007B3E01">
        <w:rPr>
          <w:rFonts w:ascii="ITC Avant Garde" w:hAnsi="ITC Avant Garde" w:cstheme="minorHAnsi"/>
          <w:sz w:val="18"/>
          <w:szCs w:val="18"/>
        </w:rPr>
        <w:t>…áreas rurales, pequeños núcleos de población, así como regiones urbanas y suburbanas a lo lar</w:t>
      </w:r>
      <w:r w:rsidRPr="00BF4A51">
        <w:rPr>
          <w:rFonts w:ascii="ITC Avant Garde" w:hAnsi="ITC Avant Garde" w:cstheme="minorHAnsi"/>
          <w:sz w:val="18"/>
          <w:szCs w:val="18"/>
        </w:rPr>
        <w:t>go de las troncales carreteras…´</w:t>
      </w:r>
      <w:r w:rsidRPr="00BF4A51" w:rsidDel="007B3E01">
        <w:rPr>
          <w:rFonts w:ascii="ITC Avant Garde" w:hAnsi="ITC Avant Garde" w:cstheme="minorHAnsi"/>
          <w:sz w:val="18"/>
          <w:szCs w:val="18"/>
        </w:rPr>
        <w:t xml:space="preserve">, en adición a las ciudades y/o poblaciones que </w:t>
      </w:r>
      <w:r w:rsidRPr="00BF4A51">
        <w:rPr>
          <w:rFonts w:ascii="ITC Avant Garde" w:hAnsi="ITC Avant Garde" w:cstheme="minorHAnsi"/>
          <w:sz w:val="18"/>
          <w:szCs w:val="18"/>
        </w:rPr>
        <w:t>comunican</w:t>
      </w:r>
      <w:r w:rsidRPr="00BF4A51" w:rsidDel="007B3E01">
        <w:rPr>
          <w:rFonts w:ascii="ITC Avant Garde" w:hAnsi="ITC Avant Garde" w:cstheme="minorHAnsi"/>
          <w:sz w:val="18"/>
          <w:szCs w:val="18"/>
        </w:rPr>
        <w:t xml:space="preserve"> tales rutas.</w:t>
      </w:r>
    </w:p>
    <w:p w14:paraId="62F906D3" w14:textId="77777777" w:rsidR="00BF4A51" w:rsidRPr="00BF4A51" w:rsidRDefault="0090249F" w:rsidP="00BF4A51">
      <w:pPr>
        <w:pStyle w:val="Prrafodelista"/>
        <w:spacing w:before="240" w:after="200"/>
        <w:ind w:left="567" w:right="899"/>
        <w:jc w:val="both"/>
        <w:rPr>
          <w:rFonts w:ascii="ITC Avant Garde" w:hAnsi="ITC Avant Garde" w:cstheme="minorHAnsi"/>
          <w:sz w:val="18"/>
          <w:szCs w:val="18"/>
        </w:rPr>
      </w:pPr>
      <w:r w:rsidRPr="00BF4A51" w:rsidDel="007B3E01">
        <w:rPr>
          <w:rFonts w:ascii="ITC Avant Garde" w:hAnsi="ITC Avant Garde" w:cstheme="minorHAnsi"/>
          <w:sz w:val="18"/>
          <w:szCs w:val="18"/>
        </w:rPr>
        <w:t>Con base en lo anteriormente descrito, este análisis considera que las coberturas asignadas por ruta carretera estarán conformadas por todos aquellos municipios por los que cruce la carretera mencionada en su título de concesión</w:t>
      </w:r>
      <w:r w:rsidRPr="00BF4A51">
        <w:rPr>
          <w:rFonts w:ascii="ITC Avant Garde" w:hAnsi="ITC Avant Garde" w:cstheme="minorHAnsi"/>
          <w:sz w:val="18"/>
          <w:szCs w:val="18"/>
        </w:rPr>
        <w:t>.</w:t>
      </w:r>
    </w:p>
    <w:p w14:paraId="1D419EFE" w14:textId="77777777" w:rsidR="00BF4A51" w:rsidRPr="00BF4A51" w:rsidRDefault="0090249F" w:rsidP="00BF4A51">
      <w:pPr>
        <w:pStyle w:val="Prrafodelista"/>
        <w:spacing w:before="240" w:after="200"/>
        <w:ind w:left="567" w:right="899"/>
        <w:jc w:val="both"/>
        <w:rPr>
          <w:rFonts w:ascii="ITC Avant Garde" w:hAnsi="ITC Avant Garde" w:cstheme="minorHAnsi"/>
          <w:sz w:val="18"/>
          <w:szCs w:val="18"/>
        </w:rPr>
      </w:pPr>
      <w:r w:rsidRPr="00BF4A51" w:rsidDel="007B3E01">
        <w:rPr>
          <w:rFonts w:ascii="ITC Avant Garde" w:hAnsi="ITC Avant Garde" w:cstheme="minorHAnsi"/>
          <w:sz w:val="18"/>
          <w:szCs w:val="18"/>
        </w:rPr>
        <w:t>Adicionalmente, se han considerado como parte de la cobertura</w:t>
      </w:r>
      <w:r w:rsidRPr="00BF4A51">
        <w:rPr>
          <w:rFonts w:ascii="ITC Avant Garde" w:hAnsi="ITC Avant Garde" w:cstheme="minorHAnsi"/>
          <w:sz w:val="18"/>
          <w:szCs w:val="18"/>
        </w:rPr>
        <w:t>,</w:t>
      </w:r>
      <w:r w:rsidRPr="00BF4A51" w:rsidDel="007B3E01">
        <w:rPr>
          <w:rFonts w:ascii="ITC Avant Garde" w:hAnsi="ITC Avant Garde" w:cstheme="minorHAnsi"/>
          <w:sz w:val="18"/>
          <w:szCs w:val="18"/>
        </w:rPr>
        <w:t xml:space="preserve"> aquellos municipios</w:t>
      </w:r>
      <w:r w:rsidRPr="00BF4A51">
        <w:rPr>
          <w:rFonts w:ascii="ITC Avant Garde" w:hAnsi="ITC Avant Garde" w:cstheme="minorHAnsi"/>
          <w:sz w:val="18"/>
          <w:szCs w:val="18"/>
        </w:rPr>
        <w:t xml:space="preserve"> en donde exista una localidad urbana</w:t>
      </w:r>
      <w:r w:rsidRPr="00BF4A51" w:rsidDel="007B3E01">
        <w:rPr>
          <w:rFonts w:ascii="ITC Avant Garde" w:hAnsi="ITC Avant Garde" w:cstheme="minorHAnsi"/>
          <w:sz w:val="18"/>
          <w:szCs w:val="18"/>
        </w:rPr>
        <w:t xml:space="preserve"> conectad</w:t>
      </w:r>
      <w:r w:rsidRPr="00BF4A51">
        <w:rPr>
          <w:rFonts w:ascii="ITC Avant Garde" w:hAnsi="ITC Avant Garde" w:cstheme="minorHAnsi"/>
          <w:sz w:val="18"/>
          <w:szCs w:val="18"/>
        </w:rPr>
        <w:t>a</w:t>
      </w:r>
      <w:r w:rsidRPr="00BF4A51" w:rsidDel="007B3E01">
        <w:rPr>
          <w:rFonts w:ascii="ITC Avant Garde" w:hAnsi="ITC Avant Garde" w:cstheme="minorHAnsi"/>
          <w:sz w:val="18"/>
          <w:szCs w:val="18"/>
        </w:rPr>
        <w:t xml:space="preserve"> por troncales que no forman parte de </w:t>
      </w:r>
      <w:r w:rsidRPr="00BF4A51">
        <w:rPr>
          <w:rFonts w:ascii="ITC Avant Garde" w:hAnsi="ITC Avant Garde" w:cstheme="minorHAnsi"/>
          <w:sz w:val="18"/>
          <w:szCs w:val="18"/>
        </w:rPr>
        <w:t>l</w:t>
      </w:r>
      <w:r w:rsidRPr="00BF4A51" w:rsidDel="007B3E01">
        <w:rPr>
          <w:rFonts w:ascii="ITC Avant Garde" w:hAnsi="ITC Avant Garde" w:cstheme="minorHAnsi"/>
          <w:sz w:val="18"/>
          <w:szCs w:val="18"/>
        </w:rPr>
        <w:t xml:space="preserve">a carretera, siempre que la distancia de la carretera principal a la mancha urbana fuera </w:t>
      </w:r>
      <w:r w:rsidRPr="00BF4A51" w:rsidDel="007B3E01">
        <w:rPr>
          <w:rFonts w:ascii="ITC Avant Garde" w:hAnsi="ITC Avant Garde" w:cstheme="minorHAnsi"/>
          <w:sz w:val="18"/>
          <w:szCs w:val="18"/>
        </w:rPr>
        <w:lastRenderedPageBreak/>
        <w:t xml:space="preserve">menor o igual a 10 km. Esto, en atención </w:t>
      </w:r>
      <w:r w:rsidRPr="00BF4A51">
        <w:rPr>
          <w:rFonts w:ascii="ITC Avant Garde" w:hAnsi="ITC Avant Garde" w:cstheme="minorHAnsi"/>
          <w:sz w:val="18"/>
          <w:szCs w:val="18"/>
        </w:rPr>
        <w:t>a la asignación de coberturas de</w:t>
      </w:r>
      <w:r w:rsidRPr="00BF4A51" w:rsidDel="007B3E01">
        <w:rPr>
          <w:rFonts w:ascii="ITC Avant Garde" w:hAnsi="ITC Avant Garde" w:cstheme="minorHAnsi"/>
          <w:sz w:val="18"/>
          <w:szCs w:val="18"/>
        </w:rPr>
        <w:t xml:space="preserve"> los títulos de concesión originalmente otorgados, los cuales brindaban la posibilidad de conectar poblaciones fuera del tra</w:t>
      </w:r>
      <w:r w:rsidRPr="00BF4A51">
        <w:rPr>
          <w:rFonts w:ascii="ITC Avant Garde" w:hAnsi="ITC Avant Garde" w:cstheme="minorHAnsi"/>
          <w:sz w:val="18"/>
          <w:szCs w:val="18"/>
        </w:rPr>
        <w:t>yecto principal de la carretera</w:t>
      </w:r>
      <w:r w:rsidRPr="00BF4A51" w:rsidDel="007B3E01">
        <w:rPr>
          <w:rFonts w:ascii="ITC Avant Garde" w:hAnsi="ITC Avant Garde" w:cstheme="minorHAnsi"/>
          <w:sz w:val="18"/>
          <w:szCs w:val="18"/>
        </w:rPr>
        <w:t xml:space="preserve"> a través de sus troncales, mientras que la distancia de 10 km se tomó con base en la definición de zonas metropolitanas que el Instituto Nacional de Estadística Geográfica e Informática (INEGI) </w:t>
      </w:r>
      <w:r w:rsidRPr="00BF4A51">
        <w:rPr>
          <w:rFonts w:ascii="ITC Avant Garde" w:hAnsi="ITC Avant Garde" w:cstheme="minorHAnsi"/>
          <w:sz w:val="18"/>
          <w:szCs w:val="18"/>
        </w:rPr>
        <w:t>establece</w:t>
      </w:r>
      <w:r w:rsidRPr="00BF4A51" w:rsidDel="007B3E01">
        <w:rPr>
          <w:rFonts w:ascii="ITC Avant Garde" w:hAnsi="ITC Avant Garde" w:cstheme="minorHAnsi"/>
          <w:sz w:val="18"/>
          <w:szCs w:val="18"/>
        </w:rPr>
        <w:t xml:space="preserve"> en el documento </w:t>
      </w:r>
      <w:r w:rsidRPr="00BF4A51">
        <w:rPr>
          <w:rFonts w:ascii="ITC Avant Garde" w:hAnsi="ITC Avant Garde" w:cstheme="minorHAnsi"/>
          <w:sz w:val="18"/>
          <w:szCs w:val="18"/>
        </w:rPr>
        <w:t>‘</w:t>
      </w:r>
      <w:r w:rsidRPr="00BF4A51" w:rsidDel="007B3E01">
        <w:rPr>
          <w:rFonts w:ascii="ITC Avant Garde" w:hAnsi="ITC Avant Garde" w:cstheme="minorHAnsi"/>
          <w:sz w:val="18"/>
          <w:szCs w:val="18"/>
        </w:rPr>
        <w:t>Delimitación de las Zonas Metropolitanas México 2010</w:t>
      </w:r>
      <w:r w:rsidRPr="00BF4A51">
        <w:rPr>
          <w:rFonts w:ascii="ITC Avant Garde" w:hAnsi="ITC Avant Garde" w:cstheme="minorHAnsi"/>
          <w:sz w:val="18"/>
          <w:szCs w:val="18"/>
        </w:rPr>
        <w:t>´</w:t>
      </w:r>
      <w:r w:rsidRPr="00BF4A51">
        <w:rPr>
          <w:rStyle w:val="Refdenotaalpie"/>
          <w:rFonts w:ascii="ITC Avant Garde" w:hAnsi="ITC Avant Garde" w:cstheme="minorHAnsi"/>
          <w:sz w:val="18"/>
          <w:szCs w:val="18"/>
        </w:rPr>
        <w:footnoteReference w:id="4"/>
      </w:r>
      <w:r w:rsidRPr="00BF4A51">
        <w:rPr>
          <w:rFonts w:ascii="ITC Avant Garde" w:hAnsi="ITC Avant Garde" w:cstheme="minorHAnsi"/>
          <w:sz w:val="18"/>
          <w:szCs w:val="18"/>
        </w:rPr>
        <w:t>.</w:t>
      </w:r>
    </w:p>
    <w:p w14:paraId="5169DFEA" w14:textId="77777777" w:rsidR="00BF4A51" w:rsidRPr="00BF4A51" w:rsidRDefault="0090249F" w:rsidP="00BF4A51">
      <w:pPr>
        <w:pStyle w:val="Prrafodelista"/>
        <w:spacing w:before="240" w:after="200"/>
        <w:ind w:left="1287" w:right="899"/>
        <w:contextualSpacing/>
        <w:jc w:val="both"/>
        <w:rPr>
          <w:rFonts w:ascii="ITC Avant Garde" w:hAnsi="ITC Avant Garde" w:cstheme="minorHAnsi"/>
          <w:b/>
          <w:sz w:val="18"/>
          <w:szCs w:val="18"/>
        </w:rPr>
      </w:pPr>
      <w:r w:rsidRPr="00BF4A51">
        <w:rPr>
          <w:rFonts w:ascii="ITC Avant Garde" w:hAnsi="ITC Avant Garde" w:cstheme="minorHAnsi"/>
          <w:b/>
          <w:sz w:val="18"/>
          <w:szCs w:val="18"/>
        </w:rPr>
        <w:t>Sitios Repetidores</w:t>
      </w:r>
    </w:p>
    <w:p w14:paraId="0E7376C0" w14:textId="77777777" w:rsidR="00BF4A51" w:rsidRPr="00BF4A51" w:rsidRDefault="0090249F" w:rsidP="00BF4A51">
      <w:pPr>
        <w:spacing w:before="240" w:line="240" w:lineRule="auto"/>
        <w:ind w:left="567" w:right="899"/>
        <w:jc w:val="both"/>
        <w:rPr>
          <w:rFonts w:ascii="ITC Avant Garde" w:hAnsi="ITC Avant Garde"/>
          <w:iCs/>
          <w:sz w:val="18"/>
          <w:szCs w:val="18"/>
        </w:rPr>
      </w:pPr>
      <w:r w:rsidRPr="00BF4A51">
        <w:rPr>
          <w:rFonts w:ascii="ITC Avant Garde" w:hAnsi="ITC Avant Garde"/>
          <w:iCs/>
          <w:sz w:val="18"/>
          <w:szCs w:val="18"/>
        </w:rPr>
        <w:t xml:space="preserve">Existen casos en los que el título de concesión define sitios de repetición a partir de coordenadas geográficas. La relevancia de considerar la ubicación de los sitios repetidores conforme lo establecido en el título de concesión, responde a la necesidad de permitir la continuidad de la prestación del servicio de radiocomunicación en las localidades urbanas y suburbanas donde existe una importante concentración poblacional. </w:t>
      </w:r>
    </w:p>
    <w:p w14:paraId="41E7DD7C" w14:textId="77777777" w:rsidR="00BF4A51" w:rsidRPr="00BF4A51" w:rsidRDefault="0090249F" w:rsidP="00BF4A51">
      <w:pPr>
        <w:spacing w:before="240" w:line="240" w:lineRule="auto"/>
        <w:ind w:left="567" w:right="899"/>
        <w:jc w:val="both"/>
        <w:rPr>
          <w:rFonts w:ascii="ITC Avant Garde" w:hAnsi="ITC Avant Garde"/>
          <w:iCs/>
          <w:sz w:val="18"/>
          <w:szCs w:val="18"/>
        </w:rPr>
      </w:pPr>
      <w:r w:rsidRPr="00BF4A51">
        <w:rPr>
          <w:rFonts w:ascii="ITC Avant Garde" w:hAnsi="ITC Avant Garde"/>
          <w:iCs/>
          <w:sz w:val="18"/>
          <w:szCs w:val="18"/>
        </w:rPr>
        <w:t>En adición a lo anterior, el INEGI establece que en este tipo de localidades se fomenta el desarrollo de vínculos sociales y económicos, bajo la integración de actividades industriales y comerciales que promueven en la región la generación de empleo, la provisión de servicios y el desarrollo de vivienda, a fin de satisfacer las necesidades de su propia población y de las localidades cercanas a ella. Así mismo señala que las zonas metropolitanas representan una gran oportunidad para propagar el desarrollo económico y social.</w:t>
      </w:r>
    </w:p>
    <w:p w14:paraId="6ED5E023" w14:textId="77777777" w:rsidR="00BF4A51" w:rsidRPr="00BF4A51" w:rsidRDefault="0090249F" w:rsidP="00BF4A51">
      <w:pPr>
        <w:spacing w:before="240" w:line="240" w:lineRule="auto"/>
        <w:ind w:left="567" w:right="899"/>
        <w:jc w:val="both"/>
        <w:rPr>
          <w:rFonts w:ascii="ITC Avant Garde" w:hAnsi="ITC Avant Garde"/>
          <w:iCs/>
          <w:sz w:val="18"/>
          <w:szCs w:val="18"/>
        </w:rPr>
      </w:pPr>
      <w:r w:rsidRPr="00BF4A51">
        <w:rPr>
          <w:rFonts w:ascii="ITC Avant Garde" w:hAnsi="ITC Avant Garde"/>
          <w:iCs/>
          <w:sz w:val="18"/>
          <w:szCs w:val="18"/>
        </w:rPr>
        <w:t>Cabe señalar que aunado a la relevancia de la actividad económica y social en una región, la determinación de la ubicación de los sitios repetidores en cierto punto geográfico puede determinarse de acuerdo con los principios de propagación de las ondas electromagnéticas, las cuales permiten la prestación y continuidad de servicios de radiocomunicaciones. En tal sentido, en algunos casos con el objeto de ofrecer cobertura de servicios de radiocomunicaciones en cierta zona geográfica, el sitio repetidor puede estar situado en la localidad donde se autoriza la prestación del servicio o en un punto cercano a ella. En consecuencia, la ubicación de un sitio repetidor puede coincidir con un municipio central o con uno cercano a éste dentro de la zona metropolitana</w:t>
      </w:r>
      <w:r w:rsidR="00B42D5C" w:rsidRPr="00BF4A51">
        <w:rPr>
          <w:rFonts w:ascii="ITC Avant Garde" w:hAnsi="ITC Avant Garde"/>
          <w:iCs/>
          <w:sz w:val="18"/>
          <w:szCs w:val="18"/>
        </w:rPr>
        <w:t>.</w:t>
      </w:r>
    </w:p>
    <w:p w14:paraId="2F2C9355" w14:textId="77777777" w:rsidR="00BF4A51" w:rsidRPr="00BF4A51" w:rsidRDefault="0090249F" w:rsidP="00BF4A51">
      <w:pPr>
        <w:spacing w:before="240" w:line="240" w:lineRule="auto"/>
        <w:ind w:left="567" w:right="899"/>
        <w:jc w:val="both"/>
        <w:rPr>
          <w:rFonts w:ascii="ITC Avant Garde" w:hAnsi="ITC Avant Garde"/>
          <w:iCs/>
          <w:sz w:val="18"/>
          <w:szCs w:val="18"/>
        </w:rPr>
      </w:pPr>
      <w:r w:rsidRPr="00BF4A51">
        <w:rPr>
          <w:rFonts w:ascii="ITC Avant Garde" w:hAnsi="ITC Avant Garde"/>
          <w:iCs/>
          <w:sz w:val="18"/>
          <w:szCs w:val="18"/>
        </w:rPr>
        <w:t>Por lo tanto, en aquellos casos en los que el título de concesión define sitios de repetición, se determinará la ubicación de los repetidores a partir de las coordenadas geográficas indicadas. Si se detecta algún error de posicionamiento derivado de dichas coordenadas geográficas, se determinará la ubicación del sitio conforme al nombre señalado. De otro modo, si no es posible la ubicación del sitio repetidor por coordenadas o por nombre, el sitio no será considerado como parte del área de cobertura del título de concesión en análisis.</w:t>
      </w:r>
    </w:p>
    <w:p w14:paraId="5AEB9F4E" w14:textId="77777777" w:rsidR="00BF4A51" w:rsidRPr="00BF4A51" w:rsidRDefault="0090249F" w:rsidP="00BF4A51">
      <w:pPr>
        <w:spacing w:before="240" w:line="240" w:lineRule="auto"/>
        <w:ind w:left="567" w:right="899"/>
        <w:jc w:val="both"/>
        <w:rPr>
          <w:rFonts w:ascii="ITC Avant Garde" w:hAnsi="ITC Avant Garde"/>
          <w:sz w:val="18"/>
          <w:szCs w:val="18"/>
        </w:rPr>
      </w:pPr>
      <w:r w:rsidRPr="00BF4A51">
        <w:rPr>
          <w:rFonts w:ascii="ITC Avant Garde" w:hAnsi="ITC Avant Garde"/>
          <w:sz w:val="18"/>
          <w:szCs w:val="18"/>
        </w:rPr>
        <w:t>Una vez determinada la ubicación del sitio de repetición, se aplicarán las siguientes consideraciones para la definición de la cobertura:</w:t>
      </w:r>
    </w:p>
    <w:p w14:paraId="67A35B4B" w14:textId="5C1CE0DF" w:rsidR="0090249F" w:rsidRPr="00BF4A51" w:rsidRDefault="009B1F22" w:rsidP="00BF4A51">
      <w:pPr>
        <w:pStyle w:val="Prrafodelista"/>
        <w:numPr>
          <w:ilvl w:val="2"/>
          <w:numId w:val="52"/>
        </w:numPr>
        <w:spacing w:before="240" w:after="200"/>
        <w:ind w:right="899"/>
        <w:jc w:val="both"/>
        <w:rPr>
          <w:rFonts w:ascii="ITC Avant Garde" w:hAnsi="ITC Avant Garde"/>
          <w:sz w:val="18"/>
          <w:szCs w:val="18"/>
        </w:rPr>
      </w:pPr>
      <w:r w:rsidRPr="00BF4A51">
        <w:rPr>
          <w:rFonts w:ascii="ITC Avant Garde" w:hAnsi="ITC Avant Garde"/>
          <w:sz w:val="18"/>
          <w:szCs w:val="18"/>
        </w:rPr>
        <w:t>s</w:t>
      </w:r>
      <w:r w:rsidR="0090249F" w:rsidRPr="00BF4A51">
        <w:rPr>
          <w:rFonts w:ascii="ITC Avant Garde" w:hAnsi="ITC Avant Garde"/>
          <w:sz w:val="18"/>
          <w:szCs w:val="18"/>
        </w:rPr>
        <w:t xml:space="preserve">i el sitio repetidor definido en el título de concesión se ubica en un municipio central </w:t>
      </w:r>
      <w:r w:rsidR="00322EDB" w:rsidRPr="00BF4A51">
        <w:rPr>
          <w:rStyle w:val="Refdenotaalpie"/>
          <w:rFonts w:ascii="ITC Avant Garde" w:hAnsi="ITC Avant Garde"/>
          <w:sz w:val="18"/>
          <w:szCs w:val="18"/>
        </w:rPr>
        <w:footnoteReference w:id="5"/>
      </w:r>
      <w:r w:rsidR="0090249F" w:rsidRPr="00BF4A51">
        <w:rPr>
          <w:rFonts w:ascii="ITC Avant Garde" w:hAnsi="ITC Avant Garde"/>
          <w:sz w:val="18"/>
          <w:szCs w:val="18"/>
        </w:rPr>
        <w:t>identificado por el INEGI, la cobertura será la zona metropolitana asociada.</w:t>
      </w:r>
    </w:p>
    <w:p w14:paraId="654A048D" w14:textId="5E173B1C" w:rsidR="0090249F" w:rsidRPr="00BF4A51" w:rsidRDefault="009B1F22" w:rsidP="00BF4A51">
      <w:pPr>
        <w:pStyle w:val="Prrafodelista"/>
        <w:numPr>
          <w:ilvl w:val="2"/>
          <w:numId w:val="52"/>
        </w:numPr>
        <w:spacing w:before="240" w:after="200"/>
        <w:ind w:right="899"/>
        <w:jc w:val="both"/>
        <w:rPr>
          <w:rFonts w:ascii="ITC Avant Garde" w:hAnsi="ITC Avant Garde"/>
          <w:sz w:val="18"/>
          <w:szCs w:val="18"/>
        </w:rPr>
      </w:pPr>
      <w:r w:rsidRPr="00BF4A51">
        <w:rPr>
          <w:rFonts w:ascii="ITC Avant Garde" w:hAnsi="ITC Avant Garde"/>
          <w:sz w:val="18"/>
          <w:szCs w:val="18"/>
        </w:rPr>
        <w:lastRenderedPageBreak/>
        <w:t>s</w:t>
      </w:r>
      <w:r w:rsidR="0090249F" w:rsidRPr="00BF4A51">
        <w:rPr>
          <w:rFonts w:ascii="ITC Avant Garde" w:hAnsi="ITC Avant Garde"/>
          <w:sz w:val="18"/>
          <w:szCs w:val="18"/>
        </w:rPr>
        <w:t>i el sitio repetidor definido en el título de concesión se ubica en un municipio que forma parte de una zona metropolitana definida por el INEGI, la cobertura será la zona metropolitana asociada.</w:t>
      </w:r>
    </w:p>
    <w:p w14:paraId="702DE66C" w14:textId="77777777" w:rsidR="00BF4A51" w:rsidRPr="00BF4A51" w:rsidRDefault="009B1F22" w:rsidP="00BF4A51">
      <w:pPr>
        <w:pStyle w:val="Prrafodelista"/>
        <w:numPr>
          <w:ilvl w:val="2"/>
          <w:numId w:val="52"/>
        </w:numPr>
        <w:spacing w:before="240" w:after="200"/>
        <w:ind w:right="899"/>
        <w:jc w:val="both"/>
        <w:rPr>
          <w:rFonts w:ascii="ITC Avant Garde" w:hAnsi="ITC Avant Garde"/>
          <w:sz w:val="18"/>
          <w:szCs w:val="18"/>
        </w:rPr>
      </w:pPr>
      <w:r w:rsidRPr="00BF4A51">
        <w:rPr>
          <w:rFonts w:ascii="ITC Avant Garde" w:hAnsi="ITC Avant Garde"/>
          <w:sz w:val="18"/>
          <w:szCs w:val="18"/>
        </w:rPr>
        <w:t>s</w:t>
      </w:r>
      <w:r w:rsidR="0090249F" w:rsidRPr="00BF4A51">
        <w:rPr>
          <w:rFonts w:ascii="ITC Avant Garde" w:hAnsi="ITC Avant Garde"/>
          <w:sz w:val="18"/>
          <w:szCs w:val="18"/>
        </w:rPr>
        <w:t>i el sitio repetidor definido en el título de concesión se ubica en un municipio que no forma parte de una zona metropolitana ni es un municipio central, la cobertura será únicamente el propio municipio.</w:t>
      </w:r>
    </w:p>
    <w:p w14:paraId="37CB595F" w14:textId="0127D548" w:rsidR="00BF4A51" w:rsidRPr="00BF4A51" w:rsidRDefault="009B1F22" w:rsidP="00BF4A51">
      <w:pPr>
        <w:spacing w:before="240" w:line="240" w:lineRule="auto"/>
        <w:ind w:left="567" w:right="899"/>
        <w:jc w:val="both"/>
        <w:rPr>
          <w:rFonts w:ascii="ITC Avant Garde" w:eastAsia="Times New Roman" w:hAnsi="ITC Avant Garde" w:cstheme="minorHAnsi"/>
          <w:sz w:val="18"/>
          <w:szCs w:val="18"/>
          <w:lang w:eastAsia="es-ES"/>
        </w:rPr>
      </w:pPr>
      <w:r w:rsidRPr="00BF4A51">
        <w:rPr>
          <w:rFonts w:ascii="ITC Avant Garde" w:eastAsia="Times New Roman" w:hAnsi="ITC Avant Garde" w:cstheme="minorHAnsi"/>
          <w:sz w:val="18"/>
          <w:szCs w:val="18"/>
          <w:lang w:eastAsia="es-ES"/>
        </w:rPr>
        <w:t>Por otro lado, conforme al análisis de la solicitud en comento, este título tiene vencimiento el 24 de septiembre de 2016, conforme al Registro Público de Concesiones</w:t>
      </w:r>
      <w:r w:rsidR="0090249F" w:rsidRPr="00BF4A51">
        <w:rPr>
          <w:rFonts w:ascii="ITC Avant Garde" w:eastAsia="Times New Roman" w:hAnsi="ITC Avant Garde" w:cstheme="minorHAnsi"/>
          <w:sz w:val="18"/>
          <w:szCs w:val="18"/>
          <w:lang w:eastAsia="es-ES"/>
        </w:rPr>
        <w:t>:</w:t>
      </w:r>
    </w:p>
    <w:p w14:paraId="4C09B61B" w14:textId="77777777" w:rsidR="00BF4A51" w:rsidRPr="00BF4A51" w:rsidRDefault="0090249F" w:rsidP="00BF4A51">
      <w:pPr>
        <w:pStyle w:val="Prrafodelista"/>
        <w:numPr>
          <w:ilvl w:val="0"/>
          <w:numId w:val="53"/>
        </w:numPr>
        <w:spacing w:before="240" w:after="200"/>
        <w:ind w:left="993" w:right="1324" w:firstLine="0"/>
        <w:contextualSpacing/>
        <w:jc w:val="both"/>
        <w:rPr>
          <w:rFonts w:ascii="ITC Avant Garde" w:hAnsi="ITC Avant Garde" w:cstheme="minorHAnsi"/>
          <w:sz w:val="18"/>
          <w:szCs w:val="18"/>
        </w:rPr>
      </w:pPr>
      <w:r w:rsidRPr="00BF4A51">
        <w:rPr>
          <w:rFonts w:ascii="ITC Avant Garde" w:hAnsi="ITC Avant Garde" w:cstheme="minorHAnsi"/>
          <w:sz w:val="18"/>
          <w:szCs w:val="18"/>
        </w:rPr>
        <w:t xml:space="preserve">Título de concesión originalmente otorgado a </w:t>
      </w:r>
      <w:proofErr w:type="spellStart"/>
      <w:r w:rsidR="00CF7301" w:rsidRPr="00BF4A51">
        <w:rPr>
          <w:rFonts w:ascii="ITC Avant Garde" w:hAnsi="ITC Avant Garde" w:cstheme="minorHAnsi"/>
          <w:sz w:val="18"/>
          <w:szCs w:val="18"/>
        </w:rPr>
        <w:t>Comintermex</w:t>
      </w:r>
      <w:proofErr w:type="spellEnd"/>
      <w:r w:rsidRPr="00BF4A51">
        <w:rPr>
          <w:rFonts w:ascii="ITC Avant Garde" w:hAnsi="ITC Avant Garde" w:cstheme="minorHAnsi"/>
          <w:sz w:val="18"/>
          <w:szCs w:val="18"/>
        </w:rPr>
        <w:t xml:space="preserve">, S.A. de C.V., prorrogado a Inversiones Nextel de México, S.A. de C.V. el 24 de septiembre de 2006 y actualmente asignado a AT&amp;T </w:t>
      </w:r>
      <w:r w:rsidRPr="00BF4A51">
        <w:rPr>
          <w:rFonts w:ascii="ITC Avant Garde" w:hAnsi="ITC Avant Garde" w:cs="Arial"/>
          <w:sz w:val="18"/>
          <w:szCs w:val="18"/>
        </w:rPr>
        <w:t xml:space="preserve">Comunicaciones Digitales, S. de R.L. de C.V. </w:t>
      </w:r>
    </w:p>
    <w:p w14:paraId="1A44F47D" w14:textId="77777777" w:rsidR="00BF4A51" w:rsidRPr="00BF4A51" w:rsidRDefault="009B1F22" w:rsidP="00BF4A51">
      <w:pPr>
        <w:spacing w:before="240" w:line="240" w:lineRule="auto"/>
        <w:ind w:left="567" w:right="899"/>
        <w:jc w:val="both"/>
        <w:rPr>
          <w:rFonts w:ascii="ITC Avant Garde" w:eastAsia="Times New Roman" w:hAnsi="ITC Avant Garde" w:cstheme="minorHAnsi"/>
          <w:b/>
          <w:sz w:val="18"/>
          <w:szCs w:val="18"/>
          <w:lang w:eastAsia="es-ES"/>
        </w:rPr>
      </w:pPr>
      <w:r w:rsidRPr="00BF4A51">
        <w:rPr>
          <w:rFonts w:ascii="ITC Avant Garde" w:eastAsia="Times New Roman" w:hAnsi="ITC Avant Garde" w:cstheme="minorHAnsi"/>
          <w:b/>
          <w:sz w:val="18"/>
          <w:szCs w:val="18"/>
          <w:lang w:eastAsia="es-ES"/>
        </w:rPr>
        <w:t>Adicionalmente cuenta</w:t>
      </w:r>
      <w:r w:rsidR="0090249F" w:rsidRPr="00BF4A51">
        <w:rPr>
          <w:rFonts w:ascii="ITC Avant Garde" w:eastAsia="Times New Roman" w:hAnsi="ITC Avant Garde" w:cstheme="minorHAnsi"/>
          <w:b/>
          <w:sz w:val="18"/>
          <w:szCs w:val="18"/>
          <w:lang w:eastAsia="es-ES"/>
        </w:rPr>
        <w:t xml:space="preserve"> con frecuencias asignadas en el rango 806-821/851-866 MHz y toda vez que las acciones de reordenamiento están previstas para ejecutarse en todo el país, se propone que el cambio de frecuencias se realice para toda el área de cobertura especificada en el título de concesión identificado. Lo anterior permitirá optimizar desde el punto de vista técnico la gestión y administración del cambio de frecuencias para la ejecución del reordenamiento de la banda objeto del presente análisis.</w:t>
      </w:r>
    </w:p>
    <w:p w14:paraId="375D1BCC" w14:textId="77777777" w:rsidR="00BF4A51" w:rsidRPr="00BF4A51" w:rsidRDefault="0090249F" w:rsidP="00BF4A51">
      <w:pPr>
        <w:spacing w:before="240" w:line="240" w:lineRule="auto"/>
        <w:ind w:left="567" w:right="899"/>
        <w:jc w:val="both"/>
        <w:rPr>
          <w:rFonts w:ascii="ITC Avant Garde" w:hAnsi="ITC Avant Garde"/>
          <w:sz w:val="18"/>
          <w:szCs w:val="18"/>
        </w:rPr>
      </w:pPr>
      <w:r w:rsidRPr="00BF4A51">
        <w:rPr>
          <w:rFonts w:ascii="ITC Avant Garde" w:eastAsia="Times New Roman" w:hAnsi="ITC Avant Garde" w:cstheme="minorHAnsi"/>
          <w:sz w:val="18"/>
          <w:szCs w:val="18"/>
          <w:lang w:eastAsia="es-ES"/>
        </w:rPr>
        <w:t>De acuerdo a todo lo anterior, desde el punto de vista de optimización del espectro radioeléctrico, se propone que los términos para el cambio de frecuencias sean considerados conforme a los criterios aquí descritos, así como a lo sugerido en el Anexo I.</w:t>
      </w:r>
    </w:p>
    <w:p w14:paraId="44BFFB03" w14:textId="77777777" w:rsidR="00BF4A51" w:rsidRPr="00BF4A51" w:rsidRDefault="0090249F" w:rsidP="00BF4A51">
      <w:pPr>
        <w:spacing w:before="240" w:line="240" w:lineRule="auto"/>
        <w:ind w:left="567" w:right="473"/>
        <w:contextualSpacing/>
        <w:jc w:val="both"/>
        <w:rPr>
          <w:rFonts w:ascii="ITC Avant Garde" w:eastAsia="Times New Roman" w:hAnsi="ITC Avant Garde"/>
          <w:bCs/>
          <w:sz w:val="18"/>
          <w:lang w:val="es-ES" w:eastAsia="es-ES"/>
        </w:rPr>
      </w:pPr>
      <w:r w:rsidRPr="00BF4A51">
        <w:rPr>
          <w:rFonts w:ascii="ITC Avant Garde" w:eastAsia="Times New Roman" w:hAnsi="ITC Avant Garde"/>
          <w:bCs/>
          <w:sz w:val="18"/>
          <w:lang w:val="es-ES" w:eastAsia="es-ES"/>
        </w:rPr>
        <w:t>[…]”</w:t>
      </w:r>
    </w:p>
    <w:p w14:paraId="636995DD" w14:textId="77777777" w:rsidR="00BF4A51" w:rsidRPr="00BF4A51" w:rsidRDefault="0090249F" w:rsidP="00BF4A51">
      <w:pPr>
        <w:autoSpaceDE w:val="0"/>
        <w:autoSpaceDN w:val="0"/>
        <w:adjustRightInd w:val="0"/>
        <w:spacing w:before="240" w:line="240" w:lineRule="auto"/>
        <w:jc w:val="both"/>
        <w:rPr>
          <w:rFonts w:ascii="ITC Avant Garde" w:hAnsi="ITC Avant Garde"/>
        </w:rPr>
      </w:pPr>
      <w:r w:rsidRPr="00BF4A51">
        <w:rPr>
          <w:rFonts w:ascii="ITC Avant Garde" w:hAnsi="ITC Avant Garde"/>
          <w:bCs/>
        </w:rPr>
        <w:t>Con base en las acciones de planificación descritas anteriormente para el rango de frecuencias analizado en el dictamen de planificación espectral realizado por la Unidad de Espectro Radioeléctrico, se emitió el siguiente dictamen:</w:t>
      </w:r>
    </w:p>
    <w:p w14:paraId="7EAE966A" w14:textId="77777777" w:rsidR="00BF4A51" w:rsidRPr="00BF4A51" w:rsidRDefault="0090249F" w:rsidP="00BF4A51">
      <w:pPr>
        <w:spacing w:before="240" w:line="240" w:lineRule="auto"/>
        <w:ind w:left="567" w:right="473"/>
        <w:contextualSpacing/>
        <w:jc w:val="both"/>
        <w:rPr>
          <w:rFonts w:ascii="ITC Avant Garde" w:eastAsia="Times New Roman" w:hAnsi="ITC Avant Garde"/>
          <w:bCs/>
          <w:sz w:val="18"/>
          <w:lang w:val="es-ES" w:eastAsia="es-ES"/>
        </w:rPr>
      </w:pPr>
      <w:r w:rsidRPr="00BF4A51">
        <w:rPr>
          <w:rFonts w:ascii="ITC Avant Garde" w:eastAsia="Times New Roman" w:hAnsi="ITC Avant Garde"/>
          <w:bCs/>
          <w:sz w:val="18"/>
          <w:lang w:val="es-ES" w:eastAsia="es-ES"/>
        </w:rPr>
        <w:t>“[…] Dictamen</w:t>
      </w:r>
    </w:p>
    <w:p w14:paraId="0576C71C" w14:textId="77777777" w:rsidR="00BF4A51" w:rsidRPr="00BF4A51" w:rsidRDefault="0090249F" w:rsidP="00BF4A51">
      <w:pPr>
        <w:spacing w:before="240" w:line="240" w:lineRule="auto"/>
        <w:ind w:left="567" w:right="473"/>
        <w:contextualSpacing/>
        <w:jc w:val="both"/>
        <w:rPr>
          <w:rFonts w:ascii="ITC Avant Garde" w:eastAsia="Times New Roman" w:hAnsi="ITC Avant Garde"/>
          <w:b/>
          <w:bCs/>
          <w:sz w:val="18"/>
          <w:lang w:val="es-ES" w:eastAsia="es-ES"/>
        </w:rPr>
      </w:pPr>
      <w:r w:rsidRPr="00BF4A51">
        <w:rPr>
          <w:rFonts w:ascii="ITC Avant Garde" w:eastAsia="Times New Roman" w:hAnsi="ITC Avant Garde"/>
          <w:bCs/>
          <w:sz w:val="18"/>
          <w:lang w:val="es-ES" w:eastAsia="es-ES"/>
        </w:rPr>
        <w:t xml:space="preserve">Con base en el análisis previo y desde el punto de vista de planeación del espectro, la solicitud de prórroga solicitada se considera </w:t>
      </w:r>
      <w:r w:rsidRPr="00BF4A51">
        <w:rPr>
          <w:rFonts w:ascii="ITC Avant Garde" w:eastAsia="Times New Roman" w:hAnsi="ITC Avant Garde"/>
          <w:b/>
          <w:bCs/>
          <w:sz w:val="18"/>
          <w:lang w:val="es-ES" w:eastAsia="es-ES"/>
        </w:rPr>
        <w:t>PROCEDENTE</w:t>
      </w:r>
      <w:r w:rsidRPr="00BF4A51">
        <w:rPr>
          <w:rFonts w:ascii="ITC Avant Garde" w:eastAsia="Times New Roman" w:hAnsi="ITC Avant Garde"/>
          <w:bCs/>
          <w:sz w:val="18"/>
          <w:lang w:val="es-ES" w:eastAsia="es-ES"/>
        </w:rPr>
        <w:t xml:space="preserve"> con el objeto de reordenar todas las frecuencias en el segmento </w:t>
      </w:r>
      <w:r w:rsidRPr="00BF4A51">
        <w:rPr>
          <w:rFonts w:ascii="ITC Avant Garde" w:eastAsia="Times New Roman" w:hAnsi="ITC Avant Garde"/>
          <w:b/>
          <w:bCs/>
          <w:sz w:val="18"/>
          <w:lang w:val="es-ES" w:eastAsia="es-ES"/>
        </w:rPr>
        <w:t>814-</w:t>
      </w:r>
      <w:r w:rsidR="003F5887" w:rsidRPr="00BF4A51">
        <w:rPr>
          <w:rFonts w:ascii="ITC Avant Garde" w:eastAsia="Times New Roman" w:hAnsi="ITC Avant Garde"/>
          <w:b/>
          <w:bCs/>
          <w:sz w:val="18"/>
          <w:lang w:val="es-ES" w:eastAsia="es-ES"/>
        </w:rPr>
        <w:t>8</w:t>
      </w:r>
      <w:r w:rsidRPr="00BF4A51">
        <w:rPr>
          <w:rFonts w:ascii="ITC Avant Garde" w:eastAsia="Times New Roman" w:hAnsi="ITC Avant Garde"/>
          <w:b/>
          <w:bCs/>
          <w:sz w:val="18"/>
          <w:lang w:val="es-ES" w:eastAsia="es-ES"/>
        </w:rPr>
        <w:t>24/859-869 MHz.</w:t>
      </w:r>
    </w:p>
    <w:p w14:paraId="6734B94F" w14:textId="77777777" w:rsidR="00BF4A51" w:rsidRPr="00BF4A51" w:rsidRDefault="0090249F" w:rsidP="00BF4A51">
      <w:pPr>
        <w:spacing w:before="240" w:line="240" w:lineRule="auto"/>
        <w:ind w:left="567" w:right="473"/>
        <w:contextualSpacing/>
        <w:jc w:val="both"/>
        <w:rPr>
          <w:rFonts w:ascii="ITC Avant Garde" w:eastAsia="Times New Roman" w:hAnsi="ITC Avant Garde"/>
          <w:bCs/>
          <w:sz w:val="18"/>
          <w:lang w:val="es-ES" w:eastAsia="es-ES"/>
        </w:rPr>
      </w:pPr>
      <w:r w:rsidRPr="00BF4A51">
        <w:rPr>
          <w:rFonts w:ascii="ITC Avant Garde" w:eastAsia="Times New Roman" w:hAnsi="ITC Avant Garde"/>
          <w:bCs/>
          <w:sz w:val="18"/>
          <w:lang w:val="es-ES" w:eastAsia="es-ES"/>
        </w:rPr>
        <w:t xml:space="preserve">Condiciones y términos de uso de </w:t>
      </w:r>
      <w:r w:rsidR="000B2332" w:rsidRPr="00BF4A51">
        <w:rPr>
          <w:rFonts w:ascii="ITC Avant Garde" w:eastAsia="Times New Roman" w:hAnsi="ITC Avant Garde"/>
          <w:bCs/>
          <w:sz w:val="18"/>
          <w:lang w:val="es-ES" w:eastAsia="es-ES"/>
        </w:rPr>
        <w:t>la banda de frecuencias</w:t>
      </w:r>
      <w:r w:rsidRPr="00BF4A51">
        <w:rPr>
          <w:rFonts w:ascii="ITC Avant Garde" w:eastAsia="Times New Roman" w:hAnsi="ITC Avant Garde"/>
          <w:bCs/>
          <w:sz w:val="18"/>
          <w:lang w:val="es-ES" w:eastAsia="es-ES"/>
        </w:rPr>
        <w:t>:</w:t>
      </w:r>
    </w:p>
    <w:p w14:paraId="1DBFDC6E" w14:textId="77777777" w:rsidR="00BF4A51" w:rsidRPr="00BF4A51" w:rsidRDefault="0090249F" w:rsidP="00BF4A51">
      <w:pPr>
        <w:spacing w:before="240" w:line="240" w:lineRule="auto"/>
        <w:ind w:left="567" w:right="473"/>
        <w:contextualSpacing/>
        <w:jc w:val="both"/>
        <w:rPr>
          <w:rFonts w:ascii="ITC Avant Garde" w:eastAsia="Times New Roman" w:hAnsi="ITC Avant Garde"/>
          <w:bCs/>
          <w:sz w:val="18"/>
          <w:lang w:val="es-ES" w:eastAsia="es-ES"/>
        </w:rPr>
      </w:pPr>
      <w:r w:rsidRPr="00BF4A51">
        <w:rPr>
          <w:rFonts w:ascii="ITC Avant Garde" w:eastAsia="Times New Roman" w:hAnsi="ITC Avant Garde"/>
          <w:b/>
          <w:bCs/>
          <w:sz w:val="18"/>
          <w:lang w:val="es-ES" w:eastAsia="es-ES"/>
        </w:rPr>
        <w:t>Frecuencias de Operación</w:t>
      </w:r>
      <w:r w:rsidRPr="00BF4A51">
        <w:rPr>
          <w:rFonts w:ascii="ITC Avant Garde" w:eastAsia="Times New Roman" w:hAnsi="ITC Avant Garde"/>
          <w:bCs/>
          <w:sz w:val="18"/>
          <w:lang w:val="es-ES" w:eastAsia="es-ES"/>
        </w:rPr>
        <w:t>: Se recomienda que los pares de frecuencias que pudieran ser otorgados, se ubiquen de manera contigua y en orden descendente a partir de la frecuencia 824 MHz para la transmisión móvil y 869 MHz para la transmisión base según corresponda y conforme se detalla en el Anexo I.</w:t>
      </w:r>
    </w:p>
    <w:p w14:paraId="718A4949" w14:textId="77777777" w:rsidR="00BF4A51" w:rsidRPr="00BF4A51" w:rsidRDefault="0090249F" w:rsidP="00BF4A51">
      <w:pPr>
        <w:spacing w:before="240" w:line="240" w:lineRule="auto"/>
        <w:ind w:left="567" w:right="473"/>
        <w:contextualSpacing/>
        <w:jc w:val="both"/>
        <w:rPr>
          <w:rFonts w:ascii="ITC Avant Garde" w:eastAsia="Times New Roman" w:hAnsi="ITC Avant Garde"/>
          <w:bCs/>
          <w:sz w:val="18"/>
          <w:lang w:val="es-ES" w:eastAsia="es-ES"/>
        </w:rPr>
      </w:pPr>
      <w:r w:rsidRPr="00BF4A51">
        <w:rPr>
          <w:rFonts w:ascii="ITC Avant Garde" w:hAnsi="ITC Avant Garde"/>
          <w:b/>
          <w:bCs/>
          <w:sz w:val="18"/>
          <w:szCs w:val="18"/>
        </w:rPr>
        <w:t xml:space="preserve">Cobertura: </w:t>
      </w:r>
      <w:r w:rsidRPr="00BF4A51">
        <w:rPr>
          <w:rFonts w:ascii="ITC Avant Garde" w:eastAsia="Times New Roman" w:hAnsi="ITC Avant Garde"/>
          <w:bCs/>
          <w:sz w:val="18"/>
          <w:lang w:val="es-ES" w:eastAsia="es-ES"/>
        </w:rPr>
        <w:t>Se recomienda que la cobertura sea definida por municipios de acuerdo con lo establecido en el Anexo I.</w:t>
      </w:r>
    </w:p>
    <w:p w14:paraId="3132F726" w14:textId="77777777" w:rsidR="00BF4A51" w:rsidRPr="00BF4A51" w:rsidRDefault="0090249F" w:rsidP="00BF4A51">
      <w:pPr>
        <w:spacing w:before="240" w:line="240" w:lineRule="auto"/>
        <w:ind w:left="567" w:right="473"/>
        <w:contextualSpacing/>
        <w:jc w:val="both"/>
        <w:rPr>
          <w:rFonts w:ascii="ITC Avant Garde" w:eastAsia="Times New Roman" w:hAnsi="ITC Avant Garde"/>
          <w:bCs/>
          <w:sz w:val="18"/>
          <w:lang w:val="es-ES" w:eastAsia="es-ES"/>
        </w:rPr>
      </w:pPr>
      <w:r w:rsidRPr="00BF4A51">
        <w:rPr>
          <w:rFonts w:ascii="ITC Avant Garde" w:eastAsia="Times New Roman" w:hAnsi="ITC Avant Garde"/>
          <w:b/>
          <w:bCs/>
          <w:sz w:val="18"/>
          <w:lang w:val="es-ES" w:eastAsia="es-ES"/>
        </w:rPr>
        <w:t xml:space="preserve">Vigencia recomendada: </w:t>
      </w:r>
      <w:r w:rsidRPr="00BF4A51">
        <w:rPr>
          <w:rFonts w:ascii="ITC Avant Garde" w:eastAsia="Times New Roman" w:hAnsi="ITC Avant Garde"/>
          <w:bCs/>
          <w:sz w:val="18"/>
          <w:lang w:val="es-ES" w:eastAsia="es-ES"/>
        </w:rPr>
        <w:t xml:space="preserve">Sin restricciones respecto a la vigencia del título de concesión. </w:t>
      </w:r>
    </w:p>
    <w:p w14:paraId="3C2AD661" w14:textId="77777777" w:rsidR="00BF4A51" w:rsidRPr="00BF4A51" w:rsidRDefault="0090249F" w:rsidP="00BF4A51">
      <w:pPr>
        <w:spacing w:before="240" w:line="240" w:lineRule="auto"/>
        <w:ind w:left="567" w:right="473"/>
        <w:contextualSpacing/>
        <w:jc w:val="both"/>
        <w:rPr>
          <w:rFonts w:ascii="ITC Avant Garde" w:eastAsia="Times New Roman" w:hAnsi="ITC Avant Garde"/>
          <w:bCs/>
          <w:sz w:val="18"/>
          <w:lang w:val="es-ES" w:eastAsia="es-ES"/>
        </w:rPr>
      </w:pPr>
      <w:r w:rsidRPr="00BF4A51">
        <w:rPr>
          <w:rFonts w:ascii="ITC Avant Garde" w:eastAsia="Times New Roman" w:hAnsi="ITC Avant Garde"/>
          <w:bCs/>
          <w:sz w:val="18"/>
          <w:lang w:val="es-ES" w:eastAsia="es-ES"/>
        </w:rPr>
        <w:t>[…]”</w:t>
      </w:r>
    </w:p>
    <w:p w14:paraId="482523EF" w14:textId="0B404885" w:rsidR="0090249F" w:rsidRPr="00BF4A51" w:rsidRDefault="0090249F" w:rsidP="00BF4A51">
      <w:pPr>
        <w:autoSpaceDE w:val="0"/>
        <w:autoSpaceDN w:val="0"/>
        <w:adjustRightInd w:val="0"/>
        <w:spacing w:before="240" w:line="240" w:lineRule="auto"/>
        <w:jc w:val="both"/>
        <w:rPr>
          <w:rFonts w:ascii="ITC Avant Garde" w:hAnsi="ITC Avant Garde" w:cs="Tahoma"/>
          <w:bCs/>
          <w:lang w:eastAsia="es-MX"/>
        </w:rPr>
      </w:pPr>
      <w:r w:rsidRPr="00BF4A51">
        <w:rPr>
          <w:rFonts w:ascii="ITC Avant Garde" w:hAnsi="ITC Avant Garde" w:cs="Tahoma"/>
          <w:bCs/>
          <w:lang w:eastAsia="es-MX"/>
        </w:rPr>
        <w:t xml:space="preserve">De lo anterior se desprende que las acciones de planificación para la banda de frecuencias 814-824/859-869 MHz contemplan que la misma sea empleada para la introducción de las Telecomunicaciones Móviles Internacionales (IMT), con el objetivo de promover el acceso a los servicios móviles de banda ancha y, al mismo tiempo, fomentar un uso más eficiente del espectro radioeléctrico. Dichos servicios móviles requieren contar con anchos de banda contiguos para propiciar un funcionamiento óptimo de la tecnología y en consecuencia mayor capacidad de transferencia de datos y mejor servicio al usuario final. </w:t>
      </w:r>
    </w:p>
    <w:p w14:paraId="0E1259E5" w14:textId="77777777" w:rsidR="00BF4A51" w:rsidRPr="00BF4A51" w:rsidRDefault="0090249F" w:rsidP="00BF4A51">
      <w:pPr>
        <w:spacing w:before="240" w:line="240" w:lineRule="auto"/>
        <w:contextualSpacing/>
        <w:jc w:val="both"/>
        <w:rPr>
          <w:rFonts w:ascii="ITC Avant Garde" w:hAnsi="ITC Avant Garde" w:cs="Tahoma"/>
          <w:bCs/>
          <w:lang w:eastAsia="es-MX"/>
        </w:rPr>
      </w:pPr>
      <w:r w:rsidRPr="00BF4A51">
        <w:rPr>
          <w:rFonts w:ascii="ITC Avant Garde" w:hAnsi="ITC Avant Garde" w:cs="Tahoma"/>
          <w:bCs/>
          <w:lang w:eastAsia="es-MX"/>
        </w:rPr>
        <w:lastRenderedPageBreak/>
        <w:t>En ese sentido, cabe señalar que la Concesión comprende diversos pares de frecuencias dentro de la banda de 800 MHz, mismos que al ser reagrupados en bloques de espectro contiguo y conforme a los estándares tecnológicos, permitirían a AT&amp;T Comunicaciones Digitales proveer tasas de transferencia de datos suficientes para la prestación de servicios de banda ancha móvil a través de tecnologías de última generación.</w:t>
      </w:r>
    </w:p>
    <w:p w14:paraId="76E1106B" w14:textId="77777777" w:rsidR="00BF4A51" w:rsidRPr="00BF4A51" w:rsidRDefault="0090249F" w:rsidP="00BF4A51">
      <w:pPr>
        <w:spacing w:before="240" w:line="240" w:lineRule="auto"/>
        <w:contextualSpacing/>
        <w:jc w:val="both"/>
        <w:rPr>
          <w:rFonts w:ascii="ITC Avant Garde" w:hAnsi="ITC Avant Garde" w:cs="Tahoma"/>
          <w:bCs/>
          <w:lang w:eastAsia="es-MX"/>
        </w:rPr>
      </w:pPr>
      <w:r w:rsidRPr="00BF4A51">
        <w:rPr>
          <w:rFonts w:ascii="ITC Avant Garde" w:hAnsi="ITC Avant Garde" w:cs="Tahoma"/>
          <w:bCs/>
          <w:lang w:eastAsia="es-MX"/>
        </w:rPr>
        <w:t xml:space="preserve">Debido a esto, es necesario que el solicitante ejecute diversos cambios de bandas de frecuencias, con la finalidad de reordenar de manera contigua en el segmento 814-824/859-869 MHz la totalidad del espectro concesionado a AT&amp;T Comunicaciones Digitales en la Concesión, mismo que se ha previsto para la introducción de servicios móviles de banda ancha. </w:t>
      </w:r>
    </w:p>
    <w:p w14:paraId="300DA6F7" w14:textId="77777777" w:rsidR="00BF4A51" w:rsidRPr="00BF4A51" w:rsidRDefault="0090249F" w:rsidP="00BF4A51">
      <w:pPr>
        <w:autoSpaceDE w:val="0"/>
        <w:autoSpaceDN w:val="0"/>
        <w:adjustRightInd w:val="0"/>
        <w:spacing w:before="240" w:line="240" w:lineRule="auto"/>
        <w:jc w:val="both"/>
        <w:rPr>
          <w:rFonts w:ascii="ITC Avant Garde" w:hAnsi="ITC Avant Garde" w:cs="Tahoma"/>
          <w:bCs/>
          <w:lang w:eastAsia="es-MX"/>
        </w:rPr>
      </w:pPr>
      <w:r w:rsidRPr="00BF4A51">
        <w:rPr>
          <w:rFonts w:ascii="ITC Avant Garde" w:hAnsi="ITC Avant Garde" w:cs="Tahoma"/>
          <w:bCs/>
          <w:lang w:eastAsia="es-MX"/>
        </w:rPr>
        <w:t>Para ello, se debe considerar que la Concesión no permite definir de manera precisa el área en la cual se presta el servicio,</w:t>
      </w:r>
      <w:r w:rsidRPr="00BF4A51" w:rsidDel="007B3E01">
        <w:rPr>
          <w:rFonts w:ascii="ITC Avant Garde" w:hAnsi="ITC Avant Garde" w:cs="Tahoma"/>
          <w:bCs/>
          <w:lang w:eastAsia="es-MX"/>
        </w:rPr>
        <w:t xml:space="preserve"> </w:t>
      </w:r>
      <w:r w:rsidRPr="00BF4A51">
        <w:rPr>
          <w:rFonts w:ascii="ITC Avant Garde" w:hAnsi="ITC Avant Garde" w:cs="Tahoma"/>
          <w:bCs/>
          <w:lang w:eastAsia="es-MX"/>
        </w:rPr>
        <w:t xml:space="preserve">pues su cobertura se encuentra definida </w:t>
      </w:r>
      <w:r w:rsidRPr="00BF4A51" w:rsidDel="007B3E01">
        <w:rPr>
          <w:rFonts w:ascii="ITC Avant Garde" w:hAnsi="ITC Avant Garde" w:cs="Tahoma"/>
          <w:bCs/>
          <w:lang w:eastAsia="es-MX"/>
        </w:rPr>
        <w:t>po</w:t>
      </w:r>
      <w:r w:rsidRPr="00BF4A51">
        <w:rPr>
          <w:rFonts w:ascii="ITC Avant Garde" w:hAnsi="ITC Avant Garde" w:cs="Tahoma"/>
          <w:bCs/>
          <w:lang w:eastAsia="es-MX"/>
        </w:rPr>
        <w:t xml:space="preserve">r </w:t>
      </w:r>
      <w:r w:rsidR="00E667C7" w:rsidRPr="00BF4A51">
        <w:rPr>
          <w:rFonts w:ascii="ITC Avant Garde" w:hAnsi="ITC Avant Garde" w:cs="Tahoma"/>
          <w:bCs/>
          <w:lang w:eastAsia="es-MX"/>
        </w:rPr>
        <w:t>ciudades y zonas conurbadas</w:t>
      </w:r>
      <w:r w:rsidRPr="00BF4A51">
        <w:rPr>
          <w:rFonts w:ascii="ITC Avant Garde" w:hAnsi="ITC Avant Garde" w:cs="Tahoma"/>
          <w:bCs/>
          <w:lang w:eastAsia="es-MX"/>
        </w:rPr>
        <w:t xml:space="preserve">. Derivado de lo anterior, y como este Pleno ya lo ha resuelto en otras ocasiones se considera que </w:t>
      </w:r>
      <w:r w:rsidRPr="00BF4A51">
        <w:rPr>
          <w:rFonts w:ascii="ITC Avant Garde" w:hAnsi="ITC Avant Garde" w:cs="Tahoma"/>
          <w:bCs/>
          <w:u w:val="single"/>
          <w:lang w:eastAsia="es-MX"/>
        </w:rPr>
        <w:t>la unidad mínima</w:t>
      </w:r>
      <w:r w:rsidRPr="00BF4A51">
        <w:rPr>
          <w:rFonts w:ascii="ITC Avant Garde" w:hAnsi="ITC Avant Garde" w:cs="Tahoma"/>
          <w:bCs/>
          <w:lang w:eastAsia="es-MX"/>
        </w:rPr>
        <w:t xml:space="preserve"> para establecer la cobertura en la concesión que en su caso se otorgue sea </w:t>
      </w:r>
      <w:r w:rsidRPr="00BF4A51">
        <w:rPr>
          <w:rFonts w:ascii="ITC Avant Garde" w:hAnsi="ITC Avant Garde" w:cs="Tahoma"/>
          <w:bCs/>
          <w:u w:val="single"/>
          <w:lang w:eastAsia="es-MX"/>
        </w:rPr>
        <w:t>el municipio</w:t>
      </w:r>
      <w:r w:rsidRPr="00BF4A51">
        <w:rPr>
          <w:rFonts w:ascii="ITC Avant Garde" w:hAnsi="ITC Avant Garde" w:cs="Tahoma"/>
          <w:bCs/>
          <w:lang w:eastAsia="es-MX"/>
        </w:rPr>
        <w:t>, bajo la consideración de que se mantendrá dicha área de cobertura aún ante las modificaciones que pudiera sufrir el mismo, derivado de cambios de nombre y/o división geográfica del municipio en más entidades municipales, conforme a lo indicado en los últimos archivos publicados por el Instituto Nacional de Estadística y Geografía.</w:t>
      </w:r>
    </w:p>
    <w:p w14:paraId="0A537D39" w14:textId="77777777" w:rsidR="00BF4A51" w:rsidRPr="00BF4A51" w:rsidRDefault="0090249F" w:rsidP="00BF4A51">
      <w:pPr>
        <w:autoSpaceDE w:val="0"/>
        <w:autoSpaceDN w:val="0"/>
        <w:adjustRightInd w:val="0"/>
        <w:spacing w:before="240" w:line="240" w:lineRule="auto"/>
        <w:jc w:val="both"/>
        <w:rPr>
          <w:rFonts w:ascii="ITC Avant Garde" w:hAnsi="ITC Avant Garde" w:cs="Tahoma"/>
          <w:bCs/>
          <w:lang w:eastAsia="es-MX"/>
        </w:rPr>
      </w:pPr>
      <w:r w:rsidRPr="00BF4A51">
        <w:rPr>
          <w:rFonts w:ascii="ITC Avant Garde" w:hAnsi="ITC Avant Garde" w:cs="Tahoma"/>
          <w:bCs/>
          <w:lang w:eastAsia="es-MX"/>
        </w:rPr>
        <w:t xml:space="preserve">Asimismo, cabe señalar que los términos en los que se propone prorrogar la vigencia de la Concesión </w:t>
      </w:r>
      <w:r w:rsidR="00CC037D" w:rsidRPr="00BF4A51">
        <w:rPr>
          <w:rFonts w:ascii="ITC Avant Garde" w:hAnsi="ITC Avant Garde" w:cs="Tahoma"/>
          <w:bCs/>
          <w:lang w:eastAsia="es-MX"/>
        </w:rPr>
        <w:t>son una condición necesaria para</w:t>
      </w:r>
      <w:r w:rsidRPr="00BF4A51">
        <w:rPr>
          <w:rFonts w:ascii="ITC Avant Garde" w:hAnsi="ITC Avant Garde" w:cs="Tahoma"/>
          <w:bCs/>
          <w:lang w:eastAsia="es-MX"/>
        </w:rPr>
        <w:t xml:space="preserve"> dar cumplimiento a lo establecido en el “Protocolo entre la Secretaría de Comunicaciones y Transportes de los Estados Unidos Mexicanos y el Departamento de Estado de los Estados Unidos de América relativo a la adjudicación, asignación y uso de radiofrecuencias en las bandas de 806-824/851-869 MHz y 896-901/935-940 MHz para servicios terrenales de radiocomunicación excepto difusión, a lo largo de la frontera común”, firmado en Williamsburg, Virginia, el 16 de junio de 1994 y enmendado en Washington, D.C., el 8 de junio de 2012, mismo que establece un plan común para la utilización de estas bandas de frecuencias dentro de una distancia de 110 kilómetros a cada lado de la franja fronteriza para proporcionar una distribución equitativa de los canales disponibles, incluyendo aquellos canales de ayuda mutua para aplicaciones de seguridad pública en la zona de compartición.</w:t>
      </w:r>
    </w:p>
    <w:p w14:paraId="1DFD4368" w14:textId="77777777" w:rsidR="00BF4A51" w:rsidRPr="00BF4A51" w:rsidRDefault="0090249F" w:rsidP="00BF4A51">
      <w:pPr>
        <w:spacing w:before="240" w:line="240" w:lineRule="auto"/>
        <w:contextualSpacing/>
        <w:jc w:val="both"/>
        <w:rPr>
          <w:rFonts w:ascii="ITC Avant Garde" w:hAnsi="ITC Avant Garde" w:cs="Tahoma"/>
          <w:bCs/>
          <w:lang w:eastAsia="es-MX"/>
        </w:rPr>
      </w:pPr>
      <w:r w:rsidRPr="00BF4A51">
        <w:rPr>
          <w:rFonts w:ascii="ITC Avant Garde" w:hAnsi="ITC Avant Garde" w:cs="Tahoma"/>
          <w:bCs/>
          <w:lang w:eastAsia="es-MX"/>
        </w:rPr>
        <w:t>Asimismo, las condiciones propuestas para la prórroga de vigencia de la Concesión son consistentes con lo señalado por el Acuerdo de Cambio de Bandas, mismo que establece los procesos asociados al reordenamiento de la banda de frecuencias de 800 MHz, a través del establecimiento de diferentes movimientos para cada uno de los usuarios o tenedores de espectro en dicha banda, mediante la determinación de bandas de origen y destino para cada uno de los casos.</w:t>
      </w:r>
    </w:p>
    <w:p w14:paraId="2F21407F" w14:textId="77777777" w:rsidR="00BF4A51" w:rsidRPr="00BF4A51" w:rsidRDefault="0090249F" w:rsidP="00BF4A51">
      <w:pPr>
        <w:autoSpaceDE w:val="0"/>
        <w:autoSpaceDN w:val="0"/>
        <w:adjustRightInd w:val="0"/>
        <w:spacing w:before="240" w:line="240" w:lineRule="auto"/>
        <w:jc w:val="both"/>
        <w:rPr>
          <w:rFonts w:ascii="ITC Avant Garde" w:hAnsi="ITC Avant Garde"/>
          <w:bCs/>
          <w:lang w:eastAsia="es-MX"/>
        </w:rPr>
      </w:pPr>
      <w:r w:rsidRPr="00BF4A51">
        <w:rPr>
          <w:rFonts w:ascii="ITC Avant Garde" w:hAnsi="ITC Avant Garde"/>
          <w:bCs/>
        </w:rPr>
        <w:t xml:space="preserve">Adicionalmente, </w:t>
      </w:r>
      <w:r w:rsidRPr="00BF4A51">
        <w:rPr>
          <w:rFonts w:ascii="ITC Avant Garde" w:hAnsi="ITC Avant Garde"/>
        </w:rPr>
        <w:t xml:space="preserve">adjunto al oficio </w:t>
      </w:r>
      <w:r w:rsidR="005F44F7" w:rsidRPr="00BF4A51">
        <w:rPr>
          <w:rFonts w:ascii="ITC Avant Garde" w:hAnsi="ITC Avant Garde"/>
          <w:shd w:val="clear" w:color="auto" w:fill="FFFFFF"/>
        </w:rPr>
        <w:t>IFT/222/UER/DGPE/016</w:t>
      </w:r>
      <w:r w:rsidRPr="00BF4A51">
        <w:rPr>
          <w:rFonts w:ascii="ITC Avant Garde" w:hAnsi="ITC Avant Garde"/>
          <w:shd w:val="clear" w:color="auto" w:fill="FFFFFF"/>
        </w:rPr>
        <w:t>/2017 de fecha 13 de febrero de 2017</w:t>
      </w:r>
      <w:r w:rsidRPr="00BF4A51">
        <w:rPr>
          <w:rFonts w:ascii="ITC Avant Garde" w:hAnsi="ITC Avant Garde"/>
          <w:bCs/>
        </w:rPr>
        <w:t xml:space="preserve">, la </w:t>
      </w:r>
      <w:r w:rsidRPr="00BF4A51">
        <w:rPr>
          <w:rFonts w:ascii="ITC Avant Garde" w:hAnsi="ITC Avant Garde"/>
          <w:shd w:val="clear" w:color="auto" w:fill="FFFFFF"/>
        </w:rPr>
        <w:t xml:space="preserve">Unidad de Espectro Radioeléctrico, </w:t>
      </w:r>
      <w:r w:rsidRPr="00BF4A51">
        <w:rPr>
          <w:rFonts w:ascii="ITC Avant Garde" w:hAnsi="ITC Avant Garde" w:cs="Arial"/>
          <w:bCs/>
          <w:color w:val="000000"/>
          <w:shd w:val="clear" w:color="auto" w:fill="FFFFFF"/>
        </w:rPr>
        <w:t>a través de la Dirección General de Ingeniería del Espectro y Estudios Técnicos, remitió el Dictamen Técnico IFT/222/UER/DG-IEET/00</w:t>
      </w:r>
      <w:r w:rsidR="005F44F7" w:rsidRPr="00BF4A51">
        <w:rPr>
          <w:rFonts w:ascii="ITC Avant Garde" w:hAnsi="ITC Avant Garde" w:cs="Arial"/>
          <w:bCs/>
          <w:color w:val="000000"/>
          <w:shd w:val="clear" w:color="auto" w:fill="FFFFFF"/>
        </w:rPr>
        <w:t>8</w:t>
      </w:r>
      <w:r w:rsidRPr="00BF4A51">
        <w:rPr>
          <w:rFonts w:ascii="ITC Avant Garde" w:hAnsi="ITC Avant Garde" w:cs="Arial"/>
          <w:bCs/>
          <w:color w:val="000000"/>
          <w:shd w:val="clear" w:color="auto" w:fill="FFFFFF"/>
        </w:rPr>
        <w:t xml:space="preserve">/2017, con las condiciones </w:t>
      </w:r>
      <w:r w:rsidRPr="00BF4A51">
        <w:rPr>
          <w:rFonts w:ascii="ITC Avant Garde" w:hAnsi="ITC Avant Garde"/>
          <w:shd w:val="clear" w:color="auto" w:fill="FFFFFF"/>
        </w:rPr>
        <w:t xml:space="preserve">técnicas de operación para el uso, aprovechamiento y explotación de las bandas de frecuencias objeto de la concesión que en su caso se otorgue, entre las que se encuentran las siguientes: i) Bandas de frecuencias a utilizar; ii) </w:t>
      </w:r>
      <w:r w:rsidRPr="00BF4A51">
        <w:rPr>
          <w:rFonts w:ascii="ITC Avant Garde" w:hAnsi="ITC Avant Garde"/>
          <w:shd w:val="clear" w:color="auto" w:fill="FFFFFF"/>
        </w:rPr>
        <w:lastRenderedPageBreak/>
        <w:t>Cobertura, iii) Continuidad de los servicios, iv) Solicitud de información, v) Homologación de equipos, vi) Servicios a título secundario, y viii) Radiaciones electromagnéticas.</w:t>
      </w:r>
      <w:r w:rsidRPr="00BF4A51">
        <w:rPr>
          <w:rFonts w:ascii="ITC Avant Garde" w:hAnsi="ITC Avant Garde"/>
          <w:bCs/>
          <w:lang w:eastAsia="es-MX"/>
        </w:rPr>
        <w:t xml:space="preserve"> </w:t>
      </w:r>
    </w:p>
    <w:p w14:paraId="58AF043C" w14:textId="77777777" w:rsidR="00BF4A51" w:rsidRPr="00BF4A51" w:rsidRDefault="0090249F" w:rsidP="00BF4A51">
      <w:pPr>
        <w:autoSpaceDE w:val="0"/>
        <w:autoSpaceDN w:val="0"/>
        <w:adjustRightInd w:val="0"/>
        <w:spacing w:before="240" w:line="240" w:lineRule="auto"/>
        <w:jc w:val="both"/>
        <w:rPr>
          <w:rFonts w:ascii="ITC Avant Garde" w:hAnsi="ITC Avant Garde"/>
          <w:b/>
          <w:bCs/>
          <w:color w:val="000000"/>
          <w:lang w:eastAsia="es-MX"/>
        </w:rPr>
      </w:pPr>
      <w:r w:rsidRPr="00BF4A51">
        <w:rPr>
          <w:rFonts w:ascii="ITC Avant Garde" w:hAnsi="ITC Avant Garde"/>
          <w:bCs/>
        </w:rPr>
        <w:t>Finalmente, en relación con la opinión técnica no vinculante de la Secretaría, referida por el artículo 28 de la Constitución para asuntos como el abordado en la presente Resolución, debe considerarse que la Solicitud de Prórroga fue presentada antes de la expedición del Decreto de Reforma Constitucional y, por ende, previ</w:t>
      </w:r>
      <w:r w:rsidR="0031373D" w:rsidRPr="00BF4A51">
        <w:rPr>
          <w:rFonts w:ascii="ITC Avant Garde" w:hAnsi="ITC Avant Garde"/>
          <w:bCs/>
        </w:rPr>
        <w:t>amente</w:t>
      </w:r>
      <w:r w:rsidRPr="00BF4A51">
        <w:rPr>
          <w:rFonts w:ascii="ITC Avant Garde" w:hAnsi="ITC Avant Garde"/>
          <w:bCs/>
        </w:rPr>
        <w:t xml:space="preserve"> a la integración del Instituto, por lo que el trámite y desahogo de dicha Solicitud de Prórroga debe ajustarse a los términos establecidos por la legislación aplicable al momento de su inicio, misma que no preveía la opinión técnica señalada por parte de dicha dependencia.</w:t>
      </w:r>
    </w:p>
    <w:p w14:paraId="3E6D62C1" w14:textId="2BEDB114" w:rsidR="009C1799" w:rsidRPr="00BF4A51" w:rsidRDefault="007C534D" w:rsidP="00BF4A51">
      <w:pPr>
        <w:tabs>
          <w:tab w:val="num" w:pos="540"/>
        </w:tabs>
        <w:spacing w:before="240" w:line="240" w:lineRule="auto"/>
        <w:jc w:val="both"/>
        <w:rPr>
          <w:rFonts w:ascii="ITC Avant Garde" w:hAnsi="ITC Avant Garde"/>
          <w:bCs/>
          <w:color w:val="000000"/>
          <w:lang w:eastAsia="es-MX"/>
        </w:rPr>
      </w:pPr>
      <w:r w:rsidRPr="00BF4A51">
        <w:rPr>
          <w:rFonts w:ascii="ITC Avant Garde" w:hAnsi="ITC Avant Garde"/>
          <w:b/>
          <w:bCs/>
          <w:color w:val="000000"/>
          <w:lang w:eastAsia="es-MX"/>
        </w:rPr>
        <w:t>Séptim</w:t>
      </w:r>
      <w:r w:rsidR="00AE0D16" w:rsidRPr="00BF4A51">
        <w:rPr>
          <w:rFonts w:ascii="ITC Avant Garde" w:hAnsi="ITC Avant Garde"/>
          <w:b/>
          <w:bCs/>
          <w:color w:val="000000"/>
          <w:lang w:eastAsia="es-MX"/>
        </w:rPr>
        <w:t xml:space="preserve">o.- </w:t>
      </w:r>
      <w:r w:rsidR="00C41F9F" w:rsidRPr="00BF4A51">
        <w:rPr>
          <w:rFonts w:ascii="ITC Avant Garde" w:hAnsi="ITC Avant Garde"/>
          <w:b/>
          <w:bCs/>
          <w:color w:val="000000"/>
          <w:lang w:eastAsia="es-MX"/>
        </w:rPr>
        <w:t>Contraprestación.</w:t>
      </w:r>
      <w:r w:rsidR="00C41F9F" w:rsidRPr="00BF4A51">
        <w:rPr>
          <w:rFonts w:ascii="ITC Avant Garde" w:hAnsi="ITC Avant Garde"/>
          <w:bCs/>
          <w:color w:val="000000"/>
          <w:lang w:val="es-ES" w:eastAsia="es-MX"/>
        </w:rPr>
        <w:t xml:space="preserve"> </w:t>
      </w:r>
      <w:r w:rsidR="009C1799" w:rsidRPr="00BF4A51">
        <w:rPr>
          <w:rFonts w:ascii="ITC Avant Garde" w:hAnsi="ITC Avant Garde"/>
          <w:bCs/>
          <w:color w:val="000000"/>
          <w:lang w:eastAsia="es-MX"/>
        </w:rPr>
        <w:t>Como ya quedó señalado en el Considerando Segundo, la normatividad aplicable a la Solicitud de Prórroga está contenida en la LFT, la cual, en su artículo 19 establece, entre otros, el requisito de fijar nuevas condiciones al concesionario, entre las que se encuentra fijar una contraprestación por el uso, aprovechamiento y explotación de bandas de frecuenci</w:t>
      </w:r>
      <w:r w:rsidR="005A3F60" w:rsidRPr="00BF4A51">
        <w:rPr>
          <w:rFonts w:ascii="ITC Avant Garde" w:hAnsi="ITC Avant Garde"/>
          <w:bCs/>
          <w:color w:val="000000"/>
          <w:lang w:eastAsia="es-MX"/>
        </w:rPr>
        <w:t>as del espectro radioeléctrico.</w:t>
      </w:r>
    </w:p>
    <w:p w14:paraId="11957145" w14:textId="3AD0848F" w:rsidR="009C1799" w:rsidRPr="00BF4A51" w:rsidRDefault="009C1799" w:rsidP="00BF4A51">
      <w:pPr>
        <w:tabs>
          <w:tab w:val="num" w:pos="540"/>
        </w:tabs>
        <w:spacing w:before="240" w:line="240" w:lineRule="auto"/>
        <w:jc w:val="both"/>
        <w:rPr>
          <w:rFonts w:ascii="ITC Avant Garde" w:hAnsi="ITC Avant Garde"/>
          <w:bCs/>
          <w:color w:val="000000"/>
          <w:lang w:eastAsia="es-MX"/>
        </w:rPr>
      </w:pPr>
      <w:r w:rsidRPr="00BF4A51">
        <w:rPr>
          <w:rFonts w:ascii="ITC Avant Garde" w:hAnsi="ITC Avant Garde"/>
          <w:bCs/>
          <w:color w:val="000000"/>
          <w:lang w:eastAsia="es-MX"/>
        </w:rPr>
        <w:t>Por su parte, el artículo 14 del citado ord</w:t>
      </w:r>
      <w:r w:rsidR="005A3F60" w:rsidRPr="00BF4A51">
        <w:rPr>
          <w:rFonts w:ascii="ITC Avant Garde" w:hAnsi="ITC Avant Garde"/>
          <w:bCs/>
          <w:color w:val="000000"/>
          <w:lang w:eastAsia="es-MX"/>
        </w:rPr>
        <w:t>enamiento, señala lo siguiente:</w:t>
      </w:r>
    </w:p>
    <w:p w14:paraId="45B66AF0" w14:textId="77777777" w:rsidR="00340B22" w:rsidRPr="00BF4A51" w:rsidRDefault="009C1799" w:rsidP="00BF4A51">
      <w:pPr>
        <w:tabs>
          <w:tab w:val="num" w:pos="540"/>
        </w:tabs>
        <w:spacing w:before="240" w:line="240" w:lineRule="auto"/>
        <w:ind w:left="540" w:right="528"/>
        <w:jc w:val="both"/>
        <w:rPr>
          <w:rFonts w:ascii="ITC Avant Garde" w:hAnsi="ITC Avant Garde"/>
          <w:bCs/>
          <w:color w:val="000000"/>
          <w:sz w:val="16"/>
          <w:szCs w:val="16"/>
          <w:lang w:eastAsia="es-MX"/>
        </w:rPr>
      </w:pPr>
      <w:r w:rsidRPr="00BF4A51">
        <w:rPr>
          <w:rFonts w:ascii="ITC Avant Garde" w:hAnsi="ITC Avant Garde"/>
          <w:bCs/>
          <w:color w:val="000000"/>
          <w:sz w:val="16"/>
          <w:szCs w:val="16"/>
          <w:lang w:eastAsia="es-MX"/>
        </w:rPr>
        <w:t>“</w:t>
      </w:r>
      <w:r w:rsidRPr="00BF4A51">
        <w:rPr>
          <w:rFonts w:ascii="ITC Avant Garde" w:hAnsi="ITC Avant Garde"/>
          <w:b/>
          <w:bCs/>
          <w:color w:val="000000"/>
          <w:sz w:val="16"/>
          <w:szCs w:val="16"/>
          <w:lang w:eastAsia="es-MX"/>
        </w:rPr>
        <w:t>Artículo 14.</w:t>
      </w:r>
      <w:r w:rsidRPr="00BF4A51">
        <w:rPr>
          <w:rFonts w:ascii="ITC Avant Garde" w:hAnsi="ITC Avant Garde"/>
          <w:bCs/>
          <w:color w:val="000000"/>
          <w:sz w:val="16"/>
          <w:szCs w:val="16"/>
          <w:lang w:eastAsia="es-MX"/>
        </w:rPr>
        <w:t xml:space="preserve"> Las concesiones sobre bandas de frecuencias del espectro para usos determinados se otorgarán mediante licitación pública. </w:t>
      </w:r>
      <w:r w:rsidRPr="00BF4A51">
        <w:rPr>
          <w:rFonts w:ascii="ITC Avant Garde" w:hAnsi="ITC Avant Garde"/>
          <w:bCs/>
          <w:color w:val="000000"/>
          <w:sz w:val="16"/>
          <w:szCs w:val="16"/>
          <w:u w:val="single"/>
          <w:lang w:eastAsia="es-MX"/>
        </w:rPr>
        <w:t>El Gobierno Federal tendrá derecho a recibir una contraprestación económica por el otorgamiento de la concesión correspondiente</w:t>
      </w:r>
      <w:r w:rsidRPr="00BF4A51">
        <w:rPr>
          <w:rFonts w:ascii="ITC Avant Garde" w:hAnsi="ITC Avant Garde"/>
          <w:bCs/>
          <w:color w:val="000000"/>
          <w:sz w:val="16"/>
          <w:szCs w:val="16"/>
          <w:lang w:eastAsia="es-MX"/>
        </w:rPr>
        <w:t>.”</w:t>
      </w:r>
    </w:p>
    <w:p w14:paraId="2D272482" w14:textId="02315A70" w:rsidR="009C1799" w:rsidRPr="00BF4A51" w:rsidRDefault="009C1799" w:rsidP="00BF4A51">
      <w:pPr>
        <w:tabs>
          <w:tab w:val="num" w:pos="540"/>
        </w:tabs>
        <w:spacing w:before="240" w:line="240" w:lineRule="auto"/>
        <w:ind w:left="540" w:right="528"/>
        <w:jc w:val="both"/>
        <w:rPr>
          <w:rFonts w:ascii="ITC Avant Garde" w:hAnsi="ITC Avant Garde"/>
          <w:bCs/>
          <w:color w:val="000000"/>
          <w:sz w:val="16"/>
          <w:szCs w:val="16"/>
          <w:lang w:eastAsia="es-MX"/>
        </w:rPr>
      </w:pPr>
      <w:r w:rsidRPr="00BF4A51">
        <w:rPr>
          <w:rFonts w:ascii="ITC Avant Garde" w:hAnsi="ITC Avant Garde"/>
          <w:bCs/>
          <w:color w:val="000000"/>
          <w:sz w:val="16"/>
          <w:szCs w:val="16"/>
          <w:lang w:eastAsia="es-MX"/>
        </w:rPr>
        <w:t xml:space="preserve"> (Énfasis añadido)</w:t>
      </w:r>
    </w:p>
    <w:p w14:paraId="088D34CF" w14:textId="77777777" w:rsidR="00BF4A51" w:rsidRPr="00BF4A51" w:rsidRDefault="00340B22" w:rsidP="00BF4A51">
      <w:pPr>
        <w:spacing w:before="240" w:line="240" w:lineRule="auto"/>
        <w:jc w:val="both"/>
        <w:rPr>
          <w:rFonts w:ascii="ITC Avant Garde" w:hAnsi="ITC Avant Garde"/>
        </w:rPr>
      </w:pPr>
      <w:r w:rsidRPr="00BF4A51">
        <w:rPr>
          <w:rFonts w:ascii="ITC Avant Garde" w:hAnsi="ITC Avant Garde"/>
          <w:bCs/>
          <w:color w:val="000000"/>
          <w:lang w:eastAsia="es-MX"/>
        </w:rPr>
        <w:t xml:space="preserve">En efecto, el otorgamiento de una prórroga de vigencia constituye un nuevo acto de otorgamiento de una concesión para el uso, aprovechamiento y explotación del </w:t>
      </w:r>
      <w:r w:rsidRPr="00BF4A51">
        <w:rPr>
          <w:rFonts w:ascii="ITC Avant Garde" w:hAnsi="ITC Avant Garde"/>
        </w:rPr>
        <w:t xml:space="preserve">espectro radioeléctrico, </w:t>
      </w:r>
      <w:r w:rsidRPr="00BF4A51">
        <w:rPr>
          <w:rFonts w:ascii="ITC Avant Garde" w:hAnsi="ITC Avant Garde"/>
          <w:bCs/>
          <w:color w:val="000000"/>
          <w:lang w:eastAsia="es-MX"/>
        </w:rPr>
        <w:t>por un plazo determinado</w:t>
      </w:r>
      <w:r w:rsidRPr="00BF4A51">
        <w:rPr>
          <w:rFonts w:ascii="ITC Avant Garde" w:hAnsi="ITC Avant Garde"/>
        </w:rPr>
        <w:t>.</w:t>
      </w:r>
    </w:p>
    <w:p w14:paraId="376423FF" w14:textId="77777777" w:rsidR="00BF4A51" w:rsidRPr="00BF4A51" w:rsidRDefault="00AC7C8A" w:rsidP="00BF4A51">
      <w:pPr>
        <w:spacing w:before="240" w:line="240" w:lineRule="auto"/>
        <w:jc w:val="both"/>
        <w:rPr>
          <w:rFonts w:ascii="ITC Avant Garde" w:hAnsi="ITC Avant Garde"/>
        </w:rPr>
      </w:pPr>
      <w:r w:rsidRPr="00BF4A51">
        <w:rPr>
          <w:rFonts w:ascii="ITC Avant Garde" w:hAnsi="ITC Avant Garde"/>
        </w:rPr>
        <w:t>El espectro radioeléctrico constituye un recurso económico del Estado al que le son aplicables los principios contenidos por el artículo 134 de la Constitución, conjuntamente con los establecidos por los artículos 25, 26, 27 y 28 que conforman el capítulo económico de la Ley Fundamental, por lo que se otorga en concesión sólo a cambio de una contraprestación económica. En este sentido, al prorrogarse el título de concesión respectivo, el Estado tiene derecho a percibir una contraprestación por el uso, goce, aprovechamiento o explotación del bien de dominio público de la Federación al que se hace mención.</w:t>
      </w:r>
    </w:p>
    <w:p w14:paraId="1A5FBB09" w14:textId="77777777" w:rsidR="00BF4A51" w:rsidRPr="00BF4A51" w:rsidRDefault="009C1799" w:rsidP="00BF4A51">
      <w:pPr>
        <w:tabs>
          <w:tab w:val="num" w:pos="540"/>
        </w:tabs>
        <w:spacing w:before="240" w:line="240" w:lineRule="auto"/>
        <w:jc w:val="both"/>
        <w:rPr>
          <w:rFonts w:ascii="ITC Avant Garde" w:hAnsi="ITC Avant Garde"/>
          <w:bCs/>
          <w:color w:val="000000"/>
          <w:lang w:eastAsia="es-MX"/>
        </w:rPr>
      </w:pPr>
      <w:r w:rsidRPr="00BF4A51">
        <w:rPr>
          <w:rFonts w:ascii="ITC Avant Garde" w:hAnsi="ITC Avant Garde"/>
          <w:bCs/>
          <w:color w:val="000000"/>
          <w:lang w:eastAsia="es-MX"/>
        </w:rPr>
        <w:t xml:space="preserve">Ahora bien, la Solicitud de Prórroga fue presentada antes de la entrada en vigor del Decreto de Reforma Constitucional. En tal virtud, dicha disposición estableció en el segundo párrafo del artículo Séptimo Transitorio que los procedimientos iniciados con anterioridad a la integración del Instituto, continuarán su trámite en términos de la legislación aplicable al momento de su inicio, por lo que corresponde a la </w:t>
      </w:r>
      <w:r w:rsidR="00790F65" w:rsidRPr="00BF4A51">
        <w:rPr>
          <w:rFonts w:ascii="ITC Avant Garde" w:hAnsi="ITC Avant Garde"/>
          <w:bCs/>
          <w:color w:val="000000"/>
          <w:lang w:eastAsia="es-MX"/>
        </w:rPr>
        <w:t>SHCP</w:t>
      </w:r>
      <w:r w:rsidRPr="00BF4A51">
        <w:rPr>
          <w:rFonts w:ascii="ITC Avant Garde" w:hAnsi="ITC Avant Garde"/>
          <w:bCs/>
          <w:color w:val="000000"/>
          <w:lang w:eastAsia="es-MX"/>
        </w:rPr>
        <w:t xml:space="preserve">, en atención a lo señalado en el artículo 10 de la Ley de Ingresos de la Federación, fijar los aprovechamientos que se cobrarán en el ejercicio fiscal correspondiente por el uso, </w:t>
      </w:r>
      <w:r w:rsidRPr="00BF4A51">
        <w:rPr>
          <w:rFonts w:ascii="ITC Avant Garde" w:hAnsi="ITC Avant Garde"/>
          <w:bCs/>
          <w:color w:val="000000"/>
          <w:lang w:eastAsia="es-MX"/>
        </w:rPr>
        <w:lastRenderedPageBreak/>
        <w:t xml:space="preserve">goce, aprovechamiento o explotación de bienes sujetos al régimen de dominio público de la Federación. </w:t>
      </w:r>
    </w:p>
    <w:p w14:paraId="70639098" w14:textId="77777777" w:rsidR="00BF4A51" w:rsidRPr="00BF4A51" w:rsidRDefault="0090249F" w:rsidP="00BF4A51">
      <w:pPr>
        <w:tabs>
          <w:tab w:val="num" w:pos="540"/>
        </w:tabs>
        <w:spacing w:before="240" w:line="240" w:lineRule="auto"/>
        <w:jc w:val="both"/>
        <w:rPr>
          <w:rFonts w:ascii="ITC Avant Garde" w:hAnsi="ITC Avant Garde"/>
          <w:bCs/>
          <w:color w:val="000000"/>
          <w:lang w:val="es-ES" w:eastAsia="es-MX"/>
        </w:rPr>
      </w:pPr>
      <w:r w:rsidRPr="00BF4A51">
        <w:rPr>
          <w:rFonts w:ascii="ITC Avant Garde" w:hAnsi="ITC Avant Garde"/>
          <w:bCs/>
          <w:color w:val="000000"/>
          <w:lang w:val="es-ES" w:eastAsia="es-MX"/>
        </w:rPr>
        <w:t>En ese sentido, a fin de que la SHCP fijara el monto del aprovechamiento correspondiente, mediante los oficios IFT/222/UER/398/2016 de fecha 6 de diciembre de 2016 e IFT/222/UER/002/2017 de fecha 10 de enero de 2017 la Unidad de Espectro Radioeléctrico del Instituto remitió a la SHCP la propuesta de aprovechamiento que deberá pagar AT&amp;T Comunicaciones Digitales al Gobierno Federal por concepto de la prórroga de la Concesión por 10 (diez) años, en el cual señaló, entre otros aspectos, lo siguiente:</w:t>
      </w:r>
    </w:p>
    <w:p w14:paraId="73A158BE" w14:textId="77777777" w:rsidR="00BF4A51" w:rsidRPr="00BF4A51" w:rsidRDefault="00905BC6" w:rsidP="00BF4A51">
      <w:pPr>
        <w:tabs>
          <w:tab w:val="num" w:pos="540"/>
        </w:tabs>
        <w:spacing w:before="240" w:line="240" w:lineRule="auto"/>
        <w:ind w:left="567" w:right="615"/>
        <w:contextualSpacing/>
        <w:jc w:val="both"/>
        <w:rPr>
          <w:rFonts w:ascii="ITC Avant Garde" w:hAnsi="ITC Avant Garde"/>
          <w:bCs/>
          <w:color w:val="000000"/>
          <w:sz w:val="18"/>
          <w:szCs w:val="18"/>
          <w:lang w:eastAsia="es-MX"/>
        </w:rPr>
      </w:pPr>
      <w:r w:rsidRPr="00BF4A51">
        <w:rPr>
          <w:rFonts w:ascii="ITC Avant Garde" w:hAnsi="ITC Avant Garde"/>
          <w:bCs/>
          <w:color w:val="000000"/>
          <w:sz w:val="18"/>
          <w:szCs w:val="18"/>
          <w:lang w:eastAsia="es-MX"/>
        </w:rPr>
        <w:t>“[…]</w:t>
      </w:r>
    </w:p>
    <w:p w14:paraId="306F33A5" w14:textId="77777777" w:rsidR="00BF4A51" w:rsidRPr="00BF4A51" w:rsidRDefault="00905BC6" w:rsidP="00BF4A51">
      <w:pPr>
        <w:numPr>
          <w:ilvl w:val="0"/>
          <w:numId w:val="40"/>
        </w:numPr>
        <w:tabs>
          <w:tab w:val="num" w:pos="540"/>
        </w:tabs>
        <w:spacing w:before="240" w:line="240" w:lineRule="auto"/>
        <w:ind w:right="615" w:firstLine="131"/>
        <w:contextualSpacing/>
        <w:jc w:val="both"/>
        <w:rPr>
          <w:rFonts w:ascii="ITC Avant Garde" w:hAnsi="ITC Avant Garde"/>
          <w:b/>
          <w:bCs/>
          <w:color w:val="000000"/>
          <w:sz w:val="18"/>
          <w:szCs w:val="18"/>
          <w:lang w:eastAsia="es-MX"/>
        </w:rPr>
      </w:pPr>
      <w:r w:rsidRPr="00BF4A51">
        <w:rPr>
          <w:rFonts w:ascii="ITC Avant Garde" w:hAnsi="ITC Avant Garde"/>
          <w:b/>
          <w:bCs/>
          <w:color w:val="000000"/>
          <w:sz w:val="18"/>
          <w:szCs w:val="18"/>
          <w:lang w:eastAsia="es-MX"/>
        </w:rPr>
        <w:t>METODOLOGÍA DEL CÁLCULO DE LA CONTRAPRESTACIÓN.</w:t>
      </w:r>
    </w:p>
    <w:p w14:paraId="35887FA3" w14:textId="77777777" w:rsidR="00BF4A51" w:rsidRPr="00BF4A51" w:rsidRDefault="0090249F" w:rsidP="00BF4A51">
      <w:pPr>
        <w:pStyle w:val="Prrafodelista"/>
        <w:spacing w:before="240" w:after="200"/>
        <w:ind w:left="567" w:right="473"/>
        <w:jc w:val="both"/>
        <w:rPr>
          <w:rFonts w:ascii="ITC Avant Garde" w:hAnsi="ITC Avant Garde"/>
          <w:bCs/>
          <w:iCs/>
          <w:color w:val="000000"/>
          <w:sz w:val="18"/>
          <w:szCs w:val="18"/>
          <w:lang w:eastAsia="es-MX"/>
        </w:rPr>
      </w:pPr>
      <w:r w:rsidRPr="00BF4A51">
        <w:rPr>
          <w:rFonts w:ascii="ITC Avant Garde" w:eastAsia="Calibri" w:hAnsi="ITC Avant Garde"/>
          <w:bCs/>
          <w:iCs/>
          <w:color w:val="000000"/>
          <w:sz w:val="18"/>
          <w:szCs w:val="18"/>
          <w:lang w:val="es-MX" w:eastAsia="es-MX"/>
        </w:rPr>
        <w:t xml:space="preserve">Derivado de lo anteriormente expuesto, el Instituto realizó el cálculo de Contraprestación considerando los criterios definidos para las áreas de cobertura de los títulos de concesión de AT&amp;T en la banda 806-824/851-869 MHz; en específico, dichos criterios mencionados en el apartado I del presente oficio y la metodología del cálculo de la contraprestación son exactamente los mismos que se detallaron para las empresas Sistemas de Comunicaciones Troncales, S.A. de C.V. y </w:t>
      </w:r>
      <w:proofErr w:type="spellStart"/>
      <w:r w:rsidRPr="00BF4A51">
        <w:rPr>
          <w:rFonts w:ascii="ITC Avant Garde" w:eastAsia="Calibri" w:hAnsi="ITC Avant Garde"/>
          <w:bCs/>
          <w:iCs/>
          <w:color w:val="000000"/>
          <w:sz w:val="18"/>
          <w:szCs w:val="18"/>
          <w:lang w:val="es-MX" w:eastAsia="es-MX"/>
        </w:rPr>
        <w:t>Radiocom</w:t>
      </w:r>
      <w:proofErr w:type="spellEnd"/>
      <w:r w:rsidRPr="00BF4A51">
        <w:rPr>
          <w:rFonts w:ascii="ITC Avant Garde" w:eastAsia="Calibri" w:hAnsi="ITC Avant Garde"/>
          <w:bCs/>
          <w:iCs/>
          <w:color w:val="000000"/>
          <w:sz w:val="18"/>
          <w:szCs w:val="18"/>
          <w:lang w:val="es-MX" w:eastAsia="es-MX"/>
        </w:rPr>
        <w:t xml:space="preserve"> del Pacífico, S.A. de C.V. en los oficios IFT/222/UER/302/2016 y IFT/222/UER/301/2016, respectivamente, mismos que fueron enviados a la Unidad a su cargo el pasado 15 de septiembre del año en curso.</w:t>
      </w:r>
    </w:p>
    <w:p w14:paraId="0B217A28" w14:textId="77777777" w:rsidR="00BF4A51" w:rsidRPr="00BF4A51" w:rsidRDefault="0090249F" w:rsidP="00BF4A51">
      <w:pPr>
        <w:pStyle w:val="Prrafodelista"/>
        <w:spacing w:before="240" w:after="200"/>
        <w:ind w:left="567" w:right="473"/>
        <w:jc w:val="both"/>
        <w:rPr>
          <w:rFonts w:ascii="ITC Avant Garde" w:hAnsi="ITC Avant Garde"/>
          <w:bCs/>
          <w:iCs/>
          <w:color w:val="000000"/>
          <w:sz w:val="18"/>
          <w:szCs w:val="18"/>
          <w:lang w:eastAsia="es-MX"/>
        </w:rPr>
      </w:pPr>
      <w:r w:rsidRPr="00BF4A51">
        <w:rPr>
          <w:rFonts w:ascii="ITC Avant Garde" w:eastAsia="Calibri" w:hAnsi="ITC Avant Garde"/>
          <w:bCs/>
          <w:iCs/>
          <w:color w:val="000000"/>
          <w:sz w:val="18"/>
          <w:szCs w:val="18"/>
          <w:lang w:val="es-MX" w:eastAsia="es-MX"/>
        </w:rPr>
        <w:t>El único cambio con respecto a las 3 empresas materia del presente oficio es que la metodología que se detalla en los dos oficios recién citados en el párrafo anterior aplicó para modificaciones al título de concesión, mientras que el caso presente aplica para prórrogas al título de concesión. En este sentido, el cálculo de la contraprestación del presente oficio sólo toma en cuenta el periodo total concesionado (10 años) y las frecuencias y municipios resultado de los criterios técnicos descritos en el apartado I de este análisis.</w:t>
      </w:r>
    </w:p>
    <w:p w14:paraId="27D4D297" w14:textId="77777777" w:rsidR="00BF4A51" w:rsidRPr="00BF4A51" w:rsidRDefault="0090249F" w:rsidP="00BF4A51">
      <w:pPr>
        <w:pStyle w:val="Prrafodelista"/>
        <w:spacing w:before="240" w:after="200"/>
        <w:ind w:left="567" w:right="473"/>
        <w:jc w:val="both"/>
        <w:rPr>
          <w:rFonts w:ascii="ITC Avant Garde" w:hAnsi="ITC Avant Garde"/>
          <w:bCs/>
          <w:iCs/>
          <w:color w:val="000000"/>
          <w:sz w:val="18"/>
          <w:szCs w:val="18"/>
          <w:lang w:eastAsia="es-MX"/>
        </w:rPr>
      </w:pPr>
      <w:r w:rsidRPr="00BF4A51">
        <w:rPr>
          <w:rFonts w:ascii="ITC Avant Garde" w:eastAsia="Calibri" w:hAnsi="ITC Avant Garde"/>
          <w:bCs/>
          <w:iCs/>
          <w:color w:val="000000"/>
          <w:sz w:val="18"/>
          <w:szCs w:val="18"/>
          <w:lang w:val="es-MX" w:eastAsia="es-MX"/>
        </w:rPr>
        <w:t>En términos generales, en la metodología se propone un aprovechamiento a pagarse en una sola exhibición con base en los pagos realizados (Posturas Válidas más Altas –‘</w:t>
      </w:r>
      <w:proofErr w:type="spellStart"/>
      <w:r w:rsidRPr="00BF4A51">
        <w:rPr>
          <w:rFonts w:ascii="ITC Avant Garde" w:eastAsia="Calibri" w:hAnsi="ITC Avant Garde"/>
          <w:bCs/>
          <w:iCs/>
          <w:color w:val="000000"/>
          <w:sz w:val="18"/>
          <w:szCs w:val="18"/>
          <w:lang w:val="es-MX" w:eastAsia="es-MX"/>
        </w:rPr>
        <w:t>PVMA’s</w:t>
      </w:r>
      <w:proofErr w:type="spellEnd"/>
      <w:r w:rsidRPr="00BF4A51">
        <w:rPr>
          <w:rFonts w:ascii="ITC Avant Garde" w:eastAsia="Calibri" w:hAnsi="ITC Avant Garde"/>
          <w:bCs/>
          <w:iCs/>
          <w:color w:val="000000"/>
          <w:sz w:val="18"/>
          <w:szCs w:val="18"/>
          <w:lang w:val="es-MX" w:eastAsia="es-MX"/>
        </w:rPr>
        <w:t xml:space="preserve">’-) en la Licitación IFT-3 (espectro AWS localizado en segmentos de las bandas 1.7 y 2.1 GHz), actualizados con el INPC de octubre de 2016. Cabe mencionar, que se tomó de referencia la Licitación IFT-3 por los motivos siguientes: 1) es la referencia de mercado más cercana para la valuación de la banda de frecuencia citada; 2) el espectro AWS asignado en la IFT-3 tiene el mismo servicio que el segmento de banda de análisis, acceso inalámbrico fijo-móvil; y 4) ambos segmentos de banda son consideradas Bandas IMT (International Mobile </w:t>
      </w:r>
      <w:proofErr w:type="spellStart"/>
      <w:r w:rsidRPr="00BF4A51">
        <w:rPr>
          <w:rFonts w:ascii="ITC Avant Garde" w:eastAsia="Calibri" w:hAnsi="ITC Avant Garde"/>
          <w:bCs/>
          <w:iCs/>
          <w:color w:val="000000"/>
          <w:sz w:val="18"/>
          <w:szCs w:val="18"/>
          <w:lang w:val="es-MX" w:eastAsia="es-MX"/>
        </w:rPr>
        <w:t>Telecommunications</w:t>
      </w:r>
      <w:proofErr w:type="spellEnd"/>
      <w:r w:rsidRPr="00BF4A51">
        <w:rPr>
          <w:rFonts w:ascii="ITC Avant Garde" w:eastAsia="Calibri" w:hAnsi="ITC Avant Garde"/>
          <w:bCs/>
          <w:iCs/>
          <w:color w:val="000000"/>
          <w:sz w:val="18"/>
          <w:szCs w:val="18"/>
          <w:lang w:val="es-MX" w:eastAsia="es-MX"/>
        </w:rPr>
        <w:t>)</w:t>
      </w:r>
      <w:r w:rsidRPr="00BF4A51">
        <w:rPr>
          <w:rFonts w:ascii="ITC Avant Garde" w:hAnsi="ITC Avant Garde"/>
          <w:bCs/>
          <w:iCs/>
          <w:color w:val="000000"/>
          <w:sz w:val="18"/>
          <w:szCs w:val="18"/>
          <w:vertAlign w:val="superscript"/>
          <w:lang w:eastAsia="es-MX"/>
        </w:rPr>
        <w:footnoteReference w:id="6"/>
      </w:r>
      <w:r w:rsidRPr="00BF4A51">
        <w:rPr>
          <w:rFonts w:ascii="ITC Avant Garde" w:eastAsia="Calibri" w:hAnsi="ITC Avant Garde"/>
          <w:bCs/>
          <w:iCs/>
          <w:color w:val="000000"/>
          <w:sz w:val="18"/>
          <w:szCs w:val="18"/>
          <w:vertAlign w:val="superscript"/>
          <w:lang w:val="es-MX" w:eastAsia="es-MX"/>
        </w:rPr>
        <w:t>.</w:t>
      </w:r>
    </w:p>
    <w:p w14:paraId="70684D65" w14:textId="34046649" w:rsidR="00BF4A51" w:rsidRPr="00BF4A51" w:rsidRDefault="0090249F" w:rsidP="00BF4A51">
      <w:pPr>
        <w:pStyle w:val="Prrafodelista"/>
        <w:spacing w:before="240" w:after="200"/>
        <w:ind w:left="567" w:right="473"/>
        <w:jc w:val="both"/>
        <w:rPr>
          <w:rFonts w:ascii="ITC Avant Garde" w:hAnsi="ITC Avant Garde"/>
          <w:bCs/>
          <w:iCs/>
          <w:color w:val="000000"/>
          <w:sz w:val="18"/>
          <w:szCs w:val="18"/>
          <w:lang w:eastAsia="es-MX"/>
        </w:rPr>
      </w:pPr>
      <w:r w:rsidRPr="00BF4A51">
        <w:rPr>
          <w:rFonts w:ascii="ITC Avant Garde" w:eastAsia="Calibri" w:hAnsi="ITC Avant Garde"/>
          <w:bCs/>
          <w:iCs/>
          <w:color w:val="000000"/>
          <w:sz w:val="18"/>
          <w:szCs w:val="18"/>
          <w:lang w:val="es-MX" w:eastAsia="es-MX"/>
        </w:rPr>
        <w:t>Por otra parte, en dicha Licitación se realizó la asignación de frecuencias a nivel Nacional por MHz, por lo que para obtener el valor por kHz se realizaron los pasos siguientes:</w:t>
      </w:r>
    </w:p>
    <w:p w14:paraId="56FD3444" w14:textId="77777777" w:rsidR="00BF4A51" w:rsidRPr="00BF4A51" w:rsidRDefault="0090249F" w:rsidP="00BF4A51">
      <w:pPr>
        <w:pStyle w:val="Prrafodelista"/>
        <w:spacing w:before="240" w:after="200"/>
        <w:ind w:left="567" w:right="473"/>
        <w:jc w:val="both"/>
        <w:rPr>
          <w:rFonts w:ascii="ITC Avant Garde" w:eastAsia="Calibri" w:hAnsi="ITC Avant Garde"/>
          <w:bCs/>
          <w:iCs/>
          <w:color w:val="000000"/>
          <w:sz w:val="18"/>
          <w:szCs w:val="18"/>
          <w:lang w:val="es-MX" w:eastAsia="es-MX"/>
        </w:rPr>
      </w:pPr>
      <w:r w:rsidRPr="00BF4A51">
        <w:rPr>
          <w:rFonts w:ascii="ITC Avant Garde" w:eastAsia="Calibri" w:hAnsi="ITC Avant Garde"/>
          <w:bCs/>
          <w:iCs/>
          <w:color w:val="000000"/>
          <w:sz w:val="18"/>
          <w:szCs w:val="18"/>
          <w:lang w:val="es-MX" w:eastAsia="es-MX"/>
        </w:rPr>
        <w:t>Se dividió el total ofertado por los participantes en dicha Licitación ($3</w:t>
      </w:r>
      <w:proofErr w:type="gramStart"/>
      <w:r w:rsidRPr="00BF4A51">
        <w:rPr>
          <w:rFonts w:ascii="ITC Avant Garde" w:eastAsia="Calibri" w:hAnsi="ITC Avant Garde"/>
          <w:bCs/>
          <w:iCs/>
          <w:color w:val="000000"/>
          <w:sz w:val="18"/>
          <w:szCs w:val="18"/>
          <w:lang w:val="es-MX" w:eastAsia="es-MX"/>
        </w:rPr>
        <w:t>,748,000,000</w:t>
      </w:r>
      <w:proofErr w:type="gramEnd"/>
      <w:r w:rsidRPr="00BF4A51">
        <w:rPr>
          <w:rFonts w:ascii="ITC Avant Garde" w:eastAsia="Calibri" w:hAnsi="ITC Avant Garde"/>
          <w:bCs/>
          <w:iCs/>
          <w:color w:val="000000"/>
          <w:sz w:val="18"/>
          <w:szCs w:val="18"/>
          <w:lang w:val="es-MX" w:eastAsia="es-MX"/>
        </w:rPr>
        <w:t xml:space="preserve"> pesos mexicanos) para la sub-banda AWS-1 entre el total de MHz licitados en dicha sub-banda (40 MHz) para obtener el valor de un MHz a nivel nacional ($93,700,000 pesos mexicanos), dicho monto se actualizó</w:t>
      </w:r>
      <w:r w:rsidRPr="00BF4A51">
        <w:rPr>
          <w:rFonts w:ascii="ITC Avant Garde" w:hAnsi="ITC Avant Garde"/>
          <w:bCs/>
          <w:iCs/>
          <w:color w:val="000000"/>
          <w:sz w:val="18"/>
          <w:szCs w:val="18"/>
          <w:vertAlign w:val="superscript"/>
          <w:lang w:eastAsia="es-MX"/>
        </w:rPr>
        <w:footnoteReference w:id="7"/>
      </w:r>
      <w:r w:rsidRPr="00BF4A51">
        <w:rPr>
          <w:rFonts w:ascii="ITC Avant Garde" w:eastAsia="Calibri" w:hAnsi="ITC Avant Garde"/>
          <w:bCs/>
          <w:iCs/>
          <w:color w:val="000000"/>
          <w:sz w:val="18"/>
          <w:szCs w:val="18"/>
          <w:lang w:val="es-MX" w:eastAsia="es-MX"/>
        </w:rPr>
        <w:t xml:space="preserve"> a octubre 2016 ($94,877,670 pesos mexicanos). Es importante señalar que sólo se tomó en cuenta lo ofertado en la sub-banda AWS-1 debido a que este segmento de </w:t>
      </w:r>
      <w:r w:rsidRPr="00BF4A51">
        <w:rPr>
          <w:rFonts w:ascii="ITC Avant Garde" w:eastAsia="Calibri" w:hAnsi="ITC Avant Garde"/>
          <w:bCs/>
          <w:iCs/>
          <w:color w:val="000000"/>
          <w:sz w:val="18"/>
          <w:szCs w:val="18"/>
          <w:lang w:val="es-MX" w:eastAsia="es-MX"/>
        </w:rPr>
        <w:lastRenderedPageBreak/>
        <w:t xml:space="preserve">banda es el único que actualmente se utiliza comercialmente para la prestación de servicios inalámbricos de banda ancha, ya que a nivel internacional cuenta con economías de escala en la provisión de equipos. </w:t>
      </w:r>
    </w:p>
    <w:p w14:paraId="66C9552F" w14:textId="77777777" w:rsidR="00BF4A51" w:rsidRPr="00BF4A51" w:rsidRDefault="0090249F" w:rsidP="00BF4A51">
      <w:pPr>
        <w:pStyle w:val="Prrafodelista"/>
        <w:spacing w:before="240" w:after="200"/>
        <w:ind w:left="567" w:right="473"/>
        <w:jc w:val="both"/>
        <w:rPr>
          <w:rFonts w:ascii="ITC Avant Garde" w:hAnsi="ITC Avant Garde"/>
          <w:bCs/>
          <w:iCs/>
          <w:color w:val="000000"/>
          <w:sz w:val="18"/>
          <w:szCs w:val="18"/>
          <w:lang w:eastAsia="es-MX"/>
        </w:rPr>
      </w:pPr>
      <w:r w:rsidRPr="00BF4A51">
        <w:rPr>
          <w:rFonts w:ascii="ITC Avant Garde" w:eastAsia="Calibri" w:hAnsi="ITC Avant Garde"/>
          <w:bCs/>
          <w:iCs/>
          <w:color w:val="000000"/>
          <w:sz w:val="18"/>
          <w:szCs w:val="18"/>
          <w:lang w:val="es-MX" w:eastAsia="es-MX"/>
        </w:rPr>
        <w:t>Dado que las concesiones de espectro en la Licitación IFT-3 fueron otorgadas por MHz con vigencia de 15 años, se realiza el ajuste a KHz, dando como resultado un valor por KHz a nivel nacional de $94,878 pesos mexicanos ($94</w:t>
      </w:r>
      <w:proofErr w:type="gramStart"/>
      <w:r w:rsidRPr="00BF4A51">
        <w:rPr>
          <w:rFonts w:ascii="ITC Avant Garde" w:eastAsia="Calibri" w:hAnsi="ITC Avant Garde"/>
          <w:bCs/>
          <w:iCs/>
          <w:color w:val="000000"/>
          <w:sz w:val="18"/>
          <w:szCs w:val="18"/>
          <w:lang w:val="es-MX" w:eastAsia="es-MX"/>
        </w:rPr>
        <w:t>,877,670</w:t>
      </w:r>
      <w:proofErr w:type="gramEnd"/>
      <w:r w:rsidRPr="00BF4A51">
        <w:rPr>
          <w:rFonts w:ascii="ITC Avant Garde" w:eastAsia="Calibri" w:hAnsi="ITC Avant Garde"/>
          <w:bCs/>
          <w:iCs/>
          <w:color w:val="000000"/>
          <w:sz w:val="18"/>
          <w:szCs w:val="18"/>
          <w:lang w:val="es-MX" w:eastAsia="es-MX"/>
        </w:rPr>
        <w:t>/1000).</w:t>
      </w:r>
    </w:p>
    <w:p w14:paraId="4D72BF54" w14:textId="194ABB03" w:rsidR="0008232D" w:rsidRPr="00BF4A51" w:rsidRDefault="0090249F" w:rsidP="00BF4A51">
      <w:pPr>
        <w:pStyle w:val="Prrafodelista"/>
        <w:spacing w:before="240" w:after="200"/>
        <w:ind w:left="567" w:right="473"/>
        <w:jc w:val="both"/>
        <w:rPr>
          <w:rFonts w:ascii="ITC Avant Garde" w:hAnsi="ITC Avant Garde"/>
          <w:bCs/>
          <w:iCs/>
          <w:color w:val="000000"/>
          <w:sz w:val="18"/>
          <w:szCs w:val="18"/>
          <w:lang w:eastAsia="es-MX"/>
        </w:rPr>
      </w:pPr>
      <w:r w:rsidRPr="00BF4A51">
        <w:rPr>
          <w:rFonts w:ascii="ITC Avant Garde" w:eastAsia="Calibri" w:hAnsi="ITC Avant Garde"/>
          <w:bCs/>
          <w:iCs/>
          <w:color w:val="000000"/>
          <w:sz w:val="18"/>
          <w:szCs w:val="18"/>
          <w:lang w:val="es-MX" w:eastAsia="es-MX"/>
        </w:rPr>
        <w:t>Con base en lo anterior, los concesionarios deberán pagar por la prórroga de los títulos de concesión correspondientes los siguientes montos de contraprestación:</w:t>
      </w:r>
      <w:r w:rsidR="0008232D" w:rsidRPr="00BF4A51">
        <w:rPr>
          <w:rFonts w:ascii="ITC Avant Garde" w:eastAsia="Calibri" w:hAnsi="ITC Avant Garde"/>
          <w:bCs/>
          <w:iCs/>
          <w:color w:val="000000"/>
          <w:sz w:val="18"/>
          <w:szCs w:val="18"/>
          <w:lang w:val="es-MX" w:eastAsia="es-MX"/>
        </w:rPr>
        <w:fldChar w:fldCharType="begin"/>
      </w:r>
      <w:r w:rsidR="0008232D" w:rsidRPr="00BF4A51">
        <w:rPr>
          <w:rFonts w:ascii="ITC Avant Garde" w:eastAsia="Calibri" w:hAnsi="ITC Avant Garde"/>
          <w:bCs/>
          <w:iCs/>
          <w:color w:val="000000"/>
          <w:sz w:val="18"/>
          <w:szCs w:val="18"/>
          <w:lang w:val="es-MX" w:eastAsia="es-MX"/>
        </w:rPr>
        <w:instrText xml:space="preserve"> LINK Excel.Sheet.12 "C:\\Users\\dv4\\Documents\\ATT (segunda)\\Documents\\ATT (segunda)\\prórroga\\ATT Prórrogas Cominintemex_Ser Radiocom Móvil_Servicios Troncalizados.xlsx" resumen!F8C2:F11C3 \a \f 4 \h  \* MERGEFORMAT </w:instrText>
      </w:r>
      <w:r w:rsidR="0008232D" w:rsidRPr="00BF4A51">
        <w:rPr>
          <w:rFonts w:ascii="ITC Avant Garde" w:eastAsia="Calibri" w:hAnsi="ITC Avant Garde"/>
          <w:bCs/>
          <w:iCs/>
          <w:color w:val="000000"/>
          <w:sz w:val="18"/>
          <w:szCs w:val="18"/>
          <w:lang w:val="es-MX" w:eastAsia="es-MX"/>
        </w:rPr>
        <w:fldChar w:fldCharType="separate"/>
      </w:r>
    </w:p>
    <w:tbl>
      <w:tblPr>
        <w:tblStyle w:val="Tablaconcuadrcula8"/>
        <w:tblW w:w="7049" w:type="dxa"/>
        <w:jc w:val="center"/>
        <w:tblLook w:val="04A0" w:firstRow="1" w:lastRow="0" w:firstColumn="1" w:lastColumn="0" w:noHBand="0" w:noVBand="1"/>
        <w:tblCaption w:val="Monto de Contraprestación"/>
        <w:tblDescription w:val="En una tabla de 2 columnas y 3 filas, se proporciona el Monto de Contraprestación que deberá pagar la empresa."/>
      </w:tblPr>
      <w:tblGrid>
        <w:gridCol w:w="4111"/>
        <w:gridCol w:w="2938"/>
      </w:tblGrid>
      <w:tr w:rsidR="00CB50AC" w:rsidRPr="00BF4A51" w14:paraId="329BF423" w14:textId="77777777" w:rsidTr="00E94FAE">
        <w:trPr>
          <w:trHeight w:val="510"/>
          <w:tblHeader/>
          <w:jc w:val="center"/>
        </w:trPr>
        <w:tc>
          <w:tcPr>
            <w:tcW w:w="4111" w:type="dxa"/>
            <w:shd w:val="clear" w:color="auto" w:fill="92D050"/>
            <w:noWrap/>
            <w:vAlign w:val="center"/>
            <w:hideMark/>
          </w:tcPr>
          <w:p w14:paraId="4622D4DA" w14:textId="77777777" w:rsidR="0008232D" w:rsidRPr="00BF4A51" w:rsidRDefault="0008232D" w:rsidP="00E94FAE">
            <w:pPr>
              <w:pStyle w:val="Prrafodelista"/>
              <w:ind w:left="567" w:right="473"/>
              <w:jc w:val="center"/>
              <w:rPr>
                <w:rFonts w:ascii="ITC Avant Garde" w:eastAsia="Calibri" w:hAnsi="ITC Avant Garde"/>
                <w:b/>
                <w:bCs/>
                <w:iCs/>
                <w:color w:val="000000"/>
                <w:sz w:val="18"/>
                <w:szCs w:val="18"/>
                <w:lang w:eastAsia="es-MX"/>
              </w:rPr>
            </w:pPr>
            <w:r w:rsidRPr="00BF4A51">
              <w:rPr>
                <w:rFonts w:ascii="ITC Avant Garde" w:eastAsia="Calibri" w:hAnsi="ITC Avant Garde"/>
                <w:b/>
                <w:bCs/>
                <w:iCs/>
                <w:color w:val="000000"/>
                <w:sz w:val="18"/>
                <w:szCs w:val="18"/>
                <w:lang w:val="es-MX" w:eastAsia="es-MX"/>
              </w:rPr>
              <w:t>Empresa</w:t>
            </w:r>
          </w:p>
        </w:tc>
        <w:tc>
          <w:tcPr>
            <w:tcW w:w="2938" w:type="dxa"/>
            <w:shd w:val="clear" w:color="auto" w:fill="92D050"/>
            <w:vAlign w:val="center"/>
            <w:hideMark/>
          </w:tcPr>
          <w:p w14:paraId="2CD05E98" w14:textId="77777777" w:rsidR="00BF4A51" w:rsidRDefault="0008232D" w:rsidP="00E94FAE">
            <w:pPr>
              <w:pStyle w:val="Prrafodelista"/>
              <w:ind w:left="567" w:right="473"/>
              <w:jc w:val="center"/>
              <w:rPr>
                <w:rFonts w:ascii="ITC Avant Garde" w:eastAsia="Calibri" w:hAnsi="ITC Avant Garde"/>
                <w:b/>
                <w:bCs/>
                <w:iCs/>
                <w:color w:val="000000"/>
                <w:sz w:val="18"/>
                <w:szCs w:val="18"/>
                <w:lang w:val="es-MX" w:eastAsia="es-MX"/>
              </w:rPr>
            </w:pPr>
            <w:r w:rsidRPr="00BF4A51">
              <w:rPr>
                <w:rFonts w:ascii="ITC Avant Garde" w:eastAsia="Calibri" w:hAnsi="ITC Avant Garde"/>
                <w:b/>
                <w:bCs/>
                <w:iCs/>
                <w:color w:val="000000"/>
                <w:sz w:val="18"/>
                <w:szCs w:val="18"/>
                <w:lang w:val="es-MX" w:eastAsia="es-MX"/>
              </w:rPr>
              <w:t>Monto de Contraprestación</w:t>
            </w:r>
          </w:p>
          <w:p w14:paraId="414C9925" w14:textId="50C9B1A1" w:rsidR="0008232D" w:rsidRPr="00BF4A51" w:rsidRDefault="0008232D" w:rsidP="00E94FAE">
            <w:pPr>
              <w:pStyle w:val="Prrafodelista"/>
              <w:ind w:left="567" w:right="473"/>
              <w:jc w:val="center"/>
              <w:rPr>
                <w:rFonts w:ascii="ITC Avant Garde" w:eastAsia="Calibri" w:hAnsi="ITC Avant Garde"/>
                <w:b/>
                <w:bCs/>
                <w:iCs/>
                <w:color w:val="000000"/>
                <w:sz w:val="18"/>
                <w:szCs w:val="18"/>
                <w:lang w:eastAsia="es-MX"/>
              </w:rPr>
            </w:pPr>
            <w:r w:rsidRPr="00BF4A51">
              <w:rPr>
                <w:rFonts w:ascii="ITC Avant Garde" w:eastAsia="Calibri" w:hAnsi="ITC Avant Garde"/>
                <w:b/>
                <w:bCs/>
                <w:iCs/>
                <w:color w:val="000000"/>
                <w:sz w:val="18"/>
                <w:szCs w:val="18"/>
                <w:lang w:val="es-MX" w:eastAsia="es-MX"/>
              </w:rPr>
              <w:t>(pesos mexicanos)</w:t>
            </w:r>
          </w:p>
        </w:tc>
      </w:tr>
      <w:tr w:rsidR="00CB50AC" w:rsidRPr="00BF4A51" w14:paraId="49A7AE61" w14:textId="77777777" w:rsidTr="00BF4A51">
        <w:trPr>
          <w:trHeight w:val="255"/>
          <w:jc w:val="center"/>
        </w:trPr>
        <w:tc>
          <w:tcPr>
            <w:tcW w:w="4111" w:type="dxa"/>
            <w:noWrap/>
            <w:hideMark/>
          </w:tcPr>
          <w:p w14:paraId="23F1B86F" w14:textId="778A95D8" w:rsidR="0008232D" w:rsidRPr="00BF4A51" w:rsidRDefault="00011880" w:rsidP="00BF4A51">
            <w:pPr>
              <w:pStyle w:val="Prrafodelista"/>
              <w:ind w:left="567" w:right="473"/>
              <w:jc w:val="center"/>
              <w:rPr>
                <w:rFonts w:ascii="ITC Avant Garde" w:eastAsia="Calibri" w:hAnsi="ITC Avant Garde"/>
                <w:b/>
                <w:bCs/>
                <w:iCs/>
                <w:color w:val="000000"/>
                <w:sz w:val="18"/>
                <w:szCs w:val="18"/>
                <w:lang w:eastAsia="es-MX"/>
              </w:rPr>
            </w:pPr>
            <w:proofErr w:type="spellStart"/>
            <w:r w:rsidRPr="00BF4A51">
              <w:rPr>
                <w:rFonts w:ascii="ITC Avant Garde" w:eastAsia="Calibri" w:hAnsi="ITC Avant Garde"/>
                <w:b/>
                <w:bCs/>
                <w:iCs/>
                <w:color w:val="000000"/>
                <w:sz w:val="18"/>
                <w:szCs w:val="18"/>
                <w:lang w:val="es-MX" w:eastAsia="es-MX"/>
              </w:rPr>
              <w:t>Comintermex</w:t>
            </w:r>
            <w:proofErr w:type="spellEnd"/>
            <w:r w:rsidRPr="00BF4A51">
              <w:rPr>
                <w:rFonts w:ascii="ITC Avant Garde" w:eastAsia="Calibri" w:hAnsi="ITC Avant Garde"/>
                <w:b/>
                <w:bCs/>
                <w:iCs/>
                <w:color w:val="000000"/>
                <w:sz w:val="18"/>
                <w:szCs w:val="18"/>
                <w:lang w:val="es-MX" w:eastAsia="es-MX"/>
              </w:rPr>
              <w:t>, S.A. de C.V.</w:t>
            </w:r>
          </w:p>
        </w:tc>
        <w:tc>
          <w:tcPr>
            <w:tcW w:w="2938" w:type="dxa"/>
            <w:noWrap/>
            <w:hideMark/>
          </w:tcPr>
          <w:p w14:paraId="0B3D4C60" w14:textId="09694912" w:rsidR="0008232D" w:rsidRPr="00BF4A51" w:rsidRDefault="00011880" w:rsidP="00BF4A51">
            <w:pPr>
              <w:pStyle w:val="Prrafodelista"/>
              <w:ind w:left="567" w:right="473"/>
              <w:jc w:val="center"/>
              <w:rPr>
                <w:rFonts w:ascii="ITC Avant Garde" w:eastAsia="Calibri" w:hAnsi="ITC Avant Garde"/>
                <w:b/>
                <w:bCs/>
                <w:iCs/>
                <w:color w:val="000000"/>
                <w:sz w:val="18"/>
                <w:szCs w:val="18"/>
                <w:lang w:eastAsia="es-MX"/>
              </w:rPr>
            </w:pPr>
            <w:r w:rsidRPr="00BF4A51">
              <w:rPr>
                <w:rFonts w:ascii="ITC Avant Garde" w:eastAsia="Calibri" w:hAnsi="ITC Avant Garde"/>
                <w:b/>
                <w:bCs/>
                <w:iCs/>
                <w:color w:val="000000"/>
                <w:sz w:val="18"/>
                <w:szCs w:val="18"/>
                <w:lang w:val="es-MX" w:eastAsia="es-MX"/>
              </w:rPr>
              <w:t>$ 12,353,486</w:t>
            </w:r>
          </w:p>
        </w:tc>
      </w:tr>
      <w:tr w:rsidR="00831917" w:rsidRPr="00BF4A51" w14:paraId="532B6C9C" w14:textId="77777777" w:rsidTr="00BF4A51">
        <w:trPr>
          <w:trHeight w:val="255"/>
          <w:jc w:val="center"/>
        </w:trPr>
        <w:tc>
          <w:tcPr>
            <w:tcW w:w="4111" w:type="dxa"/>
            <w:noWrap/>
          </w:tcPr>
          <w:p w14:paraId="40D99F39" w14:textId="1144C0CC" w:rsidR="00831917" w:rsidRPr="00BF4A51" w:rsidRDefault="00831917" w:rsidP="00BF4A51">
            <w:pPr>
              <w:pStyle w:val="Prrafodelista"/>
              <w:ind w:left="567" w:right="473"/>
              <w:jc w:val="center"/>
              <w:rPr>
                <w:rFonts w:ascii="ITC Avant Garde" w:eastAsia="Calibri" w:hAnsi="ITC Avant Garde"/>
                <w:bCs/>
                <w:iCs/>
                <w:color w:val="000000"/>
                <w:sz w:val="18"/>
                <w:szCs w:val="18"/>
                <w:lang w:eastAsia="es-MX"/>
              </w:rPr>
            </w:pPr>
            <w:r w:rsidRPr="00BF4A51">
              <w:rPr>
                <w:rFonts w:ascii="ITC Avant Garde" w:eastAsia="Calibri" w:hAnsi="ITC Avant Garde"/>
                <w:bCs/>
                <w:iCs/>
                <w:color w:val="000000"/>
                <w:sz w:val="18"/>
                <w:szCs w:val="18"/>
                <w:lang w:val="es-MX" w:eastAsia="es-MX"/>
              </w:rPr>
              <w:t>(…)</w:t>
            </w:r>
          </w:p>
        </w:tc>
        <w:tc>
          <w:tcPr>
            <w:tcW w:w="2938" w:type="dxa"/>
            <w:noWrap/>
          </w:tcPr>
          <w:p w14:paraId="77BE1B54" w14:textId="15A509C9" w:rsidR="00831917" w:rsidRPr="00BF4A51" w:rsidRDefault="00831917" w:rsidP="00BF4A51">
            <w:pPr>
              <w:pStyle w:val="Prrafodelista"/>
              <w:ind w:left="567" w:right="473"/>
              <w:jc w:val="center"/>
              <w:rPr>
                <w:rFonts w:ascii="ITC Avant Garde" w:eastAsia="Calibri" w:hAnsi="ITC Avant Garde"/>
                <w:bCs/>
                <w:iCs/>
                <w:color w:val="000000"/>
                <w:sz w:val="18"/>
                <w:szCs w:val="18"/>
                <w:lang w:eastAsia="es-MX"/>
              </w:rPr>
            </w:pPr>
            <w:r w:rsidRPr="00BF4A51">
              <w:rPr>
                <w:rFonts w:ascii="ITC Avant Garde" w:eastAsia="Calibri" w:hAnsi="ITC Avant Garde"/>
                <w:bCs/>
                <w:iCs/>
                <w:color w:val="000000"/>
                <w:sz w:val="18"/>
                <w:szCs w:val="18"/>
                <w:lang w:val="es-MX" w:eastAsia="es-MX"/>
              </w:rPr>
              <w:t>(…)</w:t>
            </w:r>
          </w:p>
        </w:tc>
      </w:tr>
      <w:tr w:rsidR="00831917" w:rsidRPr="00BF4A51" w14:paraId="71D934BD" w14:textId="77777777" w:rsidTr="00BF4A51">
        <w:trPr>
          <w:trHeight w:val="255"/>
          <w:jc w:val="center"/>
        </w:trPr>
        <w:tc>
          <w:tcPr>
            <w:tcW w:w="4111" w:type="dxa"/>
            <w:noWrap/>
            <w:hideMark/>
          </w:tcPr>
          <w:p w14:paraId="43F289B1" w14:textId="729ECDC1" w:rsidR="00831917" w:rsidRPr="00BF4A51" w:rsidRDefault="00831917" w:rsidP="00BF4A51">
            <w:pPr>
              <w:pStyle w:val="Prrafodelista"/>
              <w:ind w:left="567" w:right="473"/>
              <w:jc w:val="center"/>
              <w:rPr>
                <w:rFonts w:ascii="ITC Avant Garde" w:eastAsia="Calibri" w:hAnsi="ITC Avant Garde"/>
                <w:b/>
                <w:bCs/>
                <w:iCs/>
                <w:color w:val="000000"/>
                <w:sz w:val="18"/>
                <w:szCs w:val="18"/>
                <w:lang w:eastAsia="es-MX"/>
              </w:rPr>
            </w:pPr>
            <w:r w:rsidRPr="00BF4A51">
              <w:rPr>
                <w:rFonts w:ascii="ITC Avant Garde" w:eastAsia="Calibri" w:hAnsi="ITC Avant Garde"/>
                <w:bCs/>
                <w:iCs/>
                <w:color w:val="000000"/>
                <w:sz w:val="18"/>
                <w:szCs w:val="18"/>
                <w:lang w:val="es-MX" w:eastAsia="es-MX"/>
              </w:rPr>
              <w:t>(…)</w:t>
            </w:r>
          </w:p>
        </w:tc>
        <w:tc>
          <w:tcPr>
            <w:tcW w:w="2938" w:type="dxa"/>
            <w:noWrap/>
            <w:hideMark/>
          </w:tcPr>
          <w:p w14:paraId="4A993027" w14:textId="51486876" w:rsidR="00831917" w:rsidRPr="00BF4A51" w:rsidRDefault="00831917" w:rsidP="00BF4A51">
            <w:pPr>
              <w:pStyle w:val="Prrafodelista"/>
              <w:ind w:left="567" w:right="473"/>
              <w:jc w:val="center"/>
              <w:rPr>
                <w:rFonts w:ascii="ITC Avant Garde" w:eastAsia="Calibri" w:hAnsi="ITC Avant Garde"/>
                <w:b/>
                <w:bCs/>
                <w:iCs/>
                <w:color w:val="000000"/>
                <w:sz w:val="18"/>
                <w:szCs w:val="18"/>
                <w:lang w:eastAsia="es-MX"/>
              </w:rPr>
            </w:pPr>
            <w:r w:rsidRPr="00BF4A51">
              <w:rPr>
                <w:rFonts w:ascii="ITC Avant Garde" w:eastAsia="Calibri" w:hAnsi="ITC Avant Garde"/>
                <w:bCs/>
                <w:iCs/>
                <w:color w:val="000000"/>
                <w:sz w:val="18"/>
                <w:szCs w:val="18"/>
                <w:lang w:val="es-MX" w:eastAsia="es-MX"/>
              </w:rPr>
              <w:t>(…)</w:t>
            </w:r>
          </w:p>
        </w:tc>
      </w:tr>
    </w:tbl>
    <w:p w14:paraId="292A6744" w14:textId="00AF008F" w:rsidR="00BF4A51" w:rsidRPr="00BF4A51" w:rsidRDefault="0008232D" w:rsidP="00BF4A51">
      <w:pPr>
        <w:pStyle w:val="Prrafodelista"/>
        <w:spacing w:before="240" w:after="200"/>
        <w:ind w:left="567" w:right="473"/>
        <w:jc w:val="both"/>
        <w:rPr>
          <w:rFonts w:ascii="ITC Avant Garde" w:hAnsi="ITC Avant Garde"/>
          <w:bCs/>
          <w:iCs/>
          <w:color w:val="000000"/>
          <w:sz w:val="18"/>
          <w:szCs w:val="18"/>
          <w:lang w:eastAsia="es-MX"/>
        </w:rPr>
      </w:pPr>
      <w:r w:rsidRPr="00BF4A51">
        <w:rPr>
          <w:rFonts w:ascii="ITC Avant Garde" w:eastAsia="Calibri" w:hAnsi="ITC Avant Garde"/>
          <w:bCs/>
          <w:iCs/>
          <w:color w:val="000000"/>
          <w:sz w:val="18"/>
          <w:szCs w:val="18"/>
          <w:lang w:val="es-MX" w:eastAsia="es-MX"/>
        </w:rPr>
        <w:fldChar w:fldCharType="end"/>
      </w:r>
      <w:r w:rsidRPr="00BF4A51">
        <w:rPr>
          <w:rFonts w:ascii="ITC Avant Garde" w:eastAsia="Calibri" w:hAnsi="ITC Avant Garde"/>
          <w:bCs/>
          <w:iCs/>
          <w:color w:val="000000"/>
          <w:sz w:val="18"/>
          <w:szCs w:val="18"/>
          <w:lang w:val="es-MX" w:eastAsia="es-MX"/>
        </w:rPr>
        <w:t>Es importante señalar que el Anexo I del presente oficio muestra el detalle de los municipios, las series de frecuencias, el ancho de banda y las regiones en donde será concesionado el espectro a cada una de las tres empresas que están solicitando el trámite de prórroga de sus títulos de concesión.</w:t>
      </w:r>
    </w:p>
    <w:p w14:paraId="5574FCA3" w14:textId="77777777" w:rsidR="00BF4A51" w:rsidRPr="00BF4A51" w:rsidRDefault="0008232D" w:rsidP="00BF4A51">
      <w:pPr>
        <w:pStyle w:val="Prrafodelista"/>
        <w:numPr>
          <w:ilvl w:val="0"/>
          <w:numId w:val="40"/>
        </w:numPr>
        <w:spacing w:before="240" w:after="200"/>
        <w:ind w:left="1134" w:right="473" w:hanging="425"/>
        <w:jc w:val="both"/>
        <w:rPr>
          <w:rFonts w:ascii="ITC Avant Garde" w:hAnsi="ITC Avant Garde"/>
          <w:b/>
          <w:bCs/>
          <w:iCs/>
          <w:color w:val="000000"/>
          <w:sz w:val="18"/>
          <w:szCs w:val="18"/>
          <w:lang w:eastAsia="es-MX"/>
        </w:rPr>
      </w:pPr>
      <w:r w:rsidRPr="00BF4A51">
        <w:rPr>
          <w:rFonts w:ascii="ITC Avant Garde" w:eastAsia="Calibri" w:hAnsi="ITC Avant Garde"/>
          <w:b/>
          <w:bCs/>
          <w:iCs/>
          <w:color w:val="000000"/>
          <w:sz w:val="18"/>
          <w:szCs w:val="18"/>
          <w:lang w:val="es-MX" w:eastAsia="es-MX"/>
        </w:rPr>
        <w:t>FUNDAMENTACIÓN.</w:t>
      </w:r>
    </w:p>
    <w:p w14:paraId="7A011DA7" w14:textId="77777777" w:rsidR="00BF4A51" w:rsidRPr="00BF4A51" w:rsidRDefault="0008232D" w:rsidP="00BF4A51">
      <w:pPr>
        <w:pStyle w:val="Prrafodelista"/>
        <w:spacing w:before="240" w:after="200"/>
        <w:ind w:left="567" w:right="473"/>
        <w:jc w:val="both"/>
        <w:rPr>
          <w:rFonts w:ascii="ITC Avant Garde" w:hAnsi="ITC Avant Garde"/>
          <w:bCs/>
          <w:iCs/>
          <w:color w:val="000000"/>
          <w:sz w:val="18"/>
          <w:szCs w:val="18"/>
          <w:lang w:eastAsia="es-MX"/>
        </w:rPr>
      </w:pPr>
      <w:r w:rsidRPr="00BF4A51">
        <w:rPr>
          <w:rFonts w:ascii="ITC Avant Garde" w:eastAsia="Calibri" w:hAnsi="ITC Avant Garde"/>
          <w:bCs/>
          <w:iCs/>
          <w:color w:val="000000"/>
          <w:sz w:val="18"/>
          <w:szCs w:val="18"/>
          <w:lang w:val="es-MX" w:eastAsia="es-MX"/>
        </w:rPr>
        <w:t>En este orden de ideas, sobre la fijación a la contraprestación le informo que se deberá considerar lo siguiente:</w:t>
      </w:r>
    </w:p>
    <w:p w14:paraId="5C6D784B" w14:textId="77777777" w:rsidR="00BF4A51" w:rsidRPr="00BF4A51" w:rsidRDefault="0008232D" w:rsidP="00BF4A51">
      <w:pPr>
        <w:pStyle w:val="Prrafodelista"/>
        <w:numPr>
          <w:ilvl w:val="0"/>
          <w:numId w:val="50"/>
        </w:numPr>
        <w:spacing w:before="240" w:after="200"/>
        <w:ind w:right="473"/>
        <w:jc w:val="both"/>
        <w:rPr>
          <w:rFonts w:ascii="ITC Avant Garde" w:eastAsia="Calibri" w:hAnsi="ITC Avant Garde"/>
          <w:bCs/>
          <w:iCs/>
          <w:color w:val="000000"/>
          <w:sz w:val="18"/>
          <w:szCs w:val="18"/>
          <w:lang w:val="es-MX" w:eastAsia="es-MX"/>
        </w:rPr>
      </w:pPr>
      <w:r w:rsidRPr="00BF4A51">
        <w:rPr>
          <w:rFonts w:ascii="ITC Avant Garde" w:eastAsia="Calibri" w:hAnsi="ITC Avant Garde"/>
          <w:bCs/>
          <w:iCs/>
          <w:color w:val="000000"/>
          <w:sz w:val="18"/>
          <w:szCs w:val="18"/>
          <w:lang w:val="es-MX" w:eastAsia="es-MX"/>
        </w:rPr>
        <w:t>Las concesiones referidas en el documento en el párrafo anterior iniciaron su proceso de prórroga antes de la publicación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por lo que continuarán su proceso con el Instituto Federal de Telecomunicaciones de acuerdo al artículo Séptimo Transitorio de dich</w:t>
      </w:r>
      <w:r w:rsidR="0083124A" w:rsidRPr="00BF4A51">
        <w:rPr>
          <w:rFonts w:ascii="ITC Avant Garde" w:eastAsia="Calibri" w:hAnsi="ITC Avant Garde"/>
          <w:bCs/>
          <w:iCs/>
          <w:color w:val="000000"/>
          <w:sz w:val="18"/>
          <w:szCs w:val="18"/>
          <w:lang w:val="es-MX" w:eastAsia="es-MX"/>
        </w:rPr>
        <w:t>o Decreto, el cual señala que: ‘</w:t>
      </w:r>
      <w:r w:rsidRPr="00BF4A51">
        <w:rPr>
          <w:rFonts w:ascii="ITC Avant Garde" w:eastAsia="Calibri" w:hAnsi="ITC Avant Garde"/>
          <w:bCs/>
          <w:iCs/>
          <w:color w:val="000000"/>
          <w:sz w:val="18"/>
          <w:szCs w:val="18"/>
          <w:lang w:val="es-MX" w:eastAsia="es-MX"/>
        </w:rPr>
        <w:t>Los procedimientos iniciados con anterioridad a la integración de la Comisión Federal de Competencia Económica y del Instituto Federal de Telecomunicaciones, continuarán su trámite ante estos órganos en términos de la legislación ap</w:t>
      </w:r>
      <w:r w:rsidR="0083124A" w:rsidRPr="00BF4A51">
        <w:rPr>
          <w:rFonts w:ascii="ITC Avant Garde" w:eastAsia="Calibri" w:hAnsi="ITC Avant Garde"/>
          <w:bCs/>
          <w:iCs/>
          <w:color w:val="000000"/>
          <w:sz w:val="18"/>
          <w:szCs w:val="18"/>
          <w:lang w:val="es-MX" w:eastAsia="es-MX"/>
        </w:rPr>
        <w:t>licable al momento de su inicio´</w:t>
      </w:r>
      <w:r w:rsidRPr="00BF4A51">
        <w:rPr>
          <w:rFonts w:ascii="ITC Avant Garde" w:eastAsia="Calibri" w:hAnsi="ITC Avant Garde"/>
          <w:bCs/>
          <w:iCs/>
          <w:color w:val="000000"/>
          <w:sz w:val="18"/>
          <w:szCs w:val="18"/>
          <w:lang w:val="es-MX" w:eastAsia="es-MX"/>
        </w:rPr>
        <w:t>.</w:t>
      </w:r>
    </w:p>
    <w:p w14:paraId="7343FF76" w14:textId="77777777" w:rsidR="00BF4A51" w:rsidRPr="00BF4A51" w:rsidRDefault="0008232D" w:rsidP="00BF4A51">
      <w:pPr>
        <w:pStyle w:val="Prrafodelista"/>
        <w:numPr>
          <w:ilvl w:val="0"/>
          <w:numId w:val="50"/>
        </w:numPr>
        <w:spacing w:before="240" w:after="200"/>
        <w:ind w:right="473"/>
        <w:jc w:val="both"/>
        <w:rPr>
          <w:rFonts w:ascii="ITC Avant Garde" w:eastAsia="Calibri" w:hAnsi="ITC Avant Garde"/>
          <w:bCs/>
          <w:iCs/>
          <w:color w:val="000000"/>
          <w:sz w:val="18"/>
          <w:szCs w:val="18"/>
          <w:lang w:val="es-MX" w:eastAsia="es-MX"/>
        </w:rPr>
      </w:pPr>
      <w:r w:rsidRPr="00BF4A51">
        <w:rPr>
          <w:rFonts w:ascii="ITC Avant Garde" w:eastAsia="Calibri" w:hAnsi="ITC Avant Garde"/>
          <w:bCs/>
          <w:iCs/>
          <w:color w:val="000000"/>
          <w:sz w:val="18"/>
          <w:szCs w:val="18"/>
          <w:lang w:val="es-MX" w:eastAsia="es-MX"/>
        </w:rPr>
        <w:t>Con relación a la fijación de la contraprestación, el artículo 100 de la LFTR establece que se debe fijar el monto de las contraprestaciones en los supuestos siguientes: por el otorgamiento,  la prórroga de la vigencia o los cambios en los servicios de las concesiones y la autorización de los servicios vinculados a éstas tratándose de concesiones sobre el espectro radioeléctrico.</w:t>
      </w:r>
    </w:p>
    <w:p w14:paraId="762061F1" w14:textId="77777777" w:rsidR="00BF4A51" w:rsidRPr="00BF4A51" w:rsidRDefault="0008232D" w:rsidP="00BF4A51">
      <w:pPr>
        <w:pStyle w:val="Prrafodelista"/>
        <w:numPr>
          <w:ilvl w:val="0"/>
          <w:numId w:val="50"/>
        </w:numPr>
        <w:spacing w:before="240" w:after="200"/>
        <w:ind w:right="473"/>
        <w:jc w:val="both"/>
        <w:rPr>
          <w:rFonts w:ascii="ITC Avant Garde" w:eastAsia="Calibri" w:hAnsi="ITC Avant Garde"/>
          <w:bCs/>
          <w:iCs/>
          <w:color w:val="000000"/>
          <w:sz w:val="18"/>
          <w:szCs w:val="18"/>
          <w:lang w:val="es-MX" w:eastAsia="es-MX"/>
        </w:rPr>
      </w:pPr>
      <w:r w:rsidRPr="00BF4A51">
        <w:rPr>
          <w:rFonts w:ascii="ITC Avant Garde" w:eastAsia="Calibri" w:hAnsi="ITC Avant Garde"/>
          <w:bCs/>
          <w:iCs/>
          <w:color w:val="000000"/>
          <w:sz w:val="18"/>
          <w:szCs w:val="18"/>
          <w:lang w:val="es-MX" w:eastAsia="es-MX"/>
        </w:rPr>
        <w:t>Que de conformidad con los principios institucionales y la normatividad aplicable a las concesiones de bandas de frecuencias del espectro radioeléctrico antes citadas, es posible establecer un aprovechamiento que deberá ser aceptado y, por ende, pagado por el concesionario como requisito previo a la prórroga de su concesión.</w:t>
      </w:r>
    </w:p>
    <w:p w14:paraId="4975B12C" w14:textId="77777777" w:rsidR="00BF4A51" w:rsidRPr="00BF4A51" w:rsidRDefault="0008232D" w:rsidP="00BF4A51">
      <w:pPr>
        <w:pStyle w:val="Prrafodelista"/>
        <w:numPr>
          <w:ilvl w:val="0"/>
          <w:numId w:val="50"/>
        </w:numPr>
        <w:spacing w:before="240" w:after="200"/>
        <w:ind w:right="473"/>
        <w:jc w:val="both"/>
        <w:rPr>
          <w:rFonts w:ascii="ITC Avant Garde" w:eastAsia="Calibri" w:hAnsi="ITC Avant Garde"/>
          <w:bCs/>
          <w:iCs/>
          <w:color w:val="000000"/>
          <w:sz w:val="18"/>
          <w:szCs w:val="18"/>
          <w:lang w:val="es-MX" w:eastAsia="es-MX"/>
        </w:rPr>
      </w:pPr>
      <w:r w:rsidRPr="00BF4A51">
        <w:rPr>
          <w:rFonts w:ascii="ITC Avant Garde" w:eastAsia="Calibri" w:hAnsi="ITC Avant Garde"/>
          <w:bCs/>
          <w:iCs/>
          <w:color w:val="000000"/>
          <w:sz w:val="18"/>
          <w:szCs w:val="18"/>
          <w:lang w:val="es-MX" w:eastAsia="es-MX"/>
        </w:rPr>
        <w:t xml:space="preserve">El valor de referencia utilizado en torno a la Licitación IFT-3 del segmento AWS-1 sólo contempla las ofertas económicas realizadas por los participantes en dicha licitación; es decir, dicho valor no contempla los pagos de derechos por el uso del espectro que </w:t>
      </w:r>
      <w:r w:rsidRPr="00BF4A51">
        <w:rPr>
          <w:rFonts w:ascii="ITC Avant Garde" w:eastAsia="Calibri" w:hAnsi="ITC Avant Garde"/>
          <w:bCs/>
          <w:iCs/>
          <w:color w:val="000000"/>
          <w:sz w:val="18"/>
          <w:szCs w:val="18"/>
          <w:lang w:val="es-MX" w:eastAsia="es-MX"/>
        </w:rPr>
        <w:lastRenderedPageBreak/>
        <w:t xml:space="preserve">deberán realizar los ganadores de la citada licitación durante la vigencia de 15 años de sus respectivas concesiones. </w:t>
      </w:r>
    </w:p>
    <w:p w14:paraId="73DB190A" w14:textId="77777777" w:rsidR="00BF4A51" w:rsidRPr="00BF4A51" w:rsidRDefault="0008232D" w:rsidP="00BF4A51">
      <w:pPr>
        <w:pStyle w:val="Prrafodelista"/>
        <w:numPr>
          <w:ilvl w:val="0"/>
          <w:numId w:val="50"/>
        </w:numPr>
        <w:spacing w:before="240" w:after="200"/>
        <w:ind w:right="473"/>
        <w:jc w:val="both"/>
        <w:rPr>
          <w:rFonts w:ascii="ITC Avant Garde" w:eastAsia="Calibri" w:hAnsi="ITC Avant Garde"/>
          <w:bCs/>
          <w:iCs/>
          <w:color w:val="000000"/>
          <w:sz w:val="18"/>
          <w:szCs w:val="18"/>
          <w:lang w:val="es-MX" w:eastAsia="es-MX"/>
        </w:rPr>
      </w:pPr>
      <w:r w:rsidRPr="00BF4A51">
        <w:rPr>
          <w:rFonts w:ascii="ITC Avant Garde" w:eastAsia="Calibri" w:hAnsi="ITC Avant Garde"/>
          <w:bCs/>
          <w:iCs/>
          <w:color w:val="000000"/>
          <w:sz w:val="18"/>
          <w:szCs w:val="18"/>
          <w:lang w:val="es-MX" w:eastAsia="es-MX"/>
        </w:rPr>
        <w:t>Los aprovechamientos específicos para la concesión corresponden únicamente al concepto de contraprestación por la prórroga de los citados títulos de concesión; es decir, dicho valor no contempla los pagos de derechos por el uso del espectro que deberán realizar las empresas solicitantes del trámite durante la vigencia propuesta de 10 años de su concesión. En este sentido, el pago de derechos correspondiente para los segmentos de banda relevante se encuentra estipulado en el artículo 244-D de la Ley Federal de Derechos.</w:t>
      </w:r>
    </w:p>
    <w:p w14:paraId="716E3976" w14:textId="77777777" w:rsidR="00BF4A51" w:rsidRPr="00BF4A51" w:rsidRDefault="0008232D" w:rsidP="00BF4A51">
      <w:pPr>
        <w:pStyle w:val="Prrafodelista"/>
        <w:numPr>
          <w:ilvl w:val="0"/>
          <w:numId w:val="50"/>
        </w:numPr>
        <w:spacing w:before="240" w:after="200"/>
        <w:ind w:right="473"/>
        <w:jc w:val="both"/>
        <w:rPr>
          <w:rFonts w:ascii="ITC Avant Garde" w:eastAsia="Calibri" w:hAnsi="ITC Avant Garde"/>
          <w:bCs/>
          <w:iCs/>
          <w:color w:val="000000"/>
          <w:sz w:val="18"/>
          <w:szCs w:val="18"/>
          <w:lang w:val="es-MX" w:eastAsia="es-MX"/>
        </w:rPr>
      </w:pPr>
      <w:r w:rsidRPr="00BF4A51">
        <w:rPr>
          <w:rFonts w:ascii="ITC Avant Garde" w:eastAsia="Calibri" w:hAnsi="ITC Avant Garde"/>
          <w:bCs/>
          <w:iCs/>
          <w:color w:val="000000"/>
          <w:sz w:val="18"/>
          <w:szCs w:val="18"/>
          <w:lang w:val="es-MX" w:eastAsia="es-MX"/>
        </w:rPr>
        <w:t>Por otra parte, en torno a la semejanza de estos servicios y los prestados en la banda de referencia AWS, cabe mencionar que la Licitación IFT-3 es la referencia de mercado más cercana para la valuación de la banda de 800 MHz, ya que recientemente en febrero del año en curso finalizó su proceso licitatorio, además de que el espectro AWS asignado tiene características similares a las de la banda 800 MHz y corresponde al mismo servicio.</w:t>
      </w:r>
    </w:p>
    <w:p w14:paraId="77481575" w14:textId="77777777" w:rsidR="00BF4A51" w:rsidRPr="00BF4A51" w:rsidRDefault="0008232D" w:rsidP="00BF4A51">
      <w:pPr>
        <w:pStyle w:val="Prrafodelista"/>
        <w:numPr>
          <w:ilvl w:val="0"/>
          <w:numId w:val="50"/>
        </w:numPr>
        <w:spacing w:before="240" w:after="200"/>
        <w:ind w:right="473"/>
        <w:jc w:val="both"/>
        <w:rPr>
          <w:rFonts w:ascii="ITC Avant Garde" w:eastAsia="Calibri" w:hAnsi="ITC Avant Garde"/>
          <w:bCs/>
          <w:iCs/>
          <w:color w:val="000000"/>
          <w:sz w:val="18"/>
          <w:szCs w:val="18"/>
          <w:lang w:val="es-MX" w:eastAsia="es-MX"/>
        </w:rPr>
      </w:pPr>
      <w:r w:rsidRPr="00BF4A51">
        <w:rPr>
          <w:rFonts w:ascii="ITC Avant Garde" w:eastAsia="Calibri" w:hAnsi="ITC Avant Garde"/>
          <w:bCs/>
          <w:iCs/>
          <w:color w:val="000000"/>
          <w:sz w:val="18"/>
          <w:szCs w:val="18"/>
          <w:lang w:val="es-MX" w:eastAsia="es-MX"/>
        </w:rPr>
        <w:t>En torno a las consideraciones que se tomaron en cuenta para establecer el monto de la contraprestación, le informo que la Unidad a mi cargo tomó en cuenta cada uno de los elementos I al V del artículo 100 de la Ley Federal de Telecomunicaciones y Radiodifusión, elementos esenciales y comúnmente usados para fijar el monto de contraprestación que en esta ocasión envía este Instituto para autorización de la Secretaría de Hacienda y Crédito Público.</w:t>
      </w:r>
    </w:p>
    <w:p w14:paraId="04C89644" w14:textId="77777777" w:rsidR="00BF4A51" w:rsidRPr="00BF4A51" w:rsidRDefault="0008232D" w:rsidP="00BF4A51">
      <w:pPr>
        <w:pStyle w:val="Prrafodelista"/>
        <w:numPr>
          <w:ilvl w:val="0"/>
          <w:numId w:val="50"/>
        </w:numPr>
        <w:spacing w:before="240" w:after="200"/>
        <w:ind w:right="473"/>
        <w:jc w:val="both"/>
        <w:rPr>
          <w:rFonts w:ascii="ITC Avant Garde" w:eastAsia="Calibri" w:hAnsi="ITC Avant Garde"/>
          <w:bCs/>
          <w:iCs/>
          <w:color w:val="000000"/>
          <w:sz w:val="18"/>
          <w:szCs w:val="18"/>
          <w:lang w:val="es-MX" w:eastAsia="es-MX"/>
        </w:rPr>
      </w:pPr>
      <w:r w:rsidRPr="00BF4A51">
        <w:rPr>
          <w:rFonts w:ascii="ITC Avant Garde" w:eastAsia="Calibri" w:hAnsi="ITC Avant Garde"/>
          <w:bCs/>
          <w:iCs/>
          <w:color w:val="000000"/>
          <w:sz w:val="18"/>
          <w:szCs w:val="18"/>
          <w:lang w:val="es-MX" w:eastAsia="es-MX"/>
        </w:rPr>
        <w:t>Con respecto al elemento VI del citado artículo, vale la pena mencionar que las solicitudes de opinión de contraprestación que formula este Instituto coadyuvan al cumplimiento de los objetivos del Plan Nacional de Desarrollo, en específico:</w:t>
      </w:r>
    </w:p>
    <w:p w14:paraId="4057CEAB" w14:textId="236C175A" w:rsidR="0008232D" w:rsidRPr="00BF4A51" w:rsidRDefault="0008232D" w:rsidP="00BF4A51">
      <w:pPr>
        <w:pStyle w:val="Prrafodelista"/>
        <w:spacing w:before="240" w:after="200"/>
        <w:ind w:left="1276" w:right="473"/>
        <w:jc w:val="both"/>
        <w:rPr>
          <w:rFonts w:ascii="ITC Avant Garde" w:eastAsia="Calibri" w:hAnsi="ITC Avant Garde"/>
          <w:bCs/>
          <w:iCs/>
          <w:color w:val="000000"/>
          <w:sz w:val="18"/>
          <w:szCs w:val="18"/>
          <w:lang w:val="es-MX" w:eastAsia="es-MX"/>
        </w:rPr>
      </w:pPr>
      <w:r w:rsidRPr="00BF4A51">
        <w:rPr>
          <w:rFonts w:ascii="ITC Avant Garde" w:eastAsia="Calibri" w:hAnsi="ITC Avant Garde"/>
          <w:bCs/>
          <w:iCs/>
          <w:color w:val="000000"/>
          <w:sz w:val="18"/>
          <w:szCs w:val="18"/>
          <w:lang w:val="es-MX" w:eastAsia="es-MX"/>
        </w:rPr>
        <w:t>“Objetivo 4.5. Democratizar el acceso a servicios de telecomunicaciones.</w:t>
      </w:r>
    </w:p>
    <w:p w14:paraId="1892863E" w14:textId="77777777" w:rsidR="00BF4A51" w:rsidRPr="00BF4A51" w:rsidRDefault="0008232D" w:rsidP="00BF4A51">
      <w:pPr>
        <w:pStyle w:val="Prrafodelista"/>
        <w:spacing w:before="240" w:after="200"/>
        <w:ind w:left="1276" w:right="473"/>
        <w:jc w:val="both"/>
        <w:rPr>
          <w:rFonts w:ascii="ITC Avant Garde" w:hAnsi="ITC Avant Garde"/>
          <w:bCs/>
          <w:iCs/>
          <w:color w:val="000000"/>
          <w:sz w:val="18"/>
          <w:szCs w:val="18"/>
          <w:lang w:eastAsia="es-MX"/>
        </w:rPr>
      </w:pPr>
      <w:r w:rsidRPr="00BF4A51">
        <w:rPr>
          <w:rFonts w:ascii="ITC Avant Garde" w:eastAsia="Calibri" w:hAnsi="ITC Avant Garde"/>
          <w:bCs/>
          <w:iCs/>
          <w:color w:val="000000"/>
          <w:sz w:val="18"/>
          <w:szCs w:val="18"/>
          <w:lang w:val="es-MX" w:eastAsia="es-MX"/>
        </w:rPr>
        <w:t>Estrategia 4.5.1. Impulsar el desarrollo e innovación tecnológica de las telecomunicaciones que amplíe la cobertura y accesibilidad para impulsar mejores servicios y promover la competencia, buscando la reducción de costos y la eficiencia de las comunicaciones.</w:t>
      </w:r>
    </w:p>
    <w:p w14:paraId="0E14AB64" w14:textId="1E395585" w:rsidR="0008232D" w:rsidRPr="00BF4A51" w:rsidRDefault="0008232D" w:rsidP="00BF4A51">
      <w:pPr>
        <w:pStyle w:val="Prrafodelista"/>
        <w:spacing w:before="240" w:after="200"/>
        <w:ind w:left="1276" w:right="473"/>
        <w:jc w:val="both"/>
        <w:rPr>
          <w:rFonts w:ascii="ITC Avant Garde" w:hAnsi="ITC Avant Garde"/>
          <w:bCs/>
          <w:iCs/>
          <w:color w:val="000000"/>
          <w:sz w:val="18"/>
          <w:szCs w:val="18"/>
          <w:lang w:eastAsia="es-MX"/>
        </w:rPr>
      </w:pPr>
      <w:r w:rsidRPr="00BF4A51">
        <w:rPr>
          <w:rFonts w:ascii="ITC Avant Garde" w:eastAsia="Calibri" w:hAnsi="ITC Avant Garde"/>
          <w:bCs/>
          <w:iCs/>
          <w:color w:val="000000"/>
          <w:sz w:val="18"/>
          <w:szCs w:val="18"/>
          <w:lang w:val="es-MX" w:eastAsia="es-MX"/>
        </w:rPr>
        <w:t>Líneas de acción</w:t>
      </w:r>
    </w:p>
    <w:p w14:paraId="49FFD014" w14:textId="77777777" w:rsidR="0008232D" w:rsidRPr="00BF4A51" w:rsidRDefault="0008232D" w:rsidP="00BF4A51">
      <w:pPr>
        <w:pStyle w:val="Prrafodelista"/>
        <w:spacing w:before="240" w:after="200"/>
        <w:ind w:left="1276" w:right="473"/>
        <w:jc w:val="both"/>
        <w:rPr>
          <w:rFonts w:ascii="ITC Avant Garde" w:hAnsi="ITC Avant Garde"/>
          <w:bCs/>
          <w:iCs/>
          <w:color w:val="000000"/>
          <w:sz w:val="18"/>
          <w:szCs w:val="18"/>
          <w:lang w:eastAsia="es-MX"/>
        </w:rPr>
      </w:pPr>
      <w:r w:rsidRPr="00BF4A51">
        <w:rPr>
          <w:rFonts w:ascii="ITC Avant Garde" w:eastAsia="Calibri" w:hAnsi="ITC Avant Garde"/>
          <w:bCs/>
          <w:iCs/>
          <w:color w:val="000000"/>
          <w:sz w:val="18"/>
          <w:szCs w:val="18"/>
          <w:lang w:val="es-MX" w:eastAsia="es-MX"/>
        </w:rPr>
        <w:t>…</w:t>
      </w:r>
    </w:p>
    <w:p w14:paraId="2889243C" w14:textId="77777777" w:rsidR="00BF4A51" w:rsidRPr="00BF4A51" w:rsidRDefault="0008232D" w:rsidP="00BF4A51">
      <w:pPr>
        <w:pStyle w:val="Prrafodelista"/>
        <w:spacing w:before="240" w:after="200"/>
        <w:ind w:left="1276" w:right="473"/>
        <w:jc w:val="both"/>
        <w:rPr>
          <w:rFonts w:ascii="ITC Avant Garde" w:hAnsi="ITC Avant Garde"/>
          <w:bCs/>
          <w:iCs/>
          <w:color w:val="000000"/>
          <w:sz w:val="18"/>
          <w:szCs w:val="18"/>
          <w:lang w:eastAsia="es-MX"/>
        </w:rPr>
      </w:pPr>
      <w:r w:rsidRPr="00BF4A51">
        <w:rPr>
          <w:rFonts w:ascii="ITC Avant Garde" w:eastAsia="Calibri" w:hAnsi="ITC Avant Garde"/>
          <w:bCs/>
          <w:iCs/>
          <w:color w:val="000000"/>
          <w:sz w:val="18"/>
          <w:szCs w:val="18"/>
          <w:lang w:val="es-MX" w:eastAsia="es-MX"/>
        </w:rPr>
        <w:t xml:space="preserve">• Promover mayor oferta de los servicios de telecomunicaciones, así como la inversión privada en el sector, con el que se puedan ofrecer servicios electrónicos avanzados que mejoren el valor agregado de las actividades productivas…” </w:t>
      </w:r>
    </w:p>
    <w:p w14:paraId="1A577668" w14:textId="77777777" w:rsidR="00BF4A51" w:rsidRPr="00BF4A51" w:rsidRDefault="00FD603D" w:rsidP="00BF4A51">
      <w:pPr>
        <w:pStyle w:val="Prrafodelista"/>
        <w:spacing w:before="240" w:after="200"/>
        <w:ind w:left="567" w:right="473"/>
        <w:jc w:val="both"/>
        <w:rPr>
          <w:rFonts w:ascii="ITC Avant Garde" w:hAnsi="ITC Avant Garde"/>
          <w:bCs/>
          <w:iCs/>
          <w:color w:val="000000"/>
          <w:sz w:val="18"/>
          <w:szCs w:val="18"/>
          <w:lang w:eastAsia="es-MX"/>
        </w:rPr>
      </w:pPr>
      <w:r w:rsidRPr="00BF4A51">
        <w:rPr>
          <w:rFonts w:ascii="ITC Avant Garde" w:hAnsi="ITC Avant Garde"/>
          <w:bCs/>
          <w:iCs/>
          <w:color w:val="000000"/>
          <w:sz w:val="18"/>
          <w:szCs w:val="18"/>
          <w:lang w:eastAsia="es-MX"/>
        </w:rPr>
        <w:t xml:space="preserve">Por ello, con fundamento en los artículos 25, 26, 27, 28 y 134 de la Constitución Política de los Estados Unidos Mexicanos; 19, 20, fracción X, 27 y 29, fracción VII del Estatuto Orgánico del Instituto Federal de Telecomunicaciones; y los artículos 100 y 114 de la Ley Federal de Telecomunicaciones y Radiodifusión, se le solicita atentamente autorizar el monto total de 12,353,486 pesos (Doce millones trescientos cincuenta y tres mil cuatrocientos ochenta y seis pesos 00/100 M.N.) que deberá pagar la empresa </w:t>
      </w:r>
      <w:proofErr w:type="spellStart"/>
      <w:r w:rsidRPr="00BF4A51">
        <w:rPr>
          <w:rFonts w:ascii="ITC Avant Garde" w:hAnsi="ITC Avant Garde"/>
          <w:bCs/>
          <w:iCs/>
          <w:color w:val="000000"/>
          <w:sz w:val="18"/>
          <w:szCs w:val="18"/>
          <w:lang w:eastAsia="es-MX"/>
        </w:rPr>
        <w:t>Comintermex</w:t>
      </w:r>
      <w:proofErr w:type="spellEnd"/>
      <w:r w:rsidRPr="00BF4A51">
        <w:rPr>
          <w:rFonts w:ascii="ITC Avant Garde" w:hAnsi="ITC Avant Garde"/>
          <w:bCs/>
          <w:iCs/>
          <w:color w:val="000000"/>
          <w:sz w:val="18"/>
          <w:szCs w:val="18"/>
          <w:lang w:eastAsia="es-MX"/>
        </w:rPr>
        <w:t xml:space="preserve">, S.A. de C.V.; 8,962,680 pesos (Ocho millones novecientos sesenta y dos mil seiscientos ochenta pesos 00/100 M.N.) que deberá pagar la empresa Servicios de Radiocomunicación Móvil de México, S.A. de C.V.; y 28,276,124 pesos (Veintiocho millones doscientos setenta y seis mil ciento veinticuatro pesos 00/100 M.N.) que deberá pagar la empresa Servicios </w:t>
      </w:r>
      <w:proofErr w:type="spellStart"/>
      <w:r w:rsidRPr="00BF4A51">
        <w:rPr>
          <w:rFonts w:ascii="ITC Avant Garde" w:hAnsi="ITC Avant Garde"/>
          <w:bCs/>
          <w:iCs/>
          <w:color w:val="000000"/>
          <w:sz w:val="18"/>
          <w:szCs w:val="18"/>
          <w:lang w:eastAsia="es-MX"/>
        </w:rPr>
        <w:t>Troncalizados</w:t>
      </w:r>
      <w:proofErr w:type="spellEnd"/>
      <w:r w:rsidRPr="00BF4A51">
        <w:rPr>
          <w:rFonts w:ascii="ITC Avant Garde" w:hAnsi="ITC Avant Garde"/>
          <w:bCs/>
          <w:iCs/>
          <w:color w:val="000000"/>
          <w:sz w:val="18"/>
          <w:szCs w:val="18"/>
          <w:lang w:eastAsia="es-MX"/>
        </w:rPr>
        <w:t xml:space="preserve">, S.A. de C.V., por el otorgamiento de la </w:t>
      </w:r>
      <w:r w:rsidRPr="00BF4A51">
        <w:rPr>
          <w:rFonts w:ascii="ITC Avant Garde" w:hAnsi="ITC Avant Garde"/>
          <w:bCs/>
          <w:iCs/>
          <w:color w:val="000000"/>
          <w:sz w:val="18"/>
          <w:szCs w:val="18"/>
          <w:lang w:eastAsia="es-MX"/>
        </w:rPr>
        <w:lastRenderedPageBreak/>
        <w:t>prórroga a sus títulos de concesión para usar, aprovechar y explotar bandas de frecuencias del espectro radioeléctrico por un periodo de 10 años en distintas regiones celulares de la banda 800 MHz, para lo cual se anexa disco compacto que contiene los cálculos realizados, así como la metodología que se utilizó para obtener las contraprestaciones que se proponen en el presente oficio.</w:t>
      </w:r>
    </w:p>
    <w:p w14:paraId="7198452C" w14:textId="77777777" w:rsidR="00BF4A51" w:rsidRPr="00BF4A51" w:rsidRDefault="00FD603D" w:rsidP="00BF4A51">
      <w:pPr>
        <w:pStyle w:val="Prrafodelista"/>
        <w:spacing w:before="240" w:after="200"/>
        <w:ind w:left="567" w:right="473"/>
        <w:jc w:val="both"/>
        <w:rPr>
          <w:rFonts w:ascii="ITC Avant Garde" w:hAnsi="ITC Avant Garde"/>
          <w:bCs/>
          <w:iCs/>
          <w:color w:val="000000"/>
          <w:sz w:val="18"/>
          <w:szCs w:val="18"/>
          <w:lang w:eastAsia="es-MX"/>
        </w:rPr>
      </w:pPr>
      <w:r w:rsidRPr="00BF4A51">
        <w:rPr>
          <w:rFonts w:ascii="ITC Avant Garde" w:hAnsi="ITC Avant Garde"/>
          <w:bCs/>
          <w:iCs/>
          <w:color w:val="000000"/>
          <w:sz w:val="18"/>
          <w:szCs w:val="18"/>
          <w:lang w:eastAsia="es-MX"/>
        </w:rPr>
        <w:t>[…]”</w:t>
      </w:r>
    </w:p>
    <w:p w14:paraId="769FB2A4" w14:textId="286624A3" w:rsidR="00FF780F" w:rsidRPr="00BF4A51" w:rsidRDefault="009C1799" w:rsidP="00BF4A51">
      <w:pPr>
        <w:tabs>
          <w:tab w:val="num" w:pos="540"/>
        </w:tabs>
        <w:spacing w:before="240" w:line="240" w:lineRule="auto"/>
        <w:jc w:val="both"/>
        <w:rPr>
          <w:rFonts w:ascii="ITC Avant Garde" w:hAnsi="ITC Avant Garde"/>
          <w:bCs/>
          <w:color w:val="000000"/>
          <w:lang w:eastAsia="es-MX"/>
        </w:rPr>
      </w:pPr>
      <w:r w:rsidRPr="00BF4A51">
        <w:rPr>
          <w:rFonts w:ascii="ITC Avant Garde" w:hAnsi="ITC Avant Garde"/>
          <w:bCs/>
          <w:color w:val="000000"/>
          <w:lang w:val="es-ES" w:eastAsia="es-MX"/>
        </w:rPr>
        <w:t xml:space="preserve">En respuesta a </w:t>
      </w:r>
      <w:r w:rsidRPr="00BF4A51">
        <w:rPr>
          <w:rFonts w:ascii="ITC Avant Garde" w:hAnsi="ITC Avant Garde"/>
          <w:bCs/>
          <w:color w:val="000000"/>
          <w:lang w:eastAsia="es-MX"/>
        </w:rPr>
        <w:t>lo anterior, la SHCP mediante el oficio 349-B-</w:t>
      </w:r>
      <w:r w:rsidR="00234F20" w:rsidRPr="00BF4A51">
        <w:rPr>
          <w:rFonts w:ascii="ITC Avant Garde" w:hAnsi="ITC Avant Garde"/>
          <w:bCs/>
          <w:color w:val="000000"/>
          <w:lang w:eastAsia="es-MX"/>
        </w:rPr>
        <w:t>059</w:t>
      </w:r>
      <w:r w:rsidRPr="00BF4A51">
        <w:rPr>
          <w:rFonts w:ascii="ITC Avant Garde" w:hAnsi="ITC Avant Garde"/>
          <w:bCs/>
          <w:color w:val="000000"/>
          <w:lang w:eastAsia="es-MX"/>
        </w:rPr>
        <w:t xml:space="preserve"> de fecha </w:t>
      </w:r>
      <w:r w:rsidR="00234F20" w:rsidRPr="00BF4A51">
        <w:rPr>
          <w:rFonts w:ascii="ITC Avant Garde" w:hAnsi="ITC Avant Garde"/>
          <w:bCs/>
          <w:color w:val="000000"/>
          <w:lang w:eastAsia="es-MX"/>
        </w:rPr>
        <w:t>20 de febrero de 2017</w:t>
      </w:r>
      <w:r w:rsidRPr="00BF4A51">
        <w:rPr>
          <w:rFonts w:ascii="ITC Avant Garde" w:hAnsi="ITC Avant Garde"/>
          <w:bCs/>
          <w:color w:val="000000"/>
          <w:lang w:eastAsia="es-MX"/>
        </w:rPr>
        <w:t xml:space="preserve">, </w:t>
      </w:r>
      <w:r w:rsidR="004E36F3" w:rsidRPr="00BF4A51">
        <w:rPr>
          <w:rFonts w:ascii="ITC Avant Garde" w:hAnsi="ITC Avant Garde"/>
          <w:bCs/>
          <w:color w:val="000000"/>
          <w:lang w:eastAsia="es-MX"/>
        </w:rPr>
        <w:t xml:space="preserve">la Unidad de Política de Ingresos no Tributarios, adscrita a la Subsecretaría de Ingresos de la Secretaría de Hacienda y Crédito Público, emitió </w:t>
      </w:r>
      <w:r w:rsidR="00ED1F92" w:rsidRPr="00BF4A51">
        <w:rPr>
          <w:rFonts w:ascii="ITC Avant Garde" w:hAnsi="ITC Avant Garde"/>
          <w:bCs/>
          <w:color w:val="000000"/>
          <w:lang w:eastAsia="es-MX"/>
        </w:rPr>
        <w:t>la autorización</w:t>
      </w:r>
      <w:r w:rsidR="004E36F3" w:rsidRPr="00BF4A51">
        <w:rPr>
          <w:rFonts w:ascii="ITC Avant Garde" w:hAnsi="ITC Avant Garde"/>
          <w:bCs/>
          <w:color w:val="000000"/>
          <w:lang w:eastAsia="es-MX"/>
        </w:rPr>
        <w:t xml:space="preserve"> respecto del monto de la contraprestación propuesto por el Instituto, por concepto de la Solicitud de Prórroga</w:t>
      </w:r>
      <w:r w:rsidR="00FF780F" w:rsidRPr="00BF4A51">
        <w:rPr>
          <w:rFonts w:ascii="ITC Avant Garde" w:hAnsi="ITC Avant Garde"/>
          <w:bCs/>
          <w:color w:val="000000"/>
          <w:lang w:eastAsia="es-MX"/>
        </w:rPr>
        <w:t>, en los siguientes términos:</w:t>
      </w:r>
    </w:p>
    <w:p w14:paraId="6ECE98F1" w14:textId="77777777" w:rsidR="00BF4A51" w:rsidRPr="00BF4A51" w:rsidRDefault="00FF780F" w:rsidP="00BF4A51">
      <w:pPr>
        <w:tabs>
          <w:tab w:val="num" w:pos="540"/>
        </w:tabs>
        <w:spacing w:before="240" w:line="240" w:lineRule="auto"/>
        <w:ind w:left="567" w:right="615"/>
        <w:contextualSpacing/>
        <w:jc w:val="both"/>
        <w:rPr>
          <w:rFonts w:ascii="ITC Avant Garde" w:hAnsi="ITC Avant Garde"/>
          <w:bCs/>
          <w:color w:val="000000"/>
          <w:sz w:val="18"/>
          <w:szCs w:val="18"/>
          <w:lang w:eastAsia="es-MX"/>
        </w:rPr>
      </w:pPr>
      <w:r w:rsidRPr="00BF4A51">
        <w:rPr>
          <w:rFonts w:ascii="ITC Avant Garde" w:hAnsi="ITC Avant Garde"/>
          <w:bCs/>
          <w:color w:val="000000"/>
          <w:sz w:val="18"/>
          <w:szCs w:val="18"/>
          <w:lang w:eastAsia="es-MX"/>
        </w:rPr>
        <w:t>“[…]</w:t>
      </w:r>
    </w:p>
    <w:p w14:paraId="3033531C" w14:textId="77777777" w:rsidR="00BF4A51" w:rsidRPr="00BF4A51" w:rsidRDefault="00406671" w:rsidP="00BF4A51">
      <w:pPr>
        <w:tabs>
          <w:tab w:val="left" w:pos="8789"/>
        </w:tabs>
        <w:spacing w:before="240" w:line="240" w:lineRule="auto"/>
        <w:ind w:left="567" w:right="618"/>
        <w:jc w:val="both"/>
        <w:rPr>
          <w:rFonts w:ascii="ITC Avant Garde" w:eastAsia="Times New Roman" w:hAnsi="ITC Avant Garde"/>
          <w:b/>
          <w:iCs/>
          <w:color w:val="000000"/>
          <w:sz w:val="18"/>
          <w:szCs w:val="18"/>
          <w:lang w:eastAsia="es-MX"/>
        </w:rPr>
      </w:pPr>
      <w:r w:rsidRPr="00BF4A51">
        <w:rPr>
          <w:rFonts w:ascii="ITC Avant Garde" w:eastAsia="Times New Roman" w:hAnsi="ITC Avant Garde"/>
          <w:iCs/>
          <w:color w:val="000000"/>
          <w:sz w:val="18"/>
          <w:szCs w:val="18"/>
          <w:lang w:eastAsia="es-MX"/>
        </w:rPr>
        <w:t>S</w:t>
      </w:r>
      <w:r w:rsidR="00C379D4" w:rsidRPr="00BF4A51">
        <w:rPr>
          <w:rFonts w:ascii="ITC Avant Garde" w:eastAsia="Times New Roman" w:hAnsi="ITC Avant Garde"/>
          <w:iCs/>
          <w:color w:val="000000"/>
          <w:sz w:val="18"/>
          <w:szCs w:val="18"/>
          <w:lang w:eastAsia="es-MX"/>
        </w:rPr>
        <w:t xml:space="preserve">in que se prejuzgue sobre los aspectos de la prórroga de los títulos de concesión que competen al IFT, esta Secretaría tomando en cuenta  los considerandos </w:t>
      </w:r>
      <w:r w:rsidR="00AB6E82" w:rsidRPr="00BF4A51">
        <w:rPr>
          <w:rFonts w:ascii="ITC Avant Garde" w:eastAsia="Times New Roman" w:hAnsi="ITC Avant Garde"/>
          <w:iCs/>
          <w:color w:val="000000"/>
          <w:sz w:val="18"/>
          <w:szCs w:val="18"/>
          <w:lang w:eastAsia="es-MX"/>
        </w:rPr>
        <w:t>anteriores</w:t>
      </w:r>
      <w:r w:rsidR="00C379D4" w:rsidRPr="00BF4A51">
        <w:rPr>
          <w:rFonts w:ascii="ITC Avant Garde" w:eastAsia="Times New Roman" w:hAnsi="ITC Avant Garde"/>
          <w:iCs/>
          <w:color w:val="000000"/>
          <w:sz w:val="18"/>
          <w:szCs w:val="18"/>
          <w:lang w:eastAsia="es-MX"/>
        </w:rPr>
        <w:t xml:space="preserve">, como los criterios de eficiencia económica y saneamiento financiero </w:t>
      </w:r>
      <w:r w:rsidR="00AB6E82" w:rsidRPr="00BF4A51">
        <w:rPr>
          <w:rFonts w:ascii="ITC Avant Garde" w:eastAsia="Times New Roman" w:hAnsi="ITC Avant Garde"/>
          <w:iCs/>
          <w:color w:val="000000"/>
          <w:sz w:val="18"/>
          <w:szCs w:val="18"/>
          <w:lang w:eastAsia="es-MX"/>
        </w:rPr>
        <w:t>a que hace referencia el artículo 10 de la Ley de Ingresos de la Federación</w:t>
      </w:r>
      <w:r w:rsidR="007876E2" w:rsidRPr="00BF4A51">
        <w:rPr>
          <w:rFonts w:ascii="ITC Avant Garde" w:eastAsia="Times New Roman" w:hAnsi="ITC Avant Garde"/>
          <w:iCs/>
          <w:color w:val="000000"/>
          <w:sz w:val="18"/>
          <w:szCs w:val="18"/>
          <w:lang w:eastAsia="es-MX"/>
        </w:rPr>
        <w:t xml:space="preserve"> 2017 y con fundamento en lo dispuesto en el Séptimo Transitorio del “Decreto por el que se reforman y adicionan diversas disposiciones de los artículos 6º., 7º., 27, 28, 73, 78, 94 y 105 de la Constitución Política de los Estados Unidos Mexicanos, en materia de telecomunicaciones”, así como en lo señalado por los artículos 31, fracción XI de la Ley Orgánica de la Administración Pública Federal; 38, fracción XXII del Reglamento Interior de la Secretaría de Hacienda y Crédito Público</w:t>
      </w:r>
      <w:r w:rsidR="00DE3C3E" w:rsidRPr="00BF4A51">
        <w:rPr>
          <w:rFonts w:ascii="ITC Avant Garde" w:eastAsia="Times New Roman" w:hAnsi="ITC Avant Garde"/>
          <w:iCs/>
          <w:color w:val="000000"/>
          <w:sz w:val="18"/>
          <w:szCs w:val="18"/>
          <w:lang w:eastAsia="es-MX"/>
        </w:rPr>
        <w:t>; y 3º. y 17-A del Código Fiscal de la Federación; autoriza al Instituto Federal de Telecomunicaciones cobrar a AT&amp;T Comunicaciones Digitales, S. de R.L. de C.V.</w:t>
      </w:r>
      <w:r w:rsidR="002A1E6B" w:rsidRPr="00BF4A51">
        <w:rPr>
          <w:rFonts w:ascii="ITC Avant Garde" w:eastAsia="Times New Roman" w:hAnsi="ITC Avant Garde"/>
          <w:iCs/>
          <w:color w:val="000000"/>
          <w:sz w:val="18"/>
          <w:szCs w:val="18"/>
          <w:lang w:eastAsia="es-MX"/>
        </w:rPr>
        <w:t>, por concepto de las prórrogas por 10 años de tres títulos de concesión para usar, aprovechar y explotar diversas frecuencias del espectro radioeléctrico en el segmento de la banda 806-824/851-869 MHz</w:t>
      </w:r>
      <w:r w:rsidR="009D479D" w:rsidRPr="00BF4A51">
        <w:rPr>
          <w:rFonts w:ascii="ITC Avant Garde" w:eastAsia="Times New Roman" w:hAnsi="ITC Avant Garde"/>
          <w:iCs/>
          <w:color w:val="000000"/>
          <w:sz w:val="18"/>
          <w:szCs w:val="18"/>
          <w:lang w:eastAsia="es-MX"/>
        </w:rPr>
        <w:t xml:space="preserve"> para la prestación del servicio acceso inalámbrico fijo o móvil, un importe que corresponde a la cantidad total de </w:t>
      </w:r>
      <w:r w:rsidR="008F3B62" w:rsidRPr="00BF4A51">
        <w:rPr>
          <w:rFonts w:ascii="ITC Avant Garde" w:eastAsia="Times New Roman" w:hAnsi="ITC Avant Garde"/>
          <w:b/>
          <w:iCs/>
          <w:color w:val="000000"/>
          <w:sz w:val="18"/>
          <w:szCs w:val="18"/>
          <w:lang w:eastAsia="es-MX"/>
        </w:rPr>
        <w:t>$49,592,290.00 (Cuarenta y nueve millones quinientos noventa y dos mil doscientos noventa pesos 00/100 M.N.)</w:t>
      </w:r>
    </w:p>
    <w:p w14:paraId="1F1E8858" w14:textId="77777777" w:rsidR="00BF4A51" w:rsidRPr="00BF4A51" w:rsidRDefault="009E57D8" w:rsidP="00BF4A51">
      <w:pPr>
        <w:tabs>
          <w:tab w:val="left" w:pos="8789"/>
        </w:tabs>
        <w:spacing w:before="240" w:line="240" w:lineRule="auto"/>
        <w:ind w:left="567" w:right="618"/>
        <w:jc w:val="both"/>
        <w:rPr>
          <w:rFonts w:ascii="ITC Avant Garde" w:eastAsia="Times New Roman" w:hAnsi="ITC Avant Garde"/>
          <w:iCs/>
          <w:color w:val="000000"/>
          <w:sz w:val="18"/>
          <w:szCs w:val="18"/>
          <w:lang w:eastAsia="es-MX"/>
        </w:rPr>
      </w:pPr>
      <w:r w:rsidRPr="00BF4A51">
        <w:rPr>
          <w:rFonts w:ascii="ITC Avant Garde" w:eastAsia="Times New Roman" w:hAnsi="ITC Avant Garde"/>
          <w:iCs/>
          <w:color w:val="000000"/>
          <w:sz w:val="18"/>
          <w:szCs w:val="18"/>
          <w:lang w:eastAsia="es-MX"/>
        </w:rPr>
        <w:t>La vigencia de las prórrogas de los tres títulos de concesión será de 10 años, contados a partir del 25 de septiembre de 2016.</w:t>
      </w:r>
    </w:p>
    <w:p w14:paraId="11327529" w14:textId="3C082274" w:rsidR="009E57D8" w:rsidRPr="00BF4A51" w:rsidRDefault="00914E64" w:rsidP="00BF4A51">
      <w:pPr>
        <w:tabs>
          <w:tab w:val="left" w:pos="8789"/>
        </w:tabs>
        <w:spacing w:before="240" w:line="240" w:lineRule="auto"/>
        <w:ind w:left="567" w:right="618"/>
        <w:jc w:val="both"/>
        <w:rPr>
          <w:rFonts w:ascii="ITC Avant Garde" w:eastAsia="Times New Roman" w:hAnsi="ITC Avant Garde"/>
          <w:iCs/>
          <w:color w:val="000000"/>
          <w:sz w:val="18"/>
          <w:szCs w:val="18"/>
          <w:lang w:eastAsia="es-MX"/>
        </w:rPr>
      </w:pPr>
      <w:r w:rsidRPr="00BF4A51">
        <w:rPr>
          <w:rFonts w:ascii="ITC Avant Garde" w:eastAsia="Times New Roman" w:hAnsi="ITC Avant Garde"/>
          <w:iCs/>
          <w:color w:val="000000"/>
          <w:sz w:val="18"/>
          <w:szCs w:val="18"/>
          <w:lang w:eastAsia="es-MX"/>
        </w:rPr>
        <w:t xml:space="preserve">Los aprovechamientos autorizados mediante el presente oficio, propuestos por el IFT, están calculados a octubre de 2016, </w:t>
      </w:r>
      <w:r w:rsidRPr="00BF4A51">
        <w:rPr>
          <w:rFonts w:ascii="ITC Avant Garde" w:eastAsia="Times New Roman" w:hAnsi="ITC Avant Garde"/>
          <w:iCs/>
          <w:color w:val="000000"/>
          <w:sz w:val="18"/>
          <w:szCs w:val="18"/>
          <w:u w:val="single"/>
          <w:lang w:eastAsia="es-MX"/>
        </w:rPr>
        <w:t>por lo que este Instituto deberá actualizarlos por inflación con el INPC más reciente disponible a la fecha de la entrega de las prórrogas de la concesión</w:t>
      </w:r>
      <w:r w:rsidR="003C1C6E" w:rsidRPr="00BF4A51">
        <w:rPr>
          <w:rFonts w:ascii="ITC Avant Garde" w:eastAsia="Times New Roman" w:hAnsi="ITC Avant Garde"/>
          <w:iCs/>
          <w:color w:val="000000"/>
          <w:sz w:val="18"/>
          <w:szCs w:val="18"/>
          <w:lang w:eastAsia="es-MX"/>
        </w:rPr>
        <w:t>.</w:t>
      </w:r>
    </w:p>
    <w:p w14:paraId="40C855D9" w14:textId="77777777" w:rsidR="00BF4A51" w:rsidRPr="00BF4A51" w:rsidRDefault="003C1C6E" w:rsidP="00BF4A51">
      <w:pPr>
        <w:tabs>
          <w:tab w:val="left" w:pos="8789"/>
        </w:tabs>
        <w:spacing w:before="240" w:line="240" w:lineRule="auto"/>
        <w:ind w:left="567" w:right="618"/>
        <w:jc w:val="both"/>
        <w:rPr>
          <w:rFonts w:ascii="ITC Avant Garde" w:eastAsia="Times New Roman" w:hAnsi="ITC Avant Garde"/>
          <w:iCs/>
          <w:color w:val="000000"/>
          <w:sz w:val="18"/>
          <w:szCs w:val="18"/>
          <w:lang w:eastAsia="es-MX"/>
        </w:rPr>
      </w:pPr>
      <w:r w:rsidRPr="00BF4A51">
        <w:rPr>
          <w:rFonts w:ascii="ITC Avant Garde" w:eastAsia="Times New Roman" w:hAnsi="ITC Avant Garde"/>
          <w:iCs/>
          <w:color w:val="000000"/>
          <w:sz w:val="18"/>
          <w:szCs w:val="18"/>
          <w:lang w:eastAsia="es-MX"/>
        </w:rPr>
        <w:t>El detalle de las contraprestaciones para cada uno de los tres títulos de concesión a prorrogarse, se describen en el Anexo A del presente oficio (página 11).</w:t>
      </w:r>
    </w:p>
    <w:p w14:paraId="652E8054" w14:textId="77777777" w:rsidR="00BF4A51" w:rsidRPr="00BF4A51" w:rsidRDefault="003C1C6E" w:rsidP="00BF4A51">
      <w:pPr>
        <w:tabs>
          <w:tab w:val="left" w:pos="8789"/>
        </w:tabs>
        <w:spacing w:before="240" w:line="240" w:lineRule="auto"/>
        <w:ind w:left="567" w:right="618"/>
        <w:jc w:val="both"/>
        <w:rPr>
          <w:rFonts w:ascii="ITC Avant Garde" w:eastAsia="Times New Roman" w:hAnsi="ITC Avant Garde"/>
          <w:iCs/>
          <w:color w:val="000000"/>
          <w:sz w:val="18"/>
          <w:szCs w:val="18"/>
          <w:lang w:eastAsia="es-MX"/>
        </w:rPr>
      </w:pPr>
      <w:r w:rsidRPr="00BF4A51">
        <w:rPr>
          <w:rFonts w:ascii="ITC Avant Garde" w:eastAsia="Times New Roman" w:hAnsi="ITC Avant Garde"/>
          <w:iCs/>
          <w:color w:val="000000"/>
          <w:sz w:val="18"/>
          <w:szCs w:val="18"/>
          <w:lang w:eastAsia="es-MX"/>
        </w:rPr>
        <w:t>El detalle de los municipios que comprenden la zona de cobertura total de los tres títulos de concesión a prorrogarse a AT&amp;T Comunicaciones Digitales S de R.L. de C.V., se describen en el Anexo B del presente oficio (páginas 12-22).</w:t>
      </w:r>
    </w:p>
    <w:p w14:paraId="3154A578" w14:textId="60923CAC" w:rsidR="003C1C6E" w:rsidRPr="00BF4A51" w:rsidRDefault="00B363A4" w:rsidP="00BF4A51">
      <w:pPr>
        <w:tabs>
          <w:tab w:val="left" w:pos="8789"/>
        </w:tabs>
        <w:spacing w:before="240" w:line="240" w:lineRule="auto"/>
        <w:ind w:left="567" w:right="618"/>
        <w:jc w:val="both"/>
        <w:rPr>
          <w:rFonts w:ascii="ITC Avant Garde" w:eastAsia="Times New Roman" w:hAnsi="ITC Avant Garde"/>
          <w:iCs/>
          <w:color w:val="000000"/>
          <w:sz w:val="18"/>
          <w:szCs w:val="18"/>
          <w:lang w:eastAsia="es-MX"/>
        </w:rPr>
      </w:pPr>
      <w:r w:rsidRPr="00BF4A51">
        <w:rPr>
          <w:rFonts w:ascii="ITC Avant Garde" w:eastAsia="Times New Roman" w:hAnsi="ITC Avant Garde"/>
          <w:iCs/>
          <w:color w:val="000000"/>
          <w:sz w:val="18"/>
          <w:szCs w:val="18"/>
          <w:lang w:eastAsia="es-MX"/>
        </w:rPr>
        <w:t>El entero de los aprovechamientos autorizados mediante el presente oficio deberá realizarse en las oficinas autorizadas por esta Secretaría, mediante la clave de entero correspondiente</w:t>
      </w:r>
      <w:r w:rsidR="00580824" w:rsidRPr="00BF4A51">
        <w:rPr>
          <w:rFonts w:ascii="ITC Avant Garde" w:eastAsia="Times New Roman" w:hAnsi="ITC Avant Garde"/>
          <w:iCs/>
          <w:color w:val="000000"/>
          <w:sz w:val="18"/>
          <w:szCs w:val="18"/>
          <w:lang w:eastAsia="es-MX"/>
        </w:rPr>
        <w:t>, en una sola exhibición y previo a la entrega de las prórrogas de los títulos de concesión</w:t>
      </w:r>
      <w:r w:rsidR="001F45F4" w:rsidRPr="00BF4A51">
        <w:rPr>
          <w:rFonts w:ascii="ITC Avant Garde" w:eastAsia="Times New Roman" w:hAnsi="ITC Avant Garde"/>
          <w:iCs/>
          <w:color w:val="000000"/>
          <w:sz w:val="18"/>
          <w:szCs w:val="18"/>
          <w:lang w:eastAsia="es-MX"/>
        </w:rPr>
        <w:t>.</w:t>
      </w:r>
    </w:p>
    <w:p w14:paraId="019E51DA" w14:textId="77777777" w:rsidR="00BF4A51" w:rsidRPr="00BF4A51" w:rsidRDefault="001F45F4" w:rsidP="00BF4A51">
      <w:pPr>
        <w:tabs>
          <w:tab w:val="left" w:pos="8789"/>
        </w:tabs>
        <w:spacing w:before="240" w:line="240" w:lineRule="auto"/>
        <w:ind w:left="567" w:right="618"/>
        <w:jc w:val="both"/>
        <w:rPr>
          <w:rFonts w:ascii="ITC Avant Garde" w:eastAsia="Times New Roman" w:hAnsi="ITC Avant Garde"/>
          <w:iCs/>
          <w:color w:val="000000"/>
          <w:sz w:val="18"/>
          <w:szCs w:val="18"/>
          <w:lang w:eastAsia="es-MX"/>
        </w:rPr>
      </w:pPr>
      <w:r w:rsidRPr="00BF4A51">
        <w:rPr>
          <w:rFonts w:ascii="ITC Avant Garde" w:eastAsia="Times New Roman" w:hAnsi="ITC Avant Garde"/>
          <w:iCs/>
          <w:color w:val="000000"/>
          <w:sz w:val="18"/>
          <w:szCs w:val="18"/>
          <w:lang w:eastAsia="es-MX"/>
        </w:rPr>
        <w:t xml:space="preserve">El pago de los aprovechamientos autorizados en el presente oficio debe realizarse sin menoscabo de la obligación de pagar los derechos establecidos en el artículo 244-D de la Ley Federal </w:t>
      </w:r>
      <w:r w:rsidR="001A0DC6" w:rsidRPr="00BF4A51">
        <w:rPr>
          <w:rFonts w:ascii="ITC Avant Garde" w:eastAsia="Times New Roman" w:hAnsi="ITC Avant Garde"/>
          <w:iCs/>
          <w:color w:val="000000"/>
          <w:sz w:val="18"/>
          <w:szCs w:val="18"/>
          <w:lang w:eastAsia="es-MX"/>
        </w:rPr>
        <w:t xml:space="preserve">de Derechos por el uso, goce, aprovechamiento o explotación del espectro </w:t>
      </w:r>
      <w:r w:rsidR="001A0DC6" w:rsidRPr="00BF4A51">
        <w:rPr>
          <w:rFonts w:ascii="ITC Avant Garde" w:eastAsia="Times New Roman" w:hAnsi="ITC Avant Garde"/>
          <w:iCs/>
          <w:color w:val="000000"/>
          <w:sz w:val="18"/>
          <w:szCs w:val="18"/>
          <w:lang w:eastAsia="es-MX"/>
        </w:rPr>
        <w:lastRenderedPageBreak/>
        <w:t>radioeléctrico, conforme a la totalidad de la nueva cobertura concesionada, descrita en el Anexo B del presente oficio.</w:t>
      </w:r>
    </w:p>
    <w:p w14:paraId="4E70C2FB" w14:textId="77777777" w:rsidR="00BF4A51" w:rsidRPr="00BF4A51" w:rsidRDefault="001A0DC6" w:rsidP="00BF4A51">
      <w:pPr>
        <w:tabs>
          <w:tab w:val="left" w:pos="8789"/>
        </w:tabs>
        <w:spacing w:before="240" w:line="240" w:lineRule="auto"/>
        <w:ind w:left="567" w:right="618"/>
        <w:jc w:val="both"/>
        <w:rPr>
          <w:rFonts w:ascii="ITC Avant Garde" w:eastAsia="Times New Roman" w:hAnsi="ITC Avant Garde"/>
          <w:iCs/>
          <w:color w:val="000000"/>
          <w:sz w:val="18"/>
          <w:szCs w:val="18"/>
          <w:lang w:eastAsia="es-MX"/>
        </w:rPr>
      </w:pPr>
      <w:r w:rsidRPr="00BF4A51">
        <w:rPr>
          <w:rFonts w:ascii="ITC Avant Garde" w:eastAsia="Times New Roman" w:hAnsi="ITC Avant Garde"/>
          <w:iCs/>
          <w:color w:val="000000"/>
          <w:sz w:val="18"/>
          <w:szCs w:val="18"/>
          <w:lang w:eastAsia="es-MX"/>
        </w:rPr>
        <w:t>Los aprovechamientos a los que hace referencia</w:t>
      </w:r>
      <w:r w:rsidR="009A5345" w:rsidRPr="00BF4A51">
        <w:rPr>
          <w:rFonts w:ascii="ITC Avant Garde" w:eastAsia="Times New Roman" w:hAnsi="ITC Avant Garde"/>
          <w:iCs/>
          <w:color w:val="000000"/>
          <w:sz w:val="18"/>
          <w:szCs w:val="18"/>
          <w:lang w:eastAsia="es-MX"/>
        </w:rPr>
        <w:t xml:space="preserve"> el presente oficio no incluyen el cobro correspondiente en el caso de que el IFT autorice cualquier cambio adicional en la concesión que pueda modificar su valor, por lo que ese Instituto deberá solicitar a esta Secretaría  la opinión correspondiente en el caso de que tenga previsto realizar algún cambio en las concesiones. Esta disposición deberá estar incluida en los títulos de concesión o autorización que, en su caso, el IFT otorgue.</w:t>
      </w:r>
    </w:p>
    <w:p w14:paraId="10DBB1C8" w14:textId="77777777" w:rsidR="00BF4A51" w:rsidRPr="00BF4A51" w:rsidRDefault="00406671" w:rsidP="00BF4A51">
      <w:pPr>
        <w:tabs>
          <w:tab w:val="left" w:pos="8789"/>
        </w:tabs>
        <w:spacing w:before="240" w:line="240" w:lineRule="auto"/>
        <w:ind w:left="567" w:right="618"/>
        <w:jc w:val="both"/>
        <w:rPr>
          <w:rFonts w:ascii="ITC Avant Garde" w:eastAsia="Times New Roman" w:hAnsi="ITC Avant Garde"/>
          <w:iCs/>
          <w:color w:val="000000"/>
          <w:sz w:val="18"/>
          <w:szCs w:val="18"/>
          <w:lang w:eastAsia="es-MX"/>
        </w:rPr>
      </w:pPr>
      <w:r w:rsidRPr="00BF4A51">
        <w:rPr>
          <w:rFonts w:ascii="ITC Avant Garde" w:eastAsia="Times New Roman" w:hAnsi="ITC Avant Garde"/>
          <w:iCs/>
          <w:color w:val="000000"/>
          <w:sz w:val="18"/>
          <w:szCs w:val="18"/>
          <w:lang w:eastAsia="es-MX"/>
        </w:rPr>
        <w:t>[…]</w:t>
      </w:r>
    </w:p>
    <w:p w14:paraId="39726E6B" w14:textId="56F5055D" w:rsidR="00406671" w:rsidRPr="00BF4A51" w:rsidRDefault="00406671" w:rsidP="00BF4A51">
      <w:pPr>
        <w:spacing w:before="240" w:line="240" w:lineRule="auto"/>
        <w:ind w:left="1429" w:right="618"/>
        <w:jc w:val="both"/>
        <w:rPr>
          <w:rFonts w:ascii="ITC Avant Garde" w:eastAsia="Times New Roman" w:hAnsi="ITC Avant Garde"/>
          <w:b/>
          <w:iCs/>
          <w:color w:val="000000"/>
          <w:sz w:val="18"/>
          <w:szCs w:val="18"/>
          <w:lang w:eastAsia="es-MX"/>
        </w:rPr>
      </w:pPr>
      <w:r w:rsidRPr="00BF4A51">
        <w:rPr>
          <w:rFonts w:ascii="ITC Avant Garde" w:eastAsia="Times New Roman" w:hAnsi="ITC Avant Garde"/>
          <w:b/>
          <w:iCs/>
          <w:color w:val="000000"/>
          <w:sz w:val="18"/>
          <w:szCs w:val="18"/>
          <w:lang w:eastAsia="es-MX"/>
        </w:rPr>
        <w:t>ANEXO A. Monto de los aprovechamientos por concepto de la prórroga de tres títulos de concesión</w:t>
      </w:r>
    </w:p>
    <w:tbl>
      <w:tblPr>
        <w:tblStyle w:val="Tablaconcuadrcula1"/>
        <w:tblW w:w="0" w:type="auto"/>
        <w:jc w:val="center"/>
        <w:tblLook w:val="04A0" w:firstRow="1" w:lastRow="0" w:firstColumn="1" w:lastColumn="0" w:noHBand="0" w:noVBand="1"/>
        <w:tblCaption w:val="ANEXO A. Monto de los aprovechamientos por concepto de la prórroga de tres títulos de concesión"/>
        <w:tblDescription w:val="En una tabla de 3 columnas y 5 filas, se proporciona el Periodo de vigencia de la prórroga y el monto de la contraprestación."/>
      </w:tblPr>
      <w:tblGrid>
        <w:gridCol w:w="2677"/>
        <w:gridCol w:w="1843"/>
        <w:gridCol w:w="2702"/>
      </w:tblGrid>
      <w:tr w:rsidR="00406671" w:rsidRPr="00BF4A51" w14:paraId="4252B82E" w14:textId="77777777" w:rsidTr="00437CD6">
        <w:trPr>
          <w:tblHeader/>
          <w:jc w:val="center"/>
        </w:trPr>
        <w:tc>
          <w:tcPr>
            <w:tcW w:w="2677" w:type="dxa"/>
            <w:shd w:val="clear" w:color="auto" w:fill="A6A6A6" w:themeFill="background1" w:themeFillShade="A6"/>
            <w:vAlign w:val="center"/>
          </w:tcPr>
          <w:p w14:paraId="67F57C21" w14:textId="77777777" w:rsidR="00406671" w:rsidRPr="00BF4A51" w:rsidRDefault="00406671" w:rsidP="00437CD6">
            <w:pPr>
              <w:spacing w:after="0" w:line="240" w:lineRule="auto"/>
              <w:jc w:val="center"/>
              <w:rPr>
                <w:rFonts w:ascii="ITC Avant Garde" w:hAnsi="ITC Avant Garde"/>
                <w:iCs/>
                <w:color w:val="000000"/>
                <w:sz w:val="13"/>
                <w:szCs w:val="13"/>
              </w:rPr>
            </w:pPr>
            <w:r w:rsidRPr="00BF4A51">
              <w:rPr>
                <w:rFonts w:ascii="ITC Avant Garde" w:hAnsi="ITC Avant Garde"/>
                <w:b/>
                <w:iCs/>
                <w:color w:val="000000"/>
                <w:sz w:val="13"/>
                <w:szCs w:val="13"/>
              </w:rPr>
              <w:t>Empresa original a la que se le otorgó la concesión</w:t>
            </w:r>
          </w:p>
        </w:tc>
        <w:tc>
          <w:tcPr>
            <w:tcW w:w="1843" w:type="dxa"/>
            <w:shd w:val="clear" w:color="auto" w:fill="A6A6A6" w:themeFill="background1" w:themeFillShade="A6"/>
            <w:vAlign w:val="center"/>
          </w:tcPr>
          <w:p w14:paraId="4FA7F14D" w14:textId="49C13438" w:rsidR="00406671" w:rsidRPr="00BF4A51" w:rsidRDefault="00406671" w:rsidP="00437CD6">
            <w:pPr>
              <w:spacing w:after="0" w:line="240" w:lineRule="auto"/>
              <w:jc w:val="center"/>
              <w:rPr>
                <w:rFonts w:ascii="ITC Avant Garde" w:hAnsi="ITC Avant Garde"/>
                <w:b/>
                <w:bCs/>
                <w:iCs/>
                <w:color w:val="000000"/>
                <w:sz w:val="13"/>
                <w:szCs w:val="13"/>
              </w:rPr>
            </w:pPr>
            <w:r w:rsidRPr="00BF4A51">
              <w:rPr>
                <w:rFonts w:ascii="ITC Avant Garde" w:hAnsi="ITC Avant Garde"/>
                <w:b/>
                <w:iCs/>
                <w:color w:val="000000"/>
                <w:sz w:val="13"/>
                <w:szCs w:val="13"/>
              </w:rPr>
              <w:t xml:space="preserve">Periodo de vigencia de la </w:t>
            </w:r>
            <w:r w:rsidR="00493A37" w:rsidRPr="00BF4A51">
              <w:rPr>
                <w:rFonts w:ascii="ITC Avant Garde" w:hAnsi="ITC Avant Garde"/>
                <w:b/>
                <w:bCs/>
                <w:iCs/>
                <w:color w:val="000000"/>
                <w:sz w:val="13"/>
                <w:szCs w:val="13"/>
              </w:rPr>
              <w:t>prórroga</w:t>
            </w:r>
          </w:p>
          <w:p w14:paraId="78E105B7" w14:textId="26077C22" w:rsidR="00406671" w:rsidRPr="00BF4A51" w:rsidRDefault="00406671" w:rsidP="00437CD6">
            <w:pPr>
              <w:spacing w:after="0" w:line="240" w:lineRule="auto"/>
              <w:jc w:val="center"/>
              <w:rPr>
                <w:rFonts w:ascii="ITC Avant Garde" w:hAnsi="ITC Avant Garde"/>
                <w:iCs/>
                <w:color w:val="000000"/>
                <w:sz w:val="13"/>
                <w:szCs w:val="13"/>
              </w:rPr>
            </w:pPr>
            <w:r w:rsidRPr="00BF4A51">
              <w:rPr>
                <w:rFonts w:ascii="ITC Avant Garde" w:hAnsi="ITC Avant Garde"/>
                <w:b/>
                <w:iCs/>
                <w:color w:val="000000"/>
                <w:sz w:val="13"/>
                <w:szCs w:val="13"/>
              </w:rPr>
              <w:t>(10 años)</w:t>
            </w:r>
          </w:p>
        </w:tc>
        <w:tc>
          <w:tcPr>
            <w:tcW w:w="2702" w:type="dxa"/>
            <w:shd w:val="clear" w:color="auto" w:fill="A6A6A6" w:themeFill="background1" w:themeFillShade="A6"/>
            <w:vAlign w:val="center"/>
          </w:tcPr>
          <w:p w14:paraId="3A2897C2" w14:textId="369A0A02" w:rsidR="00406671" w:rsidRPr="00BF4A51" w:rsidRDefault="00406671" w:rsidP="00437CD6">
            <w:pPr>
              <w:spacing w:after="0" w:line="240" w:lineRule="auto"/>
              <w:ind w:right="23"/>
              <w:jc w:val="center"/>
              <w:rPr>
                <w:rFonts w:ascii="ITC Avant Garde" w:hAnsi="ITC Avant Garde"/>
                <w:iCs/>
                <w:color w:val="000000"/>
                <w:sz w:val="13"/>
                <w:szCs w:val="13"/>
              </w:rPr>
            </w:pPr>
            <w:r w:rsidRPr="00BF4A51">
              <w:rPr>
                <w:rFonts w:ascii="ITC Avant Garde" w:hAnsi="ITC Avant Garde"/>
                <w:b/>
                <w:iCs/>
                <w:color w:val="000000"/>
                <w:sz w:val="13"/>
                <w:szCs w:val="13"/>
              </w:rPr>
              <w:t xml:space="preserve">Monto del aprovechamiento por </w:t>
            </w:r>
            <w:r w:rsidR="00493A37" w:rsidRPr="00BF4A51">
              <w:rPr>
                <w:rFonts w:ascii="ITC Avant Garde" w:hAnsi="ITC Avant Garde"/>
                <w:b/>
                <w:iCs/>
                <w:color w:val="000000"/>
                <w:sz w:val="13"/>
                <w:szCs w:val="13"/>
              </w:rPr>
              <w:t>prórroga de</w:t>
            </w:r>
            <w:r w:rsidRPr="00BF4A51">
              <w:rPr>
                <w:rFonts w:ascii="ITC Avant Garde" w:hAnsi="ITC Avant Garde"/>
                <w:b/>
                <w:iCs/>
                <w:color w:val="000000"/>
                <w:sz w:val="13"/>
                <w:szCs w:val="13"/>
              </w:rPr>
              <w:t xml:space="preserve"> </w:t>
            </w:r>
            <w:r w:rsidRPr="00BF4A51">
              <w:rPr>
                <w:rFonts w:ascii="ITC Avant Garde" w:hAnsi="ITC Avant Garde"/>
                <w:b/>
                <w:bCs/>
                <w:iCs/>
                <w:color w:val="000000"/>
                <w:sz w:val="13"/>
                <w:szCs w:val="13"/>
              </w:rPr>
              <w:t xml:space="preserve">concesión </w:t>
            </w:r>
            <w:r w:rsidRPr="00BF4A51">
              <w:rPr>
                <w:rFonts w:ascii="ITC Avant Garde" w:hAnsi="ITC Avant Garde"/>
                <w:b/>
                <w:iCs/>
                <w:color w:val="000000"/>
                <w:sz w:val="13"/>
                <w:szCs w:val="13"/>
              </w:rPr>
              <w:t>(pesos octubre 2016)</w:t>
            </w:r>
          </w:p>
        </w:tc>
      </w:tr>
      <w:tr w:rsidR="00A22594" w:rsidRPr="00BF4A51" w14:paraId="660195C8" w14:textId="77777777" w:rsidTr="00437CD6">
        <w:trPr>
          <w:jc w:val="center"/>
        </w:trPr>
        <w:tc>
          <w:tcPr>
            <w:tcW w:w="2677" w:type="dxa"/>
          </w:tcPr>
          <w:p w14:paraId="7A709A38" w14:textId="067D8DCE" w:rsidR="00A22594" w:rsidRPr="00BF4A51" w:rsidRDefault="00A22594" w:rsidP="00BF4A51">
            <w:pPr>
              <w:numPr>
                <w:ilvl w:val="0"/>
                <w:numId w:val="51"/>
              </w:numPr>
              <w:spacing w:after="0" w:line="240" w:lineRule="auto"/>
              <w:ind w:left="301" w:right="34"/>
              <w:contextualSpacing/>
              <w:rPr>
                <w:rFonts w:ascii="ITC Avant Garde" w:hAnsi="ITC Avant Garde"/>
                <w:iCs/>
                <w:color w:val="000000"/>
                <w:sz w:val="13"/>
                <w:szCs w:val="13"/>
              </w:rPr>
            </w:pPr>
            <w:proofErr w:type="spellStart"/>
            <w:r w:rsidRPr="00BF4A51">
              <w:rPr>
                <w:rFonts w:ascii="ITC Avant Garde" w:hAnsi="ITC Avant Garde"/>
                <w:iCs/>
                <w:color w:val="000000"/>
                <w:sz w:val="13"/>
                <w:szCs w:val="13"/>
              </w:rPr>
              <w:t>Comintermex</w:t>
            </w:r>
            <w:proofErr w:type="spellEnd"/>
            <w:r w:rsidRPr="00BF4A51">
              <w:rPr>
                <w:rFonts w:ascii="ITC Avant Garde" w:hAnsi="ITC Avant Garde"/>
                <w:iCs/>
                <w:color w:val="000000"/>
                <w:sz w:val="13"/>
                <w:szCs w:val="13"/>
              </w:rPr>
              <w:t>, S.A de C.V.</w:t>
            </w:r>
          </w:p>
        </w:tc>
        <w:tc>
          <w:tcPr>
            <w:tcW w:w="1843" w:type="dxa"/>
          </w:tcPr>
          <w:p w14:paraId="4CD94A8F" w14:textId="7F0FCC0E" w:rsidR="00A22594" w:rsidRPr="00BF4A51" w:rsidRDefault="00A22594" w:rsidP="00BF4A51">
            <w:pPr>
              <w:spacing w:after="0" w:line="240" w:lineRule="auto"/>
              <w:ind w:right="14"/>
              <w:jc w:val="center"/>
              <w:rPr>
                <w:rFonts w:ascii="ITC Avant Garde" w:hAnsi="ITC Avant Garde"/>
                <w:iCs/>
                <w:color w:val="000000"/>
                <w:sz w:val="13"/>
                <w:szCs w:val="13"/>
              </w:rPr>
            </w:pPr>
            <w:r w:rsidRPr="00BF4A51">
              <w:rPr>
                <w:rFonts w:ascii="ITC Avant Garde" w:hAnsi="ITC Avant Garde"/>
                <w:iCs/>
                <w:color w:val="000000"/>
                <w:sz w:val="13"/>
                <w:szCs w:val="13"/>
              </w:rPr>
              <w:t>Del 24/09/2016 al 24/0/2026</w:t>
            </w:r>
          </w:p>
        </w:tc>
        <w:tc>
          <w:tcPr>
            <w:tcW w:w="2702" w:type="dxa"/>
          </w:tcPr>
          <w:p w14:paraId="03D38E2A" w14:textId="6D96359F" w:rsidR="00A22594" w:rsidRPr="00BF4A51" w:rsidRDefault="00A22594" w:rsidP="00BF4A51">
            <w:pPr>
              <w:spacing w:after="0" w:line="240" w:lineRule="auto"/>
              <w:ind w:right="43"/>
              <w:jc w:val="center"/>
              <w:rPr>
                <w:rFonts w:ascii="ITC Avant Garde" w:hAnsi="ITC Avant Garde"/>
                <w:iCs/>
                <w:color w:val="000000"/>
                <w:sz w:val="13"/>
                <w:szCs w:val="13"/>
              </w:rPr>
            </w:pPr>
            <w:r w:rsidRPr="00BF4A51">
              <w:rPr>
                <w:rFonts w:ascii="ITC Avant Garde" w:hAnsi="ITC Avant Garde"/>
                <w:iCs/>
                <w:color w:val="000000"/>
                <w:sz w:val="13"/>
                <w:szCs w:val="13"/>
              </w:rPr>
              <w:t>$12,353,486</w:t>
            </w:r>
          </w:p>
        </w:tc>
      </w:tr>
      <w:tr w:rsidR="00A22594" w:rsidRPr="00BF4A51" w14:paraId="3F6C5FBE" w14:textId="77777777" w:rsidTr="00437CD6">
        <w:trPr>
          <w:jc w:val="center"/>
        </w:trPr>
        <w:tc>
          <w:tcPr>
            <w:tcW w:w="2677" w:type="dxa"/>
          </w:tcPr>
          <w:p w14:paraId="65DC0028" w14:textId="4E5F30B0" w:rsidR="00A22594" w:rsidRPr="00BF4A51" w:rsidRDefault="00A22594" w:rsidP="00BF4A51">
            <w:pPr>
              <w:numPr>
                <w:ilvl w:val="0"/>
                <w:numId w:val="51"/>
              </w:numPr>
              <w:spacing w:after="0" w:line="240" w:lineRule="auto"/>
              <w:ind w:left="301" w:right="34"/>
              <w:contextualSpacing/>
              <w:rPr>
                <w:rFonts w:ascii="ITC Avant Garde" w:hAnsi="ITC Avant Garde"/>
                <w:iCs/>
                <w:color w:val="000000"/>
                <w:sz w:val="13"/>
                <w:szCs w:val="13"/>
              </w:rPr>
            </w:pPr>
            <w:r w:rsidRPr="00BF4A51">
              <w:rPr>
                <w:rFonts w:ascii="ITC Avant Garde" w:hAnsi="ITC Avant Garde"/>
                <w:iCs/>
                <w:color w:val="000000"/>
                <w:sz w:val="13"/>
                <w:szCs w:val="13"/>
              </w:rPr>
              <w:t>[…]</w:t>
            </w:r>
          </w:p>
        </w:tc>
        <w:tc>
          <w:tcPr>
            <w:tcW w:w="1843" w:type="dxa"/>
          </w:tcPr>
          <w:p w14:paraId="43FEEAF4" w14:textId="34DBB9BD" w:rsidR="00A22594" w:rsidRPr="00BF4A51" w:rsidRDefault="00A22594" w:rsidP="00BF4A51">
            <w:pPr>
              <w:spacing w:after="0" w:line="240" w:lineRule="auto"/>
              <w:ind w:right="14"/>
              <w:jc w:val="center"/>
              <w:rPr>
                <w:rFonts w:ascii="ITC Avant Garde" w:hAnsi="ITC Avant Garde"/>
                <w:iCs/>
                <w:color w:val="000000"/>
                <w:sz w:val="13"/>
                <w:szCs w:val="13"/>
              </w:rPr>
            </w:pPr>
            <w:r w:rsidRPr="00BF4A51">
              <w:rPr>
                <w:rFonts w:ascii="ITC Avant Garde" w:hAnsi="ITC Avant Garde"/>
                <w:iCs/>
                <w:color w:val="000000"/>
                <w:sz w:val="13"/>
                <w:szCs w:val="13"/>
              </w:rPr>
              <w:t>[…]</w:t>
            </w:r>
          </w:p>
        </w:tc>
        <w:tc>
          <w:tcPr>
            <w:tcW w:w="2702" w:type="dxa"/>
          </w:tcPr>
          <w:p w14:paraId="7CC22758" w14:textId="6C714D6A" w:rsidR="00A22594" w:rsidRPr="00BF4A51" w:rsidRDefault="00A22594" w:rsidP="00BF4A51">
            <w:pPr>
              <w:spacing w:after="0" w:line="240" w:lineRule="auto"/>
              <w:ind w:right="43"/>
              <w:jc w:val="center"/>
              <w:rPr>
                <w:rFonts w:ascii="ITC Avant Garde" w:hAnsi="ITC Avant Garde"/>
                <w:iCs/>
                <w:color w:val="000000"/>
                <w:sz w:val="13"/>
                <w:szCs w:val="13"/>
              </w:rPr>
            </w:pPr>
            <w:r w:rsidRPr="00BF4A51">
              <w:rPr>
                <w:rFonts w:ascii="ITC Avant Garde" w:hAnsi="ITC Avant Garde"/>
                <w:iCs/>
                <w:color w:val="000000"/>
                <w:sz w:val="13"/>
                <w:szCs w:val="13"/>
              </w:rPr>
              <w:t>[…]</w:t>
            </w:r>
          </w:p>
        </w:tc>
      </w:tr>
      <w:tr w:rsidR="00A22594" w:rsidRPr="00BF4A51" w14:paraId="0BE69E09" w14:textId="77777777" w:rsidTr="00437CD6">
        <w:trPr>
          <w:jc w:val="center"/>
        </w:trPr>
        <w:tc>
          <w:tcPr>
            <w:tcW w:w="2677" w:type="dxa"/>
          </w:tcPr>
          <w:p w14:paraId="3BA1D0C5" w14:textId="1E1C2CEA" w:rsidR="00A22594" w:rsidRPr="00BF4A51" w:rsidRDefault="00A22594" w:rsidP="00BF4A51">
            <w:pPr>
              <w:numPr>
                <w:ilvl w:val="0"/>
                <w:numId w:val="51"/>
              </w:numPr>
              <w:spacing w:after="0" w:line="240" w:lineRule="auto"/>
              <w:ind w:left="301" w:right="34"/>
              <w:contextualSpacing/>
              <w:rPr>
                <w:rFonts w:ascii="ITC Avant Garde" w:hAnsi="ITC Avant Garde"/>
                <w:iCs/>
                <w:color w:val="000000"/>
                <w:sz w:val="13"/>
                <w:szCs w:val="13"/>
              </w:rPr>
            </w:pPr>
            <w:r w:rsidRPr="00BF4A51">
              <w:rPr>
                <w:rFonts w:ascii="ITC Avant Garde" w:hAnsi="ITC Avant Garde"/>
                <w:iCs/>
                <w:color w:val="000000"/>
                <w:sz w:val="13"/>
                <w:szCs w:val="13"/>
              </w:rPr>
              <w:t>[…]</w:t>
            </w:r>
          </w:p>
        </w:tc>
        <w:tc>
          <w:tcPr>
            <w:tcW w:w="1843" w:type="dxa"/>
          </w:tcPr>
          <w:p w14:paraId="49D2D9C0" w14:textId="5C1459B4" w:rsidR="00A22594" w:rsidRPr="00BF4A51" w:rsidRDefault="00A22594" w:rsidP="00BF4A51">
            <w:pPr>
              <w:spacing w:after="0" w:line="240" w:lineRule="auto"/>
              <w:ind w:right="14"/>
              <w:jc w:val="center"/>
              <w:rPr>
                <w:rFonts w:ascii="ITC Avant Garde" w:hAnsi="ITC Avant Garde"/>
                <w:iCs/>
                <w:color w:val="000000"/>
                <w:sz w:val="13"/>
                <w:szCs w:val="13"/>
              </w:rPr>
            </w:pPr>
            <w:r w:rsidRPr="00BF4A51">
              <w:rPr>
                <w:rFonts w:ascii="ITC Avant Garde" w:hAnsi="ITC Avant Garde"/>
                <w:iCs/>
                <w:color w:val="000000"/>
                <w:sz w:val="13"/>
                <w:szCs w:val="13"/>
              </w:rPr>
              <w:t>[…]</w:t>
            </w:r>
          </w:p>
        </w:tc>
        <w:tc>
          <w:tcPr>
            <w:tcW w:w="2702" w:type="dxa"/>
          </w:tcPr>
          <w:p w14:paraId="304CC321" w14:textId="1D03B4C9" w:rsidR="00A22594" w:rsidRPr="00BF4A51" w:rsidRDefault="00A22594" w:rsidP="00BF4A51">
            <w:pPr>
              <w:spacing w:after="0" w:line="240" w:lineRule="auto"/>
              <w:ind w:right="43"/>
              <w:jc w:val="center"/>
              <w:rPr>
                <w:rFonts w:ascii="ITC Avant Garde" w:hAnsi="ITC Avant Garde"/>
                <w:iCs/>
                <w:color w:val="000000"/>
                <w:sz w:val="13"/>
                <w:szCs w:val="13"/>
              </w:rPr>
            </w:pPr>
            <w:r w:rsidRPr="00BF4A51">
              <w:rPr>
                <w:rFonts w:ascii="ITC Avant Garde" w:hAnsi="ITC Avant Garde"/>
                <w:iCs/>
                <w:color w:val="000000"/>
                <w:sz w:val="13"/>
                <w:szCs w:val="13"/>
              </w:rPr>
              <w:t>[…]</w:t>
            </w:r>
          </w:p>
        </w:tc>
      </w:tr>
      <w:tr w:rsidR="00A22594" w:rsidRPr="00BF4A51" w14:paraId="2878C6F2" w14:textId="77777777" w:rsidTr="00437CD6">
        <w:trPr>
          <w:jc w:val="center"/>
        </w:trPr>
        <w:tc>
          <w:tcPr>
            <w:tcW w:w="4520" w:type="dxa"/>
            <w:gridSpan w:val="2"/>
          </w:tcPr>
          <w:p w14:paraId="000B9D5D" w14:textId="4E7EB5FC" w:rsidR="00A22594" w:rsidRPr="00BF4A51" w:rsidRDefault="00A22594" w:rsidP="00BF4A51">
            <w:pPr>
              <w:spacing w:after="0" w:line="240" w:lineRule="auto"/>
              <w:ind w:right="618"/>
              <w:rPr>
                <w:rFonts w:ascii="ITC Avant Garde" w:hAnsi="ITC Avant Garde"/>
                <w:b/>
                <w:iCs/>
                <w:color w:val="000000"/>
                <w:sz w:val="13"/>
                <w:szCs w:val="13"/>
              </w:rPr>
            </w:pPr>
            <w:r w:rsidRPr="00BF4A51">
              <w:rPr>
                <w:rFonts w:ascii="ITC Avant Garde" w:hAnsi="ITC Avant Garde"/>
                <w:b/>
                <w:iCs/>
                <w:color w:val="000000"/>
                <w:sz w:val="13"/>
                <w:szCs w:val="13"/>
              </w:rPr>
              <w:t>Monto total a pagar por AT&amp;T Comunicaciones Digitales S.</w:t>
            </w:r>
            <w:r w:rsidR="00493A37" w:rsidRPr="00BF4A51">
              <w:rPr>
                <w:rFonts w:ascii="ITC Avant Garde" w:hAnsi="ITC Avant Garde"/>
                <w:b/>
                <w:iCs/>
                <w:color w:val="000000"/>
                <w:sz w:val="13"/>
                <w:szCs w:val="13"/>
              </w:rPr>
              <w:t xml:space="preserve"> </w:t>
            </w:r>
            <w:r w:rsidRPr="00BF4A51">
              <w:rPr>
                <w:rFonts w:ascii="ITC Avant Garde" w:hAnsi="ITC Avant Garde"/>
                <w:b/>
                <w:iCs/>
                <w:color w:val="000000"/>
                <w:sz w:val="13"/>
                <w:szCs w:val="13"/>
              </w:rPr>
              <w:t>de R.L. de C.V.</w:t>
            </w:r>
          </w:p>
        </w:tc>
        <w:tc>
          <w:tcPr>
            <w:tcW w:w="2702" w:type="dxa"/>
          </w:tcPr>
          <w:p w14:paraId="58A0B626" w14:textId="0E6340DE" w:rsidR="00A22594" w:rsidRPr="00BF4A51" w:rsidRDefault="00A22594" w:rsidP="00BF4A51">
            <w:pPr>
              <w:spacing w:after="0" w:line="240" w:lineRule="auto"/>
              <w:ind w:right="43"/>
              <w:jc w:val="center"/>
              <w:rPr>
                <w:rFonts w:ascii="ITC Avant Garde" w:hAnsi="ITC Avant Garde"/>
                <w:b/>
                <w:iCs/>
                <w:color w:val="000000"/>
                <w:sz w:val="13"/>
                <w:szCs w:val="13"/>
              </w:rPr>
            </w:pPr>
            <w:r w:rsidRPr="00BF4A51">
              <w:rPr>
                <w:rFonts w:ascii="ITC Avant Garde" w:hAnsi="ITC Avant Garde"/>
                <w:b/>
                <w:iCs/>
                <w:color w:val="000000"/>
                <w:sz w:val="13"/>
                <w:szCs w:val="13"/>
              </w:rPr>
              <w:t>$49,592,290</w:t>
            </w:r>
          </w:p>
        </w:tc>
      </w:tr>
    </w:tbl>
    <w:p w14:paraId="4BC6E4B7" w14:textId="77777777" w:rsidR="00BF4A51" w:rsidRPr="00BF4A51" w:rsidRDefault="00406671" w:rsidP="00BF4A51">
      <w:pPr>
        <w:tabs>
          <w:tab w:val="num" w:pos="540"/>
        </w:tabs>
        <w:spacing w:before="240" w:line="240" w:lineRule="auto"/>
        <w:ind w:left="567" w:right="615"/>
        <w:contextualSpacing/>
        <w:jc w:val="both"/>
        <w:rPr>
          <w:rFonts w:ascii="ITC Avant Garde" w:hAnsi="ITC Avant Garde"/>
          <w:bCs/>
          <w:color w:val="000000"/>
          <w:sz w:val="18"/>
          <w:szCs w:val="18"/>
          <w:lang w:eastAsia="es-MX"/>
        </w:rPr>
      </w:pPr>
      <w:r w:rsidRPr="00BF4A51">
        <w:rPr>
          <w:rFonts w:ascii="ITC Avant Garde" w:hAnsi="ITC Avant Garde"/>
          <w:bCs/>
          <w:color w:val="000000"/>
          <w:sz w:val="18"/>
          <w:szCs w:val="18"/>
          <w:lang w:eastAsia="es-MX"/>
        </w:rPr>
        <w:t>[…]” [sic]</w:t>
      </w:r>
      <w:r w:rsidR="00A14F9E" w:rsidRPr="00BF4A51">
        <w:rPr>
          <w:rFonts w:ascii="ITC Avant Garde" w:hAnsi="ITC Avant Garde"/>
          <w:bCs/>
          <w:color w:val="000000"/>
          <w:sz w:val="18"/>
          <w:szCs w:val="18"/>
          <w:lang w:eastAsia="es-MX"/>
        </w:rPr>
        <w:t xml:space="preserve"> (subrayado añadido).</w:t>
      </w:r>
    </w:p>
    <w:p w14:paraId="62F7E057" w14:textId="77777777" w:rsidR="00BF4A51" w:rsidRPr="00BF4A51" w:rsidRDefault="003C36D6" w:rsidP="00BF4A51">
      <w:pPr>
        <w:tabs>
          <w:tab w:val="num" w:pos="540"/>
        </w:tabs>
        <w:spacing w:before="240" w:line="240" w:lineRule="auto"/>
        <w:jc w:val="both"/>
        <w:rPr>
          <w:rFonts w:ascii="ITC Avant Garde" w:hAnsi="ITC Avant Garde"/>
          <w:bCs/>
          <w:color w:val="000000"/>
          <w:lang w:eastAsia="es-MX"/>
        </w:rPr>
      </w:pPr>
      <w:r w:rsidRPr="00BF4A51">
        <w:rPr>
          <w:rFonts w:ascii="ITC Avant Garde" w:hAnsi="ITC Avant Garde"/>
          <w:bCs/>
          <w:color w:val="000000"/>
          <w:lang w:eastAsia="es-MX"/>
        </w:rPr>
        <w:t xml:space="preserve">Finalmente, y considerando que la cantidad señalada se encontraba actualizada al mes de octubre de 2016, </w:t>
      </w:r>
      <w:r w:rsidR="00A14F9E" w:rsidRPr="00BF4A51">
        <w:rPr>
          <w:rFonts w:ascii="ITC Avant Garde" w:hAnsi="ITC Avant Garde"/>
          <w:bCs/>
          <w:color w:val="000000"/>
          <w:lang w:eastAsia="es-MX"/>
        </w:rPr>
        <w:t xml:space="preserve">y en atención a lo señalado en el oficio de autorización de la SHCP, </w:t>
      </w:r>
      <w:r w:rsidRPr="00BF4A51">
        <w:rPr>
          <w:rFonts w:ascii="ITC Avant Garde" w:hAnsi="ITC Avant Garde"/>
          <w:bCs/>
          <w:color w:val="000000"/>
          <w:lang w:eastAsia="es-MX"/>
        </w:rPr>
        <w:t xml:space="preserve">la Unidad de Concesiones y Servicios, a través de la Dirección General de Concesiones de Telecomunicaciones solicitó a la Unidad de Espectro Radioeléctrico la actualización del monto autorizado por concepto de contraprestación que deberá pagar AT&amp;T Comunicaciones Digitales S. de R.L. de C.V. por la Solicitud de Prórroga. </w:t>
      </w:r>
    </w:p>
    <w:p w14:paraId="248B04F5" w14:textId="77777777" w:rsidR="00BF4A51" w:rsidRPr="00BF4A51" w:rsidRDefault="003C36D6" w:rsidP="00BF4A51">
      <w:pPr>
        <w:tabs>
          <w:tab w:val="num" w:pos="540"/>
        </w:tabs>
        <w:spacing w:before="240" w:line="240" w:lineRule="auto"/>
        <w:jc w:val="both"/>
        <w:rPr>
          <w:rFonts w:ascii="ITC Avant Garde" w:hAnsi="ITC Avant Garde"/>
          <w:bCs/>
          <w:color w:val="000000"/>
          <w:lang w:eastAsia="es-MX"/>
        </w:rPr>
      </w:pPr>
      <w:r w:rsidRPr="00BF4A51">
        <w:rPr>
          <w:rFonts w:ascii="ITC Avant Garde" w:hAnsi="ITC Avant Garde"/>
          <w:bCs/>
          <w:color w:val="000000"/>
          <w:lang w:eastAsia="es-MX"/>
        </w:rPr>
        <w:t>En respuesta a lo anterior</w:t>
      </w:r>
      <w:r w:rsidR="00A14F9E" w:rsidRPr="00BF4A51">
        <w:rPr>
          <w:rFonts w:ascii="ITC Avant Garde" w:hAnsi="ITC Avant Garde"/>
          <w:bCs/>
          <w:color w:val="000000"/>
          <w:lang w:eastAsia="es-MX"/>
        </w:rPr>
        <w:t>,</w:t>
      </w:r>
      <w:r w:rsidRPr="00BF4A51">
        <w:rPr>
          <w:rFonts w:ascii="ITC Avant Garde" w:hAnsi="ITC Avant Garde"/>
          <w:bCs/>
          <w:color w:val="000000"/>
          <w:lang w:eastAsia="es-MX"/>
        </w:rPr>
        <w:t xml:space="preserve"> la Unidad de Espectro Radioeléctrico, a través de la Dirección General de Economía del Espectro y Recursos Orbitales</w:t>
      </w:r>
      <w:r w:rsidR="00A14F9E" w:rsidRPr="00BF4A51">
        <w:rPr>
          <w:rFonts w:ascii="ITC Avant Garde" w:hAnsi="ITC Avant Garde"/>
          <w:bCs/>
          <w:color w:val="000000"/>
          <w:lang w:eastAsia="es-MX"/>
        </w:rPr>
        <w:t>,</w:t>
      </w:r>
      <w:r w:rsidRPr="00BF4A51">
        <w:rPr>
          <w:rFonts w:ascii="ITC Avant Garde" w:hAnsi="ITC Avant Garde"/>
          <w:bCs/>
          <w:color w:val="000000"/>
          <w:lang w:eastAsia="es-MX"/>
        </w:rPr>
        <w:t xml:space="preserve"> remitió dicha actualización conforme al Índice Nacional de Precios al Consumidor del mes de febrero de 2017, de conformidad con la siguiente tabla:</w:t>
      </w:r>
    </w:p>
    <w:tbl>
      <w:tblPr>
        <w:tblStyle w:val="Tablaconcuadrcula2"/>
        <w:tblW w:w="6658" w:type="dxa"/>
        <w:jc w:val="center"/>
        <w:tblLook w:val="04A0" w:firstRow="1" w:lastRow="0" w:firstColumn="1" w:lastColumn="0" w:noHBand="0" w:noVBand="1"/>
        <w:tblCaption w:val="Actualización del monto de la contraprestación"/>
        <w:tblDescription w:val="En una tabla de 3 columnas y 4 filas, se proporciona el Monto de Contraprestación de la empresa."/>
      </w:tblPr>
      <w:tblGrid>
        <w:gridCol w:w="1030"/>
        <w:gridCol w:w="2873"/>
        <w:gridCol w:w="2755"/>
      </w:tblGrid>
      <w:tr w:rsidR="003C36D6" w:rsidRPr="00BF4A51" w14:paraId="6C362E1F" w14:textId="77777777" w:rsidTr="00437CD6">
        <w:trPr>
          <w:trHeight w:val="510"/>
          <w:tblHeader/>
          <w:jc w:val="center"/>
        </w:trPr>
        <w:tc>
          <w:tcPr>
            <w:tcW w:w="1030" w:type="dxa"/>
            <w:shd w:val="clear" w:color="auto" w:fill="A6A6A6" w:themeFill="background1" w:themeFillShade="A6"/>
            <w:noWrap/>
            <w:vAlign w:val="center"/>
            <w:hideMark/>
          </w:tcPr>
          <w:p w14:paraId="48B3D4C7" w14:textId="5C7A0910" w:rsidR="003C36D6" w:rsidRPr="00BF4A51" w:rsidRDefault="003C36D6" w:rsidP="00437CD6">
            <w:pPr>
              <w:spacing w:after="0" w:line="240" w:lineRule="auto"/>
              <w:ind w:right="618"/>
              <w:jc w:val="center"/>
              <w:rPr>
                <w:rFonts w:ascii="ITC Avant Garde" w:hAnsi="ITC Avant Garde"/>
                <w:b/>
                <w:iCs/>
                <w:color w:val="000000"/>
                <w:sz w:val="14"/>
                <w:szCs w:val="14"/>
              </w:rPr>
            </w:pPr>
            <w:r w:rsidRPr="00BF4A51">
              <w:rPr>
                <w:rFonts w:ascii="ITC Avant Garde" w:hAnsi="ITC Avant Garde"/>
                <w:b/>
                <w:iCs/>
                <w:color w:val="000000"/>
                <w:sz w:val="14"/>
                <w:szCs w:val="14"/>
              </w:rPr>
              <w:t>No</w:t>
            </w:r>
          </w:p>
        </w:tc>
        <w:tc>
          <w:tcPr>
            <w:tcW w:w="2873" w:type="dxa"/>
            <w:shd w:val="clear" w:color="auto" w:fill="A6A6A6" w:themeFill="background1" w:themeFillShade="A6"/>
            <w:noWrap/>
            <w:vAlign w:val="center"/>
            <w:hideMark/>
          </w:tcPr>
          <w:p w14:paraId="35F6A20C" w14:textId="77777777" w:rsidR="003C36D6" w:rsidRPr="00BF4A51" w:rsidRDefault="003C36D6" w:rsidP="00437CD6">
            <w:pPr>
              <w:spacing w:after="0" w:line="240" w:lineRule="auto"/>
              <w:ind w:right="618"/>
              <w:jc w:val="center"/>
              <w:rPr>
                <w:rFonts w:ascii="ITC Avant Garde" w:hAnsi="ITC Avant Garde"/>
                <w:b/>
                <w:iCs/>
                <w:color w:val="000000"/>
                <w:sz w:val="14"/>
                <w:szCs w:val="14"/>
              </w:rPr>
            </w:pPr>
            <w:r w:rsidRPr="00BF4A51">
              <w:rPr>
                <w:rFonts w:ascii="ITC Avant Garde" w:hAnsi="ITC Avant Garde"/>
                <w:b/>
                <w:iCs/>
                <w:color w:val="000000"/>
                <w:sz w:val="14"/>
                <w:szCs w:val="14"/>
              </w:rPr>
              <w:t>Empresa original a la que se le otorgó la concesión</w:t>
            </w:r>
          </w:p>
        </w:tc>
        <w:tc>
          <w:tcPr>
            <w:tcW w:w="2755" w:type="dxa"/>
            <w:shd w:val="clear" w:color="auto" w:fill="A6A6A6" w:themeFill="background1" w:themeFillShade="A6"/>
            <w:vAlign w:val="center"/>
            <w:hideMark/>
          </w:tcPr>
          <w:p w14:paraId="51B37256" w14:textId="77777777" w:rsidR="003C36D6" w:rsidRPr="00BF4A51" w:rsidRDefault="003C36D6" w:rsidP="00437CD6">
            <w:pPr>
              <w:spacing w:after="0" w:line="240" w:lineRule="auto"/>
              <w:ind w:right="618"/>
              <w:jc w:val="center"/>
              <w:rPr>
                <w:rFonts w:ascii="ITC Avant Garde" w:hAnsi="ITC Avant Garde"/>
                <w:b/>
                <w:iCs/>
                <w:color w:val="000000"/>
                <w:sz w:val="14"/>
                <w:szCs w:val="14"/>
              </w:rPr>
            </w:pPr>
            <w:r w:rsidRPr="00BF4A51">
              <w:rPr>
                <w:rFonts w:ascii="ITC Avant Garde" w:hAnsi="ITC Avant Garde"/>
                <w:b/>
                <w:iCs/>
                <w:color w:val="000000"/>
                <w:sz w:val="14"/>
                <w:szCs w:val="14"/>
              </w:rPr>
              <w:t>Monto de Contraprestación</w:t>
            </w:r>
            <w:r w:rsidRPr="00BF4A51">
              <w:rPr>
                <w:rFonts w:ascii="ITC Avant Garde" w:hAnsi="ITC Avant Garde"/>
                <w:b/>
                <w:iCs/>
                <w:color w:val="000000"/>
                <w:sz w:val="14"/>
                <w:szCs w:val="14"/>
              </w:rPr>
              <w:br/>
              <w:t>(pesos mexicanos)</w:t>
            </w:r>
          </w:p>
        </w:tc>
      </w:tr>
      <w:tr w:rsidR="003C36D6" w:rsidRPr="00BF4A51" w14:paraId="16759E67" w14:textId="77777777" w:rsidTr="00437CD6">
        <w:trPr>
          <w:trHeight w:val="255"/>
          <w:jc w:val="center"/>
        </w:trPr>
        <w:tc>
          <w:tcPr>
            <w:tcW w:w="1030" w:type="dxa"/>
            <w:noWrap/>
            <w:hideMark/>
          </w:tcPr>
          <w:p w14:paraId="75945624" w14:textId="77777777" w:rsidR="003C36D6" w:rsidRPr="00BF4A51" w:rsidRDefault="003C36D6" w:rsidP="00BF4A51">
            <w:pPr>
              <w:spacing w:after="0" w:line="240" w:lineRule="auto"/>
              <w:ind w:right="618"/>
              <w:jc w:val="center"/>
              <w:rPr>
                <w:rFonts w:ascii="ITC Avant Garde" w:hAnsi="ITC Avant Garde"/>
                <w:iCs/>
                <w:color w:val="000000"/>
                <w:sz w:val="14"/>
                <w:szCs w:val="14"/>
              </w:rPr>
            </w:pPr>
            <w:r w:rsidRPr="00BF4A51">
              <w:rPr>
                <w:rFonts w:ascii="ITC Avant Garde" w:hAnsi="ITC Avant Garde"/>
                <w:iCs/>
                <w:color w:val="000000"/>
                <w:sz w:val="14"/>
                <w:szCs w:val="14"/>
              </w:rPr>
              <w:t>1</w:t>
            </w:r>
          </w:p>
        </w:tc>
        <w:tc>
          <w:tcPr>
            <w:tcW w:w="2873" w:type="dxa"/>
            <w:noWrap/>
          </w:tcPr>
          <w:p w14:paraId="56B99F15" w14:textId="4495D0DF" w:rsidR="003C36D6" w:rsidRPr="00BF4A51" w:rsidRDefault="003C36D6" w:rsidP="00BF4A51">
            <w:pPr>
              <w:spacing w:after="0" w:line="240" w:lineRule="auto"/>
              <w:ind w:right="618"/>
              <w:jc w:val="center"/>
              <w:rPr>
                <w:rFonts w:ascii="ITC Avant Garde" w:hAnsi="ITC Avant Garde"/>
                <w:iCs/>
                <w:color w:val="000000"/>
                <w:sz w:val="14"/>
                <w:szCs w:val="14"/>
              </w:rPr>
            </w:pPr>
            <w:proofErr w:type="spellStart"/>
            <w:r w:rsidRPr="00BF4A51">
              <w:rPr>
                <w:rFonts w:ascii="ITC Avant Garde" w:hAnsi="ITC Avant Garde"/>
                <w:iCs/>
                <w:color w:val="000000"/>
                <w:sz w:val="13"/>
                <w:szCs w:val="13"/>
                <w:lang w:val="es-ES"/>
              </w:rPr>
              <w:t>Comintermex</w:t>
            </w:r>
            <w:proofErr w:type="spellEnd"/>
            <w:r w:rsidRPr="00BF4A51">
              <w:rPr>
                <w:rFonts w:ascii="ITC Avant Garde" w:hAnsi="ITC Avant Garde"/>
                <w:iCs/>
                <w:color w:val="000000"/>
                <w:sz w:val="13"/>
                <w:szCs w:val="13"/>
                <w:lang w:val="es-ES"/>
              </w:rPr>
              <w:t>, S.A. de C.V.</w:t>
            </w:r>
          </w:p>
        </w:tc>
        <w:tc>
          <w:tcPr>
            <w:tcW w:w="2755" w:type="dxa"/>
            <w:noWrap/>
          </w:tcPr>
          <w:p w14:paraId="2A18DA26" w14:textId="0805613F" w:rsidR="003C36D6" w:rsidRPr="00BF4A51" w:rsidRDefault="003C36D6" w:rsidP="00BF4A51">
            <w:pPr>
              <w:spacing w:after="0" w:line="240" w:lineRule="auto"/>
              <w:ind w:right="618"/>
              <w:jc w:val="center"/>
              <w:rPr>
                <w:rFonts w:ascii="ITC Avant Garde" w:hAnsi="ITC Avant Garde"/>
                <w:iCs/>
                <w:color w:val="000000"/>
                <w:sz w:val="14"/>
                <w:szCs w:val="14"/>
              </w:rPr>
            </w:pPr>
            <w:r w:rsidRPr="00BF4A51">
              <w:rPr>
                <w:rFonts w:ascii="ITC Avant Garde" w:hAnsi="ITC Avant Garde"/>
                <w:iCs/>
                <w:color w:val="000000"/>
                <w:sz w:val="13"/>
                <w:szCs w:val="13"/>
                <w:lang w:val="es-ES"/>
              </w:rPr>
              <w:t>12,793,271</w:t>
            </w:r>
          </w:p>
        </w:tc>
      </w:tr>
      <w:tr w:rsidR="003C36D6" w:rsidRPr="00BF4A51" w14:paraId="08E2B49D" w14:textId="77777777" w:rsidTr="00437CD6">
        <w:trPr>
          <w:trHeight w:val="255"/>
          <w:jc w:val="center"/>
        </w:trPr>
        <w:tc>
          <w:tcPr>
            <w:tcW w:w="1030" w:type="dxa"/>
            <w:noWrap/>
            <w:hideMark/>
          </w:tcPr>
          <w:p w14:paraId="394A8A8B" w14:textId="77777777" w:rsidR="003C36D6" w:rsidRPr="00BF4A51" w:rsidRDefault="003C36D6" w:rsidP="00BF4A51">
            <w:pPr>
              <w:spacing w:after="0" w:line="240" w:lineRule="auto"/>
              <w:ind w:right="618"/>
              <w:jc w:val="center"/>
              <w:rPr>
                <w:rFonts w:ascii="ITC Avant Garde" w:hAnsi="ITC Avant Garde"/>
                <w:iCs/>
                <w:color w:val="000000"/>
                <w:sz w:val="14"/>
                <w:szCs w:val="14"/>
              </w:rPr>
            </w:pPr>
            <w:r w:rsidRPr="00BF4A51">
              <w:rPr>
                <w:rFonts w:ascii="ITC Avant Garde" w:hAnsi="ITC Avant Garde"/>
                <w:iCs/>
                <w:color w:val="000000"/>
                <w:sz w:val="14"/>
                <w:szCs w:val="14"/>
              </w:rPr>
              <w:t>2</w:t>
            </w:r>
          </w:p>
        </w:tc>
        <w:tc>
          <w:tcPr>
            <w:tcW w:w="2873" w:type="dxa"/>
            <w:noWrap/>
          </w:tcPr>
          <w:p w14:paraId="7BB1C804" w14:textId="77777777" w:rsidR="003C36D6" w:rsidRPr="00BF4A51" w:rsidRDefault="003C36D6" w:rsidP="00BF4A51">
            <w:pPr>
              <w:spacing w:after="0" w:line="240" w:lineRule="auto"/>
              <w:ind w:right="618"/>
              <w:jc w:val="center"/>
              <w:rPr>
                <w:rFonts w:ascii="ITC Avant Garde" w:hAnsi="ITC Avant Garde"/>
                <w:iCs/>
                <w:color w:val="000000"/>
                <w:sz w:val="14"/>
                <w:szCs w:val="14"/>
              </w:rPr>
            </w:pPr>
            <w:r w:rsidRPr="00BF4A51">
              <w:rPr>
                <w:rFonts w:ascii="ITC Avant Garde" w:hAnsi="ITC Avant Garde"/>
                <w:iCs/>
                <w:color w:val="000000"/>
                <w:sz w:val="13"/>
                <w:szCs w:val="13"/>
                <w:lang w:val="es-ES"/>
              </w:rPr>
              <w:t>[…]</w:t>
            </w:r>
          </w:p>
        </w:tc>
        <w:tc>
          <w:tcPr>
            <w:tcW w:w="2755" w:type="dxa"/>
            <w:noWrap/>
          </w:tcPr>
          <w:p w14:paraId="6E533344" w14:textId="77777777" w:rsidR="003C36D6" w:rsidRPr="00BF4A51" w:rsidRDefault="003C36D6" w:rsidP="00BF4A51">
            <w:pPr>
              <w:spacing w:after="0" w:line="240" w:lineRule="auto"/>
              <w:ind w:right="618"/>
              <w:jc w:val="center"/>
              <w:rPr>
                <w:rFonts w:ascii="ITC Avant Garde" w:hAnsi="ITC Avant Garde"/>
                <w:iCs/>
                <w:color w:val="000000"/>
                <w:sz w:val="14"/>
                <w:szCs w:val="14"/>
              </w:rPr>
            </w:pPr>
            <w:r w:rsidRPr="00BF4A51">
              <w:rPr>
                <w:rFonts w:ascii="ITC Avant Garde" w:hAnsi="ITC Avant Garde"/>
                <w:iCs/>
                <w:color w:val="000000"/>
                <w:sz w:val="13"/>
                <w:szCs w:val="13"/>
                <w:lang w:val="es-ES"/>
              </w:rPr>
              <w:t>[…]</w:t>
            </w:r>
          </w:p>
        </w:tc>
      </w:tr>
      <w:tr w:rsidR="003C36D6" w:rsidRPr="00BF4A51" w14:paraId="2A17D6E4" w14:textId="77777777" w:rsidTr="00437CD6">
        <w:trPr>
          <w:trHeight w:val="255"/>
          <w:jc w:val="center"/>
        </w:trPr>
        <w:tc>
          <w:tcPr>
            <w:tcW w:w="1030" w:type="dxa"/>
            <w:noWrap/>
            <w:hideMark/>
          </w:tcPr>
          <w:p w14:paraId="7C3796B7" w14:textId="77777777" w:rsidR="003C36D6" w:rsidRPr="00BF4A51" w:rsidRDefault="003C36D6" w:rsidP="00BF4A51">
            <w:pPr>
              <w:spacing w:after="0" w:line="240" w:lineRule="auto"/>
              <w:ind w:right="618"/>
              <w:jc w:val="center"/>
              <w:rPr>
                <w:rFonts w:ascii="ITC Avant Garde" w:hAnsi="ITC Avant Garde"/>
                <w:iCs/>
                <w:color w:val="000000"/>
                <w:sz w:val="14"/>
                <w:szCs w:val="14"/>
              </w:rPr>
            </w:pPr>
            <w:r w:rsidRPr="00BF4A51">
              <w:rPr>
                <w:rFonts w:ascii="ITC Avant Garde" w:hAnsi="ITC Avant Garde"/>
                <w:iCs/>
                <w:color w:val="000000"/>
                <w:sz w:val="14"/>
                <w:szCs w:val="14"/>
              </w:rPr>
              <w:t>3</w:t>
            </w:r>
          </w:p>
        </w:tc>
        <w:tc>
          <w:tcPr>
            <w:tcW w:w="2873" w:type="dxa"/>
            <w:noWrap/>
            <w:hideMark/>
          </w:tcPr>
          <w:p w14:paraId="7B9DE6B5" w14:textId="0563EDC7" w:rsidR="003C36D6" w:rsidRPr="00BF4A51" w:rsidRDefault="003C36D6" w:rsidP="00BF4A51">
            <w:pPr>
              <w:spacing w:after="0" w:line="240" w:lineRule="auto"/>
              <w:ind w:right="618"/>
              <w:jc w:val="center"/>
              <w:rPr>
                <w:rFonts w:ascii="ITC Avant Garde" w:hAnsi="ITC Avant Garde"/>
                <w:iCs/>
                <w:color w:val="000000"/>
                <w:sz w:val="13"/>
                <w:szCs w:val="13"/>
                <w:lang w:val="es-ES"/>
              </w:rPr>
            </w:pPr>
            <w:r w:rsidRPr="00BF4A51">
              <w:rPr>
                <w:rFonts w:ascii="ITC Avant Garde" w:hAnsi="ITC Avant Garde"/>
                <w:iCs/>
                <w:color w:val="000000"/>
                <w:sz w:val="13"/>
                <w:szCs w:val="13"/>
                <w:lang w:val="es-ES"/>
              </w:rPr>
              <w:t>[…]</w:t>
            </w:r>
          </w:p>
        </w:tc>
        <w:tc>
          <w:tcPr>
            <w:tcW w:w="2755" w:type="dxa"/>
            <w:noWrap/>
            <w:hideMark/>
          </w:tcPr>
          <w:p w14:paraId="73A8B43F" w14:textId="7F5D13DD" w:rsidR="003C36D6" w:rsidRPr="00BF4A51" w:rsidRDefault="003C36D6" w:rsidP="00BF4A51">
            <w:pPr>
              <w:spacing w:after="0" w:line="240" w:lineRule="auto"/>
              <w:ind w:right="618"/>
              <w:jc w:val="center"/>
              <w:rPr>
                <w:rFonts w:ascii="ITC Avant Garde" w:hAnsi="ITC Avant Garde"/>
                <w:iCs/>
                <w:color w:val="000000"/>
                <w:sz w:val="13"/>
                <w:szCs w:val="13"/>
                <w:lang w:val="es-ES"/>
              </w:rPr>
            </w:pPr>
            <w:r w:rsidRPr="00BF4A51">
              <w:rPr>
                <w:rFonts w:ascii="ITC Avant Garde" w:hAnsi="ITC Avant Garde"/>
                <w:iCs/>
                <w:color w:val="000000"/>
                <w:sz w:val="13"/>
                <w:szCs w:val="13"/>
                <w:lang w:val="es-ES"/>
              </w:rPr>
              <w:t xml:space="preserve">[…] </w:t>
            </w:r>
          </w:p>
        </w:tc>
      </w:tr>
    </w:tbl>
    <w:p w14:paraId="23476B12" w14:textId="77777777" w:rsidR="00BF4A51" w:rsidRPr="00BF4A51" w:rsidRDefault="00546345" w:rsidP="00BF4A51">
      <w:pPr>
        <w:autoSpaceDE w:val="0"/>
        <w:autoSpaceDN w:val="0"/>
        <w:adjustRightInd w:val="0"/>
        <w:spacing w:before="240" w:line="240" w:lineRule="auto"/>
        <w:jc w:val="both"/>
        <w:rPr>
          <w:rFonts w:ascii="ITC Avant Garde" w:hAnsi="ITC Avant Garde"/>
          <w:bCs/>
        </w:rPr>
      </w:pPr>
      <w:r w:rsidRPr="00BF4A51">
        <w:rPr>
          <w:rFonts w:ascii="ITC Avant Garde" w:hAnsi="ITC Avant Garde"/>
          <w:bCs/>
        </w:rPr>
        <w:t xml:space="preserve">Por lo anteriormente señalado, y con fundamento en los artículos 28 párrafos décimo quinto, décimo sexto y décimo séptimo de la Constitución Política de los Estados Unidos Mexicanos;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Sexto Transitorio del </w:t>
      </w:r>
      <w:r w:rsidRPr="00BF4A51">
        <w:rPr>
          <w:rFonts w:ascii="ITC Avant Garde" w:hAnsi="ITC Avant Garde"/>
          <w:bCs/>
          <w:color w:val="000000"/>
          <w:lang w:eastAsia="es-MX"/>
        </w:rPr>
        <w:t xml:space="preserve">“Decreto por el que se expiden la Ley Federal de Telecomunicaciones y Radiodifusión, y la Ley del Sistema Público de Radiodifusión del Estado Mexicano; y se reforman, adicionan y derogan diversas disposiciones en materia de telecomunicaciones y radiodifusión”, </w:t>
      </w:r>
      <w:r w:rsidRPr="00BF4A51">
        <w:rPr>
          <w:rFonts w:ascii="ITC Avant Garde" w:hAnsi="ITC Avant Garde"/>
          <w:bCs/>
          <w:color w:val="000000"/>
          <w:lang w:eastAsia="es-MX"/>
        </w:rPr>
        <w:lastRenderedPageBreak/>
        <w:t xml:space="preserve">publicado en el Diario Oficial de la Federación el 14 de julio de 2014; </w:t>
      </w:r>
      <w:r w:rsidR="009829AC" w:rsidRPr="00BF4A51">
        <w:rPr>
          <w:rFonts w:ascii="ITC Avant Garde" w:hAnsi="ITC Avant Garde"/>
          <w:bCs/>
        </w:rPr>
        <w:t>14</w:t>
      </w:r>
      <w:r w:rsidR="009829AC" w:rsidRPr="00BF4A51">
        <w:rPr>
          <w:rFonts w:ascii="ITC Avant Garde" w:hAnsi="ITC Avant Garde"/>
          <w:bCs/>
          <w:color w:val="000000"/>
          <w:lang w:eastAsia="es-MX"/>
        </w:rPr>
        <w:t xml:space="preserve"> y 19</w:t>
      </w:r>
      <w:r w:rsidR="00493A37" w:rsidRPr="00BF4A51">
        <w:rPr>
          <w:rFonts w:ascii="ITC Avant Garde" w:hAnsi="ITC Avant Garde"/>
          <w:bCs/>
          <w:color w:val="000000"/>
          <w:lang w:eastAsia="es-MX"/>
        </w:rPr>
        <w:t xml:space="preserve"> </w:t>
      </w:r>
      <w:r w:rsidR="009829AC" w:rsidRPr="00BF4A51">
        <w:rPr>
          <w:rFonts w:ascii="ITC Avant Garde" w:hAnsi="ITC Avant Garde"/>
          <w:bCs/>
          <w:color w:val="000000"/>
          <w:lang w:eastAsia="es-MX"/>
        </w:rPr>
        <w:t>de la Ley Federal de Telecomunicaciones;</w:t>
      </w:r>
      <w:r w:rsidR="00493A37" w:rsidRPr="00BF4A51">
        <w:rPr>
          <w:rFonts w:ascii="ITC Avant Garde" w:hAnsi="ITC Avant Garde"/>
          <w:bCs/>
          <w:color w:val="000000"/>
          <w:lang w:eastAsia="es-MX"/>
        </w:rPr>
        <w:t xml:space="preserve"> </w:t>
      </w:r>
      <w:r w:rsidRPr="00BF4A51">
        <w:rPr>
          <w:rFonts w:ascii="ITC Avant Garde" w:hAnsi="ITC Avant Garde"/>
          <w:bCs/>
          <w:color w:val="000000"/>
          <w:lang w:eastAsia="es-MX"/>
        </w:rPr>
        <w:t xml:space="preserve">6 fracción IV, 15 fracciones IV y LVII, 16, 17 fracción I, 54, 75, 76 fracción I </w:t>
      </w:r>
      <w:r w:rsidRPr="00BF4A51">
        <w:rPr>
          <w:rFonts w:ascii="ITC Avant Garde" w:hAnsi="ITC Avant Garde"/>
          <w:bCs/>
        </w:rPr>
        <w:t xml:space="preserve">de la Ley Federal de Telecomunicaciones y Radiodifusión; 35 fracción I, 36, 38, 39 y 57 fracción I de la Ley Federal de Procedimiento Administrativo; </w:t>
      </w:r>
      <w:r w:rsidRPr="00BF4A51">
        <w:rPr>
          <w:rFonts w:ascii="ITC Avant Garde" w:hAnsi="ITC Avant Garde"/>
          <w:bCs/>
          <w:color w:val="000000"/>
          <w:lang w:eastAsia="es-MX"/>
        </w:rPr>
        <w:t xml:space="preserve">93 fracción III de la Ley Federal de Derechos vigente durante 2015; </w:t>
      </w:r>
      <w:r w:rsidRPr="00BF4A51">
        <w:rPr>
          <w:rFonts w:ascii="ITC Avant Garde" w:hAnsi="ITC Avant Garde"/>
          <w:bCs/>
        </w:rPr>
        <w:t xml:space="preserve">y 1, </w:t>
      </w:r>
      <w:r w:rsidR="00F342CB" w:rsidRPr="00BF4A51">
        <w:rPr>
          <w:rFonts w:ascii="ITC Avant Garde" w:hAnsi="ITC Avant Garde" w:cs="Tahoma"/>
          <w:bCs/>
          <w:lang w:eastAsia="es-MX"/>
        </w:rPr>
        <w:t>6 fracciones I, XVIII y XXXVIII</w:t>
      </w:r>
      <w:r w:rsidRPr="00BF4A51">
        <w:rPr>
          <w:rFonts w:ascii="ITC Avant Garde" w:hAnsi="ITC Avant Garde"/>
          <w:bCs/>
        </w:rPr>
        <w:t>, 27, 29, 30, 31, 32, 33 fracción II, 41, 42 fracciones I y XV, 47 y 50 fracción XII del Estatuto Orgánico del Instituto Federal de Telecomunicaciones, este órgano autónomo emite los siguientes:</w:t>
      </w:r>
    </w:p>
    <w:p w14:paraId="3C6CE795" w14:textId="0449EE4B" w:rsidR="00C41F9F" w:rsidRPr="00BF4A51" w:rsidRDefault="00C41F9F" w:rsidP="00BF4A51">
      <w:pPr>
        <w:pStyle w:val="Ttulo2"/>
        <w:spacing w:after="240" w:line="276" w:lineRule="auto"/>
        <w:jc w:val="center"/>
        <w:rPr>
          <w:rFonts w:ascii="ITC Avant Garde" w:hAnsi="ITC Avant Garde"/>
          <w:b/>
          <w:color w:val="000000" w:themeColor="text1"/>
          <w:sz w:val="22"/>
          <w:szCs w:val="22"/>
          <w:lang w:val="es-MX" w:eastAsia="en-US"/>
        </w:rPr>
      </w:pPr>
      <w:r w:rsidRPr="00BF4A51">
        <w:rPr>
          <w:rFonts w:ascii="ITC Avant Garde" w:hAnsi="ITC Avant Garde"/>
          <w:b/>
          <w:color w:val="000000" w:themeColor="text1"/>
          <w:sz w:val="22"/>
          <w:szCs w:val="22"/>
          <w:lang w:val="es-MX" w:eastAsia="en-US"/>
        </w:rPr>
        <w:t>RESOLUTIVOS</w:t>
      </w:r>
    </w:p>
    <w:p w14:paraId="597926E7" w14:textId="77777777" w:rsidR="00BF4A51" w:rsidRPr="00BF4A51" w:rsidRDefault="00C41F9F" w:rsidP="00BF4A51">
      <w:pPr>
        <w:autoSpaceDE w:val="0"/>
        <w:autoSpaceDN w:val="0"/>
        <w:adjustRightInd w:val="0"/>
        <w:spacing w:before="240" w:line="240" w:lineRule="auto"/>
        <w:jc w:val="both"/>
        <w:rPr>
          <w:rFonts w:ascii="ITC Avant Garde" w:hAnsi="ITC Avant Garde"/>
          <w:bCs/>
          <w:color w:val="000000"/>
        </w:rPr>
      </w:pPr>
      <w:r w:rsidRPr="00BF4A51">
        <w:rPr>
          <w:rFonts w:ascii="ITC Avant Garde" w:hAnsi="ITC Avant Garde"/>
          <w:b/>
          <w:bCs/>
        </w:rPr>
        <w:t>PRIMERO.-</w:t>
      </w:r>
      <w:r w:rsidRPr="00BF4A51">
        <w:rPr>
          <w:rFonts w:ascii="ITC Avant Garde" w:hAnsi="ITC Avant Garde"/>
          <w:bCs/>
        </w:rPr>
        <w:t xml:space="preserve"> Se autoriza </w:t>
      </w:r>
      <w:r w:rsidR="00751EBE" w:rsidRPr="00BF4A51">
        <w:rPr>
          <w:rFonts w:ascii="ITC Avant Garde" w:hAnsi="ITC Avant Garde"/>
          <w:bCs/>
        </w:rPr>
        <w:t xml:space="preserve">a </w:t>
      </w:r>
      <w:r w:rsidR="00452D8C" w:rsidRPr="00BF4A51">
        <w:rPr>
          <w:rFonts w:ascii="ITC Avant Garde" w:hAnsi="ITC Avant Garde"/>
          <w:bCs/>
        </w:rPr>
        <w:t>AT&amp;T Comunicaciones Digitales</w:t>
      </w:r>
      <w:r w:rsidR="00C95FB0" w:rsidRPr="00BF4A51">
        <w:rPr>
          <w:rFonts w:ascii="ITC Avant Garde" w:hAnsi="ITC Avant Garde"/>
          <w:bCs/>
        </w:rPr>
        <w:t>,</w:t>
      </w:r>
      <w:r w:rsidR="00452D8C" w:rsidRPr="00BF4A51">
        <w:rPr>
          <w:rFonts w:ascii="ITC Avant Garde" w:hAnsi="ITC Avant Garde"/>
          <w:bCs/>
        </w:rPr>
        <w:t xml:space="preserve"> S. de R.L. de C.V</w:t>
      </w:r>
      <w:r w:rsidR="00751EBE" w:rsidRPr="00BF4A51">
        <w:rPr>
          <w:rFonts w:ascii="ITC Avant Garde" w:hAnsi="ITC Avant Garde"/>
          <w:bCs/>
        </w:rPr>
        <w:t xml:space="preserve">., </w:t>
      </w:r>
      <w:r w:rsidRPr="00BF4A51">
        <w:rPr>
          <w:rFonts w:ascii="ITC Avant Garde" w:hAnsi="ITC Avant Garde"/>
          <w:bCs/>
        </w:rPr>
        <w:t xml:space="preserve">la prórroga de la vigencia de la concesión </w:t>
      </w:r>
      <w:r w:rsidR="00D353CB" w:rsidRPr="00BF4A51">
        <w:rPr>
          <w:rFonts w:ascii="ITC Avant Garde" w:hAnsi="ITC Avant Garde"/>
          <w:bCs/>
        </w:rPr>
        <w:t xml:space="preserve">para </w:t>
      </w:r>
      <w:r w:rsidR="00452D8C" w:rsidRPr="00BF4A51">
        <w:rPr>
          <w:rFonts w:ascii="ITC Avant Garde" w:hAnsi="ITC Avant Garde"/>
          <w:bCs/>
        </w:rPr>
        <w:t>usar, aprovechar y explotar bandas de frecuencias del espectro radioeléctrico</w:t>
      </w:r>
      <w:r w:rsidR="00FD603D" w:rsidRPr="00BF4A51">
        <w:rPr>
          <w:rFonts w:ascii="ITC Avant Garde" w:hAnsi="ITC Avant Garde"/>
          <w:bCs/>
        </w:rPr>
        <w:t xml:space="preserve"> para usos determinados, prorrogada y modificada</w:t>
      </w:r>
      <w:r w:rsidR="00304990" w:rsidRPr="00BF4A51">
        <w:rPr>
          <w:rFonts w:ascii="ITC Avant Garde" w:hAnsi="ITC Avant Garde"/>
          <w:bCs/>
        </w:rPr>
        <w:t xml:space="preserve"> el </w:t>
      </w:r>
      <w:r w:rsidR="009063FC" w:rsidRPr="00BF4A51">
        <w:rPr>
          <w:rFonts w:ascii="ITC Avant Garde" w:hAnsi="ITC Avant Garde"/>
          <w:bCs/>
        </w:rPr>
        <w:t>15 de diciembre de 2009</w:t>
      </w:r>
      <w:r w:rsidR="00C95FB0" w:rsidRPr="00BF4A51">
        <w:rPr>
          <w:rFonts w:ascii="ITC Avant Garde" w:eastAsia="Times New Roman" w:hAnsi="ITC Avant Garde"/>
          <w:bCs/>
          <w:color w:val="000000"/>
          <w:lang w:val="es-ES" w:eastAsia="es-MX"/>
        </w:rPr>
        <w:t>, señalada en el Antecedente I de la presente Resolución</w:t>
      </w:r>
      <w:r w:rsidR="00CE703E" w:rsidRPr="00BF4A51">
        <w:rPr>
          <w:rFonts w:ascii="ITC Avant Garde" w:hAnsi="ITC Avant Garde"/>
          <w:bCs/>
          <w:color w:val="000000"/>
        </w:rPr>
        <w:t>.</w:t>
      </w:r>
      <w:r w:rsidR="004A3129" w:rsidRPr="00BF4A51">
        <w:rPr>
          <w:rFonts w:ascii="ITC Avant Garde" w:hAnsi="ITC Avant Garde"/>
          <w:bCs/>
          <w:color w:val="000000"/>
        </w:rPr>
        <w:t xml:space="preserve"> </w:t>
      </w:r>
    </w:p>
    <w:p w14:paraId="1424BF4C" w14:textId="77777777" w:rsidR="00BF4A51" w:rsidRPr="00BF4A51" w:rsidRDefault="00ED6321" w:rsidP="00BF4A51">
      <w:pPr>
        <w:autoSpaceDE w:val="0"/>
        <w:autoSpaceDN w:val="0"/>
        <w:adjustRightInd w:val="0"/>
        <w:spacing w:before="240" w:line="240" w:lineRule="auto"/>
        <w:jc w:val="both"/>
        <w:rPr>
          <w:rFonts w:ascii="ITC Avant Garde" w:hAnsi="ITC Avant Garde"/>
          <w:bCs/>
        </w:rPr>
      </w:pPr>
      <w:r w:rsidRPr="00BF4A51">
        <w:rPr>
          <w:rFonts w:ascii="ITC Avant Garde" w:hAnsi="ITC Avant Garde"/>
          <w:bCs/>
        </w:rPr>
        <w:t>Para tal efecto, el Instituto Federal de Telecomunicaciones otorgará un título de concesión para usar, aprovechar y explotar bandas de frecuencias del espectro radioeléctrico para uso comercial en favor de AT&amp;T Comunicaciones Digitales</w:t>
      </w:r>
      <w:r w:rsidR="00C95FB0" w:rsidRPr="00BF4A51">
        <w:rPr>
          <w:rFonts w:ascii="ITC Avant Garde" w:hAnsi="ITC Avant Garde"/>
          <w:bCs/>
        </w:rPr>
        <w:t>,</w:t>
      </w:r>
      <w:r w:rsidRPr="00BF4A51">
        <w:rPr>
          <w:rFonts w:ascii="ITC Avant Garde" w:hAnsi="ITC Avant Garde"/>
          <w:bCs/>
        </w:rPr>
        <w:t xml:space="preserve"> S. de R.L. de C.V., con una vigencia de 10 (diez) años, contados a partir del 25 de septiembre de 2016</w:t>
      </w:r>
      <w:r w:rsidR="00C95FB0" w:rsidRPr="00BF4A51">
        <w:rPr>
          <w:rFonts w:ascii="ITC Avant Garde" w:hAnsi="ITC Avant Garde"/>
          <w:bCs/>
        </w:rPr>
        <w:t xml:space="preserve">, con cobertura en los municipios señalados en el </w:t>
      </w:r>
      <w:r w:rsidR="00C95FB0" w:rsidRPr="00BF4A51">
        <w:rPr>
          <w:rFonts w:ascii="ITC Avant Garde" w:hAnsi="ITC Avant Garde"/>
          <w:bCs/>
          <w:color w:val="000000"/>
        </w:rPr>
        <w:t>Anexo de la presente Resolución</w:t>
      </w:r>
      <w:r w:rsidRPr="00BF4A51">
        <w:rPr>
          <w:rFonts w:ascii="ITC Avant Garde" w:hAnsi="ITC Avant Garde"/>
          <w:bCs/>
        </w:rPr>
        <w:t>.</w:t>
      </w:r>
      <w:r w:rsidR="004A3129" w:rsidRPr="00BF4A51">
        <w:rPr>
          <w:rFonts w:ascii="ITC Avant Garde" w:hAnsi="ITC Avant Garde"/>
          <w:bCs/>
        </w:rPr>
        <w:t xml:space="preserve"> </w:t>
      </w:r>
    </w:p>
    <w:p w14:paraId="7D0D5629" w14:textId="60CB73B7" w:rsidR="002E5FFC" w:rsidRPr="00BF4A51" w:rsidRDefault="00ED6321" w:rsidP="00BF4A51">
      <w:pPr>
        <w:autoSpaceDE w:val="0"/>
        <w:autoSpaceDN w:val="0"/>
        <w:adjustRightInd w:val="0"/>
        <w:spacing w:before="240" w:line="240" w:lineRule="auto"/>
        <w:jc w:val="both"/>
        <w:rPr>
          <w:rFonts w:ascii="ITC Avant Garde" w:hAnsi="ITC Avant Garde"/>
          <w:bCs/>
        </w:rPr>
      </w:pPr>
      <w:r w:rsidRPr="00BF4A51">
        <w:rPr>
          <w:rFonts w:ascii="ITC Avant Garde" w:hAnsi="ITC Avant Garde"/>
          <w:bCs/>
        </w:rPr>
        <w:t>A fin de que el Instituto Federal de Telecomunicaciones expida el título de concesión señalado en el párrafo anterior, AT&amp;T Comunicaciones Digitales</w:t>
      </w:r>
      <w:r w:rsidR="00C95FB0" w:rsidRPr="00BF4A51">
        <w:rPr>
          <w:rFonts w:ascii="ITC Avant Garde" w:hAnsi="ITC Avant Garde"/>
          <w:bCs/>
        </w:rPr>
        <w:t>,</w:t>
      </w:r>
      <w:r w:rsidRPr="00BF4A51">
        <w:rPr>
          <w:rFonts w:ascii="ITC Avant Garde" w:hAnsi="ITC Avant Garde"/>
          <w:bCs/>
        </w:rPr>
        <w:t xml:space="preserve"> S. de R.L. de C.V.,</w:t>
      </w:r>
      <w:r w:rsidRPr="00BF4A51">
        <w:rPr>
          <w:rFonts w:ascii="ITC Avant Garde" w:hAnsi="ITC Avant Garde"/>
          <w:bCs/>
          <w:color w:val="000000"/>
          <w:lang w:eastAsia="es-MX"/>
        </w:rPr>
        <w:t xml:space="preserve"> </w:t>
      </w:r>
      <w:r w:rsidRPr="00BF4A51">
        <w:rPr>
          <w:rFonts w:ascii="ITC Avant Garde" w:hAnsi="ITC Avant Garde"/>
          <w:bCs/>
        </w:rPr>
        <w:t>deberá aceptar expresamente y de manera previa, las nuevas condiciones que al efecto se le establezcan, de conformidad con lo dispuesto por los Resolutivos Tercero y Cuarto de la presente Resolución.</w:t>
      </w:r>
    </w:p>
    <w:p w14:paraId="05DECA25" w14:textId="77777777" w:rsidR="00BF4A51" w:rsidRDefault="002B531F" w:rsidP="00BF4A51">
      <w:pPr>
        <w:tabs>
          <w:tab w:val="num" w:pos="540"/>
        </w:tabs>
        <w:spacing w:before="240" w:line="240" w:lineRule="auto"/>
        <w:jc w:val="both"/>
        <w:rPr>
          <w:rFonts w:ascii="ITC Avant Garde" w:hAnsi="ITC Avant Garde"/>
          <w:bCs/>
          <w:color w:val="000000"/>
          <w:lang w:eastAsia="es-MX"/>
        </w:rPr>
      </w:pPr>
      <w:r w:rsidRPr="00BF4A51">
        <w:rPr>
          <w:rFonts w:ascii="ITC Avant Garde" w:hAnsi="ITC Avant Garde"/>
          <w:b/>
          <w:bCs/>
        </w:rPr>
        <w:t>SEGUNDO</w:t>
      </w:r>
      <w:r w:rsidR="00C41F9F" w:rsidRPr="00BF4A51">
        <w:rPr>
          <w:rFonts w:ascii="ITC Avant Garde" w:hAnsi="ITC Avant Garde"/>
          <w:bCs/>
        </w:rPr>
        <w:t xml:space="preserve">.- </w:t>
      </w:r>
      <w:r w:rsidR="00ED6321" w:rsidRPr="00BF4A51">
        <w:rPr>
          <w:rFonts w:ascii="ITC Avant Garde" w:hAnsi="ITC Avant Garde"/>
          <w:bCs/>
          <w:color w:val="000000"/>
          <w:lang w:eastAsia="es-MX"/>
        </w:rPr>
        <w:t xml:space="preserve">El título de concesión para </w:t>
      </w:r>
      <w:r w:rsidR="00ED6321" w:rsidRPr="00BF4A51">
        <w:rPr>
          <w:rFonts w:ascii="ITC Avant Garde" w:hAnsi="ITC Avant Garde"/>
          <w:bCs/>
        </w:rPr>
        <w:t>usar, aprovechar y explotar bandas de frecuencias del espectro radioeléctrico para uso comercial</w:t>
      </w:r>
      <w:r w:rsidR="00ED6321" w:rsidRPr="00BF4A51">
        <w:rPr>
          <w:rFonts w:ascii="ITC Avant Garde" w:hAnsi="ITC Avant Garde"/>
          <w:bCs/>
          <w:color w:val="000000"/>
          <w:lang w:eastAsia="es-MX"/>
        </w:rPr>
        <w:t xml:space="preserve"> a que se refiere el Resolutivo Primero, confiere</w:t>
      </w:r>
      <w:r w:rsidR="00ED6321" w:rsidRPr="00BF4A51">
        <w:rPr>
          <w:rFonts w:ascii="ITC Avant Garde" w:hAnsi="ITC Avant Garde"/>
          <w:bCs/>
        </w:rPr>
        <w:t xml:space="preserve"> a AT&amp;T Comunicaciones Digitales</w:t>
      </w:r>
      <w:r w:rsidR="00C95FB0" w:rsidRPr="00BF4A51">
        <w:rPr>
          <w:rFonts w:ascii="ITC Avant Garde" w:hAnsi="ITC Avant Garde"/>
          <w:bCs/>
        </w:rPr>
        <w:t>,</w:t>
      </w:r>
      <w:r w:rsidR="00ED6321" w:rsidRPr="00BF4A51">
        <w:rPr>
          <w:rFonts w:ascii="ITC Avant Garde" w:hAnsi="ITC Avant Garde"/>
          <w:bCs/>
        </w:rPr>
        <w:t xml:space="preserve"> S. de R.L. de C.V., a partir de su inicio de vigencia, el derecho a prestar el servicio de acceso inalámbrico, dentro del rango de </w:t>
      </w:r>
      <w:r w:rsidR="00ED6321" w:rsidRPr="00BF4A51">
        <w:rPr>
          <w:rFonts w:ascii="ITC Avant Garde" w:hAnsi="ITC Avant Garde"/>
          <w:bCs/>
          <w:color w:val="000000"/>
          <w:lang w:eastAsia="es-MX"/>
        </w:rPr>
        <w:t xml:space="preserve">frecuencias 814-824/859-869 MHz, de conformidad con el esquema de asignación de </w:t>
      </w:r>
      <w:r w:rsidR="00C95FB0" w:rsidRPr="00BF4A51">
        <w:rPr>
          <w:rFonts w:ascii="ITC Avant Garde" w:hAnsi="ITC Avant Garde"/>
          <w:bCs/>
          <w:color w:val="000000"/>
          <w:lang w:eastAsia="es-MX"/>
        </w:rPr>
        <w:t>frecuencias</w:t>
      </w:r>
      <w:r w:rsidR="00ED6321" w:rsidRPr="00BF4A51">
        <w:rPr>
          <w:rFonts w:ascii="ITC Avant Garde" w:hAnsi="ITC Avant Garde"/>
          <w:bCs/>
          <w:color w:val="000000"/>
          <w:lang w:eastAsia="es-MX"/>
        </w:rPr>
        <w:t xml:space="preserve"> señalado en el Anexo de la presente Resolución.</w:t>
      </w:r>
    </w:p>
    <w:p w14:paraId="4D8B694D" w14:textId="4EFD99F3" w:rsidR="00ED6321" w:rsidRPr="00BF4A51" w:rsidRDefault="004A3129" w:rsidP="00BF4A51">
      <w:pPr>
        <w:tabs>
          <w:tab w:val="num" w:pos="540"/>
        </w:tabs>
        <w:spacing w:before="240" w:line="240" w:lineRule="auto"/>
        <w:jc w:val="both"/>
        <w:rPr>
          <w:rFonts w:ascii="ITC Avant Garde" w:hAnsi="ITC Avant Garde"/>
          <w:bCs/>
        </w:rPr>
      </w:pPr>
      <w:r w:rsidRPr="00BF4A51">
        <w:rPr>
          <w:rFonts w:ascii="ITC Avant Garde" w:hAnsi="ITC Avant Garde"/>
          <w:bCs/>
          <w:color w:val="000000"/>
          <w:lang w:eastAsia="es-MX"/>
        </w:rPr>
        <w:t>D</w:t>
      </w:r>
      <w:r w:rsidR="00ED6321" w:rsidRPr="00BF4A51">
        <w:rPr>
          <w:rFonts w:ascii="ITC Avant Garde" w:hAnsi="ITC Avant Garde"/>
          <w:bCs/>
        </w:rPr>
        <w:t>icho servicio de acceso inalámbrico será prestado por AT&amp;T Comunicaciones Digitales, S. de R.L. de C.V. al amparo de</w:t>
      </w:r>
      <w:r w:rsidR="00ED5134" w:rsidRPr="00BF4A51">
        <w:rPr>
          <w:rFonts w:ascii="ITC Avant Garde" w:hAnsi="ITC Avant Garde"/>
          <w:bCs/>
        </w:rPr>
        <w:t>l título de concesión única para uso comercial señalado en el Antecedente XII de la presente Resolución, de conformidad con lo dispuesto por el segundo párrafo del artículo 75 de la Ley Federal de Telecomunicaciones y Radiodifusión</w:t>
      </w:r>
      <w:r w:rsidR="00ED6321" w:rsidRPr="00BF4A51">
        <w:rPr>
          <w:rFonts w:ascii="ITC Avant Garde" w:hAnsi="ITC Avant Garde"/>
          <w:bCs/>
        </w:rPr>
        <w:t>.</w:t>
      </w:r>
    </w:p>
    <w:p w14:paraId="3185EC8E" w14:textId="77777777" w:rsidR="00BF4A51" w:rsidRDefault="002E6791" w:rsidP="00BF4A51">
      <w:pPr>
        <w:spacing w:before="240" w:line="240" w:lineRule="auto"/>
        <w:jc w:val="both"/>
        <w:rPr>
          <w:rFonts w:ascii="ITC Avant Garde" w:hAnsi="ITC Avant Garde"/>
          <w:bCs/>
          <w:lang w:val="es-ES_tradnl"/>
        </w:rPr>
      </w:pPr>
      <w:r w:rsidRPr="00BF4A51">
        <w:rPr>
          <w:rFonts w:ascii="ITC Avant Garde" w:hAnsi="ITC Avant Garde"/>
          <w:b/>
          <w:bCs/>
          <w:color w:val="000000"/>
          <w:lang w:eastAsia="es-MX"/>
        </w:rPr>
        <w:t>TERCERO</w:t>
      </w:r>
      <w:r w:rsidR="00C41F9F" w:rsidRPr="00BF4A51">
        <w:rPr>
          <w:rFonts w:ascii="ITC Avant Garde" w:hAnsi="ITC Avant Garde"/>
          <w:b/>
          <w:bCs/>
          <w:color w:val="000000"/>
          <w:lang w:eastAsia="es-MX"/>
        </w:rPr>
        <w:t>.-</w:t>
      </w:r>
      <w:r w:rsidR="00C41F9F" w:rsidRPr="00BF4A51">
        <w:rPr>
          <w:rFonts w:ascii="ITC Avant Garde" w:hAnsi="ITC Avant Garde"/>
          <w:bCs/>
          <w:color w:val="000000"/>
          <w:lang w:eastAsia="es-MX"/>
        </w:rPr>
        <w:t xml:space="preserve"> </w:t>
      </w:r>
      <w:r w:rsidR="002B6A22" w:rsidRPr="00BF4A51">
        <w:rPr>
          <w:rFonts w:ascii="ITC Avant Garde" w:hAnsi="ITC Avant Garde"/>
          <w:bCs/>
          <w:color w:val="000000"/>
          <w:lang w:eastAsia="es-MX"/>
        </w:rPr>
        <w:t>Se</w:t>
      </w:r>
      <w:r w:rsidR="002B6A22" w:rsidRPr="00BF4A51">
        <w:rPr>
          <w:rFonts w:ascii="ITC Avant Garde" w:hAnsi="ITC Avant Garde"/>
          <w:bCs/>
          <w:lang w:val="es-ES_tradnl"/>
        </w:rPr>
        <w:t xml:space="preserve"> instruye a la Unidad de Concesiones y Servicios a hacer del conocimiento de </w:t>
      </w:r>
      <w:r w:rsidR="002B6A22" w:rsidRPr="00BF4A51">
        <w:rPr>
          <w:rFonts w:ascii="ITC Avant Garde" w:hAnsi="ITC Avant Garde"/>
          <w:bCs/>
        </w:rPr>
        <w:t>AT&amp;T Comunicaciones Digitales</w:t>
      </w:r>
      <w:r w:rsidR="00C95FB0" w:rsidRPr="00BF4A51">
        <w:rPr>
          <w:rFonts w:ascii="ITC Avant Garde" w:hAnsi="ITC Avant Garde"/>
          <w:bCs/>
        </w:rPr>
        <w:t>,</w:t>
      </w:r>
      <w:r w:rsidR="002B6A22" w:rsidRPr="00BF4A51">
        <w:rPr>
          <w:rFonts w:ascii="ITC Avant Garde" w:hAnsi="ITC Avant Garde"/>
          <w:bCs/>
        </w:rPr>
        <w:t xml:space="preserve"> S. de R.L. de C.V</w:t>
      </w:r>
      <w:r w:rsidR="002B6A22" w:rsidRPr="00BF4A51">
        <w:rPr>
          <w:rFonts w:ascii="ITC Avant Garde" w:hAnsi="ITC Avant Garde"/>
          <w:bCs/>
          <w:color w:val="000000"/>
          <w:lang w:eastAsia="es-MX"/>
        </w:rPr>
        <w:t xml:space="preserve">., </w:t>
      </w:r>
      <w:r w:rsidR="002B6A22" w:rsidRPr="00BF4A51">
        <w:rPr>
          <w:rFonts w:ascii="ITC Avant Garde" w:hAnsi="ITC Avant Garde"/>
          <w:bCs/>
          <w:lang w:val="es-ES_tradnl"/>
        </w:rPr>
        <w:t xml:space="preserve">el contenido de la presente Resolución, así como las nuevas condiciones, mismas que se encuentran contenidas en el proyecto del título de concesión </w:t>
      </w:r>
      <w:r w:rsidR="00C95FB0" w:rsidRPr="00BF4A51">
        <w:rPr>
          <w:rFonts w:ascii="ITC Avant Garde" w:hAnsi="ITC Avant Garde"/>
          <w:bCs/>
          <w:lang w:val="es-ES_tradnl"/>
        </w:rPr>
        <w:t xml:space="preserve">para usar, aprovechar y explotar bandas de frecuencias del espectro radioeléctrico para uso comercial a que se refiere el Resolutivo </w:t>
      </w:r>
      <w:r w:rsidR="00C95FB0" w:rsidRPr="00BF4A51">
        <w:rPr>
          <w:rFonts w:ascii="ITC Avant Garde" w:hAnsi="ITC Avant Garde"/>
          <w:bCs/>
          <w:lang w:val="es-ES_tradnl"/>
        </w:rPr>
        <w:lastRenderedPageBreak/>
        <w:t xml:space="preserve">Primero anterior, </w:t>
      </w:r>
      <w:r w:rsidR="002B6A22" w:rsidRPr="00BF4A51">
        <w:rPr>
          <w:rFonts w:ascii="ITC Avant Garde" w:hAnsi="ITC Avant Garde"/>
          <w:bCs/>
          <w:lang w:val="es-ES_tradnl"/>
        </w:rPr>
        <w:t xml:space="preserve">el cual forma parte integral de la presente Resolución, a efecto de recabar de dicha empresa, en un plazo no mayor a </w:t>
      </w:r>
      <w:r w:rsidR="00A14F9E" w:rsidRPr="00BF4A51">
        <w:rPr>
          <w:rFonts w:ascii="ITC Avant Garde" w:hAnsi="ITC Avant Garde"/>
          <w:bCs/>
          <w:lang w:val="es-ES_tradnl"/>
        </w:rPr>
        <w:t>30</w:t>
      </w:r>
      <w:r w:rsidR="002B6A22" w:rsidRPr="00BF4A51">
        <w:rPr>
          <w:rFonts w:ascii="ITC Avant Garde" w:hAnsi="ITC Avant Garde"/>
          <w:bCs/>
          <w:lang w:val="es-ES_tradnl"/>
        </w:rPr>
        <w:t xml:space="preserve"> (</w:t>
      </w:r>
      <w:r w:rsidR="00A14F9E" w:rsidRPr="00BF4A51">
        <w:rPr>
          <w:rFonts w:ascii="ITC Avant Garde" w:hAnsi="ITC Avant Garde"/>
          <w:bCs/>
          <w:lang w:val="es-ES_tradnl"/>
        </w:rPr>
        <w:t>treinta</w:t>
      </w:r>
      <w:r w:rsidR="002B6A22" w:rsidRPr="00BF4A51">
        <w:rPr>
          <w:rFonts w:ascii="ITC Avant Garde" w:hAnsi="ITC Avant Garde"/>
          <w:bCs/>
          <w:lang w:val="es-ES_tradnl"/>
        </w:rPr>
        <w:t>) días hábiles contados a partir del día siguiente a aquel en que surta efectos la notificación respectiva, su aceptación expresa e indubitable de las nuevas condiciones.</w:t>
      </w:r>
    </w:p>
    <w:p w14:paraId="4AC5A794" w14:textId="79D0D554" w:rsidR="002B6A22" w:rsidRPr="00BF4A51" w:rsidRDefault="002B6A22" w:rsidP="00BF4A51">
      <w:pPr>
        <w:spacing w:before="240" w:line="240" w:lineRule="auto"/>
        <w:jc w:val="both"/>
        <w:rPr>
          <w:rFonts w:ascii="ITC Avant Garde" w:hAnsi="ITC Avant Garde"/>
          <w:bCs/>
          <w:lang w:val="es-ES_tradnl"/>
        </w:rPr>
      </w:pPr>
      <w:r w:rsidRPr="00BF4A51">
        <w:rPr>
          <w:rFonts w:ascii="ITC Avant Garde" w:hAnsi="ITC Avant Garde"/>
          <w:bCs/>
          <w:lang w:val="es-ES_tradnl"/>
        </w:rPr>
        <w:t xml:space="preserve">En caso de que no se reciba por parte de </w:t>
      </w:r>
      <w:r w:rsidRPr="00BF4A51">
        <w:rPr>
          <w:rFonts w:ascii="ITC Avant Garde" w:hAnsi="ITC Avant Garde"/>
          <w:bCs/>
        </w:rPr>
        <w:t>AT&amp;T Comunicaciones Digitales</w:t>
      </w:r>
      <w:r w:rsidR="00C95FB0" w:rsidRPr="00BF4A51">
        <w:rPr>
          <w:rFonts w:ascii="ITC Avant Garde" w:hAnsi="ITC Avant Garde"/>
          <w:bCs/>
        </w:rPr>
        <w:t>,</w:t>
      </w:r>
      <w:r w:rsidRPr="00BF4A51">
        <w:rPr>
          <w:rFonts w:ascii="ITC Avant Garde" w:hAnsi="ITC Avant Garde"/>
          <w:bCs/>
        </w:rPr>
        <w:t xml:space="preserve"> S. de R.L. de C.V.,</w:t>
      </w:r>
      <w:r w:rsidRPr="00BF4A51">
        <w:rPr>
          <w:rFonts w:ascii="ITC Avant Garde" w:hAnsi="ITC Avant Garde"/>
          <w:bCs/>
          <w:color w:val="000000"/>
          <w:lang w:eastAsia="es-MX"/>
        </w:rPr>
        <w:t xml:space="preserve"> </w:t>
      </w:r>
      <w:r w:rsidRPr="00BF4A51">
        <w:rPr>
          <w:rFonts w:ascii="ITC Avant Garde" w:hAnsi="ITC Avant Garde"/>
          <w:bCs/>
          <w:lang w:val="es-ES_tradnl"/>
        </w:rPr>
        <w:t>la aceptación referida dentro del plazo establecido para tales efectos, la presente Resolución quedará sin efectos y, en consecuencia, se tendrá por negada la prórroga de vigencia solicitada respecto de la concesión de mérito.</w:t>
      </w:r>
    </w:p>
    <w:p w14:paraId="7DEA3469" w14:textId="77777777" w:rsidR="00BF4A51" w:rsidRDefault="00B270AC" w:rsidP="00BF4A51">
      <w:pPr>
        <w:spacing w:before="240" w:line="240" w:lineRule="auto"/>
        <w:jc w:val="both"/>
        <w:rPr>
          <w:rFonts w:ascii="ITC Avant Garde" w:hAnsi="ITC Avant Garde"/>
          <w:bCs/>
          <w:color w:val="000000"/>
          <w:lang w:eastAsia="es-MX"/>
        </w:rPr>
      </w:pPr>
      <w:r w:rsidRPr="00BF4A51">
        <w:rPr>
          <w:rFonts w:ascii="ITC Avant Garde" w:hAnsi="ITC Avant Garde"/>
          <w:b/>
          <w:bCs/>
          <w:color w:val="000000"/>
          <w:lang w:eastAsia="es-MX"/>
        </w:rPr>
        <w:t>CUARTO.-</w:t>
      </w:r>
      <w:r w:rsidRPr="00BF4A51">
        <w:rPr>
          <w:rFonts w:ascii="ITC Avant Garde" w:hAnsi="ITC Avant Garde"/>
          <w:bCs/>
          <w:color w:val="000000"/>
          <w:lang w:eastAsia="es-MX"/>
        </w:rPr>
        <w:t xml:space="preserve"> </w:t>
      </w:r>
      <w:r w:rsidR="00DD0DF5" w:rsidRPr="00BF4A51">
        <w:rPr>
          <w:rFonts w:ascii="ITC Avant Garde" w:hAnsi="ITC Avant Garde"/>
          <w:bCs/>
          <w:color w:val="000000"/>
          <w:lang w:eastAsia="es-MX"/>
        </w:rPr>
        <w:t xml:space="preserve">Dentro del mismo plazo señalado en el Resolutivo que antecede, </w:t>
      </w:r>
      <w:r w:rsidR="002B6A22" w:rsidRPr="00BF4A51">
        <w:rPr>
          <w:rFonts w:ascii="ITC Avant Garde" w:hAnsi="ITC Avant Garde"/>
          <w:bCs/>
        </w:rPr>
        <w:t>AT&amp;T Comunicaciones Digitales</w:t>
      </w:r>
      <w:r w:rsidR="00C95FB0" w:rsidRPr="00BF4A51">
        <w:rPr>
          <w:rFonts w:ascii="ITC Avant Garde" w:hAnsi="ITC Avant Garde"/>
          <w:bCs/>
        </w:rPr>
        <w:t>,</w:t>
      </w:r>
      <w:r w:rsidR="002B6A22" w:rsidRPr="00BF4A51">
        <w:rPr>
          <w:rFonts w:ascii="ITC Avant Garde" w:hAnsi="ITC Avant Garde"/>
          <w:bCs/>
        </w:rPr>
        <w:t xml:space="preserve"> S. de R.L. de C.V.</w:t>
      </w:r>
      <w:r w:rsidR="002B6A22" w:rsidRPr="00BF4A51">
        <w:rPr>
          <w:rFonts w:ascii="ITC Avant Garde" w:hAnsi="ITC Avant Garde"/>
          <w:bCs/>
          <w:lang w:val="es-ES_tradnl"/>
        </w:rPr>
        <w:t xml:space="preserve">, deberá presentar al Instituto Federal de Telecomunicaciones el comprobante de pago del aprovechamiento por concepto de contraprestación autorizado </w:t>
      </w:r>
      <w:r w:rsidR="002B6A22" w:rsidRPr="00BF4A51">
        <w:rPr>
          <w:rFonts w:ascii="ITC Avant Garde" w:hAnsi="ITC Avant Garde"/>
          <w:bCs/>
          <w:color w:val="000000"/>
          <w:lang w:eastAsia="es-MX"/>
        </w:rPr>
        <w:t>por la Secretaría de Hacienda y Crédito Público, por un monto de $</w:t>
      </w:r>
      <w:r w:rsidR="00D63B90" w:rsidRPr="00BF4A51">
        <w:rPr>
          <w:rFonts w:ascii="ITC Avant Garde" w:hAnsi="ITC Avant Garde"/>
          <w:bCs/>
          <w:color w:val="000000"/>
          <w:lang w:eastAsia="es-MX"/>
        </w:rPr>
        <w:t>12</w:t>
      </w:r>
      <w:proofErr w:type="gramStart"/>
      <w:r w:rsidR="00D63B90" w:rsidRPr="00BF4A51">
        <w:rPr>
          <w:rFonts w:ascii="ITC Avant Garde" w:hAnsi="ITC Avant Garde"/>
          <w:bCs/>
          <w:color w:val="000000"/>
          <w:lang w:eastAsia="es-MX"/>
        </w:rPr>
        <w:t>,</w:t>
      </w:r>
      <w:r w:rsidR="003C36D6" w:rsidRPr="00BF4A51">
        <w:rPr>
          <w:rFonts w:ascii="ITC Avant Garde" w:hAnsi="ITC Avant Garde"/>
          <w:bCs/>
          <w:color w:val="000000"/>
          <w:lang w:eastAsia="es-MX"/>
        </w:rPr>
        <w:t>793,271</w:t>
      </w:r>
      <w:r w:rsidR="0058118E" w:rsidRPr="00BF4A51">
        <w:rPr>
          <w:rFonts w:ascii="ITC Avant Garde" w:hAnsi="ITC Avant Garde"/>
          <w:bCs/>
          <w:color w:val="000000"/>
          <w:lang w:eastAsia="es-MX"/>
        </w:rPr>
        <w:t>.00</w:t>
      </w:r>
      <w:proofErr w:type="gramEnd"/>
      <w:r w:rsidR="002B6A22" w:rsidRPr="00BF4A51">
        <w:rPr>
          <w:rFonts w:ascii="ITC Avant Garde" w:hAnsi="ITC Avant Garde"/>
          <w:bCs/>
          <w:color w:val="000000"/>
          <w:lang w:eastAsia="es-MX"/>
        </w:rPr>
        <w:t xml:space="preserve"> (</w:t>
      </w:r>
      <w:r w:rsidR="00D63B90" w:rsidRPr="00BF4A51">
        <w:rPr>
          <w:rFonts w:ascii="ITC Avant Garde" w:hAnsi="ITC Avant Garde"/>
          <w:bCs/>
          <w:color w:val="000000"/>
          <w:lang w:eastAsia="es-MX"/>
        </w:rPr>
        <w:t>Doce millones</w:t>
      </w:r>
      <w:r w:rsidR="002B6A22" w:rsidRPr="00BF4A51">
        <w:rPr>
          <w:rFonts w:ascii="ITC Avant Garde" w:hAnsi="ITC Avant Garde"/>
          <w:bCs/>
          <w:color w:val="000000"/>
          <w:lang w:eastAsia="es-MX"/>
        </w:rPr>
        <w:t xml:space="preserve"> </w:t>
      </w:r>
      <w:r w:rsidR="003C36D6" w:rsidRPr="00BF4A51">
        <w:rPr>
          <w:rFonts w:ascii="ITC Avant Garde" w:hAnsi="ITC Avant Garde"/>
          <w:bCs/>
          <w:color w:val="000000"/>
          <w:lang w:eastAsia="es-MX"/>
        </w:rPr>
        <w:t>setecientos noventa y tres mil doscientos setenta y un</w:t>
      </w:r>
      <w:r w:rsidR="00D01F85" w:rsidRPr="00BF4A51">
        <w:rPr>
          <w:rFonts w:ascii="ITC Avant Garde" w:hAnsi="ITC Avant Garde"/>
          <w:bCs/>
          <w:color w:val="000000"/>
          <w:lang w:eastAsia="es-MX"/>
        </w:rPr>
        <w:t xml:space="preserve"> pesos 00/100 M.N.)</w:t>
      </w:r>
      <w:r w:rsidR="002B6A22" w:rsidRPr="00BF4A51">
        <w:rPr>
          <w:rFonts w:ascii="ITC Avant Garde" w:hAnsi="ITC Avant Garde"/>
          <w:bCs/>
          <w:color w:val="000000"/>
          <w:lang w:eastAsia="es-MX"/>
        </w:rPr>
        <w:t>.</w:t>
      </w:r>
    </w:p>
    <w:p w14:paraId="29EF4914" w14:textId="1CE9A093" w:rsidR="002B6A22" w:rsidRPr="00BF4A51" w:rsidRDefault="002B6A22" w:rsidP="00BF4A51">
      <w:pPr>
        <w:spacing w:before="240" w:line="240" w:lineRule="auto"/>
        <w:jc w:val="both"/>
        <w:rPr>
          <w:rFonts w:ascii="ITC Avant Garde" w:hAnsi="ITC Avant Garde"/>
          <w:bCs/>
          <w:color w:val="000000"/>
          <w:lang w:eastAsia="es-MX"/>
        </w:rPr>
      </w:pPr>
      <w:r w:rsidRPr="00BF4A51">
        <w:rPr>
          <w:rFonts w:ascii="ITC Avant Garde" w:hAnsi="ITC Avant Garde"/>
          <w:bCs/>
          <w:lang w:val="es-ES_tradnl"/>
        </w:rPr>
        <w:t xml:space="preserve">El monto señalado en el presente Resolutivo deberá ser actualizado al momento del </w:t>
      </w:r>
      <w:r w:rsidRPr="00BF4A51">
        <w:rPr>
          <w:rFonts w:ascii="ITC Avant Garde" w:hAnsi="ITC Avant Garde"/>
          <w:bCs/>
          <w:color w:val="000000"/>
          <w:lang w:eastAsia="es-MX"/>
        </w:rPr>
        <w:t xml:space="preserve">pago, tomando en cuenta el último Índice Nacional de Precios al Consumidor publicado por el Banco de México. </w:t>
      </w:r>
    </w:p>
    <w:p w14:paraId="49C1E7C4" w14:textId="77777777" w:rsidR="00BF4A51" w:rsidRDefault="00C16A27" w:rsidP="00BF4A51">
      <w:pPr>
        <w:spacing w:before="240" w:line="240" w:lineRule="auto"/>
        <w:jc w:val="both"/>
        <w:rPr>
          <w:rFonts w:ascii="ITC Avant Garde" w:hAnsi="ITC Avant Garde"/>
          <w:bCs/>
          <w:color w:val="000000"/>
          <w:lang w:eastAsia="es-MX"/>
        </w:rPr>
      </w:pPr>
      <w:r w:rsidRPr="00BF4A51">
        <w:rPr>
          <w:rFonts w:ascii="ITC Avant Garde" w:hAnsi="ITC Avant Garde"/>
          <w:b/>
          <w:bCs/>
          <w:lang w:val="es-ES_tradnl"/>
        </w:rPr>
        <w:t>QUINTO</w:t>
      </w:r>
      <w:r w:rsidR="00C41F9F" w:rsidRPr="00BF4A51">
        <w:rPr>
          <w:rFonts w:ascii="ITC Avant Garde" w:hAnsi="ITC Avant Garde"/>
          <w:b/>
          <w:bCs/>
          <w:lang w:val="es-ES_tradnl"/>
        </w:rPr>
        <w:t>.-</w:t>
      </w:r>
      <w:r w:rsidR="00C41F9F" w:rsidRPr="00BF4A51">
        <w:rPr>
          <w:rFonts w:ascii="ITC Avant Garde" w:hAnsi="ITC Avant Garde"/>
          <w:bCs/>
          <w:lang w:val="es-ES_tradnl"/>
        </w:rPr>
        <w:t xml:space="preserve"> </w:t>
      </w:r>
      <w:r w:rsidR="002B6A22" w:rsidRPr="00BF4A51">
        <w:rPr>
          <w:rFonts w:ascii="ITC Avant Garde" w:hAnsi="ITC Avant Garde"/>
          <w:bCs/>
          <w:color w:val="000000"/>
          <w:lang w:eastAsia="es-MX"/>
        </w:rPr>
        <w:t>En caso de que no se reciba por parte de AT&amp;T Comunicaciones Digitales</w:t>
      </w:r>
      <w:r w:rsidR="00C95FB0" w:rsidRPr="00BF4A51">
        <w:rPr>
          <w:rFonts w:ascii="ITC Avant Garde" w:hAnsi="ITC Avant Garde"/>
          <w:bCs/>
          <w:color w:val="000000"/>
          <w:lang w:eastAsia="es-MX"/>
        </w:rPr>
        <w:t>,</w:t>
      </w:r>
      <w:r w:rsidR="002B6A22" w:rsidRPr="00BF4A51">
        <w:rPr>
          <w:rFonts w:ascii="ITC Avant Garde" w:hAnsi="ITC Avant Garde"/>
          <w:bCs/>
          <w:color w:val="000000"/>
          <w:lang w:eastAsia="es-MX"/>
        </w:rPr>
        <w:t xml:space="preserve"> S. de R.L. de C.V., el comprobante de pago del aprovechamiento por concepto de contraprestación señalado en el Resolutivo Cuarto, dentro del plazo establecido para tales efectos, la presente Resolución quedará sin efecto y en consecuencia, se tendrá por negada la prórroga de vigencia solicitada respecto de las concesiones de mérito. </w:t>
      </w:r>
    </w:p>
    <w:p w14:paraId="56AF0937" w14:textId="2EE5252B" w:rsidR="002B6A22" w:rsidRPr="00BF4A51" w:rsidRDefault="002B6A22" w:rsidP="00BF4A51">
      <w:pPr>
        <w:spacing w:before="240" w:line="240" w:lineRule="auto"/>
        <w:jc w:val="both"/>
        <w:rPr>
          <w:rFonts w:ascii="ITC Avant Garde" w:hAnsi="ITC Avant Garde"/>
          <w:bCs/>
          <w:color w:val="000000"/>
          <w:lang w:eastAsia="es-MX"/>
        </w:rPr>
      </w:pPr>
      <w:r w:rsidRPr="00BF4A51">
        <w:rPr>
          <w:rFonts w:ascii="ITC Avant Garde" w:hAnsi="ITC Avant Garde"/>
          <w:bCs/>
          <w:color w:val="000000"/>
          <w:lang w:eastAsia="es-MX"/>
        </w:rPr>
        <w:t>En dicho caso, las bandas de frecuencias que le fueron asignadas revertirán a favor de la Nación, sin perjuicio de que el Instituto Federal de Telecomunicaciones pueda ejercer las atribuciones de verificación, supervisión y, en su caso, sanción que correspondan.</w:t>
      </w:r>
    </w:p>
    <w:p w14:paraId="6822E064" w14:textId="2EEA525F" w:rsidR="00A56843" w:rsidRPr="00BF4A51" w:rsidRDefault="00C16A27" w:rsidP="00BF4A51">
      <w:pPr>
        <w:spacing w:before="240" w:line="240" w:lineRule="auto"/>
        <w:jc w:val="both"/>
        <w:rPr>
          <w:rFonts w:ascii="ITC Avant Garde" w:hAnsi="ITC Avant Garde"/>
          <w:bCs/>
          <w:lang w:val="es-ES_tradnl"/>
        </w:rPr>
      </w:pPr>
      <w:r w:rsidRPr="00BF4A51">
        <w:rPr>
          <w:rFonts w:ascii="ITC Avant Garde" w:hAnsi="ITC Avant Garde"/>
          <w:b/>
          <w:bCs/>
          <w:color w:val="000000"/>
          <w:lang w:eastAsia="es-MX"/>
        </w:rPr>
        <w:t>SEXTO</w:t>
      </w:r>
      <w:r w:rsidR="00C41F9F" w:rsidRPr="00BF4A51">
        <w:rPr>
          <w:rFonts w:ascii="ITC Avant Garde" w:hAnsi="ITC Avant Garde"/>
          <w:b/>
          <w:bCs/>
          <w:color w:val="000000"/>
          <w:lang w:eastAsia="es-MX"/>
        </w:rPr>
        <w:t>.-</w:t>
      </w:r>
      <w:r w:rsidR="00C41F9F" w:rsidRPr="00BF4A51">
        <w:rPr>
          <w:rFonts w:ascii="ITC Avant Garde" w:hAnsi="ITC Avant Garde"/>
          <w:bCs/>
          <w:color w:val="000000"/>
          <w:lang w:eastAsia="es-MX"/>
        </w:rPr>
        <w:t xml:space="preserve"> </w:t>
      </w:r>
      <w:r w:rsidR="00A56843" w:rsidRPr="00BF4A51">
        <w:rPr>
          <w:rFonts w:ascii="ITC Avant Garde" w:hAnsi="ITC Avant Garde"/>
          <w:bCs/>
          <w:lang w:val="es-ES_tradnl"/>
        </w:rPr>
        <w:t xml:space="preserve">Una vez satisfecho lo establecido en los Resolutivos Tercero y Cuarto anteriores, el Comisionado Presidente del Instituto Federal de Telecomunicaciones, con base en las facultades que le confiere el artículo 14 fracción X del Estatuto Orgánico, suscribirá </w:t>
      </w:r>
      <w:r w:rsidR="009063FC" w:rsidRPr="00BF4A51">
        <w:rPr>
          <w:rFonts w:ascii="ITC Avant Garde" w:hAnsi="ITC Avant Garde"/>
          <w:bCs/>
          <w:lang w:val="es-ES_tradnl"/>
        </w:rPr>
        <w:t>el título de concesión que se otorgue</w:t>
      </w:r>
      <w:r w:rsidR="00A56843" w:rsidRPr="00BF4A51">
        <w:rPr>
          <w:rFonts w:ascii="ITC Avant Garde" w:hAnsi="ITC Avant Garde"/>
          <w:bCs/>
          <w:lang w:val="es-ES_tradnl"/>
        </w:rPr>
        <w:t xml:space="preserve"> con motivo de la presente Resolución.</w:t>
      </w:r>
    </w:p>
    <w:p w14:paraId="7B15F3EC" w14:textId="6E66CC31" w:rsidR="00437FAE" w:rsidRPr="00BF4A51" w:rsidRDefault="00437FAE" w:rsidP="00BF4A51">
      <w:pPr>
        <w:autoSpaceDE w:val="0"/>
        <w:autoSpaceDN w:val="0"/>
        <w:adjustRightInd w:val="0"/>
        <w:spacing w:before="240" w:line="240" w:lineRule="auto"/>
        <w:jc w:val="both"/>
        <w:rPr>
          <w:rFonts w:ascii="ITC Avant Garde" w:hAnsi="ITC Avant Garde"/>
          <w:bCs/>
          <w:lang w:val="es-ES_tradnl"/>
        </w:rPr>
      </w:pPr>
      <w:r w:rsidRPr="00BF4A51">
        <w:rPr>
          <w:rFonts w:ascii="ITC Avant Garde" w:hAnsi="ITC Avant Garde"/>
          <w:b/>
          <w:bCs/>
          <w:lang w:val="es-ES_tradnl"/>
        </w:rPr>
        <w:t>SÉPTIMO.-</w:t>
      </w:r>
      <w:r w:rsidRPr="00BF4A51">
        <w:rPr>
          <w:rFonts w:ascii="ITC Avant Garde" w:hAnsi="ITC Avant Garde"/>
          <w:bCs/>
          <w:lang w:val="es-ES_tradnl"/>
        </w:rPr>
        <w:t xml:space="preserve"> Se instruye a la Unidad de Concesiones y Servicios a notificar a </w:t>
      </w:r>
      <w:r w:rsidRPr="00BF4A51">
        <w:rPr>
          <w:rFonts w:ascii="ITC Avant Garde" w:hAnsi="ITC Avant Garde"/>
          <w:bCs/>
        </w:rPr>
        <w:t>AT&amp;T Comunicaciones Digitales</w:t>
      </w:r>
      <w:r w:rsidR="00C95FB0" w:rsidRPr="00BF4A51">
        <w:rPr>
          <w:rFonts w:ascii="ITC Avant Garde" w:hAnsi="ITC Avant Garde"/>
          <w:bCs/>
        </w:rPr>
        <w:t>,</w:t>
      </w:r>
      <w:r w:rsidRPr="00BF4A51">
        <w:rPr>
          <w:rFonts w:ascii="ITC Avant Garde" w:hAnsi="ITC Avant Garde"/>
          <w:bCs/>
        </w:rPr>
        <w:t xml:space="preserve"> S. de R.L. de C.V.,</w:t>
      </w:r>
      <w:r w:rsidRPr="00BF4A51">
        <w:rPr>
          <w:rFonts w:ascii="ITC Avant Garde" w:hAnsi="ITC Avant Garde"/>
          <w:bCs/>
          <w:lang w:val="es-ES_tradnl"/>
        </w:rPr>
        <w:t xml:space="preserve"> de ser el caso, el título de concesión </w:t>
      </w:r>
      <w:r w:rsidRPr="00BF4A51">
        <w:rPr>
          <w:rFonts w:ascii="ITC Avant Garde" w:hAnsi="ITC Avant Garde"/>
          <w:bCs/>
          <w:color w:val="000000"/>
          <w:lang w:eastAsia="es-MX"/>
        </w:rPr>
        <w:t>para usar, aprovechar y explotar bandas de frecuencias del espectro radioeléctrico para uso comercial</w:t>
      </w:r>
      <w:r w:rsidRPr="00BF4A51">
        <w:rPr>
          <w:rFonts w:ascii="ITC Avant Garde" w:hAnsi="ITC Avant Garde"/>
          <w:bCs/>
          <w:lang w:val="es-ES_tradnl"/>
        </w:rPr>
        <w:t xml:space="preserve"> referido en la presente Resolución.</w:t>
      </w:r>
    </w:p>
    <w:p w14:paraId="674B13EC" w14:textId="78B47127" w:rsidR="00437FAE" w:rsidRPr="00BF4A51" w:rsidRDefault="00437FAE" w:rsidP="00BF4A51">
      <w:pPr>
        <w:autoSpaceDE w:val="0"/>
        <w:autoSpaceDN w:val="0"/>
        <w:adjustRightInd w:val="0"/>
        <w:spacing w:before="240" w:line="240" w:lineRule="auto"/>
        <w:jc w:val="both"/>
        <w:rPr>
          <w:rFonts w:ascii="ITC Avant Garde" w:hAnsi="ITC Avant Garde"/>
          <w:bCs/>
          <w:lang w:val="es-ES_tradnl"/>
        </w:rPr>
      </w:pPr>
      <w:r w:rsidRPr="00BF4A51">
        <w:rPr>
          <w:rFonts w:ascii="ITC Avant Garde" w:hAnsi="ITC Avant Garde"/>
          <w:b/>
          <w:bCs/>
          <w:lang w:val="es-ES_tradnl"/>
        </w:rPr>
        <w:t>OCTAVO.-</w:t>
      </w:r>
      <w:r w:rsidRPr="00BF4A51">
        <w:rPr>
          <w:rFonts w:ascii="ITC Avant Garde" w:hAnsi="ITC Avant Garde"/>
          <w:bCs/>
          <w:lang w:val="es-ES_tradnl"/>
        </w:rPr>
        <w:t xml:space="preserve"> Inscríbase en el Registro Público de Concesiones el título de concesión para usar, aprovechar y explotar bandas de frecuencias del espectro radioeléctrico para</w:t>
      </w:r>
      <w:r w:rsidR="0086477A" w:rsidRPr="00BF4A51">
        <w:rPr>
          <w:rFonts w:ascii="ITC Avant Garde" w:hAnsi="ITC Avant Garde"/>
          <w:bCs/>
          <w:lang w:val="es-ES_tradnl"/>
        </w:rPr>
        <w:t xml:space="preserve"> uso</w:t>
      </w:r>
      <w:r w:rsidRPr="00BF4A51">
        <w:rPr>
          <w:rFonts w:ascii="ITC Avant Garde" w:hAnsi="ITC Avant Garde"/>
          <w:bCs/>
          <w:lang w:val="es-ES_tradnl"/>
        </w:rPr>
        <w:t xml:space="preserve"> comercial a que se refiere la presente Resolución, una vez que sea debidamente notificado, en su caso, al interesado. </w:t>
      </w:r>
    </w:p>
    <w:p w14:paraId="64AF2CDE" w14:textId="77777777" w:rsidR="00BF4A51" w:rsidRDefault="00437FAE" w:rsidP="00BF4A51">
      <w:pPr>
        <w:autoSpaceDE w:val="0"/>
        <w:autoSpaceDN w:val="0"/>
        <w:adjustRightInd w:val="0"/>
        <w:spacing w:before="240" w:line="240" w:lineRule="auto"/>
        <w:jc w:val="both"/>
        <w:rPr>
          <w:rFonts w:ascii="ITC Avant Garde" w:hAnsi="ITC Avant Garde"/>
          <w:bCs/>
          <w:lang w:val="es-ES_tradnl"/>
        </w:rPr>
      </w:pPr>
      <w:r w:rsidRPr="00BF4A51">
        <w:rPr>
          <w:rFonts w:ascii="ITC Avant Garde" w:hAnsi="ITC Avant Garde"/>
          <w:b/>
          <w:bCs/>
          <w:lang w:val="es-ES_tradnl"/>
        </w:rPr>
        <w:lastRenderedPageBreak/>
        <w:t>NOVENO.-</w:t>
      </w:r>
      <w:r w:rsidRPr="00BF4A51">
        <w:rPr>
          <w:rFonts w:ascii="ITC Avant Garde" w:hAnsi="ITC Avant Garde"/>
          <w:bCs/>
          <w:lang w:val="es-ES_tradnl"/>
        </w:rPr>
        <w:t xml:space="preserve"> Con la finalidad de garantizar la continuidad en la prestación de los servic</w:t>
      </w:r>
      <w:r w:rsidR="0086477A" w:rsidRPr="00BF4A51">
        <w:rPr>
          <w:rFonts w:ascii="ITC Avant Garde" w:hAnsi="ITC Avant Garde"/>
          <w:bCs/>
          <w:lang w:val="es-ES_tradnl"/>
        </w:rPr>
        <w:t>ios</w:t>
      </w:r>
      <w:r w:rsidRPr="00BF4A51">
        <w:rPr>
          <w:rFonts w:ascii="ITC Avant Garde" w:hAnsi="ITC Avant Garde"/>
          <w:bCs/>
          <w:lang w:val="es-ES_tradnl"/>
        </w:rPr>
        <w:t xml:space="preserve"> y la migración de los usuarios, </w:t>
      </w:r>
      <w:r w:rsidRPr="00BF4A51">
        <w:rPr>
          <w:rFonts w:ascii="ITC Avant Garde" w:hAnsi="ITC Avant Garde"/>
          <w:bCs/>
          <w:color w:val="000000"/>
          <w:lang w:eastAsia="es-MX"/>
        </w:rPr>
        <w:t xml:space="preserve">AT&amp;T Comunicaciones Digitales, S. de R.L. de C.V. </w:t>
      </w:r>
      <w:r w:rsidRPr="00BF4A51">
        <w:rPr>
          <w:rFonts w:ascii="ITC Avant Garde" w:hAnsi="ITC Avant Garde"/>
          <w:bCs/>
          <w:lang w:val="es-ES_tradnl"/>
        </w:rPr>
        <w:t xml:space="preserve">tendrá un plazo improrrogable de </w:t>
      </w:r>
      <w:r w:rsidR="00C93AF9" w:rsidRPr="00BF4A51">
        <w:rPr>
          <w:rFonts w:ascii="ITC Avant Garde" w:hAnsi="ITC Avant Garde"/>
          <w:bCs/>
          <w:lang w:val="es-ES_tradnl"/>
        </w:rPr>
        <w:t>180</w:t>
      </w:r>
      <w:r w:rsidRPr="00BF4A51">
        <w:rPr>
          <w:rFonts w:ascii="ITC Avant Garde" w:hAnsi="ITC Avant Garde"/>
          <w:bCs/>
          <w:lang w:val="es-ES_tradnl"/>
        </w:rPr>
        <w:t xml:space="preserve"> (</w:t>
      </w:r>
      <w:r w:rsidR="00C93AF9" w:rsidRPr="00BF4A51">
        <w:rPr>
          <w:rFonts w:ascii="ITC Avant Garde" w:hAnsi="ITC Avant Garde"/>
          <w:bCs/>
          <w:lang w:val="es-ES_tradnl"/>
        </w:rPr>
        <w:t>ciento ochenta</w:t>
      </w:r>
      <w:r w:rsidRPr="00BF4A51">
        <w:rPr>
          <w:rFonts w:ascii="ITC Avant Garde" w:hAnsi="ITC Avant Garde"/>
          <w:bCs/>
          <w:lang w:val="es-ES_tradnl"/>
        </w:rPr>
        <w:t>) días naturales, contados a partir del día siguiente a aquel en que haya sur</w:t>
      </w:r>
      <w:r w:rsidR="00C93AF9" w:rsidRPr="00BF4A51">
        <w:rPr>
          <w:rFonts w:ascii="ITC Avant Garde" w:hAnsi="ITC Avant Garde"/>
          <w:bCs/>
          <w:lang w:val="es-ES_tradnl"/>
        </w:rPr>
        <w:t xml:space="preserve">tido efectos la notificación del título de concesión </w:t>
      </w:r>
      <w:r w:rsidR="00C93AF9" w:rsidRPr="00BF4A51">
        <w:rPr>
          <w:rFonts w:ascii="ITC Avant Garde" w:hAnsi="ITC Avant Garde"/>
          <w:bCs/>
          <w:color w:val="000000"/>
          <w:lang w:eastAsia="es-MX"/>
        </w:rPr>
        <w:t>para usar, aprovechar y explotar bandas de frecuencias del espectro radioeléctrico para uso comercial</w:t>
      </w:r>
      <w:r w:rsidRPr="00BF4A51">
        <w:rPr>
          <w:rFonts w:ascii="ITC Avant Garde" w:hAnsi="ITC Avant Garde"/>
          <w:bCs/>
          <w:lang w:val="es-ES_tradnl"/>
        </w:rPr>
        <w:t xml:space="preserve">, </w:t>
      </w:r>
      <w:r w:rsidR="00C93AF9" w:rsidRPr="00BF4A51">
        <w:rPr>
          <w:rFonts w:ascii="ITC Avant Garde" w:hAnsi="ITC Avant Garde"/>
          <w:bCs/>
          <w:lang w:val="es-ES_tradnl"/>
        </w:rPr>
        <w:t xml:space="preserve">a que se refiere el Resolutivo Séptimo de la presente Resolución, </w:t>
      </w:r>
      <w:r w:rsidRPr="00BF4A51">
        <w:rPr>
          <w:rFonts w:ascii="ITC Avant Garde" w:hAnsi="ITC Avant Garde"/>
          <w:bCs/>
          <w:lang w:val="es-ES_tradnl"/>
        </w:rPr>
        <w:t xml:space="preserve">para llevar a cabo el cambio de las bandas originalmente concesionadas hacia el segmento </w:t>
      </w:r>
      <w:r w:rsidRPr="00BF4A51">
        <w:rPr>
          <w:rFonts w:ascii="ITC Avant Garde" w:hAnsi="ITC Avant Garde"/>
          <w:bCs/>
          <w:color w:val="000000"/>
          <w:lang w:eastAsia="es-MX"/>
        </w:rPr>
        <w:t>814-824/859-869 MHz</w:t>
      </w:r>
      <w:r w:rsidR="00C93AF9" w:rsidRPr="00BF4A51">
        <w:rPr>
          <w:rFonts w:ascii="ITC Avant Garde" w:hAnsi="ITC Avant Garde"/>
          <w:bCs/>
          <w:color w:val="000000"/>
          <w:lang w:eastAsia="es-MX"/>
        </w:rPr>
        <w:t xml:space="preserve">, en </w:t>
      </w:r>
      <w:r w:rsidR="009D168C" w:rsidRPr="00BF4A51">
        <w:rPr>
          <w:rFonts w:ascii="ITC Avant Garde" w:hAnsi="ITC Avant Garde"/>
          <w:bCs/>
          <w:color w:val="000000"/>
          <w:lang w:eastAsia="es-MX"/>
        </w:rPr>
        <w:t xml:space="preserve">los Municipios de </w:t>
      </w:r>
      <w:r w:rsidR="00C93AF9" w:rsidRPr="00BF4A51">
        <w:rPr>
          <w:rFonts w:ascii="ITC Avant Garde" w:hAnsi="ITC Avant Garde"/>
          <w:bCs/>
          <w:color w:val="000000"/>
          <w:lang w:eastAsia="es-MX"/>
        </w:rPr>
        <w:t xml:space="preserve">la Entidad </w:t>
      </w:r>
      <w:r w:rsidR="003F5887" w:rsidRPr="00BF4A51">
        <w:rPr>
          <w:rFonts w:ascii="ITC Avant Garde" w:hAnsi="ITC Avant Garde"/>
          <w:bCs/>
          <w:color w:val="000000"/>
          <w:lang w:eastAsia="es-MX"/>
        </w:rPr>
        <w:t>F</w:t>
      </w:r>
      <w:r w:rsidR="00C93AF9" w:rsidRPr="00BF4A51">
        <w:rPr>
          <w:rFonts w:ascii="ITC Avant Garde" w:hAnsi="ITC Avant Garde"/>
          <w:bCs/>
          <w:color w:val="000000"/>
          <w:lang w:eastAsia="es-MX"/>
        </w:rPr>
        <w:t>ederativa de Nuevo León</w:t>
      </w:r>
      <w:r w:rsidR="000744A1" w:rsidRPr="00BF4A51">
        <w:rPr>
          <w:rFonts w:ascii="ITC Avant Garde" w:hAnsi="ITC Avant Garde"/>
          <w:bCs/>
          <w:color w:val="000000"/>
          <w:lang w:eastAsia="es-MX"/>
        </w:rPr>
        <w:t>,</w:t>
      </w:r>
      <w:r w:rsidR="009D168C" w:rsidRPr="00BF4A51">
        <w:rPr>
          <w:rFonts w:ascii="ITC Avant Garde" w:hAnsi="ITC Avant Garde"/>
          <w:bCs/>
          <w:color w:val="000000"/>
          <w:lang w:eastAsia="es-MX"/>
        </w:rPr>
        <w:t xml:space="preserve"> </w:t>
      </w:r>
      <w:r w:rsidR="000744A1" w:rsidRPr="00BF4A51">
        <w:rPr>
          <w:rFonts w:ascii="ITC Avant Garde" w:hAnsi="ITC Avant Garde"/>
          <w:bCs/>
          <w:color w:val="000000"/>
          <w:lang w:eastAsia="es-MX"/>
        </w:rPr>
        <w:t>señalados</w:t>
      </w:r>
      <w:r w:rsidR="009D168C" w:rsidRPr="00BF4A51">
        <w:rPr>
          <w:rFonts w:ascii="ITC Avant Garde" w:hAnsi="ITC Avant Garde"/>
          <w:bCs/>
          <w:color w:val="000000"/>
          <w:lang w:eastAsia="es-MX"/>
        </w:rPr>
        <w:t xml:space="preserve"> en el Anexo de la presente Resolución</w:t>
      </w:r>
      <w:r w:rsidRPr="00BF4A51">
        <w:rPr>
          <w:rFonts w:ascii="ITC Avant Garde" w:hAnsi="ITC Avant Garde"/>
          <w:bCs/>
          <w:lang w:val="es-ES_tradnl"/>
        </w:rPr>
        <w:t>.</w:t>
      </w:r>
    </w:p>
    <w:p w14:paraId="649AB28C" w14:textId="2F593ADC" w:rsidR="00C93AF9" w:rsidRPr="00BF4A51" w:rsidRDefault="00C93AF9" w:rsidP="00BF4A51">
      <w:pPr>
        <w:autoSpaceDE w:val="0"/>
        <w:autoSpaceDN w:val="0"/>
        <w:adjustRightInd w:val="0"/>
        <w:spacing w:before="240" w:line="240" w:lineRule="auto"/>
        <w:jc w:val="both"/>
        <w:rPr>
          <w:rFonts w:ascii="ITC Avant Garde" w:hAnsi="ITC Avant Garde"/>
          <w:bCs/>
          <w:lang w:val="es-ES_tradnl"/>
        </w:rPr>
      </w:pPr>
      <w:r w:rsidRPr="00BF4A51">
        <w:rPr>
          <w:rFonts w:ascii="ITC Avant Garde" w:hAnsi="ITC Avant Garde"/>
          <w:bCs/>
          <w:lang w:val="es-ES_tradnl"/>
        </w:rPr>
        <w:t xml:space="preserve">Asimismo, </w:t>
      </w:r>
      <w:r w:rsidRPr="00BF4A51">
        <w:rPr>
          <w:rFonts w:ascii="ITC Avant Garde" w:hAnsi="ITC Avant Garde"/>
          <w:bCs/>
          <w:color w:val="000000"/>
          <w:lang w:eastAsia="es-MX"/>
        </w:rPr>
        <w:t xml:space="preserve">AT&amp;T Comunicaciones Digitales, S. de R.L. de C.V. </w:t>
      </w:r>
      <w:r w:rsidRPr="00BF4A51">
        <w:rPr>
          <w:rFonts w:ascii="ITC Avant Garde" w:hAnsi="ITC Avant Garde"/>
          <w:bCs/>
          <w:lang w:val="es-ES_tradnl"/>
        </w:rPr>
        <w:t xml:space="preserve">tendrá un plazo improrrogable de 270 (doscientos setenta) días naturales, contados a partir del día siguiente a aquel en que haya surtido efectos la notificación del título de concesión </w:t>
      </w:r>
      <w:r w:rsidRPr="00BF4A51">
        <w:rPr>
          <w:rFonts w:ascii="ITC Avant Garde" w:hAnsi="ITC Avant Garde"/>
          <w:bCs/>
          <w:color w:val="000000"/>
          <w:lang w:eastAsia="es-MX"/>
        </w:rPr>
        <w:t>para usar, aprovechar y explotar bandas de frecuencias del espectro radioeléctrico para uso comercial</w:t>
      </w:r>
      <w:r w:rsidRPr="00BF4A51">
        <w:rPr>
          <w:rFonts w:ascii="ITC Avant Garde" w:hAnsi="ITC Avant Garde"/>
          <w:bCs/>
          <w:lang w:val="es-ES_tradnl"/>
        </w:rPr>
        <w:t xml:space="preserve">, a que se refiere el Resolutivo Séptimo de la presente Resolución, para llevar a cabo el cambio de las bandas originalmente concesionadas hacia el segmento </w:t>
      </w:r>
      <w:r w:rsidRPr="00BF4A51">
        <w:rPr>
          <w:rFonts w:ascii="ITC Avant Garde" w:hAnsi="ITC Avant Garde"/>
          <w:bCs/>
          <w:color w:val="000000"/>
          <w:lang w:eastAsia="es-MX"/>
        </w:rPr>
        <w:t>814-824/859-869 MHz</w:t>
      </w:r>
      <w:r w:rsidRPr="00BF4A51">
        <w:rPr>
          <w:rFonts w:ascii="ITC Avant Garde" w:hAnsi="ITC Avant Garde"/>
          <w:bCs/>
          <w:lang w:val="es-ES_tradnl"/>
        </w:rPr>
        <w:t xml:space="preserve">, en </w:t>
      </w:r>
      <w:r w:rsidR="009D168C" w:rsidRPr="00BF4A51">
        <w:rPr>
          <w:rFonts w:ascii="ITC Avant Garde" w:hAnsi="ITC Avant Garde"/>
          <w:bCs/>
          <w:lang w:val="es-ES_tradnl"/>
        </w:rPr>
        <w:t>los Municipios d</w:t>
      </w:r>
      <w:r w:rsidRPr="00BF4A51">
        <w:rPr>
          <w:rFonts w:ascii="ITC Avant Garde" w:hAnsi="ITC Avant Garde"/>
          <w:bCs/>
          <w:lang w:val="es-ES_tradnl"/>
        </w:rPr>
        <w:t>el resto de las Entidades Federativas</w:t>
      </w:r>
      <w:r w:rsidR="009D168C" w:rsidRPr="00BF4A51">
        <w:rPr>
          <w:rFonts w:ascii="ITC Avant Garde" w:hAnsi="ITC Avant Garde"/>
          <w:bCs/>
          <w:lang w:val="es-ES_tradnl"/>
        </w:rPr>
        <w:t>,</w:t>
      </w:r>
      <w:r w:rsidR="000744A1" w:rsidRPr="00BF4A51">
        <w:rPr>
          <w:rFonts w:ascii="ITC Avant Garde" w:hAnsi="ITC Avant Garde"/>
          <w:bCs/>
          <w:lang w:val="es-ES_tradnl"/>
        </w:rPr>
        <w:t xml:space="preserve"> señalados</w:t>
      </w:r>
      <w:r w:rsidR="009D168C" w:rsidRPr="00BF4A51">
        <w:rPr>
          <w:rFonts w:ascii="ITC Avant Garde" w:hAnsi="ITC Avant Garde"/>
          <w:bCs/>
          <w:lang w:val="es-ES_tradnl"/>
        </w:rPr>
        <w:t xml:space="preserve"> en el Anexo de la presente Resolución</w:t>
      </w:r>
      <w:r w:rsidRPr="00BF4A51">
        <w:rPr>
          <w:rFonts w:ascii="ITC Avant Garde" w:hAnsi="ITC Avant Garde"/>
          <w:bCs/>
          <w:lang w:val="es-ES_tradnl"/>
        </w:rPr>
        <w:t>.</w:t>
      </w:r>
    </w:p>
    <w:p w14:paraId="166E52CA" w14:textId="77777777" w:rsidR="00BF4A51" w:rsidRDefault="00437FAE" w:rsidP="00BF4A51">
      <w:pPr>
        <w:autoSpaceDE w:val="0"/>
        <w:autoSpaceDN w:val="0"/>
        <w:adjustRightInd w:val="0"/>
        <w:spacing w:before="240" w:line="240" w:lineRule="auto"/>
        <w:jc w:val="both"/>
        <w:rPr>
          <w:rFonts w:ascii="ITC Avant Garde" w:hAnsi="ITC Avant Garde"/>
          <w:bCs/>
          <w:lang w:val="es-ES_tradnl"/>
        </w:rPr>
      </w:pPr>
      <w:r w:rsidRPr="00BF4A51">
        <w:rPr>
          <w:rFonts w:ascii="ITC Avant Garde" w:hAnsi="ITC Avant Garde"/>
          <w:b/>
          <w:bCs/>
          <w:lang w:val="es-ES_tradnl"/>
        </w:rPr>
        <w:t>DÉCIMO.-</w:t>
      </w:r>
      <w:r w:rsidRPr="00BF4A51">
        <w:rPr>
          <w:rFonts w:ascii="ITC Avant Garde" w:hAnsi="ITC Avant Garde"/>
          <w:bCs/>
          <w:lang w:val="es-ES_tradnl"/>
        </w:rPr>
        <w:t xml:space="preserve"> Una vez concluido el cambio de bandas señalado en el Resolutivo Noveno anterior, A</w:t>
      </w:r>
      <w:r w:rsidRPr="00BF4A51">
        <w:rPr>
          <w:rFonts w:ascii="ITC Avant Garde" w:hAnsi="ITC Avant Garde" w:cs="Arial"/>
          <w:bCs/>
          <w:color w:val="000000"/>
          <w:shd w:val="clear" w:color="auto" w:fill="FFFFFF"/>
        </w:rPr>
        <w:t xml:space="preserve">T&amp;T Comunicaciones Digitales, S. de R.L. de C.V. </w:t>
      </w:r>
      <w:r w:rsidRPr="00BF4A51">
        <w:rPr>
          <w:rFonts w:ascii="ITC Avant Garde" w:hAnsi="ITC Avant Garde"/>
          <w:bCs/>
          <w:lang w:val="es-ES_tradnl"/>
        </w:rPr>
        <w:t>deberá notificar tal situación al Instituto Federal de Telecomunicaciones, dentro del plazo de 3 (tres) días hábiles contados a partir de l</w:t>
      </w:r>
      <w:r w:rsidR="00BF4A51">
        <w:rPr>
          <w:rFonts w:ascii="ITC Avant Garde" w:hAnsi="ITC Avant Garde"/>
          <w:bCs/>
          <w:lang w:val="es-ES_tradnl"/>
        </w:rPr>
        <w:t>a conclusión del citado cambio.</w:t>
      </w:r>
    </w:p>
    <w:p w14:paraId="7CB5C6C8" w14:textId="216ABFA4" w:rsidR="00BF4A51" w:rsidRPr="00BF4A51" w:rsidRDefault="00437FAE" w:rsidP="00BF4A51">
      <w:pPr>
        <w:autoSpaceDE w:val="0"/>
        <w:autoSpaceDN w:val="0"/>
        <w:adjustRightInd w:val="0"/>
        <w:spacing w:before="240" w:line="240" w:lineRule="auto"/>
        <w:jc w:val="both"/>
        <w:rPr>
          <w:rFonts w:ascii="ITC Avant Garde" w:hAnsi="ITC Avant Garde"/>
          <w:bCs/>
          <w:lang w:val="es-ES_tradnl"/>
        </w:rPr>
      </w:pPr>
      <w:r w:rsidRPr="00BF4A51">
        <w:rPr>
          <w:rFonts w:ascii="ITC Avant Garde" w:hAnsi="ITC Avant Garde"/>
          <w:bCs/>
          <w:color w:val="000000"/>
          <w:lang w:eastAsia="es-MX"/>
        </w:rPr>
        <w:t>Una vez notificado dicho cambio, las bandas de frecuencias que le fueron originalmente asignadas, revertirán a favor de la Nación, sin perjuicio de que el Instituto Federal de Telecomunicaciones pueda ejercer las atribuciones de verificación, supervisión y, en su caso, sanción que correspondan.</w:t>
      </w:r>
    </w:p>
    <w:p w14:paraId="0EBA2993" w14:textId="77777777" w:rsidR="00BF4A51" w:rsidRPr="00BF4A51" w:rsidRDefault="00B14A71" w:rsidP="00BF4A51">
      <w:pPr>
        <w:pStyle w:val="Prrafodelista"/>
        <w:ind w:left="0"/>
        <w:jc w:val="both"/>
        <w:rPr>
          <w:rFonts w:ascii="ITC Avant Garde" w:hAnsi="ITC Avant Garde"/>
          <w:sz w:val="12"/>
          <w:szCs w:val="12"/>
        </w:rPr>
      </w:pPr>
      <w:r w:rsidRPr="00BF4A51">
        <w:rPr>
          <w:rFonts w:ascii="ITC Avant Garde" w:hAnsi="ITC Avant Garde"/>
          <w:sz w:val="12"/>
          <w:szCs w:val="12"/>
        </w:rPr>
        <w:t xml:space="preserve">La presente Resolución fue aprobada por el Pleno del Instituto Federal de Telecomunicaciones en su XII Sesión Ordinaria celebrada el 22 de marzo de 2017, en lo general </w:t>
      </w:r>
      <w:r w:rsidRPr="00BF4A51">
        <w:rPr>
          <w:rFonts w:ascii="ITC Avant Garde" w:hAnsi="ITC Avant Garde"/>
          <w:bCs/>
          <w:sz w:val="12"/>
          <w:szCs w:val="12"/>
        </w:rPr>
        <w:t>por unanimidad</w:t>
      </w:r>
      <w:r w:rsidRPr="00BF4A51">
        <w:rPr>
          <w:rFonts w:ascii="ITC Avant Garde" w:hAnsi="ITC Avant Garde"/>
          <w:sz w:val="12"/>
          <w:szCs w:val="12"/>
        </w:rPr>
        <w:t xml:space="preserve"> de votos de los Comisionados Gabriel Oswaldo Contreras Saldívar; Adriana Sofía </w:t>
      </w:r>
      <w:proofErr w:type="spellStart"/>
      <w:r w:rsidRPr="00BF4A51">
        <w:rPr>
          <w:rFonts w:ascii="ITC Avant Garde" w:hAnsi="ITC Avant Garde"/>
          <w:sz w:val="12"/>
          <w:szCs w:val="12"/>
        </w:rPr>
        <w:t>Labardini</w:t>
      </w:r>
      <w:proofErr w:type="spellEnd"/>
      <w:r w:rsidRPr="00BF4A51">
        <w:rPr>
          <w:rFonts w:ascii="ITC Avant Garde" w:hAnsi="ITC Avant Garde"/>
          <w:sz w:val="12"/>
          <w:szCs w:val="12"/>
        </w:rPr>
        <w:t xml:space="preserve"> </w:t>
      </w:r>
      <w:proofErr w:type="spellStart"/>
      <w:r w:rsidRPr="00BF4A51">
        <w:rPr>
          <w:rFonts w:ascii="ITC Avant Garde" w:hAnsi="ITC Avant Garde"/>
          <w:sz w:val="12"/>
          <w:szCs w:val="12"/>
        </w:rPr>
        <w:t>Inzunza</w:t>
      </w:r>
      <w:proofErr w:type="spellEnd"/>
      <w:r w:rsidRPr="00BF4A51">
        <w:rPr>
          <w:rFonts w:ascii="ITC Avant Garde" w:hAnsi="ITC Avant Garde"/>
          <w:sz w:val="12"/>
          <w:szCs w:val="12"/>
        </w:rPr>
        <w:t xml:space="preserve">; María Elena </w:t>
      </w:r>
      <w:proofErr w:type="spellStart"/>
      <w:r w:rsidRPr="00BF4A51">
        <w:rPr>
          <w:rFonts w:ascii="ITC Avant Garde" w:hAnsi="ITC Avant Garde"/>
          <w:sz w:val="12"/>
          <w:szCs w:val="12"/>
        </w:rPr>
        <w:t>Estavillo</w:t>
      </w:r>
      <w:proofErr w:type="spellEnd"/>
      <w:r w:rsidRPr="00BF4A51">
        <w:rPr>
          <w:rFonts w:ascii="ITC Avant Garde" w:hAnsi="ITC Avant Garde"/>
          <w:sz w:val="12"/>
          <w:szCs w:val="12"/>
        </w:rPr>
        <w:t xml:space="preserve"> Flores; Mario Germán </w:t>
      </w:r>
      <w:proofErr w:type="spellStart"/>
      <w:r w:rsidRPr="00BF4A51">
        <w:rPr>
          <w:rFonts w:ascii="ITC Avant Garde" w:hAnsi="ITC Avant Garde"/>
          <w:sz w:val="12"/>
          <w:szCs w:val="12"/>
        </w:rPr>
        <w:t>Fromow</w:t>
      </w:r>
      <w:proofErr w:type="spellEnd"/>
      <w:r w:rsidRPr="00BF4A51">
        <w:rPr>
          <w:rFonts w:ascii="ITC Avant Garde" w:hAnsi="ITC Avant Garde"/>
          <w:sz w:val="12"/>
          <w:szCs w:val="12"/>
        </w:rPr>
        <w:t xml:space="preserve"> Rangel; Adolfo Cuevas Teja, quien manifiesta voto concurrente; y Javier Juárez Mojica.</w:t>
      </w:r>
    </w:p>
    <w:p w14:paraId="3949C4B5" w14:textId="77777777" w:rsidR="00BF4A51" w:rsidRPr="00BF4A51" w:rsidRDefault="00B14A71" w:rsidP="00BF4A51">
      <w:pPr>
        <w:pStyle w:val="Prrafodelista"/>
        <w:ind w:left="0"/>
        <w:jc w:val="both"/>
        <w:rPr>
          <w:rFonts w:ascii="ITC Avant Garde" w:hAnsi="ITC Avant Garde"/>
          <w:sz w:val="12"/>
          <w:szCs w:val="12"/>
        </w:rPr>
      </w:pPr>
      <w:r w:rsidRPr="00BF4A51">
        <w:rPr>
          <w:rFonts w:ascii="ITC Avant Garde" w:hAnsi="ITC Avant Garde"/>
          <w:sz w:val="12"/>
          <w:szCs w:val="12"/>
        </w:rPr>
        <w:t xml:space="preserve">En lo particular, la Comisionada Adriana Sofía </w:t>
      </w:r>
      <w:proofErr w:type="spellStart"/>
      <w:r w:rsidRPr="00BF4A51">
        <w:rPr>
          <w:rFonts w:ascii="ITC Avant Garde" w:hAnsi="ITC Avant Garde"/>
          <w:sz w:val="12"/>
          <w:szCs w:val="12"/>
        </w:rPr>
        <w:t>Labardini</w:t>
      </w:r>
      <w:proofErr w:type="spellEnd"/>
      <w:r w:rsidRPr="00BF4A51">
        <w:rPr>
          <w:rFonts w:ascii="ITC Avant Garde" w:hAnsi="ITC Avant Garde"/>
          <w:sz w:val="12"/>
          <w:szCs w:val="12"/>
        </w:rPr>
        <w:t xml:space="preserve"> </w:t>
      </w:r>
      <w:proofErr w:type="spellStart"/>
      <w:r w:rsidRPr="00BF4A51">
        <w:rPr>
          <w:rFonts w:ascii="ITC Avant Garde" w:hAnsi="ITC Avant Garde"/>
          <w:sz w:val="12"/>
          <w:szCs w:val="12"/>
        </w:rPr>
        <w:t>Inzunza</w:t>
      </w:r>
      <w:proofErr w:type="spellEnd"/>
      <w:r w:rsidRPr="00BF4A51">
        <w:rPr>
          <w:rFonts w:ascii="ITC Avant Garde" w:hAnsi="ITC Avant Garde"/>
          <w:sz w:val="12"/>
          <w:szCs w:val="12"/>
        </w:rPr>
        <w:t xml:space="preserve"> manifestó voto en contra del segundo párrafo del Resolutivo Primero, en cuanto a que no se establecen obligaciones mínimas de cobertura en los Títulos que se otorgan.</w:t>
      </w:r>
    </w:p>
    <w:p w14:paraId="7822F9FC" w14:textId="16D9B6E2" w:rsidR="00B14A71" w:rsidRPr="00BF4A51" w:rsidRDefault="00B14A71" w:rsidP="00BF4A51">
      <w:pPr>
        <w:pStyle w:val="Prrafodelista"/>
        <w:ind w:left="0"/>
        <w:jc w:val="both"/>
        <w:rPr>
          <w:sz w:val="12"/>
          <w:szCs w:val="12"/>
          <w:lang w:val="es-ES_tradnl"/>
        </w:rPr>
      </w:pPr>
      <w:r w:rsidRPr="00BF4A51">
        <w:rPr>
          <w:rFonts w:ascii="ITC Avant Garde" w:hAnsi="ITC Avant Garde"/>
          <w:sz w:val="12"/>
          <w:szCs w:val="12"/>
          <w:lang w:val="es-ES_tradnl"/>
        </w:rPr>
        <w:t xml:space="preserve">Asimismo, la Comisionada María Elena </w:t>
      </w:r>
      <w:proofErr w:type="spellStart"/>
      <w:r w:rsidRPr="00BF4A51">
        <w:rPr>
          <w:rFonts w:ascii="ITC Avant Garde" w:hAnsi="ITC Avant Garde"/>
          <w:sz w:val="12"/>
          <w:szCs w:val="12"/>
          <w:lang w:val="es-ES_tradnl"/>
        </w:rPr>
        <w:t>Estavillo</w:t>
      </w:r>
      <w:proofErr w:type="spellEnd"/>
      <w:r w:rsidRPr="00BF4A51">
        <w:rPr>
          <w:rFonts w:ascii="ITC Avant Garde" w:hAnsi="ITC Avant Garde"/>
          <w:sz w:val="12"/>
          <w:szCs w:val="12"/>
          <w:lang w:val="es-ES_tradnl"/>
        </w:rPr>
        <w:t xml:space="preserve"> Flores manifestó voto en contra de no imponer compromisos de cobertura en los Títulos que se otorgan.</w:t>
      </w:r>
    </w:p>
    <w:p w14:paraId="144C513F" w14:textId="77777777" w:rsidR="00BF4A51" w:rsidRPr="00BF4A51" w:rsidRDefault="00B14A71" w:rsidP="00BF4A51">
      <w:pPr>
        <w:pStyle w:val="Prrafodelista"/>
        <w:ind w:left="0"/>
        <w:jc w:val="both"/>
        <w:rPr>
          <w:rFonts w:ascii="ITC Avant Garde" w:hAnsi="ITC Avant Garde"/>
          <w:sz w:val="12"/>
          <w:szCs w:val="12"/>
        </w:rPr>
      </w:pPr>
      <w:r w:rsidRPr="00BF4A51">
        <w:rPr>
          <w:rFonts w:ascii="ITC Avant Garde" w:hAnsi="ITC Avant Garde"/>
          <w:sz w:val="12"/>
          <w:szCs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P/IFT/220317/155.</w:t>
      </w:r>
    </w:p>
    <w:p w14:paraId="67BD154F" w14:textId="5E0C2DF7" w:rsidR="00C74C17" w:rsidRPr="00BF4A51" w:rsidRDefault="00B14A71" w:rsidP="00BF4A51">
      <w:pPr>
        <w:pStyle w:val="N1IFT"/>
        <w:spacing w:after="0" w:line="240" w:lineRule="auto"/>
        <w:rPr>
          <w:rFonts w:eastAsia="Times New Roman"/>
          <w:b w:val="0"/>
          <w:bCs w:val="0"/>
          <w:lang w:eastAsia="es-MX"/>
        </w:rPr>
      </w:pPr>
      <w:r w:rsidRPr="00BF4A51">
        <w:rPr>
          <w:b w:val="0"/>
          <w:bCs w:val="0"/>
          <w:sz w:val="12"/>
          <w:szCs w:val="12"/>
          <w:lang w:val="es-ES"/>
        </w:rPr>
        <w:t xml:space="preserve">La Comisionada Adriana Sofía </w:t>
      </w:r>
      <w:proofErr w:type="spellStart"/>
      <w:r w:rsidRPr="00BF4A51">
        <w:rPr>
          <w:b w:val="0"/>
          <w:bCs w:val="0"/>
          <w:sz w:val="12"/>
          <w:szCs w:val="12"/>
          <w:lang w:val="es-ES"/>
        </w:rPr>
        <w:t>Labardini</w:t>
      </w:r>
      <w:proofErr w:type="spellEnd"/>
      <w:r w:rsidRPr="00BF4A51">
        <w:rPr>
          <w:b w:val="0"/>
          <w:bCs w:val="0"/>
          <w:sz w:val="12"/>
          <w:szCs w:val="12"/>
          <w:lang w:val="es-ES"/>
        </w:rPr>
        <w:t xml:space="preserve"> </w:t>
      </w:r>
      <w:proofErr w:type="spellStart"/>
      <w:r w:rsidRPr="00BF4A51">
        <w:rPr>
          <w:b w:val="0"/>
          <w:bCs w:val="0"/>
          <w:sz w:val="12"/>
          <w:szCs w:val="12"/>
          <w:lang w:val="es-ES"/>
        </w:rPr>
        <w:t>Inzunza</w:t>
      </w:r>
      <w:proofErr w:type="spellEnd"/>
      <w:r w:rsidRPr="00BF4A51">
        <w:rPr>
          <w:b w:val="0"/>
          <w:bCs w:val="0"/>
          <w:sz w:val="12"/>
          <w:szCs w:val="12"/>
          <w:lang w:val="es-ES"/>
        </w:rPr>
        <w:t xml:space="preserve">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p w14:paraId="5639CD30" w14:textId="77777777" w:rsidR="00BF4A51" w:rsidRPr="00BF4A51" w:rsidRDefault="00BF4A51" w:rsidP="00BF4A51">
      <w:pPr>
        <w:spacing w:before="240" w:line="240" w:lineRule="auto"/>
        <w:jc w:val="both"/>
        <w:rPr>
          <w:rFonts w:ascii="ITC Avant Garde" w:hAnsi="ITC Avant Garde"/>
          <w:b/>
        </w:rPr>
        <w:sectPr w:rsidR="00BF4A51" w:rsidRPr="00BF4A51" w:rsidSect="008E7220">
          <w:type w:val="continuous"/>
          <w:pgSz w:w="12240" w:h="15840"/>
          <w:pgMar w:top="2268" w:right="1418" w:bottom="567" w:left="1418" w:header="709" w:footer="709" w:gutter="0"/>
          <w:cols w:space="708"/>
          <w:docGrid w:linePitch="360"/>
        </w:sectPr>
      </w:pPr>
    </w:p>
    <w:p w14:paraId="74CE7094" w14:textId="0927C83F" w:rsidR="00BF4A51" w:rsidRPr="00BF4A51" w:rsidRDefault="00CE703E" w:rsidP="00BF4A51">
      <w:pPr>
        <w:pStyle w:val="Ttulo1"/>
        <w:spacing w:after="240" w:line="240" w:lineRule="auto"/>
        <w:jc w:val="both"/>
        <w:rPr>
          <w:rFonts w:ascii="ITC Avant Garde" w:hAnsi="ITC Avant Garde"/>
          <w:b/>
          <w:color w:val="000000" w:themeColor="text1"/>
          <w:sz w:val="22"/>
          <w:szCs w:val="22"/>
          <w:lang w:eastAsia="es-MX"/>
        </w:rPr>
      </w:pPr>
      <w:r w:rsidRPr="00BF4A51">
        <w:rPr>
          <w:rFonts w:ascii="ITC Avant Garde" w:hAnsi="ITC Avant Garde"/>
          <w:b/>
          <w:color w:val="000000" w:themeColor="text1"/>
          <w:sz w:val="22"/>
          <w:szCs w:val="22"/>
          <w:lang w:eastAsia="es-MX"/>
        </w:rPr>
        <w:lastRenderedPageBreak/>
        <w:t xml:space="preserve">ANEXO </w:t>
      </w:r>
      <w:r w:rsidR="00D94D2D" w:rsidRPr="00BF4A51">
        <w:rPr>
          <w:rFonts w:ascii="ITC Avant Garde" w:hAnsi="ITC Avant Garde"/>
          <w:b/>
          <w:color w:val="000000" w:themeColor="text1"/>
          <w:sz w:val="22"/>
          <w:szCs w:val="22"/>
          <w:lang w:eastAsia="es-MX"/>
        </w:rPr>
        <w:t>DE LA RESOLUCIÓN MEDIANTE LA CUAL EL PLENO DEL INSTITUTO FEDERAL DE TELECOMUNICACIONES AUTORIZA A AT&amp;T COMUNICACIONES DIGITALES, S. DE R.L. DE C.V., LA PRÓRROGA DE VIGENCIA DE LA CONCESIÓN PARA USAR, APROVECHAR Y EXPLOTAR BANDAS DE FRECUENCIAS DEL ESPECTRO RADIOELÉCTRICO, PARA USO</w:t>
      </w:r>
      <w:r w:rsidR="00374EA2" w:rsidRPr="00BF4A51">
        <w:rPr>
          <w:rFonts w:ascii="ITC Avant Garde" w:hAnsi="ITC Avant Garde"/>
          <w:b/>
          <w:color w:val="000000" w:themeColor="text1"/>
          <w:sz w:val="22"/>
          <w:szCs w:val="22"/>
          <w:lang w:eastAsia="es-MX"/>
        </w:rPr>
        <w:t>S</w:t>
      </w:r>
      <w:r w:rsidR="00D94D2D" w:rsidRPr="00BF4A51">
        <w:rPr>
          <w:rFonts w:ascii="ITC Avant Garde" w:hAnsi="ITC Avant Garde"/>
          <w:b/>
          <w:color w:val="000000" w:themeColor="text1"/>
          <w:sz w:val="22"/>
          <w:szCs w:val="22"/>
          <w:lang w:eastAsia="es-MX"/>
        </w:rPr>
        <w:t xml:space="preserve"> DETERMINADO</w:t>
      </w:r>
      <w:r w:rsidR="00374EA2" w:rsidRPr="00BF4A51">
        <w:rPr>
          <w:rFonts w:ascii="ITC Avant Garde" w:hAnsi="ITC Avant Garde"/>
          <w:b/>
          <w:color w:val="000000" w:themeColor="text1"/>
          <w:sz w:val="22"/>
          <w:szCs w:val="22"/>
          <w:lang w:eastAsia="es-MX"/>
        </w:rPr>
        <w:t>S</w:t>
      </w:r>
      <w:r w:rsidR="00D94D2D" w:rsidRPr="00BF4A51">
        <w:rPr>
          <w:rFonts w:ascii="ITC Avant Garde" w:hAnsi="ITC Avant Garde"/>
          <w:b/>
          <w:color w:val="000000" w:themeColor="text1"/>
          <w:sz w:val="22"/>
          <w:szCs w:val="22"/>
          <w:lang w:eastAsia="es-MX"/>
        </w:rPr>
        <w:t xml:space="preserve"> EN LOS ESTADOS UNIDOS MEXICANOS, CON COBERTURA EN LAS CIUDADES DE GUADALAJARA, JALISCO, MONTERREY, NUEVO LEÓN, PUEBLA, PUEBLA, LEÓN, GUANAJUATO Y ZONAS CONURBADAS, PRORROGADA Y MODIFICADA EL 15 DE DICIEMBRE DE 2009.</w:t>
      </w:r>
    </w:p>
    <w:tbl>
      <w:tblPr>
        <w:tblStyle w:val="Tablaconcuadrcula8"/>
        <w:tblW w:w="9351" w:type="dxa"/>
        <w:jc w:val="center"/>
        <w:tblLook w:val="04A0" w:firstRow="1" w:lastRow="0" w:firstColumn="1" w:lastColumn="0" w:noHBand="0" w:noVBand="1"/>
        <w:tblCaption w:val="Anexo"/>
        <w:tblDescription w:val="En una tabla muy aextensa, de 11 columnas, se proporcionan los datos técnicos de la cobertura de la autorización, por entidad federativa y municipio."/>
      </w:tblPr>
      <w:tblGrid>
        <w:gridCol w:w="885"/>
        <w:gridCol w:w="1150"/>
        <w:gridCol w:w="549"/>
        <w:gridCol w:w="713"/>
        <w:gridCol w:w="882"/>
        <w:gridCol w:w="952"/>
        <w:gridCol w:w="882"/>
        <w:gridCol w:w="882"/>
        <w:gridCol w:w="882"/>
        <w:gridCol w:w="882"/>
        <w:gridCol w:w="735"/>
      </w:tblGrid>
      <w:tr w:rsidR="007B34B8" w:rsidRPr="00BF4A51" w14:paraId="25EB90A1" w14:textId="77777777" w:rsidTr="00437CD6">
        <w:trPr>
          <w:trHeight w:val="900"/>
          <w:tblHeader/>
          <w:jc w:val="center"/>
        </w:trPr>
        <w:tc>
          <w:tcPr>
            <w:tcW w:w="921" w:type="dxa"/>
            <w:shd w:val="clear" w:color="auto" w:fill="A6A6A6" w:themeFill="background1" w:themeFillShade="A6"/>
            <w:noWrap/>
            <w:vAlign w:val="center"/>
            <w:hideMark/>
          </w:tcPr>
          <w:p w14:paraId="05A56864" w14:textId="77777777" w:rsidR="007B34B8" w:rsidRPr="00BF4A51" w:rsidRDefault="007B34B8" w:rsidP="00437CD6">
            <w:pPr>
              <w:spacing w:after="0" w:line="240" w:lineRule="auto"/>
              <w:jc w:val="center"/>
              <w:rPr>
                <w:rFonts w:ascii="ITC Avant Garde" w:hAnsi="ITC Avant Garde" w:cs="Arial"/>
                <w:b/>
                <w:bCs/>
                <w:sz w:val="13"/>
                <w:szCs w:val="13"/>
                <w:lang w:eastAsia="es-MX"/>
              </w:rPr>
            </w:pPr>
            <w:bookmarkStart w:id="0" w:name="_GoBack"/>
            <w:r w:rsidRPr="00BF4A51">
              <w:rPr>
                <w:rFonts w:ascii="ITC Avant Garde" w:hAnsi="ITC Avant Garde" w:cs="Arial"/>
                <w:b/>
                <w:bCs/>
                <w:sz w:val="13"/>
                <w:szCs w:val="13"/>
                <w:lang w:eastAsia="es-MX"/>
              </w:rPr>
              <w:t>Estado</w:t>
            </w:r>
          </w:p>
        </w:tc>
        <w:tc>
          <w:tcPr>
            <w:tcW w:w="1201" w:type="dxa"/>
            <w:shd w:val="clear" w:color="auto" w:fill="A6A6A6" w:themeFill="background1" w:themeFillShade="A6"/>
            <w:noWrap/>
            <w:vAlign w:val="center"/>
            <w:hideMark/>
          </w:tcPr>
          <w:p w14:paraId="35A28751" w14:textId="77777777" w:rsidR="007B34B8" w:rsidRPr="00BF4A51" w:rsidRDefault="007B34B8" w:rsidP="00437CD6">
            <w:pPr>
              <w:spacing w:after="0" w:line="240" w:lineRule="auto"/>
              <w:jc w:val="center"/>
              <w:rPr>
                <w:rFonts w:ascii="ITC Avant Garde" w:hAnsi="ITC Avant Garde" w:cs="Arial"/>
                <w:b/>
                <w:bCs/>
                <w:sz w:val="13"/>
                <w:szCs w:val="13"/>
                <w:lang w:eastAsia="es-MX"/>
              </w:rPr>
            </w:pPr>
            <w:r w:rsidRPr="00BF4A51">
              <w:rPr>
                <w:rFonts w:ascii="ITC Avant Garde" w:hAnsi="ITC Avant Garde" w:cs="Arial"/>
                <w:b/>
                <w:bCs/>
                <w:sz w:val="13"/>
                <w:szCs w:val="13"/>
                <w:lang w:eastAsia="es-MX"/>
              </w:rPr>
              <w:t>Municipio</w:t>
            </w:r>
          </w:p>
        </w:tc>
        <w:tc>
          <w:tcPr>
            <w:tcW w:w="567" w:type="dxa"/>
            <w:shd w:val="clear" w:color="auto" w:fill="A6A6A6" w:themeFill="background1" w:themeFillShade="A6"/>
            <w:noWrap/>
            <w:vAlign w:val="center"/>
            <w:hideMark/>
          </w:tcPr>
          <w:p w14:paraId="372DF0BD" w14:textId="77777777" w:rsidR="007B34B8" w:rsidRPr="00BF4A51" w:rsidRDefault="007B34B8" w:rsidP="00437CD6">
            <w:pPr>
              <w:spacing w:after="0" w:line="240" w:lineRule="auto"/>
              <w:jc w:val="center"/>
              <w:rPr>
                <w:rFonts w:ascii="ITC Avant Garde" w:hAnsi="ITC Avant Garde" w:cs="Arial"/>
                <w:b/>
                <w:bCs/>
                <w:sz w:val="13"/>
                <w:szCs w:val="13"/>
                <w:lang w:eastAsia="es-MX"/>
              </w:rPr>
            </w:pPr>
            <w:r w:rsidRPr="00BF4A51">
              <w:rPr>
                <w:rFonts w:ascii="ITC Avant Garde" w:hAnsi="ITC Avant Garde" w:cs="Arial"/>
                <w:b/>
                <w:bCs/>
                <w:sz w:val="13"/>
                <w:szCs w:val="13"/>
                <w:lang w:eastAsia="es-MX"/>
              </w:rPr>
              <w:t>ABS</w:t>
            </w:r>
          </w:p>
        </w:tc>
        <w:tc>
          <w:tcPr>
            <w:tcW w:w="708" w:type="dxa"/>
            <w:shd w:val="clear" w:color="auto" w:fill="A6A6A6" w:themeFill="background1" w:themeFillShade="A6"/>
            <w:noWrap/>
            <w:vAlign w:val="center"/>
            <w:hideMark/>
          </w:tcPr>
          <w:p w14:paraId="787952FB" w14:textId="77777777" w:rsidR="007B34B8" w:rsidRPr="00BF4A51" w:rsidRDefault="007B34B8" w:rsidP="00437CD6">
            <w:pPr>
              <w:spacing w:after="0" w:line="240" w:lineRule="auto"/>
              <w:jc w:val="center"/>
              <w:rPr>
                <w:rFonts w:ascii="ITC Avant Garde" w:hAnsi="ITC Avant Garde" w:cs="Arial"/>
                <w:b/>
                <w:bCs/>
                <w:sz w:val="13"/>
                <w:szCs w:val="13"/>
                <w:lang w:eastAsia="es-MX"/>
              </w:rPr>
            </w:pPr>
            <w:r w:rsidRPr="00BF4A51">
              <w:rPr>
                <w:rFonts w:ascii="ITC Avant Garde" w:hAnsi="ITC Avant Garde" w:cs="Arial"/>
                <w:b/>
                <w:bCs/>
                <w:sz w:val="13"/>
                <w:szCs w:val="13"/>
                <w:lang w:eastAsia="es-MX"/>
              </w:rPr>
              <w:t>Canales</w:t>
            </w:r>
          </w:p>
        </w:tc>
        <w:tc>
          <w:tcPr>
            <w:tcW w:w="851" w:type="dxa"/>
            <w:shd w:val="clear" w:color="auto" w:fill="A6A6A6" w:themeFill="background1" w:themeFillShade="A6"/>
            <w:vAlign w:val="center"/>
            <w:hideMark/>
          </w:tcPr>
          <w:p w14:paraId="61715C98" w14:textId="77777777" w:rsidR="007B34B8" w:rsidRPr="00BF4A51" w:rsidRDefault="007B34B8" w:rsidP="00437CD6">
            <w:pPr>
              <w:spacing w:after="0" w:line="240" w:lineRule="auto"/>
              <w:jc w:val="center"/>
              <w:rPr>
                <w:rFonts w:ascii="ITC Avant Garde" w:hAnsi="ITC Avant Garde" w:cs="Arial"/>
                <w:b/>
                <w:bCs/>
                <w:sz w:val="13"/>
                <w:szCs w:val="13"/>
                <w:lang w:eastAsia="es-MX"/>
              </w:rPr>
            </w:pPr>
            <w:r w:rsidRPr="00BF4A51">
              <w:rPr>
                <w:rFonts w:ascii="ITC Avant Garde" w:hAnsi="ITC Avant Garde" w:cs="Arial"/>
                <w:b/>
                <w:bCs/>
                <w:sz w:val="13"/>
                <w:szCs w:val="13"/>
                <w:lang w:eastAsia="es-MX"/>
              </w:rPr>
              <w:t>Espectro</w:t>
            </w:r>
            <w:r w:rsidRPr="00BF4A51">
              <w:rPr>
                <w:rFonts w:ascii="ITC Avant Garde" w:hAnsi="ITC Avant Garde" w:cs="Arial"/>
                <w:b/>
                <w:bCs/>
                <w:sz w:val="13"/>
                <w:szCs w:val="13"/>
                <w:lang w:eastAsia="es-MX"/>
              </w:rPr>
              <w:br/>
              <w:t>Transmisión móvil</w:t>
            </w:r>
            <w:r w:rsidRPr="00BF4A51">
              <w:rPr>
                <w:rFonts w:ascii="ITC Avant Garde" w:hAnsi="ITC Avant Garde" w:cs="Arial"/>
                <w:b/>
                <w:bCs/>
                <w:sz w:val="13"/>
                <w:szCs w:val="13"/>
                <w:lang w:eastAsia="es-MX"/>
              </w:rPr>
              <w:br/>
              <w:t>[MHz]</w:t>
            </w:r>
          </w:p>
        </w:tc>
        <w:tc>
          <w:tcPr>
            <w:tcW w:w="992" w:type="dxa"/>
            <w:shd w:val="clear" w:color="auto" w:fill="A6A6A6" w:themeFill="background1" w:themeFillShade="A6"/>
            <w:vAlign w:val="center"/>
            <w:hideMark/>
          </w:tcPr>
          <w:p w14:paraId="54FA2555" w14:textId="77777777" w:rsidR="007B34B8" w:rsidRPr="00BF4A51" w:rsidRDefault="007B34B8" w:rsidP="00437CD6">
            <w:pPr>
              <w:spacing w:after="0" w:line="240" w:lineRule="auto"/>
              <w:jc w:val="center"/>
              <w:rPr>
                <w:rFonts w:ascii="ITC Avant Garde" w:hAnsi="ITC Avant Garde" w:cs="Arial"/>
                <w:b/>
                <w:bCs/>
                <w:sz w:val="13"/>
                <w:szCs w:val="13"/>
                <w:lang w:eastAsia="es-MX"/>
              </w:rPr>
            </w:pPr>
            <w:r w:rsidRPr="00BF4A51">
              <w:rPr>
                <w:rFonts w:ascii="ITC Avant Garde" w:hAnsi="ITC Avant Garde" w:cs="Arial"/>
                <w:b/>
                <w:bCs/>
                <w:sz w:val="13"/>
                <w:szCs w:val="13"/>
                <w:lang w:eastAsia="es-MX"/>
              </w:rPr>
              <w:t>Transmisión móvil</w:t>
            </w:r>
            <w:r w:rsidRPr="00BF4A51">
              <w:rPr>
                <w:rFonts w:ascii="ITC Avant Garde" w:hAnsi="ITC Avant Garde" w:cs="Arial"/>
                <w:b/>
                <w:bCs/>
                <w:sz w:val="13"/>
                <w:szCs w:val="13"/>
                <w:lang w:eastAsia="es-MX"/>
              </w:rPr>
              <w:br/>
              <w:t xml:space="preserve">Inicia en </w:t>
            </w:r>
            <w:r w:rsidRPr="00BF4A51">
              <w:rPr>
                <w:rFonts w:ascii="ITC Avant Garde" w:hAnsi="ITC Avant Garde" w:cs="Arial"/>
                <w:b/>
                <w:bCs/>
                <w:sz w:val="13"/>
                <w:szCs w:val="13"/>
                <w:lang w:eastAsia="es-MX"/>
              </w:rPr>
              <w:br/>
              <w:t>[MHz]</w:t>
            </w:r>
          </w:p>
        </w:tc>
        <w:tc>
          <w:tcPr>
            <w:tcW w:w="851" w:type="dxa"/>
            <w:shd w:val="clear" w:color="auto" w:fill="A6A6A6" w:themeFill="background1" w:themeFillShade="A6"/>
            <w:vAlign w:val="center"/>
            <w:hideMark/>
          </w:tcPr>
          <w:p w14:paraId="1B772039" w14:textId="77777777" w:rsidR="007B34B8" w:rsidRPr="00BF4A51" w:rsidRDefault="007B34B8" w:rsidP="00437CD6">
            <w:pPr>
              <w:spacing w:after="0" w:line="240" w:lineRule="auto"/>
              <w:jc w:val="center"/>
              <w:rPr>
                <w:rFonts w:ascii="ITC Avant Garde" w:hAnsi="ITC Avant Garde" w:cs="Arial"/>
                <w:b/>
                <w:bCs/>
                <w:sz w:val="13"/>
                <w:szCs w:val="13"/>
                <w:lang w:eastAsia="es-MX"/>
              </w:rPr>
            </w:pPr>
            <w:r w:rsidRPr="00BF4A51">
              <w:rPr>
                <w:rFonts w:ascii="ITC Avant Garde" w:hAnsi="ITC Avant Garde" w:cs="Arial"/>
                <w:b/>
                <w:bCs/>
                <w:sz w:val="13"/>
                <w:szCs w:val="13"/>
                <w:lang w:eastAsia="es-MX"/>
              </w:rPr>
              <w:t>Transmisión móvil</w:t>
            </w:r>
            <w:r w:rsidRPr="00BF4A51">
              <w:rPr>
                <w:rFonts w:ascii="ITC Avant Garde" w:hAnsi="ITC Avant Garde" w:cs="Arial"/>
                <w:b/>
                <w:bCs/>
                <w:sz w:val="13"/>
                <w:szCs w:val="13"/>
                <w:lang w:eastAsia="es-MX"/>
              </w:rPr>
              <w:br/>
              <w:t xml:space="preserve">Termina en </w:t>
            </w:r>
            <w:r w:rsidRPr="00BF4A51">
              <w:rPr>
                <w:rFonts w:ascii="ITC Avant Garde" w:hAnsi="ITC Avant Garde" w:cs="Arial"/>
                <w:b/>
                <w:bCs/>
                <w:sz w:val="13"/>
                <w:szCs w:val="13"/>
                <w:lang w:eastAsia="es-MX"/>
              </w:rPr>
              <w:br/>
              <w:t>[MHz]</w:t>
            </w:r>
          </w:p>
        </w:tc>
        <w:tc>
          <w:tcPr>
            <w:tcW w:w="850" w:type="dxa"/>
            <w:shd w:val="clear" w:color="auto" w:fill="A6A6A6" w:themeFill="background1" w:themeFillShade="A6"/>
            <w:vAlign w:val="center"/>
            <w:hideMark/>
          </w:tcPr>
          <w:p w14:paraId="441BE53A" w14:textId="77777777" w:rsidR="007B34B8" w:rsidRPr="00BF4A51" w:rsidRDefault="007B34B8" w:rsidP="00437CD6">
            <w:pPr>
              <w:spacing w:after="0" w:line="240" w:lineRule="auto"/>
              <w:jc w:val="center"/>
              <w:rPr>
                <w:rFonts w:ascii="ITC Avant Garde" w:hAnsi="ITC Avant Garde" w:cs="Arial"/>
                <w:b/>
                <w:bCs/>
                <w:sz w:val="13"/>
                <w:szCs w:val="13"/>
                <w:lang w:eastAsia="es-MX"/>
              </w:rPr>
            </w:pPr>
            <w:r w:rsidRPr="00BF4A51">
              <w:rPr>
                <w:rFonts w:ascii="ITC Avant Garde" w:hAnsi="ITC Avant Garde" w:cs="Arial"/>
                <w:b/>
                <w:bCs/>
                <w:sz w:val="13"/>
                <w:szCs w:val="13"/>
                <w:lang w:eastAsia="es-MX"/>
              </w:rPr>
              <w:t>Espectro Transmisión base</w:t>
            </w:r>
            <w:r w:rsidRPr="00BF4A51">
              <w:rPr>
                <w:rFonts w:ascii="ITC Avant Garde" w:hAnsi="ITC Avant Garde" w:cs="Arial"/>
                <w:b/>
                <w:bCs/>
                <w:sz w:val="13"/>
                <w:szCs w:val="13"/>
                <w:lang w:eastAsia="es-MX"/>
              </w:rPr>
              <w:br/>
              <w:t>[MHz]</w:t>
            </w:r>
          </w:p>
        </w:tc>
        <w:tc>
          <w:tcPr>
            <w:tcW w:w="851" w:type="dxa"/>
            <w:shd w:val="clear" w:color="auto" w:fill="A6A6A6" w:themeFill="background1" w:themeFillShade="A6"/>
            <w:vAlign w:val="center"/>
            <w:hideMark/>
          </w:tcPr>
          <w:p w14:paraId="7D35B696" w14:textId="77777777" w:rsidR="007B34B8" w:rsidRPr="00BF4A51" w:rsidRDefault="007B34B8" w:rsidP="00437CD6">
            <w:pPr>
              <w:spacing w:after="0" w:line="240" w:lineRule="auto"/>
              <w:jc w:val="center"/>
              <w:rPr>
                <w:rFonts w:ascii="ITC Avant Garde" w:hAnsi="ITC Avant Garde" w:cs="Arial"/>
                <w:b/>
                <w:bCs/>
                <w:sz w:val="13"/>
                <w:szCs w:val="13"/>
                <w:lang w:eastAsia="es-MX"/>
              </w:rPr>
            </w:pPr>
            <w:r w:rsidRPr="00BF4A51">
              <w:rPr>
                <w:rFonts w:ascii="ITC Avant Garde" w:hAnsi="ITC Avant Garde" w:cs="Arial"/>
                <w:b/>
                <w:bCs/>
                <w:sz w:val="13"/>
                <w:szCs w:val="13"/>
                <w:lang w:eastAsia="es-MX"/>
              </w:rPr>
              <w:t>Transmisión base</w:t>
            </w:r>
            <w:r w:rsidRPr="00BF4A51">
              <w:rPr>
                <w:rFonts w:ascii="ITC Avant Garde" w:hAnsi="ITC Avant Garde" w:cs="Arial"/>
                <w:b/>
                <w:bCs/>
                <w:sz w:val="13"/>
                <w:szCs w:val="13"/>
                <w:lang w:eastAsia="es-MX"/>
              </w:rPr>
              <w:br/>
              <w:t xml:space="preserve">Inicia en </w:t>
            </w:r>
            <w:r w:rsidRPr="00BF4A51">
              <w:rPr>
                <w:rFonts w:ascii="ITC Avant Garde" w:hAnsi="ITC Avant Garde" w:cs="Arial"/>
                <w:b/>
                <w:bCs/>
                <w:sz w:val="13"/>
                <w:szCs w:val="13"/>
                <w:lang w:eastAsia="es-MX"/>
              </w:rPr>
              <w:br/>
              <w:t>[MHz]</w:t>
            </w:r>
          </w:p>
        </w:tc>
        <w:tc>
          <w:tcPr>
            <w:tcW w:w="850" w:type="dxa"/>
            <w:shd w:val="clear" w:color="auto" w:fill="A6A6A6" w:themeFill="background1" w:themeFillShade="A6"/>
            <w:vAlign w:val="center"/>
            <w:hideMark/>
          </w:tcPr>
          <w:p w14:paraId="10AA9480" w14:textId="77777777" w:rsidR="007B34B8" w:rsidRPr="00BF4A51" w:rsidRDefault="007B34B8" w:rsidP="00437CD6">
            <w:pPr>
              <w:spacing w:after="0" w:line="240" w:lineRule="auto"/>
              <w:jc w:val="center"/>
              <w:rPr>
                <w:rFonts w:ascii="ITC Avant Garde" w:hAnsi="ITC Avant Garde" w:cs="Arial"/>
                <w:b/>
                <w:bCs/>
                <w:sz w:val="13"/>
                <w:szCs w:val="13"/>
                <w:lang w:eastAsia="es-MX"/>
              </w:rPr>
            </w:pPr>
            <w:r w:rsidRPr="00BF4A51">
              <w:rPr>
                <w:rFonts w:ascii="ITC Avant Garde" w:hAnsi="ITC Avant Garde" w:cs="Arial"/>
                <w:b/>
                <w:bCs/>
                <w:sz w:val="13"/>
                <w:szCs w:val="13"/>
                <w:lang w:eastAsia="es-MX"/>
              </w:rPr>
              <w:t>Transmisión base</w:t>
            </w:r>
            <w:r w:rsidRPr="00BF4A51">
              <w:rPr>
                <w:rFonts w:ascii="ITC Avant Garde" w:hAnsi="ITC Avant Garde" w:cs="Arial"/>
                <w:b/>
                <w:bCs/>
                <w:sz w:val="13"/>
                <w:szCs w:val="13"/>
                <w:lang w:eastAsia="es-MX"/>
              </w:rPr>
              <w:br/>
              <w:t xml:space="preserve">Termina en </w:t>
            </w:r>
            <w:r w:rsidRPr="00BF4A51">
              <w:rPr>
                <w:rFonts w:ascii="ITC Avant Garde" w:hAnsi="ITC Avant Garde" w:cs="Arial"/>
                <w:b/>
                <w:bCs/>
                <w:sz w:val="13"/>
                <w:szCs w:val="13"/>
                <w:lang w:eastAsia="es-MX"/>
              </w:rPr>
              <w:br/>
              <w:t>[MHz]</w:t>
            </w:r>
          </w:p>
        </w:tc>
        <w:tc>
          <w:tcPr>
            <w:tcW w:w="709" w:type="dxa"/>
            <w:shd w:val="clear" w:color="auto" w:fill="A6A6A6" w:themeFill="background1" w:themeFillShade="A6"/>
            <w:vAlign w:val="center"/>
            <w:hideMark/>
          </w:tcPr>
          <w:p w14:paraId="7B0FBDA6" w14:textId="77777777" w:rsidR="007B34B8" w:rsidRPr="00BF4A51" w:rsidRDefault="007B34B8" w:rsidP="00437CD6">
            <w:pPr>
              <w:spacing w:after="0" w:line="240" w:lineRule="auto"/>
              <w:jc w:val="center"/>
              <w:rPr>
                <w:rFonts w:ascii="ITC Avant Garde" w:hAnsi="ITC Avant Garde" w:cs="Arial"/>
                <w:b/>
                <w:bCs/>
                <w:color w:val="000000"/>
                <w:sz w:val="13"/>
                <w:szCs w:val="13"/>
                <w:lang w:eastAsia="es-MX"/>
              </w:rPr>
            </w:pPr>
            <w:r w:rsidRPr="00BF4A51">
              <w:rPr>
                <w:rFonts w:ascii="ITC Avant Garde" w:hAnsi="ITC Avant Garde" w:cs="Arial"/>
                <w:b/>
                <w:bCs/>
                <w:color w:val="000000"/>
                <w:sz w:val="13"/>
                <w:szCs w:val="13"/>
                <w:lang w:eastAsia="es-MX"/>
              </w:rPr>
              <w:t>Total Espectro</w:t>
            </w:r>
            <w:r w:rsidRPr="00BF4A51">
              <w:rPr>
                <w:rFonts w:ascii="ITC Avant Garde" w:hAnsi="ITC Avant Garde" w:cs="Arial"/>
                <w:b/>
                <w:bCs/>
                <w:color w:val="000000"/>
                <w:sz w:val="13"/>
                <w:szCs w:val="13"/>
                <w:lang w:eastAsia="es-MX"/>
              </w:rPr>
              <w:br/>
              <w:t>2xMHz</w:t>
            </w:r>
          </w:p>
        </w:tc>
      </w:tr>
      <w:tr w:rsidR="007B34B8" w:rsidRPr="00BF4A51" w14:paraId="43FC4AF8" w14:textId="77777777" w:rsidTr="00437CD6">
        <w:trPr>
          <w:trHeight w:val="345"/>
          <w:jc w:val="center"/>
        </w:trPr>
        <w:tc>
          <w:tcPr>
            <w:tcW w:w="921" w:type="dxa"/>
            <w:noWrap/>
            <w:hideMark/>
          </w:tcPr>
          <w:p w14:paraId="591825C3"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Jalisco</w:t>
            </w:r>
          </w:p>
        </w:tc>
        <w:tc>
          <w:tcPr>
            <w:tcW w:w="1201" w:type="dxa"/>
            <w:hideMark/>
          </w:tcPr>
          <w:p w14:paraId="0E6D894D"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Guadalajara</w:t>
            </w:r>
          </w:p>
        </w:tc>
        <w:tc>
          <w:tcPr>
            <w:tcW w:w="567" w:type="dxa"/>
            <w:noWrap/>
            <w:hideMark/>
          </w:tcPr>
          <w:p w14:paraId="1B391230"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5.01</w:t>
            </w:r>
          </w:p>
        </w:tc>
        <w:tc>
          <w:tcPr>
            <w:tcW w:w="708" w:type="dxa"/>
            <w:noWrap/>
            <w:hideMark/>
          </w:tcPr>
          <w:p w14:paraId="777B6C4A"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54F63D35" w14:textId="77777777" w:rsidR="007B34B8" w:rsidRPr="00BF4A51" w:rsidRDefault="007B34B8" w:rsidP="00BF4A51">
            <w:pPr>
              <w:spacing w:after="0" w:line="240" w:lineRule="auto"/>
              <w:jc w:val="center"/>
              <w:rPr>
                <w:rFonts w:ascii="ITC Avant Garde" w:hAnsi="ITC Avant Garde" w:cs="Arial"/>
                <w:b/>
                <w:bCs/>
                <w:color w:val="000000"/>
                <w:sz w:val="11"/>
                <w:szCs w:val="11"/>
                <w:lang w:eastAsia="es-MX"/>
              </w:rPr>
            </w:pPr>
            <w:r w:rsidRPr="00BF4A51">
              <w:rPr>
                <w:rFonts w:ascii="ITC Avant Garde" w:hAnsi="ITC Avant Garde" w:cs="Arial"/>
                <w:b/>
                <w:bCs/>
                <w:color w:val="000000"/>
                <w:sz w:val="11"/>
                <w:szCs w:val="11"/>
                <w:lang w:eastAsia="es-MX"/>
              </w:rPr>
              <w:t>0.500</w:t>
            </w:r>
          </w:p>
        </w:tc>
        <w:tc>
          <w:tcPr>
            <w:tcW w:w="992" w:type="dxa"/>
            <w:noWrap/>
            <w:hideMark/>
          </w:tcPr>
          <w:p w14:paraId="0596EA82"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823.000</w:t>
            </w:r>
          </w:p>
        </w:tc>
        <w:tc>
          <w:tcPr>
            <w:tcW w:w="851" w:type="dxa"/>
            <w:noWrap/>
            <w:hideMark/>
          </w:tcPr>
          <w:p w14:paraId="09AF1EF3"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0" w:type="dxa"/>
            <w:noWrap/>
            <w:hideMark/>
          </w:tcPr>
          <w:p w14:paraId="1E42F9B7" w14:textId="77777777" w:rsidR="007B34B8" w:rsidRPr="00BF4A51" w:rsidRDefault="007B34B8" w:rsidP="00BF4A51">
            <w:pPr>
              <w:spacing w:after="0" w:line="240" w:lineRule="auto"/>
              <w:jc w:val="center"/>
              <w:rPr>
                <w:rFonts w:ascii="ITC Avant Garde" w:hAnsi="ITC Avant Garde" w:cs="Arial"/>
                <w:b/>
                <w:bCs/>
                <w:color w:val="000000"/>
                <w:sz w:val="11"/>
                <w:szCs w:val="11"/>
                <w:lang w:eastAsia="es-MX"/>
              </w:rPr>
            </w:pPr>
            <w:r w:rsidRPr="00BF4A51">
              <w:rPr>
                <w:rFonts w:ascii="ITC Avant Garde" w:hAnsi="ITC Avant Garde" w:cs="Arial"/>
                <w:b/>
                <w:bCs/>
                <w:color w:val="000000"/>
                <w:sz w:val="11"/>
                <w:szCs w:val="11"/>
                <w:lang w:eastAsia="es-MX"/>
              </w:rPr>
              <w:t>0.500</w:t>
            </w:r>
          </w:p>
        </w:tc>
        <w:tc>
          <w:tcPr>
            <w:tcW w:w="851" w:type="dxa"/>
            <w:noWrap/>
            <w:hideMark/>
          </w:tcPr>
          <w:p w14:paraId="0A72A61E"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868.000</w:t>
            </w:r>
          </w:p>
        </w:tc>
        <w:tc>
          <w:tcPr>
            <w:tcW w:w="850" w:type="dxa"/>
            <w:noWrap/>
            <w:hideMark/>
          </w:tcPr>
          <w:p w14:paraId="6B5B8F0F"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709" w:type="dxa"/>
            <w:noWrap/>
            <w:hideMark/>
          </w:tcPr>
          <w:p w14:paraId="328C1B33" w14:textId="77777777" w:rsidR="007B34B8" w:rsidRPr="00BF4A51" w:rsidRDefault="007B34B8" w:rsidP="00BF4A51">
            <w:pPr>
              <w:spacing w:after="0" w:line="240" w:lineRule="auto"/>
              <w:jc w:val="center"/>
              <w:rPr>
                <w:rFonts w:ascii="ITC Avant Garde" w:hAnsi="ITC Avant Garde" w:cs="Arial"/>
                <w:b/>
                <w:bCs/>
                <w:color w:val="000000"/>
                <w:sz w:val="11"/>
                <w:szCs w:val="11"/>
                <w:lang w:eastAsia="es-MX"/>
              </w:rPr>
            </w:pPr>
            <w:r w:rsidRPr="00BF4A51">
              <w:rPr>
                <w:rFonts w:ascii="ITC Avant Garde" w:hAnsi="ITC Avant Garde" w:cs="Arial"/>
                <w:b/>
                <w:bCs/>
                <w:color w:val="000000"/>
                <w:sz w:val="11"/>
                <w:szCs w:val="11"/>
                <w:lang w:eastAsia="es-MX"/>
              </w:rPr>
              <w:t>1.000</w:t>
            </w:r>
          </w:p>
        </w:tc>
      </w:tr>
      <w:tr w:rsidR="007B34B8" w:rsidRPr="00BF4A51" w14:paraId="7E6F3DFB" w14:textId="77777777" w:rsidTr="00437CD6">
        <w:trPr>
          <w:trHeight w:val="345"/>
          <w:jc w:val="center"/>
        </w:trPr>
        <w:tc>
          <w:tcPr>
            <w:tcW w:w="921" w:type="dxa"/>
            <w:noWrap/>
            <w:hideMark/>
          </w:tcPr>
          <w:p w14:paraId="40D4E4F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Jalisco</w:t>
            </w:r>
          </w:p>
        </w:tc>
        <w:tc>
          <w:tcPr>
            <w:tcW w:w="1201" w:type="dxa"/>
            <w:hideMark/>
          </w:tcPr>
          <w:p w14:paraId="4260752D" w14:textId="77777777" w:rsidR="007B34B8" w:rsidRPr="00BF4A51" w:rsidRDefault="007B34B8" w:rsidP="00BF4A51">
            <w:pPr>
              <w:spacing w:after="0" w:line="240" w:lineRule="auto"/>
              <w:jc w:val="center"/>
              <w:rPr>
                <w:rFonts w:ascii="ITC Avant Garde" w:hAnsi="ITC Avant Garde" w:cs="Arial"/>
                <w:sz w:val="11"/>
                <w:szCs w:val="11"/>
                <w:lang w:eastAsia="es-MX"/>
              </w:rPr>
            </w:pPr>
            <w:proofErr w:type="spellStart"/>
            <w:r w:rsidRPr="00BF4A51">
              <w:rPr>
                <w:rFonts w:ascii="ITC Avant Garde" w:hAnsi="ITC Avant Garde" w:cs="Arial"/>
                <w:sz w:val="11"/>
                <w:szCs w:val="11"/>
                <w:lang w:eastAsia="es-MX"/>
              </w:rPr>
              <w:t>Ixtlahuacán</w:t>
            </w:r>
            <w:proofErr w:type="spellEnd"/>
            <w:r w:rsidRPr="00BF4A51">
              <w:rPr>
                <w:rFonts w:ascii="ITC Avant Garde" w:hAnsi="ITC Avant Garde" w:cs="Arial"/>
                <w:sz w:val="11"/>
                <w:szCs w:val="11"/>
                <w:lang w:eastAsia="es-MX"/>
              </w:rPr>
              <w:t xml:space="preserve"> de los Membrillos</w:t>
            </w:r>
          </w:p>
        </w:tc>
        <w:tc>
          <w:tcPr>
            <w:tcW w:w="567" w:type="dxa"/>
            <w:noWrap/>
            <w:hideMark/>
          </w:tcPr>
          <w:p w14:paraId="097C27F4"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5.01</w:t>
            </w:r>
          </w:p>
        </w:tc>
        <w:tc>
          <w:tcPr>
            <w:tcW w:w="708" w:type="dxa"/>
            <w:noWrap/>
            <w:hideMark/>
          </w:tcPr>
          <w:p w14:paraId="7B155EA1"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7DDC4005"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0590F1A3"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823.000</w:t>
            </w:r>
          </w:p>
        </w:tc>
        <w:tc>
          <w:tcPr>
            <w:tcW w:w="851" w:type="dxa"/>
            <w:noWrap/>
            <w:hideMark/>
          </w:tcPr>
          <w:p w14:paraId="2492AA6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0" w:type="dxa"/>
            <w:noWrap/>
            <w:hideMark/>
          </w:tcPr>
          <w:p w14:paraId="299FB6AA"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6F2F66A8"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868.000</w:t>
            </w:r>
          </w:p>
        </w:tc>
        <w:tc>
          <w:tcPr>
            <w:tcW w:w="850" w:type="dxa"/>
            <w:noWrap/>
            <w:hideMark/>
          </w:tcPr>
          <w:p w14:paraId="08821F24"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709" w:type="dxa"/>
            <w:noWrap/>
            <w:hideMark/>
          </w:tcPr>
          <w:p w14:paraId="02F14EF8"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06BBE02A" w14:textId="77777777" w:rsidTr="00437CD6">
        <w:trPr>
          <w:trHeight w:val="345"/>
          <w:jc w:val="center"/>
        </w:trPr>
        <w:tc>
          <w:tcPr>
            <w:tcW w:w="921" w:type="dxa"/>
            <w:noWrap/>
            <w:hideMark/>
          </w:tcPr>
          <w:p w14:paraId="0CA9C7BE"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Jalisco</w:t>
            </w:r>
          </w:p>
        </w:tc>
        <w:tc>
          <w:tcPr>
            <w:tcW w:w="1201" w:type="dxa"/>
            <w:hideMark/>
          </w:tcPr>
          <w:p w14:paraId="68606A4F" w14:textId="77777777" w:rsidR="007B34B8" w:rsidRPr="00BF4A51" w:rsidRDefault="007B34B8" w:rsidP="00BF4A51">
            <w:pPr>
              <w:spacing w:after="0" w:line="240" w:lineRule="auto"/>
              <w:jc w:val="center"/>
              <w:rPr>
                <w:rFonts w:ascii="ITC Avant Garde" w:hAnsi="ITC Avant Garde" w:cs="Arial"/>
                <w:sz w:val="11"/>
                <w:szCs w:val="11"/>
                <w:lang w:eastAsia="es-MX"/>
              </w:rPr>
            </w:pPr>
            <w:proofErr w:type="spellStart"/>
            <w:r w:rsidRPr="00BF4A51">
              <w:rPr>
                <w:rFonts w:ascii="ITC Avant Garde" w:hAnsi="ITC Avant Garde" w:cs="Arial"/>
                <w:sz w:val="11"/>
                <w:szCs w:val="11"/>
                <w:lang w:eastAsia="es-MX"/>
              </w:rPr>
              <w:t>Juanacatlán</w:t>
            </w:r>
            <w:proofErr w:type="spellEnd"/>
          </w:p>
        </w:tc>
        <w:tc>
          <w:tcPr>
            <w:tcW w:w="567" w:type="dxa"/>
            <w:noWrap/>
            <w:hideMark/>
          </w:tcPr>
          <w:p w14:paraId="55DB51EF"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5.01</w:t>
            </w:r>
          </w:p>
        </w:tc>
        <w:tc>
          <w:tcPr>
            <w:tcW w:w="708" w:type="dxa"/>
            <w:noWrap/>
            <w:hideMark/>
          </w:tcPr>
          <w:p w14:paraId="59E3139E"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77746D69"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48964D41"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823.000</w:t>
            </w:r>
          </w:p>
        </w:tc>
        <w:tc>
          <w:tcPr>
            <w:tcW w:w="851" w:type="dxa"/>
            <w:noWrap/>
            <w:hideMark/>
          </w:tcPr>
          <w:p w14:paraId="491E970C"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0" w:type="dxa"/>
            <w:noWrap/>
            <w:hideMark/>
          </w:tcPr>
          <w:p w14:paraId="3595786F"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423A025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868.000</w:t>
            </w:r>
          </w:p>
        </w:tc>
        <w:tc>
          <w:tcPr>
            <w:tcW w:w="850" w:type="dxa"/>
            <w:noWrap/>
            <w:hideMark/>
          </w:tcPr>
          <w:p w14:paraId="46783FB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709" w:type="dxa"/>
            <w:noWrap/>
            <w:hideMark/>
          </w:tcPr>
          <w:p w14:paraId="0E30F1E0"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3CC773B2" w14:textId="77777777" w:rsidTr="00437CD6">
        <w:trPr>
          <w:trHeight w:val="345"/>
          <w:jc w:val="center"/>
        </w:trPr>
        <w:tc>
          <w:tcPr>
            <w:tcW w:w="921" w:type="dxa"/>
            <w:noWrap/>
            <w:hideMark/>
          </w:tcPr>
          <w:p w14:paraId="7093712A"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Jalisco</w:t>
            </w:r>
          </w:p>
        </w:tc>
        <w:tc>
          <w:tcPr>
            <w:tcW w:w="1201" w:type="dxa"/>
            <w:hideMark/>
          </w:tcPr>
          <w:p w14:paraId="63694427"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El Salto</w:t>
            </w:r>
          </w:p>
        </w:tc>
        <w:tc>
          <w:tcPr>
            <w:tcW w:w="567" w:type="dxa"/>
            <w:noWrap/>
            <w:hideMark/>
          </w:tcPr>
          <w:p w14:paraId="58687B9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5.01</w:t>
            </w:r>
          </w:p>
        </w:tc>
        <w:tc>
          <w:tcPr>
            <w:tcW w:w="708" w:type="dxa"/>
            <w:noWrap/>
            <w:hideMark/>
          </w:tcPr>
          <w:p w14:paraId="3B5A0727"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07D13EF5"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0169040A"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823.000</w:t>
            </w:r>
          </w:p>
        </w:tc>
        <w:tc>
          <w:tcPr>
            <w:tcW w:w="851" w:type="dxa"/>
            <w:noWrap/>
            <w:hideMark/>
          </w:tcPr>
          <w:p w14:paraId="34CCAE9A"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0" w:type="dxa"/>
            <w:noWrap/>
            <w:hideMark/>
          </w:tcPr>
          <w:p w14:paraId="2B5321EA"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2F48D66D"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868.000</w:t>
            </w:r>
          </w:p>
        </w:tc>
        <w:tc>
          <w:tcPr>
            <w:tcW w:w="850" w:type="dxa"/>
            <w:noWrap/>
            <w:hideMark/>
          </w:tcPr>
          <w:p w14:paraId="1856EF93"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709" w:type="dxa"/>
            <w:noWrap/>
            <w:hideMark/>
          </w:tcPr>
          <w:p w14:paraId="5A319FAC"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306C6BC8" w14:textId="77777777" w:rsidTr="00437CD6">
        <w:trPr>
          <w:trHeight w:val="345"/>
          <w:jc w:val="center"/>
        </w:trPr>
        <w:tc>
          <w:tcPr>
            <w:tcW w:w="921" w:type="dxa"/>
            <w:noWrap/>
            <w:hideMark/>
          </w:tcPr>
          <w:p w14:paraId="4AAE4C87"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Jalisco</w:t>
            </w:r>
          </w:p>
        </w:tc>
        <w:tc>
          <w:tcPr>
            <w:tcW w:w="1201" w:type="dxa"/>
            <w:hideMark/>
          </w:tcPr>
          <w:p w14:paraId="1BBAC138"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Tlajomulco de Zúñiga</w:t>
            </w:r>
          </w:p>
        </w:tc>
        <w:tc>
          <w:tcPr>
            <w:tcW w:w="567" w:type="dxa"/>
            <w:noWrap/>
            <w:hideMark/>
          </w:tcPr>
          <w:p w14:paraId="66934394"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5.01</w:t>
            </w:r>
          </w:p>
        </w:tc>
        <w:tc>
          <w:tcPr>
            <w:tcW w:w="708" w:type="dxa"/>
            <w:noWrap/>
            <w:hideMark/>
          </w:tcPr>
          <w:p w14:paraId="3A94747C"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6C458C37"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43210BA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823.000</w:t>
            </w:r>
          </w:p>
        </w:tc>
        <w:tc>
          <w:tcPr>
            <w:tcW w:w="851" w:type="dxa"/>
            <w:noWrap/>
            <w:hideMark/>
          </w:tcPr>
          <w:p w14:paraId="65C8A7E9"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0" w:type="dxa"/>
            <w:noWrap/>
            <w:hideMark/>
          </w:tcPr>
          <w:p w14:paraId="5DDE6FDB"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39761913"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868.000</w:t>
            </w:r>
          </w:p>
        </w:tc>
        <w:tc>
          <w:tcPr>
            <w:tcW w:w="850" w:type="dxa"/>
            <w:noWrap/>
            <w:hideMark/>
          </w:tcPr>
          <w:p w14:paraId="02ACB2B1"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709" w:type="dxa"/>
            <w:noWrap/>
            <w:hideMark/>
          </w:tcPr>
          <w:p w14:paraId="364FDA09"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18D6A90E" w14:textId="77777777" w:rsidTr="00437CD6">
        <w:trPr>
          <w:trHeight w:val="345"/>
          <w:jc w:val="center"/>
        </w:trPr>
        <w:tc>
          <w:tcPr>
            <w:tcW w:w="921" w:type="dxa"/>
            <w:noWrap/>
            <w:hideMark/>
          </w:tcPr>
          <w:p w14:paraId="4A6FA05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Jalisco</w:t>
            </w:r>
          </w:p>
        </w:tc>
        <w:tc>
          <w:tcPr>
            <w:tcW w:w="1201" w:type="dxa"/>
            <w:hideMark/>
          </w:tcPr>
          <w:p w14:paraId="3766E46D"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Tlaquepaque</w:t>
            </w:r>
          </w:p>
        </w:tc>
        <w:tc>
          <w:tcPr>
            <w:tcW w:w="567" w:type="dxa"/>
            <w:noWrap/>
            <w:hideMark/>
          </w:tcPr>
          <w:p w14:paraId="0155F3A2"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5.01</w:t>
            </w:r>
          </w:p>
        </w:tc>
        <w:tc>
          <w:tcPr>
            <w:tcW w:w="708" w:type="dxa"/>
            <w:noWrap/>
            <w:hideMark/>
          </w:tcPr>
          <w:p w14:paraId="59702CA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3F6DA8E2"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6CF4BD77"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823.000</w:t>
            </w:r>
          </w:p>
        </w:tc>
        <w:tc>
          <w:tcPr>
            <w:tcW w:w="851" w:type="dxa"/>
            <w:noWrap/>
            <w:hideMark/>
          </w:tcPr>
          <w:p w14:paraId="0415767F"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0" w:type="dxa"/>
            <w:noWrap/>
            <w:hideMark/>
          </w:tcPr>
          <w:p w14:paraId="466F87C8"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3FB8CC7D"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868.000</w:t>
            </w:r>
          </w:p>
        </w:tc>
        <w:tc>
          <w:tcPr>
            <w:tcW w:w="850" w:type="dxa"/>
            <w:noWrap/>
            <w:hideMark/>
          </w:tcPr>
          <w:p w14:paraId="2F89A02B"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709" w:type="dxa"/>
            <w:noWrap/>
            <w:hideMark/>
          </w:tcPr>
          <w:p w14:paraId="4DD25368"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6F9190DC" w14:textId="77777777" w:rsidTr="00437CD6">
        <w:trPr>
          <w:trHeight w:val="345"/>
          <w:jc w:val="center"/>
        </w:trPr>
        <w:tc>
          <w:tcPr>
            <w:tcW w:w="921" w:type="dxa"/>
            <w:noWrap/>
            <w:hideMark/>
          </w:tcPr>
          <w:p w14:paraId="7E20439E"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Jalisco</w:t>
            </w:r>
          </w:p>
        </w:tc>
        <w:tc>
          <w:tcPr>
            <w:tcW w:w="1201" w:type="dxa"/>
            <w:hideMark/>
          </w:tcPr>
          <w:p w14:paraId="36CEF3D1"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Tonalá</w:t>
            </w:r>
          </w:p>
        </w:tc>
        <w:tc>
          <w:tcPr>
            <w:tcW w:w="567" w:type="dxa"/>
            <w:noWrap/>
            <w:hideMark/>
          </w:tcPr>
          <w:p w14:paraId="3C6C76A9"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5.01</w:t>
            </w:r>
          </w:p>
        </w:tc>
        <w:tc>
          <w:tcPr>
            <w:tcW w:w="708" w:type="dxa"/>
            <w:noWrap/>
            <w:hideMark/>
          </w:tcPr>
          <w:p w14:paraId="28111427"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323EDF15"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3100E3F9"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823.000</w:t>
            </w:r>
          </w:p>
        </w:tc>
        <w:tc>
          <w:tcPr>
            <w:tcW w:w="851" w:type="dxa"/>
            <w:noWrap/>
            <w:hideMark/>
          </w:tcPr>
          <w:p w14:paraId="0A369BE8"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0" w:type="dxa"/>
            <w:noWrap/>
            <w:hideMark/>
          </w:tcPr>
          <w:p w14:paraId="6C07BB97"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7FB4856A"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868.000</w:t>
            </w:r>
          </w:p>
        </w:tc>
        <w:tc>
          <w:tcPr>
            <w:tcW w:w="850" w:type="dxa"/>
            <w:noWrap/>
            <w:hideMark/>
          </w:tcPr>
          <w:p w14:paraId="4B6F338F"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709" w:type="dxa"/>
            <w:noWrap/>
            <w:hideMark/>
          </w:tcPr>
          <w:p w14:paraId="0419DF20"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12731730" w14:textId="77777777" w:rsidTr="00437CD6">
        <w:trPr>
          <w:trHeight w:val="345"/>
          <w:jc w:val="center"/>
        </w:trPr>
        <w:tc>
          <w:tcPr>
            <w:tcW w:w="921" w:type="dxa"/>
            <w:noWrap/>
            <w:hideMark/>
          </w:tcPr>
          <w:p w14:paraId="3E6F37A4"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Jalisco</w:t>
            </w:r>
          </w:p>
        </w:tc>
        <w:tc>
          <w:tcPr>
            <w:tcW w:w="1201" w:type="dxa"/>
            <w:hideMark/>
          </w:tcPr>
          <w:p w14:paraId="4BB661D3"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Zapopan</w:t>
            </w:r>
          </w:p>
        </w:tc>
        <w:tc>
          <w:tcPr>
            <w:tcW w:w="567" w:type="dxa"/>
            <w:noWrap/>
            <w:hideMark/>
          </w:tcPr>
          <w:p w14:paraId="2ED3ADED"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5.01</w:t>
            </w:r>
          </w:p>
        </w:tc>
        <w:tc>
          <w:tcPr>
            <w:tcW w:w="708" w:type="dxa"/>
            <w:noWrap/>
            <w:hideMark/>
          </w:tcPr>
          <w:p w14:paraId="09C42183"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44464BD9"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57D8929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823.000</w:t>
            </w:r>
          </w:p>
        </w:tc>
        <w:tc>
          <w:tcPr>
            <w:tcW w:w="851" w:type="dxa"/>
            <w:noWrap/>
            <w:hideMark/>
          </w:tcPr>
          <w:p w14:paraId="2A7C344C"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0" w:type="dxa"/>
            <w:noWrap/>
            <w:hideMark/>
          </w:tcPr>
          <w:p w14:paraId="79EF1D19"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653C51F3"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868.000</w:t>
            </w:r>
          </w:p>
        </w:tc>
        <w:tc>
          <w:tcPr>
            <w:tcW w:w="850" w:type="dxa"/>
            <w:noWrap/>
            <w:hideMark/>
          </w:tcPr>
          <w:p w14:paraId="5620B982"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709" w:type="dxa"/>
            <w:noWrap/>
            <w:hideMark/>
          </w:tcPr>
          <w:p w14:paraId="40798F16"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0D21D45A" w14:textId="77777777" w:rsidTr="00437CD6">
        <w:trPr>
          <w:trHeight w:val="345"/>
          <w:jc w:val="center"/>
        </w:trPr>
        <w:tc>
          <w:tcPr>
            <w:tcW w:w="921" w:type="dxa"/>
            <w:noWrap/>
            <w:hideMark/>
          </w:tcPr>
          <w:p w14:paraId="644D37E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Nuevo León</w:t>
            </w:r>
          </w:p>
        </w:tc>
        <w:tc>
          <w:tcPr>
            <w:tcW w:w="1201" w:type="dxa"/>
            <w:hideMark/>
          </w:tcPr>
          <w:p w14:paraId="0166338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Apodaca</w:t>
            </w:r>
          </w:p>
        </w:tc>
        <w:tc>
          <w:tcPr>
            <w:tcW w:w="567" w:type="dxa"/>
            <w:noWrap/>
            <w:hideMark/>
          </w:tcPr>
          <w:p w14:paraId="48D33B4D"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4.01</w:t>
            </w:r>
          </w:p>
        </w:tc>
        <w:tc>
          <w:tcPr>
            <w:tcW w:w="708" w:type="dxa"/>
            <w:noWrap/>
            <w:hideMark/>
          </w:tcPr>
          <w:p w14:paraId="6A96C579"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3522A9B8"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0DD5CDDD"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822.500</w:t>
            </w:r>
          </w:p>
        </w:tc>
        <w:tc>
          <w:tcPr>
            <w:tcW w:w="851" w:type="dxa"/>
            <w:noWrap/>
            <w:hideMark/>
          </w:tcPr>
          <w:p w14:paraId="5E475ED7"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823.000</w:t>
            </w:r>
          </w:p>
        </w:tc>
        <w:tc>
          <w:tcPr>
            <w:tcW w:w="850" w:type="dxa"/>
            <w:noWrap/>
            <w:hideMark/>
          </w:tcPr>
          <w:p w14:paraId="730E49D9"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063411AE"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867.500</w:t>
            </w:r>
          </w:p>
        </w:tc>
        <w:tc>
          <w:tcPr>
            <w:tcW w:w="850" w:type="dxa"/>
            <w:noWrap/>
            <w:hideMark/>
          </w:tcPr>
          <w:p w14:paraId="1696FFD4"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868.000</w:t>
            </w:r>
          </w:p>
        </w:tc>
        <w:tc>
          <w:tcPr>
            <w:tcW w:w="709" w:type="dxa"/>
            <w:noWrap/>
            <w:hideMark/>
          </w:tcPr>
          <w:p w14:paraId="39E123A9"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7E935E47" w14:textId="77777777" w:rsidTr="00437CD6">
        <w:trPr>
          <w:trHeight w:val="345"/>
          <w:jc w:val="center"/>
        </w:trPr>
        <w:tc>
          <w:tcPr>
            <w:tcW w:w="921" w:type="dxa"/>
            <w:noWrap/>
            <w:hideMark/>
          </w:tcPr>
          <w:p w14:paraId="65DC3EE2"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Nuevo León</w:t>
            </w:r>
          </w:p>
        </w:tc>
        <w:tc>
          <w:tcPr>
            <w:tcW w:w="1201" w:type="dxa"/>
            <w:hideMark/>
          </w:tcPr>
          <w:p w14:paraId="4D655B2A"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Cadereyta Jiménez</w:t>
            </w:r>
          </w:p>
        </w:tc>
        <w:tc>
          <w:tcPr>
            <w:tcW w:w="567" w:type="dxa"/>
            <w:noWrap/>
            <w:hideMark/>
          </w:tcPr>
          <w:p w14:paraId="446725C9"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4.01</w:t>
            </w:r>
          </w:p>
        </w:tc>
        <w:tc>
          <w:tcPr>
            <w:tcW w:w="708" w:type="dxa"/>
            <w:noWrap/>
            <w:hideMark/>
          </w:tcPr>
          <w:p w14:paraId="44216D7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5170E863"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738FF15B"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822.500</w:t>
            </w:r>
          </w:p>
        </w:tc>
        <w:tc>
          <w:tcPr>
            <w:tcW w:w="851" w:type="dxa"/>
            <w:noWrap/>
            <w:hideMark/>
          </w:tcPr>
          <w:p w14:paraId="742B36A0"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823.000</w:t>
            </w:r>
          </w:p>
        </w:tc>
        <w:tc>
          <w:tcPr>
            <w:tcW w:w="850" w:type="dxa"/>
            <w:noWrap/>
            <w:hideMark/>
          </w:tcPr>
          <w:p w14:paraId="38DBA105"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5CBD1142"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867.500</w:t>
            </w:r>
          </w:p>
        </w:tc>
        <w:tc>
          <w:tcPr>
            <w:tcW w:w="850" w:type="dxa"/>
            <w:noWrap/>
            <w:hideMark/>
          </w:tcPr>
          <w:p w14:paraId="5C4C0603"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868.000</w:t>
            </w:r>
          </w:p>
        </w:tc>
        <w:tc>
          <w:tcPr>
            <w:tcW w:w="709" w:type="dxa"/>
            <w:noWrap/>
            <w:hideMark/>
          </w:tcPr>
          <w:p w14:paraId="6B8F96A6"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234FF4EC" w14:textId="77777777" w:rsidTr="00437CD6">
        <w:trPr>
          <w:trHeight w:val="345"/>
          <w:jc w:val="center"/>
        </w:trPr>
        <w:tc>
          <w:tcPr>
            <w:tcW w:w="921" w:type="dxa"/>
            <w:noWrap/>
            <w:hideMark/>
          </w:tcPr>
          <w:p w14:paraId="7694D349"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Nuevo León</w:t>
            </w:r>
          </w:p>
        </w:tc>
        <w:tc>
          <w:tcPr>
            <w:tcW w:w="1201" w:type="dxa"/>
            <w:hideMark/>
          </w:tcPr>
          <w:p w14:paraId="467A7D59"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Carmen</w:t>
            </w:r>
          </w:p>
        </w:tc>
        <w:tc>
          <w:tcPr>
            <w:tcW w:w="567" w:type="dxa"/>
            <w:noWrap/>
            <w:hideMark/>
          </w:tcPr>
          <w:p w14:paraId="6427937A"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4.01</w:t>
            </w:r>
          </w:p>
        </w:tc>
        <w:tc>
          <w:tcPr>
            <w:tcW w:w="708" w:type="dxa"/>
            <w:noWrap/>
            <w:hideMark/>
          </w:tcPr>
          <w:p w14:paraId="5D51887C"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1BEDDCBC"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0F39CA0D"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822.500</w:t>
            </w:r>
          </w:p>
        </w:tc>
        <w:tc>
          <w:tcPr>
            <w:tcW w:w="851" w:type="dxa"/>
            <w:noWrap/>
            <w:hideMark/>
          </w:tcPr>
          <w:p w14:paraId="37091F94"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823.000</w:t>
            </w:r>
          </w:p>
        </w:tc>
        <w:tc>
          <w:tcPr>
            <w:tcW w:w="850" w:type="dxa"/>
            <w:noWrap/>
            <w:hideMark/>
          </w:tcPr>
          <w:p w14:paraId="740D35D9"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39D7B1CE"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867.500</w:t>
            </w:r>
          </w:p>
        </w:tc>
        <w:tc>
          <w:tcPr>
            <w:tcW w:w="850" w:type="dxa"/>
            <w:noWrap/>
            <w:hideMark/>
          </w:tcPr>
          <w:p w14:paraId="22CCFBF0"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868.000</w:t>
            </w:r>
          </w:p>
        </w:tc>
        <w:tc>
          <w:tcPr>
            <w:tcW w:w="709" w:type="dxa"/>
            <w:noWrap/>
            <w:hideMark/>
          </w:tcPr>
          <w:p w14:paraId="2CE9E055"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779476F1" w14:textId="77777777" w:rsidTr="00437CD6">
        <w:trPr>
          <w:trHeight w:val="345"/>
          <w:jc w:val="center"/>
        </w:trPr>
        <w:tc>
          <w:tcPr>
            <w:tcW w:w="921" w:type="dxa"/>
            <w:noWrap/>
            <w:hideMark/>
          </w:tcPr>
          <w:p w14:paraId="4D73C59E"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Nuevo León</w:t>
            </w:r>
          </w:p>
        </w:tc>
        <w:tc>
          <w:tcPr>
            <w:tcW w:w="1201" w:type="dxa"/>
            <w:hideMark/>
          </w:tcPr>
          <w:p w14:paraId="6D712DF7"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García</w:t>
            </w:r>
          </w:p>
        </w:tc>
        <w:tc>
          <w:tcPr>
            <w:tcW w:w="567" w:type="dxa"/>
            <w:noWrap/>
            <w:hideMark/>
          </w:tcPr>
          <w:p w14:paraId="29FD4854"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4.01</w:t>
            </w:r>
          </w:p>
        </w:tc>
        <w:tc>
          <w:tcPr>
            <w:tcW w:w="708" w:type="dxa"/>
            <w:noWrap/>
            <w:hideMark/>
          </w:tcPr>
          <w:p w14:paraId="74CC920F"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670C3797"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5ABD9CA8"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822.500</w:t>
            </w:r>
          </w:p>
        </w:tc>
        <w:tc>
          <w:tcPr>
            <w:tcW w:w="851" w:type="dxa"/>
            <w:noWrap/>
            <w:hideMark/>
          </w:tcPr>
          <w:p w14:paraId="372FBC1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823.000</w:t>
            </w:r>
          </w:p>
        </w:tc>
        <w:tc>
          <w:tcPr>
            <w:tcW w:w="850" w:type="dxa"/>
            <w:noWrap/>
            <w:hideMark/>
          </w:tcPr>
          <w:p w14:paraId="3D4F76C7"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2C8C8184"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867.500</w:t>
            </w:r>
          </w:p>
        </w:tc>
        <w:tc>
          <w:tcPr>
            <w:tcW w:w="850" w:type="dxa"/>
            <w:noWrap/>
            <w:hideMark/>
          </w:tcPr>
          <w:p w14:paraId="25517AE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868.000</w:t>
            </w:r>
          </w:p>
        </w:tc>
        <w:tc>
          <w:tcPr>
            <w:tcW w:w="709" w:type="dxa"/>
            <w:noWrap/>
            <w:hideMark/>
          </w:tcPr>
          <w:p w14:paraId="41E48A25"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2E478906" w14:textId="77777777" w:rsidTr="00437CD6">
        <w:trPr>
          <w:trHeight w:val="345"/>
          <w:jc w:val="center"/>
        </w:trPr>
        <w:tc>
          <w:tcPr>
            <w:tcW w:w="921" w:type="dxa"/>
            <w:noWrap/>
            <w:hideMark/>
          </w:tcPr>
          <w:p w14:paraId="15A4030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Nuevo León</w:t>
            </w:r>
          </w:p>
        </w:tc>
        <w:tc>
          <w:tcPr>
            <w:tcW w:w="1201" w:type="dxa"/>
            <w:hideMark/>
          </w:tcPr>
          <w:p w14:paraId="5014C03D"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San Pedro Garza García</w:t>
            </w:r>
          </w:p>
        </w:tc>
        <w:tc>
          <w:tcPr>
            <w:tcW w:w="567" w:type="dxa"/>
            <w:noWrap/>
            <w:hideMark/>
          </w:tcPr>
          <w:p w14:paraId="471FD3CE"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4.01</w:t>
            </w:r>
          </w:p>
        </w:tc>
        <w:tc>
          <w:tcPr>
            <w:tcW w:w="708" w:type="dxa"/>
            <w:noWrap/>
            <w:hideMark/>
          </w:tcPr>
          <w:p w14:paraId="2B0D520A"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3911190F"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5FFB1C9B"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822.500</w:t>
            </w:r>
          </w:p>
        </w:tc>
        <w:tc>
          <w:tcPr>
            <w:tcW w:w="851" w:type="dxa"/>
            <w:noWrap/>
            <w:hideMark/>
          </w:tcPr>
          <w:p w14:paraId="3F853D13"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823.000</w:t>
            </w:r>
          </w:p>
        </w:tc>
        <w:tc>
          <w:tcPr>
            <w:tcW w:w="850" w:type="dxa"/>
            <w:noWrap/>
            <w:hideMark/>
          </w:tcPr>
          <w:p w14:paraId="7584E8C7"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06E30332"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867.500</w:t>
            </w:r>
          </w:p>
        </w:tc>
        <w:tc>
          <w:tcPr>
            <w:tcW w:w="850" w:type="dxa"/>
            <w:noWrap/>
            <w:hideMark/>
          </w:tcPr>
          <w:p w14:paraId="4DFE5407"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868.000</w:t>
            </w:r>
          </w:p>
        </w:tc>
        <w:tc>
          <w:tcPr>
            <w:tcW w:w="709" w:type="dxa"/>
            <w:noWrap/>
            <w:hideMark/>
          </w:tcPr>
          <w:p w14:paraId="30EA7998"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78D24449" w14:textId="77777777" w:rsidTr="00437CD6">
        <w:trPr>
          <w:trHeight w:val="345"/>
          <w:jc w:val="center"/>
        </w:trPr>
        <w:tc>
          <w:tcPr>
            <w:tcW w:w="921" w:type="dxa"/>
            <w:noWrap/>
            <w:hideMark/>
          </w:tcPr>
          <w:p w14:paraId="096065A1"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Nuevo León</w:t>
            </w:r>
          </w:p>
        </w:tc>
        <w:tc>
          <w:tcPr>
            <w:tcW w:w="1201" w:type="dxa"/>
            <w:hideMark/>
          </w:tcPr>
          <w:p w14:paraId="522778AD"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General Escobedo</w:t>
            </w:r>
          </w:p>
        </w:tc>
        <w:tc>
          <w:tcPr>
            <w:tcW w:w="567" w:type="dxa"/>
            <w:noWrap/>
            <w:hideMark/>
          </w:tcPr>
          <w:p w14:paraId="4F4D5E9C"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4.01</w:t>
            </w:r>
          </w:p>
        </w:tc>
        <w:tc>
          <w:tcPr>
            <w:tcW w:w="708" w:type="dxa"/>
            <w:noWrap/>
            <w:hideMark/>
          </w:tcPr>
          <w:p w14:paraId="663377BD"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5F856B2B"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1C6D44D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822.500</w:t>
            </w:r>
          </w:p>
        </w:tc>
        <w:tc>
          <w:tcPr>
            <w:tcW w:w="851" w:type="dxa"/>
            <w:noWrap/>
            <w:hideMark/>
          </w:tcPr>
          <w:p w14:paraId="26F6950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823.000</w:t>
            </w:r>
          </w:p>
        </w:tc>
        <w:tc>
          <w:tcPr>
            <w:tcW w:w="850" w:type="dxa"/>
            <w:noWrap/>
            <w:hideMark/>
          </w:tcPr>
          <w:p w14:paraId="5CBF9B09"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3DAB8747"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867.500</w:t>
            </w:r>
          </w:p>
        </w:tc>
        <w:tc>
          <w:tcPr>
            <w:tcW w:w="850" w:type="dxa"/>
            <w:noWrap/>
            <w:hideMark/>
          </w:tcPr>
          <w:p w14:paraId="787194EB"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868.000</w:t>
            </w:r>
          </w:p>
        </w:tc>
        <w:tc>
          <w:tcPr>
            <w:tcW w:w="709" w:type="dxa"/>
            <w:noWrap/>
            <w:hideMark/>
          </w:tcPr>
          <w:p w14:paraId="386AEB51"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44349B6B" w14:textId="77777777" w:rsidTr="00437CD6">
        <w:trPr>
          <w:trHeight w:val="345"/>
          <w:jc w:val="center"/>
        </w:trPr>
        <w:tc>
          <w:tcPr>
            <w:tcW w:w="921" w:type="dxa"/>
            <w:noWrap/>
            <w:hideMark/>
          </w:tcPr>
          <w:p w14:paraId="359297C3"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Nuevo León</w:t>
            </w:r>
          </w:p>
        </w:tc>
        <w:tc>
          <w:tcPr>
            <w:tcW w:w="1201" w:type="dxa"/>
            <w:hideMark/>
          </w:tcPr>
          <w:p w14:paraId="53D4D567"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Guadalupe</w:t>
            </w:r>
          </w:p>
        </w:tc>
        <w:tc>
          <w:tcPr>
            <w:tcW w:w="567" w:type="dxa"/>
            <w:noWrap/>
            <w:hideMark/>
          </w:tcPr>
          <w:p w14:paraId="270BA7C9"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4.01</w:t>
            </w:r>
          </w:p>
        </w:tc>
        <w:tc>
          <w:tcPr>
            <w:tcW w:w="708" w:type="dxa"/>
            <w:noWrap/>
            <w:hideMark/>
          </w:tcPr>
          <w:p w14:paraId="05309BEC"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34DA4E4E"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35FAC833"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822.500</w:t>
            </w:r>
          </w:p>
        </w:tc>
        <w:tc>
          <w:tcPr>
            <w:tcW w:w="851" w:type="dxa"/>
            <w:noWrap/>
            <w:hideMark/>
          </w:tcPr>
          <w:p w14:paraId="70DF1967"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823.000</w:t>
            </w:r>
          </w:p>
        </w:tc>
        <w:tc>
          <w:tcPr>
            <w:tcW w:w="850" w:type="dxa"/>
            <w:noWrap/>
            <w:hideMark/>
          </w:tcPr>
          <w:p w14:paraId="39DE6C32"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24E983AC"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867.500</w:t>
            </w:r>
          </w:p>
        </w:tc>
        <w:tc>
          <w:tcPr>
            <w:tcW w:w="850" w:type="dxa"/>
            <w:noWrap/>
            <w:hideMark/>
          </w:tcPr>
          <w:p w14:paraId="2D6D183B"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868.000</w:t>
            </w:r>
          </w:p>
        </w:tc>
        <w:tc>
          <w:tcPr>
            <w:tcW w:w="709" w:type="dxa"/>
            <w:noWrap/>
            <w:hideMark/>
          </w:tcPr>
          <w:p w14:paraId="4D47527E"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7A650620" w14:textId="77777777" w:rsidTr="00437CD6">
        <w:trPr>
          <w:trHeight w:val="345"/>
          <w:jc w:val="center"/>
        </w:trPr>
        <w:tc>
          <w:tcPr>
            <w:tcW w:w="921" w:type="dxa"/>
            <w:noWrap/>
            <w:hideMark/>
          </w:tcPr>
          <w:p w14:paraId="313B2413"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Nuevo León</w:t>
            </w:r>
          </w:p>
        </w:tc>
        <w:tc>
          <w:tcPr>
            <w:tcW w:w="1201" w:type="dxa"/>
            <w:hideMark/>
          </w:tcPr>
          <w:p w14:paraId="44E3BC54"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Juárez</w:t>
            </w:r>
          </w:p>
        </w:tc>
        <w:tc>
          <w:tcPr>
            <w:tcW w:w="567" w:type="dxa"/>
            <w:noWrap/>
            <w:hideMark/>
          </w:tcPr>
          <w:p w14:paraId="6FBCAAAB"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4.01</w:t>
            </w:r>
          </w:p>
        </w:tc>
        <w:tc>
          <w:tcPr>
            <w:tcW w:w="708" w:type="dxa"/>
            <w:noWrap/>
            <w:hideMark/>
          </w:tcPr>
          <w:p w14:paraId="33EC5F41"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0E0F0148"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70B0D143"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822.500</w:t>
            </w:r>
          </w:p>
        </w:tc>
        <w:tc>
          <w:tcPr>
            <w:tcW w:w="851" w:type="dxa"/>
            <w:noWrap/>
            <w:hideMark/>
          </w:tcPr>
          <w:p w14:paraId="4A58FAB0"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823.000</w:t>
            </w:r>
          </w:p>
        </w:tc>
        <w:tc>
          <w:tcPr>
            <w:tcW w:w="850" w:type="dxa"/>
            <w:noWrap/>
            <w:hideMark/>
          </w:tcPr>
          <w:p w14:paraId="52961BCF"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63B5C74A"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867.500</w:t>
            </w:r>
          </w:p>
        </w:tc>
        <w:tc>
          <w:tcPr>
            <w:tcW w:w="850" w:type="dxa"/>
            <w:noWrap/>
            <w:hideMark/>
          </w:tcPr>
          <w:p w14:paraId="4FAB3BB9"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868.000</w:t>
            </w:r>
          </w:p>
        </w:tc>
        <w:tc>
          <w:tcPr>
            <w:tcW w:w="709" w:type="dxa"/>
            <w:noWrap/>
            <w:hideMark/>
          </w:tcPr>
          <w:p w14:paraId="771EF9E0"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3A1E5BF8" w14:textId="77777777" w:rsidTr="00437CD6">
        <w:trPr>
          <w:trHeight w:val="345"/>
          <w:jc w:val="center"/>
        </w:trPr>
        <w:tc>
          <w:tcPr>
            <w:tcW w:w="921" w:type="dxa"/>
            <w:noWrap/>
            <w:hideMark/>
          </w:tcPr>
          <w:p w14:paraId="10A8EE4B"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Nuevo León</w:t>
            </w:r>
          </w:p>
        </w:tc>
        <w:tc>
          <w:tcPr>
            <w:tcW w:w="1201" w:type="dxa"/>
            <w:hideMark/>
          </w:tcPr>
          <w:p w14:paraId="3BCA5FAE"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Monterrey</w:t>
            </w:r>
          </w:p>
        </w:tc>
        <w:tc>
          <w:tcPr>
            <w:tcW w:w="567" w:type="dxa"/>
            <w:noWrap/>
            <w:hideMark/>
          </w:tcPr>
          <w:p w14:paraId="5DC56509"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4.01</w:t>
            </w:r>
          </w:p>
        </w:tc>
        <w:tc>
          <w:tcPr>
            <w:tcW w:w="708" w:type="dxa"/>
            <w:noWrap/>
            <w:hideMark/>
          </w:tcPr>
          <w:p w14:paraId="78C1E767"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41D75227"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7C778632"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822.500</w:t>
            </w:r>
          </w:p>
        </w:tc>
        <w:tc>
          <w:tcPr>
            <w:tcW w:w="851" w:type="dxa"/>
            <w:noWrap/>
            <w:hideMark/>
          </w:tcPr>
          <w:p w14:paraId="106418D0"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823.000</w:t>
            </w:r>
          </w:p>
        </w:tc>
        <w:tc>
          <w:tcPr>
            <w:tcW w:w="850" w:type="dxa"/>
            <w:noWrap/>
            <w:hideMark/>
          </w:tcPr>
          <w:p w14:paraId="6B18A5B9"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2B9A92F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867.500</w:t>
            </w:r>
          </w:p>
        </w:tc>
        <w:tc>
          <w:tcPr>
            <w:tcW w:w="850" w:type="dxa"/>
            <w:noWrap/>
            <w:hideMark/>
          </w:tcPr>
          <w:p w14:paraId="64049871"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868.000</w:t>
            </w:r>
          </w:p>
        </w:tc>
        <w:tc>
          <w:tcPr>
            <w:tcW w:w="709" w:type="dxa"/>
            <w:noWrap/>
            <w:hideMark/>
          </w:tcPr>
          <w:p w14:paraId="1F592648"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28498DF5" w14:textId="77777777" w:rsidTr="00437CD6">
        <w:trPr>
          <w:trHeight w:val="345"/>
          <w:jc w:val="center"/>
        </w:trPr>
        <w:tc>
          <w:tcPr>
            <w:tcW w:w="921" w:type="dxa"/>
            <w:noWrap/>
            <w:hideMark/>
          </w:tcPr>
          <w:p w14:paraId="39BAFB5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Nuevo León</w:t>
            </w:r>
          </w:p>
        </w:tc>
        <w:tc>
          <w:tcPr>
            <w:tcW w:w="1201" w:type="dxa"/>
            <w:hideMark/>
          </w:tcPr>
          <w:p w14:paraId="5548B53C"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Salinas Victoria</w:t>
            </w:r>
          </w:p>
        </w:tc>
        <w:tc>
          <w:tcPr>
            <w:tcW w:w="567" w:type="dxa"/>
            <w:noWrap/>
            <w:hideMark/>
          </w:tcPr>
          <w:p w14:paraId="615D91F7"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4.01</w:t>
            </w:r>
          </w:p>
        </w:tc>
        <w:tc>
          <w:tcPr>
            <w:tcW w:w="708" w:type="dxa"/>
            <w:noWrap/>
            <w:hideMark/>
          </w:tcPr>
          <w:p w14:paraId="5DB5A26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1C23EB96"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2911ACBD"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822.500</w:t>
            </w:r>
          </w:p>
        </w:tc>
        <w:tc>
          <w:tcPr>
            <w:tcW w:w="851" w:type="dxa"/>
            <w:noWrap/>
            <w:hideMark/>
          </w:tcPr>
          <w:p w14:paraId="261CA0EF"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823.000</w:t>
            </w:r>
          </w:p>
        </w:tc>
        <w:tc>
          <w:tcPr>
            <w:tcW w:w="850" w:type="dxa"/>
            <w:noWrap/>
            <w:hideMark/>
          </w:tcPr>
          <w:p w14:paraId="3356B53C"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2073926B"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867.500</w:t>
            </w:r>
          </w:p>
        </w:tc>
        <w:tc>
          <w:tcPr>
            <w:tcW w:w="850" w:type="dxa"/>
            <w:noWrap/>
            <w:hideMark/>
          </w:tcPr>
          <w:p w14:paraId="0CC4E1A0"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868.000</w:t>
            </w:r>
          </w:p>
        </w:tc>
        <w:tc>
          <w:tcPr>
            <w:tcW w:w="709" w:type="dxa"/>
            <w:noWrap/>
            <w:hideMark/>
          </w:tcPr>
          <w:p w14:paraId="781066ED"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270C02D6" w14:textId="77777777" w:rsidTr="00437CD6">
        <w:trPr>
          <w:trHeight w:val="345"/>
          <w:jc w:val="center"/>
        </w:trPr>
        <w:tc>
          <w:tcPr>
            <w:tcW w:w="921" w:type="dxa"/>
            <w:noWrap/>
            <w:hideMark/>
          </w:tcPr>
          <w:p w14:paraId="28D7AD39"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Nuevo León</w:t>
            </w:r>
          </w:p>
        </w:tc>
        <w:tc>
          <w:tcPr>
            <w:tcW w:w="1201" w:type="dxa"/>
            <w:hideMark/>
          </w:tcPr>
          <w:p w14:paraId="751D268A"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San Nicolás de los Garza</w:t>
            </w:r>
          </w:p>
        </w:tc>
        <w:tc>
          <w:tcPr>
            <w:tcW w:w="567" w:type="dxa"/>
            <w:noWrap/>
            <w:hideMark/>
          </w:tcPr>
          <w:p w14:paraId="7A5C7D3B"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4.01</w:t>
            </w:r>
          </w:p>
        </w:tc>
        <w:tc>
          <w:tcPr>
            <w:tcW w:w="708" w:type="dxa"/>
            <w:noWrap/>
            <w:hideMark/>
          </w:tcPr>
          <w:p w14:paraId="493D3F70"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4DB78108"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13DDE57A"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822.500</w:t>
            </w:r>
          </w:p>
        </w:tc>
        <w:tc>
          <w:tcPr>
            <w:tcW w:w="851" w:type="dxa"/>
            <w:noWrap/>
            <w:hideMark/>
          </w:tcPr>
          <w:p w14:paraId="42B93D6E"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823.000</w:t>
            </w:r>
          </w:p>
        </w:tc>
        <w:tc>
          <w:tcPr>
            <w:tcW w:w="850" w:type="dxa"/>
            <w:noWrap/>
            <w:hideMark/>
          </w:tcPr>
          <w:p w14:paraId="57768312"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788F28C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867.500</w:t>
            </w:r>
          </w:p>
        </w:tc>
        <w:tc>
          <w:tcPr>
            <w:tcW w:w="850" w:type="dxa"/>
            <w:noWrap/>
            <w:hideMark/>
          </w:tcPr>
          <w:p w14:paraId="271C089A"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868.000</w:t>
            </w:r>
          </w:p>
        </w:tc>
        <w:tc>
          <w:tcPr>
            <w:tcW w:w="709" w:type="dxa"/>
            <w:noWrap/>
            <w:hideMark/>
          </w:tcPr>
          <w:p w14:paraId="7982B94F"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7D3D5F9B" w14:textId="77777777" w:rsidTr="00437CD6">
        <w:trPr>
          <w:trHeight w:val="345"/>
          <w:jc w:val="center"/>
        </w:trPr>
        <w:tc>
          <w:tcPr>
            <w:tcW w:w="921" w:type="dxa"/>
            <w:noWrap/>
            <w:hideMark/>
          </w:tcPr>
          <w:p w14:paraId="12D59E64"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Nuevo León</w:t>
            </w:r>
          </w:p>
        </w:tc>
        <w:tc>
          <w:tcPr>
            <w:tcW w:w="1201" w:type="dxa"/>
            <w:hideMark/>
          </w:tcPr>
          <w:p w14:paraId="282A2338"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Santa Catarina</w:t>
            </w:r>
          </w:p>
        </w:tc>
        <w:tc>
          <w:tcPr>
            <w:tcW w:w="567" w:type="dxa"/>
            <w:noWrap/>
            <w:hideMark/>
          </w:tcPr>
          <w:p w14:paraId="7395DA5B"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4.01</w:t>
            </w:r>
          </w:p>
        </w:tc>
        <w:tc>
          <w:tcPr>
            <w:tcW w:w="708" w:type="dxa"/>
            <w:noWrap/>
            <w:hideMark/>
          </w:tcPr>
          <w:p w14:paraId="56E6CC0B"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6F2EACEB"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6CAC94ED"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822.500</w:t>
            </w:r>
          </w:p>
        </w:tc>
        <w:tc>
          <w:tcPr>
            <w:tcW w:w="851" w:type="dxa"/>
            <w:noWrap/>
            <w:hideMark/>
          </w:tcPr>
          <w:p w14:paraId="33DA351F"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823.000</w:t>
            </w:r>
          </w:p>
        </w:tc>
        <w:tc>
          <w:tcPr>
            <w:tcW w:w="850" w:type="dxa"/>
            <w:noWrap/>
            <w:hideMark/>
          </w:tcPr>
          <w:p w14:paraId="5534A4D3"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5FA42631"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867.500</w:t>
            </w:r>
          </w:p>
        </w:tc>
        <w:tc>
          <w:tcPr>
            <w:tcW w:w="850" w:type="dxa"/>
            <w:noWrap/>
            <w:hideMark/>
          </w:tcPr>
          <w:p w14:paraId="375A031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868.000</w:t>
            </w:r>
          </w:p>
        </w:tc>
        <w:tc>
          <w:tcPr>
            <w:tcW w:w="709" w:type="dxa"/>
            <w:noWrap/>
            <w:hideMark/>
          </w:tcPr>
          <w:p w14:paraId="1335424E"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7904E4F6" w14:textId="77777777" w:rsidTr="00437CD6">
        <w:trPr>
          <w:trHeight w:val="345"/>
          <w:jc w:val="center"/>
        </w:trPr>
        <w:tc>
          <w:tcPr>
            <w:tcW w:w="921" w:type="dxa"/>
            <w:noWrap/>
            <w:hideMark/>
          </w:tcPr>
          <w:p w14:paraId="3689C322"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Nuevo León</w:t>
            </w:r>
          </w:p>
        </w:tc>
        <w:tc>
          <w:tcPr>
            <w:tcW w:w="1201" w:type="dxa"/>
            <w:hideMark/>
          </w:tcPr>
          <w:p w14:paraId="5E0FB2B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Santiago</w:t>
            </w:r>
          </w:p>
        </w:tc>
        <w:tc>
          <w:tcPr>
            <w:tcW w:w="567" w:type="dxa"/>
            <w:noWrap/>
            <w:hideMark/>
          </w:tcPr>
          <w:p w14:paraId="1B47D54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4.01</w:t>
            </w:r>
          </w:p>
        </w:tc>
        <w:tc>
          <w:tcPr>
            <w:tcW w:w="708" w:type="dxa"/>
            <w:noWrap/>
            <w:hideMark/>
          </w:tcPr>
          <w:p w14:paraId="2DCD9A2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439F74BA"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574DE400"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822.500</w:t>
            </w:r>
          </w:p>
        </w:tc>
        <w:tc>
          <w:tcPr>
            <w:tcW w:w="851" w:type="dxa"/>
            <w:noWrap/>
            <w:hideMark/>
          </w:tcPr>
          <w:p w14:paraId="6230CB6F"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823.000</w:t>
            </w:r>
          </w:p>
        </w:tc>
        <w:tc>
          <w:tcPr>
            <w:tcW w:w="850" w:type="dxa"/>
            <w:noWrap/>
            <w:hideMark/>
          </w:tcPr>
          <w:p w14:paraId="04F94FB3"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6B73287E"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867.500</w:t>
            </w:r>
          </w:p>
        </w:tc>
        <w:tc>
          <w:tcPr>
            <w:tcW w:w="850" w:type="dxa"/>
            <w:noWrap/>
            <w:hideMark/>
          </w:tcPr>
          <w:p w14:paraId="3BE558E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868.000</w:t>
            </w:r>
          </w:p>
        </w:tc>
        <w:tc>
          <w:tcPr>
            <w:tcW w:w="709" w:type="dxa"/>
            <w:noWrap/>
            <w:hideMark/>
          </w:tcPr>
          <w:p w14:paraId="68900B0D"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6F497F07" w14:textId="77777777" w:rsidTr="00437CD6">
        <w:trPr>
          <w:trHeight w:val="345"/>
          <w:jc w:val="center"/>
        </w:trPr>
        <w:tc>
          <w:tcPr>
            <w:tcW w:w="921" w:type="dxa"/>
            <w:noWrap/>
            <w:hideMark/>
          </w:tcPr>
          <w:p w14:paraId="4BD09924"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Puebla</w:t>
            </w:r>
          </w:p>
        </w:tc>
        <w:tc>
          <w:tcPr>
            <w:tcW w:w="1201" w:type="dxa"/>
            <w:hideMark/>
          </w:tcPr>
          <w:p w14:paraId="1C8FE9F3" w14:textId="77777777" w:rsidR="007B34B8" w:rsidRPr="00BF4A51" w:rsidRDefault="007B34B8" w:rsidP="00BF4A51">
            <w:pPr>
              <w:spacing w:after="0" w:line="240" w:lineRule="auto"/>
              <w:jc w:val="center"/>
              <w:rPr>
                <w:rFonts w:ascii="ITC Avant Garde" w:hAnsi="ITC Avant Garde" w:cs="Arial"/>
                <w:sz w:val="11"/>
                <w:szCs w:val="11"/>
                <w:lang w:eastAsia="es-MX"/>
              </w:rPr>
            </w:pPr>
            <w:proofErr w:type="spellStart"/>
            <w:r w:rsidRPr="00BF4A51">
              <w:rPr>
                <w:rFonts w:ascii="ITC Avant Garde" w:hAnsi="ITC Avant Garde" w:cs="Arial"/>
                <w:sz w:val="11"/>
                <w:szCs w:val="11"/>
                <w:lang w:eastAsia="es-MX"/>
              </w:rPr>
              <w:t>Acajete</w:t>
            </w:r>
            <w:proofErr w:type="spellEnd"/>
          </w:p>
        </w:tc>
        <w:tc>
          <w:tcPr>
            <w:tcW w:w="567" w:type="dxa"/>
            <w:noWrap/>
            <w:hideMark/>
          </w:tcPr>
          <w:p w14:paraId="580ECA0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4A690B3D"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3AE112CE"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679B3509"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484E900E"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08F9579C"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60A2AC13"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5BB03BC7"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12F22A32"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5F2CCE90" w14:textId="77777777" w:rsidTr="00437CD6">
        <w:trPr>
          <w:trHeight w:val="345"/>
          <w:jc w:val="center"/>
        </w:trPr>
        <w:tc>
          <w:tcPr>
            <w:tcW w:w="921" w:type="dxa"/>
            <w:noWrap/>
            <w:hideMark/>
          </w:tcPr>
          <w:p w14:paraId="719B1897"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Puebla</w:t>
            </w:r>
          </w:p>
        </w:tc>
        <w:tc>
          <w:tcPr>
            <w:tcW w:w="1201" w:type="dxa"/>
            <w:hideMark/>
          </w:tcPr>
          <w:p w14:paraId="660B4C2B" w14:textId="77777777" w:rsidR="007B34B8" w:rsidRPr="00BF4A51" w:rsidRDefault="007B34B8" w:rsidP="00BF4A51">
            <w:pPr>
              <w:spacing w:after="0" w:line="240" w:lineRule="auto"/>
              <w:jc w:val="center"/>
              <w:rPr>
                <w:rFonts w:ascii="ITC Avant Garde" w:hAnsi="ITC Avant Garde" w:cs="Arial"/>
                <w:sz w:val="11"/>
                <w:szCs w:val="11"/>
                <w:lang w:eastAsia="es-MX"/>
              </w:rPr>
            </w:pPr>
            <w:proofErr w:type="spellStart"/>
            <w:r w:rsidRPr="00BF4A51">
              <w:rPr>
                <w:rFonts w:ascii="ITC Avant Garde" w:hAnsi="ITC Avant Garde" w:cs="Arial"/>
                <w:sz w:val="11"/>
                <w:szCs w:val="11"/>
                <w:lang w:eastAsia="es-MX"/>
              </w:rPr>
              <w:t>Amozoc</w:t>
            </w:r>
            <w:proofErr w:type="spellEnd"/>
          </w:p>
        </w:tc>
        <w:tc>
          <w:tcPr>
            <w:tcW w:w="567" w:type="dxa"/>
            <w:noWrap/>
            <w:hideMark/>
          </w:tcPr>
          <w:p w14:paraId="5A75FC70"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7B624753"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045737E9"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2108A9C2"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64652F39"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18D17CF2"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37B2FE38"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68CF8DEC"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7D847FEE"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5F2CCCA7" w14:textId="77777777" w:rsidTr="00437CD6">
        <w:trPr>
          <w:trHeight w:val="345"/>
          <w:jc w:val="center"/>
        </w:trPr>
        <w:tc>
          <w:tcPr>
            <w:tcW w:w="921" w:type="dxa"/>
            <w:noWrap/>
            <w:hideMark/>
          </w:tcPr>
          <w:p w14:paraId="54FD42F4"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Puebla</w:t>
            </w:r>
          </w:p>
        </w:tc>
        <w:tc>
          <w:tcPr>
            <w:tcW w:w="1201" w:type="dxa"/>
            <w:hideMark/>
          </w:tcPr>
          <w:p w14:paraId="12FE5FE9" w14:textId="77777777" w:rsidR="007B34B8" w:rsidRPr="00BF4A51" w:rsidRDefault="007B34B8" w:rsidP="00BF4A51">
            <w:pPr>
              <w:spacing w:after="0" w:line="240" w:lineRule="auto"/>
              <w:jc w:val="center"/>
              <w:rPr>
                <w:rFonts w:ascii="ITC Avant Garde" w:hAnsi="ITC Avant Garde" w:cs="Arial"/>
                <w:sz w:val="11"/>
                <w:szCs w:val="11"/>
                <w:lang w:eastAsia="es-MX"/>
              </w:rPr>
            </w:pPr>
            <w:proofErr w:type="spellStart"/>
            <w:r w:rsidRPr="00BF4A51">
              <w:rPr>
                <w:rFonts w:ascii="ITC Avant Garde" w:hAnsi="ITC Avant Garde" w:cs="Arial"/>
                <w:sz w:val="11"/>
                <w:szCs w:val="11"/>
                <w:lang w:eastAsia="es-MX"/>
              </w:rPr>
              <w:t>Coronango</w:t>
            </w:r>
            <w:proofErr w:type="spellEnd"/>
          </w:p>
        </w:tc>
        <w:tc>
          <w:tcPr>
            <w:tcW w:w="567" w:type="dxa"/>
            <w:noWrap/>
            <w:hideMark/>
          </w:tcPr>
          <w:p w14:paraId="43B23C3F"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27BE051F"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3FD72DA2"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3CFE829C"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0AE55D9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1C43FED7"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77942C2F"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0A6FFC1E"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0527B3E3"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67617BF1" w14:textId="77777777" w:rsidTr="00437CD6">
        <w:trPr>
          <w:trHeight w:val="345"/>
          <w:jc w:val="center"/>
        </w:trPr>
        <w:tc>
          <w:tcPr>
            <w:tcW w:w="921" w:type="dxa"/>
            <w:noWrap/>
            <w:hideMark/>
          </w:tcPr>
          <w:p w14:paraId="54B3FD8E"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Puebla</w:t>
            </w:r>
          </w:p>
        </w:tc>
        <w:tc>
          <w:tcPr>
            <w:tcW w:w="1201" w:type="dxa"/>
            <w:hideMark/>
          </w:tcPr>
          <w:p w14:paraId="18131717" w14:textId="77777777" w:rsidR="007B34B8" w:rsidRPr="00BF4A51" w:rsidRDefault="007B34B8" w:rsidP="00BF4A51">
            <w:pPr>
              <w:spacing w:after="0" w:line="240" w:lineRule="auto"/>
              <w:jc w:val="center"/>
              <w:rPr>
                <w:rFonts w:ascii="ITC Avant Garde" w:hAnsi="ITC Avant Garde" w:cs="Arial"/>
                <w:sz w:val="11"/>
                <w:szCs w:val="11"/>
                <w:lang w:eastAsia="es-MX"/>
              </w:rPr>
            </w:pPr>
            <w:proofErr w:type="spellStart"/>
            <w:r w:rsidRPr="00BF4A51">
              <w:rPr>
                <w:rFonts w:ascii="ITC Avant Garde" w:hAnsi="ITC Avant Garde" w:cs="Arial"/>
                <w:sz w:val="11"/>
                <w:szCs w:val="11"/>
                <w:lang w:eastAsia="es-MX"/>
              </w:rPr>
              <w:t>Cuautlancingo</w:t>
            </w:r>
            <w:proofErr w:type="spellEnd"/>
          </w:p>
        </w:tc>
        <w:tc>
          <w:tcPr>
            <w:tcW w:w="567" w:type="dxa"/>
            <w:noWrap/>
            <w:hideMark/>
          </w:tcPr>
          <w:p w14:paraId="2F69936A"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00491CFB"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0FE98A00"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0D5FDA0D"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313CE179"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07A2A633"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05CEA3E9"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6372C9A8"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45AF0BB8"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2C237EB2" w14:textId="77777777" w:rsidTr="00437CD6">
        <w:trPr>
          <w:trHeight w:val="345"/>
          <w:jc w:val="center"/>
        </w:trPr>
        <w:tc>
          <w:tcPr>
            <w:tcW w:w="921" w:type="dxa"/>
            <w:noWrap/>
            <w:hideMark/>
          </w:tcPr>
          <w:p w14:paraId="21DCAE2F"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lastRenderedPageBreak/>
              <w:t>Puebla</w:t>
            </w:r>
          </w:p>
        </w:tc>
        <w:tc>
          <w:tcPr>
            <w:tcW w:w="1201" w:type="dxa"/>
            <w:hideMark/>
          </w:tcPr>
          <w:p w14:paraId="2A130E8D" w14:textId="77777777" w:rsidR="007B34B8" w:rsidRPr="00BF4A51" w:rsidRDefault="007B34B8" w:rsidP="00BF4A51">
            <w:pPr>
              <w:spacing w:after="0" w:line="240" w:lineRule="auto"/>
              <w:jc w:val="center"/>
              <w:rPr>
                <w:rFonts w:ascii="ITC Avant Garde" w:hAnsi="ITC Avant Garde" w:cs="Arial"/>
                <w:sz w:val="11"/>
                <w:szCs w:val="11"/>
                <w:lang w:eastAsia="es-MX"/>
              </w:rPr>
            </w:pPr>
            <w:proofErr w:type="spellStart"/>
            <w:r w:rsidRPr="00BF4A51">
              <w:rPr>
                <w:rFonts w:ascii="ITC Avant Garde" w:hAnsi="ITC Avant Garde" w:cs="Arial"/>
                <w:sz w:val="11"/>
                <w:szCs w:val="11"/>
                <w:lang w:eastAsia="es-MX"/>
              </w:rPr>
              <w:t>Chiautzingo</w:t>
            </w:r>
            <w:proofErr w:type="spellEnd"/>
          </w:p>
        </w:tc>
        <w:tc>
          <w:tcPr>
            <w:tcW w:w="567" w:type="dxa"/>
            <w:noWrap/>
            <w:hideMark/>
          </w:tcPr>
          <w:p w14:paraId="38220A0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0CE730A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1C41E0B7"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26569DDB"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63F29813"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6CC0EF9C"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40B5244A"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003E0507"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66537E5C"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715C6DD7" w14:textId="77777777" w:rsidTr="00437CD6">
        <w:trPr>
          <w:trHeight w:val="345"/>
          <w:jc w:val="center"/>
        </w:trPr>
        <w:tc>
          <w:tcPr>
            <w:tcW w:w="921" w:type="dxa"/>
            <w:noWrap/>
            <w:hideMark/>
          </w:tcPr>
          <w:p w14:paraId="68C02A69"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Puebla</w:t>
            </w:r>
          </w:p>
        </w:tc>
        <w:tc>
          <w:tcPr>
            <w:tcW w:w="1201" w:type="dxa"/>
            <w:hideMark/>
          </w:tcPr>
          <w:p w14:paraId="2F27DD61"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Domingo Arenas</w:t>
            </w:r>
          </w:p>
        </w:tc>
        <w:tc>
          <w:tcPr>
            <w:tcW w:w="567" w:type="dxa"/>
            <w:noWrap/>
            <w:hideMark/>
          </w:tcPr>
          <w:p w14:paraId="2764A6E9"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5B63F5DC"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24DBE220"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227E9A01"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6DE6CA90"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49F5EAFA"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7A444B9D"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2915BB3A"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41BC56D8"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55D35BC8" w14:textId="77777777" w:rsidTr="00437CD6">
        <w:trPr>
          <w:trHeight w:val="345"/>
          <w:jc w:val="center"/>
        </w:trPr>
        <w:tc>
          <w:tcPr>
            <w:tcW w:w="921" w:type="dxa"/>
            <w:noWrap/>
            <w:hideMark/>
          </w:tcPr>
          <w:p w14:paraId="01EEB4FD"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Puebla</w:t>
            </w:r>
          </w:p>
        </w:tc>
        <w:tc>
          <w:tcPr>
            <w:tcW w:w="1201" w:type="dxa"/>
            <w:hideMark/>
          </w:tcPr>
          <w:p w14:paraId="3DA2065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Huejotzingo</w:t>
            </w:r>
          </w:p>
        </w:tc>
        <w:tc>
          <w:tcPr>
            <w:tcW w:w="567" w:type="dxa"/>
            <w:noWrap/>
            <w:hideMark/>
          </w:tcPr>
          <w:p w14:paraId="0BD9BC1B"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3B121E64"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4124C037"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39EEC84F"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18875FBC"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1C706B64"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1FD4A8BB"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3C59D9C3"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5E03E0C9"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11B7E176" w14:textId="77777777" w:rsidTr="00437CD6">
        <w:trPr>
          <w:trHeight w:val="345"/>
          <w:jc w:val="center"/>
        </w:trPr>
        <w:tc>
          <w:tcPr>
            <w:tcW w:w="921" w:type="dxa"/>
            <w:noWrap/>
            <w:hideMark/>
          </w:tcPr>
          <w:p w14:paraId="2874DC8D"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Puebla</w:t>
            </w:r>
          </w:p>
        </w:tc>
        <w:tc>
          <w:tcPr>
            <w:tcW w:w="1201" w:type="dxa"/>
            <w:hideMark/>
          </w:tcPr>
          <w:p w14:paraId="263DDF59"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Juan C. Bonilla</w:t>
            </w:r>
          </w:p>
        </w:tc>
        <w:tc>
          <w:tcPr>
            <w:tcW w:w="567" w:type="dxa"/>
            <w:noWrap/>
            <w:hideMark/>
          </w:tcPr>
          <w:p w14:paraId="2EAE0FCE"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66A12DB2"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5062FA07"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001EBBC2"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3615B374"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799248E6"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7C038D0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2F46078E"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2C9CAD7A"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3D7A1975" w14:textId="77777777" w:rsidTr="00437CD6">
        <w:trPr>
          <w:trHeight w:val="345"/>
          <w:jc w:val="center"/>
        </w:trPr>
        <w:tc>
          <w:tcPr>
            <w:tcW w:w="921" w:type="dxa"/>
            <w:noWrap/>
            <w:hideMark/>
          </w:tcPr>
          <w:p w14:paraId="565131ED"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Puebla</w:t>
            </w:r>
          </w:p>
        </w:tc>
        <w:tc>
          <w:tcPr>
            <w:tcW w:w="1201" w:type="dxa"/>
            <w:hideMark/>
          </w:tcPr>
          <w:p w14:paraId="03F52492" w14:textId="77777777" w:rsidR="007B34B8" w:rsidRPr="00BF4A51" w:rsidRDefault="007B34B8" w:rsidP="00BF4A51">
            <w:pPr>
              <w:spacing w:after="0" w:line="240" w:lineRule="auto"/>
              <w:jc w:val="center"/>
              <w:rPr>
                <w:rFonts w:ascii="ITC Avant Garde" w:hAnsi="ITC Avant Garde" w:cs="Arial"/>
                <w:sz w:val="11"/>
                <w:szCs w:val="11"/>
                <w:lang w:eastAsia="es-MX"/>
              </w:rPr>
            </w:pPr>
            <w:proofErr w:type="spellStart"/>
            <w:r w:rsidRPr="00BF4A51">
              <w:rPr>
                <w:rFonts w:ascii="ITC Avant Garde" w:hAnsi="ITC Avant Garde" w:cs="Arial"/>
                <w:sz w:val="11"/>
                <w:szCs w:val="11"/>
                <w:lang w:eastAsia="es-MX"/>
              </w:rPr>
              <w:t>Ocoyucan</w:t>
            </w:r>
            <w:proofErr w:type="spellEnd"/>
          </w:p>
        </w:tc>
        <w:tc>
          <w:tcPr>
            <w:tcW w:w="567" w:type="dxa"/>
            <w:noWrap/>
            <w:hideMark/>
          </w:tcPr>
          <w:p w14:paraId="6E88B5D9"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0DB54A9C"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7EFBF10D"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225B6A4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2808BE4C"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72792C4B"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2DA52C6A"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34A59907"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4FEC7610"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4B1CCBDC" w14:textId="77777777" w:rsidTr="00437CD6">
        <w:trPr>
          <w:trHeight w:val="345"/>
          <w:jc w:val="center"/>
        </w:trPr>
        <w:tc>
          <w:tcPr>
            <w:tcW w:w="921" w:type="dxa"/>
            <w:noWrap/>
            <w:hideMark/>
          </w:tcPr>
          <w:p w14:paraId="102F689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Puebla</w:t>
            </w:r>
          </w:p>
        </w:tc>
        <w:tc>
          <w:tcPr>
            <w:tcW w:w="1201" w:type="dxa"/>
            <w:hideMark/>
          </w:tcPr>
          <w:p w14:paraId="05CBF61F"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Puebla</w:t>
            </w:r>
          </w:p>
        </w:tc>
        <w:tc>
          <w:tcPr>
            <w:tcW w:w="567" w:type="dxa"/>
            <w:noWrap/>
            <w:hideMark/>
          </w:tcPr>
          <w:p w14:paraId="7CADBC81"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30259860"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2D5369ED"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741374C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2973BB4E"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57E55E0D"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1555F3D7"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1D782DCA"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26815814"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6B3A552D" w14:textId="77777777" w:rsidTr="00437CD6">
        <w:trPr>
          <w:trHeight w:val="345"/>
          <w:jc w:val="center"/>
        </w:trPr>
        <w:tc>
          <w:tcPr>
            <w:tcW w:w="921" w:type="dxa"/>
            <w:noWrap/>
            <w:hideMark/>
          </w:tcPr>
          <w:p w14:paraId="2AC59389"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Puebla</w:t>
            </w:r>
          </w:p>
        </w:tc>
        <w:tc>
          <w:tcPr>
            <w:tcW w:w="1201" w:type="dxa"/>
            <w:hideMark/>
          </w:tcPr>
          <w:p w14:paraId="78B9B5B9"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San Andrés Cholula</w:t>
            </w:r>
          </w:p>
        </w:tc>
        <w:tc>
          <w:tcPr>
            <w:tcW w:w="567" w:type="dxa"/>
            <w:noWrap/>
            <w:hideMark/>
          </w:tcPr>
          <w:p w14:paraId="077D7AF0"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73E1FF0F"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4002D34B"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4770AD00"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48A9C12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3363BB14"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140CB3CD"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465A8887"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1A3480B5"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4BE9EEF7" w14:textId="77777777" w:rsidTr="00437CD6">
        <w:trPr>
          <w:trHeight w:val="345"/>
          <w:jc w:val="center"/>
        </w:trPr>
        <w:tc>
          <w:tcPr>
            <w:tcW w:w="921" w:type="dxa"/>
            <w:noWrap/>
            <w:hideMark/>
          </w:tcPr>
          <w:p w14:paraId="37E28CBE"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Puebla</w:t>
            </w:r>
          </w:p>
        </w:tc>
        <w:tc>
          <w:tcPr>
            <w:tcW w:w="1201" w:type="dxa"/>
            <w:hideMark/>
          </w:tcPr>
          <w:p w14:paraId="093E365C"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 xml:space="preserve">San Felipe </w:t>
            </w:r>
            <w:proofErr w:type="spellStart"/>
            <w:r w:rsidRPr="00BF4A51">
              <w:rPr>
                <w:rFonts w:ascii="ITC Avant Garde" w:hAnsi="ITC Avant Garde" w:cs="Arial"/>
                <w:sz w:val="11"/>
                <w:szCs w:val="11"/>
                <w:lang w:eastAsia="es-MX"/>
              </w:rPr>
              <w:t>Teotlalcingo</w:t>
            </w:r>
            <w:proofErr w:type="spellEnd"/>
          </w:p>
        </w:tc>
        <w:tc>
          <w:tcPr>
            <w:tcW w:w="567" w:type="dxa"/>
            <w:noWrap/>
            <w:hideMark/>
          </w:tcPr>
          <w:p w14:paraId="32B81907"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5BA4DE7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5EF72231"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49E79D0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557FC63F"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21E53B47"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721FC4D8"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47CF7932"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7D694E33"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29EAD607" w14:textId="77777777" w:rsidTr="00437CD6">
        <w:trPr>
          <w:trHeight w:val="345"/>
          <w:jc w:val="center"/>
        </w:trPr>
        <w:tc>
          <w:tcPr>
            <w:tcW w:w="921" w:type="dxa"/>
            <w:noWrap/>
            <w:hideMark/>
          </w:tcPr>
          <w:p w14:paraId="68815E0F"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Puebla</w:t>
            </w:r>
          </w:p>
        </w:tc>
        <w:tc>
          <w:tcPr>
            <w:tcW w:w="1201" w:type="dxa"/>
            <w:hideMark/>
          </w:tcPr>
          <w:p w14:paraId="4602479B"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 xml:space="preserve">San Gregorio </w:t>
            </w:r>
            <w:proofErr w:type="spellStart"/>
            <w:r w:rsidRPr="00BF4A51">
              <w:rPr>
                <w:rFonts w:ascii="ITC Avant Garde" w:hAnsi="ITC Avant Garde" w:cs="Arial"/>
                <w:sz w:val="11"/>
                <w:szCs w:val="11"/>
                <w:lang w:eastAsia="es-MX"/>
              </w:rPr>
              <w:t>Atzompa</w:t>
            </w:r>
            <w:proofErr w:type="spellEnd"/>
          </w:p>
        </w:tc>
        <w:tc>
          <w:tcPr>
            <w:tcW w:w="567" w:type="dxa"/>
            <w:noWrap/>
            <w:hideMark/>
          </w:tcPr>
          <w:p w14:paraId="6081DD33"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710FC9D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05BF0E8E"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0D9E222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0690C700"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7B2F1181"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57BF7F24"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687D7CE4"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312D177D"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4C83246E" w14:textId="77777777" w:rsidTr="00437CD6">
        <w:trPr>
          <w:trHeight w:val="345"/>
          <w:jc w:val="center"/>
        </w:trPr>
        <w:tc>
          <w:tcPr>
            <w:tcW w:w="921" w:type="dxa"/>
            <w:noWrap/>
            <w:hideMark/>
          </w:tcPr>
          <w:p w14:paraId="31218630"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Puebla</w:t>
            </w:r>
          </w:p>
        </w:tc>
        <w:tc>
          <w:tcPr>
            <w:tcW w:w="1201" w:type="dxa"/>
            <w:hideMark/>
          </w:tcPr>
          <w:p w14:paraId="6E25A964"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San Martín Texmelucan</w:t>
            </w:r>
          </w:p>
        </w:tc>
        <w:tc>
          <w:tcPr>
            <w:tcW w:w="567" w:type="dxa"/>
            <w:noWrap/>
            <w:hideMark/>
          </w:tcPr>
          <w:p w14:paraId="35E045E2"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77E5BFF2"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4401A6BE"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0E669C5F"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118997B8"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668E31F4"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781F3BBF"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614413FB"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0BBF7F4B"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14600AB8" w14:textId="77777777" w:rsidTr="00437CD6">
        <w:trPr>
          <w:trHeight w:val="345"/>
          <w:jc w:val="center"/>
        </w:trPr>
        <w:tc>
          <w:tcPr>
            <w:tcW w:w="921" w:type="dxa"/>
            <w:noWrap/>
            <w:hideMark/>
          </w:tcPr>
          <w:p w14:paraId="5E19750A"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Puebla</w:t>
            </w:r>
          </w:p>
        </w:tc>
        <w:tc>
          <w:tcPr>
            <w:tcW w:w="1201" w:type="dxa"/>
            <w:hideMark/>
          </w:tcPr>
          <w:p w14:paraId="11ABDBC0"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 xml:space="preserve">San Miguel </w:t>
            </w:r>
            <w:proofErr w:type="spellStart"/>
            <w:r w:rsidRPr="00BF4A51">
              <w:rPr>
                <w:rFonts w:ascii="ITC Avant Garde" w:hAnsi="ITC Avant Garde" w:cs="Arial"/>
                <w:sz w:val="11"/>
                <w:szCs w:val="11"/>
                <w:lang w:eastAsia="es-MX"/>
              </w:rPr>
              <w:t>Xoxtla</w:t>
            </w:r>
            <w:proofErr w:type="spellEnd"/>
          </w:p>
        </w:tc>
        <w:tc>
          <w:tcPr>
            <w:tcW w:w="567" w:type="dxa"/>
            <w:noWrap/>
            <w:hideMark/>
          </w:tcPr>
          <w:p w14:paraId="091A036F"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4602730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67035B69"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06D6A7C2"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73EE846E"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205B70B1"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6EFEEC2C"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44B744D4"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45D841C5"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3A7C21E4" w14:textId="77777777" w:rsidTr="00437CD6">
        <w:trPr>
          <w:trHeight w:val="345"/>
          <w:jc w:val="center"/>
        </w:trPr>
        <w:tc>
          <w:tcPr>
            <w:tcW w:w="921" w:type="dxa"/>
            <w:noWrap/>
            <w:hideMark/>
          </w:tcPr>
          <w:p w14:paraId="4387FAC1"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Puebla</w:t>
            </w:r>
          </w:p>
        </w:tc>
        <w:tc>
          <w:tcPr>
            <w:tcW w:w="1201" w:type="dxa"/>
            <w:hideMark/>
          </w:tcPr>
          <w:p w14:paraId="52AB83A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San Pedro Cholula</w:t>
            </w:r>
          </w:p>
        </w:tc>
        <w:tc>
          <w:tcPr>
            <w:tcW w:w="567" w:type="dxa"/>
            <w:noWrap/>
            <w:hideMark/>
          </w:tcPr>
          <w:p w14:paraId="18E6405D"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543FE71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3290EC6B"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7CCA8BE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0165FE41"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40D7B54B"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2E52C222"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37EE670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4FF30E65"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705EA206" w14:textId="77777777" w:rsidTr="00437CD6">
        <w:trPr>
          <w:trHeight w:val="345"/>
          <w:jc w:val="center"/>
        </w:trPr>
        <w:tc>
          <w:tcPr>
            <w:tcW w:w="921" w:type="dxa"/>
            <w:noWrap/>
            <w:hideMark/>
          </w:tcPr>
          <w:p w14:paraId="472D0291"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Puebla</w:t>
            </w:r>
          </w:p>
        </w:tc>
        <w:tc>
          <w:tcPr>
            <w:tcW w:w="1201" w:type="dxa"/>
            <w:hideMark/>
          </w:tcPr>
          <w:p w14:paraId="24C84D3E"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San Salvador el Verde</w:t>
            </w:r>
          </w:p>
        </w:tc>
        <w:tc>
          <w:tcPr>
            <w:tcW w:w="567" w:type="dxa"/>
            <w:noWrap/>
            <w:hideMark/>
          </w:tcPr>
          <w:p w14:paraId="334811D3"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6EE09E5F"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3A2890BB"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41453744"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176603AC"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3FA79A67"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1BDB2EBF"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429D1A3F"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2004B9F5"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2664B0C3" w14:textId="77777777" w:rsidTr="00437CD6">
        <w:trPr>
          <w:trHeight w:val="345"/>
          <w:jc w:val="center"/>
        </w:trPr>
        <w:tc>
          <w:tcPr>
            <w:tcW w:w="921" w:type="dxa"/>
            <w:noWrap/>
            <w:hideMark/>
          </w:tcPr>
          <w:p w14:paraId="797ABEF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Puebla</w:t>
            </w:r>
          </w:p>
        </w:tc>
        <w:tc>
          <w:tcPr>
            <w:tcW w:w="1201" w:type="dxa"/>
            <w:hideMark/>
          </w:tcPr>
          <w:p w14:paraId="74FCA3BA" w14:textId="77777777" w:rsidR="007B34B8" w:rsidRPr="00BF4A51" w:rsidRDefault="007B34B8" w:rsidP="00BF4A51">
            <w:pPr>
              <w:spacing w:after="0" w:line="240" w:lineRule="auto"/>
              <w:jc w:val="center"/>
              <w:rPr>
                <w:rFonts w:ascii="ITC Avant Garde" w:hAnsi="ITC Avant Garde" w:cs="Arial"/>
                <w:sz w:val="11"/>
                <w:szCs w:val="11"/>
                <w:lang w:eastAsia="es-MX"/>
              </w:rPr>
            </w:pPr>
            <w:proofErr w:type="spellStart"/>
            <w:r w:rsidRPr="00BF4A51">
              <w:rPr>
                <w:rFonts w:ascii="ITC Avant Garde" w:hAnsi="ITC Avant Garde" w:cs="Arial"/>
                <w:sz w:val="11"/>
                <w:szCs w:val="11"/>
                <w:lang w:eastAsia="es-MX"/>
              </w:rPr>
              <w:t>Tepatlaxco</w:t>
            </w:r>
            <w:proofErr w:type="spellEnd"/>
            <w:r w:rsidRPr="00BF4A51">
              <w:rPr>
                <w:rFonts w:ascii="ITC Avant Garde" w:hAnsi="ITC Avant Garde" w:cs="Arial"/>
                <w:sz w:val="11"/>
                <w:szCs w:val="11"/>
                <w:lang w:eastAsia="es-MX"/>
              </w:rPr>
              <w:t xml:space="preserve"> de Hidalgo</w:t>
            </w:r>
          </w:p>
        </w:tc>
        <w:tc>
          <w:tcPr>
            <w:tcW w:w="567" w:type="dxa"/>
            <w:noWrap/>
            <w:hideMark/>
          </w:tcPr>
          <w:p w14:paraId="1B2217F9"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05FE799C"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0E8C1A76"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2FDFCA9B"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376C5674"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523D782E"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1B3866F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5DD2B492"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776630A2"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5343761D" w14:textId="77777777" w:rsidTr="00437CD6">
        <w:trPr>
          <w:trHeight w:val="345"/>
          <w:jc w:val="center"/>
        </w:trPr>
        <w:tc>
          <w:tcPr>
            <w:tcW w:w="921" w:type="dxa"/>
            <w:noWrap/>
            <w:hideMark/>
          </w:tcPr>
          <w:p w14:paraId="7FDDF0B1"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Puebla</w:t>
            </w:r>
          </w:p>
        </w:tc>
        <w:tc>
          <w:tcPr>
            <w:tcW w:w="1201" w:type="dxa"/>
            <w:hideMark/>
          </w:tcPr>
          <w:p w14:paraId="0067BDED" w14:textId="77777777" w:rsidR="007B34B8" w:rsidRPr="00BF4A51" w:rsidRDefault="007B34B8" w:rsidP="00BF4A51">
            <w:pPr>
              <w:spacing w:after="0" w:line="240" w:lineRule="auto"/>
              <w:jc w:val="center"/>
              <w:rPr>
                <w:rFonts w:ascii="ITC Avant Garde" w:hAnsi="ITC Avant Garde" w:cs="Arial"/>
                <w:sz w:val="11"/>
                <w:szCs w:val="11"/>
                <w:lang w:eastAsia="es-MX"/>
              </w:rPr>
            </w:pPr>
            <w:proofErr w:type="spellStart"/>
            <w:r w:rsidRPr="00BF4A51">
              <w:rPr>
                <w:rFonts w:ascii="ITC Avant Garde" w:hAnsi="ITC Avant Garde" w:cs="Arial"/>
                <w:sz w:val="11"/>
                <w:szCs w:val="11"/>
                <w:lang w:eastAsia="es-MX"/>
              </w:rPr>
              <w:t>Tlaltenango</w:t>
            </w:r>
            <w:proofErr w:type="spellEnd"/>
          </w:p>
        </w:tc>
        <w:tc>
          <w:tcPr>
            <w:tcW w:w="567" w:type="dxa"/>
            <w:noWrap/>
            <w:hideMark/>
          </w:tcPr>
          <w:p w14:paraId="26EDD7E2"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0D7FC81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7A2B7A5C"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7102061E"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75B19FE9"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3A50A6F4"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4321BB7A"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00221330"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3646C013"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659EF3CB" w14:textId="77777777" w:rsidTr="00437CD6">
        <w:trPr>
          <w:trHeight w:val="345"/>
          <w:jc w:val="center"/>
        </w:trPr>
        <w:tc>
          <w:tcPr>
            <w:tcW w:w="921" w:type="dxa"/>
            <w:noWrap/>
            <w:hideMark/>
          </w:tcPr>
          <w:p w14:paraId="5E171D43"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Tlaxcala</w:t>
            </w:r>
          </w:p>
        </w:tc>
        <w:tc>
          <w:tcPr>
            <w:tcW w:w="1201" w:type="dxa"/>
            <w:hideMark/>
          </w:tcPr>
          <w:p w14:paraId="37CA6E4E" w14:textId="77777777" w:rsidR="007B34B8" w:rsidRPr="00BF4A51" w:rsidRDefault="007B34B8" w:rsidP="00BF4A51">
            <w:pPr>
              <w:spacing w:after="0" w:line="240" w:lineRule="auto"/>
              <w:jc w:val="center"/>
              <w:rPr>
                <w:rFonts w:ascii="ITC Avant Garde" w:hAnsi="ITC Avant Garde" w:cs="Arial"/>
                <w:sz w:val="11"/>
                <w:szCs w:val="11"/>
                <w:lang w:eastAsia="es-MX"/>
              </w:rPr>
            </w:pPr>
            <w:proofErr w:type="spellStart"/>
            <w:r w:rsidRPr="00BF4A51">
              <w:rPr>
                <w:rFonts w:ascii="ITC Avant Garde" w:hAnsi="ITC Avant Garde" w:cs="Arial"/>
                <w:sz w:val="11"/>
                <w:szCs w:val="11"/>
                <w:lang w:eastAsia="es-MX"/>
              </w:rPr>
              <w:t>Ixtacuixtla</w:t>
            </w:r>
            <w:proofErr w:type="spellEnd"/>
            <w:r w:rsidRPr="00BF4A51">
              <w:rPr>
                <w:rFonts w:ascii="ITC Avant Garde" w:hAnsi="ITC Avant Garde" w:cs="Arial"/>
                <w:sz w:val="11"/>
                <w:szCs w:val="11"/>
                <w:lang w:eastAsia="es-MX"/>
              </w:rPr>
              <w:t xml:space="preserve"> de Mariano Matamoros</w:t>
            </w:r>
          </w:p>
        </w:tc>
        <w:tc>
          <w:tcPr>
            <w:tcW w:w="567" w:type="dxa"/>
            <w:noWrap/>
            <w:hideMark/>
          </w:tcPr>
          <w:p w14:paraId="6BF66D71"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67D17059"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68D0008A"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0EB191CA"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4D32BC30"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2E6A540E"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40277607"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44E7B552"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0823EF46"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4412C457" w14:textId="77777777" w:rsidTr="00437CD6">
        <w:trPr>
          <w:trHeight w:val="345"/>
          <w:jc w:val="center"/>
        </w:trPr>
        <w:tc>
          <w:tcPr>
            <w:tcW w:w="921" w:type="dxa"/>
            <w:noWrap/>
            <w:hideMark/>
          </w:tcPr>
          <w:p w14:paraId="1DFBA8C3"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Tlaxcala</w:t>
            </w:r>
          </w:p>
        </w:tc>
        <w:tc>
          <w:tcPr>
            <w:tcW w:w="1201" w:type="dxa"/>
            <w:hideMark/>
          </w:tcPr>
          <w:p w14:paraId="5A85F789" w14:textId="77777777" w:rsidR="007B34B8" w:rsidRPr="00BF4A51" w:rsidRDefault="007B34B8" w:rsidP="00BF4A51">
            <w:pPr>
              <w:spacing w:after="0" w:line="240" w:lineRule="auto"/>
              <w:jc w:val="center"/>
              <w:rPr>
                <w:rFonts w:ascii="ITC Avant Garde" w:hAnsi="ITC Avant Garde" w:cs="Arial"/>
                <w:sz w:val="11"/>
                <w:szCs w:val="11"/>
                <w:lang w:eastAsia="es-MX"/>
              </w:rPr>
            </w:pPr>
            <w:proofErr w:type="spellStart"/>
            <w:r w:rsidRPr="00BF4A51">
              <w:rPr>
                <w:rFonts w:ascii="ITC Avant Garde" w:hAnsi="ITC Avant Garde" w:cs="Arial"/>
                <w:sz w:val="11"/>
                <w:szCs w:val="11"/>
                <w:lang w:eastAsia="es-MX"/>
              </w:rPr>
              <w:t>Mazatecochco</w:t>
            </w:r>
            <w:proofErr w:type="spellEnd"/>
            <w:r w:rsidRPr="00BF4A51">
              <w:rPr>
                <w:rFonts w:ascii="ITC Avant Garde" w:hAnsi="ITC Avant Garde" w:cs="Arial"/>
                <w:sz w:val="11"/>
                <w:szCs w:val="11"/>
                <w:lang w:eastAsia="es-MX"/>
              </w:rPr>
              <w:t xml:space="preserve"> de José María Morelos</w:t>
            </w:r>
          </w:p>
        </w:tc>
        <w:tc>
          <w:tcPr>
            <w:tcW w:w="567" w:type="dxa"/>
            <w:noWrap/>
            <w:hideMark/>
          </w:tcPr>
          <w:p w14:paraId="60763389"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31A3F6C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7A3EC1E6"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54A188B1"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5405DD1E"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0000BA8B"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37011687"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3FC9FD14"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42FECD32"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3CD7C714" w14:textId="77777777" w:rsidTr="00437CD6">
        <w:trPr>
          <w:trHeight w:val="345"/>
          <w:jc w:val="center"/>
        </w:trPr>
        <w:tc>
          <w:tcPr>
            <w:tcW w:w="921" w:type="dxa"/>
            <w:noWrap/>
            <w:hideMark/>
          </w:tcPr>
          <w:p w14:paraId="1F031AE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Tlaxcala</w:t>
            </w:r>
          </w:p>
        </w:tc>
        <w:tc>
          <w:tcPr>
            <w:tcW w:w="1201" w:type="dxa"/>
            <w:hideMark/>
          </w:tcPr>
          <w:p w14:paraId="552B7C23" w14:textId="77777777" w:rsidR="007B34B8" w:rsidRPr="00BF4A51" w:rsidRDefault="007B34B8" w:rsidP="00BF4A51">
            <w:pPr>
              <w:spacing w:after="0" w:line="240" w:lineRule="auto"/>
              <w:jc w:val="center"/>
              <w:rPr>
                <w:rFonts w:ascii="ITC Avant Garde" w:hAnsi="ITC Avant Garde" w:cs="Arial"/>
                <w:sz w:val="11"/>
                <w:szCs w:val="11"/>
                <w:lang w:eastAsia="es-MX"/>
              </w:rPr>
            </w:pPr>
            <w:proofErr w:type="spellStart"/>
            <w:r w:rsidRPr="00BF4A51">
              <w:rPr>
                <w:rFonts w:ascii="ITC Avant Garde" w:hAnsi="ITC Avant Garde" w:cs="Arial"/>
                <w:sz w:val="11"/>
                <w:szCs w:val="11"/>
                <w:lang w:eastAsia="es-MX"/>
              </w:rPr>
              <w:t>Tepetitla</w:t>
            </w:r>
            <w:proofErr w:type="spellEnd"/>
            <w:r w:rsidRPr="00BF4A51">
              <w:rPr>
                <w:rFonts w:ascii="ITC Avant Garde" w:hAnsi="ITC Avant Garde" w:cs="Arial"/>
                <w:sz w:val="11"/>
                <w:szCs w:val="11"/>
                <w:lang w:eastAsia="es-MX"/>
              </w:rPr>
              <w:t xml:space="preserve"> de Lardizábal</w:t>
            </w:r>
          </w:p>
        </w:tc>
        <w:tc>
          <w:tcPr>
            <w:tcW w:w="567" w:type="dxa"/>
            <w:noWrap/>
            <w:hideMark/>
          </w:tcPr>
          <w:p w14:paraId="0046265B"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1E3A2A28"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387003BF"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3C4C75A0"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5C4960A7"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060DC53B"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595424C0"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0C12BC0F"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45C54AEA"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45A6465C" w14:textId="77777777" w:rsidTr="00437CD6">
        <w:trPr>
          <w:trHeight w:val="345"/>
          <w:jc w:val="center"/>
        </w:trPr>
        <w:tc>
          <w:tcPr>
            <w:tcW w:w="921" w:type="dxa"/>
            <w:noWrap/>
            <w:hideMark/>
          </w:tcPr>
          <w:p w14:paraId="3CFD1C7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Tlaxcala</w:t>
            </w:r>
          </w:p>
        </w:tc>
        <w:tc>
          <w:tcPr>
            <w:tcW w:w="1201" w:type="dxa"/>
            <w:hideMark/>
          </w:tcPr>
          <w:p w14:paraId="5539BEAC" w14:textId="77777777" w:rsidR="007B34B8" w:rsidRPr="00BF4A51" w:rsidRDefault="007B34B8" w:rsidP="00BF4A51">
            <w:pPr>
              <w:spacing w:after="0" w:line="240" w:lineRule="auto"/>
              <w:jc w:val="center"/>
              <w:rPr>
                <w:rFonts w:ascii="ITC Avant Garde" w:hAnsi="ITC Avant Garde" w:cs="Arial"/>
                <w:sz w:val="11"/>
                <w:szCs w:val="11"/>
                <w:lang w:eastAsia="es-MX"/>
              </w:rPr>
            </w:pPr>
            <w:proofErr w:type="spellStart"/>
            <w:r w:rsidRPr="00BF4A51">
              <w:rPr>
                <w:rFonts w:ascii="ITC Avant Garde" w:hAnsi="ITC Avant Garde" w:cs="Arial"/>
                <w:sz w:val="11"/>
                <w:szCs w:val="11"/>
                <w:lang w:eastAsia="es-MX"/>
              </w:rPr>
              <w:t>Acuamanala</w:t>
            </w:r>
            <w:proofErr w:type="spellEnd"/>
            <w:r w:rsidRPr="00BF4A51">
              <w:rPr>
                <w:rFonts w:ascii="ITC Avant Garde" w:hAnsi="ITC Avant Garde" w:cs="Arial"/>
                <w:sz w:val="11"/>
                <w:szCs w:val="11"/>
                <w:lang w:eastAsia="es-MX"/>
              </w:rPr>
              <w:t xml:space="preserve"> de Miguel Hidalgo</w:t>
            </w:r>
          </w:p>
        </w:tc>
        <w:tc>
          <w:tcPr>
            <w:tcW w:w="567" w:type="dxa"/>
            <w:noWrap/>
            <w:hideMark/>
          </w:tcPr>
          <w:p w14:paraId="2354A43A"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012D1373"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394FD61B"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46D58D8B"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09A3FA98"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72D15EAD"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6529FB4C"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169A748B"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3E75BB7B"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219CE39D" w14:textId="77777777" w:rsidTr="00437CD6">
        <w:trPr>
          <w:trHeight w:val="345"/>
          <w:jc w:val="center"/>
        </w:trPr>
        <w:tc>
          <w:tcPr>
            <w:tcW w:w="921" w:type="dxa"/>
            <w:noWrap/>
            <w:hideMark/>
          </w:tcPr>
          <w:p w14:paraId="16E607BF"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Tlaxcala</w:t>
            </w:r>
          </w:p>
        </w:tc>
        <w:tc>
          <w:tcPr>
            <w:tcW w:w="1201" w:type="dxa"/>
            <w:hideMark/>
          </w:tcPr>
          <w:p w14:paraId="11C3F970" w14:textId="77777777" w:rsidR="007B34B8" w:rsidRPr="00BF4A51" w:rsidRDefault="007B34B8" w:rsidP="00BF4A51">
            <w:pPr>
              <w:spacing w:after="0" w:line="240" w:lineRule="auto"/>
              <w:jc w:val="center"/>
              <w:rPr>
                <w:rFonts w:ascii="ITC Avant Garde" w:hAnsi="ITC Avant Garde" w:cs="Arial"/>
                <w:sz w:val="11"/>
                <w:szCs w:val="11"/>
                <w:lang w:eastAsia="es-MX"/>
              </w:rPr>
            </w:pPr>
            <w:proofErr w:type="spellStart"/>
            <w:r w:rsidRPr="00BF4A51">
              <w:rPr>
                <w:rFonts w:ascii="ITC Avant Garde" w:hAnsi="ITC Avant Garde" w:cs="Arial"/>
                <w:sz w:val="11"/>
                <w:szCs w:val="11"/>
                <w:lang w:eastAsia="es-MX"/>
              </w:rPr>
              <w:t>Natívitas</w:t>
            </w:r>
            <w:proofErr w:type="spellEnd"/>
          </w:p>
        </w:tc>
        <w:tc>
          <w:tcPr>
            <w:tcW w:w="567" w:type="dxa"/>
            <w:noWrap/>
            <w:hideMark/>
          </w:tcPr>
          <w:p w14:paraId="2645095E"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41852028"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2B2F8389"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58D5F2EA"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22D4D42D"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59DC7BAB"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7A81273C"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47CB1A03"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55B1D09C"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5B3347B7" w14:textId="77777777" w:rsidTr="00437CD6">
        <w:trPr>
          <w:trHeight w:val="345"/>
          <w:jc w:val="center"/>
        </w:trPr>
        <w:tc>
          <w:tcPr>
            <w:tcW w:w="921" w:type="dxa"/>
            <w:noWrap/>
            <w:hideMark/>
          </w:tcPr>
          <w:p w14:paraId="1AD4C9F1"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Tlaxcala</w:t>
            </w:r>
          </w:p>
        </w:tc>
        <w:tc>
          <w:tcPr>
            <w:tcW w:w="1201" w:type="dxa"/>
            <w:hideMark/>
          </w:tcPr>
          <w:p w14:paraId="7053D619"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San Pablo del Monte</w:t>
            </w:r>
          </w:p>
        </w:tc>
        <w:tc>
          <w:tcPr>
            <w:tcW w:w="567" w:type="dxa"/>
            <w:noWrap/>
            <w:hideMark/>
          </w:tcPr>
          <w:p w14:paraId="5B497C1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2D2A2D5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461A11CF"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712A1CAB"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779AD097"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09413675"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25D2D4E3"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243DCCA7"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71E0E161"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614FF5E5" w14:textId="77777777" w:rsidTr="00437CD6">
        <w:trPr>
          <w:trHeight w:val="345"/>
          <w:jc w:val="center"/>
        </w:trPr>
        <w:tc>
          <w:tcPr>
            <w:tcW w:w="921" w:type="dxa"/>
            <w:noWrap/>
            <w:hideMark/>
          </w:tcPr>
          <w:p w14:paraId="59530C8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Tlaxcala</w:t>
            </w:r>
          </w:p>
        </w:tc>
        <w:tc>
          <w:tcPr>
            <w:tcW w:w="1201" w:type="dxa"/>
            <w:hideMark/>
          </w:tcPr>
          <w:p w14:paraId="621450BC"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Tenancingo</w:t>
            </w:r>
          </w:p>
        </w:tc>
        <w:tc>
          <w:tcPr>
            <w:tcW w:w="567" w:type="dxa"/>
            <w:noWrap/>
            <w:hideMark/>
          </w:tcPr>
          <w:p w14:paraId="406A3741"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45D6953A"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54279907"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0E267BE9"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756C4F5D"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572DAC0D"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0E2E65F0"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25095B4A"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72FFFB13"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1D0ABDD8" w14:textId="77777777" w:rsidTr="00437CD6">
        <w:trPr>
          <w:trHeight w:val="345"/>
          <w:jc w:val="center"/>
        </w:trPr>
        <w:tc>
          <w:tcPr>
            <w:tcW w:w="921" w:type="dxa"/>
            <w:noWrap/>
            <w:hideMark/>
          </w:tcPr>
          <w:p w14:paraId="539944E8"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Tlaxcala</w:t>
            </w:r>
          </w:p>
        </w:tc>
        <w:tc>
          <w:tcPr>
            <w:tcW w:w="1201" w:type="dxa"/>
            <w:hideMark/>
          </w:tcPr>
          <w:p w14:paraId="39F555A5" w14:textId="77777777" w:rsidR="007B34B8" w:rsidRPr="00BF4A51" w:rsidRDefault="007B34B8" w:rsidP="00BF4A51">
            <w:pPr>
              <w:spacing w:after="0" w:line="240" w:lineRule="auto"/>
              <w:jc w:val="center"/>
              <w:rPr>
                <w:rFonts w:ascii="ITC Avant Garde" w:hAnsi="ITC Avant Garde" w:cs="Arial"/>
                <w:sz w:val="11"/>
                <w:szCs w:val="11"/>
                <w:lang w:eastAsia="es-MX"/>
              </w:rPr>
            </w:pPr>
            <w:proofErr w:type="spellStart"/>
            <w:r w:rsidRPr="00BF4A51">
              <w:rPr>
                <w:rFonts w:ascii="ITC Avant Garde" w:hAnsi="ITC Avant Garde" w:cs="Arial"/>
                <w:sz w:val="11"/>
                <w:szCs w:val="11"/>
                <w:lang w:eastAsia="es-MX"/>
              </w:rPr>
              <w:t>Teolocholco</w:t>
            </w:r>
            <w:proofErr w:type="spellEnd"/>
          </w:p>
        </w:tc>
        <w:tc>
          <w:tcPr>
            <w:tcW w:w="567" w:type="dxa"/>
            <w:noWrap/>
            <w:hideMark/>
          </w:tcPr>
          <w:p w14:paraId="13E35ADC"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14215B14"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5EAFC7BC"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188E5D5A"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28A0084F"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1E6B8489"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1DC83A5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2572C26C"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3E996028"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46954DF2" w14:textId="77777777" w:rsidTr="00437CD6">
        <w:trPr>
          <w:trHeight w:val="345"/>
          <w:jc w:val="center"/>
        </w:trPr>
        <w:tc>
          <w:tcPr>
            <w:tcW w:w="921" w:type="dxa"/>
            <w:noWrap/>
            <w:hideMark/>
          </w:tcPr>
          <w:p w14:paraId="4021BCBE"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Tlaxcala</w:t>
            </w:r>
          </w:p>
        </w:tc>
        <w:tc>
          <w:tcPr>
            <w:tcW w:w="1201" w:type="dxa"/>
            <w:hideMark/>
          </w:tcPr>
          <w:p w14:paraId="6952A47B" w14:textId="77777777" w:rsidR="007B34B8" w:rsidRPr="00BF4A51" w:rsidRDefault="007B34B8" w:rsidP="00BF4A51">
            <w:pPr>
              <w:spacing w:after="0" w:line="240" w:lineRule="auto"/>
              <w:jc w:val="center"/>
              <w:rPr>
                <w:rFonts w:ascii="ITC Avant Garde" w:hAnsi="ITC Avant Garde" w:cs="Arial"/>
                <w:sz w:val="11"/>
                <w:szCs w:val="11"/>
                <w:lang w:eastAsia="es-MX"/>
              </w:rPr>
            </w:pPr>
            <w:proofErr w:type="spellStart"/>
            <w:r w:rsidRPr="00BF4A51">
              <w:rPr>
                <w:rFonts w:ascii="ITC Avant Garde" w:hAnsi="ITC Avant Garde" w:cs="Arial"/>
                <w:sz w:val="11"/>
                <w:szCs w:val="11"/>
                <w:lang w:eastAsia="es-MX"/>
              </w:rPr>
              <w:t>Tepeyanco</w:t>
            </w:r>
            <w:proofErr w:type="spellEnd"/>
          </w:p>
        </w:tc>
        <w:tc>
          <w:tcPr>
            <w:tcW w:w="567" w:type="dxa"/>
            <w:noWrap/>
            <w:hideMark/>
          </w:tcPr>
          <w:p w14:paraId="227CEC42"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2D807732"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34697D20"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4DF204CC"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58AEED9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49DD6769"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4DD511C4"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02177841"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596D063E"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1BA4F217" w14:textId="77777777" w:rsidTr="00437CD6">
        <w:trPr>
          <w:trHeight w:val="345"/>
          <w:jc w:val="center"/>
        </w:trPr>
        <w:tc>
          <w:tcPr>
            <w:tcW w:w="921" w:type="dxa"/>
            <w:noWrap/>
            <w:hideMark/>
          </w:tcPr>
          <w:p w14:paraId="68DC0A17"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Tlaxcala</w:t>
            </w:r>
          </w:p>
        </w:tc>
        <w:tc>
          <w:tcPr>
            <w:tcW w:w="1201" w:type="dxa"/>
            <w:hideMark/>
          </w:tcPr>
          <w:p w14:paraId="5C7BF1A4" w14:textId="77777777" w:rsidR="007B34B8" w:rsidRPr="00BF4A51" w:rsidRDefault="007B34B8" w:rsidP="00BF4A51">
            <w:pPr>
              <w:spacing w:after="0" w:line="240" w:lineRule="auto"/>
              <w:jc w:val="center"/>
              <w:rPr>
                <w:rFonts w:ascii="ITC Avant Garde" w:hAnsi="ITC Avant Garde" w:cs="Arial"/>
                <w:sz w:val="11"/>
                <w:szCs w:val="11"/>
                <w:lang w:eastAsia="es-MX"/>
              </w:rPr>
            </w:pPr>
            <w:proofErr w:type="spellStart"/>
            <w:r w:rsidRPr="00BF4A51">
              <w:rPr>
                <w:rFonts w:ascii="ITC Avant Garde" w:hAnsi="ITC Avant Garde" w:cs="Arial"/>
                <w:sz w:val="11"/>
                <w:szCs w:val="11"/>
                <w:lang w:eastAsia="es-MX"/>
              </w:rPr>
              <w:t>Tetlatlahuca</w:t>
            </w:r>
            <w:proofErr w:type="spellEnd"/>
          </w:p>
        </w:tc>
        <w:tc>
          <w:tcPr>
            <w:tcW w:w="567" w:type="dxa"/>
            <w:noWrap/>
            <w:hideMark/>
          </w:tcPr>
          <w:p w14:paraId="19F1FFE4"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73F28319"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399C5BE8"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3E7E96A4"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1965F6BC"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77B74603"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4D05D860"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744ABB4E"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720096C5"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337AE27C" w14:textId="77777777" w:rsidTr="00437CD6">
        <w:trPr>
          <w:trHeight w:val="345"/>
          <w:jc w:val="center"/>
        </w:trPr>
        <w:tc>
          <w:tcPr>
            <w:tcW w:w="921" w:type="dxa"/>
            <w:noWrap/>
            <w:hideMark/>
          </w:tcPr>
          <w:p w14:paraId="21E80CD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Tlaxcala</w:t>
            </w:r>
          </w:p>
        </w:tc>
        <w:tc>
          <w:tcPr>
            <w:tcW w:w="1201" w:type="dxa"/>
            <w:hideMark/>
          </w:tcPr>
          <w:p w14:paraId="5E413539" w14:textId="77777777" w:rsidR="007B34B8" w:rsidRPr="00BF4A51" w:rsidRDefault="007B34B8" w:rsidP="00BF4A51">
            <w:pPr>
              <w:spacing w:after="0" w:line="240" w:lineRule="auto"/>
              <w:jc w:val="center"/>
              <w:rPr>
                <w:rFonts w:ascii="ITC Avant Garde" w:hAnsi="ITC Avant Garde" w:cs="Arial"/>
                <w:sz w:val="11"/>
                <w:szCs w:val="11"/>
                <w:lang w:eastAsia="es-MX"/>
              </w:rPr>
            </w:pPr>
            <w:proofErr w:type="spellStart"/>
            <w:r w:rsidRPr="00BF4A51">
              <w:rPr>
                <w:rFonts w:ascii="ITC Avant Garde" w:hAnsi="ITC Avant Garde" w:cs="Arial"/>
                <w:sz w:val="11"/>
                <w:szCs w:val="11"/>
                <w:lang w:eastAsia="es-MX"/>
              </w:rPr>
              <w:t>Papalotla</w:t>
            </w:r>
            <w:proofErr w:type="spellEnd"/>
            <w:r w:rsidRPr="00BF4A51">
              <w:rPr>
                <w:rFonts w:ascii="ITC Avant Garde" w:hAnsi="ITC Avant Garde" w:cs="Arial"/>
                <w:sz w:val="11"/>
                <w:szCs w:val="11"/>
                <w:lang w:eastAsia="es-MX"/>
              </w:rPr>
              <w:t xml:space="preserve"> de </w:t>
            </w:r>
            <w:proofErr w:type="spellStart"/>
            <w:r w:rsidRPr="00BF4A51">
              <w:rPr>
                <w:rFonts w:ascii="ITC Avant Garde" w:hAnsi="ITC Avant Garde" w:cs="Arial"/>
                <w:sz w:val="11"/>
                <w:szCs w:val="11"/>
                <w:lang w:eastAsia="es-MX"/>
              </w:rPr>
              <w:t>Xicohténcatl</w:t>
            </w:r>
            <w:proofErr w:type="spellEnd"/>
          </w:p>
        </w:tc>
        <w:tc>
          <w:tcPr>
            <w:tcW w:w="567" w:type="dxa"/>
            <w:noWrap/>
            <w:hideMark/>
          </w:tcPr>
          <w:p w14:paraId="06A3B07D"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50B66AA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012647D6"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349E94F0"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42C49DDF"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0BE93B76"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0D9AC59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059AA2F3"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1869F223"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237BD3C4" w14:textId="77777777" w:rsidTr="00437CD6">
        <w:trPr>
          <w:trHeight w:val="345"/>
          <w:jc w:val="center"/>
        </w:trPr>
        <w:tc>
          <w:tcPr>
            <w:tcW w:w="921" w:type="dxa"/>
            <w:noWrap/>
            <w:hideMark/>
          </w:tcPr>
          <w:p w14:paraId="0C4F8A9D"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Tlaxcala</w:t>
            </w:r>
          </w:p>
        </w:tc>
        <w:tc>
          <w:tcPr>
            <w:tcW w:w="1201" w:type="dxa"/>
            <w:hideMark/>
          </w:tcPr>
          <w:p w14:paraId="62855B29" w14:textId="77777777" w:rsidR="007B34B8" w:rsidRPr="00BF4A51" w:rsidRDefault="007B34B8" w:rsidP="00BF4A51">
            <w:pPr>
              <w:spacing w:after="0" w:line="240" w:lineRule="auto"/>
              <w:jc w:val="center"/>
              <w:rPr>
                <w:rFonts w:ascii="ITC Avant Garde" w:hAnsi="ITC Avant Garde" w:cs="Arial"/>
                <w:sz w:val="11"/>
                <w:szCs w:val="11"/>
                <w:lang w:eastAsia="es-MX"/>
              </w:rPr>
            </w:pPr>
            <w:proofErr w:type="spellStart"/>
            <w:r w:rsidRPr="00BF4A51">
              <w:rPr>
                <w:rFonts w:ascii="ITC Avant Garde" w:hAnsi="ITC Avant Garde" w:cs="Arial"/>
                <w:sz w:val="11"/>
                <w:szCs w:val="11"/>
                <w:lang w:eastAsia="es-MX"/>
              </w:rPr>
              <w:t>Xicohtzinco</w:t>
            </w:r>
            <w:proofErr w:type="spellEnd"/>
          </w:p>
        </w:tc>
        <w:tc>
          <w:tcPr>
            <w:tcW w:w="567" w:type="dxa"/>
            <w:noWrap/>
            <w:hideMark/>
          </w:tcPr>
          <w:p w14:paraId="31072197"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79A074B2"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1BA9BE83"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59FE6627"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0FA1D9B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4F29D20A"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126BA8F2"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473D0130"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0A636DE6"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00834370" w14:textId="77777777" w:rsidTr="00437CD6">
        <w:trPr>
          <w:trHeight w:val="345"/>
          <w:jc w:val="center"/>
        </w:trPr>
        <w:tc>
          <w:tcPr>
            <w:tcW w:w="921" w:type="dxa"/>
            <w:noWrap/>
            <w:hideMark/>
          </w:tcPr>
          <w:p w14:paraId="6077DD6B"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Tlaxcala</w:t>
            </w:r>
          </w:p>
        </w:tc>
        <w:tc>
          <w:tcPr>
            <w:tcW w:w="1201" w:type="dxa"/>
            <w:hideMark/>
          </w:tcPr>
          <w:p w14:paraId="71763C31" w14:textId="77777777" w:rsidR="007B34B8" w:rsidRPr="00BF4A51" w:rsidRDefault="007B34B8" w:rsidP="00BF4A51">
            <w:pPr>
              <w:spacing w:after="0" w:line="240" w:lineRule="auto"/>
              <w:jc w:val="center"/>
              <w:rPr>
                <w:rFonts w:ascii="ITC Avant Garde" w:hAnsi="ITC Avant Garde" w:cs="Arial"/>
                <w:sz w:val="11"/>
                <w:szCs w:val="11"/>
                <w:lang w:eastAsia="es-MX"/>
              </w:rPr>
            </w:pPr>
            <w:proofErr w:type="spellStart"/>
            <w:r w:rsidRPr="00BF4A51">
              <w:rPr>
                <w:rFonts w:ascii="ITC Avant Garde" w:hAnsi="ITC Avant Garde" w:cs="Arial"/>
                <w:sz w:val="11"/>
                <w:szCs w:val="11"/>
                <w:lang w:eastAsia="es-MX"/>
              </w:rPr>
              <w:t>Zacatelco</w:t>
            </w:r>
            <w:proofErr w:type="spellEnd"/>
          </w:p>
        </w:tc>
        <w:tc>
          <w:tcPr>
            <w:tcW w:w="567" w:type="dxa"/>
            <w:noWrap/>
            <w:hideMark/>
          </w:tcPr>
          <w:p w14:paraId="5FF01A5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192F3CDF"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443EF281"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3DEA213F"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5A0A3451"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5485FDBD"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33640E3B"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2082CDB8"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551ACEFB"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7A0042C7" w14:textId="77777777" w:rsidTr="00437CD6">
        <w:trPr>
          <w:trHeight w:val="345"/>
          <w:jc w:val="center"/>
        </w:trPr>
        <w:tc>
          <w:tcPr>
            <w:tcW w:w="921" w:type="dxa"/>
            <w:noWrap/>
            <w:hideMark/>
          </w:tcPr>
          <w:p w14:paraId="46BEC168"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Tlaxcala</w:t>
            </w:r>
          </w:p>
        </w:tc>
        <w:tc>
          <w:tcPr>
            <w:tcW w:w="1201" w:type="dxa"/>
            <w:hideMark/>
          </w:tcPr>
          <w:p w14:paraId="1F0E829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San Jerónimo Zacualpan</w:t>
            </w:r>
          </w:p>
        </w:tc>
        <w:tc>
          <w:tcPr>
            <w:tcW w:w="567" w:type="dxa"/>
            <w:noWrap/>
            <w:hideMark/>
          </w:tcPr>
          <w:p w14:paraId="0AB45E3B"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448FB794"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588280CE"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2194491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50C49A32"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215C5BC3"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6F391B62"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7CDC6CBE"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2F44B5D4"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4B319EA4" w14:textId="77777777" w:rsidTr="00437CD6">
        <w:trPr>
          <w:trHeight w:val="345"/>
          <w:jc w:val="center"/>
        </w:trPr>
        <w:tc>
          <w:tcPr>
            <w:tcW w:w="921" w:type="dxa"/>
            <w:noWrap/>
            <w:hideMark/>
          </w:tcPr>
          <w:p w14:paraId="770ED868"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Tlaxcala</w:t>
            </w:r>
          </w:p>
        </w:tc>
        <w:tc>
          <w:tcPr>
            <w:tcW w:w="1201" w:type="dxa"/>
            <w:hideMark/>
          </w:tcPr>
          <w:p w14:paraId="0F91016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 xml:space="preserve">San Juan </w:t>
            </w:r>
            <w:proofErr w:type="spellStart"/>
            <w:r w:rsidRPr="00BF4A51">
              <w:rPr>
                <w:rFonts w:ascii="ITC Avant Garde" w:hAnsi="ITC Avant Garde" w:cs="Arial"/>
                <w:sz w:val="11"/>
                <w:szCs w:val="11"/>
                <w:lang w:eastAsia="es-MX"/>
              </w:rPr>
              <w:t>Huactzinco</w:t>
            </w:r>
            <w:proofErr w:type="spellEnd"/>
          </w:p>
        </w:tc>
        <w:tc>
          <w:tcPr>
            <w:tcW w:w="567" w:type="dxa"/>
            <w:noWrap/>
            <w:hideMark/>
          </w:tcPr>
          <w:p w14:paraId="48EF640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22DCF5F9"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11D5295A"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39A017A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4DB7E663"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230E4ED1"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76F25C2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4AC60ECC"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2B327EA7"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35B899DD" w14:textId="77777777" w:rsidTr="00437CD6">
        <w:trPr>
          <w:trHeight w:val="345"/>
          <w:jc w:val="center"/>
        </w:trPr>
        <w:tc>
          <w:tcPr>
            <w:tcW w:w="921" w:type="dxa"/>
            <w:noWrap/>
            <w:hideMark/>
          </w:tcPr>
          <w:p w14:paraId="499FC87A"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Tlaxcala</w:t>
            </w:r>
          </w:p>
        </w:tc>
        <w:tc>
          <w:tcPr>
            <w:tcW w:w="1201" w:type="dxa"/>
            <w:hideMark/>
          </w:tcPr>
          <w:p w14:paraId="11DAD46D"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 xml:space="preserve">San Lorenzo </w:t>
            </w:r>
            <w:proofErr w:type="spellStart"/>
            <w:r w:rsidRPr="00BF4A51">
              <w:rPr>
                <w:rFonts w:ascii="ITC Avant Garde" w:hAnsi="ITC Avant Garde" w:cs="Arial"/>
                <w:sz w:val="11"/>
                <w:szCs w:val="11"/>
                <w:lang w:eastAsia="es-MX"/>
              </w:rPr>
              <w:t>Axocomanitla</w:t>
            </w:r>
            <w:proofErr w:type="spellEnd"/>
          </w:p>
        </w:tc>
        <w:tc>
          <w:tcPr>
            <w:tcW w:w="567" w:type="dxa"/>
            <w:noWrap/>
            <w:hideMark/>
          </w:tcPr>
          <w:p w14:paraId="131426DA"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07233717"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6D05222D"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78FD1AB8"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20F7072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3FD9EB7C"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262BD41B"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7A74E46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716B2007"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2320B80D" w14:textId="77777777" w:rsidTr="00437CD6">
        <w:trPr>
          <w:trHeight w:val="345"/>
          <w:jc w:val="center"/>
        </w:trPr>
        <w:tc>
          <w:tcPr>
            <w:tcW w:w="921" w:type="dxa"/>
            <w:noWrap/>
            <w:hideMark/>
          </w:tcPr>
          <w:p w14:paraId="05F38DBA"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Tlaxcala</w:t>
            </w:r>
          </w:p>
        </w:tc>
        <w:tc>
          <w:tcPr>
            <w:tcW w:w="1201" w:type="dxa"/>
            <w:hideMark/>
          </w:tcPr>
          <w:p w14:paraId="6B90D543"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 xml:space="preserve">Santa Ana </w:t>
            </w:r>
            <w:proofErr w:type="spellStart"/>
            <w:r w:rsidRPr="00BF4A51">
              <w:rPr>
                <w:rFonts w:ascii="ITC Avant Garde" w:hAnsi="ITC Avant Garde" w:cs="Arial"/>
                <w:sz w:val="11"/>
                <w:szCs w:val="11"/>
                <w:lang w:eastAsia="es-MX"/>
              </w:rPr>
              <w:t>Nopalucan</w:t>
            </w:r>
            <w:proofErr w:type="spellEnd"/>
          </w:p>
        </w:tc>
        <w:tc>
          <w:tcPr>
            <w:tcW w:w="567" w:type="dxa"/>
            <w:noWrap/>
            <w:hideMark/>
          </w:tcPr>
          <w:p w14:paraId="2E524A20"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25F27EED"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62FC00A5"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78B19CC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50D821CF"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0E95DFF0"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26BCB69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30B5350B"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32C0A257"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269C8BAC" w14:textId="77777777" w:rsidTr="00437CD6">
        <w:trPr>
          <w:trHeight w:val="345"/>
          <w:jc w:val="center"/>
        </w:trPr>
        <w:tc>
          <w:tcPr>
            <w:tcW w:w="921" w:type="dxa"/>
            <w:noWrap/>
            <w:hideMark/>
          </w:tcPr>
          <w:p w14:paraId="3941996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lastRenderedPageBreak/>
              <w:t>Tlaxcala</w:t>
            </w:r>
          </w:p>
        </w:tc>
        <w:tc>
          <w:tcPr>
            <w:tcW w:w="1201" w:type="dxa"/>
            <w:hideMark/>
          </w:tcPr>
          <w:p w14:paraId="24A6AD42"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 xml:space="preserve">Santa Apolonia </w:t>
            </w:r>
            <w:proofErr w:type="spellStart"/>
            <w:r w:rsidRPr="00BF4A51">
              <w:rPr>
                <w:rFonts w:ascii="ITC Avant Garde" w:hAnsi="ITC Avant Garde" w:cs="Arial"/>
                <w:sz w:val="11"/>
                <w:szCs w:val="11"/>
                <w:lang w:eastAsia="es-MX"/>
              </w:rPr>
              <w:t>Teacalco</w:t>
            </w:r>
            <w:proofErr w:type="spellEnd"/>
          </w:p>
        </w:tc>
        <w:tc>
          <w:tcPr>
            <w:tcW w:w="567" w:type="dxa"/>
            <w:noWrap/>
            <w:hideMark/>
          </w:tcPr>
          <w:p w14:paraId="2951703B"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344B4434"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46843E48"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5A561D42"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34AD434C"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75FB77AC"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4B2B031C"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4C232C4D"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7C676BB9"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537ED729" w14:textId="77777777" w:rsidTr="00437CD6">
        <w:trPr>
          <w:trHeight w:val="345"/>
          <w:jc w:val="center"/>
        </w:trPr>
        <w:tc>
          <w:tcPr>
            <w:tcW w:w="921" w:type="dxa"/>
            <w:noWrap/>
            <w:hideMark/>
          </w:tcPr>
          <w:p w14:paraId="5EA71BE0"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Tlaxcala</w:t>
            </w:r>
          </w:p>
        </w:tc>
        <w:tc>
          <w:tcPr>
            <w:tcW w:w="1201" w:type="dxa"/>
            <w:hideMark/>
          </w:tcPr>
          <w:p w14:paraId="4BE54AC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 xml:space="preserve">Santa Catarina </w:t>
            </w:r>
            <w:proofErr w:type="spellStart"/>
            <w:r w:rsidRPr="00BF4A51">
              <w:rPr>
                <w:rFonts w:ascii="ITC Avant Garde" w:hAnsi="ITC Avant Garde" w:cs="Arial"/>
                <w:sz w:val="11"/>
                <w:szCs w:val="11"/>
                <w:lang w:eastAsia="es-MX"/>
              </w:rPr>
              <w:t>Ayometla</w:t>
            </w:r>
            <w:proofErr w:type="spellEnd"/>
          </w:p>
        </w:tc>
        <w:tc>
          <w:tcPr>
            <w:tcW w:w="567" w:type="dxa"/>
            <w:noWrap/>
            <w:hideMark/>
          </w:tcPr>
          <w:p w14:paraId="36726512"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5D9C46E4"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4F58937C"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141EE327"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7FFD003E"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27FF49C1"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07BD3514"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00A9EA14"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1185C262"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5F2F5298" w14:textId="77777777" w:rsidTr="00437CD6">
        <w:trPr>
          <w:trHeight w:val="345"/>
          <w:jc w:val="center"/>
        </w:trPr>
        <w:tc>
          <w:tcPr>
            <w:tcW w:w="921" w:type="dxa"/>
            <w:noWrap/>
            <w:hideMark/>
          </w:tcPr>
          <w:p w14:paraId="44110FA8"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Tlaxcala</w:t>
            </w:r>
          </w:p>
        </w:tc>
        <w:tc>
          <w:tcPr>
            <w:tcW w:w="1201" w:type="dxa"/>
            <w:hideMark/>
          </w:tcPr>
          <w:p w14:paraId="5D927466"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 xml:space="preserve">Santa Cruz </w:t>
            </w:r>
            <w:proofErr w:type="spellStart"/>
            <w:r w:rsidRPr="00BF4A51">
              <w:rPr>
                <w:rFonts w:ascii="ITC Avant Garde" w:hAnsi="ITC Avant Garde" w:cs="Arial"/>
                <w:sz w:val="11"/>
                <w:szCs w:val="11"/>
                <w:lang w:eastAsia="es-MX"/>
              </w:rPr>
              <w:t>Quilehtla</w:t>
            </w:r>
            <w:proofErr w:type="spellEnd"/>
          </w:p>
        </w:tc>
        <w:tc>
          <w:tcPr>
            <w:tcW w:w="567" w:type="dxa"/>
            <w:noWrap/>
            <w:hideMark/>
          </w:tcPr>
          <w:p w14:paraId="56885B20"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7.01</w:t>
            </w:r>
          </w:p>
        </w:tc>
        <w:tc>
          <w:tcPr>
            <w:tcW w:w="708" w:type="dxa"/>
            <w:noWrap/>
            <w:hideMark/>
          </w:tcPr>
          <w:p w14:paraId="481CADF2"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0F49F628"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23751CD2"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5EDF7848"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3E1653BF"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7997AE4F"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4B070A6E"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6827F001"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6C52DCE7" w14:textId="77777777" w:rsidTr="00437CD6">
        <w:trPr>
          <w:trHeight w:val="345"/>
          <w:jc w:val="center"/>
        </w:trPr>
        <w:tc>
          <w:tcPr>
            <w:tcW w:w="921" w:type="dxa"/>
            <w:noWrap/>
            <w:hideMark/>
          </w:tcPr>
          <w:p w14:paraId="35807134"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Guanajuato</w:t>
            </w:r>
          </w:p>
        </w:tc>
        <w:tc>
          <w:tcPr>
            <w:tcW w:w="1201" w:type="dxa"/>
            <w:hideMark/>
          </w:tcPr>
          <w:p w14:paraId="1B83A58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León</w:t>
            </w:r>
          </w:p>
        </w:tc>
        <w:tc>
          <w:tcPr>
            <w:tcW w:w="567" w:type="dxa"/>
            <w:noWrap/>
            <w:hideMark/>
          </w:tcPr>
          <w:p w14:paraId="247199B0"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6.01</w:t>
            </w:r>
          </w:p>
        </w:tc>
        <w:tc>
          <w:tcPr>
            <w:tcW w:w="708" w:type="dxa"/>
            <w:noWrap/>
            <w:hideMark/>
          </w:tcPr>
          <w:p w14:paraId="3521BB85"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6A23BB33"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77D18437"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3BCA3960"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5807FA68"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451E3C27"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33F66BE0"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0F9543B3"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tr w:rsidR="007B34B8" w:rsidRPr="00BF4A51" w14:paraId="5E2097DB" w14:textId="77777777" w:rsidTr="00437CD6">
        <w:trPr>
          <w:trHeight w:val="345"/>
          <w:jc w:val="center"/>
        </w:trPr>
        <w:tc>
          <w:tcPr>
            <w:tcW w:w="921" w:type="dxa"/>
            <w:noWrap/>
            <w:hideMark/>
          </w:tcPr>
          <w:p w14:paraId="41F17092"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Guanajuato</w:t>
            </w:r>
          </w:p>
        </w:tc>
        <w:tc>
          <w:tcPr>
            <w:tcW w:w="1201" w:type="dxa"/>
            <w:hideMark/>
          </w:tcPr>
          <w:p w14:paraId="6678652E"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Silao</w:t>
            </w:r>
          </w:p>
        </w:tc>
        <w:tc>
          <w:tcPr>
            <w:tcW w:w="567" w:type="dxa"/>
            <w:noWrap/>
            <w:hideMark/>
          </w:tcPr>
          <w:p w14:paraId="33CE953D"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6.01</w:t>
            </w:r>
          </w:p>
        </w:tc>
        <w:tc>
          <w:tcPr>
            <w:tcW w:w="708" w:type="dxa"/>
            <w:noWrap/>
            <w:hideMark/>
          </w:tcPr>
          <w:p w14:paraId="174024D9"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20</w:t>
            </w:r>
          </w:p>
        </w:tc>
        <w:tc>
          <w:tcPr>
            <w:tcW w:w="851" w:type="dxa"/>
            <w:noWrap/>
            <w:hideMark/>
          </w:tcPr>
          <w:p w14:paraId="12D24A96"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992" w:type="dxa"/>
            <w:noWrap/>
            <w:hideMark/>
          </w:tcPr>
          <w:p w14:paraId="28842759"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823.500</w:t>
            </w:r>
          </w:p>
        </w:tc>
        <w:tc>
          <w:tcPr>
            <w:tcW w:w="851" w:type="dxa"/>
            <w:noWrap/>
            <w:hideMark/>
          </w:tcPr>
          <w:p w14:paraId="70E6466A"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824.000</w:t>
            </w:r>
          </w:p>
        </w:tc>
        <w:tc>
          <w:tcPr>
            <w:tcW w:w="850" w:type="dxa"/>
            <w:noWrap/>
            <w:hideMark/>
          </w:tcPr>
          <w:p w14:paraId="4D283C7B"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0.500</w:t>
            </w:r>
          </w:p>
        </w:tc>
        <w:tc>
          <w:tcPr>
            <w:tcW w:w="851" w:type="dxa"/>
            <w:noWrap/>
            <w:hideMark/>
          </w:tcPr>
          <w:p w14:paraId="1BA50AC9"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868.500</w:t>
            </w:r>
          </w:p>
        </w:tc>
        <w:tc>
          <w:tcPr>
            <w:tcW w:w="850" w:type="dxa"/>
            <w:noWrap/>
            <w:hideMark/>
          </w:tcPr>
          <w:p w14:paraId="259B7B2A" w14:textId="77777777" w:rsidR="007B34B8" w:rsidRPr="00BF4A51" w:rsidRDefault="007B34B8" w:rsidP="00BF4A51">
            <w:pPr>
              <w:spacing w:after="0" w:line="240" w:lineRule="auto"/>
              <w:jc w:val="center"/>
              <w:rPr>
                <w:rFonts w:ascii="ITC Avant Garde" w:hAnsi="ITC Avant Garde" w:cs="Arial"/>
                <w:sz w:val="11"/>
                <w:szCs w:val="11"/>
                <w:lang w:eastAsia="es-MX"/>
              </w:rPr>
            </w:pPr>
            <w:r w:rsidRPr="00BF4A51">
              <w:rPr>
                <w:rFonts w:ascii="ITC Avant Garde" w:hAnsi="ITC Avant Garde" w:cs="Arial"/>
                <w:sz w:val="11"/>
                <w:szCs w:val="11"/>
                <w:lang w:eastAsia="es-MX"/>
              </w:rPr>
              <w:t>869.000</w:t>
            </w:r>
          </w:p>
        </w:tc>
        <w:tc>
          <w:tcPr>
            <w:tcW w:w="709" w:type="dxa"/>
            <w:noWrap/>
            <w:hideMark/>
          </w:tcPr>
          <w:p w14:paraId="58D0D24C" w14:textId="77777777" w:rsidR="007B34B8" w:rsidRPr="00BF4A51" w:rsidRDefault="007B34B8" w:rsidP="00BF4A51">
            <w:pPr>
              <w:spacing w:after="0" w:line="240" w:lineRule="auto"/>
              <w:jc w:val="center"/>
              <w:rPr>
                <w:rFonts w:ascii="ITC Avant Garde" w:hAnsi="ITC Avant Garde" w:cs="Arial"/>
                <w:b/>
                <w:sz w:val="11"/>
                <w:szCs w:val="11"/>
                <w:lang w:eastAsia="es-MX"/>
              </w:rPr>
            </w:pPr>
            <w:r w:rsidRPr="00BF4A51">
              <w:rPr>
                <w:rFonts w:ascii="ITC Avant Garde" w:hAnsi="ITC Avant Garde" w:cs="Arial"/>
                <w:b/>
                <w:sz w:val="11"/>
                <w:szCs w:val="11"/>
                <w:lang w:eastAsia="es-MX"/>
              </w:rPr>
              <w:t>1.000</w:t>
            </w:r>
          </w:p>
        </w:tc>
      </w:tr>
      <w:bookmarkEnd w:id="0"/>
    </w:tbl>
    <w:p w14:paraId="776186B3" w14:textId="77777777" w:rsidR="001B7C74" w:rsidRPr="00BF4A51" w:rsidRDefault="001B7C74" w:rsidP="00BF4A51">
      <w:pPr>
        <w:autoSpaceDE w:val="0"/>
        <w:autoSpaceDN w:val="0"/>
        <w:adjustRightInd w:val="0"/>
        <w:spacing w:before="240" w:line="240" w:lineRule="auto"/>
        <w:jc w:val="both"/>
        <w:rPr>
          <w:rFonts w:ascii="ITC Avant Garde" w:eastAsia="Times New Roman" w:hAnsi="ITC Avant Garde"/>
          <w:b/>
          <w:bCs/>
          <w:color w:val="000000"/>
          <w:lang w:eastAsia="es-MX"/>
        </w:rPr>
      </w:pPr>
    </w:p>
    <w:sectPr w:rsidR="001B7C74" w:rsidRPr="00BF4A51" w:rsidSect="00BF4A51">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BB249" w14:textId="77777777" w:rsidR="00387082" w:rsidRDefault="00387082" w:rsidP="00072BC8">
      <w:pPr>
        <w:spacing w:after="0" w:line="240" w:lineRule="auto"/>
      </w:pPr>
      <w:r>
        <w:separator/>
      </w:r>
    </w:p>
  </w:endnote>
  <w:endnote w:type="continuationSeparator" w:id="0">
    <w:p w14:paraId="18758700" w14:textId="77777777" w:rsidR="00387082" w:rsidRDefault="00387082"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0F81B" w14:textId="7740673B" w:rsidR="00200918" w:rsidRPr="004C7979" w:rsidRDefault="00200918" w:rsidP="00B048BA">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F84149">
      <w:rPr>
        <w:rFonts w:ascii="ITC Avant Garde" w:hAnsi="ITC Avant Garde" w:cs="Calibri"/>
        <w:noProof/>
        <w:sz w:val="18"/>
        <w:szCs w:val="18"/>
      </w:rPr>
      <w:t>30</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73DF0" w14:textId="77777777" w:rsidR="00387082" w:rsidRDefault="00387082" w:rsidP="00072BC8">
      <w:pPr>
        <w:spacing w:after="0" w:line="240" w:lineRule="auto"/>
      </w:pPr>
      <w:r>
        <w:separator/>
      </w:r>
    </w:p>
  </w:footnote>
  <w:footnote w:type="continuationSeparator" w:id="0">
    <w:p w14:paraId="535AF5D5" w14:textId="77777777" w:rsidR="00387082" w:rsidRDefault="00387082" w:rsidP="00072BC8">
      <w:pPr>
        <w:spacing w:after="0" w:line="240" w:lineRule="auto"/>
      </w:pPr>
      <w:r>
        <w:continuationSeparator/>
      </w:r>
    </w:p>
  </w:footnote>
  <w:footnote w:id="1">
    <w:p w14:paraId="50D83AD1" w14:textId="7A4F2FAD" w:rsidR="00200918" w:rsidRPr="0014189A" w:rsidRDefault="00200918">
      <w:pPr>
        <w:pStyle w:val="Textonotapie"/>
        <w:rPr>
          <w:rFonts w:ascii="ITC Avant Garde" w:hAnsi="ITC Avant Garde"/>
          <w:sz w:val="16"/>
          <w:szCs w:val="16"/>
        </w:rPr>
      </w:pPr>
      <w:r w:rsidRPr="0014189A">
        <w:rPr>
          <w:rStyle w:val="Refdenotaalpie"/>
          <w:rFonts w:ascii="ITC Avant Garde" w:hAnsi="ITC Avant Garde"/>
          <w:sz w:val="16"/>
          <w:szCs w:val="16"/>
        </w:rPr>
        <w:footnoteRef/>
      </w:r>
      <w:r w:rsidRPr="0014189A">
        <w:rPr>
          <w:rFonts w:ascii="ITC Avant Garde" w:hAnsi="ITC Avant Garde"/>
          <w:sz w:val="16"/>
          <w:szCs w:val="16"/>
        </w:rPr>
        <w:t xml:space="preserve"> </w:t>
      </w:r>
      <w:r w:rsidRPr="0014189A">
        <w:rPr>
          <w:rFonts w:ascii="ITC Avant Garde" w:hAnsi="ITC Avant Garde"/>
          <w:bCs/>
          <w:color w:val="000000"/>
          <w:sz w:val="16"/>
          <w:szCs w:val="16"/>
          <w:lang w:eastAsia="es-MX"/>
        </w:rPr>
        <w:t xml:space="preserve">Esta prórroga y modificación corresponde al título de concesión otorgado originalmente a </w:t>
      </w:r>
      <w:proofErr w:type="spellStart"/>
      <w:r w:rsidRPr="0014189A">
        <w:rPr>
          <w:rFonts w:ascii="ITC Avant Garde" w:hAnsi="ITC Avant Garde"/>
          <w:bCs/>
          <w:color w:val="000000"/>
          <w:sz w:val="16"/>
          <w:szCs w:val="16"/>
          <w:lang w:eastAsia="es-MX"/>
        </w:rPr>
        <w:t>Comintermex</w:t>
      </w:r>
      <w:proofErr w:type="spellEnd"/>
      <w:r w:rsidRPr="0014189A">
        <w:rPr>
          <w:rFonts w:ascii="ITC Avant Garde" w:hAnsi="ITC Avant Garde"/>
          <w:bCs/>
          <w:color w:val="000000"/>
          <w:sz w:val="16"/>
          <w:szCs w:val="16"/>
          <w:lang w:eastAsia="es-MX"/>
        </w:rPr>
        <w:t>, S.A. de C.V.</w:t>
      </w:r>
      <w:r>
        <w:rPr>
          <w:rFonts w:ascii="ITC Avant Garde" w:hAnsi="ITC Avant Garde"/>
          <w:bCs/>
          <w:color w:val="000000"/>
          <w:sz w:val="16"/>
          <w:szCs w:val="16"/>
          <w:lang w:eastAsia="es-MX"/>
        </w:rPr>
        <w:t xml:space="preserve"> el 28 de septiembre de 1995.</w:t>
      </w:r>
    </w:p>
  </w:footnote>
  <w:footnote w:id="2">
    <w:p w14:paraId="7AC9C5FD" w14:textId="77777777" w:rsidR="00200918" w:rsidRPr="00D540A5" w:rsidRDefault="00200918" w:rsidP="00D22F59">
      <w:pPr>
        <w:pStyle w:val="Textonotapie"/>
        <w:rPr>
          <w:rFonts w:ascii="ITC Avant Garde" w:hAnsi="ITC Avant Garde"/>
          <w:i/>
          <w:sz w:val="14"/>
          <w:szCs w:val="14"/>
        </w:rPr>
      </w:pPr>
      <w:r w:rsidRPr="00D540A5">
        <w:rPr>
          <w:rStyle w:val="Refdenotaalpie"/>
          <w:i/>
        </w:rPr>
        <w:footnoteRef/>
      </w:r>
      <w:r w:rsidRPr="00A35612">
        <w:rPr>
          <w:rFonts w:ascii="ITC Avant Garde" w:hAnsi="ITC Avant Garde"/>
          <w:i/>
          <w:sz w:val="12"/>
          <w:szCs w:val="12"/>
        </w:rPr>
        <w:t>Disponible en http://www.ift.org.mx/sites/default/files/conocenos/pleno/sesiones/acuerdoliga/versionpublicaucepiftex29041586.pdf</w:t>
      </w:r>
    </w:p>
  </w:footnote>
  <w:footnote w:id="3">
    <w:p w14:paraId="5782A282" w14:textId="77777777" w:rsidR="00200918" w:rsidRPr="000B2332" w:rsidRDefault="00200918" w:rsidP="0090249F">
      <w:pPr>
        <w:pStyle w:val="Textonotapie"/>
        <w:rPr>
          <w:i/>
        </w:rPr>
      </w:pPr>
      <w:r w:rsidRPr="000B2332">
        <w:rPr>
          <w:rStyle w:val="Refdenotaalpie"/>
          <w:i/>
        </w:rPr>
        <w:footnoteRef/>
      </w:r>
      <w:r w:rsidRPr="000B2332">
        <w:rPr>
          <w:i/>
        </w:rPr>
        <w:t xml:space="preserve"> </w:t>
      </w:r>
      <w:r w:rsidRPr="000B2332">
        <w:rPr>
          <w:rFonts w:ascii="ITC Avant Garde" w:hAnsi="ITC Avant Garde"/>
          <w:i/>
          <w:sz w:val="14"/>
          <w:szCs w:val="14"/>
        </w:rPr>
        <w:t xml:space="preserve">Long </w:t>
      </w:r>
      <w:proofErr w:type="spellStart"/>
      <w:r w:rsidRPr="000B2332">
        <w:rPr>
          <w:rFonts w:ascii="ITC Avant Garde" w:hAnsi="ITC Avant Garde"/>
          <w:i/>
          <w:sz w:val="14"/>
          <w:szCs w:val="14"/>
        </w:rPr>
        <w:t>Term</w:t>
      </w:r>
      <w:proofErr w:type="spellEnd"/>
      <w:r w:rsidRPr="000B2332">
        <w:rPr>
          <w:rFonts w:ascii="ITC Avant Garde" w:hAnsi="ITC Avant Garde"/>
          <w:i/>
          <w:sz w:val="14"/>
          <w:szCs w:val="14"/>
        </w:rPr>
        <w:t xml:space="preserve"> </w:t>
      </w:r>
      <w:proofErr w:type="spellStart"/>
      <w:r w:rsidRPr="000B2332">
        <w:rPr>
          <w:rFonts w:ascii="ITC Avant Garde" w:hAnsi="ITC Avant Garde"/>
          <w:i/>
          <w:sz w:val="14"/>
          <w:szCs w:val="14"/>
        </w:rPr>
        <w:t>Evolution</w:t>
      </w:r>
      <w:proofErr w:type="spellEnd"/>
    </w:p>
  </w:footnote>
  <w:footnote w:id="4">
    <w:p w14:paraId="4ADBEB37" w14:textId="6F42BFBE" w:rsidR="00200918" w:rsidRPr="000B2332" w:rsidRDefault="00200918" w:rsidP="0090249F">
      <w:pPr>
        <w:pStyle w:val="Textonotapie"/>
        <w:rPr>
          <w:i/>
        </w:rPr>
      </w:pPr>
      <w:r w:rsidRPr="000B2332">
        <w:rPr>
          <w:rStyle w:val="Refdenotaalpie"/>
          <w:i/>
        </w:rPr>
        <w:footnoteRef/>
      </w:r>
      <w:r w:rsidRPr="000B2332">
        <w:rPr>
          <w:i/>
        </w:rPr>
        <w:t xml:space="preserve"> </w:t>
      </w:r>
      <w:r w:rsidRPr="000B2332">
        <w:rPr>
          <w:rFonts w:ascii="ITC Avant Garde" w:hAnsi="ITC Avant Garde"/>
          <w:i/>
          <w:sz w:val="14"/>
          <w:szCs w:val="14"/>
        </w:rPr>
        <w:t>Consultable en el enlace siguiente: http://www.conapo.gob.mx/CONAPO/Zonas_metroplitanas_2010</w:t>
      </w:r>
    </w:p>
  </w:footnote>
  <w:footnote w:id="5">
    <w:p w14:paraId="74816806" w14:textId="045EA60C" w:rsidR="00200918" w:rsidRDefault="00200918" w:rsidP="000B2332">
      <w:pPr>
        <w:pStyle w:val="Textonotapie"/>
        <w:tabs>
          <w:tab w:val="left" w:pos="3890"/>
        </w:tabs>
      </w:pPr>
      <w:r w:rsidRPr="000B2332">
        <w:rPr>
          <w:rStyle w:val="Refdenotaalpie"/>
          <w:i/>
        </w:rPr>
        <w:footnoteRef/>
      </w:r>
      <w:r>
        <w:t xml:space="preserve"> </w:t>
      </w:r>
      <w:r w:rsidRPr="000B2332">
        <w:rPr>
          <w:rFonts w:ascii="ITC Avant Garde" w:hAnsi="ITC Avant Garde"/>
          <w:i/>
          <w:sz w:val="14"/>
          <w:szCs w:val="14"/>
        </w:rPr>
        <w:t>Consultable en el enlace siguiente: http://www.conapo.gob.mx/CONAPO/Zonas_metroplitanas_2010</w:t>
      </w:r>
      <w:r>
        <w:tab/>
      </w:r>
    </w:p>
  </w:footnote>
  <w:footnote w:id="6">
    <w:p w14:paraId="472F0152" w14:textId="77777777" w:rsidR="00200918" w:rsidRPr="008C3B9A" w:rsidRDefault="00200918" w:rsidP="0090249F">
      <w:pPr>
        <w:pStyle w:val="Textonotapie"/>
        <w:jc w:val="both"/>
        <w:rPr>
          <w:rFonts w:ascii="ITC Avant Garde" w:hAnsi="ITC Avant Garde"/>
          <w:i/>
          <w:sz w:val="14"/>
          <w:szCs w:val="14"/>
        </w:rPr>
      </w:pPr>
      <w:r w:rsidRPr="008C3B9A">
        <w:rPr>
          <w:rStyle w:val="Refdenotaalpie"/>
          <w:i/>
          <w:sz w:val="14"/>
          <w:szCs w:val="14"/>
        </w:rPr>
        <w:footnoteRef/>
      </w:r>
      <w:r w:rsidRPr="008C3B9A">
        <w:rPr>
          <w:i/>
          <w:sz w:val="14"/>
          <w:szCs w:val="14"/>
        </w:rPr>
        <w:t xml:space="preserve"> </w:t>
      </w:r>
      <w:r w:rsidRPr="008C3B9A">
        <w:rPr>
          <w:rFonts w:ascii="ITC Avant Garde" w:hAnsi="ITC Avant Garde"/>
          <w:i/>
          <w:sz w:val="14"/>
          <w:szCs w:val="14"/>
        </w:rPr>
        <w:t xml:space="preserve">La Unión Internacional de Telecomunicaciones (UIT) ha definido el término de las IMT para identificar a los sistemas móviles que cuentan con características como las siguientes: alta calidad en la prestación de los servicios móviles, terminales móviles con la capacidad de poder ser utilizadas a nivel mundial, compatibilidad con redes alámbricas e inalámbricas, capacidad de interconexión con diversas redes, </w:t>
      </w:r>
      <w:proofErr w:type="spellStart"/>
      <w:r w:rsidRPr="008C3B9A">
        <w:rPr>
          <w:rFonts w:ascii="ITC Avant Garde" w:hAnsi="ITC Avant Garde"/>
          <w:i/>
          <w:sz w:val="14"/>
          <w:szCs w:val="14"/>
        </w:rPr>
        <w:t>roaming</w:t>
      </w:r>
      <w:proofErr w:type="spellEnd"/>
      <w:r w:rsidRPr="008C3B9A">
        <w:rPr>
          <w:rFonts w:ascii="ITC Avant Garde" w:hAnsi="ITC Avant Garde"/>
          <w:i/>
          <w:sz w:val="14"/>
          <w:szCs w:val="14"/>
        </w:rPr>
        <w:t xml:space="preserve"> internacional y altas velocidades de trasmisión de datos. En resumen, las características de las IMT tienen la finalidad de ser compatibles con los requerimientos actuales y futuros de los desarrollos tecnológicos y las exigencias de los usuarios.</w:t>
      </w:r>
    </w:p>
  </w:footnote>
  <w:footnote w:id="7">
    <w:p w14:paraId="715276E2" w14:textId="77777777" w:rsidR="00200918" w:rsidRPr="008C3B9A" w:rsidRDefault="00200918" w:rsidP="0090249F">
      <w:pPr>
        <w:pStyle w:val="Textonotapie"/>
        <w:rPr>
          <w:i/>
          <w:sz w:val="14"/>
          <w:szCs w:val="14"/>
        </w:rPr>
      </w:pPr>
      <w:r w:rsidRPr="008C3B9A">
        <w:rPr>
          <w:rStyle w:val="Refdenotaalpie"/>
          <w:i/>
          <w:sz w:val="14"/>
          <w:szCs w:val="14"/>
        </w:rPr>
        <w:footnoteRef/>
      </w:r>
      <w:r w:rsidRPr="008C3B9A">
        <w:rPr>
          <w:i/>
          <w:sz w:val="14"/>
          <w:szCs w:val="14"/>
        </w:rPr>
        <w:t xml:space="preserve"> </w:t>
      </w:r>
      <w:r w:rsidRPr="008C3B9A">
        <w:rPr>
          <w:rFonts w:ascii="ITC Avant Garde" w:hAnsi="ITC Avant Garde"/>
          <w:i/>
          <w:sz w:val="14"/>
          <w:szCs w:val="14"/>
        </w:rPr>
        <w:t>Actualización realizada con un factor obtenido con el Índice Nacional de Precios al Consumidor (INPC) de octubre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F7BD8" w14:textId="77777777" w:rsidR="00200918" w:rsidRDefault="00200918">
    <w:pPr>
      <w:pStyle w:val="Encabezado"/>
    </w:pPr>
    <w:r>
      <w:rPr>
        <w:noProof/>
        <w:lang w:eastAsia="es-MX"/>
      </w:rPr>
      <w:pict w14:anchorId="59C7B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091AB" w14:textId="77777777" w:rsidR="00200918" w:rsidRPr="000F5E4B" w:rsidRDefault="00200918">
    <w:pPr>
      <w:pStyle w:val="Encabezado"/>
      <w:rPr>
        <w:b/>
      </w:rPr>
    </w:pPr>
    <w:r>
      <w:rPr>
        <w:b/>
        <w:noProof/>
        <w:lang w:eastAsia="es-MX"/>
      </w:rPr>
      <w:pict w14:anchorId="5700B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14FC"/>
    <w:multiLevelType w:val="multilevel"/>
    <w:tmpl w:val="879C09D6"/>
    <w:lvl w:ilvl="0">
      <w:start w:val="1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226047"/>
    <w:multiLevelType w:val="hybridMultilevel"/>
    <w:tmpl w:val="97ECBBAA"/>
    <w:lvl w:ilvl="0" w:tplc="323C88F2">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3C7044"/>
    <w:multiLevelType w:val="hybridMultilevel"/>
    <w:tmpl w:val="F9003D92"/>
    <w:lvl w:ilvl="0" w:tplc="88E6805C">
      <w:start w:val="1"/>
      <w:numFmt w:val="low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4" w15:restartNumberingAfterBreak="0">
    <w:nsid w:val="12807D97"/>
    <w:multiLevelType w:val="multilevel"/>
    <w:tmpl w:val="464EAAF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B36E21"/>
    <w:multiLevelType w:val="hybridMultilevel"/>
    <w:tmpl w:val="800CDD72"/>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4BD4891"/>
    <w:multiLevelType w:val="hybridMultilevel"/>
    <w:tmpl w:val="53BCB9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C40675"/>
    <w:multiLevelType w:val="hybridMultilevel"/>
    <w:tmpl w:val="F19810B8"/>
    <w:lvl w:ilvl="0" w:tplc="A45CE75A">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C1915B3"/>
    <w:multiLevelType w:val="hybridMultilevel"/>
    <w:tmpl w:val="C4F0BE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CB1EEE"/>
    <w:multiLevelType w:val="hybridMultilevel"/>
    <w:tmpl w:val="92C6268E"/>
    <w:lvl w:ilvl="0" w:tplc="080A001B">
      <w:start w:val="1"/>
      <w:numFmt w:val="low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21322445"/>
    <w:multiLevelType w:val="hybridMultilevel"/>
    <w:tmpl w:val="4682699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3CA42E8"/>
    <w:multiLevelType w:val="hybridMultilevel"/>
    <w:tmpl w:val="F030243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4494432"/>
    <w:multiLevelType w:val="hybridMultilevel"/>
    <w:tmpl w:val="1EAC269C"/>
    <w:lvl w:ilvl="0" w:tplc="9F0860A4">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2F6651"/>
    <w:multiLevelType w:val="hybridMultilevel"/>
    <w:tmpl w:val="4DEA9B98"/>
    <w:lvl w:ilvl="0" w:tplc="786644A2">
      <w:start w:val="4"/>
      <w:numFmt w:val="bullet"/>
      <w:lvlText w:val="-"/>
      <w:lvlJc w:val="left"/>
      <w:pPr>
        <w:ind w:left="3240" w:hanging="360"/>
      </w:pPr>
      <w:rPr>
        <w:rFonts w:ascii="ITC Avant Garde" w:eastAsia="Times New Roman" w:hAnsi="ITC Avant Garde" w:cs="Times New Roman" w:hint="default"/>
      </w:rPr>
    </w:lvl>
    <w:lvl w:ilvl="1" w:tplc="080A0003" w:tentative="1">
      <w:start w:val="1"/>
      <w:numFmt w:val="bullet"/>
      <w:lvlText w:val="o"/>
      <w:lvlJc w:val="left"/>
      <w:pPr>
        <w:ind w:left="3960" w:hanging="360"/>
      </w:pPr>
      <w:rPr>
        <w:rFonts w:ascii="Courier New" w:hAnsi="Courier New" w:cs="Courier New" w:hint="default"/>
      </w:rPr>
    </w:lvl>
    <w:lvl w:ilvl="2" w:tplc="080A0005" w:tentative="1">
      <w:start w:val="1"/>
      <w:numFmt w:val="bullet"/>
      <w:lvlText w:val=""/>
      <w:lvlJc w:val="left"/>
      <w:pPr>
        <w:ind w:left="4680" w:hanging="360"/>
      </w:pPr>
      <w:rPr>
        <w:rFonts w:ascii="Wingdings" w:hAnsi="Wingdings" w:hint="default"/>
      </w:rPr>
    </w:lvl>
    <w:lvl w:ilvl="3" w:tplc="080A0001" w:tentative="1">
      <w:start w:val="1"/>
      <w:numFmt w:val="bullet"/>
      <w:lvlText w:val=""/>
      <w:lvlJc w:val="left"/>
      <w:pPr>
        <w:ind w:left="5400" w:hanging="360"/>
      </w:pPr>
      <w:rPr>
        <w:rFonts w:ascii="Symbol" w:hAnsi="Symbol" w:hint="default"/>
      </w:rPr>
    </w:lvl>
    <w:lvl w:ilvl="4" w:tplc="080A0003" w:tentative="1">
      <w:start w:val="1"/>
      <w:numFmt w:val="bullet"/>
      <w:lvlText w:val="o"/>
      <w:lvlJc w:val="left"/>
      <w:pPr>
        <w:ind w:left="6120" w:hanging="360"/>
      </w:pPr>
      <w:rPr>
        <w:rFonts w:ascii="Courier New" w:hAnsi="Courier New" w:cs="Courier New" w:hint="default"/>
      </w:rPr>
    </w:lvl>
    <w:lvl w:ilvl="5" w:tplc="080A0005" w:tentative="1">
      <w:start w:val="1"/>
      <w:numFmt w:val="bullet"/>
      <w:lvlText w:val=""/>
      <w:lvlJc w:val="left"/>
      <w:pPr>
        <w:ind w:left="6840" w:hanging="360"/>
      </w:pPr>
      <w:rPr>
        <w:rFonts w:ascii="Wingdings" w:hAnsi="Wingdings" w:hint="default"/>
      </w:rPr>
    </w:lvl>
    <w:lvl w:ilvl="6" w:tplc="080A0001" w:tentative="1">
      <w:start w:val="1"/>
      <w:numFmt w:val="bullet"/>
      <w:lvlText w:val=""/>
      <w:lvlJc w:val="left"/>
      <w:pPr>
        <w:ind w:left="7560" w:hanging="360"/>
      </w:pPr>
      <w:rPr>
        <w:rFonts w:ascii="Symbol" w:hAnsi="Symbol" w:hint="default"/>
      </w:rPr>
    </w:lvl>
    <w:lvl w:ilvl="7" w:tplc="080A0003" w:tentative="1">
      <w:start w:val="1"/>
      <w:numFmt w:val="bullet"/>
      <w:lvlText w:val="o"/>
      <w:lvlJc w:val="left"/>
      <w:pPr>
        <w:ind w:left="8280" w:hanging="360"/>
      </w:pPr>
      <w:rPr>
        <w:rFonts w:ascii="Courier New" w:hAnsi="Courier New" w:cs="Courier New" w:hint="default"/>
      </w:rPr>
    </w:lvl>
    <w:lvl w:ilvl="8" w:tplc="080A0005" w:tentative="1">
      <w:start w:val="1"/>
      <w:numFmt w:val="bullet"/>
      <w:lvlText w:val=""/>
      <w:lvlJc w:val="left"/>
      <w:pPr>
        <w:ind w:left="9000" w:hanging="360"/>
      </w:pPr>
      <w:rPr>
        <w:rFonts w:ascii="Wingdings" w:hAnsi="Wingdings" w:hint="default"/>
      </w:rPr>
    </w:lvl>
  </w:abstractNum>
  <w:abstractNum w:abstractNumId="14" w15:restartNumberingAfterBreak="0">
    <w:nsid w:val="2A6A6447"/>
    <w:multiLevelType w:val="hybridMultilevel"/>
    <w:tmpl w:val="4CDABA7C"/>
    <w:lvl w:ilvl="0" w:tplc="DDD6DB74">
      <w:start w:val="1"/>
      <w:numFmt w:val="upperRoman"/>
      <w:lvlText w:val="%1."/>
      <w:lvlJc w:val="left"/>
      <w:pPr>
        <w:ind w:left="1080" w:hanging="720"/>
      </w:pPr>
      <w:rPr>
        <w:rFonts w:ascii="ITC Avant Garde Std Bk" w:eastAsia="Calibri" w:hAnsi="ITC Avant Garde Std Bk" w:cs="Times New Roman"/>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A8D2F85"/>
    <w:multiLevelType w:val="hybridMultilevel"/>
    <w:tmpl w:val="602E49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F13B6C"/>
    <w:multiLevelType w:val="hybridMultilevel"/>
    <w:tmpl w:val="B6DA6DC6"/>
    <w:lvl w:ilvl="0" w:tplc="C9E629A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ED36B0"/>
    <w:multiLevelType w:val="hybridMultilevel"/>
    <w:tmpl w:val="F8F20A8C"/>
    <w:lvl w:ilvl="0" w:tplc="E2E2748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970ADD"/>
    <w:multiLevelType w:val="hybridMultilevel"/>
    <w:tmpl w:val="9A6A60E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33A612DB"/>
    <w:multiLevelType w:val="hybridMultilevel"/>
    <w:tmpl w:val="450413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53868E8"/>
    <w:multiLevelType w:val="hybridMultilevel"/>
    <w:tmpl w:val="CB0E65CE"/>
    <w:lvl w:ilvl="0" w:tplc="080A001B">
      <w:start w:val="1"/>
      <w:numFmt w:val="low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3A231A04"/>
    <w:multiLevelType w:val="hybridMultilevel"/>
    <w:tmpl w:val="74567F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3AD829AD"/>
    <w:multiLevelType w:val="hybridMultilevel"/>
    <w:tmpl w:val="DBF8611C"/>
    <w:lvl w:ilvl="0" w:tplc="17AC6CA8">
      <w:start w:val="1"/>
      <w:numFmt w:val="lowerLetter"/>
      <w:lvlText w:val="%1)"/>
      <w:lvlJc w:val="left"/>
      <w:pPr>
        <w:ind w:left="814" w:hanging="360"/>
      </w:pPr>
    </w:lvl>
    <w:lvl w:ilvl="1" w:tplc="080A0019">
      <w:start w:val="1"/>
      <w:numFmt w:val="lowerLetter"/>
      <w:lvlText w:val="%2."/>
      <w:lvlJc w:val="left"/>
      <w:pPr>
        <w:ind w:left="1534" w:hanging="360"/>
      </w:pPr>
    </w:lvl>
    <w:lvl w:ilvl="2" w:tplc="080A001B">
      <w:start w:val="1"/>
      <w:numFmt w:val="lowerRoman"/>
      <w:lvlText w:val="%3."/>
      <w:lvlJc w:val="right"/>
      <w:pPr>
        <w:ind w:left="2254" w:hanging="180"/>
      </w:pPr>
    </w:lvl>
    <w:lvl w:ilvl="3" w:tplc="080A000F">
      <w:start w:val="1"/>
      <w:numFmt w:val="decimal"/>
      <w:lvlText w:val="%4."/>
      <w:lvlJc w:val="left"/>
      <w:pPr>
        <w:ind w:left="2974" w:hanging="360"/>
      </w:pPr>
    </w:lvl>
    <w:lvl w:ilvl="4" w:tplc="080A0019">
      <w:start w:val="1"/>
      <w:numFmt w:val="lowerLetter"/>
      <w:lvlText w:val="%5."/>
      <w:lvlJc w:val="left"/>
      <w:pPr>
        <w:ind w:left="3694" w:hanging="360"/>
      </w:pPr>
    </w:lvl>
    <w:lvl w:ilvl="5" w:tplc="080A001B">
      <w:start w:val="1"/>
      <w:numFmt w:val="lowerRoman"/>
      <w:lvlText w:val="%6."/>
      <w:lvlJc w:val="right"/>
      <w:pPr>
        <w:ind w:left="4414" w:hanging="180"/>
      </w:pPr>
    </w:lvl>
    <w:lvl w:ilvl="6" w:tplc="080A000F">
      <w:start w:val="1"/>
      <w:numFmt w:val="decimal"/>
      <w:lvlText w:val="%7."/>
      <w:lvlJc w:val="left"/>
      <w:pPr>
        <w:ind w:left="5134" w:hanging="360"/>
      </w:pPr>
    </w:lvl>
    <w:lvl w:ilvl="7" w:tplc="080A0019">
      <w:start w:val="1"/>
      <w:numFmt w:val="lowerLetter"/>
      <w:lvlText w:val="%8."/>
      <w:lvlJc w:val="left"/>
      <w:pPr>
        <w:ind w:left="5854" w:hanging="360"/>
      </w:pPr>
    </w:lvl>
    <w:lvl w:ilvl="8" w:tplc="080A001B">
      <w:start w:val="1"/>
      <w:numFmt w:val="lowerRoman"/>
      <w:lvlText w:val="%9."/>
      <w:lvlJc w:val="right"/>
      <w:pPr>
        <w:ind w:left="6574" w:hanging="180"/>
      </w:pPr>
    </w:lvl>
  </w:abstractNum>
  <w:abstractNum w:abstractNumId="23" w15:restartNumberingAfterBreak="0">
    <w:nsid w:val="3B0B4B06"/>
    <w:multiLevelType w:val="multilevel"/>
    <w:tmpl w:val="FB3AA98A"/>
    <w:lvl w:ilvl="0">
      <w:start w:val="10"/>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D0365E1"/>
    <w:multiLevelType w:val="hybridMultilevel"/>
    <w:tmpl w:val="4574DDF0"/>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5" w15:restartNumberingAfterBreak="0">
    <w:nsid w:val="3DED6D4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1116845"/>
    <w:multiLevelType w:val="hybridMultilevel"/>
    <w:tmpl w:val="B86E02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C720A2"/>
    <w:multiLevelType w:val="hybridMultilevel"/>
    <w:tmpl w:val="30FC9EC0"/>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8" w15:restartNumberingAfterBreak="0">
    <w:nsid w:val="45EE7362"/>
    <w:multiLevelType w:val="hybridMultilevel"/>
    <w:tmpl w:val="D3760244"/>
    <w:lvl w:ilvl="0" w:tplc="FCC823EE">
      <w:start w:val="1"/>
      <w:numFmt w:val="upperRoman"/>
      <w:lvlText w:val="%1."/>
      <w:lvlJc w:val="left"/>
      <w:pPr>
        <w:ind w:left="1080" w:hanging="720"/>
      </w:pPr>
      <w:rPr>
        <w:rFonts w:ascii="ITC Avant Garde Std Bk" w:eastAsia="Calibri" w:hAnsi="ITC Avant Garde Std Bk"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A7706B0"/>
    <w:multiLevelType w:val="hybridMultilevel"/>
    <w:tmpl w:val="DBF8611C"/>
    <w:lvl w:ilvl="0" w:tplc="17AC6CA8">
      <w:start w:val="1"/>
      <w:numFmt w:val="lowerLetter"/>
      <w:lvlText w:val="%1)"/>
      <w:lvlJc w:val="left"/>
      <w:pPr>
        <w:ind w:left="814" w:hanging="360"/>
      </w:pPr>
    </w:lvl>
    <w:lvl w:ilvl="1" w:tplc="080A0019">
      <w:start w:val="1"/>
      <w:numFmt w:val="lowerLetter"/>
      <w:lvlText w:val="%2."/>
      <w:lvlJc w:val="left"/>
      <w:pPr>
        <w:ind w:left="1534" w:hanging="360"/>
      </w:pPr>
    </w:lvl>
    <w:lvl w:ilvl="2" w:tplc="080A001B">
      <w:start w:val="1"/>
      <w:numFmt w:val="lowerRoman"/>
      <w:lvlText w:val="%3."/>
      <w:lvlJc w:val="right"/>
      <w:pPr>
        <w:ind w:left="2254" w:hanging="180"/>
      </w:pPr>
    </w:lvl>
    <w:lvl w:ilvl="3" w:tplc="080A000F">
      <w:start w:val="1"/>
      <w:numFmt w:val="decimal"/>
      <w:lvlText w:val="%4."/>
      <w:lvlJc w:val="left"/>
      <w:pPr>
        <w:ind w:left="2974" w:hanging="360"/>
      </w:pPr>
    </w:lvl>
    <w:lvl w:ilvl="4" w:tplc="080A0019">
      <w:start w:val="1"/>
      <w:numFmt w:val="lowerLetter"/>
      <w:lvlText w:val="%5."/>
      <w:lvlJc w:val="left"/>
      <w:pPr>
        <w:ind w:left="3694" w:hanging="360"/>
      </w:pPr>
    </w:lvl>
    <w:lvl w:ilvl="5" w:tplc="080A001B">
      <w:start w:val="1"/>
      <w:numFmt w:val="lowerRoman"/>
      <w:lvlText w:val="%6."/>
      <w:lvlJc w:val="right"/>
      <w:pPr>
        <w:ind w:left="4414" w:hanging="180"/>
      </w:pPr>
    </w:lvl>
    <w:lvl w:ilvl="6" w:tplc="080A000F">
      <w:start w:val="1"/>
      <w:numFmt w:val="decimal"/>
      <w:lvlText w:val="%7."/>
      <w:lvlJc w:val="left"/>
      <w:pPr>
        <w:ind w:left="5134" w:hanging="360"/>
      </w:pPr>
    </w:lvl>
    <w:lvl w:ilvl="7" w:tplc="080A0019">
      <w:start w:val="1"/>
      <w:numFmt w:val="lowerLetter"/>
      <w:lvlText w:val="%8."/>
      <w:lvlJc w:val="left"/>
      <w:pPr>
        <w:ind w:left="5854" w:hanging="360"/>
      </w:pPr>
    </w:lvl>
    <w:lvl w:ilvl="8" w:tplc="080A001B">
      <w:start w:val="1"/>
      <w:numFmt w:val="lowerRoman"/>
      <w:lvlText w:val="%9."/>
      <w:lvlJc w:val="right"/>
      <w:pPr>
        <w:ind w:left="6574" w:hanging="180"/>
      </w:pPr>
    </w:lvl>
  </w:abstractNum>
  <w:abstractNum w:abstractNumId="30" w15:restartNumberingAfterBreak="0">
    <w:nsid w:val="4BD02092"/>
    <w:multiLevelType w:val="hybridMultilevel"/>
    <w:tmpl w:val="F384C6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BFF301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C45309C"/>
    <w:multiLevelType w:val="multilevel"/>
    <w:tmpl w:val="67CA077E"/>
    <w:lvl w:ilvl="0">
      <w:start w:val="7"/>
      <w:numFmt w:val="decimal"/>
      <w:lvlText w:val="%1."/>
      <w:lvlJc w:val="left"/>
      <w:pPr>
        <w:ind w:left="420" w:hanging="42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4F6060F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5E70C2"/>
    <w:multiLevelType w:val="hybridMultilevel"/>
    <w:tmpl w:val="2A4E3D28"/>
    <w:lvl w:ilvl="0" w:tplc="CF92B7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81C78DA"/>
    <w:multiLevelType w:val="multilevel"/>
    <w:tmpl w:val="2B36FEEE"/>
    <w:lvl w:ilvl="0">
      <w:start w:val="1"/>
      <w:numFmt w:val="decimal"/>
      <w:lvlText w:val="%1."/>
      <w:lvlJc w:val="left"/>
      <w:pPr>
        <w:ind w:left="720" w:hanging="360"/>
      </w:pPr>
      <w:rPr>
        <w:b/>
      </w:rPr>
    </w:lvl>
    <w:lvl w:ilvl="1">
      <w:start w:val="1"/>
      <w:numFmt w:val="lowerLetter"/>
      <w:lvlText w:val="%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6" w15:restartNumberingAfterBreak="0">
    <w:nsid w:val="588B0828"/>
    <w:multiLevelType w:val="hybridMultilevel"/>
    <w:tmpl w:val="3B022B3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7" w15:restartNumberingAfterBreak="0">
    <w:nsid w:val="590262EF"/>
    <w:multiLevelType w:val="multilevel"/>
    <w:tmpl w:val="D6F89D14"/>
    <w:lvl w:ilvl="0">
      <w:start w:val="1"/>
      <w:numFmt w:val="decimal"/>
      <w:lvlText w:val="%1."/>
      <w:lvlJc w:val="left"/>
      <w:pPr>
        <w:ind w:left="3480" w:hanging="360"/>
      </w:pPr>
      <w:rPr>
        <w:b/>
        <w:sz w:val="22"/>
      </w:rPr>
    </w:lvl>
    <w:lvl w:ilvl="1">
      <w:start w:val="1"/>
      <w:numFmt w:val="decimal"/>
      <w:lvlText w:val="%1.%2."/>
      <w:lvlJc w:val="left"/>
      <w:pPr>
        <w:ind w:left="397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941676F"/>
    <w:multiLevelType w:val="hybridMultilevel"/>
    <w:tmpl w:val="A9907BC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A12261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C307696"/>
    <w:multiLevelType w:val="hybridMultilevel"/>
    <w:tmpl w:val="74BCDEE8"/>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15:restartNumberingAfterBreak="0">
    <w:nsid w:val="5DB71053"/>
    <w:multiLevelType w:val="hybridMultilevel"/>
    <w:tmpl w:val="D70C7A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32D071F"/>
    <w:multiLevelType w:val="hybridMultilevel"/>
    <w:tmpl w:val="824C36D6"/>
    <w:lvl w:ilvl="0" w:tplc="29EA7160">
      <w:start w:val="1"/>
      <w:numFmt w:val="lowerRoman"/>
      <w:lvlText w:val="%1."/>
      <w:lvlJc w:val="right"/>
      <w:pPr>
        <w:ind w:left="1600" w:hanging="360"/>
      </w:pPr>
      <w:rPr>
        <w:rFonts w:ascii="ITC Avant Garde" w:hAnsi="ITC Avant Garde" w:hint="default"/>
        <w:b/>
        <w:sz w:val="18"/>
        <w:szCs w:val="18"/>
      </w:rPr>
    </w:lvl>
    <w:lvl w:ilvl="1" w:tplc="080A0019" w:tentative="1">
      <w:start w:val="1"/>
      <w:numFmt w:val="lowerLetter"/>
      <w:lvlText w:val="%2."/>
      <w:lvlJc w:val="left"/>
      <w:pPr>
        <w:ind w:left="2320" w:hanging="360"/>
      </w:pPr>
    </w:lvl>
    <w:lvl w:ilvl="2" w:tplc="080A001B" w:tentative="1">
      <w:start w:val="1"/>
      <w:numFmt w:val="lowerRoman"/>
      <w:lvlText w:val="%3."/>
      <w:lvlJc w:val="right"/>
      <w:pPr>
        <w:ind w:left="3040" w:hanging="180"/>
      </w:pPr>
    </w:lvl>
    <w:lvl w:ilvl="3" w:tplc="080A000F" w:tentative="1">
      <w:start w:val="1"/>
      <w:numFmt w:val="decimal"/>
      <w:lvlText w:val="%4."/>
      <w:lvlJc w:val="left"/>
      <w:pPr>
        <w:ind w:left="3760" w:hanging="360"/>
      </w:pPr>
    </w:lvl>
    <w:lvl w:ilvl="4" w:tplc="080A0019" w:tentative="1">
      <w:start w:val="1"/>
      <w:numFmt w:val="lowerLetter"/>
      <w:lvlText w:val="%5."/>
      <w:lvlJc w:val="left"/>
      <w:pPr>
        <w:ind w:left="4480" w:hanging="360"/>
      </w:pPr>
    </w:lvl>
    <w:lvl w:ilvl="5" w:tplc="080A001B" w:tentative="1">
      <w:start w:val="1"/>
      <w:numFmt w:val="lowerRoman"/>
      <w:lvlText w:val="%6."/>
      <w:lvlJc w:val="right"/>
      <w:pPr>
        <w:ind w:left="5200" w:hanging="180"/>
      </w:pPr>
    </w:lvl>
    <w:lvl w:ilvl="6" w:tplc="080A000F" w:tentative="1">
      <w:start w:val="1"/>
      <w:numFmt w:val="decimal"/>
      <w:lvlText w:val="%7."/>
      <w:lvlJc w:val="left"/>
      <w:pPr>
        <w:ind w:left="5920" w:hanging="360"/>
      </w:pPr>
    </w:lvl>
    <w:lvl w:ilvl="7" w:tplc="080A0019" w:tentative="1">
      <w:start w:val="1"/>
      <w:numFmt w:val="lowerLetter"/>
      <w:lvlText w:val="%8."/>
      <w:lvlJc w:val="left"/>
      <w:pPr>
        <w:ind w:left="6640" w:hanging="360"/>
      </w:pPr>
    </w:lvl>
    <w:lvl w:ilvl="8" w:tplc="080A001B" w:tentative="1">
      <w:start w:val="1"/>
      <w:numFmt w:val="lowerRoman"/>
      <w:lvlText w:val="%9."/>
      <w:lvlJc w:val="right"/>
      <w:pPr>
        <w:ind w:left="7360" w:hanging="180"/>
      </w:pPr>
    </w:lvl>
  </w:abstractNum>
  <w:abstractNum w:abstractNumId="43" w15:restartNumberingAfterBreak="0">
    <w:nsid w:val="635D1FC5"/>
    <w:multiLevelType w:val="hybridMultilevel"/>
    <w:tmpl w:val="C158E1A6"/>
    <w:lvl w:ilvl="0" w:tplc="080A001B">
      <w:start w:val="1"/>
      <w:numFmt w:val="lowerRoman"/>
      <w:lvlText w:val="%1."/>
      <w:lvlJc w:val="right"/>
      <w:pPr>
        <w:ind w:left="908" w:hanging="360"/>
      </w:pPr>
      <w:rPr>
        <w:b/>
      </w:rPr>
    </w:lvl>
    <w:lvl w:ilvl="1" w:tplc="080A0019">
      <w:start w:val="1"/>
      <w:numFmt w:val="lowerLetter"/>
      <w:lvlText w:val="%2."/>
      <w:lvlJc w:val="left"/>
      <w:pPr>
        <w:ind w:left="1628" w:hanging="360"/>
      </w:pPr>
    </w:lvl>
    <w:lvl w:ilvl="2" w:tplc="080A0011">
      <w:start w:val="1"/>
      <w:numFmt w:val="decimal"/>
      <w:lvlText w:val="%3)"/>
      <w:lvlJc w:val="left"/>
      <w:pPr>
        <w:ind w:left="2165" w:hanging="180"/>
      </w:pPr>
    </w:lvl>
    <w:lvl w:ilvl="3" w:tplc="080A000F">
      <w:start w:val="1"/>
      <w:numFmt w:val="decimal"/>
      <w:lvlText w:val="%4."/>
      <w:lvlJc w:val="left"/>
      <w:pPr>
        <w:ind w:left="3068" w:hanging="360"/>
      </w:pPr>
    </w:lvl>
    <w:lvl w:ilvl="4" w:tplc="080A0019">
      <w:start w:val="1"/>
      <w:numFmt w:val="lowerLetter"/>
      <w:lvlText w:val="%5."/>
      <w:lvlJc w:val="left"/>
      <w:pPr>
        <w:ind w:left="3788" w:hanging="360"/>
      </w:pPr>
    </w:lvl>
    <w:lvl w:ilvl="5" w:tplc="080A001B">
      <w:start w:val="1"/>
      <w:numFmt w:val="lowerRoman"/>
      <w:lvlText w:val="%6."/>
      <w:lvlJc w:val="right"/>
      <w:pPr>
        <w:ind w:left="4508" w:hanging="180"/>
      </w:pPr>
    </w:lvl>
    <w:lvl w:ilvl="6" w:tplc="080A000F">
      <w:start w:val="1"/>
      <w:numFmt w:val="decimal"/>
      <w:lvlText w:val="%7."/>
      <w:lvlJc w:val="left"/>
      <w:pPr>
        <w:ind w:left="5228" w:hanging="360"/>
      </w:pPr>
    </w:lvl>
    <w:lvl w:ilvl="7" w:tplc="080A0019">
      <w:start w:val="1"/>
      <w:numFmt w:val="lowerLetter"/>
      <w:lvlText w:val="%8."/>
      <w:lvlJc w:val="left"/>
      <w:pPr>
        <w:ind w:left="5948" w:hanging="360"/>
      </w:pPr>
    </w:lvl>
    <w:lvl w:ilvl="8" w:tplc="080A001B">
      <w:start w:val="1"/>
      <w:numFmt w:val="lowerRoman"/>
      <w:lvlText w:val="%9."/>
      <w:lvlJc w:val="right"/>
      <w:pPr>
        <w:ind w:left="6668" w:hanging="180"/>
      </w:pPr>
    </w:lvl>
  </w:abstractNum>
  <w:abstractNum w:abstractNumId="44" w15:restartNumberingAfterBreak="0">
    <w:nsid w:val="63E21DF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D3A15A9"/>
    <w:multiLevelType w:val="hybridMultilevel"/>
    <w:tmpl w:val="882098B2"/>
    <w:lvl w:ilvl="0" w:tplc="080A0013">
      <w:start w:val="1"/>
      <w:numFmt w:val="upperRoman"/>
      <w:lvlText w:val="%1."/>
      <w:lvlJc w:val="right"/>
      <w:pPr>
        <w:ind w:left="539" w:hanging="360"/>
      </w:pPr>
    </w:lvl>
    <w:lvl w:ilvl="1" w:tplc="080A0019" w:tentative="1">
      <w:start w:val="1"/>
      <w:numFmt w:val="lowerLetter"/>
      <w:lvlText w:val="%2."/>
      <w:lvlJc w:val="left"/>
      <w:pPr>
        <w:ind w:left="1259" w:hanging="360"/>
      </w:pPr>
    </w:lvl>
    <w:lvl w:ilvl="2" w:tplc="080A001B" w:tentative="1">
      <w:start w:val="1"/>
      <w:numFmt w:val="lowerRoman"/>
      <w:lvlText w:val="%3."/>
      <w:lvlJc w:val="right"/>
      <w:pPr>
        <w:ind w:left="1979" w:hanging="180"/>
      </w:pPr>
    </w:lvl>
    <w:lvl w:ilvl="3" w:tplc="080A000F" w:tentative="1">
      <w:start w:val="1"/>
      <w:numFmt w:val="decimal"/>
      <w:lvlText w:val="%4."/>
      <w:lvlJc w:val="left"/>
      <w:pPr>
        <w:ind w:left="2699" w:hanging="360"/>
      </w:pPr>
    </w:lvl>
    <w:lvl w:ilvl="4" w:tplc="080A0019" w:tentative="1">
      <w:start w:val="1"/>
      <w:numFmt w:val="lowerLetter"/>
      <w:lvlText w:val="%5."/>
      <w:lvlJc w:val="left"/>
      <w:pPr>
        <w:ind w:left="3419" w:hanging="360"/>
      </w:pPr>
    </w:lvl>
    <w:lvl w:ilvl="5" w:tplc="080A001B" w:tentative="1">
      <w:start w:val="1"/>
      <w:numFmt w:val="lowerRoman"/>
      <w:lvlText w:val="%6."/>
      <w:lvlJc w:val="right"/>
      <w:pPr>
        <w:ind w:left="4139" w:hanging="180"/>
      </w:pPr>
    </w:lvl>
    <w:lvl w:ilvl="6" w:tplc="080A000F" w:tentative="1">
      <w:start w:val="1"/>
      <w:numFmt w:val="decimal"/>
      <w:lvlText w:val="%7."/>
      <w:lvlJc w:val="left"/>
      <w:pPr>
        <w:ind w:left="4859" w:hanging="360"/>
      </w:pPr>
    </w:lvl>
    <w:lvl w:ilvl="7" w:tplc="080A0019" w:tentative="1">
      <w:start w:val="1"/>
      <w:numFmt w:val="lowerLetter"/>
      <w:lvlText w:val="%8."/>
      <w:lvlJc w:val="left"/>
      <w:pPr>
        <w:ind w:left="5579" w:hanging="360"/>
      </w:pPr>
    </w:lvl>
    <w:lvl w:ilvl="8" w:tplc="080A001B" w:tentative="1">
      <w:start w:val="1"/>
      <w:numFmt w:val="lowerRoman"/>
      <w:lvlText w:val="%9."/>
      <w:lvlJc w:val="right"/>
      <w:pPr>
        <w:ind w:left="6299" w:hanging="180"/>
      </w:pPr>
    </w:lvl>
  </w:abstractNum>
  <w:abstractNum w:abstractNumId="46" w15:restartNumberingAfterBreak="0">
    <w:nsid w:val="6FE8736F"/>
    <w:multiLevelType w:val="hybridMultilevel"/>
    <w:tmpl w:val="F08CDBCA"/>
    <w:lvl w:ilvl="0" w:tplc="640A301A">
      <w:start w:val="1"/>
      <w:numFmt w:val="decimal"/>
      <w:lvlText w:val="1.%1."/>
      <w:lvlJc w:val="left"/>
      <w:pPr>
        <w:ind w:left="1778" w:hanging="360"/>
      </w:pPr>
      <w:rPr>
        <w:rFonts w:ascii="ITC Avant Garde" w:hAnsi="ITC Avant Garde" w:hint="default"/>
        <w:b/>
      </w:rPr>
    </w:lvl>
    <w:lvl w:ilvl="1" w:tplc="080A0019" w:tentative="1">
      <w:start w:val="1"/>
      <w:numFmt w:val="lowerLetter"/>
      <w:lvlText w:val="%2."/>
      <w:lvlJc w:val="left"/>
      <w:pPr>
        <w:ind w:left="3024" w:hanging="360"/>
      </w:pPr>
    </w:lvl>
    <w:lvl w:ilvl="2" w:tplc="080A001B" w:tentative="1">
      <w:start w:val="1"/>
      <w:numFmt w:val="lowerRoman"/>
      <w:lvlText w:val="%3."/>
      <w:lvlJc w:val="right"/>
      <w:pPr>
        <w:ind w:left="3744" w:hanging="180"/>
      </w:pPr>
    </w:lvl>
    <w:lvl w:ilvl="3" w:tplc="080A000F" w:tentative="1">
      <w:start w:val="1"/>
      <w:numFmt w:val="decimal"/>
      <w:lvlText w:val="%4."/>
      <w:lvlJc w:val="left"/>
      <w:pPr>
        <w:ind w:left="4464" w:hanging="360"/>
      </w:pPr>
    </w:lvl>
    <w:lvl w:ilvl="4" w:tplc="080A0019" w:tentative="1">
      <w:start w:val="1"/>
      <w:numFmt w:val="lowerLetter"/>
      <w:lvlText w:val="%5."/>
      <w:lvlJc w:val="left"/>
      <w:pPr>
        <w:ind w:left="5184" w:hanging="360"/>
      </w:pPr>
    </w:lvl>
    <w:lvl w:ilvl="5" w:tplc="080A001B" w:tentative="1">
      <w:start w:val="1"/>
      <w:numFmt w:val="lowerRoman"/>
      <w:lvlText w:val="%6."/>
      <w:lvlJc w:val="right"/>
      <w:pPr>
        <w:ind w:left="5904" w:hanging="180"/>
      </w:pPr>
    </w:lvl>
    <w:lvl w:ilvl="6" w:tplc="080A000F" w:tentative="1">
      <w:start w:val="1"/>
      <w:numFmt w:val="decimal"/>
      <w:lvlText w:val="%7."/>
      <w:lvlJc w:val="left"/>
      <w:pPr>
        <w:ind w:left="6624" w:hanging="360"/>
      </w:pPr>
    </w:lvl>
    <w:lvl w:ilvl="7" w:tplc="080A0019" w:tentative="1">
      <w:start w:val="1"/>
      <w:numFmt w:val="lowerLetter"/>
      <w:lvlText w:val="%8."/>
      <w:lvlJc w:val="left"/>
      <w:pPr>
        <w:ind w:left="7344" w:hanging="360"/>
      </w:pPr>
    </w:lvl>
    <w:lvl w:ilvl="8" w:tplc="080A001B" w:tentative="1">
      <w:start w:val="1"/>
      <w:numFmt w:val="lowerRoman"/>
      <w:lvlText w:val="%9."/>
      <w:lvlJc w:val="right"/>
      <w:pPr>
        <w:ind w:left="8064" w:hanging="180"/>
      </w:pPr>
    </w:lvl>
  </w:abstractNum>
  <w:abstractNum w:abstractNumId="47" w15:restartNumberingAfterBreak="0">
    <w:nsid w:val="757900A7"/>
    <w:multiLevelType w:val="hybridMultilevel"/>
    <w:tmpl w:val="9DD0CC5C"/>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8" w15:restartNumberingAfterBreak="0">
    <w:nsid w:val="7B4D0FF8"/>
    <w:multiLevelType w:val="hybridMultilevel"/>
    <w:tmpl w:val="E446DB2A"/>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BF12FA5"/>
    <w:multiLevelType w:val="hybridMultilevel"/>
    <w:tmpl w:val="2B28EEF6"/>
    <w:lvl w:ilvl="0" w:tplc="BAB8CAE4">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36"/>
  </w:num>
  <w:num w:numId="2">
    <w:abstractNumId w:val="13"/>
  </w:num>
  <w:num w:numId="3">
    <w:abstractNumId w:val="28"/>
  </w:num>
  <w:num w:numId="4">
    <w:abstractNumId w:val="2"/>
  </w:num>
  <w:num w:numId="5">
    <w:abstractNumId w:val="1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8"/>
  </w:num>
  <w:num w:numId="11">
    <w:abstractNumId w:val="35"/>
  </w:num>
  <w:num w:numId="12">
    <w:abstractNumId w:val="7"/>
  </w:num>
  <w:num w:numId="13">
    <w:abstractNumId w:val="3"/>
  </w:num>
  <w:num w:numId="14">
    <w:abstractNumId w:val="1"/>
  </w:num>
  <w:num w:numId="15">
    <w:abstractNumId w:val="23"/>
  </w:num>
  <w:num w:numId="16">
    <w:abstractNumId w:val="46"/>
  </w:num>
  <w:num w:numId="17">
    <w:abstractNumId w:val="45"/>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8"/>
  </w:num>
  <w:num w:numId="21">
    <w:abstractNumId w:val="4"/>
  </w:num>
  <w:num w:numId="22">
    <w:abstractNumId w:val="44"/>
  </w:num>
  <w:num w:numId="23">
    <w:abstractNumId w:val="31"/>
  </w:num>
  <w:num w:numId="24">
    <w:abstractNumId w:val="38"/>
  </w:num>
  <w:num w:numId="25">
    <w:abstractNumId w:val="37"/>
  </w:num>
  <w:num w:numId="26">
    <w:abstractNumId w:val="28"/>
  </w:num>
  <w:num w:numId="27">
    <w:abstractNumId w:val="14"/>
  </w:num>
  <w:num w:numId="28">
    <w:abstractNumId w:val="41"/>
  </w:num>
  <w:num w:numId="29">
    <w:abstractNumId w:val="30"/>
  </w:num>
  <w:num w:numId="30">
    <w:abstractNumId w:val="26"/>
  </w:num>
  <w:num w:numId="31">
    <w:abstractNumId w:val="39"/>
  </w:num>
  <w:num w:numId="32">
    <w:abstractNumId w:val="33"/>
  </w:num>
  <w:num w:numId="33">
    <w:abstractNumId w:val="25"/>
  </w:num>
  <w:num w:numId="34">
    <w:abstractNumId w:val="16"/>
  </w:num>
  <w:num w:numId="35">
    <w:abstractNumId w:val="32"/>
  </w:num>
  <w:num w:numId="36">
    <w:abstractNumId w:val="0"/>
  </w:num>
  <w:num w:numId="37">
    <w:abstractNumId w:val="21"/>
  </w:num>
  <w:num w:numId="38">
    <w:abstractNumId w:val="49"/>
  </w:num>
  <w:num w:numId="39">
    <w:abstractNumId w:val="9"/>
  </w:num>
  <w:num w:numId="40">
    <w:abstractNumId w:val="18"/>
  </w:num>
  <w:num w:numId="41">
    <w:abstractNumId w:val="10"/>
  </w:num>
  <w:num w:numId="42">
    <w:abstractNumId w:val="20"/>
  </w:num>
  <w:num w:numId="43">
    <w:abstractNumId w:val="5"/>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42"/>
  </w:num>
  <w:num w:numId="47">
    <w:abstractNumId w:val="34"/>
  </w:num>
  <w:num w:numId="48">
    <w:abstractNumId w:val="11"/>
  </w:num>
  <w:num w:numId="49">
    <w:abstractNumId w:val="27"/>
  </w:num>
  <w:num w:numId="50">
    <w:abstractNumId w:val="24"/>
  </w:num>
  <w:num w:numId="51">
    <w:abstractNumId w:val="15"/>
  </w:num>
  <w:num w:numId="52">
    <w:abstractNumId w:val="43"/>
  </w:num>
  <w:num w:numId="53">
    <w:abstractNumId w:val="6"/>
  </w:num>
  <w:num w:numId="54">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2D0"/>
    <w:rsid w:val="0000341D"/>
    <w:rsid w:val="0000345F"/>
    <w:rsid w:val="00004279"/>
    <w:rsid w:val="00007597"/>
    <w:rsid w:val="00007B4B"/>
    <w:rsid w:val="0001038D"/>
    <w:rsid w:val="00011325"/>
    <w:rsid w:val="000116D0"/>
    <w:rsid w:val="00011880"/>
    <w:rsid w:val="00011FCA"/>
    <w:rsid w:val="0001327C"/>
    <w:rsid w:val="00013DA2"/>
    <w:rsid w:val="00014EFF"/>
    <w:rsid w:val="000154B0"/>
    <w:rsid w:val="00016151"/>
    <w:rsid w:val="00016334"/>
    <w:rsid w:val="000167EA"/>
    <w:rsid w:val="000173C1"/>
    <w:rsid w:val="00020418"/>
    <w:rsid w:val="00022492"/>
    <w:rsid w:val="00024554"/>
    <w:rsid w:val="000246A6"/>
    <w:rsid w:val="00024CAC"/>
    <w:rsid w:val="00024D9A"/>
    <w:rsid w:val="00024F70"/>
    <w:rsid w:val="00025429"/>
    <w:rsid w:val="00025E9A"/>
    <w:rsid w:val="000262D5"/>
    <w:rsid w:val="00030C34"/>
    <w:rsid w:val="00031039"/>
    <w:rsid w:val="00031312"/>
    <w:rsid w:val="00033435"/>
    <w:rsid w:val="0003491D"/>
    <w:rsid w:val="00035E5F"/>
    <w:rsid w:val="000367AD"/>
    <w:rsid w:val="00036FE1"/>
    <w:rsid w:val="00037344"/>
    <w:rsid w:val="000373B7"/>
    <w:rsid w:val="00037D31"/>
    <w:rsid w:val="00042083"/>
    <w:rsid w:val="00042A05"/>
    <w:rsid w:val="00042D76"/>
    <w:rsid w:val="000448E7"/>
    <w:rsid w:val="00044E94"/>
    <w:rsid w:val="00046710"/>
    <w:rsid w:val="00046F9C"/>
    <w:rsid w:val="000500D9"/>
    <w:rsid w:val="0005090F"/>
    <w:rsid w:val="0005151B"/>
    <w:rsid w:val="0005314B"/>
    <w:rsid w:val="0005470B"/>
    <w:rsid w:val="0005552D"/>
    <w:rsid w:val="00055717"/>
    <w:rsid w:val="000573BD"/>
    <w:rsid w:val="0006173F"/>
    <w:rsid w:val="00062880"/>
    <w:rsid w:val="00062C40"/>
    <w:rsid w:val="000639C2"/>
    <w:rsid w:val="00063C5B"/>
    <w:rsid w:val="000658C9"/>
    <w:rsid w:val="0006748E"/>
    <w:rsid w:val="00072221"/>
    <w:rsid w:val="00072BC8"/>
    <w:rsid w:val="00072D11"/>
    <w:rsid w:val="000744A1"/>
    <w:rsid w:val="00074866"/>
    <w:rsid w:val="00074C09"/>
    <w:rsid w:val="00080ED3"/>
    <w:rsid w:val="0008232D"/>
    <w:rsid w:val="00083727"/>
    <w:rsid w:val="000837C7"/>
    <w:rsid w:val="00085181"/>
    <w:rsid w:val="00085DCD"/>
    <w:rsid w:val="00087676"/>
    <w:rsid w:val="000904AD"/>
    <w:rsid w:val="000918AF"/>
    <w:rsid w:val="000922C3"/>
    <w:rsid w:val="00093379"/>
    <w:rsid w:val="00096C5F"/>
    <w:rsid w:val="000970F1"/>
    <w:rsid w:val="0009730A"/>
    <w:rsid w:val="000A0B8A"/>
    <w:rsid w:val="000A0E39"/>
    <w:rsid w:val="000A22CB"/>
    <w:rsid w:val="000A2B25"/>
    <w:rsid w:val="000A2E21"/>
    <w:rsid w:val="000A372B"/>
    <w:rsid w:val="000A3973"/>
    <w:rsid w:val="000A3E65"/>
    <w:rsid w:val="000A4104"/>
    <w:rsid w:val="000A41B5"/>
    <w:rsid w:val="000A491D"/>
    <w:rsid w:val="000A7529"/>
    <w:rsid w:val="000B03AC"/>
    <w:rsid w:val="000B0454"/>
    <w:rsid w:val="000B054A"/>
    <w:rsid w:val="000B0E4C"/>
    <w:rsid w:val="000B0F61"/>
    <w:rsid w:val="000B109B"/>
    <w:rsid w:val="000B1B50"/>
    <w:rsid w:val="000B1F83"/>
    <w:rsid w:val="000B2332"/>
    <w:rsid w:val="000B3E4B"/>
    <w:rsid w:val="000B41CF"/>
    <w:rsid w:val="000B6E51"/>
    <w:rsid w:val="000B6EA3"/>
    <w:rsid w:val="000B7373"/>
    <w:rsid w:val="000B7FD1"/>
    <w:rsid w:val="000C012A"/>
    <w:rsid w:val="000C0163"/>
    <w:rsid w:val="000C026A"/>
    <w:rsid w:val="000C029C"/>
    <w:rsid w:val="000C05EB"/>
    <w:rsid w:val="000C1C63"/>
    <w:rsid w:val="000C2337"/>
    <w:rsid w:val="000C2394"/>
    <w:rsid w:val="000C2450"/>
    <w:rsid w:val="000C263C"/>
    <w:rsid w:val="000C3D13"/>
    <w:rsid w:val="000C474A"/>
    <w:rsid w:val="000C4C55"/>
    <w:rsid w:val="000C5547"/>
    <w:rsid w:val="000C5E32"/>
    <w:rsid w:val="000C6299"/>
    <w:rsid w:val="000C75AA"/>
    <w:rsid w:val="000D0447"/>
    <w:rsid w:val="000D084A"/>
    <w:rsid w:val="000D14B1"/>
    <w:rsid w:val="000D1FE2"/>
    <w:rsid w:val="000D2DAD"/>
    <w:rsid w:val="000D3420"/>
    <w:rsid w:val="000D37C2"/>
    <w:rsid w:val="000D3E43"/>
    <w:rsid w:val="000D58BE"/>
    <w:rsid w:val="000D7634"/>
    <w:rsid w:val="000D7655"/>
    <w:rsid w:val="000E07D0"/>
    <w:rsid w:val="000E0E04"/>
    <w:rsid w:val="000E1116"/>
    <w:rsid w:val="000E11F8"/>
    <w:rsid w:val="000E1AED"/>
    <w:rsid w:val="000E4628"/>
    <w:rsid w:val="000E4712"/>
    <w:rsid w:val="000E6B47"/>
    <w:rsid w:val="000E6FA5"/>
    <w:rsid w:val="000E76EF"/>
    <w:rsid w:val="000F17CF"/>
    <w:rsid w:val="000F3FEE"/>
    <w:rsid w:val="000F4D94"/>
    <w:rsid w:val="000F4E85"/>
    <w:rsid w:val="000F527A"/>
    <w:rsid w:val="000F5E4B"/>
    <w:rsid w:val="000F6CC8"/>
    <w:rsid w:val="000F7644"/>
    <w:rsid w:val="0010011A"/>
    <w:rsid w:val="001003DA"/>
    <w:rsid w:val="00100DE3"/>
    <w:rsid w:val="00105218"/>
    <w:rsid w:val="00105A98"/>
    <w:rsid w:val="00106523"/>
    <w:rsid w:val="00106E4D"/>
    <w:rsid w:val="00107C41"/>
    <w:rsid w:val="00111069"/>
    <w:rsid w:val="00111B1E"/>
    <w:rsid w:val="00112517"/>
    <w:rsid w:val="00112C0E"/>
    <w:rsid w:val="00112C1B"/>
    <w:rsid w:val="00113D96"/>
    <w:rsid w:val="00115D56"/>
    <w:rsid w:val="00115FE9"/>
    <w:rsid w:val="001166B4"/>
    <w:rsid w:val="00120B92"/>
    <w:rsid w:val="00122D69"/>
    <w:rsid w:val="00127B6F"/>
    <w:rsid w:val="00130CB8"/>
    <w:rsid w:val="001314A5"/>
    <w:rsid w:val="00131583"/>
    <w:rsid w:val="001322EF"/>
    <w:rsid w:val="00134D4D"/>
    <w:rsid w:val="0013504F"/>
    <w:rsid w:val="00136C0E"/>
    <w:rsid w:val="00137104"/>
    <w:rsid w:val="00140B2E"/>
    <w:rsid w:val="001410D1"/>
    <w:rsid w:val="0014189A"/>
    <w:rsid w:val="001425EA"/>
    <w:rsid w:val="0014446D"/>
    <w:rsid w:val="00144765"/>
    <w:rsid w:val="00144FCA"/>
    <w:rsid w:val="001465DA"/>
    <w:rsid w:val="001471B6"/>
    <w:rsid w:val="0014766B"/>
    <w:rsid w:val="00147884"/>
    <w:rsid w:val="0015035C"/>
    <w:rsid w:val="001517E0"/>
    <w:rsid w:val="00151B8B"/>
    <w:rsid w:val="00151C5F"/>
    <w:rsid w:val="00152326"/>
    <w:rsid w:val="0015249C"/>
    <w:rsid w:val="00153356"/>
    <w:rsid w:val="00154689"/>
    <w:rsid w:val="00156BE9"/>
    <w:rsid w:val="00156C01"/>
    <w:rsid w:val="001575F6"/>
    <w:rsid w:val="00157B86"/>
    <w:rsid w:val="00160EAC"/>
    <w:rsid w:val="00162697"/>
    <w:rsid w:val="00163A92"/>
    <w:rsid w:val="0016415A"/>
    <w:rsid w:val="00164E3A"/>
    <w:rsid w:val="0016577A"/>
    <w:rsid w:val="00170967"/>
    <w:rsid w:val="00172111"/>
    <w:rsid w:val="00175359"/>
    <w:rsid w:val="0017734D"/>
    <w:rsid w:val="00177E58"/>
    <w:rsid w:val="001807B6"/>
    <w:rsid w:val="00180C08"/>
    <w:rsid w:val="00180DCD"/>
    <w:rsid w:val="00181018"/>
    <w:rsid w:val="0018125B"/>
    <w:rsid w:val="00181A19"/>
    <w:rsid w:val="001834DD"/>
    <w:rsid w:val="00184117"/>
    <w:rsid w:val="00184FC2"/>
    <w:rsid w:val="0018572D"/>
    <w:rsid w:val="00186175"/>
    <w:rsid w:val="00186E50"/>
    <w:rsid w:val="00190569"/>
    <w:rsid w:val="00191A1C"/>
    <w:rsid w:val="0019262A"/>
    <w:rsid w:val="00193FA8"/>
    <w:rsid w:val="00194699"/>
    <w:rsid w:val="001947B1"/>
    <w:rsid w:val="00195BEF"/>
    <w:rsid w:val="00195C53"/>
    <w:rsid w:val="001963F5"/>
    <w:rsid w:val="00197CDA"/>
    <w:rsid w:val="00197D0D"/>
    <w:rsid w:val="001A076C"/>
    <w:rsid w:val="001A0DC6"/>
    <w:rsid w:val="001A104F"/>
    <w:rsid w:val="001A2201"/>
    <w:rsid w:val="001A3049"/>
    <w:rsid w:val="001A31A5"/>
    <w:rsid w:val="001A372C"/>
    <w:rsid w:val="001A4322"/>
    <w:rsid w:val="001A58D7"/>
    <w:rsid w:val="001A6013"/>
    <w:rsid w:val="001A64C7"/>
    <w:rsid w:val="001A6B6F"/>
    <w:rsid w:val="001B0F1F"/>
    <w:rsid w:val="001B12B0"/>
    <w:rsid w:val="001B1C72"/>
    <w:rsid w:val="001B314B"/>
    <w:rsid w:val="001B31C7"/>
    <w:rsid w:val="001B3D77"/>
    <w:rsid w:val="001B3FE8"/>
    <w:rsid w:val="001B41BC"/>
    <w:rsid w:val="001B447A"/>
    <w:rsid w:val="001B567A"/>
    <w:rsid w:val="001B58A1"/>
    <w:rsid w:val="001B7C74"/>
    <w:rsid w:val="001C085E"/>
    <w:rsid w:val="001C15FF"/>
    <w:rsid w:val="001C1E8D"/>
    <w:rsid w:val="001C264F"/>
    <w:rsid w:val="001C281B"/>
    <w:rsid w:val="001C4F73"/>
    <w:rsid w:val="001C505C"/>
    <w:rsid w:val="001C50F0"/>
    <w:rsid w:val="001C5C6E"/>
    <w:rsid w:val="001C71A8"/>
    <w:rsid w:val="001D0E8B"/>
    <w:rsid w:val="001D1AAF"/>
    <w:rsid w:val="001D2B0C"/>
    <w:rsid w:val="001D4B81"/>
    <w:rsid w:val="001D4DC9"/>
    <w:rsid w:val="001D5749"/>
    <w:rsid w:val="001D5CA4"/>
    <w:rsid w:val="001D77CA"/>
    <w:rsid w:val="001D7E9A"/>
    <w:rsid w:val="001E0DE0"/>
    <w:rsid w:val="001E10A0"/>
    <w:rsid w:val="001E280F"/>
    <w:rsid w:val="001E285C"/>
    <w:rsid w:val="001E4E0A"/>
    <w:rsid w:val="001E6383"/>
    <w:rsid w:val="001F10DD"/>
    <w:rsid w:val="001F45F4"/>
    <w:rsid w:val="001F4FB8"/>
    <w:rsid w:val="001F5873"/>
    <w:rsid w:val="001F5EA0"/>
    <w:rsid w:val="001F631A"/>
    <w:rsid w:val="00200918"/>
    <w:rsid w:val="00201CF7"/>
    <w:rsid w:val="00202E7B"/>
    <w:rsid w:val="0020364D"/>
    <w:rsid w:val="00203F53"/>
    <w:rsid w:val="0020434A"/>
    <w:rsid w:val="00205F6B"/>
    <w:rsid w:val="0020744D"/>
    <w:rsid w:val="0021012B"/>
    <w:rsid w:val="00213325"/>
    <w:rsid w:val="00213C30"/>
    <w:rsid w:val="00214B07"/>
    <w:rsid w:val="002166D9"/>
    <w:rsid w:val="00216E70"/>
    <w:rsid w:val="0022106E"/>
    <w:rsid w:val="00221568"/>
    <w:rsid w:val="00221C8E"/>
    <w:rsid w:val="00222F5A"/>
    <w:rsid w:val="00224AFA"/>
    <w:rsid w:val="00225801"/>
    <w:rsid w:val="00225978"/>
    <w:rsid w:val="00225AD2"/>
    <w:rsid w:val="00226153"/>
    <w:rsid w:val="00226F42"/>
    <w:rsid w:val="002272A6"/>
    <w:rsid w:val="0022735C"/>
    <w:rsid w:val="0022796A"/>
    <w:rsid w:val="002315C3"/>
    <w:rsid w:val="00232580"/>
    <w:rsid w:val="00233F69"/>
    <w:rsid w:val="00234F20"/>
    <w:rsid w:val="002351AC"/>
    <w:rsid w:val="00235435"/>
    <w:rsid w:val="00235D93"/>
    <w:rsid w:val="00235F40"/>
    <w:rsid w:val="002373DB"/>
    <w:rsid w:val="002374B7"/>
    <w:rsid w:val="0023752B"/>
    <w:rsid w:val="00240D92"/>
    <w:rsid w:val="00240FB7"/>
    <w:rsid w:val="0024296E"/>
    <w:rsid w:val="00243087"/>
    <w:rsid w:val="002440E8"/>
    <w:rsid w:val="0024539C"/>
    <w:rsid w:val="00245FA9"/>
    <w:rsid w:val="00247FA5"/>
    <w:rsid w:val="00250DF4"/>
    <w:rsid w:val="0025178C"/>
    <w:rsid w:val="0025187E"/>
    <w:rsid w:val="002531D6"/>
    <w:rsid w:val="00254051"/>
    <w:rsid w:val="00254F05"/>
    <w:rsid w:val="00256CA4"/>
    <w:rsid w:val="002577C7"/>
    <w:rsid w:val="0025794B"/>
    <w:rsid w:val="00257DE1"/>
    <w:rsid w:val="00260003"/>
    <w:rsid w:val="00261929"/>
    <w:rsid w:val="00265011"/>
    <w:rsid w:val="002656A1"/>
    <w:rsid w:val="00267F64"/>
    <w:rsid w:val="00272147"/>
    <w:rsid w:val="002731B7"/>
    <w:rsid w:val="002737B9"/>
    <w:rsid w:val="0027565E"/>
    <w:rsid w:val="00276D2C"/>
    <w:rsid w:val="00277144"/>
    <w:rsid w:val="002771F2"/>
    <w:rsid w:val="00277575"/>
    <w:rsid w:val="002779D1"/>
    <w:rsid w:val="00277BFB"/>
    <w:rsid w:val="00281968"/>
    <w:rsid w:val="00284033"/>
    <w:rsid w:val="002840F8"/>
    <w:rsid w:val="00286D88"/>
    <w:rsid w:val="00287CBF"/>
    <w:rsid w:val="00290CE3"/>
    <w:rsid w:val="002915DF"/>
    <w:rsid w:val="002923A5"/>
    <w:rsid w:val="0029348C"/>
    <w:rsid w:val="002960DC"/>
    <w:rsid w:val="00296DD9"/>
    <w:rsid w:val="002A1E6B"/>
    <w:rsid w:val="002A489F"/>
    <w:rsid w:val="002A587F"/>
    <w:rsid w:val="002A65BC"/>
    <w:rsid w:val="002B0869"/>
    <w:rsid w:val="002B2D38"/>
    <w:rsid w:val="002B35AD"/>
    <w:rsid w:val="002B3837"/>
    <w:rsid w:val="002B531F"/>
    <w:rsid w:val="002B6A22"/>
    <w:rsid w:val="002C150C"/>
    <w:rsid w:val="002C2711"/>
    <w:rsid w:val="002C3B54"/>
    <w:rsid w:val="002C61F9"/>
    <w:rsid w:val="002C6ACF"/>
    <w:rsid w:val="002C731C"/>
    <w:rsid w:val="002C777E"/>
    <w:rsid w:val="002D0F52"/>
    <w:rsid w:val="002D15A1"/>
    <w:rsid w:val="002D1C16"/>
    <w:rsid w:val="002D287C"/>
    <w:rsid w:val="002D3379"/>
    <w:rsid w:val="002D3DF1"/>
    <w:rsid w:val="002D4A55"/>
    <w:rsid w:val="002D52BD"/>
    <w:rsid w:val="002D546F"/>
    <w:rsid w:val="002D7ACC"/>
    <w:rsid w:val="002D7ED4"/>
    <w:rsid w:val="002E0045"/>
    <w:rsid w:val="002E1806"/>
    <w:rsid w:val="002E28E7"/>
    <w:rsid w:val="002E42D5"/>
    <w:rsid w:val="002E4A09"/>
    <w:rsid w:val="002E5E39"/>
    <w:rsid w:val="002E5FFC"/>
    <w:rsid w:val="002E6132"/>
    <w:rsid w:val="002E6144"/>
    <w:rsid w:val="002E6785"/>
    <w:rsid w:val="002E6791"/>
    <w:rsid w:val="002E6BBF"/>
    <w:rsid w:val="002F0480"/>
    <w:rsid w:val="002F086E"/>
    <w:rsid w:val="002F0885"/>
    <w:rsid w:val="002F0C17"/>
    <w:rsid w:val="002F3A11"/>
    <w:rsid w:val="002F3E29"/>
    <w:rsid w:val="002F59B7"/>
    <w:rsid w:val="002F610C"/>
    <w:rsid w:val="003000D3"/>
    <w:rsid w:val="00303912"/>
    <w:rsid w:val="003043AE"/>
    <w:rsid w:val="00304990"/>
    <w:rsid w:val="003050F2"/>
    <w:rsid w:val="00305DA2"/>
    <w:rsid w:val="003062FE"/>
    <w:rsid w:val="003072A9"/>
    <w:rsid w:val="0030781B"/>
    <w:rsid w:val="003109C2"/>
    <w:rsid w:val="00310B02"/>
    <w:rsid w:val="003116B8"/>
    <w:rsid w:val="00311C51"/>
    <w:rsid w:val="003120FF"/>
    <w:rsid w:val="0031373D"/>
    <w:rsid w:val="0031466C"/>
    <w:rsid w:val="00315BCE"/>
    <w:rsid w:val="003171B6"/>
    <w:rsid w:val="0032206A"/>
    <w:rsid w:val="00322105"/>
    <w:rsid w:val="00322EDB"/>
    <w:rsid w:val="0032310C"/>
    <w:rsid w:val="00323BC5"/>
    <w:rsid w:val="00325674"/>
    <w:rsid w:val="00325AD0"/>
    <w:rsid w:val="00326523"/>
    <w:rsid w:val="0033114C"/>
    <w:rsid w:val="00331283"/>
    <w:rsid w:val="00332F91"/>
    <w:rsid w:val="003335A6"/>
    <w:rsid w:val="003335D9"/>
    <w:rsid w:val="003349D8"/>
    <w:rsid w:val="00335932"/>
    <w:rsid w:val="00335C92"/>
    <w:rsid w:val="00335F51"/>
    <w:rsid w:val="003368AC"/>
    <w:rsid w:val="00337F2B"/>
    <w:rsid w:val="003406A4"/>
    <w:rsid w:val="00340AF0"/>
    <w:rsid w:val="00340B22"/>
    <w:rsid w:val="00341067"/>
    <w:rsid w:val="003442BF"/>
    <w:rsid w:val="003456B4"/>
    <w:rsid w:val="00345EE1"/>
    <w:rsid w:val="00345FFF"/>
    <w:rsid w:val="00350911"/>
    <w:rsid w:val="0035299B"/>
    <w:rsid w:val="003536E2"/>
    <w:rsid w:val="00353CD8"/>
    <w:rsid w:val="003555E9"/>
    <w:rsid w:val="00356156"/>
    <w:rsid w:val="0035616F"/>
    <w:rsid w:val="003566C0"/>
    <w:rsid w:val="00357BED"/>
    <w:rsid w:val="00360633"/>
    <w:rsid w:val="003610D6"/>
    <w:rsid w:val="0036213E"/>
    <w:rsid w:val="00363D3F"/>
    <w:rsid w:val="003644C1"/>
    <w:rsid w:val="00364D85"/>
    <w:rsid w:val="00365D94"/>
    <w:rsid w:val="00366BFA"/>
    <w:rsid w:val="00371021"/>
    <w:rsid w:val="003737C1"/>
    <w:rsid w:val="0037405A"/>
    <w:rsid w:val="00374EA2"/>
    <w:rsid w:val="003753ED"/>
    <w:rsid w:val="00377FDF"/>
    <w:rsid w:val="003800BA"/>
    <w:rsid w:val="00381AFA"/>
    <w:rsid w:val="0038307D"/>
    <w:rsid w:val="00383D03"/>
    <w:rsid w:val="00384606"/>
    <w:rsid w:val="00385C0C"/>
    <w:rsid w:val="00385C96"/>
    <w:rsid w:val="0038646B"/>
    <w:rsid w:val="00386BF9"/>
    <w:rsid w:val="00386F43"/>
    <w:rsid w:val="00387082"/>
    <w:rsid w:val="003874FD"/>
    <w:rsid w:val="00387901"/>
    <w:rsid w:val="00387BAB"/>
    <w:rsid w:val="0039032C"/>
    <w:rsid w:val="00390C9D"/>
    <w:rsid w:val="00391242"/>
    <w:rsid w:val="00391499"/>
    <w:rsid w:val="003918E4"/>
    <w:rsid w:val="003919D8"/>
    <w:rsid w:val="00391FB8"/>
    <w:rsid w:val="003936D7"/>
    <w:rsid w:val="003944B3"/>
    <w:rsid w:val="00394AF2"/>
    <w:rsid w:val="00395868"/>
    <w:rsid w:val="003967BD"/>
    <w:rsid w:val="00396FCA"/>
    <w:rsid w:val="00397C91"/>
    <w:rsid w:val="003A0DCC"/>
    <w:rsid w:val="003A19FB"/>
    <w:rsid w:val="003A1B0D"/>
    <w:rsid w:val="003A3279"/>
    <w:rsid w:val="003A363C"/>
    <w:rsid w:val="003B0457"/>
    <w:rsid w:val="003B173B"/>
    <w:rsid w:val="003B22D6"/>
    <w:rsid w:val="003B3342"/>
    <w:rsid w:val="003B45F4"/>
    <w:rsid w:val="003B4FB5"/>
    <w:rsid w:val="003B7B13"/>
    <w:rsid w:val="003C149D"/>
    <w:rsid w:val="003C14E7"/>
    <w:rsid w:val="003C1C6E"/>
    <w:rsid w:val="003C29D1"/>
    <w:rsid w:val="003C2D27"/>
    <w:rsid w:val="003C34AF"/>
    <w:rsid w:val="003C36D6"/>
    <w:rsid w:val="003C3843"/>
    <w:rsid w:val="003C3A20"/>
    <w:rsid w:val="003C3A9E"/>
    <w:rsid w:val="003D0457"/>
    <w:rsid w:val="003D6094"/>
    <w:rsid w:val="003D6547"/>
    <w:rsid w:val="003E0AD0"/>
    <w:rsid w:val="003E0F8C"/>
    <w:rsid w:val="003E321B"/>
    <w:rsid w:val="003E4054"/>
    <w:rsid w:val="003E4812"/>
    <w:rsid w:val="003E4F3A"/>
    <w:rsid w:val="003E516F"/>
    <w:rsid w:val="003E5B75"/>
    <w:rsid w:val="003E5D06"/>
    <w:rsid w:val="003E68F1"/>
    <w:rsid w:val="003F1CF2"/>
    <w:rsid w:val="003F23E2"/>
    <w:rsid w:val="003F28BD"/>
    <w:rsid w:val="003F3844"/>
    <w:rsid w:val="003F5887"/>
    <w:rsid w:val="003F6DC0"/>
    <w:rsid w:val="004028A9"/>
    <w:rsid w:val="004037DF"/>
    <w:rsid w:val="00403877"/>
    <w:rsid w:val="00406671"/>
    <w:rsid w:val="0041112B"/>
    <w:rsid w:val="00411763"/>
    <w:rsid w:val="00413F5D"/>
    <w:rsid w:val="00415E0A"/>
    <w:rsid w:val="00416F12"/>
    <w:rsid w:val="00417112"/>
    <w:rsid w:val="00420150"/>
    <w:rsid w:val="00420FA3"/>
    <w:rsid w:val="0042121C"/>
    <w:rsid w:val="00421BD7"/>
    <w:rsid w:val="004220D3"/>
    <w:rsid w:val="00424141"/>
    <w:rsid w:val="004252CC"/>
    <w:rsid w:val="0042731F"/>
    <w:rsid w:val="00427C38"/>
    <w:rsid w:val="00430031"/>
    <w:rsid w:val="00432AC4"/>
    <w:rsid w:val="00434A3B"/>
    <w:rsid w:val="0043547C"/>
    <w:rsid w:val="00436DD4"/>
    <w:rsid w:val="00437633"/>
    <w:rsid w:val="0043776E"/>
    <w:rsid w:val="00437CD6"/>
    <w:rsid w:val="00437D83"/>
    <w:rsid w:val="00437FAE"/>
    <w:rsid w:val="004406C2"/>
    <w:rsid w:val="00440E06"/>
    <w:rsid w:val="004421BC"/>
    <w:rsid w:val="004424A1"/>
    <w:rsid w:val="00442A95"/>
    <w:rsid w:val="004436F7"/>
    <w:rsid w:val="00445FDE"/>
    <w:rsid w:val="00446853"/>
    <w:rsid w:val="00446858"/>
    <w:rsid w:val="00446A21"/>
    <w:rsid w:val="004509A3"/>
    <w:rsid w:val="00450A26"/>
    <w:rsid w:val="00451840"/>
    <w:rsid w:val="00452D8C"/>
    <w:rsid w:val="00453E39"/>
    <w:rsid w:val="00454A27"/>
    <w:rsid w:val="00454B2D"/>
    <w:rsid w:val="00460537"/>
    <w:rsid w:val="00461DE8"/>
    <w:rsid w:val="00462384"/>
    <w:rsid w:val="00462C8E"/>
    <w:rsid w:val="0046594F"/>
    <w:rsid w:val="00466185"/>
    <w:rsid w:val="00470492"/>
    <w:rsid w:val="0047172F"/>
    <w:rsid w:val="0047182B"/>
    <w:rsid w:val="00472656"/>
    <w:rsid w:val="004732F2"/>
    <w:rsid w:val="004736E3"/>
    <w:rsid w:val="00473F87"/>
    <w:rsid w:val="00474FCE"/>
    <w:rsid w:val="00477901"/>
    <w:rsid w:val="00477C4E"/>
    <w:rsid w:val="00480AE3"/>
    <w:rsid w:val="00481EAD"/>
    <w:rsid w:val="004848FF"/>
    <w:rsid w:val="004870DA"/>
    <w:rsid w:val="00487358"/>
    <w:rsid w:val="00493A37"/>
    <w:rsid w:val="00494C21"/>
    <w:rsid w:val="00494D0B"/>
    <w:rsid w:val="004957D1"/>
    <w:rsid w:val="004968A8"/>
    <w:rsid w:val="00496BA9"/>
    <w:rsid w:val="00497F0E"/>
    <w:rsid w:val="004A0A11"/>
    <w:rsid w:val="004A1177"/>
    <w:rsid w:val="004A17E8"/>
    <w:rsid w:val="004A3129"/>
    <w:rsid w:val="004A5065"/>
    <w:rsid w:val="004A78FC"/>
    <w:rsid w:val="004A7A17"/>
    <w:rsid w:val="004A7AFF"/>
    <w:rsid w:val="004B08AA"/>
    <w:rsid w:val="004B0F96"/>
    <w:rsid w:val="004B13C3"/>
    <w:rsid w:val="004B31CF"/>
    <w:rsid w:val="004B323F"/>
    <w:rsid w:val="004B569E"/>
    <w:rsid w:val="004B56B1"/>
    <w:rsid w:val="004B7484"/>
    <w:rsid w:val="004B7836"/>
    <w:rsid w:val="004B7845"/>
    <w:rsid w:val="004C00EE"/>
    <w:rsid w:val="004C0E44"/>
    <w:rsid w:val="004C0EE0"/>
    <w:rsid w:val="004C183C"/>
    <w:rsid w:val="004C249C"/>
    <w:rsid w:val="004C3384"/>
    <w:rsid w:val="004C3823"/>
    <w:rsid w:val="004C42FF"/>
    <w:rsid w:val="004C437B"/>
    <w:rsid w:val="004C4A1B"/>
    <w:rsid w:val="004C5FE8"/>
    <w:rsid w:val="004C7706"/>
    <w:rsid w:val="004D0CCD"/>
    <w:rsid w:val="004D1217"/>
    <w:rsid w:val="004D182C"/>
    <w:rsid w:val="004D2037"/>
    <w:rsid w:val="004D3F86"/>
    <w:rsid w:val="004D6E82"/>
    <w:rsid w:val="004D7684"/>
    <w:rsid w:val="004E04D6"/>
    <w:rsid w:val="004E15EF"/>
    <w:rsid w:val="004E1D7B"/>
    <w:rsid w:val="004E36F3"/>
    <w:rsid w:val="004E39F2"/>
    <w:rsid w:val="004F1332"/>
    <w:rsid w:val="004F2830"/>
    <w:rsid w:val="004F3A53"/>
    <w:rsid w:val="004F4E8E"/>
    <w:rsid w:val="004F5813"/>
    <w:rsid w:val="004F61C3"/>
    <w:rsid w:val="004F64A9"/>
    <w:rsid w:val="004F6E26"/>
    <w:rsid w:val="004F7B6E"/>
    <w:rsid w:val="0050163C"/>
    <w:rsid w:val="005027B3"/>
    <w:rsid w:val="00504FF0"/>
    <w:rsid w:val="00505DCA"/>
    <w:rsid w:val="005062A1"/>
    <w:rsid w:val="00510574"/>
    <w:rsid w:val="0051072C"/>
    <w:rsid w:val="0051081D"/>
    <w:rsid w:val="005108E9"/>
    <w:rsid w:val="00511A1F"/>
    <w:rsid w:val="00512D65"/>
    <w:rsid w:val="005138D6"/>
    <w:rsid w:val="00513E0D"/>
    <w:rsid w:val="0051488F"/>
    <w:rsid w:val="00516886"/>
    <w:rsid w:val="005200A3"/>
    <w:rsid w:val="0052115B"/>
    <w:rsid w:val="00521405"/>
    <w:rsid w:val="005215CE"/>
    <w:rsid w:val="00521E33"/>
    <w:rsid w:val="00522E63"/>
    <w:rsid w:val="00523418"/>
    <w:rsid w:val="00525CA8"/>
    <w:rsid w:val="00525EB2"/>
    <w:rsid w:val="00530F3C"/>
    <w:rsid w:val="00531726"/>
    <w:rsid w:val="00531873"/>
    <w:rsid w:val="005337FA"/>
    <w:rsid w:val="00534398"/>
    <w:rsid w:val="00534E13"/>
    <w:rsid w:val="00535F1A"/>
    <w:rsid w:val="005368B0"/>
    <w:rsid w:val="00537591"/>
    <w:rsid w:val="005375DB"/>
    <w:rsid w:val="00537870"/>
    <w:rsid w:val="005378C7"/>
    <w:rsid w:val="00537E41"/>
    <w:rsid w:val="0054062F"/>
    <w:rsid w:val="00540D04"/>
    <w:rsid w:val="005410B5"/>
    <w:rsid w:val="005419A6"/>
    <w:rsid w:val="00542B97"/>
    <w:rsid w:val="00543C24"/>
    <w:rsid w:val="00543CC1"/>
    <w:rsid w:val="00543F7C"/>
    <w:rsid w:val="00544076"/>
    <w:rsid w:val="00545AEF"/>
    <w:rsid w:val="00546345"/>
    <w:rsid w:val="005514E3"/>
    <w:rsid w:val="0055497B"/>
    <w:rsid w:val="00556362"/>
    <w:rsid w:val="00560095"/>
    <w:rsid w:val="00560794"/>
    <w:rsid w:val="0056152A"/>
    <w:rsid w:val="00561C42"/>
    <w:rsid w:val="005621B4"/>
    <w:rsid w:val="0056245E"/>
    <w:rsid w:val="005626BF"/>
    <w:rsid w:val="0056276A"/>
    <w:rsid w:val="00563E87"/>
    <w:rsid w:val="0056497B"/>
    <w:rsid w:val="00565663"/>
    <w:rsid w:val="00565FD0"/>
    <w:rsid w:val="00566F71"/>
    <w:rsid w:val="00570E57"/>
    <w:rsid w:val="00573FB4"/>
    <w:rsid w:val="00576703"/>
    <w:rsid w:val="005770BA"/>
    <w:rsid w:val="0057754B"/>
    <w:rsid w:val="00577665"/>
    <w:rsid w:val="00577A20"/>
    <w:rsid w:val="00580824"/>
    <w:rsid w:val="00580E28"/>
    <w:rsid w:val="0058118E"/>
    <w:rsid w:val="005822AF"/>
    <w:rsid w:val="005830B1"/>
    <w:rsid w:val="00583C37"/>
    <w:rsid w:val="005840B5"/>
    <w:rsid w:val="00584E1B"/>
    <w:rsid w:val="00586385"/>
    <w:rsid w:val="00586809"/>
    <w:rsid w:val="00587B36"/>
    <w:rsid w:val="005903DD"/>
    <w:rsid w:val="00591C3D"/>
    <w:rsid w:val="005942AB"/>
    <w:rsid w:val="00594CC9"/>
    <w:rsid w:val="005A057E"/>
    <w:rsid w:val="005A06A6"/>
    <w:rsid w:val="005A1482"/>
    <w:rsid w:val="005A1FD9"/>
    <w:rsid w:val="005A2651"/>
    <w:rsid w:val="005A3AFC"/>
    <w:rsid w:val="005A3F60"/>
    <w:rsid w:val="005A4B51"/>
    <w:rsid w:val="005A5075"/>
    <w:rsid w:val="005A54D7"/>
    <w:rsid w:val="005A6533"/>
    <w:rsid w:val="005B04D3"/>
    <w:rsid w:val="005B06BA"/>
    <w:rsid w:val="005B0C52"/>
    <w:rsid w:val="005B1D12"/>
    <w:rsid w:val="005B2618"/>
    <w:rsid w:val="005B5EEC"/>
    <w:rsid w:val="005B6096"/>
    <w:rsid w:val="005B782D"/>
    <w:rsid w:val="005C086D"/>
    <w:rsid w:val="005C0B0A"/>
    <w:rsid w:val="005C1876"/>
    <w:rsid w:val="005C26A3"/>
    <w:rsid w:val="005C3D73"/>
    <w:rsid w:val="005C3D91"/>
    <w:rsid w:val="005C4492"/>
    <w:rsid w:val="005C4659"/>
    <w:rsid w:val="005C7D41"/>
    <w:rsid w:val="005D0AE7"/>
    <w:rsid w:val="005D0C24"/>
    <w:rsid w:val="005D16B2"/>
    <w:rsid w:val="005D4A72"/>
    <w:rsid w:val="005D5ED9"/>
    <w:rsid w:val="005D725D"/>
    <w:rsid w:val="005D7D7C"/>
    <w:rsid w:val="005E14DA"/>
    <w:rsid w:val="005E164A"/>
    <w:rsid w:val="005E22BC"/>
    <w:rsid w:val="005E23F8"/>
    <w:rsid w:val="005E2960"/>
    <w:rsid w:val="005E413E"/>
    <w:rsid w:val="005E4149"/>
    <w:rsid w:val="005E462B"/>
    <w:rsid w:val="005E47E4"/>
    <w:rsid w:val="005E4F80"/>
    <w:rsid w:val="005E6E31"/>
    <w:rsid w:val="005E6E89"/>
    <w:rsid w:val="005E7111"/>
    <w:rsid w:val="005F1A21"/>
    <w:rsid w:val="005F2A3E"/>
    <w:rsid w:val="005F44F7"/>
    <w:rsid w:val="005F48E4"/>
    <w:rsid w:val="005F5B4B"/>
    <w:rsid w:val="005F6383"/>
    <w:rsid w:val="005F64A1"/>
    <w:rsid w:val="005F7433"/>
    <w:rsid w:val="005F7F35"/>
    <w:rsid w:val="005F7F43"/>
    <w:rsid w:val="0060122B"/>
    <w:rsid w:val="00601A21"/>
    <w:rsid w:val="0060253D"/>
    <w:rsid w:val="00602884"/>
    <w:rsid w:val="006035DD"/>
    <w:rsid w:val="00604241"/>
    <w:rsid w:val="00604FF7"/>
    <w:rsid w:val="0060511C"/>
    <w:rsid w:val="00605DBC"/>
    <w:rsid w:val="006072D9"/>
    <w:rsid w:val="00610A7F"/>
    <w:rsid w:val="006112CD"/>
    <w:rsid w:val="00612D3D"/>
    <w:rsid w:val="00614303"/>
    <w:rsid w:val="0061583C"/>
    <w:rsid w:val="00621982"/>
    <w:rsid w:val="006224DB"/>
    <w:rsid w:val="0062270B"/>
    <w:rsid w:val="006249E7"/>
    <w:rsid w:val="00625E8C"/>
    <w:rsid w:val="00626C94"/>
    <w:rsid w:val="006305D5"/>
    <w:rsid w:val="00632357"/>
    <w:rsid w:val="00634985"/>
    <w:rsid w:val="00634B77"/>
    <w:rsid w:val="00636E5E"/>
    <w:rsid w:val="00637820"/>
    <w:rsid w:val="00637A90"/>
    <w:rsid w:val="006418F1"/>
    <w:rsid w:val="006442ED"/>
    <w:rsid w:val="00644702"/>
    <w:rsid w:val="00644755"/>
    <w:rsid w:val="00644F2E"/>
    <w:rsid w:val="00645379"/>
    <w:rsid w:val="0064560F"/>
    <w:rsid w:val="00645B05"/>
    <w:rsid w:val="00646103"/>
    <w:rsid w:val="00646397"/>
    <w:rsid w:val="00646579"/>
    <w:rsid w:val="00647BB8"/>
    <w:rsid w:val="0065146A"/>
    <w:rsid w:val="00651669"/>
    <w:rsid w:val="006527CB"/>
    <w:rsid w:val="00654AFE"/>
    <w:rsid w:val="00654B24"/>
    <w:rsid w:val="006607D6"/>
    <w:rsid w:val="0066132D"/>
    <w:rsid w:val="0066241D"/>
    <w:rsid w:val="00663134"/>
    <w:rsid w:val="00665C06"/>
    <w:rsid w:val="006665B1"/>
    <w:rsid w:val="00667731"/>
    <w:rsid w:val="00667C1E"/>
    <w:rsid w:val="00667DF0"/>
    <w:rsid w:val="00667E65"/>
    <w:rsid w:val="00671964"/>
    <w:rsid w:val="006719E0"/>
    <w:rsid w:val="0067323D"/>
    <w:rsid w:val="0067355E"/>
    <w:rsid w:val="00674E5F"/>
    <w:rsid w:val="0067602D"/>
    <w:rsid w:val="00677000"/>
    <w:rsid w:val="0067717E"/>
    <w:rsid w:val="006774D6"/>
    <w:rsid w:val="0067750E"/>
    <w:rsid w:val="00680059"/>
    <w:rsid w:val="00680912"/>
    <w:rsid w:val="00681DEC"/>
    <w:rsid w:val="00681F9C"/>
    <w:rsid w:val="006824E8"/>
    <w:rsid w:val="0068412C"/>
    <w:rsid w:val="00685684"/>
    <w:rsid w:val="00685DE5"/>
    <w:rsid w:val="00686D1B"/>
    <w:rsid w:val="006902A6"/>
    <w:rsid w:val="00693EF1"/>
    <w:rsid w:val="006940C4"/>
    <w:rsid w:val="006941BA"/>
    <w:rsid w:val="006948E6"/>
    <w:rsid w:val="006970D0"/>
    <w:rsid w:val="0069784E"/>
    <w:rsid w:val="00697A37"/>
    <w:rsid w:val="006A04FB"/>
    <w:rsid w:val="006A12DB"/>
    <w:rsid w:val="006A26FC"/>
    <w:rsid w:val="006A38B1"/>
    <w:rsid w:val="006A4348"/>
    <w:rsid w:val="006A5FBF"/>
    <w:rsid w:val="006B191F"/>
    <w:rsid w:val="006B2035"/>
    <w:rsid w:val="006B2526"/>
    <w:rsid w:val="006B4330"/>
    <w:rsid w:val="006B4376"/>
    <w:rsid w:val="006B6578"/>
    <w:rsid w:val="006B72B8"/>
    <w:rsid w:val="006B7B95"/>
    <w:rsid w:val="006C2075"/>
    <w:rsid w:val="006C37D1"/>
    <w:rsid w:val="006C721F"/>
    <w:rsid w:val="006D181C"/>
    <w:rsid w:val="006D21C8"/>
    <w:rsid w:val="006D38A0"/>
    <w:rsid w:val="006D3D8D"/>
    <w:rsid w:val="006D46BC"/>
    <w:rsid w:val="006D4916"/>
    <w:rsid w:val="006D646E"/>
    <w:rsid w:val="006E1EB1"/>
    <w:rsid w:val="006E32F0"/>
    <w:rsid w:val="006E3EDD"/>
    <w:rsid w:val="006E565B"/>
    <w:rsid w:val="006E6070"/>
    <w:rsid w:val="006F3EBD"/>
    <w:rsid w:val="006F41F0"/>
    <w:rsid w:val="006F4A07"/>
    <w:rsid w:val="006F619E"/>
    <w:rsid w:val="006F76D6"/>
    <w:rsid w:val="0070037F"/>
    <w:rsid w:val="0070234A"/>
    <w:rsid w:val="007050CB"/>
    <w:rsid w:val="0071048A"/>
    <w:rsid w:val="00711548"/>
    <w:rsid w:val="0071165B"/>
    <w:rsid w:val="00712204"/>
    <w:rsid w:val="00714A17"/>
    <w:rsid w:val="0072029C"/>
    <w:rsid w:val="0072207F"/>
    <w:rsid w:val="00723E43"/>
    <w:rsid w:val="00724197"/>
    <w:rsid w:val="00725BB1"/>
    <w:rsid w:val="00732B95"/>
    <w:rsid w:val="0073347B"/>
    <w:rsid w:val="00733527"/>
    <w:rsid w:val="007350D4"/>
    <w:rsid w:val="00735419"/>
    <w:rsid w:val="0073548E"/>
    <w:rsid w:val="00736263"/>
    <w:rsid w:val="00736AB1"/>
    <w:rsid w:val="0073771C"/>
    <w:rsid w:val="007418C6"/>
    <w:rsid w:val="00742A06"/>
    <w:rsid w:val="00742AEE"/>
    <w:rsid w:val="00742C59"/>
    <w:rsid w:val="00745747"/>
    <w:rsid w:val="00745C8E"/>
    <w:rsid w:val="0074689A"/>
    <w:rsid w:val="007476D8"/>
    <w:rsid w:val="0074779B"/>
    <w:rsid w:val="007503E3"/>
    <w:rsid w:val="007504EE"/>
    <w:rsid w:val="00750D1B"/>
    <w:rsid w:val="00751EBE"/>
    <w:rsid w:val="007539C8"/>
    <w:rsid w:val="00754F33"/>
    <w:rsid w:val="0075516D"/>
    <w:rsid w:val="00756314"/>
    <w:rsid w:val="00756FFD"/>
    <w:rsid w:val="007612BD"/>
    <w:rsid w:val="007619AB"/>
    <w:rsid w:val="00761C83"/>
    <w:rsid w:val="00762841"/>
    <w:rsid w:val="007631AF"/>
    <w:rsid w:val="00763340"/>
    <w:rsid w:val="007647C6"/>
    <w:rsid w:val="007656BF"/>
    <w:rsid w:val="0076603F"/>
    <w:rsid w:val="00766F46"/>
    <w:rsid w:val="007672AF"/>
    <w:rsid w:val="007674C9"/>
    <w:rsid w:val="00767D61"/>
    <w:rsid w:val="00771F7E"/>
    <w:rsid w:val="00773D6A"/>
    <w:rsid w:val="00773F40"/>
    <w:rsid w:val="00776F73"/>
    <w:rsid w:val="00777074"/>
    <w:rsid w:val="007773FF"/>
    <w:rsid w:val="00781229"/>
    <w:rsid w:val="007821A1"/>
    <w:rsid w:val="00782567"/>
    <w:rsid w:val="007848E7"/>
    <w:rsid w:val="0078504C"/>
    <w:rsid w:val="0078578F"/>
    <w:rsid w:val="00785904"/>
    <w:rsid w:val="007876E2"/>
    <w:rsid w:val="00787F5B"/>
    <w:rsid w:val="00790F65"/>
    <w:rsid w:val="007910FA"/>
    <w:rsid w:val="00791349"/>
    <w:rsid w:val="007919A4"/>
    <w:rsid w:val="007942D6"/>
    <w:rsid w:val="00794662"/>
    <w:rsid w:val="00794D35"/>
    <w:rsid w:val="007A132C"/>
    <w:rsid w:val="007A3687"/>
    <w:rsid w:val="007A3CB9"/>
    <w:rsid w:val="007A403A"/>
    <w:rsid w:val="007A588F"/>
    <w:rsid w:val="007A63A5"/>
    <w:rsid w:val="007A6D91"/>
    <w:rsid w:val="007A6F80"/>
    <w:rsid w:val="007A7CF1"/>
    <w:rsid w:val="007B0F3F"/>
    <w:rsid w:val="007B239F"/>
    <w:rsid w:val="007B28C2"/>
    <w:rsid w:val="007B2D9A"/>
    <w:rsid w:val="007B34B8"/>
    <w:rsid w:val="007B3F1B"/>
    <w:rsid w:val="007B4133"/>
    <w:rsid w:val="007B67A2"/>
    <w:rsid w:val="007B772B"/>
    <w:rsid w:val="007B7D80"/>
    <w:rsid w:val="007B7F44"/>
    <w:rsid w:val="007B7F47"/>
    <w:rsid w:val="007C1A6C"/>
    <w:rsid w:val="007C23C8"/>
    <w:rsid w:val="007C255C"/>
    <w:rsid w:val="007C3614"/>
    <w:rsid w:val="007C534D"/>
    <w:rsid w:val="007C5464"/>
    <w:rsid w:val="007C5BC3"/>
    <w:rsid w:val="007C638F"/>
    <w:rsid w:val="007C6E69"/>
    <w:rsid w:val="007D21D3"/>
    <w:rsid w:val="007D596A"/>
    <w:rsid w:val="007D630C"/>
    <w:rsid w:val="007E0435"/>
    <w:rsid w:val="007E07AB"/>
    <w:rsid w:val="007E0B84"/>
    <w:rsid w:val="007E0CB9"/>
    <w:rsid w:val="007E172A"/>
    <w:rsid w:val="007E3836"/>
    <w:rsid w:val="007E3CB3"/>
    <w:rsid w:val="007E444B"/>
    <w:rsid w:val="007E4724"/>
    <w:rsid w:val="007E546F"/>
    <w:rsid w:val="007E5CEC"/>
    <w:rsid w:val="007E73F4"/>
    <w:rsid w:val="007F0140"/>
    <w:rsid w:val="007F2045"/>
    <w:rsid w:val="007F237A"/>
    <w:rsid w:val="007F35B4"/>
    <w:rsid w:val="007F47D5"/>
    <w:rsid w:val="007F52F6"/>
    <w:rsid w:val="007F5CF6"/>
    <w:rsid w:val="007F79D5"/>
    <w:rsid w:val="00800D47"/>
    <w:rsid w:val="00801866"/>
    <w:rsid w:val="00804013"/>
    <w:rsid w:val="00804477"/>
    <w:rsid w:val="00804A04"/>
    <w:rsid w:val="0080680A"/>
    <w:rsid w:val="00806F99"/>
    <w:rsid w:val="00807FA6"/>
    <w:rsid w:val="00807FBE"/>
    <w:rsid w:val="00811963"/>
    <w:rsid w:val="008124FC"/>
    <w:rsid w:val="008128C6"/>
    <w:rsid w:val="00812907"/>
    <w:rsid w:val="00812A28"/>
    <w:rsid w:val="00813D1F"/>
    <w:rsid w:val="008147F1"/>
    <w:rsid w:val="00815604"/>
    <w:rsid w:val="0081566E"/>
    <w:rsid w:val="008157A0"/>
    <w:rsid w:val="00816559"/>
    <w:rsid w:val="00817BEA"/>
    <w:rsid w:val="00821F1F"/>
    <w:rsid w:val="008241EE"/>
    <w:rsid w:val="00824E5F"/>
    <w:rsid w:val="0082518F"/>
    <w:rsid w:val="0083124A"/>
    <w:rsid w:val="00831917"/>
    <w:rsid w:val="008360D4"/>
    <w:rsid w:val="00836C42"/>
    <w:rsid w:val="00840167"/>
    <w:rsid w:val="00840563"/>
    <w:rsid w:val="0084126A"/>
    <w:rsid w:val="008423FC"/>
    <w:rsid w:val="0084259E"/>
    <w:rsid w:val="00842702"/>
    <w:rsid w:val="00842B34"/>
    <w:rsid w:val="00844A1B"/>
    <w:rsid w:val="008450EF"/>
    <w:rsid w:val="00845762"/>
    <w:rsid w:val="00846A06"/>
    <w:rsid w:val="00851A29"/>
    <w:rsid w:val="00852A0A"/>
    <w:rsid w:val="00852C0D"/>
    <w:rsid w:val="00854371"/>
    <w:rsid w:val="00854746"/>
    <w:rsid w:val="00855F4D"/>
    <w:rsid w:val="00856278"/>
    <w:rsid w:val="008562B1"/>
    <w:rsid w:val="00856778"/>
    <w:rsid w:val="008568F6"/>
    <w:rsid w:val="008603D5"/>
    <w:rsid w:val="008606E6"/>
    <w:rsid w:val="00860AEE"/>
    <w:rsid w:val="00861B14"/>
    <w:rsid w:val="00863DA6"/>
    <w:rsid w:val="008640FD"/>
    <w:rsid w:val="0086477A"/>
    <w:rsid w:val="0086480F"/>
    <w:rsid w:val="008678C2"/>
    <w:rsid w:val="00871C39"/>
    <w:rsid w:val="0087293C"/>
    <w:rsid w:val="008736AD"/>
    <w:rsid w:val="00873C15"/>
    <w:rsid w:val="0087618F"/>
    <w:rsid w:val="008764A7"/>
    <w:rsid w:val="00876B09"/>
    <w:rsid w:val="0087716F"/>
    <w:rsid w:val="0088035D"/>
    <w:rsid w:val="00880994"/>
    <w:rsid w:val="00880A3E"/>
    <w:rsid w:val="00880A4F"/>
    <w:rsid w:val="00880C0C"/>
    <w:rsid w:val="008810B4"/>
    <w:rsid w:val="00882387"/>
    <w:rsid w:val="0088471B"/>
    <w:rsid w:val="0088546C"/>
    <w:rsid w:val="0088600A"/>
    <w:rsid w:val="00886691"/>
    <w:rsid w:val="00886C09"/>
    <w:rsid w:val="00887102"/>
    <w:rsid w:val="00887218"/>
    <w:rsid w:val="008902BA"/>
    <w:rsid w:val="00890A3B"/>
    <w:rsid w:val="0089225F"/>
    <w:rsid w:val="00892D75"/>
    <w:rsid w:val="00893005"/>
    <w:rsid w:val="00893624"/>
    <w:rsid w:val="00893CB1"/>
    <w:rsid w:val="00893F58"/>
    <w:rsid w:val="0089501C"/>
    <w:rsid w:val="0089538E"/>
    <w:rsid w:val="00897298"/>
    <w:rsid w:val="008A00B5"/>
    <w:rsid w:val="008A06E1"/>
    <w:rsid w:val="008A2544"/>
    <w:rsid w:val="008A3268"/>
    <w:rsid w:val="008A39CA"/>
    <w:rsid w:val="008A4B2B"/>
    <w:rsid w:val="008A622F"/>
    <w:rsid w:val="008A63B4"/>
    <w:rsid w:val="008A79BF"/>
    <w:rsid w:val="008B1860"/>
    <w:rsid w:val="008B2DEB"/>
    <w:rsid w:val="008B3C2A"/>
    <w:rsid w:val="008B3DA5"/>
    <w:rsid w:val="008B4E6F"/>
    <w:rsid w:val="008B6A26"/>
    <w:rsid w:val="008B6B2A"/>
    <w:rsid w:val="008B6C12"/>
    <w:rsid w:val="008B7643"/>
    <w:rsid w:val="008B7A5C"/>
    <w:rsid w:val="008C0664"/>
    <w:rsid w:val="008C0B56"/>
    <w:rsid w:val="008C1CCF"/>
    <w:rsid w:val="008C1F2D"/>
    <w:rsid w:val="008C3F83"/>
    <w:rsid w:val="008C42DC"/>
    <w:rsid w:val="008C5BF3"/>
    <w:rsid w:val="008C7199"/>
    <w:rsid w:val="008D10CA"/>
    <w:rsid w:val="008D18C4"/>
    <w:rsid w:val="008D1F8D"/>
    <w:rsid w:val="008D22DC"/>
    <w:rsid w:val="008D4681"/>
    <w:rsid w:val="008D4D3A"/>
    <w:rsid w:val="008D4E7C"/>
    <w:rsid w:val="008D6CFB"/>
    <w:rsid w:val="008E2F50"/>
    <w:rsid w:val="008E3675"/>
    <w:rsid w:val="008E405B"/>
    <w:rsid w:val="008E54B7"/>
    <w:rsid w:val="008E58C9"/>
    <w:rsid w:val="008E5AEC"/>
    <w:rsid w:val="008E6371"/>
    <w:rsid w:val="008E687B"/>
    <w:rsid w:val="008E6DF8"/>
    <w:rsid w:val="008E7220"/>
    <w:rsid w:val="008E7D10"/>
    <w:rsid w:val="008F0539"/>
    <w:rsid w:val="008F1358"/>
    <w:rsid w:val="008F1721"/>
    <w:rsid w:val="008F2453"/>
    <w:rsid w:val="008F318F"/>
    <w:rsid w:val="008F3343"/>
    <w:rsid w:val="008F3B62"/>
    <w:rsid w:val="008F4A45"/>
    <w:rsid w:val="008F5FE1"/>
    <w:rsid w:val="008F6DEB"/>
    <w:rsid w:val="009005C3"/>
    <w:rsid w:val="009006D1"/>
    <w:rsid w:val="0090135A"/>
    <w:rsid w:val="0090249F"/>
    <w:rsid w:val="00903778"/>
    <w:rsid w:val="009048B5"/>
    <w:rsid w:val="0090537E"/>
    <w:rsid w:val="00905BC6"/>
    <w:rsid w:val="009061F9"/>
    <w:rsid w:val="009063FC"/>
    <w:rsid w:val="00906442"/>
    <w:rsid w:val="009068EF"/>
    <w:rsid w:val="00906CF1"/>
    <w:rsid w:val="00906D98"/>
    <w:rsid w:val="0091001A"/>
    <w:rsid w:val="00910303"/>
    <w:rsid w:val="00911B6F"/>
    <w:rsid w:val="00912184"/>
    <w:rsid w:val="00912C2D"/>
    <w:rsid w:val="00912C6D"/>
    <w:rsid w:val="009133DA"/>
    <w:rsid w:val="0091367B"/>
    <w:rsid w:val="00914354"/>
    <w:rsid w:val="00914C58"/>
    <w:rsid w:val="00914E64"/>
    <w:rsid w:val="009158BC"/>
    <w:rsid w:val="00916A7E"/>
    <w:rsid w:val="009205A0"/>
    <w:rsid w:val="009209AE"/>
    <w:rsid w:val="00920E19"/>
    <w:rsid w:val="0092175A"/>
    <w:rsid w:val="009222DF"/>
    <w:rsid w:val="009239FA"/>
    <w:rsid w:val="0092594D"/>
    <w:rsid w:val="00926B86"/>
    <w:rsid w:val="00926E10"/>
    <w:rsid w:val="009277C1"/>
    <w:rsid w:val="00930132"/>
    <w:rsid w:val="00930A17"/>
    <w:rsid w:val="00931511"/>
    <w:rsid w:val="00934AE3"/>
    <w:rsid w:val="00937941"/>
    <w:rsid w:val="00937989"/>
    <w:rsid w:val="00937A48"/>
    <w:rsid w:val="00940D02"/>
    <w:rsid w:val="00941235"/>
    <w:rsid w:val="0094169A"/>
    <w:rsid w:val="00942603"/>
    <w:rsid w:val="00942804"/>
    <w:rsid w:val="00942A29"/>
    <w:rsid w:val="00943298"/>
    <w:rsid w:val="009438D6"/>
    <w:rsid w:val="00945BBC"/>
    <w:rsid w:val="00950A84"/>
    <w:rsid w:val="00950DE2"/>
    <w:rsid w:val="00950F01"/>
    <w:rsid w:val="00951281"/>
    <w:rsid w:val="009517DA"/>
    <w:rsid w:val="00952086"/>
    <w:rsid w:val="009523E9"/>
    <w:rsid w:val="00955B3A"/>
    <w:rsid w:val="00957776"/>
    <w:rsid w:val="00960487"/>
    <w:rsid w:val="00961188"/>
    <w:rsid w:val="00961892"/>
    <w:rsid w:val="0096286D"/>
    <w:rsid w:val="00962EF3"/>
    <w:rsid w:val="00963398"/>
    <w:rsid w:val="00964BB5"/>
    <w:rsid w:val="00965A54"/>
    <w:rsid w:val="00966F3F"/>
    <w:rsid w:val="009704F1"/>
    <w:rsid w:val="00971182"/>
    <w:rsid w:val="00971375"/>
    <w:rsid w:val="0097164F"/>
    <w:rsid w:val="00973E37"/>
    <w:rsid w:val="00973F36"/>
    <w:rsid w:val="00976C23"/>
    <w:rsid w:val="0097712E"/>
    <w:rsid w:val="009804FF"/>
    <w:rsid w:val="00980F0A"/>
    <w:rsid w:val="00981B4D"/>
    <w:rsid w:val="009829AC"/>
    <w:rsid w:val="00982A3D"/>
    <w:rsid w:val="009830C5"/>
    <w:rsid w:val="00984595"/>
    <w:rsid w:val="009845C6"/>
    <w:rsid w:val="00984A0C"/>
    <w:rsid w:val="00985306"/>
    <w:rsid w:val="009861E5"/>
    <w:rsid w:val="00986974"/>
    <w:rsid w:val="00987AE0"/>
    <w:rsid w:val="0099048E"/>
    <w:rsid w:val="00990F70"/>
    <w:rsid w:val="00993737"/>
    <w:rsid w:val="00994EDD"/>
    <w:rsid w:val="00995961"/>
    <w:rsid w:val="00995BAF"/>
    <w:rsid w:val="00996C50"/>
    <w:rsid w:val="00996D50"/>
    <w:rsid w:val="00996E38"/>
    <w:rsid w:val="009A16BE"/>
    <w:rsid w:val="009A1B52"/>
    <w:rsid w:val="009A212F"/>
    <w:rsid w:val="009A2FCD"/>
    <w:rsid w:val="009A5345"/>
    <w:rsid w:val="009A5661"/>
    <w:rsid w:val="009A5F5F"/>
    <w:rsid w:val="009B068D"/>
    <w:rsid w:val="009B0DC5"/>
    <w:rsid w:val="009B18B3"/>
    <w:rsid w:val="009B1F22"/>
    <w:rsid w:val="009B3ABA"/>
    <w:rsid w:val="009B4C24"/>
    <w:rsid w:val="009B5408"/>
    <w:rsid w:val="009C0D32"/>
    <w:rsid w:val="009C0EF9"/>
    <w:rsid w:val="009C1799"/>
    <w:rsid w:val="009C2967"/>
    <w:rsid w:val="009C2D6B"/>
    <w:rsid w:val="009C4586"/>
    <w:rsid w:val="009C4A7D"/>
    <w:rsid w:val="009C7655"/>
    <w:rsid w:val="009C7C3B"/>
    <w:rsid w:val="009D14DF"/>
    <w:rsid w:val="009D168C"/>
    <w:rsid w:val="009D2655"/>
    <w:rsid w:val="009D2F6F"/>
    <w:rsid w:val="009D3194"/>
    <w:rsid w:val="009D3EF9"/>
    <w:rsid w:val="009D479D"/>
    <w:rsid w:val="009D4806"/>
    <w:rsid w:val="009D5061"/>
    <w:rsid w:val="009D5655"/>
    <w:rsid w:val="009D57DA"/>
    <w:rsid w:val="009D58DA"/>
    <w:rsid w:val="009E0012"/>
    <w:rsid w:val="009E00F7"/>
    <w:rsid w:val="009E0304"/>
    <w:rsid w:val="009E1F80"/>
    <w:rsid w:val="009E3C00"/>
    <w:rsid w:val="009E4A3B"/>
    <w:rsid w:val="009E554F"/>
    <w:rsid w:val="009E57D8"/>
    <w:rsid w:val="009E5BA6"/>
    <w:rsid w:val="009E7AA9"/>
    <w:rsid w:val="009F21AA"/>
    <w:rsid w:val="009F520D"/>
    <w:rsid w:val="009F5B10"/>
    <w:rsid w:val="009F6B61"/>
    <w:rsid w:val="009F74E8"/>
    <w:rsid w:val="00A0116B"/>
    <w:rsid w:val="00A014C2"/>
    <w:rsid w:val="00A019A4"/>
    <w:rsid w:val="00A02248"/>
    <w:rsid w:val="00A02C3C"/>
    <w:rsid w:val="00A04A92"/>
    <w:rsid w:val="00A065E7"/>
    <w:rsid w:val="00A10812"/>
    <w:rsid w:val="00A1210B"/>
    <w:rsid w:val="00A124B9"/>
    <w:rsid w:val="00A13BBB"/>
    <w:rsid w:val="00A14373"/>
    <w:rsid w:val="00A14782"/>
    <w:rsid w:val="00A149CC"/>
    <w:rsid w:val="00A14F9E"/>
    <w:rsid w:val="00A15486"/>
    <w:rsid w:val="00A15B32"/>
    <w:rsid w:val="00A15E3B"/>
    <w:rsid w:val="00A2130F"/>
    <w:rsid w:val="00A215C8"/>
    <w:rsid w:val="00A22594"/>
    <w:rsid w:val="00A226B5"/>
    <w:rsid w:val="00A24A2D"/>
    <w:rsid w:val="00A24A56"/>
    <w:rsid w:val="00A25303"/>
    <w:rsid w:val="00A2533A"/>
    <w:rsid w:val="00A2625E"/>
    <w:rsid w:val="00A331F2"/>
    <w:rsid w:val="00A3419C"/>
    <w:rsid w:val="00A341D1"/>
    <w:rsid w:val="00A34A1E"/>
    <w:rsid w:val="00A354C0"/>
    <w:rsid w:val="00A35C27"/>
    <w:rsid w:val="00A3726E"/>
    <w:rsid w:val="00A37434"/>
    <w:rsid w:val="00A378B2"/>
    <w:rsid w:val="00A37CD4"/>
    <w:rsid w:val="00A37D21"/>
    <w:rsid w:val="00A37EAB"/>
    <w:rsid w:val="00A400CA"/>
    <w:rsid w:val="00A408B6"/>
    <w:rsid w:val="00A4415E"/>
    <w:rsid w:val="00A4594E"/>
    <w:rsid w:val="00A45A47"/>
    <w:rsid w:val="00A4656D"/>
    <w:rsid w:val="00A50B68"/>
    <w:rsid w:val="00A54685"/>
    <w:rsid w:val="00A556ED"/>
    <w:rsid w:val="00A56843"/>
    <w:rsid w:val="00A56DB1"/>
    <w:rsid w:val="00A56EF8"/>
    <w:rsid w:val="00A605A8"/>
    <w:rsid w:val="00A605E0"/>
    <w:rsid w:val="00A607E8"/>
    <w:rsid w:val="00A6194C"/>
    <w:rsid w:val="00A62DB1"/>
    <w:rsid w:val="00A63774"/>
    <w:rsid w:val="00A63960"/>
    <w:rsid w:val="00A648EC"/>
    <w:rsid w:val="00A6521D"/>
    <w:rsid w:val="00A65FC0"/>
    <w:rsid w:val="00A66EC3"/>
    <w:rsid w:val="00A706AA"/>
    <w:rsid w:val="00A709FD"/>
    <w:rsid w:val="00A73D15"/>
    <w:rsid w:val="00A76457"/>
    <w:rsid w:val="00A77BDE"/>
    <w:rsid w:val="00A81D96"/>
    <w:rsid w:val="00A84FFE"/>
    <w:rsid w:val="00A8752B"/>
    <w:rsid w:val="00A9017C"/>
    <w:rsid w:val="00A9165A"/>
    <w:rsid w:val="00A91EF7"/>
    <w:rsid w:val="00A9208D"/>
    <w:rsid w:val="00A92E7F"/>
    <w:rsid w:val="00A9331A"/>
    <w:rsid w:val="00A941FE"/>
    <w:rsid w:val="00A94A91"/>
    <w:rsid w:val="00A94B8F"/>
    <w:rsid w:val="00A95E10"/>
    <w:rsid w:val="00A961CD"/>
    <w:rsid w:val="00A96A29"/>
    <w:rsid w:val="00AA0E46"/>
    <w:rsid w:val="00AA140D"/>
    <w:rsid w:val="00AA2293"/>
    <w:rsid w:val="00AA2D80"/>
    <w:rsid w:val="00AA47F4"/>
    <w:rsid w:val="00AA5AA5"/>
    <w:rsid w:val="00AA63FA"/>
    <w:rsid w:val="00AA6626"/>
    <w:rsid w:val="00AA6BD9"/>
    <w:rsid w:val="00AA736E"/>
    <w:rsid w:val="00AA7EC1"/>
    <w:rsid w:val="00AB0294"/>
    <w:rsid w:val="00AB3978"/>
    <w:rsid w:val="00AB45D5"/>
    <w:rsid w:val="00AB4DD1"/>
    <w:rsid w:val="00AB58E2"/>
    <w:rsid w:val="00AB6E82"/>
    <w:rsid w:val="00AB7AD6"/>
    <w:rsid w:val="00AC08C1"/>
    <w:rsid w:val="00AC0F1D"/>
    <w:rsid w:val="00AC18C9"/>
    <w:rsid w:val="00AC27C4"/>
    <w:rsid w:val="00AC2EB5"/>
    <w:rsid w:val="00AC7C8A"/>
    <w:rsid w:val="00AD0E6B"/>
    <w:rsid w:val="00AD2088"/>
    <w:rsid w:val="00AD27E1"/>
    <w:rsid w:val="00AD494C"/>
    <w:rsid w:val="00AD4C88"/>
    <w:rsid w:val="00AD51E0"/>
    <w:rsid w:val="00AD61F8"/>
    <w:rsid w:val="00AD634A"/>
    <w:rsid w:val="00AD73AF"/>
    <w:rsid w:val="00AE0671"/>
    <w:rsid w:val="00AE0D16"/>
    <w:rsid w:val="00AE1A21"/>
    <w:rsid w:val="00AE27F2"/>
    <w:rsid w:val="00AE2828"/>
    <w:rsid w:val="00AE36C4"/>
    <w:rsid w:val="00AE4198"/>
    <w:rsid w:val="00AE45D4"/>
    <w:rsid w:val="00AE5CB4"/>
    <w:rsid w:val="00AE623A"/>
    <w:rsid w:val="00AE64D2"/>
    <w:rsid w:val="00AE6C3D"/>
    <w:rsid w:val="00AE7239"/>
    <w:rsid w:val="00AF08F0"/>
    <w:rsid w:val="00AF0CA7"/>
    <w:rsid w:val="00AF2254"/>
    <w:rsid w:val="00AF27AA"/>
    <w:rsid w:val="00AF2DE0"/>
    <w:rsid w:val="00AF4DA9"/>
    <w:rsid w:val="00AF4EF4"/>
    <w:rsid w:val="00B00E8C"/>
    <w:rsid w:val="00B03E6F"/>
    <w:rsid w:val="00B04148"/>
    <w:rsid w:val="00B048BA"/>
    <w:rsid w:val="00B05770"/>
    <w:rsid w:val="00B07015"/>
    <w:rsid w:val="00B07983"/>
    <w:rsid w:val="00B12BB1"/>
    <w:rsid w:val="00B14A71"/>
    <w:rsid w:val="00B14FB6"/>
    <w:rsid w:val="00B155D9"/>
    <w:rsid w:val="00B20B42"/>
    <w:rsid w:val="00B20D47"/>
    <w:rsid w:val="00B2113E"/>
    <w:rsid w:val="00B2323E"/>
    <w:rsid w:val="00B26762"/>
    <w:rsid w:val="00B270AC"/>
    <w:rsid w:val="00B30542"/>
    <w:rsid w:val="00B31175"/>
    <w:rsid w:val="00B31C7A"/>
    <w:rsid w:val="00B32A54"/>
    <w:rsid w:val="00B3568A"/>
    <w:rsid w:val="00B3572F"/>
    <w:rsid w:val="00B35A71"/>
    <w:rsid w:val="00B363A4"/>
    <w:rsid w:val="00B37298"/>
    <w:rsid w:val="00B379AE"/>
    <w:rsid w:val="00B37D1B"/>
    <w:rsid w:val="00B37EE3"/>
    <w:rsid w:val="00B4009E"/>
    <w:rsid w:val="00B41168"/>
    <w:rsid w:val="00B41491"/>
    <w:rsid w:val="00B4207E"/>
    <w:rsid w:val="00B429D3"/>
    <w:rsid w:val="00B42D5C"/>
    <w:rsid w:val="00B4305D"/>
    <w:rsid w:val="00B43518"/>
    <w:rsid w:val="00B44EC4"/>
    <w:rsid w:val="00B450C4"/>
    <w:rsid w:val="00B47B0A"/>
    <w:rsid w:val="00B47F58"/>
    <w:rsid w:val="00B47FBA"/>
    <w:rsid w:val="00B50DEC"/>
    <w:rsid w:val="00B516D2"/>
    <w:rsid w:val="00B51993"/>
    <w:rsid w:val="00B5247B"/>
    <w:rsid w:val="00B52FBE"/>
    <w:rsid w:val="00B5423E"/>
    <w:rsid w:val="00B55B2F"/>
    <w:rsid w:val="00B55B39"/>
    <w:rsid w:val="00B56B8E"/>
    <w:rsid w:val="00B573B6"/>
    <w:rsid w:val="00B575C7"/>
    <w:rsid w:val="00B60429"/>
    <w:rsid w:val="00B607E3"/>
    <w:rsid w:val="00B61F94"/>
    <w:rsid w:val="00B621A2"/>
    <w:rsid w:val="00B64025"/>
    <w:rsid w:val="00B640BA"/>
    <w:rsid w:val="00B6425B"/>
    <w:rsid w:val="00B650EF"/>
    <w:rsid w:val="00B65636"/>
    <w:rsid w:val="00B67FE5"/>
    <w:rsid w:val="00B7177F"/>
    <w:rsid w:val="00B71781"/>
    <w:rsid w:val="00B731E0"/>
    <w:rsid w:val="00B74A5A"/>
    <w:rsid w:val="00B76192"/>
    <w:rsid w:val="00B77087"/>
    <w:rsid w:val="00B80209"/>
    <w:rsid w:val="00B81847"/>
    <w:rsid w:val="00B81A8F"/>
    <w:rsid w:val="00B820A8"/>
    <w:rsid w:val="00B835C4"/>
    <w:rsid w:val="00B8388F"/>
    <w:rsid w:val="00B842AD"/>
    <w:rsid w:val="00B85598"/>
    <w:rsid w:val="00B86107"/>
    <w:rsid w:val="00B87740"/>
    <w:rsid w:val="00B9015F"/>
    <w:rsid w:val="00B926C7"/>
    <w:rsid w:val="00B9318E"/>
    <w:rsid w:val="00B93BB1"/>
    <w:rsid w:val="00B95998"/>
    <w:rsid w:val="00B95BB8"/>
    <w:rsid w:val="00B95BED"/>
    <w:rsid w:val="00B95FF6"/>
    <w:rsid w:val="00B971FF"/>
    <w:rsid w:val="00B97293"/>
    <w:rsid w:val="00BA15E9"/>
    <w:rsid w:val="00BA29A8"/>
    <w:rsid w:val="00BA3FAC"/>
    <w:rsid w:val="00BA4CE5"/>
    <w:rsid w:val="00BA5077"/>
    <w:rsid w:val="00BA578A"/>
    <w:rsid w:val="00BA5945"/>
    <w:rsid w:val="00BA7448"/>
    <w:rsid w:val="00BB0339"/>
    <w:rsid w:val="00BB1FD2"/>
    <w:rsid w:val="00BB22C6"/>
    <w:rsid w:val="00BB2587"/>
    <w:rsid w:val="00BB355A"/>
    <w:rsid w:val="00BB44E2"/>
    <w:rsid w:val="00BB472A"/>
    <w:rsid w:val="00BB4A6D"/>
    <w:rsid w:val="00BB50A0"/>
    <w:rsid w:val="00BB7005"/>
    <w:rsid w:val="00BB796C"/>
    <w:rsid w:val="00BB7BD0"/>
    <w:rsid w:val="00BC0ACF"/>
    <w:rsid w:val="00BC2466"/>
    <w:rsid w:val="00BC2A14"/>
    <w:rsid w:val="00BC2A9A"/>
    <w:rsid w:val="00BC2D88"/>
    <w:rsid w:val="00BC5E18"/>
    <w:rsid w:val="00BC618C"/>
    <w:rsid w:val="00BC6EA1"/>
    <w:rsid w:val="00BD1400"/>
    <w:rsid w:val="00BD164A"/>
    <w:rsid w:val="00BD1A25"/>
    <w:rsid w:val="00BD1AA3"/>
    <w:rsid w:val="00BD285C"/>
    <w:rsid w:val="00BD29AB"/>
    <w:rsid w:val="00BD2EB2"/>
    <w:rsid w:val="00BD49E6"/>
    <w:rsid w:val="00BD6240"/>
    <w:rsid w:val="00BD72DE"/>
    <w:rsid w:val="00BE01D6"/>
    <w:rsid w:val="00BE16F0"/>
    <w:rsid w:val="00BE308C"/>
    <w:rsid w:val="00BE3FD7"/>
    <w:rsid w:val="00BE4DCD"/>
    <w:rsid w:val="00BE54B3"/>
    <w:rsid w:val="00BE6098"/>
    <w:rsid w:val="00BE7410"/>
    <w:rsid w:val="00BE7466"/>
    <w:rsid w:val="00BE772A"/>
    <w:rsid w:val="00BE7F8D"/>
    <w:rsid w:val="00BF0E90"/>
    <w:rsid w:val="00BF1AAD"/>
    <w:rsid w:val="00BF3D8F"/>
    <w:rsid w:val="00BF4A51"/>
    <w:rsid w:val="00BF5258"/>
    <w:rsid w:val="00BF72C6"/>
    <w:rsid w:val="00C00AAD"/>
    <w:rsid w:val="00C01787"/>
    <w:rsid w:val="00C01F00"/>
    <w:rsid w:val="00C0271B"/>
    <w:rsid w:val="00C032E2"/>
    <w:rsid w:val="00C0400D"/>
    <w:rsid w:val="00C0442E"/>
    <w:rsid w:val="00C04D7E"/>
    <w:rsid w:val="00C04F47"/>
    <w:rsid w:val="00C058E9"/>
    <w:rsid w:val="00C10307"/>
    <w:rsid w:val="00C117E4"/>
    <w:rsid w:val="00C1236F"/>
    <w:rsid w:val="00C14710"/>
    <w:rsid w:val="00C15F97"/>
    <w:rsid w:val="00C16A27"/>
    <w:rsid w:val="00C176C7"/>
    <w:rsid w:val="00C200F2"/>
    <w:rsid w:val="00C21E5E"/>
    <w:rsid w:val="00C22281"/>
    <w:rsid w:val="00C22BDF"/>
    <w:rsid w:val="00C22F0D"/>
    <w:rsid w:val="00C2395D"/>
    <w:rsid w:val="00C2416A"/>
    <w:rsid w:val="00C24C03"/>
    <w:rsid w:val="00C2694C"/>
    <w:rsid w:val="00C27F7A"/>
    <w:rsid w:val="00C307D8"/>
    <w:rsid w:val="00C31F48"/>
    <w:rsid w:val="00C3352B"/>
    <w:rsid w:val="00C33FA9"/>
    <w:rsid w:val="00C347F8"/>
    <w:rsid w:val="00C35861"/>
    <w:rsid w:val="00C3629A"/>
    <w:rsid w:val="00C362A9"/>
    <w:rsid w:val="00C379D4"/>
    <w:rsid w:val="00C40659"/>
    <w:rsid w:val="00C41F9F"/>
    <w:rsid w:val="00C41FBD"/>
    <w:rsid w:val="00C42229"/>
    <w:rsid w:val="00C42BF5"/>
    <w:rsid w:val="00C438B5"/>
    <w:rsid w:val="00C43AD2"/>
    <w:rsid w:val="00C44800"/>
    <w:rsid w:val="00C44AD7"/>
    <w:rsid w:val="00C44CD3"/>
    <w:rsid w:val="00C45346"/>
    <w:rsid w:val="00C456FC"/>
    <w:rsid w:val="00C45BB1"/>
    <w:rsid w:val="00C46B89"/>
    <w:rsid w:val="00C50175"/>
    <w:rsid w:val="00C50865"/>
    <w:rsid w:val="00C51F81"/>
    <w:rsid w:val="00C5425A"/>
    <w:rsid w:val="00C54998"/>
    <w:rsid w:val="00C57751"/>
    <w:rsid w:val="00C57878"/>
    <w:rsid w:val="00C57E34"/>
    <w:rsid w:val="00C60855"/>
    <w:rsid w:val="00C615B9"/>
    <w:rsid w:val="00C630FF"/>
    <w:rsid w:val="00C64B4B"/>
    <w:rsid w:val="00C669FC"/>
    <w:rsid w:val="00C66CDA"/>
    <w:rsid w:val="00C67A4C"/>
    <w:rsid w:val="00C7098A"/>
    <w:rsid w:val="00C70EE2"/>
    <w:rsid w:val="00C71151"/>
    <w:rsid w:val="00C711EC"/>
    <w:rsid w:val="00C7171B"/>
    <w:rsid w:val="00C722F8"/>
    <w:rsid w:val="00C72CA8"/>
    <w:rsid w:val="00C73945"/>
    <w:rsid w:val="00C73AFE"/>
    <w:rsid w:val="00C74103"/>
    <w:rsid w:val="00C74C17"/>
    <w:rsid w:val="00C75595"/>
    <w:rsid w:val="00C775CE"/>
    <w:rsid w:val="00C778B4"/>
    <w:rsid w:val="00C8028F"/>
    <w:rsid w:val="00C80515"/>
    <w:rsid w:val="00C8171D"/>
    <w:rsid w:val="00C81E50"/>
    <w:rsid w:val="00C832A5"/>
    <w:rsid w:val="00C842B9"/>
    <w:rsid w:val="00C844A5"/>
    <w:rsid w:val="00C86D4D"/>
    <w:rsid w:val="00C87064"/>
    <w:rsid w:val="00C876D0"/>
    <w:rsid w:val="00C8772A"/>
    <w:rsid w:val="00C87BB0"/>
    <w:rsid w:val="00C87BF7"/>
    <w:rsid w:val="00C90135"/>
    <w:rsid w:val="00C92219"/>
    <w:rsid w:val="00C93471"/>
    <w:rsid w:val="00C939EE"/>
    <w:rsid w:val="00C93AF9"/>
    <w:rsid w:val="00C948A2"/>
    <w:rsid w:val="00C94B1E"/>
    <w:rsid w:val="00C95AE7"/>
    <w:rsid w:val="00C95FB0"/>
    <w:rsid w:val="00CA05FF"/>
    <w:rsid w:val="00CA13A7"/>
    <w:rsid w:val="00CA1B22"/>
    <w:rsid w:val="00CA3C91"/>
    <w:rsid w:val="00CA3CCF"/>
    <w:rsid w:val="00CA4F1D"/>
    <w:rsid w:val="00CA5982"/>
    <w:rsid w:val="00CA5A95"/>
    <w:rsid w:val="00CA6C2F"/>
    <w:rsid w:val="00CA7F7D"/>
    <w:rsid w:val="00CB0344"/>
    <w:rsid w:val="00CB0DDB"/>
    <w:rsid w:val="00CB1A77"/>
    <w:rsid w:val="00CB2356"/>
    <w:rsid w:val="00CB31C3"/>
    <w:rsid w:val="00CB3A61"/>
    <w:rsid w:val="00CB4474"/>
    <w:rsid w:val="00CB4B4A"/>
    <w:rsid w:val="00CB50AC"/>
    <w:rsid w:val="00CB5F9A"/>
    <w:rsid w:val="00CB6C91"/>
    <w:rsid w:val="00CC012D"/>
    <w:rsid w:val="00CC037D"/>
    <w:rsid w:val="00CC0C50"/>
    <w:rsid w:val="00CC112B"/>
    <w:rsid w:val="00CC24BB"/>
    <w:rsid w:val="00CC2DFC"/>
    <w:rsid w:val="00CC4657"/>
    <w:rsid w:val="00CC499F"/>
    <w:rsid w:val="00CC5100"/>
    <w:rsid w:val="00CD12C1"/>
    <w:rsid w:val="00CD39F3"/>
    <w:rsid w:val="00CD3E09"/>
    <w:rsid w:val="00CD436C"/>
    <w:rsid w:val="00CD540E"/>
    <w:rsid w:val="00CD56DE"/>
    <w:rsid w:val="00CD723F"/>
    <w:rsid w:val="00CE31DA"/>
    <w:rsid w:val="00CE3C50"/>
    <w:rsid w:val="00CE3F12"/>
    <w:rsid w:val="00CE58D9"/>
    <w:rsid w:val="00CE703E"/>
    <w:rsid w:val="00CE79A9"/>
    <w:rsid w:val="00CF1970"/>
    <w:rsid w:val="00CF20DB"/>
    <w:rsid w:val="00CF25F1"/>
    <w:rsid w:val="00CF3E99"/>
    <w:rsid w:val="00CF4079"/>
    <w:rsid w:val="00CF50B4"/>
    <w:rsid w:val="00CF5CA1"/>
    <w:rsid w:val="00CF7301"/>
    <w:rsid w:val="00CF7F01"/>
    <w:rsid w:val="00D0016C"/>
    <w:rsid w:val="00D0168F"/>
    <w:rsid w:val="00D01F85"/>
    <w:rsid w:val="00D02F0B"/>
    <w:rsid w:val="00D0520B"/>
    <w:rsid w:val="00D06F43"/>
    <w:rsid w:val="00D07B84"/>
    <w:rsid w:val="00D11BA4"/>
    <w:rsid w:val="00D123EB"/>
    <w:rsid w:val="00D1270D"/>
    <w:rsid w:val="00D12829"/>
    <w:rsid w:val="00D137D0"/>
    <w:rsid w:val="00D1611E"/>
    <w:rsid w:val="00D16BAD"/>
    <w:rsid w:val="00D16ECF"/>
    <w:rsid w:val="00D21218"/>
    <w:rsid w:val="00D2148B"/>
    <w:rsid w:val="00D21AF3"/>
    <w:rsid w:val="00D222A5"/>
    <w:rsid w:val="00D22EC4"/>
    <w:rsid w:val="00D22F59"/>
    <w:rsid w:val="00D247B5"/>
    <w:rsid w:val="00D257C4"/>
    <w:rsid w:val="00D26331"/>
    <w:rsid w:val="00D313B1"/>
    <w:rsid w:val="00D314A2"/>
    <w:rsid w:val="00D32C12"/>
    <w:rsid w:val="00D353CB"/>
    <w:rsid w:val="00D35926"/>
    <w:rsid w:val="00D379E6"/>
    <w:rsid w:val="00D4008B"/>
    <w:rsid w:val="00D4016B"/>
    <w:rsid w:val="00D41E4B"/>
    <w:rsid w:val="00D41F67"/>
    <w:rsid w:val="00D420E0"/>
    <w:rsid w:val="00D437E4"/>
    <w:rsid w:val="00D43A33"/>
    <w:rsid w:val="00D44846"/>
    <w:rsid w:val="00D4606F"/>
    <w:rsid w:val="00D46584"/>
    <w:rsid w:val="00D46B1F"/>
    <w:rsid w:val="00D4753F"/>
    <w:rsid w:val="00D47A88"/>
    <w:rsid w:val="00D50A2F"/>
    <w:rsid w:val="00D50FCD"/>
    <w:rsid w:val="00D523E5"/>
    <w:rsid w:val="00D52E34"/>
    <w:rsid w:val="00D538CD"/>
    <w:rsid w:val="00D541DE"/>
    <w:rsid w:val="00D54697"/>
    <w:rsid w:val="00D54BFB"/>
    <w:rsid w:val="00D566F0"/>
    <w:rsid w:val="00D5691B"/>
    <w:rsid w:val="00D56BFA"/>
    <w:rsid w:val="00D57D47"/>
    <w:rsid w:val="00D60F92"/>
    <w:rsid w:val="00D62128"/>
    <w:rsid w:val="00D62928"/>
    <w:rsid w:val="00D6332B"/>
    <w:rsid w:val="00D63B90"/>
    <w:rsid w:val="00D63F5D"/>
    <w:rsid w:val="00D64213"/>
    <w:rsid w:val="00D64817"/>
    <w:rsid w:val="00D65D2F"/>
    <w:rsid w:val="00D66565"/>
    <w:rsid w:val="00D6711C"/>
    <w:rsid w:val="00D67813"/>
    <w:rsid w:val="00D70A1D"/>
    <w:rsid w:val="00D70D49"/>
    <w:rsid w:val="00D7544B"/>
    <w:rsid w:val="00D766D7"/>
    <w:rsid w:val="00D77141"/>
    <w:rsid w:val="00D8088E"/>
    <w:rsid w:val="00D81DB9"/>
    <w:rsid w:val="00D825BE"/>
    <w:rsid w:val="00D840E3"/>
    <w:rsid w:val="00D841C6"/>
    <w:rsid w:val="00D84E76"/>
    <w:rsid w:val="00D85CF7"/>
    <w:rsid w:val="00D86EFA"/>
    <w:rsid w:val="00D873E3"/>
    <w:rsid w:val="00D90C7B"/>
    <w:rsid w:val="00D90F68"/>
    <w:rsid w:val="00D92206"/>
    <w:rsid w:val="00D92AA0"/>
    <w:rsid w:val="00D9429C"/>
    <w:rsid w:val="00D94D2D"/>
    <w:rsid w:val="00D95055"/>
    <w:rsid w:val="00D95690"/>
    <w:rsid w:val="00D95CF9"/>
    <w:rsid w:val="00D9688C"/>
    <w:rsid w:val="00DA00E5"/>
    <w:rsid w:val="00DA06A7"/>
    <w:rsid w:val="00DA0711"/>
    <w:rsid w:val="00DA1045"/>
    <w:rsid w:val="00DA15F0"/>
    <w:rsid w:val="00DA1F86"/>
    <w:rsid w:val="00DA2AAD"/>
    <w:rsid w:val="00DA3795"/>
    <w:rsid w:val="00DA6A02"/>
    <w:rsid w:val="00DA7B74"/>
    <w:rsid w:val="00DB0D6F"/>
    <w:rsid w:val="00DB1D50"/>
    <w:rsid w:val="00DB2462"/>
    <w:rsid w:val="00DB36C7"/>
    <w:rsid w:val="00DB4753"/>
    <w:rsid w:val="00DB4D97"/>
    <w:rsid w:val="00DB692F"/>
    <w:rsid w:val="00DB7A12"/>
    <w:rsid w:val="00DB7B54"/>
    <w:rsid w:val="00DC05B2"/>
    <w:rsid w:val="00DC142F"/>
    <w:rsid w:val="00DC4DB8"/>
    <w:rsid w:val="00DC508C"/>
    <w:rsid w:val="00DC6AA9"/>
    <w:rsid w:val="00DC6F45"/>
    <w:rsid w:val="00DC7ACD"/>
    <w:rsid w:val="00DD0DF5"/>
    <w:rsid w:val="00DD27FA"/>
    <w:rsid w:val="00DD2FC0"/>
    <w:rsid w:val="00DD2FEA"/>
    <w:rsid w:val="00DD36EF"/>
    <w:rsid w:val="00DD3C1E"/>
    <w:rsid w:val="00DD6539"/>
    <w:rsid w:val="00DE1DF4"/>
    <w:rsid w:val="00DE239E"/>
    <w:rsid w:val="00DE2EDB"/>
    <w:rsid w:val="00DE3B6B"/>
    <w:rsid w:val="00DE3C3E"/>
    <w:rsid w:val="00DE628B"/>
    <w:rsid w:val="00DE643C"/>
    <w:rsid w:val="00DE6A62"/>
    <w:rsid w:val="00DE6C0A"/>
    <w:rsid w:val="00DE6CEE"/>
    <w:rsid w:val="00DE6D2F"/>
    <w:rsid w:val="00DF0722"/>
    <w:rsid w:val="00DF0753"/>
    <w:rsid w:val="00DF1A0D"/>
    <w:rsid w:val="00DF2974"/>
    <w:rsid w:val="00DF68A7"/>
    <w:rsid w:val="00DF7138"/>
    <w:rsid w:val="00E01818"/>
    <w:rsid w:val="00E04140"/>
    <w:rsid w:val="00E044CE"/>
    <w:rsid w:val="00E050B4"/>
    <w:rsid w:val="00E056BA"/>
    <w:rsid w:val="00E05784"/>
    <w:rsid w:val="00E10D27"/>
    <w:rsid w:val="00E10D2B"/>
    <w:rsid w:val="00E12FFD"/>
    <w:rsid w:val="00E1301D"/>
    <w:rsid w:val="00E13581"/>
    <w:rsid w:val="00E15A8B"/>
    <w:rsid w:val="00E15D76"/>
    <w:rsid w:val="00E16201"/>
    <w:rsid w:val="00E166F5"/>
    <w:rsid w:val="00E174CD"/>
    <w:rsid w:val="00E174F5"/>
    <w:rsid w:val="00E17EBE"/>
    <w:rsid w:val="00E17F7C"/>
    <w:rsid w:val="00E204A3"/>
    <w:rsid w:val="00E21401"/>
    <w:rsid w:val="00E22B0D"/>
    <w:rsid w:val="00E24755"/>
    <w:rsid w:val="00E24D34"/>
    <w:rsid w:val="00E25E39"/>
    <w:rsid w:val="00E2673D"/>
    <w:rsid w:val="00E3520E"/>
    <w:rsid w:val="00E355C8"/>
    <w:rsid w:val="00E3789C"/>
    <w:rsid w:val="00E40F14"/>
    <w:rsid w:val="00E41C5E"/>
    <w:rsid w:val="00E43829"/>
    <w:rsid w:val="00E4428C"/>
    <w:rsid w:val="00E4437C"/>
    <w:rsid w:val="00E4443A"/>
    <w:rsid w:val="00E44AD0"/>
    <w:rsid w:val="00E45356"/>
    <w:rsid w:val="00E46A3B"/>
    <w:rsid w:val="00E46E60"/>
    <w:rsid w:val="00E47467"/>
    <w:rsid w:val="00E4756F"/>
    <w:rsid w:val="00E51B68"/>
    <w:rsid w:val="00E53E92"/>
    <w:rsid w:val="00E55620"/>
    <w:rsid w:val="00E56269"/>
    <w:rsid w:val="00E57237"/>
    <w:rsid w:val="00E5733A"/>
    <w:rsid w:val="00E604BD"/>
    <w:rsid w:val="00E6108D"/>
    <w:rsid w:val="00E62121"/>
    <w:rsid w:val="00E62462"/>
    <w:rsid w:val="00E62892"/>
    <w:rsid w:val="00E63410"/>
    <w:rsid w:val="00E667C7"/>
    <w:rsid w:val="00E66A0E"/>
    <w:rsid w:val="00E66B32"/>
    <w:rsid w:val="00E66CE2"/>
    <w:rsid w:val="00E70850"/>
    <w:rsid w:val="00E74419"/>
    <w:rsid w:val="00E74985"/>
    <w:rsid w:val="00E75B43"/>
    <w:rsid w:val="00E77668"/>
    <w:rsid w:val="00E8009E"/>
    <w:rsid w:val="00E80AE5"/>
    <w:rsid w:val="00E81791"/>
    <w:rsid w:val="00E82C9B"/>
    <w:rsid w:val="00E82D3D"/>
    <w:rsid w:val="00E8368C"/>
    <w:rsid w:val="00E83B74"/>
    <w:rsid w:val="00E84B65"/>
    <w:rsid w:val="00E84CB1"/>
    <w:rsid w:val="00E84FC0"/>
    <w:rsid w:val="00E85624"/>
    <w:rsid w:val="00E86EF9"/>
    <w:rsid w:val="00E870FE"/>
    <w:rsid w:val="00E90189"/>
    <w:rsid w:val="00E92CD2"/>
    <w:rsid w:val="00E94FAE"/>
    <w:rsid w:val="00E95A07"/>
    <w:rsid w:val="00E96EB4"/>
    <w:rsid w:val="00EA32ED"/>
    <w:rsid w:val="00EA344E"/>
    <w:rsid w:val="00EA3692"/>
    <w:rsid w:val="00EA4C59"/>
    <w:rsid w:val="00EA6938"/>
    <w:rsid w:val="00EA6A96"/>
    <w:rsid w:val="00EA7D9C"/>
    <w:rsid w:val="00EB0216"/>
    <w:rsid w:val="00EB38E4"/>
    <w:rsid w:val="00EB4A64"/>
    <w:rsid w:val="00EB4D56"/>
    <w:rsid w:val="00EB5293"/>
    <w:rsid w:val="00EB5335"/>
    <w:rsid w:val="00EB7D02"/>
    <w:rsid w:val="00EC0253"/>
    <w:rsid w:val="00EC1DD4"/>
    <w:rsid w:val="00EC219E"/>
    <w:rsid w:val="00EC3BD9"/>
    <w:rsid w:val="00EC4347"/>
    <w:rsid w:val="00EC4592"/>
    <w:rsid w:val="00EC6957"/>
    <w:rsid w:val="00ED18C5"/>
    <w:rsid w:val="00ED1D21"/>
    <w:rsid w:val="00ED1F92"/>
    <w:rsid w:val="00ED28A5"/>
    <w:rsid w:val="00ED4BEF"/>
    <w:rsid w:val="00ED5134"/>
    <w:rsid w:val="00ED6321"/>
    <w:rsid w:val="00EE19CD"/>
    <w:rsid w:val="00EE1FD3"/>
    <w:rsid w:val="00EE35AC"/>
    <w:rsid w:val="00EE37C8"/>
    <w:rsid w:val="00EE5B28"/>
    <w:rsid w:val="00EE5B2A"/>
    <w:rsid w:val="00EE6181"/>
    <w:rsid w:val="00EE76E7"/>
    <w:rsid w:val="00EE7C64"/>
    <w:rsid w:val="00EF0AE8"/>
    <w:rsid w:val="00EF47A4"/>
    <w:rsid w:val="00EF4B9C"/>
    <w:rsid w:val="00EF639D"/>
    <w:rsid w:val="00EF6603"/>
    <w:rsid w:val="00EF7D20"/>
    <w:rsid w:val="00F00295"/>
    <w:rsid w:val="00F01297"/>
    <w:rsid w:val="00F03752"/>
    <w:rsid w:val="00F05098"/>
    <w:rsid w:val="00F05408"/>
    <w:rsid w:val="00F057B5"/>
    <w:rsid w:val="00F1045E"/>
    <w:rsid w:val="00F112FC"/>
    <w:rsid w:val="00F14486"/>
    <w:rsid w:val="00F15A4F"/>
    <w:rsid w:val="00F15F68"/>
    <w:rsid w:val="00F16246"/>
    <w:rsid w:val="00F20CC4"/>
    <w:rsid w:val="00F234BC"/>
    <w:rsid w:val="00F24198"/>
    <w:rsid w:val="00F25AED"/>
    <w:rsid w:val="00F26571"/>
    <w:rsid w:val="00F2712A"/>
    <w:rsid w:val="00F2715E"/>
    <w:rsid w:val="00F27399"/>
    <w:rsid w:val="00F308FD"/>
    <w:rsid w:val="00F315FE"/>
    <w:rsid w:val="00F31D76"/>
    <w:rsid w:val="00F32168"/>
    <w:rsid w:val="00F32A5D"/>
    <w:rsid w:val="00F32AEF"/>
    <w:rsid w:val="00F32BBA"/>
    <w:rsid w:val="00F33B65"/>
    <w:rsid w:val="00F342CB"/>
    <w:rsid w:val="00F344FD"/>
    <w:rsid w:val="00F348AF"/>
    <w:rsid w:val="00F3558F"/>
    <w:rsid w:val="00F35FF0"/>
    <w:rsid w:val="00F36002"/>
    <w:rsid w:val="00F40845"/>
    <w:rsid w:val="00F411DA"/>
    <w:rsid w:val="00F41AEA"/>
    <w:rsid w:val="00F430D1"/>
    <w:rsid w:val="00F43934"/>
    <w:rsid w:val="00F44571"/>
    <w:rsid w:val="00F4692B"/>
    <w:rsid w:val="00F4693E"/>
    <w:rsid w:val="00F46F29"/>
    <w:rsid w:val="00F47C55"/>
    <w:rsid w:val="00F50FB0"/>
    <w:rsid w:val="00F53734"/>
    <w:rsid w:val="00F54F10"/>
    <w:rsid w:val="00F56B35"/>
    <w:rsid w:val="00F615C9"/>
    <w:rsid w:val="00F6197D"/>
    <w:rsid w:val="00F62FA2"/>
    <w:rsid w:val="00F63190"/>
    <w:rsid w:val="00F633C2"/>
    <w:rsid w:val="00F63686"/>
    <w:rsid w:val="00F64048"/>
    <w:rsid w:val="00F64390"/>
    <w:rsid w:val="00F64809"/>
    <w:rsid w:val="00F65287"/>
    <w:rsid w:val="00F661BD"/>
    <w:rsid w:val="00F66D46"/>
    <w:rsid w:val="00F71D38"/>
    <w:rsid w:val="00F7266D"/>
    <w:rsid w:val="00F72FD7"/>
    <w:rsid w:val="00F737C8"/>
    <w:rsid w:val="00F74059"/>
    <w:rsid w:val="00F76288"/>
    <w:rsid w:val="00F76D71"/>
    <w:rsid w:val="00F770A4"/>
    <w:rsid w:val="00F77FE9"/>
    <w:rsid w:val="00F82801"/>
    <w:rsid w:val="00F83A95"/>
    <w:rsid w:val="00F84149"/>
    <w:rsid w:val="00F84C6B"/>
    <w:rsid w:val="00F84CB3"/>
    <w:rsid w:val="00F873EC"/>
    <w:rsid w:val="00F87469"/>
    <w:rsid w:val="00F90B46"/>
    <w:rsid w:val="00F91E00"/>
    <w:rsid w:val="00F930A4"/>
    <w:rsid w:val="00F93481"/>
    <w:rsid w:val="00F93EFF"/>
    <w:rsid w:val="00F94130"/>
    <w:rsid w:val="00F949C2"/>
    <w:rsid w:val="00F95FD5"/>
    <w:rsid w:val="00F97F82"/>
    <w:rsid w:val="00FA0380"/>
    <w:rsid w:val="00FA08F6"/>
    <w:rsid w:val="00FA1DC9"/>
    <w:rsid w:val="00FA2A4D"/>
    <w:rsid w:val="00FA4AB4"/>
    <w:rsid w:val="00FA5802"/>
    <w:rsid w:val="00FA5B7F"/>
    <w:rsid w:val="00FA65B7"/>
    <w:rsid w:val="00FA65E8"/>
    <w:rsid w:val="00FB175C"/>
    <w:rsid w:val="00FB1A12"/>
    <w:rsid w:val="00FB32E9"/>
    <w:rsid w:val="00FB6636"/>
    <w:rsid w:val="00FB6C4A"/>
    <w:rsid w:val="00FB6EBA"/>
    <w:rsid w:val="00FB72ED"/>
    <w:rsid w:val="00FB748A"/>
    <w:rsid w:val="00FB753D"/>
    <w:rsid w:val="00FB7794"/>
    <w:rsid w:val="00FC16FF"/>
    <w:rsid w:val="00FC2CC2"/>
    <w:rsid w:val="00FC3298"/>
    <w:rsid w:val="00FC385D"/>
    <w:rsid w:val="00FC3DC8"/>
    <w:rsid w:val="00FD06D0"/>
    <w:rsid w:val="00FD0C10"/>
    <w:rsid w:val="00FD0F0F"/>
    <w:rsid w:val="00FD106D"/>
    <w:rsid w:val="00FD1896"/>
    <w:rsid w:val="00FD2598"/>
    <w:rsid w:val="00FD2723"/>
    <w:rsid w:val="00FD41FE"/>
    <w:rsid w:val="00FD5241"/>
    <w:rsid w:val="00FD603D"/>
    <w:rsid w:val="00FD687E"/>
    <w:rsid w:val="00FD750B"/>
    <w:rsid w:val="00FD7AB3"/>
    <w:rsid w:val="00FE01FF"/>
    <w:rsid w:val="00FE0A09"/>
    <w:rsid w:val="00FE0C75"/>
    <w:rsid w:val="00FE15DC"/>
    <w:rsid w:val="00FE374B"/>
    <w:rsid w:val="00FE37DC"/>
    <w:rsid w:val="00FE3A2C"/>
    <w:rsid w:val="00FE483C"/>
    <w:rsid w:val="00FE4DA7"/>
    <w:rsid w:val="00FE58EE"/>
    <w:rsid w:val="00FE74DC"/>
    <w:rsid w:val="00FE7754"/>
    <w:rsid w:val="00FE7975"/>
    <w:rsid w:val="00FF08BF"/>
    <w:rsid w:val="00FF0CAF"/>
    <w:rsid w:val="00FF0D34"/>
    <w:rsid w:val="00FF123D"/>
    <w:rsid w:val="00FF2C8F"/>
    <w:rsid w:val="00FF44A0"/>
    <w:rsid w:val="00FF780F"/>
    <w:rsid w:val="00FF7C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83EFB44"/>
  <w15:docId w15:val="{C87A84F5-F845-4EBA-8E1F-36D978F1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4BD"/>
    <w:pPr>
      <w:spacing w:after="200" w:line="276" w:lineRule="auto"/>
    </w:pPr>
    <w:rPr>
      <w:sz w:val="22"/>
      <w:szCs w:val="22"/>
      <w:lang w:eastAsia="en-US"/>
    </w:rPr>
  </w:style>
  <w:style w:type="paragraph" w:styleId="Ttulo1">
    <w:name w:val="heading 1"/>
    <w:basedOn w:val="Normal"/>
    <w:next w:val="Normal"/>
    <w:link w:val="Ttulo1Car"/>
    <w:uiPriority w:val="9"/>
    <w:qFormat/>
    <w:rsid w:val="00DA07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A0711"/>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s-ES" w:eastAsia="es-ES"/>
    </w:rPr>
  </w:style>
  <w:style w:type="paragraph" w:styleId="Ttulo7">
    <w:name w:val="heading 7"/>
    <w:basedOn w:val="Normal"/>
    <w:next w:val="Normal"/>
    <w:link w:val="Ttulo7Car"/>
    <w:uiPriority w:val="9"/>
    <w:semiHidden/>
    <w:unhideWhenUsed/>
    <w:qFormat/>
    <w:rsid w:val="00DA0711"/>
    <w:pPr>
      <w:spacing w:before="240" w:after="60" w:line="240" w:lineRule="auto"/>
      <w:outlineLvl w:val="6"/>
    </w:pPr>
    <w:rPr>
      <w:rFonts w:eastAsia="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4 Viñ 1nivel,Numeración 1,Cuadrícula media 1 - Énfasis 21"/>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styleId="Cuadrculaclara">
    <w:name w:val="Light Grid"/>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unhideWhenUsed/>
    <w:rsid w:val="00D06F43"/>
    <w:rPr>
      <w:sz w:val="16"/>
      <w:szCs w:val="16"/>
    </w:rPr>
  </w:style>
  <w:style w:type="paragraph" w:styleId="Textocomentario">
    <w:name w:val="annotation text"/>
    <w:basedOn w:val="Normal"/>
    <w:link w:val="TextocomentarioCar"/>
    <w:uiPriority w:val="99"/>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aliases w:val="4 Viñ 1nivel Car,Numeración 1 Car,Cuadrícula media 1 - Énfasis 21 Car"/>
    <w:link w:val="Prrafodelista"/>
    <w:uiPriority w:val="34"/>
    <w:rsid w:val="00842B34"/>
    <w:rPr>
      <w:rFonts w:ascii="Arial" w:eastAsia="Times New Roman" w:hAnsi="Arial"/>
      <w:sz w:val="24"/>
      <w:lang w:val="es-ES" w:eastAsia="es-ES"/>
    </w:rPr>
  </w:style>
  <w:style w:type="paragraph" w:customStyle="1" w:styleId="texto">
    <w:name w:val="texto"/>
    <w:basedOn w:val="Normal"/>
    <w:rsid w:val="006A12DB"/>
    <w:pPr>
      <w:spacing w:after="101" w:line="216" w:lineRule="atLeast"/>
      <w:ind w:firstLine="288"/>
      <w:jc w:val="both"/>
    </w:pPr>
    <w:rPr>
      <w:rFonts w:ascii="Arial" w:eastAsia="Times New Roman" w:hAnsi="Arial" w:cs="Arial"/>
      <w:sz w:val="18"/>
      <w:szCs w:val="20"/>
      <w:lang w:val="es-ES_tradnl" w:eastAsia="es-MX"/>
    </w:rPr>
  </w:style>
  <w:style w:type="table" w:styleId="Tablaconcuadrcula">
    <w:name w:val="Table Grid"/>
    <w:basedOn w:val="Tablanormal"/>
    <w:uiPriority w:val="59"/>
    <w:rsid w:val="00A25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41F9F"/>
  </w:style>
  <w:style w:type="table" w:customStyle="1" w:styleId="Cuadrculaclara1">
    <w:name w:val="Cuadrícula clara1"/>
    <w:basedOn w:val="Tablanormal"/>
    <w:next w:val="Cuadrculaclara"/>
    <w:uiPriority w:val="62"/>
    <w:rsid w:val="00C41F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extoindependiente">
    <w:name w:val="Body Text"/>
    <w:basedOn w:val="Normal"/>
    <w:link w:val="TextoindependienteCar"/>
    <w:rsid w:val="00C41F9F"/>
    <w:pPr>
      <w:spacing w:after="0" w:line="240" w:lineRule="auto"/>
      <w:jc w:val="both"/>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C41F9F"/>
    <w:rPr>
      <w:rFonts w:ascii="Arial" w:eastAsia="Times New Roman" w:hAnsi="Arial"/>
      <w:sz w:val="24"/>
      <w:lang w:eastAsia="es-ES"/>
    </w:rPr>
  </w:style>
  <w:style w:type="table" w:customStyle="1" w:styleId="Tablaconcuadrcula1">
    <w:name w:val="Tabla con cuadrícula1"/>
    <w:basedOn w:val="Tablanormal"/>
    <w:next w:val="Tablaconcuadrcula"/>
    <w:uiPriority w:val="59"/>
    <w:rsid w:val="00C41F9F"/>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10B02"/>
    <w:rPr>
      <w:sz w:val="22"/>
      <w:szCs w:val="22"/>
      <w:lang w:eastAsia="en-US"/>
    </w:rPr>
  </w:style>
  <w:style w:type="table" w:customStyle="1" w:styleId="Tablaconcuadrcula2">
    <w:name w:val="Tabla con cuadrícula2"/>
    <w:basedOn w:val="Tablanormal"/>
    <w:next w:val="Tablaconcuadrcula"/>
    <w:uiPriority w:val="59"/>
    <w:rsid w:val="00806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F90B4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90B46"/>
    <w:rPr>
      <w:lang w:eastAsia="en-US"/>
    </w:rPr>
  </w:style>
  <w:style w:type="character" w:styleId="Refdenotaalfinal">
    <w:name w:val="endnote reference"/>
    <w:basedOn w:val="Fuentedeprrafopredeter"/>
    <w:uiPriority w:val="99"/>
    <w:semiHidden/>
    <w:unhideWhenUsed/>
    <w:rsid w:val="00F90B46"/>
    <w:rPr>
      <w:vertAlign w:val="superscript"/>
    </w:rPr>
  </w:style>
  <w:style w:type="paragraph" w:styleId="Textonotapie">
    <w:name w:val="footnote text"/>
    <w:aliases w:val="Char,ALTS FOOTNOTE,Footnote Text Char1,Footnote Text Char Char1,Footnote Text Char4 Char Char,Footnote Text Char1 Char1 Char1 Char,Footnote Text Char Char1 Char1 Char Char,Footnote Text Char1 Char1 Char1 Char Char Char1,DNV-,DNV,DNV-FT"/>
    <w:basedOn w:val="Normal"/>
    <w:link w:val="TextonotapieCar"/>
    <w:uiPriority w:val="99"/>
    <w:unhideWhenUsed/>
    <w:rsid w:val="00F90B46"/>
    <w:pPr>
      <w:spacing w:after="0" w:line="240" w:lineRule="auto"/>
    </w:pPr>
    <w:rPr>
      <w:sz w:val="20"/>
      <w:szCs w:val="20"/>
    </w:rPr>
  </w:style>
  <w:style w:type="character" w:customStyle="1" w:styleId="TextonotapieCar">
    <w:name w:val="Texto nota pie Car"/>
    <w:aliases w:val="Char Car,ALTS FOOTNOTE Car,Footnote Text Char1 Car,Footnote Text Char Char1 Car,Footnote Text Char4 Char Char Car,Footnote Text Char1 Char1 Char1 Char Car,Footnote Text Char Char1 Char1 Char Char Car,DNV- Car,DNV Car,DNV-FT Car"/>
    <w:basedOn w:val="Fuentedeprrafopredeter"/>
    <w:link w:val="Textonotapie"/>
    <w:uiPriority w:val="99"/>
    <w:rsid w:val="00F90B46"/>
    <w:rPr>
      <w:lang w:eastAsia="en-US"/>
    </w:rPr>
  </w:style>
  <w:style w:type="character" w:styleId="Refdenotaalpie">
    <w:name w:val="footnote reference"/>
    <w:aliases w:val="Ref. de nota al pie 2,Footnotes refss,Texto de nota al pie,Footnote symbol,Appel note de bas de p,Footnote Reference/,Style 12,(NECG) Footnote Reference,Style 124,o,fr,Style 13,FR,Style 17,Style 3,Appel note de bas de p + 11 pt,Itali"/>
    <w:basedOn w:val="Fuentedeprrafopredeter"/>
    <w:uiPriority w:val="99"/>
    <w:unhideWhenUsed/>
    <w:rsid w:val="00F90B46"/>
    <w:rPr>
      <w:vertAlign w:val="superscript"/>
    </w:rPr>
  </w:style>
  <w:style w:type="character" w:styleId="Hipervnculo">
    <w:name w:val="Hyperlink"/>
    <w:basedOn w:val="Fuentedeprrafopredeter"/>
    <w:uiPriority w:val="99"/>
    <w:unhideWhenUsed/>
    <w:rsid w:val="00733527"/>
    <w:rPr>
      <w:color w:val="0000FF" w:themeColor="hyperlink"/>
      <w:u w:val="single"/>
    </w:rPr>
  </w:style>
  <w:style w:type="character" w:styleId="Hipervnculovisitado">
    <w:name w:val="FollowedHyperlink"/>
    <w:basedOn w:val="Fuentedeprrafopredeter"/>
    <w:uiPriority w:val="99"/>
    <w:semiHidden/>
    <w:unhideWhenUsed/>
    <w:rsid w:val="00C01787"/>
    <w:rPr>
      <w:color w:val="800080"/>
      <w:u w:val="single"/>
    </w:rPr>
  </w:style>
  <w:style w:type="paragraph" w:customStyle="1" w:styleId="xl68">
    <w:name w:val="xl68"/>
    <w:basedOn w:val="Normal"/>
    <w:rsid w:val="00C01787"/>
    <w:pPr>
      <w:spacing w:before="100" w:beforeAutospacing="1" w:after="100" w:afterAutospacing="1" w:line="240" w:lineRule="auto"/>
    </w:pPr>
    <w:rPr>
      <w:rFonts w:eastAsia="Times New Roman"/>
      <w:sz w:val="24"/>
      <w:szCs w:val="24"/>
      <w:lang w:eastAsia="es-MX"/>
    </w:rPr>
  </w:style>
  <w:style w:type="paragraph" w:customStyle="1" w:styleId="xl69">
    <w:name w:val="xl69"/>
    <w:basedOn w:val="Normal"/>
    <w:rsid w:val="00C01787"/>
    <w:pPr>
      <w:spacing w:before="100" w:beforeAutospacing="1" w:after="100" w:afterAutospacing="1" w:line="240" w:lineRule="auto"/>
    </w:pPr>
    <w:rPr>
      <w:rFonts w:ascii="Arial" w:eastAsia="Times New Roman" w:hAnsi="Arial" w:cs="Arial"/>
      <w:sz w:val="24"/>
      <w:szCs w:val="24"/>
      <w:lang w:eastAsia="es-MX"/>
    </w:rPr>
  </w:style>
  <w:style w:type="paragraph" w:customStyle="1" w:styleId="xl70">
    <w:name w:val="xl70"/>
    <w:basedOn w:val="Normal"/>
    <w:rsid w:val="00C01787"/>
    <w:pPr>
      <w:spacing w:before="100" w:beforeAutospacing="1" w:after="100" w:afterAutospacing="1" w:line="240" w:lineRule="auto"/>
    </w:pPr>
    <w:rPr>
      <w:rFonts w:eastAsia="Times New Roman"/>
      <w:sz w:val="24"/>
      <w:szCs w:val="24"/>
      <w:lang w:eastAsia="es-MX"/>
    </w:rPr>
  </w:style>
  <w:style w:type="paragraph" w:customStyle="1" w:styleId="xl71">
    <w:name w:val="xl71"/>
    <w:basedOn w:val="Normal"/>
    <w:rsid w:val="00C01787"/>
    <w:pPr>
      <w:spacing w:before="100" w:beforeAutospacing="1" w:after="100" w:afterAutospacing="1" w:line="240" w:lineRule="auto"/>
      <w:jc w:val="right"/>
    </w:pPr>
    <w:rPr>
      <w:rFonts w:eastAsia="Times New Roman"/>
      <w:b/>
      <w:bCs/>
      <w:color w:val="000000"/>
      <w:sz w:val="24"/>
      <w:szCs w:val="24"/>
      <w:lang w:eastAsia="es-MX"/>
    </w:rPr>
  </w:style>
  <w:style w:type="paragraph" w:customStyle="1" w:styleId="xl72">
    <w:name w:val="xl72"/>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73">
    <w:name w:val="xl73"/>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74">
    <w:name w:val="xl74"/>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color w:val="000000"/>
      <w:sz w:val="24"/>
      <w:szCs w:val="24"/>
      <w:lang w:eastAsia="es-MX"/>
    </w:rPr>
  </w:style>
  <w:style w:type="paragraph" w:customStyle="1" w:styleId="xl75">
    <w:name w:val="xl75"/>
    <w:basedOn w:val="Normal"/>
    <w:rsid w:val="00C017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76">
    <w:name w:val="xl76"/>
    <w:basedOn w:val="Normal"/>
    <w:rsid w:val="00C0178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77">
    <w:name w:val="xl77"/>
    <w:basedOn w:val="Normal"/>
    <w:rsid w:val="00C01787"/>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78">
    <w:name w:val="xl78"/>
    <w:basedOn w:val="Normal"/>
    <w:rsid w:val="00C01787"/>
    <w:pPr>
      <w:spacing w:before="100" w:beforeAutospacing="1" w:after="100" w:afterAutospacing="1" w:line="240" w:lineRule="auto"/>
    </w:pPr>
    <w:rPr>
      <w:rFonts w:eastAsia="Times New Roman"/>
      <w:sz w:val="24"/>
      <w:szCs w:val="24"/>
      <w:lang w:eastAsia="es-MX"/>
    </w:rPr>
  </w:style>
  <w:style w:type="paragraph" w:customStyle="1" w:styleId="xl79">
    <w:name w:val="xl79"/>
    <w:basedOn w:val="Normal"/>
    <w:rsid w:val="00C0178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0">
    <w:name w:val="xl80"/>
    <w:basedOn w:val="Normal"/>
    <w:rsid w:val="00C01787"/>
    <w:pPr>
      <w:spacing w:before="100" w:beforeAutospacing="1" w:after="100" w:afterAutospacing="1" w:line="240" w:lineRule="auto"/>
    </w:pPr>
    <w:rPr>
      <w:rFonts w:ascii="Arial" w:eastAsia="Times New Roman" w:hAnsi="Arial" w:cs="Arial"/>
      <w:sz w:val="24"/>
      <w:szCs w:val="24"/>
      <w:lang w:eastAsia="es-MX"/>
    </w:rPr>
  </w:style>
  <w:style w:type="paragraph" w:customStyle="1" w:styleId="xl81">
    <w:name w:val="xl81"/>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2">
    <w:name w:val="xl82"/>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3">
    <w:name w:val="xl83"/>
    <w:basedOn w:val="Normal"/>
    <w:rsid w:val="00C017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84">
    <w:name w:val="xl84"/>
    <w:basedOn w:val="Normal"/>
    <w:rsid w:val="00C0178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5">
    <w:name w:val="xl85"/>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6">
    <w:name w:val="xl86"/>
    <w:basedOn w:val="Normal"/>
    <w:rsid w:val="00C01787"/>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87">
    <w:name w:val="xl87"/>
    <w:basedOn w:val="Normal"/>
    <w:rsid w:val="00C0178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88">
    <w:name w:val="xl88"/>
    <w:basedOn w:val="Normal"/>
    <w:rsid w:val="00C01787"/>
    <w:pPr>
      <w:pBdr>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89">
    <w:name w:val="xl89"/>
    <w:basedOn w:val="Normal"/>
    <w:rsid w:val="00C01787"/>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0">
    <w:name w:val="xl90"/>
    <w:basedOn w:val="Normal"/>
    <w:rsid w:val="00C01787"/>
    <w:pPr>
      <w:spacing w:before="100" w:beforeAutospacing="1" w:after="100" w:afterAutospacing="1" w:line="240" w:lineRule="auto"/>
      <w:jc w:val="center"/>
    </w:pPr>
    <w:rPr>
      <w:rFonts w:eastAsia="Times New Roman"/>
      <w:sz w:val="24"/>
      <w:szCs w:val="24"/>
      <w:lang w:eastAsia="es-MX"/>
    </w:rPr>
  </w:style>
  <w:style w:type="paragraph" w:customStyle="1" w:styleId="xl91">
    <w:name w:val="xl91"/>
    <w:basedOn w:val="Normal"/>
    <w:rsid w:val="00C01787"/>
    <w:pPr>
      <w:spacing w:before="100" w:beforeAutospacing="1" w:after="100" w:afterAutospacing="1" w:line="240" w:lineRule="auto"/>
      <w:jc w:val="center"/>
    </w:pPr>
    <w:rPr>
      <w:rFonts w:eastAsia="Times New Roman"/>
      <w:sz w:val="24"/>
      <w:szCs w:val="24"/>
      <w:lang w:eastAsia="es-MX"/>
    </w:rPr>
  </w:style>
  <w:style w:type="paragraph" w:customStyle="1" w:styleId="xl92">
    <w:name w:val="xl92"/>
    <w:basedOn w:val="Normal"/>
    <w:rsid w:val="00C01787"/>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93">
    <w:name w:val="xl93"/>
    <w:basedOn w:val="Normal"/>
    <w:rsid w:val="00C017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4">
    <w:name w:val="xl94"/>
    <w:basedOn w:val="Normal"/>
    <w:rsid w:val="00C01787"/>
    <w:pPr>
      <w:pBdr>
        <w:top w:val="single" w:sz="8" w:space="0" w:color="auto"/>
        <w:left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95">
    <w:name w:val="xl95"/>
    <w:basedOn w:val="Normal"/>
    <w:rsid w:val="00C01787"/>
    <w:pPr>
      <w:pBdr>
        <w:left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96">
    <w:name w:val="xl96"/>
    <w:basedOn w:val="Normal"/>
    <w:rsid w:val="00C017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7">
    <w:name w:val="xl97"/>
    <w:basedOn w:val="Normal"/>
    <w:rsid w:val="00C0178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8">
    <w:name w:val="xl98"/>
    <w:basedOn w:val="Normal"/>
    <w:rsid w:val="00C01787"/>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9">
    <w:name w:val="xl99"/>
    <w:basedOn w:val="Normal"/>
    <w:rsid w:val="00C017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00">
    <w:name w:val="xl100"/>
    <w:basedOn w:val="Normal"/>
    <w:rsid w:val="00C01787"/>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01">
    <w:name w:val="xl101"/>
    <w:basedOn w:val="Normal"/>
    <w:rsid w:val="00C01787"/>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102">
    <w:name w:val="xl102"/>
    <w:basedOn w:val="Normal"/>
    <w:rsid w:val="00C017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03">
    <w:name w:val="xl103"/>
    <w:basedOn w:val="Normal"/>
    <w:rsid w:val="00C01787"/>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04">
    <w:name w:val="xl104"/>
    <w:basedOn w:val="Normal"/>
    <w:rsid w:val="00C0178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5">
    <w:name w:val="xl105"/>
    <w:basedOn w:val="Normal"/>
    <w:rsid w:val="00C01787"/>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6">
    <w:name w:val="xl106"/>
    <w:basedOn w:val="Normal"/>
    <w:rsid w:val="00C017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7">
    <w:name w:val="xl107"/>
    <w:basedOn w:val="Normal"/>
    <w:rsid w:val="00C017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8">
    <w:name w:val="xl108"/>
    <w:basedOn w:val="Normal"/>
    <w:rsid w:val="00C0178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09">
    <w:name w:val="xl109"/>
    <w:basedOn w:val="Normal"/>
    <w:rsid w:val="00C01787"/>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10">
    <w:name w:val="xl110"/>
    <w:basedOn w:val="Normal"/>
    <w:rsid w:val="00C017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11">
    <w:name w:val="xl111"/>
    <w:basedOn w:val="Normal"/>
    <w:rsid w:val="00C017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2">
    <w:name w:val="xl112"/>
    <w:basedOn w:val="Normal"/>
    <w:rsid w:val="00C01787"/>
    <w:pPr>
      <w:pBdr>
        <w:top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3">
    <w:name w:val="xl113"/>
    <w:basedOn w:val="Normal"/>
    <w:rsid w:val="00C0178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4">
    <w:name w:val="xl114"/>
    <w:basedOn w:val="Normal"/>
    <w:rsid w:val="00C01787"/>
    <w:pPr>
      <w:pBdr>
        <w:top w:val="single" w:sz="4"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5">
    <w:name w:val="xl115"/>
    <w:basedOn w:val="Normal"/>
    <w:rsid w:val="00C017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6">
    <w:name w:val="xl116"/>
    <w:basedOn w:val="Normal"/>
    <w:rsid w:val="00C01787"/>
    <w:pPr>
      <w:pBdr>
        <w:top w:val="single" w:sz="4"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7">
    <w:name w:val="xl117"/>
    <w:basedOn w:val="Normal"/>
    <w:rsid w:val="00C01787"/>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8">
    <w:name w:val="xl118"/>
    <w:basedOn w:val="Normal"/>
    <w:rsid w:val="00C01787"/>
    <w:pPr>
      <w:pBdr>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9">
    <w:name w:val="xl119"/>
    <w:basedOn w:val="Normal"/>
    <w:rsid w:val="00C01787"/>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0">
    <w:name w:val="xl120"/>
    <w:basedOn w:val="Normal"/>
    <w:rsid w:val="00C01787"/>
    <w:pPr>
      <w:pBdr>
        <w:top w:val="single" w:sz="4" w:space="0" w:color="auto"/>
        <w:left w:val="single" w:sz="8"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21">
    <w:name w:val="xl121"/>
    <w:basedOn w:val="Normal"/>
    <w:rsid w:val="00C01787"/>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2">
    <w:name w:val="xl122"/>
    <w:basedOn w:val="Normal"/>
    <w:rsid w:val="00C01787"/>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23">
    <w:name w:val="xl123"/>
    <w:basedOn w:val="Normal"/>
    <w:rsid w:val="00C01787"/>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4">
    <w:name w:val="xl124"/>
    <w:basedOn w:val="Normal"/>
    <w:rsid w:val="00C01787"/>
    <w:pPr>
      <w:pBdr>
        <w:top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25">
    <w:name w:val="xl125"/>
    <w:basedOn w:val="Normal"/>
    <w:rsid w:val="00C017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6">
    <w:name w:val="xl126"/>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127">
    <w:name w:val="xl127"/>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8">
    <w:name w:val="xl128"/>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29">
    <w:name w:val="xl129"/>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30">
    <w:name w:val="xl130"/>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31">
    <w:name w:val="xl131"/>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32">
    <w:name w:val="xl132"/>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33">
    <w:name w:val="xl133"/>
    <w:basedOn w:val="Normal"/>
    <w:rsid w:val="00C01787"/>
    <w:pPr>
      <w:pBdr>
        <w:top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character" w:customStyle="1" w:styleId="Ttulo1Car">
    <w:name w:val="Título 1 Car"/>
    <w:basedOn w:val="Fuentedeprrafopredeter"/>
    <w:link w:val="Ttulo1"/>
    <w:uiPriority w:val="9"/>
    <w:rsid w:val="00DA0711"/>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DA0711"/>
    <w:rPr>
      <w:rFonts w:asciiTheme="majorHAnsi" w:eastAsiaTheme="majorEastAsia" w:hAnsiTheme="majorHAnsi" w:cstheme="majorBidi"/>
      <w:color w:val="365F91" w:themeColor="accent1" w:themeShade="BF"/>
      <w:sz w:val="26"/>
      <w:szCs w:val="26"/>
      <w:lang w:val="es-ES" w:eastAsia="es-ES"/>
    </w:rPr>
  </w:style>
  <w:style w:type="character" w:customStyle="1" w:styleId="Ttulo7Car">
    <w:name w:val="Título 7 Car"/>
    <w:basedOn w:val="Fuentedeprrafopredeter"/>
    <w:link w:val="Ttulo7"/>
    <w:uiPriority w:val="9"/>
    <w:semiHidden/>
    <w:rsid w:val="00DA0711"/>
    <w:rPr>
      <w:rFonts w:eastAsia="Times New Roman"/>
      <w:sz w:val="24"/>
      <w:szCs w:val="24"/>
      <w:lang w:val="es-ES_tradnl" w:eastAsia="es-ES"/>
    </w:rPr>
  </w:style>
  <w:style w:type="numbering" w:customStyle="1" w:styleId="Sinlista2">
    <w:name w:val="Sin lista2"/>
    <w:next w:val="Sinlista"/>
    <w:uiPriority w:val="99"/>
    <w:semiHidden/>
    <w:unhideWhenUsed/>
    <w:rsid w:val="00DA0711"/>
  </w:style>
  <w:style w:type="numbering" w:customStyle="1" w:styleId="Sinlista3">
    <w:name w:val="Sin lista3"/>
    <w:next w:val="Sinlista"/>
    <w:uiPriority w:val="99"/>
    <w:semiHidden/>
    <w:unhideWhenUsed/>
    <w:rsid w:val="00DA0711"/>
  </w:style>
  <w:style w:type="numbering" w:customStyle="1" w:styleId="Sinlista11">
    <w:name w:val="Sin lista11"/>
    <w:next w:val="Sinlista"/>
    <w:uiPriority w:val="99"/>
    <w:semiHidden/>
    <w:unhideWhenUsed/>
    <w:rsid w:val="00DA0711"/>
  </w:style>
  <w:style w:type="numbering" w:customStyle="1" w:styleId="Sinlista21">
    <w:name w:val="Sin lista21"/>
    <w:next w:val="Sinlista"/>
    <w:uiPriority w:val="99"/>
    <w:semiHidden/>
    <w:unhideWhenUsed/>
    <w:rsid w:val="00DA0711"/>
  </w:style>
  <w:style w:type="table" w:customStyle="1" w:styleId="Tablaconcuadrcula8">
    <w:name w:val="Tabla con cuadrícula8"/>
    <w:basedOn w:val="Tablanormal"/>
    <w:next w:val="Tablaconcuadrcula"/>
    <w:rsid w:val="004066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7B34B8"/>
    <w:pPr>
      <w:spacing w:before="100" w:beforeAutospacing="1" w:after="100" w:afterAutospacing="1" w:line="240" w:lineRule="auto"/>
    </w:pPr>
    <w:rPr>
      <w:rFonts w:eastAsia="Times New Roman"/>
      <w:sz w:val="24"/>
      <w:szCs w:val="24"/>
      <w:lang w:eastAsia="es-MX"/>
    </w:rPr>
  </w:style>
  <w:style w:type="paragraph" w:customStyle="1" w:styleId="xl67">
    <w:name w:val="xl67"/>
    <w:basedOn w:val="Normal"/>
    <w:rsid w:val="007B34B8"/>
    <w:pPr>
      <w:spacing w:before="100" w:beforeAutospacing="1" w:after="100" w:afterAutospacing="1" w:line="240" w:lineRule="auto"/>
    </w:pPr>
    <w:rPr>
      <w:rFonts w:ascii="Arial" w:eastAsia="Times New Roman" w:hAnsi="Arial" w:cs="Arial"/>
      <w:sz w:val="24"/>
      <w:szCs w:val="24"/>
      <w:lang w:eastAsia="es-MX"/>
    </w:rPr>
  </w:style>
  <w:style w:type="character" w:customStyle="1" w:styleId="N1IFTCar">
    <w:name w:val="N1 IFT Car"/>
    <w:basedOn w:val="Fuentedeprrafopredeter"/>
    <w:link w:val="N1IFT"/>
    <w:locked/>
    <w:rsid w:val="00B14A71"/>
    <w:rPr>
      <w:rFonts w:ascii="ITC Avant Garde" w:hAnsi="ITC Avant Garde"/>
      <w:b/>
      <w:bCs/>
      <w:color w:val="000000"/>
      <w:lang w:eastAsia="es-ES"/>
    </w:rPr>
  </w:style>
  <w:style w:type="paragraph" w:customStyle="1" w:styleId="N1IFT">
    <w:name w:val="N1 IFT"/>
    <w:basedOn w:val="Normal"/>
    <w:link w:val="N1IFTCar"/>
    <w:rsid w:val="00B14A71"/>
    <w:pPr>
      <w:jc w:val="both"/>
    </w:pPr>
    <w:rPr>
      <w:rFonts w:ascii="ITC Avant Garde" w:hAnsi="ITC Avant Garde"/>
      <w:b/>
      <w:bCs/>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5669">
      <w:bodyDiv w:val="1"/>
      <w:marLeft w:val="0"/>
      <w:marRight w:val="0"/>
      <w:marTop w:val="0"/>
      <w:marBottom w:val="0"/>
      <w:divBdr>
        <w:top w:val="none" w:sz="0" w:space="0" w:color="auto"/>
        <w:left w:val="none" w:sz="0" w:space="0" w:color="auto"/>
        <w:bottom w:val="none" w:sz="0" w:space="0" w:color="auto"/>
        <w:right w:val="none" w:sz="0" w:space="0" w:color="auto"/>
      </w:divBdr>
    </w:div>
    <w:div w:id="146363684">
      <w:bodyDiv w:val="1"/>
      <w:marLeft w:val="0"/>
      <w:marRight w:val="0"/>
      <w:marTop w:val="0"/>
      <w:marBottom w:val="0"/>
      <w:divBdr>
        <w:top w:val="none" w:sz="0" w:space="0" w:color="auto"/>
        <w:left w:val="none" w:sz="0" w:space="0" w:color="auto"/>
        <w:bottom w:val="none" w:sz="0" w:space="0" w:color="auto"/>
        <w:right w:val="none" w:sz="0" w:space="0" w:color="auto"/>
      </w:divBdr>
    </w:div>
    <w:div w:id="151796065">
      <w:bodyDiv w:val="1"/>
      <w:marLeft w:val="0"/>
      <w:marRight w:val="0"/>
      <w:marTop w:val="0"/>
      <w:marBottom w:val="0"/>
      <w:divBdr>
        <w:top w:val="none" w:sz="0" w:space="0" w:color="auto"/>
        <w:left w:val="none" w:sz="0" w:space="0" w:color="auto"/>
        <w:bottom w:val="none" w:sz="0" w:space="0" w:color="auto"/>
        <w:right w:val="none" w:sz="0" w:space="0" w:color="auto"/>
      </w:divBdr>
    </w:div>
    <w:div w:id="342319981">
      <w:bodyDiv w:val="1"/>
      <w:marLeft w:val="0"/>
      <w:marRight w:val="0"/>
      <w:marTop w:val="0"/>
      <w:marBottom w:val="0"/>
      <w:divBdr>
        <w:top w:val="none" w:sz="0" w:space="0" w:color="auto"/>
        <w:left w:val="none" w:sz="0" w:space="0" w:color="auto"/>
        <w:bottom w:val="none" w:sz="0" w:space="0" w:color="auto"/>
        <w:right w:val="none" w:sz="0" w:space="0" w:color="auto"/>
      </w:divBdr>
    </w:div>
    <w:div w:id="393242273">
      <w:bodyDiv w:val="1"/>
      <w:marLeft w:val="0"/>
      <w:marRight w:val="0"/>
      <w:marTop w:val="0"/>
      <w:marBottom w:val="0"/>
      <w:divBdr>
        <w:top w:val="none" w:sz="0" w:space="0" w:color="auto"/>
        <w:left w:val="none" w:sz="0" w:space="0" w:color="auto"/>
        <w:bottom w:val="none" w:sz="0" w:space="0" w:color="auto"/>
        <w:right w:val="none" w:sz="0" w:space="0" w:color="auto"/>
      </w:divBdr>
    </w:div>
    <w:div w:id="435904769">
      <w:bodyDiv w:val="1"/>
      <w:marLeft w:val="0"/>
      <w:marRight w:val="0"/>
      <w:marTop w:val="0"/>
      <w:marBottom w:val="0"/>
      <w:divBdr>
        <w:top w:val="none" w:sz="0" w:space="0" w:color="auto"/>
        <w:left w:val="none" w:sz="0" w:space="0" w:color="auto"/>
        <w:bottom w:val="none" w:sz="0" w:space="0" w:color="auto"/>
        <w:right w:val="none" w:sz="0" w:space="0" w:color="auto"/>
      </w:divBdr>
    </w:div>
    <w:div w:id="437874534">
      <w:bodyDiv w:val="1"/>
      <w:marLeft w:val="0"/>
      <w:marRight w:val="0"/>
      <w:marTop w:val="0"/>
      <w:marBottom w:val="0"/>
      <w:divBdr>
        <w:top w:val="none" w:sz="0" w:space="0" w:color="auto"/>
        <w:left w:val="none" w:sz="0" w:space="0" w:color="auto"/>
        <w:bottom w:val="none" w:sz="0" w:space="0" w:color="auto"/>
        <w:right w:val="none" w:sz="0" w:space="0" w:color="auto"/>
      </w:divBdr>
    </w:div>
    <w:div w:id="468014643">
      <w:bodyDiv w:val="1"/>
      <w:marLeft w:val="0"/>
      <w:marRight w:val="0"/>
      <w:marTop w:val="0"/>
      <w:marBottom w:val="0"/>
      <w:divBdr>
        <w:top w:val="none" w:sz="0" w:space="0" w:color="auto"/>
        <w:left w:val="none" w:sz="0" w:space="0" w:color="auto"/>
        <w:bottom w:val="none" w:sz="0" w:space="0" w:color="auto"/>
        <w:right w:val="none" w:sz="0" w:space="0" w:color="auto"/>
      </w:divBdr>
    </w:div>
    <w:div w:id="484516218">
      <w:bodyDiv w:val="1"/>
      <w:marLeft w:val="0"/>
      <w:marRight w:val="0"/>
      <w:marTop w:val="0"/>
      <w:marBottom w:val="0"/>
      <w:divBdr>
        <w:top w:val="none" w:sz="0" w:space="0" w:color="auto"/>
        <w:left w:val="none" w:sz="0" w:space="0" w:color="auto"/>
        <w:bottom w:val="none" w:sz="0" w:space="0" w:color="auto"/>
        <w:right w:val="none" w:sz="0" w:space="0" w:color="auto"/>
      </w:divBdr>
    </w:div>
    <w:div w:id="490371275">
      <w:bodyDiv w:val="1"/>
      <w:marLeft w:val="0"/>
      <w:marRight w:val="0"/>
      <w:marTop w:val="0"/>
      <w:marBottom w:val="0"/>
      <w:divBdr>
        <w:top w:val="none" w:sz="0" w:space="0" w:color="auto"/>
        <w:left w:val="none" w:sz="0" w:space="0" w:color="auto"/>
        <w:bottom w:val="none" w:sz="0" w:space="0" w:color="auto"/>
        <w:right w:val="none" w:sz="0" w:space="0" w:color="auto"/>
      </w:divBdr>
    </w:div>
    <w:div w:id="511913545">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658116946">
      <w:bodyDiv w:val="1"/>
      <w:marLeft w:val="0"/>
      <w:marRight w:val="0"/>
      <w:marTop w:val="0"/>
      <w:marBottom w:val="0"/>
      <w:divBdr>
        <w:top w:val="none" w:sz="0" w:space="0" w:color="auto"/>
        <w:left w:val="none" w:sz="0" w:space="0" w:color="auto"/>
        <w:bottom w:val="none" w:sz="0" w:space="0" w:color="auto"/>
        <w:right w:val="none" w:sz="0" w:space="0" w:color="auto"/>
      </w:divBdr>
    </w:div>
    <w:div w:id="737559079">
      <w:bodyDiv w:val="1"/>
      <w:marLeft w:val="0"/>
      <w:marRight w:val="0"/>
      <w:marTop w:val="0"/>
      <w:marBottom w:val="0"/>
      <w:divBdr>
        <w:top w:val="none" w:sz="0" w:space="0" w:color="auto"/>
        <w:left w:val="none" w:sz="0" w:space="0" w:color="auto"/>
        <w:bottom w:val="none" w:sz="0" w:space="0" w:color="auto"/>
        <w:right w:val="none" w:sz="0" w:space="0" w:color="auto"/>
      </w:divBdr>
    </w:div>
    <w:div w:id="807821201">
      <w:bodyDiv w:val="1"/>
      <w:marLeft w:val="0"/>
      <w:marRight w:val="0"/>
      <w:marTop w:val="0"/>
      <w:marBottom w:val="0"/>
      <w:divBdr>
        <w:top w:val="none" w:sz="0" w:space="0" w:color="auto"/>
        <w:left w:val="none" w:sz="0" w:space="0" w:color="auto"/>
        <w:bottom w:val="none" w:sz="0" w:space="0" w:color="auto"/>
        <w:right w:val="none" w:sz="0" w:space="0" w:color="auto"/>
      </w:divBdr>
    </w:div>
    <w:div w:id="846016110">
      <w:bodyDiv w:val="1"/>
      <w:marLeft w:val="0"/>
      <w:marRight w:val="0"/>
      <w:marTop w:val="0"/>
      <w:marBottom w:val="0"/>
      <w:divBdr>
        <w:top w:val="none" w:sz="0" w:space="0" w:color="auto"/>
        <w:left w:val="none" w:sz="0" w:space="0" w:color="auto"/>
        <w:bottom w:val="none" w:sz="0" w:space="0" w:color="auto"/>
        <w:right w:val="none" w:sz="0" w:space="0" w:color="auto"/>
      </w:divBdr>
    </w:div>
    <w:div w:id="857888740">
      <w:bodyDiv w:val="1"/>
      <w:marLeft w:val="0"/>
      <w:marRight w:val="0"/>
      <w:marTop w:val="0"/>
      <w:marBottom w:val="0"/>
      <w:divBdr>
        <w:top w:val="none" w:sz="0" w:space="0" w:color="auto"/>
        <w:left w:val="none" w:sz="0" w:space="0" w:color="auto"/>
        <w:bottom w:val="none" w:sz="0" w:space="0" w:color="auto"/>
        <w:right w:val="none" w:sz="0" w:space="0" w:color="auto"/>
      </w:divBdr>
    </w:div>
    <w:div w:id="888960561">
      <w:bodyDiv w:val="1"/>
      <w:marLeft w:val="0"/>
      <w:marRight w:val="0"/>
      <w:marTop w:val="0"/>
      <w:marBottom w:val="0"/>
      <w:divBdr>
        <w:top w:val="none" w:sz="0" w:space="0" w:color="auto"/>
        <w:left w:val="none" w:sz="0" w:space="0" w:color="auto"/>
        <w:bottom w:val="none" w:sz="0" w:space="0" w:color="auto"/>
        <w:right w:val="none" w:sz="0" w:space="0" w:color="auto"/>
      </w:divBdr>
    </w:div>
    <w:div w:id="895360246">
      <w:bodyDiv w:val="1"/>
      <w:marLeft w:val="0"/>
      <w:marRight w:val="0"/>
      <w:marTop w:val="0"/>
      <w:marBottom w:val="0"/>
      <w:divBdr>
        <w:top w:val="none" w:sz="0" w:space="0" w:color="auto"/>
        <w:left w:val="none" w:sz="0" w:space="0" w:color="auto"/>
        <w:bottom w:val="none" w:sz="0" w:space="0" w:color="auto"/>
        <w:right w:val="none" w:sz="0" w:space="0" w:color="auto"/>
      </w:divBdr>
    </w:div>
    <w:div w:id="957830832">
      <w:bodyDiv w:val="1"/>
      <w:marLeft w:val="0"/>
      <w:marRight w:val="0"/>
      <w:marTop w:val="0"/>
      <w:marBottom w:val="0"/>
      <w:divBdr>
        <w:top w:val="none" w:sz="0" w:space="0" w:color="auto"/>
        <w:left w:val="none" w:sz="0" w:space="0" w:color="auto"/>
        <w:bottom w:val="none" w:sz="0" w:space="0" w:color="auto"/>
        <w:right w:val="none" w:sz="0" w:space="0" w:color="auto"/>
      </w:divBdr>
    </w:div>
    <w:div w:id="990333935">
      <w:bodyDiv w:val="1"/>
      <w:marLeft w:val="0"/>
      <w:marRight w:val="0"/>
      <w:marTop w:val="0"/>
      <w:marBottom w:val="0"/>
      <w:divBdr>
        <w:top w:val="none" w:sz="0" w:space="0" w:color="auto"/>
        <w:left w:val="none" w:sz="0" w:space="0" w:color="auto"/>
        <w:bottom w:val="none" w:sz="0" w:space="0" w:color="auto"/>
        <w:right w:val="none" w:sz="0" w:space="0" w:color="auto"/>
      </w:divBdr>
    </w:div>
    <w:div w:id="1026713277">
      <w:bodyDiv w:val="1"/>
      <w:marLeft w:val="0"/>
      <w:marRight w:val="0"/>
      <w:marTop w:val="0"/>
      <w:marBottom w:val="0"/>
      <w:divBdr>
        <w:top w:val="none" w:sz="0" w:space="0" w:color="auto"/>
        <w:left w:val="none" w:sz="0" w:space="0" w:color="auto"/>
        <w:bottom w:val="none" w:sz="0" w:space="0" w:color="auto"/>
        <w:right w:val="none" w:sz="0" w:space="0" w:color="auto"/>
      </w:divBdr>
    </w:div>
    <w:div w:id="1038817330">
      <w:bodyDiv w:val="1"/>
      <w:marLeft w:val="0"/>
      <w:marRight w:val="0"/>
      <w:marTop w:val="0"/>
      <w:marBottom w:val="0"/>
      <w:divBdr>
        <w:top w:val="none" w:sz="0" w:space="0" w:color="auto"/>
        <w:left w:val="none" w:sz="0" w:space="0" w:color="auto"/>
        <w:bottom w:val="none" w:sz="0" w:space="0" w:color="auto"/>
        <w:right w:val="none" w:sz="0" w:space="0" w:color="auto"/>
      </w:divBdr>
    </w:div>
    <w:div w:id="1077559452">
      <w:bodyDiv w:val="1"/>
      <w:marLeft w:val="0"/>
      <w:marRight w:val="0"/>
      <w:marTop w:val="0"/>
      <w:marBottom w:val="0"/>
      <w:divBdr>
        <w:top w:val="none" w:sz="0" w:space="0" w:color="auto"/>
        <w:left w:val="none" w:sz="0" w:space="0" w:color="auto"/>
        <w:bottom w:val="none" w:sz="0" w:space="0" w:color="auto"/>
        <w:right w:val="none" w:sz="0" w:space="0" w:color="auto"/>
      </w:divBdr>
    </w:div>
    <w:div w:id="1241870470">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379934818">
      <w:bodyDiv w:val="1"/>
      <w:marLeft w:val="0"/>
      <w:marRight w:val="0"/>
      <w:marTop w:val="0"/>
      <w:marBottom w:val="0"/>
      <w:divBdr>
        <w:top w:val="none" w:sz="0" w:space="0" w:color="auto"/>
        <w:left w:val="none" w:sz="0" w:space="0" w:color="auto"/>
        <w:bottom w:val="none" w:sz="0" w:space="0" w:color="auto"/>
        <w:right w:val="none" w:sz="0" w:space="0" w:color="auto"/>
      </w:divBdr>
    </w:div>
    <w:div w:id="1422943535">
      <w:bodyDiv w:val="1"/>
      <w:marLeft w:val="0"/>
      <w:marRight w:val="0"/>
      <w:marTop w:val="0"/>
      <w:marBottom w:val="0"/>
      <w:divBdr>
        <w:top w:val="none" w:sz="0" w:space="0" w:color="auto"/>
        <w:left w:val="none" w:sz="0" w:space="0" w:color="auto"/>
        <w:bottom w:val="none" w:sz="0" w:space="0" w:color="auto"/>
        <w:right w:val="none" w:sz="0" w:space="0" w:color="auto"/>
      </w:divBdr>
    </w:div>
    <w:div w:id="1455096137">
      <w:bodyDiv w:val="1"/>
      <w:marLeft w:val="0"/>
      <w:marRight w:val="0"/>
      <w:marTop w:val="0"/>
      <w:marBottom w:val="0"/>
      <w:divBdr>
        <w:top w:val="none" w:sz="0" w:space="0" w:color="auto"/>
        <w:left w:val="none" w:sz="0" w:space="0" w:color="auto"/>
        <w:bottom w:val="none" w:sz="0" w:space="0" w:color="auto"/>
        <w:right w:val="none" w:sz="0" w:space="0" w:color="auto"/>
      </w:divBdr>
    </w:div>
    <w:div w:id="1581403742">
      <w:bodyDiv w:val="1"/>
      <w:marLeft w:val="0"/>
      <w:marRight w:val="0"/>
      <w:marTop w:val="0"/>
      <w:marBottom w:val="0"/>
      <w:divBdr>
        <w:top w:val="none" w:sz="0" w:space="0" w:color="auto"/>
        <w:left w:val="none" w:sz="0" w:space="0" w:color="auto"/>
        <w:bottom w:val="none" w:sz="0" w:space="0" w:color="auto"/>
        <w:right w:val="none" w:sz="0" w:space="0" w:color="auto"/>
      </w:divBdr>
    </w:div>
    <w:div w:id="1649630039">
      <w:bodyDiv w:val="1"/>
      <w:marLeft w:val="0"/>
      <w:marRight w:val="0"/>
      <w:marTop w:val="0"/>
      <w:marBottom w:val="0"/>
      <w:divBdr>
        <w:top w:val="none" w:sz="0" w:space="0" w:color="auto"/>
        <w:left w:val="none" w:sz="0" w:space="0" w:color="auto"/>
        <w:bottom w:val="none" w:sz="0" w:space="0" w:color="auto"/>
        <w:right w:val="none" w:sz="0" w:space="0" w:color="auto"/>
      </w:divBdr>
    </w:div>
    <w:div w:id="1916547400">
      <w:bodyDiv w:val="1"/>
      <w:marLeft w:val="0"/>
      <w:marRight w:val="0"/>
      <w:marTop w:val="0"/>
      <w:marBottom w:val="0"/>
      <w:divBdr>
        <w:top w:val="none" w:sz="0" w:space="0" w:color="auto"/>
        <w:left w:val="none" w:sz="0" w:space="0" w:color="auto"/>
        <w:bottom w:val="none" w:sz="0" w:space="0" w:color="auto"/>
        <w:right w:val="none" w:sz="0" w:space="0" w:color="auto"/>
      </w:divBdr>
    </w:div>
    <w:div w:id="1942831000">
      <w:bodyDiv w:val="1"/>
      <w:marLeft w:val="0"/>
      <w:marRight w:val="0"/>
      <w:marTop w:val="0"/>
      <w:marBottom w:val="0"/>
      <w:divBdr>
        <w:top w:val="none" w:sz="0" w:space="0" w:color="auto"/>
        <w:left w:val="none" w:sz="0" w:space="0" w:color="auto"/>
        <w:bottom w:val="none" w:sz="0" w:space="0" w:color="auto"/>
        <w:right w:val="none" w:sz="0" w:space="0" w:color="auto"/>
      </w:divBdr>
    </w:div>
    <w:div w:id="2002348689">
      <w:bodyDiv w:val="1"/>
      <w:marLeft w:val="0"/>
      <w:marRight w:val="0"/>
      <w:marTop w:val="0"/>
      <w:marBottom w:val="0"/>
      <w:divBdr>
        <w:top w:val="none" w:sz="0" w:space="0" w:color="auto"/>
        <w:left w:val="none" w:sz="0" w:space="0" w:color="auto"/>
        <w:bottom w:val="none" w:sz="0" w:space="0" w:color="auto"/>
        <w:right w:val="none" w:sz="0" w:space="0" w:color="auto"/>
      </w:divBdr>
    </w:div>
    <w:div w:id="2010712286">
      <w:bodyDiv w:val="1"/>
      <w:marLeft w:val="0"/>
      <w:marRight w:val="0"/>
      <w:marTop w:val="0"/>
      <w:marBottom w:val="0"/>
      <w:divBdr>
        <w:top w:val="none" w:sz="0" w:space="0" w:color="auto"/>
        <w:left w:val="none" w:sz="0" w:space="0" w:color="auto"/>
        <w:bottom w:val="none" w:sz="0" w:space="0" w:color="auto"/>
        <w:right w:val="none" w:sz="0" w:space="0" w:color="auto"/>
      </w:divBdr>
    </w:div>
    <w:div w:id="2034456964">
      <w:bodyDiv w:val="1"/>
      <w:marLeft w:val="0"/>
      <w:marRight w:val="0"/>
      <w:marTop w:val="0"/>
      <w:marBottom w:val="0"/>
      <w:divBdr>
        <w:top w:val="none" w:sz="0" w:space="0" w:color="auto"/>
        <w:left w:val="none" w:sz="0" w:space="0" w:color="auto"/>
        <w:bottom w:val="none" w:sz="0" w:space="0" w:color="auto"/>
        <w:right w:val="none" w:sz="0" w:space="0" w:color="auto"/>
      </w:divBdr>
    </w:div>
    <w:div w:id="2038698230">
      <w:bodyDiv w:val="1"/>
      <w:marLeft w:val="0"/>
      <w:marRight w:val="0"/>
      <w:marTop w:val="0"/>
      <w:marBottom w:val="0"/>
      <w:divBdr>
        <w:top w:val="none" w:sz="0" w:space="0" w:color="auto"/>
        <w:left w:val="none" w:sz="0" w:space="0" w:color="auto"/>
        <w:bottom w:val="none" w:sz="0" w:space="0" w:color="auto"/>
        <w:right w:val="none" w:sz="0" w:space="0" w:color="auto"/>
      </w:divBdr>
    </w:div>
    <w:div w:id="2048136937">
      <w:bodyDiv w:val="1"/>
      <w:marLeft w:val="0"/>
      <w:marRight w:val="0"/>
      <w:marTop w:val="0"/>
      <w:marBottom w:val="0"/>
      <w:divBdr>
        <w:top w:val="none" w:sz="0" w:space="0" w:color="auto"/>
        <w:left w:val="none" w:sz="0" w:space="0" w:color="auto"/>
        <w:bottom w:val="none" w:sz="0" w:space="0" w:color="auto"/>
        <w:right w:val="none" w:sz="0" w:space="0" w:color="auto"/>
      </w:divBdr>
    </w:div>
    <w:div w:id="2093090078">
      <w:bodyDiv w:val="1"/>
      <w:marLeft w:val="0"/>
      <w:marRight w:val="0"/>
      <w:marTop w:val="0"/>
      <w:marBottom w:val="0"/>
      <w:divBdr>
        <w:top w:val="none" w:sz="0" w:space="0" w:color="auto"/>
        <w:left w:val="none" w:sz="0" w:space="0" w:color="auto"/>
        <w:bottom w:val="none" w:sz="0" w:space="0" w:color="auto"/>
        <w:right w:val="none" w:sz="0" w:space="0" w:color="auto"/>
      </w:divBdr>
    </w:div>
    <w:div w:id="214357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AD559-01D2-466C-8986-178DDFFC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31</Pages>
  <Words>14789</Words>
  <Characters>81342</Characters>
  <Application>Microsoft Office Word</Application>
  <DocSecurity>0</DocSecurity>
  <Lines>677</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14</cp:revision>
  <cp:lastPrinted>2015-08-23T20:15:00Z</cp:lastPrinted>
  <dcterms:created xsi:type="dcterms:W3CDTF">2017-04-06T15:09:00Z</dcterms:created>
  <dcterms:modified xsi:type="dcterms:W3CDTF">2017-04-24T18:23:00Z</dcterms:modified>
</cp:coreProperties>
</file>