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B6FB7" w14:textId="77777777" w:rsidR="002D6F3F" w:rsidRPr="00927DFC" w:rsidRDefault="00751214" w:rsidP="00C10858">
      <w:pPr>
        <w:pStyle w:val="Ttulo1"/>
        <w:rPr>
          <w:color w:val="000000" w:themeColor="text1"/>
        </w:rPr>
      </w:pPr>
      <w:bookmarkStart w:id="0" w:name="_GoBack"/>
      <w:r w:rsidRPr="00927DFC">
        <w:rPr>
          <w:color w:val="000000" w:themeColor="text1"/>
        </w:rPr>
        <w:t>RESOLUCIÓN</w:t>
      </w:r>
      <w:r w:rsidR="00656484" w:rsidRPr="00927DFC">
        <w:rPr>
          <w:color w:val="000000" w:themeColor="text1"/>
        </w:rPr>
        <w:t xml:space="preserve"> </w:t>
      </w:r>
      <w:r w:rsidR="00DF6B51" w:rsidRPr="00927DFC">
        <w:rPr>
          <w:color w:val="000000" w:themeColor="text1"/>
        </w:rPr>
        <w:t>MEDIANTE LA CUAL EL PLENO DEL INSTIT</w:t>
      </w:r>
      <w:r w:rsidR="00691C40" w:rsidRPr="00927DFC">
        <w:rPr>
          <w:color w:val="000000" w:themeColor="text1"/>
        </w:rPr>
        <w:t xml:space="preserve">UTO FEDERAL DE TELECOMUNICACIONES </w:t>
      </w:r>
      <w:r w:rsidRPr="00927DFC">
        <w:rPr>
          <w:color w:val="000000" w:themeColor="text1"/>
        </w:rPr>
        <w:t xml:space="preserve">DETERMINA Y HACE CONSTAR </w:t>
      </w:r>
      <w:r w:rsidR="00691C40" w:rsidRPr="00927DFC">
        <w:rPr>
          <w:color w:val="000000" w:themeColor="text1"/>
        </w:rPr>
        <w:t xml:space="preserve">EL FALLO A FAVOR DEL PARTICIPANTE </w:t>
      </w:r>
      <w:r w:rsidR="00CD6905" w:rsidRPr="00927DFC">
        <w:rPr>
          <w:color w:val="000000" w:themeColor="text1"/>
        </w:rPr>
        <w:t xml:space="preserve">CONSORCIO INTEGRADO POR </w:t>
      </w:r>
      <w:r w:rsidR="00CD6905" w:rsidRPr="00927DFC">
        <w:rPr>
          <w:noProof/>
          <w:color w:val="000000" w:themeColor="text1"/>
        </w:rPr>
        <w:t>LEOPOLDO GONZÁLEZ MAYA, CRISTOPHER GONZÁLEZ CRUZ Y LEOPOLDO NEFTALÍ GONZÁLEZ CRUZ</w:t>
      </w:r>
      <w:r w:rsidR="0095117D" w:rsidRPr="00927DFC">
        <w:rPr>
          <w:color w:val="000000" w:themeColor="text1"/>
        </w:rPr>
        <w:t xml:space="preserve"> CON NÚMERO DE FOLIO ÚNICO </w:t>
      </w:r>
      <w:r w:rsidR="00CD6905" w:rsidRPr="00927DFC">
        <w:rPr>
          <w:noProof/>
          <w:color w:val="000000" w:themeColor="text1"/>
        </w:rPr>
        <w:t>GL-002042</w:t>
      </w:r>
      <w:r w:rsidR="0095117D" w:rsidRPr="00927DFC">
        <w:rPr>
          <w:color w:val="000000" w:themeColor="text1"/>
        </w:rPr>
        <w:t xml:space="preserve">, RESPECTO DEL LOTE </w:t>
      </w:r>
      <w:r w:rsidR="00CD6905" w:rsidRPr="00927DFC">
        <w:rPr>
          <w:noProof/>
          <w:color w:val="000000" w:themeColor="text1"/>
        </w:rPr>
        <w:t>81</w:t>
      </w:r>
      <w:r w:rsidR="00CD6905" w:rsidRPr="00927DFC">
        <w:rPr>
          <w:color w:val="000000" w:themeColor="text1"/>
        </w:rPr>
        <w:t xml:space="preserve"> DE LA BANDA FM</w:t>
      </w:r>
      <w:r w:rsidR="0095117D" w:rsidRPr="00927DFC">
        <w:rPr>
          <w:color w:val="000000" w:themeColor="text1"/>
        </w:rPr>
        <w:t>, EN</w:t>
      </w:r>
      <w:r w:rsidR="009E3601" w:rsidRPr="00927DFC">
        <w:rPr>
          <w:color w:val="000000" w:themeColor="text1"/>
        </w:rPr>
        <w:t xml:space="preserve"> LA</w:t>
      </w:r>
      <w:r w:rsidR="008B3A78" w:rsidRPr="00927DFC">
        <w:rPr>
          <w:color w:val="000000" w:themeColor="text1"/>
        </w:rPr>
        <w:t xml:space="preserve"> </w:t>
      </w:r>
      <w:r w:rsidR="00226325" w:rsidRPr="00927DFC">
        <w:rPr>
          <w:color w:val="000000" w:themeColor="text1"/>
        </w:rPr>
        <w:t xml:space="preserve">LICITACIÓN PÚBLICA PARA CONCESIONAR EL USO, APROVECHAMIENTO Y EXPLOTACIÓN COMERCIAL </w:t>
      </w:r>
      <w:r w:rsidR="00945587" w:rsidRPr="00927DFC">
        <w:rPr>
          <w:color w:val="000000" w:themeColor="text1"/>
        </w:rPr>
        <w:t xml:space="preserve">DE 191 FRECUENCIAS EN EL SEGMENTO DE 88 A 106 </w:t>
      </w:r>
      <w:r w:rsidR="00226325" w:rsidRPr="00927DFC">
        <w:rPr>
          <w:color w:val="000000" w:themeColor="text1"/>
        </w:rPr>
        <w:t>MHz DE</w:t>
      </w:r>
      <w:r w:rsidR="00945587" w:rsidRPr="00927DFC">
        <w:rPr>
          <w:color w:val="000000" w:themeColor="text1"/>
        </w:rPr>
        <w:t xml:space="preserve"> LA BANDA DE FRECUENCIA MODULADA Y DE 66 FRECUENCIAS EN EL SEGMENTO DE 535 A 1605 kHz DE LA BANDA DE AMPLITUD MODULADA, PARA LA PRESTACIÓN DEL SERVICIO PÚBLICO DE RADIODIFUSIÓN SONORA </w:t>
      </w:r>
      <w:r w:rsidR="00183790" w:rsidRPr="00927DFC">
        <w:rPr>
          <w:color w:val="000000" w:themeColor="text1"/>
        </w:rPr>
        <w:t>(LICITACIÓN No. IFT-4</w:t>
      </w:r>
      <w:r w:rsidR="00226325" w:rsidRPr="00927DFC">
        <w:rPr>
          <w:color w:val="000000" w:themeColor="text1"/>
        </w:rPr>
        <w:t>)</w:t>
      </w:r>
      <w:r w:rsidR="00351CD3" w:rsidRPr="00927DFC">
        <w:rPr>
          <w:color w:val="000000" w:themeColor="text1"/>
        </w:rPr>
        <w:t>.</w:t>
      </w:r>
    </w:p>
    <w:bookmarkEnd w:id="0"/>
    <w:p w14:paraId="4A9A7D8A" w14:textId="77777777" w:rsidR="002D6F3F" w:rsidRPr="002D6F3F" w:rsidRDefault="005C4A99" w:rsidP="00C10858">
      <w:pPr>
        <w:pBdr>
          <w:top w:val="nil"/>
          <w:left w:val="nil"/>
          <w:bottom w:val="nil"/>
          <w:right w:val="nil"/>
          <w:between w:val="nil"/>
          <w:bar w:val="nil"/>
        </w:pBdr>
        <w:spacing w:line="240" w:lineRule="auto"/>
        <w:contextualSpacing/>
        <w:jc w:val="center"/>
        <w:outlineLvl w:val="1"/>
        <w:rPr>
          <w:rFonts w:ascii="ITC Avant Garde" w:eastAsia="Times New Roman" w:hAnsi="ITC Avant Garde" w:cs="Times"/>
          <w:b/>
          <w:lang w:eastAsia="es-MX"/>
        </w:rPr>
      </w:pPr>
      <w:r w:rsidRPr="002D6F3F">
        <w:rPr>
          <w:rFonts w:ascii="ITC Avant Garde" w:eastAsia="Times New Roman" w:hAnsi="ITC Avant Garde" w:cs="Times"/>
          <w:b/>
          <w:lang w:eastAsia="es-MX"/>
        </w:rPr>
        <w:t>ANTECEDENTES</w:t>
      </w:r>
    </w:p>
    <w:p w14:paraId="55165118" w14:textId="77777777" w:rsidR="002D6F3F" w:rsidRDefault="00183790" w:rsidP="002D6F3F">
      <w:pPr>
        <w:pStyle w:val="Prrafodelista"/>
        <w:numPr>
          <w:ilvl w:val="0"/>
          <w:numId w:val="1"/>
        </w:numPr>
        <w:suppressAutoHyphens/>
        <w:spacing w:after="200"/>
        <w:ind w:right="49"/>
        <w:contextualSpacing/>
        <w:jc w:val="both"/>
        <w:rPr>
          <w:rFonts w:ascii="ITC Avant Garde" w:hAnsi="ITC Avant Garde"/>
          <w:kern w:val="1"/>
          <w:sz w:val="22"/>
          <w:szCs w:val="22"/>
          <w:lang w:eastAsia="ar-SA"/>
        </w:rPr>
      </w:pPr>
      <w:r w:rsidRPr="002D6F3F">
        <w:rPr>
          <w:rFonts w:ascii="ITC Avant Garde" w:hAnsi="ITC Avant Garde"/>
          <w:kern w:val="1"/>
          <w:sz w:val="22"/>
          <w:szCs w:val="22"/>
          <w:lang w:eastAsia="ar-SA"/>
        </w:rPr>
        <w:t>El 11 de junio de 2013 se publicó en el Diario Oficial de la Federación (DOF</w:t>
      </w:r>
      <w:r w:rsidR="009D7B61" w:rsidRPr="002D6F3F">
        <w:rPr>
          <w:rFonts w:ascii="ITC Avant Garde" w:hAnsi="ITC Avant Garde"/>
          <w:kern w:val="1"/>
          <w:sz w:val="22"/>
          <w:szCs w:val="22"/>
          <w:lang w:eastAsia="ar-SA"/>
        </w:rPr>
        <w:t>)</w:t>
      </w:r>
      <w:r w:rsidRPr="002D6F3F">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Federal de Telecomunicaciones (Instituto) como un órgano autónomo, con personalidad jurídica y patrimonio propio.</w:t>
      </w:r>
    </w:p>
    <w:p w14:paraId="7497ECF7" w14:textId="77777777" w:rsidR="00895559" w:rsidRPr="002D6F3F" w:rsidRDefault="00895559" w:rsidP="00895559">
      <w:pPr>
        <w:pStyle w:val="Prrafodelista"/>
        <w:suppressAutoHyphens/>
        <w:spacing w:after="200"/>
        <w:ind w:left="720" w:right="49"/>
        <w:contextualSpacing/>
        <w:jc w:val="both"/>
        <w:rPr>
          <w:rFonts w:ascii="ITC Avant Garde" w:hAnsi="ITC Avant Garde"/>
          <w:kern w:val="1"/>
          <w:sz w:val="22"/>
          <w:szCs w:val="22"/>
          <w:lang w:eastAsia="ar-SA"/>
        </w:rPr>
      </w:pPr>
    </w:p>
    <w:p w14:paraId="1917FA17" w14:textId="77777777" w:rsidR="002D6F3F" w:rsidRDefault="00183790" w:rsidP="002D6F3F">
      <w:pPr>
        <w:pStyle w:val="Prrafodelista"/>
        <w:numPr>
          <w:ilvl w:val="0"/>
          <w:numId w:val="1"/>
        </w:numPr>
        <w:suppressAutoHyphens/>
        <w:spacing w:after="200"/>
        <w:ind w:right="49"/>
        <w:contextualSpacing/>
        <w:jc w:val="both"/>
        <w:rPr>
          <w:rFonts w:ascii="ITC Avant Garde" w:hAnsi="ITC Avant Garde"/>
          <w:kern w:val="1"/>
          <w:sz w:val="22"/>
          <w:szCs w:val="22"/>
          <w:lang w:eastAsia="ar-SA"/>
        </w:rPr>
      </w:pPr>
      <w:r w:rsidRPr="002D6F3F">
        <w:rPr>
          <w:rFonts w:ascii="ITC Avant Garde" w:hAnsi="ITC Avant Garde"/>
          <w:kern w:val="1"/>
          <w:sz w:val="22"/>
          <w:szCs w:val="22"/>
          <w:lang w:eastAsia="ar-SA"/>
        </w:rPr>
        <w:t xml:space="preserve">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w:t>
      </w:r>
      <w:r w:rsidR="00D74797" w:rsidRPr="002D6F3F">
        <w:rPr>
          <w:rFonts w:ascii="ITC Avant Garde" w:hAnsi="ITC Avant Garde"/>
          <w:kern w:val="1"/>
          <w:sz w:val="22"/>
          <w:szCs w:val="22"/>
          <w:lang w:eastAsia="ar-SA"/>
        </w:rPr>
        <w:t>entrando e</w:t>
      </w:r>
      <w:r w:rsidRPr="002D6F3F">
        <w:rPr>
          <w:rFonts w:ascii="ITC Avant Garde" w:hAnsi="ITC Avant Garde"/>
          <w:kern w:val="1"/>
          <w:sz w:val="22"/>
          <w:szCs w:val="22"/>
          <w:lang w:eastAsia="ar-SA"/>
        </w:rPr>
        <w:t>n vigor</w:t>
      </w:r>
      <w:r w:rsidR="00751214" w:rsidRPr="002D6F3F">
        <w:rPr>
          <w:rFonts w:ascii="ITC Avant Garde" w:hAnsi="ITC Avant Garde"/>
          <w:kern w:val="1"/>
          <w:sz w:val="22"/>
          <w:szCs w:val="22"/>
          <w:lang w:eastAsia="ar-SA"/>
        </w:rPr>
        <w:t xml:space="preserve"> </w:t>
      </w:r>
      <w:r w:rsidR="00D74797" w:rsidRPr="002D6F3F">
        <w:rPr>
          <w:rFonts w:ascii="ITC Avant Garde" w:hAnsi="ITC Avant Garde"/>
          <w:kern w:val="1"/>
          <w:sz w:val="22"/>
          <w:szCs w:val="22"/>
          <w:lang w:eastAsia="ar-SA"/>
        </w:rPr>
        <w:t xml:space="preserve">la Ley Federal de Telecomunicaciones y Radiodifusión (Ley) </w:t>
      </w:r>
      <w:r w:rsidRPr="002D6F3F">
        <w:rPr>
          <w:rFonts w:ascii="ITC Avant Garde" w:hAnsi="ITC Avant Garde"/>
          <w:kern w:val="1"/>
          <w:sz w:val="22"/>
          <w:szCs w:val="22"/>
          <w:lang w:eastAsia="ar-SA"/>
        </w:rPr>
        <w:t>el 13 de agosto de 2014.</w:t>
      </w:r>
    </w:p>
    <w:p w14:paraId="33A5A42C" w14:textId="77777777" w:rsidR="00895559" w:rsidRPr="002D6F3F" w:rsidRDefault="00895559" w:rsidP="00895559">
      <w:pPr>
        <w:pStyle w:val="Prrafodelista"/>
        <w:suppressAutoHyphens/>
        <w:spacing w:after="200"/>
        <w:ind w:left="720" w:right="49"/>
        <w:contextualSpacing/>
        <w:jc w:val="both"/>
        <w:rPr>
          <w:rFonts w:ascii="ITC Avant Garde" w:hAnsi="ITC Avant Garde"/>
          <w:kern w:val="1"/>
          <w:sz w:val="22"/>
          <w:szCs w:val="22"/>
          <w:lang w:eastAsia="ar-SA"/>
        </w:rPr>
      </w:pPr>
    </w:p>
    <w:p w14:paraId="4257FEC7" w14:textId="77777777" w:rsidR="002D6F3F" w:rsidRDefault="00183790" w:rsidP="002D6F3F">
      <w:pPr>
        <w:pStyle w:val="Prrafodelista"/>
        <w:numPr>
          <w:ilvl w:val="0"/>
          <w:numId w:val="1"/>
        </w:numPr>
        <w:spacing w:after="200"/>
        <w:ind w:right="49"/>
        <w:contextualSpacing/>
        <w:jc w:val="both"/>
        <w:rPr>
          <w:rFonts w:ascii="ITC Avant Garde" w:eastAsia="Calibri" w:hAnsi="ITC Avant Garde"/>
          <w:sz w:val="22"/>
          <w:szCs w:val="22"/>
          <w:lang w:eastAsia="es-MX"/>
        </w:rPr>
      </w:pPr>
      <w:r w:rsidRPr="002D6F3F">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p>
    <w:p w14:paraId="09A9015B" w14:textId="77777777" w:rsidR="00895559" w:rsidRPr="002D6F3F" w:rsidRDefault="00895559" w:rsidP="00895559">
      <w:pPr>
        <w:pStyle w:val="Prrafodelista"/>
        <w:spacing w:after="200"/>
        <w:ind w:left="720" w:right="49"/>
        <w:contextualSpacing/>
        <w:jc w:val="both"/>
        <w:rPr>
          <w:rFonts w:ascii="ITC Avant Garde" w:eastAsia="Calibri" w:hAnsi="ITC Avant Garde"/>
          <w:sz w:val="22"/>
          <w:szCs w:val="22"/>
          <w:lang w:eastAsia="es-MX"/>
        </w:rPr>
      </w:pPr>
    </w:p>
    <w:p w14:paraId="5C443037" w14:textId="77777777" w:rsidR="002D6F3F" w:rsidRDefault="00183790" w:rsidP="002D6F3F">
      <w:pPr>
        <w:pStyle w:val="Prrafodelista"/>
        <w:numPr>
          <w:ilvl w:val="0"/>
          <w:numId w:val="1"/>
        </w:numPr>
        <w:spacing w:after="200"/>
        <w:ind w:right="49"/>
        <w:contextualSpacing/>
        <w:jc w:val="both"/>
        <w:rPr>
          <w:rFonts w:ascii="ITC Avant Garde" w:eastAsia="Calibri" w:hAnsi="ITC Avant Garde"/>
          <w:sz w:val="22"/>
          <w:szCs w:val="22"/>
          <w:lang w:eastAsia="es-MX"/>
        </w:rPr>
      </w:pPr>
      <w:r w:rsidRPr="002D6F3F">
        <w:rPr>
          <w:rFonts w:ascii="ITC Avant Garde" w:eastAsia="Calibri" w:hAnsi="ITC Avant Garde"/>
          <w:sz w:val="22"/>
          <w:szCs w:val="22"/>
          <w:lang w:eastAsia="es-MX"/>
        </w:rPr>
        <w:t>El 14 de junio de 2016</w:t>
      </w:r>
      <w:r w:rsidR="00A52E59" w:rsidRPr="002D6F3F">
        <w:rPr>
          <w:rFonts w:ascii="ITC Avant Garde" w:eastAsia="Calibri" w:hAnsi="ITC Avant Garde"/>
          <w:sz w:val="22"/>
          <w:szCs w:val="22"/>
          <w:lang w:eastAsia="es-MX"/>
        </w:rPr>
        <w:t>,</w:t>
      </w:r>
      <w:r w:rsidRPr="002D6F3F">
        <w:rPr>
          <w:rFonts w:ascii="ITC Avant Garde" w:eastAsia="Calibri" w:hAnsi="ITC Avant Garde"/>
          <w:sz w:val="22"/>
          <w:szCs w:val="22"/>
          <w:lang w:eastAsia="es-MX"/>
        </w:rPr>
        <w:t xml:space="preserve"> </w:t>
      </w:r>
      <w:r w:rsidR="00A52E59" w:rsidRPr="002D6F3F">
        <w:rPr>
          <w:rFonts w:ascii="ITC Avant Garde" w:eastAsia="Calibri" w:hAnsi="ITC Avant Garde"/>
          <w:sz w:val="22"/>
          <w:szCs w:val="22"/>
          <w:lang w:eastAsia="es-MX"/>
        </w:rPr>
        <w:t>en su XVI Sesión Ordinaria,</w:t>
      </w:r>
      <w:r w:rsidRPr="002D6F3F">
        <w:rPr>
          <w:rFonts w:ascii="ITC Avant Garde" w:eastAsia="Calibri" w:hAnsi="ITC Avant Garde"/>
          <w:sz w:val="22"/>
          <w:szCs w:val="22"/>
          <w:lang w:eastAsia="es-MX"/>
        </w:rPr>
        <w:t xml:space="preserve"> el Pleno del </w:t>
      </w:r>
      <w:r w:rsidR="00120B37" w:rsidRPr="002D6F3F">
        <w:rPr>
          <w:rFonts w:ascii="ITC Avant Garde" w:eastAsia="Calibri" w:hAnsi="ITC Avant Garde"/>
          <w:sz w:val="22"/>
          <w:szCs w:val="22"/>
          <w:lang w:eastAsia="es-MX"/>
        </w:rPr>
        <w:t>Instituto mediante</w:t>
      </w:r>
      <w:r w:rsidRPr="002D6F3F">
        <w:rPr>
          <w:rFonts w:ascii="ITC Avant Garde" w:eastAsia="Calibri" w:hAnsi="ITC Avant Garde"/>
          <w:sz w:val="22"/>
          <w:szCs w:val="22"/>
          <w:lang w:eastAsia="es-MX"/>
        </w:rPr>
        <w:t xml:space="preserv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3C5FAB" w:rsidRPr="002D6F3F">
        <w:rPr>
          <w:rFonts w:ascii="ITC Avant Garde" w:eastAsia="Calibri" w:hAnsi="ITC Avant Garde"/>
          <w:sz w:val="22"/>
          <w:szCs w:val="22"/>
          <w:lang w:eastAsia="es-MX"/>
        </w:rPr>
        <w:t>; asimismo, autoriza el uso de medios electrónicos y la firma electrónica</w:t>
      </w:r>
      <w:r w:rsidR="00576078" w:rsidRPr="002D6F3F">
        <w:rPr>
          <w:rFonts w:ascii="ITC Avant Garde" w:eastAsia="Calibri" w:hAnsi="ITC Avant Garde"/>
          <w:sz w:val="22"/>
          <w:szCs w:val="22"/>
          <w:lang w:eastAsia="es-MX"/>
        </w:rPr>
        <w:t xml:space="preserve"> </w:t>
      </w:r>
      <w:r w:rsidR="003C5FAB" w:rsidRPr="002D6F3F">
        <w:rPr>
          <w:rFonts w:ascii="ITC Avant Garde" w:eastAsia="Calibri" w:hAnsi="ITC Avant Garde"/>
          <w:sz w:val="22"/>
          <w:szCs w:val="22"/>
          <w:lang w:eastAsia="es-MX"/>
        </w:rPr>
        <w:t>del Sistema de Administración Tributaria en el desarrollo del procedimiento licitación</w:t>
      </w:r>
      <w:r w:rsidRPr="002D6F3F">
        <w:rPr>
          <w:rFonts w:ascii="ITC Avant Garde" w:eastAsia="Calibri" w:hAnsi="ITC Avant Garde"/>
          <w:sz w:val="22"/>
          <w:szCs w:val="22"/>
          <w:lang w:eastAsia="es-MX"/>
        </w:rPr>
        <w:t>”.</w:t>
      </w:r>
    </w:p>
    <w:p w14:paraId="01AA9F2C" w14:textId="77777777" w:rsidR="00895559" w:rsidRPr="002D6F3F" w:rsidRDefault="00895559" w:rsidP="00895559">
      <w:pPr>
        <w:pStyle w:val="Prrafodelista"/>
        <w:spacing w:after="200"/>
        <w:ind w:left="720" w:right="49"/>
        <w:contextualSpacing/>
        <w:jc w:val="both"/>
        <w:rPr>
          <w:rFonts w:ascii="ITC Avant Garde" w:eastAsia="Calibri" w:hAnsi="ITC Avant Garde"/>
          <w:sz w:val="22"/>
          <w:szCs w:val="22"/>
          <w:lang w:eastAsia="es-MX"/>
        </w:rPr>
      </w:pPr>
    </w:p>
    <w:p w14:paraId="2E8F3A10" w14:textId="77777777" w:rsidR="002D6F3F" w:rsidRPr="002D6F3F" w:rsidRDefault="00183790" w:rsidP="002D6F3F">
      <w:pPr>
        <w:pStyle w:val="Prrafodelista"/>
        <w:numPr>
          <w:ilvl w:val="0"/>
          <w:numId w:val="1"/>
        </w:numPr>
        <w:spacing w:after="200"/>
        <w:ind w:right="49"/>
        <w:contextualSpacing/>
        <w:jc w:val="both"/>
        <w:rPr>
          <w:rFonts w:ascii="ITC Avant Garde" w:eastAsia="Calibri" w:hAnsi="ITC Avant Garde"/>
          <w:sz w:val="22"/>
          <w:szCs w:val="22"/>
          <w:lang w:eastAsia="es-MX"/>
        </w:rPr>
      </w:pPr>
      <w:r w:rsidRPr="002D6F3F">
        <w:rPr>
          <w:rFonts w:ascii="ITC Avant Garde" w:eastAsia="Calibri" w:hAnsi="ITC Avant Garde"/>
          <w:sz w:val="22"/>
          <w:szCs w:val="22"/>
          <w:lang w:eastAsia="es-MX"/>
        </w:rPr>
        <w:t>El 20 de junio d</w:t>
      </w:r>
      <w:r w:rsidR="00B80B9B" w:rsidRPr="002D6F3F">
        <w:rPr>
          <w:rFonts w:ascii="ITC Avant Garde" w:eastAsia="Calibri" w:hAnsi="ITC Avant Garde"/>
          <w:sz w:val="22"/>
          <w:szCs w:val="22"/>
          <w:lang w:eastAsia="es-MX"/>
        </w:rPr>
        <w:t>e 2016 se publicó en el DOF la c</w:t>
      </w:r>
      <w:r w:rsidRPr="002D6F3F">
        <w:rPr>
          <w:rFonts w:ascii="ITC Avant Garde" w:eastAsia="Calibri" w:hAnsi="ITC Avant Garde"/>
          <w:sz w:val="22"/>
          <w:szCs w:val="22"/>
          <w:lang w:eastAsia="es-MX"/>
        </w:rPr>
        <w:t xml:space="preserve">onvocatoria a la </w:t>
      </w:r>
      <w:r w:rsidR="00B80B9B" w:rsidRPr="002D6F3F">
        <w:rPr>
          <w:rFonts w:ascii="ITC Avant Garde" w:eastAsia="Calibri" w:hAnsi="ITC Avant Garde"/>
          <w:sz w:val="22"/>
          <w:szCs w:val="22"/>
          <w:lang w:eastAsia="es-MX"/>
        </w:rPr>
        <w:t>“</w:t>
      </w:r>
      <w:r w:rsidRPr="002D6F3F">
        <w:rPr>
          <w:rFonts w:ascii="ITC Avant Garde" w:eastAsia="Calibri" w:hAnsi="ITC Avant Garde"/>
          <w:sz w:val="22"/>
          <w:szCs w:val="22"/>
          <w:lang w:eastAsia="es-MX"/>
        </w:rPr>
        <w:t xml:space="preserve">Licitación Pública para concesionar el uso, aprovechamiento y explotación comercial de 191 frecuencias en el segmento de 88 a 106 MHz de la banda de frecuencia modulada y de 66 frecuencias en el segmento de 535 a 1605 kHz de la banda de </w:t>
      </w:r>
      <w:r w:rsidRPr="002D6F3F">
        <w:rPr>
          <w:rFonts w:ascii="ITC Avant Garde" w:eastAsia="Calibri" w:hAnsi="ITC Avant Garde"/>
          <w:sz w:val="22"/>
          <w:szCs w:val="22"/>
          <w:lang w:eastAsia="es-MX"/>
        </w:rPr>
        <w:lastRenderedPageBreak/>
        <w:t>amplitud modulada, para la prestación del servicio público de radiodifusión</w:t>
      </w:r>
      <w:r w:rsidR="00751214" w:rsidRPr="002D6F3F">
        <w:rPr>
          <w:rFonts w:ascii="ITC Avant Garde" w:eastAsia="Calibri" w:hAnsi="ITC Avant Garde"/>
          <w:sz w:val="22"/>
          <w:szCs w:val="22"/>
          <w:lang w:eastAsia="es-MX"/>
        </w:rPr>
        <w:t xml:space="preserve"> sonora (Licitación No. IFT-4)”</w:t>
      </w:r>
      <w:r w:rsidR="00B47D15" w:rsidRPr="002D6F3F">
        <w:rPr>
          <w:rFonts w:ascii="ITC Avant Garde" w:eastAsia="Calibri" w:hAnsi="ITC Avant Garde"/>
          <w:sz w:val="22"/>
          <w:szCs w:val="22"/>
          <w:lang w:eastAsia="es-MX"/>
        </w:rPr>
        <w:t xml:space="preserve"> </w:t>
      </w:r>
      <w:r w:rsidR="00B80B9B" w:rsidRPr="002D6F3F">
        <w:rPr>
          <w:rFonts w:ascii="ITC Avant Garde" w:eastAsia="Calibri" w:hAnsi="ITC Avant Garde"/>
          <w:sz w:val="22"/>
          <w:szCs w:val="22"/>
          <w:lang w:eastAsia="es-MX"/>
        </w:rPr>
        <w:t>(Licitación No. IFT-4)</w:t>
      </w:r>
      <w:r w:rsidR="00751214" w:rsidRPr="002D6F3F">
        <w:rPr>
          <w:rFonts w:ascii="ITC Avant Garde" w:eastAsia="Calibri" w:hAnsi="ITC Avant Garde"/>
          <w:sz w:val="22"/>
          <w:szCs w:val="22"/>
          <w:lang w:eastAsia="es-MX"/>
        </w:rPr>
        <w:t>.</w:t>
      </w:r>
    </w:p>
    <w:p w14:paraId="1EE583EB" w14:textId="77777777" w:rsidR="002D6F3F" w:rsidRDefault="00183790" w:rsidP="002D6F3F">
      <w:pPr>
        <w:pStyle w:val="Prrafodelista"/>
        <w:numPr>
          <w:ilvl w:val="0"/>
          <w:numId w:val="1"/>
        </w:numPr>
        <w:spacing w:after="200"/>
        <w:ind w:right="49"/>
        <w:contextualSpacing/>
        <w:jc w:val="both"/>
        <w:rPr>
          <w:rFonts w:ascii="ITC Avant Garde" w:eastAsia="Calibri" w:hAnsi="ITC Avant Garde"/>
          <w:sz w:val="22"/>
          <w:szCs w:val="22"/>
          <w:lang w:eastAsia="es-MX"/>
        </w:rPr>
      </w:pPr>
      <w:r w:rsidRPr="002D6F3F">
        <w:rPr>
          <w:rFonts w:ascii="ITC Avant Garde" w:eastAsia="Calibri" w:hAnsi="ITC Avant Garde"/>
          <w:sz w:val="22"/>
          <w:szCs w:val="22"/>
          <w:lang w:eastAsia="es-MX"/>
        </w:rPr>
        <w:t>El 20 de junio de 2016 se publicaron en el Portal de Internet del Instituto</w:t>
      </w:r>
      <w:r w:rsidR="00A27ABC" w:rsidRPr="002D6F3F">
        <w:rPr>
          <w:rStyle w:val="Refdenotaalpie"/>
          <w:rFonts w:ascii="ITC Avant Garde" w:eastAsia="Calibri" w:hAnsi="ITC Avant Garde"/>
          <w:sz w:val="22"/>
          <w:szCs w:val="22"/>
          <w:lang w:eastAsia="es-MX"/>
        </w:rPr>
        <w:footnoteReference w:id="2"/>
      </w:r>
      <w:r w:rsidRPr="002D6F3F">
        <w:rPr>
          <w:rFonts w:ascii="ITC Avant Garde" w:eastAsia="Calibri" w:hAnsi="ITC Avant Garde"/>
          <w:sz w:val="22"/>
          <w:szCs w:val="22"/>
          <w:lang w:eastAsia="es-MX"/>
        </w:rPr>
        <w:t xml:space="preserv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025B3FC8" w14:textId="77777777" w:rsidR="00895559" w:rsidRPr="002D6F3F" w:rsidRDefault="00895559" w:rsidP="00895559">
      <w:pPr>
        <w:pStyle w:val="Prrafodelista"/>
        <w:spacing w:after="200"/>
        <w:ind w:left="720" w:right="49"/>
        <w:contextualSpacing/>
        <w:jc w:val="both"/>
        <w:rPr>
          <w:rFonts w:ascii="ITC Avant Garde" w:eastAsia="Calibri" w:hAnsi="ITC Avant Garde"/>
          <w:sz w:val="22"/>
          <w:szCs w:val="22"/>
          <w:lang w:eastAsia="es-MX"/>
        </w:rPr>
      </w:pPr>
    </w:p>
    <w:p w14:paraId="092B0B49" w14:textId="51E2BC36" w:rsidR="002D6F3F" w:rsidRDefault="00183790" w:rsidP="002D6F3F">
      <w:pPr>
        <w:pStyle w:val="Prrafodelista"/>
        <w:numPr>
          <w:ilvl w:val="0"/>
          <w:numId w:val="1"/>
        </w:numPr>
        <w:spacing w:after="200"/>
        <w:ind w:right="49"/>
        <w:contextualSpacing/>
        <w:jc w:val="both"/>
        <w:rPr>
          <w:rFonts w:ascii="ITC Avant Garde" w:eastAsia="Calibri" w:hAnsi="ITC Avant Garde"/>
          <w:sz w:val="22"/>
          <w:szCs w:val="22"/>
          <w:lang w:eastAsia="es-MX"/>
        </w:rPr>
      </w:pPr>
      <w:r w:rsidRPr="002D6F3F">
        <w:rPr>
          <w:rFonts w:ascii="ITC Avant Garde" w:eastAsia="Calibri" w:hAnsi="ITC Avant Garde"/>
          <w:sz w:val="22"/>
          <w:szCs w:val="22"/>
          <w:lang w:eastAsia="es-MX"/>
        </w:rPr>
        <w:t>Del 27 de junio al 29 de julio de 2016,</w:t>
      </w:r>
      <w:r w:rsidR="00532BBE" w:rsidRPr="002D6F3F">
        <w:rPr>
          <w:rFonts w:ascii="ITC Avant Garde" w:eastAsia="Calibri" w:hAnsi="ITC Avant Garde"/>
          <w:sz w:val="22"/>
          <w:szCs w:val="22"/>
          <w:lang w:eastAsia="es-MX"/>
        </w:rPr>
        <w:t xml:space="preserve"> en cumplimiento a lo establecido en el Calendario de Actividades de las Bases</w:t>
      </w:r>
      <w:r w:rsidRPr="002D6F3F">
        <w:rPr>
          <w:rFonts w:ascii="ITC Avant Garde" w:eastAsia="Calibri" w:hAnsi="ITC Avant Garde"/>
          <w:sz w:val="22"/>
          <w:szCs w:val="22"/>
          <w:lang w:eastAsia="es-MX"/>
        </w:rPr>
        <w:t xml:space="preserve">, durante la Primera Etapa: </w:t>
      </w:r>
      <w:r w:rsidR="008352C8" w:rsidRPr="002D6F3F">
        <w:rPr>
          <w:rFonts w:ascii="ITC Avant Garde" w:eastAsia="Calibri" w:hAnsi="ITC Avant Garde"/>
          <w:sz w:val="22"/>
          <w:szCs w:val="22"/>
          <w:lang w:eastAsia="es-MX"/>
        </w:rPr>
        <w:t>“</w:t>
      </w:r>
      <w:r w:rsidRPr="002D6F3F">
        <w:rPr>
          <w:rFonts w:ascii="ITC Avant Garde" w:eastAsia="Calibri" w:hAnsi="ITC Avant Garde"/>
          <w:sz w:val="22"/>
        </w:rPr>
        <w:t>Manifestación de Interés y Entrega de Información y Documentación</w:t>
      </w:r>
      <w:r w:rsidR="008352C8" w:rsidRPr="002D6F3F">
        <w:rPr>
          <w:rFonts w:ascii="ITC Avant Garde" w:eastAsia="Calibri" w:hAnsi="ITC Avant Garde"/>
          <w:sz w:val="22"/>
          <w:szCs w:val="22"/>
          <w:lang w:eastAsia="es-MX"/>
        </w:rPr>
        <w:t>”</w:t>
      </w:r>
      <w:r w:rsidR="00640922" w:rsidRPr="002D6F3F">
        <w:rPr>
          <w:rFonts w:ascii="ITC Avant Garde" w:eastAsia="Calibri" w:hAnsi="ITC Avant Garde"/>
          <w:sz w:val="22"/>
          <w:szCs w:val="22"/>
          <w:lang w:eastAsia="es-MX"/>
        </w:rPr>
        <w:t>,</w:t>
      </w:r>
      <w:r w:rsidRPr="002D6F3F">
        <w:rPr>
          <w:rFonts w:ascii="ITC Avant Garde" w:eastAsia="Calibri" w:hAnsi="ITC Avant Garde"/>
          <w:sz w:val="22"/>
          <w:szCs w:val="22"/>
          <w:lang w:eastAsia="es-MX"/>
        </w:rPr>
        <w:t xml:space="preserve"> se realizaron manifestaciones de interés para participar en la Licitación No. IFT-4 por parte de 421 Interesados, quienes </w:t>
      </w:r>
      <w:r w:rsidR="007E1DE8" w:rsidRPr="002D6F3F">
        <w:rPr>
          <w:rFonts w:ascii="ITC Avant Garde" w:eastAsia="Calibri" w:hAnsi="ITC Avant Garde"/>
          <w:sz w:val="22"/>
          <w:szCs w:val="22"/>
          <w:lang w:eastAsia="es-MX"/>
        </w:rPr>
        <w:t xml:space="preserve">cargaron en </w:t>
      </w:r>
      <w:r w:rsidRPr="002D6F3F">
        <w:rPr>
          <w:rFonts w:ascii="ITC Avant Garde" w:eastAsia="Calibri" w:hAnsi="ITC Avant Garde"/>
          <w:sz w:val="22"/>
          <w:szCs w:val="22"/>
          <w:lang w:eastAsia="es-MX"/>
        </w:rPr>
        <w:t>el Sistema Electrónico de Registro y Presentación de Ofertas (SE</w:t>
      </w:r>
      <w:r w:rsidR="00895559">
        <w:rPr>
          <w:rFonts w:ascii="ITC Avant Garde" w:eastAsia="Calibri" w:hAnsi="ITC Avant Garde"/>
          <w:sz w:val="22"/>
          <w:szCs w:val="22"/>
          <w:lang w:eastAsia="es-MX"/>
        </w:rPr>
        <w:t>RPO) la información solicitada.</w:t>
      </w:r>
    </w:p>
    <w:p w14:paraId="1C8C6A9D" w14:textId="77777777" w:rsidR="00895559" w:rsidRPr="002D6F3F" w:rsidRDefault="00895559" w:rsidP="00895559">
      <w:pPr>
        <w:pStyle w:val="Prrafodelista"/>
        <w:spacing w:after="200"/>
        <w:ind w:left="720" w:right="49"/>
        <w:contextualSpacing/>
        <w:jc w:val="both"/>
        <w:rPr>
          <w:rFonts w:ascii="ITC Avant Garde" w:eastAsia="Calibri" w:hAnsi="ITC Avant Garde"/>
          <w:sz w:val="22"/>
          <w:szCs w:val="22"/>
          <w:lang w:eastAsia="es-MX"/>
        </w:rPr>
      </w:pPr>
    </w:p>
    <w:p w14:paraId="262D680F" w14:textId="77777777" w:rsidR="002D6F3F" w:rsidRDefault="00183790" w:rsidP="002D6F3F">
      <w:pPr>
        <w:pStyle w:val="Prrafodelista"/>
        <w:numPr>
          <w:ilvl w:val="0"/>
          <w:numId w:val="1"/>
        </w:numPr>
        <w:spacing w:after="200"/>
        <w:ind w:right="49"/>
        <w:contextualSpacing/>
        <w:jc w:val="both"/>
        <w:rPr>
          <w:rFonts w:ascii="ITC Avant Garde" w:eastAsia="Calibri" w:hAnsi="ITC Avant Garde"/>
          <w:sz w:val="22"/>
          <w:szCs w:val="22"/>
          <w:lang w:eastAsia="es-MX"/>
        </w:rPr>
      </w:pPr>
      <w:r w:rsidRPr="002D6F3F">
        <w:rPr>
          <w:rFonts w:ascii="ITC Avant Garde" w:eastAsia="Calibri" w:hAnsi="ITC Avant Garde"/>
          <w:sz w:val="22"/>
          <w:szCs w:val="22"/>
          <w:lang w:eastAsia="es-MX"/>
        </w:rPr>
        <w:t xml:space="preserve">Del 1 al 5 de agosto de 2016 </w:t>
      </w:r>
      <w:r w:rsidRPr="002D6F3F">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2D6F3F">
        <w:rPr>
          <w:rFonts w:ascii="ITC Avant Garde" w:eastAsia="Calibri" w:hAnsi="ITC Avant Garde"/>
          <w:sz w:val="22"/>
          <w:szCs w:val="22"/>
          <w:lang w:eastAsia="es-MX"/>
        </w:rPr>
        <w:t>.</w:t>
      </w:r>
    </w:p>
    <w:p w14:paraId="60BE0123" w14:textId="77777777" w:rsidR="00895559" w:rsidRPr="002D6F3F" w:rsidRDefault="00895559" w:rsidP="00895559">
      <w:pPr>
        <w:pStyle w:val="Prrafodelista"/>
        <w:spacing w:after="200"/>
        <w:ind w:left="720" w:right="49"/>
        <w:contextualSpacing/>
        <w:jc w:val="both"/>
        <w:rPr>
          <w:rFonts w:ascii="ITC Avant Garde" w:eastAsia="Calibri" w:hAnsi="ITC Avant Garde"/>
          <w:sz w:val="22"/>
          <w:szCs w:val="22"/>
          <w:lang w:eastAsia="es-MX"/>
        </w:rPr>
      </w:pPr>
    </w:p>
    <w:p w14:paraId="40043BBE" w14:textId="66F1AE71" w:rsidR="002D6F3F" w:rsidRDefault="00183790" w:rsidP="002D6F3F">
      <w:pPr>
        <w:pStyle w:val="Prrafodelista"/>
        <w:numPr>
          <w:ilvl w:val="0"/>
          <w:numId w:val="1"/>
        </w:numPr>
        <w:spacing w:after="200"/>
        <w:ind w:right="49"/>
        <w:contextualSpacing/>
        <w:jc w:val="both"/>
        <w:rPr>
          <w:rFonts w:ascii="ITC Avant Garde" w:eastAsia="Calibri" w:hAnsi="ITC Avant Garde"/>
          <w:sz w:val="22"/>
          <w:szCs w:val="22"/>
          <w:lang w:eastAsia="es-MX"/>
        </w:rPr>
      </w:pPr>
      <w:r w:rsidRPr="002D6F3F">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895559">
        <w:rPr>
          <w:rFonts w:ascii="ITC Avant Garde" w:eastAsia="Calibri" w:hAnsi="ITC Avant Garde"/>
          <w:sz w:val="22"/>
          <w:szCs w:val="22"/>
          <w:lang w:eastAsia="es-MX"/>
        </w:rPr>
        <w:t xml:space="preserve"> Bases, sus Apéndices y Anexos.</w:t>
      </w:r>
    </w:p>
    <w:p w14:paraId="6B7E4A34" w14:textId="77777777" w:rsidR="00895559" w:rsidRPr="002D6F3F" w:rsidRDefault="00895559" w:rsidP="00895559">
      <w:pPr>
        <w:pStyle w:val="Prrafodelista"/>
        <w:spacing w:after="200"/>
        <w:ind w:left="720" w:right="49"/>
        <w:contextualSpacing/>
        <w:jc w:val="both"/>
        <w:rPr>
          <w:rFonts w:ascii="ITC Avant Garde" w:eastAsia="Calibri" w:hAnsi="ITC Avant Garde"/>
          <w:sz w:val="22"/>
          <w:szCs w:val="22"/>
          <w:lang w:eastAsia="es-MX"/>
        </w:rPr>
      </w:pPr>
    </w:p>
    <w:p w14:paraId="033B2D17" w14:textId="6849E49D" w:rsidR="002D6F3F" w:rsidRDefault="00183790" w:rsidP="002D6F3F">
      <w:pPr>
        <w:pStyle w:val="Prrafodelista"/>
        <w:numPr>
          <w:ilvl w:val="0"/>
          <w:numId w:val="1"/>
        </w:numPr>
        <w:spacing w:after="200"/>
        <w:ind w:right="49"/>
        <w:contextualSpacing/>
        <w:jc w:val="both"/>
        <w:rPr>
          <w:rFonts w:ascii="ITC Avant Garde" w:eastAsia="Calibri" w:hAnsi="ITC Avant Garde"/>
          <w:sz w:val="22"/>
          <w:szCs w:val="22"/>
          <w:lang w:eastAsia="es-MX"/>
        </w:rPr>
      </w:pPr>
      <w:r w:rsidRPr="002D6F3F">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w:t>
      </w:r>
      <w:r w:rsidR="00D74797" w:rsidRPr="002D6F3F">
        <w:rPr>
          <w:rFonts w:ascii="ITC Avant Garde" w:eastAsia="Calibri" w:hAnsi="ITC Avant Garde" w:cs="Arial"/>
          <w:bCs/>
          <w:sz w:val="22"/>
          <w:szCs w:val="22"/>
          <w:bdr w:val="none" w:sz="0" w:space="0" w:color="auto" w:frame="1"/>
          <w:lang w:eastAsia="es-MX"/>
        </w:rPr>
        <w:t xml:space="preserve">lectrónica a través del SERPO, </w:t>
      </w:r>
      <w:r w:rsidRPr="002D6F3F">
        <w:rPr>
          <w:rFonts w:ascii="ITC Avant Garde" w:eastAsia="Calibri" w:hAnsi="ITC Avant Garde" w:cs="Arial"/>
          <w:bCs/>
          <w:sz w:val="22"/>
          <w:szCs w:val="22"/>
          <w:bdr w:val="none" w:sz="0" w:space="0" w:color="auto" w:frame="1"/>
          <w:lang w:eastAsia="es-MX"/>
        </w:rPr>
        <w:t>de los formularios correspondientes al Apéndice A y sus Anexos, así como del Apéndice E de las Bases, conforme al Manual de Procedimiento de Registro</w:t>
      </w:r>
      <w:r w:rsidR="00895559">
        <w:rPr>
          <w:rFonts w:ascii="ITC Avant Garde" w:eastAsia="Calibri" w:hAnsi="ITC Avant Garde"/>
          <w:sz w:val="22"/>
          <w:szCs w:val="22"/>
          <w:lang w:eastAsia="es-MX"/>
        </w:rPr>
        <w:t>.</w:t>
      </w:r>
    </w:p>
    <w:p w14:paraId="6222B36A" w14:textId="77777777" w:rsidR="00895559" w:rsidRPr="002D6F3F" w:rsidRDefault="00895559" w:rsidP="00895559">
      <w:pPr>
        <w:pStyle w:val="Prrafodelista"/>
        <w:spacing w:after="200"/>
        <w:ind w:left="720" w:right="49"/>
        <w:contextualSpacing/>
        <w:jc w:val="both"/>
        <w:rPr>
          <w:rFonts w:ascii="ITC Avant Garde" w:eastAsia="Calibri" w:hAnsi="ITC Avant Garde"/>
          <w:sz w:val="22"/>
          <w:szCs w:val="22"/>
          <w:lang w:eastAsia="es-MX"/>
        </w:rPr>
      </w:pPr>
    </w:p>
    <w:p w14:paraId="22C73C97" w14:textId="1D6B6EE2" w:rsidR="002D6F3F" w:rsidRDefault="007C5CEA" w:rsidP="002D6F3F">
      <w:pPr>
        <w:pStyle w:val="Prrafodelista"/>
        <w:numPr>
          <w:ilvl w:val="0"/>
          <w:numId w:val="1"/>
        </w:numPr>
        <w:spacing w:after="200"/>
        <w:ind w:right="49"/>
        <w:contextualSpacing/>
        <w:jc w:val="both"/>
        <w:rPr>
          <w:rFonts w:ascii="ITC Avant Garde" w:eastAsia="Calibri" w:hAnsi="ITC Avant Garde"/>
          <w:sz w:val="22"/>
          <w:szCs w:val="22"/>
          <w:lang w:eastAsia="es-MX"/>
        </w:rPr>
      </w:pPr>
      <w:r w:rsidRPr="002D6F3F">
        <w:rPr>
          <w:rFonts w:ascii="ITC Avant Garde" w:eastAsia="Calibri" w:hAnsi="ITC Avant Garde"/>
          <w:sz w:val="22"/>
          <w:szCs w:val="22"/>
          <w:lang w:eastAsia="es-MX"/>
        </w:rPr>
        <w:t>Derivado del análisis de la información y</w:t>
      </w:r>
      <w:r w:rsidR="00421A2A" w:rsidRPr="002D6F3F">
        <w:rPr>
          <w:rFonts w:ascii="ITC Avant Garde" w:eastAsia="Calibri" w:hAnsi="ITC Avant Garde"/>
          <w:sz w:val="22"/>
          <w:szCs w:val="22"/>
          <w:lang w:eastAsia="es-MX"/>
        </w:rPr>
        <w:t>/o</w:t>
      </w:r>
      <w:r w:rsidRPr="002D6F3F">
        <w:rPr>
          <w:rFonts w:ascii="ITC Avant Garde" w:eastAsia="Calibri" w:hAnsi="ITC Avant Garde"/>
          <w:sz w:val="22"/>
          <w:szCs w:val="22"/>
          <w:lang w:eastAsia="es-MX"/>
        </w:rPr>
        <w:t xml:space="preserve"> documentación presentada por los Interesados, e</w:t>
      </w:r>
      <w:r w:rsidR="00183790" w:rsidRPr="002D6F3F">
        <w:rPr>
          <w:rFonts w:ascii="ITC Avant Garde" w:eastAsia="Calibri" w:hAnsi="ITC Avant Garde"/>
          <w:sz w:val="22"/>
          <w:szCs w:val="22"/>
          <w:lang w:eastAsia="es-MX"/>
        </w:rPr>
        <w:t>l 7 de octubre de 2016 el Instituto formuló</w:t>
      </w:r>
      <w:r w:rsidR="00410173" w:rsidRPr="002D6F3F">
        <w:rPr>
          <w:rFonts w:ascii="ITC Avant Garde" w:eastAsia="Calibri" w:hAnsi="ITC Avant Garde"/>
          <w:sz w:val="22"/>
          <w:szCs w:val="22"/>
          <w:lang w:eastAsia="es-MX"/>
        </w:rPr>
        <w:t>,</w:t>
      </w:r>
      <w:r w:rsidR="00183790" w:rsidRPr="002D6F3F">
        <w:rPr>
          <w:rFonts w:ascii="ITC Avant Garde" w:eastAsia="Calibri" w:hAnsi="ITC Avant Garde"/>
          <w:sz w:val="22"/>
          <w:szCs w:val="22"/>
          <w:lang w:eastAsia="es-MX"/>
        </w:rPr>
        <w:t xml:space="preserve"> a través del SERPO</w:t>
      </w:r>
      <w:r w:rsidR="00B47D15" w:rsidRPr="002D6F3F">
        <w:rPr>
          <w:rFonts w:ascii="ITC Avant Garde" w:eastAsia="Calibri" w:hAnsi="ITC Avant Garde"/>
          <w:sz w:val="22"/>
          <w:szCs w:val="22"/>
          <w:lang w:eastAsia="es-MX"/>
        </w:rPr>
        <w:t>,</w:t>
      </w:r>
      <w:r w:rsidR="00183790" w:rsidRPr="002D6F3F">
        <w:rPr>
          <w:rFonts w:ascii="ITC Avant Garde" w:eastAsia="Calibri" w:hAnsi="ITC Avant Garde"/>
          <w:sz w:val="22"/>
          <w:szCs w:val="22"/>
          <w:lang w:eastAsia="es-MX"/>
        </w:rPr>
        <w:t xml:space="preserve"> prevención a los Interesados respecto </w:t>
      </w:r>
      <w:r w:rsidR="008352C8" w:rsidRPr="002D6F3F">
        <w:rPr>
          <w:rFonts w:ascii="ITC Avant Garde" w:eastAsia="Calibri" w:hAnsi="ITC Avant Garde"/>
          <w:sz w:val="22"/>
          <w:szCs w:val="22"/>
          <w:lang w:eastAsia="es-MX"/>
        </w:rPr>
        <w:t>de</w:t>
      </w:r>
      <w:r w:rsidR="00183790" w:rsidRPr="002D6F3F">
        <w:rPr>
          <w:rFonts w:ascii="ITC Avant Garde" w:eastAsia="Calibri" w:hAnsi="ITC Avant Garde"/>
          <w:sz w:val="22"/>
          <w:szCs w:val="22"/>
          <w:lang w:eastAsia="es-MX"/>
        </w:rPr>
        <w:t xml:space="preserve"> la información y documentación faltante o que no hubiera cumplido con los requisitos contemplados en las Bases, el Apéndice A y sus Anexos, así como </w:t>
      </w:r>
      <w:r w:rsidR="008352C8" w:rsidRPr="002D6F3F">
        <w:rPr>
          <w:rFonts w:ascii="ITC Avant Garde" w:eastAsia="Calibri" w:hAnsi="ITC Avant Garde"/>
          <w:sz w:val="22"/>
          <w:szCs w:val="22"/>
          <w:lang w:eastAsia="es-MX"/>
        </w:rPr>
        <w:t>de</w:t>
      </w:r>
      <w:r w:rsidR="00895559">
        <w:rPr>
          <w:rFonts w:ascii="ITC Avant Garde" w:eastAsia="Calibri" w:hAnsi="ITC Avant Garde"/>
          <w:sz w:val="22"/>
          <w:szCs w:val="22"/>
          <w:lang w:eastAsia="es-MX"/>
        </w:rPr>
        <w:t>l Apéndice E.</w:t>
      </w:r>
    </w:p>
    <w:p w14:paraId="6FD36F8D" w14:textId="77777777" w:rsidR="00895559" w:rsidRPr="002D6F3F" w:rsidRDefault="00895559" w:rsidP="00895559">
      <w:pPr>
        <w:pStyle w:val="Prrafodelista"/>
        <w:spacing w:after="200"/>
        <w:ind w:left="720" w:right="49"/>
        <w:contextualSpacing/>
        <w:jc w:val="both"/>
        <w:rPr>
          <w:rFonts w:ascii="ITC Avant Garde" w:eastAsia="Calibri" w:hAnsi="ITC Avant Garde"/>
          <w:sz w:val="22"/>
          <w:szCs w:val="22"/>
          <w:lang w:eastAsia="es-MX"/>
        </w:rPr>
      </w:pPr>
    </w:p>
    <w:p w14:paraId="60604032" w14:textId="77777777" w:rsidR="002D6F3F" w:rsidRDefault="00183790" w:rsidP="002D6F3F">
      <w:pPr>
        <w:pStyle w:val="Prrafodelista"/>
        <w:numPr>
          <w:ilvl w:val="0"/>
          <w:numId w:val="1"/>
        </w:numPr>
        <w:spacing w:after="200"/>
        <w:ind w:right="49"/>
        <w:contextualSpacing/>
        <w:jc w:val="both"/>
        <w:rPr>
          <w:rFonts w:ascii="ITC Avant Garde" w:eastAsia="Calibri" w:hAnsi="ITC Avant Garde"/>
          <w:sz w:val="22"/>
          <w:szCs w:val="22"/>
          <w:lang w:eastAsia="es-MX"/>
        </w:rPr>
      </w:pPr>
      <w:r w:rsidRPr="002D6F3F">
        <w:rPr>
          <w:rFonts w:ascii="ITC Avant Garde" w:eastAsia="Calibri" w:hAnsi="ITC Avant Garde"/>
          <w:sz w:val="22"/>
          <w:szCs w:val="22"/>
          <w:lang w:eastAsia="es-MX"/>
        </w:rPr>
        <w:t>Del 10 al 21 de octubre de 2016 transcurrió el término para que los Interesados que fueron objeto de prevención por el Instituto complementaran</w:t>
      </w:r>
      <w:r w:rsidR="00421A2A" w:rsidRPr="002D6F3F">
        <w:rPr>
          <w:rFonts w:ascii="ITC Avant Garde" w:eastAsia="Calibri" w:hAnsi="ITC Avant Garde"/>
          <w:sz w:val="22"/>
          <w:szCs w:val="22"/>
          <w:lang w:eastAsia="es-MX"/>
        </w:rPr>
        <w:t>,</w:t>
      </w:r>
      <w:r w:rsidRPr="002D6F3F">
        <w:rPr>
          <w:rFonts w:ascii="ITC Avant Garde" w:eastAsia="Calibri" w:hAnsi="ITC Avant Garde"/>
          <w:sz w:val="22"/>
          <w:szCs w:val="22"/>
          <w:lang w:eastAsia="es-MX"/>
        </w:rPr>
        <w:t xml:space="preserve"> a través del SERPO</w:t>
      </w:r>
      <w:r w:rsidR="00B47D15" w:rsidRPr="002D6F3F">
        <w:rPr>
          <w:rFonts w:ascii="ITC Avant Garde" w:eastAsia="Calibri" w:hAnsi="ITC Avant Garde"/>
          <w:sz w:val="22"/>
          <w:szCs w:val="22"/>
          <w:lang w:eastAsia="es-MX"/>
        </w:rPr>
        <w:t>,</w:t>
      </w:r>
      <w:r w:rsidRPr="002D6F3F">
        <w:rPr>
          <w:rFonts w:ascii="ITC Avant Garde" w:eastAsia="Calibri" w:hAnsi="ITC Avant Garde"/>
          <w:sz w:val="22"/>
          <w:szCs w:val="22"/>
          <w:lang w:eastAsia="es-MX"/>
        </w:rPr>
        <w:t xml:space="preserve"> la información y/o documentación requerida.</w:t>
      </w:r>
    </w:p>
    <w:p w14:paraId="419D4EA7" w14:textId="77777777" w:rsidR="00895559" w:rsidRPr="002D6F3F" w:rsidRDefault="00895559" w:rsidP="00895559">
      <w:pPr>
        <w:pStyle w:val="Prrafodelista"/>
        <w:spacing w:after="200"/>
        <w:ind w:left="720" w:right="49"/>
        <w:contextualSpacing/>
        <w:jc w:val="both"/>
        <w:rPr>
          <w:rFonts w:ascii="ITC Avant Garde" w:eastAsia="Calibri" w:hAnsi="ITC Avant Garde"/>
          <w:sz w:val="22"/>
          <w:szCs w:val="22"/>
          <w:lang w:eastAsia="es-MX"/>
        </w:rPr>
      </w:pPr>
    </w:p>
    <w:p w14:paraId="71B20BC4" w14:textId="78892D57" w:rsidR="002D6F3F" w:rsidRPr="002D6F3F" w:rsidRDefault="00183790" w:rsidP="002D6F3F">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2D6F3F">
        <w:rPr>
          <w:rFonts w:ascii="ITC Avant Garde" w:eastAsia="Calibri" w:hAnsi="ITC Avant Garde"/>
          <w:sz w:val="22"/>
          <w:szCs w:val="22"/>
          <w:lang w:eastAsia="es-MX"/>
        </w:rPr>
        <w:t>El 22 de noviembre de 2016</w:t>
      </w:r>
      <w:r w:rsidR="00B47D15" w:rsidRPr="002D6F3F">
        <w:rPr>
          <w:rFonts w:ascii="ITC Avant Garde" w:eastAsia="Calibri" w:hAnsi="ITC Avant Garde"/>
          <w:sz w:val="22"/>
          <w:szCs w:val="22"/>
          <w:lang w:eastAsia="es-MX"/>
        </w:rPr>
        <w:t>,</w:t>
      </w:r>
      <w:r w:rsidRPr="002D6F3F">
        <w:rPr>
          <w:rFonts w:ascii="ITC Avant Garde" w:eastAsia="Calibri" w:hAnsi="ITC Avant Garde"/>
          <w:sz w:val="22"/>
          <w:szCs w:val="22"/>
          <w:lang w:eastAsia="es-MX"/>
        </w:rPr>
        <w:t xml:space="preserve"> mediante oficio</w:t>
      </w:r>
      <w:r w:rsidR="00AF214B" w:rsidRPr="002D6F3F">
        <w:rPr>
          <w:rFonts w:ascii="ITC Avant Garde" w:eastAsia="Calibri" w:hAnsi="ITC Avant Garde"/>
          <w:sz w:val="22"/>
          <w:szCs w:val="22"/>
          <w:lang w:eastAsia="es-MX"/>
        </w:rPr>
        <w:t xml:space="preserve"> </w:t>
      </w:r>
      <w:r w:rsidRPr="002D6F3F">
        <w:rPr>
          <w:rFonts w:ascii="ITC Avant Garde" w:eastAsia="Calibri" w:hAnsi="ITC Avant Garde"/>
          <w:sz w:val="22"/>
          <w:szCs w:val="22"/>
          <w:lang w:eastAsia="es-MX"/>
        </w:rPr>
        <w:t>IFT/200/P/128/2016, el Instituto solicitó a la Secretaría de Comunicaciones y Transportes</w:t>
      </w:r>
      <w:r w:rsidR="00AF214B" w:rsidRPr="002D6F3F">
        <w:rPr>
          <w:rFonts w:ascii="ITC Avant Garde" w:eastAsia="Calibri" w:hAnsi="ITC Avant Garde"/>
          <w:sz w:val="22"/>
          <w:szCs w:val="22"/>
          <w:lang w:eastAsia="es-MX"/>
        </w:rPr>
        <w:t xml:space="preserve"> (SCT) la emisión de </w:t>
      </w:r>
      <w:r w:rsidRPr="002D6F3F">
        <w:rPr>
          <w:rFonts w:ascii="ITC Avant Garde" w:eastAsia="Calibri" w:hAnsi="ITC Avant Garde"/>
          <w:sz w:val="22"/>
          <w:szCs w:val="22"/>
          <w:lang w:eastAsia="es-MX"/>
        </w:rPr>
        <w:t xml:space="preserve">opinión </w:t>
      </w:r>
      <w:r w:rsidR="00F343DB" w:rsidRPr="002D6F3F">
        <w:rPr>
          <w:rFonts w:ascii="ITC Avant Garde" w:eastAsia="Calibri" w:hAnsi="ITC Avant Garde"/>
          <w:sz w:val="22"/>
          <w:szCs w:val="22"/>
          <w:lang w:eastAsia="es-MX"/>
        </w:rPr>
        <w:t>técnica</w:t>
      </w:r>
      <w:r w:rsidRPr="002D6F3F">
        <w:rPr>
          <w:rFonts w:ascii="ITC Avant Garde" w:eastAsia="Calibri" w:hAnsi="ITC Avant Garde"/>
          <w:sz w:val="22"/>
          <w:szCs w:val="22"/>
          <w:lang w:eastAsia="es-MX"/>
        </w:rPr>
        <w:t xml:space="preserve"> no vinculante respecto al posible otorgamiento de los títulos de Concesión Única para Uso Comercial y de Concesión del Espectro Radioeléctrico </w:t>
      </w:r>
      <w:r w:rsidRPr="002D6F3F">
        <w:rPr>
          <w:rFonts w:ascii="ITC Avant Garde" w:eastAsia="Calibri" w:hAnsi="ITC Avant Garde"/>
          <w:sz w:val="22"/>
          <w:szCs w:val="22"/>
          <w:lang w:eastAsia="es-MX"/>
        </w:rPr>
        <w:lastRenderedPageBreak/>
        <w:t>para Uso Comercial a los Interesados que entregaron información</w:t>
      </w:r>
      <w:r w:rsidR="00AF214B" w:rsidRPr="002D6F3F">
        <w:rPr>
          <w:rFonts w:ascii="ITC Avant Garde" w:eastAsia="Calibri" w:hAnsi="ITC Avant Garde"/>
          <w:sz w:val="22"/>
          <w:szCs w:val="22"/>
          <w:lang w:eastAsia="es-MX"/>
        </w:rPr>
        <w:t xml:space="preserve"> </w:t>
      </w:r>
      <w:r w:rsidRPr="002D6F3F">
        <w:rPr>
          <w:rFonts w:ascii="ITC Avant Garde" w:eastAsia="Calibri" w:hAnsi="ITC Avant Garde"/>
          <w:sz w:val="22"/>
          <w:szCs w:val="22"/>
          <w:lang w:eastAsia="es-MX"/>
        </w:rPr>
        <w:t>relativa al</w:t>
      </w:r>
      <w:r w:rsidR="00AF214B" w:rsidRPr="002D6F3F">
        <w:rPr>
          <w:rFonts w:ascii="ITC Avant Garde" w:eastAsia="Calibri" w:hAnsi="ITC Avant Garde"/>
          <w:sz w:val="22"/>
          <w:szCs w:val="22"/>
          <w:lang w:eastAsia="es-MX"/>
        </w:rPr>
        <w:t xml:space="preserve"> </w:t>
      </w:r>
      <w:r w:rsidRPr="002D6F3F">
        <w:rPr>
          <w:rFonts w:ascii="ITC Avant Garde" w:eastAsia="Calibri" w:hAnsi="ITC Avant Garde"/>
          <w:sz w:val="22"/>
          <w:szCs w:val="22"/>
          <w:lang w:eastAsia="es-MX"/>
        </w:rPr>
        <w:t>proceso autenticándola con su F</w:t>
      </w:r>
      <w:r w:rsidR="00895559">
        <w:rPr>
          <w:rFonts w:ascii="ITC Avant Garde" w:eastAsia="Calibri" w:hAnsi="ITC Avant Garde"/>
          <w:sz w:val="22"/>
          <w:szCs w:val="22"/>
          <w:lang w:eastAsia="es-MX"/>
        </w:rPr>
        <w:t>IEL en la Licitación No. IFT-4.</w:t>
      </w:r>
    </w:p>
    <w:p w14:paraId="2C515276" w14:textId="77777777" w:rsidR="002D6F3F" w:rsidRPr="002D6F3F" w:rsidRDefault="00183790" w:rsidP="002D6F3F">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2D6F3F">
        <w:rPr>
          <w:rFonts w:ascii="ITC Avant Garde" w:eastAsia="Calibri" w:hAnsi="ITC Avant Garde"/>
          <w:sz w:val="22"/>
          <w:szCs w:val="22"/>
          <w:lang w:eastAsia="es-MX"/>
        </w:rPr>
        <w:t xml:space="preserve">El 21 de diciembre de 2016 se recibió en Oficialía de Partes del Instituto el oficio No. 1.-313 de fecha 13 de diciembre de 2016, mediante el cual la </w:t>
      </w:r>
      <w:r w:rsidR="00CA3EFD" w:rsidRPr="002D6F3F">
        <w:rPr>
          <w:rFonts w:ascii="ITC Avant Garde" w:eastAsia="Calibri" w:hAnsi="ITC Avant Garde"/>
          <w:sz w:val="22"/>
          <w:szCs w:val="22"/>
          <w:lang w:eastAsia="es-MX"/>
        </w:rPr>
        <w:t>SCT</w:t>
      </w:r>
      <w:r w:rsidRPr="002D6F3F">
        <w:rPr>
          <w:rFonts w:ascii="ITC Avant Garde" w:eastAsia="Calibri" w:hAnsi="ITC Avant Garde"/>
          <w:sz w:val="22"/>
          <w:szCs w:val="22"/>
          <w:lang w:eastAsia="es-MX"/>
        </w:rPr>
        <w:t xml:space="preserve"> emit</w:t>
      </w:r>
      <w:r w:rsidR="006B41CC" w:rsidRPr="002D6F3F">
        <w:rPr>
          <w:rFonts w:ascii="ITC Avant Garde" w:eastAsia="Calibri" w:hAnsi="ITC Avant Garde"/>
          <w:sz w:val="22"/>
          <w:szCs w:val="22"/>
          <w:lang w:eastAsia="es-MX"/>
        </w:rPr>
        <w:t>ió</w:t>
      </w:r>
      <w:r w:rsidR="00AF214B" w:rsidRPr="002D6F3F">
        <w:rPr>
          <w:rFonts w:ascii="ITC Avant Garde" w:eastAsia="Calibri" w:hAnsi="ITC Avant Garde"/>
          <w:sz w:val="22"/>
          <w:szCs w:val="22"/>
          <w:lang w:eastAsia="es-MX"/>
        </w:rPr>
        <w:t xml:space="preserve"> opinión técnica </w:t>
      </w:r>
      <w:r w:rsidRPr="002D6F3F">
        <w:rPr>
          <w:rFonts w:ascii="ITC Avant Garde" w:eastAsia="Calibri" w:hAnsi="ITC Avant Garde"/>
          <w:sz w:val="22"/>
          <w:szCs w:val="22"/>
          <w:lang w:eastAsia="es-MX"/>
        </w:rPr>
        <w:t xml:space="preserve">favorable respecto de los Interesados </w:t>
      </w:r>
      <w:r w:rsidR="00F368D3" w:rsidRPr="002D6F3F">
        <w:rPr>
          <w:rFonts w:ascii="ITC Avant Garde" w:eastAsia="Calibri" w:hAnsi="ITC Avant Garde"/>
          <w:sz w:val="22"/>
          <w:szCs w:val="22"/>
          <w:lang w:eastAsia="es-MX"/>
        </w:rPr>
        <w:t>a que se refiere el antecedente inmediato anterior</w:t>
      </w:r>
      <w:r w:rsidR="00072C49" w:rsidRPr="002D6F3F">
        <w:rPr>
          <w:rFonts w:ascii="ITC Avant Garde" w:eastAsia="Calibri" w:hAnsi="ITC Avant Garde"/>
          <w:sz w:val="22"/>
          <w:szCs w:val="22"/>
          <w:lang w:eastAsia="es-MX"/>
        </w:rPr>
        <w:t>.</w:t>
      </w:r>
    </w:p>
    <w:p w14:paraId="00A1DDA1" w14:textId="7FFF8921" w:rsidR="002D6F3F" w:rsidRPr="002D6F3F" w:rsidRDefault="009B5C9D" w:rsidP="002D6F3F">
      <w:pPr>
        <w:pStyle w:val="Prrafodelista"/>
        <w:numPr>
          <w:ilvl w:val="0"/>
          <w:numId w:val="1"/>
        </w:numPr>
        <w:spacing w:after="200"/>
        <w:ind w:right="49"/>
        <w:contextualSpacing/>
        <w:jc w:val="both"/>
        <w:rPr>
          <w:rFonts w:ascii="ITC Avant Garde" w:hAnsi="ITC Avant Garde" w:cs="Arial Unicode MS"/>
          <w:bCs/>
          <w:sz w:val="22"/>
          <w:szCs w:val="22"/>
          <w:u w:color="000000"/>
          <w:bdr w:val="nil"/>
          <w:lang w:val="es-ES_tradnl" w:eastAsia="es-MX"/>
        </w:rPr>
      </w:pPr>
      <w:r w:rsidRPr="002D6F3F">
        <w:rPr>
          <w:rFonts w:ascii="ITC Avant Garde" w:hAnsi="ITC Avant Garde" w:cs="Arial"/>
          <w:sz w:val="22"/>
          <w:szCs w:val="22"/>
          <w:lang w:val="es-ES_tradnl"/>
        </w:rPr>
        <w:t xml:space="preserve">El </w:t>
      </w:r>
      <w:r w:rsidR="006E45C6" w:rsidRPr="002D6F3F">
        <w:rPr>
          <w:rFonts w:ascii="ITC Avant Garde" w:hAnsi="ITC Avant Garde" w:cs="Arial"/>
          <w:sz w:val="22"/>
          <w:szCs w:val="22"/>
          <w:lang w:val="es-ES_tradnl"/>
        </w:rPr>
        <w:t>13 de enero de 2017</w:t>
      </w:r>
      <w:r w:rsidR="002C5915" w:rsidRPr="002D6F3F">
        <w:rPr>
          <w:rFonts w:ascii="ITC Avant Garde" w:hAnsi="ITC Avant Garde" w:cs="Arial"/>
          <w:sz w:val="22"/>
          <w:szCs w:val="22"/>
          <w:lang w:val="es-ES_tradnl"/>
        </w:rPr>
        <w:t xml:space="preserve"> </w:t>
      </w:r>
      <w:r w:rsidR="006E45C6" w:rsidRPr="002D6F3F">
        <w:rPr>
          <w:rFonts w:ascii="ITC Avant Garde" w:hAnsi="ITC Avant Garde" w:cs="Arial"/>
          <w:sz w:val="22"/>
          <w:szCs w:val="22"/>
          <w:lang w:val="es-ES_tradnl"/>
        </w:rPr>
        <w:t xml:space="preserve">el </w:t>
      </w:r>
      <w:r w:rsidRPr="002D6F3F">
        <w:rPr>
          <w:rFonts w:ascii="ITC Avant Garde" w:hAnsi="ITC Avant Garde" w:cs="Arial"/>
          <w:sz w:val="22"/>
          <w:szCs w:val="22"/>
          <w:lang w:val="es-ES_tradnl"/>
        </w:rPr>
        <w:t>Pleno del Instituto</w:t>
      </w:r>
      <w:r w:rsidR="006E45C6" w:rsidRPr="002D6F3F">
        <w:rPr>
          <w:rFonts w:ascii="ITC Avant Garde" w:hAnsi="ITC Avant Garde" w:cs="Arial"/>
          <w:sz w:val="22"/>
          <w:szCs w:val="22"/>
          <w:lang w:val="es-ES_tradnl"/>
        </w:rPr>
        <w:t xml:space="preserve"> </w:t>
      </w:r>
      <w:r w:rsidR="00A964EF" w:rsidRPr="002D6F3F">
        <w:rPr>
          <w:rFonts w:ascii="ITC Avant Garde" w:hAnsi="ITC Avant Garde" w:cs="Arial"/>
          <w:sz w:val="22"/>
          <w:szCs w:val="22"/>
          <w:lang w:val="es-ES_tradnl"/>
        </w:rPr>
        <w:t>instruyó</w:t>
      </w:r>
      <w:r w:rsidR="00F368D3" w:rsidRPr="002D6F3F">
        <w:rPr>
          <w:rFonts w:ascii="ITC Avant Garde" w:hAnsi="ITC Avant Garde" w:cs="Arial"/>
          <w:sz w:val="22"/>
          <w:szCs w:val="22"/>
          <w:lang w:val="es-ES_tradnl"/>
        </w:rPr>
        <w:t xml:space="preserve"> a la Unidad de Espectro Radioeléctrico</w:t>
      </w:r>
      <w:r w:rsidR="00714ECE" w:rsidRPr="002D6F3F">
        <w:rPr>
          <w:rFonts w:ascii="ITC Avant Garde" w:hAnsi="ITC Avant Garde" w:cs="Arial"/>
          <w:sz w:val="22"/>
          <w:szCs w:val="22"/>
          <w:lang w:val="es-ES_tradnl"/>
        </w:rPr>
        <w:t xml:space="preserve"> </w:t>
      </w:r>
      <w:r w:rsidR="00235C16" w:rsidRPr="002D6F3F">
        <w:rPr>
          <w:rFonts w:ascii="ITC Avant Garde" w:hAnsi="ITC Avant Garde" w:cs="Arial"/>
          <w:sz w:val="22"/>
          <w:szCs w:val="22"/>
          <w:lang w:val="es-ES_tradnl"/>
        </w:rPr>
        <w:t xml:space="preserve">a </w:t>
      </w:r>
      <w:r w:rsidR="007A4DBA" w:rsidRPr="002D6F3F">
        <w:rPr>
          <w:rFonts w:ascii="ITC Avant Garde" w:hAnsi="ITC Avant Garde" w:cs="Arial"/>
          <w:sz w:val="22"/>
          <w:szCs w:val="22"/>
          <w:lang w:val="es-ES_tradnl"/>
        </w:rPr>
        <w:t>que expidiera</w:t>
      </w:r>
      <w:r w:rsidR="006E45C6" w:rsidRPr="002D6F3F">
        <w:rPr>
          <w:rFonts w:ascii="ITC Avant Garde" w:hAnsi="ITC Avant Garde" w:cs="Arial"/>
          <w:sz w:val="22"/>
          <w:szCs w:val="22"/>
          <w:lang w:val="es-ES_tradnl"/>
        </w:rPr>
        <w:t xml:space="preserve"> a favor de </w:t>
      </w:r>
      <w:r w:rsidR="0003197F" w:rsidRPr="002D6F3F">
        <w:rPr>
          <w:rFonts w:ascii="ITC Avant Garde" w:hAnsi="ITC Avant Garde" w:cs="Arial"/>
          <w:sz w:val="22"/>
          <w:szCs w:val="22"/>
          <w:lang w:val="es-ES_tradnl"/>
        </w:rPr>
        <w:t xml:space="preserve">distintos </w:t>
      </w:r>
      <w:r w:rsidR="0016297C" w:rsidRPr="002D6F3F">
        <w:rPr>
          <w:rFonts w:ascii="ITC Avant Garde" w:hAnsi="ITC Avant Garde" w:cs="Arial"/>
          <w:sz w:val="22"/>
          <w:szCs w:val="22"/>
          <w:lang w:val="es-ES_tradnl"/>
        </w:rPr>
        <w:t>I</w:t>
      </w:r>
      <w:r w:rsidR="002C5915" w:rsidRPr="002D6F3F">
        <w:rPr>
          <w:rFonts w:ascii="ITC Avant Garde" w:hAnsi="ITC Avant Garde" w:cs="Arial"/>
          <w:sz w:val="22"/>
          <w:szCs w:val="22"/>
          <w:lang w:val="es-ES_tradnl"/>
        </w:rPr>
        <w:t>nteresados las Constancias de P</w:t>
      </w:r>
      <w:r w:rsidR="006E45C6" w:rsidRPr="002D6F3F">
        <w:rPr>
          <w:rFonts w:ascii="ITC Avant Garde" w:hAnsi="ITC Avant Garde" w:cs="Arial"/>
          <w:sz w:val="22"/>
          <w:szCs w:val="22"/>
          <w:lang w:val="es-ES_tradnl"/>
        </w:rPr>
        <w:t xml:space="preserve">articipación correspondientes, dentro de la </w:t>
      </w:r>
      <w:r w:rsidR="002C5915" w:rsidRPr="002D6F3F">
        <w:rPr>
          <w:rFonts w:ascii="ITC Avant Garde" w:hAnsi="ITC Avant Garde" w:cs="Arial"/>
          <w:sz w:val="22"/>
          <w:szCs w:val="22"/>
          <w:lang w:val="es-ES_tradnl"/>
        </w:rPr>
        <w:t>Licitación No. IFT-4.</w:t>
      </w:r>
    </w:p>
    <w:p w14:paraId="5012EDB0" w14:textId="77777777" w:rsidR="002D6F3F" w:rsidRPr="002D6F3F" w:rsidRDefault="006E45C6" w:rsidP="002D6F3F">
      <w:pPr>
        <w:numPr>
          <w:ilvl w:val="0"/>
          <w:numId w:val="1"/>
        </w:numPr>
        <w:spacing w:line="240" w:lineRule="auto"/>
        <w:ind w:right="49"/>
        <w:contextualSpacing/>
        <w:jc w:val="both"/>
        <w:rPr>
          <w:rFonts w:ascii="ITC Avant Garde" w:eastAsia="Times New Roman" w:hAnsi="ITC Avant Garde" w:cs="Arial"/>
          <w:lang w:val="es-ES_tradnl"/>
        </w:rPr>
      </w:pPr>
      <w:r w:rsidRPr="002D6F3F">
        <w:rPr>
          <w:rFonts w:ascii="ITC Avant Garde" w:eastAsia="Times New Roman" w:hAnsi="ITC Avant Garde" w:cs="Arial"/>
          <w:lang w:eastAsia="es-MX"/>
        </w:rPr>
        <w:t>La Dirección General de Economía del Espectro y Recursos Orbitales de la Unidad de Espectro Radioeléctrico del Instituto emitió las Constancias de Participación a favor de los Interesados que determinó el Pleno del Instituto</w:t>
      </w:r>
      <w:r w:rsidR="00714ECE" w:rsidRPr="002D6F3F">
        <w:rPr>
          <w:rFonts w:ascii="ITC Avant Garde" w:eastAsia="Times New Roman" w:hAnsi="ITC Avant Garde" w:cs="Arial"/>
          <w:lang w:eastAsia="es-MX"/>
        </w:rPr>
        <w:t>, previa evaluación del cumplimiento de las capacidades administrativa, técnica, jurídica y financiera</w:t>
      </w:r>
      <w:r w:rsidR="008A40C3" w:rsidRPr="002D6F3F">
        <w:rPr>
          <w:rFonts w:ascii="ITC Avant Garde" w:eastAsia="Times New Roman" w:hAnsi="ITC Avant Garde" w:cs="Arial"/>
          <w:lang w:eastAsia="es-MX"/>
        </w:rPr>
        <w:t>.</w:t>
      </w:r>
    </w:p>
    <w:p w14:paraId="7889CD5F" w14:textId="7E0E271D" w:rsidR="002D6F3F" w:rsidRPr="00895559" w:rsidRDefault="00055394" w:rsidP="002D6F3F">
      <w:pPr>
        <w:pStyle w:val="Prrafodelista"/>
        <w:numPr>
          <w:ilvl w:val="0"/>
          <w:numId w:val="1"/>
        </w:numPr>
        <w:spacing w:after="200"/>
        <w:ind w:right="49"/>
        <w:contextualSpacing/>
        <w:jc w:val="both"/>
        <w:rPr>
          <w:rFonts w:ascii="ITC Avant Garde" w:hAnsi="ITC Avant Garde" w:cs="Arial"/>
          <w:sz w:val="22"/>
          <w:szCs w:val="22"/>
          <w:lang w:val="es-ES_tradnl"/>
        </w:rPr>
      </w:pPr>
      <w:r w:rsidRPr="002D6F3F">
        <w:rPr>
          <w:rFonts w:ascii="ITC Avant Garde" w:eastAsia="Arial Unicode MS" w:hAnsi="ITC Avant Garde" w:cs="Arial Unicode MS"/>
          <w:kern w:val="1"/>
          <w:sz w:val="22"/>
          <w:szCs w:val="22"/>
          <w:u w:color="000000"/>
          <w:bdr w:val="nil"/>
          <w:lang w:val="es-ES_tradnl" w:eastAsia="ar-SA"/>
        </w:rPr>
        <w:t>Del 23 al 27 de enero de 2017</w:t>
      </w:r>
      <w:r w:rsidR="00304B17" w:rsidRPr="002D6F3F">
        <w:rPr>
          <w:rFonts w:ascii="ITC Avant Garde" w:eastAsia="Arial Unicode MS" w:hAnsi="ITC Avant Garde" w:cs="Arial Unicode MS"/>
          <w:kern w:val="1"/>
          <w:sz w:val="22"/>
          <w:szCs w:val="22"/>
          <w:u w:color="000000"/>
          <w:bdr w:val="nil"/>
          <w:lang w:val="es-ES_tradnl" w:eastAsia="ar-SA"/>
        </w:rPr>
        <w:t>, conforme al calendario publicado el 16 de enero de 2017,</w:t>
      </w:r>
      <w:r w:rsidRPr="002D6F3F">
        <w:rPr>
          <w:rFonts w:ascii="ITC Avant Garde" w:eastAsia="Arial Unicode MS" w:hAnsi="ITC Avant Garde" w:cs="Arial Unicode MS"/>
          <w:kern w:val="1"/>
          <w:sz w:val="22"/>
          <w:szCs w:val="22"/>
          <w:u w:color="000000"/>
          <w:bdr w:val="nil"/>
          <w:lang w:val="es-ES_tradnl" w:eastAsia="ar-SA"/>
        </w:rPr>
        <w:t xml:space="preserve"> se realizó en el </w:t>
      </w:r>
      <w:r w:rsidR="007C3CA9" w:rsidRPr="002D6F3F">
        <w:rPr>
          <w:rFonts w:ascii="ITC Avant Garde" w:eastAsia="Arial Unicode MS" w:hAnsi="ITC Avant Garde" w:cs="Arial Unicode MS"/>
          <w:kern w:val="1"/>
          <w:sz w:val="22"/>
          <w:szCs w:val="22"/>
          <w:u w:color="000000"/>
          <w:bdr w:val="nil"/>
          <w:lang w:val="es-ES_tradnl" w:eastAsia="ar-SA"/>
        </w:rPr>
        <w:t xml:space="preserve">Domicilio del </w:t>
      </w:r>
      <w:r w:rsidRPr="002D6F3F">
        <w:rPr>
          <w:rFonts w:ascii="ITC Avant Garde" w:eastAsia="Arial Unicode MS" w:hAnsi="ITC Avant Garde" w:cs="Arial Unicode MS"/>
          <w:kern w:val="1"/>
          <w:sz w:val="22"/>
          <w:szCs w:val="22"/>
          <w:u w:color="000000"/>
          <w:bdr w:val="nil"/>
          <w:lang w:val="es-ES_tradnl" w:eastAsia="ar-SA"/>
        </w:rPr>
        <w:t xml:space="preserve">Instituto la </w:t>
      </w:r>
      <w:r w:rsidR="005F6451" w:rsidRPr="002D6F3F">
        <w:rPr>
          <w:rFonts w:ascii="ITC Avant Garde" w:eastAsia="Arial Unicode MS" w:hAnsi="ITC Avant Garde" w:cs="Arial Unicode MS"/>
          <w:kern w:val="1"/>
          <w:sz w:val="22"/>
          <w:szCs w:val="22"/>
          <w:u w:color="000000"/>
          <w:bdr w:val="nil"/>
          <w:lang w:val="es-ES_tradnl" w:eastAsia="ar-SA"/>
        </w:rPr>
        <w:t>notificación y entrega de las Constancias de Participación a los Interesados que determinó el Pleno del Instituto</w:t>
      </w:r>
      <w:r w:rsidR="0016297C" w:rsidRPr="002D6F3F">
        <w:rPr>
          <w:rFonts w:ascii="ITC Avant Garde" w:eastAsia="Arial Unicode MS" w:hAnsi="ITC Avant Garde" w:cs="Arial Unicode MS"/>
          <w:kern w:val="1"/>
          <w:sz w:val="22"/>
          <w:szCs w:val="22"/>
          <w:u w:color="000000"/>
          <w:bdr w:val="nil"/>
          <w:lang w:val="es-ES_tradnl" w:eastAsia="ar-SA"/>
        </w:rPr>
        <w:t>.</w:t>
      </w:r>
      <w:r w:rsidR="007C3CA9" w:rsidRPr="002D6F3F">
        <w:rPr>
          <w:rFonts w:ascii="ITC Avant Garde" w:eastAsia="Arial Unicode MS" w:hAnsi="ITC Avant Garde" w:cs="Arial Unicode MS"/>
          <w:kern w:val="1"/>
          <w:sz w:val="22"/>
          <w:szCs w:val="22"/>
          <w:u w:color="000000"/>
          <w:bdr w:val="nil"/>
          <w:lang w:val="es-ES_tradnl" w:eastAsia="ar-SA"/>
        </w:rPr>
        <w:t xml:space="preserve"> A</w:t>
      </w:r>
      <w:r w:rsidR="00927C4D" w:rsidRPr="002D6F3F">
        <w:rPr>
          <w:rFonts w:ascii="ITC Avant Garde" w:eastAsia="Arial Unicode MS" w:hAnsi="ITC Avant Garde" w:cs="Arial Unicode MS"/>
          <w:kern w:val="1"/>
          <w:sz w:val="22"/>
          <w:szCs w:val="22"/>
          <w:u w:color="000000"/>
          <w:bdr w:val="nil"/>
          <w:lang w:val="es-ES_tradnl" w:eastAsia="ar-SA"/>
        </w:rPr>
        <w:t>simism</w:t>
      </w:r>
      <w:r w:rsidR="00AF214B" w:rsidRPr="002D6F3F">
        <w:rPr>
          <w:rFonts w:ascii="ITC Avant Garde" w:eastAsia="Arial Unicode MS" w:hAnsi="ITC Avant Garde" w:cs="Arial Unicode MS"/>
          <w:kern w:val="1"/>
          <w:sz w:val="22"/>
          <w:szCs w:val="22"/>
          <w:u w:color="000000"/>
          <w:bdr w:val="nil"/>
          <w:lang w:val="es-ES_tradnl" w:eastAsia="ar-SA"/>
        </w:rPr>
        <w:t xml:space="preserve">o, </w:t>
      </w:r>
      <w:r w:rsidR="007C3CA9" w:rsidRPr="002D6F3F">
        <w:rPr>
          <w:rFonts w:ascii="ITC Avant Garde" w:eastAsia="Arial Unicode MS" w:hAnsi="ITC Avant Garde" w:cs="Arial Unicode MS"/>
          <w:kern w:val="1"/>
          <w:sz w:val="22"/>
          <w:szCs w:val="22"/>
          <w:u w:color="000000"/>
          <w:bdr w:val="nil"/>
          <w:lang w:val="es-ES_tradnl" w:eastAsia="ar-SA"/>
        </w:rPr>
        <w:t xml:space="preserve">se </w:t>
      </w:r>
      <w:r w:rsidR="00927C4D" w:rsidRPr="002D6F3F">
        <w:rPr>
          <w:rFonts w:ascii="ITC Avant Garde" w:eastAsia="Arial Unicode MS" w:hAnsi="ITC Avant Garde" w:cs="Arial Unicode MS"/>
          <w:kern w:val="1"/>
          <w:sz w:val="22"/>
          <w:szCs w:val="22"/>
          <w:u w:color="000000"/>
          <w:bdr w:val="nil"/>
          <w:lang w:val="es-ES_tradnl" w:eastAsia="ar-SA"/>
        </w:rPr>
        <w:t>hizo</w:t>
      </w:r>
      <w:r w:rsidR="007C3CA9" w:rsidRPr="002D6F3F">
        <w:rPr>
          <w:rFonts w:ascii="ITC Avant Garde" w:eastAsia="Arial Unicode MS" w:hAnsi="ITC Avant Garde" w:cs="Arial Unicode MS"/>
          <w:kern w:val="1"/>
          <w:sz w:val="22"/>
          <w:szCs w:val="22"/>
          <w:u w:color="000000"/>
          <w:bdr w:val="nil"/>
          <w:lang w:val="es-ES_tradnl" w:eastAsia="ar-SA"/>
        </w:rPr>
        <w:t xml:space="preserve"> la entrega de las claves de acceso para ingresar al SERPO para las sesiones de práctica y Procedimie</w:t>
      </w:r>
      <w:r w:rsidR="00895559">
        <w:rPr>
          <w:rFonts w:ascii="ITC Avant Garde" w:eastAsia="Arial Unicode MS" w:hAnsi="ITC Avant Garde" w:cs="Arial Unicode MS"/>
          <w:kern w:val="1"/>
          <w:sz w:val="22"/>
          <w:szCs w:val="22"/>
          <w:u w:color="000000"/>
          <w:bdr w:val="nil"/>
          <w:lang w:val="es-ES_tradnl" w:eastAsia="ar-SA"/>
        </w:rPr>
        <w:t>nto de Presentación de Ofertas.</w:t>
      </w:r>
    </w:p>
    <w:p w14:paraId="2D0398EA" w14:textId="77777777" w:rsidR="00895559" w:rsidRPr="002D6F3F" w:rsidRDefault="00895559" w:rsidP="00895559">
      <w:pPr>
        <w:pStyle w:val="Prrafodelista"/>
        <w:spacing w:after="200"/>
        <w:ind w:left="720" w:right="49"/>
        <w:contextualSpacing/>
        <w:jc w:val="both"/>
        <w:rPr>
          <w:rFonts w:ascii="ITC Avant Garde" w:hAnsi="ITC Avant Garde" w:cs="Arial"/>
          <w:sz w:val="22"/>
          <w:szCs w:val="22"/>
          <w:lang w:val="es-ES_tradnl"/>
        </w:rPr>
      </w:pPr>
    </w:p>
    <w:p w14:paraId="52075032" w14:textId="77777777" w:rsidR="002D6F3F" w:rsidRPr="00895559" w:rsidRDefault="005F6451" w:rsidP="002D6F3F">
      <w:pPr>
        <w:pStyle w:val="Prrafodelista"/>
        <w:numPr>
          <w:ilvl w:val="0"/>
          <w:numId w:val="1"/>
        </w:numPr>
        <w:spacing w:after="200"/>
        <w:ind w:right="49"/>
        <w:contextualSpacing/>
        <w:jc w:val="both"/>
        <w:rPr>
          <w:rFonts w:ascii="ITC Avant Garde" w:hAnsi="ITC Avant Garde" w:cs="Arial"/>
          <w:sz w:val="22"/>
          <w:szCs w:val="22"/>
          <w:lang w:val="es-ES_tradnl"/>
        </w:rPr>
      </w:pPr>
      <w:r w:rsidRPr="002D6F3F">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w:t>
      </w:r>
      <w:r w:rsidR="00B941CF" w:rsidRPr="002D6F3F">
        <w:rPr>
          <w:rFonts w:ascii="ITC Avant Garde" w:eastAsia="Arial Unicode MS" w:hAnsi="ITC Avant Garde" w:cs="Arial Unicode MS"/>
          <w:kern w:val="1"/>
          <w:sz w:val="22"/>
          <w:szCs w:val="22"/>
          <w:u w:color="000000"/>
          <w:bdr w:val="nil"/>
          <w:lang w:val="es-ES_tradnl" w:eastAsia="ar-SA"/>
        </w:rPr>
        <w:t xml:space="preserve"> las sesiones de práctica</w:t>
      </w:r>
      <w:r w:rsidRPr="002D6F3F">
        <w:rPr>
          <w:rFonts w:ascii="ITC Avant Garde" w:eastAsia="Arial Unicode MS" w:hAnsi="ITC Avant Garde" w:cs="Arial Unicode MS"/>
          <w:kern w:val="1"/>
          <w:sz w:val="22"/>
          <w:szCs w:val="22"/>
          <w:u w:color="000000"/>
          <w:bdr w:val="nil"/>
          <w:lang w:val="es-ES_tradnl" w:eastAsia="ar-SA"/>
        </w:rPr>
        <w:t>, únicamente para los Participantes</w:t>
      </w:r>
      <w:r w:rsidR="003A5C60" w:rsidRPr="002D6F3F">
        <w:rPr>
          <w:rFonts w:ascii="ITC Avant Garde" w:eastAsia="Arial Unicode MS" w:hAnsi="ITC Avant Garde" w:cs="Arial Unicode MS"/>
          <w:kern w:val="1"/>
          <w:sz w:val="22"/>
          <w:szCs w:val="22"/>
          <w:u w:color="000000"/>
          <w:bdr w:val="nil"/>
          <w:lang w:val="es-ES_tradnl" w:eastAsia="ar-SA"/>
        </w:rPr>
        <w:t>,</w:t>
      </w:r>
      <w:r w:rsidRPr="002D6F3F">
        <w:rPr>
          <w:rFonts w:ascii="ITC Avant Garde" w:eastAsia="Arial Unicode MS" w:hAnsi="ITC Avant Garde" w:cs="Arial Unicode MS"/>
          <w:kern w:val="1"/>
          <w:sz w:val="22"/>
          <w:szCs w:val="22"/>
          <w:u w:color="000000"/>
          <w:bdr w:val="nil"/>
          <w:lang w:val="es-ES_tradnl" w:eastAsia="ar-SA"/>
        </w:rPr>
        <w:t xml:space="preserve"> con la</w:t>
      </w:r>
      <w:r w:rsidR="0019454F" w:rsidRPr="002D6F3F">
        <w:rPr>
          <w:rFonts w:ascii="ITC Avant Garde" w:eastAsia="Arial Unicode MS" w:hAnsi="ITC Avant Garde" w:cs="Arial Unicode MS"/>
          <w:kern w:val="1"/>
          <w:sz w:val="22"/>
          <w:szCs w:val="22"/>
          <w:u w:color="000000"/>
          <w:bdr w:val="nil"/>
          <w:lang w:val="es-ES_tradnl" w:eastAsia="ar-SA"/>
        </w:rPr>
        <w:t xml:space="preserve"> finalidad de que se familiarizaran </w:t>
      </w:r>
      <w:r w:rsidRPr="002D6F3F">
        <w:rPr>
          <w:rFonts w:ascii="ITC Avant Garde" w:eastAsia="Arial Unicode MS" w:hAnsi="ITC Avant Garde" w:cs="Arial Unicode MS"/>
          <w:kern w:val="1"/>
          <w:sz w:val="22"/>
          <w:szCs w:val="22"/>
          <w:u w:color="000000"/>
          <w:bdr w:val="nil"/>
          <w:lang w:val="es-ES_tradnl" w:eastAsia="ar-SA"/>
        </w:rPr>
        <w:t>con el</w:t>
      </w:r>
      <w:r w:rsidR="00AF214B" w:rsidRPr="002D6F3F">
        <w:rPr>
          <w:rFonts w:ascii="ITC Avant Garde" w:eastAsia="Arial Unicode MS" w:hAnsi="ITC Avant Garde" w:cs="Arial Unicode MS"/>
          <w:kern w:val="1"/>
          <w:sz w:val="22"/>
          <w:szCs w:val="22"/>
          <w:u w:color="000000"/>
          <w:bdr w:val="nil"/>
          <w:lang w:val="es-ES_tradnl" w:eastAsia="ar-SA"/>
        </w:rPr>
        <w:t xml:space="preserve"> </w:t>
      </w:r>
      <w:r w:rsidRPr="002D6F3F">
        <w:rPr>
          <w:rFonts w:ascii="ITC Avant Garde" w:eastAsia="Arial Unicode MS" w:hAnsi="ITC Avant Garde" w:cs="Arial Unicode MS"/>
          <w:kern w:val="1"/>
          <w:sz w:val="22"/>
          <w:szCs w:val="22"/>
          <w:u w:color="000000"/>
          <w:bdr w:val="nil"/>
          <w:lang w:val="es-ES_tradnl" w:eastAsia="ar-SA"/>
        </w:rPr>
        <w:t xml:space="preserve">Procedimiento de </w:t>
      </w:r>
      <w:r w:rsidR="0019454F" w:rsidRPr="002D6F3F">
        <w:rPr>
          <w:rFonts w:ascii="ITC Avant Garde" w:eastAsia="Arial Unicode MS" w:hAnsi="ITC Avant Garde" w:cs="Arial Unicode MS"/>
          <w:kern w:val="1"/>
          <w:sz w:val="22"/>
          <w:szCs w:val="22"/>
          <w:u w:color="000000"/>
          <w:bdr w:val="nil"/>
          <w:lang w:val="es-ES_tradnl" w:eastAsia="ar-SA"/>
        </w:rPr>
        <w:t xml:space="preserve">Presentación de Ofertas, </w:t>
      </w:r>
      <w:r w:rsidR="00437C96" w:rsidRPr="002D6F3F">
        <w:rPr>
          <w:rFonts w:ascii="ITC Avant Garde" w:eastAsia="Arial Unicode MS" w:hAnsi="ITC Avant Garde" w:cs="Arial Unicode MS"/>
          <w:kern w:val="1"/>
          <w:sz w:val="22"/>
          <w:szCs w:val="22"/>
          <w:u w:color="000000"/>
          <w:bdr w:val="nil"/>
          <w:lang w:val="es-ES_tradnl" w:eastAsia="ar-SA"/>
        </w:rPr>
        <w:t xml:space="preserve">mismas que se realizaron </w:t>
      </w:r>
      <w:r w:rsidR="006A19B3" w:rsidRPr="002D6F3F">
        <w:rPr>
          <w:rFonts w:ascii="ITC Avant Garde" w:eastAsia="Arial Unicode MS" w:hAnsi="ITC Avant Garde" w:cs="Arial Unicode MS"/>
          <w:kern w:val="1"/>
          <w:sz w:val="22"/>
          <w:szCs w:val="22"/>
          <w:u w:color="000000"/>
          <w:bdr w:val="nil"/>
          <w:lang w:val="es-ES_tradnl" w:eastAsia="ar-SA"/>
        </w:rPr>
        <w:t xml:space="preserve">vía Internet </w:t>
      </w:r>
      <w:r w:rsidR="00437C96" w:rsidRPr="002D6F3F">
        <w:rPr>
          <w:rFonts w:ascii="ITC Avant Garde" w:eastAsia="Arial Unicode MS" w:hAnsi="ITC Avant Garde" w:cs="Arial Unicode MS"/>
          <w:kern w:val="1"/>
          <w:sz w:val="22"/>
          <w:szCs w:val="22"/>
          <w:u w:color="000000"/>
          <w:bdr w:val="nil"/>
          <w:lang w:val="es-ES_tradnl" w:eastAsia="ar-SA"/>
        </w:rPr>
        <w:t>a través del SERPO.</w:t>
      </w:r>
    </w:p>
    <w:p w14:paraId="45CB0EA4" w14:textId="77777777" w:rsidR="00895559" w:rsidRPr="002D6F3F" w:rsidRDefault="00895559" w:rsidP="00895559">
      <w:pPr>
        <w:pStyle w:val="Prrafodelista"/>
        <w:spacing w:after="200"/>
        <w:ind w:left="720" w:right="49"/>
        <w:contextualSpacing/>
        <w:jc w:val="both"/>
        <w:rPr>
          <w:rFonts w:ascii="ITC Avant Garde" w:hAnsi="ITC Avant Garde" w:cs="Arial"/>
          <w:sz w:val="22"/>
          <w:szCs w:val="22"/>
          <w:lang w:val="es-ES_tradnl"/>
        </w:rPr>
      </w:pPr>
    </w:p>
    <w:p w14:paraId="7811B4B5" w14:textId="77777777" w:rsidR="002D6F3F" w:rsidRPr="00895559" w:rsidRDefault="0019454F" w:rsidP="002D6F3F">
      <w:pPr>
        <w:pStyle w:val="Prrafodelista"/>
        <w:numPr>
          <w:ilvl w:val="0"/>
          <w:numId w:val="1"/>
        </w:numPr>
        <w:spacing w:after="200"/>
        <w:ind w:right="49"/>
        <w:contextualSpacing/>
        <w:jc w:val="both"/>
        <w:rPr>
          <w:rFonts w:ascii="ITC Avant Garde" w:hAnsi="ITC Avant Garde" w:cs="Arial"/>
          <w:sz w:val="22"/>
          <w:szCs w:val="22"/>
          <w:lang w:val="es-ES_tradnl"/>
        </w:rPr>
      </w:pPr>
      <w:r w:rsidRPr="002D6F3F">
        <w:rPr>
          <w:rFonts w:ascii="ITC Avant Garde" w:eastAsia="Arial Unicode MS" w:hAnsi="ITC Avant Garde" w:cs="Arial Unicode MS"/>
          <w:kern w:val="1"/>
          <w:sz w:val="22"/>
          <w:szCs w:val="22"/>
          <w:u w:color="000000"/>
          <w:bdr w:val="nil"/>
          <w:lang w:val="es-ES_tradnl" w:eastAsia="ar-SA"/>
        </w:rPr>
        <w:t>El 7 de febrero de 2017</w:t>
      </w:r>
      <w:r w:rsidR="00B80B9B" w:rsidRPr="002D6F3F">
        <w:rPr>
          <w:rFonts w:ascii="ITC Avant Garde" w:eastAsia="Arial Unicode MS" w:hAnsi="ITC Avant Garde" w:cs="Arial Unicode MS"/>
          <w:kern w:val="1"/>
          <w:sz w:val="22"/>
          <w:szCs w:val="22"/>
          <w:u w:color="000000"/>
          <w:bdr w:val="nil"/>
          <w:lang w:val="es-ES_tradnl" w:eastAsia="ar-SA"/>
        </w:rPr>
        <w:t xml:space="preserve"> </w:t>
      </w:r>
      <w:r w:rsidRPr="002D6F3F">
        <w:rPr>
          <w:rFonts w:ascii="ITC Avant Garde" w:eastAsia="Arial Unicode MS" w:hAnsi="ITC Avant Garde" w:cs="Arial Unicode MS"/>
          <w:kern w:val="1"/>
          <w:sz w:val="22"/>
          <w:szCs w:val="22"/>
          <w:u w:color="000000"/>
          <w:bdr w:val="nil"/>
          <w:lang w:val="es-ES_tradnl" w:eastAsia="ar-SA"/>
        </w:rPr>
        <w:t xml:space="preserve">dio inicio </w:t>
      </w:r>
      <w:r w:rsidR="00720BA4" w:rsidRPr="002D6F3F">
        <w:rPr>
          <w:rFonts w:ascii="ITC Avant Garde" w:eastAsia="Arial Unicode MS" w:hAnsi="ITC Avant Garde" w:cs="Arial Unicode MS"/>
          <w:kern w:val="1"/>
          <w:sz w:val="22"/>
          <w:szCs w:val="22"/>
          <w:u w:color="000000"/>
          <w:bdr w:val="nil"/>
          <w:lang w:val="es-ES_tradnl" w:eastAsia="ar-SA"/>
        </w:rPr>
        <w:t xml:space="preserve">el Procedimiento de </w:t>
      </w:r>
      <w:r w:rsidRPr="002D6F3F">
        <w:rPr>
          <w:rFonts w:ascii="ITC Avant Garde" w:eastAsia="Arial Unicode MS" w:hAnsi="ITC Avant Garde" w:cs="Arial Unicode MS"/>
          <w:kern w:val="1"/>
          <w:sz w:val="22"/>
          <w:szCs w:val="22"/>
          <w:u w:color="000000"/>
          <w:bdr w:val="nil"/>
          <w:lang w:val="es-ES_tradnl" w:eastAsia="ar-SA"/>
        </w:rPr>
        <w:t>Presentación de Ofertas</w:t>
      </w:r>
      <w:r w:rsidR="005F6451" w:rsidRPr="002D6F3F">
        <w:rPr>
          <w:rFonts w:ascii="ITC Avant Garde" w:eastAsia="Arial Unicode MS" w:hAnsi="ITC Avant Garde" w:cs="Arial Unicode MS"/>
          <w:kern w:val="1"/>
          <w:sz w:val="22"/>
          <w:szCs w:val="22"/>
          <w:u w:color="000000"/>
          <w:bdr w:val="nil"/>
          <w:lang w:val="es-ES_tradnl" w:eastAsia="ar-SA"/>
        </w:rPr>
        <w:t xml:space="preserve">, </w:t>
      </w:r>
      <w:r w:rsidR="00720BA4" w:rsidRPr="002D6F3F">
        <w:rPr>
          <w:rFonts w:ascii="ITC Avant Garde" w:eastAsia="Arial Unicode MS" w:hAnsi="ITC Avant Garde" w:cs="Arial Unicode MS"/>
          <w:kern w:val="1"/>
          <w:sz w:val="22"/>
          <w:szCs w:val="22"/>
          <w:u w:color="000000"/>
          <w:bdr w:val="nil"/>
          <w:lang w:val="es-ES_tradnl" w:eastAsia="ar-SA"/>
        </w:rPr>
        <w:t>para</w:t>
      </w:r>
      <w:r w:rsidR="001B0368" w:rsidRPr="002D6F3F">
        <w:rPr>
          <w:rFonts w:ascii="ITC Avant Garde" w:eastAsia="Arial Unicode MS" w:hAnsi="ITC Avant Garde" w:cs="Arial Unicode MS"/>
          <w:kern w:val="1"/>
          <w:sz w:val="22"/>
          <w:szCs w:val="22"/>
          <w:u w:color="000000"/>
          <w:bdr w:val="nil"/>
          <w:lang w:val="es-ES_tradnl" w:eastAsia="ar-SA"/>
        </w:rPr>
        <w:t xml:space="preserve"> </w:t>
      </w:r>
      <w:r w:rsidR="008E61D0" w:rsidRPr="002D6F3F">
        <w:rPr>
          <w:rFonts w:ascii="ITC Avant Garde" w:eastAsia="Arial Unicode MS" w:hAnsi="ITC Avant Garde" w:cs="Arial Unicode MS"/>
          <w:kern w:val="1"/>
          <w:sz w:val="22"/>
          <w:szCs w:val="22"/>
          <w:u w:color="000000"/>
          <w:bdr w:val="nil"/>
          <w:lang w:val="es-ES_tradnl" w:eastAsia="ar-SA"/>
        </w:rPr>
        <w:t>el c</w:t>
      </w:r>
      <w:r w:rsidR="00A730A6" w:rsidRPr="002D6F3F">
        <w:rPr>
          <w:rFonts w:ascii="ITC Avant Garde" w:eastAsia="Arial Unicode MS" w:hAnsi="ITC Avant Garde" w:cs="Arial Unicode MS"/>
          <w:kern w:val="1"/>
          <w:sz w:val="22"/>
          <w:szCs w:val="22"/>
          <w:u w:color="000000"/>
          <w:bdr w:val="nil"/>
          <w:lang w:val="es-ES_tradnl" w:eastAsia="ar-SA"/>
        </w:rPr>
        <w:t>oncurso de la Banda</w:t>
      </w:r>
      <w:r w:rsidR="00720BA4" w:rsidRPr="002D6F3F">
        <w:rPr>
          <w:rFonts w:ascii="ITC Avant Garde" w:eastAsia="Arial Unicode MS" w:hAnsi="ITC Avant Garde" w:cs="Arial Unicode MS"/>
          <w:kern w:val="1"/>
          <w:sz w:val="22"/>
          <w:szCs w:val="22"/>
          <w:u w:color="000000"/>
          <w:bdr w:val="nil"/>
          <w:lang w:val="es-ES_tradnl" w:eastAsia="ar-SA"/>
        </w:rPr>
        <w:t xml:space="preserve"> FM</w:t>
      </w:r>
      <w:r w:rsidR="009E3601" w:rsidRPr="002D6F3F">
        <w:rPr>
          <w:rFonts w:ascii="ITC Avant Garde" w:eastAsia="Arial Unicode MS" w:hAnsi="ITC Avant Garde" w:cs="Arial Unicode MS"/>
          <w:kern w:val="1"/>
          <w:sz w:val="22"/>
          <w:szCs w:val="22"/>
          <w:u w:color="000000"/>
          <w:bdr w:val="nil"/>
          <w:lang w:val="es-ES_tradnl" w:eastAsia="ar-SA"/>
        </w:rPr>
        <w:t>, el cual concluyó el 13 de febrero de 2017</w:t>
      </w:r>
      <w:r w:rsidR="00720BA4" w:rsidRPr="002D6F3F">
        <w:rPr>
          <w:rFonts w:ascii="ITC Avant Garde" w:eastAsia="Arial Unicode MS" w:hAnsi="ITC Avant Garde" w:cs="Arial Unicode MS"/>
          <w:kern w:val="1"/>
          <w:sz w:val="22"/>
          <w:szCs w:val="22"/>
          <w:u w:color="000000"/>
          <w:bdr w:val="nil"/>
          <w:lang w:val="es-ES_tradnl" w:eastAsia="ar-SA"/>
        </w:rPr>
        <w:t>.</w:t>
      </w:r>
    </w:p>
    <w:p w14:paraId="1F4F71BC" w14:textId="77777777" w:rsidR="00895559" w:rsidRPr="002D6F3F" w:rsidRDefault="00895559" w:rsidP="00895559">
      <w:pPr>
        <w:pStyle w:val="Prrafodelista"/>
        <w:spacing w:after="200"/>
        <w:ind w:left="720" w:right="49"/>
        <w:contextualSpacing/>
        <w:jc w:val="both"/>
        <w:rPr>
          <w:rFonts w:ascii="ITC Avant Garde" w:hAnsi="ITC Avant Garde" w:cs="Arial"/>
          <w:sz w:val="22"/>
          <w:szCs w:val="22"/>
          <w:lang w:val="es-ES_tradnl"/>
        </w:rPr>
      </w:pPr>
    </w:p>
    <w:p w14:paraId="112EDF7F" w14:textId="77777777" w:rsidR="002D6F3F" w:rsidRPr="00895559" w:rsidRDefault="00720BA4" w:rsidP="002D6F3F">
      <w:pPr>
        <w:pStyle w:val="Prrafodelista"/>
        <w:numPr>
          <w:ilvl w:val="0"/>
          <w:numId w:val="1"/>
        </w:numPr>
        <w:spacing w:after="200"/>
        <w:ind w:right="49"/>
        <w:contextualSpacing/>
        <w:jc w:val="both"/>
        <w:rPr>
          <w:rFonts w:ascii="ITC Avant Garde" w:hAnsi="ITC Avant Garde" w:cs="Arial"/>
          <w:sz w:val="22"/>
          <w:szCs w:val="22"/>
          <w:lang w:val="es-ES_tradnl"/>
        </w:rPr>
      </w:pPr>
      <w:r w:rsidRPr="002D6F3F">
        <w:rPr>
          <w:rFonts w:ascii="ITC Avant Garde" w:eastAsia="Arial Unicode MS" w:hAnsi="ITC Avant Garde" w:cs="Arial Unicode MS"/>
          <w:kern w:val="1"/>
          <w:sz w:val="22"/>
          <w:szCs w:val="22"/>
          <w:u w:color="000000"/>
          <w:bdr w:val="nil"/>
          <w:lang w:val="es-ES_tradnl" w:eastAsia="ar-SA"/>
        </w:rPr>
        <w:t>El 14 de febrero de 2017</w:t>
      </w:r>
      <w:r w:rsidR="003A5C60" w:rsidRPr="002D6F3F">
        <w:rPr>
          <w:rFonts w:ascii="ITC Avant Garde" w:eastAsia="Arial Unicode MS" w:hAnsi="ITC Avant Garde" w:cs="Arial Unicode MS"/>
          <w:kern w:val="1"/>
          <w:sz w:val="22"/>
          <w:szCs w:val="22"/>
          <w:u w:color="000000"/>
          <w:bdr w:val="nil"/>
          <w:lang w:val="es-ES_tradnl" w:eastAsia="ar-SA"/>
        </w:rPr>
        <w:t xml:space="preserve"> se </w:t>
      </w:r>
      <w:r w:rsidR="00E120D5" w:rsidRPr="002D6F3F">
        <w:rPr>
          <w:rFonts w:ascii="ITC Avant Garde" w:eastAsia="Arial Unicode MS" w:hAnsi="ITC Avant Garde" w:cs="Arial Unicode MS"/>
          <w:kern w:val="1"/>
          <w:sz w:val="22"/>
          <w:szCs w:val="22"/>
          <w:u w:color="000000"/>
          <w:bdr w:val="nil"/>
          <w:lang w:val="es-ES_tradnl" w:eastAsia="ar-SA"/>
        </w:rPr>
        <w:t>publicaron en el Portal de Internet del Instituto los resultados de cada Lote del Concurso de la Banda FM. Además,</w:t>
      </w:r>
      <w:r w:rsidR="001B0368" w:rsidRPr="002D6F3F">
        <w:rPr>
          <w:rFonts w:ascii="ITC Avant Garde" w:eastAsia="Arial Unicode MS" w:hAnsi="ITC Avant Garde" w:cs="Arial Unicode MS"/>
          <w:kern w:val="1"/>
          <w:sz w:val="22"/>
          <w:szCs w:val="22"/>
          <w:u w:color="000000"/>
          <w:bdr w:val="nil"/>
          <w:lang w:val="es-ES_tradnl" w:eastAsia="ar-SA"/>
        </w:rPr>
        <w:t xml:space="preserve"> </w:t>
      </w:r>
      <w:r w:rsidRPr="002D6F3F">
        <w:rPr>
          <w:rFonts w:ascii="ITC Avant Garde" w:eastAsia="Arial Unicode MS" w:hAnsi="ITC Avant Garde" w:cs="Arial Unicode MS"/>
          <w:kern w:val="1"/>
          <w:sz w:val="22"/>
          <w:szCs w:val="22"/>
          <w:u w:color="000000"/>
          <w:bdr w:val="nil"/>
          <w:lang w:val="es-ES_tradnl" w:eastAsia="ar-SA"/>
        </w:rPr>
        <w:t>dio inicio el Procedimiento de Presentación de Ofertas para</w:t>
      </w:r>
      <w:r w:rsidR="001B0368" w:rsidRPr="002D6F3F">
        <w:rPr>
          <w:rFonts w:ascii="ITC Avant Garde" w:eastAsia="Arial Unicode MS" w:hAnsi="ITC Avant Garde" w:cs="Arial Unicode MS"/>
          <w:kern w:val="1"/>
          <w:sz w:val="22"/>
          <w:szCs w:val="22"/>
          <w:u w:color="000000"/>
          <w:bdr w:val="nil"/>
          <w:lang w:val="es-ES_tradnl" w:eastAsia="ar-SA"/>
        </w:rPr>
        <w:t xml:space="preserve"> </w:t>
      </w:r>
      <w:r w:rsidR="008E61D0" w:rsidRPr="002D6F3F">
        <w:rPr>
          <w:rFonts w:ascii="ITC Avant Garde" w:eastAsia="Arial Unicode MS" w:hAnsi="ITC Avant Garde" w:cs="Arial Unicode MS"/>
          <w:kern w:val="1"/>
          <w:sz w:val="22"/>
          <w:szCs w:val="22"/>
          <w:u w:color="000000"/>
          <w:bdr w:val="nil"/>
          <w:lang w:val="es-ES_tradnl" w:eastAsia="ar-SA"/>
        </w:rPr>
        <w:t>el concurso de la Banda</w:t>
      </w:r>
      <w:r w:rsidR="001B0368" w:rsidRPr="002D6F3F">
        <w:rPr>
          <w:rFonts w:ascii="ITC Avant Garde" w:eastAsia="Arial Unicode MS" w:hAnsi="ITC Avant Garde" w:cs="Arial Unicode MS"/>
          <w:kern w:val="1"/>
          <w:sz w:val="22"/>
          <w:szCs w:val="22"/>
          <w:u w:color="000000"/>
          <w:bdr w:val="nil"/>
          <w:lang w:val="es-ES_tradnl" w:eastAsia="ar-SA"/>
        </w:rPr>
        <w:t xml:space="preserve"> </w:t>
      </w:r>
      <w:r w:rsidR="00A62700" w:rsidRPr="002D6F3F">
        <w:rPr>
          <w:rFonts w:ascii="ITC Avant Garde" w:eastAsia="Arial Unicode MS" w:hAnsi="ITC Avant Garde" w:cs="Arial Unicode MS"/>
          <w:kern w:val="1"/>
          <w:sz w:val="22"/>
          <w:szCs w:val="22"/>
          <w:u w:color="000000"/>
          <w:bdr w:val="nil"/>
          <w:lang w:val="es-ES_tradnl" w:eastAsia="ar-SA"/>
        </w:rPr>
        <w:t>AM</w:t>
      </w:r>
      <w:r w:rsidR="009E3601" w:rsidRPr="002D6F3F">
        <w:rPr>
          <w:rFonts w:ascii="ITC Avant Garde" w:eastAsia="Arial Unicode MS" w:hAnsi="ITC Avant Garde" w:cs="Arial Unicode MS"/>
          <w:kern w:val="1"/>
          <w:sz w:val="22"/>
          <w:szCs w:val="22"/>
          <w:u w:color="000000"/>
          <w:bdr w:val="nil"/>
          <w:lang w:val="es-ES_tradnl" w:eastAsia="ar-SA"/>
        </w:rPr>
        <w:t>, el cual concluyó el 16 de febrero de 2017</w:t>
      </w:r>
      <w:r w:rsidR="00A62700" w:rsidRPr="002D6F3F">
        <w:rPr>
          <w:rFonts w:ascii="ITC Avant Garde" w:eastAsia="Arial Unicode MS" w:hAnsi="ITC Avant Garde" w:cs="Arial Unicode MS"/>
          <w:kern w:val="1"/>
          <w:sz w:val="22"/>
          <w:szCs w:val="22"/>
          <w:u w:color="000000"/>
          <w:bdr w:val="nil"/>
          <w:lang w:val="es-ES_tradnl" w:eastAsia="ar-SA"/>
        </w:rPr>
        <w:t>.</w:t>
      </w:r>
    </w:p>
    <w:p w14:paraId="0B282CE8" w14:textId="77777777" w:rsidR="00895559" w:rsidRPr="002D6F3F" w:rsidRDefault="00895559" w:rsidP="00895559">
      <w:pPr>
        <w:pStyle w:val="Prrafodelista"/>
        <w:spacing w:after="200"/>
        <w:ind w:left="720" w:right="49"/>
        <w:contextualSpacing/>
        <w:jc w:val="both"/>
        <w:rPr>
          <w:rFonts w:ascii="ITC Avant Garde" w:hAnsi="ITC Avant Garde" w:cs="Arial"/>
          <w:sz w:val="22"/>
          <w:szCs w:val="22"/>
          <w:lang w:val="es-ES_tradnl"/>
        </w:rPr>
      </w:pPr>
    </w:p>
    <w:p w14:paraId="249B41AF" w14:textId="77777777" w:rsidR="002D6F3F" w:rsidRPr="002D6F3F" w:rsidRDefault="00E120D5" w:rsidP="002D6F3F">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2D6F3F">
        <w:rPr>
          <w:rFonts w:ascii="ITC Avant Garde" w:eastAsia="Arial Unicode MS" w:hAnsi="ITC Avant Garde" w:cs="Arial Unicode MS"/>
          <w:kern w:val="1"/>
          <w:sz w:val="22"/>
          <w:szCs w:val="22"/>
          <w:u w:color="000000"/>
          <w:bdr w:val="nil"/>
          <w:lang w:val="es-ES_tradnl" w:eastAsia="ar-SA"/>
        </w:rPr>
        <w:t>El 17 de febrero de 2017 se publicaron en el Portal de Internet del Instituto los resultados de cada Lote del Concurso de la Banda AM.</w:t>
      </w:r>
    </w:p>
    <w:p w14:paraId="1DE76801" w14:textId="77C4BB18" w:rsidR="002D6F3F" w:rsidRDefault="005C4A99" w:rsidP="002D6F3F">
      <w:pPr>
        <w:spacing w:line="240" w:lineRule="auto"/>
        <w:ind w:right="49"/>
        <w:contextualSpacing/>
        <w:jc w:val="both"/>
        <w:rPr>
          <w:rFonts w:ascii="ITC Avant Garde" w:eastAsia="Times New Roman" w:hAnsi="ITC Avant Garde" w:cs="Arial"/>
          <w:lang w:eastAsia="es-MX"/>
        </w:rPr>
      </w:pPr>
      <w:r w:rsidRPr="002D6F3F">
        <w:rPr>
          <w:rFonts w:ascii="ITC Avant Garde" w:eastAsia="Times New Roman" w:hAnsi="ITC Avant Garde" w:cs="Arial"/>
          <w:lang w:eastAsia="es-MX"/>
        </w:rPr>
        <w:t>En virtud de los antecedentes señalados y,</w:t>
      </w:r>
    </w:p>
    <w:p w14:paraId="514A7B7B" w14:textId="77777777" w:rsidR="001A5779" w:rsidRPr="002D6F3F" w:rsidRDefault="001A5779" w:rsidP="002D6F3F">
      <w:pPr>
        <w:spacing w:line="240" w:lineRule="auto"/>
        <w:ind w:right="49"/>
        <w:contextualSpacing/>
        <w:jc w:val="both"/>
        <w:rPr>
          <w:rFonts w:ascii="ITC Avant Garde" w:eastAsia="Times New Roman" w:hAnsi="ITC Avant Garde" w:cs="Arial"/>
          <w:lang w:eastAsia="es-MX"/>
        </w:rPr>
      </w:pPr>
    </w:p>
    <w:p w14:paraId="45D09560" w14:textId="77777777" w:rsidR="002D6F3F" w:rsidRPr="002D6F3F" w:rsidRDefault="005C4A99" w:rsidP="002D6F3F">
      <w:pPr>
        <w:pBdr>
          <w:top w:val="nil"/>
          <w:left w:val="nil"/>
          <w:bottom w:val="nil"/>
          <w:right w:val="nil"/>
          <w:between w:val="nil"/>
          <w:bar w:val="nil"/>
        </w:pBdr>
        <w:spacing w:line="240" w:lineRule="auto"/>
        <w:contextualSpacing/>
        <w:jc w:val="center"/>
        <w:outlineLvl w:val="1"/>
        <w:rPr>
          <w:rFonts w:ascii="ITC Avant Garde" w:eastAsia="Arial Unicode MS" w:hAnsi="ITC Avant Garde" w:cs="Arial Unicode MS"/>
          <w:b/>
          <w:bCs/>
          <w:u w:color="000000"/>
          <w:bdr w:val="nil"/>
          <w:lang w:val="es-ES_tradnl"/>
        </w:rPr>
      </w:pPr>
      <w:r w:rsidRPr="002D6F3F">
        <w:rPr>
          <w:rFonts w:ascii="ITC Avant Garde" w:eastAsia="Arial Unicode MS" w:hAnsi="ITC Avant Garde" w:cs="Arial Unicode MS"/>
          <w:b/>
          <w:bCs/>
          <w:u w:color="000000"/>
          <w:bdr w:val="nil"/>
          <w:lang w:val="es-ES_tradnl"/>
        </w:rPr>
        <w:t>CONSIDERANDO</w:t>
      </w:r>
    </w:p>
    <w:p w14:paraId="061BE8F5" w14:textId="77777777" w:rsidR="001A5779" w:rsidRDefault="001A5779" w:rsidP="001A5779">
      <w:pPr>
        <w:pBdr>
          <w:top w:val="nil"/>
          <w:left w:val="nil"/>
          <w:bottom w:val="nil"/>
          <w:right w:val="nil"/>
          <w:between w:val="nil"/>
          <w:bar w:val="nil"/>
        </w:pBdr>
        <w:spacing w:line="240" w:lineRule="auto"/>
        <w:contextualSpacing/>
        <w:jc w:val="both"/>
        <w:rPr>
          <w:rFonts w:ascii="ITC Avant Garde" w:hAnsi="ITC Avant Garde" w:cs="Arial"/>
          <w:b/>
        </w:rPr>
      </w:pPr>
    </w:p>
    <w:p w14:paraId="78760A41" w14:textId="69A550DC" w:rsidR="002D6F3F" w:rsidRPr="002D6F3F" w:rsidRDefault="001A5779" w:rsidP="001A5779">
      <w:pPr>
        <w:pBdr>
          <w:top w:val="nil"/>
          <w:left w:val="nil"/>
          <w:bottom w:val="nil"/>
          <w:right w:val="nil"/>
          <w:between w:val="nil"/>
          <w:bar w:val="nil"/>
        </w:pBdr>
        <w:spacing w:line="240" w:lineRule="auto"/>
        <w:contextualSpacing/>
        <w:jc w:val="both"/>
        <w:rPr>
          <w:rFonts w:ascii="ITC Avant Garde" w:hAnsi="ITC Avant Garde" w:cs="Arial"/>
          <w:bCs/>
          <w:lang w:eastAsia="ar-SA"/>
        </w:rPr>
      </w:pPr>
      <w:r>
        <w:rPr>
          <w:rFonts w:ascii="ITC Avant Garde" w:hAnsi="ITC Avant Garde" w:cs="Arial"/>
          <w:b/>
        </w:rPr>
        <w:t>PRIMERO.</w:t>
      </w:r>
      <w:r>
        <w:rPr>
          <w:rFonts w:ascii="ITC Avant Garde" w:hAnsi="ITC Avant Garde" w:cs="Arial"/>
          <w:b/>
        </w:rPr>
        <w:tab/>
      </w:r>
      <w:r w:rsidR="00EC4A23" w:rsidRPr="002D6F3F">
        <w:rPr>
          <w:rFonts w:ascii="ITC Avant Garde" w:hAnsi="ITC Avant Garde" w:cs="Arial"/>
          <w:b/>
        </w:rPr>
        <w:t>Competencia del Instituto</w:t>
      </w:r>
      <w:r w:rsidR="00EC4A23" w:rsidRPr="002D6F3F">
        <w:rPr>
          <w:rFonts w:ascii="ITC Avant Garde" w:hAnsi="ITC Avant Garde" w:cs="Arial"/>
        </w:rPr>
        <w:t>.</w:t>
      </w:r>
      <w:r w:rsidR="00EC4A23" w:rsidRPr="002D6F3F">
        <w:rPr>
          <w:rFonts w:ascii="ITC Avant Garde" w:hAnsi="ITC Avant Garde" w:cs="Arial"/>
          <w:b/>
          <w:bCs/>
        </w:rPr>
        <w:t xml:space="preserve"> </w:t>
      </w:r>
      <w:r w:rsidR="00EC4A23" w:rsidRPr="002D6F3F">
        <w:rPr>
          <w:rFonts w:ascii="ITC Avant Garde" w:hAnsi="ITC Avant Garde" w:cs="Arial"/>
        </w:rPr>
        <w:t xml:space="preserve">De conformidad con lo dispuesto en los artículos 6o., </w:t>
      </w:r>
      <w:r w:rsidR="00EC4A23" w:rsidRPr="002D6F3F">
        <w:rPr>
          <w:rFonts w:ascii="ITC Avant Garde" w:hAnsi="ITC Avant Garde" w:cs="Arial"/>
          <w:lang w:eastAsia="es-MX"/>
        </w:rPr>
        <w:t>párrafo tercero y A</w:t>
      </w:r>
      <w:r w:rsidR="00EC4A23" w:rsidRPr="002D6F3F">
        <w:rPr>
          <w:rFonts w:ascii="ITC Avant Garde" w:hAnsi="ITC Avant Garde" w:cs="Arial"/>
        </w:rPr>
        <w:t>partado B, fracción III</w:t>
      </w:r>
      <w:r w:rsidR="00846B97" w:rsidRPr="002D6F3F">
        <w:rPr>
          <w:rFonts w:ascii="ITC Avant Garde" w:hAnsi="ITC Avant Garde" w:cs="Arial"/>
        </w:rPr>
        <w:t>,</w:t>
      </w:r>
      <w:r w:rsidR="00EC4A23" w:rsidRPr="002D6F3F">
        <w:rPr>
          <w:rFonts w:ascii="ITC Avant Garde" w:hAnsi="ITC Avant Garde" w:cs="Arial"/>
        </w:rPr>
        <w:t xml:space="preserve"> 27, párrafos cuarto y sexto y 28, párrafos décimo primero, décimo quinto, décimo sexto, décimo séptimo y décimo octavo </w:t>
      </w:r>
      <w:r w:rsidR="00856CF2" w:rsidRPr="002D6F3F">
        <w:rPr>
          <w:rFonts w:ascii="ITC Avant Garde" w:hAnsi="ITC Avant Garde" w:cs="Arial"/>
        </w:rPr>
        <w:t>y 134</w:t>
      </w:r>
      <w:r w:rsidR="00EC4A23" w:rsidRPr="002D6F3F">
        <w:rPr>
          <w:rFonts w:ascii="ITC Avant Garde" w:hAnsi="ITC Avant Garde" w:cs="Arial"/>
        </w:rPr>
        <w:t xml:space="preserve"> </w:t>
      </w:r>
      <w:r w:rsidR="00EC4A23" w:rsidRPr="002D6F3F">
        <w:rPr>
          <w:rFonts w:ascii="ITC Avant Garde" w:hAnsi="ITC Avant Garde" w:cs="Arial"/>
        </w:rPr>
        <w:lastRenderedPageBreak/>
        <w:t>de la Constitución Política de los Estados Unidos Mexicanos (Constitución); 1, 2, 7</w:t>
      </w:r>
      <w:r w:rsidR="00E153F6" w:rsidRPr="002D6F3F">
        <w:rPr>
          <w:rFonts w:ascii="ITC Avant Garde" w:hAnsi="ITC Avant Garde" w:cs="Arial"/>
        </w:rPr>
        <w:t xml:space="preserve"> y</w:t>
      </w:r>
      <w:r w:rsidR="00EC4A23" w:rsidRPr="002D6F3F">
        <w:rPr>
          <w:rFonts w:ascii="ITC Avant Garde" w:hAnsi="ITC Avant Garde" w:cs="Arial"/>
        </w:rPr>
        <w:t xml:space="preserve"> 15</w:t>
      </w:r>
      <w:r w:rsidR="00E153F6" w:rsidRPr="002D6F3F">
        <w:rPr>
          <w:rFonts w:ascii="ITC Avant Garde" w:hAnsi="ITC Avant Garde" w:cs="Arial"/>
        </w:rPr>
        <w:t xml:space="preserve">, fracciones </w:t>
      </w:r>
      <w:r w:rsidR="00EC4A23" w:rsidRPr="002D6F3F">
        <w:rPr>
          <w:rFonts w:ascii="ITC Avant Garde" w:hAnsi="ITC Avant Garde" w:cs="Arial"/>
        </w:rPr>
        <w:t>VII, XVIII y LXII</w:t>
      </w:r>
      <w:r w:rsidR="00846B97" w:rsidRPr="002D6F3F">
        <w:rPr>
          <w:rFonts w:ascii="ITC Avant Garde" w:hAnsi="ITC Avant Garde" w:cs="Arial"/>
        </w:rPr>
        <w:t xml:space="preserve">I </w:t>
      </w:r>
      <w:r w:rsidR="00EC4A23" w:rsidRPr="002D6F3F">
        <w:rPr>
          <w:rFonts w:ascii="ITC Avant Garde" w:hAnsi="ITC Avant Garde" w:cs="Arial"/>
        </w:rPr>
        <w:t>de la Ley, el Instituto es un órgano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14:paraId="00144321" w14:textId="77777777" w:rsidR="002D6F3F" w:rsidRDefault="00EC4A23" w:rsidP="001A5779">
      <w:pPr>
        <w:suppressAutoHyphens/>
        <w:spacing w:line="240" w:lineRule="auto"/>
        <w:ind w:right="-62"/>
        <w:contextualSpacing/>
        <w:jc w:val="both"/>
        <w:rPr>
          <w:rFonts w:ascii="ITC Avant Garde" w:hAnsi="ITC Avant Garde" w:cs="Arial"/>
        </w:rPr>
      </w:pPr>
      <w:r w:rsidRPr="001A5779">
        <w:rPr>
          <w:rFonts w:ascii="ITC Avant Garde" w:hAnsi="ITC Avant Garde" w:cs="Arial"/>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5D81C73E" w14:textId="77777777" w:rsidR="001A5779" w:rsidRPr="001A5779" w:rsidRDefault="001A5779" w:rsidP="001A5779">
      <w:pPr>
        <w:suppressAutoHyphens/>
        <w:spacing w:line="240" w:lineRule="auto"/>
        <w:ind w:right="-62"/>
        <w:contextualSpacing/>
        <w:jc w:val="both"/>
        <w:rPr>
          <w:rFonts w:ascii="ITC Avant Garde" w:hAnsi="ITC Avant Garde" w:cs="Arial"/>
        </w:rPr>
      </w:pPr>
    </w:p>
    <w:p w14:paraId="1042DFF8" w14:textId="77777777" w:rsidR="002D6F3F" w:rsidRDefault="00EC4A23" w:rsidP="001A5779">
      <w:pPr>
        <w:suppressAutoHyphens/>
        <w:spacing w:line="240" w:lineRule="auto"/>
        <w:ind w:right="-62"/>
        <w:contextualSpacing/>
        <w:jc w:val="both"/>
        <w:rPr>
          <w:rFonts w:ascii="ITC Avant Garde" w:hAnsi="ITC Avant Garde" w:cs="Arial"/>
        </w:rPr>
      </w:pPr>
      <w:r w:rsidRPr="001A5779">
        <w:rPr>
          <w:rFonts w:ascii="ITC Avant Garde" w:hAnsi="ITC Avant Garde" w:cs="Arial"/>
        </w:rPr>
        <w:t xml:space="preserve">En ese sentido, como órgano máximo de gobierno del Instituto, el Pleno resulta competente para emitir </w:t>
      </w:r>
      <w:r w:rsidR="009E3601" w:rsidRPr="001A5779">
        <w:rPr>
          <w:rFonts w:ascii="ITC Avant Garde" w:hAnsi="ITC Avant Garde" w:cs="Arial"/>
        </w:rPr>
        <w:t xml:space="preserve">la </w:t>
      </w:r>
      <w:r w:rsidRPr="001A5779">
        <w:rPr>
          <w:rFonts w:ascii="ITC Avant Garde" w:hAnsi="ITC Avant Garde" w:cs="Arial"/>
        </w:rPr>
        <w:t xml:space="preserve">presente </w:t>
      </w:r>
      <w:r w:rsidR="009E3601" w:rsidRPr="001A5779">
        <w:rPr>
          <w:rFonts w:ascii="ITC Avant Garde" w:hAnsi="ITC Avant Garde" w:cs="Arial"/>
        </w:rPr>
        <w:t>Acta de Fallo</w:t>
      </w:r>
      <w:r w:rsidRPr="001A5779">
        <w:rPr>
          <w:rFonts w:ascii="ITC Avant Garde" w:hAnsi="ITC Avant Garde" w:cs="Arial"/>
        </w:rPr>
        <w:t>.</w:t>
      </w:r>
    </w:p>
    <w:p w14:paraId="19B8B198" w14:textId="77777777" w:rsidR="001A5779" w:rsidRPr="001A5779" w:rsidRDefault="001A5779" w:rsidP="001A5779">
      <w:pPr>
        <w:suppressAutoHyphens/>
        <w:spacing w:line="240" w:lineRule="auto"/>
        <w:ind w:right="-62"/>
        <w:contextualSpacing/>
        <w:jc w:val="both"/>
        <w:rPr>
          <w:rFonts w:ascii="ITC Avant Garde" w:hAnsi="ITC Avant Garde" w:cs="Arial"/>
        </w:rPr>
      </w:pPr>
    </w:p>
    <w:p w14:paraId="684EA5E8" w14:textId="2B9C494F" w:rsidR="002D6F3F" w:rsidRDefault="001A5779" w:rsidP="001A5779">
      <w:pPr>
        <w:pBdr>
          <w:top w:val="nil"/>
          <w:left w:val="nil"/>
          <w:bottom w:val="nil"/>
          <w:right w:val="nil"/>
          <w:between w:val="nil"/>
          <w:bar w:val="nil"/>
        </w:pBdr>
        <w:spacing w:line="240" w:lineRule="auto"/>
        <w:contextualSpacing/>
        <w:jc w:val="both"/>
        <w:rPr>
          <w:rFonts w:ascii="ITC Avant Garde" w:hAnsi="ITC Avant Garde" w:cs="Arial"/>
          <w:bCs/>
        </w:rPr>
      </w:pPr>
      <w:r>
        <w:rPr>
          <w:rFonts w:ascii="ITC Avant Garde" w:hAnsi="ITC Avant Garde" w:cs="Arial"/>
          <w:b/>
          <w:bCs/>
        </w:rPr>
        <w:t>SEGUNDO.</w:t>
      </w:r>
      <w:r>
        <w:rPr>
          <w:rFonts w:ascii="ITC Avant Garde" w:hAnsi="ITC Avant Garde" w:cs="Arial"/>
          <w:b/>
          <w:bCs/>
        </w:rPr>
        <w:tab/>
      </w:r>
      <w:r w:rsidR="00EC4A23" w:rsidRPr="002D6F3F">
        <w:rPr>
          <w:rFonts w:ascii="ITC Avant Garde" w:hAnsi="ITC Avant Garde" w:cs="Arial"/>
          <w:b/>
          <w:bCs/>
        </w:rPr>
        <w:t xml:space="preserve">Marco Normativo de la Licitación No. IFT-4. </w:t>
      </w:r>
      <w:r w:rsidR="00EC4A23" w:rsidRPr="002D6F3F">
        <w:rPr>
          <w:rFonts w:ascii="ITC Avant Garde" w:hAnsi="ITC Avant Garde" w:cs="Arial"/>
          <w:bCs/>
        </w:rPr>
        <w:t>Los párrafos décimo primero y décimo octavo del artículo 28 de la Constitución establecen a la letra:</w:t>
      </w:r>
    </w:p>
    <w:p w14:paraId="25B52BE0" w14:textId="77777777" w:rsidR="001A5779" w:rsidRPr="002D6F3F" w:rsidRDefault="001A5779" w:rsidP="001A5779">
      <w:pPr>
        <w:pBdr>
          <w:top w:val="nil"/>
          <w:left w:val="nil"/>
          <w:bottom w:val="nil"/>
          <w:right w:val="nil"/>
          <w:between w:val="nil"/>
          <w:bar w:val="nil"/>
        </w:pBdr>
        <w:spacing w:line="240" w:lineRule="auto"/>
        <w:contextualSpacing/>
        <w:jc w:val="both"/>
        <w:rPr>
          <w:rFonts w:ascii="ITC Avant Garde" w:hAnsi="ITC Avant Garde" w:cs="Arial"/>
        </w:rPr>
      </w:pPr>
    </w:p>
    <w:p w14:paraId="4A97AB23" w14:textId="7096E7FC" w:rsidR="00EC4A23" w:rsidRPr="002D6F3F" w:rsidRDefault="00EC4A23" w:rsidP="002D6F3F">
      <w:pPr>
        <w:spacing w:line="240" w:lineRule="auto"/>
        <w:ind w:left="1134" w:right="1182"/>
        <w:contextualSpacing/>
        <w:jc w:val="both"/>
        <w:rPr>
          <w:rFonts w:ascii="ITC Avant Garde" w:hAnsi="ITC Avant Garde" w:cs="Arial"/>
          <w:sz w:val="20"/>
          <w:szCs w:val="20"/>
        </w:rPr>
      </w:pPr>
      <w:r w:rsidRPr="002D6F3F">
        <w:rPr>
          <w:rFonts w:ascii="ITC Avant Garde" w:hAnsi="ITC Avant Garde" w:cs="Arial"/>
          <w:sz w:val="20"/>
          <w:szCs w:val="20"/>
        </w:rPr>
        <w:t>“</w:t>
      </w:r>
      <w:r w:rsidRPr="002D6F3F">
        <w:rPr>
          <w:rFonts w:ascii="ITC Avant Garde" w:hAnsi="ITC Avant Garde" w:cs="Arial"/>
          <w:b/>
          <w:sz w:val="20"/>
          <w:szCs w:val="20"/>
        </w:rPr>
        <w:t>Artículo 28.</w:t>
      </w:r>
    </w:p>
    <w:p w14:paraId="378D42DE" w14:textId="77777777" w:rsidR="00EC4A23" w:rsidRPr="002D6F3F" w:rsidRDefault="00EC4A23" w:rsidP="002D6F3F">
      <w:pPr>
        <w:spacing w:line="240" w:lineRule="auto"/>
        <w:ind w:left="1134" w:right="1182"/>
        <w:contextualSpacing/>
        <w:jc w:val="both"/>
        <w:rPr>
          <w:rFonts w:ascii="ITC Avant Garde" w:hAnsi="ITC Avant Garde" w:cs="Arial"/>
          <w:sz w:val="20"/>
          <w:szCs w:val="20"/>
        </w:rPr>
      </w:pPr>
      <w:r w:rsidRPr="002D6F3F">
        <w:rPr>
          <w:rFonts w:ascii="ITC Avant Garde" w:hAnsi="ITC Avant Garde" w:cs="Arial"/>
          <w:sz w:val="20"/>
          <w:szCs w:val="20"/>
        </w:rPr>
        <w:t>(…)</w:t>
      </w:r>
    </w:p>
    <w:p w14:paraId="414B20BB" w14:textId="77777777" w:rsidR="00EC4A23" w:rsidRPr="002D6F3F" w:rsidRDefault="00EC4A23" w:rsidP="002D6F3F">
      <w:pPr>
        <w:spacing w:line="240" w:lineRule="auto"/>
        <w:ind w:left="1134" w:right="1182"/>
        <w:contextualSpacing/>
        <w:jc w:val="both"/>
        <w:rPr>
          <w:rFonts w:ascii="ITC Avant Garde" w:hAnsi="ITC Avant Garde" w:cs="Arial"/>
          <w:sz w:val="20"/>
          <w:szCs w:val="20"/>
        </w:rPr>
      </w:pPr>
      <w:r w:rsidRPr="002D6F3F">
        <w:rPr>
          <w:rFonts w:ascii="ITC Avant Garde" w:hAnsi="ITC Avant Garde" w:cs="Arial"/>
          <w:sz w:val="20"/>
          <w:szCs w:val="20"/>
        </w:rPr>
        <w:t>El Estado, sujetándose a las leyes, podrá en casos de interés general, concesionar la prestación de servicios públicos o la explotación, uso y aprovechamiento de bienes de dominio de la Federación, salvo las excepciones que las mismas prevengan. Las leyes fijarán las modalidades y condiciones que aseguren la eficacia de la prestación de los servicios y la utilización social de los bienes, y evitarán fenómenos de concentración que contraríen el interés público.</w:t>
      </w:r>
    </w:p>
    <w:p w14:paraId="7A3376DA" w14:textId="77777777" w:rsidR="00EC4A23" w:rsidRPr="002D6F3F" w:rsidRDefault="00EC4A23" w:rsidP="002D6F3F">
      <w:pPr>
        <w:spacing w:line="240" w:lineRule="auto"/>
        <w:ind w:left="1134" w:right="1182"/>
        <w:contextualSpacing/>
        <w:jc w:val="both"/>
        <w:rPr>
          <w:rFonts w:ascii="ITC Avant Garde" w:hAnsi="ITC Avant Garde" w:cs="Arial"/>
          <w:sz w:val="20"/>
          <w:szCs w:val="20"/>
        </w:rPr>
      </w:pPr>
      <w:r w:rsidRPr="002D6F3F">
        <w:rPr>
          <w:rFonts w:ascii="ITC Avant Garde" w:hAnsi="ITC Avant Garde" w:cs="Arial"/>
          <w:sz w:val="20"/>
          <w:szCs w:val="20"/>
        </w:rPr>
        <w:t>(…)</w:t>
      </w:r>
    </w:p>
    <w:p w14:paraId="23638FFE" w14:textId="7F37AEAF" w:rsidR="00EC4A23" w:rsidRPr="002D6F3F" w:rsidRDefault="00EC4A23" w:rsidP="002D6F3F">
      <w:pPr>
        <w:spacing w:line="240" w:lineRule="auto"/>
        <w:ind w:left="1134" w:right="1182"/>
        <w:contextualSpacing/>
        <w:jc w:val="both"/>
        <w:rPr>
          <w:rFonts w:ascii="ITC Avant Garde" w:hAnsi="ITC Avant Garde" w:cs="Arial"/>
          <w:sz w:val="20"/>
          <w:szCs w:val="20"/>
        </w:rPr>
      </w:pPr>
      <w:r w:rsidRPr="002D6F3F">
        <w:rPr>
          <w:rFonts w:ascii="ITC Avant Garde" w:hAnsi="ITC Avant Garde" w:cs="Arial"/>
          <w:b/>
          <w:sz w:val="20"/>
          <w:szCs w:val="20"/>
          <w:u w:val="single"/>
        </w:rPr>
        <w:t>Las concesiones de espectro radioeléctrico serán otorgadas mediante licitación pública,</w:t>
      </w:r>
      <w:r w:rsidRPr="002D6F3F">
        <w:rPr>
          <w:rFonts w:ascii="ITC Avant Garde" w:hAnsi="ITC Avant Garde" w:cs="Arial"/>
          <w:sz w:val="20"/>
          <w:szCs w:val="20"/>
          <w:u w:val="single"/>
        </w:rPr>
        <w:t xml:space="preserve"> </w:t>
      </w:r>
      <w:r w:rsidRPr="002D6F3F">
        <w:rPr>
          <w:rFonts w:ascii="ITC Avant Garde" w:hAnsi="ITC Avant Garde" w:cs="Arial"/>
          <w:b/>
          <w:sz w:val="20"/>
          <w:szCs w:val="20"/>
          <w:u w:val="single"/>
        </w:rPr>
        <w:t>a fin de asegurar la máxima concurrencia, previniendo fenómenos de concentración que contraríen el interés público</w:t>
      </w:r>
      <w:r w:rsidRPr="002D6F3F">
        <w:rPr>
          <w:rFonts w:ascii="ITC Avant Garde" w:hAnsi="ITC Avant Garde" w:cs="Arial"/>
          <w:b/>
          <w:sz w:val="20"/>
          <w:szCs w:val="20"/>
        </w:rPr>
        <w:t xml:space="preserve"> </w:t>
      </w:r>
      <w:r w:rsidRPr="002D6F3F">
        <w:rPr>
          <w:rFonts w:ascii="ITC Avant Garde" w:hAnsi="ITC Avant Garde" w:cs="Arial"/>
          <w:sz w:val="20"/>
          <w:szCs w:val="20"/>
        </w:rPr>
        <w:t>y asegurando el menor precio de los servicios al usuario final; en ningún caso el factor determinante para definir al ganador de la licitación será meramente económico. Las concesiones para uso público y social serán sin fines de lucro y se otorgarán bajo el mecanismo de asignación directa conforme a lo previsto por la ley y en condiciones que garanticen la transparencia del procedimiento.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w:t>
      </w:r>
      <w:r w:rsidR="001A5779">
        <w:rPr>
          <w:rFonts w:ascii="ITC Avant Garde" w:hAnsi="ITC Avant Garde" w:cs="Arial"/>
          <w:sz w:val="20"/>
          <w:szCs w:val="20"/>
        </w:rPr>
        <w:t>ervicio.</w:t>
      </w:r>
    </w:p>
    <w:p w14:paraId="1F6D9266" w14:textId="77777777" w:rsidR="002D6F3F" w:rsidRPr="002D6F3F" w:rsidRDefault="00E153F6" w:rsidP="002D6F3F">
      <w:pPr>
        <w:spacing w:line="240" w:lineRule="auto"/>
        <w:ind w:left="1134" w:right="1182"/>
        <w:contextualSpacing/>
        <w:jc w:val="both"/>
        <w:rPr>
          <w:rFonts w:ascii="ITC Avant Garde" w:hAnsi="ITC Avant Garde" w:cs="Arial"/>
          <w:sz w:val="20"/>
          <w:szCs w:val="20"/>
        </w:rPr>
      </w:pPr>
      <w:r w:rsidRPr="002D6F3F">
        <w:rPr>
          <w:rFonts w:ascii="ITC Avant Garde" w:hAnsi="ITC Avant Garde" w:cs="Arial"/>
          <w:sz w:val="20"/>
          <w:szCs w:val="20"/>
        </w:rPr>
        <w:t>(</w:t>
      </w:r>
      <w:r w:rsidR="00EC4A23" w:rsidRPr="002D6F3F">
        <w:rPr>
          <w:rFonts w:ascii="ITC Avant Garde" w:hAnsi="ITC Avant Garde" w:cs="Arial"/>
          <w:sz w:val="20"/>
          <w:szCs w:val="20"/>
        </w:rPr>
        <w:t>…</w:t>
      </w:r>
      <w:r w:rsidRPr="002D6F3F">
        <w:rPr>
          <w:rFonts w:ascii="ITC Avant Garde" w:hAnsi="ITC Avant Garde" w:cs="Arial"/>
          <w:sz w:val="20"/>
          <w:szCs w:val="20"/>
        </w:rPr>
        <w:t>)</w:t>
      </w:r>
      <w:r w:rsidR="00EC4A23" w:rsidRPr="002D6F3F">
        <w:rPr>
          <w:rFonts w:ascii="ITC Avant Garde" w:hAnsi="ITC Avant Garde" w:cs="Arial"/>
          <w:sz w:val="20"/>
          <w:szCs w:val="20"/>
        </w:rPr>
        <w:t>”</w:t>
      </w:r>
    </w:p>
    <w:p w14:paraId="7C99F45D" w14:textId="77777777" w:rsidR="001A5779" w:rsidRDefault="001A5779" w:rsidP="002D6F3F">
      <w:pPr>
        <w:suppressAutoHyphens/>
        <w:spacing w:line="240" w:lineRule="auto"/>
        <w:ind w:right="-62"/>
        <w:contextualSpacing/>
        <w:jc w:val="both"/>
        <w:rPr>
          <w:rFonts w:ascii="ITC Avant Garde" w:hAnsi="ITC Avant Garde" w:cs="Arial"/>
        </w:rPr>
      </w:pPr>
    </w:p>
    <w:p w14:paraId="1E09441D" w14:textId="13D4AD24" w:rsidR="002D6F3F" w:rsidRDefault="00EC4A23" w:rsidP="002D6F3F">
      <w:pPr>
        <w:suppressAutoHyphens/>
        <w:spacing w:line="240" w:lineRule="auto"/>
        <w:ind w:right="-62"/>
        <w:contextualSpacing/>
        <w:jc w:val="both"/>
        <w:rPr>
          <w:rFonts w:ascii="ITC Avant Garde" w:hAnsi="ITC Avant Garde"/>
        </w:rPr>
      </w:pPr>
      <w:r w:rsidRPr="002D6F3F">
        <w:rPr>
          <w:rFonts w:ascii="ITC Avant Garde" w:hAnsi="ITC Avant Garde" w:cs="Arial"/>
        </w:rPr>
        <w:t xml:space="preserve">De lo anterior se desprende que el Estado podrá concesionar la prestación de los servicios públicos de telecomunicaciones y radiodifusión, así como la explotación, uso y </w:t>
      </w:r>
      <w:r w:rsidRPr="002D6F3F">
        <w:rPr>
          <w:rFonts w:ascii="ITC Avant Garde" w:hAnsi="ITC Avant Garde" w:cs="Arial"/>
        </w:rPr>
        <w:lastRenderedPageBreak/>
        <w:t>aprovechamiento de bienes de dominio de la Federación, para lo cual deberá asegurar la máxima concurrencia y evitar que se generen fenómenos de concentración contrarios al interés público. Asimismo, tratándose de concesiones de espectro radioeléctrico, éstas serán otorgadas mediante licitación pública, excepto las concesiones para uso público y social, las cuales se otorgarán por asignación directa, sujeto a disponibilidad</w:t>
      </w:r>
      <w:r w:rsidR="001A5779">
        <w:rPr>
          <w:rFonts w:ascii="ITC Avant Garde" w:hAnsi="ITC Avant Garde"/>
        </w:rPr>
        <w:t>.</w:t>
      </w:r>
    </w:p>
    <w:p w14:paraId="4C1D1C54" w14:textId="77777777" w:rsidR="001A5779" w:rsidRPr="002D6F3F" w:rsidRDefault="001A5779" w:rsidP="002D6F3F">
      <w:pPr>
        <w:suppressAutoHyphens/>
        <w:spacing w:line="240" w:lineRule="auto"/>
        <w:ind w:right="-62"/>
        <w:contextualSpacing/>
        <w:jc w:val="both"/>
        <w:rPr>
          <w:rFonts w:ascii="ITC Avant Garde" w:hAnsi="ITC Avant Garde" w:cs="Arial"/>
        </w:rPr>
      </w:pPr>
    </w:p>
    <w:p w14:paraId="2013C9AE" w14:textId="77777777" w:rsidR="002D6F3F" w:rsidRDefault="00EC4A23" w:rsidP="002D6F3F">
      <w:pPr>
        <w:suppressAutoHyphens/>
        <w:spacing w:line="240" w:lineRule="auto"/>
        <w:ind w:right="49"/>
        <w:contextualSpacing/>
        <w:jc w:val="both"/>
        <w:rPr>
          <w:rFonts w:ascii="ITC Avant Garde" w:eastAsia="Times New Roman" w:hAnsi="ITC Avant Garde" w:cs="Arial"/>
          <w:kern w:val="2"/>
          <w:lang w:eastAsia="ar-SA"/>
        </w:rPr>
      </w:pPr>
      <w:r w:rsidRPr="002D6F3F">
        <w:rPr>
          <w:rFonts w:ascii="ITC Avant Garde" w:eastAsia="Times New Roman" w:hAnsi="ITC Avant Garde" w:cs="Arial"/>
          <w:kern w:val="2"/>
          <w:lang w:eastAsia="ar-SA"/>
        </w:rPr>
        <w:t>Por su parte, el artículo 54 de la Ley establece que la administración del espectro radioeléctrico y los recursos orbitales se ejercerá por el Instituto en el actuar de sus funciones según lo dispuesto por la Constitución, en la Ley, en los tratados y acuerdos internacionales firmados por México y, en lo aplicable, siguiendo las recomendaciones de la Unión Internacional de Telecomunicaciones y ot</w:t>
      </w:r>
      <w:r w:rsidR="00846B97" w:rsidRPr="002D6F3F">
        <w:rPr>
          <w:rFonts w:ascii="ITC Avant Garde" w:eastAsia="Times New Roman" w:hAnsi="ITC Avant Garde" w:cs="Arial"/>
          <w:kern w:val="2"/>
          <w:lang w:eastAsia="ar-SA"/>
        </w:rPr>
        <w:t>ros organismos internacionales.</w:t>
      </w:r>
    </w:p>
    <w:p w14:paraId="610303C2" w14:textId="77777777" w:rsidR="001A5779" w:rsidRPr="002D6F3F" w:rsidRDefault="001A5779" w:rsidP="002D6F3F">
      <w:pPr>
        <w:suppressAutoHyphens/>
        <w:spacing w:line="240" w:lineRule="auto"/>
        <w:ind w:right="49"/>
        <w:contextualSpacing/>
        <w:jc w:val="both"/>
        <w:rPr>
          <w:rFonts w:ascii="ITC Avant Garde" w:eastAsia="Times New Roman" w:hAnsi="ITC Avant Garde" w:cs="Arial"/>
          <w:kern w:val="2"/>
          <w:lang w:eastAsia="ar-SA"/>
        </w:rPr>
      </w:pPr>
    </w:p>
    <w:p w14:paraId="7BF66BF3" w14:textId="77777777" w:rsidR="002D6F3F" w:rsidRDefault="00EC4A23" w:rsidP="002D6F3F">
      <w:pPr>
        <w:suppressAutoHyphens/>
        <w:spacing w:line="240" w:lineRule="auto"/>
        <w:ind w:right="49"/>
        <w:contextualSpacing/>
        <w:jc w:val="both"/>
        <w:rPr>
          <w:rFonts w:ascii="ITC Avant Garde" w:eastAsia="Times New Roman" w:hAnsi="ITC Avant Garde" w:cs="Arial"/>
          <w:kern w:val="2"/>
          <w:lang w:eastAsia="ar-SA"/>
        </w:rPr>
      </w:pPr>
      <w:r w:rsidRPr="002D6F3F">
        <w:rPr>
          <w:rFonts w:ascii="ITC Avant Garde" w:eastAsia="Times New Roman" w:hAnsi="ITC Avant Garde" w:cs="Arial"/>
          <w:kern w:val="2"/>
          <w:lang w:eastAsia="ar-SA"/>
        </w:rPr>
        <w:t>La administración del espectro radioeléctrico comprende la elaboración y aprobación de planes y programas de su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4BB426D5" w14:textId="77777777" w:rsidR="001A5779" w:rsidRPr="002D6F3F" w:rsidRDefault="001A5779" w:rsidP="002D6F3F">
      <w:pPr>
        <w:suppressAutoHyphens/>
        <w:spacing w:line="240" w:lineRule="auto"/>
        <w:ind w:right="49"/>
        <w:contextualSpacing/>
        <w:jc w:val="both"/>
        <w:rPr>
          <w:rFonts w:ascii="ITC Avant Garde" w:eastAsia="Times New Roman" w:hAnsi="ITC Avant Garde" w:cs="Arial"/>
          <w:kern w:val="2"/>
          <w:lang w:eastAsia="ar-SA"/>
        </w:rPr>
      </w:pPr>
    </w:p>
    <w:p w14:paraId="68F9FD69" w14:textId="59428ECC" w:rsidR="002D6F3F" w:rsidRDefault="00EC4A23" w:rsidP="002D6F3F">
      <w:pPr>
        <w:tabs>
          <w:tab w:val="left" w:pos="7655"/>
        </w:tabs>
        <w:spacing w:line="240" w:lineRule="auto"/>
        <w:ind w:right="-62"/>
        <w:contextualSpacing/>
        <w:jc w:val="both"/>
        <w:rPr>
          <w:rFonts w:ascii="ITC Avant Garde" w:hAnsi="ITC Avant Garde" w:cs="Arial"/>
        </w:rPr>
      </w:pPr>
      <w:r w:rsidRPr="002D6F3F">
        <w:rPr>
          <w:rFonts w:ascii="ITC Avant Garde" w:hAnsi="ITC Avant Garde" w:cs="Arial"/>
        </w:rPr>
        <w:t xml:space="preserve">En ese sentido, el artículo 15, fracción VII de la </w:t>
      </w:r>
      <w:r w:rsidRPr="002D6F3F">
        <w:rPr>
          <w:rFonts w:ascii="ITC Avant Garde" w:eastAsia="Times New Roman" w:hAnsi="ITC Avant Garde" w:cs="Arial"/>
          <w:kern w:val="2"/>
          <w:lang w:eastAsia="ar-SA"/>
        </w:rPr>
        <w:t>Ley</w:t>
      </w:r>
      <w:r w:rsidRPr="002D6F3F">
        <w:rPr>
          <w:rFonts w:ascii="ITC Avant Garde" w:hAnsi="ITC Avant Garde" w:cs="Arial"/>
        </w:rPr>
        <w:t xml:space="preserve"> establece:</w:t>
      </w:r>
    </w:p>
    <w:p w14:paraId="696D04A5" w14:textId="77777777" w:rsidR="001A5779" w:rsidRPr="002D6F3F" w:rsidRDefault="001A5779" w:rsidP="002D6F3F">
      <w:pPr>
        <w:tabs>
          <w:tab w:val="left" w:pos="7655"/>
        </w:tabs>
        <w:spacing w:line="240" w:lineRule="auto"/>
        <w:ind w:right="-62"/>
        <w:contextualSpacing/>
        <w:jc w:val="both"/>
        <w:rPr>
          <w:rFonts w:ascii="ITC Avant Garde" w:hAnsi="ITC Avant Garde" w:cs="Arial"/>
        </w:rPr>
      </w:pPr>
    </w:p>
    <w:p w14:paraId="1507BCA2" w14:textId="37984E20" w:rsidR="00EC4A23" w:rsidRPr="002D6F3F" w:rsidRDefault="00EC4A23" w:rsidP="002D6F3F">
      <w:pPr>
        <w:spacing w:line="240" w:lineRule="auto"/>
        <w:ind w:left="1134" w:right="1182"/>
        <w:contextualSpacing/>
        <w:jc w:val="both"/>
        <w:rPr>
          <w:rFonts w:ascii="ITC Avant Garde" w:hAnsi="ITC Avant Garde" w:cs="Arial"/>
          <w:sz w:val="20"/>
          <w:szCs w:val="20"/>
        </w:rPr>
      </w:pPr>
      <w:r w:rsidRPr="002D6F3F">
        <w:rPr>
          <w:rFonts w:ascii="ITC Avant Garde" w:hAnsi="ITC Avant Garde" w:cs="Arial"/>
          <w:sz w:val="20"/>
          <w:szCs w:val="20"/>
        </w:rPr>
        <w:t>“</w:t>
      </w:r>
      <w:r w:rsidRPr="002D6F3F">
        <w:rPr>
          <w:rFonts w:ascii="ITC Avant Garde" w:hAnsi="ITC Avant Garde" w:cs="Arial"/>
          <w:b/>
          <w:sz w:val="20"/>
          <w:szCs w:val="20"/>
        </w:rPr>
        <w:t>Artículo 15.</w:t>
      </w:r>
      <w:r w:rsidRPr="002D6F3F">
        <w:rPr>
          <w:rFonts w:ascii="ITC Avant Garde" w:hAnsi="ITC Avant Garde" w:cs="Arial"/>
          <w:sz w:val="20"/>
          <w:szCs w:val="20"/>
        </w:rPr>
        <w:t xml:space="preserve"> Para el ejercicio de sus atribuciones corresponde al Instituto:</w:t>
      </w:r>
    </w:p>
    <w:p w14:paraId="64DC41FB" w14:textId="77777777" w:rsidR="00EC4A23" w:rsidRPr="002D6F3F" w:rsidRDefault="00EC4A23" w:rsidP="002D6F3F">
      <w:pPr>
        <w:spacing w:line="240" w:lineRule="auto"/>
        <w:ind w:left="1134" w:right="1182"/>
        <w:contextualSpacing/>
        <w:jc w:val="both"/>
        <w:rPr>
          <w:rFonts w:ascii="ITC Avant Garde" w:hAnsi="ITC Avant Garde" w:cs="Arial"/>
          <w:sz w:val="20"/>
          <w:szCs w:val="20"/>
        </w:rPr>
      </w:pPr>
      <w:r w:rsidRPr="002D6F3F">
        <w:rPr>
          <w:rFonts w:ascii="ITC Avant Garde" w:hAnsi="ITC Avant Garde" w:cs="Arial"/>
          <w:sz w:val="20"/>
          <w:szCs w:val="20"/>
        </w:rPr>
        <w:t>(…)</w:t>
      </w:r>
    </w:p>
    <w:p w14:paraId="70DC1DB0" w14:textId="150D2CCB" w:rsidR="00EC4A23" w:rsidRPr="002D6F3F" w:rsidRDefault="00EC4A23" w:rsidP="002D6F3F">
      <w:pPr>
        <w:spacing w:line="240" w:lineRule="auto"/>
        <w:ind w:left="1134" w:right="1182"/>
        <w:contextualSpacing/>
        <w:jc w:val="both"/>
        <w:rPr>
          <w:rFonts w:ascii="ITC Avant Garde" w:hAnsi="ITC Avant Garde" w:cs="Arial"/>
          <w:sz w:val="20"/>
          <w:szCs w:val="20"/>
        </w:rPr>
      </w:pPr>
      <w:r w:rsidRPr="002D6F3F">
        <w:rPr>
          <w:rFonts w:ascii="ITC Avant Garde" w:hAnsi="ITC Avant Garde" w:cs="Arial"/>
          <w:b/>
          <w:sz w:val="20"/>
          <w:szCs w:val="20"/>
        </w:rPr>
        <w:t>VII</w:t>
      </w:r>
      <w:r w:rsidRPr="002D6F3F">
        <w:rPr>
          <w:rFonts w:ascii="ITC Avant Garde" w:hAnsi="ITC Avant Garde" w:cs="Arial"/>
          <w:sz w:val="20"/>
          <w:szCs w:val="20"/>
        </w:rPr>
        <w:t xml:space="preserve">. </w:t>
      </w:r>
      <w:r w:rsidRPr="002D6F3F">
        <w:rPr>
          <w:rFonts w:ascii="ITC Avant Garde" w:hAnsi="ITC Avant Garde"/>
          <w:b/>
          <w:sz w:val="20"/>
        </w:rPr>
        <w:t>Llevar a cabo los procesos de licitación y asignación de bandas de frecuencias del espectro radioeléctrico en materia de telecomunicaciones y radiodifusión</w:t>
      </w:r>
      <w:r w:rsidRPr="002D6F3F">
        <w:rPr>
          <w:rFonts w:ascii="ITC Avant Garde" w:hAnsi="ITC Avant Garde" w:cs="Arial"/>
          <w:sz w:val="20"/>
          <w:szCs w:val="20"/>
        </w:rPr>
        <w:t>, y de recursos orbitales con sus bandas de frecuencias asociadas</w:t>
      </w:r>
      <w:r w:rsidR="00846B97" w:rsidRPr="002D6F3F">
        <w:rPr>
          <w:rFonts w:ascii="ITC Avant Garde" w:hAnsi="ITC Avant Garde" w:cs="Arial"/>
          <w:sz w:val="20"/>
          <w:szCs w:val="20"/>
        </w:rPr>
        <w:t>;</w:t>
      </w:r>
    </w:p>
    <w:p w14:paraId="74B19976" w14:textId="77777777" w:rsidR="002D6F3F" w:rsidRPr="002D6F3F" w:rsidRDefault="006858A8" w:rsidP="002D6F3F">
      <w:pPr>
        <w:spacing w:line="240" w:lineRule="auto"/>
        <w:ind w:left="1134" w:right="1182"/>
        <w:contextualSpacing/>
        <w:jc w:val="both"/>
        <w:rPr>
          <w:rFonts w:ascii="ITC Avant Garde" w:hAnsi="ITC Avant Garde" w:cs="Arial"/>
          <w:sz w:val="20"/>
          <w:szCs w:val="20"/>
        </w:rPr>
      </w:pPr>
      <w:r w:rsidRPr="002D6F3F">
        <w:rPr>
          <w:rFonts w:ascii="ITC Avant Garde" w:hAnsi="ITC Avant Garde" w:cs="Arial"/>
          <w:sz w:val="20"/>
          <w:szCs w:val="20"/>
        </w:rPr>
        <w:t>(…)”</w:t>
      </w:r>
    </w:p>
    <w:p w14:paraId="1658144C" w14:textId="77777777" w:rsidR="001A5779" w:rsidRDefault="001A5779" w:rsidP="001A5779">
      <w:pPr>
        <w:tabs>
          <w:tab w:val="left" w:pos="6663"/>
        </w:tabs>
        <w:spacing w:after="0" w:line="240" w:lineRule="auto"/>
        <w:jc w:val="both"/>
        <w:rPr>
          <w:rFonts w:ascii="ITC Avant Garde" w:eastAsia="Times New Roman" w:hAnsi="ITC Avant Garde" w:cs="Arial"/>
          <w:lang w:eastAsia="es-MX"/>
        </w:rPr>
      </w:pPr>
    </w:p>
    <w:p w14:paraId="674D5B98" w14:textId="77777777" w:rsidR="002D6F3F" w:rsidRPr="002D6F3F" w:rsidRDefault="00EC4A23" w:rsidP="002D6F3F">
      <w:pPr>
        <w:tabs>
          <w:tab w:val="left" w:pos="6663"/>
        </w:tabs>
        <w:spacing w:line="240" w:lineRule="auto"/>
        <w:jc w:val="both"/>
        <w:rPr>
          <w:rFonts w:ascii="ITC Avant Garde" w:eastAsia="Times New Roman" w:hAnsi="ITC Avant Garde" w:cs="Arial"/>
          <w:lang w:eastAsia="es-MX"/>
        </w:rPr>
      </w:pPr>
      <w:r w:rsidRPr="002D6F3F">
        <w:rPr>
          <w:rFonts w:ascii="ITC Avant Garde" w:eastAsia="Times New Roman" w:hAnsi="ITC Avant Garde" w:cs="Arial"/>
          <w:lang w:eastAsia="es-MX"/>
        </w:rPr>
        <w:t xml:space="preserve">Aunado a lo anterior, los artículos 78, fracciones I y II, y 79 de la </w:t>
      </w:r>
      <w:r w:rsidRPr="002D6F3F">
        <w:rPr>
          <w:rFonts w:ascii="ITC Avant Garde" w:eastAsia="Times New Roman" w:hAnsi="ITC Avant Garde" w:cs="Arial"/>
          <w:kern w:val="2"/>
          <w:lang w:eastAsia="ar-SA"/>
        </w:rPr>
        <w:t>Ley</w:t>
      </w:r>
      <w:r w:rsidRPr="002D6F3F">
        <w:rPr>
          <w:rFonts w:ascii="ITC Avant Garde" w:eastAsia="Times New Roman" w:hAnsi="ITC Avant Garde" w:cs="Arial"/>
          <w:lang w:eastAsia="es-MX"/>
        </w:rPr>
        <w:t xml:space="preserve"> disponen:</w:t>
      </w:r>
    </w:p>
    <w:p w14:paraId="5E089EAA" w14:textId="77777777" w:rsidR="002D6F3F" w:rsidRPr="002D6F3F" w:rsidRDefault="00EC4A23" w:rsidP="002D6F3F">
      <w:pPr>
        <w:spacing w:line="240" w:lineRule="auto"/>
        <w:ind w:left="1134" w:right="1182"/>
        <w:contextualSpacing/>
        <w:jc w:val="both"/>
        <w:rPr>
          <w:rFonts w:ascii="ITC Avant Garde" w:hAnsi="ITC Avant Garde" w:cs="Arial"/>
          <w:sz w:val="20"/>
          <w:szCs w:val="20"/>
        </w:rPr>
      </w:pPr>
      <w:r w:rsidRPr="002D6F3F">
        <w:rPr>
          <w:rFonts w:ascii="ITC Avant Garde" w:hAnsi="ITC Avant Garde" w:cs="Arial"/>
          <w:sz w:val="20"/>
          <w:szCs w:val="20"/>
        </w:rPr>
        <w:t>“</w:t>
      </w:r>
      <w:r w:rsidRPr="002D6F3F">
        <w:rPr>
          <w:rFonts w:ascii="ITC Avant Garde" w:hAnsi="ITC Avant Garde" w:cs="Arial"/>
          <w:b/>
          <w:sz w:val="20"/>
          <w:szCs w:val="20"/>
        </w:rPr>
        <w:t>Artículo 78. </w:t>
      </w:r>
      <w:r w:rsidRPr="002D6F3F">
        <w:rPr>
          <w:rFonts w:ascii="ITC Avant Garde" w:hAnsi="ITC Avant Garde" w:cs="Arial"/>
          <w:b/>
          <w:sz w:val="20"/>
          <w:szCs w:val="20"/>
          <w:u w:val="single"/>
        </w:rPr>
        <w:t>Las concesiones para el uso, aprovechamiento o explotación del espectro radioeléctrico para uso comercial</w:t>
      </w:r>
      <w:r w:rsidRPr="002D6F3F">
        <w:rPr>
          <w:rFonts w:ascii="ITC Avant Garde" w:hAnsi="ITC Avant Garde" w:cs="Arial"/>
          <w:sz w:val="20"/>
          <w:szCs w:val="20"/>
        </w:rPr>
        <w:t xml:space="preserve"> o privado, en este último caso para los propósitos previstos en el artículo 76, fracción III, inciso a), </w:t>
      </w:r>
      <w:r w:rsidRPr="002D6F3F">
        <w:rPr>
          <w:rFonts w:ascii="ITC Avant Garde" w:hAnsi="ITC Avant Garde" w:cs="Arial"/>
          <w:b/>
          <w:sz w:val="20"/>
          <w:szCs w:val="20"/>
          <w:u w:val="single"/>
        </w:rPr>
        <w:t>se otorgarán únicamente a través de un procedimiento de licitación pública</w:t>
      </w:r>
      <w:r w:rsidRPr="002D6F3F">
        <w:rPr>
          <w:rFonts w:ascii="ITC Avant Garde" w:hAnsi="ITC Avant Garde" w:cs="Arial"/>
          <w:sz w:val="20"/>
          <w:szCs w:val="20"/>
        </w:rPr>
        <w:t xml:space="preserve"> previo pago de una contraprestación, para lo cual, se deberán observar los criterios previstos en los artículos 6o., 7o., 28 y 134 de la Constitución y lo establecido en la Sección VII del Capítulo III del presente Título, así como los siguientes:</w:t>
      </w:r>
    </w:p>
    <w:p w14:paraId="0E9F487A" w14:textId="1DBFB17C" w:rsidR="00EC4A23" w:rsidRPr="002D6F3F" w:rsidRDefault="00EC4A23" w:rsidP="002D6F3F">
      <w:pPr>
        <w:pStyle w:val="Prrafodelista"/>
        <w:numPr>
          <w:ilvl w:val="0"/>
          <w:numId w:val="27"/>
        </w:numPr>
        <w:spacing w:after="200"/>
        <w:ind w:left="1560" w:right="1182" w:hanging="426"/>
        <w:contextualSpacing/>
        <w:jc w:val="both"/>
        <w:rPr>
          <w:rFonts w:ascii="ITC Avant Garde" w:hAnsi="ITC Avant Garde" w:cs="Arial"/>
          <w:b/>
          <w:sz w:val="20"/>
        </w:rPr>
      </w:pPr>
      <w:r w:rsidRPr="002D6F3F">
        <w:rPr>
          <w:rFonts w:ascii="ITC Avant Garde" w:hAnsi="ITC Avant Garde" w:cs="Arial"/>
          <w:sz w:val="20"/>
        </w:rPr>
        <w:t>Para el otorgamiento de concesiones en materia de telecomunicaciones, el Instituto podrá tomar en cuenta, entre otros, los siguientes factores:</w:t>
      </w:r>
    </w:p>
    <w:p w14:paraId="0FAC393B" w14:textId="77777777" w:rsidR="00EC4A23" w:rsidRPr="002D6F3F" w:rsidRDefault="00EC4A23" w:rsidP="002D6F3F">
      <w:pPr>
        <w:pStyle w:val="Prrafodelista"/>
        <w:numPr>
          <w:ilvl w:val="0"/>
          <w:numId w:val="28"/>
        </w:numPr>
        <w:spacing w:after="200"/>
        <w:ind w:right="1182"/>
        <w:contextualSpacing/>
        <w:jc w:val="both"/>
        <w:rPr>
          <w:rFonts w:ascii="ITC Avant Garde" w:hAnsi="ITC Avant Garde" w:cs="Arial"/>
          <w:sz w:val="20"/>
        </w:rPr>
      </w:pPr>
      <w:r w:rsidRPr="002D6F3F">
        <w:rPr>
          <w:rFonts w:ascii="ITC Avant Garde" w:hAnsi="ITC Avant Garde" w:cs="Arial"/>
          <w:sz w:val="20"/>
        </w:rPr>
        <w:t>La propuesta económica;</w:t>
      </w:r>
    </w:p>
    <w:p w14:paraId="5D1C35CB" w14:textId="77777777" w:rsidR="00EC4A23" w:rsidRPr="002D6F3F" w:rsidRDefault="00EC4A23" w:rsidP="002D6F3F">
      <w:pPr>
        <w:pStyle w:val="Prrafodelista"/>
        <w:numPr>
          <w:ilvl w:val="0"/>
          <w:numId w:val="28"/>
        </w:numPr>
        <w:spacing w:after="200"/>
        <w:ind w:right="1182"/>
        <w:contextualSpacing/>
        <w:jc w:val="both"/>
        <w:rPr>
          <w:rFonts w:ascii="ITC Avant Garde" w:hAnsi="ITC Avant Garde" w:cs="Arial"/>
          <w:sz w:val="20"/>
        </w:rPr>
      </w:pPr>
      <w:r w:rsidRPr="002D6F3F">
        <w:rPr>
          <w:rFonts w:ascii="ITC Avant Garde" w:hAnsi="ITC Avant Garde" w:cs="Arial"/>
          <w:sz w:val="20"/>
        </w:rPr>
        <w:t>La cobertura, calidad e innovación;</w:t>
      </w:r>
    </w:p>
    <w:p w14:paraId="1E4890C7" w14:textId="77777777" w:rsidR="00EC4A23" w:rsidRPr="002D6F3F" w:rsidRDefault="00EC4A23" w:rsidP="002D6F3F">
      <w:pPr>
        <w:pStyle w:val="Prrafodelista"/>
        <w:numPr>
          <w:ilvl w:val="0"/>
          <w:numId w:val="28"/>
        </w:numPr>
        <w:spacing w:after="200"/>
        <w:ind w:right="1182"/>
        <w:contextualSpacing/>
        <w:jc w:val="both"/>
        <w:rPr>
          <w:rFonts w:ascii="ITC Avant Garde" w:hAnsi="ITC Avant Garde" w:cs="Arial"/>
          <w:sz w:val="20"/>
        </w:rPr>
      </w:pPr>
      <w:r w:rsidRPr="002D6F3F">
        <w:rPr>
          <w:rFonts w:ascii="ITC Avant Garde" w:hAnsi="ITC Avant Garde" w:cs="Arial"/>
          <w:sz w:val="20"/>
        </w:rPr>
        <w:t>El favorecimiento de menores precios en los servicios al usuario final;</w:t>
      </w:r>
    </w:p>
    <w:p w14:paraId="60E6E893" w14:textId="77777777" w:rsidR="00EC4A23" w:rsidRPr="002D6F3F" w:rsidRDefault="00EC4A23" w:rsidP="002D6F3F">
      <w:pPr>
        <w:pStyle w:val="Prrafodelista"/>
        <w:numPr>
          <w:ilvl w:val="0"/>
          <w:numId w:val="28"/>
        </w:numPr>
        <w:spacing w:after="200"/>
        <w:ind w:right="1182"/>
        <w:contextualSpacing/>
        <w:jc w:val="both"/>
        <w:rPr>
          <w:rFonts w:ascii="ITC Avant Garde" w:hAnsi="ITC Avant Garde" w:cs="Arial"/>
          <w:sz w:val="20"/>
        </w:rPr>
      </w:pPr>
      <w:r w:rsidRPr="002D6F3F">
        <w:rPr>
          <w:rFonts w:ascii="ITC Avant Garde" w:hAnsi="ITC Avant Garde" w:cs="Arial"/>
          <w:sz w:val="20"/>
        </w:rPr>
        <w:t>La prevención de fenómenos de concentración que contraríen el interés público;</w:t>
      </w:r>
    </w:p>
    <w:p w14:paraId="157537C8" w14:textId="616B3BEB" w:rsidR="00EC4A23" w:rsidRPr="002D6F3F" w:rsidRDefault="00EC4A23" w:rsidP="002D6F3F">
      <w:pPr>
        <w:pStyle w:val="Prrafodelista"/>
        <w:numPr>
          <w:ilvl w:val="0"/>
          <w:numId w:val="28"/>
        </w:numPr>
        <w:spacing w:after="200"/>
        <w:ind w:right="1182"/>
        <w:contextualSpacing/>
        <w:jc w:val="both"/>
        <w:rPr>
          <w:rFonts w:ascii="ITC Avant Garde" w:hAnsi="ITC Avant Garde" w:cs="Arial"/>
          <w:sz w:val="20"/>
        </w:rPr>
      </w:pPr>
      <w:r w:rsidRPr="002D6F3F">
        <w:rPr>
          <w:rFonts w:ascii="ITC Avant Garde" w:hAnsi="ITC Avant Garde" w:cs="Arial"/>
          <w:sz w:val="20"/>
        </w:rPr>
        <w:t>La posible entrada de nuevos competidores al mercado</w:t>
      </w:r>
      <w:r w:rsidR="000D77FE" w:rsidRPr="002D6F3F">
        <w:rPr>
          <w:rFonts w:ascii="ITC Avant Garde" w:hAnsi="ITC Avant Garde" w:cs="Arial"/>
          <w:sz w:val="20"/>
        </w:rPr>
        <w:t>,</w:t>
      </w:r>
      <w:r w:rsidRPr="002D6F3F">
        <w:rPr>
          <w:rFonts w:ascii="ITC Avant Garde" w:hAnsi="ITC Avant Garde" w:cs="Arial"/>
          <w:sz w:val="20"/>
        </w:rPr>
        <w:t xml:space="preserve"> y </w:t>
      </w:r>
    </w:p>
    <w:p w14:paraId="3B7E57BF" w14:textId="77777777" w:rsidR="002D6F3F" w:rsidRPr="002D6F3F" w:rsidRDefault="00EC4A23" w:rsidP="002D6F3F">
      <w:pPr>
        <w:pStyle w:val="Prrafodelista"/>
        <w:numPr>
          <w:ilvl w:val="0"/>
          <w:numId w:val="28"/>
        </w:numPr>
        <w:spacing w:after="200"/>
        <w:ind w:right="1182"/>
        <w:contextualSpacing/>
        <w:jc w:val="both"/>
        <w:rPr>
          <w:rFonts w:ascii="ITC Avant Garde" w:hAnsi="ITC Avant Garde" w:cs="Arial"/>
          <w:sz w:val="20"/>
        </w:rPr>
      </w:pPr>
      <w:r w:rsidRPr="002D6F3F">
        <w:rPr>
          <w:rFonts w:ascii="ITC Avant Garde" w:hAnsi="ITC Avant Garde" w:cs="Arial"/>
          <w:sz w:val="20"/>
        </w:rPr>
        <w:lastRenderedPageBreak/>
        <w:t>La consistencia con el programa de concesionamiento.</w:t>
      </w:r>
    </w:p>
    <w:p w14:paraId="2F9E4126" w14:textId="0BBBB794" w:rsidR="00EC4A23" w:rsidRPr="002D6F3F" w:rsidRDefault="00EC4A23" w:rsidP="002D6F3F">
      <w:pPr>
        <w:pStyle w:val="Prrafodelista"/>
        <w:numPr>
          <w:ilvl w:val="0"/>
          <w:numId w:val="27"/>
        </w:numPr>
        <w:spacing w:after="200"/>
        <w:ind w:left="1560" w:right="1182" w:hanging="426"/>
        <w:contextualSpacing/>
        <w:jc w:val="both"/>
        <w:rPr>
          <w:rFonts w:ascii="ITC Avant Garde" w:hAnsi="ITC Avant Garde" w:cs="Arial"/>
          <w:sz w:val="20"/>
        </w:rPr>
      </w:pPr>
      <w:r w:rsidRPr="002D6F3F">
        <w:rPr>
          <w:rFonts w:ascii="ITC Avant Garde" w:hAnsi="ITC Avant Garde" w:cs="Arial"/>
          <w:b/>
          <w:sz w:val="20"/>
          <w:u w:val="single"/>
        </w:rPr>
        <w:t>Para el otorgamiento de concesiones en materia de radiodifusión, el Instituto tomará en cuenta los incisos a), b), d), e) y f).</w:t>
      </w:r>
      <w:r w:rsidRPr="002D6F3F">
        <w:rPr>
          <w:rFonts w:ascii="ITC Avant Garde" w:hAnsi="ITC Avant Garde" w:cs="Arial"/>
          <w:sz w:val="20"/>
        </w:rPr>
        <w:t xml:space="preserve"> Adicionalmente, se deberá considerar que el proyecto de programación sea consistente con los fines para los que se solicita la concesión, que promueva e incluya la difusión de contenidos nacionales, regionales y locales y cumpla con las disposiciones aplicables.</w:t>
      </w:r>
    </w:p>
    <w:p w14:paraId="05E5EE1E" w14:textId="77777777" w:rsidR="002D6F3F" w:rsidRPr="002D6F3F" w:rsidRDefault="00EC4A23" w:rsidP="002D6F3F">
      <w:pPr>
        <w:spacing w:line="240" w:lineRule="auto"/>
        <w:ind w:left="1134" w:right="1182"/>
        <w:contextualSpacing/>
        <w:jc w:val="both"/>
        <w:rPr>
          <w:rFonts w:ascii="ITC Avant Garde" w:hAnsi="ITC Avant Garde"/>
          <w:sz w:val="20"/>
        </w:rPr>
      </w:pPr>
      <w:r w:rsidRPr="002D6F3F">
        <w:rPr>
          <w:rFonts w:ascii="ITC Avant Garde" w:hAnsi="ITC Avant Garde"/>
          <w:sz w:val="20"/>
        </w:rPr>
        <w:t>(…)”</w:t>
      </w:r>
    </w:p>
    <w:p w14:paraId="72AAF50B" w14:textId="77777777" w:rsidR="002D6F3F" w:rsidRPr="002D6F3F" w:rsidRDefault="00EC4A23" w:rsidP="002D6F3F">
      <w:pPr>
        <w:spacing w:line="240" w:lineRule="auto"/>
        <w:ind w:left="1134" w:right="1182"/>
        <w:contextualSpacing/>
        <w:jc w:val="both"/>
        <w:rPr>
          <w:rFonts w:ascii="ITC Avant Garde" w:hAnsi="ITC Avant Garde" w:cs="Arial"/>
          <w:b/>
          <w:sz w:val="20"/>
          <w:szCs w:val="20"/>
          <w:u w:val="single"/>
        </w:rPr>
      </w:pPr>
      <w:r w:rsidRPr="002D6F3F">
        <w:rPr>
          <w:rFonts w:ascii="ITC Avant Garde" w:hAnsi="ITC Avant Garde" w:cs="Arial"/>
          <w:b/>
          <w:sz w:val="20"/>
          <w:szCs w:val="20"/>
        </w:rPr>
        <w:t>“Artículo 79. </w:t>
      </w:r>
      <w:r w:rsidRPr="002D6F3F">
        <w:rPr>
          <w:rFonts w:ascii="ITC Avant Garde" w:hAnsi="ITC Avant Garde" w:cs="Arial"/>
          <w:b/>
          <w:sz w:val="20"/>
          <w:szCs w:val="20"/>
          <w:u w:val="single"/>
        </w:rPr>
        <w:t>Para llevar a cabo el procedimiento de licitación pública al que se refiere el artículo anterior, el Instituto publicará en su página de Internet y en el Diario Oficial de la Federación la convocatoria respectiva.</w:t>
      </w:r>
    </w:p>
    <w:p w14:paraId="167A2933" w14:textId="60ECACB8" w:rsidR="00EC4A23" w:rsidRPr="002D6F3F" w:rsidRDefault="00EC4A23" w:rsidP="002D6F3F">
      <w:pPr>
        <w:spacing w:line="240" w:lineRule="auto"/>
        <w:ind w:left="1134" w:right="1182"/>
        <w:contextualSpacing/>
        <w:jc w:val="both"/>
        <w:rPr>
          <w:rFonts w:ascii="ITC Avant Garde" w:hAnsi="ITC Avant Garde" w:cs="Arial"/>
          <w:sz w:val="20"/>
          <w:szCs w:val="20"/>
        </w:rPr>
      </w:pPr>
      <w:r w:rsidRPr="002D6F3F">
        <w:rPr>
          <w:rFonts w:ascii="ITC Avant Garde" w:hAnsi="ITC Avant Garde" w:cs="Arial"/>
          <w:sz w:val="20"/>
          <w:szCs w:val="20"/>
        </w:rPr>
        <w:t>Las bases de licitación pública incluirán como mínimo:</w:t>
      </w:r>
    </w:p>
    <w:p w14:paraId="678B3C2D" w14:textId="77777777" w:rsidR="00EC4A23" w:rsidRPr="002D6F3F" w:rsidRDefault="00EC4A23" w:rsidP="002D6F3F">
      <w:pPr>
        <w:spacing w:line="240" w:lineRule="auto"/>
        <w:ind w:left="1134" w:right="1182"/>
        <w:contextualSpacing/>
        <w:jc w:val="both"/>
        <w:rPr>
          <w:rFonts w:ascii="ITC Avant Garde" w:hAnsi="ITC Avant Garde" w:cs="Arial"/>
          <w:sz w:val="20"/>
          <w:szCs w:val="20"/>
        </w:rPr>
      </w:pPr>
      <w:r w:rsidRPr="002D6F3F">
        <w:rPr>
          <w:rFonts w:ascii="ITC Avant Garde" w:hAnsi="ITC Avant Garde" w:cs="Arial"/>
          <w:b/>
          <w:sz w:val="20"/>
          <w:szCs w:val="20"/>
        </w:rPr>
        <w:t>I.</w:t>
      </w:r>
      <w:r w:rsidRPr="002D6F3F">
        <w:rPr>
          <w:rFonts w:ascii="ITC Avant Garde" w:hAnsi="ITC Avant Garde" w:cs="Arial"/>
          <w:sz w:val="20"/>
          <w:szCs w:val="20"/>
        </w:rPr>
        <w:t xml:space="preserve"> Los requisitos que deberán cumplir los interesados para participar en la licitación, entre los que se incluirán:</w:t>
      </w:r>
    </w:p>
    <w:p w14:paraId="63908275" w14:textId="77777777" w:rsidR="00EC4A23" w:rsidRPr="002D6F3F" w:rsidRDefault="00EC4A23" w:rsidP="002D6F3F">
      <w:pPr>
        <w:spacing w:line="240" w:lineRule="auto"/>
        <w:ind w:left="1854" w:right="1182" w:hanging="11"/>
        <w:contextualSpacing/>
        <w:jc w:val="both"/>
        <w:rPr>
          <w:rFonts w:ascii="ITC Avant Garde" w:hAnsi="ITC Avant Garde" w:cs="Arial"/>
          <w:sz w:val="20"/>
          <w:szCs w:val="20"/>
        </w:rPr>
      </w:pPr>
      <w:r w:rsidRPr="002D6F3F">
        <w:rPr>
          <w:rFonts w:ascii="ITC Avant Garde" w:hAnsi="ITC Avant Garde" w:cs="Arial"/>
          <w:b/>
          <w:sz w:val="20"/>
          <w:szCs w:val="20"/>
        </w:rPr>
        <w:t>a)</w:t>
      </w:r>
      <w:r w:rsidRPr="002D6F3F">
        <w:rPr>
          <w:rFonts w:ascii="ITC Avant Garde" w:hAnsi="ITC Avant Garde" w:cs="Arial"/>
          <w:b/>
          <w:sz w:val="20"/>
          <w:szCs w:val="20"/>
        </w:rPr>
        <w:tab/>
        <w:t xml:space="preserve"> </w:t>
      </w:r>
      <w:r w:rsidRPr="002D6F3F">
        <w:rPr>
          <w:rFonts w:ascii="ITC Avant Garde" w:hAnsi="ITC Avant Garde" w:cs="Arial"/>
          <w:sz w:val="20"/>
          <w:szCs w:val="20"/>
        </w:rPr>
        <w:t>Los programas y compromisos de inversión, calidad, de cobertura geográfica, poblacional o social, de conectividad en sitios públicos y de contribución a la cobertura universal que, en su caso, determine el Instituto, para lo cual considerará las propuestas que formule anualmente la Secretaría conforme a los planes y programas respectivos;</w:t>
      </w:r>
    </w:p>
    <w:p w14:paraId="39E9A2DD" w14:textId="77777777" w:rsidR="00EC4A23" w:rsidRPr="002D6F3F" w:rsidRDefault="00EC4A23" w:rsidP="002D6F3F">
      <w:pPr>
        <w:numPr>
          <w:ilvl w:val="0"/>
          <w:numId w:val="29"/>
        </w:numPr>
        <w:spacing w:line="240" w:lineRule="auto"/>
        <w:ind w:right="1182" w:hanging="77"/>
        <w:contextualSpacing/>
        <w:jc w:val="both"/>
        <w:rPr>
          <w:rFonts w:ascii="ITC Avant Garde" w:hAnsi="ITC Avant Garde" w:cs="Arial"/>
          <w:sz w:val="20"/>
          <w:szCs w:val="20"/>
        </w:rPr>
      </w:pPr>
      <w:r w:rsidRPr="002D6F3F">
        <w:rPr>
          <w:rFonts w:ascii="ITC Avant Garde" w:hAnsi="ITC Avant Garde" w:cs="Arial"/>
          <w:sz w:val="20"/>
          <w:szCs w:val="20"/>
        </w:rPr>
        <w:t>Las especificaciones técnicas de los proyectos, y</w:t>
      </w:r>
    </w:p>
    <w:p w14:paraId="5319C263" w14:textId="77777777" w:rsidR="00EC4A23" w:rsidRPr="002D6F3F" w:rsidRDefault="00EC4A23" w:rsidP="002D6F3F">
      <w:pPr>
        <w:numPr>
          <w:ilvl w:val="0"/>
          <w:numId w:val="29"/>
        </w:numPr>
        <w:spacing w:line="240" w:lineRule="auto"/>
        <w:ind w:right="1182" w:hanging="77"/>
        <w:contextualSpacing/>
        <w:jc w:val="both"/>
        <w:rPr>
          <w:rFonts w:ascii="ITC Avant Garde" w:hAnsi="ITC Avant Garde" w:cs="Arial"/>
          <w:sz w:val="20"/>
          <w:szCs w:val="20"/>
        </w:rPr>
      </w:pPr>
      <w:r w:rsidRPr="002D6F3F">
        <w:rPr>
          <w:rFonts w:ascii="ITC Avant Garde" w:hAnsi="ITC Avant Garde" w:cs="Arial"/>
          <w:sz w:val="20"/>
          <w:szCs w:val="20"/>
        </w:rPr>
        <w:t>El proyecto de producción y programación, en el caso de radiodifusión;</w:t>
      </w:r>
    </w:p>
    <w:p w14:paraId="1E434275" w14:textId="1C8BD232" w:rsidR="00EC4A23" w:rsidRPr="002D6F3F" w:rsidRDefault="00EC4A23" w:rsidP="002D6F3F">
      <w:pPr>
        <w:spacing w:line="240" w:lineRule="auto"/>
        <w:ind w:left="1134" w:right="1182"/>
        <w:contextualSpacing/>
        <w:jc w:val="both"/>
        <w:rPr>
          <w:rFonts w:ascii="ITC Avant Garde" w:hAnsi="ITC Avant Garde" w:cs="Arial"/>
          <w:sz w:val="20"/>
          <w:szCs w:val="20"/>
        </w:rPr>
      </w:pPr>
      <w:r w:rsidRPr="002D6F3F">
        <w:rPr>
          <w:rFonts w:ascii="ITC Avant Garde" w:hAnsi="ITC Avant Garde" w:cs="Arial"/>
          <w:b/>
          <w:sz w:val="20"/>
          <w:szCs w:val="20"/>
        </w:rPr>
        <w:t>II.</w:t>
      </w:r>
      <w:r w:rsidRPr="002D6F3F">
        <w:rPr>
          <w:rFonts w:ascii="ITC Avant Garde" w:hAnsi="ITC Avant Garde" w:cs="Arial"/>
          <w:sz w:val="20"/>
          <w:szCs w:val="20"/>
        </w:rPr>
        <w:t xml:space="preserve"> El modelo de título de concesión</w:t>
      </w:r>
      <w:r w:rsidR="00846B97" w:rsidRPr="002D6F3F">
        <w:rPr>
          <w:rFonts w:ascii="ITC Avant Garde" w:hAnsi="ITC Avant Garde" w:cs="Arial"/>
          <w:sz w:val="20"/>
          <w:szCs w:val="20"/>
        </w:rPr>
        <w:t>;</w:t>
      </w:r>
    </w:p>
    <w:p w14:paraId="15594AF6" w14:textId="77777777" w:rsidR="00EC4A23" w:rsidRPr="002D6F3F" w:rsidRDefault="00EC4A23" w:rsidP="002D6F3F">
      <w:pPr>
        <w:spacing w:line="240" w:lineRule="auto"/>
        <w:ind w:left="1134" w:right="1182"/>
        <w:contextualSpacing/>
        <w:jc w:val="both"/>
        <w:rPr>
          <w:rFonts w:ascii="ITC Avant Garde" w:hAnsi="ITC Avant Garde" w:cs="Arial"/>
          <w:sz w:val="20"/>
          <w:szCs w:val="20"/>
        </w:rPr>
      </w:pPr>
      <w:r w:rsidRPr="002D6F3F">
        <w:rPr>
          <w:rFonts w:ascii="ITC Avant Garde" w:hAnsi="ITC Avant Garde" w:cs="Arial"/>
          <w:b/>
          <w:sz w:val="20"/>
          <w:szCs w:val="20"/>
        </w:rPr>
        <w:t>III.</w:t>
      </w:r>
      <w:r w:rsidRPr="002D6F3F">
        <w:rPr>
          <w:rFonts w:ascii="ITC Avant Garde" w:hAnsi="ITC Avant Garde" w:cs="Arial"/>
          <w:sz w:val="20"/>
          <w:szCs w:val="20"/>
        </w:rPr>
        <w:t xml:space="preserve"> El valor mínimo de referencia y los demás criterios para seleccionar al ganador, la capacidad técnica y la ponderación de los mismos;</w:t>
      </w:r>
    </w:p>
    <w:p w14:paraId="1D9D8BA6" w14:textId="77777777" w:rsidR="00EC4A23" w:rsidRPr="002D6F3F" w:rsidRDefault="00EC4A23" w:rsidP="002D6F3F">
      <w:pPr>
        <w:spacing w:line="240" w:lineRule="auto"/>
        <w:ind w:left="1134" w:right="1182"/>
        <w:contextualSpacing/>
        <w:jc w:val="both"/>
        <w:rPr>
          <w:rFonts w:ascii="ITC Avant Garde" w:hAnsi="ITC Avant Garde" w:cs="Arial"/>
          <w:sz w:val="20"/>
          <w:szCs w:val="20"/>
        </w:rPr>
      </w:pPr>
      <w:r w:rsidRPr="002D6F3F">
        <w:rPr>
          <w:rFonts w:ascii="ITC Avant Garde" w:hAnsi="ITC Avant Garde" w:cs="Arial"/>
          <w:b/>
          <w:sz w:val="20"/>
          <w:szCs w:val="20"/>
        </w:rPr>
        <w:t>IV.</w:t>
      </w:r>
      <w:r w:rsidRPr="002D6F3F">
        <w:rPr>
          <w:rFonts w:ascii="ITC Avant Garde" w:hAnsi="ITC Avant Garde" w:cs="Arial"/>
          <w:sz w:val="20"/>
          <w:szCs w:val="20"/>
        </w:rPr>
        <w:t xml:space="preserve"> Las bandas de frecuencias objeto de concesión; su modalidad de uso y zonas geográficas en que podrán ser utilizadas; y la potencia en el caso de radiodifusión. En su caso, la posibilidad de que el Instituto autorice el uso secundario de la banda de frecuencia en cuestión en términos de la presente Ley;</w:t>
      </w:r>
    </w:p>
    <w:p w14:paraId="40030F56" w14:textId="77777777" w:rsidR="00EC4A23" w:rsidRPr="002D6F3F" w:rsidRDefault="00EC4A23" w:rsidP="002D6F3F">
      <w:pPr>
        <w:spacing w:line="240" w:lineRule="auto"/>
        <w:ind w:left="1134" w:right="1182"/>
        <w:contextualSpacing/>
        <w:jc w:val="both"/>
        <w:rPr>
          <w:rFonts w:ascii="ITC Avant Garde" w:hAnsi="ITC Avant Garde" w:cs="Arial"/>
          <w:sz w:val="20"/>
          <w:szCs w:val="20"/>
        </w:rPr>
      </w:pPr>
      <w:r w:rsidRPr="002D6F3F">
        <w:rPr>
          <w:rFonts w:ascii="ITC Avant Garde" w:hAnsi="ITC Avant Garde" w:cs="Arial"/>
          <w:b/>
          <w:sz w:val="20"/>
          <w:szCs w:val="20"/>
        </w:rPr>
        <w:t>V.</w:t>
      </w:r>
      <w:r w:rsidRPr="002D6F3F">
        <w:rPr>
          <w:rFonts w:ascii="ITC Avant Garde" w:hAnsi="ITC Avant Garde" w:cs="Arial"/>
          <w:sz w:val="20"/>
          <w:szCs w:val="20"/>
        </w:rPr>
        <w:t xml:space="preserve"> Los criterios que aseguren competencia efectiva y prevengan fenómenos de concentración que contraríen el interés público;</w:t>
      </w:r>
    </w:p>
    <w:p w14:paraId="50701A47" w14:textId="77777777" w:rsidR="00EC4A23" w:rsidRPr="002D6F3F" w:rsidRDefault="00EC4A23" w:rsidP="002D6F3F">
      <w:pPr>
        <w:spacing w:line="240" w:lineRule="auto"/>
        <w:ind w:left="1134" w:right="1182"/>
        <w:contextualSpacing/>
        <w:jc w:val="both"/>
        <w:rPr>
          <w:rFonts w:ascii="ITC Avant Garde" w:hAnsi="ITC Avant Garde" w:cs="Arial"/>
          <w:sz w:val="20"/>
          <w:szCs w:val="20"/>
        </w:rPr>
      </w:pPr>
      <w:r w:rsidRPr="002D6F3F">
        <w:rPr>
          <w:rFonts w:ascii="ITC Avant Garde" w:hAnsi="ITC Avant Garde" w:cs="Arial"/>
          <w:b/>
          <w:sz w:val="20"/>
          <w:szCs w:val="20"/>
        </w:rPr>
        <w:t>VI.</w:t>
      </w:r>
      <w:r w:rsidRPr="002D6F3F">
        <w:rPr>
          <w:rFonts w:ascii="ITC Avant Garde" w:hAnsi="ITC Avant Garde" w:cs="Arial"/>
          <w:sz w:val="20"/>
          <w:szCs w:val="20"/>
        </w:rPr>
        <w:t xml:space="preserve"> La obligación de los concesionarios de presentar garantía de seriedad;</w:t>
      </w:r>
    </w:p>
    <w:p w14:paraId="77ACECEE" w14:textId="77777777" w:rsidR="00EC4A23" w:rsidRPr="002D6F3F" w:rsidRDefault="00EC4A23" w:rsidP="002D6F3F">
      <w:pPr>
        <w:spacing w:line="240" w:lineRule="auto"/>
        <w:ind w:left="1134" w:right="1182"/>
        <w:contextualSpacing/>
        <w:jc w:val="both"/>
        <w:rPr>
          <w:rFonts w:ascii="ITC Avant Garde" w:hAnsi="ITC Avant Garde" w:cs="Arial"/>
          <w:sz w:val="20"/>
          <w:szCs w:val="20"/>
        </w:rPr>
      </w:pPr>
      <w:r w:rsidRPr="002D6F3F">
        <w:rPr>
          <w:rFonts w:ascii="ITC Avant Garde" w:hAnsi="ITC Avant Garde" w:cs="Arial"/>
          <w:b/>
          <w:sz w:val="20"/>
          <w:szCs w:val="20"/>
        </w:rPr>
        <w:t>VII.</w:t>
      </w:r>
      <w:r w:rsidRPr="002D6F3F">
        <w:rPr>
          <w:rFonts w:ascii="ITC Avant Garde" w:hAnsi="ITC Avant Garde" w:cs="Arial"/>
          <w:sz w:val="20"/>
          <w:szCs w:val="20"/>
        </w:rPr>
        <w:t xml:space="preserve"> La vigencia de la concesión, y</w:t>
      </w:r>
    </w:p>
    <w:p w14:paraId="24C1B150" w14:textId="77777777" w:rsidR="002D6F3F" w:rsidRPr="002D6F3F" w:rsidRDefault="00EC4A23" w:rsidP="002D6F3F">
      <w:pPr>
        <w:spacing w:line="240" w:lineRule="auto"/>
        <w:ind w:left="1134" w:right="1182"/>
        <w:contextualSpacing/>
        <w:jc w:val="both"/>
        <w:rPr>
          <w:rFonts w:ascii="ITC Avant Garde" w:hAnsi="ITC Avant Garde" w:cs="Arial"/>
          <w:sz w:val="20"/>
          <w:szCs w:val="20"/>
        </w:rPr>
      </w:pPr>
      <w:r w:rsidRPr="002D6F3F">
        <w:rPr>
          <w:rFonts w:ascii="ITC Avant Garde" w:hAnsi="ITC Avant Garde" w:cs="Arial"/>
          <w:b/>
          <w:sz w:val="20"/>
          <w:szCs w:val="20"/>
        </w:rPr>
        <w:t>VIII.</w:t>
      </w:r>
      <w:r w:rsidRPr="002D6F3F">
        <w:rPr>
          <w:rFonts w:ascii="ITC Avant Garde" w:hAnsi="ITC Avant Garde" w:cs="Arial"/>
          <w:sz w:val="20"/>
          <w:szCs w:val="20"/>
        </w:rPr>
        <w:t xml:space="preserve"> En ningún caso el factor determinante será meramente económico, sin menoscabo de lo establecido en esta Ley en materia de contraprestaciones”</w:t>
      </w:r>
      <w:r w:rsidR="00382680" w:rsidRPr="002D6F3F">
        <w:rPr>
          <w:rFonts w:ascii="ITC Avant Garde" w:hAnsi="ITC Avant Garde" w:cs="Arial"/>
          <w:sz w:val="20"/>
          <w:szCs w:val="20"/>
        </w:rPr>
        <w:t>.</w:t>
      </w:r>
      <w:r w:rsidRPr="002D6F3F">
        <w:rPr>
          <w:rFonts w:ascii="ITC Avant Garde" w:hAnsi="ITC Avant Garde" w:cs="Arial"/>
          <w:sz w:val="20"/>
          <w:szCs w:val="20"/>
        </w:rPr>
        <w:t xml:space="preserve"> </w:t>
      </w:r>
    </w:p>
    <w:p w14:paraId="0ACBE859" w14:textId="77777777" w:rsidR="002D6F3F" w:rsidRPr="002D6F3F" w:rsidRDefault="00EC4A23" w:rsidP="002D6F3F">
      <w:pPr>
        <w:pStyle w:val="Textocomentario"/>
        <w:spacing w:after="200"/>
        <w:jc w:val="both"/>
        <w:rPr>
          <w:rFonts w:ascii="ITC Avant Garde" w:hAnsi="ITC Avant Garde"/>
          <w:sz w:val="22"/>
          <w:szCs w:val="22"/>
        </w:rPr>
      </w:pPr>
      <w:r w:rsidRPr="002D6F3F">
        <w:rPr>
          <w:rFonts w:ascii="ITC Avant Garde" w:hAnsi="ITC Avant Garde"/>
          <w:sz w:val="22"/>
          <w:szCs w:val="22"/>
        </w:rPr>
        <w:t xml:space="preserve">El artículo 78 de la </w:t>
      </w:r>
      <w:r w:rsidRPr="002D6F3F">
        <w:rPr>
          <w:rFonts w:ascii="ITC Avant Garde" w:eastAsia="Times New Roman" w:hAnsi="ITC Avant Garde" w:cs="Arial"/>
          <w:kern w:val="2"/>
          <w:sz w:val="22"/>
          <w:szCs w:val="22"/>
          <w:lang w:eastAsia="ar-SA"/>
        </w:rPr>
        <w:t>Ley</w:t>
      </w:r>
      <w:r w:rsidRPr="002D6F3F">
        <w:rPr>
          <w:rFonts w:ascii="ITC Avant Garde" w:hAnsi="ITC Avant Garde"/>
          <w:sz w:val="22"/>
          <w:szCs w:val="22"/>
        </w:rPr>
        <w:t xml:space="preserve"> establece que las concesiones de espectro radioeléctrico deben regirse bajo los criterios contenidos en los artículos 6o., 7o., 28 y 134 de la Constitución, relativos a que las licitaciones deben ser idóneas para asegurar que las bases, procedimientos, reglas, requisitos y demás elementos</w:t>
      </w:r>
      <w:r w:rsidR="00846B97" w:rsidRPr="002D6F3F">
        <w:rPr>
          <w:rFonts w:ascii="ITC Avant Garde" w:hAnsi="ITC Avant Garde"/>
          <w:sz w:val="22"/>
          <w:szCs w:val="22"/>
        </w:rPr>
        <w:t>,</w:t>
      </w:r>
      <w:r w:rsidRPr="002D6F3F">
        <w:rPr>
          <w:rFonts w:ascii="ITC Avant Garde" w:hAnsi="ITC Avant Garde"/>
          <w:sz w:val="22"/>
          <w:szCs w:val="22"/>
        </w:rPr>
        <w:t xml:space="preserve"> acrediten la economía, eficacia, eficiencia, imparcialidad y honradez que aseguren las mejores condiciones del Estado.</w:t>
      </w:r>
    </w:p>
    <w:p w14:paraId="6D7DA230" w14:textId="77777777" w:rsidR="002D6F3F" w:rsidRPr="002D6F3F" w:rsidRDefault="00EC4A23" w:rsidP="002D6F3F">
      <w:pPr>
        <w:pStyle w:val="Textocomentario"/>
        <w:spacing w:after="200"/>
        <w:jc w:val="both"/>
        <w:rPr>
          <w:rFonts w:ascii="ITC Avant Garde" w:hAnsi="ITC Avant Garde"/>
          <w:sz w:val="22"/>
          <w:szCs w:val="22"/>
        </w:rPr>
      </w:pPr>
      <w:r w:rsidRPr="002D6F3F">
        <w:rPr>
          <w:rFonts w:ascii="ITC Avant Garde" w:hAnsi="ITC Avant Garde"/>
          <w:sz w:val="22"/>
          <w:szCs w:val="22"/>
        </w:rPr>
        <w:t xml:space="preserve">Dicho criterio ha sido igualmente consagrado por el Pleno de la Suprema Corte de Justicia de la Nación en la jurisprudencia P./J. 72/2007, Novena Época, tomo XXVI, </w:t>
      </w:r>
      <w:r w:rsidRPr="002D6F3F">
        <w:rPr>
          <w:rFonts w:ascii="ITC Avant Garde" w:hAnsi="ITC Avant Garde"/>
          <w:sz w:val="22"/>
          <w:szCs w:val="22"/>
        </w:rPr>
        <w:lastRenderedPageBreak/>
        <w:t>diciembre de 2007, publicada en el Semanario Judicial de la Federación y su Gaceta, visible en la página 986 y con número de registro 170758, que establece:</w:t>
      </w:r>
    </w:p>
    <w:p w14:paraId="04A69F6F" w14:textId="77777777" w:rsidR="002D6F3F" w:rsidRDefault="00EC4A23" w:rsidP="002D6F3F">
      <w:pPr>
        <w:spacing w:line="240" w:lineRule="auto"/>
        <w:ind w:left="1134" w:right="1182"/>
        <w:contextualSpacing/>
        <w:jc w:val="both"/>
        <w:rPr>
          <w:rFonts w:ascii="ITC Avant Garde" w:eastAsia="Times New Roman" w:hAnsi="ITC Avant Garde" w:cs="Arial"/>
          <w:sz w:val="20"/>
          <w:szCs w:val="20"/>
          <w:lang w:eastAsia="es-MX"/>
        </w:rPr>
      </w:pPr>
      <w:r w:rsidRPr="002D6F3F">
        <w:rPr>
          <w:rFonts w:ascii="ITC Avant Garde" w:eastAsia="Times New Roman" w:hAnsi="ITC Avant Garde" w:cs="Arial"/>
          <w:b/>
          <w:bCs/>
          <w:sz w:val="20"/>
          <w:szCs w:val="20"/>
          <w:lang w:eastAsia="es-MX"/>
        </w:rPr>
        <w:t xml:space="preserve">“ESPECTRO RADIOELÉCTRICO. A LAS CONCESIONES RELATIVAS SON APLICABLES LOS PRINCIPIOS CONTENIDOS EN EL ARTÍCULO 134 DE LA CONSTITUCIÓN POLÍTICA DE LOS ESTADOS UNIDOS MEXICANOS, CONJUNTAMENTE CON LOS ESTABLECIDOS EN LOS NUMERALES QUE CONFORMAN EL CAPÍTULO ECONÓMICO DE ÉSTA, Y PREFERENTEMENTE LOS RELATIVOS A LOS DERECHOS FUNDAMENTALES DE LOS GOBERNADOS.- </w:t>
      </w:r>
      <w:r w:rsidRPr="002D6F3F">
        <w:rPr>
          <w:rFonts w:ascii="ITC Avant Garde" w:eastAsia="Times New Roman" w:hAnsi="ITC Avant Garde" w:cs="Arial"/>
          <w:sz w:val="20"/>
          <w:szCs w:val="20"/>
          <w:lang w:eastAsia="es-MX"/>
        </w:rPr>
        <w:t xml:space="preserve">El citado precepto protege, como valor fundamental, el manejo de los recursos económicos de la Federación, que si bien, en principio, son aquellos ingresos públicos o medios financieros que se asignan vía presupuesto para las contrataciones de obras públicas y servicios, o bien, para las adquisiciones, arrendamientos y servicios, </w:t>
      </w:r>
      <w:r w:rsidRPr="002D6F3F">
        <w:rPr>
          <w:rFonts w:ascii="ITC Avant Garde" w:eastAsia="Times New Roman" w:hAnsi="ITC Avant Garde" w:cs="Arial"/>
          <w:b/>
          <w:sz w:val="20"/>
          <w:szCs w:val="20"/>
          <w:lang w:eastAsia="es-MX"/>
        </w:rPr>
        <w:t>bajo los principios de eficiencia, eficacia, honradez y licitación pública y abierta</w:t>
      </w:r>
      <w:r w:rsidRPr="002D6F3F">
        <w:rPr>
          <w:rFonts w:ascii="ITC Avant Garde" w:eastAsia="Times New Roman" w:hAnsi="ITC Avant Garde" w:cs="Arial"/>
          <w:sz w:val="20"/>
          <w:szCs w:val="20"/>
          <w:lang w:eastAsia="es-MX"/>
        </w:rPr>
        <w:t xml:space="preserve">, a fin de asegurar al Estado las mejores condiciones, también comprenden las enajenaciones de todo tipo de bienes bajo los mismos principios y fines. Ahora bien, entendidos los recursos económicos como bienes del dominio de la nación susceptibles de entregarse a cambio de un precio, el espectro radioeléctrico, </w:t>
      </w:r>
      <w:r w:rsidRPr="002D6F3F">
        <w:rPr>
          <w:rFonts w:ascii="ITC Avant Garde" w:eastAsia="Times New Roman" w:hAnsi="ITC Avant Garde" w:cs="Arial"/>
          <w:b/>
          <w:sz w:val="20"/>
          <w:szCs w:val="20"/>
          <w:u w:val="single"/>
          <w:lang w:eastAsia="es-MX"/>
        </w:rPr>
        <w:t xml:space="preserve">por ser un bien de esa naturaleza que se otorga en concesión a cambio de una contraprestación económica, debe considerarse también como recurso económico en su amplia acepción, al que son aplicables los principios contenidos en el artículo </w:t>
      </w:r>
      <w:hyperlink r:id="rId11" w:history="1">
        <w:r w:rsidRPr="002D6F3F">
          <w:rPr>
            <w:rStyle w:val="Hipervnculo"/>
            <w:rFonts w:ascii="ITC Avant Garde" w:eastAsia="Times New Roman" w:hAnsi="ITC Avant Garde" w:cs="Arial"/>
            <w:b/>
            <w:sz w:val="20"/>
            <w:szCs w:val="20"/>
            <w:lang w:eastAsia="es-MX"/>
          </w:rPr>
          <w:t>134 de la Constitución Política de los Estados Unidos Mexicanos</w:t>
        </w:r>
      </w:hyperlink>
      <w:r w:rsidRPr="002D6F3F">
        <w:rPr>
          <w:rFonts w:ascii="ITC Avant Garde" w:eastAsia="Times New Roman" w:hAnsi="ITC Avant Garde" w:cs="Arial"/>
          <w:sz w:val="20"/>
          <w:szCs w:val="20"/>
          <w:lang w:eastAsia="es-MX"/>
        </w:rPr>
        <w:t xml:space="preserve"> respecto del género enajenaciones, conjuntamente con los establecidos en los artículos </w:t>
      </w:r>
      <w:hyperlink r:id="rId12" w:history="1">
        <w:r w:rsidRPr="002D6F3F">
          <w:rPr>
            <w:rStyle w:val="Hipervnculo"/>
            <w:rFonts w:ascii="ITC Avant Garde" w:eastAsia="Times New Roman" w:hAnsi="ITC Avant Garde" w:cs="Arial"/>
            <w:sz w:val="20"/>
            <w:szCs w:val="20"/>
            <w:u w:val="none"/>
            <w:lang w:eastAsia="es-MX"/>
          </w:rPr>
          <w:t>25, 26, 27 y 28</w:t>
        </w:r>
      </w:hyperlink>
      <w:r w:rsidRPr="002D6F3F">
        <w:rPr>
          <w:rFonts w:ascii="ITC Avant Garde" w:eastAsia="Times New Roman" w:hAnsi="ITC Avant Garde" w:cs="Arial"/>
          <w:sz w:val="20"/>
          <w:szCs w:val="20"/>
          <w:lang w:eastAsia="es-MX"/>
        </w:rPr>
        <w:t xml:space="preserve"> que conforman el capítulo económico de la Ley Fundamental. Además, toda vez que la radiodifusión constituye una actividad de interés público que cumple una función social de relevancia trascendental para la nación, porque los medios de comunicación son un instrumento para hacer efectivos los derechos fundamentales de los gobernados, los principios del indicado artículo 134 deben relacionarse también, y preferentemente, con todas las disposiciones que consagran esos derechos fundamentales”</w:t>
      </w:r>
      <w:r w:rsidR="004A0837" w:rsidRPr="002D6F3F">
        <w:rPr>
          <w:rFonts w:ascii="ITC Avant Garde" w:eastAsia="Times New Roman" w:hAnsi="ITC Avant Garde" w:cs="Arial"/>
          <w:sz w:val="20"/>
          <w:szCs w:val="20"/>
          <w:lang w:eastAsia="es-MX"/>
        </w:rPr>
        <w:t>.</w:t>
      </w:r>
    </w:p>
    <w:p w14:paraId="1834AF59" w14:textId="77777777" w:rsidR="001A5779" w:rsidRPr="002D6F3F" w:rsidRDefault="001A5779" w:rsidP="002D6F3F">
      <w:pPr>
        <w:spacing w:line="240" w:lineRule="auto"/>
        <w:ind w:left="1134" w:right="1182"/>
        <w:contextualSpacing/>
        <w:jc w:val="both"/>
        <w:rPr>
          <w:rFonts w:ascii="ITC Avant Garde" w:hAnsi="ITC Avant Garde" w:cs="Arial"/>
          <w:sz w:val="20"/>
          <w:szCs w:val="20"/>
        </w:rPr>
      </w:pPr>
    </w:p>
    <w:p w14:paraId="762225E6" w14:textId="77777777" w:rsidR="002D6F3F" w:rsidRDefault="00EC4A23" w:rsidP="002D6F3F">
      <w:pPr>
        <w:suppressAutoHyphens/>
        <w:spacing w:line="240" w:lineRule="auto"/>
        <w:ind w:right="49"/>
        <w:contextualSpacing/>
        <w:jc w:val="both"/>
        <w:rPr>
          <w:rFonts w:ascii="ITC Avant Garde" w:eastAsia="Times New Roman" w:hAnsi="ITC Avant Garde" w:cs="Arial"/>
          <w:lang w:eastAsia="es-MX"/>
        </w:rPr>
      </w:pPr>
      <w:r w:rsidRPr="002D6F3F">
        <w:rPr>
          <w:rFonts w:ascii="ITC Avant Garde" w:hAnsi="ITC Avant Garde" w:cs="Arial"/>
        </w:rPr>
        <w:t xml:space="preserve">En esa tesitura, el Pleno del Instituto </w:t>
      </w:r>
      <w:r w:rsidRPr="002D6F3F">
        <w:rPr>
          <w:rFonts w:ascii="ITC Avant Garde" w:hAnsi="ITC Avant Garde" w:cs="Arial"/>
          <w:kern w:val="2"/>
          <w:lang w:eastAsia="ar-SA"/>
        </w:rPr>
        <w:t>aprobó y emitió la Convocatoria y las Bases, en los términos descritos en el Antecedente IV de</w:t>
      </w:r>
      <w:r w:rsidR="00B53A19" w:rsidRPr="002D6F3F">
        <w:rPr>
          <w:rFonts w:ascii="ITC Avant Garde" w:hAnsi="ITC Avant Garde" w:cs="Arial"/>
          <w:kern w:val="2"/>
          <w:lang w:eastAsia="ar-SA"/>
        </w:rPr>
        <w:t xml:space="preserve"> </w:t>
      </w:r>
      <w:r w:rsidRPr="002D6F3F">
        <w:rPr>
          <w:rFonts w:ascii="ITC Avant Garde" w:hAnsi="ITC Avant Garde" w:cs="Arial"/>
          <w:kern w:val="2"/>
          <w:lang w:eastAsia="ar-SA"/>
        </w:rPr>
        <w:t>l</w:t>
      </w:r>
      <w:r w:rsidR="00B53A19" w:rsidRPr="002D6F3F">
        <w:rPr>
          <w:rFonts w:ascii="ITC Avant Garde" w:hAnsi="ITC Avant Garde" w:cs="Arial"/>
          <w:kern w:val="2"/>
          <w:lang w:eastAsia="ar-SA"/>
        </w:rPr>
        <w:t>a</w:t>
      </w:r>
      <w:r w:rsidRPr="002D6F3F">
        <w:rPr>
          <w:rFonts w:ascii="ITC Avant Garde" w:hAnsi="ITC Avant Garde" w:cs="Arial"/>
          <w:kern w:val="2"/>
          <w:lang w:eastAsia="ar-SA"/>
        </w:rPr>
        <w:t xml:space="preserve"> presente </w:t>
      </w:r>
      <w:r w:rsidR="00B53A19" w:rsidRPr="002D6F3F">
        <w:rPr>
          <w:rFonts w:ascii="ITC Avant Garde" w:hAnsi="ITC Avant Garde" w:cs="Arial"/>
          <w:kern w:val="2"/>
          <w:lang w:eastAsia="ar-SA"/>
        </w:rPr>
        <w:t>Acta de Fallo</w:t>
      </w:r>
      <w:r w:rsidRPr="002D6F3F">
        <w:rPr>
          <w:rFonts w:ascii="ITC Avant Garde" w:hAnsi="ITC Avant Garde" w:cs="Arial"/>
          <w:kern w:val="2"/>
          <w:lang w:eastAsia="ar-SA"/>
        </w:rPr>
        <w:t xml:space="preserve">, para </w:t>
      </w:r>
      <w:r w:rsidRPr="002D6F3F">
        <w:rPr>
          <w:rFonts w:ascii="ITC Avant Garde" w:eastAsia="Times New Roman" w:hAnsi="ITC Avant Garde" w:cs="Arial"/>
          <w:lang w:eastAsia="es-MX"/>
        </w:rPr>
        <w:t>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w:t>
      </w:r>
    </w:p>
    <w:p w14:paraId="64DF94A8" w14:textId="77777777" w:rsidR="001A5779" w:rsidRPr="002D6F3F" w:rsidRDefault="001A5779" w:rsidP="002D6F3F">
      <w:pPr>
        <w:suppressAutoHyphens/>
        <w:spacing w:line="240" w:lineRule="auto"/>
        <w:ind w:right="49"/>
        <w:contextualSpacing/>
        <w:jc w:val="both"/>
        <w:rPr>
          <w:rFonts w:ascii="ITC Avant Garde" w:hAnsi="ITC Avant Garde" w:cs="Arial"/>
          <w:kern w:val="2"/>
          <w:lang w:eastAsia="ar-SA"/>
        </w:rPr>
      </w:pPr>
    </w:p>
    <w:p w14:paraId="05A43B21" w14:textId="39148FDB" w:rsidR="002D6F3F" w:rsidRPr="002D6F3F" w:rsidRDefault="001A5779" w:rsidP="001A5779">
      <w:pPr>
        <w:pBdr>
          <w:top w:val="nil"/>
          <w:left w:val="nil"/>
          <w:bottom w:val="nil"/>
          <w:right w:val="nil"/>
          <w:between w:val="nil"/>
          <w:bar w:val="nil"/>
        </w:pBdr>
        <w:spacing w:line="240" w:lineRule="auto"/>
        <w:contextualSpacing/>
        <w:jc w:val="both"/>
        <w:rPr>
          <w:rFonts w:ascii="ITC Avant Garde" w:hAnsi="ITC Avant Garde" w:cs="Arial"/>
        </w:rPr>
      </w:pPr>
      <w:r>
        <w:rPr>
          <w:rFonts w:ascii="ITC Avant Garde" w:hAnsi="ITC Avant Garde" w:cs="Arial"/>
          <w:b/>
        </w:rPr>
        <w:t>TERCERO.</w:t>
      </w:r>
      <w:r>
        <w:rPr>
          <w:rFonts w:ascii="ITC Avant Garde" w:hAnsi="ITC Avant Garde" w:cs="Arial"/>
          <w:b/>
        </w:rPr>
        <w:tab/>
      </w:r>
      <w:r w:rsidR="00EC4A23" w:rsidRPr="002D6F3F">
        <w:rPr>
          <w:rFonts w:ascii="ITC Avant Garde" w:hAnsi="ITC Avant Garde" w:cs="Arial"/>
          <w:b/>
        </w:rPr>
        <w:t xml:space="preserve">Licitación No. IFT-4. </w:t>
      </w:r>
      <w:r w:rsidR="00EC4A23" w:rsidRPr="002D6F3F">
        <w:rPr>
          <w:rFonts w:ascii="ITC Avant Garde" w:hAnsi="ITC Avant Garde" w:cs="Arial"/>
        </w:rPr>
        <w:t>El numeral 4 de las Bases prevé dentro del Calendario de Actividades las etapas siguientes:</w:t>
      </w:r>
    </w:p>
    <w:p w14:paraId="247C50EA" w14:textId="1BD997E0" w:rsidR="00EC4A23" w:rsidRPr="002D6F3F" w:rsidRDefault="00EC4A23" w:rsidP="002D6F3F">
      <w:pPr>
        <w:numPr>
          <w:ilvl w:val="0"/>
          <w:numId w:val="2"/>
        </w:numPr>
        <w:suppressAutoHyphens/>
        <w:spacing w:line="240" w:lineRule="auto"/>
        <w:jc w:val="both"/>
        <w:rPr>
          <w:rFonts w:ascii="ITC Avant Garde" w:hAnsi="ITC Avant Garde" w:cs="Arial"/>
          <w:kern w:val="2"/>
          <w:lang w:val="es-ES_tradnl" w:eastAsia="ar-SA"/>
        </w:rPr>
      </w:pPr>
      <w:r w:rsidRPr="002D6F3F">
        <w:rPr>
          <w:rFonts w:ascii="ITC Avant Garde" w:hAnsi="ITC Avant Garde" w:cs="Arial"/>
          <w:b/>
          <w:kern w:val="2"/>
          <w:lang w:val="es-ES_tradnl" w:eastAsia="ar-SA"/>
        </w:rPr>
        <w:t>Primera Etapa</w:t>
      </w:r>
      <w:r w:rsidRPr="002D6F3F">
        <w:rPr>
          <w:rFonts w:ascii="ITC Avant Garde" w:hAnsi="ITC Avant Garde" w:cs="Arial"/>
          <w:kern w:val="2"/>
          <w:lang w:val="es-ES_tradnl" w:eastAsia="ar-SA"/>
        </w:rPr>
        <w:t>: Manifestación de Interés, y Entrega de Información y Documentación.</w:t>
      </w:r>
    </w:p>
    <w:p w14:paraId="5038E8B7" w14:textId="77777777" w:rsidR="00EC4A23" w:rsidRPr="002D6F3F" w:rsidRDefault="00EC4A23" w:rsidP="002D6F3F">
      <w:pPr>
        <w:numPr>
          <w:ilvl w:val="0"/>
          <w:numId w:val="2"/>
        </w:numPr>
        <w:suppressAutoHyphens/>
        <w:spacing w:line="240" w:lineRule="auto"/>
        <w:jc w:val="both"/>
        <w:rPr>
          <w:rFonts w:ascii="ITC Avant Garde" w:hAnsi="ITC Avant Garde" w:cs="Arial"/>
          <w:kern w:val="2"/>
          <w:lang w:val="es-ES_tradnl" w:eastAsia="ar-SA"/>
        </w:rPr>
      </w:pPr>
      <w:r w:rsidRPr="002D6F3F">
        <w:rPr>
          <w:rFonts w:ascii="ITC Avant Garde" w:hAnsi="ITC Avant Garde" w:cs="Arial"/>
          <w:b/>
          <w:kern w:val="2"/>
          <w:lang w:val="es-ES_tradnl" w:eastAsia="ar-SA"/>
        </w:rPr>
        <w:t>Segunda Etapa</w:t>
      </w:r>
      <w:r w:rsidRPr="002D6F3F">
        <w:rPr>
          <w:rFonts w:ascii="ITC Avant Garde" w:hAnsi="ITC Avant Garde" w:cs="Arial"/>
          <w:kern w:val="2"/>
          <w:lang w:val="es-ES_tradnl" w:eastAsia="ar-SA"/>
        </w:rPr>
        <w:t>: Evaluación, Dictaminación y Emisión de Constancias de Participación.</w:t>
      </w:r>
    </w:p>
    <w:p w14:paraId="324487CD" w14:textId="77777777" w:rsidR="00EC4A23" w:rsidRPr="002D6F3F" w:rsidRDefault="00EC4A23" w:rsidP="002D6F3F">
      <w:pPr>
        <w:numPr>
          <w:ilvl w:val="0"/>
          <w:numId w:val="2"/>
        </w:numPr>
        <w:suppressAutoHyphens/>
        <w:spacing w:line="240" w:lineRule="auto"/>
        <w:jc w:val="both"/>
        <w:rPr>
          <w:rFonts w:ascii="ITC Avant Garde" w:hAnsi="ITC Avant Garde" w:cs="Arial"/>
          <w:kern w:val="2"/>
          <w:lang w:val="es-ES_tradnl" w:eastAsia="ar-SA"/>
        </w:rPr>
      </w:pPr>
      <w:r w:rsidRPr="002D6F3F">
        <w:rPr>
          <w:rFonts w:ascii="ITC Avant Garde" w:hAnsi="ITC Avant Garde" w:cs="Arial"/>
          <w:b/>
          <w:kern w:val="2"/>
          <w:lang w:val="es-ES_tradnl" w:eastAsia="ar-SA"/>
        </w:rPr>
        <w:lastRenderedPageBreak/>
        <w:t>Tercera Etapa</w:t>
      </w:r>
      <w:r w:rsidRPr="002D6F3F">
        <w:rPr>
          <w:rFonts w:ascii="ITC Avant Garde" w:hAnsi="ITC Avant Garde" w:cs="Arial"/>
          <w:kern w:val="2"/>
          <w:lang w:val="es-ES_tradnl" w:eastAsia="ar-SA"/>
        </w:rPr>
        <w:t>: Sesión de Práctica y Procedimiento de Presentación de las Ofertas, y</w:t>
      </w:r>
    </w:p>
    <w:p w14:paraId="40FA113D" w14:textId="77777777" w:rsidR="002D6F3F" w:rsidRPr="002D6F3F" w:rsidRDefault="00EC4A23" w:rsidP="002D6F3F">
      <w:pPr>
        <w:numPr>
          <w:ilvl w:val="0"/>
          <w:numId w:val="2"/>
        </w:numPr>
        <w:suppressAutoHyphens/>
        <w:spacing w:line="240" w:lineRule="auto"/>
        <w:jc w:val="both"/>
        <w:rPr>
          <w:rFonts w:ascii="ITC Avant Garde" w:hAnsi="ITC Avant Garde" w:cs="Arial"/>
          <w:kern w:val="2"/>
          <w:lang w:val="es-ES_tradnl" w:eastAsia="ar-SA"/>
        </w:rPr>
      </w:pPr>
      <w:r w:rsidRPr="002D6F3F">
        <w:rPr>
          <w:rFonts w:ascii="ITC Avant Garde" w:hAnsi="ITC Avant Garde" w:cs="Arial"/>
          <w:b/>
          <w:kern w:val="2"/>
          <w:lang w:val="es-ES_tradnl" w:eastAsia="ar-SA"/>
        </w:rPr>
        <w:t>Cuarta Etapa</w:t>
      </w:r>
      <w:r w:rsidRPr="002D6F3F">
        <w:rPr>
          <w:rFonts w:ascii="ITC Avant Garde" w:hAnsi="ITC Avant Garde" w:cs="Arial"/>
          <w:kern w:val="2"/>
          <w:lang w:val="es-ES_tradnl" w:eastAsia="ar-SA"/>
        </w:rPr>
        <w:t>: Emisión de Acta de Fallo, Pago de Contraprestación y Otorgamiento de Títulos de Concesión.</w:t>
      </w:r>
    </w:p>
    <w:p w14:paraId="09153FFE" w14:textId="77777777" w:rsidR="002D6F3F" w:rsidRPr="002D6F3F" w:rsidRDefault="00490A48" w:rsidP="002D6F3F">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2D6F3F">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587E7CC1" w14:textId="4C7DFBE0" w:rsidR="002D6F3F" w:rsidRPr="002D6F3F" w:rsidRDefault="00490A48" w:rsidP="002D6F3F">
      <w:pPr>
        <w:pStyle w:val="Prrafodelista"/>
        <w:numPr>
          <w:ilvl w:val="0"/>
          <w:numId w:val="34"/>
        </w:numPr>
        <w:suppressAutoHyphens/>
        <w:spacing w:after="200"/>
        <w:ind w:left="851"/>
        <w:jc w:val="both"/>
        <w:rPr>
          <w:rFonts w:ascii="ITC Avant Garde" w:hAnsi="ITC Avant Garde" w:cs="Arial"/>
          <w:kern w:val="2"/>
          <w:sz w:val="22"/>
          <w:szCs w:val="22"/>
          <w:lang w:val="es-ES_tradnl" w:eastAsia="ar-SA"/>
        </w:rPr>
      </w:pPr>
      <w:r w:rsidRPr="002D6F3F">
        <w:rPr>
          <w:rFonts w:ascii="ITC Avant Garde" w:hAnsi="ITC Avant Garde" w:cs="Arial"/>
          <w:b/>
          <w:kern w:val="2"/>
          <w:sz w:val="22"/>
          <w:szCs w:val="22"/>
          <w:lang w:val="es-ES_tradnl" w:eastAsia="ar-SA"/>
        </w:rPr>
        <w:t>Primera Etapa</w:t>
      </w:r>
      <w:r w:rsidRPr="002D6F3F">
        <w:rPr>
          <w:rFonts w:ascii="ITC Avant Garde" w:hAnsi="ITC Avant Garde" w:cs="Arial"/>
          <w:kern w:val="2"/>
          <w:sz w:val="22"/>
          <w:szCs w:val="22"/>
          <w:lang w:val="es-ES_tradnl" w:eastAsia="ar-SA"/>
        </w:rPr>
        <w:t>: Manifestación de Interés, y Entrega d</w:t>
      </w:r>
      <w:r w:rsidR="001A5779">
        <w:rPr>
          <w:rFonts w:ascii="ITC Avant Garde" w:hAnsi="ITC Avant Garde" w:cs="Arial"/>
          <w:kern w:val="2"/>
          <w:sz w:val="22"/>
          <w:szCs w:val="22"/>
          <w:lang w:val="es-ES_tradnl" w:eastAsia="ar-SA"/>
        </w:rPr>
        <w:t>e Información y Documentación.</w:t>
      </w:r>
    </w:p>
    <w:p w14:paraId="12037AF0" w14:textId="77777777" w:rsidR="002D6F3F" w:rsidRPr="002D6F3F" w:rsidRDefault="00827B46" w:rsidP="002D6F3F">
      <w:pPr>
        <w:tabs>
          <w:tab w:val="left" w:pos="7655"/>
        </w:tabs>
        <w:spacing w:line="240" w:lineRule="auto"/>
        <w:ind w:right="49"/>
        <w:contextualSpacing/>
        <w:jc w:val="both"/>
        <w:rPr>
          <w:rFonts w:ascii="ITC Avant Garde" w:hAnsi="ITC Avant Garde" w:cs="Arial"/>
        </w:rPr>
      </w:pPr>
      <w:r w:rsidRPr="002D6F3F">
        <w:rPr>
          <w:rFonts w:ascii="ITC Avant Garde" w:hAnsi="ITC Avant Garde" w:cs="Arial"/>
        </w:rPr>
        <w:t>Conforme al Calendario de Actividades de la Licitación No. IFT-4, el 21 de octubre de 2016 concluyó la última acción prevista para la Primera Etapa “</w:t>
      </w:r>
      <w:r w:rsidRPr="002D6F3F">
        <w:rPr>
          <w:rFonts w:ascii="ITC Avant Garde" w:hAnsi="ITC Avant Garde" w:cs="Arial"/>
          <w:kern w:val="2"/>
          <w:lang w:val="es-ES_tradnl" w:eastAsia="ar-SA"/>
        </w:rPr>
        <w:t>Manifestación de Interés, y Entrega de Información y Documentación”</w:t>
      </w:r>
      <w:r w:rsidRPr="002D6F3F">
        <w:rPr>
          <w:rFonts w:ascii="ITC Avant Garde" w:hAnsi="ITC Avant Garde" w:cs="Arial"/>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73A2D77C" w14:textId="77777777" w:rsidR="002D6F3F" w:rsidRPr="002D6F3F" w:rsidRDefault="00490A48" w:rsidP="002D6F3F">
      <w:pPr>
        <w:pStyle w:val="Prrafodelista"/>
        <w:numPr>
          <w:ilvl w:val="0"/>
          <w:numId w:val="34"/>
        </w:numPr>
        <w:suppressAutoHyphens/>
        <w:spacing w:after="200"/>
        <w:ind w:left="851"/>
        <w:jc w:val="both"/>
        <w:rPr>
          <w:rFonts w:ascii="ITC Avant Garde" w:hAnsi="ITC Avant Garde" w:cs="Arial"/>
          <w:kern w:val="2"/>
          <w:sz w:val="22"/>
          <w:szCs w:val="22"/>
          <w:lang w:val="es-ES_tradnl" w:eastAsia="ar-SA"/>
        </w:rPr>
      </w:pPr>
      <w:r w:rsidRPr="002D6F3F">
        <w:rPr>
          <w:rFonts w:ascii="ITC Avant Garde" w:hAnsi="ITC Avant Garde" w:cs="Arial"/>
          <w:b/>
          <w:kern w:val="2"/>
          <w:sz w:val="22"/>
          <w:szCs w:val="22"/>
          <w:lang w:val="es-ES_tradnl" w:eastAsia="ar-SA"/>
        </w:rPr>
        <w:t>Segunda Etapa</w:t>
      </w:r>
      <w:r w:rsidRPr="002D6F3F">
        <w:rPr>
          <w:rFonts w:ascii="ITC Avant Garde" w:hAnsi="ITC Avant Garde" w:cs="Arial"/>
          <w:kern w:val="2"/>
          <w:sz w:val="22"/>
          <w:szCs w:val="22"/>
          <w:lang w:val="es-ES_tradnl" w:eastAsia="ar-SA"/>
        </w:rPr>
        <w:t>: Evaluación, Dictaminación y Emisión de Constancias de Participación.</w:t>
      </w:r>
    </w:p>
    <w:p w14:paraId="0F215D02" w14:textId="3059F1D5" w:rsidR="002D6F3F" w:rsidRDefault="00ED0552" w:rsidP="002D6F3F">
      <w:pPr>
        <w:tabs>
          <w:tab w:val="left" w:pos="7655"/>
        </w:tabs>
        <w:spacing w:line="240" w:lineRule="auto"/>
        <w:ind w:right="51"/>
        <w:contextualSpacing/>
        <w:jc w:val="both"/>
        <w:rPr>
          <w:rFonts w:ascii="ITC Avant Garde" w:hAnsi="ITC Avant Garde" w:cs="Arial"/>
        </w:rPr>
      </w:pPr>
      <w:r w:rsidRPr="002D6F3F">
        <w:rPr>
          <w:rFonts w:ascii="ITC Avant Garde" w:hAnsi="ITC Avant Garde" w:cs="Arial"/>
        </w:rPr>
        <w:t xml:space="preserve">La publicación en el Portal de Internet del Instituto del calendario con las fechas correspondientes para la entrega de las Constancias de Participación es la primera acción prevista en el Calendario de Actividades para </w:t>
      </w:r>
      <w:r w:rsidR="008304F2" w:rsidRPr="002D6F3F">
        <w:rPr>
          <w:rFonts w:ascii="ITC Avant Garde" w:hAnsi="ITC Avant Garde" w:cs="Arial"/>
        </w:rPr>
        <w:t>la etapa</w:t>
      </w:r>
      <w:r w:rsidR="001A5779">
        <w:rPr>
          <w:rFonts w:ascii="ITC Avant Garde" w:hAnsi="ITC Avant Garde" w:cs="Arial"/>
        </w:rPr>
        <w:t xml:space="preserve"> que nos ocupa.</w:t>
      </w:r>
    </w:p>
    <w:p w14:paraId="3ED5EFB6" w14:textId="77777777" w:rsidR="001A5779" w:rsidRPr="002D6F3F" w:rsidRDefault="001A5779" w:rsidP="002D6F3F">
      <w:pPr>
        <w:tabs>
          <w:tab w:val="left" w:pos="7655"/>
        </w:tabs>
        <w:spacing w:line="240" w:lineRule="auto"/>
        <w:ind w:right="51"/>
        <w:contextualSpacing/>
        <w:jc w:val="both"/>
        <w:rPr>
          <w:rFonts w:ascii="ITC Avant Garde" w:hAnsi="ITC Avant Garde" w:cs="Arial"/>
        </w:rPr>
      </w:pPr>
    </w:p>
    <w:p w14:paraId="426C4447" w14:textId="77777777" w:rsidR="002D6F3F" w:rsidRDefault="00ED0552" w:rsidP="002D6F3F">
      <w:pPr>
        <w:spacing w:line="240" w:lineRule="auto"/>
        <w:ind w:right="49"/>
        <w:contextualSpacing/>
        <w:jc w:val="both"/>
        <w:rPr>
          <w:rFonts w:ascii="ITC Avant Garde" w:hAnsi="ITC Avant Garde" w:cs="Arial"/>
          <w:lang w:val="es-ES_tradnl" w:eastAsia="es-MX"/>
        </w:rPr>
      </w:pPr>
      <w:r w:rsidRPr="002D6F3F">
        <w:rPr>
          <w:rFonts w:ascii="ITC Avant Garde" w:hAnsi="ITC Avant Garde" w:cs="Arial"/>
        </w:rPr>
        <w:t>Ahora bien, en términos del numeral 5.1.6 de las Bases, u</w:t>
      </w:r>
      <w:r w:rsidRPr="002D6F3F">
        <w:rPr>
          <w:rFonts w:ascii="ITC Avant Garde" w:hAnsi="ITC Avant Garde"/>
        </w:rPr>
        <w:t xml:space="preserve">na vez que el Instituto </w:t>
      </w:r>
      <w:r w:rsidR="00782175" w:rsidRPr="002D6F3F">
        <w:rPr>
          <w:rFonts w:ascii="ITC Avant Garde" w:hAnsi="ITC Avant Garde"/>
        </w:rPr>
        <w:t>analizó</w:t>
      </w:r>
      <w:r w:rsidRPr="002D6F3F">
        <w:rPr>
          <w:rFonts w:ascii="ITC Avant Garde" w:hAnsi="ITC Avant Garde"/>
        </w:rPr>
        <w:t xml:space="preserve"> la documentación presentada por los Interesados con motivo de la prevención efectuada, </w:t>
      </w:r>
      <w:r w:rsidR="00782175" w:rsidRPr="002D6F3F">
        <w:rPr>
          <w:rFonts w:ascii="ITC Avant Garde" w:hAnsi="ITC Avant Garde" w:cs="Arial"/>
        </w:rPr>
        <w:t xml:space="preserve">notificó e hizo entrega de las Constancias de Participación a aquellos Interesados </w:t>
      </w:r>
      <w:r w:rsidRPr="002D6F3F">
        <w:rPr>
          <w:rFonts w:ascii="ITC Avant Garde" w:hAnsi="ITC Avant Garde"/>
        </w:rPr>
        <w:t xml:space="preserve">que </w:t>
      </w:r>
      <w:r w:rsidR="00782175" w:rsidRPr="002D6F3F">
        <w:rPr>
          <w:rFonts w:ascii="ITC Avant Garde" w:hAnsi="ITC Avant Garde" w:cs="Arial"/>
        </w:rPr>
        <w:t xml:space="preserve">acreditaron su capacidad administrativa, técnica, jurídica y </w:t>
      </w:r>
      <w:r w:rsidR="00782175" w:rsidRPr="002D6F3F" w:rsidDel="007412A4">
        <w:rPr>
          <w:rFonts w:ascii="ITC Avant Garde" w:hAnsi="ITC Avant Garde" w:cs="Arial"/>
        </w:rPr>
        <w:t>financiera</w:t>
      </w:r>
      <w:r w:rsidR="00782175" w:rsidRPr="002D6F3F">
        <w:rPr>
          <w:rFonts w:ascii="ITC Avant Garde" w:hAnsi="ITC Avant Garde" w:cs="Arial"/>
        </w:rPr>
        <w:t xml:space="preserve">, así como los demás requisitos establecidos en el Apéndice A y sus Anexos, y el Apéndice E de las Bases, así como el numeral 5.2.1 de las Bases, </w:t>
      </w:r>
      <w:r w:rsidR="00782175" w:rsidRPr="002D6F3F">
        <w:rPr>
          <w:rFonts w:ascii="ITC Avant Garde" w:hAnsi="ITC Avant Garde" w:cs="Arial Unicode MS"/>
          <w:bCs/>
          <w:u w:color="000000"/>
          <w:bdr w:val="nil"/>
          <w:lang w:val="es-ES_tradnl" w:eastAsia="es-MX"/>
        </w:rPr>
        <w:t xml:space="preserve">dentro del período comprendido del </w:t>
      </w:r>
      <w:r w:rsidR="00782175" w:rsidRPr="002D6F3F">
        <w:rPr>
          <w:rFonts w:ascii="ITC Avant Garde" w:hAnsi="ITC Avant Garde" w:cs="Arial"/>
          <w:lang w:val="es-ES_tradnl" w:eastAsia="es-MX"/>
        </w:rPr>
        <w:t>23 al 27 de enero de 2017.</w:t>
      </w:r>
    </w:p>
    <w:p w14:paraId="22F25BCF" w14:textId="77777777" w:rsidR="001A5779" w:rsidRPr="002D6F3F" w:rsidRDefault="001A5779" w:rsidP="002D6F3F">
      <w:pPr>
        <w:spacing w:line="240" w:lineRule="auto"/>
        <w:ind w:right="49"/>
        <w:contextualSpacing/>
        <w:jc w:val="both"/>
        <w:rPr>
          <w:rFonts w:ascii="ITC Avant Garde" w:hAnsi="ITC Avant Garde" w:cs="Arial"/>
          <w:lang w:val="es-ES_tradnl" w:eastAsia="es-MX"/>
        </w:rPr>
      </w:pPr>
    </w:p>
    <w:p w14:paraId="41D8355C" w14:textId="5E05E36B" w:rsidR="002D6F3F" w:rsidRDefault="00782175" w:rsidP="002D6F3F">
      <w:pPr>
        <w:tabs>
          <w:tab w:val="left" w:pos="7655"/>
        </w:tabs>
        <w:spacing w:line="240" w:lineRule="auto"/>
        <w:ind w:right="51"/>
        <w:contextualSpacing/>
        <w:jc w:val="both"/>
        <w:rPr>
          <w:rFonts w:ascii="ITC Avant Garde" w:hAnsi="ITC Avant Garde"/>
        </w:rPr>
      </w:pPr>
      <w:r w:rsidRPr="002D6F3F">
        <w:rPr>
          <w:rFonts w:ascii="ITC Avant Garde" w:hAnsi="ITC Avant Garde"/>
        </w:rPr>
        <w:t xml:space="preserve">Asimismo, </w:t>
      </w:r>
      <w:r w:rsidR="000D77FE" w:rsidRPr="002D6F3F">
        <w:rPr>
          <w:rFonts w:ascii="ITC Avant Garde" w:hAnsi="ITC Avant Garde"/>
        </w:rPr>
        <w:t xml:space="preserve">el Instituto </w:t>
      </w:r>
      <w:r w:rsidR="00DD58AA" w:rsidRPr="002D6F3F">
        <w:rPr>
          <w:rFonts w:ascii="ITC Avant Garde" w:hAnsi="ITC Avant Garde"/>
        </w:rPr>
        <w:t>estuvo</w:t>
      </w:r>
      <w:r w:rsidR="00ED0552" w:rsidRPr="002D6F3F">
        <w:rPr>
          <w:rFonts w:ascii="ITC Avant Garde" w:hAnsi="ITC Avant Garde"/>
        </w:rPr>
        <w:t xml:space="preserve"> impedido para entregarle la Constancia de Participación respectiva </w:t>
      </w:r>
      <w:r w:rsidR="0082538C" w:rsidRPr="002D6F3F">
        <w:rPr>
          <w:rFonts w:ascii="ITC Avant Garde" w:hAnsi="ITC Avant Garde"/>
        </w:rPr>
        <w:t xml:space="preserve">a </w:t>
      </w:r>
      <w:r w:rsidR="00ED0552" w:rsidRPr="002D6F3F">
        <w:rPr>
          <w:rFonts w:ascii="ITC Avant Garde" w:hAnsi="ITC Avant Garde"/>
        </w:rPr>
        <w:t>los I</w:t>
      </w:r>
      <w:r w:rsidR="00EF2894" w:rsidRPr="002D6F3F">
        <w:rPr>
          <w:rFonts w:ascii="ITC Avant Garde" w:hAnsi="ITC Avant Garde"/>
        </w:rPr>
        <w:t xml:space="preserve">nteresados </w:t>
      </w:r>
      <w:r w:rsidR="0082538C" w:rsidRPr="002D6F3F">
        <w:rPr>
          <w:rFonts w:ascii="ITC Avant Garde" w:hAnsi="ITC Avant Garde"/>
        </w:rPr>
        <w:t xml:space="preserve">que </w:t>
      </w:r>
      <w:r w:rsidR="00EF2894" w:rsidRPr="002D6F3F">
        <w:rPr>
          <w:rFonts w:ascii="ITC Avant Garde" w:hAnsi="ITC Avant Garde"/>
        </w:rPr>
        <w:t xml:space="preserve">no </w:t>
      </w:r>
      <w:r w:rsidRPr="002D6F3F">
        <w:rPr>
          <w:rFonts w:ascii="ITC Avant Garde" w:hAnsi="ITC Avant Garde"/>
        </w:rPr>
        <w:t>cumplieron con</w:t>
      </w:r>
      <w:r w:rsidR="00ED0552" w:rsidRPr="002D6F3F">
        <w:rPr>
          <w:rFonts w:ascii="ITC Avant Garde" w:hAnsi="ITC Avant Garde"/>
        </w:rPr>
        <w:t xml:space="preserve"> los requisitos especificados en </w:t>
      </w:r>
      <w:r w:rsidR="000C59BD" w:rsidRPr="002D6F3F">
        <w:rPr>
          <w:rFonts w:ascii="ITC Avant Garde" w:hAnsi="ITC Avant Garde"/>
        </w:rPr>
        <w:t xml:space="preserve">las Bases, </w:t>
      </w:r>
      <w:r w:rsidR="007E1DE8" w:rsidRPr="002D6F3F">
        <w:rPr>
          <w:rFonts w:ascii="ITC Avant Garde" w:hAnsi="ITC Avant Garde"/>
        </w:rPr>
        <w:t xml:space="preserve">sus Apéndices y Anexos, e </w:t>
      </w:r>
      <w:r w:rsidR="00DD58AA" w:rsidRPr="002D6F3F">
        <w:rPr>
          <w:rFonts w:ascii="ITC Avant Garde" w:hAnsi="ITC Avant Garde"/>
        </w:rPr>
        <w:t>e hizo</w:t>
      </w:r>
      <w:r w:rsidR="00ED0552" w:rsidRPr="002D6F3F">
        <w:rPr>
          <w:rFonts w:ascii="ITC Avant Garde" w:hAnsi="ITC Avant Garde"/>
        </w:rPr>
        <w:t xml:space="preserve"> de su conocimiento por medio del SERPO y de manera formal, las causas por las cuales no cumpli</w:t>
      </w:r>
      <w:r w:rsidR="0082538C" w:rsidRPr="002D6F3F">
        <w:rPr>
          <w:rFonts w:ascii="ITC Avant Garde" w:hAnsi="ITC Avant Garde"/>
        </w:rPr>
        <w:t>eron</w:t>
      </w:r>
      <w:r w:rsidR="00ED0552" w:rsidRPr="002D6F3F">
        <w:rPr>
          <w:rFonts w:ascii="ITC Avant Garde" w:hAnsi="ITC Avant Garde"/>
        </w:rPr>
        <w:t>, conforme a las fechas establecidas en el Calendario de Actividades</w:t>
      </w:r>
      <w:r w:rsidR="00285E72" w:rsidRPr="002D6F3F">
        <w:rPr>
          <w:rFonts w:ascii="ITC Avant Garde" w:hAnsi="ITC Avant Garde"/>
        </w:rPr>
        <w:t xml:space="preserve">, </w:t>
      </w:r>
      <w:r w:rsidR="00285E72" w:rsidRPr="002D6F3F">
        <w:rPr>
          <w:rFonts w:ascii="ITC Avant Garde" w:hAnsi="ITC Avant Garde" w:cs="Arial Unicode MS"/>
          <w:bCs/>
          <w:u w:color="000000"/>
          <w:bdr w:val="nil"/>
          <w:lang w:val="es-ES_tradnl" w:eastAsia="es-MX"/>
        </w:rPr>
        <w:t xml:space="preserve">en el período comprendido del </w:t>
      </w:r>
      <w:r w:rsidR="00285E72" w:rsidRPr="002D6F3F">
        <w:rPr>
          <w:rFonts w:ascii="ITC Avant Garde" w:hAnsi="ITC Avant Garde" w:cs="Arial"/>
          <w:lang w:val="es-ES_tradnl" w:eastAsia="es-MX"/>
        </w:rPr>
        <w:t>23 al 27 de enero de 2017</w:t>
      </w:r>
      <w:r w:rsidR="001A5779">
        <w:rPr>
          <w:rFonts w:ascii="ITC Avant Garde" w:hAnsi="ITC Avant Garde"/>
        </w:rPr>
        <w:t>.</w:t>
      </w:r>
    </w:p>
    <w:p w14:paraId="4E20DE88" w14:textId="77777777" w:rsidR="001A5779" w:rsidRPr="002D6F3F" w:rsidRDefault="001A5779" w:rsidP="002D6F3F">
      <w:pPr>
        <w:tabs>
          <w:tab w:val="left" w:pos="7655"/>
        </w:tabs>
        <w:spacing w:line="240" w:lineRule="auto"/>
        <w:ind w:right="51"/>
        <w:contextualSpacing/>
        <w:jc w:val="both"/>
        <w:rPr>
          <w:rFonts w:ascii="ITC Avant Garde" w:hAnsi="ITC Avant Garde"/>
        </w:rPr>
      </w:pPr>
    </w:p>
    <w:p w14:paraId="4251ED1C" w14:textId="77777777" w:rsidR="002D6F3F" w:rsidRPr="002D6F3F" w:rsidRDefault="00285E72" w:rsidP="002D6F3F">
      <w:pPr>
        <w:spacing w:line="240" w:lineRule="auto"/>
        <w:ind w:right="49"/>
        <w:contextualSpacing/>
        <w:jc w:val="both"/>
        <w:rPr>
          <w:rFonts w:ascii="ITC Avant Garde" w:eastAsiaTheme="minorHAnsi" w:hAnsi="ITC Avant Garde" w:cs="Arial"/>
        </w:rPr>
      </w:pPr>
      <w:r w:rsidRPr="002D6F3F">
        <w:rPr>
          <w:rFonts w:ascii="ITC Avant Garde" w:hAnsi="ITC Avant Garde" w:cs="Arial Unicode MS"/>
          <w:bCs/>
          <w:u w:color="000000"/>
          <w:bdr w:val="nil"/>
          <w:lang w:val="es-ES_tradnl" w:eastAsia="es-MX"/>
        </w:rPr>
        <w:t>En este sentido, c</w:t>
      </w:r>
      <w:r w:rsidR="00827B46" w:rsidRPr="002D6F3F">
        <w:rPr>
          <w:rFonts w:ascii="ITC Avant Garde" w:hAnsi="ITC Avant Garde" w:cs="Arial Unicode MS"/>
          <w:bCs/>
          <w:u w:color="000000"/>
          <w:bdr w:val="nil"/>
          <w:lang w:val="es-ES_tradnl" w:eastAsia="es-MX"/>
        </w:rPr>
        <w:t xml:space="preserve">onforme a </w:t>
      </w:r>
      <w:r w:rsidR="00827B46" w:rsidRPr="002D6F3F">
        <w:rPr>
          <w:rFonts w:ascii="ITC Avant Garde" w:eastAsiaTheme="minorHAnsi" w:hAnsi="ITC Avant Garde" w:cs="Arial"/>
        </w:rPr>
        <w:t xml:space="preserve">lo dispuesto en el numeral </w:t>
      </w:r>
      <w:r w:rsidR="000078DE" w:rsidRPr="002D6F3F">
        <w:rPr>
          <w:rFonts w:ascii="ITC Avant Garde" w:eastAsiaTheme="minorHAnsi" w:hAnsi="ITC Avant Garde" w:cs="Arial"/>
        </w:rPr>
        <w:t>5.2.1 de las Bases</w:t>
      </w:r>
      <w:r w:rsidR="00827B46" w:rsidRPr="002D6F3F">
        <w:rPr>
          <w:rFonts w:ascii="ITC Avant Garde" w:eastAsiaTheme="minorHAnsi" w:hAnsi="ITC Avant Garde" w:cs="Arial"/>
        </w:rPr>
        <w:t>,</w:t>
      </w:r>
      <w:r w:rsidR="000060AD" w:rsidRPr="002D6F3F">
        <w:rPr>
          <w:rFonts w:ascii="ITC Avant Garde" w:eastAsiaTheme="minorHAnsi" w:hAnsi="ITC Avant Garde" w:cs="Arial"/>
        </w:rPr>
        <w:t xml:space="preserve"> con la notificación y entrega de las Constancias de Participación, </w:t>
      </w:r>
      <w:r w:rsidRPr="002D6F3F">
        <w:rPr>
          <w:rFonts w:ascii="ITC Avant Garde" w:eastAsiaTheme="minorHAnsi" w:hAnsi="ITC Avant Garde" w:cs="Arial"/>
        </w:rPr>
        <w:t xml:space="preserve">dichos </w:t>
      </w:r>
      <w:r w:rsidR="00827B46" w:rsidRPr="002D6F3F">
        <w:rPr>
          <w:rFonts w:ascii="ITC Avant Garde" w:eastAsiaTheme="minorHAnsi" w:hAnsi="ITC Avant Garde" w:cs="Arial"/>
        </w:rPr>
        <w:t>Interesados</w:t>
      </w:r>
      <w:r w:rsidR="00827B46" w:rsidRPr="002D6F3F">
        <w:rPr>
          <w:rFonts w:ascii="ITC Avant Garde" w:hAnsi="ITC Avant Garde" w:cs="Arial Unicode MS"/>
          <w:bCs/>
          <w:u w:color="000000"/>
          <w:bdr w:val="nil"/>
          <w:lang w:val="es-ES_tradnl" w:eastAsia="es-MX"/>
        </w:rPr>
        <w:t xml:space="preserve"> </w:t>
      </w:r>
      <w:r w:rsidR="00827B46" w:rsidRPr="002D6F3F">
        <w:rPr>
          <w:rFonts w:ascii="ITC Avant Garde" w:eastAsiaTheme="minorHAnsi" w:hAnsi="ITC Avant Garde" w:cs="Arial"/>
        </w:rPr>
        <w:t>alcanzaron la calidad de Participantes y avanzaron a la Tercera Etapa de la Licitación.</w:t>
      </w:r>
    </w:p>
    <w:p w14:paraId="5A3B8B49" w14:textId="77777777" w:rsidR="002D6F3F" w:rsidRPr="002D6F3F" w:rsidRDefault="00490A48" w:rsidP="002D6F3F">
      <w:pPr>
        <w:pStyle w:val="Prrafodelista"/>
        <w:numPr>
          <w:ilvl w:val="0"/>
          <w:numId w:val="34"/>
        </w:numPr>
        <w:suppressAutoHyphens/>
        <w:spacing w:after="200"/>
        <w:ind w:left="851"/>
        <w:jc w:val="both"/>
        <w:rPr>
          <w:rFonts w:ascii="ITC Avant Garde" w:hAnsi="ITC Avant Garde" w:cs="Arial"/>
          <w:kern w:val="2"/>
          <w:sz w:val="22"/>
          <w:szCs w:val="22"/>
          <w:lang w:val="es-ES_tradnl" w:eastAsia="ar-SA"/>
        </w:rPr>
      </w:pPr>
      <w:r w:rsidRPr="002D6F3F">
        <w:rPr>
          <w:rFonts w:ascii="ITC Avant Garde" w:hAnsi="ITC Avant Garde" w:cs="Arial"/>
          <w:b/>
          <w:kern w:val="2"/>
          <w:sz w:val="22"/>
          <w:szCs w:val="22"/>
          <w:lang w:val="es-ES_tradnl" w:eastAsia="ar-SA"/>
        </w:rPr>
        <w:t xml:space="preserve">Tercera Etapa: </w:t>
      </w:r>
      <w:r w:rsidRPr="002D6F3F">
        <w:rPr>
          <w:rFonts w:ascii="ITC Avant Garde" w:hAnsi="ITC Avant Garde" w:cs="Arial"/>
          <w:kern w:val="2"/>
          <w:sz w:val="22"/>
          <w:szCs w:val="22"/>
          <w:lang w:val="es-ES_tradnl" w:eastAsia="ar-SA"/>
        </w:rPr>
        <w:t>Sesión de Práctica y Procedimiento d</w:t>
      </w:r>
      <w:r w:rsidR="002F71F8" w:rsidRPr="002D6F3F">
        <w:rPr>
          <w:rFonts w:ascii="ITC Avant Garde" w:hAnsi="ITC Avant Garde" w:cs="Arial"/>
          <w:kern w:val="2"/>
          <w:sz w:val="22"/>
          <w:szCs w:val="22"/>
          <w:lang w:val="es-ES_tradnl" w:eastAsia="ar-SA"/>
        </w:rPr>
        <w:t>e Presentación de las Ofertas.</w:t>
      </w:r>
    </w:p>
    <w:p w14:paraId="7FC0AD14" w14:textId="21F72564" w:rsidR="002D6F3F" w:rsidRPr="002D6F3F" w:rsidRDefault="00035CF5" w:rsidP="002D6F3F">
      <w:pPr>
        <w:suppressAutoHyphens/>
        <w:spacing w:line="240" w:lineRule="auto"/>
        <w:jc w:val="both"/>
        <w:rPr>
          <w:rFonts w:ascii="ITC Avant Garde" w:hAnsi="ITC Avant Garde" w:cs="Arial"/>
          <w:kern w:val="2"/>
          <w:lang w:val="es-ES_tradnl" w:eastAsia="ar-SA"/>
        </w:rPr>
      </w:pPr>
      <w:r w:rsidRPr="002D6F3F">
        <w:rPr>
          <w:rFonts w:ascii="ITC Avant Garde" w:hAnsi="ITC Avant Garde" w:cs="Arial"/>
          <w:kern w:val="2"/>
          <w:lang w:val="es-ES_tradnl" w:eastAsia="ar-SA"/>
        </w:rPr>
        <w:lastRenderedPageBreak/>
        <w:t>E</w:t>
      </w:r>
      <w:r w:rsidR="00634916" w:rsidRPr="002D6F3F">
        <w:rPr>
          <w:rFonts w:ascii="ITC Avant Garde" w:hAnsi="ITC Avant Garde" w:cs="Arial"/>
          <w:kern w:val="2"/>
          <w:lang w:val="es-ES_tradnl" w:eastAsia="ar-SA"/>
        </w:rPr>
        <w:t xml:space="preserve">n términos de lo previsto en el </w:t>
      </w:r>
      <w:r w:rsidR="002E68DF" w:rsidRPr="002D6F3F">
        <w:rPr>
          <w:rFonts w:ascii="ITC Avant Garde" w:hAnsi="ITC Avant Garde" w:cs="Arial"/>
          <w:kern w:val="2"/>
          <w:lang w:val="es-ES_tradnl" w:eastAsia="ar-SA"/>
        </w:rPr>
        <w:t xml:space="preserve">Calendario de Actividades de </w:t>
      </w:r>
      <w:r w:rsidR="00634916" w:rsidRPr="002D6F3F">
        <w:rPr>
          <w:rFonts w:ascii="ITC Avant Garde" w:hAnsi="ITC Avant Garde" w:cs="Arial"/>
          <w:kern w:val="2"/>
          <w:lang w:val="es-ES_tradnl" w:eastAsia="ar-SA"/>
        </w:rPr>
        <w:t>las Bases</w:t>
      </w:r>
      <w:r w:rsidR="009A296C" w:rsidRPr="002D6F3F">
        <w:rPr>
          <w:rFonts w:ascii="ITC Avant Garde" w:hAnsi="ITC Avant Garde" w:cs="Arial"/>
          <w:kern w:val="2"/>
          <w:lang w:val="es-ES_tradnl" w:eastAsia="ar-SA"/>
        </w:rPr>
        <w:t>,</w:t>
      </w:r>
      <w:r w:rsidR="00634916" w:rsidRPr="002D6F3F">
        <w:rPr>
          <w:rFonts w:ascii="ITC Avant Garde" w:hAnsi="ITC Avant Garde" w:cs="Arial"/>
          <w:kern w:val="2"/>
          <w:lang w:val="es-ES_tradnl" w:eastAsia="ar-SA"/>
        </w:rPr>
        <w:t xml:space="preserve"> el 30 de enero de 2017 </w:t>
      </w:r>
      <w:r w:rsidRPr="002D6F3F">
        <w:rPr>
          <w:rFonts w:ascii="ITC Avant Garde" w:hAnsi="ITC Avant Garde" w:cs="Arial"/>
          <w:kern w:val="2"/>
          <w:lang w:val="es-ES_tradnl" w:eastAsia="ar-SA"/>
        </w:rPr>
        <w:t xml:space="preserve">iniciaron </w:t>
      </w:r>
      <w:r w:rsidR="00634916" w:rsidRPr="002D6F3F">
        <w:rPr>
          <w:rFonts w:ascii="ITC Avant Garde" w:hAnsi="ITC Avant Garde" w:cs="Arial"/>
          <w:kern w:val="2"/>
          <w:lang w:val="es-ES_tradnl" w:eastAsia="ar-SA"/>
        </w:rPr>
        <w:t>las sesiones de práctica del Procedimiento de Presentación de Ofertas</w:t>
      </w:r>
      <w:r w:rsidR="005D11A2" w:rsidRPr="002D6F3F">
        <w:rPr>
          <w:rFonts w:ascii="ITC Avant Garde" w:hAnsi="ITC Avant Garde" w:cs="Arial"/>
          <w:kern w:val="2"/>
          <w:lang w:val="es-ES_tradnl" w:eastAsia="ar-SA"/>
        </w:rPr>
        <w:t xml:space="preserve"> vía Internet </w:t>
      </w:r>
      <w:r w:rsidR="0082538C" w:rsidRPr="002D6F3F">
        <w:rPr>
          <w:rFonts w:ascii="ITC Avant Garde" w:hAnsi="ITC Avant Garde" w:cs="Arial"/>
          <w:kern w:val="2"/>
          <w:lang w:val="es-ES_tradnl" w:eastAsia="ar-SA"/>
        </w:rPr>
        <w:t xml:space="preserve">a </w:t>
      </w:r>
      <w:r w:rsidR="005D11A2" w:rsidRPr="002D6F3F">
        <w:rPr>
          <w:rFonts w:ascii="ITC Avant Garde" w:hAnsi="ITC Avant Garde" w:cs="Arial"/>
          <w:kern w:val="2"/>
          <w:lang w:val="es-ES_tradnl" w:eastAsia="ar-SA"/>
        </w:rPr>
        <w:t>través del SERPO</w:t>
      </w:r>
      <w:r w:rsidR="00634916" w:rsidRPr="002D6F3F">
        <w:rPr>
          <w:rFonts w:ascii="ITC Avant Garde" w:hAnsi="ITC Avant Garde" w:cs="Arial"/>
          <w:kern w:val="2"/>
          <w:lang w:val="es-ES_tradnl" w:eastAsia="ar-SA"/>
        </w:rPr>
        <w:t xml:space="preserve">, </w:t>
      </w:r>
      <w:r w:rsidR="00DD58AA" w:rsidRPr="002D6F3F">
        <w:rPr>
          <w:rFonts w:ascii="ITC Avant Garde" w:hAnsi="ITC Avant Garde" w:cs="Arial"/>
          <w:kern w:val="2"/>
          <w:lang w:val="es-ES_tradnl" w:eastAsia="ar-SA"/>
        </w:rPr>
        <w:t xml:space="preserve">a fin de que </w:t>
      </w:r>
      <w:r w:rsidR="005D11A2" w:rsidRPr="002D6F3F">
        <w:rPr>
          <w:rFonts w:ascii="ITC Avant Garde" w:hAnsi="ITC Avant Garde" w:cs="Arial"/>
          <w:kern w:val="2"/>
          <w:lang w:val="es-ES_tradnl" w:eastAsia="ar-SA"/>
        </w:rPr>
        <w:t xml:space="preserve">los Participantes </w:t>
      </w:r>
      <w:r w:rsidR="00DD58AA" w:rsidRPr="002D6F3F">
        <w:rPr>
          <w:rFonts w:ascii="ITC Avant Garde" w:hAnsi="ITC Avant Garde" w:cs="Arial"/>
          <w:kern w:val="2"/>
          <w:lang w:val="es-ES_tradnl" w:eastAsia="ar-SA"/>
        </w:rPr>
        <w:t xml:space="preserve">se familiarizaran </w:t>
      </w:r>
      <w:r w:rsidR="00634916" w:rsidRPr="002D6F3F">
        <w:rPr>
          <w:rFonts w:ascii="ITC Avant Garde" w:hAnsi="ITC Avant Garde" w:cs="Arial"/>
          <w:kern w:val="2"/>
          <w:lang w:val="es-ES_tradnl" w:eastAsia="ar-SA"/>
        </w:rPr>
        <w:t>con el Procedimie</w:t>
      </w:r>
      <w:r w:rsidR="001A5779">
        <w:rPr>
          <w:rFonts w:ascii="ITC Avant Garde" w:hAnsi="ITC Avant Garde" w:cs="Arial"/>
          <w:kern w:val="2"/>
          <w:lang w:val="es-ES_tradnl" w:eastAsia="ar-SA"/>
        </w:rPr>
        <w:t>nto de Presentación de Ofertas.</w:t>
      </w:r>
    </w:p>
    <w:p w14:paraId="71EB9833" w14:textId="35954FB5" w:rsidR="002D6F3F" w:rsidRPr="002D6F3F" w:rsidRDefault="00D865BA" w:rsidP="002D6F3F">
      <w:pPr>
        <w:suppressAutoHyphens/>
        <w:spacing w:line="240" w:lineRule="auto"/>
        <w:jc w:val="both"/>
        <w:rPr>
          <w:rFonts w:ascii="ITC Avant Garde" w:hAnsi="ITC Avant Garde" w:cs="Arial"/>
          <w:kern w:val="2"/>
          <w:lang w:val="es-ES_tradnl" w:eastAsia="ar-SA"/>
        </w:rPr>
      </w:pPr>
      <w:r w:rsidRPr="002D6F3F">
        <w:rPr>
          <w:rFonts w:ascii="ITC Avant Garde" w:hAnsi="ITC Avant Garde" w:cs="Arial"/>
          <w:kern w:val="2"/>
          <w:lang w:val="es-ES_tradnl" w:eastAsia="ar-SA"/>
        </w:rPr>
        <w:t xml:space="preserve">El Procedimiento de Presentación de Ofertas </w:t>
      </w:r>
      <w:r w:rsidR="005D11A2" w:rsidRPr="002D6F3F">
        <w:rPr>
          <w:rFonts w:ascii="ITC Avant Garde" w:hAnsi="ITC Avant Garde" w:cs="Arial"/>
          <w:kern w:val="2"/>
          <w:lang w:val="es-ES_tradnl" w:eastAsia="ar-SA"/>
        </w:rPr>
        <w:t xml:space="preserve">se llevó a cabo de manera diferenciada para los </w:t>
      </w:r>
      <w:r w:rsidRPr="002D6F3F">
        <w:rPr>
          <w:rFonts w:ascii="ITC Avant Garde" w:hAnsi="ITC Avant Garde" w:cs="Arial"/>
          <w:kern w:val="2"/>
          <w:lang w:val="es-ES_tradnl" w:eastAsia="ar-SA"/>
        </w:rPr>
        <w:t>dos Concursos, uno correspondiente a 191 Lotes de la Banda FM y otro relativo a 66 Lotes de la Banda de AM.</w:t>
      </w:r>
      <w:r w:rsidR="000B0118" w:rsidRPr="002D6F3F">
        <w:rPr>
          <w:rFonts w:ascii="ITC Avant Garde" w:hAnsi="ITC Avant Garde" w:cs="Arial"/>
          <w:kern w:val="2"/>
          <w:lang w:val="es-ES_tradnl" w:eastAsia="ar-SA"/>
        </w:rPr>
        <w:t xml:space="preserve"> </w:t>
      </w:r>
      <w:r w:rsidR="007E1DE8" w:rsidRPr="002D6F3F">
        <w:rPr>
          <w:rFonts w:ascii="ITC Avant Garde" w:hAnsi="ITC Avant Garde" w:cs="Arial"/>
          <w:kern w:val="2"/>
          <w:lang w:val="es-ES_tradnl" w:eastAsia="ar-SA"/>
        </w:rPr>
        <w:t>En principio d</w:t>
      </w:r>
      <w:r w:rsidR="000B0118" w:rsidRPr="002D6F3F">
        <w:rPr>
          <w:rFonts w:ascii="ITC Avant Garde" w:hAnsi="ITC Avant Garde" w:cs="Arial"/>
          <w:kern w:val="2"/>
          <w:lang w:val="es-ES_tradnl" w:eastAsia="ar-SA"/>
        </w:rPr>
        <w:t xml:space="preserve">ichos Concursos estaban programados para durar 48 horas continuas; sin embargo, </w:t>
      </w:r>
      <w:r w:rsidR="007E1DE8" w:rsidRPr="002D6F3F">
        <w:rPr>
          <w:rFonts w:ascii="ITC Avant Garde" w:hAnsi="ITC Avant Garde" w:cs="Arial"/>
          <w:kern w:val="2"/>
          <w:lang w:val="es-ES_tradnl" w:eastAsia="ar-SA"/>
        </w:rPr>
        <w:t xml:space="preserve">el referido </w:t>
      </w:r>
      <w:r w:rsidR="000B0118" w:rsidRPr="002D6F3F">
        <w:rPr>
          <w:rFonts w:ascii="ITC Avant Garde" w:hAnsi="ITC Avant Garde" w:cs="Arial"/>
          <w:kern w:val="2"/>
          <w:lang w:val="es-ES_tradnl" w:eastAsia="ar-SA"/>
        </w:rPr>
        <w:t xml:space="preserve">periodo podía extenderse para cada Lote, en caso de registrarse actividad para éste (presentación de al menos una Oferta) en la media hora previa al Cierre Programado. Los Lotes cuyo tiempo de presentación de Ofertas </w:t>
      </w:r>
      <w:r w:rsidR="005D11A2" w:rsidRPr="002D6F3F">
        <w:rPr>
          <w:rFonts w:ascii="ITC Avant Garde" w:hAnsi="ITC Avant Garde" w:cs="Arial"/>
          <w:kern w:val="2"/>
          <w:lang w:val="es-ES_tradnl" w:eastAsia="ar-SA"/>
        </w:rPr>
        <w:t>fue</w:t>
      </w:r>
      <w:r w:rsidR="00EF2894" w:rsidRPr="002D6F3F">
        <w:rPr>
          <w:rFonts w:ascii="ITC Avant Garde" w:hAnsi="ITC Avant Garde" w:cs="Arial"/>
          <w:kern w:val="2"/>
          <w:lang w:val="es-ES_tradnl" w:eastAsia="ar-SA"/>
        </w:rPr>
        <w:t xml:space="preserve"> extendido, continuaro</w:t>
      </w:r>
      <w:r w:rsidR="000B0118" w:rsidRPr="002D6F3F">
        <w:rPr>
          <w:rFonts w:ascii="ITC Avant Garde" w:hAnsi="ITC Avant Garde" w:cs="Arial"/>
          <w:kern w:val="2"/>
          <w:lang w:val="es-ES_tradnl" w:eastAsia="ar-SA"/>
        </w:rPr>
        <w:t xml:space="preserve">n por </w:t>
      </w:r>
      <w:r w:rsidR="007E1DE8" w:rsidRPr="002D6F3F">
        <w:rPr>
          <w:rFonts w:ascii="ITC Avant Garde" w:hAnsi="ITC Avant Garde" w:cs="Arial"/>
          <w:kern w:val="2"/>
          <w:lang w:val="es-ES_tradnl" w:eastAsia="ar-SA"/>
        </w:rPr>
        <w:t xml:space="preserve">30 </w:t>
      </w:r>
      <w:r w:rsidR="000B0118" w:rsidRPr="002D6F3F">
        <w:rPr>
          <w:rFonts w:ascii="ITC Avant Garde" w:hAnsi="ITC Avant Garde" w:cs="Arial"/>
          <w:kern w:val="2"/>
          <w:lang w:val="es-ES_tradnl" w:eastAsia="ar-SA"/>
        </w:rPr>
        <w:t xml:space="preserve">minutos adicionales al Cierre Programado originalmente y dicha </w:t>
      </w:r>
      <w:r w:rsidR="00EF2894" w:rsidRPr="002D6F3F">
        <w:rPr>
          <w:rFonts w:ascii="ITC Avant Garde" w:hAnsi="ITC Avant Garde" w:cs="Arial"/>
          <w:kern w:val="2"/>
          <w:lang w:val="es-ES_tradnl" w:eastAsia="ar-SA"/>
        </w:rPr>
        <w:t>extensión de tiempo se rep</w:t>
      </w:r>
      <w:r w:rsidR="00313D7C" w:rsidRPr="002D6F3F">
        <w:rPr>
          <w:rFonts w:ascii="ITC Avant Garde" w:hAnsi="ITC Avant Garde" w:cs="Arial"/>
          <w:kern w:val="2"/>
          <w:lang w:val="es-ES_tradnl" w:eastAsia="ar-SA"/>
        </w:rPr>
        <w:t>i</w:t>
      </w:r>
      <w:r w:rsidR="00EF2894" w:rsidRPr="002D6F3F">
        <w:rPr>
          <w:rFonts w:ascii="ITC Avant Garde" w:hAnsi="ITC Avant Garde" w:cs="Arial"/>
          <w:kern w:val="2"/>
          <w:lang w:val="es-ES_tradnl" w:eastAsia="ar-SA"/>
        </w:rPr>
        <w:t>t</w:t>
      </w:r>
      <w:r w:rsidR="005D11A2" w:rsidRPr="002D6F3F">
        <w:rPr>
          <w:rFonts w:ascii="ITC Avant Garde" w:hAnsi="ITC Avant Garde" w:cs="Arial"/>
          <w:kern w:val="2"/>
          <w:lang w:val="es-ES_tradnl" w:eastAsia="ar-SA"/>
        </w:rPr>
        <w:t>ió</w:t>
      </w:r>
      <w:r w:rsidR="00EF2894" w:rsidRPr="002D6F3F">
        <w:rPr>
          <w:rFonts w:ascii="ITC Avant Garde" w:hAnsi="ITC Avant Garde" w:cs="Arial"/>
          <w:kern w:val="2"/>
          <w:lang w:val="es-ES_tradnl" w:eastAsia="ar-SA"/>
        </w:rPr>
        <w:t xml:space="preserve"> </w:t>
      </w:r>
      <w:r w:rsidR="005D11A2" w:rsidRPr="002D6F3F">
        <w:rPr>
          <w:rFonts w:ascii="ITC Avant Garde" w:hAnsi="ITC Avant Garde" w:cs="Arial"/>
          <w:kern w:val="2"/>
          <w:lang w:val="es-ES_tradnl" w:eastAsia="ar-SA"/>
        </w:rPr>
        <w:t>cuando</w:t>
      </w:r>
      <w:r w:rsidR="00EF2894" w:rsidRPr="002D6F3F">
        <w:rPr>
          <w:rFonts w:ascii="ITC Avant Garde" w:hAnsi="ITC Avant Garde" w:cs="Arial"/>
          <w:kern w:val="2"/>
          <w:lang w:val="es-ES_tradnl" w:eastAsia="ar-SA"/>
        </w:rPr>
        <w:t xml:space="preserve"> existi</w:t>
      </w:r>
      <w:r w:rsidR="005D11A2" w:rsidRPr="002D6F3F">
        <w:rPr>
          <w:rFonts w:ascii="ITC Avant Garde" w:hAnsi="ITC Avant Garde" w:cs="Arial"/>
          <w:kern w:val="2"/>
          <w:lang w:val="es-ES_tradnl" w:eastAsia="ar-SA"/>
        </w:rPr>
        <w:t>ó</w:t>
      </w:r>
      <w:r w:rsidR="000B0118" w:rsidRPr="002D6F3F">
        <w:rPr>
          <w:rFonts w:ascii="ITC Avant Garde" w:hAnsi="ITC Avant Garde" w:cs="Arial"/>
          <w:kern w:val="2"/>
          <w:lang w:val="es-ES_tradnl" w:eastAsia="ar-SA"/>
        </w:rPr>
        <w:t xml:space="preserve"> actividad durante </w:t>
      </w:r>
      <w:r w:rsidR="007E1DE8" w:rsidRPr="002D6F3F">
        <w:rPr>
          <w:rFonts w:ascii="ITC Avant Garde" w:hAnsi="ITC Avant Garde" w:cs="Arial"/>
          <w:kern w:val="2"/>
          <w:lang w:val="es-ES_tradnl" w:eastAsia="ar-SA"/>
        </w:rPr>
        <w:t xml:space="preserve">dicho lapso de </w:t>
      </w:r>
      <w:r w:rsidR="001A5779">
        <w:rPr>
          <w:rFonts w:ascii="ITC Avant Garde" w:hAnsi="ITC Avant Garde" w:cs="Arial"/>
          <w:kern w:val="2"/>
          <w:lang w:val="es-ES_tradnl" w:eastAsia="ar-SA"/>
        </w:rPr>
        <w:t>media hora.</w:t>
      </w:r>
    </w:p>
    <w:p w14:paraId="4BFEDA93" w14:textId="5CCCE110" w:rsidR="002D6F3F" w:rsidRPr="002D6F3F" w:rsidRDefault="000B0118" w:rsidP="002D6F3F">
      <w:pPr>
        <w:suppressAutoHyphens/>
        <w:spacing w:line="240" w:lineRule="auto"/>
        <w:jc w:val="both"/>
        <w:rPr>
          <w:rFonts w:ascii="ITC Avant Garde" w:hAnsi="ITC Avant Garde" w:cs="Arial"/>
          <w:kern w:val="2"/>
          <w:lang w:val="es-ES_tradnl" w:eastAsia="ar-SA"/>
        </w:rPr>
      </w:pPr>
      <w:r w:rsidRPr="002D6F3F">
        <w:rPr>
          <w:rFonts w:ascii="ITC Avant Garde" w:hAnsi="ITC Avant Garde" w:cs="Arial"/>
          <w:kern w:val="2"/>
          <w:lang w:val="es-ES_tradnl" w:eastAsia="ar-SA"/>
        </w:rPr>
        <w:t xml:space="preserve">Las </w:t>
      </w:r>
      <w:r w:rsidR="00EF2894" w:rsidRPr="002D6F3F">
        <w:rPr>
          <w:rFonts w:ascii="ITC Avant Garde" w:hAnsi="ITC Avant Garde" w:cs="Arial"/>
          <w:kern w:val="2"/>
          <w:lang w:val="es-ES_tradnl" w:eastAsia="ar-SA"/>
        </w:rPr>
        <w:t>Ofertas presentadas se reflejaron</w:t>
      </w:r>
      <w:r w:rsidRPr="002D6F3F">
        <w:rPr>
          <w:rFonts w:ascii="ITC Avant Garde" w:hAnsi="ITC Avant Garde" w:cs="Arial"/>
          <w:kern w:val="2"/>
          <w:lang w:val="es-ES_tradnl" w:eastAsia="ar-SA"/>
        </w:rPr>
        <w:t xml:space="preserve"> en puntos determinados por </w:t>
      </w:r>
      <w:r w:rsidR="000768B8" w:rsidRPr="002D6F3F">
        <w:rPr>
          <w:rFonts w:ascii="ITC Avant Garde" w:hAnsi="ITC Avant Garde" w:cs="Arial"/>
          <w:kern w:val="2"/>
          <w:lang w:val="es-ES_tradnl" w:eastAsia="ar-SA"/>
        </w:rPr>
        <w:t xml:space="preserve">la </w:t>
      </w:r>
      <w:r w:rsidRPr="002D6F3F">
        <w:rPr>
          <w:rFonts w:ascii="ITC Avant Garde" w:hAnsi="ITC Avant Garde" w:cs="Arial"/>
          <w:kern w:val="2"/>
          <w:lang w:val="es-ES_tradnl" w:eastAsia="ar-SA"/>
        </w:rPr>
        <w:t>Fórmula de Evaluación</w:t>
      </w:r>
      <w:r w:rsidR="000768B8" w:rsidRPr="002D6F3F">
        <w:rPr>
          <w:rFonts w:ascii="ITC Avant Garde" w:hAnsi="ITC Avant Garde" w:cs="Arial"/>
          <w:kern w:val="2"/>
          <w:lang w:val="es-ES_tradnl" w:eastAsia="ar-SA"/>
        </w:rPr>
        <w:t xml:space="preserve"> prevista en </w:t>
      </w:r>
      <w:r w:rsidR="007E1DE8" w:rsidRPr="002D6F3F">
        <w:rPr>
          <w:rFonts w:ascii="ITC Avant Garde" w:hAnsi="ITC Avant Garde" w:cs="Arial"/>
          <w:kern w:val="2"/>
          <w:lang w:val="es-ES_tradnl" w:eastAsia="ar-SA"/>
        </w:rPr>
        <w:t xml:space="preserve">el Apéndice B de </w:t>
      </w:r>
      <w:r w:rsidR="000768B8" w:rsidRPr="002D6F3F">
        <w:rPr>
          <w:rFonts w:ascii="ITC Avant Garde" w:hAnsi="ITC Avant Garde" w:cs="Arial"/>
          <w:kern w:val="2"/>
          <w:lang w:val="es-ES_tradnl" w:eastAsia="ar-SA"/>
        </w:rPr>
        <w:t>las Bases</w:t>
      </w:r>
      <w:r w:rsidRPr="002D6F3F">
        <w:rPr>
          <w:rFonts w:ascii="ITC Avant Garde" w:hAnsi="ITC Avant Garde" w:cs="Arial"/>
          <w:kern w:val="2"/>
          <w:lang w:val="es-ES_tradnl" w:eastAsia="ar-SA"/>
        </w:rPr>
        <w:t>, la cual se conforma de un Componente Económico y, dependiendo del Concurso del que se trate, 1 (uno) o 2 (dos) Componentes No Económicos</w:t>
      </w:r>
      <w:r w:rsidR="00A27ABC" w:rsidRPr="002D6F3F">
        <w:rPr>
          <w:rFonts w:ascii="ITC Avant Garde" w:hAnsi="ITC Avant Garde" w:cs="Arial"/>
          <w:kern w:val="2"/>
          <w:lang w:val="es-ES_tradnl" w:eastAsia="ar-SA"/>
        </w:rPr>
        <w:t>:</w:t>
      </w:r>
      <w:r w:rsidRPr="002D6F3F">
        <w:rPr>
          <w:rFonts w:ascii="ITC Avant Garde" w:hAnsi="ITC Avant Garde" w:cs="Arial"/>
          <w:kern w:val="2"/>
          <w:lang w:val="es-ES_tradnl" w:eastAsia="ar-SA"/>
        </w:rPr>
        <w:t xml:space="preserve"> </w:t>
      </w:r>
      <w:r w:rsidR="00A27ABC" w:rsidRPr="002D6F3F">
        <w:rPr>
          <w:rFonts w:ascii="ITC Avant Garde" w:hAnsi="ITC Avant Garde" w:cs="Arial"/>
          <w:kern w:val="2"/>
          <w:lang w:val="es-ES_tradnl" w:eastAsia="ar-SA"/>
        </w:rPr>
        <w:t xml:space="preserve">el compromiso de iniciar </w:t>
      </w:r>
      <w:r w:rsidRPr="002D6F3F">
        <w:rPr>
          <w:rFonts w:ascii="ITC Avant Garde" w:hAnsi="ITC Avant Garde" w:cs="Arial"/>
          <w:kern w:val="2"/>
          <w:lang w:val="es-ES_tradnl" w:eastAsia="ar-SA"/>
        </w:rPr>
        <w:t>operaci</w:t>
      </w:r>
      <w:r w:rsidR="00A27ABC" w:rsidRPr="002D6F3F">
        <w:rPr>
          <w:rFonts w:ascii="ITC Avant Garde" w:hAnsi="ITC Avant Garde" w:cs="Arial"/>
          <w:kern w:val="2"/>
          <w:lang w:val="es-ES_tradnl" w:eastAsia="ar-SA"/>
        </w:rPr>
        <w:t>ones</w:t>
      </w:r>
      <w:r w:rsidRPr="002D6F3F">
        <w:rPr>
          <w:rFonts w:ascii="ITC Avant Garde" w:hAnsi="ITC Avant Garde" w:cs="Arial"/>
          <w:kern w:val="2"/>
          <w:lang w:val="es-ES_tradnl" w:eastAsia="ar-SA"/>
        </w:rPr>
        <w:t xml:space="preserve"> en forma híbrida (analógica/digital) bajo el estándar IBOC</w:t>
      </w:r>
      <w:r w:rsidR="000C59BD" w:rsidRPr="002D6F3F">
        <w:rPr>
          <w:rFonts w:ascii="ITC Avant Garde" w:hAnsi="ITC Avant Garde" w:cs="Arial"/>
          <w:kern w:val="2"/>
          <w:lang w:val="es-ES_tradnl" w:eastAsia="ar-SA"/>
        </w:rPr>
        <w:t xml:space="preserve"> (en el caso del Concurso de FM)</w:t>
      </w:r>
      <w:r w:rsidR="00846B97" w:rsidRPr="002D6F3F">
        <w:rPr>
          <w:rFonts w:ascii="ITC Avant Garde" w:hAnsi="ITC Avant Garde" w:cs="Arial"/>
          <w:kern w:val="2"/>
          <w:lang w:val="es-ES_tradnl" w:eastAsia="ar-SA"/>
        </w:rPr>
        <w:t>,</w:t>
      </w:r>
      <w:r w:rsidRPr="002D6F3F">
        <w:rPr>
          <w:rFonts w:ascii="ITC Avant Garde" w:hAnsi="ITC Avant Garde" w:cs="Arial"/>
          <w:kern w:val="2"/>
          <w:lang w:val="es-ES_tradnl" w:eastAsia="ar-SA"/>
        </w:rPr>
        <w:t xml:space="preserve"> y la Incorporación de Nuevos Competid</w:t>
      </w:r>
      <w:r w:rsidR="00EF2894" w:rsidRPr="002D6F3F">
        <w:rPr>
          <w:rFonts w:ascii="ITC Avant Garde" w:hAnsi="ITC Avant Garde" w:cs="Arial"/>
          <w:kern w:val="2"/>
          <w:lang w:val="es-ES_tradnl" w:eastAsia="ar-SA"/>
        </w:rPr>
        <w:t>ores en el Mercado</w:t>
      </w:r>
      <w:r w:rsidR="000C59BD" w:rsidRPr="002D6F3F">
        <w:rPr>
          <w:rFonts w:ascii="ITC Avant Garde" w:hAnsi="ITC Avant Garde" w:cs="Arial"/>
          <w:kern w:val="2"/>
          <w:lang w:val="es-ES_tradnl" w:eastAsia="ar-SA"/>
        </w:rPr>
        <w:t xml:space="preserve"> (en el caso de ambos Concursos)</w:t>
      </w:r>
      <w:r w:rsidR="00846B97" w:rsidRPr="002D6F3F">
        <w:rPr>
          <w:rFonts w:ascii="ITC Avant Garde" w:hAnsi="ITC Avant Garde" w:cs="Arial"/>
          <w:kern w:val="2"/>
          <w:lang w:val="es-ES_tradnl" w:eastAsia="ar-SA"/>
        </w:rPr>
        <w:t>,</w:t>
      </w:r>
      <w:r w:rsidRPr="002D6F3F">
        <w:rPr>
          <w:rFonts w:ascii="ITC Avant Garde" w:hAnsi="ITC Avant Garde" w:cs="Arial"/>
          <w:kern w:val="2"/>
          <w:lang w:val="es-ES_tradnl" w:eastAsia="ar-SA"/>
        </w:rPr>
        <w:t>.</w:t>
      </w:r>
      <w:r w:rsidR="00EF2894" w:rsidRPr="002D6F3F">
        <w:rPr>
          <w:rFonts w:ascii="ITC Avant Garde" w:hAnsi="ITC Avant Garde" w:cs="Arial"/>
          <w:kern w:val="2"/>
          <w:lang w:val="es-ES_tradnl" w:eastAsia="ar-SA"/>
        </w:rPr>
        <w:t xml:space="preserve"> Por consiguiente, </w:t>
      </w:r>
      <w:r w:rsidRPr="002D6F3F">
        <w:rPr>
          <w:rFonts w:ascii="ITC Avant Garde" w:hAnsi="ITC Avant Garde" w:cs="Arial"/>
          <w:kern w:val="2"/>
          <w:lang w:val="es-ES_tradnl" w:eastAsia="ar-SA"/>
        </w:rPr>
        <w:t>la aplicación de l</w:t>
      </w:r>
      <w:r w:rsidR="00EF2894" w:rsidRPr="002D6F3F">
        <w:rPr>
          <w:rFonts w:ascii="ITC Avant Garde" w:hAnsi="ITC Avant Garde" w:cs="Arial"/>
          <w:kern w:val="2"/>
          <w:lang w:val="es-ES_tradnl" w:eastAsia="ar-SA"/>
        </w:rPr>
        <w:t xml:space="preserve">a Fórmula de Evaluación </w:t>
      </w:r>
      <w:r w:rsidR="00060589" w:rsidRPr="002D6F3F">
        <w:rPr>
          <w:rFonts w:ascii="ITC Avant Garde" w:hAnsi="ITC Avant Garde" w:cs="Arial"/>
          <w:kern w:val="2"/>
          <w:lang w:val="es-ES_tradnl" w:eastAsia="ar-SA"/>
        </w:rPr>
        <w:t xml:space="preserve">podía </w:t>
      </w:r>
      <w:r w:rsidR="00EF2894" w:rsidRPr="002D6F3F">
        <w:rPr>
          <w:rFonts w:ascii="ITC Avant Garde" w:hAnsi="ITC Avant Garde" w:cs="Arial"/>
          <w:kern w:val="2"/>
          <w:lang w:val="es-ES_tradnl" w:eastAsia="ar-SA"/>
        </w:rPr>
        <w:t>otorg</w:t>
      </w:r>
      <w:r w:rsidR="00060589" w:rsidRPr="002D6F3F">
        <w:rPr>
          <w:rFonts w:ascii="ITC Avant Garde" w:hAnsi="ITC Avant Garde" w:cs="Arial"/>
          <w:kern w:val="2"/>
          <w:lang w:val="es-ES_tradnl" w:eastAsia="ar-SA"/>
        </w:rPr>
        <w:t>ar</w:t>
      </w:r>
      <w:r w:rsidRPr="002D6F3F">
        <w:rPr>
          <w:rFonts w:ascii="ITC Avant Garde" w:hAnsi="ITC Avant Garde" w:cs="Arial"/>
          <w:kern w:val="2"/>
          <w:lang w:val="es-ES_tradnl" w:eastAsia="ar-SA"/>
        </w:rPr>
        <w:t xml:space="preserve"> al Participante un puntaje con base en el Componente Económico y en los Componentes No Económicos</w:t>
      </w:r>
      <w:r w:rsidR="00393AC3" w:rsidRPr="002D6F3F">
        <w:rPr>
          <w:rFonts w:ascii="ITC Avant Garde" w:hAnsi="ITC Avant Garde" w:cs="Arial"/>
          <w:kern w:val="2"/>
          <w:lang w:val="es-ES_tradnl" w:eastAsia="ar-SA"/>
        </w:rPr>
        <w:t xml:space="preserve"> aplicables</w:t>
      </w:r>
      <w:r w:rsidR="001A5779">
        <w:rPr>
          <w:rFonts w:ascii="ITC Avant Garde" w:hAnsi="ITC Avant Garde" w:cs="Arial"/>
          <w:kern w:val="2"/>
          <w:lang w:val="es-ES_tradnl" w:eastAsia="ar-SA"/>
        </w:rPr>
        <w:t>.</w:t>
      </w:r>
    </w:p>
    <w:p w14:paraId="1AA0954E" w14:textId="77777777" w:rsidR="002D6F3F" w:rsidRPr="002D6F3F" w:rsidRDefault="000B0118" w:rsidP="002D6F3F">
      <w:pPr>
        <w:suppressAutoHyphens/>
        <w:spacing w:line="240" w:lineRule="auto"/>
        <w:jc w:val="both"/>
        <w:rPr>
          <w:rFonts w:ascii="ITC Avant Garde" w:hAnsi="ITC Avant Garde" w:cs="Arial"/>
          <w:kern w:val="2"/>
          <w:lang w:val="es-ES_tradnl" w:eastAsia="ar-SA"/>
        </w:rPr>
      </w:pPr>
      <w:r w:rsidRPr="002D6F3F">
        <w:rPr>
          <w:rFonts w:ascii="ITC Avant Garde" w:hAnsi="ITC Avant Garde" w:cs="Arial"/>
          <w:kern w:val="2"/>
          <w:lang w:val="es-ES_tradnl" w:eastAsia="ar-SA"/>
        </w:rPr>
        <w:t>En es</w:t>
      </w:r>
      <w:r w:rsidR="00846B97" w:rsidRPr="002D6F3F">
        <w:rPr>
          <w:rFonts w:ascii="ITC Avant Garde" w:hAnsi="ITC Avant Garde" w:cs="Arial"/>
          <w:kern w:val="2"/>
          <w:lang w:val="es-ES_tradnl" w:eastAsia="ar-SA"/>
        </w:rPr>
        <w:t>t</w:t>
      </w:r>
      <w:r w:rsidRPr="002D6F3F">
        <w:rPr>
          <w:rFonts w:ascii="ITC Avant Garde" w:hAnsi="ITC Avant Garde" w:cs="Arial"/>
          <w:kern w:val="2"/>
          <w:lang w:val="es-ES_tradnl" w:eastAsia="ar-SA"/>
        </w:rPr>
        <w:t>e sentido, respecto de</w:t>
      </w:r>
      <w:r w:rsidR="00D865BA" w:rsidRPr="002D6F3F">
        <w:rPr>
          <w:rFonts w:ascii="ITC Avant Garde" w:hAnsi="ITC Avant Garde" w:cs="Arial"/>
          <w:kern w:val="2"/>
          <w:lang w:val="es-ES_tradnl" w:eastAsia="ar-SA"/>
        </w:rPr>
        <w:t xml:space="preserve"> cada uno de los Concursos tenemos lo siguiente:</w:t>
      </w:r>
    </w:p>
    <w:p w14:paraId="32F82F6D" w14:textId="77777777" w:rsidR="002D6F3F" w:rsidRPr="002D6F3F" w:rsidRDefault="006330D7" w:rsidP="002D6F3F">
      <w:pPr>
        <w:pStyle w:val="Prrafodelista"/>
        <w:numPr>
          <w:ilvl w:val="0"/>
          <w:numId w:val="42"/>
        </w:numPr>
        <w:suppressAutoHyphens/>
        <w:spacing w:after="200"/>
        <w:jc w:val="both"/>
        <w:rPr>
          <w:rFonts w:ascii="ITC Avant Garde" w:hAnsi="ITC Avant Garde" w:cs="Arial"/>
          <w:b/>
          <w:kern w:val="2"/>
          <w:sz w:val="22"/>
          <w:szCs w:val="22"/>
          <w:lang w:val="es-ES_tradnl" w:eastAsia="ar-SA"/>
        </w:rPr>
      </w:pPr>
      <w:r w:rsidRPr="002D6F3F">
        <w:rPr>
          <w:rFonts w:ascii="ITC Avant Garde" w:hAnsi="ITC Avant Garde" w:cs="Arial"/>
          <w:b/>
          <w:kern w:val="2"/>
          <w:sz w:val="22"/>
          <w:szCs w:val="22"/>
          <w:lang w:val="es-ES_tradnl" w:eastAsia="ar-SA"/>
        </w:rPr>
        <w:t xml:space="preserve">Procedimiento de Presentación de Ofertas relativas al </w:t>
      </w:r>
      <w:r w:rsidR="00D865BA" w:rsidRPr="002D6F3F">
        <w:rPr>
          <w:rFonts w:ascii="ITC Avant Garde" w:hAnsi="ITC Avant Garde" w:cs="Arial"/>
          <w:b/>
          <w:kern w:val="2"/>
          <w:sz w:val="22"/>
          <w:szCs w:val="22"/>
          <w:lang w:val="es-ES_tradnl" w:eastAsia="ar-SA"/>
        </w:rPr>
        <w:t>Concurso correspondi</w:t>
      </w:r>
      <w:r w:rsidR="008145ED" w:rsidRPr="002D6F3F">
        <w:rPr>
          <w:rFonts w:ascii="ITC Avant Garde" w:hAnsi="ITC Avant Garde" w:cs="Arial"/>
          <w:b/>
          <w:kern w:val="2"/>
          <w:sz w:val="22"/>
          <w:szCs w:val="22"/>
          <w:lang w:val="es-ES_tradnl" w:eastAsia="ar-SA"/>
        </w:rPr>
        <w:t>ente a 191 Lotes de la Banda FM, en el segmento de 88 a 106 MHz.</w:t>
      </w:r>
    </w:p>
    <w:p w14:paraId="174AB681" w14:textId="7D3EA751" w:rsidR="002D6F3F" w:rsidRPr="002D6F3F" w:rsidRDefault="002F71F8" w:rsidP="002D6F3F">
      <w:pPr>
        <w:pStyle w:val="Prrafodelista"/>
        <w:suppressAutoHyphens/>
        <w:spacing w:after="200"/>
        <w:ind w:left="709"/>
        <w:jc w:val="both"/>
        <w:rPr>
          <w:rFonts w:ascii="ITC Avant Garde" w:hAnsi="ITC Avant Garde" w:cs="Arial"/>
          <w:b/>
          <w:kern w:val="2"/>
          <w:sz w:val="22"/>
          <w:szCs w:val="22"/>
          <w:lang w:val="es-ES_tradnl" w:eastAsia="ar-SA"/>
        </w:rPr>
      </w:pPr>
      <w:r w:rsidRPr="002D6F3F">
        <w:rPr>
          <w:rFonts w:ascii="ITC Avant Garde" w:eastAsia="Arial Unicode MS" w:hAnsi="ITC Avant Garde" w:cs="Arial Unicode MS"/>
          <w:kern w:val="1"/>
          <w:sz w:val="22"/>
          <w:szCs w:val="22"/>
          <w:u w:color="000000"/>
          <w:bdr w:val="nil"/>
          <w:lang w:val="es-ES_tradnl" w:eastAsia="ar-SA"/>
        </w:rPr>
        <w:t xml:space="preserve">El 7 de febrero de 2017 </w:t>
      </w:r>
      <w:r w:rsidR="007E1DE8" w:rsidRPr="002D6F3F">
        <w:rPr>
          <w:rFonts w:ascii="ITC Avant Garde" w:eastAsia="Calibri" w:hAnsi="ITC Avant Garde" w:cs="Arial Unicode MS"/>
          <w:kern w:val="1"/>
          <w:sz w:val="22"/>
          <w:szCs w:val="22"/>
          <w:u w:color="000000"/>
          <w:bdr w:val="nil"/>
          <w:lang w:val="es-ES_tradnl" w:eastAsia="ar-SA"/>
        </w:rPr>
        <w:t xml:space="preserve">a las 10:00 horas </w:t>
      </w:r>
      <w:r w:rsidRPr="002D6F3F">
        <w:rPr>
          <w:rFonts w:ascii="ITC Avant Garde" w:eastAsia="Arial Unicode MS" w:hAnsi="ITC Avant Garde" w:cs="Arial Unicode MS"/>
          <w:kern w:val="1"/>
          <w:sz w:val="22"/>
          <w:szCs w:val="22"/>
          <w:u w:color="000000"/>
          <w:bdr w:val="nil"/>
          <w:lang w:val="es-ES_tradnl" w:eastAsia="ar-SA"/>
        </w:rPr>
        <w:t xml:space="preserve">dio inicio el Procedimiento de Presentación de Ofertas, para </w:t>
      </w:r>
      <w:r w:rsidR="007E1DE8" w:rsidRPr="002D6F3F">
        <w:rPr>
          <w:rFonts w:ascii="ITC Avant Garde" w:eastAsia="Arial Unicode MS" w:hAnsi="ITC Avant Garde" w:cs="Arial Unicode MS"/>
          <w:kern w:val="1"/>
          <w:sz w:val="22"/>
          <w:szCs w:val="22"/>
          <w:u w:color="000000"/>
          <w:bdr w:val="nil"/>
          <w:lang w:val="es-ES_tradnl" w:eastAsia="ar-SA"/>
        </w:rPr>
        <w:t xml:space="preserve">147 </w:t>
      </w:r>
      <w:r w:rsidRPr="002D6F3F">
        <w:rPr>
          <w:rFonts w:ascii="ITC Avant Garde" w:eastAsia="Arial Unicode MS" w:hAnsi="ITC Avant Garde" w:cs="Arial Unicode MS"/>
          <w:kern w:val="1"/>
          <w:sz w:val="22"/>
          <w:szCs w:val="22"/>
          <w:u w:color="000000"/>
          <w:bdr w:val="nil"/>
          <w:lang w:val="es-ES_tradnl" w:eastAsia="ar-SA"/>
        </w:rPr>
        <w:t xml:space="preserve">Lotes en la Licitación No. IFT-4, </w:t>
      </w:r>
      <w:r w:rsidR="009C344B" w:rsidRPr="002D6F3F">
        <w:rPr>
          <w:rFonts w:ascii="ITC Avant Garde" w:eastAsia="Arial Unicode MS" w:hAnsi="ITC Avant Garde" w:cs="Arial Unicode MS"/>
          <w:kern w:val="1"/>
          <w:sz w:val="22"/>
          <w:szCs w:val="22"/>
          <w:u w:color="000000"/>
          <w:bdr w:val="nil"/>
          <w:lang w:val="es-ES_tradnl" w:eastAsia="ar-SA"/>
        </w:rPr>
        <w:t>correspondientes a la banda</w:t>
      </w:r>
      <w:r w:rsidR="001B0368" w:rsidRPr="002D6F3F">
        <w:rPr>
          <w:rFonts w:ascii="ITC Avant Garde" w:eastAsia="Arial Unicode MS" w:hAnsi="ITC Avant Garde" w:cs="Arial Unicode MS"/>
          <w:kern w:val="1"/>
          <w:sz w:val="22"/>
          <w:szCs w:val="22"/>
          <w:u w:color="000000"/>
          <w:bdr w:val="nil"/>
          <w:lang w:val="es-ES_tradnl" w:eastAsia="ar-SA"/>
        </w:rPr>
        <w:t xml:space="preserve"> </w:t>
      </w:r>
      <w:r w:rsidRPr="002D6F3F">
        <w:rPr>
          <w:rFonts w:ascii="ITC Avant Garde" w:eastAsia="Arial Unicode MS" w:hAnsi="ITC Avant Garde" w:cs="Arial Unicode MS"/>
          <w:kern w:val="1"/>
          <w:sz w:val="22"/>
          <w:szCs w:val="22"/>
          <w:u w:color="000000"/>
          <w:bdr w:val="nil"/>
          <w:lang w:val="es-ES_tradnl" w:eastAsia="ar-SA"/>
        </w:rPr>
        <w:t xml:space="preserve">FM, </w:t>
      </w:r>
      <w:r w:rsidR="007E1DE8" w:rsidRPr="002D6F3F">
        <w:rPr>
          <w:rFonts w:ascii="ITC Avant Garde" w:eastAsia="Arial Unicode MS" w:hAnsi="ITC Avant Garde" w:cs="Arial Unicode MS"/>
          <w:kern w:val="1"/>
          <w:sz w:val="22"/>
          <w:szCs w:val="22"/>
          <w:u w:color="000000"/>
          <w:bdr w:val="nil"/>
          <w:lang w:val="es-ES_tradnl" w:eastAsia="ar-SA"/>
        </w:rPr>
        <w:t>toda vez que para 44 frecuencias no se otorgó Constancia de Participación</w:t>
      </w:r>
      <w:r w:rsidR="001A5779">
        <w:rPr>
          <w:rFonts w:ascii="ITC Avant Garde" w:eastAsia="Arial Unicode MS" w:hAnsi="ITC Avant Garde" w:cs="Arial Unicode MS"/>
          <w:kern w:val="1"/>
          <w:sz w:val="22"/>
          <w:szCs w:val="22"/>
          <w:u w:color="000000"/>
          <w:bdr w:val="nil"/>
          <w:lang w:val="es-ES_tradnl" w:eastAsia="ar-SA"/>
        </w:rPr>
        <w:t>.</w:t>
      </w:r>
    </w:p>
    <w:p w14:paraId="74F911FF" w14:textId="38B825CB" w:rsidR="002D6F3F" w:rsidRPr="002D6F3F" w:rsidRDefault="00EF2894" w:rsidP="002D6F3F">
      <w:pPr>
        <w:pStyle w:val="Prrafodelista"/>
        <w:suppressAutoHyphens/>
        <w:spacing w:after="200"/>
        <w:ind w:left="709"/>
        <w:jc w:val="both"/>
        <w:rPr>
          <w:rFonts w:ascii="ITC Avant Garde" w:hAnsi="ITC Avant Garde" w:cs="Arial"/>
          <w:b/>
          <w:kern w:val="2"/>
          <w:sz w:val="22"/>
          <w:szCs w:val="22"/>
          <w:lang w:val="es-ES_tradnl" w:eastAsia="ar-SA"/>
        </w:rPr>
      </w:pPr>
      <w:r w:rsidRPr="002D6F3F">
        <w:rPr>
          <w:rFonts w:ascii="ITC Avant Garde" w:eastAsia="Arial Unicode MS" w:hAnsi="ITC Avant Garde" w:cs="Arial Unicode MS"/>
          <w:kern w:val="1"/>
          <w:sz w:val="22"/>
          <w:szCs w:val="22"/>
          <w:u w:color="000000"/>
          <w:bdr w:val="nil"/>
          <w:lang w:val="es-ES_tradnl" w:eastAsia="ar-SA"/>
        </w:rPr>
        <w:t>Posteriormente, e</w:t>
      </w:r>
      <w:r w:rsidR="002F71F8" w:rsidRPr="002D6F3F">
        <w:rPr>
          <w:rFonts w:ascii="ITC Avant Garde" w:eastAsia="Arial Unicode MS" w:hAnsi="ITC Avant Garde" w:cs="Arial Unicode MS"/>
          <w:kern w:val="1"/>
          <w:sz w:val="22"/>
          <w:szCs w:val="22"/>
          <w:u w:color="000000"/>
          <w:bdr w:val="nil"/>
          <w:lang w:val="es-ES_tradnl" w:eastAsia="ar-SA"/>
        </w:rPr>
        <w:t xml:space="preserve">l 9 de febrero de 2017 </w:t>
      </w:r>
      <w:r w:rsidR="00DD1314" w:rsidRPr="002D6F3F">
        <w:rPr>
          <w:rFonts w:ascii="ITC Avant Garde" w:eastAsia="Arial Unicode MS" w:hAnsi="ITC Avant Garde" w:cs="Arial Unicode MS"/>
          <w:kern w:val="1"/>
          <w:sz w:val="22"/>
          <w:szCs w:val="22"/>
          <w:u w:color="000000"/>
          <w:bdr w:val="nil"/>
          <w:lang w:val="es-ES_tradnl" w:eastAsia="ar-SA"/>
        </w:rPr>
        <w:t>f</w:t>
      </w:r>
      <w:r w:rsidR="002273DB" w:rsidRPr="002D6F3F">
        <w:rPr>
          <w:rFonts w:ascii="ITC Avant Garde" w:eastAsia="Arial Unicode MS" w:hAnsi="ITC Avant Garde" w:cs="Arial Unicode MS"/>
          <w:kern w:val="1"/>
          <w:sz w:val="22"/>
          <w:szCs w:val="22"/>
          <w:u w:color="000000"/>
          <w:bdr w:val="nil"/>
          <w:lang w:val="es-ES_tradnl" w:eastAsia="ar-SA"/>
        </w:rPr>
        <w:t>altando treinta minutos</w:t>
      </w:r>
      <w:r w:rsidR="00DD1314" w:rsidRPr="002D6F3F">
        <w:rPr>
          <w:rFonts w:ascii="ITC Avant Garde" w:eastAsia="Arial Unicode MS" w:hAnsi="ITC Avant Garde" w:cs="Arial Unicode MS"/>
          <w:kern w:val="1"/>
          <w:sz w:val="22"/>
          <w:szCs w:val="22"/>
          <w:u w:color="000000"/>
          <w:bdr w:val="nil"/>
          <w:lang w:val="es-ES_tradnl" w:eastAsia="ar-SA"/>
        </w:rPr>
        <w:t xml:space="preserve"> para el cierre </w:t>
      </w:r>
      <w:r w:rsidR="007F61FC" w:rsidRPr="002D6F3F">
        <w:rPr>
          <w:rFonts w:ascii="ITC Avant Garde" w:eastAsia="Arial Unicode MS" w:hAnsi="ITC Avant Garde" w:cs="Arial Unicode MS"/>
          <w:kern w:val="1"/>
          <w:sz w:val="22"/>
          <w:szCs w:val="22"/>
          <w:u w:color="000000"/>
          <w:bdr w:val="nil"/>
          <w:lang w:val="es-ES_tradnl" w:eastAsia="ar-SA"/>
        </w:rPr>
        <w:t xml:space="preserve">programado </w:t>
      </w:r>
      <w:r w:rsidR="00DD1314" w:rsidRPr="002D6F3F">
        <w:rPr>
          <w:rFonts w:ascii="ITC Avant Garde" w:eastAsia="Arial Unicode MS" w:hAnsi="ITC Avant Garde" w:cs="Arial Unicode MS"/>
          <w:kern w:val="1"/>
          <w:sz w:val="22"/>
          <w:szCs w:val="22"/>
          <w:u w:color="000000"/>
          <w:bdr w:val="nil"/>
          <w:lang w:val="es-ES_tradnl" w:eastAsia="ar-SA"/>
        </w:rPr>
        <w:t xml:space="preserve">del </w:t>
      </w:r>
      <w:r w:rsidR="001B0368" w:rsidRPr="002D6F3F">
        <w:rPr>
          <w:rFonts w:ascii="ITC Avant Garde" w:eastAsia="Arial Unicode MS" w:hAnsi="ITC Avant Garde" w:cs="Arial Unicode MS"/>
          <w:kern w:val="1"/>
          <w:sz w:val="22"/>
          <w:szCs w:val="22"/>
          <w:u w:color="000000"/>
          <w:bdr w:val="nil"/>
          <w:lang w:val="es-ES_tradnl" w:eastAsia="ar-SA"/>
        </w:rPr>
        <w:t>periodo continuo</w:t>
      </w:r>
      <w:r w:rsidR="00DD1314" w:rsidRPr="002D6F3F">
        <w:rPr>
          <w:rFonts w:ascii="ITC Avant Garde" w:eastAsia="Arial Unicode MS" w:hAnsi="ITC Avant Garde" w:cs="Arial Unicode MS"/>
          <w:kern w:val="1"/>
          <w:sz w:val="22"/>
          <w:szCs w:val="22"/>
          <w:u w:color="000000"/>
          <w:bdr w:val="nil"/>
          <w:lang w:val="es-ES_tradnl" w:eastAsia="ar-SA"/>
        </w:rPr>
        <w:t xml:space="preserve"> de 4</w:t>
      </w:r>
      <w:r w:rsidR="001B0368" w:rsidRPr="002D6F3F">
        <w:rPr>
          <w:rFonts w:ascii="ITC Avant Garde" w:eastAsia="Arial Unicode MS" w:hAnsi="ITC Avant Garde" w:cs="Arial Unicode MS"/>
          <w:kern w:val="1"/>
          <w:sz w:val="22"/>
          <w:szCs w:val="22"/>
          <w:u w:color="000000"/>
          <w:bdr w:val="nil"/>
          <w:lang w:val="es-ES_tradnl" w:eastAsia="ar-SA"/>
        </w:rPr>
        <w:t>8</w:t>
      </w:r>
      <w:r w:rsidR="00DD1314" w:rsidRPr="002D6F3F">
        <w:rPr>
          <w:rFonts w:ascii="ITC Avant Garde" w:eastAsia="Arial Unicode MS" w:hAnsi="ITC Avant Garde" w:cs="Arial Unicode MS"/>
          <w:kern w:val="1"/>
          <w:sz w:val="22"/>
          <w:szCs w:val="22"/>
          <w:u w:color="000000"/>
          <w:bdr w:val="nil"/>
          <w:lang w:val="es-ES_tradnl" w:eastAsia="ar-SA"/>
        </w:rPr>
        <w:t xml:space="preserve"> horas</w:t>
      </w:r>
      <w:r w:rsidR="001B0368" w:rsidRPr="002D6F3F">
        <w:rPr>
          <w:rFonts w:ascii="ITC Avant Garde" w:eastAsia="Arial Unicode MS" w:hAnsi="ITC Avant Garde" w:cs="Arial Unicode MS"/>
          <w:kern w:val="1"/>
          <w:sz w:val="22"/>
          <w:szCs w:val="22"/>
          <w:u w:color="000000"/>
          <w:bdr w:val="nil"/>
          <w:lang w:val="es-ES_tradnl" w:eastAsia="ar-SA"/>
        </w:rPr>
        <w:t>, la U</w:t>
      </w:r>
      <w:r w:rsidR="00EA495B" w:rsidRPr="002D6F3F">
        <w:rPr>
          <w:rFonts w:ascii="ITC Avant Garde" w:eastAsia="Arial Unicode MS" w:hAnsi="ITC Avant Garde" w:cs="Arial Unicode MS"/>
          <w:kern w:val="1"/>
          <w:sz w:val="22"/>
          <w:szCs w:val="22"/>
          <w:u w:color="000000"/>
          <w:bdr w:val="nil"/>
          <w:lang w:val="es-ES_tradnl" w:eastAsia="ar-SA"/>
        </w:rPr>
        <w:t xml:space="preserve">nidad de </w:t>
      </w:r>
      <w:r w:rsidR="001B0368" w:rsidRPr="002D6F3F">
        <w:rPr>
          <w:rFonts w:ascii="ITC Avant Garde" w:eastAsia="Arial Unicode MS" w:hAnsi="ITC Avant Garde" w:cs="Arial Unicode MS"/>
          <w:kern w:val="1"/>
          <w:sz w:val="22"/>
          <w:szCs w:val="22"/>
          <w:u w:color="000000"/>
          <w:bdr w:val="nil"/>
          <w:lang w:val="es-ES_tradnl" w:eastAsia="ar-SA"/>
        </w:rPr>
        <w:t>E</w:t>
      </w:r>
      <w:r w:rsidR="00EA495B" w:rsidRPr="002D6F3F">
        <w:rPr>
          <w:rFonts w:ascii="ITC Avant Garde" w:eastAsia="Arial Unicode MS" w:hAnsi="ITC Avant Garde" w:cs="Arial Unicode MS"/>
          <w:kern w:val="1"/>
          <w:sz w:val="22"/>
          <w:szCs w:val="22"/>
          <w:u w:color="000000"/>
          <w:bdr w:val="nil"/>
          <w:lang w:val="es-ES_tradnl" w:eastAsia="ar-SA"/>
        </w:rPr>
        <w:t xml:space="preserve">spectro </w:t>
      </w:r>
      <w:r w:rsidR="006D47D3" w:rsidRPr="002D6F3F">
        <w:rPr>
          <w:rFonts w:ascii="ITC Avant Garde" w:eastAsia="Arial Unicode MS" w:hAnsi="ITC Avant Garde" w:cs="Arial Unicode MS"/>
          <w:kern w:val="1"/>
          <w:sz w:val="22"/>
          <w:szCs w:val="22"/>
          <w:u w:color="000000"/>
          <w:bdr w:val="nil"/>
          <w:lang w:val="es-ES_tradnl" w:eastAsia="ar-SA"/>
        </w:rPr>
        <w:t>Radioeléctrico</w:t>
      </w:r>
      <w:r w:rsidR="00EA495B" w:rsidRPr="002D6F3F">
        <w:rPr>
          <w:rFonts w:ascii="ITC Avant Garde" w:eastAsia="Arial Unicode MS" w:hAnsi="ITC Avant Garde" w:cs="Arial Unicode MS"/>
          <w:kern w:val="1"/>
          <w:sz w:val="22"/>
          <w:szCs w:val="22"/>
          <w:u w:color="000000"/>
          <w:bdr w:val="nil"/>
          <w:lang w:val="es-ES_tradnl" w:eastAsia="ar-SA"/>
        </w:rPr>
        <w:t xml:space="preserve"> (UER</w:t>
      </w:r>
      <w:r w:rsidR="009354B6" w:rsidRPr="002D6F3F">
        <w:rPr>
          <w:rFonts w:ascii="ITC Avant Garde" w:eastAsia="Arial Unicode MS" w:hAnsi="ITC Avant Garde" w:cs="Arial Unicode MS"/>
          <w:kern w:val="1"/>
          <w:sz w:val="22"/>
          <w:szCs w:val="22"/>
          <w:u w:color="000000"/>
          <w:bdr w:val="nil"/>
          <w:lang w:val="es-ES_tradnl" w:eastAsia="ar-SA"/>
        </w:rPr>
        <w:t>)</w:t>
      </w:r>
      <w:r w:rsidR="001B0368" w:rsidRPr="002D6F3F">
        <w:rPr>
          <w:rFonts w:ascii="ITC Avant Garde" w:eastAsia="Arial Unicode MS" w:hAnsi="ITC Avant Garde" w:cs="Arial Unicode MS"/>
          <w:kern w:val="1"/>
          <w:sz w:val="22"/>
          <w:szCs w:val="22"/>
          <w:u w:color="000000"/>
          <w:bdr w:val="nil"/>
          <w:lang w:val="es-ES_tradnl" w:eastAsia="ar-SA"/>
        </w:rPr>
        <w:t xml:space="preserve"> determinó</w:t>
      </w:r>
      <w:r w:rsidR="00A8231D" w:rsidRPr="002D6F3F">
        <w:rPr>
          <w:rFonts w:ascii="ITC Avant Garde" w:eastAsia="Arial Unicode MS" w:hAnsi="ITC Avant Garde" w:cs="Arial Unicode MS"/>
          <w:kern w:val="1"/>
          <w:sz w:val="22"/>
          <w:szCs w:val="22"/>
          <w:u w:color="000000"/>
          <w:bdr w:val="nil"/>
          <w:lang w:val="es-ES_tradnl" w:eastAsia="ar-SA"/>
        </w:rPr>
        <w:t>,</w:t>
      </w:r>
      <w:r w:rsidR="00DD1314" w:rsidRPr="002D6F3F">
        <w:rPr>
          <w:rFonts w:ascii="ITC Avant Garde" w:eastAsia="Arial Unicode MS" w:hAnsi="ITC Avant Garde" w:cs="Arial Unicode MS"/>
          <w:kern w:val="1"/>
          <w:sz w:val="22"/>
          <w:szCs w:val="22"/>
          <w:u w:color="000000"/>
          <w:bdr w:val="nil"/>
          <w:lang w:val="es-ES_tradnl" w:eastAsia="ar-SA"/>
        </w:rPr>
        <w:t xml:space="preserve"> </w:t>
      </w:r>
      <w:r w:rsidR="00A87DD2" w:rsidRPr="002D6F3F">
        <w:rPr>
          <w:rFonts w:ascii="ITC Avant Garde" w:eastAsia="Arial Unicode MS" w:hAnsi="ITC Avant Garde" w:cs="Arial Unicode MS"/>
          <w:kern w:val="1"/>
          <w:sz w:val="22"/>
          <w:szCs w:val="22"/>
          <w:u w:color="000000"/>
          <w:bdr w:val="nil"/>
          <w:lang w:val="es-ES_tradnl" w:eastAsia="ar-SA"/>
        </w:rPr>
        <w:t>con fundamento en el numeral 2.2</w:t>
      </w:r>
      <w:r w:rsidR="00B31191" w:rsidRPr="002D6F3F">
        <w:rPr>
          <w:rFonts w:ascii="ITC Avant Garde" w:eastAsia="Arial Unicode MS" w:hAnsi="ITC Avant Garde" w:cs="Arial Unicode MS"/>
          <w:kern w:val="1"/>
          <w:sz w:val="22"/>
          <w:szCs w:val="22"/>
          <w:u w:color="000000"/>
          <w:bdr w:val="nil"/>
          <w:lang w:val="es-ES_tradnl" w:eastAsia="ar-SA"/>
        </w:rPr>
        <w:t>,</w:t>
      </w:r>
      <w:r w:rsidR="00A87DD2" w:rsidRPr="002D6F3F">
        <w:rPr>
          <w:rFonts w:ascii="ITC Avant Garde" w:eastAsia="Arial Unicode MS" w:hAnsi="ITC Avant Garde" w:cs="Arial Unicode MS"/>
          <w:kern w:val="1"/>
          <w:sz w:val="22"/>
          <w:szCs w:val="22"/>
          <w:u w:color="000000"/>
          <w:bdr w:val="nil"/>
          <w:lang w:val="es-ES_tradnl" w:eastAsia="ar-SA"/>
        </w:rPr>
        <w:t xml:space="preserve"> primer párrafo</w:t>
      </w:r>
      <w:r w:rsidR="00B31191" w:rsidRPr="002D6F3F">
        <w:rPr>
          <w:rFonts w:ascii="ITC Avant Garde" w:eastAsia="Arial Unicode MS" w:hAnsi="ITC Avant Garde" w:cs="Arial Unicode MS"/>
          <w:kern w:val="1"/>
          <w:sz w:val="22"/>
          <w:szCs w:val="22"/>
          <w:u w:color="000000"/>
          <w:bdr w:val="nil"/>
          <w:lang w:val="es-ES_tradnl" w:eastAsia="ar-SA"/>
        </w:rPr>
        <w:t>,</w:t>
      </w:r>
      <w:r w:rsidR="00A87DD2" w:rsidRPr="002D6F3F">
        <w:rPr>
          <w:rFonts w:ascii="ITC Avant Garde" w:eastAsia="Arial Unicode MS" w:hAnsi="ITC Avant Garde" w:cs="Arial Unicode MS"/>
          <w:kern w:val="1"/>
          <w:sz w:val="22"/>
          <w:szCs w:val="22"/>
          <w:u w:color="000000"/>
          <w:bdr w:val="nil"/>
          <w:lang w:val="es-ES_tradnl" w:eastAsia="ar-SA"/>
        </w:rPr>
        <w:t xml:space="preserve"> inciso I) de las Bases, </w:t>
      </w:r>
      <w:r w:rsidR="00943ACD" w:rsidRPr="002D6F3F">
        <w:rPr>
          <w:rFonts w:ascii="ITC Avant Garde" w:eastAsia="Arial Unicode MS" w:hAnsi="ITC Avant Garde" w:cs="Arial Unicode MS"/>
          <w:kern w:val="1"/>
          <w:sz w:val="22"/>
          <w:szCs w:val="22"/>
          <w:u w:color="000000"/>
          <w:bdr w:val="nil"/>
          <w:lang w:val="es-ES_tradnl" w:eastAsia="ar-SA"/>
        </w:rPr>
        <w:t>posponer</w:t>
      </w:r>
      <w:r w:rsidR="002273DB" w:rsidRPr="002D6F3F">
        <w:rPr>
          <w:rFonts w:ascii="ITC Avant Garde" w:eastAsia="Arial Unicode MS" w:hAnsi="ITC Avant Garde" w:cs="Arial Unicode MS"/>
          <w:kern w:val="1"/>
          <w:sz w:val="22"/>
          <w:szCs w:val="22"/>
          <w:u w:color="000000"/>
          <w:bdr w:val="nil"/>
          <w:lang w:val="es-ES_tradnl" w:eastAsia="ar-SA"/>
        </w:rPr>
        <w:t xml:space="preserve"> </w:t>
      </w:r>
      <w:r w:rsidR="008C5D16" w:rsidRPr="002D6F3F">
        <w:rPr>
          <w:rFonts w:ascii="ITC Avant Garde" w:eastAsia="Arial Unicode MS" w:hAnsi="ITC Avant Garde" w:cs="Arial Unicode MS"/>
          <w:kern w:val="1"/>
          <w:sz w:val="22"/>
          <w:szCs w:val="22"/>
          <w:u w:color="000000"/>
          <w:bdr w:val="nil"/>
          <w:lang w:val="es-ES_tradnl" w:eastAsia="ar-SA"/>
        </w:rPr>
        <w:t xml:space="preserve">el </w:t>
      </w:r>
      <w:r w:rsidR="00A8231D" w:rsidRPr="002D6F3F">
        <w:rPr>
          <w:rFonts w:ascii="ITC Avant Garde" w:eastAsia="Arial Unicode MS" w:hAnsi="ITC Avant Garde" w:cs="Arial Unicode MS"/>
          <w:kern w:val="1"/>
          <w:sz w:val="22"/>
          <w:szCs w:val="22"/>
          <w:u w:color="000000"/>
          <w:bdr w:val="nil"/>
          <w:lang w:val="es-ES_tradnl" w:eastAsia="ar-SA"/>
        </w:rPr>
        <w:t>C</w:t>
      </w:r>
      <w:r w:rsidR="008C5D16" w:rsidRPr="002D6F3F">
        <w:rPr>
          <w:rFonts w:ascii="ITC Avant Garde" w:eastAsia="Arial Unicode MS" w:hAnsi="ITC Avant Garde" w:cs="Arial Unicode MS"/>
          <w:kern w:val="1"/>
          <w:sz w:val="22"/>
          <w:szCs w:val="22"/>
          <w:u w:color="000000"/>
          <w:bdr w:val="nil"/>
          <w:lang w:val="es-ES_tradnl" w:eastAsia="ar-SA"/>
        </w:rPr>
        <w:t>ierre</w:t>
      </w:r>
      <w:r w:rsidR="00A8231D" w:rsidRPr="002D6F3F">
        <w:rPr>
          <w:rFonts w:ascii="ITC Avant Garde" w:eastAsia="Arial Unicode MS" w:hAnsi="ITC Avant Garde" w:cs="Arial Unicode MS"/>
          <w:kern w:val="1"/>
          <w:sz w:val="22"/>
          <w:szCs w:val="22"/>
          <w:u w:color="000000"/>
          <w:bdr w:val="nil"/>
          <w:lang w:val="es-ES_tradnl" w:eastAsia="ar-SA"/>
        </w:rPr>
        <w:t xml:space="preserve"> Programado</w:t>
      </w:r>
      <w:r w:rsidR="001B0368" w:rsidRPr="002D6F3F">
        <w:rPr>
          <w:rFonts w:ascii="ITC Avant Garde" w:eastAsia="Arial Unicode MS" w:hAnsi="ITC Avant Garde" w:cs="Arial Unicode MS"/>
          <w:kern w:val="1"/>
          <w:sz w:val="22"/>
          <w:szCs w:val="22"/>
          <w:u w:color="000000"/>
          <w:bdr w:val="nil"/>
          <w:lang w:val="es-ES_tradnl" w:eastAsia="ar-SA"/>
        </w:rPr>
        <w:t xml:space="preserve"> en dos ocasiones</w:t>
      </w:r>
      <w:r w:rsidR="008C5D16" w:rsidRPr="002D6F3F">
        <w:rPr>
          <w:rFonts w:ascii="ITC Avant Garde" w:eastAsia="Arial Unicode MS" w:hAnsi="ITC Avant Garde" w:cs="Arial Unicode MS"/>
          <w:kern w:val="1"/>
          <w:sz w:val="22"/>
          <w:szCs w:val="22"/>
          <w:u w:color="000000"/>
          <w:bdr w:val="nil"/>
          <w:lang w:val="es-ES_tradnl" w:eastAsia="ar-SA"/>
        </w:rPr>
        <w:t>,</w:t>
      </w:r>
      <w:r w:rsidR="007F61FC" w:rsidRPr="002D6F3F">
        <w:rPr>
          <w:rFonts w:ascii="ITC Avant Garde" w:eastAsia="Arial Unicode MS" w:hAnsi="ITC Avant Garde" w:cs="Arial Unicode MS"/>
          <w:kern w:val="1"/>
          <w:sz w:val="22"/>
          <w:szCs w:val="22"/>
          <w:u w:color="000000"/>
          <w:bdr w:val="nil"/>
          <w:lang w:val="es-ES_tradnl" w:eastAsia="ar-SA"/>
        </w:rPr>
        <w:t xml:space="preserve"> </w:t>
      </w:r>
      <w:r w:rsidR="002E4012" w:rsidRPr="002D6F3F">
        <w:rPr>
          <w:rFonts w:ascii="ITC Avant Garde" w:eastAsia="Arial Unicode MS" w:hAnsi="ITC Avant Garde" w:cs="Arial Unicode MS"/>
          <w:kern w:val="1"/>
          <w:sz w:val="22"/>
          <w:szCs w:val="22"/>
          <w:u w:color="000000"/>
          <w:bdr w:val="nil"/>
          <w:lang w:val="es-ES_tradnl" w:eastAsia="ar-SA"/>
        </w:rPr>
        <w:t xml:space="preserve">dando aviso </w:t>
      </w:r>
      <w:r w:rsidR="001B0368" w:rsidRPr="002D6F3F">
        <w:rPr>
          <w:rFonts w:ascii="ITC Avant Garde" w:eastAsia="Arial Unicode MS" w:hAnsi="ITC Avant Garde" w:cs="Arial Unicode MS"/>
          <w:kern w:val="1"/>
          <w:sz w:val="22"/>
          <w:szCs w:val="22"/>
          <w:u w:color="000000"/>
          <w:bdr w:val="nil"/>
          <w:lang w:val="es-ES_tradnl" w:eastAsia="ar-SA"/>
        </w:rPr>
        <w:t>a través</w:t>
      </w:r>
      <w:r w:rsidR="007F61FC" w:rsidRPr="002D6F3F">
        <w:rPr>
          <w:rFonts w:ascii="ITC Avant Garde" w:eastAsia="Arial Unicode MS" w:hAnsi="ITC Avant Garde" w:cs="Arial Unicode MS"/>
          <w:kern w:val="1"/>
          <w:sz w:val="22"/>
          <w:szCs w:val="22"/>
          <w:u w:color="000000"/>
          <w:bdr w:val="nil"/>
          <w:lang w:val="es-ES_tradnl" w:eastAsia="ar-SA"/>
        </w:rPr>
        <w:t xml:space="preserve"> SERPO </w:t>
      </w:r>
      <w:r w:rsidR="001B0368" w:rsidRPr="002D6F3F">
        <w:rPr>
          <w:rFonts w:ascii="ITC Avant Garde" w:eastAsia="Arial Unicode MS" w:hAnsi="ITC Avant Garde" w:cs="Arial Unicode MS"/>
          <w:kern w:val="1"/>
          <w:sz w:val="22"/>
          <w:szCs w:val="22"/>
          <w:u w:color="000000"/>
          <w:bdr w:val="nil"/>
          <w:lang w:val="es-ES_tradnl" w:eastAsia="ar-SA"/>
        </w:rPr>
        <w:t xml:space="preserve">y vía correo electrónico </w:t>
      </w:r>
      <w:r w:rsidR="007F61FC" w:rsidRPr="002D6F3F">
        <w:rPr>
          <w:rFonts w:ascii="ITC Avant Garde" w:eastAsia="Arial Unicode MS" w:hAnsi="ITC Avant Garde" w:cs="Arial Unicode MS"/>
          <w:kern w:val="1"/>
          <w:sz w:val="22"/>
          <w:szCs w:val="22"/>
          <w:u w:color="000000"/>
          <w:bdr w:val="nil"/>
          <w:lang w:val="es-ES_tradnl" w:eastAsia="ar-SA"/>
        </w:rPr>
        <w:t>a todos los Participantes</w:t>
      </w:r>
      <w:r w:rsidR="00A8231D" w:rsidRPr="002D6F3F">
        <w:rPr>
          <w:rFonts w:ascii="ITC Avant Garde" w:eastAsia="Arial Unicode MS" w:hAnsi="ITC Avant Garde" w:cs="Arial Unicode MS"/>
          <w:kern w:val="1"/>
          <w:sz w:val="22"/>
          <w:szCs w:val="22"/>
          <w:u w:color="000000"/>
          <w:bdr w:val="nil"/>
          <w:lang w:val="es-ES_tradnl" w:eastAsia="ar-SA"/>
        </w:rPr>
        <w:t xml:space="preserve">. </w:t>
      </w:r>
      <w:r w:rsidR="00CB0984" w:rsidRPr="002D6F3F">
        <w:rPr>
          <w:rFonts w:ascii="ITC Avant Garde" w:eastAsia="Arial Unicode MS" w:hAnsi="ITC Avant Garde" w:cs="Arial Unicode MS"/>
          <w:kern w:val="1"/>
          <w:sz w:val="22"/>
          <w:szCs w:val="22"/>
          <w:u w:color="000000"/>
          <w:bdr w:val="nil"/>
          <w:lang w:val="es-ES_tradnl" w:eastAsia="ar-SA"/>
        </w:rPr>
        <w:t>Así</w:t>
      </w:r>
      <w:r w:rsidR="00A8231D" w:rsidRPr="002D6F3F">
        <w:rPr>
          <w:rFonts w:ascii="ITC Avant Garde" w:eastAsia="Arial Unicode MS" w:hAnsi="ITC Avant Garde" w:cs="Arial Unicode MS"/>
          <w:kern w:val="1"/>
          <w:sz w:val="22"/>
          <w:szCs w:val="22"/>
          <w:u w:color="000000"/>
          <w:bdr w:val="nil"/>
          <w:lang w:val="es-ES_tradnl" w:eastAsia="ar-SA"/>
        </w:rPr>
        <w:t>,</w:t>
      </w:r>
      <w:r w:rsidR="007F61FC" w:rsidRPr="002D6F3F">
        <w:rPr>
          <w:rFonts w:ascii="ITC Avant Garde" w:eastAsia="Arial Unicode MS" w:hAnsi="ITC Avant Garde" w:cs="Arial Unicode MS"/>
          <w:kern w:val="1"/>
          <w:sz w:val="22"/>
          <w:szCs w:val="22"/>
          <w:u w:color="000000"/>
          <w:bdr w:val="nil"/>
          <w:lang w:val="es-ES_tradnl" w:eastAsia="ar-SA"/>
        </w:rPr>
        <w:t xml:space="preserve"> en lugar de finalizar</w:t>
      </w:r>
      <w:r w:rsidR="00DD1314" w:rsidRPr="002D6F3F">
        <w:rPr>
          <w:rFonts w:ascii="ITC Avant Garde" w:eastAsia="Arial Unicode MS" w:hAnsi="ITC Avant Garde" w:cs="Arial Unicode MS"/>
          <w:kern w:val="1"/>
          <w:sz w:val="22"/>
          <w:szCs w:val="22"/>
          <w:u w:color="000000"/>
          <w:bdr w:val="nil"/>
          <w:lang w:val="es-ES_tradnl" w:eastAsia="ar-SA"/>
        </w:rPr>
        <w:t xml:space="preserve"> a las 10:00 horas el periodo antes mencionado</w:t>
      </w:r>
      <w:r w:rsidR="007F61FC" w:rsidRPr="002D6F3F">
        <w:rPr>
          <w:rFonts w:ascii="ITC Avant Garde" w:eastAsia="Arial Unicode MS" w:hAnsi="ITC Avant Garde" w:cs="Arial Unicode MS"/>
          <w:kern w:val="1"/>
          <w:sz w:val="22"/>
          <w:szCs w:val="22"/>
          <w:u w:color="000000"/>
          <w:bdr w:val="nil"/>
          <w:lang w:val="es-ES_tradnl" w:eastAsia="ar-SA"/>
        </w:rPr>
        <w:t xml:space="preserve">, </w:t>
      </w:r>
      <w:r w:rsidR="007F19C4" w:rsidRPr="002D6F3F">
        <w:rPr>
          <w:rFonts w:ascii="ITC Avant Garde" w:eastAsia="Arial Unicode MS" w:hAnsi="ITC Avant Garde" w:cs="Arial Unicode MS"/>
          <w:kern w:val="1"/>
          <w:sz w:val="22"/>
          <w:szCs w:val="22"/>
          <w:u w:color="000000"/>
          <w:bdr w:val="nil"/>
          <w:lang w:val="es-ES_tradnl" w:eastAsia="ar-SA"/>
        </w:rPr>
        <w:t xml:space="preserve">éste </w:t>
      </w:r>
      <w:r w:rsidR="008C5D16" w:rsidRPr="002D6F3F">
        <w:rPr>
          <w:rFonts w:ascii="ITC Avant Garde" w:eastAsia="Arial Unicode MS" w:hAnsi="ITC Avant Garde" w:cs="Arial Unicode MS"/>
          <w:kern w:val="1"/>
          <w:sz w:val="22"/>
          <w:szCs w:val="22"/>
          <w:u w:color="000000"/>
          <w:bdr w:val="nil"/>
          <w:lang w:val="es-ES_tradnl" w:eastAsia="ar-SA"/>
        </w:rPr>
        <w:t>finaliz</w:t>
      </w:r>
      <w:r w:rsidR="00E55F83" w:rsidRPr="002D6F3F">
        <w:rPr>
          <w:rFonts w:ascii="ITC Avant Garde" w:eastAsia="Arial Unicode MS" w:hAnsi="ITC Avant Garde" w:cs="Arial Unicode MS"/>
          <w:kern w:val="1"/>
          <w:sz w:val="22"/>
          <w:szCs w:val="22"/>
          <w:u w:color="000000"/>
          <w:bdr w:val="nil"/>
          <w:lang w:val="es-ES_tradnl" w:eastAsia="ar-SA"/>
        </w:rPr>
        <w:t>ó</w:t>
      </w:r>
      <w:r w:rsidR="00DD1314" w:rsidRPr="002D6F3F">
        <w:rPr>
          <w:rFonts w:ascii="ITC Avant Garde" w:eastAsia="Arial Unicode MS" w:hAnsi="ITC Avant Garde" w:cs="Arial Unicode MS"/>
          <w:kern w:val="1"/>
          <w:sz w:val="22"/>
          <w:szCs w:val="22"/>
          <w:u w:color="000000"/>
          <w:bdr w:val="nil"/>
          <w:lang w:val="es-ES_tradnl" w:eastAsia="ar-SA"/>
        </w:rPr>
        <w:t xml:space="preserve"> a las 13</w:t>
      </w:r>
      <w:r w:rsidR="00A27ABC" w:rsidRPr="002D6F3F">
        <w:rPr>
          <w:rFonts w:ascii="ITC Avant Garde" w:eastAsia="Arial Unicode MS" w:hAnsi="ITC Avant Garde" w:cs="Arial Unicode MS"/>
          <w:kern w:val="1"/>
          <w:sz w:val="22"/>
          <w:szCs w:val="22"/>
          <w:u w:color="000000"/>
          <w:bdr w:val="nil"/>
          <w:lang w:val="es-ES_tradnl" w:eastAsia="ar-SA"/>
        </w:rPr>
        <w:t>:</w:t>
      </w:r>
      <w:r w:rsidR="00DD1314" w:rsidRPr="002D6F3F">
        <w:rPr>
          <w:rFonts w:ascii="ITC Avant Garde" w:eastAsia="Arial Unicode MS" w:hAnsi="ITC Avant Garde" w:cs="Arial Unicode MS"/>
          <w:kern w:val="1"/>
          <w:sz w:val="22"/>
          <w:szCs w:val="22"/>
          <w:u w:color="000000"/>
          <w:bdr w:val="nil"/>
          <w:lang w:val="es-ES_tradnl" w:eastAsia="ar-SA"/>
        </w:rPr>
        <w:t>00 horas</w:t>
      </w:r>
      <w:r w:rsidR="006D47D3" w:rsidRPr="002D6F3F">
        <w:rPr>
          <w:rFonts w:ascii="ITC Avant Garde" w:eastAsia="Arial Unicode MS" w:hAnsi="ITC Avant Garde" w:cs="Arial Unicode MS"/>
          <w:kern w:val="1"/>
          <w:sz w:val="22"/>
          <w:szCs w:val="22"/>
          <w:u w:color="000000"/>
          <w:bdr w:val="nil"/>
          <w:lang w:val="es-ES_tradnl" w:eastAsia="ar-SA"/>
        </w:rPr>
        <w:t>;</w:t>
      </w:r>
      <w:r w:rsidR="007F61FC" w:rsidRPr="002D6F3F">
        <w:rPr>
          <w:rFonts w:ascii="ITC Avant Garde" w:eastAsia="Arial Unicode MS" w:hAnsi="ITC Avant Garde" w:cs="Arial Unicode MS"/>
          <w:kern w:val="1"/>
          <w:sz w:val="22"/>
          <w:szCs w:val="22"/>
          <w:u w:color="000000"/>
          <w:bdr w:val="nil"/>
          <w:lang w:val="es-ES_tradnl" w:eastAsia="ar-SA"/>
        </w:rPr>
        <w:t xml:space="preserve"> momento en el que </w:t>
      </w:r>
      <w:r w:rsidR="002F71F8" w:rsidRPr="002D6F3F">
        <w:rPr>
          <w:rFonts w:ascii="ITC Avant Garde" w:eastAsia="Arial Unicode MS" w:hAnsi="ITC Avant Garde" w:cs="Arial Unicode MS"/>
          <w:kern w:val="1"/>
          <w:sz w:val="22"/>
          <w:szCs w:val="22"/>
          <w:u w:color="000000"/>
          <w:bdr w:val="nil"/>
          <w:lang w:val="es-ES_tradnl" w:eastAsia="ar-SA"/>
        </w:rPr>
        <w:t xml:space="preserve">concluyó el Procedimiento de Presentación de Ofertas para 103 Frecuencias de las </w:t>
      </w:r>
      <w:r w:rsidR="00A8231D" w:rsidRPr="002D6F3F">
        <w:rPr>
          <w:rFonts w:ascii="ITC Avant Garde" w:eastAsia="Arial Unicode MS" w:hAnsi="ITC Avant Garde" w:cs="Arial Unicode MS"/>
          <w:kern w:val="1"/>
          <w:sz w:val="22"/>
          <w:szCs w:val="22"/>
          <w:u w:color="000000"/>
          <w:bdr w:val="nil"/>
          <w:lang w:val="es-ES_tradnl" w:eastAsia="ar-SA"/>
        </w:rPr>
        <w:t xml:space="preserve">147 </w:t>
      </w:r>
      <w:r w:rsidR="002F71F8" w:rsidRPr="002D6F3F">
        <w:rPr>
          <w:rFonts w:ascii="ITC Avant Garde" w:eastAsia="Arial Unicode MS" w:hAnsi="ITC Avant Garde" w:cs="Arial Unicode MS"/>
          <w:kern w:val="1"/>
          <w:sz w:val="22"/>
          <w:szCs w:val="22"/>
          <w:u w:color="000000"/>
          <w:bdr w:val="nil"/>
          <w:lang w:val="es-ES_tradnl" w:eastAsia="ar-SA"/>
        </w:rPr>
        <w:t>Frecuencias de FM</w:t>
      </w:r>
      <w:r w:rsidR="00747DAB" w:rsidRPr="002D6F3F">
        <w:rPr>
          <w:rFonts w:ascii="ITC Avant Garde" w:eastAsia="Arial Unicode MS" w:hAnsi="ITC Avant Garde" w:cs="Arial Unicode MS"/>
          <w:kern w:val="1"/>
          <w:sz w:val="22"/>
          <w:szCs w:val="22"/>
          <w:u w:color="000000"/>
          <w:bdr w:val="nil"/>
          <w:lang w:val="es-ES_tradnl" w:eastAsia="ar-SA"/>
        </w:rPr>
        <w:t xml:space="preserve"> consideradas en las Constancias de Participación otorgadas</w:t>
      </w:r>
      <w:r w:rsidR="002F71F8" w:rsidRPr="002D6F3F">
        <w:rPr>
          <w:rFonts w:ascii="ITC Avant Garde" w:eastAsia="Arial Unicode MS" w:hAnsi="ITC Avant Garde" w:cs="Arial Unicode MS"/>
          <w:kern w:val="1"/>
          <w:sz w:val="22"/>
          <w:szCs w:val="22"/>
          <w:u w:color="000000"/>
          <w:bdr w:val="nil"/>
          <w:lang w:val="es-ES_tradnl" w:eastAsia="ar-SA"/>
        </w:rPr>
        <w:t xml:space="preserve">, </w:t>
      </w:r>
      <w:r w:rsidR="006D47D3" w:rsidRPr="002D6F3F">
        <w:rPr>
          <w:rFonts w:ascii="ITC Avant Garde" w:eastAsia="Arial Unicode MS" w:hAnsi="ITC Avant Garde" w:cs="Arial Unicode MS"/>
          <w:kern w:val="1"/>
          <w:sz w:val="22"/>
          <w:szCs w:val="22"/>
          <w:u w:color="000000"/>
          <w:bdr w:val="nil"/>
          <w:lang w:val="es-ES_tradnl" w:eastAsia="ar-SA"/>
        </w:rPr>
        <w:t xml:space="preserve">ya </w:t>
      </w:r>
      <w:r w:rsidR="00EC011F" w:rsidRPr="002D6F3F">
        <w:rPr>
          <w:rFonts w:ascii="ITC Avant Garde" w:eastAsia="Arial Unicode MS" w:hAnsi="ITC Avant Garde" w:cs="Arial Unicode MS"/>
          <w:kern w:val="1"/>
          <w:sz w:val="22"/>
          <w:szCs w:val="22"/>
          <w:u w:color="000000"/>
          <w:bdr w:val="nil"/>
          <w:lang w:val="es-ES_tradnl" w:eastAsia="ar-SA"/>
        </w:rPr>
        <w:t xml:space="preserve">que </w:t>
      </w:r>
      <w:r w:rsidR="006D47D3" w:rsidRPr="002D6F3F">
        <w:rPr>
          <w:rFonts w:ascii="ITC Avant Garde" w:eastAsia="Arial Unicode MS" w:hAnsi="ITC Avant Garde" w:cs="Arial Unicode MS"/>
          <w:kern w:val="1"/>
          <w:sz w:val="22"/>
          <w:szCs w:val="22"/>
          <w:u w:color="000000"/>
          <w:bdr w:val="nil"/>
          <w:lang w:val="es-ES_tradnl" w:eastAsia="ar-SA"/>
        </w:rPr>
        <w:t>no se presentaron nuevas</w:t>
      </w:r>
      <w:r w:rsidR="002F71F8" w:rsidRPr="002D6F3F">
        <w:rPr>
          <w:rFonts w:ascii="ITC Avant Garde" w:eastAsia="Arial Unicode MS" w:hAnsi="ITC Avant Garde" w:cs="Arial Unicode MS"/>
          <w:kern w:val="1"/>
          <w:sz w:val="22"/>
          <w:szCs w:val="22"/>
          <w:u w:color="000000"/>
          <w:bdr w:val="nil"/>
          <w:lang w:val="es-ES_tradnl" w:eastAsia="ar-SA"/>
        </w:rPr>
        <w:t xml:space="preserve"> </w:t>
      </w:r>
      <w:r w:rsidR="009C344B" w:rsidRPr="002D6F3F">
        <w:rPr>
          <w:rFonts w:ascii="ITC Avant Garde" w:eastAsia="Arial Unicode MS" w:hAnsi="ITC Avant Garde" w:cs="Arial Unicode MS"/>
          <w:kern w:val="1"/>
          <w:sz w:val="22"/>
          <w:szCs w:val="22"/>
          <w:u w:color="000000"/>
          <w:bdr w:val="nil"/>
          <w:lang w:val="es-ES_tradnl" w:eastAsia="ar-SA"/>
        </w:rPr>
        <w:t>O</w:t>
      </w:r>
      <w:r w:rsidR="002F71F8" w:rsidRPr="002D6F3F">
        <w:rPr>
          <w:rFonts w:ascii="ITC Avant Garde" w:eastAsia="Arial Unicode MS" w:hAnsi="ITC Avant Garde" w:cs="Arial Unicode MS"/>
          <w:kern w:val="1"/>
          <w:sz w:val="22"/>
          <w:szCs w:val="22"/>
          <w:u w:color="000000"/>
          <w:bdr w:val="nil"/>
          <w:lang w:val="es-ES_tradnl" w:eastAsia="ar-SA"/>
        </w:rPr>
        <w:t xml:space="preserve">fertas dentro de la última media hora programada del Concurso. Asimismo, para </w:t>
      </w:r>
      <w:r w:rsidR="007E1DE8" w:rsidRPr="002D6F3F">
        <w:rPr>
          <w:rFonts w:ascii="ITC Avant Garde" w:eastAsia="Arial Unicode MS" w:hAnsi="ITC Avant Garde" w:cs="Arial Unicode MS"/>
          <w:kern w:val="1"/>
          <w:sz w:val="22"/>
          <w:szCs w:val="22"/>
          <w:u w:color="000000"/>
          <w:bdr w:val="nil"/>
          <w:lang w:val="es-ES_tradnl" w:eastAsia="ar-SA"/>
        </w:rPr>
        <w:t xml:space="preserve">44 </w:t>
      </w:r>
      <w:r w:rsidR="002F71F8" w:rsidRPr="002D6F3F">
        <w:rPr>
          <w:rFonts w:ascii="ITC Avant Garde" w:eastAsia="Arial Unicode MS" w:hAnsi="ITC Avant Garde" w:cs="Arial Unicode MS"/>
          <w:kern w:val="1"/>
          <w:sz w:val="22"/>
          <w:szCs w:val="22"/>
          <w:u w:color="000000"/>
          <w:bdr w:val="nil"/>
          <w:lang w:val="es-ES_tradnl" w:eastAsia="ar-SA"/>
        </w:rPr>
        <w:t xml:space="preserve">Frecuencias el SERPO activó automáticamente las extensiones de tiempo de 30 minutos, de acuerdo con lo dispuesto en el numeral 5.3.1 de las Bases, </w:t>
      </w:r>
      <w:r w:rsidR="00E55F83" w:rsidRPr="002D6F3F">
        <w:rPr>
          <w:rFonts w:ascii="ITC Avant Garde" w:eastAsia="Arial Unicode MS" w:hAnsi="ITC Avant Garde" w:cs="Arial Unicode MS"/>
          <w:kern w:val="1"/>
          <w:sz w:val="22"/>
          <w:szCs w:val="22"/>
          <w:u w:color="000000"/>
          <w:bdr w:val="nil"/>
          <w:lang w:val="es-ES_tradnl" w:eastAsia="ar-SA"/>
        </w:rPr>
        <w:lastRenderedPageBreak/>
        <w:t>concluyendo las últimas hasta el</w:t>
      </w:r>
      <w:r w:rsidR="00943ACD" w:rsidRPr="002D6F3F">
        <w:rPr>
          <w:rFonts w:ascii="ITC Avant Garde" w:eastAsia="Arial Unicode MS" w:hAnsi="ITC Avant Garde" w:cs="Arial Unicode MS"/>
          <w:kern w:val="1"/>
          <w:sz w:val="22"/>
          <w:szCs w:val="22"/>
          <w:u w:color="000000"/>
          <w:bdr w:val="nil"/>
          <w:lang w:val="es-ES_tradnl" w:eastAsia="ar-SA"/>
        </w:rPr>
        <w:t xml:space="preserve"> </w:t>
      </w:r>
      <w:r w:rsidR="002F71F8" w:rsidRPr="002D6F3F">
        <w:rPr>
          <w:rFonts w:ascii="ITC Avant Garde" w:eastAsia="Arial Unicode MS" w:hAnsi="ITC Avant Garde" w:cs="Arial Unicode MS"/>
          <w:kern w:val="1"/>
          <w:sz w:val="22"/>
          <w:szCs w:val="22"/>
          <w:u w:color="000000"/>
          <w:bdr w:val="nil"/>
          <w:lang w:val="es-ES_tradnl" w:eastAsia="ar-SA"/>
        </w:rPr>
        <w:t>13 de febrero de 2017</w:t>
      </w:r>
      <w:r w:rsidR="00E55F83" w:rsidRPr="002D6F3F">
        <w:rPr>
          <w:rFonts w:ascii="ITC Avant Garde" w:eastAsia="Arial Unicode MS" w:hAnsi="ITC Avant Garde" w:cs="Arial Unicode MS"/>
          <w:kern w:val="1"/>
          <w:sz w:val="22"/>
          <w:szCs w:val="22"/>
          <w:u w:color="000000"/>
          <w:bdr w:val="nil"/>
          <w:lang w:val="es-ES_tradnl" w:eastAsia="ar-SA"/>
        </w:rPr>
        <w:t>, fecha en</w:t>
      </w:r>
      <w:r w:rsidR="002F71F8" w:rsidRPr="002D6F3F">
        <w:rPr>
          <w:rFonts w:ascii="ITC Avant Garde" w:eastAsia="Arial Unicode MS" w:hAnsi="ITC Avant Garde" w:cs="Arial Unicode MS"/>
          <w:kern w:val="1"/>
          <w:sz w:val="22"/>
          <w:szCs w:val="22"/>
          <w:u w:color="000000"/>
          <w:bdr w:val="nil"/>
          <w:lang w:val="es-ES_tradnl" w:eastAsia="ar-SA"/>
        </w:rPr>
        <w:t xml:space="preserve"> </w:t>
      </w:r>
      <w:r w:rsidR="00DF362B" w:rsidRPr="002D6F3F">
        <w:rPr>
          <w:rFonts w:ascii="ITC Avant Garde" w:eastAsia="Arial Unicode MS" w:hAnsi="ITC Avant Garde" w:cs="Arial Unicode MS"/>
          <w:kern w:val="1"/>
          <w:sz w:val="22"/>
          <w:szCs w:val="22"/>
          <w:u w:color="000000"/>
          <w:bdr w:val="nil"/>
          <w:lang w:val="es-ES_tradnl" w:eastAsia="ar-SA"/>
        </w:rPr>
        <w:t xml:space="preserve">que </w:t>
      </w:r>
      <w:r w:rsidR="002F71F8" w:rsidRPr="002D6F3F">
        <w:rPr>
          <w:rFonts w:ascii="ITC Avant Garde" w:eastAsia="Arial Unicode MS" w:hAnsi="ITC Avant Garde" w:cs="Arial Unicode MS"/>
          <w:kern w:val="1"/>
          <w:sz w:val="22"/>
          <w:szCs w:val="22"/>
          <w:u w:color="000000"/>
          <w:bdr w:val="nil"/>
          <w:lang w:val="es-ES_tradnl" w:eastAsia="ar-SA"/>
        </w:rPr>
        <w:t xml:space="preserve">culminó el Procedimiento de Presentación de Ofertas para </w:t>
      </w:r>
      <w:r w:rsidR="00E55F83" w:rsidRPr="002D6F3F">
        <w:rPr>
          <w:rFonts w:ascii="ITC Avant Garde" w:eastAsia="Arial Unicode MS" w:hAnsi="ITC Avant Garde" w:cs="Arial Unicode MS"/>
          <w:kern w:val="1"/>
          <w:sz w:val="22"/>
          <w:szCs w:val="22"/>
          <w:u w:color="000000"/>
          <w:bdr w:val="nil"/>
          <w:lang w:val="es-ES_tradnl" w:eastAsia="ar-SA"/>
        </w:rPr>
        <w:t xml:space="preserve">las </w:t>
      </w:r>
      <w:r w:rsidR="002F71F8" w:rsidRPr="002D6F3F">
        <w:rPr>
          <w:rFonts w:ascii="ITC Avant Garde" w:eastAsia="Arial Unicode MS" w:hAnsi="ITC Avant Garde" w:cs="Arial Unicode MS"/>
          <w:kern w:val="1"/>
          <w:sz w:val="22"/>
          <w:szCs w:val="22"/>
          <w:u w:color="000000"/>
          <w:bdr w:val="nil"/>
          <w:lang w:val="es-ES_tradnl" w:eastAsia="ar-SA"/>
        </w:rPr>
        <w:t xml:space="preserve">191 Frecuencias de la </w:t>
      </w:r>
      <w:r w:rsidR="00DF362B" w:rsidRPr="002D6F3F">
        <w:rPr>
          <w:rFonts w:ascii="ITC Avant Garde" w:eastAsia="Arial Unicode MS" w:hAnsi="ITC Avant Garde" w:cs="Arial Unicode MS"/>
          <w:kern w:val="1"/>
          <w:sz w:val="22"/>
          <w:szCs w:val="22"/>
          <w:u w:color="000000"/>
          <w:bdr w:val="nil"/>
          <w:lang w:val="es-ES_tradnl" w:eastAsia="ar-SA"/>
        </w:rPr>
        <w:t>B</w:t>
      </w:r>
      <w:r w:rsidR="002F71F8" w:rsidRPr="002D6F3F">
        <w:rPr>
          <w:rFonts w:ascii="ITC Avant Garde" w:eastAsia="Arial Unicode MS" w:hAnsi="ITC Avant Garde" w:cs="Arial Unicode MS"/>
          <w:kern w:val="1"/>
          <w:sz w:val="22"/>
          <w:szCs w:val="22"/>
          <w:u w:color="000000"/>
          <w:bdr w:val="nil"/>
          <w:lang w:val="es-ES_tradnl" w:eastAsia="ar-SA"/>
        </w:rPr>
        <w:t>anda FM</w:t>
      </w:r>
      <w:r w:rsidRPr="002D6F3F">
        <w:rPr>
          <w:rFonts w:ascii="ITC Avant Garde" w:eastAsia="Arial Unicode MS" w:hAnsi="ITC Avant Garde" w:cs="Arial Unicode MS"/>
          <w:kern w:val="1"/>
          <w:sz w:val="22"/>
          <w:szCs w:val="22"/>
          <w:u w:color="000000"/>
          <w:bdr w:val="nil"/>
          <w:lang w:val="es-ES_tradnl" w:eastAsia="ar-SA"/>
        </w:rPr>
        <w:t xml:space="preserve"> </w:t>
      </w:r>
      <w:r w:rsidR="002F71F8" w:rsidRPr="002D6F3F">
        <w:rPr>
          <w:rFonts w:ascii="ITC Avant Garde" w:eastAsia="Arial Unicode MS" w:hAnsi="ITC Avant Garde" w:cs="Arial Unicode MS"/>
          <w:kern w:val="1"/>
          <w:sz w:val="22"/>
          <w:szCs w:val="22"/>
          <w:u w:color="000000"/>
          <w:bdr w:val="nil"/>
          <w:lang w:val="es-ES_tradnl" w:eastAsia="ar-SA"/>
        </w:rPr>
        <w:t xml:space="preserve">en el segmento de 88 a 106 MHz, </w:t>
      </w:r>
      <w:r w:rsidR="00EC011F" w:rsidRPr="002D6F3F">
        <w:rPr>
          <w:rFonts w:ascii="ITC Avant Garde" w:eastAsia="Arial Unicode MS" w:hAnsi="ITC Avant Garde" w:cs="Arial Unicode MS"/>
          <w:kern w:val="1"/>
          <w:sz w:val="22"/>
          <w:szCs w:val="22"/>
          <w:u w:color="000000"/>
          <w:bdr w:val="nil"/>
          <w:lang w:val="es-ES_tradnl" w:eastAsia="ar-SA"/>
        </w:rPr>
        <w:t xml:space="preserve">al no presentarse nuevas posturas en el SERPO </w:t>
      </w:r>
      <w:r w:rsidR="002F71F8" w:rsidRPr="002D6F3F">
        <w:rPr>
          <w:rFonts w:ascii="ITC Avant Garde" w:eastAsia="Arial Unicode MS" w:hAnsi="ITC Avant Garde" w:cs="Arial Unicode MS"/>
          <w:kern w:val="1"/>
          <w:sz w:val="22"/>
          <w:szCs w:val="22"/>
          <w:u w:color="000000"/>
          <w:bdr w:val="nil"/>
          <w:lang w:val="es-ES_tradnl" w:eastAsia="ar-SA"/>
        </w:rPr>
        <w:t xml:space="preserve">durante los 30 minutos de extensión de tiempo previos </w:t>
      </w:r>
      <w:r w:rsidR="00DF362B" w:rsidRPr="002D6F3F">
        <w:rPr>
          <w:rFonts w:ascii="ITC Avant Garde" w:eastAsia="Arial Unicode MS" w:hAnsi="ITC Avant Garde" w:cs="Arial Unicode MS"/>
          <w:kern w:val="1"/>
          <w:sz w:val="22"/>
          <w:szCs w:val="22"/>
          <w:u w:color="000000"/>
          <w:bdr w:val="nil"/>
          <w:lang w:val="es-ES_tradnl" w:eastAsia="ar-SA"/>
        </w:rPr>
        <w:t xml:space="preserve">al nuevo </w:t>
      </w:r>
      <w:r w:rsidR="00EC011F" w:rsidRPr="002D6F3F">
        <w:rPr>
          <w:rFonts w:ascii="ITC Avant Garde" w:eastAsia="Arial Unicode MS" w:hAnsi="ITC Avant Garde" w:cs="Arial Unicode MS"/>
          <w:kern w:val="1"/>
          <w:sz w:val="22"/>
          <w:szCs w:val="22"/>
          <w:u w:color="000000"/>
          <w:bdr w:val="nil"/>
          <w:lang w:val="es-ES_tradnl" w:eastAsia="ar-SA"/>
        </w:rPr>
        <w:t>C</w:t>
      </w:r>
      <w:r w:rsidR="00DF362B" w:rsidRPr="002D6F3F">
        <w:rPr>
          <w:rFonts w:ascii="ITC Avant Garde" w:eastAsia="Arial Unicode MS" w:hAnsi="ITC Avant Garde" w:cs="Arial Unicode MS"/>
          <w:kern w:val="1"/>
          <w:sz w:val="22"/>
          <w:szCs w:val="22"/>
          <w:u w:color="000000"/>
          <w:bdr w:val="nil"/>
          <w:lang w:val="es-ES_tradnl" w:eastAsia="ar-SA"/>
        </w:rPr>
        <w:t xml:space="preserve">ierre </w:t>
      </w:r>
      <w:r w:rsidR="00EC011F" w:rsidRPr="002D6F3F">
        <w:rPr>
          <w:rFonts w:ascii="ITC Avant Garde" w:eastAsia="Arial Unicode MS" w:hAnsi="ITC Avant Garde" w:cs="Arial Unicode MS"/>
          <w:kern w:val="1"/>
          <w:sz w:val="22"/>
          <w:szCs w:val="22"/>
          <w:u w:color="000000"/>
          <w:bdr w:val="nil"/>
          <w:lang w:val="es-ES_tradnl" w:eastAsia="ar-SA"/>
        </w:rPr>
        <w:t>P</w:t>
      </w:r>
      <w:r w:rsidR="00DF362B" w:rsidRPr="002D6F3F">
        <w:rPr>
          <w:rFonts w:ascii="ITC Avant Garde" w:eastAsia="Arial Unicode MS" w:hAnsi="ITC Avant Garde" w:cs="Arial Unicode MS"/>
          <w:kern w:val="1"/>
          <w:sz w:val="22"/>
          <w:szCs w:val="22"/>
          <w:u w:color="000000"/>
          <w:bdr w:val="nil"/>
          <w:lang w:val="es-ES_tradnl" w:eastAsia="ar-SA"/>
        </w:rPr>
        <w:t>rogramado</w:t>
      </w:r>
      <w:r w:rsidR="001A5779">
        <w:rPr>
          <w:rFonts w:ascii="ITC Avant Garde" w:eastAsia="Arial Unicode MS" w:hAnsi="ITC Avant Garde" w:cs="Arial Unicode MS"/>
          <w:kern w:val="1"/>
          <w:sz w:val="22"/>
          <w:szCs w:val="22"/>
          <w:u w:color="000000"/>
          <w:bdr w:val="nil"/>
          <w:lang w:val="es-ES_tradnl" w:eastAsia="ar-SA"/>
        </w:rPr>
        <w:t>, de conformidad con las Bases.</w:t>
      </w:r>
    </w:p>
    <w:p w14:paraId="7CE757DE" w14:textId="77777777" w:rsidR="002D6F3F" w:rsidRPr="002D6F3F" w:rsidRDefault="008111C8" w:rsidP="002D6F3F">
      <w:pPr>
        <w:pStyle w:val="Prrafodelista"/>
        <w:suppressAutoHyphens/>
        <w:spacing w:after="200"/>
        <w:ind w:left="709"/>
        <w:jc w:val="both"/>
        <w:rPr>
          <w:rFonts w:ascii="ITC Avant Garde" w:hAnsi="ITC Avant Garde" w:cs="Arial"/>
          <w:kern w:val="2"/>
          <w:sz w:val="22"/>
          <w:szCs w:val="22"/>
          <w:lang w:val="es-ES_tradnl" w:eastAsia="ar-SA"/>
        </w:rPr>
      </w:pPr>
      <w:r w:rsidRPr="002D6F3F">
        <w:rPr>
          <w:rFonts w:ascii="ITC Avant Garde" w:hAnsi="ITC Avant Garde" w:cs="Arial"/>
          <w:kern w:val="2"/>
          <w:sz w:val="22"/>
          <w:szCs w:val="22"/>
          <w:lang w:val="es-ES_tradnl" w:eastAsia="ar-SA"/>
        </w:rPr>
        <w:t>Cabe señalar que</w:t>
      </w:r>
      <w:r w:rsidR="001B0368" w:rsidRPr="002D6F3F">
        <w:rPr>
          <w:rFonts w:ascii="ITC Avant Garde" w:hAnsi="ITC Avant Garde" w:cs="Arial"/>
          <w:kern w:val="2"/>
          <w:sz w:val="22"/>
          <w:szCs w:val="22"/>
          <w:lang w:val="es-ES_tradnl" w:eastAsia="ar-SA"/>
        </w:rPr>
        <w:t xml:space="preserve"> </w:t>
      </w:r>
      <w:r w:rsidRPr="002D6F3F">
        <w:rPr>
          <w:rFonts w:ascii="ITC Avant Garde" w:hAnsi="ITC Avant Garde" w:cs="Arial"/>
          <w:kern w:val="2"/>
          <w:sz w:val="22"/>
          <w:szCs w:val="22"/>
          <w:lang w:val="es-ES_tradnl" w:eastAsia="ar-SA"/>
        </w:rPr>
        <w:t xml:space="preserve">el 13 de febrero de 2017, la </w:t>
      </w:r>
      <w:r w:rsidR="00EA495B" w:rsidRPr="002D6F3F">
        <w:rPr>
          <w:rFonts w:ascii="ITC Avant Garde" w:hAnsi="ITC Avant Garde" w:cs="Arial"/>
          <w:kern w:val="2"/>
          <w:sz w:val="22"/>
          <w:szCs w:val="22"/>
          <w:lang w:val="es-ES_tradnl" w:eastAsia="ar-SA"/>
        </w:rPr>
        <w:t>UER</w:t>
      </w:r>
      <w:r w:rsidRPr="002D6F3F">
        <w:rPr>
          <w:rFonts w:ascii="ITC Avant Garde" w:hAnsi="ITC Avant Garde" w:cs="Arial"/>
          <w:kern w:val="2"/>
          <w:sz w:val="22"/>
          <w:szCs w:val="22"/>
          <w:lang w:val="es-ES_tradnl" w:eastAsia="ar-SA"/>
        </w:rPr>
        <w:t xml:space="preserve"> aplicó la disposición señalada en el numeral 4, quinto párrafo del Apéndice B de las Bases, que consiste en que el único incremento posible de ofertar para todos los lotes que sigan activos, ser</w:t>
      </w:r>
      <w:r w:rsidR="00E55F83" w:rsidRPr="002D6F3F">
        <w:rPr>
          <w:rFonts w:ascii="ITC Avant Garde" w:hAnsi="ITC Avant Garde" w:cs="Arial"/>
          <w:kern w:val="2"/>
          <w:sz w:val="22"/>
          <w:szCs w:val="22"/>
          <w:lang w:val="es-ES_tradnl" w:eastAsia="ar-SA"/>
        </w:rPr>
        <w:t>ía</w:t>
      </w:r>
      <w:r w:rsidRPr="002D6F3F">
        <w:rPr>
          <w:rFonts w:ascii="ITC Avant Garde" w:hAnsi="ITC Avant Garde" w:cs="Arial"/>
          <w:kern w:val="2"/>
          <w:sz w:val="22"/>
          <w:szCs w:val="22"/>
          <w:lang w:val="es-ES_tradnl" w:eastAsia="ar-SA"/>
        </w:rPr>
        <w:t xml:space="preserve"> el identificado como incremento máximo en la Tabla 1 de dicho Apéndice, de acuerdo al rango en que se encuentre la Oferta más Alta registrada en el SERPO para dicho Lote. </w:t>
      </w:r>
      <w:r w:rsidR="009C344B" w:rsidRPr="002D6F3F">
        <w:rPr>
          <w:rFonts w:ascii="ITC Avant Garde" w:hAnsi="ITC Avant Garde" w:cs="Arial"/>
          <w:kern w:val="2"/>
          <w:sz w:val="22"/>
          <w:szCs w:val="22"/>
          <w:lang w:val="es-ES_tradnl" w:eastAsia="ar-SA"/>
        </w:rPr>
        <w:t>Esta</w:t>
      </w:r>
      <w:r w:rsidRPr="002D6F3F">
        <w:rPr>
          <w:rFonts w:ascii="ITC Avant Garde" w:hAnsi="ITC Avant Garde" w:cs="Arial"/>
          <w:kern w:val="2"/>
          <w:sz w:val="22"/>
          <w:szCs w:val="22"/>
          <w:lang w:val="es-ES_tradnl" w:eastAsia="ar-SA"/>
        </w:rPr>
        <w:t xml:space="preserve"> disposición fue aplicada con la finalidad de que el proce</w:t>
      </w:r>
      <w:r w:rsidR="009C344B" w:rsidRPr="002D6F3F">
        <w:rPr>
          <w:rFonts w:ascii="ITC Avant Garde" w:hAnsi="ITC Avant Garde" w:cs="Arial"/>
          <w:kern w:val="2"/>
          <w:sz w:val="22"/>
          <w:szCs w:val="22"/>
          <w:lang w:val="es-ES_tradnl" w:eastAsia="ar-SA"/>
        </w:rPr>
        <w:t>dimiento</w:t>
      </w:r>
      <w:r w:rsidRPr="002D6F3F">
        <w:rPr>
          <w:rFonts w:ascii="ITC Avant Garde" w:hAnsi="ITC Avant Garde" w:cs="Arial"/>
          <w:kern w:val="2"/>
          <w:sz w:val="22"/>
          <w:szCs w:val="22"/>
          <w:lang w:val="es-ES_tradnl" w:eastAsia="ar-SA"/>
        </w:rPr>
        <w:t xml:space="preserve"> </w:t>
      </w:r>
      <w:r w:rsidR="009C7678" w:rsidRPr="002D6F3F">
        <w:rPr>
          <w:rFonts w:ascii="ITC Avant Garde" w:hAnsi="ITC Avant Garde" w:cs="Arial"/>
          <w:kern w:val="2"/>
          <w:sz w:val="22"/>
          <w:szCs w:val="22"/>
          <w:lang w:val="es-ES_tradnl" w:eastAsia="ar-SA"/>
        </w:rPr>
        <w:t xml:space="preserve">no </w:t>
      </w:r>
      <w:r w:rsidRPr="002D6F3F">
        <w:rPr>
          <w:rFonts w:ascii="ITC Avant Garde" w:hAnsi="ITC Avant Garde" w:cs="Arial"/>
          <w:kern w:val="2"/>
          <w:sz w:val="22"/>
          <w:szCs w:val="22"/>
          <w:lang w:val="es-ES_tradnl" w:eastAsia="ar-SA"/>
        </w:rPr>
        <w:t xml:space="preserve">se extendiera indefinidamente y previo aviso a todos los Participantes </w:t>
      </w:r>
      <w:r w:rsidR="00DF362B" w:rsidRPr="002D6F3F">
        <w:rPr>
          <w:rFonts w:ascii="ITC Avant Garde" w:hAnsi="ITC Avant Garde" w:cs="Arial"/>
          <w:kern w:val="2"/>
          <w:sz w:val="22"/>
          <w:szCs w:val="22"/>
          <w:lang w:val="es-ES_tradnl" w:eastAsia="ar-SA"/>
        </w:rPr>
        <w:t xml:space="preserve">notificado </w:t>
      </w:r>
      <w:r w:rsidRPr="002D6F3F">
        <w:rPr>
          <w:rFonts w:ascii="ITC Avant Garde" w:hAnsi="ITC Avant Garde" w:cs="Arial"/>
          <w:kern w:val="2"/>
          <w:sz w:val="22"/>
          <w:szCs w:val="22"/>
          <w:lang w:val="es-ES_tradnl" w:eastAsia="ar-SA"/>
        </w:rPr>
        <w:t>vía el SERPO y correo electrónico el 10 de febrero de 2017.</w:t>
      </w:r>
    </w:p>
    <w:p w14:paraId="209ECC9A" w14:textId="77777777" w:rsidR="002D6F3F" w:rsidRDefault="008753C4" w:rsidP="002D6F3F">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2D6F3F">
        <w:rPr>
          <w:rFonts w:ascii="ITC Avant Garde" w:eastAsia="Arial Unicode MS" w:hAnsi="ITC Avant Garde" w:cs="Arial Unicode MS"/>
          <w:kern w:val="1"/>
          <w:sz w:val="22"/>
          <w:szCs w:val="22"/>
          <w:u w:color="000000"/>
          <w:bdr w:val="nil"/>
          <w:lang w:val="es-ES_tradnl" w:eastAsia="ar-SA"/>
        </w:rPr>
        <w:t xml:space="preserve">El 14 de febrero de 2017 se publicaron en el Portal de Internet del Instituto los </w:t>
      </w:r>
      <w:r w:rsidR="009C344B" w:rsidRPr="002D6F3F">
        <w:rPr>
          <w:rFonts w:ascii="ITC Avant Garde" w:eastAsia="Arial Unicode MS" w:hAnsi="ITC Avant Garde" w:cs="Arial Unicode MS"/>
          <w:kern w:val="1"/>
          <w:sz w:val="22"/>
          <w:szCs w:val="22"/>
          <w:u w:color="000000"/>
          <w:bdr w:val="nil"/>
          <w:lang w:val="es-ES_tradnl" w:eastAsia="ar-SA"/>
        </w:rPr>
        <w:t>r</w:t>
      </w:r>
      <w:r w:rsidRPr="002D6F3F">
        <w:rPr>
          <w:rFonts w:ascii="ITC Avant Garde" w:eastAsia="Arial Unicode MS" w:hAnsi="ITC Avant Garde" w:cs="Arial Unicode MS"/>
          <w:kern w:val="1"/>
          <w:sz w:val="22"/>
          <w:szCs w:val="22"/>
          <w:u w:color="000000"/>
          <w:bdr w:val="nil"/>
          <w:lang w:val="es-ES_tradnl" w:eastAsia="ar-SA"/>
        </w:rPr>
        <w:t xml:space="preserve">esultados de cada Lote del Concurso de la Banda FM, </w:t>
      </w:r>
      <w:r w:rsidR="006D47D3" w:rsidRPr="002D6F3F">
        <w:rPr>
          <w:rFonts w:ascii="ITC Avant Garde" w:eastAsia="Arial Unicode MS" w:hAnsi="ITC Avant Garde" w:cs="Arial Unicode MS"/>
          <w:kern w:val="1"/>
          <w:sz w:val="22"/>
          <w:szCs w:val="22"/>
          <w:u w:color="000000"/>
          <w:bdr w:val="nil"/>
          <w:lang w:val="es-ES_tradnl" w:eastAsia="ar-SA"/>
        </w:rPr>
        <w:t>en cumplimiento</w:t>
      </w:r>
      <w:r w:rsidRPr="002D6F3F">
        <w:rPr>
          <w:rFonts w:ascii="ITC Avant Garde" w:eastAsia="Arial Unicode MS" w:hAnsi="ITC Avant Garde" w:cs="Arial Unicode MS"/>
          <w:kern w:val="1"/>
          <w:sz w:val="22"/>
          <w:szCs w:val="22"/>
          <w:u w:color="000000"/>
          <w:bdr w:val="nil"/>
          <w:lang w:val="es-ES_tradnl" w:eastAsia="ar-SA"/>
        </w:rPr>
        <w:t xml:space="preserve"> a lo establecido en los numerales 4 y 5.3.1 de las Bases.</w:t>
      </w:r>
    </w:p>
    <w:p w14:paraId="203EB9D3" w14:textId="77777777" w:rsidR="001A5779" w:rsidRPr="002D6F3F" w:rsidRDefault="001A5779" w:rsidP="002D6F3F">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53D69912" w14:textId="77777777" w:rsidR="002D6F3F" w:rsidRPr="002D6F3F" w:rsidRDefault="00DA54E2" w:rsidP="002D6F3F">
      <w:pPr>
        <w:pStyle w:val="Prrafodelista"/>
        <w:numPr>
          <w:ilvl w:val="0"/>
          <w:numId w:val="43"/>
        </w:numPr>
        <w:suppressAutoHyphens/>
        <w:spacing w:after="200"/>
        <w:ind w:left="709" w:hanging="425"/>
        <w:jc w:val="both"/>
        <w:rPr>
          <w:rFonts w:ascii="ITC Avant Garde" w:hAnsi="ITC Avant Garde" w:cs="Arial"/>
          <w:b/>
          <w:kern w:val="2"/>
          <w:sz w:val="22"/>
          <w:szCs w:val="22"/>
          <w:lang w:val="es-ES_tradnl" w:eastAsia="ar-SA"/>
        </w:rPr>
      </w:pPr>
      <w:r w:rsidRPr="002D6F3F">
        <w:rPr>
          <w:rFonts w:ascii="ITC Avant Garde" w:hAnsi="ITC Avant Garde" w:cs="Arial"/>
          <w:b/>
          <w:kern w:val="2"/>
          <w:sz w:val="22"/>
          <w:szCs w:val="22"/>
          <w:lang w:val="es-ES_tradnl" w:eastAsia="ar-SA"/>
        </w:rPr>
        <w:t>Procedimiento de Presentación de Ofertas relativas al Concurso correspond</w:t>
      </w:r>
      <w:r w:rsidR="008145ED" w:rsidRPr="002D6F3F">
        <w:rPr>
          <w:rFonts w:ascii="ITC Avant Garde" w:hAnsi="ITC Avant Garde" w:cs="Arial"/>
          <w:b/>
          <w:kern w:val="2"/>
          <w:sz w:val="22"/>
          <w:szCs w:val="22"/>
          <w:lang w:val="es-ES_tradnl" w:eastAsia="ar-SA"/>
        </w:rPr>
        <w:t>iente a 66 Lotes de la Banda AM, en el segmento de 535 a 1605 kHz.</w:t>
      </w:r>
    </w:p>
    <w:p w14:paraId="5A41E200" w14:textId="245306F5" w:rsidR="007E1DE8" w:rsidRPr="002D6F3F" w:rsidRDefault="00400C7A" w:rsidP="002D6F3F">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2D6F3F">
        <w:rPr>
          <w:rFonts w:ascii="ITC Avant Garde" w:eastAsia="Arial Unicode MS" w:hAnsi="ITC Avant Garde" w:cs="Arial Unicode MS"/>
          <w:kern w:val="1"/>
          <w:sz w:val="22"/>
          <w:szCs w:val="22"/>
          <w:u w:color="000000"/>
          <w:bdr w:val="nil"/>
          <w:lang w:val="es-ES_tradnl" w:eastAsia="ar-SA"/>
        </w:rPr>
        <w:t xml:space="preserve">El 14 de febrero de 2017 comenzó el Procedimiento de Presentación de Ofertas </w:t>
      </w:r>
      <w:r w:rsidR="009C344B" w:rsidRPr="002D6F3F">
        <w:rPr>
          <w:rFonts w:ascii="ITC Avant Garde" w:eastAsia="Arial Unicode MS" w:hAnsi="ITC Avant Garde" w:cs="Arial Unicode MS"/>
          <w:kern w:val="1"/>
          <w:sz w:val="22"/>
          <w:szCs w:val="22"/>
          <w:u w:color="000000"/>
          <w:bdr w:val="nil"/>
          <w:lang w:val="es-ES_tradnl" w:eastAsia="ar-SA"/>
        </w:rPr>
        <w:t xml:space="preserve">correspondientes a la </w:t>
      </w:r>
      <w:r w:rsidR="007E1DE8" w:rsidRPr="002D6F3F">
        <w:rPr>
          <w:rFonts w:ascii="ITC Avant Garde" w:eastAsia="Arial Unicode MS" w:hAnsi="ITC Avant Garde" w:cs="Arial Unicode MS"/>
          <w:kern w:val="1"/>
          <w:sz w:val="22"/>
          <w:szCs w:val="22"/>
          <w:u w:color="000000"/>
          <w:bdr w:val="nil"/>
          <w:lang w:val="es-ES_tradnl" w:eastAsia="ar-SA"/>
        </w:rPr>
        <w:t>B</w:t>
      </w:r>
      <w:r w:rsidR="009C344B" w:rsidRPr="002D6F3F">
        <w:rPr>
          <w:rFonts w:ascii="ITC Avant Garde" w:eastAsia="Arial Unicode MS" w:hAnsi="ITC Avant Garde" w:cs="Arial Unicode MS"/>
          <w:kern w:val="1"/>
          <w:sz w:val="22"/>
          <w:szCs w:val="22"/>
          <w:u w:color="000000"/>
          <w:bdr w:val="nil"/>
          <w:lang w:val="es-ES_tradnl" w:eastAsia="ar-SA"/>
        </w:rPr>
        <w:t>anda</w:t>
      </w:r>
      <w:r w:rsidRPr="002D6F3F">
        <w:rPr>
          <w:rFonts w:ascii="ITC Avant Garde" w:eastAsia="Arial Unicode MS" w:hAnsi="ITC Avant Garde" w:cs="Arial Unicode MS"/>
          <w:kern w:val="1"/>
          <w:sz w:val="22"/>
          <w:szCs w:val="22"/>
          <w:u w:color="000000"/>
          <w:bdr w:val="nil"/>
          <w:lang w:val="es-ES_tradnl" w:eastAsia="ar-SA"/>
        </w:rPr>
        <w:t xml:space="preserve"> AM</w:t>
      </w:r>
      <w:r w:rsidR="007E1DE8" w:rsidRPr="002D6F3F">
        <w:rPr>
          <w:rFonts w:ascii="ITC Avant Garde" w:eastAsia="Calibri" w:hAnsi="ITC Avant Garde" w:cs="Arial Unicode MS"/>
          <w:kern w:val="1"/>
          <w:sz w:val="22"/>
          <w:szCs w:val="22"/>
          <w:u w:color="000000"/>
          <w:bdr w:val="nil"/>
          <w:lang w:val="es-ES_tradnl" w:eastAsia="ar-SA"/>
        </w:rPr>
        <w:t xml:space="preserve"> para 31 Lotes, toda vez que para 35 frecuencias no se otorgó Constancia de Participación</w:t>
      </w:r>
      <w:r w:rsidR="001A5779">
        <w:rPr>
          <w:rFonts w:ascii="ITC Avant Garde" w:eastAsia="Arial Unicode MS" w:hAnsi="ITC Avant Garde" w:cs="Arial Unicode MS"/>
          <w:kern w:val="1"/>
          <w:sz w:val="22"/>
          <w:szCs w:val="22"/>
          <w:u w:color="000000"/>
          <w:bdr w:val="nil"/>
          <w:lang w:val="es-ES_tradnl" w:eastAsia="ar-SA"/>
        </w:rPr>
        <w:t>.</w:t>
      </w:r>
    </w:p>
    <w:p w14:paraId="27BA3AE3" w14:textId="4DADB091" w:rsidR="002D6F3F" w:rsidRDefault="00400C7A" w:rsidP="002D6F3F">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2D6F3F">
        <w:rPr>
          <w:rFonts w:ascii="ITC Avant Garde" w:eastAsia="Arial Unicode MS" w:hAnsi="ITC Avant Garde" w:cs="Arial Unicode MS"/>
          <w:kern w:val="1"/>
          <w:sz w:val="22"/>
          <w:szCs w:val="22"/>
          <w:u w:color="000000"/>
          <w:bdr w:val="nil"/>
          <w:lang w:val="es-ES_tradnl" w:eastAsia="ar-SA"/>
        </w:rPr>
        <w:t>Dicho Procedimiento concluyó el 16 de febrero de 2017</w:t>
      </w:r>
      <w:r w:rsidR="007E31E5" w:rsidRPr="002D6F3F">
        <w:rPr>
          <w:rFonts w:ascii="ITC Avant Garde" w:eastAsia="Arial Unicode MS" w:hAnsi="ITC Avant Garde" w:cs="Arial Unicode MS"/>
          <w:kern w:val="1"/>
          <w:sz w:val="22"/>
          <w:szCs w:val="22"/>
          <w:u w:color="000000"/>
          <w:bdr w:val="nil"/>
          <w:lang w:val="es-ES_tradnl" w:eastAsia="ar-SA"/>
        </w:rPr>
        <w:t xml:space="preserve"> para las 31 frecuencias de AM consideradas en las Constancias de Participación otorgadas</w:t>
      </w:r>
      <w:r w:rsidRPr="002D6F3F">
        <w:rPr>
          <w:rFonts w:ascii="ITC Avant Garde" w:eastAsia="Arial Unicode MS" w:hAnsi="ITC Avant Garde" w:cs="Arial Unicode MS"/>
          <w:kern w:val="1"/>
          <w:sz w:val="22"/>
          <w:szCs w:val="22"/>
          <w:u w:color="000000"/>
          <w:bdr w:val="nil"/>
          <w:lang w:val="es-ES_tradnl" w:eastAsia="ar-SA"/>
        </w:rPr>
        <w:t xml:space="preserve">, toda vez que durante los últimos 30 minutos de extensión de tiempo previos </w:t>
      </w:r>
      <w:r w:rsidR="007E1DE8" w:rsidRPr="002D6F3F">
        <w:rPr>
          <w:rFonts w:ascii="ITC Avant Garde" w:eastAsia="Arial Unicode MS" w:hAnsi="ITC Avant Garde" w:cs="Arial Unicode MS"/>
          <w:kern w:val="1"/>
          <w:sz w:val="22"/>
          <w:szCs w:val="22"/>
          <w:u w:color="000000"/>
          <w:bdr w:val="nil"/>
          <w:lang w:val="es-ES_tradnl" w:eastAsia="ar-SA"/>
        </w:rPr>
        <w:t>cierre programado</w:t>
      </w:r>
      <w:r w:rsidR="007E1DE8" w:rsidRPr="002D6F3F" w:rsidDel="007E1DE8">
        <w:rPr>
          <w:rFonts w:ascii="ITC Avant Garde" w:eastAsia="Arial Unicode MS" w:hAnsi="ITC Avant Garde" w:cs="Arial Unicode MS"/>
          <w:kern w:val="1"/>
          <w:sz w:val="22"/>
          <w:szCs w:val="22"/>
          <w:u w:color="000000"/>
          <w:bdr w:val="nil"/>
          <w:lang w:val="es-ES_tradnl" w:eastAsia="ar-SA"/>
        </w:rPr>
        <w:t xml:space="preserve"> </w:t>
      </w:r>
      <w:r w:rsidRPr="002D6F3F">
        <w:rPr>
          <w:rFonts w:ascii="ITC Avant Garde" w:eastAsia="Arial Unicode MS" w:hAnsi="ITC Avant Garde" w:cs="Arial Unicode MS"/>
          <w:kern w:val="1"/>
          <w:sz w:val="22"/>
          <w:szCs w:val="22"/>
          <w:u w:color="000000"/>
          <w:bdr w:val="nil"/>
          <w:lang w:val="es-ES_tradnl" w:eastAsia="ar-SA"/>
        </w:rPr>
        <w:t>no se presentaron nuevas posturas en el SERPO</w:t>
      </w:r>
      <w:r w:rsidR="001A5779">
        <w:rPr>
          <w:rFonts w:ascii="ITC Avant Garde" w:eastAsia="Arial Unicode MS" w:hAnsi="ITC Avant Garde" w:cs="Arial Unicode MS"/>
          <w:kern w:val="1"/>
          <w:sz w:val="22"/>
          <w:szCs w:val="22"/>
          <w:u w:color="000000"/>
          <w:bdr w:val="nil"/>
          <w:lang w:val="es-ES_tradnl" w:eastAsia="ar-SA"/>
        </w:rPr>
        <w:t>, de conformidad con las Bases.</w:t>
      </w:r>
    </w:p>
    <w:p w14:paraId="5F9E0EE1" w14:textId="77777777" w:rsidR="001A5779" w:rsidRPr="002D6F3F" w:rsidRDefault="001A5779" w:rsidP="002D6F3F">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610075D4" w14:textId="77777777" w:rsidR="002D6F3F" w:rsidRDefault="00B94A5F" w:rsidP="002D6F3F">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2D6F3F">
        <w:rPr>
          <w:rFonts w:ascii="ITC Avant Garde" w:eastAsia="Arial Unicode MS" w:hAnsi="ITC Avant Garde" w:cs="Arial Unicode MS"/>
          <w:kern w:val="1"/>
          <w:sz w:val="22"/>
          <w:szCs w:val="22"/>
          <w:u w:color="000000"/>
          <w:bdr w:val="nil"/>
          <w:lang w:val="es-ES_tradnl" w:eastAsia="ar-SA"/>
        </w:rPr>
        <w:t xml:space="preserve">Consecuentemente, el </w:t>
      </w:r>
      <w:r w:rsidR="00400C7A" w:rsidRPr="002D6F3F">
        <w:rPr>
          <w:rFonts w:ascii="ITC Avant Garde" w:eastAsia="Arial Unicode MS" w:hAnsi="ITC Avant Garde" w:cs="Arial Unicode MS"/>
          <w:kern w:val="1"/>
          <w:sz w:val="22"/>
          <w:szCs w:val="22"/>
          <w:u w:color="000000"/>
          <w:bdr w:val="nil"/>
          <w:lang w:val="es-ES_tradnl" w:eastAsia="ar-SA"/>
        </w:rPr>
        <w:t xml:space="preserve">17 de febrero de 2017 se publicaron en el Portal de Internet del Instituto los </w:t>
      </w:r>
      <w:r w:rsidR="009C344B" w:rsidRPr="002D6F3F">
        <w:rPr>
          <w:rFonts w:ascii="ITC Avant Garde" w:eastAsia="Arial Unicode MS" w:hAnsi="ITC Avant Garde" w:cs="Arial Unicode MS"/>
          <w:kern w:val="1"/>
          <w:sz w:val="22"/>
          <w:szCs w:val="22"/>
          <w:u w:color="000000"/>
          <w:bdr w:val="nil"/>
          <w:lang w:val="es-ES_tradnl" w:eastAsia="ar-SA"/>
        </w:rPr>
        <w:t xml:space="preserve">resultados </w:t>
      </w:r>
      <w:r w:rsidR="00400C7A" w:rsidRPr="002D6F3F">
        <w:rPr>
          <w:rFonts w:ascii="ITC Avant Garde" w:eastAsia="Arial Unicode MS" w:hAnsi="ITC Avant Garde" w:cs="Arial Unicode MS"/>
          <w:kern w:val="1"/>
          <w:sz w:val="22"/>
          <w:szCs w:val="22"/>
          <w:u w:color="000000"/>
          <w:bdr w:val="nil"/>
          <w:lang w:val="es-ES_tradnl" w:eastAsia="ar-SA"/>
        </w:rPr>
        <w:t xml:space="preserve">de cada Lote del Concurso de la Banda AM, </w:t>
      </w:r>
      <w:r w:rsidR="006D47D3" w:rsidRPr="002D6F3F">
        <w:rPr>
          <w:rFonts w:ascii="ITC Avant Garde" w:eastAsia="Arial Unicode MS" w:hAnsi="ITC Avant Garde" w:cs="Arial Unicode MS"/>
          <w:kern w:val="1"/>
          <w:sz w:val="22"/>
          <w:szCs w:val="22"/>
          <w:u w:color="000000"/>
          <w:bdr w:val="nil"/>
          <w:lang w:val="es-ES_tradnl" w:eastAsia="ar-SA"/>
        </w:rPr>
        <w:t>en cumplimiento</w:t>
      </w:r>
      <w:r w:rsidR="00400C7A" w:rsidRPr="002D6F3F">
        <w:rPr>
          <w:rFonts w:ascii="ITC Avant Garde" w:eastAsia="Arial Unicode MS" w:hAnsi="ITC Avant Garde" w:cs="Arial Unicode MS"/>
          <w:kern w:val="1"/>
          <w:sz w:val="22"/>
          <w:szCs w:val="22"/>
          <w:u w:color="000000"/>
          <w:bdr w:val="nil"/>
          <w:lang w:val="es-ES_tradnl" w:eastAsia="ar-SA"/>
        </w:rPr>
        <w:t xml:space="preserve"> a lo establecido en los numerales 4 y 5.3.1 de las Bases.</w:t>
      </w:r>
    </w:p>
    <w:p w14:paraId="1222547D" w14:textId="77777777" w:rsidR="001A5779" w:rsidRPr="002D6F3F" w:rsidRDefault="001A5779" w:rsidP="002D6F3F">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68DB14F5" w14:textId="77777777" w:rsidR="002D6F3F" w:rsidRPr="002D6F3F" w:rsidRDefault="00F93F76" w:rsidP="002D6F3F">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2D6F3F">
        <w:rPr>
          <w:rFonts w:ascii="ITC Avant Garde" w:hAnsi="ITC Avant Garde" w:cs="Arial"/>
          <w:kern w:val="2"/>
          <w:sz w:val="22"/>
          <w:szCs w:val="22"/>
          <w:lang w:val="es-ES_tradnl" w:eastAsia="ar-SA"/>
        </w:rPr>
        <w:t xml:space="preserve">El Procedimiento de Presentación de Ofertas de los Concursos de la Banda FM y </w:t>
      </w:r>
      <w:r w:rsidR="00DF362B" w:rsidRPr="002D6F3F">
        <w:rPr>
          <w:rFonts w:ascii="ITC Avant Garde" w:hAnsi="ITC Avant Garde" w:cs="Arial"/>
          <w:kern w:val="2"/>
          <w:sz w:val="22"/>
          <w:szCs w:val="22"/>
          <w:lang w:val="es-ES_tradnl" w:eastAsia="ar-SA"/>
        </w:rPr>
        <w:t xml:space="preserve">de la Banda </w:t>
      </w:r>
      <w:r w:rsidRPr="002D6F3F">
        <w:rPr>
          <w:rFonts w:ascii="ITC Avant Garde" w:hAnsi="ITC Avant Garde" w:cs="Arial"/>
          <w:kern w:val="2"/>
          <w:sz w:val="22"/>
          <w:szCs w:val="22"/>
          <w:lang w:val="es-ES_tradnl" w:eastAsia="ar-SA"/>
        </w:rPr>
        <w:t xml:space="preserve">AM, al igual que el resto de las etapas previas de la </w:t>
      </w:r>
      <w:r w:rsidR="006D47D3" w:rsidRPr="002D6F3F">
        <w:rPr>
          <w:rFonts w:ascii="ITC Avant Garde" w:hAnsi="ITC Avant Garde" w:cs="Arial"/>
          <w:kern w:val="2"/>
          <w:sz w:val="22"/>
          <w:szCs w:val="22"/>
          <w:lang w:val="es-ES_tradnl" w:eastAsia="ar-SA"/>
        </w:rPr>
        <w:t>L</w:t>
      </w:r>
      <w:r w:rsidRPr="002D6F3F">
        <w:rPr>
          <w:rFonts w:ascii="ITC Avant Garde" w:hAnsi="ITC Avant Garde" w:cs="Arial"/>
          <w:kern w:val="2"/>
          <w:sz w:val="22"/>
          <w:szCs w:val="22"/>
          <w:lang w:val="es-ES_tradnl" w:eastAsia="ar-SA"/>
        </w:rPr>
        <w:t>icitación</w:t>
      </w:r>
      <w:r w:rsidR="006D47D3" w:rsidRPr="002D6F3F">
        <w:rPr>
          <w:rFonts w:ascii="ITC Avant Garde" w:hAnsi="ITC Avant Garde" w:cs="Arial"/>
          <w:kern w:val="2"/>
          <w:sz w:val="22"/>
          <w:szCs w:val="22"/>
          <w:lang w:val="es-ES_tradnl" w:eastAsia="ar-SA"/>
        </w:rPr>
        <w:t xml:space="preserve"> No. IFT-4</w:t>
      </w:r>
      <w:r w:rsidRPr="002D6F3F">
        <w:rPr>
          <w:rFonts w:ascii="ITC Avant Garde" w:hAnsi="ITC Avant Garde" w:cs="Arial"/>
          <w:kern w:val="2"/>
          <w:sz w:val="22"/>
          <w:szCs w:val="22"/>
          <w:lang w:val="es-ES_tradnl" w:eastAsia="ar-SA"/>
        </w:rPr>
        <w:t xml:space="preserve">, fue atestiguado por </w:t>
      </w:r>
      <w:r w:rsidR="00DF362B" w:rsidRPr="002D6F3F">
        <w:rPr>
          <w:rFonts w:ascii="ITC Avant Garde" w:hAnsi="ITC Avant Garde" w:cs="Arial"/>
          <w:kern w:val="2"/>
          <w:sz w:val="22"/>
          <w:szCs w:val="22"/>
          <w:lang w:val="es-ES_tradnl" w:eastAsia="ar-SA"/>
        </w:rPr>
        <w:t>un</w:t>
      </w:r>
      <w:r w:rsidRPr="002D6F3F">
        <w:rPr>
          <w:rFonts w:ascii="ITC Avant Garde" w:hAnsi="ITC Avant Garde" w:cs="Arial"/>
          <w:kern w:val="2"/>
          <w:sz w:val="22"/>
          <w:szCs w:val="22"/>
          <w:lang w:val="es-ES_tradnl" w:eastAsia="ar-SA"/>
        </w:rPr>
        <w:t xml:space="preserve"> testigo social y </w:t>
      </w:r>
      <w:r w:rsidR="00DF362B" w:rsidRPr="002D6F3F">
        <w:rPr>
          <w:rFonts w:ascii="ITC Avant Garde" w:hAnsi="ITC Avant Garde" w:cs="Arial"/>
          <w:kern w:val="2"/>
          <w:sz w:val="22"/>
          <w:szCs w:val="22"/>
          <w:lang w:val="es-ES_tradnl" w:eastAsia="ar-SA"/>
        </w:rPr>
        <w:t>contó con la participación de</w:t>
      </w:r>
      <w:r w:rsidRPr="002D6F3F">
        <w:rPr>
          <w:rFonts w:ascii="ITC Avant Garde" w:hAnsi="ITC Avant Garde" w:cs="Arial"/>
          <w:kern w:val="2"/>
          <w:sz w:val="22"/>
          <w:szCs w:val="22"/>
          <w:lang w:val="es-ES_tradnl" w:eastAsia="ar-SA"/>
        </w:rPr>
        <w:t xml:space="preserve"> un fedatario público.</w:t>
      </w:r>
    </w:p>
    <w:p w14:paraId="55AE5021" w14:textId="77777777" w:rsidR="002D6F3F" w:rsidRPr="002D6F3F" w:rsidRDefault="00634916" w:rsidP="002D6F3F">
      <w:pPr>
        <w:suppressAutoHyphens/>
        <w:spacing w:line="240" w:lineRule="auto"/>
        <w:jc w:val="both"/>
        <w:rPr>
          <w:rFonts w:ascii="ITC Avant Garde" w:hAnsi="ITC Avant Garde" w:cs="Arial"/>
          <w:kern w:val="2"/>
          <w:lang w:val="es-ES_tradnl" w:eastAsia="ar-SA"/>
        </w:rPr>
      </w:pPr>
      <w:r w:rsidRPr="002D6F3F">
        <w:rPr>
          <w:rFonts w:ascii="ITC Avant Garde" w:hAnsi="ITC Avant Garde"/>
        </w:rPr>
        <w:t xml:space="preserve">En este contexto, es procedente continuar con la </w:t>
      </w:r>
      <w:r w:rsidRPr="002D6F3F">
        <w:rPr>
          <w:rFonts w:ascii="ITC Avant Garde" w:hAnsi="ITC Avant Garde"/>
          <w:b/>
        </w:rPr>
        <w:t>Cuarta</w:t>
      </w:r>
      <w:r w:rsidR="002F71F8" w:rsidRPr="002D6F3F">
        <w:rPr>
          <w:rFonts w:ascii="ITC Avant Garde" w:hAnsi="ITC Avant Garde"/>
          <w:b/>
          <w:kern w:val="1"/>
          <w:u w:color="000000"/>
          <w:bdr w:val="nil"/>
          <w:lang w:val="es-ES_tradnl"/>
        </w:rPr>
        <w:t xml:space="preserve"> Etapa</w:t>
      </w:r>
      <w:r w:rsidR="002F71F8" w:rsidRPr="002D6F3F">
        <w:rPr>
          <w:rFonts w:ascii="ITC Avant Garde" w:hAnsi="ITC Avant Garde"/>
          <w:kern w:val="1"/>
          <w:u w:color="000000"/>
          <w:bdr w:val="nil"/>
          <w:lang w:val="es-ES_tradnl"/>
        </w:rPr>
        <w:t>,</w:t>
      </w:r>
      <w:r w:rsidRPr="002D6F3F">
        <w:rPr>
          <w:rFonts w:ascii="ITC Avant Garde" w:hAnsi="ITC Avant Garde"/>
          <w:kern w:val="1"/>
          <w:u w:color="000000"/>
          <w:bdr w:val="nil"/>
          <w:lang w:val="es-ES_tradnl"/>
        </w:rPr>
        <w:t xml:space="preserve"> denominada </w:t>
      </w:r>
      <w:r w:rsidR="006330D7" w:rsidRPr="002D6F3F">
        <w:rPr>
          <w:rFonts w:ascii="ITC Avant Garde" w:hAnsi="ITC Avant Garde"/>
          <w:kern w:val="1"/>
          <w:u w:color="000000"/>
          <w:bdr w:val="nil"/>
          <w:lang w:val="es-ES_tradnl"/>
        </w:rPr>
        <w:t>“</w:t>
      </w:r>
      <w:r w:rsidRPr="002D6F3F">
        <w:rPr>
          <w:rFonts w:ascii="ITC Avant Garde" w:hAnsi="ITC Avant Garde"/>
          <w:kern w:val="2"/>
          <w:lang w:val="es-ES_tradnl"/>
        </w:rPr>
        <w:t>Emisión de Acta de Fallo, Pago de Contraprestación y Otorgamiento de Títulos de Concesión</w:t>
      </w:r>
      <w:r w:rsidR="006330D7" w:rsidRPr="002D6F3F">
        <w:rPr>
          <w:rFonts w:ascii="ITC Avant Garde" w:hAnsi="ITC Avant Garde"/>
          <w:kern w:val="2"/>
          <w:lang w:val="es-ES_tradnl"/>
        </w:rPr>
        <w:t>”</w:t>
      </w:r>
      <w:r w:rsidRPr="002D6F3F">
        <w:rPr>
          <w:rFonts w:ascii="ITC Avant Garde" w:hAnsi="ITC Avant Garde"/>
          <w:kern w:val="1"/>
          <w:u w:color="000000"/>
          <w:bdr w:val="nil"/>
          <w:lang w:val="es-ES_tradnl"/>
        </w:rPr>
        <w:t>.</w:t>
      </w:r>
    </w:p>
    <w:p w14:paraId="3B072C25" w14:textId="1CA21C3F" w:rsidR="00DA353F" w:rsidRPr="002D6F3F" w:rsidRDefault="001A5779" w:rsidP="001A5779">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r>
        <w:rPr>
          <w:rFonts w:ascii="ITC Avant Garde" w:eastAsia="Arial Unicode MS" w:hAnsi="ITC Avant Garde" w:cs="Arial"/>
          <w:b/>
          <w:bCs/>
          <w:u w:color="000000"/>
          <w:bdr w:val="nil"/>
          <w:lang w:val="es-ES_tradnl"/>
        </w:rPr>
        <w:t>CUARTO.</w:t>
      </w:r>
      <w:r>
        <w:rPr>
          <w:rFonts w:ascii="ITC Avant Garde" w:eastAsia="Arial Unicode MS" w:hAnsi="ITC Avant Garde" w:cs="Arial"/>
          <w:b/>
          <w:bCs/>
          <w:u w:color="000000"/>
          <w:bdr w:val="nil"/>
          <w:lang w:val="es-ES_tradnl"/>
        </w:rPr>
        <w:tab/>
      </w:r>
      <w:r w:rsidR="00962C82" w:rsidRPr="002D6F3F">
        <w:rPr>
          <w:rFonts w:ascii="ITC Avant Garde" w:eastAsia="Arial Unicode MS" w:hAnsi="ITC Avant Garde" w:cs="Arial"/>
          <w:b/>
          <w:bCs/>
          <w:u w:color="000000"/>
          <w:bdr w:val="nil"/>
          <w:lang w:val="es-ES_tradnl"/>
        </w:rPr>
        <w:t>Emi</w:t>
      </w:r>
      <w:r w:rsidR="00247758" w:rsidRPr="002D6F3F">
        <w:rPr>
          <w:rFonts w:ascii="ITC Avant Garde" w:eastAsia="Arial Unicode MS" w:hAnsi="ITC Avant Garde" w:cs="Arial"/>
          <w:b/>
          <w:bCs/>
          <w:u w:color="000000"/>
          <w:bdr w:val="nil"/>
          <w:lang w:val="es-ES_tradnl"/>
        </w:rPr>
        <w:t xml:space="preserve">sión de Acta de </w:t>
      </w:r>
      <w:r w:rsidR="00864B72" w:rsidRPr="002D6F3F">
        <w:rPr>
          <w:rFonts w:ascii="ITC Avant Garde" w:eastAsia="Arial Unicode MS" w:hAnsi="ITC Avant Garde" w:cs="Arial"/>
          <w:b/>
          <w:bCs/>
          <w:u w:color="000000"/>
          <w:bdr w:val="nil"/>
          <w:lang w:val="es-ES_tradnl"/>
        </w:rPr>
        <w:t>Fallo</w:t>
      </w:r>
      <w:r w:rsidR="00634916" w:rsidRPr="002D6F3F">
        <w:rPr>
          <w:rFonts w:ascii="ITC Avant Garde" w:eastAsia="Arial Unicode MS" w:hAnsi="ITC Avant Garde" w:cs="Arial"/>
          <w:b/>
          <w:bCs/>
          <w:u w:color="000000"/>
          <w:bdr w:val="nil"/>
          <w:lang w:val="es-ES_tradnl"/>
        </w:rPr>
        <w:t>, Pago de Contraprestación</w:t>
      </w:r>
      <w:r w:rsidR="00864B72" w:rsidRPr="002D6F3F">
        <w:rPr>
          <w:rFonts w:ascii="ITC Avant Garde" w:eastAsia="Arial Unicode MS" w:hAnsi="ITC Avant Garde" w:cs="Arial"/>
          <w:b/>
          <w:bCs/>
          <w:u w:color="000000"/>
          <w:bdr w:val="nil"/>
          <w:lang w:val="es-ES_tradnl"/>
        </w:rPr>
        <w:t xml:space="preserve"> y </w:t>
      </w:r>
      <w:r w:rsidR="00D46AB9" w:rsidRPr="002D6F3F">
        <w:rPr>
          <w:rFonts w:ascii="ITC Avant Garde" w:eastAsia="Arial Unicode MS" w:hAnsi="ITC Avant Garde" w:cs="Arial"/>
          <w:b/>
          <w:bCs/>
          <w:u w:color="000000"/>
          <w:bdr w:val="nil"/>
          <w:lang w:val="es-ES_tradnl"/>
        </w:rPr>
        <w:t>O</w:t>
      </w:r>
      <w:r w:rsidR="00634916" w:rsidRPr="002D6F3F">
        <w:rPr>
          <w:rFonts w:ascii="ITC Avant Garde" w:eastAsia="Arial Unicode MS" w:hAnsi="ITC Avant Garde" w:cs="Arial"/>
          <w:b/>
          <w:bCs/>
          <w:u w:color="000000"/>
          <w:bdr w:val="nil"/>
          <w:lang w:val="es-ES_tradnl"/>
        </w:rPr>
        <w:t xml:space="preserve">torgamiento de </w:t>
      </w:r>
      <w:r w:rsidR="00D46AB9" w:rsidRPr="002D6F3F">
        <w:rPr>
          <w:rFonts w:ascii="ITC Avant Garde" w:eastAsia="Arial Unicode MS" w:hAnsi="ITC Avant Garde" w:cs="Arial"/>
          <w:b/>
          <w:bCs/>
          <w:u w:color="000000"/>
          <w:bdr w:val="nil"/>
          <w:lang w:val="es-ES_tradnl"/>
        </w:rPr>
        <w:t>T</w:t>
      </w:r>
      <w:r w:rsidR="00864B72" w:rsidRPr="002D6F3F">
        <w:rPr>
          <w:rFonts w:ascii="ITC Avant Garde" w:eastAsia="Arial Unicode MS" w:hAnsi="ITC Avant Garde" w:cs="Arial"/>
          <w:b/>
          <w:bCs/>
          <w:u w:color="000000"/>
          <w:bdr w:val="nil"/>
          <w:lang w:val="es-ES_tradnl"/>
        </w:rPr>
        <w:t>ítulos de Concesión.</w:t>
      </w:r>
      <w:r w:rsidR="005E5014" w:rsidRPr="002D6F3F">
        <w:rPr>
          <w:rFonts w:ascii="ITC Avant Garde" w:eastAsia="Arial Unicode MS" w:hAnsi="ITC Avant Garde" w:cs="Arial"/>
          <w:bCs/>
          <w:u w:color="000000"/>
          <w:bdr w:val="nil"/>
          <w:lang w:val="es-ES_tradnl"/>
        </w:rPr>
        <w:t xml:space="preserve"> </w:t>
      </w:r>
      <w:r w:rsidR="00C011D2" w:rsidRPr="002D6F3F">
        <w:rPr>
          <w:rFonts w:ascii="ITC Avant Garde" w:eastAsia="Arial Unicode MS" w:hAnsi="ITC Avant Garde" w:cs="Arial"/>
          <w:bCs/>
          <w:u w:color="000000"/>
          <w:bdr w:val="nil"/>
          <w:lang w:val="es-ES_tradnl"/>
        </w:rPr>
        <w:t xml:space="preserve">De conformidad con el </w:t>
      </w:r>
      <w:r w:rsidR="00DA353F" w:rsidRPr="002D6F3F">
        <w:rPr>
          <w:rFonts w:ascii="ITC Avant Garde" w:eastAsia="Arial Unicode MS" w:hAnsi="ITC Avant Garde" w:cs="Arial"/>
          <w:bCs/>
          <w:u w:color="000000"/>
          <w:bdr w:val="nil"/>
          <w:lang w:val="es-ES_tradnl"/>
        </w:rPr>
        <w:t xml:space="preserve">resultado de los </w:t>
      </w:r>
      <w:r w:rsidR="00DA54E2" w:rsidRPr="002D6F3F">
        <w:rPr>
          <w:rFonts w:ascii="ITC Avant Garde" w:eastAsiaTheme="minorHAnsi" w:hAnsi="ITC Avant Garde" w:cs="Arial"/>
        </w:rPr>
        <w:t xml:space="preserve">Procedimientos de Presentación de Ofertas, relativos a los Concursos para los 191 Lotes de la Banda FM y de los 66 Lotes de la Banda AM, </w:t>
      </w:r>
      <w:r w:rsidR="00DA353F" w:rsidRPr="002D6F3F">
        <w:rPr>
          <w:rFonts w:ascii="ITC Avant Garde" w:eastAsiaTheme="minorHAnsi" w:hAnsi="ITC Avant Garde" w:cs="Arial"/>
        </w:rPr>
        <w:t>con el cumplimiento de</w:t>
      </w:r>
      <w:r w:rsidR="00DA353F" w:rsidRPr="002D6F3F">
        <w:rPr>
          <w:rFonts w:ascii="ITC Avant Garde" w:eastAsia="Arial Unicode MS" w:hAnsi="ITC Avant Garde" w:cs="Arial"/>
          <w:bCs/>
          <w:u w:color="000000"/>
          <w:bdr w:val="nil"/>
          <w:lang w:val="es-ES_tradnl"/>
        </w:rPr>
        <w:t xml:space="preserve"> </w:t>
      </w:r>
      <w:r w:rsidR="00F6058E" w:rsidRPr="002D6F3F">
        <w:rPr>
          <w:rFonts w:ascii="ITC Avant Garde" w:eastAsia="Arial Unicode MS" w:hAnsi="ITC Avant Garde" w:cs="Arial"/>
          <w:bCs/>
          <w:u w:color="000000"/>
          <w:bdr w:val="nil"/>
          <w:lang w:val="es-ES_tradnl"/>
        </w:rPr>
        <w:t>lo previsto en las Bases</w:t>
      </w:r>
      <w:r w:rsidR="00DD58AA" w:rsidRPr="002D6F3F">
        <w:rPr>
          <w:rFonts w:ascii="ITC Avant Garde" w:eastAsia="Arial Unicode MS" w:hAnsi="ITC Avant Garde" w:cs="Arial"/>
          <w:bCs/>
          <w:u w:color="000000"/>
          <w:bdr w:val="nil"/>
          <w:lang w:val="es-ES_tradnl"/>
        </w:rPr>
        <w:t xml:space="preserve">, sus </w:t>
      </w:r>
      <w:r w:rsidR="00B77DCB" w:rsidRPr="002D6F3F">
        <w:rPr>
          <w:rFonts w:ascii="ITC Avant Garde" w:eastAsia="Arial Unicode MS" w:hAnsi="ITC Avant Garde" w:cs="Arial"/>
          <w:bCs/>
          <w:u w:color="000000"/>
          <w:bdr w:val="nil"/>
          <w:lang w:val="es-ES_tradnl"/>
        </w:rPr>
        <w:t xml:space="preserve">Apéndices y </w:t>
      </w:r>
      <w:r w:rsidR="00DD58AA" w:rsidRPr="002D6F3F">
        <w:rPr>
          <w:rFonts w:ascii="ITC Avant Garde" w:eastAsia="Arial Unicode MS" w:hAnsi="ITC Avant Garde" w:cs="Arial"/>
          <w:bCs/>
          <w:u w:color="000000"/>
          <w:bdr w:val="nil"/>
          <w:lang w:val="es-ES_tradnl"/>
        </w:rPr>
        <w:t>Anexos;</w:t>
      </w:r>
      <w:r w:rsidR="00DA353F" w:rsidRPr="002D6F3F">
        <w:rPr>
          <w:rFonts w:ascii="ITC Avant Garde" w:eastAsia="Arial Unicode MS" w:hAnsi="ITC Avant Garde" w:cs="Arial"/>
          <w:bCs/>
          <w:u w:color="000000"/>
          <w:bdr w:val="nil"/>
          <w:lang w:val="es-ES_tradnl"/>
        </w:rPr>
        <w:t xml:space="preserve"> </w:t>
      </w:r>
      <w:r w:rsidR="004535EB" w:rsidRPr="002D6F3F">
        <w:rPr>
          <w:rFonts w:ascii="ITC Avant Garde" w:eastAsia="Arial Unicode MS" w:hAnsi="ITC Avant Garde" w:cs="Arial"/>
          <w:bCs/>
          <w:u w:color="000000"/>
          <w:bdr w:val="nil"/>
          <w:lang w:val="es-ES_tradnl"/>
        </w:rPr>
        <w:t>a</w:t>
      </w:r>
      <w:r w:rsidR="00D81EB0" w:rsidRPr="002D6F3F">
        <w:rPr>
          <w:rFonts w:ascii="ITC Avant Garde" w:eastAsia="Arial Unicode MS" w:hAnsi="ITC Avant Garde" w:cs="Arial"/>
          <w:bCs/>
          <w:u w:color="000000"/>
          <w:bdr w:val="nil"/>
          <w:lang w:val="es-ES_tradnl"/>
        </w:rPr>
        <w:t xml:space="preserve">sí como las preferencias de asignación </w:t>
      </w:r>
      <w:r w:rsidR="00F83ACF" w:rsidRPr="002D6F3F">
        <w:rPr>
          <w:rFonts w:ascii="ITC Avant Garde" w:eastAsia="Arial Unicode MS" w:hAnsi="ITC Avant Garde" w:cs="Arial"/>
          <w:bCs/>
          <w:u w:color="000000"/>
          <w:bdr w:val="nil"/>
          <w:lang w:val="es-ES_tradnl"/>
        </w:rPr>
        <w:t xml:space="preserve">manifestadas en el </w:t>
      </w:r>
      <w:r w:rsidR="00F83ACF" w:rsidRPr="002D6F3F">
        <w:rPr>
          <w:rFonts w:ascii="ITC Avant Garde" w:eastAsia="Arial Unicode MS" w:hAnsi="ITC Avant Garde" w:cs="Arial"/>
          <w:bCs/>
          <w:u w:color="000000"/>
          <w:bdr w:val="nil"/>
          <w:lang w:val="es-ES_tradnl"/>
        </w:rPr>
        <w:lastRenderedPageBreak/>
        <w:t>Apéndice E de las Bases</w:t>
      </w:r>
      <w:r w:rsidR="000C59BD" w:rsidRPr="002D6F3F">
        <w:rPr>
          <w:rFonts w:ascii="ITC Avant Garde" w:eastAsia="Arial Unicode MS" w:hAnsi="ITC Avant Garde" w:cs="Arial"/>
          <w:bCs/>
          <w:u w:color="000000"/>
          <w:bdr w:val="nil"/>
          <w:lang w:val="es-ES_tradnl"/>
        </w:rPr>
        <w:t xml:space="preserve"> por cada Participante</w:t>
      </w:r>
      <w:r w:rsidR="00F83ACF" w:rsidRPr="002D6F3F">
        <w:rPr>
          <w:rFonts w:ascii="ITC Avant Garde" w:eastAsia="Arial Unicode MS" w:hAnsi="ITC Avant Garde" w:cs="Arial"/>
          <w:bCs/>
          <w:u w:color="000000"/>
          <w:bdr w:val="nil"/>
          <w:lang w:val="es-ES_tradnl"/>
        </w:rPr>
        <w:t xml:space="preserve">, </w:t>
      </w:r>
      <w:r w:rsidR="00F83ACF" w:rsidRPr="002D6F3F">
        <w:rPr>
          <w:rFonts w:ascii="ITC Avant Garde" w:eastAsiaTheme="minorHAnsi" w:hAnsi="ITC Avant Garde" w:cs="Arial"/>
        </w:rPr>
        <w:t>se determina como Participante Ganador a</w:t>
      </w:r>
      <w:r w:rsidR="000D3EEA" w:rsidRPr="002D6F3F">
        <w:rPr>
          <w:rFonts w:ascii="ITC Avant Garde" w:eastAsiaTheme="minorHAnsi" w:hAnsi="ITC Avant Garde" w:cs="Arial"/>
        </w:rPr>
        <w:t>l</w:t>
      </w:r>
      <w:r w:rsidR="00F83ACF" w:rsidRPr="002D6F3F">
        <w:rPr>
          <w:rFonts w:ascii="ITC Avant Garde" w:eastAsiaTheme="minorHAnsi" w:hAnsi="ITC Avant Garde" w:cs="Arial"/>
        </w:rPr>
        <w:t xml:space="preserve"> </w:t>
      </w:r>
      <w:r w:rsidR="000D3EEA" w:rsidRPr="002D6F3F">
        <w:rPr>
          <w:rFonts w:ascii="ITC Avant Garde" w:eastAsiaTheme="minorHAnsi" w:hAnsi="ITC Avant Garde" w:cs="Arial"/>
        </w:rPr>
        <w:t>Consorcio integrado por Leopoldo González Maya, Cristopher González Cruz y Leopoldo Neftalí González Cruz</w:t>
      </w:r>
      <w:r w:rsidR="00F83ACF" w:rsidRPr="002D6F3F">
        <w:rPr>
          <w:rFonts w:ascii="ITC Avant Garde" w:eastAsiaTheme="minorHAnsi" w:hAnsi="ITC Avant Garde" w:cs="Arial"/>
        </w:rPr>
        <w:t xml:space="preserve">, con número de Folio Único </w:t>
      </w:r>
      <w:r w:rsidR="000D3EEA" w:rsidRPr="002D6F3F">
        <w:rPr>
          <w:rFonts w:ascii="ITC Avant Garde" w:eastAsiaTheme="minorHAnsi" w:hAnsi="ITC Avant Garde" w:cs="Arial"/>
        </w:rPr>
        <w:t>GL-002042</w:t>
      </w:r>
      <w:r w:rsidR="00F83ACF" w:rsidRPr="002D6F3F">
        <w:rPr>
          <w:rFonts w:ascii="ITC Avant Garde" w:eastAsiaTheme="minorHAnsi" w:hAnsi="ITC Avant Garde" w:cs="Arial"/>
        </w:rPr>
        <w:t>, quien</w:t>
      </w:r>
      <w:r w:rsidR="00F83ACF" w:rsidRPr="002D6F3F">
        <w:rPr>
          <w:rFonts w:ascii="ITC Avant Garde" w:eastAsia="Arial Unicode MS" w:hAnsi="ITC Avant Garde" w:cs="Arial"/>
          <w:bCs/>
          <w:u w:color="000000"/>
          <w:bdr w:val="nil"/>
          <w:lang w:val="es-ES_tradnl"/>
        </w:rPr>
        <w:t xml:space="preserve"> obtuvo el resultado siguiente:</w:t>
      </w:r>
    </w:p>
    <w:p w14:paraId="1D356AE0" w14:textId="77777777" w:rsidR="00D81EB0" w:rsidRPr="002D6F3F" w:rsidRDefault="00D81EB0" w:rsidP="001A5779">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tbl>
      <w:tblPr>
        <w:tblStyle w:val="Tablaconcuadrcula"/>
        <w:tblW w:w="0" w:type="auto"/>
        <w:jc w:val="center"/>
        <w:tblLayout w:type="fixed"/>
        <w:tblLook w:val="04A0" w:firstRow="1" w:lastRow="0" w:firstColumn="1" w:lastColumn="0" w:noHBand="0" w:noVBand="1"/>
        <w:tblCaption w:val="Tabla"/>
        <w:tblDescription w:val="Resultado"/>
      </w:tblPr>
      <w:tblGrid>
        <w:gridCol w:w="657"/>
        <w:gridCol w:w="1334"/>
        <w:gridCol w:w="1204"/>
        <w:gridCol w:w="1535"/>
        <w:gridCol w:w="1234"/>
        <w:gridCol w:w="941"/>
        <w:gridCol w:w="1454"/>
        <w:gridCol w:w="1035"/>
      </w:tblGrid>
      <w:tr w:rsidR="002D6F3F" w:rsidRPr="002D6F3F" w14:paraId="210E0D5F" w14:textId="6B050F17" w:rsidTr="006755C2">
        <w:trPr>
          <w:tblHeader/>
          <w:jc w:val="center"/>
        </w:trPr>
        <w:tc>
          <w:tcPr>
            <w:tcW w:w="657" w:type="dxa"/>
            <w:shd w:val="clear" w:color="auto" w:fill="70AD47" w:themeFill="accent6"/>
            <w:vAlign w:val="center"/>
          </w:tcPr>
          <w:p w14:paraId="13420512" w14:textId="77777777" w:rsidR="007E1DE8" w:rsidRPr="002D6F3F" w:rsidRDefault="007E1DE8" w:rsidP="002D6F3F">
            <w:pPr>
              <w:contextualSpacing/>
              <w:jc w:val="center"/>
              <w:outlineLvl w:val="1"/>
              <w:rPr>
                <w:rFonts w:ascii="ITC Avant Garde" w:hAnsi="ITC Avant Garde" w:cs="Arial Unicode MS"/>
                <w:bCs/>
                <w:sz w:val="18"/>
                <w:u w:color="000000"/>
                <w:bdr w:val="nil"/>
                <w:lang w:val="es-ES_tradnl" w:eastAsia="es-MX"/>
              </w:rPr>
            </w:pPr>
            <w:r w:rsidRPr="002D6F3F">
              <w:rPr>
                <w:rFonts w:ascii="ITC Avant Garde" w:hAnsi="ITC Avant Garde" w:cs="Arial Unicode MS"/>
                <w:sz w:val="18"/>
                <w:u w:color="000000"/>
                <w:bdr w:val="nil"/>
                <w:lang w:val="es-ES_tradnl" w:eastAsia="es-MX"/>
              </w:rPr>
              <w:t>Lote</w:t>
            </w:r>
            <w:r w:rsidRPr="002D6F3F">
              <w:rPr>
                <w:rStyle w:val="Refdenotaalpie"/>
                <w:rFonts w:ascii="ITC Avant Garde" w:hAnsi="ITC Avant Garde" w:cs="Arial Unicode MS"/>
                <w:sz w:val="18"/>
                <w:u w:color="000000"/>
                <w:bdr w:val="nil"/>
                <w:lang w:val="es-ES_tradnl" w:eastAsia="es-MX"/>
              </w:rPr>
              <w:footnoteReference w:id="3"/>
            </w:r>
          </w:p>
        </w:tc>
        <w:tc>
          <w:tcPr>
            <w:tcW w:w="1334" w:type="dxa"/>
            <w:shd w:val="clear" w:color="auto" w:fill="70AD47" w:themeFill="accent6"/>
            <w:vAlign w:val="center"/>
          </w:tcPr>
          <w:p w14:paraId="66C945B3" w14:textId="77777777" w:rsidR="007E1DE8" w:rsidRPr="002D6F3F" w:rsidRDefault="007E1DE8" w:rsidP="002D6F3F">
            <w:pPr>
              <w:contextualSpacing/>
              <w:jc w:val="center"/>
              <w:outlineLvl w:val="1"/>
              <w:rPr>
                <w:rFonts w:ascii="ITC Avant Garde" w:hAnsi="ITC Avant Garde" w:cs="Arial Unicode MS"/>
                <w:bCs/>
                <w:sz w:val="18"/>
                <w:u w:color="000000"/>
                <w:bdr w:val="nil"/>
                <w:lang w:val="es-ES_tradnl" w:eastAsia="es-MX"/>
              </w:rPr>
            </w:pPr>
            <w:r w:rsidRPr="002D6F3F">
              <w:rPr>
                <w:rFonts w:ascii="ITC Avant Garde" w:hAnsi="ITC Avant Garde" w:cs="Arial Unicode MS"/>
                <w:sz w:val="18"/>
                <w:u w:color="000000"/>
                <w:bdr w:val="nil"/>
                <w:lang w:val="es-ES_tradnl" w:eastAsia="es-MX"/>
              </w:rPr>
              <w:t>Banda de Frecuencias</w:t>
            </w:r>
          </w:p>
        </w:tc>
        <w:tc>
          <w:tcPr>
            <w:tcW w:w="1204" w:type="dxa"/>
            <w:shd w:val="clear" w:color="auto" w:fill="70AD47" w:themeFill="accent6"/>
            <w:vAlign w:val="center"/>
          </w:tcPr>
          <w:p w14:paraId="5283CCC7" w14:textId="77777777" w:rsidR="007E1DE8" w:rsidRPr="002D6F3F" w:rsidRDefault="007E1DE8" w:rsidP="002D6F3F">
            <w:pPr>
              <w:contextualSpacing/>
              <w:jc w:val="center"/>
              <w:outlineLvl w:val="1"/>
              <w:rPr>
                <w:rFonts w:ascii="ITC Avant Garde" w:hAnsi="ITC Avant Garde" w:cs="Arial Unicode MS"/>
                <w:bCs/>
                <w:sz w:val="18"/>
                <w:u w:color="000000"/>
                <w:bdr w:val="nil"/>
                <w:lang w:val="es-ES_tradnl" w:eastAsia="es-MX"/>
              </w:rPr>
            </w:pPr>
            <w:r w:rsidRPr="002D6F3F">
              <w:rPr>
                <w:rFonts w:ascii="ITC Avant Garde" w:hAnsi="ITC Avant Garde" w:cs="Arial Unicode MS"/>
                <w:sz w:val="18"/>
                <w:u w:color="000000"/>
                <w:bdr w:val="nil"/>
                <w:lang w:val="es-ES_tradnl" w:eastAsia="es-MX"/>
              </w:rPr>
              <w:t>Frecuencia</w:t>
            </w:r>
          </w:p>
        </w:tc>
        <w:tc>
          <w:tcPr>
            <w:tcW w:w="1535" w:type="dxa"/>
            <w:shd w:val="clear" w:color="auto" w:fill="70AD47" w:themeFill="accent6"/>
            <w:vAlign w:val="center"/>
          </w:tcPr>
          <w:p w14:paraId="2553C596" w14:textId="77777777" w:rsidR="007E1DE8" w:rsidRPr="002D6F3F" w:rsidRDefault="007E1DE8" w:rsidP="002D6F3F">
            <w:pPr>
              <w:contextualSpacing/>
              <w:jc w:val="center"/>
              <w:outlineLvl w:val="1"/>
              <w:rPr>
                <w:rFonts w:ascii="ITC Avant Garde" w:hAnsi="ITC Avant Garde" w:cs="Arial Unicode MS"/>
                <w:bCs/>
                <w:sz w:val="18"/>
                <w:u w:color="000000"/>
                <w:bdr w:val="nil"/>
                <w:lang w:val="es-ES_tradnl" w:eastAsia="es-MX"/>
              </w:rPr>
            </w:pPr>
            <w:r w:rsidRPr="002D6F3F">
              <w:rPr>
                <w:rFonts w:ascii="ITC Avant Garde" w:hAnsi="ITC Avant Garde" w:cs="Arial Unicode MS"/>
                <w:sz w:val="18"/>
                <w:u w:color="000000"/>
                <w:bdr w:val="nil"/>
                <w:lang w:val="es-ES_tradnl" w:eastAsia="es-MX"/>
              </w:rPr>
              <w:t>Localidad(es) Principal(es) a Servir</w:t>
            </w:r>
          </w:p>
        </w:tc>
        <w:tc>
          <w:tcPr>
            <w:tcW w:w="1234" w:type="dxa"/>
            <w:shd w:val="clear" w:color="auto" w:fill="70AD47" w:themeFill="accent6"/>
            <w:vAlign w:val="center"/>
          </w:tcPr>
          <w:p w14:paraId="19CFD66C" w14:textId="77777777" w:rsidR="007E1DE8" w:rsidRPr="002D6F3F" w:rsidRDefault="007E1DE8" w:rsidP="002D6F3F">
            <w:pPr>
              <w:contextualSpacing/>
              <w:jc w:val="center"/>
              <w:outlineLvl w:val="1"/>
              <w:rPr>
                <w:rFonts w:ascii="ITC Avant Garde" w:hAnsi="ITC Avant Garde" w:cs="Arial Unicode MS"/>
                <w:bCs/>
                <w:sz w:val="18"/>
                <w:u w:color="000000"/>
                <w:bdr w:val="nil"/>
                <w:lang w:val="es-ES_tradnl" w:eastAsia="es-MX"/>
              </w:rPr>
            </w:pPr>
            <w:r w:rsidRPr="002D6F3F">
              <w:rPr>
                <w:rFonts w:ascii="ITC Avant Garde" w:hAnsi="ITC Avant Garde" w:cs="Arial Unicode MS"/>
                <w:sz w:val="18"/>
                <w:u w:color="000000"/>
                <w:bdr w:val="nil"/>
                <w:lang w:val="es-ES_tradnl" w:eastAsia="es-MX"/>
              </w:rPr>
              <w:t>Estado</w:t>
            </w:r>
          </w:p>
        </w:tc>
        <w:tc>
          <w:tcPr>
            <w:tcW w:w="941" w:type="dxa"/>
            <w:shd w:val="clear" w:color="auto" w:fill="70AD47" w:themeFill="accent6"/>
            <w:vAlign w:val="center"/>
          </w:tcPr>
          <w:p w14:paraId="5561B949" w14:textId="77777777" w:rsidR="007E1DE8" w:rsidRPr="002D6F3F" w:rsidRDefault="007E1DE8" w:rsidP="002D6F3F">
            <w:pPr>
              <w:contextualSpacing/>
              <w:jc w:val="center"/>
              <w:outlineLvl w:val="1"/>
              <w:rPr>
                <w:rFonts w:ascii="ITC Avant Garde" w:hAnsi="ITC Avant Garde" w:cs="Arial Unicode MS"/>
                <w:bCs/>
                <w:sz w:val="18"/>
                <w:u w:color="000000"/>
                <w:bdr w:val="nil"/>
                <w:lang w:val="es-ES_tradnl" w:eastAsia="es-MX"/>
              </w:rPr>
            </w:pPr>
            <w:r w:rsidRPr="002D6F3F">
              <w:rPr>
                <w:rFonts w:ascii="ITC Avant Garde" w:hAnsi="ITC Avant Garde" w:cs="Arial Unicode MS"/>
                <w:sz w:val="18"/>
                <w:u w:color="000000"/>
                <w:bdr w:val="nil"/>
                <w:lang w:val="es-ES_tradnl" w:eastAsia="es-MX"/>
              </w:rPr>
              <w:t>Puntaje</w:t>
            </w:r>
            <w:r w:rsidRPr="002D6F3F">
              <w:rPr>
                <w:rStyle w:val="Refdenotaalpie"/>
                <w:rFonts w:ascii="ITC Avant Garde" w:hAnsi="ITC Avant Garde" w:cs="Arial Unicode MS"/>
                <w:sz w:val="18"/>
                <w:u w:color="000000"/>
                <w:bdr w:val="nil"/>
                <w:lang w:val="es-ES_tradnl" w:eastAsia="es-MX"/>
              </w:rPr>
              <w:footnoteReference w:id="4"/>
            </w:r>
          </w:p>
        </w:tc>
        <w:tc>
          <w:tcPr>
            <w:tcW w:w="1454" w:type="dxa"/>
            <w:shd w:val="clear" w:color="auto" w:fill="70AD47" w:themeFill="accent6"/>
            <w:vAlign w:val="center"/>
          </w:tcPr>
          <w:p w14:paraId="487F52AC" w14:textId="552A7408" w:rsidR="007E1DE8" w:rsidRPr="002D6F3F" w:rsidRDefault="007E1DE8" w:rsidP="002D6F3F">
            <w:pPr>
              <w:contextualSpacing/>
              <w:jc w:val="center"/>
              <w:outlineLvl w:val="1"/>
              <w:rPr>
                <w:rFonts w:ascii="ITC Avant Garde" w:hAnsi="ITC Avant Garde" w:cs="Arial Unicode MS"/>
                <w:sz w:val="18"/>
                <w:u w:color="000000"/>
                <w:bdr w:val="nil"/>
                <w:lang w:val="es-ES_tradnl" w:eastAsia="es-MX"/>
              </w:rPr>
            </w:pPr>
            <w:r w:rsidRPr="002D6F3F">
              <w:rPr>
                <w:rFonts w:ascii="ITC Avant Garde" w:hAnsi="ITC Avant Garde" w:cs="Arial Unicode MS"/>
                <w:sz w:val="16"/>
                <w:szCs w:val="16"/>
                <w:lang w:val="es-ES_tradnl" w:eastAsia="es-MX"/>
              </w:rPr>
              <w:t>Nuevo Competidor</w:t>
            </w:r>
            <w:r w:rsidRPr="002D6F3F">
              <w:rPr>
                <w:rStyle w:val="Refdenotaalpie"/>
                <w:rFonts w:ascii="ITC Avant Garde" w:hAnsi="ITC Avant Garde" w:cs="Arial Unicode MS"/>
                <w:sz w:val="18"/>
                <w:lang w:val="es-ES_tradnl" w:eastAsia="es-MX"/>
              </w:rPr>
              <w:footnoteReference w:id="5"/>
            </w:r>
          </w:p>
        </w:tc>
        <w:tc>
          <w:tcPr>
            <w:tcW w:w="1035" w:type="dxa"/>
            <w:shd w:val="clear" w:color="auto" w:fill="70AD47" w:themeFill="accent6"/>
            <w:vAlign w:val="center"/>
          </w:tcPr>
          <w:p w14:paraId="3C20DAEB" w14:textId="32FACC31" w:rsidR="007E1DE8" w:rsidRPr="002D6F3F" w:rsidRDefault="007E1DE8" w:rsidP="002D6F3F">
            <w:pPr>
              <w:contextualSpacing/>
              <w:jc w:val="center"/>
              <w:outlineLvl w:val="1"/>
              <w:rPr>
                <w:rFonts w:ascii="ITC Avant Garde" w:hAnsi="ITC Avant Garde" w:cs="Arial Unicode MS"/>
                <w:sz w:val="18"/>
                <w:u w:color="000000"/>
                <w:bdr w:val="nil"/>
                <w:lang w:val="es-ES_tradnl" w:eastAsia="es-MX"/>
              </w:rPr>
            </w:pPr>
            <w:r w:rsidRPr="002D6F3F">
              <w:rPr>
                <w:rFonts w:ascii="ITC Avant Garde" w:hAnsi="ITC Avant Garde" w:cs="Arial Unicode MS"/>
                <w:sz w:val="18"/>
                <w:u w:color="000000"/>
                <w:bdr w:val="nil"/>
                <w:lang w:val="es-ES_tradnl" w:eastAsia="es-MX"/>
              </w:rPr>
              <w:t>IBOC</w:t>
            </w:r>
            <w:r w:rsidRPr="002D6F3F">
              <w:rPr>
                <w:rStyle w:val="Refdenotaalpie"/>
                <w:rFonts w:ascii="ITC Avant Garde" w:hAnsi="ITC Avant Garde" w:cs="Arial Unicode MS"/>
                <w:sz w:val="18"/>
                <w:u w:color="000000"/>
                <w:bdr w:val="nil"/>
                <w:lang w:val="es-ES_tradnl" w:eastAsia="es-MX"/>
              </w:rPr>
              <w:footnoteReference w:id="6"/>
            </w:r>
          </w:p>
        </w:tc>
      </w:tr>
      <w:tr w:rsidR="002D6F3F" w:rsidRPr="002D6F3F" w14:paraId="23A324C7" w14:textId="38F85C7E" w:rsidTr="006755C2">
        <w:trPr>
          <w:trHeight w:val="443"/>
          <w:jc w:val="center"/>
        </w:trPr>
        <w:tc>
          <w:tcPr>
            <w:tcW w:w="657" w:type="dxa"/>
            <w:shd w:val="clear" w:color="auto" w:fill="E2EFD9" w:themeFill="accent6" w:themeFillTint="33"/>
            <w:vAlign w:val="center"/>
          </w:tcPr>
          <w:p w14:paraId="3323C5E9" w14:textId="77777777" w:rsidR="005A1D13" w:rsidRPr="002D6F3F" w:rsidRDefault="005A1D13" w:rsidP="002D6F3F">
            <w:pPr>
              <w:contextualSpacing/>
              <w:jc w:val="center"/>
              <w:outlineLvl w:val="1"/>
              <w:rPr>
                <w:rFonts w:ascii="ITC Avant Garde" w:hAnsi="ITC Avant Garde" w:cs="Arial Unicode MS"/>
                <w:b/>
                <w:bCs/>
                <w:sz w:val="18"/>
                <w:u w:color="000000"/>
                <w:bdr w:val="nil"/>
                <w:lang w:val="es-ES_tradnl" w:eastAsia="es-MX"/>
              </w:rPr>
            </w:pPr>
            <w:r w:rsidRPr="002D6F3F">
              <w:rPr>
                <w:rFonts w:ascii="ITC Avant Garde" w:hAnsi="ITC Avant Garde" w:cs="Arial Unicode MS"/>
                <w:noProof/>
                <w:sz w:val="18"/>
                <w:u w:color="000000"/>
                <w:bdr w:val="nil"/>
                <w:lang w:val="es-ES_tradnl" w:eastAsia="es-MX"/>
              </w:rPr>
              <w:t>81</w:t>
            </w:r>
          </w:p>
        </w:tc>
        <w:tc>
          <w:tcPr>
            <w:tcW w:w="1334" w:type="dxa"/>
            <w:shd w:val="clear" w:color="auto" w:fill="E2EFD9" w:themeFill="accent6" w:themeFillTint="33"/>
            <w:vAlign w:val="center"/>
          </w:tcPr>
          <w:p w14:paraId="7E6C51A9" w14:textId="77777777" w:rsidR="005A1D13" w:rsidRPr="002D6F3F" w:rsidRDefault="005A1D13" w:rsidP="002D6F3F">
            <w:pPr>
              <w:contextualSpacing/>
              <w:jc w:val="center"/>
              <w:outlineLvl w:val="1"/>
              <w:rPr>
                <w:rFonts w:ascii="ITC Avant Garde" w:hAnsi="ITC Avant Garde" w:cs="Arial Unicode MS"/>
                <w:bCs/>
                <w:sz w:val="18"/>
                <w:highlight w:val="yellow"/>
                <w:u w:color="000000"/>
                <w:bdr w:val="nil"/>
                <w:lang w:val="es-ES_tradnl" w:eastAsia="es-MX"/>
              </w:rPr>
            </w:pPr>
            <w:r w:rsidRPr="002D6F3F">
              <w:rPr>
                <w:rFonts w:ascii="ITC Avant Garde" w:hAnsi="ITC Avant Garde" w:cs="Arial Unicode MS"/>
                <w:bCs/>
                <w:noProof/>
                <w:sz w:val="18"/>
                <w:u w:color="000000"/>
                <w:bdr w:val="nil"/>
                <w:lang w:val="es-ES_tradnl" w:eastAsia="es-MX"/>
              </w:rPr>
              <w:t>FM</w:t>
            </w:r>
          </w:p>
        </w:tc>
        <w:tc>
          <w:tcPr>
            <w:tcW w:w="1204" w:type="dxa"/>
            <w:shd w:val="clear" w:color="auto" w:fill="E2EFD9" w:themeFill="accent6" w:themeFillTint="33"/>
            <w:vAlign w:val="center"/>
          </w:tcPr>
          <w:p w14:paraId="1C85AE51" w14:textId="3AF9392E" w:rsidR="005A1D13" w:rsidRPr="002D6F3F" w:rsidRDefault="005A1D13" w:rsidP="002D6F3F">
            <w:pPr>
              <w:contextualSpacing/>
              <w:jc w:val="center"/>
              <w:outlineLvl w:val="1"/>
              <w:rPr>
                <w:rFonts w:ascii="ITC Avant Garde" w:hAnsi="ITC Avant Garde" w:cs="Arial Unicode MS"/>
                <w:bCs/>
                <w:sz w:val="18"/>
                <w:highlight w:val="yellow"/>
                <w:u w:color="000000"/>
                <w:bdr w:val="nil"/>
                <w:lang w:val="es-ES_tradnl" w:eastAsia="es-MX"/>
              </w:rPr>
            </w:pPr>
            <w:r w:rsidRPr="002D6F3F">
              <w:rPr>
                <w:rFonts w:ascii="ITC Avant Garde" w:hAnsi="ITC Avant Garde" w:cs="Arial Unicode MS"/>
                <w:bCs/>
                <w:noProof/>
                <w:sz w:val="18"/>
                <w:u w:color="000000"/>
                <w:bdr w:val="nil"/>
                <w:lang w:val="es-ES_tradnl" w:eastAsia="es-MX"/>
              </w:rPr>
              <w:t>88.3 MHz</w:t>
            </w:r>
          </w:p>
        </w:tc>
        <w:tc>
          <w:tcPr>
            <w:tcW w:w="1535" w:type="dxa"/>
            <w:shd w:val="clear" w:color="auto" w:fill="E2EFD9" w:themeFill="accent6" w:themeFillTint="33"/>
            <w:vAlign w:val="center"/>
          </w:tcPr>
          <w:p w14:paraId="4F7D1EE2" w14:textId="77777777" w:rsidR="005A1D13" w:rsidRPr="002D6F3F" w:rsidRDefault="005A1D13" w:rsidP="002D6F3F">
            <w:pPr>
              <w:contextualSpacing/>
              <w:jc w:val="center"/>
              <w:outlineLvl w:val="1"/>
              <w:rPr>
                <w:rFonts w:ascii="ITC Avant Garde" w:hAnsi="ITC Avant Garde" w:cs="Arial Unicode MS"/>
                <w:bCs/>
                <w:sz w:val="18"/>
                <w:u w:color="000000"/>
                <w:bdr w:val="nil"/>
                <w:lang w:val="es-ES_tradnl" w:eastAsia="es-MX"/>
              </w:rPr>
            </w:pPr>
            <w:r w:rsidRPr="002D6F3F">
              <w:rPr>
                <w:rFonts w:ascii="ITC Avant Garde" w:hAnsi="ITC Avant Garde" w:cs="Arial Unicode MS"/>
                <w:bCs/>
                <w:noProof/>
                <w:sz w:val="18"/>
                <w:u w:color="000000"/>
                <w:bdr w:val="nil"/>
                <w:lang w:val="es-ES_tradnl" w:eastAsia="es-MX"/>
              </w:rPr>
              <w:t>Maravatío</w:t>
            </w:r>
          </w:p>
        </w:tc>
        <w:tc>
          <w:tcPr>
            <w:tcW w:w="1234" w:type="dxa"/>
            <w:shd w:val="clear" w:color="auto" w:fill="E2EFD9" w:themeFill="accent6" w:themeFillTint="33"/>
            <w:vAlign w:val="center"/>
          </w:tcPr>
          <w:p w14:paraId="0E16AC8E" w14:textId="77777777" w:rsidR="005A1D13" w:rsidRPr="002D6F3F" w:rsidRDefault="005A1D13" w:rsidP="002D6F3F">
            <w:pPr>
              <w:contextualSpacing/>
              <w:jc w:val="center"/>
              <w:outlineLvl w:val="1"/>
              <w:rPr>
                <w:rFonts w:ascii="ITC Avant Garde" w:hAnsi="ITC Avant Garde" w:cs="Arial Unicode MS"/>
                <w:bCs/>
                <w:sz w:val="18"/>
                <w:u w:color="000000"/>
                <w:bdr w:val="nil"/>
                <w:lang w:val="es-ES_tradnl" w:eastAsia="es-MX"/>
              </w:rPr>
            </w:pPr>
            <w:r w:rsidRPr="002D6F3F">
              <w:rPr>
                <w:rFonts w:ascii="ITC Avant Garde" w:hAnsi="ITC Avant Garde" w:cs="Arial Unicode MS"/>
                <w:bCs/>
                <w:noProof/>
                <w:sz w:val="18"/>
                <w:u w:color="000000"/>
                <w:bdr w:val="nil"/>
                <w:lang w:val="es-ES_tradnl" w:eastAsia="es-MX"/>
              </w:rPr>
              <w:t>Michoacán</w:t>
            </w:r>
          </w:p>
        </w:tc>
        <w:tc>
          <w:tcPr>
            <w:tcW w:w="941" w:type="dxa"/>
            <w:shd w:val="clear" w:color="auto" w:fill="E2EFD9" w:themeFill="accent6" w:themeFillTint="33"/>
            <w:vAlign w:val="center"/>
          </w:tcPr>
          <w:p w14:paraId="16E67F02" w14:textId="77777777" w:rsidR="005A1D13" w:rsidRPr="002D6F3F" w:rsidRDefault="005A1D13" w:rsidP="002D6F3F">
            <w:pPr>
              <w:contextualSpacing/>
              <w:jc w:val="center"/>
              <w:outlineLvl w:val="1"/>
              <w:rPr>
                <w:rFonts w:ascii="ITC Avant Garde" w:hAnsi="ITC Avant Garde" w:cs="Arial Unicode MS"/>
                <w:bCs/>
                <w:sz w:val="18"/>
                <w:u w:color="000000"/>
                <w:bdr w:val="nil"/>
                <w:lang w:val="es-ES_tradnl" w:eastAsia="es-MX"/>
              </w:rPr>
            </w:pPr>
            <w:r w:rsidRPr="002D6F3F">
              <w:rPr>
                <w:rFonts w:ascii="ITC Avant Garde" w:hAnsi="ITC Avant Garde" w:cs="Arial Unicode MS"/>
                <w:bCs/>
                <w:noProof/>
                <w:sz w:val="18"/>
                <w:u w:color="000000"/>
                <w:bdr w:val="nil"/>
                <w:lang w:val="es-ES_tradnl" w:eastAsia="es-MX"/>
              </w:rPr>
              <w:t>1,242</w:t>
            </w:r>
          </w:p>
        </w:tc>
        <w:tc>
          <w:tcPr>
            <w:tcW w:w="1454" w:type="dxa"/>
            <w:shd w:val="clear" w:color="auto" w:fill="E2EFD9" w:themeFill="accent6" w:themeFillTint="33"/>
            <w:vAlign w:val="center"/>
          </w:tcPr>
          <w:p w14:paraId="28F2D56F" w14:textId="032A5970" w:rsidR="005A1D13" w:rsidRPr="002D6F3F" w:rsidRDefault="005A1D13" w:rsidP="002D6F3F">
            <w:pPr>
              <w:contextualSpacing/>
              <w:jc w:val="center"/>
              <w:outlineLvl w:val="1"/>
              <w:rPr>
                <w:rFonts w:ascii="ITC Avant Garde" w:hAnsi="ITC Avant Garde" w:cs="Arial Unicode MS"/>
                <w:bCs/>
                <w:noProof/>
                <w:sz w:val="18"/>
                <w:u w:color="000000"/>
                <w:bdr w:val="nil"/>
                <w:lang w:val="es-ES_tradnl" w:eastAsia="es-MX"/>
              </w:rPr>
            </w:pPr>
            <w:r w:rsidRPr="002D6F3F">
              <w:rPr>
                <w:rFonts w:ascii="ITC Avant Garde" w:hAnsi="ITC Avant Garde" w:cs="Arial Unicode MS"/>
                <w:sz w:val="18"/>
                <w:u w:color="000000"/>
                <w:bdr w:val="nil"/>
                <w:lang w:val="es-ES_tradnl" w:eastAsia="es-MX"/>
              </w:rPr>
              <w:t>Si</w:t>
            </w:r>
          </w:p>
        </w:tc>
        <w:tc>
          <w:tcPr>
            <w:tcW w:w="1035" w:type="dxa"/>
            <w:shd w:val="clear" w:color="auto" w:fill="E2EFD9" w:themeFill="accent6" w:themeFillTint="33"/>
            <w:vAlign w:val="center"/>
          </w:tcPr>
          <w:p w14:paraId="2B011B40" w14:textId="72A2B8A8" w:rsidR="005A1D13" w:rsidRPr="002D6F3F" w:rsidRDefault="005A1D13" w:rsidP="002D6F3F">
            <w:pPr>
              <w:contextualSpacing/>
              <w:jc w:val="center"/>
              <w:outlineLvl w:val="1"/>
              <w:rPr>
                <w:rFonts w:ascii="ITC Avant Garde" w:hAnsi="ITC Avant Garde" w:cs="Arial Unicode MS"/>
                <w:bCs/>
                <w:noProof/>
                <w:sz w:val="18"/>
                <w:u w:color="000000"/>
                <w:bdr w:val="nil"/>
                <w:lang w:val="es-ES_tradnl" w:eastAsia="es-MX"/>
              </w:rPr>
            </w:pPr>
            <w:r w:rsidRPr="002D6F3F">
              <w:rPr>
                <w:rFonts w:ascii="ITC Avant Garde" w:hAnsi="ITC Avant Garde" w:cs="Arial Unicode MS"/>
                <w:bCs/>
                <w:sz w:val="18"/>
                <w:u w:color="000000"/>
                <w:bdr w:val="nil"/>
                <w:lang w:val="es-ES_tradnl" w:eastAsia="es-MX"/>
              </w:rPr>
              <w:t>No</w:t>
            </w:r>
          </w:p>
        </w:tc>
      </w:tr>
    </w:tbl>
    <w:p w14:paraId="7014E947" w14:textId="77777777" w:rsidR="002A4E9C" w:rsidRPr="002D6F3F" w:rsidRDefault="002A4E9C" w:rsidP="001A5779">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3F7ADA1B" w14:textId="672AFA3F" w:rsidR="002D6F3F" w:rsidRDefault="00250F67" w:rsidP="001A5779">
      <w:pPr>
        <w:pBdr>
          <w:top w:val="nil"/>
          <w:left w:val="nil"/>
          <w:bottom w:val="nil"/>
          <w:right w:val="nil"/>
          <w:between w:val="nil"/>
          <w:bar w:val="nil"/>
        </w:pBdr>
        <w:spacing w:line="240" w:lineRule="auto"/>
        <w:contextualSpacing/>
        <w:jc w:val="both"/>
        <w:rPr>
          <w:rFonts w:ascii="ITC Avant Garde" w:hAnsi="ITC Avant Garde" w:cs="Arial"/>
        </w:rPr>
      </w:pPr>
      <w:r w:rsidRPr="001A5779">
        <w:rPr>
          <w:rFonts w:ascii="ITC Avant Garde" w:hAnsi="ITC Avant Garde" w:cs="Arial"/>
        </w:rPr>
        <w:t xml:space="preserve">En términos del numeral </w:t>
      </w:r>
      <w:r w:rsidR="005E47C3" w:rsidRPr="001A5779">
        <w:rPr>
          <w:rFonts w:ascii="ITC Avant Garde" w:hAnsi="ITC Avant Garde" w:cs="Arial"/>
        </w:rPr>
        <w:t>5.4.1 de las Bases</w:t>
      </w:r>
      <w:r w:rsidRPr="001A5779">
        <w:rPr>
          <w:rFonts w:ascii="ITC Avant Garde" w:hAnsi="ITC Avant Garde" w:cs="Arial"/>
        </w:rPr>
        <w:t>, e</w:t>
      </w:r>
      <w:r w:rsidR="00DA353F" w:rsidRPr="001A5779">
        <w:rPr>
          <w:rFonts w:ascii="ITC Avant Garde" w:hAnsi="ITC Avant Garde" w:cs="Arial"/>
        </w:rPr>
        <w:t>l Instituto</w:t>
      </w:r>
      <w:r w:rsidR="00BB0E54" w:rsidRPr="001A5779">
        <w:rPr>
          <w:rFonts w:ascii="ITC Avant Garde" w:hAnsi="ITC Avant Garde" w:cs="Arial"/>
        </w:rPr>
        <w:t xml:space="preserve"> notificará </w:t>
      </w:r>
      <w:r w:rsidR="00DA353F" w:rsidRPr="001A5779">
        <w:rPr>
          <w:rFonts w:ascii="ITC Avant Garde" w:hAnsi="ITC Avant Garde" w:cs="Arial"/>
        </w:rPr>
        <w:t xml:space="preserve">electrónicamente </w:t>
      </w:r>
      <w:r w:rsidR="00786946" w:rsidRPr="001A5779">
        <w:rPr>
          <w:rFonts w:ascii="ITC Avant Garde" w:hAnsi="ITC Avant Garde" w:cs="Arial"/>
        </w:rPr>
        <w:t xml:space="preserve">al Participante Ganador, </w:t>
      </w:r>
      <w:r w:rsidR="00DA353F" w:rsidRPr="001A5779">
        <w:rPr>
          <w:rFonts w:ascii="ITC Avant Garde" w:hAnsi="ITC Avant Garde" w:cs="Arial"/>
        </w:rPr>
        <w:t xml:space="preserve">a través del SERPO, </w:t>
      </w:r>
      <w:r w:rsidR="00B60E3E" w:rsidRPr="001A5779">
        <w:rPr>
          <w:rFonts w:ascii="ITC Avant Garde" w:hAnsi="ITC Avant Garde" w:cs="Arial"/>
        </w:rPr>
        <w:t>la presente Acta</w:t>
      </w:r>
      <w:r w:rsidRPr="001A5779">
        <w:rPr>
          <w:rFonts w:ascii="ITC Avant Garde" w:hAnsi="ITC Avant Garde" w:cs="Arial"/>
        </w:rPr>
        <w:t xml:space="preserve"> de Fallo</w:t>
      </w:r>
      <w:r w:rsidR="0081746C" w:rsidRPr="001A5779">
        <w:rPr>
          <w:rFonts w:ascii="ITC Avant Garde" w:hAnsi="ITC Avant Garde" w:cs="Arial"/>
        </w:rPr>
        <w:t xml:space="preserve">, </w:t>
      </w:r>
      <w:r w:rsidR="003276FF" w:rsidRPr="001A5779">
        <w:rPr>
          <w:rFonts w:ascii="ITC Avant Garde" w:hAnsi="ITC Avant Garde" w:cs="Arial"/>
        </w:rPr>
        <w:t>de acuerdo con el plazo previsto en el Calendario de Actividades de las Bases de Licitación</w:t>
      </w:r>
      <w:r w:rsidR="001A5779">
        <w:rPr>
          <w:rFonts w:ascii="ITC Avant Garde" w:hAnsi="ITC Avant Garde" w:cs="Arial"/>
        </w:rPr>
        <w:t>.</w:t>
      </w:r>
    </w:p>
    <w:p w14:paraId="71EB33B1" w14:textId="77777777" w:rsidR="001A5779" w:rsidRPr="001A5779" w:rsidRDefault="001A5779" w:rsidP="001A5779">
      <w:pPr>
        <w:pBdr>
          <w:top w:val="nil"/>
          <w:left w:val="nil"/>
          <w:bottom w:val="nil"/>
          <w:right w:val="nil"/>
          <w:between w:val="nil"/>
          <w:bar w:val="nil"/>
        </w:pBdr>
        <w:spacing w:line="240" w:lineRule="auto"/>
        <w:contextualSpacing/>
        <w:jc w:val="both"/>
        <w:rPr>
          <w:rFonts w:ascii="ITC Avant Garde" w:hAnsi="ITC Avant Garde" w:cs="Arial"/>
        </w:rPr>
      </w:pPr>
    </w:p>
    <w:p w14:paraId="2174BB13" w14:textId="36D496F1" w:rsidR="002D6F3F" w:rsidRDefault="002A0BCF" w:rsidP="001A5779">
      <w:pPr>
        <w:pBdr>
          <w:top w:val="nil"/>
          <w:left w:val="nil"/>
          <w:bottom w:val="nil"/>
          <w:right w:val="nil"/>
          <w:between w:val="nil"/>
          <w:bar w:val="nil"/>
        </w:pBdr>
        <w:spacing w:line="240" w:lineRule="auto"/>
        <w:contextualSpacing/>
        <w:jc w:val="both"/>
        <w:rPr>
          <w:rFonts w:ascii="ITC Avant Garde" w:hAnsi="ITC Avant Garde" w:cs="Arial"/>
        </w:rPr>
      </w:pPr>
      <w:r w:rsidRPr="001A5779">
        <w:rPr>
          <w:rFonts w:ascii="ITC Avant Garde" w:hAnsi="ITC Avant Garde" w:cs="Arial"/>
        </w:rPr>
        <w:t>Ahora bien, p</w:t>
      </w:r>
      <w:r w:rsidR="0081746C" w:rsidRPr="001A5779">
        <w:rPr>
          <w:rFonts w:ascii="ITC Avant Garde" w:hAnsi="ITC Avant Garde" w:cs="Arial"/>
        </w:rPr>
        <w:t>ara la entrega d</w:t>
      </w:r>
      <w:r w:rsidR="003848B5" w:rsidRPr="001A5779">
        <w:rPr>
          <w:rFonts w:ascii="ITC Avant Garde" w:hAnsi="ITC Avant Garde" w:cs="Arial"/>
        </w:rPr>
        <w:t>e</w:t>
      </w:r>
      <w:r w:rsidR="00F83ACF" w:rsidRPr="001A5779">
        <w:rPr>
          <w:rFonts w:ascii="ITC Avant Garde" w:hAnsi="ITC Avant Garde" w:cs="Arial"/>
        </w:rPr>
        <w:t>l(os)</w:t>
      </w:r>
      <w:r w:rsidR="003848B5" w:rsidRPr="001A5779">
        <w:rPr>
          <w:rFonts w:ascii="ITC Avant Garde" w:hAnsi="ITC Avant Garde" w:cs="Arial"/>
        </w:rPr>
        <w:t xml:space="preserve"> título</w:t>
      </w:r>
      <w:r w:rsidR="00F83ACF" w:rsidRPr="001A5779">
        <w:rPr>
          <w:rFonts w:ascii="ITC Avant Garde" w:hAnsi="ITC Avant Garde" w:cs="Arial"/>
        </w:rPr>
        <w:t>(</w:t>
      </w:r>
      <w:r w:rsidR="003848B5" w:rsidRPr="001A5779">
        <w:rPr>
          <w:rFonts w:ascii="ITC Avant Garde" w:hAnsi="ITC Avant Garde" w:cs="Arial"/>
        </w:rPr>
        <w:t>s</w:t>
      </w:r>
      <w:r w:rsidR="00F83ACF" w:rsidRPr="001A5779">
        <w:rPr>
          <w:rFonts w:ascii="ITC Avant Garde" w:hAnsi="ITC Avant Garde" w:cs="Arial"/>
        </w:rPr>
        <w:t>)</w:t>
      </w:r>
      <w:r w:rsidR="003848B5" w:rsidRPr="001A5779">
        <w:rPr>
          <w:rFonts w:ascii="ITC Avant Garde" w:hAnsi="ITC Avant Garde" w:cs="Arial"/>
        </w:rPr>
        <w:t xml:space="preserve"> de concesión</w:t>
      </w:r>
      <w:r w:rsidR="0081746C" w:rsidRPr="001A5779">
        <w:rPr>
          <w:rFonts w:ascii="ITC Avant Garde" w:hAnsi="ITC Avant Garde" w:cs="Arial"/>
        </w:rPr>
        <w:t>, en términos de lo previsto en el numeral 5.4.</w:t>
      </w:r>
      <w:r w:rsidR="00901736" w:rsidRPr="001A5779">
        <w:rPr>
          <w:rFonts w:ascii="ITC Avant Garde" w:hAnsi="ITC Avant Garde" w:cs="Arial"/>
        </w:rPr>
        <w:t>4</w:t>
      </w:r>
      <w:r w:rsidRPr="001A5779">
        <w:rPr>
          <w:rFonts w:ascii="ITC Avant Garde" w:hAnsi="ITC Avant Garde" w:cs="Arial"/>
        </w:rPr>
        <w:t>, en relación con el numeral</w:t>
      </w:r>
      <w:r w:rsidR="00925721" w:rsidRPr="001A5779">
        <w:rPr>
          <w:rFonts w:ascii="ITC Avant Garde" w:hAnsi="ITC Avant Garde" w:cs="Arial"/>
        </w:rPr>
        <w:t xml:space="preserve"> 5.4.1</w:t>
      </w:r>
      <w:r w:rsidR="00901736" w:rsidRPr="001A5779">
        <w:rPr>
          <w:rFonts w:ascii="ITC Avant Garde" w:hAnsi="ITC Avant Garde" w:cs="Arial"/>
        </w:rPr>
        <w:t xml:space="preserve"> </w:t>
      </w:r>
      <w:r w:rsidR="0081746C" w:rsidRPr="001A5779">
        <w:rPr>
          <w:rFonts w:ascii="ITC Avant Garde" w:hAnsi="ITC Avant Garde" w:cs="Arial"/>
        </w:rPr>
        <w:t>de las Bases</w:t>
      </w:r>
      <w:r w:rsidRPr="001A5779">
        <w:rPr>
          <w:rFonts w:ascii="ITC Avant Garde" w:hAnsi="ITC Avant Garde" w:cs="Arial"/>
        </w:rPr>
        <w:t>,</w:t>
      </w:r>
      <w:r w:rsidR="0081746C" w:rsidRPr="001A5779">
        <w:rPr>
          <w:rFonts w:ascii="ITC Avant Garde" w:hAnsi="ITC Avant Garde" w:cs="Arial"/>
        </w:rPr>
        <w:t xml:space="preserve"> </w:t>
      </w:r>
      <w:r w:rsidRPr="001A5779">
        <w:rPr>
          <w:rFonts w:ascii="ITC Avant Garde" w:hAnsi="ITC Avant Garde" w:cs="Arial"/>
        </w:rPr>
        <w:t>el Participante Ganador</w:t>
      </w:r>
      <w:r w:rsidR="0095117D" w:rsidRPr="001A5779">
        <w:rPr>
          <w:rFonts w:ascii="ITC Avant Garde" w:hAnsi="ITC Avant Garde" w:cs="Arial"/>
        </w:rPr>
        <w:t xml:space="preserve"> </w:t>
      </w:r>
      <w:r w:rsidR="0081746C" w:rsidRPr="001A5779">
        <w:rPr>
          <w:rFonts w:ascii="ITC Avant Garde" w:hAnsi="ITC Avant Garde" w:cs="Arial"/>
        </w:rPr>
        <w:t>deberá satisfa</w:t>
      </w:r>
      <w:r w:rsidR="001A5779">
        <w:rPr>
          <w:rFonts w:ascii="ITC Avant Garde" w:hAnsi="ITC Avant Garde" w:cs="Arial"/>
        </w:rPr>
        <w:t>cer las condiciones siguientes:</w:t>
      </w:r>
    </w:p>
    <w:p w14:paraId="032ED601" w14:textId="77777777" w:rsidR="001A5779" w:rsidRPr="001A5779" w:rsidRDefault="001A5779" w:rsidP="001A5779">
      <w:pPr>
        <w:pBdr>
          <w:top w:val="nil"/>
          <w:left w:val="nil"/>
          <w:bottom w:val="nil"/>
          <w:right w:val="nil"/>
          <w:between w:val="nil"/>
          <w:bar w:val="nil"/>
        </w:pBdr>
        <w:spacing w:line="240" w:lineRule="auto"/>
        <w:contextualSpacing/>
        <w:jc w:val="both"/>
        <w:rPr>
          <w:rFonts w:ascii="ITC Avant Garde" w:hAnsi="ITC Avant Garde" w:cs="Arial"/>
        </w:rPr>
      </w:pPr>
    </w:p>
    <w:p w14:paraId="3A413BBE" w14:textId="77777777" w:rsidR="002D6F3F" w:rsidRPr="002D6F3F" w:rsidRDefault="003848B5" w:rsidP="002D6F3F">
      <w:pPr>
        <w:tabs>
          <w:tab w:val="left" w:pos="142"/>
        </w:tabs>
        <w:spacing w:line="240" w:lineRule="auto"/>
        <w:ind w:left="1134"/>
        <w:jc w:val="both"/>
        <w:rPr>
          <w:rFonts w:ascii="ITC Avant Garde" w:hAnsi="ITC Avant Garde" w:cs="Arial Unicode MS"/>
          <w:bCs/>
          <w:u w:color="000000"/>
          <w:bdr w:val="nil"/>
          <w:lang w:val="es-ES_tradnl" w:eastAsia="es-MX"/>
        </w:rPr>
      </w:pPr>
      <w:r w:rsidRPr="002D6F3F">
        <w:rPr>
          <w:rFonts w:ascii="ITC Avant Garde" w:eastAsia="Arial Unicode MS" w:hAnsi="ITC Avant Garde" w:cs="Arial"/>
          <w:b/>
          <w:bCs/>
          <w:u w:color="000000"/>
          <w:bdr w:val="nil"/>
          <w:lang w:val="es-ES_tradnl"/>
        </w:rPr>
        <w:t>1.-</w:t>
      </w:r>
      <w:r w:rsidRPr="002D6F3F">
        <w:rPr>
          <w:rFonts w:ascii="ITC Avant Garde" w:eastAsia="Arial Unicode MS" w:hAnsi="ITC Avant Garde" w:cs="Arial"/>
          <w:bCs/>
          <w:u w:color="000000"/>
          <w:bdr w:val="nil"/>
          <w:lang w:val="es-ES_tradnl"/>
        </w:rPr>
        <w:t xml:space="preserve"> </w:t>
      </w:r>
      <w:r w:rsidR="0081746C" w:rsidRPr="002D6F3F">
        <w:rPr>
          <w:rFonts w:ascii="ITC Avant Garde" w:eastAsia="Arial Unicode MS" w:hAnsi="ITC Avant Garde" w:cs="Arial"/>
          <w:bCs/>
          <w:u w:color="000000"/>
          <w:bdr w:val="nil"/>
          <w:lang w:val="es-ES_tradnl"/>
        </w:rPr>
        <w:t xml:space="preserve">Pagar </w:t>
      </w:r>
      <w:r w:rsidRPr="002D6F3F">
        <w:rPr>
          <w:rFonts w:ascii="ITC Avant Garde" w:eastAsia="Arial Unicode MS" w:hAnsi="ITC Avant Garde" w:cs="Arial"/>
          <w:bCs/>
          <w:u w:color="000000"/>
          <w:bdr w:val="nil"/>
          <w:lang w:val="es-ES_tradnl"/>
        </w:rPr>
        <w:t xml:space="preserve">la Contraprestación </w:t>
      </w:r>
      <w:r w:rsidR="0081746C" w:rsidRPr="002D6F3F">
        <w:rPr>
          <w:rFonts w:ascii="ITC Avant Garde" w:hAnsi="ITC Avant Garde" w:cs="Arial Unicode MS"/>
          <w:bCs/>
          <w:u w:color="000000"/>
          <w:bdr w:val="nil"/>
          <w:lang w:val="es-ES_tradnl" w:eastAsia="es-MX"/>
        </w:rPr>
        <w:t xml:space="preserve">de </w:t>
      </w:r>
      <w:r w:rsidR="00E82864" w:rsidRPr="002D6F3F">
        <w:rPr>
          <w:rFonts w:ascii="ITC Avant Garde" w:hAnsi="ITC Avant Garde" w:cs="Arial Unicode MS"/>
          <w:bCs/>
          <w:u w:color="000000"/>
          <w:bdr w:val="nil"/>
          <w:lang w:val="es-ES_tradnl" w:eastAsia="es-MX"/>
        </w:rPr>
        <w:t xml:space="preserve">acuerdo </w:t>
      </w:r>
      <w:r w:rsidR="0081746C" w:rsidRPr="002D6F3F">
        <w:rPr>
          <w:rFonts w:ascii="ITC Avant Garde" w:hAnsi="ITC Avant Garde" w:cs="Arial Unicode MS"/>
          <w:bCs/>
          <w:u w:color="000000"/>
          <w:bdr w:val="nil"/>
          <w:lang w:val="es-ES_tradnl" w:eastAsia="es-MX"/>
        </w:rPr>
        <w:t xml:space="preserve">con lo </w:t>
      </w:r>
      <w:r w:rsidR="00E82864" w:rsidRPr="002D6F3F">
        <w:rPr>
          <w:rFonts w:ascii="ITC Avant Garde" w:hAnsi="ITC Avant Garde" w:cs="Arial Unicode MS"/>
          <w:bCs/>
          <w:u w:color="000000"/>
          <w:bdr w:val="nil"/>
          <w:lang w:val="es-ES_tradnl" w:eastAsia="es-MX"/>
        </w:rPr>
        <w:t>establecido</w:t>
      </w:r>
      <w:r w:rsidR="0081746C" w:rsidRPr="002D6F3F">
        <w:rPr>
          <w:rFonts w:ascii="ITC Avant Garde" w:hAnsi="ITC Avant Garde" w:cs="Arial Unicode MS"/>
          <w:bCs/>
          <w:u w:color="000000"/>
          <w:bdr w:val="nil"/>
          <w:lang w:val="es-ES_tradnl" w:eastAsia="es-MX"/>
        </w:rPr>
        <w:t xml:space="preserve"> en los artículos 78, párrafo primero y 101 de la Ley, </w:t>
      </w:r>
      <w:r w:rsidR="000258B9" w:rsidRPr="002D6F3F">
        <w:rPr>
          <w:rFonts w:ascii="ITC Avant Garde" w:hAnsi="ITC Avant Garde"/>
        </w:rPr>
        <w:t xml:space="preserve">como límite máximo dentro de los 30 (treinta) días hábiles siguientes a la notificación de la presente Acta de Fallo, </w:t>
      </w:r>
      <w:r w:rsidR="0081746C" w:rsidRPr="002D6F3F">
        <w:rPr>
          <w:rFonts w:ascii="ITC Avant Garde" w:hAnsi="ITC Avant Garde" w:cs="Arial Unicode MS"/>
          <w:bCs/>
          <w:u w:color="000000"/>
          <w:bdr w:val="nil"/>
          <w:lang w:val="es-ES_tradnl" w:eastAsia="es-MX"/>
        </w:rPr>
        <w:t xml:space="preserve">por </w:t>
      </w:r>
      <w:r w:rsidR="0091158C" w:rsidRPr="002D6F3F">
        <w:rPr>
          <w:rFonts w:ascii="ITC Avant Garde" w:hAnsi="ITC Avant Garde" w:cs="Arial Unicode MS"/>
          <w:bCs/>
          <w:u w:color="000000"/>
          <w:bdr w:val="nil"/>
          <w:lang w:val="es-ES_tradnl" w:eastAsia="es-MX"/>
        </w:rPr>
        <w:t>un</w:t>
      </w:r>
      <w:r w:rsidR="00250F67" w:rsidRPr="002D6F3F">
        <w:rPr>
          <w:rFonts w:ascii="ITC Avant Garde" w:hAnsi="ITC Avant Garde" w:cs="Arial Unicode MS"/>
          <w:bCs/>
          <w:u w:color="000000"/>
          <w:bdr w:val="nil"/>
          <w:lang w:val="es-ES_tradnl" w:eastAsia="es-MX"/>
        </w:rPr>
        <w:t xml:space="preserve"> </w:t>
      </w:r>
      <w:r w:rsidR="0081746C" w:rsidRPr="002D6F3F">
        <w:rPr>
          <w:rFonts w:ascii="ITC Avant Garde" w:hAnsi="ITC Avant Garde" w:cs="Arial Unicode MS"/>
          <w:bCs/>
          <w:u w:color="000000"/>
          <w:bdr w:val="nil"/>
          <w:lang w:val="es-ES_tradnl" w:eastAsia="es-MX"/>
        </w:rPr>
        <w:t>monto</w:t>
      </w:r>
      <w:r w:rsidR="00E04C38" w:rsidRPr="002D6F3F">
        <w:rPr>
          <w:rFonts w:ascii="ITC Avant Garde" w:hAnsi="ITC Avant Garde" w:cs="Arial Unicode MS"/>
          <w:bCs/>
          <w:u w:color="000000"/>
          <w:bdr w:val="nil"/>
          <w:lang w:val="es-ES_tradnl" w:eastAsia="es-MX"/>
        </w:rPr>
        <w:t xml:space="preserve"> </w:t>
      </w:r>
      <w:r w:rsidR="0091158C" w:rsidRPr="002D6F3F">
        <w:rPr>
          <w:rFonts w:ascii="ITC Avant Garde" w:hAnsi="ITC Avant Garde" w:cs="Arial Unicode MS"/>
          <w:bCs/>
          <w:u w:color="000000"/>
          <w:bdr w:val="nil"/>
          <w:lang w:val="es-ES_tradnl" w:eastAsia="es-MX"/>
        </w:rPr>
        <w:t xml:space="preserve">de </w:t>
      </w:r>
      <w:r w:rsidR="000D3EEA" w:rsidRPr="002D6F3F">
        <w:rPr>
          <w:rFonts w:ascii="ITC Avant Garde" w:hAnsi="ITC Avant Garde" w:cs="Arial Unicode MS"/>
          <w:bCs/>
          <w:noProof/>
          <w:u w:color="000000"/>
          <w:bdr w:val="nil"/>
          <w:lang w:val="es-ES_tradnl" w:eastAsia="es-MX"/>
        </w:rPr>
        <w:t>$108,000.00</w:t>
      </w:r>
      <w:r w:rsidR="000D3EEA" w:rsidRPr="002D6F3F">
        <w:rPr>
          <w:rFonts w:ascii="ITC Avant Garde" w:hAnsi="ITC Avant Garde" w:cs="Arial Unicode MS"/>
          <w:bCs/>
          <w:u w:color="000000"/>
          <w:bdr w:val="nil"/>
          <w:lang w:val="es-ES_tradnl" w:eastAsia="es-MX"/>
        </w:rPr>
        <w:t xml:space="preserve"> (</w:t>
      </w:r>
      <w:r w:rsidR="000D3EEA" w:rsidRPr="002D6F3F">
        <w:rPr>
          <w:rFonts w:ascii="ITC Avant Garde" w:hAnsi="ITC Avant Garde" w:cs="Arial Unicode MS"/>
          <w:bCs/>
          <w:caps/>
          <w:noProof/>
          <w:u w:color="000000"/>
          <w:bdr w:val="nil"/>
          <w:lang w:val="es-ES_tradnl" w:eastAsia="es-MX"/>
        </w:rPr>
        <w:t>ciento ocho mil pesos 00/100 M.N.</w:t>
      </w:r>
      <w:r w:rsidR="000D3EEA" w:rsidRPr="002D6F3F">
        <w:rPr>
          <w:rFonts w:ascii="ITC Avant Garde" w:hAnsi="ITC Avant Garde" w:cs="Arial Unicode MS"/>
          <w:bCs/>
          <w:u w:color="000000"/>
          <w:bdr w:val="nil"/>
          <w:lang w:val="es-ES_tradnl" w:eastAsia="es-MX"/>
        </w:rPr>
        <w:t>)</w:t>
      </w:r>
      <w:r w:rsidR="0091158C" w:rsidRPr="002D6F3F">
        <w:rPr>
          <w:rFonts w:ascii="ITC Avant Garde" w:hAnsi="ITC Avant Garde" w:cs="Arial Unicode MS"/>
          <w:bCs/>
          <w:u w:color="000000"/>
          <w:bdr w:val="nil"/>
          <w:lang w:val="es-ES_tradnl" w:eastAsia="es-MX"/>
        </w:rPr>
        <w:t xml:space="preserve">, que corresponde al </w:t>
      </w:r>
      <w:r w:rsidR="00786946" w:rsidRPr="002D6F3F">
        <w:rPr>
          <w:rFonts w:ascii="ITC Avant Garde" w:hAnsi="ITC Avant Garde" w:cs="Arial Unicode MS"/>
          <w:bCs/>
          <w:u w:color="000000"/>
          <w:bdr w:val="nil"/>
          <w:lang w:val="es-ES_tradnl" w:eastAsia="es-MX"/>
        </w:rPr>
        <w:t>C</w:t>
      </w:r>
      <w:r w:rsidR="0091158C" w:rsidRPr="002D6F3F">
        <w:rPr>
          <w:rFonts w:ascii="ITC Avant Garde" w:hAnsi="ITC Avant Garde" w:cs="Arial Unicode MS"/>
          <w:bCs/>
          <w:u w:color="000000"/>
          <w:bdr w:val="nil"/>
          <w:lang w:val="es-ES_tradnl" w:eastAsia="es-MX"/>
        </w:rPr>
        <w:t xml:space="preserve">omponente </w:t>
      </w:r>
      <w:r w:rsidR="00786946" w:rsidRPr="002D6F3F">
        <w:rPr>
          <w:rFonts w:ascii="ITC Avant Garde" w:hAnsi="ITC Avant Garde" w:cs="Arial Unicode MS"/>
          <w:bCs/>
          <w:u w:color="000000"/>
          <w:bdr w:val="nil"/>
          <w:lang w:val="es-ES_tradnl" w:eastAsia="es-MX"/>
        </w:rPr>
        <w:t>E</w:t>
      </w:r>
      <w:r w:rsidR="0091158C" w:rsidRPr="002D6F3F">
        <w:rPr>
          <w:rFonts w:ascii="ITC Avant Garde" w:hAnsi="ITC Avant Garde" w:cs="Arial Unicode MS"/>
          <w:bCs/>
          <w:u w:color="000000"/>
          <w:bdr w:val="nil"/>
          <w:lang w:val="es-ES_tradnl" w:eastAsia="es-MX"/>
        </w:rPr>
        <w:t>conómico de su Oferta, en términos del numeral 5.4.3 de las Bases</w:t>
      </w:r>
      <w:r w:rsidR="00250F67" w:rsidRPr="002D6F3F">
        <w:rPr>
          <w:rFonts w:ascii="ITC Avant Garde" w:hAnsi="ITC Avant Garde" w:cs="Arial Unicode MS"/>
          <w:bCs/>
          <w:u w:color="000000"/>
          <w:bdr w:val="nil"/>
          <w:lang w:val="es-ES_tradnl" w:eastAsia="es-MX"/>
        </w:rPr>
        <w:t>.</w:t>
      </w:r>
    </w:p>
    <w:p w14:paraId="040F44E3" w14:textId="77777777" w:rsidR="002D6F3F" w:rsidRDefault="000258B9" w:rsidP="004E01E4">
      <w:pPr>
        <w:pBdr>
          <w:top w:val="nil"/>
          <w:left w:val="nil"/>
          <w:bottom w:val="nil"/>
          <w:right w:val="nil"/>
          <w:between w:val="nil"/>
          <w:bar w:val="nil"/>
        </w:pBdr>
        <w:spacing w:line="240" w:lineRule="auto"/>
        <w:ind w:left="1134"/>
        <w:contextualSpacing/>
        <w:jc w:val="both"/>
        <w:rPr>
          <w:rFonts w:ascii="ITC Avant Garde" w:eastAsia="Arial Unicode MS" w:hAnsi="ITC Avant Garde" w:cs="Arial"/>
          <w:b/>
          <w:u w:color="000000"/>
          <w:bdr w:val="nil"/>
          <w:lang w:val="es-ES_tradnl"/>
        </w:rPr>
      </w:pPr>
      <w:r w:rsidRPr="004E01E4">
        <w:rPr>
          <w:rFonts w:ascii="ITC Avant Garde" w:eastAsia="Arial Unicode MS" w:hAnsi="ITC Avant Garde" w:cs="Arial"/>
          <w:u w:color="000000"/>
          <w:bdr w:val="nil"/>
          <w:lang w:val="es-ES_tradnl"/>
        </w:rPr>
        <w:t>El pago de mérito</w:t>
      </w:r>
      <w:r w:rsidR="005014C1" w:rsidRPr="004E01E4">
        <w:rPr>
          <w:rFonts w:ascii="ITC Avant Garde" w:eastAsia="Arial Unicode MS" w:hAnsi="ITC Avant Garde" w:cs="Arial"/>
          <w:u w:color="000000"/>
          <w:bdr w:val="nil"/>
          <w:lang w:val="es-ES_tradnl"/>
        </w:rPr>
        <w:t xml:space="preserve"> se realizará a favor de la Tesorería de la Federación y </w:t>
      </w:r>
      <w:r w:rsidRPr="004E01E4">
        <w:rPr>
          <w:rFonts w:ascii="ITC Avant Garde" w:eastAsia="Arial Unicode MS" w:hAnsi="ITC Avant Garde" w:cs="Arial"/>
          <w:u w:color="000000"/>
          <w:bdr w:val="nil"/>
          <w:lang w:val="es-ES_tradnl"/>
        </w:rPr>
        <w:t xml:space="preserve">se acreditará </w:t>
      </w:r>
      <w:r w:rsidR="005014C1" w:rsidRPr="004E01E4">
        <w:rPr>
          <w:rFonts w:ascii="ITC Avant Garde" w:eastAsia="Arial Unicode MS" w:hAnsi="ITC Avant Garde" w:cs="Arial"/>
          <w:u w:color="000000"/>
          <w:bdr w:val="nil"/>
          <w:lang w:val="es-ES_tradnl"/>
        </w:rPr>
        <w:t xml:space="preserve">mediante la entrega de los </w:t>
      </w:r>
      <w:r w:rsidR="00EA495B" w:rsidRPr="004E01E4">
        <w:rPr>
          <w:rFonts w:ascii="ITC Avant Garde" w:eastAsia="Arial Unicode MS" w:hAnsi="ITC Avant Garde" w:cs="Arial"/>
          <w:u w:color="000000"/>
          <w:bdr w:val="nil"/>
          <w:lang w:val="es-ES_tradnl"/>
        </w:rPr>
        <w:t xml:space="preserve">originales de los </w:t>
      </w:r>
      <w:r w:rsidR="005014C1" w:rsidRPr="004E01E4">
        <w:rPr>
          <w:rFonts w:ascii="ITC Avant Garde" w:eastAsia="Arial Unicode MS" w:hAnsi="ITC Avant Garde" w:cs="Arial"/>
          <w:u w:color="000000"/>
          <w:bdr w:val="nil"/>
          <w:lang w:val="es-ES_tradnl"/>
        </w:rPr>
        <w:t>comprobantes</w:t>
      </w:r>
      <w:r w:rsidR="0095117D" w:rsidRPr="004E01E4">
        <w:rPr>
          <w:rFonts w:ascii="ITC Avant Garde" w:eastAsia="Arial Unicode MS" w:hAnsi="ITC Avant Garde" w:cs="Arial"/>
          <w:u w:color="000000"/>
          <w:bdr w:val="nil"/>
          <w:lang w:val="es-ES_tradnl"/>
        </w:rPr>
        <w:t xml:space="preserve"> </w:t>
      </w:r>
      <w:r w:rsidR="005014C1" w:rsidRPr="004E01E4">
        <w:rPr>
          <w:rFonts w:ascii="ITC Avant Garde" w:eastAsia="Arial Unicode MS" w:hAnsi="ITC Avant Garde" w:cs="Arial"/>
          <w:u w:color="000000"/>
          <w:bdr w:val="nil"/>
          <w:lang w:val="es-ES_tradnl"/>
        </w:rPr>
        <w:t xml:space="preserve">respectivos ante la UER en el </w:t>
      </w:r>
      <w:r w:rsidR="00545632" w:rsidRPr="004E01E4">
        <w:rPr>
          <w:rFonts w:ascii="ITC Avant Garde" w:eastAsia="Arial Unicode MS" w:hAnsi="ITC Avant Garde" w:cs="Arial"/>
          <w:u w:color="000000"/>
          <w:bdr w:val="nil"/>
          <w:lang w:val="es-ES_tradnl"/>
        </w:rPr>
        <w:t>D</w:t>
      </w:r>
      <w:r w:rsidR="005014C1" w:rsidRPr="004E01E4">
        <w:rPr>
          <w:rFonts w:ascii="ITC Avant Garde" w:eastAsia="Arial Unicode MS" w:hAnsi="ITC Avant Garde" w:cs="Arial"/>
          <w:u w:color="000000"/>
          <w:bdr w:val="nil"/>
          <w:lang w:val="es-ES_tradnl"/>
        </w:rPr>
        <w:t>omicilio del Instituto</w:t>
      </w:r>
      <w:r w:rsidR="000C7B11" w:rsidRPr="004E01E4">
        <w:rPr>
          <w:rFonts w:ascii="ITC Avant Garde" w:eastAsia="Arial Unicode MS" w:hAnsi="ITC Avant Garde" w:cs="Arial"/>
          <w:u w:color="000000"/>
          <w:bdr w:val="nil"/>
          <w:lang w:val="es-ES_tradnl"/>
        </w:rPr>
        <w:t>,</w:t>
      </w:r>
      <w:r w:rsidR="0023051A" w:rsidRPr="004E01E4">
        <w:rPr>
          <w:rFonts w:ascii="ITC Avant Garde" w:eastAsia="Arial Unicode MS" w:hAnsi="ITC Avant Garde" w:cs="Arial"/>
          <w:u w:color="000000"/>
          <w:bdr w:val="nil"/>
          <w:lang w:val="es-ES_tradnl"/>
        </w:rPr>
        <w:t xml:space="preserve"> </w:t>
      </w:r>
      <w:r w:rsidR="000C7B11" w:rsidRPr="004E01E4">
        <w:rPr>
          <w:rFonts w:ascii="ITC Avant Garde" w:eastAsia="Arial Unicode MS" w:hAnsi="ITC Avant Garde" w:cs="Arial"/>
          <w:u w:color="000000"/>
          <w:bdr w:val="nil"/>
          <w:lang w:val="es-ES_tradnl"/>
        </w:rPr>
        <w:t>el cual deberá</w:t>
      </w:r>
      <w:r w:rsidR="005014C1" w:rsidRPr="004E01E4">
        <w:rPr>
          <w:rFonts w:ascii="ITC Avant Garde" w:eastAsia="Arial Unicode MS" w:hAnsi="ITC Avant Garde" w:cs="Arial"/>
          <w:u w:color="000000"/>
          <w:bdr w:val="nil"/>
          <w:lang w:val="es-ES_tradnl"/>
        </w:rPr>
        <w:t xml:space="preserve"> realizarse en moneda de curso legal en los Estados Unidos Mexicanos. Para efectos del pago de la Contraprestación, </w:t>
      </w:r>
      <w:r w:rsidR="005014C1" w:rsidRPr="004E01E4">
        <w:rPr>
          <w:rFonts w:ascii="ITC Avant Garde" w:eastAsia="Arial Unicode MS" w:hAnsi="ITC Avant Garde" w:cs="Arial"/>
          <w:b/>
          <w:u w:color="000000"/>
          <w:bdr w:val="nil"/>
          <w:lang w:val="es-ES_tradnl"/>
        </w:rPr>
        <w:t>el Instituto no otorgará prórroga alguna.</w:t>
      </w:r>
    </w:p>
    <w:p w14:paraId="1882C66D" w14:textId="77777777" w:rsidR="004E01E4" w:rsidRPr="004E01E4" w:rsidRDefault="004E01E4" w:rsidP="004E01E4">
      <w:pPr>
        <w:pBdr>
          <w:top w:val="nil"/>
          <w:left w:val="nil"/>
          <w:bottom w:val="nil"/>
          <w:right w:val="nil"/>
          <w:between w:val="nil"/>
          <w:bar w:val="nil"/>
        </w:pBdr>
        <w:spacing w:line="240" w:lineRule="auto"/>
        <w:ind w:left="1134"/>
        <w:contextualSpacing/>
        <w:jc w:val="both"/>
        <w:rPr>
          <w:rFonts w:ascii="ITC Avant Garde" w:eastAsia="Arial Unicode MS" w:hAnsi="ITC Avant Garde" w:cs="Arial"/>
          <w:u w:color="000000"/>
          <w:bdr w:val="nil"/>
          <w:lang w:val="es-ES_tradnl"/>
        </w:rPr>
      </w:pPr>
    </w:p>
    <w:p w14:paraId="1ABA9747" w14:textId="3A7D6C77" w:rsidR="002D6F3F" w:rsidRDefault="003848B5" w:rsidP="004E01E4">
      <w:pPr>
        <w:pBdr>
          <w:top w:val="nil"/>
          <w:left w:val="nil"/>
          <w:bottom w:val="nil"/>
          <w:right w:val="nil"/>
          <w:between w:val="nil"/>
          <w:bar w:val="nil"/>
        </w:pBdr>
        <w:spacing w:line="240" w:lineRule="auto"/>
        <w:ind w:left="1134"/>
        <w:contextualSpacing/>
        <w:jc w:val="both"/>
        <w:rPr>
          <w:rFonts w:ascii="ITC Avant Garde" w:eastAsia="Arial Unicode MS" w:hAnsi="ITC Avant Garde" w:cs="Arial"/>
          <w:u w:color="000000"/>
          <w:bdr w:val="nil"/>
          <w:lang w:val="es-ES_tradnl"/>
        </w:rPr>
      </w:pPr>
      <w:r w:rsidRPr="004E01E4">
        <w:rPr>
          <w:rFonts w:ascii="ITC Avant Garde" w:eastAsia="Arial Unicode MS" w:hAnsi="ITC Avant Garde" w:cs="Arial"/>
          <w:b/>
          <w:u w:color="000000"/>
          <w:bdr w:val="nil"/>
          <w:lang w:val="es-ES_tradnl"/>
        </w:rPr>
        <w:t>2.-</w:t>
      </w:r>
      <w:r w:rsidRPr="004E01E4">
        <w:rPr>
          <w:rFonts w:ascii="ITC Avant Garde" w:eastAsia="Arial Unicode MS" w:hAnsi="ITC Avant Garde" w:cs="Arial"/>
          <w:u w:color="000000"/>
          <w:bdr w:val="nil"/>
          <w:lang w:val="es-ES_tradnl"/>
        </w:rPr>
        <w:t xml:space="preserve"> </w:t>
      </w:r>
      <w:r w:rsidR="000258B9" w:rsidRPr="004E01E4">
        <w:rPr>
          <w:rFonts w:ascii="ITC Avant Garde" w:eastAsia="Arial Unicode MS" w:hAnsi="ITC Avant Garde" w:cs="Arial"/>
          <w:u w:color="000000"/>
          <w:bdr w:val="nil"/>
          <w:lang w:val="es-ES_tradnl"/>
        </w:rPr>
        <w:t xml:space="preserve">Entregar </w:t>
      </w:r>
      <w:r w:rsidRPr="004E01E4">
        <w:rPr>
          <w:rFonts w:ascii="ITC Avant Garde" w:eastAsia="Arial Unicode MS" w:hAnsi="ITC Avant Garde" w:cs="Arial"/>
          <w:u w:color="000000"/>
          <w:bdr w:val="nil"/>
          <w:lang w:val="es-ES_tradnl"/>
        </w:rPr>
        <w:t>física</w:t>
      </w:r>
      <w:r w:rsidR="000258B9" w:rsidRPr="004E01E4">
        <w:rPr>
          <w:rFonts w:ascii="ITC Avant Garde" w:eastAsia="Arial Unicode MS" w:hAnsi="ITC Avant Garde" w:cs="Arial"/>
          <w:u w:color="000000"/>
          <w:bdr w:val="nil"/>
          <w:lang w:val="es-ES_tradnl"/>
        </w:rPr>
        <w:t>mente l</w:t>
      </w:r>
      <w:r w:rsidRPr="004E01E4">
        <w:rPr>
          <w:rFonts w:ascii="ITC Avant Garde" w:eastAsia="Arial Unicode MS" w:hAnsi="ITC Avant Garde" w:cs="Arial"/>
          <w:u w:color="000000"/>
          <w:bdr w:val="nil"/>
          <w:lang w:val="es-ES_tradnl"/>
        </w:rPr>
        <w:t>os documentos previstos en las Bases, que conforman los Anexos del Apéndice A y el Apéndice E</w:t>
      </w:r>
      <w:r w:rsidR="000C59BD" w:rsidRPr="004E01E4">
        <w:rPr>
          <w:rFonts w:ascii="ITC Avant Garde" w:eastAsia="Arial Unicode MS" w:hAnsi="ITC Avant Garde" w:cs="Arial"/>
          <w:u w:color="000000"/>
          <w:bdr w:val="nil"/>
          <w:lang w:val="es-ES_tradnl"/>
        </w:rPr>
        <w:t xml:space="preserve"> </w:t>
      </w:r>
      <w:r w:rsidRPr="004E01E4">
        <w:rPr>
          <w:rFonts w:ascii="ITC Avant Garde" w:eastAsia="Arial Unicode MS" w:hAnsi="ITC Avant Garde" w:cs="Arial"/>
          <w:u w:color="000000"/>
          <w:bdr w:val="nil"/>
          <w:lang w:val="es-ES_tradnl"/>
        </w:rPr>
        <w:t>en términos del numeral 5.</w:t>
      </w:r>
      <w:r w:rsidR="00D47A77" w:rsidRPr="004E01E4">
        <w:rPr>
          <w:rFonts w:ascii="ITC Avant Garde" w:eastAsia="Arial Unicode MS" w:hAnsi="ITC Avant Garde" w:cs="Arial"/>
          <w:u w:color="000000"/>
          <w:bdr w:val="nil"/>
          <w:lang w:val="es-ES_tradnl"/>
        </w:rPr>
        <w:t>4</w:t>
      </w:r>
      <w:r w:rsidRPr="004E01E4">
        <w:rPr>
          <w:rFonts w:ascii="ITC Avant Garde" w:eastAsia="Arial Unicode MS" w:hAnsi="ITC Avant Garde" w:cs="Arial"/>
          <w:u w:color="000000"/>
          <w:bdr w:val="nil"/>
          <w:lang w:val="es-ES_tradnl"/>
        </w:rPr>
        <w:t>.1 de las Bases</w:t>
      </w:r>
      <w:r w:rsidR="000C59BD" w:rsidRPr="004E01E4">
        <w:rPr>
          <w:rFonts w:ascii="ITC Avant Garde" w:eastAsia="Arial Unicode MS" w:hAnsi="ITC Avant Garde" w:cs="Arial"/>
          <w:u w:color="000000"/>
          <w:bdr w:val="nil"/>
          <w:lang w:val="es-ES_tradnl"/>
        </w:rPr>
        <w:t>, con excepción de la información y los documentos presentados conforme al numeral 5.2.1 de las Bases</w:t>
      </w:r>
      <w:r w:rsidR="004E01E4">
        <w:rPr>
          <w:rFonts w:ascii="ITC Avant Garde" w:eastAsia="Arial Unicode MS" w:hAnsi="ITC Avant Garde" w:cs="Arial"/>
          <w:u w:color="000000"/>
          <w:bdr w:val="nil"/>
          <w:lang w:val="es-ES_tradnl"/>
        </w:rPr>
        <w:t>.</w:t>
      </w:r>
    </w:p>
    <w:p w14:paraId="395CDC55" w14:textId="77777777" w:rsidR="004E01E4" w:rsidRPr="004E01E4" w:rsidRDefault="004E01E4" w:rsidP="004E01E4">
      <w:pPr>
        <w:pBdr>
          <w:top w:val="nil"/>
          <w:left w:val="nil"/>
          <w:bottom w:val="nil"/>
          <w:right w:val="nil"/>
          <w:between w:val="nil"/>
          <w:bar w:val="nil"/>
        </w:pBdr>
        <w:spacing w:line="240" w:lineRule="auto"/>
        <w:ind w:left="1134"/>
        <w:contextualSpacing/>
        <w:jc w:val="both"/>
        <w:rPr>
          <w:rFonts w:ascii="ITC Avant Garde" w:eastAsia="Arial Unicode MS" w:hAnsi="ITC Avant Garde" w:cs="Arial"/>
          <w:u w:color="000000"/>
          <w:bdr w:val="nil"/>
          <w:lang w:val="es-ES_tradnl"/>
        </w:rPr>
      </w:pPr>
    </w:p>
    <w:p w14:paraId="5362B11D" w14:textId="77777777" w:rsidR="002D6F3F" w:rsidRDefault="005F285E" w:rsidP="004E01E4">
      <w:pPr>
        <w:pBdr>
          <w:top w:val="nil"/>
          <w:left w:val="nil"/>
          <w:bottom w:val="nil"/>
          <w:right w:val="nil"/>
          <w:between w:val="nil"/>
          <w:bar w:val="nil"/>
        </w:pBdr>
        <w:spacing w:line="240" w:lineRule="auto"/>
        <w:ind w:left="1134"/>
        <w:contextualSpacing/>
        <w:jc w:val="both"/>
        <w:rPr>
          <w:rFonts w:ascii="ITC Avant Garde" w:eastAsia="Arial Unicode MS" w:hAnsi="ITC Avant Garde" w:cs="Arial"/>
          <w:u w:color="000000"/>
          <w:bdr w:val="nil"/>
          <w:lang w:val="es-ES_tradnl"/>
        </w:rPr>
      </w:pPr>
      <w:r w:rsidRPr="004E01E4">
        <w:rPr>
          <w:rFonts w:ascii="ITC Avant Garde" w:eastAsia="Arial Unicode MS" w:hAnsi="ITC Avant Garde" w:cs="Arial"/>
          <w:b/>
          <w:u w:color="000000"/>
          <w:bdr w:val="nil"/>
          <w:lang w:val="es-ES_tradnl"/>
        </w:rPr>
        <w:t>3.-</w:t>
      </w:r>
      <w:r w:rsidRPr="002D6F3F">
        <w:rPr>
          <w:rFonts w:ascii="ITC Avant Garde" w:eastAsia="Arial Unicode MS" w:hAnsi="ITC Avant Garde" w:cs="Arial"/>
          <w:u w:color="000000"/>
          <w:bdr w:val="nil"/>
          <w:lang w:val="es-ES_tradnl"/>
        </w:rPr>
        <w:t xml:space="preserve"> </w:t>
      </w:r>
      <w:r w:rsidR="000C113D" w:rsidRPr="002D6F3F">
        <w:rPr>
          <w:rFonts w:ascii="ITC Avant Garde" w:eastAsia="Arial Unicode MS" w:hAnsi="ITC Avant Garde" w:cs="Arial"/>
          <w:u w:color="000000"/>
          <w:bdr w:val="nil"/>
          <w:lang w:val="es-ES_tradnl"/>
        </w:rPr>
        <w:t xml:space="preserve">Acreditar </w:t>
      </w:r>
      <w:r w:rsidRPr="002D6F3F">
        <w:rPr>
          <w:rFonts w:ascii="ITC Avant Garde" w:eastAsia="Arial Unicode MS" w:hAnsi="ITC Avant Garde" w:cs="Arial"/>
          <w:u w:color="000000"/>
          <w:bdr w:val="nil"/>
          <w:lang w:val="es-ES_tradnl"/>
        </w:rPr>
        <w:t>haber constituido una sociedad mercantil en términos de la legislación mexicana y conforme a la información presentada ante el Instituto y presentar el comprobante de pago de derechos por el estudio de la documentación relacionada con la constitución de la sociedad mercantil, antes de la fecha establecida en el Calendario de Actividades</w:t>
      </w:r>
      <w:r w:rsidR="00B809FD" w:rsidRPr="002D6F3F">
        <w:rPr>
          <w:rFonts w:ascii="ITC Avant Garde" w:eastAsia="Arial Unicode MS" w:hAnsi="ITC Avant Garde" w:cs="Arial"/>
          <w:u w:color="000000"/>
          <w:bdr w:val="nil"/>
          <w:lang w:val="es-ES_tradnl"/>
        </w:rPr>
        <w:t>.</w:t>
      </w:r>
    </w:p>
    <w:p w14:paraId="78B6E4EC" w14:textId="77777777" w:rsidR="004E01E4" w:rsidRPr="002D6F3F" w:rsidRDefault="004E01E4" w:rsidP="004E01E4">
      <w:pPr>
        <w:pBdr>
          <w:top w:val="nil"/>
          <w:left w:val="nil"/>
          <w:bottom w:val="nil"/>
          <w:right w:val="nil"/>
          <w:between w:val="nil"/>
          <w:bar w:val="nil"/>
        </w:pBdr>
        <w:spacing w:line="240" w:lineRule="auto"/>
        <w:ind w:left="1134"/>
        <w:contextualSpacing/>
        <w:jc w:val="both"/>
        <w:rPr>
          <w:rFonts w:ascii="ITC Avant Garde" w:eastAsia="Arial Unicode MS" w:hAnsi="ITC Avant Garde" w:cs="Arial"/>
          <w:u w:color="000000"/>
          <w:bdr w:val="nil"/>
          <w:lang w:val="es-ES_tradnl"/>
        </w:rPr>
      </w:pPr>
    </w:p>
    <w:p w14:paraId="6246AAAB" w14:textId="77777777" w:rsidR="002D6F3F" w:rsidRDefault="005F285E" w:rsidP="004E01E4">
      <w:pPr>
        <w:pBdr>
          <w:top w:val="nil"/>
          <w:left w:val="nil"/>
          <w:bottom w:val="nil"/>
          <w:right w:val="nil"/>
          <w:between w:val="nil"/>
          <w:bar w:val="nil"/>
        </w:pBdr>
        <w:spacing w:line="240" w:lineRule="auto"/>
        <w:ind w:left="1134"/>
        <w:contextualSpacing/>
        <w:jc w:val="both"/>
        <w:rPr>
          <w:rFonts w:ascii="ITC Avant Garde" w:eastAsia="Arial Unicode MS" w:hAnsi="ITC Avant Garde" w:cs="Arial"/>
          <w:u w:color="000000"/>
          <w:bdr w:val="nil"/>
          <w:lang w:val="es-ES_tradnl"/>
        </w:rPr>
      </w:pPr>
      <w:r w:rsidRPr="002D6F3F">
        <w:rPr>
          <w:rFonts w:ascii="ITC Avant Garde" w:eastAsia="Arial Unicode MS" w:hAnsi="ITC Avant Garde" w:cs="Arial"/>
          <w:u w:color="000000"/>
          <w:bdr w:val="nil"/>
          <w:lang w:val="es-ES_tradnl"/>
        </w:rPr>
        <w:t xml:space="preserve">En este sentido, el </w:t>
      </w:r>
      <w:r w:rsidR="000C113D" w:rsidRPr="002D6F3F">
        <w:rPr>
          <w:rFonts w:ascii="ITC Avant Garde" w:eastAsia="Arial Unicode MS" w:hAnsi="ITC Avant Garde" w:cs="Arial"/>
          <w:u w:color="000000"/>
          <w:bdr w:val="nil"/>
          <w:lang w:val="es-ES_tradnl"/>
        </w:rPr>
        <w:t xml:space="preserve">Participante Ganador </w:t>
      </w:r>
      <w:r w:rsidRPr="002D6F3F">
        <w:rPr>
          <w:rFonts w:ascii="ITC Avant Garde" w:eastAsia="Arial Unicode MS" w:hAnsi="ITC Avant Garde" w:cs="Arial"/>
          <w:u w:color="000000"/>
          <w:bdr w:val="nil"/>
          <w:lang w:val="es-ES_tradnl"/>
        </w:rPr>
        <w:t>deberá presentar el testimonio o copia certificada del instrumento público en el que conste el acta constitutiva y los estatutos sociales de la sociedad, con datos de inscripción en el Registro Público de Comercio. En caso de que no se cuente con dicha inscripción, por la reciente creación de la sociedad mercantil, deberá acompañarse carta de fedatario público en que se haga constar que la inscripción está en trámite, debiendo informar al Instituto los datos del registro.</w:t>
      </w:r>
    </w:p>
    <w:p w14:paraId="1B792DD1" w14:textId="77777777" w:rsidR="004E01E4" w:rsidRPr="002D6F3F" w:rsidRDefault="004E01E4" w:rsidP="004E01E4">
      <w:pPr>
        <w:pBdr>
          <w:top w:val="nil"/>
          <w:left w:val="nil"/>
          <w:bottom w:val="nil"/>
          <w:right w:val="nil"/>
          <w:between w:val="nil"/>
          <w:bar w:val="nil"/>
        </w:pBdr>
        <w:spacing w:line="240" w:lineRule="auto"/>
        <w:ind w:left="1134"/>
        <w:contextualSpacing/>
        <w:jc w:val="both"/>
        <w:rPr>
          <w:rFonts w:ascii="ITC Avant Garde" w:eastAsia="Arial Unicode MS" w:hAnsi="ITC Avant Garde" w:cs="Arial"/>
          <w:u w:color="000000"/>
          <w:bdr w:val="nil"/>
          <w:lang w:val="es-ES_tradnl"/>
        </w:rPr>
      </w:pPr>
    </w:p>
    <w:p w14:paraId="5C2A1AFE" w14:textId="77777777" w:rsidR="002D6F3F" w:rsidRDefault="005F285E" w:rsidP="004E01E4">
      <w:pPr>
        <w:pBdr>
          <w:top w:val="nil"/>
          <w:left w:val="nil"/>
          <w:bottom w:val="nil"/>
          <w:right w:val="nil"/>
          <w:between w:val="nil"/>
          <w:bar w:val="nil"/>
        </w:pBdr>
        <w:spacing w:line="240" w:lineRule="auto"/>
        <w:ind w:left="1134"/>
        <w:contextualSpacing/>
        <w:jc w:val="both"/>
        <w:rPr>
          <w:rFonts w:ascii="ITC Avant Garde" w:eastAsia="Arial Unicode MS" w:hAnsi="ITC Avant Garde" w:cs="Arial"/>
          <w:u w:color="000000"/>
          <w:bdr w:val="nil"/>
          <w:lang w:val="es-ES_tradnl"/>
        </w:rPr>
      </w:pPr>
      <w:r w:rsidRPr="002D6F3F">
        <w:rPr>
          <w:rFonts w:ascii="ITC Avant Garde" w:eastAsia="Arial Unicode MS" w:hAnsi="ITC Avant Garde" w:cs="Arial"/>
          <w:u w:color="000000"/>
          <w:bdr w:val="nil"/>
          <w:lang w:val="es-ES_tradnl"/>
        </w:rPr>
        <w:t xml:space="preserve">Al respecto, las personas físicas y/o morales que constituyan la sociedad mercantil referida deberán ser las mismas que </w:t>
      </w:r>
      <w:r w:rsidR="000C113D" w:rsidRPr="002D6F3F">
        <w:rPr>
          <w:rFonts w:ascii="ITC Avant Garde" w:eastAsia="Arial Unicode MS" w:hAnsi="ITC Avant Garde" w:cs="Arial"/>
          <w:u w:color="000000"/>
          <w:bdr w:val="nil"/>
          <w:lang w:val="es-ES_tradnl"/>
        </w:rPr>
        <w:t>fueron</w:t>
      </w:r>
      <w:r w:rsidRPr="002D6F3F">
        <w:rPr>
          <w:rFonts w:ascii="ITC Avant Garde" w:eastAsia="Arial Unicode MS" w:hAnsi="ITC Avant Garde" w:cs="Arial"/>
          <w:u w:color="000000"/>
          <w:bdr w:val="nil"/>
          <w:lang w:val="es-ES_tradnl"/>
        </w:rPr>
        <w:t xml:space="preserve"> consideradas para la determinación de la Calidad de Participante. La constitución de la sociedad debe ser de acuerdo con lo establecido por los miembros del Consorcio en el </w:t>
      </w:r>
      <w:r w:rsidR="000C113D" w:rsidRPr="002D6F3F">
        <w:rPr>
          <w:rFonts w:ascii="ITC Avant Garde" w:eastAsia="Arial Unicode MS" w:hAnsi="ITC Avant Garde" w:cs="Arial"/>
          <w:u w:color="000000"/>
          <w:bdr w:val="nil"/>
          <w:lang w:val="es-ES_tradnl"/>
        </w:rPr>
        <w:t>C</w:t>
      </w:r>
      <w:r w:rsidRPr="002D6F3F">
        <w:rPr>
          <w:rFonts w:ascii="ITC Avant Garde" w:eastAsia="Arial Unicode MS" w:hAnsi="ITC Avant Garde" w:cs="Arial"/>
          <w:u w:color="000000"/>
          <w:bdr w:val="nil"/>
          <w:lang w:val="es-ES_tradnl"/>
        </w:rPr>
        <w:t xml:space="preserve">onvenio </w:t>
      </w:r>
      <w:r w:rsidR="000C113D" w:rsidRPr="002D6F3F">
        <w:rPr>
          <w:rFonts w:ascii="ITC Avant Garde" w:eastAsia="Arial Unicode MS" w:hAnsi="ITC Avant Garde" w:cs="Arial"/>
          <w:u w:color="000000"/>
          <w:bdr w:val="nil"/>
          <w:lang w:val="es-ES_tradnl"/>
        </w:rPr>
        <w:t xml:space="preserve">Privado de Participación Conjunta </w:t>
      </w:r>
      <w:r w:rsidRPr="002D6F3F">
        <w:rPr>
          <w:rFonts w:ascii="ITC Avant Garde" w:eastAsia="Arial Unicode MS" w:hAnsi="ITC Avant Garde" w:cs="Arial"/>
          <w:u w:color="000000"/>
          <w:bdr w:val="nil"/>
          <w:lang w:val="es-ES_tradnl"/>
        </w:rPr>
        <w:t xml:space="preserve">a que se refieren </w:t>
      </w:r>
      <w:r w:rsidR="000C113D" w:rsidRPr="002D6F3F">
        <w:rPr>
          <w:rFonts w:ascii="ITC Avant Garde" w:eastAsia="Arial Unicode MS" w:hAnsi="ITC Avant Garde" w:cs="Arial"/>
          <w:u w:color="000000"/>
          <w:bdr w:val="nil"/>
          <w:lang w:val="es-ES_tradnl"/>
        </w:rPr>
        <w:t>el numeral</w:t>
      </w:r>
      <w:r w:rsidRPr="002D6F3F">
        <w:rPr>
          <w:rFonts w:ascii="ITC Avant Garde" w:eastAsia="Arial Unicode MS" w:hAnsi="ITC Avant Garde" w:cs="Arial"/>
          <w:u w:color="000000"/>
          <w:bdr w:val="nil"/>
          <w:lang w:val="es-ES_tradnl"/>
        </w:rPr>
        <w:t xml:space="preserve"> 5.1.3 de las Bases</w:t>
      </w:r>
      <w:r w:rsidR="000C113D" w:rsidRPr="002D6F3F">
        <w:rPr>
          <w:rFonts w:ascii="ITC Avant Garde" w:eastAsia="Arial Unicode MS" w:hAnsi="ITC Avant Garde" w:cs="Arial"/>
          <w:u w:color="000000"/>
          <w:bdr w:val="nil"/>
          <w:lang w:val="es-ES_tradnl"/>
        </w:rPr>
        <w:t>, y que fue entregado a través del SERPO al Instituto</w:t>
      </w:r>
      <w:r w:rsidRPr="002D6F3F">
        <w:rPr>
          <w:rFonts w:ascii="ITC Avant Garde" w:eastAsia="Arial Unicode MS" w:hAnsi="ITC Avant Garde" w:cs="Arial"/>
          <w:u w:color="000000"/>
          <w:bdr w:val="nil"/>
          <w:lang w:val="es-ES_tradnl"/>
        </w:rPr>
        <w:t>.</w:t>
      </w:r>
    </w:p>
    <w:p w14:paraId="06F748A8" w14:textId="77777777" w:rsidR="004E01E4" w:rsidRPr="002D6F3F" w:rsidRDefault="004E01E4" w:rsidP="004E01E4">
      <w:pPr>
        <w:pBdr>
          <w:top w:val="nil"/>
          <w:left w:val="nil"/>
          <w:bottom w:val="nil"/>
          <w:right w:val="nil"/>
          <w:between w:val="nil"/>
          <w:bar w:val="nil"/>
        </w:pBdr>
        <w:spacing w:line="240" w:lineRule="auto"/>
        <w:ind w:left="1134"/>
        <w:contextualSpacing/>
        <w:jc w:val="both"/>
        <w:rPr>
          <w:rFonts w:ascii="ITC Avant Garde" w:eastAsia="Arial Unicode MS" w:hAnsi="ITC Avant Garde" w:cs="Arial"/>
          <w:bCs/>
          <w:u w:color="000000"/>
          <w:bdr w:val="nil"/>
          <w:lang w:val="es-ES_tradnl"/>
        </w:rPr>
      </w:pPr>
    </w:p>
    <w:p w14:paraId="62D77E5A" w14:textId="77777777" w:rsidR="002D6F3F" w:rsidRDefault="00FF48EC" w:rsidP="004E01E4">
      <w:pPr>
        <w:pBdr>
          <w:top w:val="nil"/>
          <w:left w:val="nil"/>
          <w:bottom w:val="nil"/>
          <w:right w:val="nil"/>
          <w:between w:val="nil"/>
          <w:bar w:val="nil"/>
        </w:pBdr>
        <w:spacing w:line="240" w:lineRule="auto"/>
        <w:contextualSpacing/>
        <w:jc w:val="both"/>
        <w:rPr>
          <w:rFonts w:ascii="ITC Avant Garde" w:hAnsi="ITC Avant Garde" w:cs="Arial"/>
        </w:rPr>
      </w:pPr>
      <w:r w:rsidRPr="004E01E4">
        <w:rPr>
          <w:rFonts w:ascii="ITC Avant Garde" w:hAnsi="ITC Avant Garde" w:cs="Arial"/>
        </w:rPr>
        <w:t xml:space="preserve">Cabe señalar que, para </w:t>
      </w:r>
      <w:r w:rsidR="000C113D" w:rsidRPr="004E01E4">
        <w:rPr>
          <w:rFonts w:ascii="ITC Avant Garde" w:hAnsi="ITC Avant Garde" w:cs="Arial"/>
        </w:rPr>
        <w:t xml:space="preserve">dar cumplimiento </w:t>
      </w:r>
      <w:r w:rsidR="00364C73" w:rsidRPr="004E01E4">
        <w:rPr>
          <w:rFonts w:ascii="ITC Avant Garde" w:hAnsi="ITC Avant Garde" w:cs="Arial"/>
        </w:rPr>
        <w:t>a</w:t>
      </w:r>
      <w:r w:rsidRPr="004E01E4">
        <w:rPr>
          <w:rFonts w:ascii="ITC Avant Garde" w:hAnsi="ITC Avant Garde" w:cs="Arial"/>
        </w:rPr>
        <w:t xml:space="preserve"> lo dispuesto en los numerales 1</w:t>
      </w:r>
      <w:r w:rsidR="00B809FD" w:rsidRPr="004E01E4">
        <w:rPr>
          <w:rFonts w:ascii="ITC Avant Garde" w:hAnsi="ITC Avant Garde" w:cs="Arial"/>
        </w:rPr>
        <w:t>,</w:t>
      </w:r>
      <w:r w:rsidRPr="004E01E4">
        <w:rPr>
          <w:rFonts w:ascii="ITC Avant Garde" w:hAnsi="ITC Avant Garde" w:cs="Arial"/>
        </w:rPr>
        <w:t xml:space="preserve"> 2 </w:t>
      </w:r>
      <w:r w:rsidR="00B809FD" w:rsidRPr="004E01E4">
        <w:rPr>
          <w:rFonts w:ascii="ITC Avant Garde" w:hAnsi="ITC Avant Garde" w:cs="Arial"/>
        </w:rPr>
        <w:t xml:space="preserve">y 3 </w:t>
      </w:r>
      <w:r w:rsidRPr="004E01E4">
        <w:rPr>
          <w:rFonts w:ascii="ITC Avant Garde" w:hAnsi="ITC Avant Garde" w:cs="Arial"/>
        </w:rPr>
        <w:t xml:space="preserve">del presente </w:t>
      </w:r>
      <w:r w:rsidR="00786946" w:rsidRPr="004E01E4">
        <w:rPr>
          <w:rFonts w:ascii="ITC Avant Garde" w:hAnsi="ITC Avant Garde" w:cs="Arial"/>
        </w:rPr>
        <w:t>c</w:t>
      </w:r>
      <w:r w:rsidRPr="004E01E4">
        <w:rPr>
          <w:rFonts w:ascii="ITC Avant Garde" w:hAnsi="ITC Avant Garde" w:cs="Arial"/>
        </w:rPr>
        <w:t>onsiderando, los días 30 y 31 de marzo de 2017 se publicará en el Portal de Internet del Instituto, el calendario de fechas para la entrega de documentación física, así como los números de referencia para el pago de la Contraprestaci</w:t>
      </w:r>
      <w:r w:rsidR="00372E97" w:rsidRPr="004E01E4">
        <w:rPr>
          <w:rFonts w:ascii="ITC Avant Garde" w:hAnsi="ITC Avant Garde" w:cs="Arial"/>
        </w:rPr>
        <w:t>ó</w:t>
      </w:r>
      <w:r w:rsidRPr="004E01E4">
        <w:rPr>
          <w:rFonts w:ascii="ITC Avant Garde" w:hAnsi="ITC Avant Garde" w:cs="Arial"/>
        </w:rPr>
        <w:t>n.</w:t>
      </w:r>
    </w:p>
    <w:p w14:paraId="1DFF3C6B" w14:textId="77777777" w:rsidR="004E01E4" w:rsidRPr="004E01E4" w:rsidRDefault="004E01E4" w:rsidP="004E01E4">
      <w:pPr>
        <w:pBdr>
          <w:top w:val="nil"/>
          <w:left w:val="nil"/>
          <w:bottom w:val="nil"/>
          <w:right w:val="nil"/>
          <w:between w:val="nil"/>
          <w:bar w:val="nil"/>
        </w:pBdr>
        <w:spacing w:line="240" w:lineRule="auto"/>
        <w:contextualSpacing/>
        <w:jc w:val="both"/>
        <w:rPr>
          <w:rFonts w:ascii="ITC Avant Garde" w:hAnsi="ITC Avant Garde" w:cs="Arial"/>
        </w:rPr>
      </w:pPr>
    </w:p>
    <w:p w14:paraId="1606F365" w14:textId="77777777" w:rsidR="002D6F3F" w:rsidRDefault="00DD4C74" w:rsidP="004E01E4">
      <w:pPr>
        <w:pBdr>
          <w:top w:val="nil"/>
          <w:left w:val="nil"/>
          <w:bottom w:val="nil"/>
          <w:right w:val="nil"/>
          <w:between w:val="nil"/>
          <w:bar w:val="nil"/>
        </w:pBdr>
        <w:spacing w:line="240" w:lineRule="auto"/>
        <w:contextualSpacing/>
        <w:jc w:val="both"/>
        <w:rPr>
          <w:rFonts w:ascii="ITC Avant Garde" w:hAnsi="ITC Avant Garde" w:cs="Arial"/>
        </w:rPr>
      </w:pPr>
      <w:r w:rsidRPr="004E01E4">
        <w:rPr>
          <w:rFonts w:ascii="ITC Avant Garde" w:hAnsi="ITC Avant Garde" w:cs="Arial"/>
        </w:rPr>
        <w:t>Una vez acreditadas las condiciones señaladas con anterioridad,</w:t>
      </w:r>
      <w:r w:rsidR="00712F65" w:rsidRPr="004E01E4">
        <w:rPr>
          <w:rFonts w:ascii="ITC Avant Garde" w:hAnsi="ITC Avant Garde" w:cs="Arial"/>
        </w:rPr>
        <w:t xml:space="preserve"> </w:t>
      </w:r>
      <w:r w:rsidR="00FE2593" w:rsidRPr="004E01E4">
        <w:rPr>
          <w:rFonts w:ascii="ITC Avant Garde" w:hAnsi="ITC Avant Garde" w:cs="Arial"/>
        </w:rPr>
        <w:t>y</w:t>
      </w:r>
      <w:r w:rsidR="00712F65" w:rsidRPr="004E01E4">
        <w:rPr>
          <w:rFonts w:ascii="ITC Avant Garde" w:hAnsi="ITC Avant Garde" w:cs="Arial"/>
        </w:rPr>
        <w:t xml:space="preserve"> cumpli</w:t>
      </w:r>
      <w:r w:rsidR="00FE2593" w:rsidRPr="004E01E4">
        <w:rPr>
          <w:rFonts w:ascii="ITC Avant Garde" w:hAnsi="ITC Avant Garde" w:cs="Arial"/>
        </w:rPr>
        <w:t>endo</w:t>
      </w:r>
      <w:r w:rsidR="00712F65" w:rsidRPr="004E01E4">
        <w:rPr>
          <w:rFonts w:ascii="ITC Avant Garde" w:hAnsi="ITC Avant Garde" w:cs="Arial"/>
        </w:rPr>
        <w:t xml:space="preserve"> </w:t>
      </w:r>
      <w:r w:rsidR="00FE2593" w:rsidRPr="004E01E4">
        <w:rPr>
          <w:rFonts w:ascii="ITC Avant Garde" w:hAnsi="ITC Avant Garde" w:cs="Arial"/>
        </w:rPr>
        <w:t>con</w:t>
      </w:r>
      <w:r w:rsidR="00712F65" w:rsidRPr="004E01E4">
        <w:rPr>
          <w:rFonts w:ascii="ITC Avant Garde" w:hAnsi="ITC Avant Garde" w:cs="Arial"/>
        </w:rPr>
        <w:t xml:space="preserve"> lo dispuesto en la presente Acta </w:t>
      </w:r>
      <w:r w:rsidR="00372E97" w:rsidRPr="004E01E4">
        <w:rPr>
          <w:rFonts w:ascii="ITC Avant Garde" w:hAnsi="ITC Avant Garde" w:cs="Arial"/>
        </w:rPr>
        <w:t>de Fallo</w:t>
      </w:r>
      <w:r w:rsidR="00712F65" w:rsidRPr="004E01E4">
        <w:rPr>
          <w:rFonts w:ascii="ITC Avant Garde" w:hAnsi="ITC Avant Garde" w:cs="Arial"/>
        </w:rPr>
        <w:t xml:space="preserve"> por parte de</w:t>
      </w:r>
      <w:r w:rsidR="00904F15" w:rsidRPr="004E01E4">
        <w:rPr>
          <w:rFonts w:ascii="ITC Avant Garde" w:hAnsi="ITC Avant Garde" w:cs="Arial"/>
        </w:rPr>
        <w:t>l</w:t>
      </w:r>
      <w:r w:rsidR="00712F65" w:rsidRPr="004E01E4">
        <w:rPr>
          <w:rFonts w:ascii="ITC Avant Garde" w:hAnsi="ITC Avant Garde" w:cs="Arial"/>
        </w:rPr>
        <w:t xml:space="preserve"> Participante Ganador, se </w:t>
      </w:r>
      <w:r w:rsidR="00372E97" w:rsidRPr="004E01E4">
        <w:rPr>
          <w:rFonts w:ascii="ITC Avant Garde" w:hAnsi="ITC Avant Garde" w:cs="Arial"/>
        </w:rPr>
        <w:t>llevará a cabo</w:t>
      </w:r>
      <w:r w:rsidR="00712F65" w:rsidRPr="004E01E4">
        <w:rPr>
          <w:rFonts w:ascii="ITC Avant Garde" w:hAnsi="ITC Avant Garde" w:cs="Arial"/>
        </w:rPr>
        <w:t xml:space="preserve"> el otorgamiento del título de Concesión de Espectro Radioeléctrico para </w:t>
      </w:r>
      <w:r w:rsidR="00FF48EC" w:rsidRPr="004E01E4">
        <w:rPr>
          <w:rFonts w:ascii="ITC Avant Garde" w:hAnsi="ITC Avant Garde" w:cs="Arial"/>
        </w:rPr>
        <w:t>U</w:t>
      </w:r>
      <w:r w:rsidR="00712F65" w:rsidRPr="004E01E4">
        <w:rPr>
          <w:rFonts w:ascii="ITC Avant Garde" w:hAnsi="ITC Avant Garde" w:cs="Arial"/>
        </w:rPr>
        <w:t xml:space="preserve">so </w:t>
      </w:r>
      <w:r w:rsidR="00FF48EC" w:rsidRPr="004E01E4">
        <w:rPr>
          <w:rFonts w:ascii="ITC Avant Garde" w:hAnsi="ITC Avant Garde" w:cs="Arial"/>
        </w:rPr>
        <w:t>C</w:t>
      </w:r>
      <w:r w:rsidR="00712F65" w:rsidRPr="004E01E4">
        <w:rPr>
          <w:rFonts w:ascii="ITC Avant Garde" w:hAnsi="ITC Avant Garde" w:cs="Arial"/>
        </w:rPr>
        <w:t xml:space="preserve">omercial a </w:t>
      </w:r>
      <w:r w:rsidR="00740F26" w:rsidRPr="004E01E4">
        <w:rPr>
          <w:rFonts w:ascii="ITC Avant Garde" w:hAnsi="ITC Avant Garde" w:cs="Arial"/>
        </w:rPr>
        <w:t xml:space="preserve">su </w:t>
      </w:r>
      <w:r w:rsidR="00712F65" w:rsidRPr="004E01E4">
        <w:rPr>
          <w:rFonts w:ascii="ITC Avant Garde" w:hAnsi="ITC Avant Garde" w:cs="Arial"/>
        </w:rPr>
        <w:t>favor, de co</w:t>
      </w:r>
      <w:r w:rsidR="00740F26" w:rsidRPr="004E01E4">
        <w:rPr>
          <w:rFonts w:ascii="ITC Avant Garde" w:hAnsi="ITC Avant Garde" w:cs="Arial"/>
        </w:rPr>
        <w:t>nformidad con los Apéndices C1 o</w:t>
      </w:r>
      <w:r w:rsidR="00712F65" w:rsidRPr="004E01E4">
        <w:rPr>
          <w:rFonts w:ascii="ITC Avant Garde" w:hAnsi="ITC Avant Garde" w:cs="Arial"/>
        </w:rPr>
        <w:t xml:space="preserve"> C2 de las Bases</w:t>
      </w:r>
      <w:r w:rsidR="00786946" w:rsidRPr="004E01E4">
        <w:rPr>
          <w:rFonts w:ascii="ITC Avant Garde" w:hAnsi="ITC Avant Garde" w:cs="Arial"/>
        </w:rPr>
        <w:t>, según corresponda</w:t>
      </w:r>
      <w:r w:rsidR="00712F65" w:rsidRPr="004E01E4">
        <w:rPr>
          <w:rFonts w:ascii="ITC Avant Garde" w:hAnsi="ITC Avant Garde" w:cs="Arial"/>
        </w:rPr>
        <w:t xml:space="preserve">, y dentro del plazo establecido en el Calendario de Actividades de </w:t>
      </w:r>
      <w:r w:rsidR="00464257" w:rsidRPr="004E01E4">
        <w:rPr>
          <w:rFonts w:ascii="ITC Avant Garde" w:hAnsi="ITC Avant Garde" w:cs="Arial"/>
        </w:rPr>
        <w:t>las mismas</w:t>
      </w:r>
      <w:r w:rsidR="00712F65" w:rsidRPr="004E01E4">
        <w:rPr>
          <w:rFonts w:ascii="ITC Avant Garde" w:hAnsi="ITC Avant Garde" w:cs="Arial"/>
        </w:rPr>
        <w:t>.</w:t>
      </w:r>
      <w:r w:rsidR="00AB3C86" w:rsidRPr="004E01E4">
        <w:rPr>
          <w:rFonts w:ascii="ITC Avant Garde" w:hAnsi="ITC Avant Garde" w:cs="Arial"/>
        </w:rPr>
        <w:t xml:space="preserve"> </w:t>
      </w:r>
      <w:r w:rsidR="00346B9B" w:rsidRPr="004E01E4">
        <w:rPr>
          <w:rFonts w:ascii="ITC Avant Garde" w:hAnsi="ITC Avant Garde" w:cs="Arial"/>
        </w:rPr>
        <w:t>E</w:t>
      </w:r>
      <w:r w:rsidR="00AB3C86" w:rsidRPr="004E01E4">
        <w:rPr>
          <w:rFonts w:ascii="ITC Avant Garde" w:hAnsi="ITC Avant Garde" w:cs="Arial"/>
        </w:rPr>
        <w:t xml:space="preserve">n el mismo acto el Instituto le otorgará </w:t>
      </w:r>
      <w:r w:rsidR="00B3033F" w:rsidRPr="004E01E4">
        <w:rPr>
          <w:rFonts w:ascii="ITC Avant Garde" w:hAnsi="ITC Avant Garde" w:cs="Arial"/>
        </w:rPr>
        <w:t xml:space="preserve">un </w:t>
      </w:r>
      <w:r w:rsidR="00AB3C86" w:rsidRPr="004E01E4">
        <w:rPr>
          <w:rFonts w:ascii="ITC Avant Garde" w:hAnsi="ITC Avant Garde" w:cs="Arial"/>
        </w:rPr>
        <w:t xml:space="preserve">título de </w:t>
      </w:r>
      <w:r w:rsidR="00B3033F" w:rsidRPr="004E01E4">
        <w:rPr>
          <w:rFonts w:ascii="ITC Avant Garde" w:hAnsi="ITC Avant Garde" w:cs="Arial"/>
        </w:rPr>
        <w:t>C</w:t>
      </w:r>
      <w:r w:rsidR="00AB3C86" w:rsidRPr="004E01E4">
        <w:rPr>
          <w:rFonts w:ascii="ITC Avant Garde" w:hAnsi="ITC Avant Garde" w:cs="Arial"/>
        </w:rPr>
        <w:t xml:space="preserve">oncesión </w:t>
      </w:r>
      <w:r w:rsidR="00B3033F" w:rsidRPr="004E01E4">
        <w:rPr>
          <w:rFonts w:ascii="ITC Avant Garde" w:hAnsi="ITC Avant Garde" w:cs="Arial"/>
        </w:rPr>
        <w:t xml:space="preserve">Única para Uso Comercial, </w:t>
      </w:r>
      <w:r w:rsidR="00AB3C86" w:rsidRPr="004E01E4">
        <w:rPr>
          <w:rFonts w:ascii="ITC Avant Garde" w:hAnsi="ITC Avant Garde" w:cs="Arial"/>
        </w:rPr>
        <w:t>considerando el modelo de títu</w:t>
      </w:r>
      <w:r w:rsidR="00B809FD" w:rsidRPr="004E01E4">
        <w:rPr>
          <w:rFonts w:ascii="ITC Avant Garde" w:hAnsi="ITC Avant Garde" w:cs="Arial"/>
        </w:rPr>
        <w:t>lo del Apéndice D de las Bases.</w:t>
      </w:r>
    </w:p>
    <w:p w14:paraId="7791588E" w14:textId="77777777" w:rsidR="004E01E4" w:rsidRPr="004E01E4" w:rsidRDefault="004E01E4" w:rsidP="004E01E4">
      <w:pPr>
        <w:pBdr>
          <w:top w:val="nil"/>
          <w:left w:val="nil"/>
          <w:bottom w:val="nil"/>
          <w:right w:val="nil"/>
          <w:between w:val="nil"/>
          <w:bar w:val="nil"/>
        </w:pBdr>
        <w:spacing w:line="240" w:lineRule="auto"/>
        <w:contextualSpacing/>
        <w:jc w:val="both"/>
        <w:rPr>
          <w:rFonts w:ascii="ITC Avant Garde" w:hAnsi="ITC Avant Garde" w:cs="Arial"/>
        </w:rPr>
      </w:pPr>
    </w:p>
    <w:p w14:paraId="52341E67" w14:textId="77777777" w:rsidR="002D6F3F" w:rsidRDefault="002E0B27" w:rsidP="004E01E4">
      <w:pPr>
        <w:pBdr>
          <w:top w:val="nil"/>
          <w:left w:val="nil"/>
          <w:bottom w:val="nil"/>
          <w:right w:val="nil"/>
          <w:between w:val="nil"/>
          <w:bar w:val="nil"/>
        </w:pBdr>
        <w:spacing w:line="240" w:lineRule="auto"/>
        <w:contextualSpacing/>
        <w:jc w:val="both"/>
        <w:rPr>
          <w:rFonts w:ascii="ITC Avant Garde" w:hAnsi="ITC Avant Garde" w:cs="Arial"/>
        </w:rPr>
      </w:pPr>
      <w:r w:rsidRPr="004E01E4">
        <w:rPr>
          <w:rFonts w:ascii="ITC Avant Garde" w:hAnsi="ITC Avant Garde" w:cs="Arial"/>
        </w:rPr>
        <w:t>En términos de lo previsto en el numeral 5.4.1</w:t>
      </w:r>
      <w:r w:rsidR="00357DB0" w:rsidRPr="004E01E4">
        <w:rPr>
          <w:rFonts w:ascii="ITC Avant Garde" w:hAnsi="ITC Avant Garde" w:cs="Arial"/>
        </w:rPr>
        <w:t xml:space="preserve">, séptimo párrafo </w:t>
      </w:r>
      <w:r w:rsidRPr="004E01E4">
        <w:rPr>
          <w:rFonts w:ascii="ITC Avant Garde" w:hAnsi="ITC Avant Garde" w:cs="Arial"/>
        </w:rPr>
        <w:t>de las Bases, e</w:t>
      </w:r>
      <w:r w:rsidR="003848B5" w:rsidRPr="004E01E4">
        <w:rPr>
          <w:rFonts w:ascii="ITC Avant Garde" w:hAnsi="ITC Avant Garde" w:cs="Arial"/>
        </w:rPr>
        <w:t>n caso de incumplimiento de las condiciones anteriormente indicadas, dentro de los plazos previstos en el Calendario de Actividades de las Bases, quedará sin efecto</w:t>
      </w:r>
      <w:r w:rsidR="006D154B" w:rsidRPr="004E01E4">
        <w:rPr>
          <w:rFonts w:ascii="ITC Avant Garde" w:hAnsi="ITC Avant Garde" w:cs="Arial"/>
        </w:rPr>
        <w:t>s</w:t>
      </w:r>
      <w:r w:rsidR="003848B5" w:rsidRPr="004E01E4">
        <w:rPr>
          <w:rFonts w:ascii="ITC Avant Garde" w:hAnsi="ITC Avant Garde" w:cs="Arial"/>
        </w:rPr>
        <w:t xml:space="preserve"> el Acta de Fallo para el</w:t>
      </w:r>
      <w:r w:rsidR="002F38A3" w:rsidRPr="004E01E4">
        <w:rPr>
          <w:rFonts w:ascii="ITC Avant Garde" w:hAnsi="ITC Avant Garde" w:cs="Arial"/>
        </w:rPr>
        <w:t xml:space="preserve"> </w:t>
      </w:r>
      <w:r w:rsidR="003848B5" w:rsidRPr="004E01E4">
        <w:rPr>
          <w:rFonts w:ascii="ITC Avant Garde" w:hAnsi="ITC Avant Garde" w:cs="Arial"/>
        </w:rPr>
        <w:t>Participante Ganador, respecto del Lote</w:t>
      </w:r>
      <w:r w:rsidR="002F38A3" w:rsidRPr="004E01E4">
        <w:rPr>
          <w:rFonts w:ascii="ITC Avant Garde" w:hAnsi="ITC Avant Garde" w:cs="Arial"/>
        </w:rPr>
        <w:t xml:space="preserve"> señalado</w:t>
      </w:r>
      <w:r w:rsidR="003848B5" w:rsidRPr="004E01E4">
        <w:rPr>
          <w:rFonts w:ascii="ITC Avant Garde" w:hAnsi="ITC Avant Garde" w:cs="Arial"/>
        </w:rPr>
        <w:t xml:space="preserve">, por </w:t>
      </w:r>
      <w:r w:rsidR="00BB0E54" w:rsidRPr="004E01E4">
        <w:rPr>
          <w:rFonts w:ascii="ITC Avant Garde" w:hAnsi="ITC Avant Garde" w:cs="Arial"/>
        </w:rPr>
        <w:t xml:space="preserve">lo que el Instituto </w:t>
      </w:r>
      <w:r w:rsidR="003848B5" w:rsidRPr="004E01E4">
        <w:rPr>
          <w:rFonts w:ascii="ITC Avant Garde" w:hAnsi="ITC Avant Garde" w:cs="Arial"/>
        </w:rPr>
        <w:t xml:space="preserve">procederá a declarar </w:t>
      </w:r>
      <w:r w:rsidR="002F38A3" w:rsidRPr="004E01E4">
        <w:rPr>
          <w:rFonts w:ascii="ITC Avant Garde" w:hAnsi="ITC Avant Garde" w:cs="Arial"/>
        </w:rPr>
        <w:t xml:space="preserve">su </w:t>
      </w:r>
      <w:r w:rsidR="003848B5" w:rsidRPr="004E01E4">
        <w:rPr>
          <w:rFonts w:ascii="ITC Avant Garde" w:hAnsi="ITC Avant Garde" w:cs="Arial"/>
        </w:rPr>
        <w:t>descalificación, de acuerdo con el numeral 10.3 de las Bases y realizará las gestiones necesa</w:t>
      </w:r>
      <w:r w:rsidR="00674D0A" w:rsidRPr="004E01E4">
        <w:rPr>
          <w:rFonts w:ascii="ITC Avant Garde" w:hAnsi="ITC Avant Garde" w:cs="Arial"/>
        </w:rPr>
        <w:t>rias para la ejecución de la Garantía de Seriedad respectiva</w:t>
      </w:r>
      <w:r w:rsidR="003848B5" w:rsidRPr="004E01E4">
        <w:rPr>
          <w:rFonts w:ascii="ITC Avant Garde" w:hAnsi="ITC Avant Garde" w:cs="Arial"/>
        </w:rPr>
        <w:t>.</w:t>
      </w:r>
    </w:p>
    <w:p w14:paraId="63BDA006" w14:textId="77777777" w:rsidR="004E01E4" w:rsidRPr="004E01E4" w:rsidRDefault="004E01E4" w:rsidP="004E01E4">
      <w:pPr>
        <w:pBdr>
          <w:top w:val="nil"/>
          <w:left w:val="nil"/>
          <w:bottom w:val="nil"/>
          <w:right w:val="nil"/>
          <w:between w:val="nil"/>
          <w:bar w:val="nil"/>
        </w:pBdr>
        <w:spacing w:line="240" w:lineRule="auto"/>
        <w:contextualSpacing/>
        <w:jc w:val="both"/>
        <w:rPr>
          <w:rFonts w:ascii="ITC Avant Garde" w:hAnsi="ITC Avant Garde" w:cs="Arial"/>
        </w:rPr>
      </w:pPr>
    </w:p>
    <w:p w14:paraId="0E0B4B3D" w14:textId="219022A9" w:rsidR="002D6F3F" w:rsidRDefault="00E32AE7" w:rsidP="002D6F3F">
      <w:pPr>
        <w:pBdr>
          <w:top w:val="nil"/>
          <w:left w:val="nil"/>
          <w:bottom w:val="nil"/>
          <w:right w:val="nil"/>
          <w:between w:val="nil"/>
          <w:bar w:val="nil"/>
        </w:pBdr>
        <w:spacing w:line="240" w:lineRule="auto"/>
        <w:contextualSpacing/>
        <w:jc w:val="both"/>
        <w:rPr>
          <w:rFonts w:ascii="ITC Avant Garde" w:hAnsi="ITC Avant Garde" w:cs="Arial"/>
        </w:rPr>
      </w:pPr>
      <w:r w:rsidRPr="002D6F3F">
        <w:rPr>
          <w:rFonts w:ascii="ITC Avant Garde" w:hAnsi="ITC Avant Garde" w:cs="Arial"/>
        </w:rPr>
        <w:t>Por consiguiente, en caso de que el Participante Ganador no cumpla con las condiciones establecidas para el otorgamiento del título de concesión dentro del período establecido para tal efecto, el Instituto procederá a asignar, a través de una nueva Acta de Fallo, el Lote al Participante con la Oferta Subsecuente más Alta que haya manifestado su interés en continuar en el proceso</w:t>
      </w:r>
      <w:r w:rsidR="00674D0A" w:rsidRPr="002D6F3F">
        <w:rPr>
          <w:rFonts w:ascii="ITC Avant Garde" w:hAnsi="ITC Avant Garde" w:cs="Arial"/>
        </w:rPr>
        <w:t>, en términos de Apéndice G de las Bases</w:t>
      </w:r>
      <w:r w:rsidRPr="002D6F3F">
        <w:rPr>
          <w:rFonts w:ascii="ITC Avant Garde" w:hAnsi="ITC Avant Garde" w:cs="Arial"/>
        </w:rPr>
        <w:t xml:space="preserve">, previa descalificación del anterior Participante Ganador; y así sucesivamente, hasta que </w:t>
      </w:r>
      <w:r w:rsidR="00904F15" w:rsidRPr="002D6F3F">
        <w:rPr>
          <w:rFonts w:ascii="ITC Avant Garde" w:hAnsi="ITC Avant Garde" w:cs="Arial"/>
        </w:rPr>
        <w:t xml:space="preserve">el </w:t>
      </w:r>
      <w:r w:rsidRPr="002D6F3F">
        <w:rPr>
          <w:rFonts w:ascii="ITC Avant Garde" w:hAnsi="ITC Avant Garde" w:cs="Arial"/>
        </w:rPr>
        <w:t>nuevo Participante Ganador cumpla con los requisitos para entregarle su título de concesión o</w:t>
      </w:r>
      <w:r w:rsidR="00904F15" w:rsidRPr="002D6F3F">
        <w:rPr>
          <w:rFonts w:ascii="ITC Avant Garde" w:hAnsi="ITC Avant Garde" w:cs="Arial"/>
        </w:rPr>
        <w:t>,</w:t>
      </w:r>
      <w:r w:rsidRPr="002D6F3F">
        <w:rPr>
          <w:rFonts w:ascii="ITC Avant Garde" w:hAnsi="ITC Avant Garde" w:cs="Arial"/>
        </w:rPr>
        <w:t xml:space="preserve"> ya no existan Participantes con la Oferta Subsecuente más Alta en un determinado Lote, en cuyo caso, será declarado desierto el Lot</w:t>
      </w:r>
      <w:r w:rsidR="004E01E4">
        <w:rPr>
          <w:rFonts w:ascii="ITC Avant Garde" w:hAnsi="ITC Avant Garde" w:cs="Arial"/>
        </w:rPr>
        <w:t>e.</w:t>
      </w:r>
    </w:p>
    <w:p w14:paraId="52A8674F" w14:textId="77777777" w:rsidR="004E01E4" w:rsidRPr="002D6F3F" w:rsidRDefault="004E01E4" w:rsidP="002D6F3F">
      <w:pPr>
        <w:pBdr>
          <w:top w:val="nil"/>
          <w:left w:val="nil"/>
          <w:bottom w:val="nil"/>
          <w:right w:val="nil"/>
          <w:between w:val="nil"/>
          <w:bar w:val="nil"/>
        </w:pBdr>
        <w:spacing w:line="240" w:lineRule="auto"/>
        <w:contextualSpacing/>
        <w:jc w:val="both"/>
        <w:rPr>
          <w:rFonts w:ascii="ITC Avant Garde" w:hAnsi="ITC Avant Garde" w:cs="Arial"/>
        </w:rPr>
      </w:pPr>
    </w:p>
    <w:p w14:paraId="030473D7" w14:textId="73D4C6FE" w:rsidR="002D6F3F" w:rsidRDefault="00D9243A" w:rsidP="002D6F3F">
      <w:pPr>
        <w:pBdr>
          <w:top w:val="nil"/>
          <w:left w:val="nil"/>
          <w:bottom w:val="nil"/>
          <w:right w:val="nil"/>
          <w:between w:val="nil"/>
          <w:bar w:val="nil"/>
        </w:pBdr>
        <w:spacing w:line="240" w:lineRule="auto"/>
        <w:contextualSpacing/>
        <w:jc w:val="both"/>
        <w:rPr>
          <w:rFonts w:ascii="ITC Avant Garde" w:hAnsi="ITC Avant Garde" w:cs="Arial"/>
        </w:rPr>
      </w:pPr>
      <w:r w:rsidRPr="002D6F3F">
        <w:rPr>
          <w:rFonts w:ascii="ITC Avant Garde" w:hAnsi="ITC Avant Garde" w:cs="Arial"/>
        </w:rPr>
        <w:t xml:space="preserve">Tratándose del supuesto en que ningún </w:t>
      </w:r>
      <w:r w:rsidR="00904F15" w:rsidRPr="002D6F3F">
        <w:rPr>
          <w:rFonts w:ascii="ITC Avant Garde" w:hAnsi="ITC Avant Garde" w:cs="Arial"/>
        </w:rPr>
        <w:t>P</w:t>
      </w:r>
      <w:r w:rsidRPr="002D6F3F">
        <w:rPr>
          <w:rFonts w:ascii="ITC Avant Garde" w:hAnsi="ITC Avant Garde" w:cs="Arial"/>
        </w:rPr>
        <w:t>articipante</w:t>
      </w:r>
      <w:r w:rsidR="00576078" w:rsidRPr="002D6F3F">
        <w:rPr>
          <w:rFonts w:ascii="ITC Avant Garde" w:hAnsi="ITC Avant Garde" w:cs="Arial"/>
        </w:rPr>
        <w:t xml:space="preserve"> </w:t>
      </w:r>
      <w:r w:rsidRPr="002D6F3F">
        <w:rPr>
          <w:rFonts w:ascii="ITC Avant Garde" w:hAnsi="ITC Avant Garde" w:cs="Arial"/>
        </w:rPr>
        <w:t>haya manifestado interés en ese Lote, o que los Participantes no cumplan con las c</w:t>
      </w:r>
      <w:r w:rsidR="004E6C68" w:rsidRPr="002D6F3F">
        <w:rPr>
          <w:rFonts w:ascii="ITC Avant Garde" w:hAnsi="ITC Avant Garde" w:cs="Arial"/>
        </w:rPr>
        <w:t>ondiciones anteriormente indicad</w:t>
      </w:r>
      <w:r w:rsidRPr="002D6F3F">
        <w:rPr>
          <w:rFonts w:ascii="ITC Avant Garde" w:hAnsi="ITC Avant Garde" w:cs="Arial"/>
        </w:rPr>
        <w:t>as se declarará desierto el pro</w:t>
      </w:r>
      <w:r w:rsidR="004E01E4">
        <w:rPr>
          <w:rFonts w:ascii="ITC Avant Garde" w:hAnsi="ITC Avant Garde" w:cs="Arial"/>
        </w:rPr>
        <w:t>ceso licitatorio para ese Lote.</w:t>
      </w:r>
    </w:p>
    <w:p w14:paraId="78947EE3" w14:textId="77777777" w:rsidR="004E01E4" w:rsidRPr="002D6F3F" w:rsidRDefault="004E01E4" w:rsidP="002D6F3F">
      <w:pPr>
        <w:pBdr>
          <w:top w:val="nil"/>
          <w:left w:val="nil"/>
          <w:bottom w:val="nil"/>
          <w:right w:val="nil"/>
          <w:between w:val="nil"/>
          <w:bar w:val="nil"/>
        </w:pBdr>
        <w:spacing w:line="240" w:lineRule="auto"/>
        <w:contextualSpacing/>
        <w:jc w:val="both"/>
        <w:rPr>
          <w:rFonts w:ascii="ITC Avant Garde" w:hAnsi="ITC Avant Garde" w:cs="Arial"/>
        </w:rPr>
      </w:pPr>
    </w:p>
    <w:p w14:paraId="16ADF2FC" w14:textId="2975A6D9" w:rsidR="002D6F3F" w:rsidRPr="002D6F3F" w:rsidRDefault="004E01E4" w:rsidP="004E01E4">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Pr>
          <w:rFonts w:ascii="ITC Avant Garde" w:eastAsia="Arial Unicode MS" w:hAnsi="ITC Avant Garde" w:cs="Arial"/>
          <w:b/>
          <w:bCs/>
          <w:u w:color="000000"/>
          <w:bdr w:val="nil"/>
          <w:lang w:val="es-ES_tradnl"/>
        </w:rPr>
        <w:t>QUINTO.</w:t>
      </w:r>
      <w:r>
        <w:rPr>
          <w:rFonts w:ascii="ITC Avant Garde" w:eastAsia="Arial Unicode MS" w:hAnsi="ITC Avant Garde" w:cs="Arial"/>
          <w:b/>
          <w:bCs/>
          <w:u w:color="000000"/>
          <w:bdr w:val="nil"/>
          <w:lang w:val="es-ES_tradnl"/>
        </w:rPr>
        <w:tab/>
      </w:r>
      <w:r w:rsidR="00674D0A" w:rsidRPr="002D6F3F">
        <w:rPr>
          <w:rFonts w:ascii="ITC Avant Garde" w:eastAsia="Arial Unicode MS" w:hAnsi="ITC Avant Garde" w:cs="Arial"/>
          <w:b/>
          <w:bCs/>
          <w:u w:color="000000"/>
          <w:bdr w:val="nil"/>
          <w:lang w:val="es-ES_tradnl"/>
        </w:rPr>
        <w:t>Liberación de las Garantías</w:t>
      </w:r>
      <w:r w:rsidR="007D2987" w:rsidRPr="002D6F3F">
        <w:rPr>
          <w:rFonts w:ascii="ITC Avant Garde" w:eastAsia="Arial Unicode MS" w:hAnsi="ITC Avant Garde" w:cs="Arial"/>
          <w:b/>
          <w:bCs/>
          <w:u w:color="000000"/>
          <w:bdr w:val="nil"/>
          <w:lang w:val="es-ES_tradnl"/>
        </w:rPr>
        <w:t xml:space="preserve"> de Seriedad. </w:t>
      </w:r>
      <w:r w:rsidR="00674D0A" w:rsidRPr="002D6F3F">
        <w:rPr>
          <w:rFonts w:ascii="ITC Avant Garde" w:eastAsia="Arial Unicode MS" w:hAnsi="ITC Avant Garde" w:cs="Arial"/>
          <w:bCs/>
          <w:u w:color="000000"/>
          <w:bdr w:val="nil"/>
          <w:lang w:val="es-ES_tradnl"/>
        </w:rPr>
        <w:t>El Instituto liberará la</w:t>
      </w:r>
      <w:r w:rsidR="00E32AE7" w:rsidRPr="002D6F3F">
        <w:rPr>
          <w:rFonts w:ascii="ITC Avant Garde" w:eastAsia="Arial Unicode MS" w:hAnsi="ITC Avant Garde" w:cs="Arial"/>
          <w:bCs/>
          <w:u w:color="000000"/>
          <w:bdr w:val="nil"/>
          <w:lang w:val="es-ES_tradnl"/>
        </w:rPr>
        <w:t xml:space="preserve"> Garantía de Seriedad</w:t>
      </w:r>
      <w:r w:rsidR="00674D0A" w:rsidRPr="002D6F3F">
        <w:rPr>
          <w:rFonts w:ascii="ITC Avant Garde" w:eastAsia="Arial Unicode MS" w:hAnsi="ITC Avant Garde" w:cs="Arial"/>
          <w:bCs/>
          <w:u w:color="000000"/>
          <w:bdr w:val="nil"/>
          <w:lang w:val="es-ES_tradnl"/>
        </w:rPr>
        <w:t xml:space="preserve"> </w:t>
      </w:r>
      <w:r w:rsidR="00E32AE7" w:rsidRPr="002D6F3F">
        <w:rPr>
          <w:rFonts w:ascii="ITC Avant Garde" w:eastAsia="Arial Unicode MS" w:hAnsi="ITC Avant Garde" w:cs="Arial"/>
          <w:bCs/>
          <w:u w:color="000000"/>
          <w:bdr w:val="nil"/>
          <w:lang w:val="es-ES_tradnl"/>
        </w:rPr>
        <w:t>de lo</w:t>
      </w:r>
      <w:r w:rsidR="007D2987" w:rsidRPr="002D6F3F">
        <w:rPr>
          <w:rFonts w:ascii="ITC Avant Garde" w:eastAsia="Arial Unicode MS" w:hAnsi="ITC Avant Garde" w:cs="Arial"/>
          <w:bCs/>
          <w:u w:color="000000"/>
          <w:bdr w:val="nil"/>
          <w:lang w:val="es-ES_tradnl"/>
        </w:rPr>
        <w:t xml:space="preserve">s Participantes </w:t>
      </w:r>
      <w:r w:rsidR="003D23BC" w:rsidRPr="002D6F3F">
        <w:rPr>
          <w:rFonts w:ascii="ITC Avant Garde" w:eastAsia="Arial Unicode MS" w:hAnsi="ITC Avant Garde" w:cs="Arial"/>
          <w:bCs/>
          <w:u w:color="000000"/>
          <w:bdr w:val="nil"/>
          <w:lang w:val="es-ES_tradnl"/>
        </w:rPr>
        <w:t xml:space="preserve">no Ganadores </w:t>
      </w:r>
      <w:r w:rsidR="007D2987" w:rsidRPr="002D6F3F">
        <w:rPr>
          <w:rFonts w:ascii="ITC Avant Garde" w:eastAsia="Arial Unicode MS" w:hAnsi="ITC Avant Garde" w:cs="Arial"/>
          <w:bCs/>
          <w:u w:color="000000"/>
          <w:bdr w:val="nil"/>
          <w:lang w:val="es-ES_tradnl"/>
        </w:rPr>
        <w:t xml:space="preserve">que no manifiesten su interés de continuar en </w:t>
      </w:r>
      <w:r w:rsidR="00674D0A" w:rsidRPr="002D6F3F">
        <w:rPr>
          <w:rFonts w:ascii="ITC Avant Garde" w:eastAsia="Arial Unicode MS" w:hAnsi="ITC Avant Garde" w:cs="Arial"/>
          <w:bCs/>
          <w:u w:color="000000"/>
          <w:bdr w:val="nil"/>
          <w:lang w:val="es-ES_tradnl"/>
        </w:rPr>
        <w:t>la Licitación No. IFT-4</w:t>
      </w:r>
      <w:r w:rsidR="00902A08" w:rsidRPr="002D6F3F">
        <w:rPr>
          <w:rFonts w:ascii="ITC Avant Garde" w:eastAsia="Arial Unicode MS" w:hAnsi="ITC Avant Garde" w:cs="Arial"/>
          <w:bCs/>
          <w:u w:color="000000"/>
          <w:bdr w:val="nil"/>
          <w:lang w:val="es-ES_tradnl"/>
        </w:rPr>
        <w:t xml:space="preserve">, </w:t>
      </w:r>
      <w:r w:rsidR="00674D0A" w:rsidRPr="002D6F3F">
        <w:rPr>
          <w:rFonts w:ascii="ITC Avant Garde" w:eastAsia="Arial Unicode MS" w:hAnsi="ITC Avant Garde" w:cs="Arial"/>
          <w:bCs/>
          <w:u w:color="000000"/>
          <w:bdr w:val="nil"/>
          <w:lang w:val="es-ES_tradnl"/>
        </w:rPr>
        <w:t xml:space="preserve">respecto al Lote que nos ocupa, </w:t>
      </w:r>
      <w:r w:rsidR="00902A08" w:rsidRPr="002D6F3F">
        <w:rPr>
          <w:rFonts w:ascii="ITC Avant Garde" w:eastAsia="Arial Unicode MS" w:hAnsi="ITC Avant Garde" w:cs="Arial"/>
          <w:bCs/>
          <w:u w:color="000000"/>
          <w:bdr w:val="nil"/>
          <w:lang w:val="es-ES_tradnl"/>
        </w:rPr>
        <w:t>de acuerdo co</w:t>
      </w:r>
      <w:r w:rsidR="00674D0A" w:rsidRPr="002D6F3F">
        <w:rPr>
          <w:rFonts w:ascii="ITC Avant Garde" w:eastAsia="Arial Unicode MS" w:hAnsi="ITC Avant Garde" w:cs="Arial"/>
          <w:bCs/>
          <w:u w:color="000000"/>
          <w:bdr w:val="nil"/>
          <w:lang w:val="es-ES_tradnl"/>
        </w:rPr>
        <w:t>n el numeral 5.4.1</w:t>
      </w:r>
      <w:r w:rsidR="00357DB0" w:rsidRPr="002D6F3F">
        <w:rPr>
          <w:rFonts w:ascii="ITC Avant Garde" w:eastAsia="Arial Unicode MS" w:hAnsi="ITC Avant Garde" w:cs="Arial"/>
          <w:bCs/>
          <w:u w:color="000000"/>
          <w:bdr w:val="nil"/>
          <w:lang w:val="es-ES_tradnl"/>
        </w:rPr>
        <w:t>, quinto párrafo</w:t>
      </w:r>
      <w:r w:rsidR="00674D0A" w:rsidRPr="002D6F3F">
        <w:rPr>
          <w:rFonts w:ascii="ITC Avant Garde" w:eastAsia="Arial Unicode MS" w:hAnsi="ITC Avant Garde" w:cs="Arial"/>
          <w:bCs/>
          <w:u w:color="000000"/>
          <w:bdr w:val="nil"/>
          <w:lang w:val="es-ES_tradnl"/>
        </w:rPr>
        <w:t xml:space="preserve"> </w:t>
      </w:r>
      <w:r w:rsidR="002F1647" w:rsidRPr="002D6F3F">
        <w:rPr>
          <w:rFonts w:ascii="ITC Avant Garde" w:eastAsia="Arial Unicode MS" w:hAnsi="ITC Avant Garde" w:cs="Arial"/>
          <w:bCs/>
          <w:u w:color="000000"/>
          <w:bdr w:val="nil"/>
          <w:lang w:val="es-ES_tradnl"/>
        </w:rPr>
        <w:t>y 8.10 fracción II de las Bases</w:t>
      </w:r>
      <w:r w:rsidR="00674D0A" w:rsidRPr="002D6F3F">
        <w:rPr>
          <w:rFonts w:ascii="ITC Avant Garde" w:eastAsia="Arial Unicode MS" w:hAnsi="ITC Avant Garde" w:cs="Arial"/>
          <w:bCs/>
          <w:u w:color="000000"/>
          <w:bdr w:val="nil"/>
          <w:lang w:val="es-ES_tradnl"/>
        </w:rPr>
        <w:t xml:space="preserve">, una vez concluido el plazo previsto en el Calendario de Actividades para presentar tal manifestación, </w:t>
      </w:r>
      <w:r w:rsidR="002F1647" w:rsidRPr="002D6F3F">
        <w:rPr>
          <w:rFonts w:ascii="ITC Avant Garde" w:eastAsia="Arial Unicode MS" w:hAnsi="ITC Avant Garde" w:cs="Arial"/>
          <w:bCs/>
          <w:u w:color="000000"/>
          <w:bdr w:val="nil"/>
          <w:lang w:val="es-ES_tradnl"/>
        </w:rPr>
        <w:t xml:space="preserve">esto es, </w:t>
      </w:r>
      <w:r w:rsidR="00674D0A" w:rsidRPr="002D6F3F">
        <w:rPr>
          <w:rFonts w:ascii="ITC Avant Garde" w:eastAsia="Arial Unicode MS" w:hAnsi="ITC Avant Garde" w:cs="Arial"/>
          <w:bCs/>
          <w:u w:color="000000"/>
          <w:bdr w:val="nil"/>
          <w:lang w:val="es-ES_tradnl"/>
        </w:rPr>
        <w:t>del 17 al 21 de abril de 2017</w:t>
      </w:r>
      <w:r w:rsidR="002F1647" w:rsidRPr="002D6F3F">
        <w:rPr>
          <w:rFonts w:ascii="ITC Avant Garde" w:eastAsia="Arial Unicode MS" w:hAnsi="ITC Avant Garde" w:cs="Arial"/>
          <w:bCs/>
          <w:u w:color="000000"/>
          <w:bdr w:val="nil"/>
          <w:lang w:val="es-ES_tradnl"/>
        </w:rPr>
        <w:t>, y no hayan incurrido en una causal de descalificación</w:t>
      </w:r>
      <w:r w:rsidR="00674D0A" w:rsidRPr="002D6F3F">
        <w:rPr>
          <w:rFonts w:ascii="ITC Avant Garde" w:eastAsia="Arial Unicode MS" w:hAnsi="ITC Avant Garde" w:cs="Arial"/>
          <w:bCs/>
          <w:u w:color="000000"/>
          <w:bdr w:val="nil"/>
          <w:lang w:val="es-ES_tradnl"/>
        </w:rPr>
        <w:t>.</w:t>
      </w:r>
    </w:p>
    <w:p w14:paraId="412D61A8" w14:textId="77777777" w:rsidR="002D6F3F" w:rsidRDefault="00674D0A" w:rsidP="002D6F3F">
      <w:pPr>
        <w:pBdr>
          <w:top w:val="nil"/>
          <w:left w:val="nil"/>
          <w:bottom w:val="nil"/>
          <w:right w:val="nil"/>
          <w:between w:val="nil"/>
          <w:bar w:val="nil"/>
        </w:pBdr>
        <w:spacing w:line="240" w:lineRule="auto"/>
        <w:contextualSpacing/>
        <w:jc w:val="both"/>
        <w:rPr>
          <w:rFonts w:ascii="ITC Avant Garde" w:hAnsi="ITC Avant Garde" w:cs="Arial"/>
        </w:rPr>
      </w:pPr>
      <w:r w:rsidRPr="002D6F3F">
        <w:rPr>
          <w:rFonts w:ascii="ITC Avant Garde" w:hAnsi="ITC Avant Garde" w:cs="Arial"/>
        </w:rPr>
        <w:t>Asimismo, una vez entregado el</w:t>
      </w:r>
      <w:r w:rsidR="00993366" w:rsidRPr="002D6F3F">
        <w:rPr>
          <w:rFonts w:ascii="ITC Avant Garde" w:hAnsi="ITC Avant Garde" w:cs="Arial"/>
        </w:rPr>
        <w:t>(los)</w:t>
      </w:r>
      <w:r w:rsidRPr="002D6F3F">
        <w:rPr>
          <w:rFonts w:ascii="ITC Avant Garde" w:hAnsi="ITC Avant Garde" w:cs="Arial"/>
        </w:rPr>
        <w:t xml:space="preserve"> Título</w:t>
      </w:r>
      <w:r w:rsidR="00993366" w:rsidRPr="002D6F3F">
        <w:rPr>
          <w:rFonts w:ascii="ITC Avant Garde" w:hAnsi="ITC Avant Garde" w:cs="Arial"/>
        </w:rPr>
        <w:t>(s)</w:t>
      </w:r>
      <w:r w:rsidRPr="002D6F3F">
        <w:rPr>
          <w:rFonts w:ascii="ITC Avant Garde" w:hAnsi="ITC Avant Garde" w:cs="Arial"/>
        </w:rPr>
        <w:t xml:space="preserve"> de Concesión respectivo</w:t>
      </w:r>
      <w:r w:rsidR="00993366" w:rsidRPr="002D6F3F">
        <w:rPr>
          <w:rFonts w:ascii="ITC Avant Garde" w:hAnsi="ITC Avant Garde" w:cs="Arial"/>
        </w:rPr>
        <w:t>(s)</w:t>
      </w:r>
      <w:r w:rsidRPr="002D6F3F">
        <w:rPr>
          <w:rFonts w:ascii="ITC Avant Garde" w:hAnsi="ITC Avant Garde" w:cs="Arial"/>
        </w:rPr>
        <w:t xml:space="preserve"> al Participante Ganador</w:t>
      </w:r>
      <w:r w:rsidR="00993366" w:rsidRPr="002D6F3F">
        <w:rPr>
          <w:rFonts w:ascii="ITC Avant Garde" w:hAnsi="ITC Avant Garde" w:cs="Arial"/>
        </w:rPr>
        <w:t>, el Instituto</w:t>
      </w:r>
      <w:r w:rsidRPr="002D6F3F">
        <w:rPr>
          <w:rFonts w:ascii="ITC Avant Garde" w:hAnsi="ITC Avant Garde" w:cs="Arial"/>
        </w:rPr>
        <w:t xml:space="preserve"> liberará </w:t>
      </w:r>
      <w:r w:rsidR="007E1DE8" w:rsidRPr="002D6F3F">
        <w:rPr>
          <w:rFonts w:ascii="ITC Avant Garde" w:hAnsi="ITC Avant Garde" w:cs="Arial"/>
        </w:rPr>
        <w:t xml:space="preserve">su Garantía de Seriedad así como </w:t>
      </w:r>
      <w:r w:rsidRPr="002D6F3F">
        <w:rPr>
          <w:rFonts w:ascii="ITC Avant Garde" w:hAnsi="ITC Avant Garde" w:cs="Arial"/>
        </w:rPr>
        <w:t>la</w:t>
      </w:r>
      <w:r w:rsidR="007E1DE8" w:rsidRPr="002D6F3F">
        <w:rPr>
          <w:rFonts w:ascii="ITC Avant Garde" w:hAnsi="ITC Avant Garde" w:cs="Arial"/>
        </w:rPr>
        <w:t>s</w:t>
      </w:r>
      <w:r w:rsidRPr="002D6F3F">
        <w:rPr>
          <w:rFonts w:ascii="ITC Avant Garde" w:hAnsi="ITC Avant Garde" w:cs="Arial"/>
        </w:rPr>
        <w:t xml:space="preserve"> Garantía</w:t>
      </w:r>
      <w:r w:rsidR="007E1DE8" w:rsidRPr="002D6F3F">
        <w:rPr>
          <w:rFonts w:ascii="ITC Avant Garde" w:hAnsi="ITC Avant Garde" w:cs="Arial"/>
        </w:rPr>
        <w:t>s</w:t>
      </w:r>
      <w:r w:rsidRPr="002D6F3F">
        <w:rPr>
          <w:rFonts w:ascii="ITC Avant Garde" w:hAnsi="ITC Avant Garde" w:cs="Arial"/>
        </w:rPr>
        <w:t xml:space="preserve"> de Seriedad de </w:t>
      </w:r>
      <w:r w:rsidR="00993366" w:rsidRPr="002D6F3F">
        <w:rPr>
          <w:rFonts w:ascii="ITC Avant Garde" w:hAnsi="ITC Avant Garde" w:cs="Arial"/>
        </w:rPr>
        <w:t>los Participantes no ganadores que manifestaron su interés de continuar en la Licitación No. IFT-4.</w:t>
      </w:r>
    </w:p>
    <w:p w14:paraId="10610CD9" w14:textId="77777777" w:rsidR="004E01E4" w:rsidRPr="002D6F3F" w:rsidRDefault="004E01E4" w:rsidP="002D6F3F">
      <w:pPr>
        <w:pBdr>
          <w:top w:val="nil"/>
          <w:left w:val="nil"/>
          <w:bottom w:val="nil"/>
          <w:right w:val="nil"/>
          <w:between w:val="nil"/>
          <w:bar w:val="nil"/>
        </w:pBdr>
        <w:spacing w:line="240" w:lineRule="auto"/>
        <w:contextualSpacing/>
        <w:jc w:val="both"/>
        <w:rPr>
          <w:rFonts w:ascii="ITC Avant Garde" w:hAnsi="ITC Avant Garde" w:cs="Arial"/>
        </w:rPr>
      </w:pPr>
    </w:p>
    <w:p w14:paraId="1618A456" w14:textId="77777777" w:rsidR="002D6F3F" w:rsidRPr="002D6F3F" w:rsidRDefault="00FF478E" w:rsidP="002D6F3F">
      <w:pPr>
        <w:spacing w:line="240" w:lineRule="auto"/>
        <w:contextualSpacing/>
        <w:jc w:val="both"/>
        <w:rPr>
          <w:rFonts w:ascii="ITC Avant Garde" w:eastAsia="Times New Roman" w:hAnsi="ITC Avant Garde" w:cs="Arial"/>
          <w:lang w:eastAsia="es-MX"/>
        </w:rPr>
      </w:pPr>
      <w:r w:rsidRPr="002D6F3F">
        <w:rPr>
          <w:rFonts w:ascii="ITC Avant Garde" w:eastAsia="Times New Roman" w:hAnsi="ITC Avant Garde" w:cs="Arial"/>
          <w:lang w:eastAsia="es-MX"/>
        </w:rPr>
        <w:t xml:space="preserve">Por lo expuesto,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17, </w:t>
      </w:r>
      <w:r w:rsidR="00807570" w:rsidRPr="002D6F3F">
        <w:rPr>
          <w:rFonts w:ascii="ITC Avant Garde" w:eastAsia="Times New Roman" w:hAnsi="ITC Avant Garde" w:cs="Arial"/>
          <w:lang w:eastAsia="es-MX"/>
        </w:rPr>
        <w:t>f</w:t>
      </w:r>
      <w:r w:rsidRPr="002D6F3F">
        <w:rPr>
          <w:rFonts w:ascii="ITC Avant Garde" w:eastAsia="Times New Roman" w:hAnsi="ITC Avant Garde" w:cs="Arial"/>
          <w:lang w:eastAsia="es-MX"/>
        </w:rPr>
        <w:t>racción XV, 54, 78, fracción II</w:t>
      </w:r>
      <w:r w:rsidR="007E1DE8" w:rsidRPr="002D6F3F">
        <w:rPr>
          <w:rFonts w:ascii="ITC Avant Garde" w:eastAsia="Times New Roman" w:hAnsi="ITC Avant Garde" w:cs="Arial"/>
          <w:lang w:eastAsia="es-MX"/>
        </w:rPr>
        <w:t>,</w:t>
      </w:r>
      <w:r w:rsidRPr="002D6F3F">
        <w:rPr>
          <w:rFonts w:ascii="ITC Avant Garde" w:eastAsia="Times New Roman" w:hAnsi="ITC Avant Garde" w:cs="Arial"/>
          <w:lang w:eastAsia="es-MX"/>
        </w:rPr>
        <w:t xml:space="preserve"> 79 </w:t>
      </w:r>
      <w:r w:rsidR="007E1DE8" w:rsidRPr="002D6F3F">
        <w:rPr>
          <w:rFonts w:ascii="ITC Avant Garde" w:eastAsia="Times New Roman" w:hAnsi="ITC Avant Garde" w:cs="Arial"/>
          <w:lang w:eastAsia="es-MX"/>
        </w:rPr>
        <w:t xml:space="preserve">y 101 </w:t>
      </w:r>
      <w:r w:rsidRPr="002D6F3F">
        <w:rPr>
          <w:rFonts w:ascii="ITC Avant Garde" w:eastAsia="Times New Roman" w:hAnsi="ITC Avant Garde" w:cs="Arial"/>
          <w:lang w:eastAsia="es-MX"/>
        </w:rPr>
        <w:t>de la Ley Federal de Telecomunicaciones y Radiodifusión; 1, 4, fracción I, 6, fracción I,</w:t>
      </w:r>
      <w:r w:rsidR="00807570" w:rsidRPr="002D6F3F">
        <w:rPr>
          <w:rFonts w:ascii="ITC Avant Garde" w:eastAsia="Times New Roman" w:hAnsi="ITC Avant Garde" w:cs="Arial"/>
          <w:lang w:eastAsia="es-MX"/>
        </w:rPr>
        <w:t xml:space="preserve"> </w:t>
      </w:r>
      <w:r w:rsidRPr="002D6F3F">
        <w:rPr>
          <w:rFonts w:ascii="ITC Avant Garde" w:eastAsia="Times New Roman" w:hAnsi="ITC Avant Garde" w:cs="Arial"/>
          <w:lang w:eastAsia="es-MX"/>
        </w:rPr>
        <w:t>27, 29, fracciones I y V,</w:t>
      </w:r>
      <w:r w:rsidRPr="002D6F3F">
        <w:rPr>
          <w:rFonts w:ascii="ITC Avant Garde" w:hAnsi="ITC Avant Garde" w:cs="Arial"/>
        </w:rPr>
        <w:t xml:space="preserve"> </w:t>
      </w:r>
      <w:r w:rsidRPr="002D6F3F">
        <w:rPr>
          <w:rFonts w:ascii="ITC Avant Garde" w:eastAsia="Times New Roman" w:hAnsi="ITC Avant Garde" w:cs="Arial"/>
          <w:lang w:eastAsia="es-MX"/>
        </w:rPr>
        <w:t>del Estatuto Orgánico del Instituto Federal de Telecomunicaciones, y</w:t>
      </w:r>
      <w:r w:rsidR="00807570" w:rsidRPr="002D6F3F">
        <w:rPr>
          <w:rFonts w:ascii="ITC Avant Garde" w:eastAsia="Times New Roman" w:hAnsi="ITC Avant Garde" w:cs="Arial"/>
          <w:lang w:eastAsia="es-MX"/>
        </w:rPr>
        <w:t xml:space="preserve"> </w:t>
      </w:r>
      <w:r w:rsidRPr="002D6F3F">
        <w:rPr>
          <w:rFonts w:ascii="ITC Avant Garde" w:eastAsia="Times New Roman" w:hAnsi="ITC Avant Garde" w:cs="Arial"/>
          <w:lang w:eastAsia="es-MX"/>
        </w:rPr>
        <w:t xml:space="preserve">numerales 1, </w:t>
      </w:r>
      <w:r w:rsidR="00CD261F" w:rsidRPr="002D6F3F">
        <w:rPr>
          <w:rFonts w:ascii="ITC Avant Garde" w:eastAsia="Times New Roman" w:hAnsi="ITC Avant Garde" w:cs="Arial"/>
          <w:lang w:eastAsia="es-MX"/>
        </w:rPr>
        <w:t xml:space="preserve">3.2, </w:t>
      </w:r>
      <w:r w:rsidRPr="002D6F3F">
        <w:rPr>
          <w:rFonts w:ascii="ITC Avant Garde" w:eastAsia="Times New Roman" w:hAnsi="ITC Avant Garde" w:cs="Arial"/>
          <w:lang w:eastAsia="es-MX"/>
        </w:rPr>
        <w:t xml:space="preserve">4, </w:t>
      </w:r>
      <w:r w:rsidR="000C71BA" w:rsidRPr="002D6F3F">
        <w:rPr>
          <w:rFonts w:ascii="ITC Avant Garde" w:eastAsia="Times New Roman" w:hAnsi="ITC Avant Garde" w:cs="Arial"/>
          <w:lang w:eastAsia="es-MX"/>
        </w:rPr>
        <w:t>5.4, 5.4.1</w:t>
      </w:r>
      <w:r w:rsidR="00CD261F" w:rsidRPr="002D6F3F">
        <w:rPr>
          <w:rFonts w:ascii="ITC Avant Garde" w:eastAsia="Times New Roman" w:hAnsi="ITC Avant Garde" w:cs="Arial"/>
          <w:lang w:eastAsia="es-MX"/>
        </w:rPr>
        <w:t xml:space="preserve">, </w:t>
      </w:r>
      <w:r w:rsidR="0028441E" w:rsidRPr="002D6F3F">
        <w:rPr>
          <w:rFonts w:ascii="ITC Avant Garde" w:eastAsia="Times New Roman" w:hAnsi="ITC Avant Garde" w:cs="Arial"/>
          <w:lang w:eastAsia="es-MX"/>
        </w:rPr>
        <w:t xml:space="preserve">5.4.2, </w:t>
      </w:r>
      <w:r w:rsidR="00CD261F" w:rsidRPr="002D6F3F">
        <w:rPr>
          <w:rFonts w:ascii="ITC Avant Garde" w:eastAsia="Times New Roman" w:hAnsi="ITC Avant Garde" w:cs="Arial"/>
          <w:lang w:eastAsia="es-MX"/>
        </w:rPr>
        <w:t>5.4.3</w:t>
      </w:r>
      <w:r w:rsidR="00332A4B" w:rsidRPr="002D6F3F">
        <w:rPr>
          <w:rFonts w:ascii="ITC Avant Garde" w:eastAsia="Times New Roman" w:hAnsi="ITC Avant Garde" w:cs="Arial"/>
          <w:lang w:eastAsia="es-MX"/>
        </w:rPr>
        <w:t>,</w:t>
      </w:r>
      <w:r w:rsidR="00CD261F" w:rsidRPr="002D6F3F">
        <w:rPr>
          <w:rFonts w:ascii="ITC Avant Garde" w:eastAsia="Times New Roman" w:hAnsi="ITC Avant Garde" w:cs="Arial"/>
          <w:lang w:eastAsia="es-MX"/>
        </w:rPr>
        <w:t xml:space="preserve"> 5.4.4 </w:t>
      </w:r>
      <w:r w:rsidRPr="002D6F3F">
        <w:rPr>
          <w:rFonts w:ascii="ITC Avant Garde" w:eastAsia="Times New Roman" w:hAnsi="ITC Avant Garde" w:cs="Arial"/>
          <w:lang w:eastAsia="es-MX"/>
        </w:rPr>
        <w:t>y 16.4 de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el Pleno del Instituto Federal de Telecomunicaciones emite el siguiente:</w:t>
      </w:r>
    </w:p>
    <w:p w14:paraId="6380128A" w14:textId="2F004378" w:rsidR="002D6F3F" w:rsidRPr="002D6F3F" w:rsidRDefault="00E061B7" w:rsidP="004E01E4">
      <w:pPr>
        <w:pBdr>
          <w:top w:val="nil"/>
          <w:left w:val="nil"/>
          <w:bottom w:val="nil"/>
          <w:right w:val="nil"/>
          <w:between w:val="nil"/>
          <w:bar w:val="nil"/>
        </w:pBdr>
        <w:spacing w:line="240" w:lineRule="auto"/>
        <w:contextualSpacing/>
        <w:jc w:val="center"/>
        <w:outlineLvl w:val="1"/>
        <w:rPr>
          <w:rFonts w:ascii="ITC Avant Garde" w:hAnsi="ITC Avant Garde"/>
          <w:b/>
          <w:bCs/>
          <w:lang w:eastAsia="es-MX"/>
        </w:rPr>
      </w:pPr>
      <w:r w:rsidRPr="002D6F3F">
        <w:rPr>
          <w:rFonts w:ascii="ITC Avant Garde" w:hAnsi="ITC Avant Garde"/>
          <w:b/>
          <w:bCs/>
          <w:lang w:eastAsia="es-MX"/>
        </w:rPr>
        <w:t>FALLO</w:t>
      </w:r>
    </w:p>
    <w:p w14:paraId="382918E1" w14:textId="77777777" w:rsidR="004E01E4" w:rsidRDefault="004E01E4" w:rsidP="004E01E4">
      <w:pPr>
        <w:pBdr>
          <w:top w:val="nil"/>
          <w:left w:val="nil"/>
          <w:bottom w:val="nil"/>
          <w:right w:val="nil"/>
          <w:between w:val="nil"/>
          <w:bar w:val="nil"/>
        </w:pBdr>
        <w:spacing w:line="240" w:lineRule="auto"/>
        <w:contextualSpacing/>
        <w:jc w:val="both"/>
        <w:rPr>
          <w:rFonts w:ascii="ITC Avant Garde" w:eastAsia="Arial Unicode MS" w:hAnsi="ITC Avant Garde" w:cs="Arial"/>
          <w:b/>
          <w:bCs/>
          <w:u w:color="000000"/>
          <w:bdr w:val="nil"/>
          <w:lang w:val="es-ES_tradnl"/>
        </w:rPr>
      </w:pPr>
    </w:p>
    <w:p w14:paraId="308B74B8" w14:textId="2484B0A8" w:rsidR="00993366" w:rsidRPr="002D6F3F" w:rsidRDefault="004E01E4" w:rsidP="004E01E4">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4E01E4">
        <w:rPr>
          <w:rFonts w:ascii="ITC Avant Garde" w:eastAsia="Arial Unicode MS" w:hAnsi="ITC Avant Garde" w:cs="Arial"/>
          <w:b/>
          <w:bCs/>
          <w:u w:color="000000"/>
          <w:bdr w:val="nil"/>
          <w:lang w:val="es-ES_tradnl"/>
        </w:rPr>
        <w:t>PRIMERO.</w:t>
      </w:r>
      <w:r>
        <w:rPr>
          <w:rFonts w:ascii="ITC Avant Garde" w:eastAsia="Arial Unicode MS" w:hAnsi="ITC Avant Garde" w:cs="Arial"/>
          <w:bCs/>
          <w:u w:color="000000"/>
          <w:bdr w:val="nil"/>
          <w:lang w:val="es-ES_tradnl"/>
        </w:rPr>
        <w:tab/>
      </w:r>
      <w:r w:rsidR="00993366" w:rsidRPr="002D6F3F">
        <w:rPr>
          <w:rFonts w:ascii="ITC Avant Garde" w:eastAsia="Arial Unicode MS" w:hAnsi="ITC Avant Garde" w:cs="Arial"/>
          <w:bCs/>
          <w:u w:color="000000"/>
          <w:bdr w:val="nil"/>
          <w:lang w:val="es-ES_tradnl"/>
        </w:rPr>
        <w:t>S</w:t>
      </w:r>
      <w:r w:rsidR="00E71B45" w:rsidRPr="002D6F3F">
        <w:rPr>
          <w:rFonts w:ascii="ITC Avant Garde" w:eastAsia="Arial Unicode MS" w:hAnsi="ITC Avant Garde" w:cs="Arial"/>
          <w:bCs/>
          <w:u w:color="000000"/>
          <w:bdr w:val="nil"/>
          <w:lang w:val="es-ES_tradnl"/>
        </w:rPr>
        <w:t xml:space="preserve">e declara como Participante Ganador de la Licitación No. </w:t>
      </w:r>
      <w:r w:rsidR="00DE1CE7" w:rsidRPr="002D6F3F">
        <w:rPr>
          <w:rFonts w:ascii="ITC Avant Garde" w:eastAsia="Arial Unicode MS" w:hAnsi="ITC Avant Garde" w:cs="Arial"/>
          <w:bCs/>
          <w:u w:color="000000"/>
          <w:bdr w:val="nil"/>
          <w:lang w:val="es-ES_tradnl"/>
        </w:rPr>
        <w:t>IFT-4,</w:t>
      </w:r>
      <w:r w:rsidR="00E71B45" w:rsidRPr="002D6F3F">
        <w:rPr>
          <w:rFonts w:ascii="ITC Avant Garde" w:eastAsia="Arial Unicode MS" w:hAnsi="ITC Avant Garde" w:cs="Arial"/>
          <w:bCs/>
          <w:u w:color="000000"/>
          <w:bdr w:val="nil"/>
          <w:lang w:val="es-ES_tradnl"/>
        </w:rPr>
        <w:t xml:space="preserve"> </w:t>
      </w:r>
      <w:r w:rsidR="00993366" w:rsidRPr="002D6F3F">
        <w:rPr>
          <w:rFonts w:ascii="ITC Avant Garde" w:eastAsia="Arial Unicode MS" w:hAnsi="ITC Avant Garde" w:cs="Arial"/>
          <w:bCs/>
          <w:u w:color="000000"/>
          <w:bdr w:val="nil"/>
          <w:lang w:val="es-ES_tradnl"/>
        </w:rPr>
        <w:t>a</w:t>
      </w:r>
      <w:r w:rsidR="006D154B" w:rsidRPr="002D6F3F">
        <w:rPr>
          <w:rFonts w:ascii="ITC Avant Garde" w:eastAsia="Arial Unicode MS" w:hAnsi="ITC Avant Garde" w:cs="Arial"/>
          <w:bCs/>
          <w:u w:color="000000"/>
          <w:bdr w:val="nil"/>
          <w:lang w:val="es-ES_tradnl"/>
        </w:rPr>
        <w:t xml:space="preserve">l </w:t>
      </w:r>
      <w:r w:rsidR="000D3EEA" w:rsidRPr="002D6F3F">
        <w:rPr>
          <w:rFonts w:ascii="ITC Avant Garde" w:eastAsia="Arial Unicode MS" w:hAnsi="ITC Avant Garde" w:cs="Arial"/>
          <w:bCs/>
          <w:u w:color="000000"/>
          <w:bdr w:val="nil"/>
          <w:lang w:val="es-ES_tradnl"/>
        </w:rPr>
        <w:t>Consorcio integrado por Leopoldo González Maya, Cristopher González Cruz y Leopoldo Neftalí González Cruz</w:t>
      </w:r>
      <w:r w:rsidR="00993366" w:rsidRPr="002D6F3F">
        <w:rPr>
          <w:rFonts w:ascii="ITC Avant Garde" w:eastAsia="Arial Unicode MS" w:hAnsi="ITC Avant Garde" w:cs="Arial"/>
          <w:bCs/>
          <w:u w:color="000000"/>
          <w:bdr w:val="nil"/>
          <w:lang w:val="es-ES_tradnl"/>
        </w:rPr>
        <w:t xml:space="preserve">, con número de Folio Único </w:t>
      </w:r>
      <w:r w:rsidR="000D3EEA" w:rsidRPr="002D6F3F">
        <w:rPr>
          <w:rFonts w:ascii="ITC Avant Garde" w:eastAsia="Arial Unicode MS" w:hAnsi="ITC Avant Garde" w:cs="Arial"/>
          <w:bCs/>
          <w:u w:color="000000"/>
          <w:bdr w:val="nil"/>
          <w:lang w:val="es-ES_tradnl"/>
        </w:rPr>
        <w:t>GL-002042</w:t>
      </w:r>
      <w:r w:rsidR="00993366" w:rsidRPr="002D6F3F">
        <w:rPr>
          <w:rFonts w:ascii="ITC Avant Garde" w:eastAsia="Arial Unicode MS" w:hAnsi="ITC Avant Garde" w:cs="Arial"/>
          <w:bCs/>
          <w:u w:color="000000"/>
          <w:bdr w:val="nil"/>
          <w:lang w:val="es-ES_tradnl"/>
        </w:rPr>
        <w:t xml:space="preserve">, </w:t>
      </w:r>
      <w:r w:rsidR="00993366" w:rsidRPr="002D6F3F">
        <w:rPr>
          <w:rFonts w:ascii="ITC Avant Garde" w:hAnsi="ITC Avant Garde" w:cs="Arial"/>
          <w:bCs/>
          <w:u w:color="000000"/>
          <w:bdr w:val="nil"/>
          <w:lang w:val="es-ES_tradnl" w:eastAsia="es-MX"/>
        </w:rPr>
        <w:t xml:space="preserve">de conformidad con lo dispuesto en el </w:t>
      </w:r>
      <w:r w:rsidR="00993366" w:rsidRPr="002D6F3F">
        <w:rPr>
          <w:rFonts w:ascii="ITC Avant Garde" w:hAnsi="ITC Avant Garde" w:cs="Arial"/>
          <w:b/>
          <w:bCs/>
          <w:u w:color="000000"/>
          <w:bdr w:val="nil"/>
          <w:lang w:val="es-ES_tradnl" w:eastAsia="es-MX"/>
        </w:rPr>
        <w:t xml:space="preserve">Considerando CUARTO </w:t>
      </w:r>
      <w:r w:rsidR="00993366" w:rsidRPr="002D6F3F">
        <w:rPr>
          <w:rFonts w:ascii="ITC Avant Garde" w:hAnsi="ITC Avant Garde" w:cs="Arial"/>
          <w:bCs/>
          <w:u w:color="000000"/>
          <w:bdr w:val="nil"/>
          <w:lang w:val="es-ES_tradnl" w:eastAsia="es-MX"/>
        </w:rPr>
        <w:t xml:space="preserve">de la presente </w:t>
      </w:r>
      <w:r w:rsidR="00A1569D" w:rsidRPr="002D6F3F">
        <w:rPr>
          <w:rFonts w:ascii="ITC Avant Garde" w:hAnsi="ITC Avant Garde" w:cs="Arial"/>
          <w:bCs/>
          <w:u w:color="000000"/>
          <w:bdr w:val="nil"/>
          <w:lang w:val="es-ES_tradnl" w:eastAsia="es-MX"/>
        </w:rPr>
        <w:t>Resolución,</w:t>
      </w:r>
      <w:r w:rsidR="00993366" w:rsidRPr="002D6F3F">
        <w:rPr>
          <w:rFonts w:ascii="ITC Avant Garde" w:eastAsia="Arial Unicode MS" w:hAnsi="ITC Avant Garde" w:cs="Arial"/>
          <w:bCs/>
          <w:u w:color="000000"/>
          <w:bdr w:val="nil"/>
          <w:lang w:val="es-ES_tradnl"/>
        </w:rPr>
        <w:t xml:space="preserve"> quien obtuvo el resultado siguiente:</w:t>
      </w:r>
    </w:p>
    <w:p w14:paraId="49D5B1F2" w14:textId="77777777" w:rsidR="00B52335" w:rsidRPr="002D6F3F" w:rsidRDefault="00B52335" w:rsidP="004E01E4">
      <w:pPr>
        <w:tabs>
          <w:tab w:val="left" w:pos="2410"/>
        </w:tabs>
        <w:spacing w:after="0" w:line="240" w:lineRule="auto"/>
        <w:jc w:val="both"/>
        <w:rPr>
          <w:rFonts w:ascii="ITC Avant Garde" w:hAnsi="ITC Avant Garde" w:cs="Arial Unicode MS"/>
          <w:bCs/>
          <w:sz w:val="20"/>
          <w:szCs w:val="20"/>
          <w:u w:color="000000"/>
          <w:bdr w:val="nil"/>
          <w:lang w:val="es-ES_tradnl" w:eastAsia="es-MX"/>
        </w:rPr>
      </w:pPr>
    </w:p>
    <w:tbl>
      <w:tblPr>
        <w:tblStyle w:val="Tablaconcuadrcula"/>
        <w:tblW w:w="0" w:type="auto"/>
        <w:jc w:val="center"/>
        <w:tblLayout w:type="fixed"/>
        <w:tblLook w:val="04A0" w:firstRow="1" w:lastRow="0" w:firstColumn="1" w:lastColumn="0" w:noHBand="0" w:noVBand="1"/>
        <w:tblCaption w:val="Tabla"/>
        <w:tblDescription w:val="Resultado"/>
      </w:tblPr>
      <w:tblGrid>
        <w:gridCol w:w="657"/>
        <w:gridCol w:w="1319"/>
        <w:gridCol w:w="1204"/>
        <w:gridCol w:w="1505"/>
        <w:gridCol w:w="1234"/>
        <w:gridCol w:w="941"/>
        <w:gridCol w:w="1357"/>
        <w:gridCol w:w="1177"/>
      </w:tblGrid>
      <w:tr w:rsidR="002D6F3F" w:rsidRPr="002D6F3F" w14:paraId="28DC86D6" w14:textId="2D4EC230" w:rsidTr="00CA13D0">
        <w:trPr>
          <w:tblHeader/>
          <w:jc w:val="center"/>
        </w:trPr>
        <w:tc>
          <w:tcPr>
            <w:tcW w:w="657" w:type="dxa"/>
            <w:shd w:val="clear" w:color="auto" w:fill="70AD47" w:themeFill="accent6"/>
            <w:vAlign w:val="center"/>
          </w:tcPr>
          <w:p w14:paraId="5528C9AB" w14:textId="77777777" w:rsidR="007E1DE8" w:rsidRPr="002D6F3F" w:rsidRDefault="007E1DE8" w:rsidP="002D6F3F">
            <w:pPr>
              <w:contextualSpacing/>
              <w:jc w:val="center"/>
              <w:outlineLvl w:val="1"/>
              <w:rPr>
                <w:rFonts w:ascii="ITC Avant Garde" w:hAnsi="ITC Avant Garde" w:cs="Arial Unicode MS"/>
                <w:bCs/>
                <w:sz w:val="18"/>
                <w:u w:color="000000"/>
                <w:bdr w:val="nil"/>
                <w:lang w:val="es-ES_tradnl" w:eastAsia="es-MX"/>
              </w:rPr>
            </w:pPr>
            <w:r w:rsidRPr="002D6F3F">
              <w:rPr>
                <w:rFonts w:ascii="ITC Avant Garde" w:hAnsi="ITC Avant Garde" w:cs="Arial Unicode MS"/>
                <w:sz w:val="18"/>
                <w:u w:color="000000"/>
                <w:bdr w:val="nil"/>
                <w:lang w:val="es-ES_tradnl" w:eastAsia="es-MX"/>
              </w:rPr>
              <w:t>Lote</w:t>
            </w:r>
            <w:r w:rsidRPr="002D6F3F">
              <w:rPr>
                <w:rStyle w:val="Refdenotaalpie"/>
                <w:rFonts w:ascii="ITC Avant Garde" w:hAnsi="ITC Avant Garde" w:cs="Arial Unicode MS"/>
                <w:sz w:val="18"/>
                <w:u w:color="000000"/>
                <w:bdr w:val="nil"/>
                <w:lang w:val="es-ES_tradnl" w:eastAsia="es-MX"/>
              </w:rPr>
              <w:footnoteReference w:id="7"/>
            </w:r>
          </w:p>
        </w:tc>
        <w:tc>
          <w:tcPr>
            <w:tcW w:w="1319" w:type="dxa"/>
            <w:shd w:val="clear" w:color="auto" w:fill="70AD47" w:themeFill="accent6"/>
            <w:vAlign w:val="center"/>
          </w:tcPr>
          <w:p w14:paraId="18CD7C7D" w14:textId="77777777" w:rsidR="007E1DE8" w:rsidRPr="002D6F3F" w:rsidRDefault="007E1DE8" w:rsidP="002D6F3F">
            <w:pPr>
              <w:contextualSpacing/>
              <w:jc w:val="center"/>
              <w:outlineLvl w:val="1"/>
              <w:rPr>
                <w:rFonts w:ascii="ITC Avant Garde" w:hAnsi="ITC Avant Garde" w:cs="Arial Unicode MS"/>
                <w:bCs/>
                <w:sz w:val="18"/>
                <w:u w:color="000000"/>
                <w:bdr w:val="nil"/>
                <w:lang w:val="es-ES_tradnl" w:eastAsia="es-MX"/>
              </w:rPr>
            </w:pPr>
            <w:r w:rsidRPr="002D6F3F">
              <w:rPr>
                <w:rFonts w:ascii="ITC Avant Garde" w:hAnsi="ITC Avant Garde" w:cs="Arial Unicode MS"/>
                <w:sz w:val="18"/>
                <w:u w:color="000000"/>
                <w:bdr w:val="nil"/>
                <w:lang w:val="es-ES_tradnl" w:eastAsia="es-MX"/>
              </w:rPr>
              <w:t>Banda de Frecuencias</w:t>
            </w:r>
          </w:p>
        </w:tc>
        <w:tc>
          <w:tcPr>
            <w:tcW w:w="1204" w:type="dxa"/>
            <w:shd w:val="clear" w:color="auto" w:fill="70AD47" w:themeFill="accent6"/>
            <w:vAlign w:val="center"/>
          </w:tcPr>
          <w:p w14:paraId="1E2D994F" w14:textId="77777777" w:rsidR="007E1DE8" w:rsidRPr="002D6F3F" w:rsidRDefault="007E1DE8" w:rsidP="002D6F3F">
            <w:pPr>
              <w:contextualSpacing/>
              <w:jc w:val="center"/>
              <w:outlineLvl w:val="1"/>
              <w:rPr>
                <w:rFonts w:ascii="ITC Avant Garde" w:hAnsi="ITC Avant Garde" w:cs="Arial Unicode MS"/>
                <w:bCs/>
                <w:sz w:val="18"/>
                <w:u w:color="000000"/>
                <w:bdr w:val="nil"/>
                <w:lang w:val="es-ES_tradnl" w:eastAsia="es-MX"/>
              </w:rPr>
            </w:pPr>
            <w:r w:rsidRPr="002D6F3F">
              <w:rPr>
                <w:rFonts w:ascii="ITC Avant Garde" w:hAnsi="ITC Avant Garde" w:cs="Arial Unicode MS"/>
                <w:sz w:val="18"/>
                <w:u w:color="000000"/>
                <w:bdr w:val="nil"/>
                <w:lang w:val="es-ES_tradnl" w:eastAsia="es-MX"/>
              </w:rPr>
              <w:t>Frecuencia</w:t>
            </w:r>
          </w:p>
        </w:tc>
        <w:tc>
          <w:tcPr>
            <w:tcW w:w="1505" w:type="dxa"/>
            <w:shd w:val="clear" w:color="auto" w:fill="70AD47" w:themeFill="accent6"/>
            <w:vAlign w:val="center"/>
          </w:tcPr>
          <w:p w14:paraId="565F33A1" w14:textId="77777777" w:rsidR="007E1DE8" w:rsidRPr="002D6F3F" w:rsidRDefault="007E1DE8" w:rsidP="002D6F3F">
            <w:pPr>
              <w:contextualSpacing/>
              <w:jc w:val="center"/>
              <w:outlineLvl w:val="1"/>
              <w:rPr>
                <w:rFonts w:ascii="ITC Avant Garde" w:hAnsi="ITC Avant Garde" w:cs="Arial Unicode MS"/>
                <w:bCs/>
                <w:sz w:val="18"/>
                <w:u w:color="000000"/>
                <w:bdr w:val="nil"/>
                <w:lang w:val="es-ES_tradnl" w:eastAsia="es-MX"/>
              </w:rPr>
            </w:pPr>
            <w:r w:rsidRPr="002D6F3F">
              <w:rPr>
                <w:rFonts w:ascii="ITC Avant Garde" w:hAnsi="ITC Avant Garde" w:cs="Arial Unicode MS"/>
                <w:sz w:val="18"/>
                <w:u w:color="000000"/>
                <w:bdr w:val="nil"/>
                <w:lang w:val="es-ES_tradnl" w:eastAsia="es-MX"/>
              </w:rPr>
              <w:t>Localidad(es) Principal(es) a Servir</w:t>
            </w:r>
          </w:p>
        </w:tc>
        <w:tc>
          <w:tcPr>
            <w:tcW w:w="1234" w:type="dxa"/>
            <w:shd w:val="clear" w:color="auto" w:fill="70AD47" w:themeFill="accent6"/>
            <w:vAlign w:val="center"/>
          </w:tcPr>
          <w:p w14:paraId="1D4C8FB7" w14:textId="77777777" w:rsidR="007E1DE8" w:rsidRPr="002D6F3F" w:rsidRDefault="007E1DE8" w:rsidP="002D6F3F">
            <w:pPr>
              <w:contextualSpacing/>
              <w:jc w:val="center"/>
              <w:outlineLvl w:val="1"/>
              <w:rPr>
                <w:rFonts w:ascii="ITC Avant Garde" w:hAnsi="ITC Avant Garde" w:cs="Arial Unicode MS"/>
                <w:bCs/>
                <w:sz w:val="18"/>
                <w:u w:color="000000"/>
                <w:bdr w:val="nil"/>
                <w:lang w:val="es-ES_tradnl" w:eastAsia="es-MX"/>
              </w:rPr>
            </w:pPr>
            <w:r w:rsidRPr="002D6F3F">
              <w:rPr>
                <w:rFonts w:ascii="ITC Avant Garde" w:hAnsi="ITC Avant Garde" w:cs="Arial Unicode MS"/>
                <w:sz w:val="18"/>
                <w:u w:color="000000"/>
                <w:bdr w:val="nil"/>
                <w:lang w:val="es-ES_tradnl" w:eastAsia="es-MX"/>
              </w:rPr>
              <w:t>Estado</w:t>
            </w:r>
          </w:p>
        </w:tc>
        <w:tc>
          <w:tcPr>
            <w:tcW w:w="941" w:type="dxa"/>
            <w:shd w:val="clear" w:color="auto" w:fill="70AD47" w:themeFill="accent6"/>
            <w:vAlign w:val="center"/>
          </w:tcPr>
          <w:p w14:paraId="1D322C5C" w14:textId="77777777" w:rsidR="007E1DE8" w:rsidRPr="002D6F3F" w:rsidRDefault="007E1DE8" w:rsidP="002D6F3F">
            <w:pPr>
              <w:contextualSpacing/>
              <w:jc w:val="center"/>
              <w:outlineLvl w:val="1"/>
              <w:rPr>
                <w:rFonts w:ascii="ITC Avant Garde" w:hAnsi="ITC Avant Garde" w:cs="Arial Unicode MS"/>
                <w:bCs/>
                <w:sz w:val="18"/>
                <w:u w:color="000000"/>
                <w:bdr w:val="nil"/>
                <w:lang w:val="es-ES_tradnl" w:eastAsia="es-MX"/>
              </w:rPr>
            </w:pPr>
            <w:r w:rsidRPr="002D6F3F">
              <w:rPr>
                <w:rFonts w:ascii="ITC Avant Garde" w:hAnsi="ITC Avant Garde" w:cs="Arial Unicode MS"/>
                <w:sz w:val="18"/>
                <w:u w:color="000000"/>
                <w:bdr w:val="nil"/>
                <w:lang w:val="es-ES_tradnl" w:eastAsia="es-MX"/>
              </w:rPr>
              <w:t>Puntaje</w:t>
            </w:r>
            <w:r w:rsidRPr="002D6F3F">
              <w:rPr>
                <w:rStyle w:val="Refdenotaalpie"/>
                <w:rFonts w:ascii="ITC Avant Garde" w:hAnsi="ITC Avant Garde" w:cs="Arial Unicode MS"/>
                <w:sz w:val="18"/>
                <w:u w:color="000000"/>
                <w:bdr w:val="nil"/>
                <w:lang w:val="es-ES_tradnl" w:eastAsia="es-MX"/>
              </w:rPr>
              <w:footnoteReference w:id="8"/>
            </w:r>
          </w:p>
        </w:tc>
        <w:tc>
          <w:tcPr>
            <w:tcW w:w="1357" w:type="dxa"/>
            <w:shd w:val="clear" w:color="auto" w:fill="70AD47" w:themeFill="accent6"/>
            <w:vAlign w:val="center"/>
          </w:tcPr>
          <w:p w14:paraId="676B7454" w14:textId="77777777" w:rsidR="00BF259E" w:rsidRPr="002D6F3F" w:rsidRDefault="007E1DE8" w:rsidP="002D6F3F">
            <w:pPr>
              <w:contextualSpacing/>
              <w:jc w:val="center"/>
              <w:outlineLvl w:val="1"/>
              <w:rPr>
                <w:rFonts w:ascii="ITC Avant Garde" w:hAnsi="ITC Avant Garde" w:cs="Arial Unicode MS"/>
                <w:sz w:val="16"/>
                <w:szCs w:val="16"/>
                <w:lang w:val="es-ES_tradnl" w:eastAsia="es-MX"/>
              </w:rPr>
            </w:pPr>
            <w:r w:rsidRPr="002D6F3F">
              <w:rPr>
                <w:rFonts w:ascii="ITC Avant Garde" w:hAnsi="ITC Avant Garde" w:cs="Arial Unicode MS"/>
                <w:sz w:val="16"/>
                <w:szCs w:val="16"/>
                <w:lang w:val="es-ES_tradnl" w:eastAsia="es-MX"/>
              </w:rPr>
              <w:t xml:space="preserve">Nuevo </w:t>
            </w:r>
          </w:p>
          <w:p w14:paraId="5C3938A2" w14:textId="205AAC1C" w:rsidR="007E1DE8" w:rsidRPr="002D6F3F" w:rsidRDefault="007E1DE8" w:rsidP="002D6F3F">
            <w:pPr>
              <w:contextualSpacing/>
              <w:jc w:val="center"/>
              <w:outlineLvl w:val="1"/>
              <w:rPr>
                <w:rFonts w:ascii="ITC Avant Garde" w:hAnsi="ITC Avant Garde" w:cs="Arial Unicode MS"/>
                <w:sz w:val="18"/>
                <w:u w:color="000000"/>
                <w:bdr w:val="nil"/>
                <w:lang w:val="es-ES_tradnl" w:eastAsia="es-MX"/>
              </w:rPr>
            </w:pPr>
            <w:r w:rsidRPr="002D6F3F">
              <w:rPr>
                <w:rFonts w:ascii="ITC Avant Garde" w:hAnsi="ITC Avant Garde" w:cs="Arial Unicode MS"/>
                <w:sz w:val="16"/>
                <w:szCs w:val="16"/>
                <w:lang w:val="es-ES_tradnl" w:eastAsia="es-MX"/>
              </w:rPr>
              <w:t>Competidor</w:t>
            </w:r>
            <w:r w:rsidRPr="002D6F3F">
              <w:rPr>
                <w:rStyle w:val="Refdenotaalpie"/>
                <w:rFonts w:ascii="ITC Avant Garde" w:hAnsi="ITC Avant Garde" w:cs="Arial Unicode MS"/>
                <w:sz w:val="18"/>
                <w:lang w:val="es-ES_tradnl" w:eastAsia="es-MX"/>
              </w:rPr>
              <w:footnoteReference w:id="9"/>
            </w:r>
          </w:p>
        </w:tc>
        <w:tc>
          <w:tcPr>
            <w:tcW w:w="1177" w:type="dxa"/>
            <w:shd w:val="clear" w:color="auto" w:fill="70AD47" w:themeFill="accent6"/>
            <w:vAlign w:val="center"/>
          </w:tcPr>
          <w:p w14:paraId="417C7AC9" w14:textId="21B5E9F4" w:rsidR="007E1DE8" w:rsidRPr="002D6F3F" w:rsidRDefault="007E1DE8" w:rsidP="002D6F3F">
            <w:pPr>
              <w:contextualSpacing/>
              <w:jc w:val="center"/>
              <w:outlineLvl w:val="1"/>
              <w:rPr>
                <w:rFonts w:ascii="ITC Avant Garde" w:hAnsi="ITC Avant Garde" w:cs="Arial Unicode MS"/>
                <w:sz w:val="18"/>
                <w:u w:color="000000"/>
                <w:bdr w:val="nil"/>
                <w:lang w:val="es-ES_tradnl" w:eastAsia="es-MX"/>
              </w:rPr>
            </w:pPr>
            <w:r w:rsidRPr="002D6F3F">
              <w:rPr>
                <w:rFonts w:ascii="ITC Avant Garde" w:hAnsi="ITC Avant Garde" w:cs="Arial Unicode MS"/>
                <w:sz w:val="18"/>
                <w:u w:color="000000"/>
                <w:bdr w:val="nil"/>
                <w:lang w:val="es-ES_tradnl" w:eastAsia="es-MX"/>
              </w:rPr>
              <w:t>IBOC</w:t>
            </w:r>
            <w:r w:rsidRPr="002D6F3F">
              <w:rPr>
                <w:rStyle w:val="Refdenotaalpie"/>
                <w:rFonts w:ascii="ITC Avant Garde" w:hAnsi="ITC Avant Garde" w:cs="Arial Unicode MS"/>
                <w:sz w:val="18"/>
                <w:u w:color="000000"/>
                <w:bdr w:val="nil"/>
                <w:lang w:val="es-ES_tradnl" w:eastAsia="es-MX"/>
              </w:rPr>
              <w:footnoteReference w:id="10"/>
            </w:r>
          </w:p>
        </w:tc>
      </w:tr>
      <w:tr w:rsidR="002D6F3F" w:rsidRPr="002D6F3F" w14:paraId="2EF1343A" w14:textId="45847199" w:rsidTr="00CA13D0">
        <w:trPr>
          <w:trHeight w:val="443"/>
          <w:jc w:val="center"/>
        </w:trPr>
        <w:tc>
          <w:tcPr>
            <w:tcW w:w="657" w:type="dxa"/>
            <w:shd w:val="clear" w:color="auto" w:fill="E2EFD9" w:themeFill="accent6" w:themeFillTint="33"/>
            <w:vAlign w:val="center"/>
          </w:tcPr>
          <w:p w14:paraId="2F2D892C" w14:textId="77777777" w:rsidR="007E1DE8" w:rsidRPr="002D6F3F" w:rsidRDefault="007E1DE8" w:rsidP="002D6F3F">
            <w:pPr>
              <w:contextualSpacing/>
              <w:jc w:val="center"/>
              <w:outlineLvl w:val="1"/>
              <w:rPr>
                <w:rFonts w:ascii="ITC Avant Garde" w:hAnsi="ITC Avant Garde" w:cs="Arial Unicode MS"/>
                <w:b/>
                <w:bCs/>
                <w:sz w:val="18"/>
                <w:u w:color="000000"/>
                <w:bdr w:val="nil"/>
                <w:lang w:val="es-ES_tradnl" w:eastAsia="es-MX"/>
              </w:rPr>
            </w:pPr>
            <w:r w:rsidRPr="002D6F3F">
              <w:rPr>
                <w:rFonts w:ascii="ITC Avant Garde" w:hAnsi="ITC Avant Garde" w:cs="Arial Unicode MS"/>
                <w:noProof/>
                <w:sz w:val="18"/>
                <w:u w:color="000000"/>
                <w:bdr w:val="nil"/>
                <w:lang w:val="es-ES_tradnl" w:eastAsia="es-MX"/>
              </w:rPr>
              <w:t>81</w:t>
            </w:r>
          </w:p>
        </w:tc>
        <w:tc>
          <w:tcPr>
            <w:tcW w:w="1319" w:type="dxa"/>
            <w:shd w:val="clear" w:color="auto" w:fill="E2EFD9" w:themeFill="accent6" w:themeFillTint="33"/>
            <w:vAlign w:val="center"/>
          </w:tcPr>
          <w:p w14:paraId="00F43721" w14:textId="77777777" w:rsidR="007E1DE8" w:rsidRPr="002D6F3F" w:rsidRDefault="007E1DE8" w:rsidP="002D6F3F">
            <w:pPr>
              <w:contextualSpacing/>
              <w:jc w:val="center"/>
              <w:outlineLvl w:val="1"/>
              <w:rPr>
                <w:rFonts w:ascii="ITC Avant Garde" w:hAnsi="ITC Avant Garde" w:cs="Arial Unicode MS"/>
                <w:bCs/>
                <w:sz w:val="18"/>
                <w:u w:color="000000"/>
                <w:bdr w:val="nil"/>
                <w:lang w:val="es-ES_tradnl" w:eastAsia="es-MX"/>
              </w:rPr>
            </w:pPr>
            <w:r w:rsidRPr="002D6F3F">
              <w:rPr>
                <w:rFonts w:ascii="ITC Avant Garde" w:hAnsi="ITC Avant Garde" w:cs="Arial Unicode MS"/>
                <w:bCs/>
                <w:noProof/>
                <w:sz w:val="18"/>
                <w:u w:color="000000"/>
                <w:bdr w:val="nil"/>
                <w:lang w:val="es-ES_tradnl" w:eastAsia="es-MX"/>
              </w:rPr>
              <w:t>FM</w:t>
            </w:r>
          </w:p>
        </w:tc>
        <w:tc>
          <w:tcPr>
            <w:tcW w:w="1204" w:type="dxa"/>
            <w:shd w:val="clear" w:color="auto" w:fill="E2EFD9" w:themeFill="accent6" w:themeFillTint="33"/>
            <w:vAlign w:val="center"/>
          </w:tcPr>
          <w:p w14:paraId="33F38DCF" w14:textId="52939956" w:rsidR="007E1DE8" w:rsidRPr="002D6F3F" w:rsidRDefault="007E1DE8" w:rsidP="002D6F3F">
            <w:pPr>
              <w:contextualSpacing/>
              <w:jc w:val="center"/>
              <w:outlineLvl w:val="1"/>
              <w:rPr>
                <w:rFonts w:ascii="ITC Avant Garde" w:hAnsi="ITC Avant Garde" w:cs="Arial Unicode MS"/>
                <w:bCs/>
                <w:sz w:val="18"/>
                <w:u w:color="000000"/>
                <w:bdr w:val="nil"/>
                <w:lang w:val="es-ES_tradnl" w:eastAsia="es-MX"/>
              </w:rPr>
            </w:pPr>
            <w:r w:rsidRPr="002D6F3F">
              <w:rPr>
                <w:rFonts w:ascii="ITC Avant Garde" w:hAnsi="ITC Avant Garde" w:cs="Arial Unicode MS"/>
                <w:bCs/>
                <w:noProof/>
                <w:sz w:val="18"/>
                <w:u w:color="000000"/>
                <w:bdr w:val="nil"/>
                <w:lang w:val="es-ES_tradnl" w:eastAsia="es-MX"/>
              </w:rPr>
              <w:t>88.3 MHz</w:t>
            </w:r>
          </w:p>
        </w:tc>
        <w:tc>
          <w:tcPr>
            <w:tcW w:w="1505" w:type="dxa"/>
            <w:shd w:val="clear" w:color="auto" w:fill="E2EFD9" w:themeFill="accent6" w:themeFillTint="33"/>
            <w:vAlign w:val="center"/>
          </w:tcPr>
          <w:p w14:paraId="2194071C" w14:textId="77777777" w:rsidR="007E1DE8" w:rsidRPr="002D6F3F" w:rsidRDefault="007E1DE8" w:rsidP="002D6F3F">
            <w:pPr>
              <w:contextualSpacing/>
              <w:jc w:val="center"/>
              <w:outlineLvl w:val="1"/>
              <w:rPr>
                <w:rFonts w:ascii="ITC Avant Garde" w:hAnsi="ITC Avant Garde" w:cs="Arial Unicode MS"/>
                <w:bCs/>
                <w:sz w:val="18"/>
                <w:u w:color="000000"/>
                <w:bdr w:val="nil"/>
                <w:lang w:val="es-ES_tradnl" w:eastAsia="es-MX"/>
              </w:rPr>
            </w:pPr>
            <w:r w:rsidRPr="002D6F3F">
              <w:rPr>
                <w:rFonts w:ascii="ITC Avant Garde" w:hAnsi="ITC Avant Garde" w:cs="Arial Unicode MS"/>
                <w:bCs/>
                <w:noProof/>
                <w:sz w:val="18"/>
                <w:u w:color="000000"/>
                <w:bdr w:val="nil"/>
                <w:lang w:val="es-ES_tradnl" w:eastAsia="es-MX"/>
              </w:rPr>
              <w:t>Maravatío</w:t>
            </w:r>
          </w:p>
        </w:tc>
        <w:tc>
          <w:tcPr>
            <w:tcW w:w="1234" w:type="dxa"/>
            <w:shd w:val="clear" w:color="auto" w:fill="E2EFD9" w:themeFill="accent6" w:themeFillTint="33"/>
            <w:vAlign w:val="center"/>
          </w:tcPr>
          <w:p w14:paraId="46E17209" w14:textId="77777777" w:rsidR="007E1DE8" w:rsidRPr="002D6F3F" w:rsidRDefault="007E1DE8" w:rsidP="002D6F3F">
            <w:pPr>
              <w:contextualSpacing/>
              <w:jc w:val="center"/>
              <w:outlineLvl w:val="1"/>
              <w:rPr>
                <w:rFonts w:ascii="ITC Avant Garde" w:hAnsi="ITC Avant Garde" w:cs="Arial Unicode MS"/>
                <w:bCs/>
                <w:sz w:val="18"/>
                <w:u w:color="000000"/>
                <w:bdr w:val="nil"/>
                <w:lang w:val="es-ES_tradnl" w:eastAsia="es-MX"/>
              </w:rPr>
            </w:pPr>
            <w:r w:rsidRPr="002D6F3F">
              <w:rPr>
                <w:rFonts w:ascii="ITC Avant Garde" w:hAnsi="ITC Avant Garde" w:cs="Arial Unicode MS"/>
                <w:noProof/>
                <w:sz w:val="18"/>
                <w:u w:color="000000"/>
                <w:bdr w:val="nil"/>
                <w:lang w:val="es-ES_tradnl" w:eastAsia="es-MX"/>
              </w:rPr>
              <w:t>Michoacán</w:t>
            </w:r>
          </w:p>
        </w:tc>
        <w:tc>
          <w:tcPr>
            <w:tcW w:w="941" w:type="dxa"/>
            <w:shd w:val="clear" w:color="auto" w:fill="E2EFD9" w:themeFill="accent6" w:themeFillTint="33"/>
            <w:vAlign w:val="center"/>
          </w:tcPr>
          <w:p w14:paraId="51E08F95" w14:textId="77777777" w:rsidR="007E1DE8" w:rsidRPr="002D6F3F" w:rsidRDefault="007E1DE8" w:rsidP="002D6F3F">
            <w:pPr>
              <w:contextualSpacing/>
              <w:jc w:val="center"/>
              <w:outlineLvl w:val="1"/>
              <w:rPr>
                <w:rFonts w:ascii="ITC Avant Garde" w:hAnsi="ITC Avant Garde" w:cs="Arial Unicode MS"/>
                <w:bCs/>
                <w:sz w:val="18"/>
                <w:u w:color="000000"/>
                <w:bdr w:val="nil"/>
                <w:lang w:val="es-ES_tradnl" w:eastAsia="es-MX"/>
              </w:rPr>
            </w:pPr>
            <w:r w:rsidRPr="002D6F3F">
              <w:rPr>
                <w:rFonts w:ascii="ITC Avant Garde" w:hAnsi="ITC Avant Garde" w:cs="Arial Unicode MS"/>
                <w:bCs/>
                <w:noProof/>
                <w:sz w:val="18"/>
                <w:u w:color="000000"/>
                <w:bdr w:val="nil"/>
                <w:lang w:val="es-ES_tradnl" w:eastAsia="es-MX"/>
              </w:rPr>
              <w:t>1,242</w:t>
            </w:r>
          </w:p>
        </w:tc>
        <w:tc>
          <w:tcPr>
            <w:tcW w:w="1357" w:type="dxa"/>
            <w:shd w:val="clear" w:color="auto" w:fill="E2EFD9" w:themeFill="accent6" w:themeFillTint="33"/>
            <w:vAlign w:val="center"/>
          </w:tcPr>
          <w:p w14:paraId="09AACFBE" w14:textId="7E8ED5A0" w:rsidR="007E1DE8" w:rsidRPr="002D6F3F" w:rsidRDefault="00BF259E" w:rsidP="002D6F3F">
            <w:pPr>
              <w:contextualSpacing/>
              <w:jc w:val="center"/>
              <w:outlineLvl w:val="1"/>
              <w:rPr>
                <w:rFonts w:ascii="ITC Avant Garde" w:hAnsi="ITC Avant Garde" w:cs="Arial Unicode MS"/>
                <w:bCs/>
                <w:noProof/>
                <w:sz w:val="18"/>
                <w:u w:color="000000"/>
                <w:bdr w:val="nil"/>
                <w:lang w:val="es-ES_tradnl" w:eastAsia="es-MX"/>
              </w:rPr>
            </w:pPr>
            <w:r w:rsidRPr="002D6F3F">
              <w:rPr>
                <w:rFonts w:ascii="ITC Avant Garde" w:hAnsi="ITC Avant Garde" w:cs="Arial Unicode MS"/>
                <w:bCs/>
                <w:noProof/>
                <w:sz w:val="18"/>
                <w:u w:color="000000"/>
                <w:bdr w:val="nil"/>
                <w:lang w:val="es-ES_tradnl" w:eastAsia="es-MX"/>
              </w:rPr>
              <w:t>Si</w:t>
            </w:r>
          </w:p>
        </w:tc>
        <w:tc>
          <w:tcPr>
            <w:tcW w:w="1177" w:type="dxa"/>
            <w:shd w:val="clear" w:color="auto" w:fill="E2EFD9" w:themeFill="accent6" w:themeFillTint="33"/>
            <w:vAlign w:val="center"/>
          </w:tcPr>
          <w:p w14:paraId="0506E702" w14:textId="48A64453" w:rsidR="007E1DE8" w:rsidRPr="002D6F3F" w:rsidRDefault="00BF259E" w:rsidP="002D6F3F">
            <w:pPr>
              <w:contextualSpacing/>
              <w:jc w:val="center"/>
              <w:outlineLvl w:val="1"/>
              <w:rPr>
                <w:rFonts w:ascii="ITC Avant Garde" w:hAnsi="ITC Avant Garde" w:cs="Arial Unicode MS"/>
                <w:bCs/>
                <w:noProof/>
                <w:sz w:val="18"/>
                <w:u w:color="000000"/>
                <w:bdr w:val="nil"/>
                <w:lang w:val="es-ES_tradnl" w:eastAsia="es-MX"/>
              </w:rPr>
            </w:pPr>
            <w:r w:rsidRPr="002D6F3F">
              <w:rPr>
                <w:rFonts w:ascii="ITC Avant Garde" w:hAnsi="ITC Avant Garde" w:cs="Arial Unicode MS"/>
                <w:bCs/>
                <w:sz w:val="18"/>
                <w:u w:color="000000"/>
                <w:bdr w:val="nil"/>
                <w:lang w:val="es-ES_tradnl" w:eastAsia="es-MX"/>
              </w:rPr>
              <w:t>No</w:t>
            </w:r>
          </w:p>
        </w:tc>
      </w:tr>
    </w:tbl>
    <w:p w14:paraId="43541D83" w14:textId="77777777" w:rsidR="002D6F3F" w:rsidRPr="002D6F3F" w:rsidRDefault="002D6F3F" w:rsidP="004E01E4">
      <w:pPr>
        <w:tabs>
          <w:tab w:val="left" w:pos="2410"/>
        </w:tabs>
        <w:spacing w:after="0" w:line="240" w:lineRule="auto"/>
        <w:jc w:val="both"/>
        <w:rPr>
          <w:rFonts w:ascii="ITC Avant Garde" w:hAnsi="ITC Avant Garde" w:cs="Arial Unicode MS"/>
          <w:bCs/>
          <w:sz w:val="20"/>
          <w:szCs w:val="20"/>
          <w:u w:color="000000"/>
          <w:bdr w:val="nil"/>
          <w:lang w:val="es-ES_tradnl" w:eastAsia="es-MX"/>
        </w:rPr>
      </w:pPr>
    </w:p>
    <w:p w14:paraId="603E318A" w14:textId="2AD4C7DC" w:rsidR="002D6F3F" w:rsidRDefault="004E01E4" w:rsidP="004E01E4">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4E01E4">
        <w:rPr>
          <w:rFonts w:ascii="ITC Avant Garde" w:eastAsia="Arial Unicode MS" w:hAnsi="ITC Avant Garde" w:cs="Arial"/>
          <w:b/>
          <w:bCs/>
          <w:u w:color="000000"/>
          <w:bdr w:val="nil"/>
          <w:lang w:val="es-ES_tradnl"/>
        </w:rPr>
        <w:t>SEGUNDO.</w:t>
      </w:r>
      <w:r>
        <w:rPr>
          <w:rFonts w:ascii="ITC Avant Garde" w:eastAsia="Arial Unicode MS" w:hAnsi="ITC Avant Garde" w:cs="Arial"/>
          <w:bCs/>
          <w:u w:color="000000"/>
          <w:bdr w:val="nil"/>
          <w:lang w:val="es-ES_tradnl"/>
        </w:rPr>
        <w:tab/>
      </w:r>
      <w:r w:rsidR="001049F4" w:rsidRPr="002D6F3F">
        <w:rPr>
          <w:rFonts w:ascii="ITC Avant Garde" w:eastAsia="Arial Unicode MS" w:hAnsi="ITC Avant Garde" w:cs="Arial"/>
          <w:bCs/>
          <w:u w:color="000000"/>
          <w:bdr w:val="nil"/>
          <w:lang w:val="es-ES_tradnl"/>
        </w:rPr>
        <w:t>Se instruye a la Un</w:t>
      </w:r>
      <w:r w:rsidR="00424150" w:rsidRPr="002D6F3F">
        <w:rPr>
          <w:rFonts w:ascii="ITC Avant Garde" w:eastAsia="Arial Unicode MS" w:hAnsi="ITC Avant Garde" w:cs="Arial"/>
          <w:bCs/>
          <w:u w:color="000000"/>
          <w:bdr w:val="nil"/>
          <w:lang w:val="es-ES_tradnl"/>
        </w:rPr>
        <w:t>idad de Espectro Radioeléctrico</w:t>
      </w:r>
      <w:r w:rsidR="001049F4" w:rsidRPr="002D6F3F">
        <w:rPr>
          <w:rFonts w:ascii="ITC Avant Garde" w:eastAsia="Arial Unicode MS" w:hAnsi="ITC Avant Garde" w:cs="Arial"/>
          <w:bCs/>
          <w:u w:color="000000"/>
          <w:bdr w:val="nil"/>
          <w:lang w:val="es-ES_tradnl"/>
        </w:rPr>
        <w:t xml:space="preserve"> </w:t>
      </w:r>
      <w:r w:rsidR="00A00641" w:rsidRPr="002D6F3F">
        <w:rPr>
          <w:rFonts w:ascii="ITC Avant Garde" w:eastAsia="Arial Unicode MS" w:hAnsi="ITC Avant Garde" w:cs="Arial"/>
          <w:bCs/>
          <w:u w:color="000000"/>
          <w:bdr w:val="nil"/>
          <w:lang w:val="es-ES_tradnl"/>
        </w:rPr>
        <w:t xml:space="preserve">para </w:t>
      </w:r>
      <w:r w:rsidR="001049F4" w:rsidRPr="002D6F3F">
        <w:rPr>
          <w:rFonts w:ascii="ITC Avant Garde" w:eastAsia="Arial Unicode MS" w:hAnsi="ITC Avant Garde" w:cs="Arial"/>
          <w:bCs/>
          <w:u w:color="000000"/>
          <w:bdr w:val="nil"/>
          <w:lang w:val="es-ES_tradnl"/>
        </w:rPr>
        <w:t>que</w:t>
      </w:r>
      <w:r w:rsidR="003C518C" w:rsidRPr="002D6F3F">
        <w:rPr>
          <w:rFonts w:ascii="ITC Avant Garde" w:eastAsia="Arial Unicode MS" w:hAnsi="ITC Avant Garde" w:cs="Arial"/>
          <w:bCs/>
          <w:u w:color="000000"/>
          <w:bdr w:val="nil"/>
          <w:lang w:val="es-ES_tradnl"/>
        </w:rPr>
        <w:t xml:space="preserve"> notifique electrónicamente</w:t>
      </w:r>
      <w:r w:rsidR="007F7BB3" w:rsidRPr="002D6F3F">
        <w:rPr>
          <w:rFonts w:ascii="ITC Avant Garde" w:eastAsia="Arial Unicode MS" w:hAnsi="ITC Avant Garde" w:cs="Arial"/>
          <w:bCs/>
          <w:u w:color="000000"/>
          <w:bdr w:val="nil"/>
          <w:lang w:val="es-ES_tradnl"/>
        </w:rPr>
        <w:t>,</w:t>
      </w:r>
      <w:r w:rsidR="003C518C" w:rsidRPr="002D6F3F">
        <w:rPr>
          <w:rFonts w:ascii="ITC Avant Garde" w:eastAsia="Arial Unicode MS" w:hAnsi="ITC Avant Garde" w:cs="Arial"/>
          <w:bCs/>
          <w:u w:color="000000"/>
          <w:bdr w:val="nil"/>
          <w:lang w:val="es-ES_tradnl"/>
        </w:rPr>
        <w:t xml:space="preserve"> a través del SERPO, la presente A</w:t>
      </w:r>
      <w:r w:rsidR="00877E7C" w:rsidRPr="002D6F3F">
        <w:rPr>
          <w:rFonts w:ascii="ITC Avant Garde" w:eastAsia="Arial Unicode MS" w:hAnsi="ITC Avant Garde" w:cs="Arial"/>
          <w:bCs/>
          <w:u w:color="000000"/>
          <w:bdr w:val="nil"/>
          <w:lang w:val="es-ES_tradnl"/>
        </w:rPr>
        <w:t xml:space="preserve">cta de </w:t>
      </w:r>
      <w:r w:rsidR="00877E7C" w:rsidRPr="002D6F3F">
        <w:rPr>
          <w:rFonts w:ascii="ITC Avant Garde" w:eastAsia="Arial Unicode MS" w:hAnsi="ITC Avant Garde" w:cs="Arial"/>
          <w:u w:color="000000"/>
          <w:bdr w:val="nil"/>
          <w:lang w:val="es-ES_tradnl" w:eastAsia="es-MX"/>
        </w:rPr>
        <w:t>Fallo</w:t>
      </w:r>
      <w:r w:rsidR="00877E7C" w:rsidRPr="002D6F3F">
        <w:rPr>
          <w:rFonts w:ascii="ITC Avant Garde" w:eastAsia="Arial Unicode MS" w:hAnsi="ITC Avant Garde" w:cs="Arial"/>
          <w:bCs/>
          <w:u w:color="000000"/>
          <w:bdr w:val="nil"/>
          <w:lang w:val="es-ES_tradnl"/>
        </w:rPr>
        <w:t xml:space="preserve"> </w:t>
      </w:r>
      <w:r w:rsidR="001049F4" w:rsidRPr="002D6F3F">
        <w:rPr>
          <w:rFonts w:ascii="ITC Avant Garde" w:eastAsia="Arial Unicode MS" w:hAnsi="ITC Avant Garde" w:cs="Arial"/>
          <w:bCs/>
          <w:u w:color="000000"/>
          <w:bdr w:val="nil"/>
          <w:lang w:val="es-ES_tradnl"/>
        </w:rPr>
        <w:t>a</w:t>
      </w:r>
      <w:r w:rsidR="006D154B" w:rsidRPr="002D6F3F">
        <w:rPr>
          <w:rFonts w:ascii="ITC Avant Garde" w:eastAsia="Arial Unicode MS" w:hAnsi="ITC Avant Garde" w:cs="Arial"/>
          <w:bCs/>
          <w:u w:color="000000"/>
          <w:bdr w:val="nil"/>
          <w:lang w:val="es-ES_tradnl"/>
        </w:rPr>
        <w:t>l Participante Ganador</w:t>
      </w:r>
      <w:r w:rsidR="00A123FD" w:rsidRPr="002D6F3F">
        <w:rPr>
          <w:rFonts w:ascii="ITC Avant Garde" w:eastAsia="Arial Unicode MS" w:hAnsi="ITC Avant Garde" w:cs="Arial"/>
          <w:bCs/>
          <w:u w:color="000000"/>
          <w:bdr w:val="nil"/>
          <w:lang w:val="es-ES_tradnl"/>
        </w:rPr>
        <w:t>,</w:t>
      </w:r>
      <w:r w:rsidR="00E55F83" w:rsidRPr="002D6F3F">
        <w:rPr>
          <w:rFonts w:ascii="ITC Avant Garde" w:eastAsia="Arial Unicode MS" w:hAnsi="ITC Avant Garde" w:cs="Arial"/>
          <w:bCs/>
          <w:u w:color="000000"/>
          <w:bdr w:val="nil"/>
          <w:lang w:val="es-ES_tradnl"/>
        </w:rPr>
        <w:t xml:space="preserve"> </w:t>
      </w:r>
      <w:r w:rsidR="000D3EEA" w:rsidRPr="002D6F3F">
        <w:rPr>
          <w:rFonts w:ascii="ITC Avant Garde" w:eastAsia="Arial Unicode MS" w:hAnsi="ITC Avant Garde" w:cs="Arial"/>
          <w:bCs/>
          <w:u w:color="000000"/>
          <w:bdr w:val="nil"/>
          <w:lang w:val="es-ES_tradnl"/>
        </w:rPr>
        <w:t>Consorcio integrado por Leopoldo González Maya, Cristopher González Cruz y Leopoldo Neftalí González Cruz</w:t>
      </w:r>
      <w:r w:rsidR="00DE1CE7" w:rsidRPr="002D6F3F">
        <w:rPr>
          <w:rFonts w:ascii="ITC Avant Garde" w:eastAsia="Arial Unicode MS" w:hAnsi="ITC Avant Garde" w:cs="Arial"/>
          <w:bCs/>
          <w:u w:color="000000"/>
          <w:bdr w:val="nil"/>
          <w:lang w:val="es-ES_tradnl"/>
        </w:rPr>
        <w:t>.</w:t>
      </w:r>
    </w:p>
    <w:p w14:paraId="40040768" w14:textId="77777777" w:rsidR="004E01E4" w:rsidRPr="002D6F3F" w:rsidRDefault="004E01E4" w:rsidP="004E01E4">
      <w:pPr>
        <w:pBdr>
          <w:top w:val="nil"/>
          <w:left w:val="nil"/>
          <w:bottom w:val="nil"/>
          <w:right w:val="nil"/>
          <w:between w:val="nil"/>
          <w:bar w:val="nil"/>
        </w:pBdr>
        <w:spacing w:line="240" w:lineRule="auto"/>
        <w:contextualSpacing/>
        <w:jc w:val="both"/>
        <w:rPr>
          <w:rFonts w:ascii="ITC Avant Garde" w:hAnsi="ITC Avant Garde" w:cs="Arial"/>
        </w:rPr>
      </w:pPr>
    </w:p>
    <w:p w14:paraId="7B93B8CE" w14:textId="2F156311" w:rsidR="002D6F3F" w:rsidRDefault="004E01E4" w:rsidP="004E01E4">
      <w:pPr>
        <w:pBdr>
          <w:top w:val="nil"/>
          <w:left w:val="nil"/>
          <w:bottom w:val="nil"/>
          <w:right w:val="nil"/>
          <w:between w:val="nil"/>
          <w:bar w:val="nil"/>
        </w:pBdr>
        <w:spacing w:line="240" w:lineRule="auto"/>
        <w:contextualSpacing/>
        <w:jc w:val="both"/>
        <w:rPr>
          <w:rFonts w:ascii="ITC Avant Garde" w:eastAsia="Arial Unicode MS" w:hAnsi="ITC Avant Garde" w:cs="Arial"/>
          <w:bdr w:val="nil"/>
          <w:lang w:val="es-ES_tradnl"/>
        </w:rPr>
      </w:pPr>
      <w:r w:rsidRPr="004E01E4">
        <w:rPr>
          <w:rFonts w:ascii="ITC Avant Garde" w:eastAsia="Arial Unicode MS" w:hAnsi="ITC Avant Garde" w:cs="Arial"/>
          <w:b/>
          <w:bdr w:val="nil"/>
          <w:lang w:val="es-ES_tradnl"/>
        </w:rPr>
        <w:t>TERCERO.</w:t>
      </w:r>
      <w:r>
        <w:rPr>
          <w:rFonts w:ascii="ITC Avant Garde" w:eastAsia="Arial Unicode MS" w:hAnsi="ITC Avant Garde" w:cs="Arial"/>
          <w:bdr w:val="nil"/>
          <w:lang w:val="es-ES_tradnl"/>
        </w:rPr>
        <w:tab/>
      </w:r>
      <w:r w:rsidR="00025D29" w:rsidRPr="002D6F3F">
        <w:rPr>
          <w:rFonts w:ascii="ITC Avant Garde" w:eastAsia="Arial Unicode MS" w:hAnsi="ITC Avant Garde" w:cs="Arial"/>
          <w:bdr w:val="nil"/>
          <w:lang w:val="es-ES_tradnl"/>
        </w:rPr>
        <w:t>Se instruye a la Unidad de Espectro Radioeléctrico para que</w:t>
      </w:r>
      <w:r w:rsidR="003D7291" w:rsidRPr="002D6F3F">
        <w:rPr>
          <w:rFonts w:ascii="ITC Avant Garde" w:eastAsia="Arial Unicode MS" w:hAnsi="ITC Avant Garde" w:cs="Arial"/>
          <w:bdr w:val="nil"/>
          <w:lang w:val="es-ES_tradnl"/>
        </w:rPr>
        <w:t>,</w:t>
      </w:r>
      <w:r w:rsidR="00025D29" w:rsidRPr="002D6F3F">
        <w:rPr>
          <w:rFonts w:ascii="ITC Avant Garde" w:eastAsia="Arial Unicode MS" w:hAnsi="ITC Avant Garde" w:cs="Arial"/>
          <w:bdr w:val="nil"/>
          <w:lang w:val="es-ES_tradnl"/>
        </w:rPr>
        <w:t xml:space="preserve"> una</w:t>
      </w:r>
      <w:r w:rsidR="0079428D" w:rsidRPr="002D6F3F">
        <w:rPr>
          <w:rFonts w:ascii="ITC Avant Garde" w:eastAsia="Arial Unicode MS" w:hAnsi="ITC Avant Garde" w:cs="Arial"/>
          <w:bdr w:val="nil"/>
          <w:lang w:val="es-ES_tradnl"/>
        </w:rPr>
        <w:t xml:space="preserve"> vez </w:t>
      </w:r>
      <w:r w:rsidR="00025D29" w:rsidRPr="002D6F3F">
        <w:rPr>
          <w:rFonts w:ascii="ITC Avant Garde" w:eastAsia="Arial Unicode MS" w:hAnsi="ITC Avant Garde" w:cs="Arial"/>
          <w:bdr w:val="nil"/>
          <w:lang w:val="es-ES_tradnl"/>
        </w:rPr>
        <w:t>que</w:t>
      </w:r>
      <w:r w:rsidR="0079428D" w:rsidRPr="002D6F3F">
        <w:rPr>
          <w:rFonts w:ascii="ITC Avant Garde" w:eastAsia="Arial Unicode MS" w:hAnsi="ITC Avant Garde" w:cs="Arial"/>
          <w:bdr w:val="nil"/>
          <w:lang w:val="es-ES_tradnl"/>
        </w:rPr>
        <w:t xml:space="preserve"> </w:t>
      </w:r>
      <w:r w:rsidR="00F958C8" w:rsidRPr="002D6F3F">
        <w:rPr>
          <w:rFonts w:ascii="ITC Avant Garde" w:eastAsia="Arial Unicode MS" w:hAnsi="ITC Avant Garde" w:cs="Arial"/>
          <w:bdr w:val="nil"/>
          <w:lang w:val="es-ES_tradnl"/>
        </w:rPr>
        <w:t xml:space="preserve">el </w:t>
      </w:r>
      <w:r w:rsidR="0079428D" w:rsidRPr="002D6F3F">
        <w:rPr>
          <w:rFonts w:ascii="ITC Avant Garde" w:eastAsia="Arial Unicode MS" w:hAnsi="ITC Avant Garde" w:cs="Arial"/>
          <w:bdr w:val="nil"/>
          <w:lang w:val="es-ES_tradnl"/>
        </w:rPr>
        <w:t xml:space="preserve">Participante Ganador </w:t>
      </w:r>
      <w:r w:rsidR="000C113D" w:rsidRPr="002D6F3F">
        <w:rPr>
          <w:rFonts w:ascii="ITC Avant Garde" w:eastAsia="Arial Unicode MS" w:hAnsi="ITC Avant Garde" w:cs="Arial"/>
          <w:bdr w:val="nil"/>
          <w:lang w:val="es-ES_tradnl"/>
        </w:rPr>
        <w:t xml:space="preserve">acredite </w:t>
      </w:r>
      <w:r w:rsidR="003B64C8" w:rsidRPr="002D6F3F">
        <w:rPr>
          <w:rFonts w:ascii="ITC Avant Garde" w:eastAsia="Arial Unicode MS" w:hAnsi="ITC Avant Garde" w:cs="Arial"/>
          <w:bdr w:val="nil"/>
          <w:lang w:val="es-ES_tradnl"/>
        </w:rPr>
        <w:t xml:space="preserve">el cumplimiento de las condiciones para la entrega de los títulos de concesión, establecidas en el </w:t>
      </w:r>
      <w:r w:rsidR="003B64C8" w:rsidRPr="002D6F3F">
        <w:rPr>
          <w:rFonts w:ascii="ITC Avant Garde" w:eastAsia="Arial Unicode MS" w:hAnsi="ITC Avant Garde" w:cs="Arial"/>
          <w:b/>
          <w:bdr w:val="nil"/>
          <w:lang w:val="es-ES_tradnl"/>
        </w:rPr>
        <w:t xml:space="preserve">Considerando CUARTO </w:t>
      </w:r>
      <w:r w:rsidR="003B64C8" w:rsidRPr="002D6F3F">
        <w:rPr>
          <w:rFonts w:ascii="ITC Avant Garde" w:eastAsia="Arial Unicode MS" w:hAnsi="ITC Avant Garde" w:cs="Arial"/>
          <w:bdr w:val="nil"/>
          <w:lang w:val="es-ES_tradnl"/>
        </w:rPr>
        <w:t>de la presente Resolución</w:t>
      </w:r>
      <w:r w:rsidR="0079428D" w:rsidRPr="002D6F3F">
        <w:rPr>
          <w:rFonts w:ascii="ITC Avant Garde" w:eastAsia="Arial Unicode MS" w:hAnsi="ITC Avant Garde" w:cs="Arial"/>
          <w:bdr w:val="nil"/>
          <w:lang w:val="es-ES_tradnl"/>
        </w:rPr>
        <w:t xml:space="preserve">, </w:t>
      </w:r>
      <w:r w:rsidR="004465E1" w:rsidRPr="002D6F3F">
        <w:rPr>
          <w:rFonts w:ascii="ITC Avant Garde" w:eastAsia="Arial Unicode MS" w:hAnsi="ITC Avant Garde" w:cs="Arial"/>
          <w:bdr w:val="nil"/>
          <w:lang w:val="es-ES_tradnl"/>
        </w:rPr>
        <w:t xml:space="preserve">en </w:t>
      </w:r>
      <w:r w:rsidR="003E6FC4" w:rsidRPr="002D6F3F">
        <w:rPr>
          <w:rFonts w:ascii="ITC Avant Garde" w:eastAsia="Arial Unicode MS" w:hAnsi="ITC Avant Garde" w:cs="Arial"/>
          <w:bdr w:val="nil"/>
          <w:lang w:val="es-ES_tradnl"/>
        </w:rPr>
        <w:t>coordinación con la Unidad de Concesiones y Servicios</w:t>
      </w:r>
      <w:r w:rsidR="00BD56B8" w:rsidRPr="002D6F3F">
        <w:rPr>
          <w:rFonts w:ascii="ITC Avant Garde" w:eastAsia="Arial Unicode MS" w:hAnsi="ITC Avant Garde" w:cs="Arial"/>
          <w:bdr w:val="nil"/>
          <w:lang w:val="es-ES_tradnl"/>
        </w:rPr>
        <w:t>,</w:t>
      </w:r>
      <w:r w:rsidR="003E6FC4" w:rsidRPr="002D6F3F">
        <w:rPr>
          <w:rFonts w:ascii="ITC Avant Garde" w:eastAsia="Arial Unicode MS" w:hAnsi="ITC Avant Garde" w:cs="Arial"/>
          <w:bdr w:val="nil"/>
          <w:lang w:val="es-ES_tradnl"/>
        </w:rPr>
        <w:t xml:space="preserve"> </w:t>
      </w:r>
      <w:r w:rsidR="00E55F83" w:rsidRPr="002D6F3F">
        <w:rPr>
          <w:rFonts w:ascii="ITC Avant Garde" w:eastAsia="Arial Unicode MS" w:hAnsi="ITC Avant Garde" w:cs="Arial"/>
          <w:bdr w:val="nil"/>
          <w:lang w:val="es-ES_tradnl"/>
        </w:rPr>
        <w:t>lleve a cabo</w:t>
      </w:r>
      <w:r w:rsidR="0079428D" w:rsidRPr="002D6F3F">
        <w:rPr>
          <w:rFonts w:ascii="ITC Avant Garde" w:eastAsia="Arial Unicode MS" w:hAnsi="ITC Avant Garde" w:cs="Arial"/>
          <w:bdr w:val="nil"/>
          <w:lang w:val="es-ES_tradnl"/>
        </w:rPr>
        <w:t xml:space="preserve"> </w:t>
      </w:r>
      <w:r w:rsidR="00B91BD7" w:rsidRPr="002D6F3F">
        <w:rPr>
          <w:rFonts w:ascii="ITC Avant Garde" w:eastAsia="Arial Unicode MS" w:hAnsi="ITC Avant Garde" w:cs="Arial"/>
          <w:bdr w:val="none" w:sz="0" w:space="0" w:color="auto" w:frame="1"/>
          <w:lang w:val="es-ES_tradnl"/>
        </w:rPr>
        <w:t xml:space="preserve">los actos necesarios para que el Comisionado Presidente del Instituto, con base en las facultades que le confiere el artículo 14 fracción X del Estatuto Orgánico, suscriba </w:t>
      </w:r>
      <w:r w:rsidR="008849C5" w:rsidRPr="002D6F3F">
        <w:rPr>
          <w:rFonts w:ascii="ITC Avant Garde" w:eastAsia="Arial Unicode MS" w:hAnsi="ITC Avant Garde" w:cs="Arial"/>
          <w:bdr w:val="nil"/>
          <w:lang w:val="es-ES_tradnl"/>
        </w:rPr>
        <w:t>el</w:t>
      </w:r>
      <w:r w:rsidR="0079428D" w:rsidRPr="002D6F3F">
        <w:rPr>
          <w:rFonts w:ascii="ITC Avant Garde" w:eastAsia="Arial Unicode MS" w:hAnsi="ITC Avant Garde" w:cs="Arial"/>
          <w:bdr w:val="nil"/>
          <w:lang w:val="es-ES_tradnl"/>
        </w:rPr>
        <w:t xml:space="preserve"> </w:t>
      </w:r>
      <w:r w:rsidR="005411EF" w:rsidRPr="002D6F3F">
        <w:rPr>
          <w:rFonts w:ascii="ITC Avant Garde" w:eastAsia="Arial Unicode MS" w:hAnsi="ITC Avant Garde" w:cs="Arial"/>
          <w:bdr w:val="nil"/>
          <w:lang w:val="es-ES_tradnl"/>
        </w:rPr>
        <w:t xml:space="preserve">título de Concesión de Espectro Radioeléctrico para Uso Comercial, así </w:t>
      </w:r>
      <w:r w:rsidR="0044545C" w:rsidRPr="002D6F3F">
        <w:rPr>
          <w:rFonts w:ascii="ITC Avant Garde" w:eastAsia="Arial Unicode MS" w:hAnsi="ITC Avant Garde" w:cs="Arial"/>
          <w:bdr w:val="nil"/>
          <w:lang w:val="es-ES_tradnl"/>
        </w:rPr>
        <w:t>como un título de Concesión Ú</w:t>
      </w:r>
      <w:r w:rsidR="005411EF" w:rsidRPr="002D6F3F">
        <w:rPr>
          <w:rFonts w:ascii="ITC Avant Garde" w:eastAsia="Arial Unicode MS" w:hAnsi="ITC Avant Garde" w:cs="Arial"/>
          <w:bdr w:val="nil"/>
          <w:lang w:val="es-ES_tradnl"/>
        </w:rPr>
        <w:t>nica para Uso Comercial</w:t>
      </w:r>
      <w:r w:rsidR="0067063A" w:rsidRPr="002D6F3F">
        <w:rPr>
          <w:rFonts w:ascii="ITC Avant Garde" w:eastAsia="Arial Unicode MS" w:hAnsi="ITC Avant Garde" w:cs="Arial"/>
          <w:bdr w:val="nil"/>
          <w:lang w:val="es-ES_tradnl"/>
        </w:rPr>
        <w:t>,</w:t>
      </w:r>
      <w:r w:rsidR="008B50A1" w:rsidRPr="002D6F3F">
        <w:rPr>
          <w:rFonts w:ascii="ITC Avant Garde" w:eastAsia="Arial Unicode MS" w:hAnsi="ITC Avant Garde" w:cs="Arial"/>
          <w:bdr w:val="nil"/>
          <w:lang w:val="es-ES_tradnl"/>
        </w:rPr>
        <w:t xml:space="preserve"> en favor de la sociedad mercantil que se constituya en términos del propio considerando</w:t>
      </w:r>
      <w:r>
        <w:rPr>
          <w:rFonts w:ascii="ITC Avant Garde" w:eastAsia="Arial Unicode MS" w:hAnsi="ITC Avant Garde" w:cs="Arial"/>
          <w:bdr w:val="nil"/>
          <w:lang w:val="es-ES_tradnl"/>
        </w:rPr>
        <w:t>.</w:t>
      </w:r>
    </w:p>
    <w:p w14:paraId="759CFB5E" w14:textId="77777777" w:rsidR="004E01E4" w:rsidRPr="002D6F3F" w:rsidRDefault="004E01E4" w:rsidP="004E01E4">
      <w:pPr>
        <w:pBdr>
          <w:top w:val="nil"/>
          <w:left w:val="nil"/>
          <w:bottom w:val="nil"/>
          <w:right w:val="nil"/>
          <w:between w:val="nil"/>
          <w:bar w:val="nil"/>
        </w:pBdr>
        <w:spacing w:line="240" w:lineRule="auto"/>
        <w:contextualSpacing/>
        <w:jc w:val="both"/>
        <w:rPr>
          <w:rFonts w:ascii="ITC Avant Garde" w:eastAsia="Arial Unicode MS" w:hAnsi="ITC Avant Garde" w:cs="Arial"/>
          <w:bdr w:val="nil"/>
          <w:lang w:val="es-ES_tradnl"/>
        </w:rPr>
      </w:pPr>
    </w:p>
    <w:p w14:paraId="5A7BB159" w14:textId="5E75B9F3" w:rsidR="002D6F3F" w:rsidRDefault="004E01E4" w:rsidP="004E01E4">
      <w:pPr>
        <w:pBdr>
          <w:top w:val="nil"/>
          <w:left w:val="nil"/>
          <w:bottom w:val="nil"/>
          <w:right w:val="nil"/>
          <w:between w:val="nil"/>
          <w:bar w:val="nil"/>
        </w:pBdr>
        <w:spacing w:line="240" w:lineRule="auto"/>
        <w:contextualSpacing/>
        <w:jc w:val="both"/>
        <w:rPr>
          <w:rFonts w:ascii="ITC Avant Garde" w:hAnsi="ITC Avant Garde" w:cs="Arial"/>
        </w:rPr>
      </w:pPr>
      <w:r w:rsidRPr="004E01E4">
        <w:rPr>
          <w:rFonts w:ascii="ITC Avant Garde" w:hAnsi="ITC Avant Garde" w:cs="Arial"/>
          <w:b/>
        </w:rPr>
        <w:t>CUARTO.</w:t>
      </w:r>
      <w:r>
        <w:rPr>
          <w:rFonts w:ascii="ITC Avant Garde" w:hAnsi="ITC Avant Garde" w:cs="Arial"/>
        </w:rPr>
        <w:tab/>
      </w:r>
      <w:r w:rsidR="00407EE2" w:rsidRPr="002D6F3F">
        <w:rPr>
          <w:rFonts w:ascii="ITC Avant Garde" w:hAnsi="ITC Avant Garde" w:cs="Arial"/>
        </w:rPr>
        <w:t>Se instruye a la Unidad de Espectro Radioeléctrico</w:t>
      </w:r>
      <w:r w:rsidR="008C0DCB" w:rsidRPr="002D6F3F">
        <w:rPr>
          <w:rFonts w:ascii="ITC Avant Garde" w:hAnsi="ITC Avant Garde" w:cs="Arial"/>
        </w:rPr>
        <w:t>,</w:t>
      </w:r>
      <w:r w:rsidR="00407EE2" w:rsidRPr="002D6F3F">
        <w:rPr>
          <w:rFonts w:ascii="ITC Avant Garde" w:hAnsi="ITC Avant Garde" w:cs="Arial"/>
        </w:rPr>
        <w:t xml:space="preserve"> a efecto de que</w:t>
      </w:r>
      <w:r w:rsidR="000D1E23" w:rsidRPr="002D6F3F">
        <w:rPr>
          <w:rFonts w:ascii="ITC Avant Garde" w:hAnsi="ITC Avant Garde" w:cs="Arial"/>
        </w:rPr>
        <w:t>, conforme a lo establecido en las Bases,</w:t>
      </w:r>
      <w:r w:rsidR="001B0368" w:rsidRPr="002D6F3F">
        <w:rPr>
          <w:rFonts w:ascii="ITC Avant Garde" w:hAnsi="ITC Avant Garde" w:cs="Arial"/>
        </w:rPr>
        <w:t xml:space="preserve"> </w:t>
      </w:r>
      <w:r w:rsidR="00407EE2" w:rsidRPr="002D6F3F">
        <w:rPr>
          <w:rFonts w:ascii="ITC Avant Garde" w:hAnsi="ITC Avant Garde" w:cs="Arial"/>
        </w:rPr>
        <w:t xml:space="preserve">libere las Garantías de Seriedad de los Participantes </w:t>
      </w:r>
      <w:r w:rsidR="00993366" w:rsidRPr="002D6F3F">
        <w:rPr>
          <w:rFonts w:ascii="ITC Avant Garde" w:hAnsi="ITC Avant Garde" w:cs="Arial"/>
        </w:rPr>
        <w:t>no ganadores conforme a los supuestos</w:t>
      </w:r>
      <w:r w:rsidR="003A0929" w:rsidRPr="002D6F3F">
        <w:rPr>
          <w:rFonts w:ascii="ITC Avant Garde" w:hAnsi="ITC Avant Garde" w:cs="Arial"/>
        </w:rPr>
        <w:t xml:space="preserve"> previsto</w:t>
      </w:r>
      <w:r w:rsidR="00993366" w:rsidRPr="002D6F3F">
        <w:rPr>
          <w:rFonts w:ascii="ITC Avant Garde" w:hAnsi="ITC Avant Garde" w:cs="Arial"/>
        </w:rPr>
        <w:t>s</w:t>
      </w:r>
      <w:r w:rsidR="003A0929" w:rsidRPr="002D6F3F">
        <w:rPr>
          <w:rFonts w:ascii="ITC Avant Garde" w:hAnsi="ITC Avant Garde" w:cs="Arial"/>
        </w:rPr>
        <w:t xml:space="preserve"> en el </w:t>
      </w:r>
      <w:r w:rsidR="003A0929" w:rsidRPr="002D6F3F">
        <w:rPr>
          <w:rFonts w:ascii="ITC Avant Garde" w:hAnsi="ITC Avant Garde" w:cs="Arial"/>
          <w:b/>
        </w:rPr>
        <w:t>C</w:t>
      </w:r>
      <w:r w:rsidR="00407EE2" w:rsidRPr="002D6F3F">
        <w:rPr>
          <w:rFonts w:ascii="ITC Avant Garde" w:hAnsi="ITC Avant Garde" w:cs="Arial"/>
          <w:b/>
        </w:rPr>
        <w:t>onsid</w:t>
      </w:r>
      <w:r w:rsidR="003A0929" w:rsidRPr="002D6F3F">
        <w:rPr>
          <w:rFonts w:ascii="ITC Avant Garde" w:hAnsi="ITC Avant Garde" w:cs="Arial"/>
          <w:b/>
        </w:rPr>
        <w:t xml:space="preserve">erando </w:t>
      </w:r>
      <w:r w:rsidR="00993366" w:rsidRPr="002D6F3F">
        <w:rPr>
          <w:rFonts w:ascii="ITC Avant Garde" w:hAnsi="ITC Avant Garde" w:cs="Arial"/>
          <w:b/>
        </w:rPr>
        <w:t>QUINTO</w:t>
      </w:r>
      <w:r w:rsidR="00407EE2" w:rsidRPr="002D6F3F">
        <w:rPr>
          <w:rFonts w:ascii="ITC Avant Garde" w:hAnsi="ITC Avant Garde" w:cs="Arial"/>
        </w:rPr>
        <w:t xml:space="preserve"> de la</w:t>
      </w:r>
      <w:r w:rsidR="00993366" w:rsidRPr="002D6F3F">
        <w:rPr>
          <w:rFonts w:ascii="ITC Avant Garde" w:hAnsi="ITC Avant Garde" w:cs="Arial"/>
        </w:rPr>
        <w:t xml:space="preserve"> presente</w:t>
      </w:r>
      <w:r w:rsidR="00407EE2" w:rsidRPr="002D6F3F">
        <w:rPr>
          <w:rFonts w:ascii="ITC Avant Garde" w:hAnsi="ITC Avant Garde" w:cs="Arial"/>
        </w:rPr>
        <w:t xml:space="preserve"> </w:t>
      </w:r>
      <w:r w:rsidR="00300ED6" w:rsidRPr="002D6F3F">
        <w:rPr>
          <w:rFonts w:ascii="ITC Avant Garde" w:hAnsi="ITC Avant Garde" w:cs="Arial"/>
        </w:rPr>
        <w:t>Resolución</w:t>
      </w:r>
      <w:r>
        <w:rPr>
          <w:rFonts w:ascii="ITC Avant Garde" w:hAnsi="ITC Avant Garde" w:cs="Arial"/>
        </w:rPr>
        <w:t>.</w:t>
      </w:r>
    </w:p>
    <w:p w14:paraId="656B881A" w14:textId="77777777" w:rsidR="004E01E4" w:rsidRPr="002D6F3F" w:rsidRDefault="004E01E4" w:rsidP="004E01E4">
      <w:pPr>
        <w:pBdr>
          <w:top w:val="nil"/>
          <w:left w:val="nil"/>
          <w:bottom w:val="nil"/>
          <w:right w:val="nil"/>
          <w:between w:val="nil"/>
          <w:bar w:val="nil"/>
        </w:pBdr>
        <w:spacing w:line="240" w:lineRule="auto"/>
        <w:contextualSpacing/>
        <w:jc w:val="both"/>
        <w:rPr>
          <w:rFonts w:ascii="ITC Avant Garde" w:eastAsia="Arial Unicode MS" w:hAnsi="ITC Avant Garde" w:cs="Arial"/>
          <w:b/>
          <w:u w:color="000000"/>
          <w:bdr w:val="nil"/>
          <w:lang w:val="es-ES_tradnl"/>
        </w:rPr>
      </w:pPr>
    </w:p>
    <w:p w14:paraId="2694C179" w14:textId="2657C5CE" w:rsidR="002D6F3F" w:rsidRDefault="004E01E4" w:rsidP="004E01E4">
      <w:pPr>
        <w:pBdr>
          <w:top w:val="nil"/>
          <w:left w:val="nil"/>
          <w:bottom w:val="nil"/>
          <w:right w:val="nil"/>
          <w:between w:val="nil"/>
          <w:bar w:val="nil"/>
        </w:pBdr>
        <w:spacing w:line="240" w:lineRule="auto"/>
        <w:contextualSpacing/>
        <w:jc w:val="both"/>
        <w:rPr>
          <w:rFonts w:ascii="ITC Avant Garde" w:eastAsia="Arial Unicode MS" w:hAnsi="ITC Avant Garde" w:cs="Arial"/>
          <w:u w:color="000000"/>
          <w:bdr w:val="nil"/>
          <w:lang w:val="es-ES_tradnl"/>
        </w:rPr>
      </w:pPr>
      <w:r w:rsidRPr="004E01E4">
        <w:rPr>
          <w:rFonts w:ascii="ITC Avant Garde" w:hAnsi="ITC Avant Garde" w:cs="Arial"/>
          <w:b/>
        </w:rPr>
        <w:t>QUINTO.</w:t>
      </w:r>
      <w:r>
        <w:rPr>
          <w:rFonts w:ascii="ITC Avant Garde" w:hAnsi="ITC Avant Garde" w:cs="Arial"/>
        </w:rPr>
        <w:tab/>
      </w:r>
      <w:r w:rsidR="00DC78FB" w:rsidRPr="002D6F3F">
        <w:rPr>
          <w:rFonts w:ascii="ITC Avant Garde" w:hAnsi="ITC Avant Garde" w:cs="Arial"/>
        </w:rPr>
        <w:t>Se instruye a la Unidad de Espectro Radioeléctrico para que</w:t>
      </w:r>
      <w:r w:rsidR="003D7291" w:rsidRPr="002D6F3F">
        <w:rPr>
          <w:rFonts w:ascii="ITC Avant Garde" w:hAnsi="ITC Avant Garde" w:cs="Arial"/>
        </w:rPr>
        <w:t>,</w:t>
      </w:r>
      <w:r w:rsidR="00DC78FB" w:rsidRPr="002D6F3F">
        <w:rPr>
          <w:rFonts w:ascii="ITC Avant Garde" w:hAnsi="ITC Avant Garde" w:cs="Arial"/>
        </w:rPr>
        <w:t xml:space="preserve"> </w:t>
      </w:r>
      <w:r w:rsidR="00FB5485" w:rsidRPr="002D6F3F">
        <w:rPr>
          <w:rFonts w:ascii="ITC Avant Garde" w:hAnsi="ITC Avant Garde" w:cs="Arial"/>
        </w:rPr>
        <w:t xml:space="preserve">en coordinación con la Secretaria Técnica del Pleno, </w:t>
      </w:r>
      <w:r w:rsidR="00DC78FB" w:rsidRPr="002D6F3F">
        <w:rPr>
          <w:rFonts w:ascii="ITC Avant Garde" w:hAnsi="ITC Avant Garde" w:cs="Arial"/>
        </w:rPr>
        <w:t xml:space="preserve">realice las gestiones necesarias a efecto de publicar </w:t>
      </w:r>
      <w:r w:rsidR="000577D6" w:rsidRPr="002D6F3F">
        <w:rPr>
          <w:rFonts w:ascii="ITC Avant Garde" w:hAnsi="ITC Avant Garde"/>
          <w:lang w:eastAsia="es-MX"/>
        </w:rPr>
        <w:t xml:space="preserve">la presente </w:t>
      </w:r>
      <w:r w:rsidR="00E80AFD" w:rsidRPr="002D6F3F">
        <w:rPr>
          <w:rFonts w:ascii="ITC Avant Garde" w:hAnsi="ITC Avant Garde"/>
          <w:lang w:eastAsia="es-MX"/>
        </w:rPr>
        <w:t>A</w:t>
      </w:r>
      <w:r w:rsidR="00877E7C" w:rsidRPr="002D6F3F">
        <w:rPr>
          <w:rFonts w:ascii="ITC Avant Garde" w:hAnsi="ITC Avant Garde"/>
          <w:lang w:eastAsia="es-MX"/>
        </w:rPr>
        <w:t>cta de Fallo</w:t>
      </w:r>
      <w:r w:rsidR="00877E7C" w:rsidRPr="002D6F3F">
        <w:rPr>
          <w:rFonts w:ascii="ITC Avant Garde" w:eastAsia="Arial Unicode MS" w:hAnsi="ITC Avant Garde" w:cs="Arial Unicode MS"/>
          <w:u w:color="000000"/>
          <w:bdr w:val="nil"/>
          <w:lang w:val="es-ES_tradnl"/>
        </w:rPr>
        <w:t xml:space="preserve"> </w:t>
      </w:r>
      <w:r w:rsidR="00DC78FB" w:rsidRPr="002D6F3F">
        <w:rPr>
          <w:rFonts w:ascii="ITC Avant Garde" w:hAnsi="ITC Avant Garde"/>
        </w:rPr>
        <w:t>en el portal de Internet del Instituto</w:t>
      </w:r>
      <w:r w:rsidR="00252D37" w:rsidRPr="002D6F3F">
        <w:rPr>
          <w:rFonts w:ascii="ITC Avant Garde" w:hAnsi="ITC Avant Garde"/>
        </w:rPr>
        <w:t xml:space="preserve">, </w:t>
      </w:r>
      <w:r w:rsidR="004005BE" w:rsidRPr="002D6F3F">
        <w:rPr>
          <w:rFonts w:ascii="ITC Avant Garde" w:eastAsia="Arial Unicode MS" w:hAnsi="ITC Avant Garde" w:cs="Arial"/>
          <w:u w:color="000000"/>
          <w:bdr w:val="nil"/>
          <w:lang w:val="es-ES_tradnl"/>
        </w:rPr>
        <w:t>una vez que haya</w:t>
      </w:r>
      <w:r w:rsidR="00252D37" w:rsidRPr="002D6F3F">
        <w:rPr>
          <w:rFonts w:ascii="ITC Avant Garde" w:eastAsia="Arial Unicode MS" w:hAnsi="ITC Avant Garde" w:cs="Arial"/>
          <w:u w:color="000000"/>
          <w:bdr w:val="nil"/>
          <w:lang w:val="es-ES_tradnl"/>
        </w:rPr>
        <w:t xml:space="preserve"> sido </w:t>
      </w:r>
      <w:r w:rsidR="00530360" w:rsidRPr="002D6F3F">
        <w:rPr>
          <w:rFonts w:ascii="ITC Avant Garde" w:eastAsia="Arial Unicode MS" w:hAnsi="ITC Avant Garde" w:cs="Arial"/>
          <w:u w:color="000000"/>
          <w:bdr w:val="nil"/>
          <w:lang w:val="es-ES_tradnl"/>
        </w:rPr>
        <w:t>notificada a</w:t>
      </w:r>
      <w:r w:rsidR="00FF13D8" w:rsidRPr="002D6F3F">
        <w:rPr>
          <w:rFonts w:ascii="ITC Avant Garde" w:eastAsia="Arial Unicode MS" w:hAnsi="ITC Avant Garde" w:cs="Arial"/>
          <w:u w:color="000000"/>
          <w:bdr w:val="nil"/>
          <w:lang w:val="es-ES_tradnl"/>
        </w:rPr>
        <w:t>l</w:t>
      </w:r>
      <w:r w:rsidR="00987236" w:rsidRPr="002D6F3F">
        <w:rPr>
          <w:rFonts w:ascii="ITC Avant Garde" w:eastAsia="Arial Unicode MS" w:hAnsi="ITC Avant Garde" w:cs="Arial"/>
          <w:u w:color="000000"/>
          <w:bdr w:val="nil"/>
          <w:lang w:val="es-ES_tradnl"/>
        </w:rPr>
        <w:t xml:space="preserve"> </w:t>
      </w:r>
      <w:r w:rsidR="00530360" w:rsidRPr="002D6F3F">
        <w:rPr>
          <w:rFonts w:ascii="ITC Avant Garde" w:eastAsia="Arial Unicode MS" w:hAnsi="ITC Avant Garde" w:cs="Arial"/>
          <w:u w:color="000000"/>
          <w:bdr w:val="nil"/>
          <w:lang w:val="es-ES_tradnl"/>
        </w:rPr>
        <w:t>Participante G</w:t>
      </w:r>
      <w:r w:rsidR="004005BE" w:rsidRPr="002D6F3F">
        <w:rPr>
          <w:rFonts w:ascii="ITC Avant Garde" w:eastAsia="Arial Unicode MS" w:hAnsi="ITC Avant Garde" w:cs="Arial"/>
          <w:u w:color="000000"/>
          <w:bdr w:val="nil"/>
          <w:lang w:val="es-ES_tradnl"/>
        </w:rPr>
        <w:t>anador</w:t>
      </w:r>
      <w:r w:rsidR="00252D37" w:rsidRPr="002D6F3F">
        <w:rPr>
          <w:rFonts w:ascii="ITC Avant Garde" w:eastAsia="Arial Unicode MS" w:hAnsi="ITC Avant Garde" w:cs="Arial"/>
          <w:u w:color="000000"/>
          <w:bdr w:val="nil"/>
          <w:lang w:val="es-ES_tradnl"/>
        </w:rPr>
        <w:t>.</w:t>
      </w:r>
    </w:p>
    <w:p w14:paraId="104C2869" w14:textId="77777777" w:rsidR="004E01E4" w:rsidRPr="002D6F3F" w:rsidRDefault="004E01E4" w:rsidP="004E01E4">
      <w:pPr>
        <w:pBdr>
          <w:top w:val="nil"/>
          <w:left w:val="nil"/>
          <w:bottom w:val="nil"/>
          <w:right w:val="nil"/>
          <w:between w:val="nil"/>
          <w:bar w:val="nil"/>
        </w:pBdr>
        <w:spacing w:line="240" w:lineRule="auto"/>
        <w:contextualSpacing/>
        <w:jc w:val="both"/>
        <w:rPr>
          <w:rFonts w:ascii="ITC Avant Garde" w:eastAsia="Arial Unicode MS" w:hAnsi="ITC Avant Garde" w:cs="Arial"/>
          <w:b/>
          <w:u w:color="000000"/>
          <w:bdr w:val="nil"/>
          <w:lang w:val="es-ES_tradnl"/>
        </w:rPr>
      </w:pPr>
    </w:p>
    <w:p w14:paraId="4FE39991" w14:textId="2720A68B" w:rsidR="002D6F3F" w:rsidRPr="002D6F3F" w:rsidRDefault="004E01E4" w:rsidP="004E01E4">
      <w:pPr>
        <w:pBdr>
          <w:top w:val="nil"/>
          <w:left w:val="nil"/>
          <w:bottom w:val="nil"/>
          <w:right w:val="nil"/>
          <w:between w:val="nil"/>
          <w:bar w:val="nil"/>
        </w:pBdr>
        <w:spacing w:line="240" w:lineRule="auto"/>
        <w:contextualSpacing/>
        <w:jc w:val="both"/>
        <w:rPr>
          <w:rFonts w:ascii="ITC Avant Garde" w:hAnsi="ITC Avant Garde" w:cs="Arial"/>
        </w:rPr>
      </w:pPr>
      <w:r w:rsidRPr="004E01E4">
        <w:rPr>
          <w:rFonts w:ascii="ITC Avant Garde" w:hAnsi="ITC Avant Garde" w:cs="Arial"/>
          <w:b/>
        </w:rPr>
        <w:t>SEXTO.</w:t>
      </w:r>
      <w:r w:rsidRPr="004E01E4">
        <w:rPr>
          <w:rFonts w:ascii="ITC Avant Garde" w:hAnsi="ITC Avant Garde" w:cs="Arial"/>
          <w:b/>
        </w:rPr>
        <w:tab/>
      </w:r>
      <w:r>
        <w:rPr>
          <w:rFonts w:ascii="ITC Avant Garde" w:hAnsi="ITC Avant Garde" w:cs="Arial"/>
        </w:rPr>
        <w:tab/>
      </w:r>
      <w:r w:rsidR="00553754" w:rsidRPr="002D6F3F">
        <w:rPr>
          <w:rFonts w:ascii="ITC Avant Garde" w:hAnsi="ITC Avant Garde" w:cs="Arial"/>
        </w:rPr>
        <w:t>Se hace del conocimiento del Interesado, que la presente Resolución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14F54204" w14:textId="0A35E01E" w:rsidR="005665A4" w:rsidRPr="002D6F3F" w:rsidRDefault="005665A4" w:rsidP="002D6F3F">
      <w:pPr>
        <w:pStyle w:val="Prrafodelista"/>
        <w:spacing w:after="200"/>
        <w:ind w:right="49"/>
        <w:contextualSpacing/>
        <w:jc w:val="both"/>
        <w:rPr>
          <w:rFonts w:ascii="ITC Avant Garde" w:hAnsi="ITC Avant Garde"/>
          <w:sz w:val="22"/>
          <w:szCs w:val="22"/>
          <w:lang w:val="es-ES_tradnl"/>
        </w:rPr>
      </w:pPr>
    </w:p>
    <w:p w14:paraId="6820A469" w14:textId="77777777" w:rsidR="00837023" w:rsidRPr="002D6F3F" w:rsidRDefault="00837023" w:rsidP="002D6F3F">
      <w:pPr>
        <w:pStyle w:val="Prrafodelista"/>
        <w:spacing w:after="200"/>
        <w:ind w:left="0"/>
        <w:jc w:val="both"/>
        <w:rPr>
          <w:rFonts w:ascii="Times New Roman" w:hAnsi="Times New Roman"/>
          <w:sz w:val="14"/>
          <w:szCs w:val="14"/>
          <w:lang w:val="es-ES_tradnl"/>
        </w:rPr>
      </w:pPr>
      <w:r w:rsidRPr="002D6F3F">
        <w:rPr>
          <w:rFonts w:ascii="ITC Avant Garde" w:hAnsi="ITC Avant Garde"/>
          <w:sz w:val="14"/>
          <w:szCs w:val="14"/>
          <w:lang w:val="es-ES_tradnl"/>
        </w:rPr>
        <w:t xml:space="preserve">La presente Resolución fue aprobada por el Pleno del Instituto Federal de Telecomunicaciones en su XII Sesión Ordinaria celebrada el 22 de marzo de 2017, </w:t>
      </w:r>
      <w:r w:rsidRPr="002D6F3F">
        <w:rPr>
          <w:rFonts w:ascii="ITC Avant Garde" w:hAnsi="ITC Avant Garde"/>
          <w:bCs/>
          <w:sz w:val="14"/>
          <w:szCs w:val="14"/>
          <w:lang w:val="es-ES_tradnl"/>
        </w:rPr>
        <w:t>por unanimidad</w:t>
      </w:r>
      <w:r w:rsidRPr="002D6F3F">
        <w:rPr>
          <w:rFonts w:ascii="ITC Avant Garde" w:hAnsi="ITC Avant Garde"/>
          <w:sz w:val="14"/>
          <w:szCs w:val="14"/>
          <w:lang w:val="es-ES_tradnl"/>
        </w:rPr>
        <w:t xml:space="preserve"> de votos de los Comisionados Gabriel Oswaldo Contreras Saldívar,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P/IFT/220317/151.</w:t>
      </w:r>
    </w:p>
    <w:p w14:paraId="1D740598" w14:textId="7E637117" w:rsidR="00380D4F" w:rsidRPr="002D6F3F" w:rsidRDefault="00837023" w:rsidP="002D6F3F">
      <w:pPr>
        <w:pStyle w:val="N1IFT"/>
        <w:spacing w:line="240" w:lineRule="auto"/>
        <w:rPr>
          <w:color w:val="auto"/>
          <w:lang w:val="es-ES_tradnl"/>
        </w:rPr>
      </w:pPr>
      <w:r w:rsidRPr="002D6F3F">
        <w:rPr>
          <w:b w:val="0"/>
          <w:bCs w:val="0"/>
          <w:color w:val="auto"/>
          <w:sz w:val="14"/>
          <w:szCs w:val="14"/>
          <w:lang w:val="es-ES"/>
        </w:rPr>
        <w:t>La Comisionada Adriana Sofía Labardini Inzunza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380D4F" w:rsidRPr="002D6F3F" w:rsidSect="00837023">
      <w:headerReference w:type="even" r:id="rId13"/>
      <w:footerReference w:type="default" r:id="rId14"/>
      <w:headerReference w:type="first" r:id="rId15"/>
      <w:pgSz w:w="12240" w:h="15840"/>
      <w:pgMar w:top="1985"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B1AFA" w14:textId="77777777" w:rsidR="00221349" w:rsidRDefault="00221349">
      <w:pPr>
        <w:spacing w:after="0" w:line="240" w:lineRule="auto"/>
      </w:pPr>
      <w:r>
        <w:separator/>
      </w:r>
    </w:p>
  </w:endnote>
  <w:endnote w:type="continuationSeparator" w:id="0">
    <w:p w14:paraId="41E5A64F" w14:textId="77777777" w:rsidR="00221349" w:rsidRDefault="00221349">
      <w:pPr>
        <w:spacing w:after="0" w:line="240" w:lineRule="auto"/>
      </w:pPr>
      <w:r>
        <w:continuationSeparator/>
      </w:r>
    </w:p>
  </w:endnote>
  <w:endnote w:type="continuationNotice" w:id="1">
    <w:p w14:paraId="401C858C" w14:textId="77777777" w:rsidR="00221349" w:rsidRDefault="002213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8000006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986151"/>
      <w:docPartObj>
        <w:docPartGallery w:val="Page Numbers (Bottom of Page)"/>
        <w:docPartUnique/>
      </w:docPartObj>
    </w:sdtPr>
    <w:sdtEndPr>
      <w:rPr>
        <w:rFonts w:ascii="ITC Avant Garde" w:hAnsi="ITC Avant Garde"/>
        <w:sz w:val="20"/>
        <w:szCs w:val="20"/>
      </w:rPr>
    </w:sdtEndPr>
    <w:sdtContent>
      <w:p w14:paraId="11B82AF2" w14:textId="77777777" w:rsidR="002D6F3F" w:rsidRDefault="00837023">
        <w:pPr>
          <w:pStyle w:val="Piedepgina"/>
          <w:jc w:val="right"/>
          <w:rPr>
            <w:rFonts w:ascii="ITC Avant Garde" w:hAnsi="ITC Avant Garde"/>
            <w:sz w:val="20"/>
            <w:szCs w:val="20"/>
          </w:rPr>
        </w:pPr>
        <w:r w:rsidRPr="00837023">
          <w:rPr>
            <w:rFonts w:ascii="ITC Avant Garde" w:hAnsi="ITC Avant Garde"/>
            <w:sz w:val="20"/>
            <w:szCs w:val="20"/>
          </w:rPr>
          <w:fldChar w:fldCharType="begin"/>
        </w:r>
        <w:r w:rsidRPr="00837023">
          <w:rPr>
            <w:rFonts w:ascii="ITC Avant Garde" w:hAnsi="ITC Avant Garde"/>
            <w:sz w:val="20"/>
            <w:szCs w:val="20"/>
          </w:rPr>
          <w:instrText>PAGE   \* MERGEFORMAT</w:instrText>
        </w:r>
        <w:r w:rsidRPr="00837023">
          <w:rPr>
            <w:rFonts w:ascii="ITC Avant Garde" w:hAnsi="ITC Avant Garde"/>
            <w:sz w:val="20"/>
            <w:szCs w:val="20"/>
          </w:rPr>
          <w:fldChar w:fldCharType="separate"/>
        </w:r>
        <w:r w:rsidR="00927DFC" w:rsidRPr="00927DFC">
          <w:rPr>
            <w:rFonts w:ascii="ITC Avant Garde" w:hAnsi="ITC Avant Garde"/>
            <w:noProof/>
            <w:sz w:val="20"/>
            <w:szCs w:val="20"/>
            <w:lang w:val="es-ES"/>
          </w:rPr>
          <w:t>14</w:t>
        </w:r>
        <w:r w:rsidRPr="00837023">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03466" w14:textId="77777777" w:rsidR="00221349" w:rsidRDefault="00221349">
      <w:pPr>
        <w:spacing w:after="0" w:line="240" w:lineRule="auto"/>
      </w:pPr>
      <w:r>
        <w:separator/>
      </w:r>
    </w:p>
  </w:footnote>
  <w:footnote w:type="continuationSeparator" w:id="0">
    <w:p w14:paraId="6AA25915" w14:textId="77777777" w:rsidR="00221349" w:rsidRDefault="00221349">
      <w:pPr>
        <w:spacing w:after="0" w:line="240" w:lineRule="auto"/>
      </w:pPr>
      <w:r>
        <w:continuationSeparator/>
      </w:r>
    </w:p>
  </w:footnote>
  <w:footnote w:type="continuationNotice" w:id="1">
    <w:p w14:paraId="4E3CD703" w14:textId="77777777" w:rsidR="00221349" w:rsidRDefault="00221349">
      <w:pPr>
        <w:spacing w:after="0" w:line="240" w:lineRule="auto"/>
      </w:pPr>
    </w:p>
  </w:footnote>
  <w:footnote w:id="2">
    <w:p w14:paraId="4908D38D" w14:textId="77777777" w:rsidR="00AB7460" w:rsidRPr="00F83ACF" w:rsidRDefault="00AB7460">
      <w:pPr>
        <w:pStyle w:val="Textonotapie"/>
        <w:rPr>
          <w:rFonts w:ascii="ITC Avant Garde" w:hAnsi="ITC Avant Garde"/>
          <w:sz w:val="16"/>
          <w:szCs w:val="16"/>
        </w:rPr>
      </w:pPr>
      <w:r w:rsidRPr="00F83ACF">
        <w:rPr>
          <w:rStyle w:val="Refdenotaalpie"/>
          <w:rFonts w:ascii="ITC Avant Garde" w:hAnsi="ITC Avant Garde"/>
          <w:sz w:val="16"/>
          <w:szCs w:val="16"/>
        </w:rPr>
        <w:footnoteRef/>
      </w:r>
      <w:r w:rsidRPr="00F83ACF">
        <w:rPr>
          <w:rFonts w:ascii="ITC Avant Garde" w:hAnsi="ITC Avant Garde"/>
          <w:sz w:val="16"/>
          <w:szCs w:val="16"/>
        </w:rPr>
        <w:t xml:space="preserve"> Los términos utilizados en la presente Acta de Fallo corresponden a las definiciones previstas en la Bases.</w:t>
      </w:r>
    </w:p>
  </w:footnote>
  <w:footnote w:id="3">
    <w:p w14:paraId="44C6B0D9" w14:textId="14B6A148" w:rsidR="007E1DE8" w:rsidRPr="00F83ACF" w:rsidRDefault="007E1DE8" w:rsidP="000D3EEA">
      <w:pPr>
        <w:pStyle w:val="Textonotapie"/>
        <w:rPr>
          <w:rFonts w:ascii="ITC Avant Garde" w:hAnsi="ITC Avant Garde"/>
          <w:sz w:val="16"/>
          <w:szCs w:val="16"/>
        </w:rPr>
      </w:pPr>
      <w:r w:rsidRPr="00F83ACF">
        <w:rPr>
          <w:rStyle w:val="Refdenotaalpie"/>
          <w:rFonts w:ascii="ITC Avant Garde" w:hAnsi="ITC Avant Garde"/>
          <w:sz w:val="16"/>
          <w:szCs w:val="16"/>
        </w:rPr>
        <w:footnoteRef/>
      </w:r>
      <w:r w:rsidRPr="00F83ACF">
        <w:rPr>
          <w:rFonts w:ascii="ITC Avant Garde" w:hAnsi="ITC Avant Garde"/>
          <w:sz w:val="16"/>
          <w:szCs w:val="16"/>
        </w:rPr>
        <w:t xml:space="preserve"> </w:t>
      </w:r>
      <w:r w:rsidR="00712DFC" w:rsidRPr="00A31B8C">
        <w:rPr>
          <w:rFonts w:ascii="ITC Avant Garde" w:hAnsi="ITC Avant Garde"/>
          <w:sz w:val="16"/>
          <w:szCs w:val="16"/>
        </w:rPr>
        <w:t xml:space="preserve">Conforme al </w:t>
      </w:r>
      <w:r w:rsidR="00712DFC">
        <w:rPr>
          <w:rFonts w:ascii="ITC Avant Garde" w:hAnsi="ITC Avant Garde"/>
          <w:sz w:val="16"/>
          <w:szCs w:val="16"/>
        </w:rPr>
        <w:t>número de Lote y las características técnicas establecidas en el numeral 3 de las Bases</w:t>
      </w:r>
      <w:r w:rsidR="00712DFC" w:rsidRPr="00A31B8C">
        <w:rPr>
          <w:rFonts w:ascii="ITC Avant Garde" w:hAnsi="ITC Avant Garde"/>
          <w:sz w:val="16"/>
          <w:szCs w:val="16"/>
        </w:rPr>
        <w:t>.</w:t>
      </w:r>
    </w:p>
  </w:footnote>
  <w:footnote w:id="4">
    <w:p w14:paraId="157B4469" w14:textId="77777777" w:rsidR="007E1DE8" w:rsidRPr="00767F28" w:rsidRDefault="007E1DE8" w:rsidP="000D3EEA">
      <w:pPr>
        <w:pStyle w:val="Textonotapie"/>
        <w:rPr>
          <w:rFonts w:ascii="ITC Avant Garde" w:hAnsi="ITC Avant Garde"/>
          <w:sz w:val="16"/>
          <w:szCs w:val="16"/>
        </w:rPr>
      </w:pPr>
      <w:r>
        <w:rPr>
          <w:rStyle w:val="Refdenotaalpie"/>
        </w:rPr>
        <w:footnoteRef/>
      </w:r>
      <w:r>
        <w:t xml:space="preserve"> </w:t>
      </w:r>
      <w:r>
        <w:rPr>
          <w:rFonts w:ascii="ITC Avant Garde" w:hAnsi="ITC Avant Garde"/>
          <w:sz w:val="16"/>
          <w:szCs w:val="16"/>
        </w:rPr>
        <w:t>El</w:t>
      </w:r>
      <w:r w:rsidRPr="00767F28">
        <w:rPr>
          <w:rFonts w:ascii="ITC Avant Garde" w:hAnsi="ITC Avant Garde"/>
          <w:sz w:val="16"/>
          <w:szCs w:val="16"/>
        </w:rPr>
        <w:t xml:space="preserve"> puntaje se determinó conforme a la fórmula de evaluación prevista en el numeral </w:t>
      </w:r>
      <w:r>
        <w:rPr>
          <w:rFonts w:ascii="ITC Avant Garde" w:hAnsi="ITC Avant Garde"/>
          <w:sz w:val="16"/>
          <w:szCs w:val="16"/>
        </w:rPr>
        <w:t>4</w:t>
      </w:r>
      <w:r w:rsidRPr="00767F28">
        <w:rPr>
          <w:rFonts w:ascii="ITC Avant Garde" w:hAnsi="ITC Avant Garde"/>
          <w:sz w:val="16"/>
          <w:szCs w:val="16"/>
        </w:rPr>
        <w:t xml:space="preserve"> del Apéndice B de las Bases.</w:t>
      </w:r>
    </w:p>
  </w:footnote>
  <w:footnote w:id="5">
    <w:p w14:paraId="57888961" w14:textId="77777777" w:rsidR="007E1DE8" w:rsidRPr="00A31B8C" w:rsidRDefault="007E1DE8">
      <w:pPr>
        <w:pStyle w:val="Textonotapie"/>
        <w:rPr>
          <w:rFonts w:ascii="ITC Avant Garde" w:hAnsi="ITC Avant Garde"/>
          <w:sz w:val="16"/>
          <w:szCs w:val="16"/>
        </w:rPr>
      </w:pPr>
      <w:r w:rsidRPr="00A31B8C">
        <w:rPr>
          <w:rStyle w:val="Refdenotaalpie"/>
          <w:rFonts w:ascii="ITC Avant Garde" w:hAnsi="ITC Avant Garde"/>
          <w:sz w:val="16"/>
          <w:szCs w:val="16"/>
        </w:rPr>
        <w:footnoteRef/>
      </w:r>
      <w:r w:rsidRPr="00A31B8C">
        <w:rPr>
          <w:rFonts w:ascii="ITC Avant Garde" w:hAnsi="ITC Avant Garde"/>
          <w:sz w:val="16"/>
          <w:szCs w:val="16"/>
        </w:rPr>
        <w:t xml:space="preserve"> Incentivo del 15% (por ciento) </w:t>
      </w:r>
    </w:p>
  </w:footnote>
  <w:footnote w:id="6">
    <w:p w14:paraId="7AFC4478" w14:textId="77777777" w:rsidR="007E1DE8" w:rsidRPr="00A31B8C" w:rsidRDefault="007E1DE8">
      <w:pPr>
        <w:pStyle w:val="Textonotapie"/>
        <w:rPr>
          <w:rFonts w:ascii="ITC Avant Garde" w:hAnsi="ITC Avant Garde"/>
          <w:sz w:val="16"/>
          <w:szCs w:val="16"/>
        </w:rPr>
      </w:pPr>
      <w:r w:rsidRPr="00A31B8C">
        <w:rPr>
          <w:rStyle w:val="Refdenotaalpie"/>
          <w:rFonts w:ascii="ITC Avant Garde" w:hAnsi="ITC Avant Garde"/>
          <w:sz w:val="16"/>
          <w:szCs w:val="16"/>
        </w:rPr>
        <w:footnoteRef/>
      </w:r>
      <w:r w:rsidRPr="00A31B8C">
        <w:rPr>
          <w:rFonts w:ascii="ITC Avant Garde" w:hAnsi="ITC Avant Garde"/>
          <w:sz w:val="16"/>
          <w:szCs w:val="16"/>
        </w:rPr>
        <w:t xml:space="preserve"> Incentivo del 3% (por ciento)</w:t>
      </w:r>
    </w:p>
  </w:footnote>
  <w:footnote w:id="7">
    <w:p w14:paraId="766D5A87" w14:textId="173F0753" w:rsidR="007E1DE8" w:rsidRPr="00F83ACF" w:rsidRDefault="007E1DE8" w:rsidP="000D3EEA">
      <w:pPr>
        <w:pStyle w:val="Textonotapie"/>
        <w:rPr>
          <w:rFonts w:ascii="ITC Avant Garde" w:hAnsi="ITC Avant Garde"/>
          <w:sz w:val="16"/>
          <w:szCs w:val="16"/>
        </w:rPr>
      </w:pPr>
      <w:r w:rsidRPr="00F83ACF">
        <w:rPr>
          <w:rStyle w:val="Refdenotaalpie"/>
          <w:rFonts w:ascii="ITC Avant Garde" w:hAnsi="ITC Avant Garde"/>
          <w:sz w:val="16"/>
          <w:szCs w:val="16"/>
        </w:rPr>
        <w:footnoteRef/>
      </w:r>
      <w:r w:rsidRPr="00F83ACF">
        <w:rPr>
          <w:rFonts w:ascii="ITC Avant Garde" w:hAnsi="ITC Avant Garde"/>
          <w:sz w:val="16"/>
          <w:szCs w:val="16"/>
        </w:rPr>
        <w:t xml:space="preserve"> </w:t>
      </w:r>
      <w:r w:rsidR="00712DFC" w:rsidRPr="00A31B8C">
        <w:rPr>
          <w:rFonts w:ascii="ITC Avant Garde" w:hAnsi="ITC Avant Garde"/>
          <w:sz w:val="16"/>
          <w:szCs w:val="16"/>
        </w:rPr>
        <w:t xml:space="preserve">Conforme al </w:t>
      </w:r>
      <w:r w:rsidR="00712DFC">
        <w:rPr>
          <w:rFonts w:ascii="ITC Avant Garde" w:hAnsi="ITC Avant Garde"/>
          <w:sz w:val="16"/>
          <w:szCs w:val="16"/>
        </w:rPr>
        <w:t>número de Lote y las características técnicas establecidas en el numeral 3 de las Bases</w:t>
      </w:r>
      <w:r w:rsidR="00712DFC" w:rsidRPr="00A31B8C">
        <w:rPr>
          <w:rFonts w:ascii="ITC Avant Garde" w:hAnsi="ITC Avant Garde"/>
          <w:sz w:val="16"/>
          <w:szCs w:val="16"/>
        </w:rPr>
        <w:t>.</w:t>
      </w:r>
    </w:p>
  </w:footnote>
  <w:footnote w:id="8">
    <w:p w14:paraId="5C36D57E" w14:textId="77777777" w:rsidR="007E1DE8" w:rsidRPr="00767F28" w:rsidRDefault="007E1DE8" w:rsidP="000D3EEA">
      <w:pPr>
        <w:pStyle w:val="Textonotapie"/>
        <w:rPr>
          <w:rFonts w:ascii="ITC Avant Garde" w:hAnsi="ITC Avant Garde"/>
          <w:sz w:val="16"/>
          <w:szCs w:val="16"/>
        </w:rPr>
      </w:pPr>
      <w:r>
        <w:rPr>
          <w:rStyle w:val="Refdenotaalpie"/>
        </w:rPr>
        <w:footnoteRef/>
      </w:r>
      <w:r>
        <w:t xml:space="preserve"> </w:t>
      </w:r>
      <w:r>
        <w:rPr>
          <w:rFonts w:ascii="ITC Avant Garde" w:hAnsi="ITC Avant Garde"/>
          <w:sz w:val="16"/>
          <w:szCs w:val="16"/>
        </w:rPr>
        <w:t>El</w:t>
      </w:r>
      <w:r w:rsidRPr="00767F28">
        <w:rPr>
          <w:rFonts w:ascii="ITC Avant Garde" w:hAnsi="ITC Avant Garde"/>
          <w:sz w:val="16"/>
          <w:szCs w:val="16"/>
        </w:rPr>
        <w:t xml:space="preserve"> puntaje se determinó conforme a la fórmula de evaluación prevista en el numeral </w:t>
      </w:r>
      <w:r>
        <w:rPr>
          <w:rFonts w:ascii="ITC Avant Garde" w:hAnsi="ITC Avant Garde"/>
          <w:sz w:val="16"/>
          <w:szCs w:val="16"/>
        </w:rPr>
        <w:t>4</w:t>
      </w:r>
      <w:r w:rsidRPr="00767F28">
        <w:rPr>
          <w:rFonts w:ascii="ITC Avant Garde" w:hAnsi="ITC Avant Garde"/>
          <w:sz w:val="16"/>
          <w:szCs w:val="16"/>
        </w:rPr>
        <w:t xml:space="preserve"> del Apéndice B de las Bases.</w:t>
      </w:r>
    </w:p>
  </w:footnote>
  <w:footnote w:id="9">
    <w:p w14:paraId="233A7E6E" w14:textId="77777777" w:rsidR="007E1DE8" w:rsidRPr="00A31B8C" w:rsidRDefault="007E1DE8">
      <w:pPr>
        <w:pStyle w:val="Textonotapie"/>
        <w:rPr>
          <w:rFonts w:ascii="ITC Avant Garde" w:hAnsi="ITC Avant Garde"/>
          <w:sz w:val="16"/>
          <w:szCs w:val="16"/>
        </w:rPr>
      </w:pPr>
      <w:r w:rsidRPr="00A31B8C">
        <w:rPr>
          <w:rStyle w:val="Refdenotaalpie"/>
          <w:rFonts w:ascii="ITC Avant Garde" w:hAnsi="ITC Avant Garde"/>
          <w:sz w:val="16"/>
          <w:szCs w:val="16"/>
        </w:rPr>
        <w:footnoteRef/>
      </w:r>
      <w:r w:rsidRPr="00A31B8C">
        <w:rPr>
          <w:rFonts w:ascii="ITC Avant Garde" w:hAnsi="ITC Avant Garde"/>
          <w:sz w:val="16"/>
          <w:szCs w:val="16"/>
        </w:rPr>
        <w:t xml:space="preserve"> Incentivo del 15% (por ciento) </w:t>
      </w:r>
    </w:p>
  </w:footnote>
  <w:footnote w:id="10">
    <w:p w14:paraId="28885FEF" w14:textId="77777777" w:rsidR="007E1DE8" w:rsidRPr="00A31B8C" w:rsidRDefault="007E1DE8">
      <w:pPr>
        <w:pStyle w:val="Textonotapie"/>
        <w:rPr>
          <w:rFonts w:ascii="ITC Avant Garde" w:hAnsi="ITC Avant Garde"/>
          <w:sz w:val="16"/>
          <w:szCs w:val="16"/>
        </w:rPr>
      </w:pPr>
      <w:r w:rsidRPr="00A31B8C">
        <w:rPr>
          <w:rStyle w:val="Refdenotaalpie"/>
          <w:rFonts w:ascii="ITC Avant Garde" w:hAnsi="ITC Avant Garde"/>
          <w:sz w:val="16"/>
          <w:szCs w:val="16"/>
        </w:rPr>
        <w:footnoteRef/>
      </w:r>
      <w:r w:rsidRPr="00A31B8C">
        <w:rPr>
          <w:rFonts w:ascii="ITC Avant Garde" w:hAnsi="ITC Avant Garde"/>
          <w:sz w:val="16"/>
          <w:szCs w:val="16"/>
        </w:rPr>
        <w:t xml:space="preserve"> Incentivo del 3% (por ciento)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E7E87" w14:textId="77777777" w:rsidR="00AB7460" w:rsidRDefault="00221349">
    <w:pPr>
      <w:pStyle w:val="Encabezado"/>
    </w:pPr>
    <w:r>
      <w:rPr>
        <w:noProof/>
        <w:lang w:eastAsia="es-MX"/>
      </w:rPr>
      <w:pict w14:anchorId="370E34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18336" w14:textId="77777777" w:rsidR="00AB7460" w:rsidRDefault="00221349">
    <w:pPr>
      <w:pStyle w:val="Encabezado"/>
    </w:pPr>
    <w:r>
      <w:rPr>
        <w:noProof/>
        <w:lang w:eastAsia="es-MX"/>
      </w:rPr>
      <w:pict w14:anchorId="2C440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823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42B24FE"/>
    <w:multiLevelType w:val="hybridMultilevel"/>
    <w:tmpl w:val="68AAB2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2E7543"/>
    <w:multiLevelType w:val="hybridMultilevel"/>
    <w:tmpl w:val="4DAC2184"/>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3D1F5A"/>
    <w:multiLevelType w:val="hybridMultilevel"/>
    <w:tmpl w:val="26563786"/>
    <w:lvl w:ilvl="0" w:tplc="6DF4C4F0">
      <w:start w:val="1"/>
      <w:numFmt w:val="lowerLetter"/>
      <w:pStyle w:val="NormalIFT"/>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11">
      <w:start w:val="1"/>
      <w:numFmt w:val="decimal"/>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0">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6"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7" w15:restartNumberingAfterBreak="0">
    <w:nsid w:val="1D4513FD"/>
    <w:multiLevelType w:val="hybridMultilevel"/>
    <w:tmpl w:val="05AAB7BE"/>
    <w:lvl w:ilvl="0" w:tplc="A20AFCE8">
      <w:start w:val="1"/>
      <w:numFmt w:val="decimal"/>
      <w:lvlText w:val="%1."/>
      <w:lvlJc w:val="left"/>
      <w:pPr>
        <w:ind w:left="1440" w:hanging="360"/>
      </w:pPr>
      <w:rPr>
        <w:rFonts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9"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2" w15:restartNumberingAfterBreak="0">
    <w:nsid w:val="29044120"/>
    <w:multiLevelType w:val="hybridMultilevel"/>
    <w:tmpl w:val="32402E42"/>
    <w:lvl w:ilvl="0" w:tplc="2E7A6662">
      <w:start w:val="2"/>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8B40A8"/>
    <w:multiLevelType w:val="hybridMultilevel"/>
    <w:tmpl w:val="620A705E"/>
    <w:lvl w:ilvl="0" w:tplc="5960170E">
      <w:start w:val="1"/>
      <w:numFmt w:val="ordinalText"/>
      <w:lvlText w:val="%1."/>
      <w:lvlJc w:val="left"/>
      <w:pPr>
        <w:ind w:left="4188" w:hanging="360"/>
      </w:pPr>
      <w:rPr>
        <w:rFonts w:hint="default"/>
        <w:b/>
        <w:i w:val="0"/>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6"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7" w15:restartNumberingAfterBreak="0">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8" w15:restartNumberingAfterBreak="0">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19" w15:restartNumberingAfterBreak="0">
    <w:nsid w:val="3F5A108A"/>
    <w:multiLevelType w:val="hybridMultilevel"/>
    <w:tmpl w:val="044AD180"/>
    <w:lvl w:ilvl="0" w:tplc="C5D64CA6">
      <w:start w:val="1"/>
      <w:numFmt w:val="decimal"/>
      <w:lvlText w:val="%1."/>
      <w:lvlJc w:val="left"/>
      <w:pPr>
        <w:ind w:left="720" w:hanging="36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F0206C"/>
    <w:multiLevelType w:val="hybridMultilevel"/>
    <w:tmpl w:val="D3F29DD0"/>
    <w:lvl w:ilvl="0" w:tplc="A0C639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715D47"/>
    <w:multiLevelType w:val="hybridMultilevel"/>
    <w:tmpl w:val="68AAB2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4" w15:restartNumberingAfterBreak="0">
    <w:nsid w:val="4DB157E5"/>
    <w:multiLevelType w:val="multilevel"/>
    <w:tmpl w:val="2BC20D32"/>
    <w:lvl w:ilvl="0">
      <w:start w:val="1"/>
      <w:numFmt w:val="decimal"/>
      <w:pStyle w:val="TtuloIFT-4"/>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1072" w:hanging="504"/>
      </w:pPr>
      <w:rPr>
        <w:rFonts w:hint="default"/>
        <w:b/>
        <w:sz w:val="24"/>
        <w:szCs w:val="22"/>
      </w:rPr>
    </w:lvl>
    <w:lvl w:ilvl="3">
      <w:start w:val="1"/>
      <w:numFmt w:val="decimal"/>
      <w:lvlText w:val="%1.%2.%3.%4."/>
      <w:lvlJc w:val="left"/>
      <w:pPr>
        <w:ind w:left="790" w:hanging="648"/>
      </w:pPr>
      <w:rPr>
        <w:rFonts w:ascii="ITC Avant Garde" w:hAnsi="ITC Avant Garde"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F0530F9"/>
    <w:multiLevelType w:val="hybridMultilevel"/>
    <w:tmpl w:val="23D4CFE2"/>
    <w:lvl w:ilvl="0" w:tplc="9732D404">
      <w:start w:val="1"/>
      <w:numFmt w:val="decimal"/>
      <w:pStyle w:val="Cuadros"/>
      <w:suff w:val="space"/>
      <w:lvlText w:val="Cuadro %1."/>
      <w:lvlJc w:val="left"/>
      <w:pPr>
        <w:ind w:left="720" w:hanging="360"/>
      </w:pPr>
      <w:rPr>
        <w:rFonts w:ascii="ITC Avant Garde" w:hAnsi="ITC Avant Garde"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AB1005"/>
    <w:multiLevelType w:val="hybridMultilevel"/>
    <w:tmpl w:val="A8E049F0"/>
    <w:lvl w:ilvl="0" w:tplc="07A0F232">
      <w:start w:val="1"/>
      <w:numFmt w:val="lowerLetter"/>
      <w:lvlText w:val="%1)"/>
      <w:lvlJc w:val="left"/>
      <w:pPr>
        <w:ind w:left="1080" w:hanging="360"/>
      </w:pPr>
      <w:rPr>
        <w:rFonts w:ascii="ITC Avant Garde" w:hAnsi="ITC Avant Garde" w:cs="Times New Roman" w:hint="default"/>
        <w:b w:val="0"/>
        <w:color w:val="auto"/>
        <w:sz w:val="22"/>
        <w:szCs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9" w15:restartNumberingAfterBreak="0">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30" w15:restartNumberingAfterBreak="0">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2" w15:restartNumberingAfterBreak="0">
    <w:nsid w:val="615D07FF"/>
    <w:multiLevelType w:val="hybridMultilevel"/>
    <w:tmpl w:val="AB80CD8C"/>
    <w:lvl w:ilvl="0" w:tplc="1B68B9B4">
      <w:start w:val="5"/>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ABA27FC"/>
    <w:multiLevelType w:val="hybridMultilevel"/>
    <w:tmpl w:val="7F08FA0C"/>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7C230E"/>
    <w:multiLevelType w:val="hybridMultilevel"/>
    <w:tmpl w:val="4DAC2184"/>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D1A3FAC"/>
    <w:multiLevelType w:val="hybridMultilevel"/>
    <w:tmpl w:val="D3F29DD0"/>
    <w:lvl w:ilvl="0" w:tplc="A0C639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15B0CCE"/>
    <w:multiLevelType w:val="hybridMultilevel"/>
    <w:tmpl w:val="D3F29DD0"/>
    <w:lvl w:ilvl="0" w:tplc="A0C639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9C6017"/>
    <w:multiLevelType w:val="hybridMultilevel"/>
    <w:tmpl w:val="4D40E512"/>
    <w:lvl w:ilvl="0" w:tplc="AE06C4CC">
      <w:start w:val="1"/>
      <w:numFmt w:val="ordinalText"/>
      <w:lvlText w:val="%1."/>
      <w:lvlJc w:val="left"/>
      <w:pPr>
        <w:ind w:left="360" w:hanging="360"/>
      </w:pPr>
      <w:rPr>
        <w:rFonts w:hint="default"/>
        <w:b/>
        <w:caps/>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43" w15:restartNumberingAfterBreak="0">
    <w:nsid w:val="7C7C635C"/>
    <w:multiLevelType w:val="hybridMultilevel"/>
    <w:tmpl w:val="F83E2E18"/>
    <w:lvl w:ilvl="0" w:tplc="D23827EC">
      <w:start w:val="1"/>
      <w:numFmt w:val="ordinalText"/>
      <w:lvlText w:val="%1."/>
      <w:lvlJc w:val="left"/>
      <w:pPr>
        <w:ind w:left="2629" w:hanging="360"/>
      </w:pPr>
      <w:rPr>
        <w:rFonts w:hint="default"/>
        <w:b/>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9519FA"/>
    <w:multiLevelType w:val="hybridMultilevel"/>
    <w:tmpl w:val="DB3E78C2"/>
    <w:lvl w:ilvl="0" w:tplc="061E0D2C">
      <w:start w:val="1"/>
      <w:numFmt w:val="lowerRoman"/>
      <w:pStyle w:val="Ttulo6"/>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5"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33"/>
  </w:num>
  <w:num w:numId="2">
    <w:abstractNumId w:val="40"/>
  </w:num>
  <w:num w:numId="3">
    <w:abstractNumId w:val="7"/>
  </w:num>
  <w:num w:numId="4">
    <w:abstractNumId w:val="42"/>
  </w:num>
  <w:num w:numId="5">
    <w:abstractNumId w:val="35"/>
  </w:num>
  <w:num w:numId="6">
    <w:abstractNumId w:val="11"/>
  </w:num>
  <w:num w:numId="7">
    <w:abstractNumId w:val="5"/>
  </w:num>
  <w:num w:numId="8">
    <w:abstractNumId w:val="16"/>
  </w:num>
  <w:num w:numId="9">
    <w:abstractNumId w:val="15"/>
  </w:num>
  <w:num w:numId="10">
    <w:abstractNumId w:val="8"/>
  </w:num>
  <w:num w:numId="11">
    <w:abstractNumId w:val="28"/>
  </w:num>
  <w:num w:numId="12">
    <w:abstractNumId w:val="23"/>
  </w:num>
  <w:num w:numId="13">
    <w:abstractNumId w:val="17"/>
  </w:num>
  <w:num w:numId="14">
    <w:abstractNumId w:val="6"/>
  </w:num>
  <w:num w:numId="15">
    <w:abstractNumId w:val="29"/>
  </w:num>
  <w:num w:numId="16">
    <w:abstractNumId w:val="18"/>
  </w:num>
  <w:num w:numId="17">
    <w:abstractNumId w:val="31"/>
  </w:num>
  <w:num w:numId="18">
    <w:abstractNumId w:val="44"/>
  </w:num>
  <w:num w:numId="19">
    <w:abstractNumId w:val="10"/>
  </w:num>
  <w:num w:numId="20">
    <w:abstractNumId w:val="14"/>
  </w:num>
  <w:num w:numId="21">
    <w:abstractNumId w:val="32"/>
  </w:num>
  <w:num w:numId="22">
    <w:abstractNumId w:val="34"/>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4"/>
  </w:num>
  <w:num w:numId="26">
    <w:abstractNumId w:val="19"/>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43"/>
  </w:num>
  <w:num w:numId="36">
    <w:abstractNumId w:val="20"/>
  </w:num>
  <w:num w:numId="37">
    <w:abstractNumId w:val="0"/>
  </w:num>
  <w:num w:numId="38">
    <w:abstractNumId w:val="3"/>
  </w:num>
  <w:num w:numId="39">
    <w:abstractNumId w:val="37"/>
  </w:num>
  <w:num w:numId="40">
    <w:abstractNumId w:val="36"/>
  </w:num>
  <w:num w:numId="41">
    <w:abstractNumId w:val="38"/>
  </w:num>
  <w:num w:numId="42">
    <w:abstractNumId w:val="13"/>
  </w:num>
  <w:num w:numId="43">
    <w:abstractNumId w:val="26"/>
  </w:num>
  <w:num w:numId="44">
    <w:abstractNumId w:val="2"/>
  </w:num>
  <w:num w:numId="45">
    <w:abstractNumId w:val="21"/>
  </w:num>
  <w:num w:numId="46">
    <w:abstractNumId w:val="1"/>
  </w:num>
  <w:num w:numId="47">
    <w:abstractNumId w:val="12"/>
  </w:num>
  <w:num w:numId="4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5A4"/>
    <w:rsid w:val="00000643"/>
    <w:rsid w:val="00000B50"/>
    <w:rsid w:val="00001E49"/>
    <w:rsid w:val="000038FC"/>
    <w:rsid w:val="0000529F"/>
    <w:rsid w:val="000052D7"/>
    <w:rsid w:val="00005931"/>
    <w:rsid w:val="000060AD"/>
    <w:rsid w:val="00006E12"/>
    <w:rsid w:val="0000710C"/>
    <w:rsid w:val="000078DE"/>
    <w:rsid w:val="000100F8"/>
    <w:rsid w:val="00010483"/>
    <w:rsid w:val="000119F2"/>
    <w:rsid w:val="00012B30"/>
    <w:rsid w:val="00013CCC"/>
    <w:rsid w:val="00013FE2"/>
    <w:rsid w:val="00015477"/>
    <w:rsid w:val="0001727D"/>
    <w:rsid w:val="00017B3C"/>
    <w:rsid w:val="000205B5"/>
    <w:rsid w:val="00025847"/>
    <w:rsid w:val="000258B9"/>
    <w:rsid w:val="00025D29"/>
    <w:rsid w:val="00027A37"/>
    <w:rsid w:val="00030726"/>
    <w:rsid w:val="00030FBC"/>
    <w:rsid w:val="0003197F"/>
    <w:rsid w:val="00032589"/>
    <w:rsid w:val="00033E49"/>
    <w:rsid w:val="00034DC5"/>
    <w:rsid w:val="0003569E"/>
    <w:rsid w:val="00035CF5"/>
    <w:rsid w:val="00036792"/>
    <w:rsid w:val="00041443"/>
    <w:rsid w:val="00041BF3"/>
    <w:rsid w:val="00041D68"/>
    <w:rsid w:val="000431AF"/>
    <w:rsid w:val="000452ED"/>
    <w:rsid w:val="00045A87"/>
    <w:rsid w:val="00045D7C"/>
    <w:rsid w:val="00046C4E"/>
    <w:rsid w:val="00050A18"/>
    <w:rsid w:val="000514F0"/>
    <w:rsid w:val="00051812"/>
    <w:rsid w:val="00051AD9"/>
    <w:rsid w:val="00051C6F"/>
    <w:rsid w:val="0005301A"/>
    <w:rsid w:val="00054D28"/>
    <w:rsid w:val="00054F85"/>
    <w:rsid w:val="00055394"/>
    <w:rsid w:val="00056047"/>
    <w:rsid w:val="000577D6"/>
    <w:rsid w:val="00057DC5"/>
    <w:rsid w:val="00060004"/>
    <w:rsid w:val="0006018B"/>
    <w:rsid w:val="00060589"/>
    <w:rsid w:val="00060DB5"/>
    <w:rsid w:val="0006112B"/>
    <w:rsid w:val="0006279E"/>
    <w:rsid w:val="00062993"/>
    <w:rsid w:val="00063F59"/>
    <w:rsid w:val="000650EC"/>
    <w:rsid w:val="00066EAC"/>
    <w:rsid w:val="000674E4"/>
    <w:rsid w:val="0006762C"/>
    <w:rsid w:val="0006780C"/>
    <w:rsid w:val="00067DF7"/>
    <w:rsid w:val="0007137C"/>
    <w:rsid w:val="00072C49"/>
    <w:rsid w:val="00072C66"/>
    <w:rsid w:val="00074235"/>
    <w:rsid w:val="00074424"/>
    <w:rsid w:val="00074D29"/>
    <w:rsid w:val="000756A2"/>
    <w:rsid w:val="000768B8"/>
    <w:rsid w:val="000768FD"/>
    <w:rsid w:val="00077022"/>
    <w:rsid w:val="0008009E"/>
    <w:rsid w:val="00080185"/>
    <w:rsid w:val="000801BF"/>
    <w:rsid w:val="0008078D"/>
    <w:rsid w:val="00081076"/>
    <w:rsid w:val="00081E56"/>
    <w:rsid w:val="00081FEF"/>
    <w:rsid w:val="00084061"/>
    <w:rsid w:val="000851ED"/>
    <w:rsid w:val="000858C8"/>
    <w:rsid w:val="00086070"/>
    <w:rsid w:val="0008656B"/>
    <w:rsid w:val="00087CB9"/>
    <w:rsid w:val="0009240D"/>
    <w:rsid w:val="0009452E"/>
    <w:rsid w:val="00094DC9"/>
    <w:rsid w:val="00095AAA"/>
    <w:rsid w:val="00096CF9"/>
    <w:rsid w:val="000A044C"/>
    <w:rsid w:val="000A14B4"/>
    <w:rsid w:val="000A1C24"/>
    <w:rsid w:val="000A24D5"/>
    <w:rsid w:val="000A4197"/>
    <w:rsid w:val="000A5113"/>
    <w:rsid w:val="000A5E2D"/>
    <w:rsid w:val="000A779C"/>
    <w:rsid w:val="000B0118"/>
    <w:rsid w:val="000B1214"/>
    <w:rsid w:val="000B1C3D"/>
    <w:rsid w:val="000B5448"/>
    <w:rsid w:val="000B54B0"/>
    <w:rsid w:val="000B6157"/>
    <w:rsid w:val="000B6E71"/>
    <w:rsid w:val="000B7690"/>
    <w:rsid w:val="000C04E1"/>
    <w:rsid w:val="000C0627"/>
    <w:rsid w:val="000C113D"/>
    <w:rsid w:val="000C1374"/>
    <w:rsid w:val="000C1C4D"/>
    <w:rsid w:val="000C27E6"/>
    <w:rsid w:val="000C2C6D"/>
    <w:rsid w:val="000C434A"/>
    <w:rsid w:val="000C59BD"/>
    <w:rsid w:val="000C6262"/>
    <w:rsid w:val="000C64E9"/>
    <w:rsid w:val="000C70EF"/>
    <w:rsid w:val="000C71BA"/>
    <w:rsid w:val="000C7295"/>
    <w:rsid w:val="000C769D"/>
    <w:rsid w:val="000C7B11"/>
    <w:rsid w:val="000D083E"/>
    <w:rsid w:val="000D0885"/>
    <w:rsid w:val="000D0B55"/>
    <w:rsid w:val="000D12B1"/>
    <w:rsid w:val="000D1E23"/>
    <w:rsid w:val="000D1F39"/>
    <w:rsid w:val="000D24AB"/>
    <w:rsid w:val="000D3EEA"/>
    <w:rsid w:val="000D5661"/>
    <w:rsid w:val="000D5F85"/>
    <w:rsid w:val="000D77FE"/>
    <w:rsid w:val="000D7D33"/>
    <w:rsid w:val="000E381D"/>
    <w:rsid w:val="000E49F0"/>
    <w:rsid w:val="000E4CAC"/>
    <w:rsid w:val="000E55A8"/>
    <w:rsid w:val="000E6BE8"/>
    <w:rsid w:val="000E6D6C"/>
    <w:rsid w:val="000E75FE"/>
    <w:rsid w:val="000E7CED"/>
    <w:rsid w:val="000F31BC"/>
    <w:rsid w:val="000F39BE"/>
    <w:rsid w:val="000F4295"/>
    <w:rsid w:val="000F49CA"/>
    <w:rsid w:val="000F520E"/>
    <w:rsid w:val="000F53F5"/>
    <w:rsid w:val="000F593C"/>
    <w:rsid w:val="000F5C9E"/>
    <w:rsid w:val="000F636F"/>
    <w:rsid w:val="000F6EE2"/>
    <w:rsid w:val="000F782D"/>
    <w:rsid w:val="00100484"/>
    <w:rsid w:val="00103B57"/>
    <w:rsid w:val="00103C14"/>
    <w:rsid w:val="001048DF"/>
    <w:rsid w:val="001049F4"/>
    <w:rsid w:val="001056E9"/>
    <w:rsid w:val="001073FC"/>
    <w:rsid w:val="001101AF"/>
    <w:rsid w:val="00110BB0"/>
    <w:rsid w:val="0011221F"/>
    <w:rsid w:val="001125B9"/>
    <w:rsid w:val="001157A8"/>
    <w:rsid w:val="001175FD"/>
    <w:rsid w:val="00120527"/>
    <w:rsid w:val="00120B37"/>
    <w:rsid w:val="0012279C"/>
    <w:rsid w:val="00125FB9"/>
    <w:rsid w:val="00127DA5"/>
    <w:rsid w:val="0013093E"/>
    <w:rsid w:val="0013109B"/>
    <w:rsid w:val="00131834"/>
    <w:rsid w:val="00131840"/>
    <w:rsid w:val="00132632"/>
    <w:rsid w:val="00132728"/>
    <w:rsid w:val="001354BA"/>
    <w:rsid w:val="00135B8E"/>
    <w:rsid w:val="00135CA1"/>
    <w:rsid w:val="001365F3"/>
    <w:rsid w:val="00140611"/>
    <w:rsid w:val="00141B25"/>
    <w:rsid w:val="0014539D"/>
    <w:rsid w:val="001455C2"/>
    <w:rsid w:val="001463F7"/>
    <w:rsid w:val="00151916"/>
    <w:rsid w:val="00151A6C"/>
    <w:rsid w:val="00153210"/>
    <w:rsid w:val="00153366"/>
    <w:rsid w:val="00153E76"/>
    <w:rsid w:val="00154049"/>
    <w:rsid w:val="00154AD7"/>
    <w:rsid w:val="00155123"/>
    <w:rsid w:val="00155D95"/>
    <w:rsid w:val="00155FF8"/>
    <w:rsid w:val="0016086F"/>
    <w:rsid w:val="0016101C"/>
    <w:rsid w:val="0016180F"/>
    <w:rsid w:val="00161F2A"/>
    <w:rsid w:val="0016297C"/>
    <w:rsid w:val="00162C0B"/>
    <w:rsid w:val="00162EF2"/>
    <w:rsid w:val="001636D1"/>
    <w:rsid w:val="0016434D"/>
    <w:rsid w:val="001665BE"/>
    <w:rsid w:val="0016740E"/>
    <w:rsid w:val="001701AB"/>
    <w:rsid w:val="00170881"/>
    <w:rsid w:val="00170968"/>
    <w:rsid w:val="00170AB5"/>
    <w:rsid w:val="00170E6B"/>
    <w:rsid w:val="00171E0E"/>
    <w:rsid w:val="0017388D"/>
    <w:rsid w:val="00173ABA"/>
    <w:rsid w:val="00173FCA"/>
    <w:rsid w:val="00175404"/>
    <w:rsid w:val="001776FF"/>
    <w:rsid w:val="00177E56"/>
    <w:rsid w:val="00180420"/>
    <w:rsid w:val="001809D5"/>
    <w:rsid w:val="00181C82"/>
    <w:rsid w:val="00181E1B"/>
    <w:rsid w:val="001826E5"/>
    <w:rsid w:val="00183790"/>
    <w:rsid w:val="00184E4E"/>
    <w:rsid w:val="0018633F"/>
    <w:rsid w:val="00186552"/>
    <w:rsid w:val="00186793"/>
    <w:rsid w:val="00186AA2"/>
    <w:rsid w:val="00187B22"/>
    <w:rsid w:val="00190ED7"/>
    <w:rsid w:val="001915DD"/>
    <w:rsid w:val="00192CBF"/>
    <w:rsid w:val="00192D33"/>
    <w:rsid w:val="00193370"/>
    <w:rsid w:val="001944B3"/>
    <w:rsid w:val="0019454F"/>
    <w:rsid w:val="00194B2D"/>
    <w:rsid w:val="00195419"/>
    <w:rsid w:val="00195821"/>
    <w:rsid w:val="001961C0"/>
    <w:rsid w:val="00196BE3"/>
    <w:rsid w:val="001974B8"/>
    <w:rsid w:val="00197873"/>
    <w:rsid w:val="001A066E"/>
    <w:rsid w:val="001A0F52"/>
    <w:rsid w:val="001A163D"/>
    <w:rsid w:val="001A18A5"/>
    <w:rsid w:val="001A1DEC"/>
    <w:rsid w:val="001A32BE"/>
    <w:rsid w:val="001A337D"/>
    <w:rsid w:val="001A372D"/>
    <w:rsid w:val="001A451D"/>
    <w:rsid w:val="001A4F36"/>
    <w:rsid w:val="001A5779"/>
    <w:rsid w:val="001A5D14"/>
    <w:rsid w:val="001A6B2D"/>
    <w:rsid w:val="001A77EA"/>
    <w:rsid w:val="001B0368"/>
    <w:rsid w:val="001B0465"/>
    <w:rsid w:val="001B1366"/>
    <w:rsid w:val="001B1D37"/>
    <w:rsid w:val="001B210C"/>
    <w:rsid w:val="001B2EB0"/>
    <w:rsid w:val="001B3549"/>
    <w:rsid w:val="001B3CFB"/>
    <w:rsid w:val="001B4EBB"/>
    <w:rsid w:val="001B55CF"/>
    <w:rsid w:val="001B720D"/>
    <w:rsid w:val="001B7303"/>
    <w:rsid w:val="001B769C"/>
    <w:rsid w:val="001C014C"/>
    <w:rsid w:val="001C06EE"/>
    <w:rsid w:val="001C103A"/>
    <w:rsid w:val="001C1B22"/>
    <w:rsid w:val="001C1C20"/>
    <w:rsid w:val="001C1D1C"/>
    <w:rsid w:val="001C1E2E"/>
    <w:rsid w:val="001C24E2"/>
    <w:rsid w:val="001C3952"/>
    <w:rsid w:val="001C43BE"/>
    <w:rsid w:val="001C4532"/>
    <w:rsid w:val="001D0418"/>
    <w:rsid w:val="001D0A48"/>
    <w:rsid w:val="001D0C8A"/>
    <w:rsid w:val="001D23D3"/>
    <w:rsid w:val="001D30A4"/>
    <w:rsid w:val="001D322C"/>
    <w:rsid w:val="001D39A2"/>
    <w:rsid w:val="001D39A6"/>
    <w:rsid w:val="001D4423"/>
    <w:rsid w:val="001D4734"/>
    <w:rsid w:val="001D4771"/>
    <w:rsid w:val="001D584C"/>
    <w:rsid w:val="001D5BFF"/>
    <w:rsid w:val="001D6916"/>
    <w:rsid w:val="001D73DC"/>
    <w:rsid w:val="001D7456"/>
    <w:rsid w:val="001E02CE"/>
    <w:rsid w:val="001E1A03"/>
    <w:rsid w:val="001E32AF"/>
    <w:rsid w:val="001E37B8"/>
    <w:rsid w:val="001E3E8A"/>
    <w:rsid w:val="001E4643"/>
    <w:rsid w:val="001E6570"/>
    <w:rsid w:val="001E65C0"/>
    <w:rsid w:val="001E6D80"/>
    <w:rsid w:val="001E729D"/>
    <w:rsid w:val="001E7D5F"/>
    <w:rsid w:val="001F02C5"/>
    <w:rsid w:val="001F0549"/>
    <w:rsid w:val="001F2166"/>
    <w:rsid w:val="001F291A"/>
    <w:rsid w:val="001F2FAB"/>
    <w:rsid w:val="001F487E"/>
    <w:rsid w:val="001F6E80"/>
    <w:rsid w:val="001F7E67"/>
    <w:rsid w:val="00200DD5"/>
    <w:rsid w:val="00202303"/>
    <w:rsid w:val="002029ED"/>
    <w:rsid w:val="002053E7"/>
    <w:rsid w:val="00205E07"/>
    <w:rsid w:val="00206CF1"/>
    <w:rsid w:val="00210C8D"/>
    <w:rsid w:val="00211E73"/>
    <w:rsid w:val="00213ADF"/>
    <w:rsid w:val="0021405E"/>
    <w:rsid w:val="00214911"/>
    <w:rsid w:val="00215708"/>
    <w:rsid w:val="002159B3"/>
    <w:rsid w:val="00216D9E"/>
    <w:rsid w:val="00217E03"/>
    <w:rsid w:val="00220EA7"/>
    <w:rsid w:val="00221349"/>
    <w:rsid w:val="00222BB9"/>
    <w:rsid w:val="00223C20"/>
    <w:rsid w:val="0022420C"/>
    <w:rsid w:val="002246C1"/>
    <w:rsid w:val="002257B6"/>
    <w:rsid w:val="00226325"/>
    <w:rsid w:val="002273DB"/>
    <w:rsid w:val="0023051A"/>
    <w:rsid w:val="002309C3"/>
    <w:rsid w:val="0023110C"/>
    <w:rsid w:val="00231F37"/>
    <w:rsid w:val="002325B5"/>
    <w:rsid w:val="002326E9"/>
    <w:rsid w:val="00233A2A"/>
    <w:rsid w:val="00234750"/>
    <w:rsid w:val="00235B58"/>
    <w:rsid w:val="00235C16"/>
    <w:rsid w:val="00236306"/>
    <w:rsid w:val="00236431"/>
    <w:rsid w:val="00240127"/>
    <w:rsid w:val="002402E0"/>
    <w:rsid w:val="0024098F"/>
    <w:rsid w:val="00240F37"/>
    <w:rsid w:val="0024134D"/>
    <w:rsid w:val="002413D8"/>
    <w:rsid w:val="00241681"/>
    <w:rsid w:val="00241B22"/>
    <w:rsid w:val="002427B9"/>
    <w:rsid w:val="00243757"/>
    <w:rsid w:val="002437D5"/>
    <w:rsid w:val="00243830"/>
    <w:rsid w:val="00243C71"/>
    <w:rsid w:val="00246479"/>
    <w:rsid w:val="0024726D"/>
    <w:rsid w:val="00247758"/>
    <w:rsid w:val="00250F67"/>
    <w:rsid w:val="002516D2"/>
    <w:rsid w:val="00251A2A"/>
    <w:rsid w:val="00252D37"/>
    <w:rsid w:val="002552C3"/>
    <w:rsid w:val="002558DC"/>
    <w:rsid w:val="00255A55"/>
    <w:rsid w:val="00255E2C"/>
    <w:rsid w:val="00257C14"/>
    <w:rsid w:val="00257E3B"/>
    <w:rsid w:val="00257F01"/>
    <w:rsid w:val="00260C9B"/>
    <w:rsid w:val="00261AD5"/>
    <w:rsid w:val="00262C42"/>
    <w:rsid w:val="002638D4"/>
    <w:rsid w:val="00263E56"/>
    <w:rsid w:val="00263F3D"/>
    <w:rsid w:val="002647D3"/>
    <w:rsid w:val="00266914"/>
    <w:rsid w:val="002670A3"/>
    <w:rsid w:val="002672A9"/>
    <w:rsid w:val="00270F0B"/>
    <w:rsid w:val="0027162B"/>
    <w:rsid w:val="00271969"/>
    <w:rsid w:val="002719DC"/>
    <w:rsid w:val="00271AC5"/>
    <w:rsid w:val="00272C4C"/>
    <w:rsid w:val="002735C1"/>
    <w:rsid w:val="002740C1"/>
    <w:rsid w:val="00274B19"/>
    <w:rsid w:val="00274DF8"/>
    <w:rsid w:val="00275686"/>
    <w:rsid w:val="00275AB0"/>
    <w:rsid w:val="00276590"/>
    <w:rsid w:val="002765C5"/>
    <w:rsid w:val="0027705B"/>
    <w:rsid w:val="00277842"/>
    <w:rsid w:val="00282B3A"/>
    <w:rsid w:val="00282DE9"/>
    <w:rsid w:val="002840E2"/>
    <w:rsid w:val="0028441E"/>
    <w:rsid w:val="00284687"/>
    <w:rsid w:val="00284AE9"/>
    <w:rsid w:val="00285475"/>
    <w:rsid w:val="00285E72"/>
    <w:rsid w:val="00286FA0"/>
    <w:rsid w:val="00287931"/>
    <w:rsid w:val="00287941"/>
    <w:rsid w:val="00290522"/>
    <w:rsid w:val="0029102D"/>
    <w:rsid w:val="00291880"/>
    <w:rsid w:val="00291A57"/>
    <w:rsid w:val="00292312"/>
    <w:rsid w:val="00292EC0"/>
    <w:rsid w:val="0029457D"/>
    <w:rsid w:val="00294DF1"/>
    <w:rsid w:val="0029661F"/>
    <w:rsid w:val="00296C5A"/>
    <w:rsid w:val="002975B9"/>
    <w:rsid w:val="002A0A12"/>
    <w:rsid w:val="002A0BCF"/>
    <w:rsid w:val="002A1E15"/>
    <w:rsid w:val="002A2183"/>
    <w:rsid w:val="002A3A40"/>
    <w:rsid w:val="002A42C8"/>
    <w:rsid w:val="002A43C8"/>
    <w:rsid w:val="002A4E9C"/>
    <w:rsid w:val="002A4FCF"/>
    <w:rsid w:val="002A7020"/>
    <w:rsid w:val="002A74DD"/>
    <w:rsid w:val="002A7801"/>
    <w:rsid w:val="002B08FE"/>
    <w:rsid w:val="002B23D0"/>
    <w:rsid w:val="002B318D"/>
    <w:rsid w:val="002B52D5"/>
    <w:rsid w:val="002B68D2"/>
    <w:rsid w:val="002B77F1"/>
    <w:rsid w:val="002C024F"/>
    <w:rsid w:val="002C047F"/>
    <w:rsid w:val="002C1402"/>
    <w:rsid w:val="002C20C4"/>
    <w:rsid w:val="002C2B7B"/>
    <w:rsid w:val="002C35E6"/>
    <w:rsid w:val="002C3834"/>
    <w:rsid w:val="002C399D"/>
    <w:rsid w:val="002C4478"/>
    <w:rsid w:val="002C44B8"/>
    <w:rsid w:val="002C4F96"/>
    <w:rsid w:val="002C560D"/>
    <w:rsid w:val="002C5915"/>
    <w:rsid w:val="002C6089"/>
    <w:rsid w:val="002C677A"/>
    <w:rsid w:val="002C68C8"/>
    <w:rsid w:val="002C707E"/>
    <w:rsid w:val="002C7174"/>
    <w:rsid w:val="002D1DAB"/>
    <w:rsid w:val="002D1FB9"/>
    <w:rsid w:val="002D1FDC"/>
    <w:rsid w:val="002D265A"/>
    <w:rsid w:val="002D2A12"/>
    <w:rsid w:val="002D2D00"/>
    <w:rsid w:val="002D3E91"/>
    <w:rsid w:val="002D4617"/>
    <w:rsid w:val="002D4636"/>
    <w:rsid w:val="002D6F3F"/>
    <w:rsid w:val="002E0B27"/>
    <w:rsid w:val="002E1FC6"/>
    <w:rsid w:val="002E2DE3"/>
    <w:rsid w:val="002E30A5"/>
    <w:rsid w:val="002E4012"/>
    <w:rsid w:val="002E4B4D"/>
    <w:rsid w:val="002E5365"/>
    <w:rsid w:val="002E68DF"/>
    <w:rsid w:val="002F0C00"/>
    <w:rsid w:val="002F0C95"/>
    <w:rsid w:val="002F1647"/>
    <w:rsid w:val="002F2110"/>
    <w:rsid w:val="002F2429"/>
    <w:rsid w:val="002F2550"/>
    <w:rsid w:val="002F38A3"/>
    <w:rsid w:val="002F5AAC"/>
    <w:rsid w:val="002F6C9E"/>
    <w:rsid w:val="002F71F8"/>
    <w:rsid w:val="002F7593"/>
    <w:rsid w:val="002F768C"/>
    <w:rsid w:val="002F7FE4"/>
    <w:rsid w:val="00300ED6"/>
    <w:rsid w:val="003010E5"/>
    <w:rsid w:val="0030143C"/>
    <w:rsid w:val="003018C5"/>
    <w:rsid w:val="00303C46"/>
    <w:rsid w:val="003040CC"/>
    <w:rsid w:val="00304B17"/>
    <w:rsid w:val="00305415"/>
    <w:rsid w:val="00305C71"/>
    <w:rsid w:val="00305C9D"/>
    <w:rsid w:val="0031095E"/>
    <w:rsid w:val="00311DA5"/>
    <w:rsid w:val="00313D7C"/>
    <w:rsid w:val="00314C04"/>
    <w:rsid w:val="00315D83"/>
    <w:rsid w:val="00316515"/>
    <w:rsid w:val="003172F6"/>
    <w:rsid w:val="00317442"/>
    <w:rsid w:val="0032085A"/>
    <w:rsid w:val="00320DC6"/>
    <w:rsid w:val="00320F1B"/>
    <w:rsid w:val="00321920"/>
    <w:rsid w:val="00324A36"/>
    <w:rsid w:val="00324C47"/>
    <w:rsid w:val="00326029"/>
    <w:rsid w:val="003276FF"/>
    <w:rsid w:val="00331660"/>
    <w:rsid w:val="003325A9"/>
    <w:rsid w:val="00332A4B"/>
    <w:rsid w:val="00333271"/>
    <w:rsid w:val="003337F2"/>
    <w:rsid w:val="00333C66"/>
    <w:rsid w:val="00336488"/>
    <w:rsid w:val="00336AC1"/>
    <w:rsid w:val="00337D29"/>
    <w:rsid w:val="0034369C"/>
    <w:rsid w:val="00343B7F"/>
    <w:rsid w:val="00344A34"/>
    <w:rsid w:val="00345382"/>
    <w:rsid w:val="00345E71"/>
    <w:rsid w:val="00345F45"/>
    <w:rsid w:val="00346B9B"/>
    <w:rsid w:val="00347B69"/>
    <w:rsid w:val="00347F30"/>
    <w:rsid w:val="00350430"/>
    <w:rsid w:val="00350C77"/>
    <w:rsid w:val="00351CD3"/>
    <w:rsid w:val="003524B6"/>
    <w:rsid w:val="0035387D"/>
    <w:rsid w:val="00354F15"/>
    <w:rsid w:val="003552C5"/>
    <w:rsid w:val="00355C54"/>
    <w:rsid w:val="00357DB0"/>
    <w:rsid w:val="003609B3"/>
    <w:rsid w:val="00361CAB"/>
    <w:rsid w:val="003623F4"/>
    <w:rsid w:val="003639A7"/>
    <w:rsid w:val="003642A3"/>
    <w:rsid w:val="00364C73"/>
    <w:rsid w:val="003656FA"/>
    <w:rsid w:val="00365901"/>
    <w:rsid w:val="00366598"/>
    <w:rsid w:val="0036693C"/>
    <w:rsid w:val="003671DC"/>
    <w:rsid w:val="00367B57"/>
    <w:rsid w:val="00367F7E"/>
    <w:rsid w:val="00370EEB"/>
    <w:rsid w:val="00370F5C"/>
    <w:rsid w:val="00372E97"/>
    <w:rsid w:val="003732B9"/>
    <w:rsid w:val="00375563"/>
    <w:rsid w:val="0038013F"/>
    <w:rsid w:val="00380D4F"/>
    <w:rsid w:val="00380F73"/>
    <w:rsid w:val="00381FCB"/>
    <w:rsid w:val="00382680"/>
    <w:rsid w:val="00382B64"/>
    <w:rsid w:val="003848B5"/>
    <w:rsid w:val="00384AE4"/>
    <w:rsid w:val="00385393"/>
    <w:rsid w:val="003870A6"/>
    <w:rsid w:val="003910AD"/>
    <w:rsid w:val="003914C6"/>
    <w:rsid w:val="00391D1D"/>
    <w:rsid w:val="00392204"/>
    <w:rsid w:val="00392718"/>
    <w:rsid w:val="00392935"/>
    <w:rsid w:val="0039324E"/>
    <w:rsid w:val="00393AC3"/>
    <w:rsid w:val="00393C2B"/>
    <w:rsid w:val="00394DA1"/>
    <w:rsid w:val="003961AE"/>
    <w:rsid w:val="0039729F"/>
    <w:rsid w:val="003A0634"/>
    <w:rsid w:val="003A0929"/>
    <w:rsid w:val="003A1F6D"/>
    <w:rsid w:val="003A2344"/>
    <w:rsid w:val="003A3D06"/>
    <w:rsid w:val="003A4532"/>
    <w:rsid w:val="003A4FC3"/>
    <w:rsid w:val="003A5C60"/>
    <w:rsid w:val="003A6572"/>
    <w:rsid w:val="003A70DB"/>
    <w:rsid w:val="003A7320"/>
    <w:rsid w:val="003A7377"/>
    <w:rsid w:val="003B03B9"/>
    <w:rsid w:val="003B0ACD"/>
    <w:rsid w:val="003B1434"/>
    <w:rsid w:val="003B2471"/>
    <w:rsid w:val="003B3790"/>
    <w:rsid w:val="003B6280"/>
    <w:rsid w:val="003B64C8"/>
    <w:rsid w:val="003B7A31"/>
    <w:rsid w:val="003C0CA1"/>
    <w:rsid w:val="003C1638"/>
    <w:rsid w:val="003C198E"/>
    <w:rsid w:val="003C1F52"/>
    <w:rsid w:val="003C244F"/>
    <w:rsid w:val="003C27A7"/>
    <w:rsid w:val="003C2881"/>
    <w:rsid w:val="003C36CC"/>
    <w:rsid w:val="003C4B6B"/>
    <w:rsid w:val="003C518C"/>
    <w:rsid w:val="003C5FAB"/>
    <w:rsid w:val="003C6403"/>
    <w:rsid w:val="003C6ACA"/>
    <w:rsid w:val="003C7AD5"/>
    <w:rsid w:val="003D096C"/>
    <w:rsid w:val="003D0ACB"/>
    <w:rsid w:val="003D10E8"/>
    <w:rsid w:val="003D1D0B"/>
    <w:rsid w:val="003D23BC"/>
    <w:rsid w:val="003D2B16"/>
    <w:rsid w:val="003D37D5"/>
    <w:rsid w:val="003D3E73"/>
    <w:rsid w:val="003D5D26"/>
    <w:rsid w:val="003D7291"/>
    <w:rsid w:val="003E02AB"/>
    <w:rsid w:val="003E1E6F"/>
    <w:rsid w:val="003E2A5E"/>
    <w:rsid w:val="003E2FD7"/>
    <w:rsid w:val="003E300B"/>
    <w:rsid w:val="003E4CE6"/>
    <w:rsid w:val="003E5D40"/>
    <w:rsid w:val="003E5FA0"/>
    <w:rsid w:val="003E6ED8"/>
    <w:rsid w:val="003E6FC4"/>
    <w:rsid w:val="003E7D0E"/>
    <w:rsid w:val="003F2C5B"/>
    <w:rsid w:val="003F2F89"/>
    <w:rsid w:val="003F3793"/>
    <w:rsid w:val="003F3930"/>
    <w:rsid w:val="003F60AB"/>
    <w:rsid w:val="003F6139"/>
    <w:rsid w:val="003F6FB8"/>
    <w:rsid w:val="003F7F8C"/>
    <w:rsid w:val="004005BE"/>
    <w:rsid w:val="00400B50"/>
    <w:rsid w:val="00400C7A"/>
    <w:rsid w:val="00401AAB"/>
    <w:rsid w:val="004051C5"/>
    <w:rsid w:val="00405FFE"/>
    <w:rsid w:val="004060B8"/>
    <w:rsid w:val="00406508"/>
    <w:rsid w:val="00406BB0"/>
    <w:rsid w:val="00407EE2"/>
    <w:rsid w:val="00407F6D"/>
    <w:rsid w:val="00410173"/>
    <w:rsid w:val="004107C3"/>
    <w:rsid w:val="00411B29"/>
    <w:rsid w:val="0041250D"/>
    <w:rsid w:val="0041296E"/>
    <w:rsid w:val="00412A09"/>
    <w:rsid w:val="00413069"/>
    <w:rsid w:val="0041396D"/>
    <w:rsid w:val="00414446"/>
    <w:rsid w:val="00414C67"/>
    <w:rsid w:val="0041660F"/>
    <w:rsid w:val="00416A32"/>
    <w:rsid w:val="00417106"/>
    <w:rsid w:val="0042009A"/>
    <w:rsid w:val="00420C83"/>
    <w:rsid w:val="00421A2A"/>
    <w:rsid w:val="00422575"/>
    <w:rsid w:val="00422652"/>
    <w:rsid w:val="0042308E"/>
    <w:rsid w:val="00423240"/>
    <w:rsid w:val="00424150"/>
    <w:rsid w:val="00424AD0"/>
    <w:rsid w:val="00425083"/>
    <w:rsid w:val="004250CA"/>
    <w:rsid w:val="004254BC"/>
    <w:rsid w:val="00427BA5"/>
    <w:rsid w:val="0043029C"/>
    <w:rsid w:val="004318FA"/>
    <w:rsid w:val="004324AD"/>
    <w:rsid w:val="004332AD"/>
    <w:rsid w:val="004351AB"/>
    <w:rsid w:val="0043644A"/>
    <w:rsid w:val="00436728"/>
    <w:rsid w:val="00436939"/>
    <w:rsid w:val="004373DF"/>
    <w:rsid w:val="00437A02"/>
    <w:rsid w:val="00437A80"/>
    <w:rsid w:val="00437C96"/>
    <w:rsid w:val="004404BF"/>
    <w:rsid w:val="00441FD3"/>
    <w:rsid w:val="004425F6"/>
    <w:rsid w:val="00443682"/>
    <w:rsid w:val="00443890"/>
    <w:rsid w:val="00443FC4"/>
    <w:rsid w:val="00444694"/>
    <w:rsid w:val="00444A0D"/>
    <w:rsid w:val="00444EB5"/>
    <w:rsid w:val="0044545C"/>
    <w:rsid w:val="004457B5"/>
    <w:rsid w:val="004465E1"/>
    <w:rsid w:val="004474FA"/>
    <w:rsid w:val="0045121D"/>
    <w:rsid w:val="004522DE"/>
    <w:rsid w:val="004526FB"/>
    <w:rsid w:val="004528FA"/>
    <w:rsid w:val="00452A27"/>
    <w:rsid w:val="0045334A"/>
    <w:rsid w:val="00453585"/>
    <w:rsid w:val="004535EB"/>
    <w:rsid w:val="00453890"/>
    <w:rsid w:val="00453967"/>
    <w:rsid w:val="00454418"/>
    <w:rsid w:val="00454FE0"/>
    <w:rsid w:val="00456790"/>
    <w:rsid w:val="00456D73"/>
    <w:rsid w:val="0045772C"/>
    <w:rsid w:val="00457AE5"/>
    <w:rsid w:val="00460A39"/>
    <w:rsid w:val="00462D9C"/>
    <w:rsid w:val="00464257"/>
    <w:rsid w:val="004648A1"/>
    <w:rsid w:val="00464DD7"/>
    <w:rsid w:val="00465002"/>
    <w:rsid w:val="00465911"/>
    <w:rsid w:val="004669BD"/>
    <w:rsid w:val="004678F1"/>
    <w:rsid w:val="00467D46"/>
    <w:rsid w:val="00470230"/>
    <w:rsid w:val="00470489"/>
    <w:rsid w:val="0047098C"/>
    <w:rsid w:val="0047101A"/>
    <w:rsid w:val="0047144A"/>
    <w:rsid w:val="00471512"/>
    <w:rsid w:val="0047266D"/>
    <w:rsid w:val="00473A17"/>
    <w:rsid w:val="00477F50"/>
    <w:rsid w:val="00480A98"/>
    <w:rsid w:val="00480E87"/>
    <w:rsid w:val="00480F43"/>
    <w:rsid w:val="00480FDD"/>
    <w:rsid w:val="004813B0"/>
    <w:rsid w:val="00482922"/>
    <w:rsid w:val="00482E49"/>
    <w:rsid w:val="00483E7F"/>
    <w:rsid w:val="0048416D"/>
    <w:rsid w:val="00484340"/>
    <w:rsid w:val="00484664"/>
    <w:rsid w:val="00484D55"/>
    <w:rsid w:val="00485C1E"/>
    <w:rsid w:val="0048613C"/>
    <w:rsid w:val="00486D06"/>
    <w:rsid w:val="004872D1"/>
    <w:rsid w:val="0048746E"/>
    <w:rsid w:val="00487492"/>
    <w:rsid w:val="00490A48"/>
    <w:rsid w:val="004929AC"/>
    <w:rsid w:val="0049344F"/>
    <w:rsid w:val="0049454C"/>
    <w:rsid w:val="00494EF6"/>
    <w:rsid w:val="004954FE"/>
    <w:rsid w:val="004958C0"/>
    <w:rsid w:val="00495FD7"/>
    <w:rsid w:val="0049646F"/>
    <w:rsid w:val="00496EFE"/>
    <w:rsid w:val="004A0248"/>
    <w:rsid w:val="004A0837"/>
    <w:rsid w:val="004A26A5"/>
    <w:rsid w:val="004A3DDC"/>
    <w:rsid w:val="004A5766"/>
    <w:rsid w:val="004B0599"/>
    <w:rsid w:val="004B1046"/>
    <w:rsid w:val="004B2208"/>
    <w:rsid w:val="004B2BDE"/>
    <w:rsid w:val="004B34EB"/>
    <w:rsid w:val="004B3675"/>
    <w:rsid w:val="004B3694"/>
    <w:rsid w:val="004B4113"/>
    <w:rsid w:val="004B58CC"/>
    <w:rsid w:val="004B7661"/>
    <w:rsid w:val="004B7BA5"/>
    <w:rsid w:val="004C007D"/>
    <w:rsid w:val="004C33E7"/>
    <w:rsid w:val="004C35D2"/>
    <w:rsid w:val="004C390F"/>
    <w:rsid w:val="004C3B52"/>
    <w:rsid w:val="004C3C2A"/>
    <w:rsid w:val="004C41D7"/>
    <w:rsid w:val="004C49D0"/>
    <w:rsid w:val="004C5859"/>
    <w:rsid w:val="004C6A2D"/>
    <w:rsid w:val="004C742C"/>
    <w:rsid w:val="004D14C7"/>
    <w:rsid w:val="004D2117"/>
    <w:rsid w:val="004D28B0"/>
    <w:rsid w:val="004D37F2"/>
    <w:rsid w:val="004D4855"/>
    <w:rsid w:val="004D51FB"/>
    <w:rsid w:val="004D5623"/>
    <w:rsid w:val="004D57AF"/>
    <w:rsid w:val="004D5BC2"/>
    <w:rsid w:val="004D5E0B"/>
    <w:rsid w:val="004D5F71"/>
    <w:rsid w:val="004D62A0"/>
    <w:rsid w:val="004D65EE"/>
    <w:rsid w:val="004D7014"/>
    <w:rsid w:val="004D7FC4"/>
    <w:rsid w:val="004E01E4"/>
    <w:rsid w:val="004E0A23"/>
    <w:rsid w:val="004E10EA"/>
    <w:rsid w:val="004E219B"/>
    <w:rsid w:val="004E317B"/>
    <w:rsid w:val="004E3DAE"/>
    <w:rsid w:val="004E4F09"/>
    <w:rsid w:val="004E6C68"/>
    <w:rsid w:val="004E6F59"/>
    <w:rsid w:val="004E7034"/>
    <w:rsid w:val="004F1DFA"/>
    <w:rsid w:val="004F2906"/>
    <w:rsid w:val="004F2A53"/>
    <w:rsid w:val="004F3F49"/>
    <w:rsid w:val="004F545D"/>
    <w:rsid w:val="004F5648"/>
    <w:rsid w:val="004F58A4"/>
    <w:rsid w:val="004F5CB8"/>
    <w:rsid w:val="004F5E18"/>
    <w:rsid w:val="004F6F5F"/>
    <w:rsid w:val="004F714F"/>
    <w:rsid w:val="004F7571"/>
    <w:rsid w:val="004F79A9"/>
    <w:rsid w:val="00500125"/>
    <w:rsid w:val="005004C2"/>
    <w:rsid w:val="005014C1"/>
    <w:rsid w:val="00502917"/>
    <w:rsid w:val="00504648"/>
    <w:rsid w:val="005048AA"/>
    <w:rsid w:val="00505E3E"/>
    <w:rsid w:val="00505E4F"/>
    <w:rsid w:val="00505F1B"/>
    <w:rsid w:val="00506E8A"/>
    <w:rsid w:val="00510560"/>
    <w:rsid w:val="0051375F"/>
    <w:rsid w:val="005143FA"/>
    <w:rsid w:val="00514636"/>
    <w:rsid w:val="00517D90"/>
    <w:rsid w:val="00520D25"/>
    <w:rsid w:val="00521135"/>
    <w:rsid w:val="005221D7"/>
    <w:rsid w:val="00522BF3"/>
    <w:rsid w:val="00523020"/>
    <w:rsid w:val="00523DD8"/>
    <w:rsid w:val="00523E3A"/>
    <w:rsid w:val="00523EF8"/>
    <w:rsid w:val="0052426A"/>
    <w:rsid w:val="005249C4"/>
    <w:rsid w:val="0052569B"/>
    <w:rsid w:val="0052587E"/>
    <w:rsid w:val="005259BB"/>
    <w:rsid w:val="00525D94"/>
    <w:rsid w:val="00527779"/>
    <w:rsid w:val="005302EA"/>
    <w:rsid w:val="00530360"/>
    <w:rsid w:val="00531DDB"/>
    <w:rsid w:val="00532BBE"/>
    <w:rsid w:val="005333EF"/>
    <w:rsid w:val="0053340A"/>
    <w:rsid w:val="005338AB"/>
    <w:rsid w:val="00533CB3"/>
    <w:rsid w:val="00533E79"/>
    <w:rsid w:val="005350DE"/>
    <w:rsid w:val="00535925"/>
    <w:rsid w:val="00537890"/>
    <w:rsid w:val="0054067B"/>
    <w:rsid w:val="005411EF"/>
    <w:rsid w:val="00541B08"/>
    <w:rsid w:val="005422C9"/>
    <w:rsid w:val="005426FE"/>
    <w:rsid w:val="00542755"/>
    <w:rsid w:val="00543352"/>
    <w:rsid w:val="00543B18"/>
    <w:rsid w:val="005448F9"/>
    <w:rsid w:val="00545373"/>
    <w:rsid w:val="00545632"/>
    <w:rsid w:val="00545FE7"/>
    <w:rsid w:val="00546109"/>
    <w:rsid w:val="00546FCC"/>
    <w:rsid w:val="005471FD"/>
    <w:rsid w:val="0054787E"/>
    <w:rsid w:val="00552E96"/>
    <w:rsid w:val="005530F1"/>
    <w:rsid w:val="00553754"/>
    <w:rsid w:val="0055454C"/>
    <w:rsid w:val="00555037"/>
    <w:rsid w:val="00556B68"/>
    <w:rsid w:val="0055796D"/>
    <w:rsid w:val="00557FED"/>
    <w:rsid w:val="00560A38"/>
    <w:rsid w:val="00560A53"/>
    <w:rsid w:val="00560E7D"/>
    <w:rsid w:val="005622B1"/>
    <w:rsid w:val="00563B64"/>
    <w:rsid w:val="00563F50"/>
    <w:rsid w:val="00564FF1"/>
    <w:rsid w:val="00565488"/>
    <w:rsid w:val="005665A4"/>
    <w:rsid w:val="0056678B"/>
    <w:rsid w:val="005703CB"/>
    <w:rsid w:val="00570ED2"/>
    <w:rsid w:val="005718E5"/>
    <w:rsid w:val="00572011"/>
    <w:rsid w:val="00572116"/>
    <w:rsid w:val="005725EC"/>
    <w:rsid w:val="00574A91"/>
    <w:rsid w:val="00575C9C"/>
    <w:rsid w:val="00576078"/>
    <w:rsid w:val="0057798F"/>
    <w:rsid w:val="00580AFF"/>
    <w:rsid w:val="00582F0C"/>
    <w:rsid w:val="00583D6F"/>
    <w:rsid w:val="0058462D"/>
    <w:rsid w:val="005853E5"/>
    <w:rsid w:val="00586550"/>
    <w:rsid w:val="00587D15"/>
    <w:rsid w:val="005922D4"/>
    <w:rsid w:val="00593614"/>
    <w:rsid w:val="005944A5"/>
    <w:rsid w:val="00594D29"/>
    <w:rsid w:val="00595B30"/>
    <w:rsid w:val="00597E41"/>
    <w:rsid w:val="005A140A"/>
    <w:rsid w:val="005A1CF6"/>
    <w:rsid w:val="005A1D13"/>
    <w:rsid w:val="005A2425"/>
    <w:rsid w:val="005A2A81"/>
    <w:rsid w:val="005A2AAB"/>
    <w:rsid w:val="005A49DC"/>
    <w:rsid w:val="005A4C2E"/>
    <w:rsid w:val="005A5E1B"/>
    <w:rsid w:val="005B1184"/>
    <w:rsid w:val="005B19E9"/>
    <w:rsid w:val="005B275F"/>
    <w:rsid w:val="005B2FFC"/>
    <w:rsid w:val="005B33E8"/>
    <w:rsid w:val="005B37F0"/>
    <w:rsid w:val="005C0478"/>
    <w:rsid w:val="005C081B"/>
    <w:rsid w:val="005C0EF8"/>
    <w:rsid w:val="005C2049"/>
    <w:rsid w:val="005C22FB"/>
    <w:rsid w:val="005C2727"/>
    <w:rsid w:val="005C3188"/>
    <w:rsid w:val="005C3603"/>
    <w:rsid w:val="005C39A3"/>
    <w:rsid w:val="005C4837"/>
    <w:rsid w:val="005C4A99"/>
    <w:rsid w:val="005C6688"/>
    <w:rsid w:val="005C6CD2"/>
    <w:rsid w:val="005C7435"/>
    <w:rsid w:val="005C7F73"/>
    <w:rsid w:val="005D031D"/>
    <w:rsid w:val="005D0418"/>
    <w:rsid w:val="005D0FCA"/>
    <w:rsid w:val="005D11A2"/>
    <w:rsid w:val="005D17F0"/>
    <w:rsid w:val="005D1D47"/>
    <w:rsid w:val="005D2CF5"/>
    <w:rsid w:val="005D30C0"/>
    <w:rsid w:val="005D333B"/>
    <w:rsid w:val="005D3628"/>
    <w:rsid w:val="005D3E34"/>
    <w:rsid w:val="005D47F9"/>
    <w:rsid w:val="005D4A6E"/>
    <w:rsid w:val="005D5382"/>
    <w:rsid w:val="005D6082"/>
    <w:rsid w:val="005D608E"/>
    <w:rsid w:val="005D676F"/>
    <w:rsid w:val="005D6ECB"/>
    <w:rsid w:val="005D71EF"/>
    <w:rsid w:val="005D757A"/>
    <w:rsid w:val="005E262D"/>
    <w:rsid w:val="005E38D5"/>
    <w:rsid w:val="005E3B0C"/>
    <w:rsid w:val="005E47C3"/>
    <w:rsid w:val="005E5014"/>
    <w:rsid w:val="005E528D"/>
    <w:rsid w:val="005E588E"/>
    <w:rsid w:val="005E5FCE"/>
    <w:rsid w:val="005E60BF"/>
    <w:rsid w:val="005E683D"/>
    <w:rsid w:val="005E7E8A"/>
    <w:rsid w:val="005F036C"/>
    <w:rsid w:val="005F14FF"/>
    <w:rsid w:val="005F17FB"/>
    <w:rsid w:val="005F187F"/>
    <w:rsid w:val="005F285E"/>
    <w:rsid w:val="005F300F"/>
    <w:rsid w:val="005F3231"/>
    <w:rsid w:val="005F4B7B"/>
    <w:rsid w:val="005F52EE"/>
    <w:rsid w:val="005F546D"/>
    <w:rsid w:val="005F6451"/>
    <w:rsid w:val="005F6479"/>
    <w:rsid w:val="005F757E"/>
    <w:rsid w:val="005F7CF9"/>
    <w:rsid w:val="006009F1"/>
    <w:rsid w:val="00600C1E"/>
    <w:rsid w:val="006019BA"/>
    <w:rsid w:val="00605238"/>
    <w:rsid w:val="006056D6"/>
    <w:rsid w:val="00605956"/>
    <w:rsid w:val="00605F6C"/>
    <w:rsid w:val="006103E9"/>
    <w:rsid w:val="00610611"/>
    <w:rsid w:val="006125A4"/>
    <w:rsid w:val="00612BEC"/>
    <w:rsid w:val="0061653F"/>
    <w:rsid w:val="00616DA4"/>
    <w:rsid w:val="0061734E"/>
    <w:rsid w:val="006174FD"/>
    <w:rsid w:val="00622437"/>
    <w:rsid w:val="0062313B"/>
    <w:rsid w:val="00623AC4"/>
    <w:rsid w:val="00624EB8"/>
    <w:rsid w:val="00625400"/>
    <w:rsid w:val="0062621A"/>
    <w:rsid w:val="00626710"/>
    <w:rsid w:val="006275FD"/>
    <w:rsid w:val="0062764D"/>
    <w:rsid w:val="00627B79"/>
    <w:rsid w:val="006313DD"/>
    <w:rsid w:val="00631453"/>
    <w:rsid w:val="006314F5"/>
    <w:rsid w:val="00631B5E"/>
    <w:rsid w:val="006323D9"/>
    <w:rsid w:val="006330D7"/>
    <w:rsid w:val="00633C66"/>
    <w:rsid w:val="00634916"/>
    <w:rsid w:val="006349CC"/>
    <w:rsid w:val="006349EB"/>
    <w:rsid w:val="00640922"/>
    <w:rsid w:val="00640BD8"/>
    <w:rsid w:val="00640DCE"/>
    <w:rsid w:val="0064114D"/>
    <w:rsid w:val="00642DFA"/>
    <w:rsid w:val="00643C8C"/>
    <w:rsid w:val="00646468"/>
    <w:rsid w:val="00646FB3"/>
    <w:rsid w:val="0064773E"/>
    <w:rsid w:val="006478FD"/>
    <w:rsid w:val="00651230"/>
    <w:rsid w:val="0065176B"/>
    <w:rsid w:val="00653AF9"/>
    <w:rsid w:val="00653F3F"/>
    <w:rsid w:val="00655709"/>
    <w:rsid w:val="00655942"/>
    <w:rsid w:val="00656484"/>
    <w:rsid w:val="006603CC"/>
    <w:rsid w:val="00661D98"/>
    <w:rsid w:val="00662029"/>
    <w:rsid w:val="00664324"/>
    <w:rsid w:val="006647F4"/>
    <w:rsid w:val="00666EE2"/>
    <w:rsid w:val="00666F37"/>
    <w:rsid w:val="006677CA"/>
    <w:rsid w:val="0067063A"/>
    <w:rsid w:val="006726A8"/>
    <w:rsid w:val="00674D0A"/>
    <w:rsid w:val="006755C2"/>
    <w:rsid w:val="00676C1C"/>
    <w:rsid w:val="006804E6"/>
    <w:rsid w:val="0068059F"/>
    <w:rsid w:val="00680C6D"/>
    <w:rsid w:val="006818AB"/>
    <w:rsid w:val="006820BA"/>
    <w:rsid w:val="0068246D"/>
    <w:rsid w:val="006858A8"/>
    <w:rsid w:val="00685BCF"/>
    <w:rsid w:val="0069026C"/>
    <w:rsid w:val="00691C40"/>
    <w:rsid w:val="00692151"/>
    <w:rsid w:val="00692874"/>
    <w:rsid w:val="00692AC8"/>
    <w:rsid w:val="00693271"/>
    <w:rsid w:val="00693552"/>
    <w:rsid w:val="00694788"/>
    <w:rsid w:val="00695219"/>
    <w:rsid w:val="006957E5"/>
    <w:rsid w:val="006966D6"/>
    <w:rsid w:val="006A055B"/>
    <w:rsid w:val="006A0BF9"/>
    <w:rsid w:val="006A19B3"/>
    <w:rsid w:val="006A1E0E"/>
    <w:rsid w:val="006A1F40"/>
    <w:rsid w:val="006A2312"/>
    <w:rsid w:val="006A29E1"/>
    <w:rsid w:val="006A381B"/>
    <w:rsid w:val="006A4BB3"/>
    <w:rsid w:val="006A5BBE"/>
    <w:rsid w:val="006A7E86"/>
    <w:rsid w:val="006B00A9"/>
    <w:rsid w:val="006B0C4A"/>
    <w:rsid w:val="006B11F3"/>
    <w:rsid w:val="006B1283"/>
    <w:rsid w:val="006B1788"/>
    <w:rsid w:val="006B2D27"/>
    <w:rsid w:val="006B2E56"/>
    <w:rsid w:val="006B41CC"/>
    <w:rsid w:val="006B4298"/>
    <w:rsid w:val="006B51E0"/>
    <w:rsid w:val="006B7BFC"/>
    <w:rsid w:val="006C0AC5"/>
    <w:rsid w:val="006C0C53"/>
    <w:rsid w:val="006C0CE6"/>
    <w:rsid w:val="006C1EF6"/>
    <w:rsid w:val="006C31E0"/>
    <w:rsid w:val="006C36D2"/>
    <w:rsid w:val="006C5319"/>
    <w:rsid w:val="006C5A84"/>
    <w:rsid w:val="006C686D"/>
    <w:rsid w:val="006C6CF2"/>
    <w:rsid w:val="006D154B"/>
    <w:rsid w:val="006D1E33"/>
    <w:rsid w:val="006D36E6"/>
    <w:rsid w:val="006D47D3"/>
    <w:rsid w:val="006D4E5F"/>
    <w:rsid w:val="006D54FB"/>
    <w:rsid w:val="006D6FA4"/>
    <w:rsid w:val="006E1489"/>
    <w:rsid w:val="006E172E"/>
    <w:rsid w:val="006E1CA2"/>
    <w:rsid w:val="006E311D"/>
    <w:rsid w:val="006E3D65"/>
    <w:rsid w:val="006E4440"/>
    <w:rsid w:val="006E45C6"/>
    <w:rsid w:val="006E6195"/>
    <w:rsid w:val="006E66D7"/>
    <w:rsid w:val="006E6A23"/>
    <w:rsid w:val="006F0ED3"/>
    <w:rsid w:val="006F140A"/>
    <w:rsid w:val="006F1551"/>
    <w:rsid w:val="006F1A00"/>
    <w:rsid w:val="006F1D13"/>
    <w:rsid w:val="006F1E13"/>
    <w:rsid w:val="006F2EBD"/>
    <w:rsid w:val="006F3F34"/>
    <w:rsid w:val="006F420D"/>
    <w:rsid w:val="006F5141"/>
    <w:rsid w:val="006F5B40"/>
    <w:rsid w:val="006F61EC"/>
    <w:rsid w:val="006F66D8"/>
    <w:rsid w:val="006F7842"/>
    <w:rsid w:val="006F7AC1"/>
    <w:rsid w:val="00700612"/>
    <w:rsid w:val="00701EC1"/>
    <w:rsid w:val="007028F5"/>
    <w:rsid w:val="00703007"/>
    <w:rsid w:val="00706EEB"/>
    <w:rsid w:val="00706FBD"/>
    <w:rsid w:val="00707006"/>
    <w:rsid w:val="0070723E"/>
    <w:rsid w:val="007108F2"/>
    <w:rsid w:val="007120A2"/>
    <w:rsid w:val="00712151"/>
    <w:rsid w:val="00712530"/>
    <w:rsid w:val="00712DFC"/>
    <w:rsid w:val="00712F65"/>
    <w:rsid w:val="0071306E"/>
    <w:rsid w:val="00714ECE"/>
    <w:rsid w:val="0071519C"/>
    <w:rsid w:val="00720BA4"/>
    <w:rsid w:val="00720F1B"/>
    <w:rsid w:val="00721EA1"/>
    <w:rsid w:val="007234EF"/>
    <w:rsid w:val="007249C4"/>
    <w:rsid w:val="00724C87"/>
    <w:rsid w:val="0072695D"/>
    <w:rsid w:val="00727106"/>
    <w:rsid w:val="007273DF"/>
    <w:rsid w:val="00730296"/>
    <w:rsid w:val="00730FCC"/>
    <w:rsid w:val="00733285"/>
    <w:rsid w:val="007335BD"/>
    <w:rsid w:val="00733799"/>
    <w:rsid w:val="00733904"/>
    <w:rsid w:val="00734B81"/>
    <w:rsid w:val="007358A4"/>
    <w:rsid w:val="007404E0"/>
    <w:rsid w:val="00740F26"/>
    <w:rsid w:val="00740F5A"/>
    <w:rsid w:val="00741034"/>
    <w:rsid w:val="007412AD"/>
    <w:rsid w:val="00742C43"/>
    <w:rsid w:val="00745FB6"/>
    <w:rsid w:val="007465B8"/>
    <w:rsid w:val="00746C3C"/>
    <w:rsid w:val="00747DAB"/>
    <w:rsid w:val="0075071C"/>
    <w:rsid w:val="00750B42"/>
    <w:rsid w:val="00751214"/>
    <w:rsid w:val="007512A2"/>
    <w:rsid w:val="00753687"/>
    <w:rsid w:val="00753950"/>
    <w:rsid w:val="00754ADC"/>
    <w:rsid w:val="0075636A"/>
    <w:rsid w:val="00757421"/>
    <w:rsid w:val="00757FC9"/>
    <w:rsid w:val="00760525"/>
    <w:rsid w:val="00760AE9"/>
    <w:rsid w:val="00760C0B"/>
    <w:rsid w:val="007634F0"/>
    <w:rsid w:val="00763A42"/>
    <w:rsid w:val="00763EE2"/>
    <w:rsid w:val="007641E2"/>
    <w:rsid w:val="00764381"/>
    <w:rsid w:val="00765391"/>
    <w:rsid w:val="00765A5D"/>
    <w:rsid w:val="00765FA1"/>
    <w:rsid w:val="00766039"/>
    <w:rsid w:val="0076697F"/>
    <w:rsid w:val="00766BF1"/>
    <w:rsid w:val="00767F28"/>
    <w:rsid w:val="0077150A"/>
    <w:rsid w:val="00771DBD"/>
    <w:rsid w:val="00771EF4"/>
    <w:rsid w:val="00772748"/>
    <w:rsid w:val="00773B3F"/>
    <w:rsid w:val="0077492F"/>
    <w:rsid w:val="00774B61"/>
    <w:rsid w:val="00775C23"/>
    <w:rsid w:val="00776829"/>
    <w:rsid w:val="0077718F"/>
    <w:rsid w:val="00777B1E"/>
    <w:rsid w:val="00780383"/>
    <w:rsid w:val="007814BF"/>
    <w:rsid w:val="00782175"/>
    <w:rsid w:val="0078425D"/>
    <w:rsid w:val="00785669"/>
    <w:rsid w:val="00786946"/>
    <w:rsid w:val="0078775F"/>
    <w:rsid w:val="00790424"/>
    <w:rsid w:val="00790D65"/>
    <w:rsid w:val="00792120"/>
    <w:rsid w:val="00792316"/>
    <w:rsid w:val="007931B8"/>
    <w:rsid w:val="0079428D"/>
    <w:rsid w:val="00794C25"/>
    <w:rsid w:val="00794F1D"/>
    <w:rsid w:val="007A0963"/>
    <w:rsid w:val="007A0EFF"/>
    <w:rsid w:val="007A1D26"/>
    <w:rsid w:val="007A2632"/>
    <w:rsid w:val="007A28FE"/>
    <w:rsid w:val="007A3556"/>
    <w:rsid w:val="007A4D82"/>
    <w:rsid w:val="007A4DBA"/>
    <w:rsid w:val="007A61C4"/>
    <w:rsid w:val="007A6685"/>
    <w:rsid w:val="007A7071"/>
    <w:rsid w:val="007A7BA6"/>
    <w:rsid w:val="007B077C"/>
    <w:rsid w:val="007B44E1"/>
    <w:rsid w:val="007B6B79"/>
    <w:rsid w:val="007B6DB9"/>
    <w:rsid w:val="007B6E8A"/>
    <w:rsid w:val="007B7377"/>
    <w:rsid w:val="007C0DC7"/>
    <w:rsid w:val="007C1C57"/>
    <w:rsid w:val="007C29AE"/>
    <w:rsid w:val="007C3CA9"/>
    <w:rsid w:val="007C5A28"/>
    <w:rsid w:val="007C5CEA"/>
    <w:rsid w:val="007C62FC"/>
    <w:rsid w:val="007C69A0"/>
    <w:rsid w:val="007D0413"/>
    <w:rsid w:val="007D0429"/>
    <w:rsid w:val="007D172F"/>
    <w:rsid w:val="007D2987"/>
    <w:rsid w:val="007D4993"/>
    <w:rsid w:val="007D5602"/>
    <w:rsid w:val="007D60BB"/>
    <w:rsid w:val="007D6F02"/>
    <w:rsid w:val="007E00E7"/>
    <w:rsid w:val="007E156B"/>
    <w:rsid w:val="007E17B6"/>
    <w:rsid w:val="007E1897"/>
    <w:rsid w:val="007E1DE8"/>
    <w:rsid w:val="007E2F7B"/>
    <w:rsid w:val="007E31E5"/>
    <w:rsid w:val="007E3755"/>
    <w:rsid w:val="007E37D7"/>
    <w:rsid w:val="007E4426"/>
    <w:rsid w:val="007E4F30"/>
    <w:rsid w:val="007E5106"/>
    <w:rsid w:val="007E6034"/>
    <w:rsid w:val="007E725A"/>
    <w:rsid w:val="007E73DF"/>
    <w:rsid w:val="007E7B0A"/>
    <w:rsid w:val="007F119E"/>
    <w:rsid w:val="007F1664"/>
    <w:rsid w:val="007F19C4"/>
    <w:rsid w:val="007F26F8"/>
    <w:rsid w:val="007F2B95"/>
    <w:rsid w:val="007F35B9"/>
    <w:rsid w:val="007F4E4E"/>
    <w:rsid w:val="007F4EE5"/>
    <w:rsid w:val="007F5986"/>
    <w:rsid w:val="007F61FC"/>
    <w:rsid w:val="007F6414"/>
    <w:rsid w:val="007F7BB3"/>
    <w:rsid w:val="007F7E4F"/>
    <w:rsid w:val="0080029A"/>
    <w:rsid w:val="00800565"/>
    <w:rsid w:val="00801523"/>
    <w:rsid w:val="00801A3E"/>
    <w:rsid w:val="00801EDF"/>
    <w:rsid w:val="0080205F"/>
    <w:rsid w:val="0080441D"/>
    <w:rsid w:val="008045D7"/>
    <w:rsid w:val="00804993"/>
    <w:rsid w:val="00804F8A"/>
    <w:rsid w:val="008051F4"/>
    <w:rsid w:val="00805424"/>
    <w:rsid w:val="00805D15"/>
    <w:rsid w:val="00806A1E"/>
    <w:rsid w:val="00806D30"/>
    <w:rsid w:val="00807570"/>
    <w:rsid w:val="0081026E"/>
    <w:rsid w:val="00810A91"/>
    <w:rsid w:val="008110A7"/>
    <w:rsid w:val="008111C8"/>
    <w:rsid w:val="008114D6"/>
    <w:rsid w:val="00811A1C"/>
    <w:rsid w:val="00812654"/>
    <w:rsid w:val="00812AA5"/>
    <w:rsid w:val="00813909"/>
    <w:rsid w:val="008145ED"/>
    <w:rsid w:val="00814DAE"/>
    <w:rsid w:val="00816009"/>
    <w:rsid w:val="0081668D"/>
    <w:rsid w:val="0081746C"/>
    <w:rsid w:val="00817579"/>
    <w:rsid w:val="0082238F"/>
    <w:rsid w:val="0082340A"/>
    <w:rsid w:val="0082538C"/>
    <w:rsid w:val="00825F0C"/>
    <w:rsid w:val="0082684B"/>
    <w:rsid w:val="008273B7"/>
    <w:rsid w:val="00827743"/>
    <w:rsid w:val="008279A2"/>
    <w:rsid w:val="00827B46"/>
    <w:rsid w:val="008304F2"/>
    <w:rsid w:val="00830542"/>
    <w:rsid w:val="008320C4"/>
    <w:rsid w:val="00832E23"/>
    <w:rsid w:val="0083398D"/>
    <w:rsid w:val="008352C8"/>
    <w:rsid w:val="00835A57"/>
    <w:rsid w:val="008364CD"/>
    <w:rsid w:val="00837023"/>
    <w:rsid w:val="008372A1"/>
    <w:rsid w:val="00837F96"/>
    <w:rsid w:val="00840CF9"/>
    <w:rsid w:val="00840D43"/>
    <w:rsid w:val="00841524"/>
    <w:rsid w:val="0084172E"/>
    <w:rsid w:val="00841E13"/>
    <w:rsid w:val="00843FF8"/>
    <w:rsid w:val="0084597B"/>
    <w:rsid w:val="008467F9"/>
    <w:rsid w:val="00846920"/>
    <w:rsid w:val="00846B17"/>
    <w:rsid w:val="00846B97"/>
    <w:rsid w:val="00851262"/>
    <w:rsid w:val="00851288"/>
    <w:rsid w:val="00852AB6"/>
    <w:rsid w:val="00852AEF"/>
    <w:rsid w:val="0085382C"/>
    <w:rsid w:val="00853BD1"/>
    <w:rsid w:val="00853F1C"/>
    <w:rsid w:val="008542EB"/>
    <w:rsid w:val="0085439E"/>
    <w:rsid w:val="008554FB"/>
    <w:rsid w:val="008561D1"/>
    <w:rsid w:val="00856CF2"/>
    <w:rsid w:val="0085764E"/>
    <w:rsid w:val="00860160"/>
    <w:rsid w:val="00860DB3"/>
    <w:rsid w:val="00861D4A"/>
    <w:rsid w:val="0086228B"/>
    <w:rsid w:val="00864B72"/>
    <w:rsid w:val="00864C75"/>
    <w:rsid w:val="00865A65"/>
    <w:rsid w:val="00866FEB"/>
    <w:rsid w:val="00867081"/>
    <w:rsid w:val="008714D9"/>
    <w:rsid w:val="00873B60"/>
    <w:rsid w:val="008753C4"/>
    <w:rsid w:val="008763F7"/>
    <w:rsid w:val="008765CA"/>
    <w:rsid w:val="00877E7C"/>
    <w:rsid w:val="008819ED"/>
    <w:rsid w:val="00882B0D"/>
    <w:rsid w:val="008849C5"/>
    <w:rsid w:val="00885B5E"/>
    <w:rsid w:val="00886E33"/>
    <w:rsid w:val="008875CF"/>
    <w:rsid w:val="008903F2"/>
    <w:rsid w:val="00891767"/>
    <w:rsid w:val="00891A63"/>
    <w:rsid w:val="008924A5"/>
    <w:rsid w:val="00893A0C"/>
    <w:rsid w:val="008943AD"/>
    <w:rsid w:val="00895038"/>
    <w:rsid w:val="00895559"/>
    <w:rsid w:val="00896081"/>
    <w:rsid w:val="008960E1"/>
    <w:rsid w:val="00896C1F"/>
    <w:rsid w:val="00897185"/>
    <w:rsid w:val="008A0138"/>
    <w:rsid w:val="008A0555"/>
    <w:rsid w:val="008A2268"/>
    <w:rsid w:val="008A2A2F"/>
    <w:rsid w:val="008A2B7A"/>
    <w:rsid w:val="008A2F28"/>
    <w:rsid w:val="008A2F8A"/>
    <w:rsid w:val="008A30F5"/>
    <w:rsid w:val="008A3B20"/>
    <w:rsid w:val="008A40C3"/>
    <w:rsid w:val="008A5006"/>
    <w:rsid w:val="008A50C4"/>
    <w:rsid w:val="008A52AF"/>
    <w:rsid w:val="008A5F1D"/>
    <w:rsid w:val="008A6628"/>
    <w:rsid w:val="008B0BE6"/>
    <w:rsid w:val="008B19BA"/>
    <w:rsid w:val="008B1C43"/>
    <w:rsid w:val="008B2D56"/>
    <w:rsid w:val="008B37E9"/>
    <w:rsid w:val="008B386F"/>
    <w:rsid w:val="008B3A78"/>
    <w:rsid w:val="008B482E"/>
    <w:rsid w:val="008B50A1"/>
    <w:rsid w:val="008B52FB"/>
    <w:rsid w:val="008B7674"/>
    <w:rsid w:val="008C0DCB"/>
    <w:rsid w:val="008C0F16"/>
    <w:rsid w:val="008C12A6"/>
    <w:rsid w:val="008C1BE8"/>
    <w:rsid w:val="008C29C6"/>
    <w:rsid w:val="008C34F3"/>
    <w:rsid w:val="008C4D65"/>
    <w:rsid w:val="008C5C76"/>
    <w:rsid w:val="008C5D16"/>
    <w:rsid w:val="008C6757"/>
    <w:rsid w:val="008D0464"/>
    <w:rsid w:val="008D1130"/>
    <w:rsid w:val="008D1B77"/>
    <w:rsid w:val="008D2658"/>
    <w:rsid w:val="008D387C"/>
    <w:rsid w:val="008D3A46"/>
    <w:rsid w:val="008D3A8E"/>
    <w:rsid w:val="008D3AC0"/>
    <w:rsid w:val="008D4792"/>
    <w:rsid w:val="008D5190"/>
    <w:rsid w:val="008D76BE"/>
    <w:rsid w:val="008E0087"/>
    <w:rsid w:val="008E04AA"/>
    <w:rsid w:val="008E05AF"/>
    <w:rsid w:val="008E2D5C"/>
    <w:rsid w:val="008E39EB"/>
    <w:rsid w:val="008E4936"/>
    <w:rsid w:val="008E4F5B"/>
    <w:rsid w:val="008E604C"/>
    <w:rsid w:val="008E61D0"/>
    <w:rsid w:val="008E6FD7"/>
    <w:rsid w:val="008E7F96"/>
    <w:rsid w:val="008F060F"/>
    <w:rsid w:val="008F086D"/>
    <w:rsid w:val="008F2109"/>
    <w:rsid w:val="008F3B5B"/>
    <w:rsid w:val="008F408F"/>
    <w:rsid w:val="008F4F57"/>
    <w:rsid w:val="008F7688"/>
    <w:rsid w:val="00900579"/>
    <w:rsid w:val="00900FF0"/>
    <w:rsid w:val="009015DE"/>
    <w:rsid w:val="00901736"/>
    <w:rsid w:val="00901EC3"/>
    <w:rsid w:val="00902A08"/>
    <w:rsid w:val="0090305C"/>
    <w:rsid w:val="00904C9F"/>
    <w:rsid w:val="00904F15"/>
    <w:rsid w:val="0090525D"/>
    <w:rsid w:val="00905898"/>
    <w:rsid w:val="00905CB5"/>
    <w:rsid w:val="00906154"/>
    <w:rsid w:val="0090630F"/>
    <w:rsid w:val="0090756C"/>
    <w:rsid w:val="009079AE"/>
    <w:rsid w:val="0091158C"/>
    <w:rsid w:val="00914242"/>
    <w:rsid w:val="009144EA"/>
    <w:rsid w:val="0091521A"/>
    <w:rsid w:val="009204E2"/>
    <w:rsid w:val="0092434E"/>
    <w:rsid w:val="00925721"/>
    <w:rsid w:val="00927B28"/>
    <w:rsid w:val="00927C4D"/>
    <w:rsid w:val="00927C6B"/>
    <w:rsid w:val="00927DFC"/>
    <w:rsid w:val="00931DC1"/>
    <w:rsid w:val="00932515"/>
    <w:rsid w:val="009336D0"/>
    <w:rsid w:val="00933723"/>
    <w:rsid w:val="0093546F"/>
    <w:rsid w:val="009354B6"/>
    <w:rsid w:val="00935F42"/>
    <w:rsid w:val="00940C76"/>
    <w:rsid w:val="00941885"/>
    <w:rsid w:val="00942761"/>
    <w:rsid w:val="00943ACD"/>
    <w:rsid w:val="00943E41"/>
    <w:rsid w:val="00944C89"/>
    <w:rsid w:val="00945587"/>
    <w:rsid w:val="0095094D"/>
    <w:rsid w:val="0095117D"/>
    <w:rsid w:val="009511C8"/>
    <w:rsid w:val="00953B35"/>
    <w:rsid w:val="00954677"/>
    <w:rsid w:val="00955FE4"/>
    <w:rsid w:val="00957BE1"/>
    <w:rsid w:val="00957CE2"/>
    <w:rsid w:val="00960ABD"/>
    <w:rsid w:val="0096163B"/>
    <w:rsid w:val="009616DD"/>
    <w:rsid w:val="0096239A"/>
    <w:rsid w:val="0096250B"/>
    <w:rsid w:val="00962C82"/>
    <w:rsid w:val="00962E56"/>
    <w:rsid w:val="00963F05"/>
    <w:rsid w:val="009644BC"/>
    <w:rsid w:val="00964E3F"/>
    <w:rsid w:val="00966490"/>
    <w:rsid w:val="00966E3B"/>
    <w:rsid w:val="00967D6B"/>
    <w:rsid w:val="00970397"/>
    <w:rsid w:val="00970619"/>
    <w:rsid w:val="00971158"/>
    <w:rsid w:val="00972823"/>
    <w:rsid w:val="00972A19"/>
    <w:rsid w:val="009732B9"/>
    <w:rsid w:val="0097384E"/>
    <w:rsid w:val="00975B35"/>
    <w:rsid w:val="00977A8E"/>
    <w:rsid w:val="00980C4E"/>
    <w:rsid w:val="00981EF7"/>
    <w:rsid w:val="009839D2"/>
    <w:rsid w:val="00983BD6"/>
    <w:rsid w:val="00984E30"/>
    <w:rsid w:val="0098525D"/>
    <w:rsid w:val="00986BDF"/>
    <w:rsid w:val="00986C4E"/>
    <w:rsid w:val="00986CC0"/>
    <w:rsid w:val="00987236"/>
    <w:rsid w:val="009872D8"/>
    <w:rsid w:val="0098748F"/>
    <w:rsid w:val="00987542"/>
    <w:rsid w:val="009876C1"/>
    <w:rsid w:val="0098794E"/>
    <w:rsid w:val="00990F0D"/>
    <w:rsid w:val="00993188"/>
    <w:rsid w:val="00993366"/>
    <w:rsid w:val="0099348F"/>
    <w:rsid w:val="00994EE2"/>
    <w:rsid w:val="00995673"/>
    <w:rsid w:val="009A0C6A"/>
    <w:rsid w:val="009A1FC5"/>
    <w:rsid w:val="009A2109"/>
    <w:rsid w:val="009A23AC"/>
    <w:rsid w:val="009A296C"/>
    <w:rsid w:val="009A2C3F"/>
    <w:rsid w:val="009A2CAC"/>
    <w:rsid w:val="009A2F9B"/>
    <w:rsid w:val="009A41C7"/>
    <w:rsid w:val="009A44B0"/>
    <w:rsid w:val="009A57D9"/>
    <w:rsid w:val="009A594B"/>
    <w:rsid w:val="009A6451"/>
    <w:rsid w:val="009A6E1F"/>
    <w:rsid w:val="009A6E3E"/>
    <w:rsid w:val="009A6FC8"/>
    <w:rsid w:val="009A705D"/>
    <w:rsid w:val="009B14C5"/>
    <w:rsid w:val="009B1CFE"/>
    <w:rsid w:val="009B226B"/>
    <w:rsid w:val="009B27D6"/>
    <w:rsid w:val="009B28C4"/>
    <w:rsid w:val="009B2A80"/>
    <w:rsid w:val="009B30CE"/>
    <w:rsid w:val="009B3C31"/>
    <w:rsid w:val="009B4191"/>
    <w:rsid w:val="009B4A3E"/>
    <w:rsid w:val="009B5A5B"/>
    <w:rsid w:val="009B5C9D"/>
    <w:rsid w:val="009B60D9"/>
    <w:rsid w:val="009B62D7"/>
    <w:rsid w:val="009B6526"/>
    <w:rsid w:val="009B72AA"/>
    <w:rsid w:val="009C0A6F"/>
    <w:rsid w:val="009C0EEC"/>
    <w:rsid w:val="009C344B"/>
    <w:rsid w:val="009C34F7"/>
    <w:rsid w:val="009C6999"/>
    <w:rsid w:val="009C7678"/>
    <w:rsid w:val="009D0359"/>
    <w:rsid w:val="009D0AF7"/>
    <w:rsid w:val="009D0D9B"/>
    <w:rsid w:val="009D1054"/>
    <w:rsid w:val="009D108C"/>
    <w:rsid w:val="009D21EB"/>
    <w:rsid w:val="009D3B16"/>
    <w:rsid w:val="009D3B53"/>
    <w:rsid w:val="009D4BBD"/>
    <w:rsid w:val="009D4E2A"/>
    <w:rsid w:val="009D500F"/>
    <w:rsid w:val="009D691D"/>
    <w:rsid w:val="009D7B61"/>
    <w:rsid w:val="009E2630"/>
    <w:rsid w:val="009E3453"/>
    <w:rsid w:val="009E3601"/>
    <w:rsid w:val="009E53C7"/>
    <w:rsid w:val="009E56ED"/>
    <w:rsid w:val="009E5CCB"/>
    <w:rsid w:val="009E6F63"/>
    <w:rsid w:val="009E76E4"/>
    <w:rsid w:val="009E77E2"/>
    <w:rsid w:val="009F0CF2"/>
    <w:rsid w:val="009F3145"/>
    <w:rsid w:val="009F3703"/>
    <w:rsid w:val="009F4ED1"/>
    <w:rsid w:val="009F4FF9"/>
    <w:rsid w:val="009F53D9"/>
    <w:rsid w:val="009F57A3"/>
    <w:rsid w:val="009F732E"/>
    <w:rsid w:val="009F7F0F"/>
    <w:rsid w:val="00A00641"/>
    <w:rsid w:val="00A00F55"/>
    <w:rsid w:val="00A011E7"/>
    <w:rsid w:val="00A036CA"/>
    <w:rsid w:val="00A04D7B"/>
    <w:rsid w:val="00A0524D"/>
    <w:rsid w:val="00A05A70"/>
    <w:rsid w:val="00A05AFC"/>
    <w:rsid w:val="00A05F56"/>
    <w:rsid w:val="00A070AC"/>
    <w:rsid w:val="00A11E87"/>
    <w:rsid w:val="00A12060"/>
    <w:rsid w:val="00A123FD"/>
    <w:rsid w:val="00A129E3"/>
    <w:rsid w:val="00A12D8F"/>
    <w:rsid w:val="00A1311C"/>
    <w:rsid w:val="00A140D6"/>
    <w:rsid w:val="00A14414"/>
    <w:rsid w:val="00A145C6"/>
    <w:rsid w:val="00A145DD"/>
    <w:rsid w:val="00A1569D"/>
    <w:rsid w:val="00A15C43"/>
    <w:rsid w:val="00A15DAF"/>
    <w:rsid w:val="00A15E09"/>
    <w:rsid w:val="00A179D4"/>
    <w:rsid w:val="00A2035B"/>
    <w:rsid w:val="00A20564"/>
    <w:rsid w:val="00A21BFF"/>
    <w:rsid w:val="00A23E68"/>
    <w:rsid w:val="00A24693"/>
    <w:rsid w:val="00A24F61"/>
    <w:rsid w:val="00A27ABC"/>
    <w:rsid w:val="00A303A7"/>
    <w:rsid w:val="00A304E3"/>
    <w:rsid w:val="00A314C7"/>
    <w:rsid w:val="00A31711"/>
    <w:rsid w:val="00A34115"/>
    <w:rsid w:val="00A34664"/>
    <w:rsid w:val="00A3605B"/>
    <w:rsid w:val="00A40C5A"/>
    <w:rsid w:val="00A41DF3"/>
    <w:rsid w:val="00A43553"/>
    <w:rsid w:val="00A443A4"/>
    <w:rsid w:val="00A4445D"/>
    <w:rsid w:val="00A47D0A"/>
    <w:rsid w:val="00A47F4D"/>
    <w:rsid w:val="00A50BC1"/>
    <w:rsid w:val="00A51145"/>
    <w:rsid w:val="00A511C0"/>
    <w:rsid w:val="00A51788"/>
    <w:rsid w:val="00A51E01"/>
    <w:rsid w:val="00A52583"/>
    <w:rsid w:val="00A52E59"/>
    <w:rsid w:val="00A53062"/>
    <w:rsid w:val="00A538E7"/>
    <w:rsid w:val="00A5507C"/>
    <w:rsid w:val="00A559EA"/>
    <w:rsid w:val="00A56E4A"/>
    <w:rsid w:val="00A57699"/>
    <w:rsid w:val="00A57C52"/>
    <w:rsid w:val="00A60903"/>
    <w:rsid w:val="00A62700"/>
    <w:rsid w:val="00A62DE1"/>
    <w:rsid w:val="00A63106"/>
    <w:rsid w:val="00A63985"/>
    <w:rsid w:val="00A64836"/>
    <w:rsid w:val="00A65304"/>
    <w:rsid w:val="00A65FCC"/>
    <w:rsid w:val="00A6623D"/>
    <w:rsid w:val="00A70A59"/>
    <w:rsid w:val="00A7121A"/>
    <w:rsid w:val="00A71A59"/>
    <w:rsid w:val="00A71FFA"/>
    <w:rsid w:val="00A729D3"/>
    <w:rsid w:val="00A72A9E"/>
    <w:rsid w:val="00A730A6"/>
    <w:rsid w:val="00A76A61"/>
    <w:rsid w:val="00A7726E"/>
    <w:rsid w:val="00A77D98"/>
    <w:rsid w:val="00A81FC5"/>
    <w:rsid w:val="00A8231D"/>
    <w:rsid w:val="00A823FB"/>
    <w:rsid w:val="00A830F2"/>
    <w:rsid w:val="00A84A6B"/>
    <w:rsid w:val="00A87DD2"/>
    <w:rsid w:val="00A9033C"/>
    <w:rsid w:val="00A906B7"/>
    <w:rsid w:val="00A9091B"/>
    <w:rsid w:val="00A92576"/>
    <w:rsid w:val="00A95D2D"/>
    <w:rsid w:val="00A964EF"/>
    <w:rsid w:val="00A96FCD"/>
    <w:rsid w:val="00AA040F"/>
    <w:rsid w:val="00AA1E30"/>
    <w:rsid w:val="00AA46FA"/>
    <w:rsid w:val="00AA51E7"/>
    <w:rsid w:val="00AA5739"/>
    <w:rsid w:val="00AA5A4C"/>
    <w:rsid w:val="00AA5F83"/>
    <w:rsid w:val="00AA6D46"/>
    <w:rsid w:val="00AA6DC6"/>
    <w:rsid w:val="00AA6F6F"/>
    <w:rsid w:val="00AB11DD"/>
    <w:rsid w:val="00AB1DD5"/>
    <w:rsid w:val="00AB24AC"/>
    <w:rsid w:val="00AB2876"/>
    <w:rsid w:val="00AB2B6F"/>
    <w:rsid w:val="00AB3C86"/>
    <w:rsid w:val="00AB4BD1"/>
    <w:rsid w:val="00AB504A"/>
    <w:rsid w:val="00AB53A4"/>
    <w:rsid w:val="00AB5A78"/>
    <w:rsid w:val="00AB5B0B"/>
    <w:rsid w:val="00AB62E5"/>
    <w:rsid w:val="00AB7460"/>
    <w:rsid w:val="00AC02AB"/>
    <w:rsid w:val="00AC1E47"/>
    <w:rsid w:val="00AC2037"/>
    <w:rsid w:val="00AC25D7"/>
    <w:rsid w:val="00AC26E3"/>
    <w:rsid w:val="00AC34AD"/>
    <w:rsid w:val="00AC36D9"/>
    <w:rsid w:val="00AC54E3"/>
    <w:rsid w:val="00AC57D5"/>
    <w:rsid w:val="00AC5A87"/>
    <w:rsid w:val="00AD1A24"/>
    <w:rsid w:val="00AD24C6"/>
    <w:rsid w:val="00AD45B0"/>
    <w:rsid w:val="00AD5202"/>
    <w:rsid w:val="00AE1FB9"/>
    <w:rsid w:val="00AE2156"/>
    <w:rsid w:val="00AE28FC"/>
    <w:rsid w:val="00AE2A4B"/>
    <w:rsid w:val="00AE2D21"/>
    <w:rsid w:val="00AE2ED0"/>
    <w:rsid w:val="00AE36D1"/>
    <w:rsid w:val="00AE3B50"/>
    <w:rsid w:val="00AE4752"/>
    <w:rsid w:val="00AE5274"/>
    <w:rsid w:val="00AE6404"/>
    <w:rsid w:val="00AE7372"/>
    <w:rsid w:val="00AF080F"/>
    <w:rsid w:val="00AF1169"/>
    <w:rsid w:val="00AF1CFE"/>
    <w:rsid w:val="00AF214B"/>
    <w:rsid w:val="00AF2D8E"/>
    <w:rsid w:val="00AF3103"/>
    <w:rsid w:val="00AF3A1C"/>
    <w:rsid w:val="00AF4862"/>
    <w:rsid w:val="00AF5D83"/>
    <w:rsid w:val="00AF656F"/>
    <w:rsid w:val="00AF6C2C"/>
    <w:rsid w:val="00B003D3"/>
    <w:rsid w:val="00B008B0"/>
    <w:rsid w:val="00B0091D"/>
    <w:rsid w:val="00B009D2"/>
    <w:rsid w:val="00B01408"/>
    <w:rsid w:val="00B03517"/>
    <w:rsid w:val="00B036EA"/>
    <w:rsid w:val="00B03E2E"/>
    <w:rsid w:val="00B04A96"/>
    <w:rsid w:val="00B063C6"/>
    <w:rsid w:val="00B06498"/>
    <w:rsid w:val="00B06B05"/>
    <w:rsid w:val="00B07456"/>
    <w:rsid w:val="00B07967"/>
    <w:rsid w:val="00B07E66"/>
    <w:rsid w:val="00B1029B"/>
    <w:rsid w:val="00B10DA6"/>
    <w:rsid w:val="00B11095"/>
    <w:rsid w:val="00B129A6"/>
    <w:rsid w:val="00B13429"/>
    <w:rsid w:val="00B14435"/>
    <w:rsid w:val="00B15F1A"/>
    <w:rsid w:val="00B17357"/>
    <w:rsid w:val="00B17F74"/>
    <w:rsid w:val="00B20627"/>
    <w:rsid w:val="00B20DB5"/>
    <w:rsid w:val="00B22139"/>
    <w:rsid w:val="00B230EF"/>
    <w:rsid w:val="00B2328A"/>
    <w:rsid w:val="00B23CDF"/>
    <w:rsid w:val="00B2594F"/>
    <w:rsid w:val="00B25EF1"/>
    <w:rsid w:val="00B26E4D"/>
    <w:rsid w:val="00B270E8"/>
    <w:rsid w:val="00B27F8C"/>
    <w:rsid w:val="00B3033F"/>
    <w:rsid w:val="00B305D7"/>
    <w:rsid w:val="00B30BF5"/>
    <w:rsid w:val="00B30ED1"/>
    <w:rsid w:val="00B31170"/>
    <w:rsid w:val="00B31191"/>
    <w:rsid w:val="00B311CC"/>
    <w:rsid w:val="00B313E8"/>
    <w:rsid w:val="00B31801"/>
    <w:rsid w:val="00B31E69"/>
    <w:rsid w:val="00B31E93"/>
    <w:rsid w:val="00B35A24"/>
    <w:rsid w:val="00B40537"/>
    <w:rsid w:val="00B4249E"/>
    <w:rsid w:val="00B44119"/>
    <w:rsid w:val="00B456EF"/>
    <w:rsid w:val="00B45707"/>
    <w:rsid w:val="00B459E9"/>
    <w:rsid w:val="00B46977"/>
    <w:rsid w:val="00B47D15"/>
    <w:rsid w:val="00B5030F"/>
    <w:rsid w:val="00B50A22"/>
    <w:rsid w:val="00B50FEF"/>
    <w:rsid w:val="00B51476"/>
    <w:rsid w:val="00B52163"/>
    <w:rsid w:val="00B52335"/>
    <w:rsid w:val="00B5234E"/>
    <w:rsid w:val="00B523DD"/>
    <w:rsid w:val="00B53A19"/>
    <w:rsid w:val="00B54C52"/>
    <w:rsid w:val="00B54D2E"/>
    <w:rsid w:val="00B55202"/>
    <w:rsid w:val="00B55D21"/>
    <w:rsid w:val="00B56379"/>
    <w:rsid w:val="00B57E34"/>
    <w:rsid w:val="00B60190"/>
    <w:rsid w:val="00B60E3E"/>
    <w:rsid w:val="00B62B0B"/>
    <w:rsid w:val="00B62B58"/>
    <w:rsid w:val="00B62B9F"/>
    <w:rsid w:val="00B6388F"/>
    <w:rsid w:val="00B63D54"/>
    <w:rsid w:val="00B660E2"/>
    <w:rsid w:val="00B66531"/>
    <w:rsid w:val="00B711B9"/>
    <w:rsid w:val="00B7130E"/>
    <w:rsid w:val="00B721FA"/>
    <w:rsid w:val="00B731A9"/>
    <w:rsid w:val="00B73C3C"/>
    <w:rsid w:val="00B749A5"/>
    <w:rsid w:val="00B75AD8"/>
    <w:rsid w:val="00B75C15"/>
    <w:rsid w:val="00B7620D"/>
    <w:rsid w:val="00B76854"/>
    <w:rsid w:val="00B77DCB"/>
    <w:rsid w:val="00B80363"/>
    <w:rsid w:val="00B80810"/>
    <w:rsid w:val="00B809FD"/>
    <w:rsid w:val="00B80B9B"/>
    <w:rsid w:val="00B812C4"/>
    <w:rsid w:val="00B8183F"/>
    <w:rsid w:val="00B82FC6"/>
    <w:rsid w:val="00B838F0"/>
    <w:rsid w:val="00B83E8D"/>
    <w:rsid w:val="00B8419D"/>
    <w:rsid w:val="00B849DF"/>
    <w:rsid w:val="00B859BB"/>
    <w:rsid w:val="00B85D29"/>
    <w:rsid w:val="00B85D4B"/>
    <w:rsid w:val="00B875D3"/>
    <w:rsid w:val="00B87CE5"/>
    <w:rsid w:val="00B903D6"/>
    <w:rsid w:val="00B913A8"/>
    <w:rsid w:val="00B91BD7"/>
    <w:rsid w:val="00B93846"/>
    <w:rsid w:val="00B9418D"/>
    <w:rsid w:val="00B941CF"/>
    <w:rsid w:val="00B94623"/>
    <w:rsid w:val="00B94A5F"/>
    <w:rsid w:val="00B94C3A"/>
    <w:rsid w:val="00B95617"/>
    <w:rsid w:val="00B96FD2"/>
    <w:rsid w:val="00B975D8"/>
    <w:rsid w:val="00B97A7C"/>
    <w:rsid w:val="00BA0DD8"/>
    <w:rsid w:val="00BA190E"/>
    <w:rsid w:val="00BA1FCC"/>
    <w:rsid w:val="00BA3482"/>
    <w:rsid w:val="00BA5B26"/>
    <w:rsid w:val="00BA5C63"/>
    <w:rsid w:val="00BA6438"/>
    <w:rsid w:val="00BA677B"/>
    <w:rsid w:val="00BA67DA"/>
    <w:rsid w:val="00BA68CC"/>
    <w:rsid w:val="00BA71AA"/>
    <w:rsid w:val="00BA79AD"/>
    <w:rsid w:val="00BB06CF"/>
    <w:rsid w:val="00BB0E54"/>
    <w:rsid w:val="00BB1DA9"/>
    <w:rsid w:val="00BB1F02"/>
    <w:rsid w:val="00BB2262"/>
    <w:rsid w:val="00BB4FE3"/>
    <w:rsid w:val="00BB522C"/>
    <w:rsid w:val="00BB58DB"/>
    <w:rsid w:val="00BB5B6A"/>
    <w:rsid w:val="00BB791F"/>
    <w:rsid w:val="00BC12DE"/>
    <w:rsid w:val="00BC23BE"/>
    <w:rsid w:val="00BC25C4"/>
    <w:rsid w:val="00BC25FE"/>
    <w:rsid w:val="00BC3157"/>
    <w:rsid w:val="00BC6147"/>
    <w:rsid w:val="00BC6D8D"/>
    <w:rsid w:val="00BD07FF"/>
    <w:rsid w:val="00BD131C"/>
    <w:rsid w:val="00BD13AE"/>
    <w:rsid w:val="00BD2EE5"/>
    <w:rsid w:val="00BD4425"/>
    <w:rsid w:val="00BD56B8"/>
    <w:rsid w:val="00BD5B4E"/>
    <w:rsid w:val="00BD5D8A"/>
    <w:rsid w:val="00BD6501"/>
    <w:rsid w:val="00BD70CE"/>
    <w:rsid w:val="00BD7C30"/>
    <w:rsid w:val="00BE0591"/>
    <w:rsid w:val="00BE13B1"/>
    <w:rsid w:val="00BE1717"/>
    <w:rsid w:val="00BE21E3"/>
    <w:rsid w:val="00BE24BF"/>
    <w:rsid w:val="00BE30DB"/>
    <w:rsid w:val="00BE3A0A"/>
    <w:rsid w:val="00BE3D2E"/>
    <w:rsid w:val="00BE5CBF"/>
    <w:rsid w:val="00BE755E"/>
    <w:rsid w:val="00BE75C5"/>
    <w:rsid w:val="00BE7C7A"/>
    <w:rsid w:val="00BF00E0"/>
    <w:rsid w:val="00BF0329"/>
    <w:rsid w:val="00BF0B8A"/>
    <w:rsid w:val="00BF1600"/>
    <w:rsid w:val="00BF1CA9"/>
    <w:rsid w:val="00BF1CDF"/>
    <w:rsid w:val="00BF1E10"/>
    <w:rsid w:val="00BF259E"/>
    <w:rsid w:val="00BF2BDF"/>
    <w:rsid w:val="00BF3999"/>
    <w:rsid w:val="00BF6F23"/>
    <w:rsid w:val="00BF7650"/>
    <w:rsid w:val="00C0112C"/>
    <w:rsid w:val="00C011D2"/>
    <w:rsid w:val="00C01A7E"/>
    <w:rsid w:val="00C01DC5"/>
    <w:rsid w:val="00C02DDF"/>
    <w:rsid w:val="00C04E09"/>
    <w:rsid w:val="00C05A58"/>
    <w:rsid w:val="00C10858"/>
    <w:rsid w:val="00C11BF7"/>
    <w:rsid w:val="00C12FB4"/>
    <w:rsid w:val="00C1577C"/>
    <w:rsid w:val="00C163B2"/>
    <w:rsid w:val="00C168E0"/>
    <w:rsid w:val="00C17E59"/>
    <w:rsid w:val="00C20A83"/>
    <w:rsid w:val="00C21C8B"/>
    <w:rsid w:val="00C22030"/>
    <w:rsid w:val="00C2312B"/>
    <w:rsid w:val="00C24005"/>
    <w:rsid w:val="00C24319"/>
    <w:rsid w:val="00C26B6A"/>
    <w:rsid w:val="00C26FA0"/>
    <w:rsid w:val="00C27757"/>
    <w:rsid w:val="00C31A0E"/>
    <w:rsid w:val="00C3230B"/>
    <w:rsid w:val="00C325E4"/>
    <w:rsid w:val="00C32B21"/>
    <w:rsid w:val="00C33186"/>
    <w:rsid w:val="00C33E92"/>
    <w:rsid w:val="00C35AE9"/>
    <w:rsid w:val="00C36020"/>
    <w:rsid w:val="00C369EF"/>
    <w:rsid w:val="00C4028C"/>
    <w:rsid w:val="00C4064D"/>
    <w:rsid w:val="00C40A9A"/>
    <w:rsid w:val="00C43617"/>
    <w:rsid w:val="00C43C77"/>
    <w:rsid w:val="00C4452A"/>
    <w:rsid w:val="00C44766"/>
    <w:rsid w:val="00C45DB6"/>
    <w:rsid w:val="00C466A0"/>
    <w:rsid w:val="00C4712B"/>
    <w:rsid w:val="00C47C98"/>
    <w:rsid w:val="00C514F9"/>
    <w:rsid w:val="00C51B75"/>
    <w:rsid w:val="00C51CBA"/>
    <w:rsid w:val="00C51EFC"/>
    <w:rsid w:val="00C53064"/>
    <w:rsid w:val="00C55C66"/>
    <w:rsid w:val="00C60801"/>
    <w:rsid w:val="00C62A37"/>
    <w:rsid w:val="00C63F06"/>
    <w:rsid w:val="00C64F93"/>
    <w:rsid w:val="00C657B8"/>
    <w:rsid w:val="00C667FA"/>
    <w:rsid w:val="00C668A3"/>
    <w:rsid w:val="00C67E76"/>
    <w:rsid w:val="00C70FF8"/>
    <w:rsid w:val="00C7388E"/>
    <w:rsid w:val="00C747D3"/>
    <w:rsid w:val="00C753E4"/>
    <w:rsid w:val="00C75814"/>
    <w:rsid w:val="00C76DCD"/>
    <w:rsid w:val="00C77577"/>
    <w:rsid w:val="00C77A0B"/>
    <w:rsid w:val="00C83E95"/>
    <w:rsid w:val="00C841B2"/>
    <w:rsid w:val="00C86576"/>
    <w:rsid w:val="00C86922"/>
    <w:rsid w:val="00C9133B"/>
    <w:rsid w:val="00C917B4"/>
    <w:rsid w:val="00C91ECC"/>
    <w:rsid w:val="00C945B2"/>
    <w:rsid w:val="00C949EC"/>
    <w:rsid w:val="00C94AA8"/>
    <w:rsid w:val="00C95A05"/>
    <w:rsid w:val="00C97C9D"/>
    <w:rsid w:val="00C97DFD"/>
    <w:rsid w:val="00CA06FB"/>
    <w:rsid w:val="00CA0A06"/>
    <w:rsid w:val="00CA11A1"/>
    <w:rsid w:val="00CA13D0"/>
    <w:rsid w:val="00CA1C2F"/>
    <w:rsid w:val="00CA2186"/>
    <w:rsid w:val="00CA241B"/>
    <w:rsid w:val="00CA2698"/>
    <w:rsid w:val="00CA2EA6"/>
    <w:rsid w:val="00CA3EFD"/>
    <w:rsid w:val="00CA4426"/>
    <w:rsid w:val="00CA6A1E"/>
    <w:rsid w:val="00CA72DD"/>
    <w:rsid w:val="00CA7A98"/>
    <w:rsid w:val="00CB06B7"/>
    <w:rsid w:val="00CB0984"/>
    <w:rsid w:val="00CB10CD"/>
    <w:rsid w:val="00CB132F"/>
    <w:rsid w:val="00CB1D23"/>
    <w:rsid w:val="00CB20B1"/>
    <w:rsid w:val="00CB21EB"/>
    <w:rsid w:val="00CB25CC"/>
    <w:rsid w:val="00CB3109"/>
    <w:rsid w:val="00CB334B"/>
    <w:rsid w:val="00CB426D"/>
    <w:rsid w:val="00CB5693"/>
    <w:rsid w:val="00CB677D"/>
    <w:rsid w:val="00CB6EE5"/>
    <w:rsid w:val="00CB78BD"/>
    <w:rsid w:val="00CC1E3C"/>
    <w:rsid w:val="00CC3ADE"/>
    <w:rsid w:val="00CC3E03"/>
    <w:rsid w:val="00CC632B"/>
    <w:rsid w:val="00CC7666"/>
    <w:rsid w:val="00CD14C4"/>
    <w:rsid w:val="00CD1E2F"/>
    <w:rsid w:val="00CD261F"/>
    <w:rsid w:val="00CD343C"/>
    <w:rsid w:val="00CD3933"/>
    <w:rsid w:val="00CD3D2E"/>
    <w:rsid w:val="00CD3D38"/>
    <w:rsid w:val="00CD4A09"/>
    <w:rsid w:val="00CD4DF4"/>
    <w:rsid w:val="00CD6905"/>
    <w:rsid w:val="00CD7251"/>
    <w:rsid w:val="00CD7FF3"/>
    <w:rsid w:val="00CE0DE2"/>
    <w:rsid w:val="00CE0E90"/>
    <w:rsid w:val="00CE11D6"/>
    <w:rsid w:val="00CE2219"/>
    <w:rsid w:val="00CE22BF"/>
    <w:rsid w:val="00CE24E9"/>
    <w:rsid w:val="00CE530A"/>
    <w:rsid w:val="00CE5A1B"/>
    <w:rsid w:val="00CE5E3D"/>
    <w:rsid w:val="00CE7086"/>
    <w:rsid w:val="00CF00B1"/>
    <w:rsid w:val="00CF05B3"/>
    <w:rsid w:val="00CF15A9"/>
    <w:rsid w:val="00CF1AA1"/>
    <w:rsid w:val="00CF2397"/>
    <w:rsid w:val="00CF2618"/>
    <w:rsid w:val="00CF4A71"/>
    <w:rsid w:val="00CF53C8"/>
    <w:rsid w:val="00CF5F93"/>
    <w:rsid w:val="00CF63F0"/>
    <w:rsid w:val="00CF66ED"/>
    <w:rsid w:val="00CF67A0"/>
    <w:rsid w:val="00CF6AC0"/>
    <w:rsid w:val="00CF70BB"/>
    <w:rsid w:val="00CF70F1"/>
    <w:rsid w:val="00CF75CD"/>
    <w:rsid w:val="00CF7A54"/>
    <w:rsid w:val="00D00123"/>
    <w:rsid w:val="00D0269B"/>
    <w:rsid w:val="00D03174"/>
    <w:rsid w:val="00D059A6"/>
    <w:rsid w:val="00D05DB9"/>
    <w:rsid w:val="00D05F09"/>
    <w:rsid w:val="00D0645B"/>
    <w:rsid w:val="00D06A33"/>
    <w:rsid w:val="00D117CA"/>
    <w:rsid w:val="00D12284"/>
    <w:rsid w:val="00D124CE"/>
    <w:rsid w:val="00D138E8"/>
    <w:rsid w:val="00D13A89"/>
    <w:rsid w:val="00D1532E"/>
    <w:rsid w:val="00D17FC5"/>
    <w:rsid w:val="00D208CA"/>
    <w:rsid w:val="00D215B2"/>
    <w:rsid w:val="00D21EF3"/>
    <w:rsid w:val="00D22863"/>
    <w:rsid w:val="00D22FC1"/>
    <w:rsid w:val="00D23C39"/>
    <w:rsid w:val="00D25477"/>
    <w:rsid w:val="00D27040"/>
    <w:rsid w:val="00D273AF"/>
    <w:rsid w:val="00D27921"/>
    <w:rsid w:val="00D303D2"/>
    <w:rsid w:val="00D30699"/>
    <w:rsid w:val="00D30CE0"/>
    <w:rsid w:val="00D3164A"/>
    <w:rsid w:val="00D3172F"/>
    <w:rsid w:val="00D32004"/>
    <w:rsid w:val="00D32333"/>
    <w:rsid w:val="00D328AD"/>
    <w:rsid w:val="00D32D73"/>
    <w:rsid w:val="00D32FB7"/>
    <w:rsid w:val="00D33106"/>
    <w:rsid w:val="00D33262"/>
    <w:rsid w:val="00D336F8"/>
    <w:rsid w:val="00D33B61"/>
    <w:rsid w:val="00D34092"/>
    <w:rsid w:val="00D3486D"/>
    <w:rsid w:val="00D35193"/>
    <w:rsid w:val="00D352BD"/>
    <w:rsid w:val="00D35527"/>
    <w:rsid w:val="00D35AF0"/>
    <w:rsid w:val="00D37864"/>
    <w:rsid w:val="00D37B18"/>
    <w:rsid w:val="00D4035B"/>
    <w:rsid w:val="00D409A5"/>
    <w:rsid w:val="00D429F2"/>
    <w:rsid w:val="00D42F9A"/>
    <w:rsid w:val="00D43180"/>
    <w:rsid w:val="00D438FB"/>
    <w:rsid w:val="00D43DA9"/>
    <w:rsid w:val="00D43E18"/>
    <w:rsid w:val="00D43F4F"/>
    <w:rsid w:val="00D4421A"/>
    <w:rsid w:val="00D44CD9"/>
    <w:rsid w:val="00D45A74"/>
    <w:rsid w:val="00D463EA"/>
    <w:rsid w:val="00D4674A"/>
    <w:rsid w:val="00D469FF"/>
    <w:rsid w:val="00D46AB9"/>
    <w:rsid w:val="00D47A77"/>
    <w:rsid w:val="00D47BC4"/>
    <w:rsid w:val="00D509F9"/>
    <w:rsid w:val="00D5161D"/>
    <w:rsid w:val="00D523B9"/>
    <w:rsid w:val="00D5242A"/>
    <w:rsid w:val="00D5376F"/>
    <w:rsid w:val="00D53F1D"/>
    <w:rsid w:val="00D54FFF"/>
    <w:rsid w:val="00D55619"/>
    <w:rsid w:val="00D56005"/>
    <w:rsid w:val="00D56459"/>
    <w:rsid w:val="00D60026"/>
    <w:rsid w:val="00D60BA3"/>
    <w:rsid w:val="00D6188D"/>
    <w:rsid w:val="00D66B3B"/>
    <w:rsid w:val="00D71C37"/>
    <w:rsid w:val="00D71D02"/>
    <w:rsid w:val="00D720F3"/>
    <w:rsid w:val="00D72EF0"/>
    <w:rsid w:val="00D73978"/>
    <w:rsid w:val="00D7457A"/>
    <w:rsid w:val="00D7475D"/>
    <w:rsid w:val="00D74797"/>
    <w:rsid w:val="00D7507E"/>
    <w:rsid w:val="00D754D7"/>
    <w:rsid w:val="00D75BCC"/>
    <w:rsid w:val="00D76C9E"/>
    <w:rsid w:val="00D77B46"/>
    <w:rsid w:val="00D8000D"/>
    <w:rsid w:val="00D816D5"/>
    <w:rsid w:val="00D81EB0"/>
    <w:rsid w:val="00D8206A"/>
    <w:rsid w:val="00D82AFA"/>
    <w:rsid w:val="00D8329B"/>
    <w:rsid w:val="00D8336B"/>
    <w:rsid w:val="00D83487"/>
    <w:rsid w:val="00D836CC"/>
    <w:rsid w:val="00D8418E"/>
    <w:rsid w:val="00D84E76"/>
    <w:rsid w:val="00D8500E"/>
    <w:rsid w:val="00D851A1"/>
    <w:rsid w:val="00D85962"/>
    <w:rsid w:val="00D865BA"/>
    <w:rsid w:val="00D86EEE"/>
    <w:rsid w:val="00D8741A"/>
    <w:rsid w:val="00D87C22"/>
    <w:rsid w:val="00D90A6C"/>
    <w:rsid w:val="00D9243A"/>
    <w:rsid w:val="00D93A41"/>
    <w:rsid w:val="00D9421E"/>
    <w:rsid w:val="00D95F7D"/>
    <w:rsid w:val="00D96D8C"/>
    <w:rsid w:val="00DA0399"/>
    <w:rsid w:val="00DA0D93"/>
    <w:rsid w:val="00DA1A7E"/>
    <w:rsid w:val="00DA3146"/>
    <w:rsid w:val="00DA353F"/>
    <w:rsid w:val="00DA36A5"/>
    <w:rsid w:val="00DA4396"/>
    <w:rsid w:val="00DA4C27"/>
    <w:rsid w:val="00DA54E2"/>
    <w:rsid w:val="00DA5A69"/>
    <w:rsid w:val="00DA5D5A"/>
    <w:rsid w:val="00DA7356"/>
    <w:rsid w:val="00DB0DA9"/>
    <w:rsid w:val="00DB55DC"/>
    <w:rsid w:val="00DB7E38"/>
    <w:rsid w:val="00DB7FF7"/>
    <w:rsid w:val="00DC0336"/>
    <w:rsid w:val="00DC0AB1"/>
    <w:rsid w:val="00DC0ED4"/>
    <w:rsid w:val="00DC11A5"/>
    <w:rsid w:val="00DC11B7"/>
    <w:rsid w:val="00DC1A9B"/>
    <w:rsid w:val="00DC1FCB"/>
    <w:rsid w:val="00DC25EF"/>
    <w:rsid w:val="00DC29EE"/>
    <w:rsid w:val="00DC3435"/>
    <w:rsid w:val="00DC4E65"/>
    <w:rsid w:val="00DC66EF"/>
    <w:rsid w:val="00DC7575"/>
    <w:rsid w:val="00DC78FB"/>
    <w:rsid w:val="00DD0B4B"/>
    <w:rsid w:val="00DD1314"/>
    <w:rsid w:val="00DD139D"/>
    <w:rsid w:val="00DD1842"/>
    <w:rsid w:val="00DD4A07"/>
    <w:rsid w:val="00DD4C74"/>
    <w:rsid w:val="00DD4CA6"/>
    <w:rsid w:val="00DD54A1"/>
    <w:rsid w:val="00DD5569"/>
    <w:rsid w:val="00DD58AA"/>
    <w:rsid w:val="00DD5CB4"/>
    <w:rsid w:val="00DD5F5E"/>
    <w:rsid w:val="00DD6394"/>
    <w:rsid w:val="00DE0BDE"/>
    <w:rsid w:val="00DE15F7"/>
    <w:rsid w:val="00DE177E"/>
    <w:rsid w:val="00DE1CE7"/>
    <w:rsid w:val="00DE2F24"/>
    <w:rsid w:val="00DE3F64"/>
    <w:rsid w:val="00DE4806"/>
    <w:rsid w:val="00DE48A5"/>
    <w:rsid w:val="00DE4C14"/>
    <w:rsid w:val="00DE5971"/>
    <w:rsid w:val="00DE674B"/>
    <w:rsid w:val="00DE7127"/>
    <w:rsid w:val="00DF2382"/>
    <w:rsid w:val="00DF330A"/>
    <w:rsid w:val="00DF362B"/>
    <w:rsid w:val="00DF3FFE"/>
    <w:rsid w:val="00DF4AD9"/>
    <w:rsid w:val="00DF53CC"/>
    <w:rsid w:val="00DF606E"/>
    <w:rsid w:val="00DF6595"/>
    <w:rsid w:val="00DF6B51"/>
    <w:rsid w:val="00DF76E9"/>
    <w:rsid w:val="00E0024D"/>
    <w:rsid w:val="00E01002"/>
    <w:rsid w:val="00E01C2D"/>
    <w:rsid w:val="00E01CFD"/>
    <w:rsid w:val="00E02271"/>
    <w:rsid w:val="00E024B1"/>
    <w:rsid w:val="00E02B3A"/>
    <w:rsid w:val="00E0348B"/>
    <w:rsid w:val="00E04C38"/>
    <w:rsid w:val="00E061B7"/>
    <w:rsid w:val="00E07220"/>
    <w:rsid w:val="00E0737B"/>
    <w:rsid w:val="00E079D3"/>
    <w:rsid w:val="00E07C0A"/>
    <w:rsid w:val="00E1042F"/>
    <w:rsid w:val="00E1120E"/>
    <w:rsid w:val="00E120D5"/>
    <w:rsid w:val="00E124CB"/>
    <w:rsid w:val="00E12F7F"/>
    <w:rsid w:val="00E13245"/>
    <w:rsid w:val="00E13349"/>
    <w:rsid w:val="00E133F2"/>
    <w:rsid w:val="00E134AB"/>
    <w:rsid w:val="00E14071"/>
    <w:rsid w:val="00E14EC2"/>
    <w:rsid w:val="00E153F6"/>
    <w:rsid w:val="00E205BB"/>
    <w:rsid w:val="00E208D6"/>
    <w:rsid w:val="00E20A91"/>
    <w:rsid w:val="00E22BD3"/>
    <w:rsid w:val="00E239DA"/>
    <w:rsid w:val="00E23C56"/>
    <w:rsid w:val="00E23CB7"/>
    <w:rsid w:val="00E2506E"/>
    <w:rsid w:val="00E25703"/>
    <w:rsid w:val="00E259A0"/>
    <w:rsid w:val="00E25A48"/>
    <w:rsid w:val="00E305CF"/>
    <w:rsid w:val="00E30B92"/>
    <w:rsid w:val="00E32AE7"/>
    <w:rsid w:val="00E340F1"/>
    <w:rsid w:val="00E34E6D"/>
    <w:rsid w:val="00E35BF7"/>
    <w:rsid w:val="00E37587"/>
    <w:rsid w:val="00E37B3A"/>
    <w:rsid w:val="00E37CE3"/>
    <w:rsid w:val="00E4059A"/>
    <w:rsid w:val="00E40AA2"/>
    <w:rsid w:val="00E41BFD"/>
    <w:rsid w:val="00E42656"/>
    <w:rsid w:val="00E44D61"/>
    <w:rsid w:val="00E46B04"/>
    <w:rsid w:val="00E46B87"/>
    <w:rsid w:val="00E46FED"/>
    <w:rsid w:val="00E47840"/>
    <w:rsid w:val="00E47D8E"/>
    <w:rsid w:val="00E5013A"/>
    <w:rsid w:val="00E5039A"/>
    <w:rsid w:val="00E506BB"/>
    <w:rsid w:val="00E507C6"/>
    <w:rsid w:val="00E52A4C"/>
    <w:rsid w:val="00E52BAD"/>
    <w:rsid w:val="00E52CB9"/>
    <w:rsid w:val="00E52D1B"/>
    <w:rsid w:val="00E536DB"/>
    <w:rsid w:val="00E54314"/>
    <w:rsid w:val="00E54510"/>
    <w:rsid w:val="00E55F83"/>
    <w:rsid w:val="00E6048D"/>
    <w:rsid w:val="00E61DC4"/>
    <w:rsid w:val="00E6264F"/>
    <w:rsid w:val="00E64E97"/>
    <w:rsid w:val="00E6684B"/>
    <w:rsid w:val="00E674AA"/>
    <w:rsid w:val="00E706D2"/>
    <w:rsid w:val="00E70E0E"/>
    <w:rsid w:val="00E7102C"/>
    <w:rsid w:val="00E71683"/>
    <w:rsid w:val="00E71A2D"/>
    <w:rsid w:val="00E71B45"/>
    <w:rsid w:val="00E72241"/>
    <w:rsid w:val="00E728E4"/>
    <w:rsid w:val="00E729BA"/>
    <w:rsid w:val="00E74450"/>
    <w:rsid w:val="00E7463D"/>
    <w:rsid w:val="00E7531F"/>
    <w:rsid w:val="00E75C11"/>
    <w:rsid w:val="00E766B9"/>
    <w:rsid w:val="00E775E0"/>
    <w:rsid w:val="00E801BF"/>
    <w:rsid w:val="00E80350"/>
    <w:rsid w:val="00E805D8"/>
    <w:rsid w:val="00E80AFD"/>
    <w:rsid w:val="00E814BE"/>
    <w:rsid w:val="00E819F6"/>
    <w:rsid w:val="00E822B5"/>
    <w:rsid w:val="00E8282F"/>
    <w:rsid w:val="00E82864"/>
    <w:rsid w:val="00E84179"/>
    <w:rsid w:val="00E84521"/>
    <w:rsid w:val="00E84DA6"/>
    <w:rsid w:val="00E86453"/>
    <w:rsid w:val="00E87701"/>
    <w:rsid w:val="00E87A44"/>
    <w:rsid w:val="00E87E09"/>
    <w:rsid w:val="00E9048E"/>
    <w:rsid w:val="00E9061C"/>
    <w:rsid w:val="00E911D6"/>
    <w:rsid w:val="00E918DC"/>
    <w:rsid w:val="00E91936"/>
    <w:rsid w:val="00E929FA"/>
    <w:rsid w:val="00E92E71"/>
    <w:rsid w:val="00E932BF"/>
    <w:rsid w:val="00E93B5F"/>
    <w:rsid w:val="00E94C72"/>
    <w:rsid w:val="00E963C7"/>
    <w:rsid w:val="00E9640C"/>
    <w:rsid w:val="00E97584"/>
    <w:rsid w:val="00E9771D"/>
    <w:rsid w:val="00E97EDB"/>
    <w:rsid w:val="00EA0AF6"/>
    <w:rsid w:val="00EA0E25"/>
    <w:rsid w:val="00EA1831"/>
    <w:rsid w:val="00EA2B46"/>
    <w:rsid w:val="00EA3B71"/>
    <w:rsid w:val="00EA3EB3"/>
    <w:rsid w:val="00EA477C"/>
    <w:rsid w:val="00EA495B"/>
    <w:rsid w:val="00EA6BE8"/>
    <w:rsid w:val="00EB1F75"/>
    <w:rsid w:val="00EB3826"/>
    <w:rsid w:val="00EB49E7"/>
    <w:rsid w:val="00EB5565"/>
    <w:rsid w:val="00EB7E66"/>
    <w:rsid w:val="00EB7F77"/>
    <w:rsid w:val="00EC011F"/>
    <w:rsid w:val="00EC204E"/>
    <w:rsid w:val="00EC22F7"/>
    <w:rsid w:val="00EC2509"/>
    <w:rsid w:val="00EC32C1"/>
    <w:rsid w:val="00EC407A"/>
    <w:rsid w:val="00EC4A23"/>
    <w:rsid w:val="00ED00AF"/>
    <w:rsid w:val="00ED0552"/>
    <w:rsid w:val="00ED1911"/>
    <w:rsid w:val="00ED318C"/>
    <w:rsid w:val="00ED358B"/>
    <w:rsid w:val="00ED442E"/>
    <w:rsid w:val="00ED48D0"/>
    <w:rsid w:val="00ED4A44"/>
    <w:rsid w:val="00ED4EC7"/>
    <w:rsid w:val="00ED5BC7"/>
    <w:rsid w:val="00ED6182"/>
    <w:rsid w:val="00ED6E68"/>
    <w:rsid w:val="00ED7FAC"/>
    <w:rsid w:val="00EE16FF"/>
    <w:rsid w:val="00EE190A"/>
    <w:rsid w:val="00EE3D86"/>
    <w:rsid w:val="00EE5ACE"/>
    <w:rsid w:val="00EE67FA"/>
    <w:rsid w:val="00EF06B1"/>
    <w:rsid w:val="00EF1048"/>
    <w:rsid w:val="00EF1F35"/>
    <w:rsid w:val="00EF2894"/>
    <w:rsid w:val="00EF2FDD"/>
    <w:rsid w:val="00EF3973"/>
    <w:rsid w:val="00EF3F10"/>
    <w:rsid w:val="00EF4A80"/>
    <w:rsid w:val="00EF4E0A"/>
    <w:rsid w:val="00EF55A9"/>
    <w:rsid w:val="00EF5A18"/>
    <w:rsid w:val="00EF6062"/>
    <w:rsid w:val="00EF6737"/>
    <w:rsid w:val="00EF6993"/>
    <w:rsid w:val="00EF6D7F"/>
    <w:rsid w:val="00EF6F73"/>
    <w:rsid w:val="00EF7CCE"/>
    <w:rsid w:val="00F004B4"/>
    <w:rsid w:val="00F004C6"/>
    <w:rsid w:val="00F012CB"/>
    <w:rsid w:val="00F0160F"/>
    <w:rsid w:val="00F01A87"/>
    <w:rsid w:val="00F01CF2"/>
    <w:rsid w:val="00F0325A"/>
    <w:rsid w:val="00F038AB"/>
    <w:rsid w:val="00F04512"/>
    <w:rsid w:val="00F062C0"/>
    <w:rsid w:val="00F06CE1"/>
    <w:rsid w:val="00F06FF0"/>
    <w:rsid w:val="00F07042"/>
    <w:rsid w:val="00F07209"/>
    <w:rsid w:val="00F10A1D"/>
    <w:rsid w:val="00F135F4"/>
    <w:rsid w:val="00F13C1F"/>
    <w:rsid w:val="00F1502F"/>
    <w:rsid w:val="00F1540F"/>
    <w:rsid w:val="00F157A7"/>
    <w:rsid w:val="00F15A50"/>
    <w:rsid w:val="00F15DAA"/>
    <w:rsid w:val="00F16923"/>
    <w:rsid w:val="00F17572"/>
    <w:rsid w:val="00F17F7F"/>
    <w:rsid w:val="00F20C7F"/>
    <w:rsid w:val="00F213EE"/>
    <w:rsid w:val="00F219EC"/>
    <w:rsid w:val="00F2297E"/>
    <w:rsid w:val="00F23C36"/>
    <w:rsid w:val="00F23C51"/>
    <w:rsid w:val="00F24084"/>
    <w:rsid w:val="00F25A36"/>
    <w:rsid w:val="00F31454"/>
    <w:rsid w:val="00F31EE3"/>
    <w:rsid w:val="00F32AD2"/>
    <w:rsid w:val="00F343DB"/>
    <w:rsid w:val="00F348D4"/>
    <w:rsid w:val="00F368D3"/>
    <w:rsid w:val="00F36EFD"/>
    <w:rsid w:val="00F403A2"/>
    <w:rsid w:val="00F4159F"/>
    <w:rsid w:val="00F41831"/>
    <w:rsid w:val="00F4185C"/>
    <w:rsid w:val="00F4202A"/>
    <w:rsid w:val="00F43635"/>
    <w:rsid w:val="00F44EBC"/>
    <w:rsid w:val="00F452C8"/>
    <w:rsid w:val="00F46292"/>
    <w:rsid w:val="00F465F1"/>
    <w:rsid w:val="00F46BE0"/>
    <w:rsid w:val="00F47271"/>
    <w:rsid w:val="00F47FC8"/>
    <w:rsid w:val="00F50986"/>
    <w:rsid w:val="00F5266E"/>
    <w:rsid w:val="00F52D88"/>
    <w:rsid w:val="00F534F0"/>
    <w:rsid w:val="00F5402B"/>
    <w:rsid w:val="00F5649D"/>
    <w:rsid w:val="00F5794A"/>
    <w:rsid w:val="00F57A0B"/>
    <w:rsid w:val="00F6058E"/>
    <w:rsid w:val="00F622A7"/>
    <w:rsid w:val="00F64BAF"/>
    <w:rsid w:val="00F64BF2"/>
    <w:rsid w:val="00F67419"/>
    <w:rsid w:val="00F7057D"/>
    <w:rsid w:val="00F70A91"/>
    <w:rsid w:val="00F712D9"/>
    <w:rsid w:val="00F72B6E"/>
    <w:rsid w:val="00F73286"/>
    <w:rsid w:val="00F74EC9"/>
    <w:rsid w:val="00F75DB6"/>
    <w:rsid w:val="00F76227"/>
    <w:rsid w:val="00F76E6E"/>
    <w:rsid w:val="00F76FCE"/>
    <w:rsid w:val="00F800C5"/>
    <w:rsid w:val="00F8027D"/>
    <w:rsid w:val="00F80B75"/>
    <w:rsid w:val="00F81C6E"/>
    <w:rsid w:val="00F823E6"/>
    <w:rsid w:val="00F82814"/>
    <w:rsid w:val="00F83404"/>
    <w:rsid w:val="00F8394E"/>
    <w:rsid w:val="00F839D7"/>
    <w:rsid w:val="00F83ACF"/>
    <w:rsid w:val="00F84621"/>
    <w:rsid w:val="00F84B52"/>
    <w:rsid w:val="00F84D49"/>
    <w:rsid w:val="00F84F23"/>
    <w:rsid w:val="00F860FE"/>
    <w:rsid w:val="00F8682F"/>
    <w:rsid w:val="00F87095"/>
    <w:rsid w:val="00F90B14"/>
    <w:rsid w:val="00F91181"/>
    <w:rsid w:val="00F9152B"/>
    <w:rsid w:val="00F9344B"/>
    <w:rsid w:val="00F93F76"/>
    <w:rsid w:val="00F94CCD"/>
    <w:rsid w:val="00F958C8"/>
    <w:rsid w:val="00F975F3"/>
    <w:rsid w:val="00FA0CEB"/>
    <w:rsid w:val="00FA1CB0"/>
    <w:rsid w:val="00FA4FBD"/>
    <w:rsid w:val="00FA7D4D"/>
    <w:rsid w:val="00FB0373"/>
    <w:rsid w:val="00FB07D6"/>
    <w:rsid w:val="00FB0A12"/>
    <w:rsid w:val="00FB135C"/>
    <w:rsid w:val="00FB14D7"/>
    <w:rsid w:val="00FB2149"/>
    <w:rsid w:val="00FB279D"/>
    <w:rsid w:val="00FB2A7C"/>
    <w:rsid w:val="00FB30DA"/>
    <w:rsid w:val="00FB4A96"/>
    <w:rsid w:val="00FB5485"/>
    <w:rsid w:val="00FB5D5F"/>
    <w:rsid w:val="00FB5D74"/>
    <w:rsid w:val="00FB7337"/>
    <w:rsid w:val="00FC1968"/>
    <w:rsid w:val="00FC20AC"/>
    <w:rsid w:val="00FC37F6"/>
    <w:rsid w:val="00FC46D7"/>
    <w:rsid w:val="00FC5F23"/>
    <w:rsid w:val="00FC6690"/>
    <w:rsid w:val="00FC66DE"/>
    <w:rsid w:val="00FC6776"/>
    <w:rsid w:val="00FC6879"/>
    <w:rsid w:val="00FC789B"/>
    <w:rsid w:val="00FD0038"/>
    <w:rsid w:val="00FD01B1"/>
    <w:rsid w:val="00FD0899"/>
    <w:rsid w:val="00FD0A3E"/>
    <w:rsid w:val="00FD0C40"/>
    <w:rsid w:val="00FD1B92"/>
    <w:rsid w:val="00FD1D6A"/>
    <w:rsid w:val="00FD1F24"/>
    <w:rsid w:val="00FD2D1A"/>
    <w:rsid w:val="00FD32FF"/>
    <w:rsid w:val="00FD40A0"/>
    <w:rsid w:val="00FD415E"/>
    <w:rsid w:val="00FD5FC6"/>
    <w:rsid w:val="00FD62BF"/>
    <w:rsid w:val="00FD720F"/>
    <w:rsid w:val="00FD7772"/>
    <w:rsid w:val="00FE0B73"/>
    <w:rsid w:val="00FE1D05"/>
    <w:rsid w:val="00FE22FB"/>
    <w:rsid w:val="00FE23BD"/>
    <w:rsid w:val="00FE2593"/>
    <w:rsid w:val="00FE2ED8"/>
    <w:rsid w:val="00FE3A75"/>
    <w:rsid w:val="00FE3F18"/>
    <w:rsid w:val="00FE48A9"/>
    <w:rsid w:val="00FE5361"/>
    <w:rsid w:val="00FE6770"/>
    <w:rsid w:val="00FE6994"/>
    <w:rsid w:val="00FE7128"/>
    <w:rsid w:val="00FE7452"/>
    <w:rsid w:val="00FE772C"/>
    <w:rsid w:val="00FF0301"/>
    <w:rsid w:val="00FF0993"/>
    <w:rsid w:val="00FF0E74"/>
    <w:rsid w:val="00FF0FC2"/>
    <w:rsid w:val="00FF13D8"/>
    <w:rsid w:val="00FF478E"/>
    <w:rsid w:val="00FF48EC"/>
    <w:rsid w:val="00FF50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12A51E"/>
  <w15:chartTrackingRefBased/>
  <w15:docId w15:val="{24C1A1E5-34A6-424F-87A6-551D2448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5A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83790"/>
    <w:pPr>
      <w:pBdr>
        <w:top w:val="nil"/>
        <w:left w:val="nil"/>
        <w:bottom w:val="nil"/>
        <w:right w:val="nil"/>
        <w:between w:val="nil"/>
        <w:bar w:val="nil"/>
      </w:pBdr>
      <w:spacing w:after="0" w:line="240" w:lineRule="auto"/>
      <w:contextualSpacing/>
      <w:jc w:val="both"/>
      <w:outlineLvl w:val="0"/>
    </w:pPr>
    <w:rPr>
      <w:rFonts w:ascii="ITC Avant Garde" w:eastAsia="Times New Roman" w:hAnsi="ITC Avant Garde" w:cs="Arial"/>
      <w:b/>
      <w:color w:val="2F2F2F"/>
      <w:bdr w:val="nil"/>
      <w:lang w:eastAsia="es-MX"/>
    </w:rPr>
  </w:style>
  <w:style w:type="paragraph" w:styleId="Ttulo2">
    <w:name w:val="heading 2"/>
    <w:basedOn w:val="Normal"/>
    <w:next w:val="Normal"/>
    <w:link w:val="Ttulo2Car"/>
    <w:uiPriority w:val="9"/>
    <w:unhideWhenUsed/>
    <w:qFormat/>
    <w:rsid w:val="00183790"/>
    <w:pPr>
      <w:pBdr>
        <w:top w:val="nil"/>
        <w:left w:val="nil"/>
        <w:bottom w:val="nil"/>
        <w:right w:val="nil"/>
        <w:between w:val="nil"/>
        <w:bar w:val="nil"/>
      </w:pBdr>
      <w:spacing w:after="0" w:line="240" w:lineRule="auto"/>
      <w:contextualSpacing/>
      <w:jc w:val="center"/>
      <w:outlineLvl w:val="1"/>
    </w:pPr>
    <w:rPr>
      <w:rFonts w:ascii="ITC Avant Garde" w:eastAsia="Times New Roman" w:hAnsi="ITC Avant Garde" w:cs="Times"/>
      <w:b/>
      <w:color w:val="2F2F2F"/>
      <w:bdr w:val="nil"/>
      <w:lang w:eastAsia="es-MX"/>
    </w:rPr>
  </w:style>
  <w:style w:type="paragraph" w:styleId="Ttulo3">
    <w:name w:val="heading 3"/>
    <w:basedOn w:val="Ttulo2"/>
    <w:next w:val="Normal"/>
    <w:link w:val="Ttulo3Car"/>
    <w:uiPriority w:val="9"/>
    <w:unhideWhenUsed/>
    <w:qFormat/>
    <w:rsid w:val="00183790"/>
    <w:pPr>
      <w:numPr>
        <w:numId w:val="19"/>
      </w:numPr>
      <w:outlineLvl w:val="2"/>
    </w:pPr>
    <w:rPr>
      <w:sz w:val="24"/>
      <w:szCs w:val="24"/>
    </w:rPr>
  </w:style>
  <w:style w:type="paragraph" w:styleId="Ttulo4">
    <w:name w:val="heading 4"/>
    <w:basedOn w:val="Cuerpo"/>
    <w:next w:val="Normal"/>
    <w:link w:val="Ttulo4Car"/>
    <w:uiPriority w:val="9"/>
    <w:unhideWhenUsed/>
    <w:qFormat/>
    <w:rsid w:val="00183790"/>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183790"/>
    <w:pPr>
      <w:pBdr>
        <w:top w:val="nil"/>
        <w:left w:val="nil"/>
        <w:bottom w:val="nil"/>
        <w:right w:val="nil"/>
        <w:between w:val="nil"/>
        <w:bar w:val="nil"/>
      </w:pBdr>
      <w:ind w:left="1440" w:hanging="360"/>
      <w:contextualSpacing/>
      <w:jc w:val="both"/>
      <w:outlineLvl w:val="4"/>
    </w:pPr>
    <w:rPr>
      <w:rFonts w:ascii="ITC Avant Garde" w:eastAsia="Arial Unicode MS" w:hAnsi="ITC Avant Garde" w:cs="Arial"/>
      <w:b/>
      <w:color w:val="000000"/>
      <w:sz w:val="22"/>
      <w:szCs w:val="22"/>
      <w:u w:color="000000"/>
      <w:bdr w:val="nil"/>
      <w:lang w:val="es-ES_tradnl"/>
    </w:rPr>
  </w:style>
  <w:style w:type="paragraph" w:styleId="Ttulo6">
    <w:name w:val="heading 6"/>
    <w:basedOn w:val="Prrafodelista"/>
    <w:next w:val="Normal"/>
    <w:link w:val="Ttulo6Car"/>
    <w:uiPriority w:val="9"/>
    <w:unhideWhenUsed/>
    <w:qFormat/>
    <w:rsid w:val="00183790"/>
    <w:pPr>
      <w:numPr>
        <w:numId w:val="18"/>
      </w:numPr>
      <w:pBdr>
        <w:top w:val="nil"/>
        <w:left w:val="nil"/>
        <w:bottom w:val="nil"/>
        <w:right w:val="nil"/>
        <w:between w:val="nil"/>
        <w:bar w:val="nil"/>
      </w:pBdr>
      <w:contextualSpacing/>
      <w:jc w:val="both"/>
      <w:outlineLvl w:val="5"/>
    </w:pPr>
    <w:rPr>
      <w:rFonts w:ascii="ITC Avant Garde" w:eastAsia="Arial Unicode MS" w:hAnsi="ITC Avant Garde" w:cs="Arial Unicode MS"/>
      <w:b/>
      <w:color w:val="000000"/>
      <w:sz w:val="22"/>
      <w:szCs w:val="22"/>
      <w:u w:color="000000"/>
      <w:bdr w:val="nil"/>
      <w:lang w:val="es-ES"/>
    </w:rPr>
  </w:style>
  <w:style w:type="paragraph" w:styleId="Ttulo7">
    <w:name w:val="heading 7"/>
    <w:basedOn w:val="Normal"/>
    <w:next w:val="Normal"/>
    <w:link w:val="Ttulo7Car"/>
    <w:uiPriority w:val="9"/>
    <w:unhideWhenUsed/>
    <w:qFormat/>
    <w:rsid w:val="00183790"/>
    <w:pPr>
      <w:tabs>
        <w:tab w:val="left" w:pos="1843"/>
      </w:tabs>
      <w:spacing w:after="0" w:line="240" w:lineRule="auto"/>
      <w:ind w:left="1701"/>
      <w:contextualSpacing/>
      <w:jc w:val="both"/>
      <w:outlineLvl w:val="6"/>
    </w:pPr>
    <w:rPr>
      <w:rFonts w:ascii="ITC Avant Garde" w:eastAsia="Arial Unicode MS" w:hAnsi="ITC Avant Garde"/>
      <w:b/>
      <w:bdr w:val="nil"/>
      <w:lang w:val="es-ES"/>
    </w:rPr>
  </w:style>
  <w:style w:type="paragraph" w:styleId="Ttulo8">
    <w:name w:val="heading 8"/>
    <w:basedOn w:val="Normal"/>
    <w:next w:val="Normal"/>
    <w:link w:val="Ttulo8Car"/>
    <w:uiPriority w:val="9"/>
    <w:unhideWhenUsed/>
    <w:qFormat/>
    <w:rsid w:val="00183790"/>
    <w:pPr>
      <w:keepNext/>
      <w:tabs>
        <w:tab w:val="left" w:pos="7655"/>
      </w:tabs>
      <w:spacing w:after="0" w:line="240" w:lineRule="auto"/>
      <w:ind w:right="49"/>
      <w:contextualSpacing/>
      <w:jc w:val="center"/>
      <w:outlineLvl w:val="7"/>
    </w:pPr>
    <w:rPr>
      <w:rFonts w:ascii="ITC Avant Garde" w:eastAsia="Arial Unicode MS" w:hAnsi="ITC Avant Garde"/>
      <w:b/>
      <w:color w:val="000000" w:themeColor="text1"/>
      <w:sz w:val="20"/>
      <w:szCs w:val="20"/>
      <w:bdr w:val="nil"/>
    </w:rPr>
  </w:style>
  <w:style w:type="paragraph" w:styleId="Ttulo9">
    <w:name w:val="heading 9"/>
    <w:basedOn w:val="Normal"/>
    <w:next w:val="Normal"/>
    <w:link w:val="Ttulo9Car"/>
    <w:uiPriority w:val="9"/>
    <w:unhideWhenUsed/>
    <w:qFormat/>
    <w:rsid w:val="00183790"/>
    <w:pPr>
      <w:keepNext/>
      <w:tabs>
        <w:tab w:val="left" w:pos="7655"/>
      </w:tabs>
      <w:spacing w:after="0" w:line="240" w:lineRule="auto"/>
      <w:ind w:right="49"/>
      <w:contextualSpacing/>
      <w:jc w:val="center"/>
      <w:outlineLvl w:val="8"/>
    </w:pPr>
    <w:rPr>
      <w:rFonts w:ascii="ITC Avant Garde" w:eastAsia="Arial Unicode MS" w:hAnsi="ITC Avant Garde"/>
      <w:b/>
      <w:bCs/>
      <w:color w:val="FFFFFF" w:themeColor="background1"/>
      <w:sz w:val="20"/>
      <w:szCs w:val="20"/>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tête SQ,base,Encabezado1,h,.üG·"/>
    <w:basedOn w:val="Normal"/>
    <w:link w:val="EncabezadoCar"/>
    <w:uiPriority w:val="99"/>
    <w:unhideWhenUsed/>
    <w:rsid w:val="005665A4"/>
    <w:pPr>
      <w:tabs>
        <w:tab w:val="center" w:pos="4419"/>
        <w:tab w:val="right" w:pos="8838"/>
      </w:tabs>
      <w:spacing w:after="0" w:line="240" w:lineRule="auto"/>
    </w:pPr>
  </w:style>
  <w:style w:type="character" w:customStyle="1" w:styleId="EncabezadoCar">
    <w:name w:val="Encabezado Car"/>
    <w:aliases w:val="En-tête SQ Car,base Car,Encabezado1 Car,h Car,.üG· Car"/>
    <w:basedOn w:val="Fuentedeprrafopredeter"/>
    <w:link w:val="Encabezado"/>
    <w:uiPriority w:val="99"/>
    <w:rsid w:val="005665A4"/>
    <w:rPr>
      <w:rFonts w:ascii="Calibri" w:eastAsia="Calibri" w:hAnsi="Calibri" w:cs="Times New Roman"/>
    </w:rPr>
  </w:style>
  <w:style w:type="paragraph" w:styleId="Piedepgina">
    <w:name w:val="footer"/>
    <w:basedOn w:val="Normal"/>
    <w:link w:val="PiedepginaCar"/>
    <w:uiPriority w:val="99"/>
    <w:unhideWhenUsed/>
    <w:rsid w:val="005665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65A4"/>
    <w:rPr>
      <w:rFonts w:ascii="Calibri" w:eastAsia="Calibri" w:hAnsi="Calibri" w:cs="Times New Roman"/>
    </w:rPr>
  </w:style>
  <w:style w:type="paragraph" w:styleId="NormalWeb">
    <w:name w:val="Normal (Web)"/>
    <w:basedOn w:val="Normal"/>
    <w:uiPriority w:val="99"/>
    <w:unhideWhenUsed/>
    <w:rsid w:val="005665A4"/>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5665A4"/>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aliases w:val="Numeración 1,Cuadrícula media 1 - Énfasis 21,4 Viñ 1nivel,Listas,lp1"/>
    <w:basedOn w:val="Normal"/>
    <w:link w:val="PrrafodelistaCar"/>
    <w:uiPriority w:val="34"/>
    <w:qFormat/>
    <w:rsid w:val="005665A4"/>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665A4"/>
    <w:rPr>
      <w:rFonts w:ascii="Arial" w:eastAsia="Times New Roman" w:hAnsi="Arial" w:cs="Times New Roman"/>
      <w:sz w:val="24"/>
      <w:szCs w:val="20"/>
    </w:rPr>
  </w:style>
  <w:style w:type="paragraph" w:customStyle="1" w:styleId="Texto">
    <w:name w:val="Texto"/>
    <w:basedOn w:val="Normal"/>
    <w:link w:val="TextoCar"/>
    <w:rsid w:val="005665A4"/>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5665A4"/>
    <w:rPr>
      <w:rFonts w:ascii="Arial" w:eastAsia="Times New Roman" w:hAnsi="Arial" w:cs="Arial"/>
      <w:sz w:val="18"/>
      <w:szCs w:val="18"/>
      <w:lang w:val="es-ES" w:eastAsia="es-ES"/>
    </w:rPr>
  </w:style>
  <w:style w:type="character" w:styleId="Refdecomentario">
    <w:name w:val="annotation reference"/>
    <w:basedOn w:val="Fuentedeprrafopredeter"/>
    <w:uiPriority w:val="99"/>
    <w:unhideWhenUsed/>
    <w:rsid w:val="00BF1CDF"/>
    <w:rPr>
      <w:sz w:val="16"/>
      <w:szCs w:val="16"/>
    </w:rPr>
  </w:style>
  <w:style w:type="paragraph" w:styleId="Textocomentario">
    <w:name w:val="annotation text"/>
    <w:basedOn w:val="Normal"/>
    <w:link w:val="TextocomentarioCar"/>
    <w:uiPriority w:val="99"/>
    <w:unhideWhenUsed/>
    <w:rsid w:val="00BF1CDF"/>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BF1CDF"/>
    <w:rPr>
      <w:sz w:val="20"/>
      <w:szCs w:val="20"/>
    </w:rPr>
  </w:style>
  <w:style w:type="paragraph" w:styleId="Textodeglobo">
    <w:name w:val="Balloon Text"/>
    <w:basedOn w:val="Normal"/>
    <w:link w:val="TextodegloboCar"/>
    <w:uiPriority w:val="99"/>
    <w:semiHidden/>
    <w:unhideWhenUsed/>
    <w:rsid w:val="00BF1C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1CDF"/>
    <w:rPr>
      <w:rFonts w:ascii="Segoe UI" w:eastAsia="Calibri" w:hAnsi="Segoe UI" w:cs="Segoe UI"/>
      <w:sz w:val="18"/>
      <w:szCs w:val="18"/>
    </w:rPr>
  </w:style>
  <w:style w:type="character" w:styleId="nfasis">
    <w:name w:val="Emphasis"/>
    <w:basedOn w:val="Fuentedeprrafopredeter"/>
    <w:uiPriority w:val="20"/>
    <w:qFormat/>
    <w:rsid w:val="00B0091D"/>
    <w:rPr>
      <w:i/>
      <w:iCs/>
    </w:rPr>
  </w:style>
  <w:style w:type="paragraph" w:styleId="Asuntodelcomentario">
    <w:name w:val="annotation subject"/>
    <w:basedOn w:val="Textocomentario"/>
    <w:next w:val="Textocomentario"/>
    <w:link w:val="AsuntodelcomentarioCar"/>
    <w:uiPriority w:val="99"/>
    <w:semiHidden/>
    <w:unhideWhenUsed/>
    <w:rsid w:val="006A7E86"/>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6A7E86"/>
    <w:rPr>
      <w:rFonts w:ascii="Calibri" w:eastAsia="Calibri" w:hAnsi="Calibri" w:cs="Times New Roman"/>
      <w:b/>
      <w:bCs/>
      <w:sz w:val="20"/>
      <w:szCs w:val="20"/>
    </w:rPr>
  </w:style>
  <w:style w:type="character" w:styleId="Textodelmarcadordeposicin">
    <w:name w:val="Placeholder Text"/>
    <w:basedOn w:val="Fuentedeprrafopredeter"/>
    <w:uiPriority w:val="99"/>
    <w:semiHidden/>
    <w:rsid w:val="00E6264F"/>
    <w:rPr>
      <w:color w:val="808080"/>
    </w:rPr>
  </w:style>
  <w:style w:type="paragraph" w:styleId="Revisin">
    <w:name w:val="Revision"/>
    <w:hidden/>
    <w:uiPriority w:val="99"/>
    <w:semiHidden/>
    <w:rsid w:val="00627B79"/>
    <w:pPr>
      <w:spacing w:after="0" w:line="240" w:lineRule="auto"/>
    </w:pPr>
    <w:rPr>
      <w:rFonts w:ascii="Calibri" w:eastAsia="Calibri" w:hAnsi="Calibri" w:cs="Times New Roman"/>
    </w:rPr>
  </w:style>
  <w:style w:type="paragraph" w:customStyle="1" w:styleId="TextoNormal">
    <w:name w:val="Texto Normal"/>
    <w:basedOn w:val="Normal"/>
    <w:link w:val="TextoNormalCar"/>
    <w:qFormat/>
    <w:rsid w:val="00A50BC1"/>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A50BC1"/>
    <w:rPr>
      <w:rFonts w:ascii="Cambria" w:eastAsia="Arial Unicode MS" w:hAnsi="Cambria" w:cs="Arial Unicode MS"/>
      <w:color w:val="000000"/>
      <w:u w:color="000000"/>
      <w:bdr w:val="nil"/>
      <w:lang w:val="es-ES_tradnl"/>
    </w:rPr>
  </w:style>
  <w:style w:type="paragraph" w:customStyle="1" w:styleId="texto0">
    <w:name w:val="texto"/>
    <w:basedOn w:val="Normal"/>
    <w:rsid w:val="002053E7"/>
    <w:pPr>
      <w:spacing w:before="100" w:beforeAutospacing="1" w:after="100" w:afterAutospacing="1" w:line="240" w:lineRule="auto"/>
    </w:pPr>
    <w:rPr>
      <w:rFonts w:ascii="Times New Roman" w:eastAsia="Times New Roman" w:hAnsi="Times New Roman"/>
      <w:sz w:val="24"/>
      <w:szCs w:val="24"/>
      <w:lang w:eastAsia="es-MX"/>
    </w:rPr>
  </w:style>
  <w:style w:type="paragraph" w:styleId="Textosinformato">
    <w:name w:val="Plain Text"/>
    <w:basedOn w:val="Normal"/>
    <w:link w:val="TextosinformatoCar"/>
    <w:uiPriority w:val="99"/>
    <w:semiHidden/>
    <w:unhideWhenUsed/>
    <w:rsid w:val="002053E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extosinformatoCar">
    <w:name w:val="Texto sin formato Car"/>
    <w:basedOn w:val="Fuentedeprrafopredeter"/>
    <w:link w:val="Textosinformato"/>
    <w:uiPriority w:val="99"/>
    <w:semiHidden/>
    <w:rsid w:val="002053E7"/>
    <w:rPr>
      <w:rFonts w:ascii="Times New Roman" w:eastAsia="Times New Roman" w:hAnsi="Times New Roman" w:cs="Times New Roman"/>
      <w:sz w:val="24"/>
      <w:szCs w:val="24"/>
      <w:lang w:eastAsia="es-MX"/>
    </w:rPr>
  </w:style>
  <w:style w:type="table" w:styleId="Tablaconcuadrcula">
    <w:name w:val="Table Grid"/>
    <w:basedOn w:val="Tablanormal"/>
    <w:uiPriority w:val="39"/>
    <w:rsid w:val="004B2208"/>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753950"/>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753950"/>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753950"/>
    <w:rPr>
      <w:vertAlign w:val="superscript"/>
    </w:rPr>
  </w:style>
  <w:style w:type="table" w:styleId="Tabladecuadrcula4-nfasis6">
    <w:name w:val="Grid Table 4 Accent 6"/>
    <w:basedOn w:val="Tablanormal"/>
    <w:uiPriority w:val="49"/>
    <w:rsid w:val="003C6AC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independiente">
    <w:name w:val="Body Text"/>
    <w:basedOn w:val="Normal"/>
    <w:link w:val="TextoindependienteCar"/>
    <w:qFormat/>
    <w:rsid w:val="00B523DD"/>
    <w:pPr>
      <w:spacing w:after="240" w:line="240" w:lineRule="auto"/>
    </w:pPr>
    <w:rPr>
      <w:rFonts w:asciiTheme="minorHAnsi" w:eastAsiaTheme="minorEastAsia" w:hAnsiTheme="minorHAnsi" w:cstheme="minorBidi"/>
      <w:sz w:val="24"/>
      <w:szCs w:val="24"/>
      <w:lang w:val="en-GB" w:eastAsia="ja-JP"/>
    </w:rPr>
  </w:style>
  <w:style w:type="character" w:customStyle="1" w:styleId="TextoindependienteCar">
    <w:name w:val="Texto independiente Car"/>
    <w:basedOn w:val="Fuentedeprrafopredeter"/>
    <w:link w:val="Textoindependiente"/>
    <w:rsid w:val="00B523DD"/>
    <w:rPr>
      <w:rFonts w:eastAsiaTheme="minorEastAsia"/>
      <w:sz w:val="24"/>
      <w:szCs w:val="24"/>
      <w:lang w:val="en-GB" w:eastAsia="ja-JP"/>
    </w:rPr>
  </w:style>
  <w:style w:type="character" w:customStyle="1" w:styleId="Ttulo1Car">
    <w:name w:val="Título 1 Car"/>
    <w:basedOn w:val="Fuentedeprrafopredeter"/>
    <w:link w:val="Ttulo1"/>
    <w:uiPriority w:val="9"/>
    <w:rsid w:val="00183790"/>
    <w:rPr>
      <w:rFonts w:ascii="ITC Avant Garde" w:eastAsia="Times New Roman" w:hAnsi="ITC Avant Garde" w:cs="Arial"/>
      <w:b/>
      <w:color w:val="2F2F2F"/>
      <w:bdr w:val="nil"/>
      <w:lang w:eastAsia="es-MX"/>
    </w:rPr>
  </w:style>
  <w:style w:type="character" w:customStyle="1" w:styleId="Ttulo2Car">
    <w:name w:val="Título 2 Car"/>
    <w:basedOn w:val="Fuentedeprrafopredeter"/>
    <w:link w:val="Ttulo2"/>
    <w:uiPriority w:val="9"/>
    <w:rsid w:val="00183790"/>
    <w:rPr>
      <w:rFonts w:ascii="ITC Avant Garde" w:eastAsia="Times New Roman" w:hAnsi="ITC Avant Garde" w:cs="Times"/>
      <w:b/>
      <w:color w:val="2F2F2F"/>
      <w:bdr w:val="nil"/>
      <w:lang w:eastAsia="es-MX"/>
    </w:rPr>
  </w:style>
  <w:style w:type="character" w:customStyle="1" w:styleId="Ttulo3Car">
    <w:name w:val="Título 3 Car"/>
    <w:basedOn w:val="Fuentedeprrafopredeter"/>
    <w:link w:val="Ttulo3"/>
    <w:uiPriority w:val="9"/>
    <w:rsid w:val="00183790"/>
    <w:rPr>
      <w:rFonts w:ascii="ITC Avant Garde" w:eastAsia="Times New Roman" w:hAnsi="ITC Avant Garde" w:cs="Times"/>
      <w:b/>
      <w:color w:val="2F2F2F"/>
      <w:sz w:val="24"/>
      <w:szCs w:val="24"/>
      <w:bdr w:val="nil"/>
      <w:lang w:eastAsia="es-MX"/>
    </w:rPr>
  </w:style>
  <w:style w:type="character" w:customStyle="1" w:styleId="Ttulo4Car">
    <w:name w:val="Título 4 Car"/>
    <w:basedOn w:val="Fuentedeprrafopredeter"/>
    <w:link w:val="Ttulo4"/>
    <w:uiPriority w:val="9"/>
    <w:rsid w:val="00183790"/>
    <w:rPr>
      <w:rFonts w:ascii="Cambria" w:eastAsia="Arial Unicode MS" w:hAnsi="Cambria" w:cs="Arial Unicode MS"/>
      <w:b/>
      <w:bCs/>
      <w:color w:val="000000"/>
      <w:u w:color="000000"/>
      <w:bdr w:val="nil"/>
      <w:lang w:val="es-ES_tradnl"/>
    </w:rPr>
  </w:style>
  <w:style w:type="character" w:customStyle="1" w:styleId="Ttulo5Car">
    <w:name w:val="Título 5 Car"/>
    <w:basedOn w:val="Fuentedeprrafopredeter"/>
    <w:link w:val="Ttulo5"/>
    <w:uiPriority w:val="9"/>
    <w:rsid w:val="00183790"/>
    <w:rPr>
      <w:rFonts w:ascii="ITC Avant Garde" w:eastAsia="Arial Unicode MS" w:hAnsi="ITC Avant Garde" w:cs="Arial"/>
      <w:b/>
      <w:color w:val="000000"/>
      <w:u w:color="000000"/>
      <w:bdr w:val="nil"/>
      <w:lang w:val="es-ES_tradnl"/>
    </w:rPr>
  </w:style>
  <w:style w:type="character" w:customStyle="1" w:styleId="Ttulo6Car">
    <w:name w:val="Título 6 Car"/>
    <w:basedOn w:val="Fuentedeprrafopredeter"/>
    <w:link w:val="Ttulo6"/>
    <w:uiPriority w:val="9"/>
    <w:rsid w:val="00183790"/>
    <w:rPr>
      <w:rFonts w:ascii="ITC Avant Garde" w:eastAsia="Arial Unicode MS" w:hAnsi="ITC Avant Garde" w:cs="Arial Unicode MS"/>
      <w:b/>
      <w:color w:val="000000"/>
      <w:u w:color="000000"/>
      <w:bdr w:val="nil"/>
      <w:lang w:val="es-ES"/>
    </w:rPr>
  </w:style>
  <w:style w:type="character" w:customStyle="1" w:styleId="Ttulo7Car">
    <w:name w:val="Título 7 Car"/>
    <w:basedOn w:val="Fuentedeprrafopredeter"/>
    <w:link w:val="Ttulo7"/>
    <w:uiPriority w:val="9"/>
    <w:rsid w:val="00183790"/>
    <w:rPr>
      <w:rFonts w:ascii="ITC Avant Garde" w:eastAsia="Arial Unicode MS" w:hAnsi="ITC Avant Garde" w:cs="Times New Roman"/>
      <w:b/>
      <w:bdr w:val="nil"/>
      <w:lang w:val="es-ES"/>
    </w:rPr>
  </w:style>
  <w:style w:type="character" w:customStyle="1" w:styleId="Ttulo8Car">
    <w:name w:val="Título 8 Car"/>
    <w:basedOn w:val="Fuentedeprrafopredeter"/>
    <w:link w:val="Ttulo8"/>
    <w:uiPriority w:val="9"/>
    <w:rsid w:val="00183790"/>
    <w:rPr>
      <w:rFonts w:ascii="ITC Avant Garde" w:eastAsia="Arial Unicode MS" w:hAnsi="ITC Avant Garde" w:cs="Times New Roman"/>
      <w:b/>
      <w:color w:val="000000" w:themeColor="text1"/>
      <w:sz w:val="20"/>
      <w:szCs w:val="20"/>
      <w:bdr w:val="nil"/>
    </w:rPr>
  </w:style>
  <w:style w:type="character" w:customStyle="1" w:styleId="Ttulo9Car">
    <w:name w:val="Título 9 Car"/>
    <w:basedOn w:val="Fuentedeprrafopredeter"/>
    <w:link w:val="Ttulo9"/>
    <w:uiPriority w:val="9"/>
    <w:rsid w:val="00183790"/>
    <w:rPr>
      <w:rFonts w:ascii="ITC Avant Garde" w:eastAsia="Arial Unicode MS" w:hAnsi="ITC Avant Garde" w:cs="Times New Roman"/>
      <w:b/>
      <w:bCs/>
      <w:color w:val="FFFFFF" w:themeColor="background1"/>
      <w:sz w:val="20"/>
      <w:szCs w:val="20"/>
      <w:bdr w:val="nil"/>
    </w:rPr>
  </w:style>
  <w:style w:type="character" w:styleId="Hipervnculo">
    <w:name w:val="Hyperlink"/>
    <w:uiPriority w:val="99"/>
    <w:rsid w:val="00183790"/>
    <w:rPr>
      <w:u w:val="single"/>
    </w:rPr>
  </w:style>
  <w:style w:type="paragraph" w:customStyle="1" w:styleId="Cuerpo">
    <w:name w:val="Cuerpo"/>
    <w:link w:val="CuerpoCar"/>
    <w:rsid w:val="00183790"/>
    <w:pPr>
      <w:pBdr>
        <w:top w:val="nil"/>
        <w:left w:val="nil"/>
        <w:bottom w:val="nil"/>
        <w:right w:val="nil"/>
        <w:between w:val="nil"/>
        <w:bar w:val="nil"/>
      </w:pBdr>
      <w:spacing w:after="0" w:line="240" w:lineRule="auto"/>
    </w:pPr>
    <w:rPr>
      <w:rFonts w:ascii="Cambria" w:eastAsia="Arial Unicode MS" w:hAnsi="Arial Unicode MS" w:cs="Arial Unicode MS"/>
      <w:color w:val="000000"/>
      <w:sz w:val="24"/>
      <w:szCs w:val="24"/>
      <w:u w:color="000000"/>
      <w:bdr w:val="nil"/>
      <w:lang w:val="es-ES_tradnl"/>
    </w:rPr>
  </w:style>
  <w:style w:type="character" w:styleId="Nmerodepgina">
    <w:name w:val="page number"/>
    <w:rsid w:val="00183790"/>
    <w:rPr>
      <w:lang w:val="es-ES_tradnl"/>
    </w:rPr>
  </w:style>
  <w:style w:type="numbering" w:customStyle="1" w:styleId="List0">
    <w:name w:val="List 0"/>
    <w:basedOn w:val="Estiloimportado1"/>
    <w:rsid w:val="00183790"/>
    <w:pPr>
      <w:numPr>
        <w:numId w:val="6"/>
      </w:numPr>
    </w:pPr>
  </w:style>
  <w:style w:type="numbering" w:customStyle="1" w:styleId="Estiloimportado1">
    <w:name w:val="Estilo importado 1"/>
    <w:rsid w:val="00183790"/>
  </w:style>
  <w:style w:type="numbering" w:customStyle="1" w:styleId="Guin">
    <w:name w:val="Guión"/>
    <w:rsid w:val="00183790"/>
    <w:pPr>
      <w:numPr>
        <w:numId w:val="7"/>
      </w:numPr>
    </w:pPr>
  </w:style>
  <w:style w:type="paragraph" w:customStyle="1" w:styleId="Poromisin">
    <w:name w:val="Por omisión"/>
    <w:rsid w:val="00183790"/>
    <w:pPr>
      <w:pBdr>
        <w:top w:val="nil"/>
        <w:left w:val="nil"/>
        <w:bottom w:val="nil"/>
        <w:right w:val="nil"/>
        <w:between w:val="nil"/>
        <w:bar w:val="nil"/>
      </w:pBdr>
      <w:spacing w:after="0" w:line="240" w:lineRule="auto"/>
    </w:pPr>
    <w:rPr>
      <w:rFonts w:ascii="Helvetica" w:eastAsia="Helvetica" w:hAnsi="Helvetica" w:cs="Helvetica"/>
      <w:color w:val="000000"/>
      <w:bdr w:val="nil"/>
      <w:lang w:val="es-ES_tradnl"/>
    </w:rPr>
  </w:style>
  <w:style w:type="numbering" w:customStyle="1" w:styleId="List1">
    <w:name w:val="List 1"/>
    <w:basedOn w:val="Estiloimportado6"/>
    <w:rsid w:val="00183790"/>
    <w:pPr>
      <w:numPr>
        <w:numId w:val="8"/>
      </w:numPr>
    </w:pPr>
  </w:style>
  <w:style w:type="numbering" w:customStyle="1" w:styleId="Estiloimportado6">
    <w:name w:val="Estilo importado 6"/>
    <w:rsid w:val="00183790"/>
  </w:style>
  <w:style w:type="paragraph" w:customStyle="1" w:styleId="Estilodetabla2">
    <w:name w:val="Estilo de tabla 2"/>
    <w:rsid w:val="00183790"/>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val="es-ES_tradnl"/>
    </w:rPr>
  </w:style>
  <w:style w:type="character" w:customStyle="1" w:styleId="Hyperlink0">
    <w:name w:val="Hyperlink.0"/>
    <w:rsid w:val="00183790"/>
    <w:rPr>
      <w:color w:val="0000FF"/>
      <w:u w:val="single" w:color="0000FF"/>
    </w:rPr>
  </w:style>
  <w:style w:type="paragraph" w:customStyle="1" w:styleId="Encabezamiento2">
    <w:name w:val="Encabezamiento 2"/>
    <w:next w:val="Cuerpo"/>
    <w:rsid w:val="00183790"/>
    <w:pPr>
      <w:keepNext/>
      <w:keepLines/>
      <w:pBdr>
        <w:top w:val="nil"/>
        <w:left w:val="nil"/>
        <w:bottom w:val="nil"/>
        <w:right w:val="nil"/>
        <w:between w:val="nil"/>
        <w:bar w:val="nil"/>
      </w:pBdr>
      <w:spacing w:before="200" w:after="0" w:line="276" w:lineRule="auto"/>
      <w:outlineLvl w:val="1"/>
    </w:pPr>
    <w:rPr>
      <w:rFonts w:ascii="Calibri" w:eastAsia="Arial Unicode MS" w:hAnsi="Arial Unicode MS" w:cs="Arial Unicode MS"/>
      <w:b/>
      <w:bCs/>
      <w:color w:val="4F81BD"/>
      <w:sz w:val="26"/>
      <w:szCs w:val="26"/>
      <w:u w:color="4F81BD"/>
      <w:bdr w:val="nil"/>
      <w:lang w:val="es-ES_tradnl"/>
    </w:rPr>
  </w:style>
  <w:style w:type="paragraph" w:customStyle="1" w:styleId="Encabezamiento3">
    <w:name w:val="Encabezamiento 3"/>
    <w:next w:val="Cuerpo"/>
    <w:rsid w:val="00183790"/>
    <w:pPr>
      <w:keepNext/>
      <w:keepLines/>
      <w:pBdr>
        <w:top w:val="nil"/>
        <w:left w:val="nil"/>
        <w:bottom w:val="nil"/>
        <w:right w:val="nil"/>
        <w:between w:val="nil"/>
        <w:bar w:val="nil"/>
      </w:pBdr>
      <w:spacing w:before="200" w:after="0" w:line="276" w:lineRule="auto"/>
      <w:outlineLvl w:val="2"/>
    </w:pPr>
    <w:rPr>
      <w:rFonts w:ascii="Calibri" w:eastAsia="Arial Unicode MS" w:hAnsi="Arial Unicode MS" w:cs="Arial Unicode MS"/>
      <w:b/>
      <w:bCs/>
      <w:color w:val="4F81BD"/>
      <w:u w:color="4F81BD"/>
      <w:bdr w:val="nil"/>
      <w:lang w:val="es-ES_tradnl"/>
    </w:rPr>
  </w:style>
  <w:style w:type="numbering" w:customStyle="1" w:styleId="List21">
    <w:name w:val="List 21"/>
    <w:basedOn w:val="Estiloimportado9"/>
    <w:rsid w:val="00183790"/>
    <w:pPr>
      <w:numPr>
        <w:numId w:val="9"/>
      </w:numPr>
    </w:pPr>
  </w:style>
  <w:style w:type="numbering" w:customStyle="1" w:styleId="Estiloimportado9">
    <w:name w:val="Estilo importado 9"/>
    <w:rsid w:val="00183790"/>
  </w:style>
  <w:style w:type="paragraph" w:styleId="Sinespaciado">
    <w:name w:val="No Spacing"/>
    <w:uiPriority w:val="99"/>
    <w:qFormat/>
    <w:rsid w:val="00183790"/>
    <w:pPr>
      <w:pBdr>
        <w:top w:val="nil"/>
        <w:left w:val="nil"/>
        <w:bottom w:val="nil"/>
        <w:right w:val="nil"/>
        <w:between w:val="nil"/>
        <w:bar w:val="nil"/>
      </w:pBdr>
      <w:spacing w:after="0" w:line="240" w:lineRule="auto"/>
    </w:pPr>
    <w:rPr>
      <w:rFonts w:ascii="Cambria" w:eastAsia="Cambria" w:hAnsi="Cambria" w:cs="Cambria"/>
      <w:color w:val="000000"/>
      <w:u w:color="000000"/>
      <w:bdr w:val="nil"/>
      <w:lang w:val="es-ES_tradnl"/>
    </w:rPr>
  </w:style>
  <w:style w:type="numbering" w:customStyle="1" w:styleId="List31">
    <w:name w:val="List 31"/>
    <w:basedOn w:val="Estiloimportado90"/>
    <w:rsid w:val="00183790"/>
    <w:pPr>
      <w:numPr>
        <w:numId w:val="10"/>
      </w:numPr>
    </w:pPr>
  </w:style>
  <w:style w:type="numbering" w:customStyle="1" w:styleId="Estiloimportado90">
    <w:name w:val="Estilo importado 9.0"/>
    <w:rsid w:val="00183790"/>
  </w:style>
  <w:style w:type="numbering" w:customStyle="1" w:styleId="List41">
    <w:name w:val="List 41"/>
    <w:basedOn w:val="Estiloimportado91"/>
    <w:rsid w:val="00183790"/>
    <w:pPr>
      <w:numPr>
        <w:numId w:val="16"/>
      </w:numPr>
    </w:pPr>
  </w:style>
  <w:style w:type="numbering" w:customStyle="1" w:styleId="Estiloimportado91">
    <w:name w:val="Estilo importado 9.1"/>
    <w:rsid w:val="00183790"/>
  </w:style>
  <w:style w:type="numbering" w:customStyle="1" w:styleId="List51">
    <w:name w:val="List 51"/>
    <w:basedOn w:val="Estiloimportado92"/>
    <w:rsid w:val="00183790"/>
    <w:pPr>
      <w:numPr>
        <w:numId w:val="11"/>
      </w:numPr>
    </w:pPr>
  </w:style>
  <w:style w:type="numbering" w:customStyle="1" w:styleId="Estiloimportado92">
    <w:name w:val="Estilo importado 9.2"/>
    <w:rsid w:val="00183790"/>
  </w:style>
  <w:style w:type="numbering" w:customStyle="1" w:styleId="List6">
    <w:name w:val="List 6"/>
    <w:basedOn w:val="Estiloimportado93"/>
    <w:rsid w:val="00183790"/>
    <w:pPr>
      <w:numPr>
        <w:numId w:val="12"/>
      </w:numPr>
    </w:pPr>
  </w:style>
  <w:style w:type="numbering" w:customStyle="1" w:styleId="Estiloimportado93">
    <w:name w:val="Estilo importado 9.3"/>
    <w:rsid w:val="00183790"/>
  </w:style>
  <w:style w:type="numbering" w:customStyle="1" w:styleId="List7">
    <w:name w:val="List 7"/>
    <w:basedOn w:val="Estiloimportado94"/>
    <w:rsid w:val="00183790"/>
    <w:pPr>
      <w:numPr>
        <w:numId w:val="13"/>
      </w:numPr>
    </w:pPr>
  </w:style>
  <w:style w:type="numbering" w:customStyle="1" w:styleId="Estiloimportado94">
    <w:name w:val="Estilo importado 9.4"/>
    <w:rsid w:val="00183790"/>
  </w:style>
  <w:style w:type="numbering" w:customStyle="1" w:styleId="List8">
    <w:name w:val="List 8"/>
    <w:basedOn w:val="Estiloimportado95"/>
    <w:rsid w:val="00183790"/>
    <w:pPr>
      <w:numPr>
        <w:numId w:val="14"/>
      </w:numPr>
    </w:pPr>
  </w:style>
  <w:style w:type="numbering" w:customStyle="1" w:styleId="Estiloimportado95">
    <w:name w:val="Estilo importado 9.5"/>
    <w:rsid w:val="00183790"/>
  </w:style>
  <w:style w:type="numbering" w:customStyle="1" w:styleId="List9">
    <w:name w:val="List 9"/>
    <w:basedOn w:val="Estiloimportado91"/>
    <w:rsid w:val="00183790"/>
    <w:pPr>
      <w:numPr>
        <w:numId w:val="17"/>
      </w:numPr>
    </w:pPr>
  </w:style>
  <w:style w:type="numbering" w:customStyle="1" w:styleId="List10">
    <w:name w:val="List 10"/>
    <w:basedOn w:val="Estiloimportado91"/>
    <w:rsid w:val="00183790"/>
    <w:pPr>
      <w:numPr>
        <w:numId w:val="15"/>
      </w:numPr>
    </w:pPr>
  </w:style>
  <w:style w:type="paragraph" w:styleId="Textonotaalfinal">
    <w:name w:val="endnote text"/>
    <w:basedOn w:val="Normal"/>
    <w:link w:val="TextonotaalfinalCar"/>
    <w:rsid w:val="00183790"/>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basedOn w:val="Fuentedeprrafopredeter"/>
    <w:link w:val="Textonotaalfinal"/>
    <w:rsid w:val="00183790"/>
    <w:rPr>
      <w:rFonts w:ascii="Times New Roman" w:eastAsia="Times New Roman" w:hAnsi="Times New Roman" w:cs="Times New Roman"/>
      <w:sz w:val="20"/>
      <w:szCs w:val="20"/>
      <w:lang w:val="es-ES" w:eastAsia="es-ES"/>
    </w:rPr>
  </w:style>
  <w:style w:type="paragraph" w:styleId="TtulodeTDC">
    <w:name w:val="TOC Heading"/>
    <w:basedOn w:val="Ttulo1"/>
    <w:next w:val="Normal"/>
    <w:uiPriority w:val="39"/>
    <w:unhideWhenUsed/>
    <w:qFormat/>
    <w:rsid w:val="0018379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183790"/>
    <w:pPr>
      <w:pBdr>
        <w:top w:val="nil"/>
        <w:left w:val="nil"/>
        <w:bottom w:val="nil"/>
        <w:right w:val="nil"/>
        <w:between w:val="nil"/>
        <w:bar w:val="nil"/>
      </w:pBdr>
      <w:tabs>
        <w:tab w:val="right" w:leader="dot" w:pos="8630"/>
      </w:tabs>
      <w:spacing w:after="100" w:line="240" w:lineRule="auto"/>
      <w:ind w:left="142"/>
    </w:pPr>
    <w:rPr>
      <w:rFonts w:ascii="Times New Roman" w:eastAsia="Arial Unicode MS" w:hAnsi="Times New Roman"/>
      <w:sz w:val="24"/>
      <w:szCs w:val="24"/>
      <w:bdr w:val="nil"/>
    </w:rPr>
  </w:style>
  <w:style w:type="paragraph" w:styleId="TDC3">
    <w:name w:val="toc 3"/>
    <w:basedOn w:val="Normal"/>
    <w:next w:val="Normal"/>
    <w:autoRedefine/>
    <w:uiPriority w:val="39"/>
    <w:unhideWhenUsed/>
    <w:rsid w:val="00183790"/>
    <w:pPr>
      <w:pBdr>
        <w:top w:val="nil"/>
        <w:left w:val="nil"/>
        <w:bottom w:val="nil"/>
        <w:right w:val="nil"/>
        <w:between w:val="nil"/>
        <w:bar w:val="nil"/>
      </w:pBdr>
      <w:spacing w:after="100" w:line="240" w:lineRule="auto"/>
      <w:ind w:left="480"/>
    </w:pPr>
    <w:rPr>
      <w:rFonts w:ascii="Times New Roman" w:eastAsia="Arial Unicode MS" w:hAnsi="Times New Roman"/>
      <w:sz w:val="24"/>
      <w:szCs w:val="24"/>
      <w:bdr w:val="nil"/>
    </w:rPr>
  </w:style>
  <w:style w:type="paragraph" w:styleId="TDC1">
    <w:name w:val="toc 1"/>
    <w:basedOn w:val="Normal"/>
    <w:next w:val="Normal"/>
    <w:autoRedefine/>
    <w:uiPriority w:val="39"/>
    <w:unhideWhenUsed/>
    <w:rsid w:val="00183790"/>
    <w:pPr>
      <w:pBdr>
        <w:top w:val="nil"/>
        <w:left w:val="nil"/>
        <w:bottom w:val="nil"/>
        <w:right w:val="nil"/>
        <w:between w:val="nil"/>
        <w:bar w:val="nil"/>
      </w:pBdr>
      <w:spacing w:after="100" w:line="240" w:lineRule="auto"/>
    </w:pPr>
    <w:rPr>
      <w:rFonts w:ascii="Times New Roman" w:eastAsia="Arial Unicode MS" w:hAnsi="Times New Roman"/>
      <w:sz w:val="24"/>
      <w:szCs w:val="24"/>
      <w:bdr w:val="nil"/>
    </w:rPr>
  </w:style>
  <w:style w:type="paragraph" w:styleId="TDC4">
    <w:name w:val="toc 4"/>
    <w:basedOn w:val="Normal"/>
    <w:next w:val="Normal"/>
    <w:autoRedefine/>
    <w:uiPriority w:val="39"/>
    <w:unhideWhenUsed/>
    <w:rsid w:val="00183790"/>
    <w:pPr>
      <w:spacing w:after="100" w:line="259" w:lineRule="auto"/>
      <w:ind w:left="660"/>
    </w:pPr>
    <w:rPr>
      <w:rFonts w:ascii="Helvetica" w:eastAsia="Helvetica" w:hAnsi="Helvetica"/>
      <w:lang w:eastAsia="es-MX"/>
    </w:rPr>
  </w:style>
  <w:style w:type="character" w:customStyle="1" w:styleId="CuerpoCar">
    <w:name w:val="Cuerpo Car"/>
    <w:link w:val="Cuerpo"/>
    <w:rsid w:val="00183790"/>
    <w:rPr>
      <w:rFonts w:ascii="Cambria" w:eastAsia="Arial Unicode MS" w:hAnsi="Arial Unicode MS" w:cs="Arial Unicode MS"/>
      <w:color w:val="000000"/>
      <w:sz w:val="24"/>
      <w:szCs w:val="24"/>
      <w:u w:color="000000"/>
      <w:bdr w:val="nil"/>
      <w:lang w:val="es-ES_tradnl"/>
    </w:rPr>
  </w:style>
  <w:style w:type="paragraph" w:styleId="TDC5">
    <w:name w:val="toc 5"/>
    <w:basedOn w:val="Normal"/>
    <w:next w:val="Normal"/>
    <w:autoRedefine/>
    <w:uiPriority w:val="39"/>
    <w:unhideWhenUsed/>
    <w:rsid w:val="00183790"/>
    <w:pPr>
      <w:spacing w:after="100" w:line="259" w:lineRule="auto"/>
      <w:ind w:left="880"/>
    </w:pPr>
    <w:rPr>
      <w:rFonts w:ascii="Helvetica" w:eastAsia="Helvetica" w:hAnsi="Helvetica"/>
      <w:lang w:eastAsia="es-MX"/>
    </w:rPr>
  </w:style>
  <w:style w:type="paragraph" w:styleId="TDC6">
    <w:name w:val="toc 6"/>
    <w:basedOn w:val="Normal"/>
    <w:next w:val="Normal"/>
    <w:autoRedefine/>
    <w:uiPriority w:val="39"/>
    <w:unhideWhenUsed/>
    <w:rsid w:val="00183790"/>
    <w:pPr>
      <w:spacing w:after="100" w:line="259" w:lineRule="auto"/>
      <w:ind w:left="1100"/>
    </w:pPr>
    <w:rPr>
      <w:rFonts w:ascii="Helvetica" w:eastAsia="Helvetica" w:hAnsi="Helvetica"/>
      <w:lang w:eastAsia="es-MX"/>
    </w:rPr>
  </w:style>
  <w:style w:type="paragraph" w:styleId="TDC7">
    <w:name w:val="toc 7"/>
    <w:basedOn w:val="Normal"/>
    <w:next w:val="Normal"/>
    <w:autoRedefine/>
    <w:uiPriority w:val="39"/>
    <w:unhideWhenUsed/>
    <w:rsid w:val="00183790"/>
    <w:pPr>
      <w:spacing w:after="100" w:line="259" w:lineRule="auto"/>
      <w:ind w:left="1320"/>
    </w:pPr>
    <w:rPr>
      <w:rFonts w:ascii="Helvetica" w:eastAsia="Helvetica" w:hAnsi="Helvetica"/>
      <w:lang w:eastAsia="es-MX"/>
    </w:rPr>
  </w:style>
  <w:style w:type="paragraph" w:styleId="TDC8">
    <w:name w:val="toc 8"/>
    <w:basedOn w:val="Normal"/>
    <w:next w:val="Normal"/>
    <w:autoRedefine/>
    <w:uiPriority w:val="39"/>
    <w:unhideWhenUsed/>
    <w:rsid w:val="00183790"/>
    <w:pPr>
      <w:spacing w:after="100" w:line="259" w:lineRule="auto"/>
      <w:ind w:left="1540"/>
    </w:pPr>
    <w:rPr>
      <w:rFonts w:ascii="Helvetica" w:eastAsia="Helvetica" w:hAnsi="Helvetica"/>
      <w:lang w:eastAsia="es-MX"/>
    </w:rPr>
  </w:style>
  <w:style w:type="paragraph" w:styleId="TDC9">
    <w:name w:val="toc 9"/>
    <w:basedOn w:val="Normal"/>
    <w:next w:val="Normal"/>
    <w:autoRedefine/>
    <w:uiPriority w:val="39"/>
    <w:unhideWhenUsed/>
    <w:rsid w:val="00183790"/>
    <w:pPr>
      <w:spacing w:after="100" w:line="259" w:lineRule="auto"/>
      <w:ind w:left="1760"/>
    </w:pPr>
    <w:rPr>
      <w:rFonts w:ascii="Helvetica" w:eastAsia="Helvetica" w:hAnsi="Helvetica"/>
      <w:lang w:eastAsia="es-MX"/>
    </w:rPr>
  </w:style>
  <w:style w:type="paragraph" w:customStyle="1" w:styleId="Transcripcin">
    <w:name w:val="Transcripción"/>
    <w:basedOn w:val="Cuerpo"/>
    <w:link w:val="TranscripcinCar"/>
    <w:qFormat/>
    <w:rsid w:val="00183790"/>
    <w:pPr>
      <w:ind w:left="567"/>
      <w:contextualSpacing/>
      <w:jc w:val="both"/>
    </w:pPr>
    <w:rPr>
      <w:rFonts w:hAnsi="Cambria"/>
      <w:i/>
      <w:sz w:val="20"/>
      <w:szCs w:val="22"/>
      <w:lang w:val="es-ES"/>
    </w:rPr>
  </w:style>
  <w:style w:type="paragraph" w:customStyle="1" w:styleId="Bullets">
    <w:name w:val="Bullets"/>
    <w:basedOn w:val="TextoNormal"/>
    <w:link w:val="BulletsCar"/>
    <w:qFormat/>
    <w:rsid w:val="00183790"/>
    <w:pPr>
      <w:ind w:left="1134" w:hanging="567"/>
    </w:pPr>
  </w:style>
  <w:style w:type="character" w:customStyle="1" w:styleId="TranscripcinCar">
    <w:name w:val="Transcripción Car"/>
    <w:link w:val="Transcripcin"/>
    <w:rsid w:val="00183790"/>
    <w:rPr>
      <w:rFonts w:ascii="Cambria" w:eastAsia="Arial Unicode MS" w:hAnsi="Cambria" w:cs="Arial Unicode MS"/>
      <w:i/>
      <w:color w:val="000000"/>
      <w:sz w:val="20"/>
      <w:u w:color="000000"/>
      <w:bdr w:val="nil"/>
      <w:lang w:val="es-ES"/>
    </w:rPr>
  </w:style>
  <w:style w:type="table" w:customStyle="1" w:styleId="Tabladecuadrcula5oscura-nfasis21">
    <w:name w:val="Tabla de cuadrícula 5 oscura - Énfasis 21"/>
    <w:basedOn w:val="Tablanormal"/>
    <w:uiPriority w:val="50"/>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183790"/>
    <w:rPr>
      <w:rFonts w:ascii="Cambria" w:eastAsia="Arial Unicode MS" w:hAnsi="Cambria" w:cs="Arial Unicode MS"/>
      <w:color w:val="000000"/>
      <w:u w:color="000000"/>
      <w:bdr w:val="nil"/>
      <w:lang w:val="es-ES_tradnl"/>
    </w:rPr>
  </w:style>
  <w:style w:type="table" w:customStyle="1" w:styleId="Tabladecuadrcula1clara1">
    <w:name w:val="Tabla de cuadrícula 1 clara1"/>
    <w:basedOn w:val="Tablanormal"/>
    <w:uiPriority w:val="46"/>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Hipervnculovisitado">
    <w:name w:val="FollowedHyperlink"/>
    <w:uiPriority w:val="99"/>
    <w:semiHidden/>
    <w:unhideWhenUsed/>
    <w:rsid w:val="00183790"/>
    <w:rPr>
      <w:color w:val="FF00FF"/>
      <w:u w:val="single"/>
    </w:rPr>
  </w:style>
  <w:style w:type="paragraph" w:customStyle="1" w:styleId="Headingb">
    <w:name w:val="Heading_b"/>
    <w:basedOn w:val="Ttulo3"/>
    <w:next w:val="Normal"/>
    <w:link w:val="HeadingbChar"/>
    <w:rsid w:val="0018379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183790"/>
    <w:rPr>
      <w:rFonts w:ascii="Times New Roman" w:eastAsia="Times New Roman" w:hAnsi="Times New Roman" w:cs="Times New Roman"/>
      <w:b/>
      <w:bCs/>
      <w:sz w:val="24"/>
      <w:szCs w:val="20"/>
      <w:lang w:val="fr-FR" w:eastAsia="es-MX"/>
    </w:rPr>
  </w:style>
  <w:style w:type="character" w:customStyle="1" w:styleId="EstiloCar">
    <w:name w:val="Estilo Car"/>
    <w:link w:val="Estilo"/>
    <w:locked/>
    <w:rsid w:val="00183790"/>
    <w:rPr>
      <w:rFonts w:ascii="Arial" w:hAnsi="Arial" w:cs="Arial"/>
      <w:sz w:val="24"/>
    </w:rPr>
  </w:style>
  <w:style w:type="paragraph" w:customStyle="1" w:styleId="Estilo">
    <w:name w:val="Estilo"/>
    <w:basedOn w:val="Sinespaciado"/>
    <w:link w:val="EstiloCar"/>
    <w:qFormat/>
    <w:rsid w:val="0018379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heme="minorHAnsi" w:hAnsi="Arial" w:cs="Arial"/>
      <w:color w:val="auto"/>
      <w:sz w:val="24"/>
      <w:bdr w:val="none" w:sz="0" w:space="0" w:color="auto"/>
      <w:lang w:val="es-MX"/>
    </w:rPr>
  </w:style>
  <w:style w:type="character" w:customStyle="1" w:styleId="apple-converted-space">
    <w:name w:val="apple-converted-space"/>
    <w:basedOn w:val="Fuentedeprrafopredeter"/>
    <w:rsid w:val="00183790"/>
  </w:style>
  <w:style w:type="character" w:styleId="Refdenotaalfinal">
    <w:name w:val="endnote reference"/>
    <w:basedOn w:val="Fuentedeprrafopredeter"/>
    <w:uiPriority w:val="99"/>
    <w:semiHidden/>
    <w:unhideWhenUsed/>
    <w:rsid w:val="00183790"/>
    <w:rPr>
      <w:vertAlign w:val="superscript"/>
    </w:rPr>
  </w:style>
  <w:style w:type="table" w:customStyle="1" w:styleId="Tabladelista3-nfasis21">
    <w:name w:val="Tabla de lista 3 - Énfasis 21"/>
    <w:basedOn w:val="Tablanormal"/>
    <w:uiPriority w:val="48"/>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Subttulo">
    <w:name w:val="Subtitle"/>
    <w:basedOn w:val="Normal"/>
    <w:next w:val="Normal"/>
    <w:link w:val="SubttuloCar"/>
    <w:uiPriority w:val="11"/>
    <w:rsid w:val="00183790"/>
    <w:pPr>
      <w:numPr>
        <w:ilvl w:val="1"/>
      </w:numPr>
      <w:pBdr>
        <w:top w:val="nil"/>
        <w:left w:val="nil"/>
        <w:bottom w:val="nil"/>
        <w:right w:val="nil"/>
        <w:between w:val="nil"/>
        <w:bar w:val="nil"/>
      </w:pBdr>
      <w:spacing w:after="160" w:line="240" w:lineRule="auto"/>
    </w:pPr>
    <w:rPr>
      <w:rFonts w:asciiTheme="minorHAnsi" w:eastAsiaTheme="minorEastAsia" w:hAnsiTheme="minorHAnsi" w:cstheme="minorBidi"/>
      <w:color w:val="5A5A5A" w:themeColor="text1" w:themeTint="A5"/>
      <w:spacing w:val="15"/>
      <w:bdr w:val="nil"/>
    </w:rPr>
  </w:style>
  <w:style w:type="character" w:customStyle="1" w:styleId="SubttuloCar">
    <w:name w:val="Subtítulo Car"/>
    <w:basedOn w:val="Fuentedeprrafopredeter"/>
    <w:link w:val="Subttulo"/>
    <w:uiPriority w:val="11"/>
    <w:rsid w:val="00183790"/>
    <w:rPr>
      <w:rFonts w:eastAsiaTheme="minorEastAsia"/>
      <w:color w:val="5A5A5A" w:themeColor="text1" w:themeTint="A5"/>
      <w:spacing w:val="15"/>
      <w:bdr w:val="nil"/>
    </w:rPr>
  </w:style>
  <w:style w:type="table" w:customStyle="1" w:styleId="Tabladecuadrcula4-nfasis21">
    <w:name w:val="Tabla de cuadrícula 4 - Énfasis 21"/>
    <w:basedOn w:val="Tablanormal"/>
    <w:uiPriority w:val="49"/>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1Claro-nfasis21">
    <w:name w:val="Tabla de cuadrícula 1 Claro - Énfasis 21"/>
    <w:basedOn w:val="Tablanormal"/>
    <w:uiPriority w:val="46"/>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183790"/>
    <w:rPr>
      <w:i/>
      <w:iCs/>
      <w:color w:val="404040" w:themeColor="text1" w:themeTint="BF"/>
    </w:rPr>
  </w:style>
  <w:style w:type="paragraph" w:customStyle="1" w:styleId="Ttulo10">
    <w:name w:val="Título1"/>
    <w:basedOn w:val="Normal"/>
    <w:link w:val="TtuloCar"/>
    <w:qFormat/>
    <w:rsid w:val="00183790"/>
    <w:pPr>
      <w:pBdr>
        <w:top w:val="nil"/>
        <w:left w:val="nil"/>
        <w:bottom w:val="nil"/>
        <w:right w:val="nil"/>
        <w:between w:val="nil"/>
        <w:bar w:val="nil"/>
      </w:pBdr>
      <w:spacing w:after="0"/>
      <w:contextualSpacing/>
      <w:jc w:val="center"/>
    </w:pPr>
    <w:rPr>
      <w:rFonts w:ascii="ITC Avant Garde" w:eastAsia="Times New Roman" w:hAnsi="ITC Avant Garde" w:cs="Arial"/>
      <w:b/>
      <w:color w:val="2F2F2F"/>
      <w:sz w:val="28"/>
      <w:bdr w:val="nil"/>
      <w:lang w:eastAsia="es-MX"/>
    </w:rPr>
  </w:style>
  <w:style w:type="character" w:customStyle="1" w:styleId="TtuloCar">
    <w:name w:val="Título Car"/>
    <w:basedOn w:val="Fuentedeprrafopredeter"/>
    <w:link w:val="Ttulo10"/>
    <w:rsid w:val="00183790"/>
    <w:rPr>
      <w:rFonts w:ascii="ITC Avant Garde" w:eastAsia="Times New Roman" w:hAnsi="ITC Avant Garde" w:cs="Arial"/>
      <w:b/>
      <w:color w:val="2F2F2F"/>
      <w:sz w:val="28"/>
      <w:bdr w:val="nil"/>
      <w:lang w:eastAsia="es-MX"/>
    </w:rPr>
  </w:style>
  <w:style w:type="paragraph" w:styleId="Sangradetextonormal">
    <w:name w:val="Body Text Indent"/>
    <w:basedOn w:val="Normal"/>
    <w:link w:val="SangradetextonormalCar"/>
    <w:uiPriority w:val="99"/>
    <w:semiHidden/>
    <w:unhideWhenUsed/>
    <w:rsid w:val="0018379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angradetextonormalCar">
    <w:name w:val="Sangría de texto normal Car"/>
    <w:basedOn w:val="Fuentedeprrafopredeter"/>
    <w:link w:val="Sangradetextonormal"/>
    <w:uiPriority w:val="99"/>
    <w:semiHidden/>
    <w:rsid w:val="00183790"/>
    <w:rPr>
      <w:rFonts w:ascii="Times New Roman" w:eastAsia="Times New Roman" w:hAnsi="Times New Roman" w:cs="Times New Roman"/>
      <w:sz w:val="24"/>
      <w:szCs w:val="24"/>
      <w:lang w:eastAsia="es-MX"/>
    </w:rPr>
  </w:style>
  <w:style w:type="character" w:customStyle="1" w:styleId="red">
    <w:name w:val="red"/>
    <w:basedOn w:val="Fuentedeprrafopredeter"/>
    <w:rsid w:val="00183790"/>
  </w:style>
  <w:style w:type="paragraph" w:customStyle="1" w:styleId="Titulo1">
    <w:name w:val="Titulo 1"/>
    <w:basedOn w:val="Texto"/>
    <w:rsid w:val="00183790"/>
    <w:pPr>
      <w:pBdr>
        <w:bottom w:val="single" w:sz="12" w:space="1" w:color="auto"/>
      </w:pBdr>
      <w:spacing w:before="120" w:after="0" w:line="240" w:lineRule="auto"/>
      <w:ind w:firstLine="0"/>
      <w:outlineLvl w:val="0"/>
    </w:pPr>
    <w:rPr>
      <w:rFonts w:ascii="Times New Roman" w:hAnsi="Times New Roman"/>
      <w:b/>
      <w:u w:color="000000"/>
      <w:lang w:val="es-MX" w:eastAsia="es-MX"/>
    </w:rPr>
  </w:style>
  <w:style w:type="table" w:customStyle="1" w:styleId="Tablaconcuadrcula1">
    <w:name w:val="Tabla con cuadrícula1"/>
    <w:basedOn w:val="Tablanormal"/>
    <w:next w:val="Tablaconcuadrcula"/>
    <w:uiPriority w:val="39"/>
    <w:rsid w:val="00183790"/>
    <w:pPr>
      <w:spacing w:after="0" w:line="240" w:lineRule="auto"/>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uiPriority w:val="99"/>
    <w:unhideWhenUsed/>
    <w:rsid w:val="00183790"/>
    <w:pPr>
      <w:pBdr>
        <w:top w:val="nil"/>
        <w:left w:val="nil"/>
        <w:bottom w:val="nil"/>
        <w:right w:val="nil"/>
        <w:between w:val="nil"/>
        <w:bar w:val="nil"/>
      </w:pBdr>
      <w:spacing w:after="0" w:line="240" w:lineRule="auto"/>
      <w:ind w:left="1134" w:right="1182"/>
      <w:contextualSpacing/>
      <w:jc w:val="both"/>
    </w:pPr>
    <w:rPr>
      <w:rFonts w:ascii="ITC Avant Garde" w:eastAsia="Arial Unicode MS" w:hAnsi="ITC Avant Garde" w:cs="Arial"/>
      <w:i/>
      <w:color w:val="000000" w:themeColor="text1"/>
      <w:sz w:val="18"/>
      <w:szCs w:val="20"/>
      <w:bdr w:val="nil"/>
    </w:rPr>
  </w:style>
  <w:style w:type="paragraph" w:styleId="Textoindependiente2">
    <w:name w:val="Body Text 2"/>
    <w:basedOn w:val="Normal"/>
    <w:link w:val="Textoindependiente2Car"/>
    <w:uiPriority w:val="99"/>
    <w:unhideWhenUsed/>
    <w:rsid w:val="00183790"/>
    <w:pPr>
      <w:pBdr>
        <w:top w:val="nil"/>
        <w:left w:val="nil"/>
        <w:bottom w:val="nil"/>
        <w:right w:val="nil"/>
        <w:between w:val="nil"/>
        <w:bar w:val="nil"/>
      </w:pBdr>
      <w:suppressAutoHyphens/>
      <w:spacing w:after="0" w:line="240" w:lineRule="auto"/>
      <w:ind w:right="-62"/>
      <w:contextualSpacing/>
      <w:jc w:val="both"/>
    </w:pPr>
    <w:rPr>
      <w:rFonts w:ascii="ITC Avant Garde" w:eastAsiaTheme="minorHAnsi" w:hAnsi="ITC Avant Garde" w:cs="Arial"/>
      <w:color w:val="000000" w:themeColor="text1"/>
      <w:sz w:val="20"/>
      <w:szCs w:val="20"/>
      <w:bdr w:val="nil"/>
    </w:rPr>
  </w:style>
  <w:style w:type="character" w:customStyle="1" w:styleId="Textoindependiente2Car">
    <w:name w:val="Texto independiente 2 Car"/>
    <w:basedOn w:val="Fuentedeprrafopredeter"/>
    <w:link w:val="Textoindependiente2"/>
    <w:uiPriority w:val="99"/>
    <w:rsid w:val="00183790"/>
    <w:rPr>
      <w:rFonts w:ascii="ITC Avant Garde" w:hAnsi="ITC Avant Garde" w:cs="Arial"/>
      <w:color w:val="000000" w:themeColor="text1"/>
      <w:sz w:val="20"/>
      <w:szCs w:val="20"/>
      <w:bdr w:val="nil"/>
    </w:rPr>
  </w:style>
  <w:style w:type="paragraph" w:styleId="Sangra2detindependiente">
    <w:name w:val="Body Text Indent 2"/>
    <w:basedOn w:val="Normal"/>
    <w:link w:val="Sangra2detindependienteCar"/>
    <w:uiPriority w:val="99"/>
    <w:unhideWhenUsed/>
    <w:rsid w:val="00183790"/>
    <w:pPr>
      <w:pBdr>
        <w:top w:val="nil"/>
        <w:left w:val="nil"/>
        <w:bottom w:val="nil"/>
        <w:right w:val="nil"/>
        <w:between w:val="nil"/>
        <w:bar w:val="nil"/>
      </w:pBdr>
      <w:spacing w:after="0" w:line="240" w:lineRule="auto"/>
      <w:ind w:left="1134"/>
      <w:contextualSpacing/>
      <w:jc w:val="both"/>
    </w:pPr>
    <w:rPr>
      <w:rFonts w:ascii="ITC Avant Garde" w:eastAsia="Arial Unicode MS" w:hAnsi="ITC Avant Garde" w:cs="Arial"/>
      <w:color w:val="000000" w:themeColor="text1"/>
      <w:sz w:val="20"/>
      <w:szCs w:val="20"/>
      <w:bdr w:val="nil"/>
    </w:rPr>
  </w:style>
  <w:style w:type="character" w:customStyle="1" w:styleId="Sangra2detindependienteCar">
    <w:name w:val="Sangría 2 de t. independiente Car"/>
    <w:basedOn w:val="Fuentedeprrafopredeter"/>
    <w:link w:val="Sangra2detindependiente"/>
    <w:uiPriority w:val="99"/>
    <w:rsid w:val="00183790"/>
    <w:rPr>
      <w:rFonts w:ascii="ITC Avant Garde" w:eastAsia="Arial Unicode MS" w:hAnsi="ITC Avant Garde" w:cs="Arial"/>
      <w:color w:val="000000" w:themeColor="text1"/>
      <w:sz w:val="20"/>
      <w:szCs w:val="20"/>
      <w:bdr w:val="nil"/>
    </w:rPr>
  </w:style>
  <w:style w:type="paragraph" w:styleId="Textoindependiente3">
    <w:name w:val="Body Text 3"/>
    <w:basedOn w:val="Normal"/>
    <w:link w:val="Textoindependiente3Car"/>
    <w:uiPriority w:val="99"/>
    <w:unhideWhenUsed/>
    <w:rsid w:val="00183790"/>
    <w:pPr>
      <w:tabs>
        <w:tab w:val="left" w:pos="7655"/>
      </w:tabs>
      <w:spacing w:after="0" w:line="240" w:lineRule="auto"/>
      <w:ind w:right="49"/>
      <w:contextualSpacing/>
      <w:jc w:val="center"/>
    </w:pPr>
    <w:rPr>
      <w:rFonts w:ascii="ITC Avant Garde" w:eastAsia="Arial Unicode MS" w:hAnsi="ITC Avant Garde"/>
      <w:b/>
      <w:color w:val="000000" w:themeColor="text1"/>
      <w:sz w:val="16"/>
      <w:szCs w:val="20"/>
      <w:bdr w:val="nil"/>
    </w:rPr>
  </w:style>
  <w:style w:type="character" w:customStyle="1" w:styleId="Textoindependiente3Car">
    <w:name w:val="Texto independiente 3 Car"/>
    <w:basedOn w:val="Fuentedeprrafopredeter"/>
    <w:link w:val="Textoindependiente3"/>
    <w:uiPriority w:val="99"/>
    <w:rsid w:val="00183790"/>
    <w:rPr>
      <w:rFonts w:ascii="ITC Avant Garde" w:eastAsia="Arial Unicode MS" w:hAnsi="ITC Avant Garde" w:cs="Times New Roman"/>
      <w:b/>
      <w:color w:val="000000" w:themeColor="text1"/>
      <w:sz w:val="16"/>
      <w:szCs w:val="20"/>
      <w:bdr w:val="nil"/>
    </w:rPr>
  </w:style>
  <w:style w:type="paragraph" w:styleId="Sangra3detindependiente">
    <w:name w:val="Body Text Indent 3"/>
    <w:basedOn w:val="Normal"/>
    <w:link w:val="Sangra3detindependienteCar"/>
    <w:uiPriority w:val="99"/>
    <w:unhideWhenUsed/>
    <w:rsid w:val="00183790"/>
    <w:pPr>
      <w:pBdr>
        <w:top w:val="nil"/>
        <w:left w:val="nil"/>
        <w:bottom w:val="nil"/>
        <w:right w:val="nil"/>
        <w:between w:val="nil"/>
        <w:bar w:val="nil"/>
      </w:pBdr>
      <w:spacing w:after="0" w:line="240" w:lineRule="auto"/>
      <w:ind w:left="1134"/>
      <w:contextualSpacing/>
      <w:jc w:val="both"/>
    </w:pPr>
    <w:rPr>
      <w:rFonts w:ascii="ITC Avant Garde" w:eastAsia="Arial Unicode MS" w:hAnsi="ITC Avant Garde" w:cs="Arial"/>
      <w:sz w:val="20"/>
      <w:szCs w:val="20"/>
      <w:bdr w:val="nil"/>
    </w:rPr>
  </w:style>
  <w:style w:type="character" w:customStyle="1" w:styleId="Sangra3detindependienteCar">
    <w:name w:val="Sangría 3 de t. independiente Car"/>
    <w:basedOn w:val="Fuentedeprrafopredeter"/>
    <w:link w:val="Sangra3detindependiente"/>
    <w:uiPriority w:val="99"/>
    <w:rsid w:val="00183790"/>
    <w:rPr>
      <w:rFonts w:ascii="ITC Avant Garde" w:eastAsia="Arial Unicode MS" w:hAnsi="ITC Avant Garde" w:cs="Arial"/>
      <w:sz w:val="20"/>
      <w:szCs w:val="20"/>
      <w:bdr w:val="nil"/>
    </w:rPr>
  </w:style>
  <w:style w:type="table" w:customStyle="1" w:styleId="Tabladecuadrcula4-nfasis31">
    <w:name w:val="Tabla de cuadrícula 4 - Énfasis 31"/>
    <w:basedOn w:val="Tablanormal"/>
    <w:next w:val="Tabladecuadrcula4-nfasis32"/>
    <w:uiPriority w:val="49"/>
    <w:rsid w:val="00183790"/>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4-nfasis32">
    <w:name w:val="Tabla de cuadrícula 4 - Énfasis 32"/>
    <w:basedOn w:val="Tablanormal"/>
    <w:uiPriority w:val="49"/>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4-nfasis22">
    <w:name w:val="Tabla de cuadrícula 4 - Énfasis 22"/>
    <w:basedOn w:val="Tablanormal"/>
    <w:uiPriority w:val="49"/>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wText">
    <w:name w:val="wText"/>
    <w:basedOn w:val="Normal"/>
    <w:uiPriority w:val="2"/>
    <w:qFormat/>
    <w:rsid w:val="00183790"/>
    <w:pPr>
      <w:spacing w:after="240" w:line="240" w:lineRule="auto"/>
      <w:jc w:val="both"/>
    </w:pPr>
    <w:rPr>
      <w:rFonts w:ascii="Times New Roman" w:eastAsia="MS Mincho" w:hAnsi="Times New Roman" w:cstheme="minorBidi"/>
      <w:sz w:val="24"/>
      <w:lang w:val="es-ES_tradnl"/>
    </w:rPr>
  </w:style>
  <w:style w:type="paragraph" w:customStyle="1" w:styleId="Text">
    <w:name w:val="Text"/>
    <w:basedOn w:val="Normal"/>
    <w:rsid w:val="00183790"/>
    <w:pPr>
      <w:spacing w:after="240" w:line="240" w:lineRule="auto"/>
    </w:pPr>
    <w:rPr>
      <w:rFonts w:ascii="Arial" w:hAnsi="Arial" w:cs="Arial"/>
      <w:b/>
      <w:sz w:val="24"/>
      <w:szCs w:val="20"/>
      <w:lang w:val="es-ES_tradnl"/>
    </w:rPr>
  </w:style>
  <w:style w:type="table" w:customStyle="1" w:styleId="Tabladecuadrcula4-nfasis61">
    <w:name w:val="Tabla de cuadrícula 4 - Énfasis 61"/>
    <w:basedOn w:val="Tablanormal"/>
    <w:uiPriority w:val="49"/>
    <w:rsid w:val="0018379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NormalIFT">
    <w:name w:val="Normal IFT"/>
    <w:basedOn w:val="Prrafodelista"/>
    <w:link w:val="NormalIFTCar"/>
    <w:autoRedefine/>
    <w:qFormat/>
    <w:rsid w:val="00183790"/>
    <w:pPr>
      <w:numPr>
        <w:numId w:val="23"/>
      </w:numPr>
      <w:shd w:val="clear" w:color="auto" w:fill="FFFFFF"/>
      <w:autoSpaceDE w:val="0"/>
      <w:autoSpaceDN w:val="0"/>
      <w:adjustRightInd w:val="0"/>
      <w:spacing w:before="120" w:after="120"/>
      <w:ind w:left="360"/>
      <w:jc w:val="both"/>
    </w:pPr>
    <w:rPr>
      <w:rFonts w:ascii="ITC Avant Garde" w:hAnsi="ITC Avant Garde"/>
      <w:bCs/>
      <w:color w:val="000000"/>
      <w:sz w:val="22"/>
      <w:szCs w:val="24"/>
      <w:u w:color="000000"/>
      <w:shd w:val="clear" w:color="auto" w:fill="FFFFFF"/>
      <w:lang w:val="es-ES_tradnl" w:eastAsia="es-ES"/>
    </w:rPr>
  </w:style>
  <w:style w:type="character" w:customStyle="1" w:styleId="NormalIFTCar">
    <w:name w:val="Normal IFT Car"/>
    <w:link w:val="NormalIFT"/>
    <w:rsid w:val="00183790"/>
    <w:rPr>
      <w:rFonts w:ascii="ITC Avant Garde" w:eastAsia="Times New Roman" w:hAnsi="ITC Avant Garde" w:cs="Times New Roman"/>
      <w:bCs/>
      <w:color w:val="000000"/>
      <w:szCs w:val="24"/>
      <w:u w:color="000000"/>
      <w:shd w:val="clear" w:color="auto" w:fill="FFFFFF"/>
      <w:lang w:val="es-ES_tradnl" w:eastAsia="es-ES"/>
    </w:rPr>
  </w:style>
  <w:style w:type="paragraph" w:customStyle="1" w:styleId="Cuadros">
    <w:name w:val="Cuadros"/>
    <w:basedOn w:val="Normal"/>
    <w:qFormat/>
    <w:rsid w:val="00183790"/>
    <w:pPr>
      <w:keepNext/>
      <w:numPr>
        <w:numId w:val="24"/>
      </w:numPr>
      <w:spacing w:before="240" w:after="0"/>
      <w:ind w:left="714" w:hanging="357"/>
      <w:jc w:val="center"/>
    </w:pPr>
    <w:rPr>
      <w:rFonts w:ascii="ITC Avant Garde" w:hAnsi="ITC Avant Garde"/>
      <w:b/>
      <w:lang w:eastAsia="es-MX"/>
    </w:rPr>
  </w:style>
  <w:style w:type="paragraph" w:customStyle="1" w:styleId="TtuloIFT-4">
    <w:name w:val="Título IFT-4"/>
    <w:basedOn w:val="Normal"/>
    <w:next w:val="Normal"/>
    <w:link w:val="TtuloIFT-4Car"/>
    <w:qFormat/>
    <w:rsid w:val="00183790"/>
    <w:pPr>
      <w:numPr>
        <w:numId w:val="25"/>
      </w:numPr>
      <w:tabs>
        <w:tab w:val="left" w:pos="142"/>
      </w:tabs>
      <w:spacing w:after="0" w:line="240" w:lineRule="auto"/>
      <w:jc w:val="both"/>
    </w:pPr>
    <w:rPr>
      <w:rFonts w:ascii="ITC Avant Garde" w:eastAsia="Times New Roman" w:hAnsi="ITC Avant Garde"/>
      <w:b/>
      <w:sz w:val="24"/>
      <w:szCs w:val="24"/>
      <w:lang w:eastAsia="es-MX"/>
    </w:rPr>
  </w:style>
  <w:style w:type="character" w:customStyle="1" w:styleId="TtuloIFT-4Car">
    <w:name w:val="Título IFT-4 Car"/>
    <w:link w:val="TtuloIFT-4"/>
    <w:rsid w:val="00183790"/>
    <w:rPr>
      <w:rFonts w:ascii="ITC Avant Garde" w:eastAsia="Times New Roman" w:hAnsi="ITC Avant Garde" w:cs="Times New Roman"/>
      <w:b/>
      <w:sz w:val="24"/>
      <w:szCs w:val="24"/>
      <w:lang w:eastAsia="es-MX"/>
    </w:rPr>
  </w:style>
  <w:style w:type="paragraph" w:customStyle="1" w:styleId="Ttulo">
    <w:name w:val="Título"/>
    <w:basedOn w:val="Normal"/>
    <w:qFormat/>
    <w:rsid w:val="00EC4A23"/>
    <w:pPr>
      <w:pBdr>
        <w:top w:val="nil"/>
        <w:left w:val="nil"/>
        <w:bottom w:val="nil"/>
        <w:right w:val="nil"/>
        <w:between w:val="nil"/>
        <w:bar w:val="nil"/>
      </w:pBdr>
      <w:spacing w:after="0"/>
      <w:contextualSpacing/>
      <w:jc w:val="center"/>
    </w:pPr>
    <w:rPr>
      <w:rFonts w:ascii="ITC Avant Garde" w:eastAsia="Times New Roman" w:hAnsi="ITC Avant Garde" w:cs="Arial"/>
      <w:b/>
      <w:color w:val="2F2F2F"/>
      <w:sz w:val="28"/>
      <w:bdr w:val="nil"/>
      <w:lang w:eastAsia="es-MX"/>
    </w:rPr>
  </w:style>
  <w:style w:type="table" w:styleId="Tabladecuadrcula4-nfasis3">
    <w:name w:val="Grid Table 4 Accent 3"/>
    <w:basedOn w:val="Tablanormal"/>
    <w:uiPriority w:val="49"/>
    <w:rsid w:val="00EC4A23"/>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nfasis2">
    <w:name w:val="Grid Table 4 Accent 2"/>
    <w:basedOn w:val="Tablanormal"/>
    <w:uiPriority w:val="49"/>
    <w:rsid w:val="00EC4A23"/>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xl63">
    <w:name w:val="xl63"/>
    <w:basedOn w:val="Normal"/>
    <w:rsid w:val="004535EB"/>
    <w:pPr>
      <w:pBdr>
        <w:top w:val="single" w:sz="12"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4">
    <w:name w:val="xl64"/>
    <w:basedOn w:val="Normal"/>
    <w:rsid w:val="004535EB"/>
    <w:pPr>
      <w:pBdr>
        <w:top w:val="single" w:sz="12"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5">
    <w:name w:val="xl65"/>
    <w:basedOn w:val="Normal"/>
    <w:rsid w:val="004535EB"/>
    <w:pPr>
      <w:pBdr>
        <w:top w:val="single" w:sz="12"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6">
    <w:name w:val="xl66"/>
    <w:basedOn w:val="Normal"/>
    <w:rsid w:val="004535EB"/>
    <w:pPr>
      <w:pBdr>
        <w:top w:val="single" w:sz="12"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7">
    <w:name w:val="xl67"/>
    <w:basedOn w:val="Normal"/>
    <w:rsid w:val="004535EB"/>
    <w:pPr>
      <w:pBdr>
        <w:top w:val="single" w:sz="12"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8">
    <w:name w:val="xl68"/>
    <w:basedOn w:val="Normal"/>
    <w:rsid w:val="004535EB"/>
    <w:pPr>
      <w:pBdr>
        <w:top w:val="single" w:sz="4" w:space="0" w:color="A9D08E"/>
        <w:left w:val="single" w:sz="8" w:space="0" w:color="A8D08D"/>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9">
    <w:name w:val="xl69"/>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0">
    <w:name w:val="xl70"/>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1">
    <w:name w:val="xl71"/>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2">
    <w:name w:val="xl72"/>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3">
    <w:name w:val="xl73"/>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5">
    <w:name w:val="xl75"/>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6">
    <w:name w:val="xl76"/>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7">
    <w:name w:val="xl77"/>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8">
    <w:name w:val="xl78"/>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9">
    <w:name w:val="xl79"/>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0">
    <w:name w:val="xl80"/>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1">
    <w:name w:val="xl81"/>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2">
    <w:name w:val="xl82"/>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3">
    <w:name w:val="xl83"/>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4">
    <w:name w:val="xl84"/>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5">
    <w:name w:val="xl85"/>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6">
    <w:name w:val="xl86"/>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7">
    <w:name w:val="xl87"/>
    <w:basedOn w:val="Normal"/>
    <w:rsid w:val="004535EB"/>
    <w:pPr>
      <w:pBdr>
        <w:top w:val="single" w:sz="4" w:space="0" w:color="A9D08E"/>
        <w:left w:val="single" w:sz="8" w:space="0" w:color="A8D08D"/>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8">
    <w:name w:val="xl88"/>
    <w:basedOn w:val="Normal"/>
    <w:rsid w:val="004535EB"/>
    <w:pPr>
      <w:pBdr>
        <w:top w:val="single" w:sz="4" w:space="0" w:color="A9D08E"/>
        <w:left w:val="single" w:sz="8" w:space="0" w:color="A8D08D"/>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9">
    <w:name w:val="xl89"/>
    <w:basedOn w:val="Normal"/>
    <w:rsid w:val="004535EB"/>
    <w:pPr>
      <w:pBdr>
        <w:top w:val="single" w:sz="4" w:space="0" w:color="A9D08E"/>
        <w:left w:val="single" w:sz="8" w:space="0" w:color="A8D08D"/>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0">
    <w:name w:val="xl90"/>
    <w:basedOn w:val="Normal"/>
    <w:rsid w:val="004535EB"/>
    <w:pPr>
      <w:pBdr>
        <w:top w:val="single" w:sz="4" w:space="0" w:color="A9D08E"/>
        <w:left w:val="single" w:sz="8" w:space="0" w:color="A8D08D"/>
        <w:bottom w:val="single" w:sz="12"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1">
    <w:name w:val="xl91"/>
    <w:basedOn w:val="Normal"/>
    <w:rsid w:val="004535EB"/>
    <w:pPr>
      <w:pBdr>
        <w:top w:val="single" w:sz="4" w:space="0" w:color="A9D08E"/>
        <w:bottom w:val="single" w:sz="12"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2">
    <w:name w:val="xl92"/>
    <w:basedOn w:val="Normal"/>
    <w:rsid w:val="004535EB"/>
    <w:pPr>
      <w:pBdr>
        <w:top w:val="single" w:sz="4" w:space="0" w:color="A9D08E"/>
        <w:bottom w:val="single" w:sz="12"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3">
    <w:name w:val="xl93"/>
    <w:basedOn w:val="Normal"/>
    <w:rsid w:val="004535EB"/>
    <w:pPr>
      <w:pBdr>
        <w:top w:val="single" w:sz="4" w:space="0" w:color="A9D08E"/>
        <w:bottom w:val="single" w:sz="12"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4">
    <w:name w:val="xl94"/>
    <w:basedOn w:val="Normal"/>
    <w:rsid w:val="004535EB"/>
    <w:pP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95">
    <w:name w:val="xl95"/>
    <w:basedOn w:val="Normal"/>
    <w:rsid w:val="004535EB"/>
    <w:pPr>
      <w:spacing w:before="100" w:beforeAutospacing="1" w:after="100" w:afterAutospacing="1" w:line="240" w:lineRule="auto"/>
      <w:jc w:val="center"/>
      <w:textAlignment w:val="center"/>
    </w:pPr>
    <w:rPr>
      <w:rFonts w:ascii="Times New Roman" w:eastAsia="Times New Roman" w:hAnsi="Times New Roman"/>
      <w:sz w:val="16"/>
      <w:szCs w:val="16"/>
      <w:lang w:eastAsia="es-MX"/>
    </w:rPr>
  </w:style>
  <w:style w:type="paragraph" w:customStyle="1" w:styleId="xl96">
    <w:name w:val="xl96"/>
    <w:basedOn w:val="Normal"/>
    <w:rsid w:val="004535EB"/>
    <w:pPr>
      <w:spacing w:before="100" w:beforeAutospacing="1" w:after="100" w:afterAutospacing="1" w:line="240" w:lineRule="auto"/>
      <w:jc w:val="center"/>
      <w:textAlignment w:val="center"/>
    </w:pPr>
    <w:rPr>
      <w:rFonts w:ascii="Times New Roman" w:eastAsia="Times New Roman" w:hAnsi="Times New Roman"/>
      <w:sz w:val="16"/>
      <w:szCs w:val="16"/>
      <w:lang w:eastAsia="es-MX"/>
    </w:rPr>
  </w:style>
  <w:style w:type="paragraph" w:customStyle="1" w:styleId="xl97">
    <w:name w:val="xl97"/>
    <w:basedOn w:val="Normal"/>
    <w:rsid w:val="004535EB"/>
    <w:pPr>
      <w:spacing w:before="100" w:beforeAutospacing="1" w:after="100" w:afterAutospacing="1" w:line="240" w:lineRule="auto"/>
      <w:jc w:val="center"/>
      <w:textAlignment w:val="center"/>
    </w:pPr>
    <w:rPr>
      <w:rFonts w:ascii="Times New Roman" w:eastAsia="Times New Roman" w:hAnsi="Times New Roman"/>
      <w:sz w:val="16"/>
      <w:szCs w:val="16"/>
      <w:lang w:eastAsia="es-MX"/>
    </w:rPr>
  </w:style>
  <w:style w:type="paragraph" w:customStyle="1" w:styleId="xl98">
    <w:name w:val="xl98"/>
    <w:basedOn w:val="Normal"/>
    <w:rsid w:val="004535EB"/>
    <w:pPr>
      <w:pBdr>
        <w:top w:val="single" w:sz="4" w:space="0" w:color="C6E0B4"/>
        <w:left w:val="single" w:sz="4" w:space="0" w:color="C6E0B4"/>
        <w:bottom w:val="single" w:sz="12" w:space="0" w:color="A9D08E"/>
        <w:right w:val="single" w:sz="8" w:space="0" w:color="A9D08E"/>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99">
    <w:name w:val="xl99"/>
    <w:basedOn w:val="Normal"/>
    <w:rsid w:val="004535EB"/>
    <w:pPr>
      <w:pBdr>
        <w:top w:val="single" w:sz="4" w:space="0" w:color="C6E0B4"/>
        <w:left w:val="single" w:sz="8" w:space="0" w:color="A9D08E"/>
        <w:bottom w:val="single" w:sz="12" w:space="0" w:color="A9D08E"/>
        <w:right w:val="single" w:sz="8" w:space="0" w:color="A9D08E"/>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100">
    <w:name w:val="xl100"/>
    <w:basedOn w:val="Normal"/>
    <w:rsid w:val="004535EB"/>
    <w:pPr>
      <w:pBdr>
        <w:top w:val="single" w:sz="4" w:space="0" w:color="C6E0B4"/>
        <w:left w:val="single" w:sz="8" w:space="0" w:color="A9D08E"/>
        <w:bottom w:val="single" w:sz="12" w:space="0" w:color="A9D08E"/>
        <w:right w:val="single" w:sz="8" w:space="0" w:color="A9D08E"/>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101">
    <w:name w:val="xl101"/>
    <w:basedOn w:val="Normal"/>
    <w:rsid w:val="004535EB"/>
    <w:pPr>
      <w:pBdr>
        <w:top w:val="single" w:sz="4" w:space="0" w:color="C6E0B4"/>
        <w:left w:val="single" w:sz="8" w:space="0" w:color="A9D08E"/>
        <w:bottom w:val="single" w:sz="12" w:space="0" w:color="A9D08E"/>
        <w:right w:val="single" w:sz="8" w:space="0" w:color="A9D08E"/>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102">
    <w:name w:val="xl102"/>
    <w:basedOn w:val="Normal"/>
    <w:rsid w:val="004535EB"/>
    <w:pPr>
      <w:pBdr>
        <w:top w:val="single" w:sz="4" w:space="0" w:color="C6E0B4"/>
        <w:left w:val="single" w:sz="8" w:space="0" w:color="A9D08E"/>
        <w:bottom w:val="single" w:sz="12" w:space="0" w:color="A9D08E"/>
        <w:right w:val="single" w:sz="4" w:space="0" w:color="C6E0B4"/>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103">
    <w:name w:val="xl103"/>
    <w:basedOn w:val="Normal"/>
    <w:rsid w:val="004535EB"/>
    <w:pPr>
      <w:pBdr>
        <w:top w:val="single" w:sz="12" w:space="0" w:color="A9D08E"/>
        <w:left w:val="single" w:sz="4" w:space="0" w:color="C6E0B4"/>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4">
    <w:name w:val="xl104"/>
    <w:basedOn w:val="Normal"/>
    <w:rsid w:val="004535EB"/>
    <w:pPr>
      <w:pBdr>
        <w:top w:val="single" w:sz="12" w:space="0" w:color="A9D08E"/>
        <w:bottom w:val="single" w:sz="4" w:space="0" w:color="A9D08E"/>
        <w:right w:val="single" w:sz="4" w:space="0" w:color="C6E0B4"/>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5">
    <w:name w:val="xl105"/>
    <w:basedOn w:val="Normal"/>
    <w:rsid w:val="004535EB"/>
    <w:pPr>
      <w:pBdr>
        <w:top w:val="single" w:sz="4" w:space="0" w:color="A9D08E"/>
        <w:bottom w:val="single" w:sz="4" w:space="0" w:color="A9D08E"/>
        <w:right w:val="single" w:sz="4" w:space="0" w:color="C6E0B4"/>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6">
    <w:name w:val="xl106"/>
    <w:basedOn w:val="Normal"/>
    <w:rsid w:val="004535EB"/>
    <w:pPr>
      <w:pBdr>
        <w:top w:val="single" w:sz="4" w:space="0" w:color="A9D08E"/>
        <w:bottom w:val="single" w:sz="4" w:space="0" w:color="A9D08E"/>
        <w:right w:val="single" w:sz="4" w:space="0" w:color="C6E0B4"/>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7">
    <w:name w:val="xl107"/>
    <w:basedOn w:val="Normal"/>
    <w:rsid w:val="004535EB"/>
    <w:pPr>
      <w:pBdr>
        <w:top w:val="single" w:sz="4" w:space="0" w:color="A9D08E"/>
        <w:left w:val="single" w:sz="4" w:space="0" w:color="C6E0B4"/>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8">
    <w:name w:val="xl108"/>
    <w:basedOn w:val="Normal"/>
    <w:rsid w:val="004535EB"/>
    <w:pPr>
      <w:pBdr>
        <w:top w:val="single" w:sz="4" w:space="0" w:color="A9D08E"/>
        <w:left w:val="single" w:sz="4" w:space="0" w:color="C6E0B4"/>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9">
    <w:name w:val="xl109"/>
    <w:basedOn w:val="Normal"/>
    <w:rsid w:val="004535EB"/>
    <w:pPr>
      <w:pBdr>
        <w:top w:val="single" w:sz="4" w:space="0" w:color="A9D08E"/>
        <w:bottom w:val="single" w:sz="4" w:space="0" w:color="A9D08E"/>
        <w:right w:val="single" w:sz="4" w:space="0" w:color="C6E0B4"/>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0">
    <w:name w:val="xl110"/>
    <w:basedOn w:val="Normal"/>
    <w:rsid w:val="004535EB"/>
    <w:pPr>
      <w:pBdr>
        <w:top w:val="single" w:sz="4" w:space="0" w:color="A9D08E"/>
        <w:bottom w:val="single" w:sz="4" w:space="0" w:color="A9D08E"/>
        <w:right w:val="single" w:sz="4" w:space="0" w:color="C6E0B4"/>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1">
    <w:name w:val="xl111"/>
    <w:basedOn w:val="Normal"/>
    <w:rsid w:val="004535EB"/>
    <w:pPr>
      <w:pBdr>
        <w:top w:val="single" w:sz="4" w:space="0" w:color="A9D08E"/>
        <w:left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2">
    <w:name w:val="xl112"/>
    <w:basedOn w:val="Normal"/>
    <w:rsid w:val="004535EB"/>
    <w:pPr>
      <w:pBdr>
        <w:top w:val="single" w:sz="4" w:space="0" w:color="A9D08E"/>
        <w:left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3">
    <w:name w:val="xl113"/>
    <w:basedOn w:val="Normal"/>
    <w:rsid w:val="004535EB"/>
    <w:pPr>
      <w:pBdr>
        <w:top w:val="single" w:sz="4" w:space="0" w:color="A9D08E"/>
        <w:left w:val="single" w:sz="8" w:space="0" w:color="A8D08D"/>
        <w:bottom w:val="single" w:sz="4" w:space="0" w:color="A9D08E"/>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4">
    <w:name w:val="xl114"/>
    <w:basedOn w:val="Normal"/>
    <w:rsid w:val="004535EB"/>
    <w:pPr>
      <w:pBdr>
        <w:top w:val="single" w:sz="4" w:space="0" w:color="A9D08E"/>
        <w:bottom w:val="single" w:sz="4" w:space="0" w:color="A9D08E"/>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5">
    <w:name w:val="xl115"/>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6">
    <w:name w:val="xl116"/>
    <w:basedOn w:val="Normal"/>
    <w:rsid w:val="004535EB"/>
    <w:pPr>
      <w:pBdr>
        <w:top w:val="single" w:sz="4" w:space="0" w:color="A9D08E"/>
        <w:left w:val="single" w:sz="8" w:space="0" w:color="A8D08D"/>
        <w:bottom w:val="single" w:sz="4" w:space="0" w:color="A9D08E"/>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7">
    <w:name w:val="xl117"/>
    <w:basedOn w:val="Normal"/>
    <w:rsid w:val="004535EB"/>
    <w:pPr>
      <w:pBdr>
        <w:top w:val="single" w:sz="4" w:space="0" w:color="A9D08E"/>
        <w:bottom w:val="single" w:sz="4" w:space="0" w:color="A9D08E"/>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8">
    <w:name w:val="xl118"/>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9">
    <w:name w:val="xl119"/>
    <w:basedOn w:val="Normal"/>
    <w:rsid w:val="004535EB"/>
    <w:pPr>
      <w:pBdr>
        <w:top w:val="single" w:sz="4" w:space="0" w:color="A9D08E"/>
        <w:bottom w:val="single" w:sz="4" w:space="0" w:color="A9D08E"/>
        <w:right w:val="single" w:sz="4" w:space="0" w:color="C6E0B4"/>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20">
    <w:name w:val="xl120"/>
    <w:basedOn w:val="Normal"/>
    <w:rsid w:val="004535EB"/>
    <w:pPr>
      <w:pBdr>
        <w:top w:val="single" w:sz="4" w:space="0" w:color="A9D08E"/>
        <w:bottom w:val="single" w:sz="4" w:space="0" w:color="A9D08E"/>
        <w:right w:val="single" w:sz="4" w:space="0" w:color="C6E0B4"/>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s-MX"/>
    </w:rPr>
  </w:style>
  <w:style w:type="character" w:customStyle="1" w:styleId="N1IFTCar">
    <w:name w:val="N1 IFT Car"/>
    <w:basedOn w:val="Fuentedeprrafopredeter"/>
    <w:link w:val="N1IFT"/>
    <w:locked/>
    <w:rsid w:val="00837023"/>
    <w:rPr>
      <w:rFonts w:ascii="ITC Avant Garde" w:hAnsi="ITC Avant Garde"/>
      <w:b/>
      <w:bCs/>
      <w:color w:val="000000"/>
      <w:lang w:eastAsia="es-ES"/>
    </w:rPr>
  </w:style>
  <w:style w:type="paragraph" w:customStyle="1" w:styleId="N1IFT">
    <w:name w:val="N1 IFT"/>
    <w:basedOn w:val="Normal"/>
    <w:link w:val="N1IFTCar"/>
    <w:rsid w:val="00837023"/>
    <w:pPr>
      <w:jc w:val="both"/>
    </w:pPr>
    <w:rPr>
      <w:rFonts w:ascii="ITC Avant Garde" w:eastAsiaTheme="minorHAnsi" w:hAnsi="ITC Avant Garde" w:cstheme="minorBidi"/>
      <w:b/>
      <w:bCs/>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3290">
      <w:bodyDiv w:val="1"/>
      <w:marLeft w:val="0"/>
      <w:marRight w:val="0"/>
      <w:marTop w:val="0"/>
      <w:marBottom w:val="0"/>
      <w:divBdr>
        <w:top w:val="none" w:sz="0" w:space="0" w:color="auto"/>
        <w:left w:val="none" w:sz="0" w:space="0" w:color="auto"/>
        <w:bottom w:val="none" w:sz="0" w:space="0" w:color="auto"/>
        <w:right w:val="none" w:sz="0" w:space="0" w:color="auto"/>
      </w:divBdr>
    </w:div>
    <w:div w:id="52430240">
      <w:bodyDiv w:val="1"/>
      <w:marLeft w:val="0"/>
      <w:marRight w:val="0"/>
      <w:marTop w:val="0"/>
      <w:marBottom w:val="0"/>
      <w:divBdr>
        <w:top w:val="none" w:sz="0" w:space="0" w:color="auto"/>
        <w:left w:val="none" w:sz="0" w:space="0" w:color="auto"/>
        <w:bottom w:val="none" w:sz="0" w:space="0" w:color="auto"/>
        <w:right w:val="none" w:sz="0" w:space="0" w:color="auto"/>
      </w:divBdr>
    </w:div>
    <w:div w:id="71705085">
      <w:bodyDiv w:val="1"/>
      <w:marLeft w:val="0"/>
      <w:marRight w:val="0"/>
      <w:marTop w:val="0"/>
      <w:marBottom w:val="0"/>
      <w:divBdr>
        <w:top w:val="none" w:sz="0" w:space="0" w:color="auto"/>
        <w:left w:val="none" w:sz="0" w:space="0" w:color="auto"/>
        <w:bottom w:val="none" w:sz="0" w:space="0" w:color="auto"/>
        <w:right w:val="none" w:sz="0" w:space="0" w:color="auto"/>
      </w:divBdr>
    </w:div>
    <w:div w:id="95951809">
      <w:bodyDiv w:val="1"/>
      <w:marLeft w:val="0"/>
      <w:marRight w:val="0"/>
      <w:marTop w:val="0"/>
      <w:marBottom w:val="0"/>
      <w:divBdr>
        <w:top w:val="none" w:sz="0" w:space="0" w:color="auto"/>
        <w:left w:val="none" w:sz="0" w:space="0" w:color="auto"/>
        <w:bottom w:val="none" w:sz="0" w:space="0" w:color="auto"/>
        <w:right w:val="none" w:sz="0" w:space="0" w:color="auto"/>
      </w:divBdr>
    </w:div>
    <w:div w:id="127017667">
      <w:bodyDiv w:val="1"/>
      <w:marLeft w:val="0"/>
      <w:marRight w:val="0"/>
      <w:marTop w:val="0"/>
      <w:marBottom w:val="0"/>
      <w:divBdr>
        <w:top w:val="none" w:sz="0" w:space="0" w:color="auto"/>
        <w:left w:val="none" w:sz="0" w:space="0" w:color="auto"/>
        <w:bottom w:val="none" w:sz="0" w:space="0" w:color="auto"/>
        <w:right w:val="none" w:sz="0" w:space="0" w:color="auto"/>
      </w:divBdr>
    </w:div>
    <w:div w:id="134759774">
      <w:bodyDiv w:val="1"/>
      <w:marLeft w:val="0"/>
      <w:marRight w:val="0"/>
      <w:marTop w:val="0"/>
      <w:marBottom w:val="0"/>
      <w:divBdr>
        <w:top w:val="none" w:sz="0" w:space="0" w:color="auto"/>
        <w:left w:val="none" w:sz="0" w:space="0" w:color="auto"/>
        <w:bottom w:val="none" w:sz="0" w:space="0" w:color="auto"/>
        <w:right w:val="none" w:sz="0" w:space="0" w:color="auto"/>
      </w:divBdr>
    </w:div>
    <w:div w:id="141119096">
      <w:bodyDiv w:val="1"/>
      <w:marLeft w:val="0"/>
      <w:marRight w:val="0"/>
      <w:marTop w:val="0"/>
      <w:marBottom w:val="0"/>
      <w:divBdr>
        <w:top w:val="none" w:sz="0" w:space="0" w:color="auto"/>
        <w:left w:val="none" w:sz="0" w:space="0" w:color="auto"/>
        <w:bottom w:val="none" w:sz="0" w:space="0" w:color="auto"/>
        <w:right w:val="none" w:sz="0" w:space="0" w:color="auto"/>
      </w:divBdr>
    </w:div>
    <w:div w:id="154300453">
      <w:bodyDiv w:val="1"/>
      <w:marLeft w:val="0"/>
      <w:marRight w:val="0"/>
      <w:marTop w:val="0"/>
      <w:marBottom w:val="0"/>
      <w:divBdr>
        <w:top w:val="none" w:sz="0" w:space="0" w:color="auto"/>
        <w:left w:val="none" w:sz="0" w:space="0" w:color="auto"/>
        <w:bottom w:val="none" w:sz="0" w:space="0" w:color="auto"/>
        <w:right w:val="none" w:sz="0" w:space="0" w:color="auto"/>
      </w:divBdr>
    </w:div>
    <w:div w:id="161628065">
      <w:bodyDiv w:val="1"/>
      <w:marLeft w:val="0"/>
      <w:marRight w:val="0"/>
      <w:marTop w:val="0"/>
      <w:marBottom w:val="0"/>
      <w:divBdr>
        <w:top w:val="none" w:sz="0" w:space="0" w:color="auto"/>
        <w:left w:val="none" w:sz="0" w:space="0" w:color="auto"/>
        <w:bottom w:val="none" w:sz="0" w:space="0" w:color="auto"/>
        <w:right w:val="none" w:sz="0" w:space="0" w:color="auto"/>
      </w:divBdr>
    </w:div>
    <w:div w:id="179244463">
      <w:bodyDiv w:val="1"/>
      <w:marLeft w:val="0"/>
      <w:marRight w:val="0"/>
      <w:marTop w:val="0"/>
      <w:marBottom w:val="0"/>
      <w:divBdr>
        <w:top w:val="none" w:sz="0" w:space="0" w:color="auto"/>
        <w:left w:val="none" w:sz="0" w:space="0" w:color="auto"/>
        <w:bottom w:val="none" w:sz="0" w:space="0" w:color="auto"/>
        <w:right w:val="none" w:sz="0" w:space="0" w:color="auto"/>
      </w:divBdr>
    </w:div>
    <w:div w:id="179515070">
      <w:bodyDiv w:val="1"/>
      <w:marLeft w:val="0"/>
      <w:marRight w:val="0"/>
      <w:marTop w:val="0"/>
      <w:marBottom w:val="0"/>
      <w:divBdr>
        <w:top w:val="none" w:sz="0" w:space="0" w:color="auto"/>
        <w:left w:val="none" w:sz="0" w:space="0" w:color="auto"/>
        <w:bottom w:val="none" w:sz="0" w:space="0" w:color="auto"/>
        <w:right w:val="none" w:sz="0" w:space="0" w:color="auto"/>
      </w:divBdr>
    </w:div>
    <w:div w:id="186330877">
      <w:bodyDiv w:val="1"/>
      <w:marLeft w:val="0"/>
      <w:marRight w:val="0"/>
      <w:marTop w:val="0"/>
      <w:marBottom w:val="0"/>
      <w:divBdr>
        <w:top w:val="none" w:sz="0" w:space="0" w:color="auto"/>
        <w:left w:val="none" w:sz="0" w:space="0" w:color="auto"/>
        <w:bottom w:val="none" w:sz="0" w:space="0" w:color="auto"/>
        <w:right w:val="none" w:sz="0" w:space="0" w:color="auto"/>
      </w:divBdr>
    </w:div>
    <w:div w:id="188299508">
      <w:bodyDiv w:val="1"/>
      <w:marLeft w:val="0"/>
      <w:marRight w:val="0"/>
      <w:marTop w:val="0"/>
      <w:marBottom w:val="0"/>
      <w:divBdr>
        <w:top w:val="none" w:sz="0" w:space="0" w:color="auto"/>
        <w:left w:val="none" w:sz="0" w:space="0" w:color="auto"/>
        <w:bottom w:val="none" w:sz="0" w:space="0" w:color="auto"/>
        <w:right w:val="none" w:sz="0" w:space="0" w:color="auto"/>
      </w:divBdr>
    </w:div>
    <w:div w:id="190578894">
      <w:bodyDiv w:val="1"/>
      <w:marLeft w:val="0"/>
      <w:marRight w:val="0"/>
      <w:marTop w:val="0"/>
      <w:marBottom w:val="0"/>
      <w:divBdr>
        <w:top w:val="none" w:sz="0" w:space="0" w:color="auto"/>
        <w:left w:val="none" w:sz="0" w:space="0" w:color="auto"/>
        <w:bottom w:val="none" w:sz="0" w:space="0" w:color="auto"/>
        <w:right w:val="none" w:sz="0" w:space="0" w:color="auto"/>
      </w:divBdr>
    </w:div>
    <w:div w:id="201673622">
      <w:bodyDiv w:val="1"/>
      <w:marLeft w:val="0"/>
      <w:marRight w:val="0"/>
      <w:marTop w:val="0"/>
      <w:marBottom w:val="0"/>
      <w:divBdr>
        <w:top w:val="none" w:sz="0" w:space="0" w:color="auto"/>
        <w:left w:val="none" w:sz="0" w:space="0" w:color="auto"/>
        <w:bottom w:val="none" w:sz="0" w:space="0" w:color="auto"/>
        <w:right w:val="none" w:sz="0" w:space="0" w:color="auto"/>
      </w:divBdr>
    </w:div>
    <w:div w:id="203443002">
      <w:bodyDiv w:val="1"/>
      <w:marLeft w:val="0"/>
      <w:marRight w:val="0"/>
      <w:marTop w:val="0"/>
      <w:marBottom w:val="0"/>
      <w:divBdr>
        <w:top w:val="none" w:sz="0" w:space="0" w:color="auto"/>
        <w:left w:val="none" w:sz="0" w:space="0" w:color="auto"/>
        <w:bottom w:val="none" w:sz="0" w:space="0" w:color="auto"/>
        <w:right w:val="none" w:sz="0" w:space="0" w:color="auto"/>
      </w:divBdr>
    </w:div>
    <w:div w:id="212233901">
      <w:bodyDiv w:val="1"/>
      <w:marLeft w:val="0"/>
      <w:marRight w:val="0"/>
      <w:marTop w:val="0"/>
      <w:marBottom w:val="0"/>
      <w:divBdr>
        <w:top w:val="none" w:sz="0" w:space="0" w:color="auto"/>
        <w:left w:val="none" w:sz="0" w:space="0" w:color="auto"/>
        <w:bottom w:val="none" w:sz="0" w:space="0" w:color="auto"/>
        <w:right w:val="none" w:sz="0" w:space="0" w:color="auto"/>
      </w:divBdr>
    </w:div>
    <w:div w:id="239097028">
      <w:bodyDiv w:val="1"/>
      <w:marLeft w:val="0"/>
      <w:marRight w:val="0"/>
      <w:marTop w:val="0"/>
      <w:marBottom w:val="0"/>
      <w:divBdr>
        <w:top w:val="none" w:sz="0" w:space="0" w:color="auto"/>
        <w:left w:val="none" w:sz="0" w:space="0" w:color="auto"/>
        <w:bottom w:val="none" w:sz="0" w:space="0" w:color="auto"/>
        <w:right w:val="none" w:sz="0" w:space="0" w:color="auto"/>
      </w:divBdr>
    </w:div>
    <w:div w:id="286013326">
      <w:bodyDiv w:val="1"/>
      <w:marLeft w:val="0"/>
      <w:marRight w:val="0"/>
      <w:marTop w:val="0"/>
      <w:marBottom w:val="0"/>
      <w:divBdr>
        <w:top w:val="none" w:sz="0" w:space="0" w:color="auto"/>
        <w:left w:val="none" w:sz="0" w:space="0" w:color="auto"/>
        <w:bottom w:val="none" w:sz="0" w:space="0" w:color="auto"/>
        <w:right w:val="none" w:sz="0" w:space="0" w:color="auto"/>
      </w:divBdr>
    </w:div>
    <w:div w:id="290868499">
      <w:bodyDiv w:val="1"/>
      <w:marLeft w:val="0"/>
      <w:marRight w:val="0"/>
      <w:marTop w:val="0"/>
      <w:marBottom w:val="0"/>
      <w:divBdr>
        <w:top w:val="none" w:sz="0" w:space="0" w:color="auto"/>
        <w:left w:val="none" w:sz="0" w:space="0" w:color="auto"/>
        <w:bottom w:val="none" w:sz="0" w:space="0" w:color="auto"/>
        <w:right w:val="none" w:sz="0" w:space="0" w:color="auto"/>
      </w:divBdr>
    </w:div>
    <w:div w:id="308290030">
      <w:bodyDiv w:val="1"/>
      <w:marLeft w:val="0"/>
      <w:marRight w:val="0"/>
      <w:marTop w:val="0"/>
      <w:marBottom w:val="0"/>
      <w:divBdr>
        <w:top w:val="none" w:sz="0" w:space="0" w:color="auto"/>
        <w:left w:val="none" w:sz="0" w:space="0" w:color="auto"/>
        <w:bottom w:val="none" w:sz="0" w:space="0" w:color="auto"/>
        <w:right w:val="none" w:sz="0" w:space="0" w:color="auto"/>
      </w:divBdr>
    </w:div>
    <w:div w:id="308483784">
      <w:bodyDiv w:val="1"/>
      <w:marLeft w:val="0"/>
      <w:marRight w:val="0"/>
      <w:marTop w:val="0"/>
      <w:marBottom w:val="0"/>
      <w:divBdr>
        <w:top w:val="none" w:sz="0" w:space="0" w:color="auto"/>
        <w:left w:val="none" w:sz="0" w:space="0" w:color="auto"/>
        <w:bottom w:val="none" w:sz="0" w:space="0" w:color="auto"/>
        <w:right w:val="none" w:sz="0" w:space="0" w:color="auto"/>
      </w:divBdr>
    </w:div>
    <w:div w:id="315260053">
      <w:bodyDiv w:val="1"/>
      <w:marLeft w:val="0"/>
      <w:marRight w:val="0"/>
      <w:marTop w:val="0"/>
      <w:marBottom w:val="0"/>
      <w:divBdr>
        <w:top w:val="none" w:sz="0" w:space="0" w:color="auto"/>
        <w:left w:val="none" w:sz="0" w:space="0" w:color="auto"/>
        <w:bottom w:val="none" w:sz="0" w:space="0" w:color="auto"/>
        <w:right w:val="none" w:sz="0" w:space="0" w:color="auto"/>
      </w:divBdr>
    </w:div>
    <w:div w:id="322202572">
      <w:bodyDiv w:val="1"/>
      <w:marLeft w:val="0"/>
      <w:marRight w:val="0"/>
      <w:marTop w:val="0"/>
      <w:marBottom w:val="0"/>
      <w:divBdr>
        <w:top w:val="none" w:sz="0" w:space="0" w:color="auto"/>
        <w:left w:val="none" w:sz="0" w:space="0" w:color="auto"/>
        <w:bottom w:val="none" w:sz="0" w:space="0" w:color="auto"/>
        <w:right w:val="none" w:sz="0" w:space="0" w:color="auto"/>
      </w:divBdr>
    </w:div>
    <w:div w:id="357780465">
      <w:bodyDiv w:val="1"/>
      <w:marLeft w:val="0"/>
      <w:marRight w:val="0"/>
      <w:marTop w:val="0"/>
      <w:marBottom w:val="0"/>
      <w:divBdr>
        <w:top w:val="none" w:sz="0" w:space="0" w:color="auto"/>
        <w:left w:val="none" w:sz="0" w:space="0" w:color="auto"/>
        <w:bottom w:val="none" w:sz="0" w:space="0" w:color="auto"/>
        <w:right w:val="none" w:sz="0" w:space="0" w:color="auto"/>
      </w:divBdr>
    </w:div>
    <w:div w:id="386342413">
      <w:bodyDiv w:val="1"/>
      <w:marLeft w:val="0"/>
      <w:marRight w:val="0"/>
      <w:marTop w:val="0"/>
      <w:marBottom w:val="0"/>
      <w:divBdr>
        <w:top w:val="none" w:sz="0" w:space="0" w:color="auto"/>
        <w:left w:val="none" w:sz="0" w:space="0" w:color="auto"/>
        <w:bottom w:val="none" w:sz="0" w:space="0" w:color="auto"/>
        <w:right w:val="none" w:sz="0" w:space="0" w:color="auto"/>
      </w:divBdr>
    </w:div>
    <w:div w:id="395662544">
      <w:bodyDiv w:val="1"/>
      <w:marLeft w:val="0"/>
      <w:marRight w:val="0"/>
      <w:marTop w:val="0"/>
      <w:marBottom w:val="0"/>
      <w:divBdr>
        <w:top w:val="none" w:sz="0" w:space="0" w:color="auto"/>
        <w:left w:val="none" w:sz="0" w:space="0" w:color="auto"/>
        <w:bottom w:val="none" w:sz="0" w:space="0" w:color="auto"/>
        <w:right w:val="none" w:sz="0" w:space="0" w:color="auto"/>
      </w:divBdr>
    </w:div>
    <w:div w:id="432746172">
      <w:bodyDiv w:val="1"/>
      <w:marLeft w:val="0"/>
      <w:marRight w:val="0"/>
      <w:marTop w:val="0"/>
      <w:marBottom w:val="0"/>
      <w:divBdr>
        <w:top w:val="none" w:sz="0" w:space="0" w:color="auto"/>
        <w:left w:val="none" w:sz="0" w:space="0" w:color="auto"/>
        <w:bottom w:val="none" w:sz="0" w:space="0" w:color="auto"/>
        <w:right w:val="none" w:sz="0" w:space="0" w:color="auto"/>
      </w:divBdr>
    </w:div>
    <w:div w:id="439644207">
      <w:bodyDiv w:val="1"/>
      <w:marLeft w:val="0"/>
      <w:marRight w:val="0"/>
      <w:marTop w:val="0"/>
      <w:marBottom w:val="0"/>
      <w:divBdr>
        <w:top w:val="none" w:sz="0" w:space="0" w:color="auto"/>
        <w:left w:val="none" w:sz="0" w:space="0" w:color="auto"/>
        <w:bottom w:val="none" w:sz="0" w:space="0" w:color="auto"/>
        <w:right w:val="none" w:sz="0" w:space="0" w:color="auto"/>
      </w:divBdr>
    </w:div>
    <w:div w:id="457727811">
      <w:bodyDiv w:val="1"/>
      <w:marLeft w:val="0"/>
      <w:marRight w:val="0"/>
      <w:marTop w:val="0"/>
      <w:marBottom w:val="0"/>
      <w:divBdr>
        <w:top w:val="none" w:sz="0" w:space="0" w:color="auto"/>
        <w:left w:val="none" w:sz="0" w:space="0" w:color="auto"/>
        <w:bottom w:val="none" w:sz="0" w:space="0" w:color="auto"/>
        <w:right w:val="none" w:sz="0" w:space="0" w:color="auto"/>
      </w:divBdr>
    </w:div>
    <w:div w:id="472524675">
      <w:bodyDiv w:val="1"/>
      <w:marLeft w:val="0"/>
      <w:marRight w:val="0"/>
      <w:marTop w:val="0"/>
      <w:marBottom w:val="0"/>
      <w:divBdr>
        <w:top w:val="none" w:sz="0" w:space="0" w:color="auto"/>
        <w:left w:val="none" w:sz="0" w:space="0" w:color="auto"/>
        <w:bottom w:val="none" w:sz="0" w:space="0" w:color="auto"/>
        <w:right w:val="none" w:sz="0" w:space="0" w:color="auto"/>
      </w:divBdr>
    </w:div>
    <w:div w:id="484397399">
      <w:bodyDiv w:val="1"/>
      <w:marLeft w:val="0"/>
      <w:marRight w:val="0"/>
      <w:marTop w:val="0"/>
      <w:marBottom w:val="0"/>
      <w:divBdr>
        <w:top w:val="none" w:sz="0" w:space="0" w:color="auto"/>
        <w:left w:val="none" w:sz="0" w:space="0" w:color="auto"/>
        <w:bottom w:val="none" w:sz="0" w:space="0" w:color="auto"/>
        <w:right w:val="none" w:sz="0" w:space="0" w:color="auto"/>
      </w:divBdr>
    </w:div>
    <w:div w:id="499856462">
      <w:bodyDiv w:val="1"/>
      <w:marLeft w:val="0"/>
      <w:marRight w:val="0"/>
      <w:marTop w:val="0"/>
      <w:marBottom w:val="0"/>
      <w:divBdr>
        <w:top w:val="none" w:sz="0" w:space="0" w:color="auto"/>
        <w:left w:val="none" w:sz="0" w:space="0" w:color="auto"/>
        <w:bottom w:val="none" w:sz="0" w:space="0" w:color="auto"/>
        <w:right w:val="none" w:sz="0" w:space="0" w:color="auto"/>
      </w:divBdr>
    </w:div>
    <w:div w:id="505026004">
      <w:bodyDiv w:val="1"/>
      <w:marLeft w:val="0"/>
      <w:marRight w:val="0"/>
      <w:marTop w:val="0"/>
      <w:marBottom w:val="0"/>
      <w:divBdr>
        <w:top w:val="none" w:sz="0" w:space="0" w:color="auto"/>
        <w:left w:val="none" w:sz="0" w:space="0" w:color="auto"/>
        <w:bottom w:val="none" w:sz="0" w:space="0" w:color="auto"/>
        <w:right w:val="none" w:sz="0" w:space="0" w:color="auto"/>
      </w:divBdr>
    </w:div>
    <w:div w:id="522523741">
      <w:bodyDiv w:val="1"/>
      <w:marLeft w:val="0"/>
      <w:marRight w:val="0"/>
      <w:marTop w:val="0"/>
      <w:marBottom w:val="0"/>
      <w:divBdr>
        <w:top w:val="none" w:sz="0" w:space="0" w:color="auto"/>
        <w:left w:val="none" w:sz="0" w:space="0" w:color="auto"/>
        <w:bottom w:val="none" w:sz="0" w:space="0" w:color="auto"/>
        <w:right w:val="none" w:sz="0" w:space="0" w:color="auto"/>
      </w:divBdr>
    </w:div>
    <w:div w:id="529802054">
      <w:bodyDiv w:val="1"/>
      <w:marLeft w:val="0"/>
      <w:marRight w:val="0"/>
      <w:marTop w:val="0"/>
      <w:marBottom w:val="0"/>
      <w:divBdr>
        <w:top w:val="none" w:sz="0" w:space="0" w:color="auto"/>
        <w:left w:val="none" w:sz="0" w:space="0" w:color="auto"/>
        <w:bottom w:val="none" w:sz="0" w:space="0" w:color="auto"/>
        <w:right w:val="none" w:sz="0" w:space="0" w:color="auto"/>
      </w:divBdr>
    </w:div>
    <w:div w:id="533034348">
      <w:bodyDiv w:val="1"/>
      <w:marLeft w:val="0"/>
      <w:marRight w:val="0"/>
      <w:marTop w:val="0"/>
      <w:marBottom w:val="0"/>
      <w:divBdr>
        <w:top w:val="none" w:sz="0" w:space="0" w:color="auto"/>
        <w:left w:val="none" w:sz="0" w:space="0" w:color="auto"/>
        <w:bottom w:val="none" w:sz="0" w:space="0" w:color="auto"/>
        <w:right w:val="none" w:sz="0" w:space="0" w:color="auto"/>
      </w:divBdr>
    </w:div>
    <w:div w:id="539786759">
      <w:bodyDiv w:val="1"/>
      <w:marLeft w:val="0"/>
      <w:marRight w:val="0"/>
      <w:marTop w:val="0"/>
      <w:marBottom w:val="0"/>
      <w:divBdr>
        <w:top w:val="none" w:sz="0" w:space="0" w:color="auto"/>
        <w:left w:val="none" w:sz="0" w:space="0" w:color="auto"/>
        <w:bottom w:val="none" w:sz="0" w:space="0" w:color="auto"/>
        <w:right w:val="none" w:sz="0" w:space="0" w:color="auto"/>
      </w:divBdr>
    </w:div>
    <w:div w:id="543371206">
      <w:bodyDiv w:val="1"/>
      <w:marLeft w:val="0"/>
      <w:marRight w:val="0"/>
      <w:marTop w:val="0"/>
      <w:marBottom w:val="0"/>
      <w:divBdr>
        <w:top w:val="none" w:sz="0" w:space="0" w:color="auto"/>
        <w:left w:val="none" w:sz="0" w:space="0" w:color="auto"/>
        <w:bottom w:val="none" w:sz="0" w:space="0" w:color="auto"/>
        <w:right w:val="none" w:sz="0" w:space="0" w:color="auto"/>
      </w:divBdr>
    </w:div>
    <w:div w:id="543836898">
      <w:bodyDiv w:val="1"/>
      <w:marLeft w:val="0"/>
      <w:marRight w:val="0"/>
      <w:marTop w:val="0"/>
      <w:marBottom w:val="0"/>
      <w:divBdr>
        <w:top w:val="none" w:sz="0" w:space="0" w:color="auto"/>
        <w:left w:val="none" w:sz="0" w:space="0" w:color="auto"/>
        <w:bottom w:val="none" w:sz="0" w:space="0" w:color="auto"/>
        <w:right w:val="none" w:sz="0" w:space="0" w:color="auto"/>
      </w:divBdr>
    </w:div>
    <w:div w:id="547573306">
      <w:bodyDiv w:val="1"/>
      <w:marLeft w:val="0"/>
      <w:marRight w:val="0"/>
      <w:marTop w:val="0"/>
      <w:marBottom w:val="0"/>
      <w:divBdr>
        <w:top w:val="none" w:sz="0" w:space="0" w:color="auto"/>
        <w:left w:val="none" w:sz="0" w:space="0" w:color="auto"/>
        <w:bottom w:val="none" w:sz="0" w:space="0" w:color="auto"/>
        <w:right w:val="none" w:sz="0" w:space="0" w:color="auto"/>
      </w:divBdr>
    </w:div>
    <w:div w:id="550460631">
      <w:bodyDiv w:val="1"/>
      <w:marLeft w:val="0"/>
      <w:marRight w:val="0"/>
      <w:marTop w:val="0"/>
      <w:marBottom w:val="0"/>
      <w:divBdr>
        <w:top w:val="none" w:sz="0" w:space="0" w:color="auto"/>
        <w:left w:val="none" w:sz="0" w:space="0" w:color="auto"/>
        <w:bottom w:val="none" w:sz="0" w:space="0" w:color="auto"/>
        <w:right w:val="none" w:sz="0" w:space="0" w:color="auto"/>
      </w:divBdr>
    </w:div>
    <w:div w:id="552078193">
      <w:bodyDiv w:val="1"/>
      <w:marLeft w:val="0"/>
      <w:marRight w:val="0"/>
      <w:marTop w:val="0"/>
      <w:marBottom w:val="0"/>
      <w:divBdr>
        <w:top w:val="none" w:sz="0" w:space="0" w:color="auto"/>
        <w:left w:val="none" w:sz="0" w:space="0" w:color="auto"/>
        <w:bottom w:val="none" w:sz="0" w:space="0" w:color="auto"/>
        <w:right w:val="none" w:sz="0" w:space="0" w:color="auto"/>
      </w:divBdr>
    </w:div>
    <w:div w:id="557789187">
      <w:bodyDiv w:val="1"/>
      <w:marLeft w:val="0"/>
      <w:marRight w:val="0"/>
      <w:marTop w:val="0"/>
      <w:marBottom w:val="0"/>
      <w:divBdr>
        <w:top w:val="none" w:sz="0" w:space="0" w:color="auto"/>
        <w:left w:val="none" w:sz="0" w:space="0" w:color="auto"/>
        <w:bottom w:val="none" w:sz="0" w:space="0" w:color="auto"/>
        <w:right w:val="none" w:sz="0" w:space="0" w:color="auto"/>
      </w:divBdr>
    </w:div>
    <w:div w:id="561908816">
      <w:bodyDiv w:val="1"/>
      <w:marLeft w:val="0"/>
      <w:marRight w:val="0"/>
      <w:marTop w:val="0"/>
      <w:marBottom w:val="0"/>
      <w:divBdr>
        <w:top w:val="none" w:sz="0" w:space="0" w:color="auto"/>
        <w:left w:val="none" w:sz="0" w:space="0" w:color="auto"/>
        <w:bottom w:val="none" w:sz="0" w:space="0" w:color="auto"/>
        <w:right w:val="none" w:sz="0" w:space="0" w:color="auto"/>
      </w:divBdr>
    </w:div>
    <w:div w:id="604072028">
      <w:bodyDiv w:val="1"/>
      <w:marLeft w:val="0"/>
      <w:marRight w:val="0"/>
      <w:marTop w:val="0"/>
      <w:marBottom w:val="0"/>
      <w:divBdr>
        <w:top w:val="none" w:sz="0" w:space="0" w:color="auto"/>
        <w:left w:val="none" w:sz="0" w:space="0" w:color="auto"/>
        <w:bottom w:val="none" w:sz="0" w:space="0" w:color="auto"/>
        <w:right w:val="none" w:sz="0" w:space="0" w:color="auto"/>
      </w:divBdr>
    </w:div>
    <w:div w:id="613292301">
      <w:bodyDiv w:val="1"/>
      <w:marLeft w:val="0"/>
      <w:marRight w:val="0"/>
      <w:marTop w:val="0"/>
      <w:marBottom w:val="0"/>
      <w:divBdr>
        <w:top w:val="none" w:sz="0" w:space="0" w:color="auto"/>
        <w:left w:val="none" w:sz="0" w:space="0" w:color="auto"/>
        <w:bottom w:val="none" w:sz="0" w:space="0" w:color="auto"/>
        <w:right w:val="none" w:sz="0" w:space="0" w:color="auto"/>
      </w:divBdr>
    </w:div>
    <w:div w:id="617034394">
      <w:bodyDiv w:val="1"/>
      <w:marLeft w:val="0"/>
      <w:marRight w:val="0"/>
      <w:marTop w:val="0"/>
      <w:marBottom w:val="0"/>
      <w:divBdr>
        <w:top w:val="none" w:sz="0" w:space="0" w:color="auto"/>
        <w:left w:val="none" w:sz="0" w:space="0" w:color="auto"/>
        <w:bottom w:val="none" w:sz="0" w:space="0" w:color="auto"/>
        <w:right w:val="none" w:sz="0" w:space="0" w:color="auto"/>
      </w:divBdr>
    </w:div>
    <w:div w:id="621959664">
      <w:bodyDiv w:val="1"/>
      <w:marLeft w:val="0"/>
      <w:marRight w:val="0"/>
      <w:marTop w:val="0"/>
      <w:marBottom w:val="0"/>
      <w:divBdr>
        <w:top w:val="none" w:sz="0" w:space="0" w:color="auto"/>
        <w:left w:val="none" w:sz="0" w:space="0" w:color="auto"/>
        <w:bottom w:val="none" w:sz="0" w:space="0" w:color="auto"/>
        <w:right w:val="none" w:sz="0" w:space="0" w:color="auto"/>
      </w:divBdr>
    </w:div>
    <w:div w:id="629676713">
      <w:bodyDiv w:val="1"/>
      <w:marLeft w:val="0"/>
      <w:marRight w:val="0"/>
      <w:marTop w:val="0"/>
      <w:marBottom w:val="0"/>
      <w:divBdr>
        <w:top w:val="none" w:sz="0" w:space="0" w:color="auto"/>
        <w:left w:val="none" w:sz="0" w:space="0" w:color="auto"/>
        <w:bottom w:val="none" w:sz="0" w:space="0" w:color="auto"/>
        <w:right w:val="none" w:sz="0" w:space="0" w:color="auto"/>
      </w:divBdr>
    </w:div>
    <w:div w:id="630284861">
      <w:bodyDiv w:val="1"/>
      <w:marLeft w:val="0"/>
      <w:marRight w:val="0"/>
      <w:marTop w:val="0"/>
      <w:marBottom w:val="0"/>
      <w:divBdr>
        <w:top w:val="none" w:sz="0" w:space="0" w:color="auto"/>
        <w:left w:val="none" w:sz="0" w:space="0" w:color="auto"/>
        <w:bottom w:val="none" w:sz="0" w:space="0" w:color="auto"/>
        <w:right w:val="none" w:sz="0" w:space="0" w:color="auto"/>
      </w:divBdr>
    </w:div>
    <w:div w:id="639964705">
      <w:bodyDiv w:val="1"/>
      <w:marLeft w:val="0"/>
      <w:marRight w:val="0"/>
      <w:marTop w:val="0"/>
      <w:marBottom w:val="0"/>
      <w:divBdr>
        <w:top w:val="none" w:sz="0" w:space="0" w:color="auto"/>
        <w:left w:val="none" w:sz="0" w:space="0" w:color="auto"/>
        <w:bottom w:val="none" w:sz="0" w:space="0" w:color="auto"/>
        <w:right w:val="none" w:sz="0" w:space="0" w:color="auto"/>
      </w:divBdr>
    </w:div>
    <w:div w:id="641497023">
      <w:bodyDiv w:val="1"/>
      <w:marLeft w:val="0"/>
      <w:marRight w:val="0"/>
      <w:marTop w:val="0"/>
      <w:marBottom w:val="0"/>
      <w:divBdr>
        <w:top w:val="none" w:sz="0" w:space="0" w:color="auto"/>
        <w:left w:val="none" w:sz="0" w:space="0" w:color="auto"/>
        <w:bottom w:val="none" w:sz="0" w:space="0" w:color="auto"/>
        <w:right w:val="none" w:sz="0" w:space="0" w:color="auto"/>
      </w:divBdr>
    </w:div>
    <w:div w:id="669480859">
      <w:bodyDiv w:val="1"/>
      <w:marLeft w:val="0"/>
      <w:marRight w:val="0"/>
      <w:marTop w:val="0"/>
      <w:marBottom w:val="0"/>
      <w:divBdr>
        <w:top w:val="none" w:sz="0" w:space="0" w:color="auto"/>
        <w:left w:val="none" w:sz="0" w:space="0" w:color="auto"/>
        <w:bottom w:val="none" w:sz="0" w:space="0" w:color="auto"/>
        <w:right w:val="none" w:sz="0" w:space="0" w:color="auto"/>
      </w:divBdr>
    </w:div>
    <w:div w:id="686522211">
      <w:bodyDiv w:val="1"/>
      <w:marLeft w:val="0"/>
      <w:marRight w:val="0"/>
      <w:marTop w:val="0"/>
      <w:marBottom w:val="0"/>
      <w:divBdr>
        <w:top w:val="none" w:sz="0" w:space="0" w:color="auto"/>
        <w:left w:val="none" w:sz="0" w:space="0" w:color="auto"/>
        <w:bottom w:val="none" w:sz="0" w:space="0" w:color="auto"/>
        <w:right w:val="none" w:sz="0" w:space="0" w:color="auto"/>
      </w:divBdr>
    </w:div>
    <w:div w:id="687487799">
      <w:bodyDiv w:val="1"/>
      <w:marLeft w:val="0"/>
      <w:marRight w:val="0"/>
      <w:marTop w:val="0"/>
      <w:marBottom w:val="0"/>
      <w:divBdr>
        <w:top w:val="none" w:sz="0" w:space="0" w:color="auto"/>
        <w:left w:val="none" w:sz="0" w:space="0" w:color="auto"/>
        <w:bottom w:val="none" w:sz="0" w:space="0" w:color="auto"/>
        <w:right w:val="none" w:sz="0" w:space="0" w:color="auto"/>
      </w:divBdr>
    </w:div>
    <w:div w:id="708188504">
      <w:bodyDiv w:val="1"/>
      <w:marLeft w:val="0"/>
      <w:marRight w:val="0"/>
      <w:marTop w:val="0"/>
      <w:marBottom w:val="0"/>
      <w:divBdr>
        <w:top w:val="none" w:sz="0" w:space="0" w:color="auto"/>
        <w:left w:val="none" w:sz="0" w:space="0" w:color="auto"/>
        <w:bottom w:val="none" w:sz="0" w:space="0" w:color="auto"/>
        <w:right w:val="none" w:sz="0" w:space="0" w:color="auto"/>
      </w:divBdr>
    </w:div>
    <w:div w:id="712578743">
      <w:bodyDiv w:val="1"/>
      <w:marLeft w:val="0"/>
      <w:marRight w:val="0"/>
      <w:marTop w:val="0"/>
      <w:marBottom w:val="0"/>
      <w:divBdr>
        <w:top w:val="none" w:sz="0" w:space="0" w:color="auto"/>
        <w:left w:val="none" w:sz="0" w:space="0" w:color="auto"/>
        <w:bottom w:val="none" w:sz="0" w:space="0" w:color="auto"/>
        <w:right w:val="none" w:sz="0" w:space="0" w:color="auto"/>
      </w:divBdr>
    </w:div>
    <w:div w:id="723211128">
      <w:bodyDiv w:val="1"/>
      <w:marLeft w:val="0"/>
      <w:marRight w:val="0"/>
      <w:marTop w:val="0"/>
      <w:marBottom w:val="0"/>
      <w:divBdr>
        <w:top w:val="none" w:sz="0" w:space="0" w:color="auto"/>
        <w:left w:val="none" w:sz="0" w:space="0" w:color="auto"/>
        <w:bottom w:val="none" w:sz="0" w:space="0" w:color="auto"/>
        <w:right w:val="none" w:sz="0" w:space="0" w:color="auto"/>
      </w:divBdr>
    </w:div>
    <w:div w:id="726341463">
      <w:bodyDiv w:val="1"/>
      <w:marLeft w:val="0"/>
      <w:marRight w:val="0"/>
      <w:marTop w:val="0"/>
      <w:marBottom w:val="0"/>
      <w:divBdr>
        <w:top w:val="none" w:sz="0" w:space="0" w:color="auto"/>
        <w:left w:val="none" w:sz="0" w:space="0" w:color="auto"/>
        <w:bottom w:val="none" w:sz="0" w:space="0" w:color="auto"/>
        <w:right w:val="none" w:sz="0" w:space="0" w:color="auto"/>
      </w:divBdr>
    </w:div>
    <w:div w:id="738331645">
      <w:bodyDiv w:val="1"/>
      <w:marLeft w:val="0"/>
      <w:marRight w:val="0"/>
      <w:marTop w:val="0"/>
      <w:marBottom w:val="0"/>
      <w:divBdr>
        <w:top w:val="none" w:sz="0" w:space="0" w:color="auto"/>
        <w:left w:val="none" w:sz="0" w:space="0" w:color="auto"/>
        <w:bottom w:val="none" w:sz="0" w:space="0" w:color="auto"/>
        <w:right w:val="none" w:sz="0" w:space="0" w:color="auto"/>
      </w:divBdr>
    </w:div>
    <w:div w:id="747969233">
      <w:bodyDiv w:val="1"/>
      <w:marLeft w:val="0"/>
      <w:marRight w:val="0"/>
      <w:marTop w:val="0"/>
      <w:marBottom w:val="0"/>
      <w:divBdr>
        <w:top w:val="none" w:sz="0" w:space="0" w:color="auto"/>
        <w:left w:val="none" w:sz="0" w:space="0" w:color="auto"/>
        <w:bottom w:val="none" w:sz="0" w:space="0" w:color="auto"/>
        <w:right w:val="none" w:sz="0" w:space="0" w:color="auto"/>
      </w:divBdr>
    </w:div>
    <w:div w:id="752506514">
      <w:bodyDiv w:val="1"/>
      <w:marLeft w:val="0"/>
      <w:marRight w:val="0"/>
      <w:marTop w:val="0"/>
      <w:marBottom w:val="0"/>
      <w:divBdr>
        <w:top w:val="none" w:sz="0" w:space="0" w:color="auto"/>
        <w:left w:val="none" w:sz="0" w:space="0" w:color="auto"/>
        <w:bottom w:val="none" w:sz="0" w:space="0" w:color="auto"/>
        <w:right w:val="none" w:sz="0" w:space="0" w:color="auto"/>
      </w:divBdr>
    </w:div>
    <w:div w:id="755713532">
      <w:bodyDiv w:val="1"/>
      <w:marLeft w:val="0"/>
      <w:marRight w:val="0"/>
      <w:marTop w:val="0"/>
      <w:marBottom w:val="0"/>
      <w:divBdr>
        <w:top w:val="none" w:sz="0" w:space="0" w:color="auto"/>
        <w:left w:val="none" w:sz="0" w:space="0" w:color="auto"/>
        <w:bottom w:val="none" w:sz="0" w:space="0" w:color="auto"/>
        <w:right w:val="none" w:sz="0" w:space="0" w:color="auto"/>
      </w:divBdr>
    </w:div>
    <w:div w:id="762646553">
      <w:bodyDiv w:val="1"/>
      <w:marLeft w:val="0"/>
      <w:marRight w:val="0"/>
      <w:marTop w:val="0"/>
      <w:marBottom w:val="0"/>
      <w:divBdr>
        <w:top w:val="none" w:sz="0" w:space="0" w:color="auto"/>
        <w:left w:val="none" w:sz="0" w:space="0" w:color="auto"/>
        <w:bottom w:val="none" w:sz="0" w:space="0" w:color="auto"/>
        <w:right w:val="none" w:sz="0" w:space="0" w:color="auto"/>
      </w:divBdr>
    </w:div>
    <w:div w:id="773135755">
      <w:bodyDiv w:val="1"/>
      <w:marLeft w:val="0"/>
      <w:marRight w:val="0"/>
      <w:marTop w:val="0"/>
      <w:marBottom w:val="0"/>
      <w:divBdr>
        <w:top w:val="none" w:sz="0" w:space="0" w:color="auto"/>
        <w:left w:val="none" w:sz="0" w:space="0" w:color="auto"/>
        <w:bottom w:val="none" w:sz="0" w:space="0" w:color="auto"/>
        <w:right w:val="none" w:sz="0" w:space="0" w:color="auto"/>
      </w:divBdr>
    </w:div>
    <w:div w:id="774911112">
      <w:bodyDiv w:val="1"/>
      <w:marLeft w:val="0"/>
      <w:marRight w:val="0"/>
      <w:marTop w:val="0"/>
      <w:marBottom w:val="0"/>
      <w:divBdr>
        <w:top w:val="none" w:sz="0" w:space="0" w:color="auto"/>
        <w:left w:val="none" w:sz="0" w:space="0" w:color="auto"/>
        <w:bottom w:val="none" w:sz="0" w:space="0" w:color="auto"/>
        <w:right w:val="none" w:sz="0" w:space="0" w:color="auto"/>
      </w:divBdr>
    </w:div>
    <w:div w:id="787745633">
      <w:bodyDiv w:val="1"/>
      <w:marLeft w:val="0"/>
      <w:marRight w:val="0"/>
      <w:marTop w:val="0"/>
      <w:marBottom w:val="0"/>
      <w:divBdr>
        <w:top w:val="none" w:sz="0" w:space="0" w:color="auto"/>
        <w:left w:val="none" w:sz="0" w:space="0" w:color="auto"/>
        <w:bottom w:val="none" w:sz="0" w:space="0" w:color="auto"/>
        <w:right w:val="none" w:sz="0" w:space="0" w:color="auto"/>
      </w:divBdr>
    </w:div>
    <w:div w:id="788544806">
      <w:bodyDiv w:val="1"/>
      <w:marLeft w:val="0"/>
      <w:marRight w:val="0"/>
      <w:marTop w:val="0"/>
      <w:marBottom w:val="0"/>
      <w:divBdr>
        <w:top w:val="none" w:sz="0" w:space="0" w:color="auto"/>
        <w:left w:val="none" w:sz="0" w:space="0" w:color="auto"/>
        <w:bottom w:val="none" w:sz="0" w:space="0" w:color="auto"/>
        <w:right w:val="none" w:sz="0" w:space="0" w:color="auto"/>
      </w:divBdr>
    </w:div>
    <w:div w:id="795876465">
      <w:bodyDiv w:val="1"/>
      <w:marLeft w:val="0"/>
      <w:marRight w:val="0"/>
      <w:marTop w:val="0"/>
      <w:marBottom w:val="0"/>
      <w:divBdr>
        <w:top w:val="none" w:sz="0" w:space="0" w:color="auto"/>
        <w:left w:val="none" w:sz="0" w:space="0" w:color="auto"/>
        <w:bottom w:val="none" w:sz="0" w:space="0" w:color="auto"/>
        <w:right w:val="none" w:sz="0" w:space="0" w:color="auto"/>
      </w:divBdr>
    </w:div>
    <w:div w:id="821505656">
      <w:bodyDiv w:val="1"/>
      <w:marLeft w:val="0"/>
      <w:marRight w:val="0"/>
      <w:marTop w:val="0"/>
      <w:marBottom w:val="0"/>
      <w:divBdr>
        <w:top w:val="none" w:sz="0" w:space="0" w:color="auto"/>
        <w:left w:val="none" w:sz="0" w:space="0" w:color="auto"/>
        <w:bottom w:val="none" w:sz="0" w:space="0" w:color="auto"/>
        <w:right w:val="none" w:sz="0" w:space="0" w:color="auto"/>
      </w:divBdr>
    </w:div>
    <w:div w:id="825632436">
      <w:bodyDiv w:val="1"/>
      <w:marLeft w:val="0"/>
      <w:marRight w:val="0"/>
      <w:marTop w:val="0"/>
      <w:marBottom w:val="0"/>
      <w:divBdr>
        <w:top w:val="none" w:sz="0" w:space="0" w:color="auto"/>
        <w:left w:val="none" w:sz="0" w:space="0" w:color="auto"/>
        <w:bottom w:val="none" w:sz="0" w:space="0" w:color="auto"/>
        <w:right w:val="none" w:sz="0" w:space="0" w:color="auto"/>
      </w:divBdr>
    </w:div>
    <w:div w:id="839734177">
      <w:bodyDiv w:val="1"/>
      <w:marLeft w:val="0"/>
      <w:marRight w:val="0"/>
      <w:marTop w:val="0"/>
      <w:marBottom w:val="0"/>
      <w:divBdr>
        <w:top w:val="none" w:sz="0" w:space="0" w:color="auto"/>
        <w:left w:val="none" w:sz="0" w:space="0" w:color="auto"/>
        <w:bottom w:val="none" w:sz="0" w:space="0" w:color="auto"/>
        <w:right w:val="none" w:sz="0" w:space="0" w:color="auto"/>
      </w:divBdr>
    </w:div>
    <w:div w:id="845943928">
      <w:bodyDiv w:val="1"/>
      <w:marLeft w:val="0"/>
      <w:marRight w:val="0"/>
      <w:marTop w:val="0"/>
      <w:marBottom w:val="0"/>
      <w:divBdr>
        <w:top w:val="none" w:sz="0" w:space="0" w:color="auto"/>
        <w:left w:val="none" w:sz="0" w:space="0" w:color="auto"/>
        <w:bottom w:val="none" w:sz="0" w:space="0" w:color="auto"/>
        <w:right w:val="none" w:sz="0" w:space="0" w:color="auto"/>
      </w:divBdr>
    </w:div>
    <w:div w:id="878854211">
      <w:bodyDiv w:val="1"/>
      <w:marLeft w:val="0"/>
      <w:marRight w:val="0"/>
      <w:marTop w:val="0"/>
      <w:marBottom w:val="0"/>
      <w:divBdr>
        <w:top w:val="none" w:sz="0" w:space="0" w:color="auto"/>
        <w:left w:val="none" w:sz="0" w:space="0" w:color="auto"/>
        <w:bottom w:val="none" w:sz="0" w:space="0" w:color="auto"/>
        <w:right w:val="none" w:sz="0" w:space="0" w:color="auto"/>
      </w:divBdr>
    </w:div>
    <w:div w:id="882448433">
      <w:bodyDiv w:val="1"/>
      <w:marLeft w:val="0"/>
      <w:marRight w:val="0"/>
      <w:marTop w:val="0"/>
      <w:marBottom w:val="0"/>
      <w:divBdr>
        <w:top w:val="none" w:sz="0" w:space="0" w:color="auto"/>
        <w:left w:val="none" w:sz="0" w:space="0" w:color="auto"/>
        <w:bottom w:val="none" w:sz="0" w:space="0" w:color="auto"/>
        <w:right w:val="none" w:sz="0" w:space="0" w:color="auto"/>
      </w:divBdr>
    </w:div>
    <w:div w:id="899555597">
      <w:bodyDiv w:val="1"/>
      <w:marLeft w:val="0"/>
      <w:marRight w:val="0"/>
      <w:marTop w:val="0"/>
      <w:marBottom w:val="0"/>
      <w:divBdr>
        <w:top w:val="none" w:sz="0" w:space="0" w:color="auto"/>
        <w:left w:val="none" w:sz="0" w:space="0" w:color="auto"/>
        <w:bottom w:val="none" w:sz="0" w:space="0" w:color="auto"/>
        <w:right w:val="none" w:sz="0" w:space="0" w:color="auto"/>
      </w:divBdr>
    </w:div>
    <w:div w:id="901982846">
      <w:bodyDiv w:val="1"/>
      <w:marLeft w:val="0"/>
      <w:marRight w:val="0"/>
      <w:marTop w:val="0"/>
      <w:marBottom w:val="0"/>
      <w:divBdr>
        <w:top w:val="none" w:sz="0" w:space="0" w:color="auto"/>
        <w:left w:val="none" w:sz="0" w:space="0" w:color="auto"/>
        <w:bottom w:val="none" w:sz="0" w:space="0" w:color="auto"/>
        <w:right w:val="none" w:sz="0" w:space="0" w:color="auto"/>
      </w:divBdr>
    </w:div>
    <w:div w:id="906188959">
      <w:bodyDiv w:val="1"/>
      <w:marLeft w:val="0"/>
      <w:marRight w:val="0"/>
      <w:marTop w:val="0"/>
      <w:marBottom w:val="0"/>
      <w:divBdr>
        <w:top w:val="none" w:sz="0" w:space="0" w:color="auto"/>
        <w:left w:val="none" w:sz="0" w:space="0" w:color="auto"/>
        <w:bottom w:val="none" w:sz="0" w:space="0" w:color="auto"/>
        <w:right w:val="none" w:sz="0" w:space="0" w:color="auto"/>
      </w:divBdr>
    </w:div>
    <w:div w:id="916596796">
      <w:bodyDiv w:val="1"/>
      <w:marLeft w:val="0"/>
      <w:marRight w:val="0"/>
      <w:marTop w:val="0"/>
      <w:marBottom w:val="0"/>
      <w:divBdr>
        <w:top w:val="none" w:sz="0" w:space="0" w:color="auto"/>
        <w:left w:val="none" w:sz="0" w:space="0" w:color="auto"/>
        <w:bottom w:val="none" w:sz="0" w:space="0" w:color="auto"/>
        <w:right w:val="none" w:sz="0" w:space="0" w:color="auto"/>
      </w:divBdr>
    </w:div>
    <w:div w:id="919369029">
      <w:bodyDiv w:val="1"/>
      <w:marLeft w:val="0"/>
      <w:marRight w:val="0"/>
      <w:marTop w:val="0"/>
      <w:marBottom w:val="0"/>
      <w:divBdr>
        <w:top w:val="none" w:sz="0" w:space="0" w:color="auto"/>
        <w:left w:val="none" w:sz="0" w:space="0" w:color="auto"/>
        <w:bottom w:val="none" w:sz="0" w:space="0" w:color="auto"/>
        <w:right w:val="none" w:sz="0" w:space="0" w:color="auto"/>
      </w:divBdr>
    </w:div>
    <w:div w:id="922836285">
      <w:bodyDiv w:val="1"/>
      <w:marLeft w:val="0"/>
      <w:marRight w:val="0"/>
      <w:marTop w:val="0"/>
      <w:marBottom w:val="0"/>
      <w:divBdr>
        <w:top w:val="none" w:sz="0" w:space="0" w:color="auto"/>
        <w:left w:val="none" w:sz="0" w:space="0" w:color="auto"/>
        <w:bottom w:val="none" w:sz="0" w:space="0" w:color="auto"/>
        <w:right w:val="none" w:sz="0" w:space="0" w:color="auto"/>
      </w:divBdr>
    </w:div>
    <w:div w:id="930506242">
      <w:bodyDiv w:val="1"/>
      <w:marLeft w:val="0"/>
      <w:marRight w:val="0"/>
      <w:marTop w:val="0"/>
      <w:marBottom w:val="0"/>
      <w:divBdr>
        <w:top w:val="none" w:sz="0" w:space="0" w:color="auto"/>
        <w:left w:val="none" w:sz="0" w:space="0" w:color="auto"/>
        <w:bottom w:val="none" w:sz="0" w:space="0" w:color="auto"/>
        <w:right w:val="none" w:sz="0" w:space="0" w:color="auto"/>
      </w:divBdr>
    </w:div>
    <w:div w:id="966278704">
      <w:bodyDiv w:val="1"/>
      <w:marLeft w:val="0"/>
      <w:marRight w:val="0"/>
      <w:marTop w:val="0"/>
      <w:marBottom w:val="0"/>
      <w:divBdr>
        <w:top w:val="none" w:sz="0" w:space="0" w:color="auto"/>
        <w:left w:val="none" w:sz="0" w:space="0" w:color="auto"/>
        <w:bottom w:val="none" w:sz="0" w:space="0" w:color="auto"/>
        <w:right w:val="none" w:sz="0" w:space="0" w:color="auto"/>
      </w:divBdr>
    </w:div>
    <w:div w:id="975526276">
      <w:bodyDiv w:val="1"/>
      <w:marLeft w:val="0"/>
      <w:marRight w:val="0"/>
      <w:marTop w:val="0"/>
      <w:marBottom w:val="0"/>
      <w:divBdr>
        <w:top w:val="none" w:sz="0" w:space="0" w:color="auto"/>
        <w:left w:val="none" w:sz="0" w:space="0" w:color="auto"/>
        <w:bottom w:val="none" w:sz="0" w:space="0" w:color="auto"/>
        <w:right w:val="none" w:sz="0" w:space="0" w:color="auto"/>
      </w:divBdr>
    </w:div>
    <w:div w:id="980883792">
      <w:bodyDiv w:val="1"/>
      <w:marLeft w:val="0"/>
      <w:marRight w:val="0"/>
      <w:marTop w:val="0"/>
      <w:marBottom w:val="0"/>
      <w:divBdr>
        <w:top w:val="none" w:sz="0" w:space="0" w:color="auto"/>
        <w:left w:val="none" w:sz="0" w:space="0" w:color="auto"/>
        <w:bottom w:val="none" w:sz="0" w:space="0" w:color="auto"/>
        <w:right w:val="none" w:sz="0" w:space="0" w:color="auto"/>
      </w:divBdr>
    </w:div>
    <w:div w:id="1062216971">
      <w:bodyDiv w:val="1"/>
      <w:marLeft w:val="0"/>
      <w:marRight w:val="0"/>
      <w:marTop w:val="0"/>
      <w:marBottom w:val="0"/>
      <w:divBdr>
        <w:top w:val="none" w:sz="0" w:space="0" w:color="auto"/>
        <w:left w:val="none" w:sz="0" w:space="0" w:color="auto"/>
        <w:bottom w:val="none" w:sz="0" w:space="0" w:color="auto"/>
        <w:right w:val="none" w:sz="0" w:space="0" w:color="auto"/>
      </w:divBdr>
    </w:div>
    <w:div w:id="1074159870">
      <w:bodyDiv w:val="1"/>
      <w:marLeft w:val="0"/>
      <w:marRight w:val="0"/>
      <w:marTop w:val="0"/>
      <w:marBottom w:val="0"/>
      <w:divBdr>
        <w:top w:val="none" w:sz="0" w:space="0" w:color="auto"/>
        <w:left w:val="none" w:sz="0" w:space="0" w:color="auto"/>
        <w:bottom w:val="none" w:sz="0" w:space="0" w:color="auto"/>
        <w:right w:val="none" w:sz="0" w:space="0" w:color="auto"/>
      </w:divBdr>
    </w:div>
    <w:div w:id="1105081096">
      <w:bodyDiv w:val="1"/>
      <w:marLeft w:val="0"/>
      <w:marRight w:val="0"/>
      <w:marTop w:val="0"/>
      <w:marBottom w:val="0"/>
      <w:divBdr>
        <w:top w:val="none" w:sz="0" w:space="0" w:color="auto"/>
        <w:left w:val="none" w:sz="0" w:space="0" w:color="auto"/>
        <w:bottom w:val="none" w:sz="0" w:space="0" w:color="auto"/>
        <w:right w:val="none" w:sz="0" w:space="0" w:color="auto"/>
      </w:divBdr>
    </w:div>
    <w:div w:id="1120954070">
      <w:bodyDiv w:val="1"/>
      <w:marLeft w:val="0"/>
      <w:marRight w:val="0"/>
      <w:marTop w:val="0"/>
      <w:marBottom w:val="0"/>
      <w:divBdr>
        <w:top w:val="none" w:sz="0" w:space="0" w:color="auto"/>
        <w:left w:val="none" w:sz="0" w:space="0" w:color="auto"/>
        <w:bottom w:val="none" w:sz="0" w:space="0" w:color="auto"/>
        <w:right w:val="none" w:sz="0" w:space="0" w:color="auto"/>
      </w:divBdr>
    </w:div>
    <w:div w:id="1127971550">
      <w:bodyDiv w:val="1"/>
      <w:marLeft w:val="0"/>
      <w:marRight w:val="0"/>
      <w:marTop w:val="0"/>
      <w:marBottom w:val="0"/>
      <w:divBdr>
        <w:top w:val="none" w:sz="0" w:space="0" w:color="auto"/>
        <w:left w:val="none" w:sz="0" w:space="0" w:color="auto"/>
        <w:bottom w:val="none" w:sz="0" w:space="0" w:color="auto"/>
        <w:right w:val="none" w:sz="0" w:space="0" w:color="auto"/>
      </w:divBdr>
    </w:div>
    <w:div w:id="1129201738">
      <w:bodyDiv w:val="1"/>
      <w:marLeft w:val="0"/>
      <w:marRight w:val="0"/>
      <w:marTop w:val="0"/>
      <w:marBottom w:val="0"/>
      <w:divBdr>
        <w:top w:val="none" w:sz="0" w:space="0" w:color="auto"/>
        <w:left w:val="none" w:sz="0" w:space="0" w:color="auto"/>
        <w:bottom w:val="none" w:sz="0" w:space="0" w:color="auto"/>
        <w:right w:val="none" w:sz="0" w:space="0" w:color="auto"/>
      </w:divBdr>
    </w:div>
    <w:div w:id="1136801809">
      <w:bodyDiv w:val="1"/>
      <w:marLeft w:val="0"/>
      <w:marRight w:val="0"/>
      <w:marTop w:val="0"/>
      <w:marBottom w:val="0"/>
      <w:divBdr>
        <w:top w:val="none" w:sz="0" w:space="0" w:color="auto"/>
        <w:left w:val="none" w:sz="0" w:space="0" w:color="auto"/>
        <w:bottom w:val="none" w:sz="0" w:space="0" w:color="auto"/>
        <w:right w:val="none" w:sz="0" w:space="0" w:color="auto"/>
      </w:divBdr>
    </w:div>
    <w:div w:id="1144082480">
      <w:bodyDiv w:val="1"/>
      <w:marLeft w:val="0"/>
      <w:marRight w:val="0"/>
      <w:marTop w:val="0"/>
      <w:marBottom w:val="0"/>
      <w:divBdr>
        <w:top w:val="none" w:sz="0" w:space="0" w:color="auto"/>
        <w:left w:val="none" w:sz="0" w:space="0" w:color="auto"/>
        <w:bottom w:val="none" w:sz="0" w:space="0" w:color="auto"/>
        <w:right w:val="none" w:sz="0" w:space="0" w:color="auto"/>
      </w:divBdr>
    </w:div>
    <w:div w:id="1161385378">
      <w:bodyDiv w:val="1"/>
      <w:marLeft w:val="0"/>
      <w:marRight w:val="0"/>
      <w:marTop w:val="0"/>
      <w:marBottom w:val="0"/>
      <w:divBdr>
        <w:top w:val="none" w:sz="0" w:space="0" w:color="auto"/>
        <w:left w:val="none" w:sz="0" w:space="0" w:color="auto"/>
        <w:bottom w:val="none" w:sz="0" w:space="0" w:color="auto"/>
        <w:right w:val="none" w:sz="0" w:space="0" w:color="auto"/>
      </w:divBdr>
    </w:div>
    <w:div w:id="1162432804">
      <w:bodyDiv w:val="1"/>
      <w:marLeft w:val="0"/>
      <w:marRight w:val="0"/>
      <w:marTop w:val="0"/>
      <w:marBottom w:val="0"/>
      <w:divBdr>
        <w:top w:val="none" w:sz="0" w:space="0" w:color="auto"/>
        <w:left w:val="none" w:sz="0" w:space="0" w:color="auto"/>
        <w:bottom w:val="none" w:sz="0" w:space="0" w:color="auto"/>
        <w:right w:val="none" w:sz="0" w:space="0" w:color="auto"/>
      </w:divBdr>
    </w:div>
    <w:div w:id="1177189401">
      <w:bodyDiv w:val="1"/>
      <w:marLeft w:val="0"/>
      <w:marRight w:val="0"/>
      <w:marTop w:val="0"/>
      <w:marBottom w:val="0"/>
      <w:divBdr>
        <w:top w:val="none" w:sz="0" w:space="0" w:color="auto"/>
        <w:left w:val="none" w:sz="0" w:space="0" w:color="auto"/>
        <w:bottom w:val="none" w:sz="0" w:space="0" w:color="auto"/>
        <w:right w:val="none" w:sz="0" w:space="0" w:color="auto"/>
      </w:divBdr>
    </w:div>
    <w:div w:id="1200053331">
      <w:bodyDiv w:val="1"/>
      <w:marLeft w:val="0"/>
      <w:marRight w:val="0"/>
      <w:marTop w:val="0"/>
      <w:marBottom w:val="0"/>
      <w:divBdr>
        <w:top w:val="none" w:sz="0" w:space="0" w:color="auto"/>
        <w:left w:val="none" w:sz="0" w:space="0" w:color="auto"/>
        <w:bottom w:val="none" w:sz="0" w:space="0" w:color="auto"/>
        <w:right w:val="none" w:sz="0" w:space="0" w:color="auto"/>
      </w:divBdr>
    </w:div>
    <w:div w:id="1235121129">
      <w:bodyDiv w:val="1"/>
      <w:marLeft w:val="0"/>
      <w:marRight w:val="0"/>
      <w:marTop w:val="0"/>
      <w:marBottom w:val="0"/>
      <w:divBdr>
        <w:top w:val="none" w:sz="0" w:space="0" w:color="auto"/>
        <w:left w:val="none" w:sz="0" w:space="0" w:color="auto"/>
        <w:bottom w:val="none" w:sz="0" w:space="0" w:color="auto"/>
        <w:right w:val="none" w:sz="0" w:space="0" w:color="auto"/>
      </w:divBdr>
    </w:div>
    <w:div w:id="1239052115">
      <w:bodyDiv w:val="1"/>
      <w:marLeft w:val="0"/>
      <w:marRight w:val="0"/>
      <w:marTop w:val="0"/>
      <w:marBottom w:val="0"/>
      <w:divBdr>
        <w:top w:val="none" w:sz="0" w:space="0" w:color="auto"/>
        <w:left w:val="none" w:sz="0" w:space="0" w:color="auto"/>
        <w:bottom w:val="none" w:sz="0" w:space="0" w:color="auto"/>
        <w:right w:val="none" w:sz="0" w:space="0" w:color="auto"/>
      </w:divBdr>
    </w:div>
    <w:div w:id="1255282507">
      <w:bodyDiv w:val="1"/>
      <w:marLeft w:val="0"/>
      <w:marRight w:val="0"/>
      <w:marTop w:val="0"/>
      <w:marBottom w:val="0"/>
      <w:divBdr>
        <w:top w:val="none" w:sz="0" w:space="0" w:color="auto"/>
        <w:left w:val="none" w:sz="0" w:space="0" w:color="auto"/>
        <w:bottom w:val="none" w:sz="0" w:space="0" w:color="auto"/>
        <w:right w:val="none" w:sz="0" w:space="0" w:color="auto"/>
      </w:divBdr>
    </w:div>
    <w:div w:id="1267498282">
      <w:bodyDiv w:val="1"/>
      <w:marLeft w:val="0"/>
      <w:marRight w:val="0"/>
      <w:marTop w:val="0"/>
      <w:marBottom w:val="0"/>
      <w:divBdr>
        <w:top w:val="none" w:sz="0" w:space="0" w:color="auto"/>
        <w:left w:val="none" w:sz="0" w:space="0" w:color="auto"/>
        <w:bottom w:val="none" w:sz="0" w:space="0" w:color="auto"/>
        <w:right w:val="none" w:sz="0" w:space="0" w:color="auto"/>
      </w:divBdr>
    </w:div>
    <w:div w:id="1286153430">
      <w:bodyDiv w:val="1"/>
      <w:marLeft w:val="0"/>
      <w:marRight w:val="0"/>
      <w:marTop w:val="0"/>
      <w:marBottom w:val="0"/>
      <w:divBdr>
        <w:top w:val="none" w:sz="0" w:space="0" w:color="auto"/>
        <w:left w:val="none" w:sz="0" w:space="0" w:color="auto"/>
        <w:bottom w:val="none" w:sz="0" w:space="0" w:color="auto"/>
        <w:right w:val="none" w:sz="0" w:space="0" w:color="auto"/>
      </w:divBdr>
    </w:div>
    <w:div w:id="1293750984">
      <w:bodyDiv w:val="1"/>
      <w:marLeft w:val="0"/>
      <w:marRight w:val="0"/>
      <w:marTop w:val="0"/>
      <w:marBottom w:val="0"/>
      <w:divBdr>
        <w:top w:val="none" w:sz="0" w:space="0" w:color="auto"/>
        <w:left w:val="none" w:sz="0" w:space="0" w:color="auto"/>
        <w:bottom w:val="none" w:sz="0" w:space="0" w:color="auto"/>
        <w:right w:val="none" w:sz="0" w:space="0" w:color="auto"/>
      </w:divBdr>
    </w:div>
    <w:div w:id="1304313953">
      <w:bodyDiv w:val="1"/>
      <w:marLeft w:val="0"/>
      <w:marRight w:val="0"/>
      <w:marTop w:val="0"/>
      <w:marBottom w:val="0"/>
      <w:divBdr>
        <w:top w:val="none" w:sz="0" w:space="0" w:color="auto"/>
        <w:left w:val="none" w:sz="0" w:space="0" w:color="auto"/>
        <w:bottom w:val="none" w:sz="0" w:space="0" w:color="auto"/>
        <w:right w:val="none" w:sz="0" w:space="0" w:color="auto"/>
      </w:divBdr>
    </w:div>
    <w:div w:id="1310207152">
      <w:bodyDiv w:val="1"/>
      <w:marLeft w:val="0"/>
      <w:marRight w:val="0"/>
      <w:marTop w:val="0"/>
      <w:marBottom w:val="0"/>
      <w:divBdr>
        <w:top w:val="none" w:sz="0" w:space="0" w:color="auto"/>
        <w:left w:val="none" w:sz="0" w:space="0" w:color="auto"/>
        <w:bottom w:val="none" w:sz="0" w:space="0" w:color="auto"/>
        <w:right w:val="none" w:sz="0" w:space="0" w:color="auto"/>
      </w:divBdr>
    </w:div>
    <w:div w:id="1322193648">
      <w:bodyDiv w:val="1"/>
      <w:marLeft w:val="0"/>
      <w:marRight w:val="0"/>
      <w:marTop w:val="0"/>
      <w:marBottom w:val="0"/>
      <w:divBdr>
        <w:top w:val="none" w:sz="0" w:space="0" w:color="auto"/>
        <w:left w:val="none" w:sz="0" w:space="0" w:color="auto"/>
        <w:bottom w:val="none" w:sz="0" w:space="0" w:color="auto"/>
        <w:right w:val="none" w:sz="0" w:space="0" w:color="auto"/>
      </w:divBdr>
    </w:div>
    <w:div w:id="1352879117">
      <w:bodyDiv w:val="1"/>
      <w:marLeft w:val="0"/>
      <w:marRight w:val="0"/>
      <w:marTop w:val="0"/>
      <w:marBottom w:val="0"/>
      <w:divBdr>
        <w:top w:val="none" w:sz="0" w:space="0" w:color="auto"/>
        <w:left w:val="none" w:sz="0" w:space="0" w:color="auto"/>
        <w:bottom w:val="none" w:sz="0" w:space="0" w:color="auto"/>
        <w:right w:val="none" w:sz="0" w:space="0" w:color="auto"/>
      </w:divBdr>
    </w:div>
    <w:div w:id="1358971100">
      <w:bodyDiv w:val="1"/>
      <w:marLeft w:val="0"/>
      <w:marRight w:val="0"/>
      <w:marTop w:val="0"/>
      <w:marBottom w:val="0"/>
      <w:divBdr>
        <w:top w:val="none" w:sz="0" w:space="0" w:color="auto"/>
        <w:left w:val="none" w:sz="0" w:space="0" w:color="auto"/>
        <w:bottom w:val="none" w:sz="0" w:space="0" w:color="auto"/>
        <w:right w:val="none" w:sz="0" w:space="0" w:color="auto"/>
      </w:divBdr>
    </w:div>
    <w:div w:id="1362393356">
      <w:bodyDiv w:val="1"/>
      <w:marLeft w:val="0"/>
      <w:marRight w:val="0"/>
      <w:marTop w:val="0"/>
      <w:marBottom w:val="0"/>
      <w:divBdr>
        <w:top w:val="none" w:sz="0" w:space="0" w:color="auto"/>
        <w:left w:val="none" w:sz="0" w:space="0" w:color="auto"/>
        <w:bottom w:val="none" w:sz="0" w:space="0" w:color="auto"/>
        <w:right w:val="none" w:sz="0" w:space="0" w:color="auto"/>
      </w:divBdr>
    </w:div>
    <w:div w:id="1367173756">
      <w:bodyDiv w:val="1"/>
      <w:marLeft w:val="0"/>
      <w:marRight w:val="0"/>
      <w:marTop w:val="0"/>
      <w:marBottom w:val="0"/>
      <w:divBdr>
        <w:top w:val="none" w:sz="0" w:space="0" w:color="auto"/>
        <w:left w:val="none" w:sz="0" w:space="0" w:color="auto"/>
        <w:bottom w:val="none" w:sz="0" w:space="0" w:color="auto"/>
        <w:right w:val="none" w:sz="0" w:space="0" w:color="auto"/>
      </w:divBdr>
    </w:div>
    <w:div w:id="1381827338">
      <w:bodyDiv w:val="1"/>
      <w:marLeft w:val="0"/>
      <w:marRight w:val="0"/>
      <w:marTop w:val="0"/>
      <w:marBottom w:val="0"/>
      <w:divBdr>
        <w:top w:val="none" w:sz="0" w:space="0" w:color="auto"/>
        <w:left w:val="none" w:sz="0" w:space="0" w:color="auto"/>
        <w:bottom w:val="none" w:sz="0" w:space="0" w:color="auto"/>
        <w:right w:val="none" w:sz="0" w:space="0" w:color="auto"/>
      </w:divBdr>
    </w:div>
    <w:div w:id="1386876381">
      <w:bodyDiv w:val="1"/>
      <w:marLeft w:val="0"/>
      <w:marRight w:val="0"/>
      <w:marTop w:val="0"/>
      <w:marBottom w:val="0"/>
      <w:divBdr>
        <w:top w:val="none" w:sz="0" w:space="0" w:color="auto"/>
        <w:left w:val="none" w:sz="0" w:space="0" w:color="auto"/>
        <w:bottom w:val="none" w:sz="0" w:space="0" w:color="auto"/>
        <w:right w:val="none" w:sz="0" w:space="0" w:color="auto"/>
      </w:divBdr>
    </w:div>
    <w:div w:id="1415980894">
      <w:bodyDiv w:val="1"/>
      <w:marLeft w:val="0"/>
      <w:marRight w:val="0"/>
      <w:marTop w:val="0"/>
      <w:marBottom w:val="0"/>
      <w:divBdr>
        <w:top w:val="none" w:sz="0" w:space="0" w:color="auto"/>
        <w:left w:val="none" w:sz="0" w:space="0" w:color="auto"/>
        <w:bottom w:val="none" w:sz="0" w:space="0" w:color="auto"/>
        <w:right w:val="none" w:sz="0" w:space="0" w:color="auto"/>
      </w:divBdr>
    </w:div>
    <w:div w:id="1439640808">
      <w:bodyDiv w:val="1"/>
      <w:marLeft w:val="0"/>
      <w:marRight w:val="0"/>
      <w:marTop w:val="0"/>
      <w:marBottom w:val="0"/>
      <w:divBdr>
        <w:top w:val="none" w:sz="0" w:space="0" w:color="auto"/>
        <w:left w:val="none" w:sz="0" w:space="0" w:color="auto"/>
        <w:bottom w:val="none" w:sz="0" w:space="0" w:color="auto"/>
        <w:right w:val="none" w:sz="0" w:space="0" w:color="auto"/>
      </w:divBdr>
    </w:div>
    <w:div w:id="1439988907">
      <w:bodyDiv w:val="1"/>
      <w:marLeft w:val="0"/>
      <w:marRight w:val="0"/>
      <w:marTop w:val="0"/>
      <w:marBottom w:val="0"/>
      <w:divBdr>
        <w:top w:val="none" w:sz="0" w:space="0" w:color="auto"/>
        <w:left w:val="none" w:sz="0" w:space="0" w:color="auto"/>
        <w:bottom w:val="none" w:sz="0" w:space="0" w:color="auto"/>
        <w:right w:val="none" w:sz="0" w:space="0" w:color="auto"/>
      </w:divBdr>
    </w:div>
    <w:div w:id="1444812621">
      <w:bodyDiv w:val="1"/>
      <w:marLeft w:val="0"/>
      <w:marRight w:val="0"/>
      <w:marTop w:val="0"/>
      <w:marBottom w:val="0"/>
      <w:divBdr>
        <w:top w:val="none" w:sz="0" w:space="0" w:color="auto"/>
        <w:left w:val="none" w:sz="0" w:space="0" w:color="auto"/>
        <w:bottom w:val="none" w:sz="0" w:space="0" w:color="auto"/>
        <w:right w:val="none" w:sz="0" w:space="0" w:color="auto"/>
      </w:divBdr>
    </w:div>
    <w:div w:id="1460755992">
      <w:bodyDiv w:val="1"/>
      <w:marLeft w:val="0"/>
      <w:marRight w:val="0"/>
      <w:marTop w:val="0"/>
      <w:marBottom w:val="0"/>
      <w:divBdr>
        <w:top w:val="none" w:sz="0" w:space="0" w:color="auto"/>
        <w:left w:val="none" w:sz="0" w:space="0" w:color="auto"/>
        <w:bottom w:val="none" w:sz="0" w:space="0" w:color="auto"/>
        <w:right w:val="none" w:sz="0" w:space="0" w:color="auto"/>
      </w:divBdr>
    </w:div>
    <w:div w:id="1481728460">
      <w:bodyDiv w:val="1"/>
      <w:marLeft w:val="0"/>
      <w:marRight w:val="0"/>
      <w:marTop w:val="0"/>
      <w:marBottom w:val="0"/>
      <w:divBdr>
        <w:top w:val="none" w:sz="0" w:space="0" w:color="auto"/>
        <w:left w:val="none" w:sz="0" w:space="0" w:color="auto"/>
        <w:bottom w:val="none" w:sz="0" w:space="0" w:color="auto"/>
        <w:right w:val="none" w:sz="0" w:space="0" w:color="auto"/>
      </w:divBdr>
    </w:div>
    <w:div w:id="1483961313">
      <w:bodyDiv w:val="1"/>
      <w:marLeft w:val="0"/>
      <w:marRight w:val="0"/>
      <w:marTop w:val="0"/>
      <w:marBottom w:val="0"/>
      <w:divBdr>
        <w:top w:val="none" w:sz="0" w:space="0" w:color="auto"/>
        <w:left w:val="none" w:sz="0" w:space="0" w:color="auto"/>
        <w:bottom w:val="none" w:sz="0" w:space="0" w:color="auto"/>
        <w:right w:val="none" w:sz="0" w:space="0" w:color="auto"/>
      </w:divBdr>
    </w:div>
    <w:div w:id="1491095987">
      <w:bodyDiv w:val="1"/>
      <w:marLeft w:val="0"/>
      <w:marRight w:val="0"/>
      <w:marTop w:val="0"/>
      <w:marBottom w:val="0"/>
      <w:divBdr>
        <w:top w:val="none" w:sz="0" w:space="0" w:color="auto"/>
        <w:left w:val="none" w:sz="0" w:space="0" w:color="auto"/>
        <w:bottom w:val="none" w:sz="0" w:space="0" w:color="auto"/>
        <w:right w:val="none" w:sz="0" w:space="0" w:color="auto"/>
      </w:divBdr>
    </w:div>
    <w:div w:id="1511606144">
      <w:bodyDiv w:val="1"/>
      <w:marLeft w:val="0"/>
      <w:marRight w:val="0"/>
      <w:marTop w:val="0"/>
      <w:marBottom w:val="0"/>
      <w:divBdr>
        <w:top w:val="none" w:sz="0" w:space="0" w:color="auto"/>
        <w:left w:val="none" w:sz="0" w:space="0" w:color="auto"/>
        <w:bottom w:val="none" w:sz="0" w:space="0" w:color="auto"/>
        <w:right w:val="none" w:sz="0" w:space="0" w:color="auto"/>
      </w:divBdr>
    </w:div>
    <w:div w:id="1528134727">
      <w:bodyDiv w:val="1"/>
      <w:marLeft w:val="0"/>
      <w:marRight w:val="0"/>
      <w:marTop w:val="0"/>
      <w:marBottom w:val="0"/>
      <w:divBdr>
        <w:top w:val="none" w:sz="0" w:space="0" w:color="auto"/>
        <w:left w:val="none" w:sz="0" w:space="0" w:color="auto"/>
        <w:bottom w:val="none" w:sz="0" w:space="0" w:color="auto"/>
        <w:right w:val="none" w:sz="0" w:space="0" w:color="auto"/>
      </w:divBdr>
    </w:div>
    <w:div w:id="1538852444">
      <w:bodyDiv w:val="1"/>
      <w:marLeft w:val="0"/>
      <w:marRight w:val="0"/>
      <w:marTop w:val="0"/>
      <w:marBottom w:val="0"/>
      <w:divBdr>
        <w:top w:val="none" w:sz="0" w:space="0" w:color="auto"/>
        <w:left w:val="none" w:sz="0" w:space="0" w:color="auto"/>
        <w:bottom w:val="none" w:sz="0" w:space="0" w:color="auto"/>
        <w:right w:val="none" w:sz="0" w:space="0" w:color="auto"/>
      </w:divBdr>
    </w:div>
    <w:div w:id="1539661728">
      <w:bodyDiv w:val="1"/>
      <w:marLeft w:val="0"/>
      <w:marRight w:val="0"/>
      <w:marTop w:val="0"/>
      <w:marBottom w:val="0"/>
      <w:divBdr>
        <w:top w:val="none" w:sz="0" w:space="0" w:color="auto"/>
        <w:left w:val="none" w:sz="0" w:space="0" w:color="auto"/>
        <w:bottom w:val="none" w:sz="0" w:space="0" w:color="auto"/>
        <w:right w:val="none" w:sz="0" w:space="0" w:color="auto"/>
      </w:divBdr>
    </w:div>
    <w:div w:id="1540776019">
      <w:bodyDiv w:val="1"/>
      <w:marLeft w:val="0"/>
      <w:marRight w:val="0"/>
      <w:marTop w:val="0"/>
      <w:marBottom w:val="0"/>
      <w:divBdr>
        <w:top w:val="none" w:sz="0" w:space="0" w:color="auto"/>
        <w:left w:val="none" w:sz="0" w:space="0" w:color="auto"/>
        <w:bottom w:val="none" w:sz="0" w:space="0" w:color="auto"/>
        <w:right w:val="none" w:sz="0" w:space="0" w:color="auto"/>
      </w:divBdr>
    </w:div>
    <w:div w:id="1547909218">
      <w:bodyDiv w:val="1"/>
      <w:marLeft w:val="0"/>
      <w:marRight w:val="0"/>
      <w:marTop w:val="0"/>
      <w:marBottom w:val="0"/>
      <w:divBdr>
        <w:top w:val="none" w:sz="0" w:space="0" w:color="auto"/>
        <w:left w:val="none" w:sz="0" w:space="0" w:color="auto"/>
        <w:bottom w:val="none" w:sz="0" w:space="0" w:color="auto"/>
        <w:right w:val="none" w:sz="0" w:space="0" w:color="auto"/>
      </w:divBdr>
    </w:div>
    <w:div w:id="1549147943">
      <w:bodyDiv w:val="1"/>
      <w:marLeft w:val="0"/>
      <w:marRight w:val="0"/>
      <w:marTop w:val="0"/>
      <w:marBottom w:val="0"/>
      <w:divBdr>
        <w:top w:val="none" w:sz="0" w:space="0" w:color="auto"/>
        <w:left w:val="none" w:sz="0" w:space="0" w:color="auto"/>
        <w:bottom w:val="none" w:sz="0" w:space="0" w:color="auto"/>
        <w:right w:val="none" w:sz="0" w:space="0" w:color="auto"/>
      </w:divBdr>
    </w:div>
    <w:div w:id="1573588560">
      <w:bodyDiv w:val="1"/>
      <w:marLeft w:val="0"/>
      <w:marRight w:val="0"/>
      <w:marTop w:val="0"/>
      <w:marBottom w:val="0"/>
      <w:divBdr>
        <w:top w:val="none" w:sz="0" w:space="0" w:color="auto"/>
        <w:left w:val="none" w:sz="0" w:space="0" w:color="auto"/>
        <w:bottom w:val="none" w:sz="0" w:space="0" w:color="auto"/>
        <w:right w:val="none" w:sz="0" w:space="0" w:color="auto"/>
      </w:divBdr>
    </w:div>
    <w:div w:id="1588952856">
      <w:bodyDiv w:val="1"/>
      <w:marLeft w:val="0"/>
      <w:marRight w:val="0"/>
      <w:marTop w:val="0"/>
      <w:marBottom w:val="0"/>
      <w:divBdr>
        <w:top w:val="none" w:sz="0" w:space="0" w:color="auto"/>
        <w:left w:val="none" w:sz="0" w:space="0" w:color="auto"/>
        <w:bottom w:val="none" w:sz="0" w:space="0" w:color="auto"/>
        <w:right w:val="none" w:sz="0" w:space="0" w:color="auto"/>
      </w:divBdr>
    </w:div>
    <w:div w:id="1600336406">
      <w:bodyDiv w:val="1"/>
      <w:marLeft w:val="0"/>
      <w:marRight w:val="0"/>
      <w:marTop w:val="0"/>
      <w:marBottom w:val="0"/>
      <w:divBdr>
        <w:top w:val="none" w:sz="0" w:space="0" w:color="auto"/>
        <w:left w:val="none" w:sz="0" w:space="0" w:color="auto"/>
        <w:bottom w:val="none" w:sz="0" w:space="0" w:color="auto"/>
        <w:right w:val="none" w:sz="0" w:space="0" w:color="auto"/>
      </w:divBdr>
    </w:div>
    <w:div w:id="1627278160">
      <w:bodyDiv w:val="1"/>
      <w:marLeft w:val="0"/>
      <w:marRight w:val="0"/>
      <w:marTop w:val="0"/>
      <w:marBottom w:val="0"/>
      <w:divBdr>
        <w:top w:val="none" w:sz="0" w:space="0" w:color="auto"/>
        <w:left w:val="none" w:sz="0" w:space="0" w:color="auto"/>
        <w:bottom w:val="none" w:sz="0" w:space="0" w:color="auto"/>
        <w:right w:val="none" w:sz="0" w:space="0" w:color="auto"/>
      </w:divBdr>
    </w:div>
    <w:div w:id="1632591537">
      <w:bodyDiv w:val="1"/>
      <w:marLeft w:val="0"/>
      <w:marRight w:val="0"/>
      <w:marTop w:val="0"/>
      <w:marBottom w:val="0"/>
      <w:divBdr>
        <w:top w:val="none" w:sz="0" w:space="0" w:color="auto"/>
        <w:left w:val="none" w:sz="0" w:space="0" w:color="auto"/>
        <w:bottom w:val="none" w:sz="0" w:space="0" w:color="auto"/>
        <w:right w:val="none" w:sz="0" w:space="0" w:color="auto"/>
      </w:divBdr>
    </w:div>
    <w:div w:id="1633290670">
      <w:bodyDiv w:val="1"/>
      <w:marLeft w:val="0"/>
      <w:marRight w:val="0"/>
      <w:marTop w:val="0"/>
      <w:marBottom w:val="0"/>
      <w:divBdr>
        <w:top w:val="none" w:sz="0" w:space="0" w:color="auto"/>
        <w:left w:val="none" w:sz="0" w:space="0" w:color="auto"/>
        <w:bottom w:val="none" w:sz="0" w:space="0" w:color="auto"/>
        <w:right w:val="none" w:sz="0" w:space="0" w:color="auto"/>
      </w:divBdr>
    </w:div>
    <w:div w:id="1636715693">
      <w:bodyDiv w:val="1"/>
      <w:marLeft w:val="0"/>
      <w:marRight w:val="0"/>
      <w:marTop w:val="0"/>
      <w:marBottom w:val="0"/>
      <w:divBdr>
        <w:top w:val="none" w:sz="0" w:space="0" w:color="auto"/>
        <w:left w:val="none" w:sz="0" w:space="0" w:color="auto"/>
        <w:bottom w:val="none" w:sz="0" w:space="0" w:color="auto"/>
        <w:right w:val="none" w:sz="0" w:space="0" w:color="auto"/>
      </w:divBdr>
    </w:div>
    <w:div w:id="1645311579">
      <w:bodyDiv w:val="1"/>
      <w:marLeft w:val="0"/>
      <w:marRight w:val="0"/>
      <w:marTop w:val="0"/>
      <w:marBottom w:val="0"/>
      <w:divBdr>
        <w:top w:val="none" w:sz="0" w:space="0" w:color="auto"/>
        <w:left w:val="none" w:sz="0" w:space="0" w:color="auto"/>
        <w:bottom w:val="none" w:sz="0" w:space="0" w:color="auto"/>
        <w:right w:val="none" w:sz="0" w:space="0" w:color="auto"/>
      </w:divBdr>
    </w:div>
    <w:div w:id="1652440359">
      <w:bodyDiv w:val="1"/>
      <w:marLeft w:val="0"/>
      <w:marRight w:val="0"/>
      <w:marTop w:val="0"/>
      <w:marBottom w:val="0"/>
      <w:divBdr>
        <w:top w:val="none" w:sz="0" w:space="0" w:color="auto"/>
        <w:left w:val="none" w:sz="0" w:space="0" w:color="auto"/>
        <w:bottom w:val="none" w:sz="0" w:space="0" w:color="auto"/>
        <w:right w:val="none" w:sz="0" w:space="0" w:color="auto"/>
      </w:divBdr>
    </w:div>
    <w:div w:id="1663968278">
      <w:bodyDiv w:val="1"/>
      <w:marLeft w:val="0"/>
      <w:marRight w:val="0"/>
      <w:marTop w:val="0"/>
      <w:marBottom w:val="0"/>
      <w:divBdr>
        <w:top w:val="none" w:sz="0" w:space="0" w:color="auto"/>
        <w:left w:val="none" w:sz="0" w:space="0" w:color="auto"/>
        <w:bottom w:val="none" w:sz="0" w:space="0" w:color="auto"/>
        <w:right w:val="none" w:sz="0" w:space="0" w:color="auto"/>
      </w:divBdr>
    </w:div>
    <w:div w:id="1670794774">
      <w:bodyDiv w:val="1"/>
      <w:marLeft w:val="0"/>
      <w:marRight w:val="0"/>
      <w:marTop w:val="0"/>
      <w:marBottom w:val="0"/>
      <w:divBdr>
        <w:top w:val="none" w:sz="0" w:space="0" w:color="auto"/>
        <w:left w:val="none" w:sz="0" w:space="0" w:color="auto"/>
        <w:bottom w:val="none" w:sz="0" w:space="0" w:color="auto"/>
        <w:right w:val="none" w:sz="0" w:space="0" w:color="auto"/>
      </w:divBdr>
    </w:div>
    <w:div w:id="1696420995">
      <w:bodyDiv w:val="1"/>
      <w:marLeft w:val="0"/>
      <w:marRight w:val="0"/>
      <w:marTop w:val="0"/>
      <w:marBottom w:val="0"/>
      <w:divBdr>
        <w:top w:val="none" w:sz="0" w:space="0" w:color="auto"/>
        <w:left w:val="none" w:sz="0" w:space="0" w:color="auto"/>
        <w:bottom w:val="none" w:sz="0" w:space="0" w:color="auto"/>
        <w:right w:val="none" w:sz="0" w:space="0" w:color="auto"/>
      </w:divBdr>
    </w:div>
    <w:div w:id="1722944016">
      <w:bodyDiv w:val="1"/>
      <w:marLeft w:val="0"/>
      <w:marRight w:val="0"/>
      <w:marTop w:val="0"/>
      <w:marBottom w:val="0"/>
      <w:divBdr>
        <w:top w:val="none" w:sz="0" w:space="0" w:color="auto"/>
        <w:left w:val="none" w:sz="0" w:space="0" w:color="auto"/>
        <w:bottom w:val="none" w:sz="0" w:space="0" w:color="auto"/>
        <w:right w:val="none" w:sz="0" w:space="0" w:color="auto"/>
      </w:divBdr>
    </w:div>
    <w:div w:id="1744521458">
      <w:bodyDiv w:val="1"/>
      <w:marLeft w:val="0"/>
      <w:marRight w:val="0"/>
      <w:marTop w:val="0"/>
      <w:marBottom w:val="0"/>
      <w:divBdr>
        <w:top w:val="none" w:sz="0" w:space="0" w:color="auto"/>
        <w:left w:val="none" w:sz="0" w:space="0" w:color="auto"/>
        <w:bottom w:val="none" w:sz="0" w:space="0" w:color="auto"/>
        <w:right w:val="none" w:sz="0" w:space="0" w:color="auto"/>
      </w:divBdr>
    </w:div>
    <w:div w:id="1745294016">
      <w:bodyDiv w:val="1"/>
      <w:marLeft w:val="0"/>
      <w:marRight w:val="0"/>
      <w:marTop w:val="0"/>
      <w:marBottom w:val="0"/>
      <w:divBdr>
        <w:top w:val="none" w:sz="0" w:space="0" w:color="auto"/>
        <w:left w:val="none" w:sz="0" w:space="0" w:color="auto"/>
        <w:bottom w:val="none" w:sz="0" w:space="0" w:color="auto"/>
        <w:right w:val="none" w:sz="0" w:space="0" w:color="auto"/>
      </w:divBdr>
    </w:div>
    <w:div w:id="1750927229">
      <w:bodyDiv w:val="1"/>
      <w:marLeft w:val="0"/>
      <w:marRight w:val="0"/>
      <w:marTop w:val="0"/>
      <w:marBottom w:val="0"/>
      <w:divBdr>
        <w:top w:val="none" w:sz="0" w:space="0" w:color="auto"/>
        <w:left w:val="none" w:sz="0" w:space="0" w:color="auto"/>
        <w:bottom w:val="none" w:sz="0" w:space="0" w:color="auto"/>
        <w:right w:val="none" w:sz="0" w:space="0" w:color="auto"/>
      </w:divBdr>
    </w:div>
    <w:div w:id="1752508839">
      <w:bodyDiv w:val="1"/>
      <w:marLeft w:val="0"/>
      <w:marRight w:val="0"/>
      <w:marTop w:val="0"/>
      <w:marBottom w:val="0"/>
      <w:divBdr>
        <w:top w:val="none" w:sz="0" w:space="0" w:color="auto"/>
        <w:left w:val="none" w:sz="0" w:space="0" w:color="auto"/>
        <w:bottom w:val="none" w:sz="0" w:space="0" w:color="auto"/>
        <w:right w:val="none" w:sz="0" w:space="0" w:color="auto"/>
      </w:divBdr>
    </w:div>
    <w:div w:id="1757046340">
      <w:bodyDiv w:val="1"/>
      <w:marLeft w:val="0"/>
      <w:marRight w:val="0"/>
      <w:marTop w:val="0"/>
      <w:marBottom w:val="0"/>
      <w:divBdr>
        <w:top w:val="none" w:sz="0" w:space="0" w:color="auto"/>
        <w:left w:val="none" w:sz="0" w:space="0" w:color="auto"/>
        <w:bottom w:val="none" w:sz="0" w:space="0" w:color="auto"/>
        <w:right w:val="none" w:sz="0" w:space="0" w:color="auto"/>
      </w:divBdr>
    </w:div>
    <w:div w:id="1778135988">
      <w:bodyDiv w:val="1"/>
      <w:marLeft w:val="0"/>
      <w:marRight w:val="0"/>
      <w:marTop w:val="0"/>
      <w:marBottom w:val="0"/>
      <w:divBdr>
        <w:top w:val="none" w:sz="0" w:space="0" w:color="auto"/>
        <w:left w:val="none" w:sz="0" w:space="0" w:color="auto"/>
        <w:bottom w:val="none" w:sz="0" w:space="0" w:color="auto"/>
        <w:right w:val="none" w:sz="0" w:space="0" w:color="auto"/>
      </w:divBdr>
    </w:div>
    <w:div w:id="1778403341">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805393122">
      <w:bodyDiv w:val="1"/>
      <w:marLeft w:val="0"/>
      <w:marRight w:val="0"/>
      <w:marTop w:val="0"/>
      <w:marBottom w:val="0"/>
      <w:divBdr>
        <w:top w:val="none" w:sz="0" w:space="0" w:color="auto"/>
        <w:left w:val="none" w:sz="0" w:space="0" w:color="auto"/>
        <w:bottom w:val="none" w:sz="0" w:space="0" w:color="auto"/>
        <w:right w:val="none" w:sz="0" w:space="0" w:color="auto"/>
      </w:divBdr>
    </w:div>
    <w:div w:id="1808931654">
      <w:bodyDiv w:val="1"/>
      <w:marLeft w:val="0"/>
      <w:marRight w:val="0"/>
      <w:marTop w:val="0"/>
      <w:marBottom w:val="0"/>
      <w:divBdr>
        <w:top w:val="none" w:sz="0" w:space="0" w:color="auto"/>
        <w:left w:val="none" w:sz="0" w:space="0" w:color="auto"/>
        <w:bottom w:val="none" w:sz="0" w:space="0" w:color="auto"/>
        <w:right w:val="none" w:sz="0" w:space="0" w:color="auto"/>
      </w:divBdr>
    </w:div>
    <w:div w:id="1832062852">
      <w:bodyDiv w:val="1"/>
      <w:marLeft w:val="0"/>
      <w:marRight w:val="0"/>
      <w:marTop w:val="0"/>
      <w:marBottom w:val="0"/>
      <w:divBdr>
        <w:top w:val="none" w:sz="0" w:space="0" w:color="auto"/>
        <w:left w:val="none" w:sz="0" w:space="0" w:color="auto"/>
        <w:bottom w:val="none" w:sz="0" w:space="0" w:color="auto"/>
        <w:right w:val="none" w:sz="0" w:space="0" w:color="auto"/>
      </w:divBdr>
    </w:div>
    <w:div w:id="1844782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3977359">
      <w:bodyDiv w:val="1"/>
      <w:marLeft w:val="0"/>
      <w:marRight w:val="0"/>
      <w:marTop w:val="0"/>
      <w:marBottom w:val="0"/>
      <w:divBdr>
        <w:top w:val="none" w:sz="0" w:space="0" w:color="auto"/>
        <w:left w:val="none" w:sz="0" w:space="0" w:color="auto"/>
        <w:bottom w:val="none" w:sz="0" w:space="0" w:color="auto"/>
        <w:right w:val="none" w:sz="0" w:space="0" w:color="auto"/>
      </w:divBdr>
    </w:div>
    <w:div w:id="1864049908">
      <w:bodyDiv w:val="1"/>
      <w:marLeft w:val="0"/>
      <w:marRight w:val="0"/>
      <w:marTop w:val="0"/>
      <w:marBottom w:val="0"/>
      <w:divBdr>
        <w:top w:val="none" w:sz="0" w:space="0" w:color="auto"/>
        <w:left w:val="none" w:sz="0" w:space="0" w:color="auto"/>
        <w:bottom w:val="none" w:sz="0" w:space="0" w:color="auto"/>
        <w:right w:val="none" w:sz="0" w:space="0" w:color="auto"/>
      </w:divBdr>
    </w:div>
    <w:div w:id="1876577174">
      <w:bodyDiv w:val="1"/>
      <w:marLeft w:val="0"/>
      <w:marRight w:val="0"/>
      <w:marTop w:val="0"/>
      <w:marBottom w:val="0"/>
      <w:divBdr>
        <w:top w:val="none" w:sz="0" w:space="0" w:color="auto"/>
        <w:left w:val="none" w:sz="0" w:space="0" w:color="auto"/>
        <w:bottom w:val="none" w:sz="0" w:space="0" w:color="auto"/>
        <w:right w:val="none" w:sz="0" w:space="0" w:color="auto"/>
      </w:divBdr>
    </w:div>
    <w:div w:id="1892383293">
      <w:bodyDiv w:val="1"/>
      <w:marLeft w:val="0"/>
      <w:marRight w:val="0"/>
      <w:marTop w:val="0"/>
      <w:marBottom w:val="0"/>
      <w:divBdr>
        <w:top w:val="none" w:sz="0" w:space="0" w:color="auto"/>
        <w:left w:val="none" w:sz="0" w:space="0" w:color="auto"/>
        <w:bottom w:val="none" w:sz="0" w:space="0" w:color="auto"/>
        <w:right w:val="none" w:sz="0" w:space="0" w:color="auto"/>
      </w:divBdr>
    </w:div>
    <w:div w:id="1900437631">
      <w:bodyDiv w:val="1"/>
      <w:marLeft w:val="0"/>
      <w:marRight w:val="0"/>
      <w:marTop w:val="0"/>
      <w:marBottom w:val="0"/>
      <w:divBdr>
        <w:top w:val="none" w:sz="0" w:space="0" w:color="auto"/>
        <w:left w:val="none" w:sz="0" w:space="0" w:color="auto"/>
        <w:bottom w:val="none" w:sz="0" w:space="0" w:color="auto"/>
        <w:right w:val="none" w:sz="0" w:space="0" w:color="auto"/>
      </w:divBdr>
    </w:div>
    <w:div w:id="1904756992">
      <w:bodyDiv w:val="1"/>
      <w:marLeft w:val="0"/>
      <w:marRight w:val="0"/>
      <w:marTop w:val="0"/>
      <w:marBottom w:val="0"/>
      <w:divBdr>
        <w:top w:val="none" w:sz="0" w:space="0" w:color="auto"/>
        <w:left w:val="none" w:sz="0" w:space="0" w:color="auto"/>
        <w:bottom w:val="none" w:sz="0" w:space="0" w:color="auto"/>
        <w:right w:val="none" w:sz="0" w:space="0" w:color="auto"/>
      </w:divBdr>
    </w:div>
    <w:div w:id="1918703471">
      <w:bodyDiv w:val="1"/>
      <w:marLeft w:val="0"/>
      <w:marRight w:val="0"/>
      <w:marTop w:val="0"/>
      <w:marBottom w:val="0"/>
      <w:divBdr>
        <w:top w:val="none" w:sz="0" w:space="0" w:color="auto"/>
        <w:left w:val="none" w:sz="0" w:space="0" w:color="auto"/>
        <w:bottom w:val="none" w:sz="0" w:space="0" w:color="auto"/>
        <w:right w:val="none" w:sz="0" w:space="0" w:color="auto"/>
      </w:divBdr>
    </w:div>
    <w:div w:id="1934436104">
      <w:bodyDiv w:val="1"/>
      <w:marLeft w:val="0"/>
      <w:marRight w:val="0"/>
      <w:marTop w:val="0"/>
      <w:marBottom w:val="0"/>
      <w:divBdr>
        <w:top w:val="none" w:sz="0" w:space="0" w:color="auto"/>
        <w:left w:val="none" w:sz="0" w:space="0" w:color="auto"/>
        <w:bottom w:val="none" w:sz="0" w:space="0" w:color="auto"/>
        <w:right w:val="none" w:sz="0" w:space="0" w:color="auto"/>
      </w:divBdr>
    </w:div>
    <w:div w:id="1937013959">
      <w:bodyDiv w:val="1"/>
      <w:marLeft w:val="0"/>
      <w:marRight w:val="0"/>
      <w:marTop w:val="0"/>
      <w:marBottom w:val="0"/>
      <w:divBdr>
        <w:top w:val="none" w:sz="0" w:space="0" w:color="auto"/>
        <w:left w:val="none" w:sz="0" w:space="0" w:color="auto"/>
        <w:bottom w:val="none" w:sz="0" w:space="0" w:color="auto"/>
        <w:right w:val="none" w:sz="0" w:space="0" w:color="auto"/>
      </w:divBdr>
    </w:div>
    <w:div w:id="1958178686">
      <w:bodyDiv w:val="1"/>
      <w:marLeft w:val="0"/>
      <w:marRight w:val="0"/>
      <w:marTop w:val="0"/>
      <w:marBottom w:val="0"/>
      <w:divBdr>
        <w:top w:val="none" w:sz="0" w:space="0" w:color="auto"/>
        <w:left w:val="none" w:sz="0" w:space="0" w:color="auto"/>
        <w:bottom w:val="none" w:sz="0" w:space="0" w:color="auto"/>
        <w:right w:val="none" w:sz="0" w:space="0" w:color="auto"/>
      </w:divBdr>
    </w:div>
    <w:div w:id="1969895729">
      <w:bodyDiv w:val="1"/>
      <w:marLeft w:val="0"/>
      <w:marRight w:val="0"/>
      <w:marTop w:val="0"/>
      <w:marBottom w:val="0"/>
      <w:divBdr>
        <w:top w:val="none" w:sz="0" w:space="0" w:color="auto"/>
        <w:left w:val="none" w:sz="0" w:space="0" w:color="auto"/>
        <w:bottom w:val="none" w:sz="0" w:space="0" w:color="auto"/>
        <w:right w:val="none" w:sz="0" w:space="0" w:color="auto"/>
      </w:divBdr>
    </w:div>
    <w:div w:id="1973485741">
      <w:bodyDiv w:val="1"/>
      <w:marLeft w:val="0"/>
      <w:marRight w:val="0"/>
      <w:marTop w:val="0"/>
      <w:marBottom w:val="0"/>
      <w:divBdr>
        <w:top w:val="none" w:sz="0" w:space="0" w:color="auto"/>
        <w:left w:val="none" w:sz="0" w:space="0" w:color="auto"/>
        <w:bottom w:val="none" w:sz="0" w:space="0" w:color="auto"/>
        <w:right w:val="none" w:sz="0" w:space="0" w:color="auto"/>
      </w:divBdr>
    </w:div>
    <w:div w:id="2004891599">
      <w:bodyDiv w:val="1"/>
      <w:marLeft w:val="0"/>
      <w:marRight w:val="0"/>
      <w:marTop w:val="0"/>
      <w:marBottom w:val="0"/>
      <w:divBdr>
        <w:top w:val="none" w:sz="0" w:space="0" w:color="auto"/>
        <w:left w:val="none" w:sz="0" w:space="0" w:color="auto"/>
        <w:bottom w:val="none" w:sz="0" w:space="0" w:color="auto"/>
        <w:right w:val="none" w:sz="0" w:space="0" w:color="auto"/>
      </w:divBdr>
    </w:div>
    <w:div w:id="2050109996">
      <w:bodyDiv w:val="1"/>
      <w:marLeft w:val="0"/>
      <w:marRight w:val="0"/>
      <w:marTop w:val="0"/>
      <w:marBottom w:val="0"/>
      <w:divBdr>
        <w:top w:val="none" w:sz="0" w:space="0" w:color="auto"/>
        <w:left w:val="none" w:sz="0" w:space="0" w:color="auto"/>
        <w:bottom w:val="none" w:sz="0" w:space="0" w:color="auto"/>
        <w:right w:val="none" w:sz="0" w:space="0" w:color="auto"/>
      </w:divBdr>
    </w:div>
    <w:div w:id="2072464386">
      <w:bodyDiv w:val="1"/>
      <w:marLeft w:val="0"/>
      <w:marRight w:val="0"/>
      <w:marTop w:val="0"/>
      <w:marBottom w:val="0"/>
      <w:divBdr>
        <w:top w:val="none" w:sz="0" w:space="0" w:color="auto"/>
        <w:left w:val="none" w:sz="0" w:space="0" w:color="auto"/>
        <w:bottom w:val="none" w:sz="0" w:space="0" w:color="auto"/>
        <w:right w:val="none" w:sz="0" w:space="0" w:color="auto"/>
      </w:divBdr>
    </w:div>
    <w:div w:id="2079012946">
      <w:bodyDiv w:val="1"/>
      <w:marLeft w:val="0"/>
      <w:marRight w:val="0"/>
      <w:marTop w:val="0"/>
      <w:marBottom w:val="0"/>
      <w:divBdr>
        <w:top w:val="none" w:sz="0" w:space="0" w:color="auto"/>
        <w:left w:val="none" w:sz="0" w:space="0" w:color="auto"/>
        <w:bottom w:val="none" w:sz="0" w:space="0" w:color="auto"/>
        <w:right w:val="none" w:sz="0" w:space="0" w:color="auto"/>
      </w:divBdr>
    </w:div>
    <w:div w:id="2103380137">
      <w:bodyDiv w:val="1"/>
      <w:marLeft w:val="0"/>
      <w:marRight w:val="0"/>
      <w:marTop w:val="0"/>
      <w:marBottom w:val="0"/>
      <w:divBdr>
        <w:top w:val="none" w:sz="0" w:space="0" w:color="auto"/>
        <w:left w:val="none" w:sz="0" w:space="0" w:color="auto"/>
        <w:bottom w:val="none" w:sz="0" w:space="0" w:color="auto"/>
        <w:right w:val="none" w:sz="0" w:space="0" w:color="auto"/>
      </w:divBdr>
    </w:div>
    <w:div w:id="2124811476">
      <w:bodyDiv w:val="1"/>
      <w:marLeft w:val="0"/>
      <w:marRight w:val="0"/>
      <w:marTop w:val="0"/>
      <w:marBottom w:val="0"/>
      <w:divBdr>
        <w:top w:val="none" w:sz="0" w:space="0" w:color="auto"/>
        <w:left w:val="none" w:sz="0" w:space="0" w:color="auto"/>
        <w:bottom w:val="none" w:sz="0" w:space="0" w:color="auto"/>
        <w:right w:val="none" w:sz="0" w:space="0" w:color="auto"/>
      </w:divBdr>
    </w:div>
    <w:div w:id="213274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AbrirModal(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AbrirModal(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20350464a2aa0b7b619cde10b82fbada">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403B2-BEB1-4C46-A4BE-FCA085D332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61CBA9-C5BB-4E1C-A424-1B0C29BB809D}">
  <ds:schemaRefs>
    <ds:schemaRef ds:uri="http://schemas.microsoft.com/sharepoint/v3/contenttype/forms"/>
  </ds:schemaRefs>
</ds:datastoreItem>
</file>

<file path=customXml/itemProps3.xml><?xml version="1.0" encoding="utf-8"?>
<ds:datastoreItem xmlns:ds="http://schemas.openxmlformats.org/officeDocument/2006/customXml" ds:itemID="{BF8F38B0-4475-4C25-B50F-E27BA6CC0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15FA1B-9E6B-4D9A-945A-BA16FC09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6049</Words>
  <Characters>33270</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Sosa Hernandez</dc:creator>
  <cp:keywords/>
  <dc:description/>
  <cp:lastModifiedBy>Maria del Consuelo Gonzalez Moreno</cp:lastModifiedBy>
  <cp:revision>13</cp:revision>
  <cp:lastPrinted>2017-03-01T16:23:00Z</cp:lastPrinted>
  <dcterms:created xsi:type="dcterms:W3CDTF">2017-03-28T00:43:00Z</dcterms:created>
  <dcterms:modified xsi:type="dcterms:W3CDTF">2017-09-26T17:21:00Z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