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A4AF3" w14:textId="77777777" w:rsidR="000B3EEE" w:rsidRPr="00532EE0" w:rsidRDefault="00D97A46" w:rsidP="00EB4438">
      <w:pPr>
        <w:pStyle w:val="Ttulo1"/>
        <w:rPr>
          <w:color w:val="000000" w:themeColor="text1"/>
        </w:rPr>
      </w:pPr>
      <w:bookmarkStart w:id="0" w:name="_GoBack"/>
      <w:r w:rsidRPr="00532EE0">
        <w:rPr>
          <w:color w:val="000000" w:themeColor="text1"/>
        </w:rPr>
        <w:t xml:space="preserve">RESOLUCIÓN MEDIANTE LA CUAL EL PLENO DEL INSTITUTO FEDERAL DE TELECOMUNICACIONES DETERMINA Y HACE CONSTAR EL FALLO A FAVOR DEL PARTICIPANTE </w:t>
      </w:r>
      <w:r w:rsidRPr="00532EE0">
        <w:rPr>
          <w:noProof/>
          <w:color w:val="000000" w:themeColor="text1"/>
        </w:rPr>
        <w:t>CADENA RADIÓPOLIS, S.A. DE C.V.</w:t>
      </w:r>
      <w:r w:rsidRPr="00532EE0">
        <w:rPr>
          <w:color w:val="000000" w:themeColor="text1"/>
        </w:rPr>
        <w:t xml:space="preserve"> CON NÚMERO DE FOLIO ÚNICO </w:t>
      </w:r>
      <w:r w:rsidRPr="00532EE0">
        <w:rPr>
          <w:noProof/>
          <w:color w:val="000000" w:themeColor="text1"/>
        </w:rPr>
        <w:t>C1-153125</w:t>
      </w:r>
      <w:r w:rsidRPr="00532EE0">
        <w:rPr>
          <w:color w:val="000000" w:themeColor="text1"/>
        </w:rPr>
        <w:t xml:space="preserve">, RESPECTO DEL LOTE </w:t>
      </w:r>
      <w:r w:rsidRPr="00532EE0">
        <w:rPr>
          <w:noProof/>
          <w:color w:val="000000" w:themeColor="text1"/>
        </w:rPr>
        <w:t>3</w:t>
      </w:r>
      <w:r w:rsidRPr="00532EE0">
        <w:rPr>
          <w:color w:val="000000" w:themeColor="text1"/>
        </w:rPr>
        <w:t xml:space="preserve"> DE LA BANDA </w:t>
      </w:r>
      <w:r w:rsidRPr="00532EE0">
        <w:rPr>
          <w:noProof/>
          <w:color w:val="000000" w:themeColor="text1"/>
        </w:rPr>
        <w:t>FM</w:t>
      </w:r>
      <w:r w:rsidRPr="00532EE0">
        <w:rPr>
          <w:color w:val="000000" w:themeColor="text1"/>
        </w:rPr>
        <w:t>,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5B1326" w:rsidRPr="00532EE0">
        <w:rPr>
          <w:color w:val="000000" w:themeColor="text1"/>
        </w:rPr>
        <w:t>).</w:t>
      </w:r>
    </w:p>
    <w:bookmarkEnd w:id="0"/>
    <w:p w14:paraId="374B8236" w14:textId="77777777" w:rsidR="00EB4438" w:rsidRPr="00EB4438" w:rsidRDefault="00EB4438" w:rsidP="00EB4438">
      <w:pPr>
        <w:pStyle w:val="Prrafodelista"/>
        <w:suppressAutoHyphens/>
        <w:ind w:left="720" w:right="49"/>
        <w:contextualSpacing/>
        <w:jc w:val="both"/>
        <w:rPr>
          <w:rFonts w:ascii="ITC Avant Garde" w:hAnsi="ITC Avant Garde" w:cs="Times"/>
          <w:b/>
          <w:sz w:val="16"/>
          <w:lang w:eastAsia="es-MX"/>
        </w:rPr>
      </w:pPr>
    </w:p>
    <w:p w14:paraId="5B29906F" w14:textId="77777777" w:rsidR="000B3EEE" w:rsidRPr="000B3EEE" w:rsidRDefault="00D97A46" w:rsidP="00EB4438">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0B3EEE">
        <w:rPr>
          <w:rFonts w:ascii="ITC Avant Garde" w:eastAsia="Times New Roman" w:hAnsi="ITC Avant Garde" w:cs="Times"/>
          <w:b/>
          <w:lang w:eastAsia="es-MX"/>
        </w:rPr>
        <w:t>ANTECEDENTES</w:t>
      </w:r>
    </w:p>
    <w:p w14:paraId="0811F9B6" w14:textId="77777777" w:rsidR="000B3EEE" w:rsidRDefault="00D97A46" w:rsidP="00B43814">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0B3EEE">
        <w:rPr>
          <w:rFonts w:ascii="ITC Avant Garde" w:hAnsi="ITC Avant Garde"/>
          <w:kern w:val="1"/>
          <w:sz w:val="22"/>
          <w:szCs w:val="22"/>
          <w:lang w:eastAsia="ar-SA"/>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mediante el cual se creó al Instituto Federal de Telecomunicaciones (Instituto) como un órgano autónomo, con personalidad jurídica y patrimonio propio.</w:t>
      </w:r>
    </w:p>
    <w:p w14:paraId="298E3D7C" w14:textId="77777777" w:rsidR="00EB4438" w:rsidRPr="000B3EEE" w:rsidRDefault="00EB4438" w:rsidP="00EB4438">
      <w:pPr>
        <w:pStyle w:val="Prrafodelista"/>
        <w:suppressAutoHyphens/>
        <w:spacing w:after="200"/>
        <w:ind w:left="720" w:right="49"/>
        <w:contextualSpacing/>
        <w:jc w:val="both"/>
        <w:rPr>
          <w:rFonts w:ascii="ITC Avant Garde" w:hAnsi="ITC Avant Garde"/>
          <w:kern w:val="1"/>
          <w:sz w:val="22"/>
          <w:szCs w:val="22"/>
          <w:lang w:eastAsia="ar-SA"/>
        </w:rPr>
      </w:pPr>
    </w:p>
    <w:p w14:paraId="47742734" w14:textId="77777777" w:rsidR="000B3EEE" w:rsidRDefault="00D97A46" w:rsidP="00B43814">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0B3EEE">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331436FC" w14:textId="77777777" w:rsidR="00EB4438" w:rsidRPr="000B3EEE" w:rsidRDefault="00EB4438" w:rsidP="00EB4438">
      <w:pPr>
        <w:pStyle w:val="Prrafodelista"/>
        <w:suppressAutoHyphens/>
        <w:spacing w:after="200"/>
        <w:ind w:left="720" w:right="49"/>
        <w:contextualSpacing/>
        <w:jc w:val="both"/>
        <w:rPr>
          <w:rFonts w:ascii="ITC Avant Garde" w:hAnsi="ITC Avant Garde"/>
          <w:kern w:val="1"/>
          <w:sz w:val="22"/>
          <w:szCs w:val="22"/>
          <w:lang w:eastAsia="ar-SA"/>
        </w:rPr>
      </w:pPr>
    </w:p>
    <w:p w14:paraId="770C3E72" w14:textId="77777777" w:rsidR="000B3EEE" w:rsidRDefault="00D97A46" w:rsidP="00B43814">
      <w:pPr>
        <w:pStyle w:val="Prrafodelista"/>
        <w:numPr>
          <w:ilvl w:val="0"/>
          <w:numId w:val="1"/>
        </w:numPr>
        <w:spacing w:after="200"/>
        <w:ind w:right="49"/>
        <w:contextualSpacing/>
        <w:jc w:val="both"/>
        <w:rPr>
          <w:rFonts w:ascii="ITC Avant Garde" w:eastAsia="Calibri" w:hAnsi="ITC Avant Garde"/>
          <w:sz w:val="22"/>
          <w:szCs w:val="22"/>
          <w:lang w:eastAsia="es-MX"/>
        </w:rPr>
      </w:pPr>
      <w:r w:rsidRPr="000B3EEE">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086C054E" w14:textId="77777777" w:rsidR="00EB4438" w:rsidRPr="000B3EEE" w:rsidRDefault="00EB4438" w:rsidP="00EB4438">
      <w:pPr>
        <w:pStyle w:val="Prrafodelista"/>
        <w:spacing w:after="200"/>
        <w:ind w:left="720" w:right="49"/>
        <w:contextualSpacing/>
        <w:jc w:val="both"/>
        <w:rPr>
          <w:rFonts w:ascii="ITC Avant Garde" w:eastAsia="Calibri" w:hAnsi="ITC Avant Garde"/>
          <w:sz w:val="22"/>
          <w:szCs w:val="22"/>
          <w:lang w:eastAsia="es-MX"/>
        </w:rPr>
      </w:pPr>
    </w:p>
    <w:p w14:paraId="2FF1D564" w14:textId="77777777" w:rsidR="000B3EEE" w:rsidRDefault="00D97A46" w:rsidP="00B43814">
      <w:pPr>
        <w:pStyle w:val="Prrafodelista"/>
        <w:numPr>
          <w:ilvl w:val="0"/>
          <w:numId w:val="1"/>
        </w:numPr>
        <w:spacing w:after="200"/>
        <w:ind w:right="49"/>
        <w:contextualSpacing/>
        <w:jc w:val="both"/>
        <w:rPr>
          <w:rFonts w:ascii="ITC Avant Garde" w:eastAsia="Calibri" w:hAnsi="ITC Avant Garde"/>
          <w:sz w:val="22"/>
          <w:szCs w:val="22"/>
          <w:lang w:eastAsia="es-MX"/>
        </w:rPr>
      </w:pPr>
      <w:r w:rsidRPr="000B3EEE">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3DEB56C1" w14:textId="77777777" w:rsidR="00EB4438" w:rsidRPr="000B3EEE" w:rsidRDefault="00EB4438" w:rsidP="00EB4438">
      <w:pPr>
        <w:pStyle w:val="Prrafodelista"/>
        <w:spacing w:after="200"/>
        <w:ind w:left="720" w:right="49"/>
        <w:contextualSpacing/>
        <w:jc w:val="both"/>
        <w:rPr>
          <w:rFonts w:ascii="ITC Avant Garde" w:eastAsia="Calibri" w:hAnsi="ITC Avant Garde"/>
          <w:sz w:val="22"/>
          <w:szCs w:val="22"/>
          <w:lang w:eastAsia="es-MX"/>
        </w:rPr>
      </w:pPr>
    </w:p>
    <w:p w14:paraId="2B669439" w14:textId="77777777" w:rsidR="000B3EEE" w:rsidRDefault="00D97A46" w:rsidP="00B43814">
      <w:pPr>
        <w:pStyle w:val="Prrafodelista"/>
        <w:numPr>
          <w:ilvl w:val="0"/>
          <w:numId w:val="1"/>
        </w:numPr>
        <w:spacing w:after="200"/>
        <w:ind w:right="49"/>
        <w:contextualSpacing/>
        <w:jc w:val="both"/>
        <w:rPr>
          <w:rFonts w:ascii="ITC Avant Garde" w:eastAsia="Calibri" w:hAnsi="ITC Avant Garde"/>
          <w:sz w:val="22"/>
          <w:szCs w:val="22"/>
          <w:lang w:eastAsia="es-MX"/>
        </w:rPr>
      </w:pPr>
      <w:r w:rsidRPr="000B3EEE">
        <w:rPr>
          <w:rFonts w:ascii="ITC Avant Garde" w:eastAsia="Calibri" w:hAnsi="ITC Avant Garde"/>
          <w:sz w:val="22"/>
          <w:szCs w:val="22"/>
          <w:lang w:eastAsia="es-MX"/>
        </w:rPr>
        <w:t xml:space="preserve">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w:t>
      </w:r>
      <w:r w:rsidRPr="000B3EEE">
        <w:rPr>
          <w:rFonts w:ascii="ITC Avant Garde" w:eastAsia="Calibri" w:hAnsi="ITC Avant Garde"/>
          <w:sz w:val="22"/>
          <w:szCs w:val="22"/>
          <w:lang w:eastAsia="es-MX"/>
        </w:rPr>
        <w:lastRenderedPageBreak/>
        <w:t>de la banda de amplitud modulada, para la prestación del servicio público de radiodifusión sonora (Licitación No. IFT-4)” (Licitación No. IFT-4).</w:t>
      </w:r>
    </w:p>
    <w:p w14:paraId="0A3C1481" w14:textId="77777777" w:rsidR="00EB4438" w:rsidRPr="000B3EEE" w:rsidRDefault="00EB4438" w:rsidP="00EB4438">
      <w:pPr>
        <w:pStyle w:val="Prrafodelista"/>
        <w:spacing w:after="200"/>
        <w:ind w:left="720" w:right="49"/>
        <w:contextualSpacing/>
        <w:jc w:val="both"/>
        <w:rPr>
          <w:rFonts w:ascii="ITC Avant Garde" w:eastAsia="Calibri" w:hAnsi="ITC Avant Garde"/>
          <w:sz w:val="22"/>
          <w:szCs w:val="22"/>
          <w:lang w:eastAsia="es-MX"/>
        </w:rPr>
      </w:pPr>
    </w:p>
    <w:p w14:paraId="5EE15230" w14:textId="77777777" w:rsidR="000B3EEE" w:rsidRDefault="00D97A46" w:rsidP="00B43814">
      <w:pPr>
        <w:pStyle w:val="Prrafodelista"/>
        <w:numPr>
          <w:ilvl w:val="0"/>
          <w:numId w:val="1"/>
        </w:numPr>
        <w:spacing w:after="200"/>
        <w:ind w:right="49"/>
        <w:contextualSpacing/>
        <w:jc w:val="both"/>
        <w:rPr>
          <w:rFonts w:ascii="ITC Avant Garde" w:eastAsia="Calibri" w:hAnsi="ITC Avant Garde"/>
          <w:sz w:val="22"/>
          <w:szCs w:val="22"/>
          <w:lang w:eastAsia="es-MX"/>
        </w:rPr>
      </w:pPr>
      <w:r w:rsidRPr="000B3EEE">
        <w:rPr>
          <w:rFonts w:ascii="ITC Avant Garde" w:eastAsia="Calibri" w:hAnsi="ITC Avant Garde"/>
          <w:sz w:val="22"/>
          <w:szCs w:val="22"/>
          <w:lang w:eastAsia="es-MX"/>
        </w:rPr>
        <w:t>El 20 de junio de 2016 se publicaron en el Portal de Internet del Instituto</w:t>
      </w:r>
      <w:r w:rsidRPr="000B3EEE">
        <w:rPr>
          <w:rStyle w:val="Refdenotaalpie"/>
          <w:rFonts w:ascii="ITC Avant Garde" w:eastAsia="Calibri" w:hAnsi="ITC Avant Garde"/>
          <w:sz w:val="22"/>
          <w:szCs w:val="22"/>
          <w:lang w:eastAsia="es-MX"/>
        </w:rPr>
        <w:footnoteReference w:id="2"/>
      </w:r>
      <w:r w:rsidRPr="000B3EEE">
        <w:rPr>
          <w:rFonts w:ascii="ITC Avant Garde" w:eastAsia="Calibri" w:hAnsi="ITC Avant Garde"/>
          <w:sz w:val="22"/>
          <w:szCs w:val="22"/>
          <w:lang w:eastAsia="es-MX"/>
        </w:rPr>
        <w:t xml:space="preserv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18017040" w14:textId="77777777" w:rsidR="00EB4438" w:rsidRPr="000B3EEE" w:rsidRDefault="00EB4438" w:rsidP="00EB4438">
      <w:pPr>
        <w:pStyle w:val="Prrafodelista"/>
        <w:spacing w:after="200"/>
        <w:ind w:left="720" w:right="49"/>
        <w:contextualSpacing/>
        <w:jc w:val="both"/>
        <w:rPr>
          <w:rFonts w:ascii="ITC Avant Garde" w:eastAsia="Calibri" w:hAnsi="ITC Avant Garde"/>
          <w:sz w:val="22"/>
          <w:szCs w:val="22"/>
          <w:lang w:eastAsia="es-MX"/>
        </w:rPr>
      </w:pPr>
    </w:p>
    <w:p w14:paraId="71FED041" w14:textId="5E8B1069" w:rsidR="000B3EEE" w:rsidRDefault="00D97A46" w:rsidP="00B43814">
      <w:pPr>
        <w:pStyle w:val="Prrafodelista"/>
        <w:numPr>
          <w:ilvl w:val="0"/>
          <w:numId w:val="1"/>
        </w:numPr>
        <w:spacing w:after="200"/>
        <w:ind w:right="49"/>
        <w:contextualSpacing/>
        <w:jc w:val="both"/>
        <w:rPr>
          <w:rFonts w:ascii="ITC Avant Garde" w:eastAsia="Calibri" w:hAnsi="ITC Avant Garde"/>
          <w:sz w:val="22"/>
          <w:szCs w:val="22"/>
          <w:lang w:eastAsia="es-MX"/>
        </w:rPr>
      </w:pPr>
      <w:r w:rsidRPr="000B3EEE">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0B3EEE">
        <w:rPr>
          <w:rFonts w:ascii="ITC Avant Garde" w:eastAsia="Calibri" w:hAnsi="ITC Avant Garde"/>
          <w:sz w:val="22"/>
        </w:rPr>
        <w:t>Manifestación de Interés y Entrega de Información y Documentación</w:t>
      </w:r>
      <w:r w:rsidRPr="000B3EEE">
        <w:rPr>
          <w:rFonts w:ascii="ITC Avant Garde" w:eastAsia="Calibri" w:hAnsi="ITC Avant Garde"/>
          <w:sz w:val="22"/>
          <w:szCs w:val="22"/>
          <w:lang w:eastAsia="es-MX"/>
        </w:rPr>
        <w:t xml:space="preserve">”, se realizaron manifestaciones de interés para participar en la Licitación No. IFT-4 por parte de 421 Interesados, quienes </w:t>
      </w:r>
      <w:r w:rsidR="006C7A80" w:rsidRPr="000B3EEE">
        <w:rPr>
          <w:rFonts w:ascii="ITC Avant Garde" w:eastAsia="Calibri" w:hAnsi="ITC Avant Garde"/>
          <w:sz w:val="22"/>
          <w:szCs w:val="22"/>
          <w:lang w:eastAsia="es-MX"/>
        </w:rPr>
        <w:t xml:space="preserve">cargaron en </w:t>
      </w:r>
      <w:r w:rsidRPr="000B3EEE">
        <w:rPr>
          <w:rFonts w:ascii="ITC Avant Garde" w:eastAsia="Calibri" w:hAnsi="ITC Avant Garde"/>
          <w:sz w:val="22"/>
          <w:szCs w:val="22"/>
          <w:lang w:eastAsia="es-MX"/>
        </w:rPr>
        <w:t>el Sistema Electrónico de Registro y Presentación de Ofertas (SE</w:t>
      </w:r>
      <w:r w:rsidR="00EB4438">
        <w:rPr>
          <w:rFonts w:ascii="ITC Avant Garde" w:eastAsia="Calibri" w:hAnsi="ITC Avant Garde"/>
          <w:sz w:val="22"/>
          <w:szCs w:val="22"/>
          <w:lang w:eastAsia="es-MX"/>
        </w:rPr>
        <w:t>RPO) la información solicitada.</w:t>
      </w:r>
    </w:p>
    <w:p w14:paraId="2385C95F" w14:textId="77777777" w:rsidR="00EB4438" w:rsidRPr="000B3EEE" w:rsidRDefault="00EB4438" w:rsidP="00EB4438">
      <w:pPr>
        <w:pStyle w:val="Prrafodelista"/>
        <w:spacing w:after="200"/>
        <w:ind w:left="720" w:right="49"/>
        <w:contextualSpacing/>
        <w:jc w:val="both"/>
        <w:rPr>
          <w:rFonts w:ascii="ITC Avant Garde" w:eastAsia="Calibri" w:hAnsi="ITC Avant Garde"/>
          <w:sz w:val="22"/>
          <w:szCs w:val="22"/>
          <w:lang w:eastAsia="es-MX"/>
        </w:rPr>
      </w:pPr>
    </w:p>
    <w:p w14:paraId="2226E7CC" w14:textId="77777777" w:rsidR="000B3EEE" w:rsidRDefault="00D97A46" w:rsidP="00B43814">
      <w:pPr>
        <w:pStyle w:val="Prrafodelista"/>
        <w:numPr>
          <w:ilvl w:val="0"/>
          <w:numId w:val="1"/>
        </w:numPr>
        <w:spacing w:after="200"/>
        <w:ind w:right="49"/>
        <w:contextualSpacing/>
        <w:jc w:val="both"/>
        <w:rPr>
          <w:rFonts w:ascii="ITC Avant Garde" w:eastAsia="Calibri" w:hAnsi="ITC Avant Garde"/>
          <w:sz w:val="22"/>
          <w:szCs w:val="22"/>
          <w:lang w:eastAsia="es-MX"/>
        </w:rPr>
      </w:pPr>
      <w:r w:rsidRPr="000B3EEE">
        <w:rPr>
          <w:rFonts w:ascii="ITC Avant Garde" w:eastAsia="Calibri" w:hAnsi="ITC Avant Garde"/>
          <w:sz w:val="22"/>
          <w:szCs w:val="22"/>
          <w:lang w:eastAsia="es-MX"/>
        </w:rPr>
        <w:t xml:space="preserve">Del 1 al 5 de agosto de 2016 </w:t>
      </w:r>
      <w:r w:rsidRPr="000B3EEE">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0B3EEE">
        <w:rPr>
          <w:rFonts w:ascii="ITC Avant Garde" w:eastAsia="Calibri" w:hAnsi="ITC Avant Garde"/>
          <w:sz w:val="22"/>
          <w:szCs w:val="22"/>
          <w:lang w:eastAsia="es-MX"/>
        </w:rPr>
        <w:t>.</w:t>
      </w:r>
    </w:p>
    <w:p w14:paraId="55F0A52F" w14:textId="77777777" w:rsidR="00EB4438" w:rsidRPr="000B3EEE" w:rsidRDefault="00EB4438" w:rsidP="00EB4438">
      <w:pPr>
        <w:pStyle w:val="Prrafodelista"/>
        <w:spacing w:after="200"/>
        <w:ind w:left="720" w:right="49"/>
        <w:contextualSpacing/>
        <w:jc w:val="both"/>
        <w:rPr>
          <w:rFonts w:ascii="ITC Avant Garde" w:eastAsia="Calibri" w:hAnsi="ITC Avant Garde"/>
          <w:sz w:val="22"/>
          <w:szCs w:val="22"/>
          <w:lang w:eastAsia="es-MX"/>
        </w:rPr>
      </w:pPr>
    </w:p>
    <w:p w14:paraId="4A888122" w14:textId="308ABFE6" w:rsidR="000B3EEE" w:rsidRDefault="00D97A46" w:rsidP="00B43814">
      <w:pPr>
        <w:pStyle w:val="Prrafodelista"/>
        <w:numPr>
          <w:ilvl w:val="0"/>
          <w:numId w:val="1"/>
        </w:numPr>
        <w:spacing w:after="200"/>
        <w:ind w:right="49"/>
        <w:contextualSpacing/>
        <w:jc w:val="both"/>
        <w:rPr>
          <w:rFonts w:ascii="ITC Avant Garde" w:eastAsia="Calibri" w:hAnsi="ITC Avant Garde"/>
          <w:sz w:val="22"/>
          <w:szCs w:val="22"/>
          <w:lang w:eastAsia="es-MX"/>
        </w:rPr>
      </w:pPr>
      <w:r w:rsidRPr="000B3EEE">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EB4438">
        <w:rPr>
          <w:rFonts w:ascii="ITC Avant Garde" w:eastAsia="Calibri" w:hAnsi="ITC Avant Garde"/>
          <w:sz w:val="22"/>
          <w:szCs w:val="22"/>
          <w:lang w:eastAsia="es-MX"/>
        </w:rPr>
        <w:t xml:space="preserve"> Bases, sus Apéndices y Anexos.</w:t>
      </w:r>
    </w:p>
    <w:p w14:paraId="67E0A79A" w14:textId="77777777" w:rsidR="00EB4438" w:rsidRPr="000B3EEE" w:rsidRDefault="00EB4438" w:rsidP="00EB4438">
      <w:pPr>
        <w:pStyle w:val="Prrafodelista"/>
        <w:spacing w:after="200"/>
        <w:ind w:left="720" w:right="49"/>
        <w:contextualSpacing/>
        <w:jc w:val="both"/>
        <w:rPr>
          <w:rFonts w:ascii="ITC Avant Garde" w:eastAsia="Calibri" w:hAnsi="ITC Avant Garde"/>
          <w:sz w:val="22"/>
          <w:szCs w:val="22"/>
          <w:lang w:eastAsia="es-MX"/>
        </w:rPr>
      </w:pPr>
    </w:p>
    <w:p w14:paraId="2905D8E9" w14:textId="6421A621" w:rsidR="000B3EEE" w:rsidRDefault="00D97A46" w:rsidP="00B43814">
      <w:pPr>
        <w:pStyle w:val="Prrafodelista"/>
        <w:numPr>
          <w:ilvl w:val="0"/>
          <w:numId w:val="1"/>
        </w:numPr>
        <w:spacing w:after="200"/>
        <w:ind w:right="49"/>
        <w:contextualSpacing/>
        <w:jc w:val="both"/>
        <w:rPr>
          <w:rFonts w:ascii="ITC Avant Garde" w:eastAsia="Calibri" w:hAnsi="ITC Avant Garde"/>
          <w:sz w:val="22"/>
          <w:szCs w:val="22"/>
          <w:lang w:eastAsia="es-MX"/>
        </w:rPr>
      </w:pPr>
      <w:r w:rsidRPr="000B3EEE">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EB4438">
        <w:rPr>
          <w:rFonts w:ascii="ITC Avant Garde" w:eastAsia="Calibri" w:hAnsi="ITC Avant Garde"/>
          <w:sz w:val="22"/>
          <w:szCs w:val="22"/>
          <w:lang w:eastAsia="es-MX"/>
        </w:rPr>
        <w:t>.</w:t>
      </w:r>
    </w:p>
    <w:p w14:paraId="3BDE8F06" w14:textId="77777777" w:rsidR="00EB4438" w:rsidRPr="000B3EEE" w:rsidRDefault="00EB4438" w:rsidP="00EB4438">
      <w:pPr>
        <w:pStyle w:val="Prrafodelista"/>
        <w:spacing w:after="200"/>
        <w:ind w:left="720" w:right="49"/>
        <w:contextualSpacing/>
        <w:jc w:val="both"/>
        <w:rPr>
          <w:rFonts w:ascii="ITC Avant Garde" w:eastAsia="Calibri" w:hAnsi="ITC Avant Garde"/>
          <w:sz w:val="22"/>
          <w:szCs w:val="22"/>
          <w:lang w:eastAsia="es-MX"/>
        </w:rPr>
      </w:pPr>
    </w:p>
    <w:p w14:paraId="3D759730" w14:textId="672E8C2F" w:rsidR="000B3EEE" w:rsidRDefault="00D97A46" w:rsidP="00B43814">
      <w:pPr>
        <w:pStyle w:val="Prrafodelista"/>
        <w:numPr>
          <w:ilvl w:val="0"/>
          <w:numId w:val="1"/>
        </w:numPr>
        <w:spacing w:after="200"/>
        <w:ind w:right="49"/>
        <w:contextualSpacing/>
        <w:jc w:val="both"/>
        <w:rPr>
          <w:rFonts w:ascii="ITC Avant Garde" w:eastAsia="Calibri" w:hAnsi="ITC Avant Garde"/>
          <w:sz w:val="22"/>
          <w:szCs w:val="22"/>
          <w:lang w:eastAsia="es-MX"/>
        </w:rPr>
      </w:pPr>
      <w:r w:rsidRPr="000B3EEE">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Anexos, así como de</w:t>
      </w:r>
      <w:r w:rsidR="00EB4438">
        <w:rPr>
          <w:rFonts w:ascii="ITC Avant Garde" w:eastAsia="Calibri" w:hAnsi="ITC Avant Garde"/>
          <w:sz w:val="22"/>
          <w:szCs w:val="22"/>
          <w:lang w:eastAsia="es-MX"/>
        </w:rPr>
        <w:t>l Apéndice E.</w:t>
      </w:r>
    </w:p>
    <w:p w14:paraId="145049DE" w14:textId="77777777" w:rsidR="00EB4438" w:rsidRPr="000B3EEE" w:rsidRDefault="00EB4438" w:rsidP="00EB4438">
      <w:pPr>
        <w:pStyle w:val="Prrafodelista"/>
        <w:spacing w:after="200"/>
        <w:ind w:left="720" w:right="49"/>
        <w:contextualSpacing/>
        <w:jc w:val="both"/>
        <w:rPr>
          <w:rFonts w:ascii="ITC Avant Garde" w:eastAsia="Calibri" w:hAnsi="ITC Avant Garde"/>
          <w:sz w:val="22"/>
          <w:szCs w:val="22"/>
          <w:lang w:eastAsia="es-MX"/>
        </w:rPr>
      </w:pPr>
    </w:p>
    <w:p w14:paraId="276DF0D8" w14:textId="77777777" w:rsidR="000B3EEE" w:rsidRDefault="00D97A46" w:rsidP="00B43814">
      <w:pPr>
        <w:pStyle w:val="Prrafodelista"/>
        <w:numPr>
          <w:ilvl w:val="0"/>
          <w:numId w:val="1"/>
        </w:numPr>
        <w:spacing w:after="200"/>
        <w:ind w:right="49"/>
        <w:contextualSpacing/>
        <w:jc w:val="both"/>
        <w:rPr>
          <w:rFonts w:ascii="ITC Avant Garde" w:eastAsia="Calibri" w:hAnsi="ITC Avant Garde"/>
          <w:sz w:val="22"/>
          <w:szCs w:val="22"/>
          <w:lang w:eastAsia="es-MX"/>
        </w:rPr>
      </w:pPr>
      <w:r w:rsidRPr="000B3EEE">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61D84800" w14:textId="77777777" w:rsidR="00EB4438" w:rsidRPr="000B3EEE" w:rsidRDefault="00EB4438" w:rsidP="00EB4438">
      <w:pPr>
        <w:pStyle w:val="Prrafodelista"/>
        <w:spacing w:after="200"/>
        <w:ind w:left="720" w:right="49"/>
        <w:contextualSpacing/>
        <w:jc w:val="both"/>
        <w:rPr>
          <w:rFonts w:ascii="ITC Avant Garde" w:eastAsia="Calibri" w:hAnsi="ITC Avant Garde"/>
          <w:sz w:val="22"/>
          <w:szCs w:val="22"/>
          <w:lang w:eastAsia="es-MX"/>
        </w:rPr>
      </w:pPr>
    </w:p>
    <w:p w14:paraId="5D94502F" w14:textId="77777777" w:rsidR="000B3EEE" w:rsidRPr="000B3EEE" w:rsidRDefault="00D97A46" w:rsidP="00B43814">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0B3EEE">
        <w:rPr>
          <w:rFonts w:ascii="ITC Avant Garde" w:eastAsia="Calibri" w:hAnsi="ITC Avant Garde"/>
          <w:sz w:val="22"/>
          <w:szCs w:val="22"/>
          <w:lang w:eastAsia="es-MX"/>
        </w:rPr>
        <w:t xml:space="preserve">El 22 de noviembre de 2016, mediante oficio IFT/200/P/128/2016, el Instituto solicitó a la Secretaría de Comunicaciones y Transportes (SCT) la emisión de opinión técnica no vinculante respecto al posible otorgamiento de los títulos </w:t>
      </w:r>
      <w:r w:rsidRPr="000B3EEE">
        <w:rPr>
          <w:rFonts w:ascii="ITC Avant Garde" w:eastAsia="Calibri" w:hAnsi="ITC Avant Garde"/>
          <w:sz w:val="22"/>
          <w:szCs w:val="22"/>
          <w:lang w:eastAsia="es-MX"/>
        </w:rPr>
        <w:lastRenderedPageBreak/>
        <w:t xml:space="preserve">de Concesión Única para Uso Comercial y de Concesión del Espectro Radioeléctrico para Uso Comercial a los Interesados que entregaron información relativa al proceso autenticándola con su FIEL en la Licitación No. IFT-4. </w:t>
      </w:r>
    </w:p>
    <w:p w14:paraId="1025EB44" w14:textId="77777777" w:rsidR="000B3EEE" w:rsidRPr="000B3EEE" w:rsidRDefault="00D97A46" w:rsidP="00B43814">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0B3EEE">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5ABD3F28" w14:textId="77777777" w:rsidR="000B3EEE" w:rsidRPr="000B3EEE" w:rsidRDefault="00D97A46" w:rsidP="00B43814">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0B3EEE">
        <w:rPr>
          <w:rFonts w:ascii="ITC Avant Garde" w:hAnsi="ITC Avant Garde" w:cs="Arial"/>
          <w:sz w:val="22"/>
          <w:szCs w:val="22"/>
          <w:lang w:val="es-ES_tradnl"/>
        </w:rPr>
        <w:t xml:space="preserve">El 13 de enero de 2017 el Pleno del Instituto instruyó a la Unidad de Espectro Radioeléctrico a que expidiera a favor de distintos Interesados las Constancias de Participación correspondientes, dentro de la Licitación No. IFT-4. </w:t>
      </w:r>
    </w:p>
    <w:p w14:paraId="3519F1CE" w14:textId="77777777" w:rsidR="000B3EEE" w:rsidRPr="000B3EEE" w:rsidRDefault="00D97A46" w:rsidP="00B43814">
      <w:pPr>
        <w:numPr>
          <w:ilvl w:val="0"/>
          <w:numId w:val="1"/>
        </w:numPr>
        <w:spacing w:line="240" w:lineRule="auto"/>
        <w:ind w:right="49"/>
        <w:contextualSpacing/>
        <w:jc w:val="both"/>
        <w:rPr>
          <w:rFonts w:ascii="ITC Avant Garde" w:eastAsia="Times New Roman" w:hAnsi="ITC Avant Garde" w:cs="Arial"/>
          <w:lang w:val="es-ES_tradnl"/>
        </w:rPr>
      </w:pPr>
      <w:r w:rsidRPr="000B3EEE">
        <w:rPr>
          <w:rFonts w:ascii="ITC Avant Garde" w:eastAsia="Times New Roman" w:hAnsi="ITC Avant Garde" w:cs="Arial"/>
          <w:lang w:eastAsia="es-MX"/>
        </w:rPr>
        <w:t>La Dirección General de Economía del Espectro y Recursos Orbitales de la Unidad de Espectro Radioeléctrico del Instituto emitió las Constancias de Participación a favor de los Interesados que determinó el Pleno del Instituto, previa evaluación del cumplimiento de las capacidades administrativa, técnica, jurídica y financiera.</w:t>
      </w:r>
    </w:p>
    <w:p w14:paraId="1BF7AE4D" w14:textId="26D8AFAD" w:rsidR="000B3EEE" w:rsidRPr="00EB4438" w:rsidRDefault="00D97A46" w:rsidP="00B43814">
      <w:pPr>
        <w:pStyle w:val="Prrafodelista"/>
        <w:numPr>
          <w:ilvl w:val="0"/>
          <w:numId w:val="1"/>
        </w:numPr>
        <w:spacing w:after="200"/>
        <w:ind w:right="49"/>
        <w:contextualSpacing/>
        <w:jc w:val="both"/>
        <w:rPr>
          <w:rFonts w:ascii="ITC Avant Garde" w:hAnsi="ITC Avant Garde" w:cs="Arial"/>
          <w:sz w:val="22"/>
          <w:szCs w:val="22"/>
          <w:lang w:val="es-ES_tradnl"/>
        </w:rPr>
      </w:pPr>
      <w:r w:rsidRPr="000B3EEE">
        <w:rPr>
          <w:rFonts w:ascii="ITC Avant Garde" w:eastAsia="Arial Unicode MS" w:hAnsi="ITC Avant Garde" w:cs="Arial Unicode MS"/>
          <w:kern w:val="1"/>
          <w:sz w:val="22"/>
          <w:szCs w:val="22"/>
          <w:u w:color="000000"/>
          <w:bdr w:val="nil"/>
          <w:lang w:val="es-ES_tradnl" w:eastAsia="ar-SA"/>
        </w:rPr>
        <w:t>Del 23 al 27 de enero de 2017, conforme al calendario publicado 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EB4438">
        <w:rPr>
          <w:rFonts w:ascii="ITC Avant Garde" w:eastAsia="Arial Unicode MS" w:hAnsi="ITC Avant Garde" w:cs="Arial Unicode MS"/>
          <w:kern w:val="1"/>
          <w:sz w:val="22"/>
          <w:szCs w:val="22"/>
          <w:u w:color="000000"/>
          <w:bdr w:val="nil"/>
          <w:lang w:val="es-ES_tradnl" w:eastAsia="ar-SA"/>
        </w:rPr>
        <w:t>nto de Presentación de Ofertas.</w:t>
      </w:r>
    </w:p>
    <w:p w14:paraId="22F4DD40" w14:textId="77777777" w:rsidR="00EB4438" w:rsidRPr="000B3EEE" w:rsidRDefault="00EB4438" w:rsidP="00EB4438">
      <w:pPr>
        <w:pStyle w:val="Prrafodelista"/>
        <w:spacing w:after="200"/>
        <w:ind w:left="720" w:right="49"/>
        <w:contextualSpacing/>
        <w:jc w:val="both"/>
        <w:rPr>
          <w:rFonts w:ascii="ITC Avant Garde" w:hAnsi="ITC Avant Garde" w:cs="Arial"/>
          <w:sz w:val="22"/>
          <w:szCs w:val="22"/>
          <w:lang w:val="es-ES_tradnl"/>
        </w:rPr>
      </w:pPr>
    </w:p>
    <w:p w14:paraId="32182FB9" w14:textId="77777777" w:rsidR="000B3EEE" w:rsidRPr="00EB4438" w:rsidRDefault="00D97A46" w:rsidP="00B43814">
      <w:pPr>
        <w:pStyle w:val="Prrafodelista"/>
        <w:numPr>
          <w:ilvl w:val="0"/>
          <w:numId w:val="1"/>
        </w:numPr>
        <w:spacing w:after="200"/>
        <w:ind w:right="49"/>
        <w:contextualSpacing/>
        <w:jc w:val="both"/>
        <w:rPr>
          <w:rFonts w:ascii="ITC Avant Garde" w:hAnsi="ITC Avant Garde" w:cs="Arial"/>
          <w:sz w:val="22"/>
          <w:szCs w:val="22"/>
          <w:lang w:val="es-ES_tradnl"/>
        </w:rPr>
      </w:pPr>
      <w:r w:rsidRPr="000B3EEE">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6B2D63D4" w14:textId="77777777" w:rsidR="00EB4438" w:rsidRPr="000B3EEE" w:rsidRDefault="00EB4438" w:rsidP="00EB4438">
      <w:pPr>
        <w:pStyle w:val="Prrafodelista"/>
        <w:spacing w:after="200"/>
        <w:ind w:left="720" w:right="49"/>
        <w:contextualSpacing/>
        <w:jc w:val="both"/>
        <w:rPr>
          <w:rFonts w:ascii="ITC Avant Garde" w:hAnsi="ITC Avant Garde" w:cs="Arial"/>
          <w:sz w:val="22"/>
          <w:szCs w:val="22"/>
          <w:lang w:val="es-ES_tradnl"/>
        </w:rPr>
      </w:pPr>
    </w:p>
    <w:p w14:paraId="3C514E6F" w14:textId="77777777" w:rsidR="000B3EEE" w:rsidRPr="00EB4438" w:rsidRDefault="00D97A46" w:rsidP="00B43814">
      <w:pPr>
        <w:pStyle w:val="Prrafodelista"/>
        <w:numPr>
          <w:ilvl w:val="0"/>
          <w:numId w:val="1"/>
        </w:numPr>
        <w:spacing w:after="200"/>
        <w:ind w:right="49"/>
        <w:contextualSpacing/>
        <w:jc w:val="both"/>
        <w:rPr>
          <w:rFonts w:ascii="ITC Avant Garde" w:hAnsi="ITC Avant Garde" w:cs="Arial"/>
          <w:sz w:val="22"/>
          <w:szCs w:val="22"/>
          <w:lang w:val="es-ES_tradnl"/>
        </w:rPr>
      </w:pPr>
      <w:r w:rsidRPr="000B3EEE">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08F647CE" w14:textId="77777777" w:rsidR="00EB4438" w:rsidRPr="000B3EEE" w:rsidRDefault="00EB4438" w:rsidP="00EB4438">
      <w:pPr>
        <w:pStyle w:val="Prrafodelista"/>
        <w:spacing w:after="200"/>
        <w:ind w:left="720" w:right="49"/>
        <w:contextualSpacing/>
        <w:jc w:val="both"/>
        <w:rPr>
          <w:rFonts w:ascii="ITC Avant Garde" w:hAnsi="ITC Avant Garde" w:cs="Arial"/>
          <w:sz w:val="22"/>
          <w:szCs w:val="22"/>
          <w:lang w:val="es-ES_tradnl"/>
        </w:rPr>
      </w:pPr>
    </w:p>
    <w:p w14:paraId="671983E6" w14:textId="77777777" w:rsidR="000B3EEE" w:rsidRPr="00EB4438" w:rsidRDefault="00D97A46" w:rsidP="00B43814">
      <w:pPr>
        <w:pStyle w:val="Prrafodelista"/>
        <w:numPr>
          <w:ilvl w:val="0"/>
          <w:numId w:val="1"/>
        </w:numPr>
        <w:spacing w:after="200"/>
        <w:ind w:right="49"/>
        <w:contextualSpacing/>
        <w:jc w:val="both"/>
        <w:rPr>
          <w:rFonts w:ascii="ITC Avant Garde" w:hAnsi="ITC Avant Garde" w:cs="Arial"/>
          <w:sz w:val="22"/>
          <w:szCs w:val="22"/>
          <w:lang w:val="es-ES_tradnl"/>
        </w:rPr>
      </w:pPr>
      <w:r w:rsidRPr="000B3EEE">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07A61167" w14:textId="77777777" w:rsidR="00EB4438" w:rsidRPr="000B3EEE" w:rsidRDefault="00EB4438" w:rsidP="00EB4438">
      <w:pPr>
        <w:pStyle w:val="Prrafodelista"/>
        <w:spacing w:after="200"/>
        <w:ind w:left="720" w:right="49"/>
        <w:contextualSpacing/>
        <w:jc w:val="both"/>
        <w:rPr>
          <w:rFonts w:ascii="ITC Avant Garde" w:hAnsi="ITC Avant Garde" w:cs="Arial"/>
          <w:sz w:val="22"/>
          <w:szCs w:val="22"/>
          <w:lang w:val="es-ES_tradnl"/>
        </w:rPr>
      </w:pPr>
    </w:p>
    <w:p w14:paraId="075BF901" w14:textId="77777777" w:rsidR="000B3EEE" w:rsidRPr="000B3EEE" w:rsidRDefault="00D97A46" w:rsidP="00B43814">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B3EEE">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4D38D2D8" w14:textId="77777777" w:rsidR="000B3EEE" w:rsidRDefault="00D97A46" w:rsidP="00B43814">
      <w:pPr>
        <w:spacing w:line="240" w:lineRule="auto"/>
        <w:ind w:right="49"/>
        <w:contextualSpacing/>
        <w:jc w:val="both"/>
        <w:rPr>
          <w:rFonts w:ascii="ITC Avant Garde" w:eastAsia="Times New Roman" w:hAnsi="ITC Avant Garde" w:cs="Arial"/>
          <w:lang w:eastAsia="es-MX"/>
        </w:rPr>
      </w:pPr>
      <w:r w:rsidRPr="000B3EEE">
        <w:rPr>
          <w:rFonts w:ascii="ITC Avant Garde" w:eastAsia="Times New Roman" w:hAnsi="ITC Avant Garde" w:cs="Arial"/>
          <w:lang w:eastAsia="es-MX"/>
        </w:rPr>
        <w:t xml:space="preserve">En virtud de los antecedentes señalados y, </w:t>
      </w:r>
    </w:p>
    <w:p w14:paraId="08718FCB" w14:textId="77777777" w:rsidR="00EB4438" w:rsidRPr="000B3EEE" w:rsidRDefault="00EB4438" w:rsidP="00B43814">
      <w:pPr>
        <w:spacing w:line="240" w:lineRule="auto"/>
        <w:ind w:right="49"/>
        <w:contextualSpacing/>
        <w:jc w:val="both"/>
        <w:rPr>
          <w:rFonts w:ascii="ITC Avant Garde" w:eastAsia="Times New Roman" w:hAnsi="ITC Avant Garde" w:cs="Arial"/>
          <w:lang w:eastAsia="es-MX"/>
        </w:rPr>
      </w:pPr>
    </w:p>
    <w:p w14:paraId="74ECD1D0" w14:textId="77777777" w:rsidR="000B3EEE" w:rsidRPr="000B3EEE" w:rsidRDefault="00D97A46" w:rsidP="00B43814">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0B3EEE">
        <w:rPr>
          <w:rFonts w:ascii="ITC Avant Garde" w:eastAsia="Arial Unicode MS" w:hAnsi="ITC Avant Garde" w:cs="Arial Unicode MS"/>
          <w:b/>
          <w:bCs/>
          <w:u w:color="000000"/>
          <w:bdr w:val="nil"/>
          <w:lang w:val="es-ES_tradnl"/>
        </w:rPr>
        <w:t>CONSIDERANDO</w:t>
      </w:r>
    </w:p>
    <w:p w14:paraId="4C16240B" w14:textId="77777777" w:rsidR="00EB4438" w:rsidRPr="00EB4438" w:rsidRDefault="00EB4438" w:rsidP="00EB4438">
      <w:pPr>
        <w:pBdr>
          <w:top w:val="nil"/>
          <w:left w:val="nil"/>
          <w:bottom w:val="nil"/>
          <w:right w:val="nil"/>
          <w:between w:val="nil"/>
          <w:bar w:val="nil"/>
        </w:pBdr>
        <w:spacing w:line="240" w:lineRule="auto"/>
        <w:contextualSpacing/>
        <w:jc w:val="both"/>
        <w:rPr>
          <w:rFonts w:ascii="ITC Avant Garde" w:hAnsi="ITC Avant Garde" w:cs="Arial"/>
        </w:rPr>
      </w:pPr>
    </w:p>
    <w:p w14:paraId="1D33992D" w14:textId="717FBA2C" w:rsidR="000B3EEE" w:rsidRDefault="00EB4438" w:rsidP="00EB4438">
      <w:pPr>
        <w:pBdr>
          <w:top w:val="nil"/>
          <w:left w:val="nil"/>
          <w:bottom w:val="nil"/>
          <w:right w:val="nil"/>
          <w:between w:val="nil"/>
          <w:bar w:val="nil"/>
        </w:pBdr>
        <w:spacing w:line="240" w:lineRule="auto"/>
        <w:contextualSpacing/>
        <w:jc w:val="both"/>
        <w:rPr>
          <w:rFonts w:ascii="ITC Avant Garde" w:hAnsi="ITC Avant Garde" w:cs="Arial"/>
        </w:rPr>
      </w:pPr>
      <w:r>
        <w:rPr>
          <w:rFonts w:ascii="ITC Avant Garde" w:hAnsi="ITC Avant Garde" w:cs="Arial"/>
          <w:b/>
        </w:rPr>
        <w:t>PRIMERO</w:t>
      </w:r>
      <w:r>
        <w:rPr>
          <w:rFonts w:ascii="ITC Avant Garde" w:hAnsi="ITC Avant Garde" w:cs="Arial"/>
          <w:b/>
        </w:rPr>
        <w:tab/>
      </w:r>
      <w:r w:rsidR="00D97A46" w:rsidRPr="000B3EEE">
        <w:rPr>
          <w:rFonts w:ascii="ITC Avant Garde" w:hAnsi="ITC Avant Garde" w:cs="Arial"/>
          <w:b/>
        </w:rPr>
        <w:t>Competencia del Instituto</w:t>
      </w:r>
      <w:r w:rsidR="00D97A46" w:rsidRPr="000B3EEE">
        <w:rPr>
          <w:rFonts w:ascii="ITC Avant Garde" w:hAnsi="ITC Avant Garde" w:cs="Arial"/>
        </w:rPr>
        <w:t>.</w:t>
      </w:r>
      <w:r w:rsidR="00D97A46" w:rsidRPr="000B3EEE">
        <w:rPr>
          <w:rFonts w:ascii="ITC Avant Garde" w:hAnsi="ITC Avant Garde" w:cs="Arial"/>
          <w:b/>
          <w:bCs/>
        </w:rPr>
        <w:t xml:space="preserve"> </w:t>
      </w:r>
      <w:r w:rsidR="00D97A46" w:rsidRPr="000B3EEE">
        <w:rPr>
          <w:rFonts w:ascii="ITC Avant Garde" w:hAnsi="ITC Avant Garde" w:cs="Arial"/>
        </w:rPr>
        <w:t xml:space="preserve">De conformidad con lo dispuesto en los artículos 6o., </w:t>
      </w:r>
      <w:r w:rsidR="00D97A46" w:rsidRPr="000B3EEE">
        <w:rPr>
          <w:rFonts w:ascii="ITC Avant Garde" w:hAnsi="ITC Avant Garde" w:cs="Arial"/>
          <w:lang w:eastAsia="es-MX"/>
        </w:rPr>
        <w:t>párrafo tercero y A</w:t>
      </w:r>
      <w:r w:rsidR="00D97A46" w:rsidRPr="000B3EEE">
        <w:rPr>
          <w:rFonts w:ascii="ITC Avant Garde" w:hAnsi="ITC Avant Garde" w:cs="Arial"/>
        </w:rPr>
        <w:t>partado B, fracción III, 27, párrafos cuarto y sexto y 28, párrafos décimo primero, décimo quinto, décimo sexto, décimo séptimo y décimo octavo y 134 de la Constitución Política de los Estados Unidos Mexicanos (Constitución); 1, 2, 7 y 15, fracciones VII, XVIII y LXIII de la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2A33B45D" w14:textId="77777777" w:rsidR="00EB4438" w:rsidRPr="000B3EEE" w:rsidRDefault="00EB4438" w:rsidP="00EB4438">
      <w:pPr>
        <w:pBdr>
          <w:top w:val="nil"/>
          <w:left w:val="nil"/>
          <w:bottom w:val="nil"/>
          <w:right w:val="nil"/>
          <w:between w:val="nil"/>
          <w:bar w:val="nil"/>
        </w:pBdr>
        <w:spacing w:line="240" w:lineRule="auto"/>
        <w:contextualSpacing/>
        <w:jc w:val="both"/>
        <w:rPr>
          <w:rFonts w:ascii="ITC Avant Garde" w:hAnsi="ITC Avant Garde" w:cs="Arial"/>
          <w:bCs/>
          <w:lang w:eastAsia="ar-SA"/>
        </w:rPr>
      </w:pPr>
    </w:p>
    <w:p w14:paraId="00D97A10" w14:textId="77777777" w:rsidR="000B3EEE" w:rsidRDefault="00D97A46" w:rsidP="00EB4438">
      <w:pPr>
        <w:spacing w:line="240" w:lineRule="auto"/>
        <w:ind w:right="49"/>
        <w:contextualSpacing/>
        <w:jc w:val="both"/>
        <w:rPr>
          <w:rFonts w:ascii="ITC Avant Garde" w:eastAsia="Times New Roman" w:hAnsi="ITC Avant Garde" w:cs="Arial"/>
          <w:lang w:eastAsia="es-MX"/>
        </w:rPr>
      </w:pPr>
      <w:r w:rsidRPr="00EB4438">
        <w:rPr>
          <w:rFonts w:ascii="ITC Avant Garde" w:eastAsia="Times New Roman" w:hAnsi="ITC Avant Garde" w:cs="Arial"/>
          <w:lang w:eastAsia="es-MX"/>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2A735730" w14:textId="77777777" w:rsidR="00EB4438" w:rsidRPr="00EB4438" w:rsidRDefault="00EB4438" w:rsidP="00EB4438">
      <w:pPr>
        <w:spacing w:line="240" w:lineRule="auto"/>
        <w:ind w:right="49"/>
        <w:contextualSpacing/>
        <w:jc w:val="both"/>
        <w:rPr>
          <w:rFonts w:ascii="ITC Avant Garde" w:eastAsia="Times New Roman" w:hAnsi="ITC Avant Garde" w:cs="Arial"/>
          <w:lang w:eastAsia="es-MX"/>
        </w:rPr>
      </w:pPr>
    </w:p>
    <w:p w14:paraId="69E98C69" w14:textId="77777777" w:rsidR="000B3EEE" w:rsidRDefault="00D97A46" w:rsidP="00EB4438">
      <w:pPr>
        <w:spacing w:line="240" w:lineRule="auto"/>
        <w:ind w:right="49"/>
        <w:contextualSpacing/>
        <w:jc w:val="both"/>
        <w:rPr>
          <w:rFonts w:ascii="ITC Avant Garde" w:eastAsia="Times New Roman" w:hAnsi="ITC Avant Garde" w:cs="Arial"/>
          <w:lang w:eastAsia="es-MX"/>
        </w:rPr>
      </w:pPr>
      <w:r w:rsidRPr="00EB4438">
        <w:rPr>
          <w:rFonts w:ascii="ITC Avant Garde" w:eastAsia="Times New Roman" w:hAnsi="ITC Avant Garde" w:cs="Arial"/>
          <w:lang w:eastAsia="es-MX"/>
        </w:rPr>
        <w:t>En ese sentido, como órgano máximo de gobierno del Instituto, el Pleno resulta competente para emitir la presente Acta de Fallo.</w:t>
      </w:r>
    </w:p>
    <w:p w14:paraId="25E48576" w14:textId="77777777" w:rsidR="00EB4438" w:rsidRPr="00EB4438" w:rsidRDefault="00EB4438" w:rsidP="00EB4438">
      <w:pPr>
        <w:spacing w:line="240" w:lineRule="auto"/>
        <w:ind w:right="49"/>
        <w:contextualSpacing/>
        <w:jc w:val="both"/>
        <w:rPr>
          <w:rFonts w:ascii="ITC Avant Garde" w:eastAsia="Times New Roman" w:hAnsi="ITC Avant Garde" w:cs="Arial"/>
          <w:lang w:eastAsia="es-MX"/>
        </w:rPr>
      </w:pPr>
    </w:p>
    <w:p w14:paraId="409F165E" w14:textId="7D69E3CF" w:rsidR="000B3EEE" w:rsidRDefault="00EB4438" w:rsidP="00EB4438">
      <w:pPr>
        <w:pBdr>
          <w:top w:val="nil"/>
          <w:left w:val="nil"/>
          <w:bottom w:val="nil"/>
          <w:right w:val="nil"/>
          <w:between w:val="nil"/>
          <w:bar w:val="nil"/>
        </w:pBdr>
        <w:spacing w:line="240" w:lineRule="auto"/>
        <w:contextualSpacing/>
        <w:jc w:val="both"/>
        <w:rPr>
          <w:rFonts w:ascii="ITC Avant Garde" w:hAnsi="ITC Avant Garde" w:cs="Arial"/>
          <w:bCs/>
        </w:rPr>
      </w:pPr>
      <w:r>
        <w:rPr>
          <w:rFonts w:ascii="ITC Avant Garde" w:hAnsi="ITC Avant Garde" w:cs="Arial"/>
          <w:b/>
          <w:bCs/>
        </w:rPr>
        <w:t>SEGUNDO.</w:t>
      </w:r>
      <w:r>
        <w:rPr>
          <w:rFonts w:ascii="ITC Avant Garde" w:hAnsi="ITC Avant Garde" w:cs="Arial"/>
          <w:b/>
          <w:bCs/>
        </w:rPr>
        <w:tab/>
      </w:r>
      <w:r w:rsidR="00D97A46" w:rsidRPr="000B3EEE">
        <w:rPr>
          <w:rFonts w:ascii="ITC Avant Garde" w:hAnsi="ITC Avant Garde" w:cs="Arial"/>
          <w:b/>
          <w:bCs/>
        </w:rPr>
        <w:t xml:space="preserve">Marco Normativo de la Licitación No. IFT-4. </w:t>
      </w:r>
      <w:r w:rsidR="00D97A46" w:rsidRPr="000B3EEE">
        <w:rPr>
          <w:rFonts w:ascii="ITC Avant Garde" w:hAnsi="ITC Avant Garde" w:cs="Arial"/>
          <w:bCs/>
        </w:rPr>
        <w:t>Los párrafos décimo primero y décimo octavo del artículo 28 de la Constitución establecen a la letra:</w:t>
      </w:r>
    </w:p>
    <w:p w14:paraId="1C9B2C6E" w14:textId="77777777" w:rsidR="00EB4438" w:rsidRPr="000B3EEE" w:rsidRDefault="00EB4438" w:rsidP="00EB4438">
      <w:pPr>
        <w:pBdr>
          <w:top w:val="nil"/>
          <w:left w:val="nil"/>
          <w:bottom w:val="nil"/>
          <w:right w:val="nil"/>
          <w:between w:val="nil"/>
          <w:bar w:val="nil"/>
        </w:pBdr>
        <w:spacing w:line="240" w:lineRule="auto"/>
        <w:contextualSpacing/>
        <w:jc w:val="both"/>
        <w:rPr>
          <w:rFonts w:ascii="ITC Avant Garde" w:hAnsi="ITC Avant Garde" w:cs="Arial"/>
        </w:rPr>
      </w:pPr>
    </w:p>
    <w:p w14:paraId="11B6AE34" w14:textId="3FBC94A3" w:rsidR="00D97A46"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sz w:val="20"/>
          <w:szCs w:val="20"/>
        </w:rPr>
        <w:t>“</w:t>
      </w:r>
      <w:r w:rsidRPr="000B3EEE">
        <w:rPr>
          <w:rFonts w:ascii="ITC Avant Garde" w:hAnsi="ITC Avant Garde" w:cs="Arial"/>
          <w:b/>
          <w:sz w:val="20"/>
          <w:szCs w:val="20"/>
        </w:rPr>
        <w:t>Artículo 28.</w:t>
      </w:r>
    </w:p>
    <w:p w14:paraId="2845AA7A" w14:textId="77777777" w:rsidR="00D97A46"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sz w:val="20"/>
          <w:szCs w:val="20"/>
        </w:rPr>
        <w:t>(…)</w:t>
      </w:r>
    </w:p>
    <w:p w14:paraId="13A9DCE5" w14:textId="77777777" w:rsidR="00D97A46"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sz w:val="20"/>
          <w:szCs w:val="20"/>
        </w:rP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14:paraId="768BF71C" w14:textId="77777777" w:rsidR="00D97A46"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sz w:val="20"/>
          <w:szCs w:val="20"/>
        </w:rPr>
        <w:t>(…)</w:t>
      </w:r>
    </w:p>
    <w:p w14:paraId="7293D6AB" w14:textId="77777777" w:rsidR="00D97A46"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b/>
          <w:sz w:val="20"/>
          <w:szCs w:val="20"/>
          <w:u w:val="single"/>
        </w:rPr>
        <w:t>Las concesiones de espectro radioeléctrico serán otorgadas mediante licitación pública,</w:t>
      </w:r>
      <w:r w:rsidRPr="000B3EEE">
        <w:rPr>
          <w:rFonts w:ascii="ITC Avant Garde" w:hAnsi="ITC Avant Garde" w:cs="Arial"/>
          <w:sz w:val="20"/>
          <w:szCs w:val="20"/>
          <w:u w:val="single"/>
        </w:rPr>
        <w:t xml:space="preserve"> </w:t>
      </w:r>
      <w:r w:rsidRPr="000B3EEE">
        <w:rPr>
          <w:rFonts w:ascii="ITC Avant Garde" w:hAnsi="ITC Avant Garde" w:cs="Arial"/>
          <w:b/>
          <w:sz w:val="20"/>
          <w:szCs w:val="20"/>
          <w:u w:val="single"/>
        </w:rPr>
        <w:t>a fin de asegurar la máxima concurrencia, previniendo fenómenos de concentración que contraríen el interés público</w:t>
      </w:r>
      <w:r w:rsidRPr="000B3EEE">
        <w:rPr>
          <w:rFonts w:ascii="ITC Avant Garde" w:hAnsi="ITC Avant Garde" w:cs="Arial"/>
          <w:b/>
          <w:sz w:val="20"/>
          <w:szCs w:val="20"/>
        </w:rPr>
        <w:t xml:space="preserve"> </w:t>
      </w:r>
      <w:r w:rsidRPr="000B3EEE">
        <w:rPr>
          <w:rFonts w:ascii="ITC Avant Garde" w:hAnsi="ITC Avant Garde" w:cs="Arial"/>
          <w:sz w:val="20"/>
          <w:szCs w:val="20"/>
        </w:rPr>
        <w:t xml:space="preserve">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w:t>
      </w:r>
      <w:r w:rsidRPr="000B3EEE">
        <w:rPr>
          <w:rFonts w:ascii="ITC Avant Garde" w:hAnsi="ITC Avant Garde" w:cs="Arial"/>
          <w:sz w:val="20"/>
          <w:szCs w:val="20"/>
        </w:rPr>
        <w:lastRenderedPageBreak/>
        <w:t xml:space="preserve">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 </w:t>
      </w:r>
    </w:p>
    <w:p w14:paraId="0ED8065C" w14:textId="77777777" w:rsidR="000B3EEE"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sz w:val="20"/>
          <w:szCs w:val="20"/>
        </w:rPr>
        <w:t>(…)”</w:t>
      </w:r>
    </w:p>
    <w:p w14:paraId="080426DF" w14:textId="77777777" w:rsidR="00EB4438" w:rsidRDefault="00EB4438" w:rsidP="00B43814">
      <w:pPr>
        <w:suppressAutoHyphens/>
        <w:spacing w:line="240" w:lineRule="auto"/>
        <w:ind w:right="-62"/>
        <w:contextualSpacing/>
        <w:jc w:val="both"/>
        <w:rPr>
          <w:rFonts w:ascii="ITC Avant Garde" w:hAnsi="ITC Avant Garde" w:cs="Arial"/>
        </w:rPr>
      </w:pPr>
    </w:p>
    <w:p w14:paraId="013DFFDA" w14:textId="723E2015" w:rsidR="000B3EEE" w:rsidRDefault="00D97A46" w:rsidP="00B43814">
      <w:pPr>
        <w:suppressAutoHyphens/>
        <w:spacing w:line="240" w:lineRule="auto"/>
        <w:ind w:right="-62"/>
        <w:contextualSpacing/>
        <w:jc w:val="both"/>
        <w:rPr>
          <w:rFonts w:ascii="ITC Avant Garde" w:hAnsi="ITC Avant Garde"/>
        </w:rPr>
      </w:pPr>
      <w:r w:rsidRPr="000B3EEE">
        <w:rPr>
          <w:rFonts w:ascii="ITC Avant Garde" w:hAnsi="ITC Avant Garde" w:cs="Arial"/>
        </w:rPr>
        <w:t>De lo anterior se desprende que el Estado podrá concesionar la prestación de los servicios públicos de telecomunicaciones y radiodifusión, así como la explotación, uso y aprovechamiento de bienes de dominio de la Federación, para lo cual deberá asegurar la máxima concurrencia y evitar que se generen fenómenos de concentración contrarios al interés público. Asimismo, tratándose de concesiones de espectro radioeléctrico, éstas serán otorgadas mediante licitación pública, excepto las concesiones para uso público y social, las cuales se otorgarán por asignación directa, sujeto a disponibilidad</w:t>
      </w:r>
      <w:r w:rsidR="00EB4438">
        <w:rPr>
          <w:rFonts w:ascii="ITC Avant Garde" w:hAnsi="ITC Avant Garde"/>
        </w:rPr>
        <w:t>.</w:t>
      </w:r>
    </w:p>
    <w:p w14:paraId="752D9F1D" w14:textId="77777777" w:rsidR="00EB4438" w:rsidRPr="000B3EEE" w:rsidRDefault="00EB4438" w:rsidP="00B43814">
      <w:pPr>
        <w:suppressAutoHyphens/>
        <w:spacing w:line="240" w:lineRule="auto"/>
        <w:ind w:right="-62"/>
        <w:contextualSpacing/>
        <w:jc w:val="both"/>
        <w:rPr>
          <w:rFonts w:ascii="ITC Avant Garde" w:hAnsi="ITC Avant Garde" w:cs="Arial"/>
        </w:rPr>
      </w:pPr>
    </w:p>
    <w:p w14:paraId="33D9D3F0" w14:textId="77777777" w:rsidR="000B3EEE" w:rsidRDefault="00D97A46" w:rsidP="00B43814">
      <w:pPr>
        <w:suppressAutoHyphens/>
        <w:spacing w:line="240" w:lineRule="auto"/>
        <w:ind w:right="49"/>
        <w:contextualSpacing/>
        <w:jc w:val="both"/>
        <w:rPr>
          <w:rFonts w:ascii="ITC Avant Garde" w:eastAsia="Times New Roman" w:hAnsi="ITC Avant Garde" w:cs="Arial"/>
          <w:kern w:val="2"/>
          <w:lang w:eastAsia="ar-SA"/>
        </w:rPr>
      </w:pPr>
      <w:r w:rsidRPr="000B3EEE">
        <w:rPr>
          <w:rFonts w:ascii="ITC Avant Garde" w:eastAsia="Times New Roman" w:hAnsi="ITC Avant Garde" w:cs="Arial"/>
          <w:kern w:val="2"/>
          <w:lang w:eastAsia="ar-SA"/>
        </w:rPr>
        <w:t>Por su parte, el artículo 54 de la Ley establece que la administración del espectro radioeléctrico y los recursos orbitales se ejercerá por el Instituto en el actuar de sus funciones según lo dispuesto por la Constitución, en la Ley, en los tratados y acuerdos internacionales firmados por México y, en lo aplicable, siguiendo las recomendaciones de la Unión Internacional de Telecomunicaciones y otros organismos internacionales.</w:t>
      </w:r>
    </w:p>
    <w:p w14:paraId="2253E140" w14:textId="77777777" w:rsidR="00EB4438" w:rsidRPr="000B3EEE" w:rsidRDefault="00EB4438" w:rsidP="00B43814">
      <w:pPr>
        <w:suppressAutoHyphens/>
        <w:spacing w:line="240" w:lineRule="auto"/>
        <w:ind w:right="49"/>
        <w:contextualSpacing/>
        <w:jc w:val="both"/>
        <w:rPr>
          <w:rFonts w:ascii="ITC Avant Garde" w:eastAsia="Times New Roman" w:hAnsi="ITC Avant Garde" w:cs="Arial"/>
          <w:kern w:val="2"/>
          <w:lang w:eastAsia="ar-SA"/>
        </w:rPr>
      </w:pPr>
    </w:p>
    <w:p w14:paraId="2DC5DFEA" w14:textId="77777777" w:rsidR="000B3EEE" w:rsidRDefault="00D97A46" w:rsidP="00B43814">
      <w:pPr>
        <w:suppressAutoHyphens/>
        <w:spacing w:line="240" w:lineRule="auto"/>
        <w:ind w:right="49"/>
        <w:contextualSpacing/>
        <w:jc w:val="both"/>
        <w:rPr>
          <w:rFonts w:ascii="ITC Avant Garde" w:eastAsia="Times New Roman" w:hAnsi="ITC Avant Garde" w:cs="Arial"/>
          <w:kern w:val="2"/>
          <w:lang w:eastAsia="ar-SA"/>
        </w:rPr>
      </w:pPr>
      <w:r w:rsidRPr="000B3EEE">
        <w:rPr>
          <w:rFonts w:ascii="ITC Avant Garde" w:eastAsia="Times New Roman" w:hAnsi="ITC Avant Garde" w:cs="Arial"/>
          <w:kern w:val="2"/>
          <w:lang w:eastAsia="ar-SA"/>
        </w:rPr>
        <w:t>La administración del espectro radioeléctrico comprende la elaboración y aprobación de planes y programas de su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06F51C7C" w14:textId="77777777" w:rsidR="00EB4438" w:rsidRPr="000B3EEE" w:rsidRDefault="00EB4438" w:rsidP="00B43814">
      <w:pPr>
        <w:suppressAutoHyphens/>
        <w:spacing w:line="240" w:lineRule="auto"/>
        <w:ind w:right="49"/>
        <w:contextualSpacing/>
        <w:jc w:val="both"/>
        <w:rPr>
          <w:rFonts w:ascii="ITC Avant Garde" w:eastAsia="Times New Roman" w:hAnsi="ITC Avant Garde" w:cs="Arial"/>
          <w:kern w:val="2"/>
          <w:lang w:eastAsia="ar-SA"/>
        </w:rPr>
      </w:pPr>
    </w:p>
    <w:p w14:paraId="7F928C87" w14:textId="6AE283A0" w:rsidR="000B3EEE" w:rsidRDefault="00D97A46" w:rsidP="00B43814">
      <w:pPr>
        <w:tabs>
          <w:tab w:val="left" w:pos="7655"/>
        </w:tabs>
        <w:spacing w:line="240" w:lineRule="auto"/>
        <w:ind w:right="-62"/>
        <w:contextualSpacing/>
        <w:jc w:val="both"/>
        <w:rPr>
          <w:rFonts w:ascii="ITC Avant Garde" w:hAnsi="ITC Avant Garde" w:cs="Arial"/>
        </w:rPr>
      </w:pPr>
      <w:r w:rsidRPr="000B3EEE">
        <w:rPr>
          <w:rFonts w:ascii="ITC Avant Garde" w:hAnsi="ITC Avant Garde" w:cs="Arial"/>
        </w:rPr>
        <w:t xml:space="preserve">En ese sentido, el artículo 15, fracción VII de la </w:t>
      </w:r>
      <w:r w:rsidRPr="000B3EEE">
        <w:rPr>
          <w:rFonts w:ascii="ITC Avant Garde" w:eastAsia="Times New Roman" w:hAnsi="ITC Avant Garde" w:cs="Arial"/>
          <w:kern w:val="2"/>
          <w:lang w:eastAsia="ar-SA"/>
        </w:rPr>
        <w:t>Ley</w:t>
      </w:r>
      <w:r w:rsidRPr="000B3EEE">
        <w:rPr>
          <w:rFonts w:ascii="ITC Avant Garde" w:hAnsi="ITC Avant Garde" w:cs="Arial"/>
        </w:rPr>
        <w:t xml:space="preserve"> establece:</w:t>
      </w:r>
    </w:p>
    <w:p w14:paraId="0452786C" w14:textId="77777777" w:rsidR="00EB4438" w:rsidRPr="000B3EEE" w:rsidRDefault="00EB4438" w:rsidP="00B43814">
      <w:pPr>
        <w:tabs>
          <w:tab w:val="left" w:pos="7655"/>
        </w:tabs>
        <w:spacing w:line="240" w:lineRule="auto"/>
        <w:ind w:right="-62"/>
        <w:contextualSpacing/>
        <w:jc w:val="both"/>
        <w:rPr>
          <w:rFonts w:ascii="ITC Avant Garde" w:hAnsi="ITC Avant Garde" w:cs="Arial"/>
        </w:rPr>
      </w:pPr>
    </w:p>
    <w:p w14:paraId="5566D374" w14:textId="1B2BEF93" w:rsidR="00D97A46"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sz w:val="20"/>
          <w:szCs w:val="20"/>
        </w:rPr>
        <w:t>“</w:t>
      </w:r>
      <w:r w:rsidRPr="000B3EEE">
        <w:rPr>
          <w:rFonts w:ascii="ITC Avant Garde" w:hAnsi="ITC Avant Garde" w:cs="Arial"/>
          <w:b/>
          <w:sz w:val="20"/>
          <w:szCs w:val="20"/>
        </w:rPr>
        <w:t>Artículo 15.</w:t>
      </w:r>
      <w:r w:rsidRPr="000B3EEE">
        <w:rPr>
          <w:rFonts w:ascii="ITC Avant Garde" w:hAnsi="ITC Avant Garde" w:cs="Arial"/>
          <w:sz w:val="20"/>
          <w:szCs w:val="20"/>
        </w:rPr>
        <w:t xml:space="preserve"> Para el ejercicio de sus atribuciones corresponde al Instituto:</w:t>
      </w:r>
    </w:p>
    <w:p w14:paraId="64CAFA5B" w14:textId="77777777" w:rsidR="00D97A46"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sz w:val="20"/>
          <w:szCs w:val="20"/>
        </w:rPr>
        <w:t>(…)</w:t>
      </w:r>
    </w:p>
    <w:p w14:paraId="59F36081" w14:textId="77777777" w:rsidR="00D97A46"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b/>
          <w:sz w:val="20"/>
          <w:szCs w:val="20"/>
        </w:rPr>
        <w:t>VII</w:t>
      </w:r>
      <w:r w:rsidRPr="000B3EEE">
        <w:rPr>
          <w:rFonts w:ascii="ITC Avant Garde" w:hAnsi="ITC Avant Garde" w:cs="Arial"/>
          <w:sz w:val="20"/>
          <w:szCs w:val="20"/>
        </w:rPr>
        <w:t xml:space="preserve">. </w:t>
      </w:r>
      <w:r w:rsidRPr="000B3EEE">
        <w:rPr>
          <w:rFonts w:ascii="ITC Avant Garde" w:hAnsi="ITC Avant Garde"/>
          <w:b/>
          <w:sz w:val="20"/>
        </w:rPr>
        <w:t>Llevar a cabo los procesos de licitación y asignación de bandas de frecuencias del espectro radioeléctrico en materia de telecomunicaciones y radiodifusión</w:t>
      </w:r>
      <w:r w:rsidRPr="000B3EEE">
        <w:rPr>
          <w:rFonts w:ascii="ITC Avant Garde" w:hAnsi="ITC Avant Garde" w:cs="Arial"/>
          <w:sz w:val="20"/>
          <w:szCs w:val="20"/>
        </w:rPr>
        <w:t>, y de recursos orbitales con sus bandas de frecuencias asociadas;</w:t>
      </w:r>
    </w:p>
    <w:p w14:paraId="31909D81" w14:textId="77777777" w:rsidR="000B3EEE"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sz w:val="20"/>
          <w:szCs w:val="20"/>
        </w:rPr>
        <w:t>(…)”</w:t>
      </w:r>
    </w:p>
    <w:p w14:paraId="0EE07A67" w14:textId="77777777" w:rsidR="00EB4438" w:rsidRDefault="00EB4438" w:rsidP="00EB4438">
      <w:pPr>
        <w:tabs>
          <w:tab w:val="left" w:pos="6663"/>
        </w:tabs>
        <w:spacing w:after="0" w:line="240" w:lineRule="auto"/>
        <w:jc w:val="both"/>
        <w:rPr>
          <w:rFonts w:ascii="ITC Avant Garde" w:eastAsia="Times New Roman" w:hAnsi="ITC Avant Garde" w:cs="Arial"/>
          <w:lang w:eastAsia="es-MX"/>
        </w:rPr>
      </w:pPr>
    </w:p>
    <w:p w14:paraId="0B6085C0" w14:textId="77777777" w:rsidR="000B3EEE" w:rsidRPr="000B3EEE" w:rsidRDefault="00D97A46" w:rsidP="00B43814">
      <w:pPr>
        <w:tabs>
          <w:tab w:val="left" w:pos="6663"/>
        </w:tabs>
        <w:spacing w:line="240" w:lineRule="auto"/>
        <w:jc w:val="both"/>
        <w:rPr>
          <w:rFonts w:ascii="ITC Avant Garde" w:eastAsia="Times New Roman" w:hAnsi="ITC Avant Garde" w:cs="Arial"/>
          <w:lang w:eastAsia="es-MX"/>
        </w:rPr>
      </w:pPr>
      <w:r w:rsidRPr="000B3EEE">
        <w:rPr>
          <w:rFonts w:ascii="ITC Avant Garde" w:eastAsia="Times New Roman" w:hAnsi="ITC Avant Garde" w:cs="Arial"/>
          <w:lang w:eastAsia="es-MX"/>
        </w:rPr>
        <w:t xml:space="preserve">Aunado a lo anterior, los artículos 78, fracciones I y II, y 79 de la </w:t>
      </w:r>
      <w:r w:rsidRPr="000B3EEE">
        <w:rPr>
          <w:rFonts w:ascii="ITC Avant Garde" w:eastAsia="Times New Roman" w:hAnsi="ITC Avant Garde" w:cs="Arial"/>
          <w:kern w:val="2"/>
          <w:lang w:eastAsia="ar-SA"/>
        </w:rPr>
        <w:t>Ley</w:t>
      </w:r>
      <w:r w:rsidRPr="000B3EEE">
        <w:rPr>
          <w:rFonts w:ascii="ITC Avant Garde" w:eastAsia="Times New Roman" w:hAnsi="ITC Avant Garde" w:cs="Arial"/>
          <w:lang w:eastAsia="es-MX"/>
        </w:rPr>
        <w:t xml:space="preserve"> disponen:</w:t>
      </w:r>
    </w:p>
    <w:p w14:paraId="0ED93071" w14:textId="77777777" w:rsidR="000B3EEE"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sz w:val="20"/>
          <w:szCs w:val="20"/>
        </w:rPr>
        <w:t>“</w:t>
      </w:r>
      <w:r w:rsidRPr="000B3EEE">
        <w:rPr>
          <w:rFonts w:ascii="ITC Avant Garde" w:hAnsi="ITC Avant Garde" w:cs="Arial"/>
          <w:b/>
          <w:sz w:val="20"/>
          <w:szCs w:val="20"/>
        </w:rPr>
        <w:t>Artículo 78. </w:t>
      </w:r>
      <w:r w:rsidRPr="000B3EEE">
        <w:rPr>
          <w:rFonts w:ascii="ITC Avant Garde" w:hAnsi="ITC Avant Garde" w:cs="Arial"/>
          <w:b/>
          <w:sz w:val="20"/>
          <w:szCs w:val="20"/>
          <w:u w:val="single"/>
        </w:rPr>
        <w:t>Las concesiones para el uso, aprovechamiento o explotación del espectro radioeléctrico para uso comercial</w:t>
      </w:r>
      <w:r w:rsidRPr="000B3EEE">
        <w:rPr>
          <w:rFonts w:ascii="ITC Avant Garde" w:hAnsi="ITC Avant Garde" w:cs="Arial"/>
          <w:sz w:val="20"/>
          <w:szCs w:val="20"/>
        </w:rPr>
        <w:t xml:space="preserve"> o privado, en este último caso para los propósitos previstos en el artículo 76, fracción III, inciso a), </w:t>
      </w:r>
      <w:r w:rsidRPr="000B3EEE">
        <w:rPr>
          <w:rFonts w:ascii="ITC Avant Garde" w:hAnsi="ITC Avant Garde" w:cs="Arial"/>
          <w:b/>
          <w:sz w:val="20"/>
          <w:szCs w:val="20"/>
          <w:u w:val="single"/>
        </w:rPr>
        <w:t xml:space="preserve">se otorgarán únicamente a través </w:t>
      </w:r>
      <w:r w:rsidRPr="000B3EEE">
        <w:rPr>
          <w:rFonts w:ascii="ITC Avant Garde" w:hAnsi="ITC Avant Garde" w:cs="Arial"/>
          <w:b/>
          <w:sz w:val="20"/>
          <w:szCs w:val="20"/>
          <w:u w:val="single"/>
        </w:rPr>
        <w:lastRenderedPageBreak/>
        <w:t>de un procedimiento de licitación pública</w:t>
      </w:r>
      <w:r w:rsidRPr="000B3EEE">
        <w:rPr>
          <w:rFonts w:ascii="ITC Avant Garde" w:hAnsi="ITC Avant Garde" w:cs="Arial"/>
          <w:sz w:val="20"/>
          <w:szCs w:val="20"/>
        </w:rPr>
        <w:t xml:space="preserve"> previo pago de una contraprestación, para lo cual, se deberán observar los criterios previstos en los artículos 6o., 7o., 28 y 134 de la Constitución y lo establecido en la Sección VII del Capítulo III del presente Título, así como los siguientes:</w:t>
      </w:r>
    </w:p>
    <w:p w14:paraId="00A25D35" w14:textId="10F7D5FE" w:rsidR="00D97A46" w:rsidRPr="000B3EEE" w:rsidRDefault="00D97A46" w:rsidP="00B43814">
      <w:pPr>
        <w:pStyle w:val="Prrafodelista"/>
        <w:numPr>
          <w:ilvl w:val="0"/>
          <w:numId w:val="22"/>
        </w:numPr>
        <w:spacing w:after="200"/>
        <w:ind w:left="1560" w:right="1182" w:hanging="426"/>
        <w:contextualSpacing/>
        <w:jc w:val="both"/>
        <w:rPr>
          <w:rFonts w:ascii="ITC Avant Garde" w:hAnsi="ITC Avant Garde" w:cs="Arial"/>
          <w:b/>
          <w:sz w:val="20"/>
        </w:rPr>
      </w:pPr>
      <w:r w:rsidRPr="000B3EEE">
        <w:rPr>
          <w:rFonts w:ascii="ITC Avant Garde" w:hAnsi="ITC Avant Garde" w:cs="Arial"/>
          <w:sz w:val="20"/>
        </w:rPr>
        <w:t>Para el otorgamiento de concesiones en materia de telecomunicaciones, el Instituto podrá tomar en cuenta, entre otros, los siguientes factores:</w:t>
      </w:r>
    </w:p>
    <w:p w14:paraId="6FDE658F" w14:textId="77777777" w:rsidR="00D97A46" w:rsidRPr="000B3EEE" w:rsidRDefault="00D97A46" w:rsidP="00B43814">
      <w:pPr>
        <w:pStyle w:val="Prrafodelista"/>
        <w:numPr>
          <w:ilvl w:val="0"/>
          <w:numId w:val="26"/>
        </w:numPr>
        <w:spacing w:after="200"/>
        <w:ind w:right="1182"/>
        <w:contextualSpacing/>
        <w:jc w:val="both"/>
        <w:rPr>
          <w:rFonts w:ascii="ITC Avant Garde" w:hAnsi="ITC Avant Garde" w:cs="Arial"/>
          <w:sz w:val="20"/>
        </w:rPr>
      </w:pPr>
      <w:r w:rsidRPr="000B3EEE">
        <w:rPr>
          <w:rFonts w:ascii="ITC Avant Garde" w:hAnsi="ITC Avant Garde" w:cs="Arial"/>
          <w:sz w:val="20"/>
        </w:rPr>
        <w:t>La propuesta económica;</w:t>
      </w:r>
    </w:p>
    <w:p w14:paraId="41EB1EB4" w14:textId="77777777" w:rsidR="00D97A46" w:rsidRPr="000B3EEE" w:rsidRDefault="00D97A46" w:rsidP="00B43814">
      <w:pPr>
        <w:pStyle w:val="Prrafodelista"/>
        <w:numPr>
          <w:ilvl w:val="0"/>
          <w:numId w:val="26"/>
        </w:numPr>
        <w:spacing w:after="200"/>
        <w:ind w:right="1182"/>
        <w:contextualSpacing/>
        <w:jc w:val="both"/>
        <w:rPr>
          <w:rFonts w:ascii="ITC Avant Garde" w:hAnsi="ITC Avant Garde" w:cs="Arial"/>
          <w:sz w:val="20"/>
        </w:rPr>
      </w:pPr>
      <w:r w:rsidRPr="000B3EEE">
        <w:rPr>
          <w:rFonts w:ascii="ITC Avant Garde" w:hAnsi="ITC Avant Garde" w:cs="Arial"/>
          <w:sz w:val="20"/>
        </w:rPr>
        <w:t>La cobertura, calidad e innovación;</w:t>
      </w:r>
    </w:p>
    <w:p w14:paraId="7405B93A" w14:textId="77777777" w:rsidR="00D97A46" w:rsidRPr="000B3EEE" w:rsidRDefault="00D97A46" w:rsidP="00B43814">
      <w:pPr>
        <w:pStyle w:val="Prrafodelista"/>
        <w:numPr>
          <w:ilvl w:val="0"/>
          <w:numId w:val="26"/>
        </w:numPr>
        <w:spacing w:after="200"/>
        <w:ind w:right="1182"/>
        <w:contextualSpacing/>
        <w:jc w:val="both"/>
        <w:rPr>
          <w:rFonts w:ascii="ITC Avant Garde" w:hAnsi="ITC Avant Garde" w:cs="Arial"/>
          <w:sz w:val="20"/>
        </w:rPr>
      </w:pPr>
      <w:r w:rsidRPr="000B3EEE">
        <w:rPr>
          <w:rFonts w:ascii="ITC Avant Garde" w:hAnsi="ITC Avant Garde" w:cs="Arial"/>
          <w:sz w:val="20"/>
        </w:rPr>
        <w:t>El favorecimiento de menores precios en los servicios al usuario final;</w:t>
      </w:r>
    </w:p>
    <w:p w14:paraId="1A9FDE1C" w14:textId="77777777" w:rsidR="00D97A46" w:rsidRPr="000B3EEE" w:rsidRDefault="00D97A46" w:rsidP="00B43814">
      <w:pPr>
        <w:pStyle w:val="Prrafodelista"/>
        <w:numPr>
          <w:ilvl w:val="0"/>
          <w:numId w:val="26"/>
        </w:numPr>
        <w:spacing w:after="200"/>
        <w:ind w:right="1182"/>
        <w:contextualSpacing/>
        <w:jc w:val="both"/>
        <w:rPr>
          <w:rFonts w:ascii="ITC Avant Garde" w:hAnsi="ITC Avant Garde" w:cs="Arial"/>
          <w:sz w:val="20"/>
        </w:rPr>
      </w:pPr>
      <w:r w:rsidRPr="000B3EEE">
        <w:rPr>
          <w:rFonts w:ascii="ITC Avant Garde" w:hAnsi="ITC Avant Garde" w:cs="Arial"/>
          <w:sz w:val="20"/>
        </w:rPr>
        <w:t>La prevención de fenómenos de concentración que contraríen el interés público;</w:t>
      </w:r>
    </w:p>
    <w:p w14:paraId="02188B5A" w14:textId="77777777" w:rsidR="00D97A46" w:rsidRPr="000B3EEE" w:rsidRDefault="00D97A46" w:rsidP="00B43814">
      <w:pPr>
        <w:pStyle w:val="Prrafodelista"/>
        <w:numPr>
          <w:ilvl w:val="0"/>
          <w:numId w:val="26"/>
        </w:numPr>
        <w:spacing w:after="200"/>
        <w:ind w:right="1182"/>
        <w:contextualSpacing/>
        <w:jc w:val="both"/>
        <w:rPr>
          <w:rFonts w:ascii="ITC Avant Garde" w:hAnsi="ITC Avant Garde" w:cs="Arial"/>
          <w:sz w:val="20"/>
        </w:rPr>
      </w:pPr>
      <w:r w:rsidRPr="000B3EEE">
        <w:rPr>
          <w:rFonts w:ascii="ITC Avant Garde" w:hAnsi="ITC Avant Garde" w:cs="Arial"/>
          <w:sz w:val="20"/>
        </w:rPr>
        <w:t xml:space="preserve">La posible entrada de nuevos competidores al mercado, y </w:t>
      </w:r>
    </w:p>
    <w:p w14:paraId="2C9CAE92" w14:textId="77777777" w:rsidR="000B3EEE" w:rsidRPr="000B3EEE" w:rsidRDefault="00D97A46" w:rsidP="00B43814">
      <w:pPr>
        <w:pStyle w:val="Prrafodelista"/>
        <w:numPr>
          <w:ilvl w:val="0"/>
          <w:numId w:val="26"/>
        </w:numPr>
        <w:spacing w:after="200"/>
        <w:ind w:right="1182"/>
        <w:contextualSpacing/>
        <w:jc w:val="both"/>
        <w:rPr>
          <w:rFonts w:ascii="ITC Avant Garde" w:hAnsi="ITC Avant Garde" w:cs="Arial"/>
          <w:sz w:val="20"/>
        </w:rPr>
      </w:pPr>
      <w:r w:rsidRPr="000B3EEE">
        <w:rPr>
          <w:rFonts w:ascii="ITC Avant Garde" w:hAnsi="ITC Avant Garde" w:cs="Arial"/>
          <w:sz w:val="20"/>
        </w:rPr>
        <w:t>La consistencia con el programa de concesionamiento.</w:t>
      </w:r>
    </w:p>
    <w:p w14:paraId="62627C07" w14:textId="3D24173F" w:rsidR="00D97A46" w:rsidRPr="000B3EEE" w:rsidRDefault="00D97A46" w:rsidP="00B43814">
      <w:pPr>
        <w:pStyle w:val="Prrafodelista"/>
        <w:numPr>
          <w:ilvl w:val="0"/>
          <w:numId w:val="22"/>
        </w:numPr>
        <w:spacing w:after="200"/>
        <w:ind w:left="1560" w:right="1182" w:hanging="426"/>
        <w:contextualSpacing/>
        <w:jc w:val="both"/>
        <w:rPr>
          <w:rFonts w:ascii="ITC Avant Garde" w:hAnsi="ITC Avant Garde" w:cs="Arial"/>
          <w:sz w:val="20"/>
        </w:rPr>
      </w:pPr>
      <w:r w:rsidRPr="000B3EEE">
        <w:rPr>
          <w:rFonts w:ascii="ITC Avant Garde" w:hAnsi="ITC Avant Garde" w:cs="Arial"/>
          <w:b/>
          <w:sz w:val="20"/>
          <w:u w:val="single"/>
        </w:rPr>
        <w:t>Para el otorgamiento de concesiones en materia de radiodifusión, el Instituto tomará en cuenta los incisos a), b), d), e) y f).</w:t>
      </w:r>
      <w:r w:rsidRPr="000B3EEE">
        <w:rPr>
          <w:rFonts w:ascii="ITC Avant Garde" w:hAnsi="ITC Avant Garde" w:cs="Arial"/>
          <w:sz w:val="20"/>
        </w:rPr>
        <w:t xml:space="preserve"> Adicionalmente, se deberá considerar que el proyecto de programación sea consistente con los fines para los que se solicita la concesión, que promueva e incluya la difusión de contenidos nacionales, regionales y locales y cumpla con las disposiciones aplicables.</w:t>
      </w:r>
    </w:p>
    <w:p w14:paraId="1F67CD03" w14:textId="77777777" w:rsidR="000B3EEE" w:rsidRPr="000B3EEE" w:rsidRDefault="00D97A46" w:rsidP="00B43814">
      <w:pPr>
        <w:spacing w:line="240" w:lineRule="auto"/>
        <w:ind w:left="1134" w:right="1182"/>
        <w:contextualSpacing/>
        <w:jc w:val="both"/>
        <w:rPr>
          <w:rFonts w:ascii="ITC Avant Garde" w:hAnsi="ITC Avant Garde"/>
          <w:sz w:val="20"/>
        </w:rPr>
      </w:pPr>
      <w:r w:rsidRPr="000B3EEE">
        <w:rPr>
          <w:rFonts w:ascii="ITC Avant Garde" w:hAnsi="ITC Avant Garde"/>
          <w:sz w:val="20"/>
        </w:rPr>
        <w:t>(…)”</w:t>
      </w:r>
    </w:p>
    <w:p w14:paraId="2548B718" w14:textId="77777777" w:rsidR="000B3EEE" w:rsidRPr="000B3EEE" w:rsidRDefault="00D97A46" w:rsidP="00B43814">
      <w:pPr>
        <w:spacing w:line="240" w:lineRule="auto"/>
        <w:ind w:left="1134" w:right="1182"/>
        <w:contextualSpacing/>
        <w:jc w:val="both"/>
        <w:rPr>
          <w:rFonts w:ascii="ITC Avant Garde" w:hAnsi="ITC Avant Garde" w:cs="Arial"/>
          <w:b/>
          <w:sz w:val="20"/>
          <w:szCs w:val="20"/>
          <w:u w:val="single"/>
        </w:rPr>
      </w:pPr>
      <w:r w:rsidRPr="000B3EEE">
        <w:rPr>
          <w:rFonts w:ascii="ITC Avant Garde" w:hAnsi="ITC Avant Garde" w:cs="Arial"/>
          <w:b/>
          <w:sz w:val="20"/>
          <w:szCs w:val="20"/>
        </w:rPr>
        <w:t>“Artículo 79. </w:t>
      </w:r>
      <w:r w:rsidRPr="000B3EEE">
        <w:rPr>
          <w:rFonts w:ascii="ITC Avant Garde" w:hAnsi="ITC Avant Garde" w:cs="Arial"/>
          <w:b/>
          <w:sz w:val="20"/>
          <w:szCs w:val="20"/>
          <w:u w:val="single"/>
        </w:rPr>
        <w:t>Para llevar a cabo el procedimiento de licitación pública al que se refiere el artículo anterior, el Instituto publicará en su página de Internet y en el Diario Oficial de la Federación la convocatoria respectiva.</w:t>
      </w:r>
    </w:p>
    <w:p w14:paraId="15B80A1C" w14:textId="6C30C028" w:rsidR="00D97A46"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sz w:val="20"/>
          <w:szCs w:val="20"/>
        </w:rPr>
        <w:t>Las bases de licitación pública incluirán como mínimo:</w:t>
      </w:r>
    </w:p>
    <w:p w14:paraId="506893C9" w14:textId="77777777" w:rsidR="00D97A46"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b/>
          <w:sz w:val="20"/>
          <w:szCs w:val="20"/>
        </w:rPr>
        <w:t>I.</w:t>
      </w:r>
      <w:r w:rsidRPr="000B3EEE">
        <w:rPr>
          <w:rFonts w:ascii="ITC Avant Garde" w:hAnsi="ITC Avant Garde" w:cs="Arial"/>
          <w:sz w:val="20"/>
          <w:szCs w:val="20"/>
        </w:rPr>
        <w:t xml:space="preserve"> Los requisitos que deberán cumplir los interesados para participar en la licitación, entre los que se incluirán:</w:t>
      </w:r>
    </w:p>
    <w:p w14:paraId="56FA6806" w14:textId="22F713F4" w:rsidR="00D97A46" w:rsidRPr="000B3EEE" w:rsidRDefault="00D97A46" w:rsidP="00B43814">
      <w:pPr>
        <w:pStyle w:val="Prrafodelista"/>
        <w:numPr>
          <w:ilvl w:val="0"/>
          <w:numId w:val="27"/>
        </w:numPr>
        <w:spacing w:after="200"/>
        <w:ind w:left="1985" w:right="1182" w:hanging="425"/>
        <w:contextualSpacing/>
        <w:jc w:val="both"/>
        <w:rPr>
          <w:rFonts w:ascii="ITC Avant Garde" w:hAnsi="ITC Avant Garde" w:cs="Arial"/>
          <w:sz w:val="20"/>
        </w:rPr>
      </w:pPr>
      <w:r w:rsidRPr="000B3EEE">
        <w:rPr>
          <w:rFonts w:ascii="ITC Avant Garde" w:hAnsi="ITC Avant Garde" w:cs="Arial"/>
          <w:sz w:val="20"/>
        </w:rPr>
        <w:t>Los programas y compromisos de inversión, calidad, de cobertura geográfica, poblacional o social, de conectividad en sitios públicos y de contribución a la cobertura universal que, en su caso, determine el Instituto, para lo cual considerará las propuestas que formule anualmente la Secretaría conforme a los planes y programas respectivos;</w:t>
      </w:r>
    </w:p>
    <w:p w14:paraId="5F759E7F" w14:textId="77777777" w:rsidR="00D97A46" w:rsidRPr="000B3EEE" w:rsidRDefault="00D97A46" w:rsidP="00B43814">
      <w:pPr>
        <w:pStyle w:val="Prrafodelista"/>
        <w:numPr>
          <w:ilvl w:val="0"/>
          <w:numId w:val="27"/>
        </w:numPr>
        <w:spacing w:after="200"/>
        <w:ind w:left="1985" w:right="1182" w:hanging="425"/>
        <w:contextualSpacing/>
        <w:jc w:val="both"/>
        <w:rPr>
          <w:rFonts w:ascii="ITC Avant Garde" w:hAnsi="ITC Avant Garde" w:cs="Arial"/>
          <w:sz w:val="20"/>
        </w:rPr>
      </w:pPr>
      <w:r w:rsidRPr="000B3EEE">
        <w:rPr>
          <w:rFonts w:ascii="ITC Avant Garde" w:hAnsi="ITC Avant Garde" w:cs="Arial"/>
          <w:sz w:val="20"/>
        </w:rPr>
        <w:t>Las especificaciones técnicas de los proyectos, y</w:t>
      </w:r>
    </w:p>
    <w:p w14:paraId="3E4E52B1" w14:textId="77777777" w:rsidR="00D97A46" w:rsidRPr="000B3EEE" w:rsidRDefault="00D97A46" w:rsidP="00B43814">
      <w:pPr>
        <w:pStyle w:val="Prrafodelista"/>
        <w:numPr>
          <w:ilvl w:val="0"/>
          <w:numId w:val="27"/>
        </w:numPr>
        <w:spacing w:after="200"/>
        <w:ind w:left="1985" w:right="1182" w:hanging="425"/>
        <w:contextualSpacing/>
        <w:jc w:val="both"/>
        <w:rPr>
          <w:rFonts w:ascii="ITC Avant Garde" w:hAnsi="ITC Avant Garde" w:cs="Arial"/>
          <w:sz w:val="20"/>
        </w:rPr>
      </w:pPr>
      <w:r w:rsidRPr="000B3EEE">
        <w:rPr>
          <w:rFonts w:ascii="ITC Avant Garde" w:hAnsi="ITC Avant Garde" w:cs="Arial"/>
          <w:sz w:val="20"/>
        </w:rPr>
        <w:t>El proyecto de producción y programación, en el caso de radiodifusión;</w:t>
      </w:r>
    </w:p>
    <w:p w14:paraId="5DC720FF" w14:textId="77777777" w:rsidR="00D97A46"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b/>
          <w:sz w:val="20"/>
          <w:szCs w:val="20"/>
        </w:rPr>
        <w:t>II.</w:t>
      </w:r>
      <w:r w:rsidRPr="000B3EEE">
        <w:rPr>
          <w:rFonts w:ascii="ITC Avant Garde" w:hAnsi="ITC Avant Garde" w:cs="Arial"/>
          <w:sz w:val="20"/>
          <w:szCs w:val="20"/>
        </w:rPr>
        <w:t xml:space="preserve"> El modelo de título de concesión;</w:t>
      </w:r>
    </w:p>
    <w:p w14:paraId="3B49C887" w14:textId="77777777" w:rsidR="00D97A46"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b/>
          <w:sz w:val="20"/>
          <w:szCs w:val="20"/>
        </w:rPr>
        <w:t>III.</w:t>
      </w:r>
      <w:r w:rsidRPr="000B3EEE">
        <w:rPr>
          <w:rFonts w:ascii="ITC Avant Garde" w:hAnsi="ITC Avant Garde" w:cs="Arial"/>
          <w:sz w:val="20"/>
          <w:szCs w:val="20"/>
        </w:rPr>
        <w:t xml:space="preserve"> El valor mínimo de referencia y los demás criterios para seleccionar al ganador, la capacidad técnica y la ponderación de los mismos;</w:t>
      </w:r>
    </w:p>
    <w:p w14:paraId="189EC07B" w14:textId="77777777" w:rsidR="00D97A46"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b/>
          <w:sz w:val="20"/>
          <w:szCs w:val="20"/>
        </w:rPr>
        <w:t>IV.</w:t>
      </w:r>
      <w:r w:rsidRPr="000B3EEE">
        <w:rPr>
          <w:rFonts w:ascii="ITC Avant Garde" w:hAnsi="ITC Avant Garde" w:cs="Arial"/>
          <w:sz w:val="20"/>
          <w:szCs w:val="20"/>
        </w:rPr>
        <w:t xml:space="preserve"> Las bandas de frecuencias objeto de concesión; su modalidad de uso y zonas geográficas en que podrán ser utilizadas; y la </w:t>
      </w:r>
      <w:r w:rsidRPr="000B3EEE">
        <w:rPr>
          <w:rFonts w:ascii="ITC Avant Garde" w:hAnsi="ITC Avant Garde" w:cs="Arial"/>
          <w:sz w:val="20"/>
          <w:szCs w:val="20"/>
        </w:rPr>
        <w:lastRenderedPageBreak/>
        <w:t>potencia en el caso de radiodifusión. En su caso, la posibilidad de que el Instituto autorice el uso secundario de la banda de frecuencia en cuestión en términos de la presente Ley;</w:t>
      </w:r>
    </w:p>
    <w:p w14:paraId="1D4AF591" w14:textId="77777777" w:rsidR="00D97A46"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b/>
          <w:sz w:val="20"/>
          <w:szCs w:val="20"/>
        </w:rPr>
        <w:t>V.</w:t>
      </w:r>
      <w:r w:rsidRPr="000B3EEE">
        <w:rPr>
          <w:rFonts w:ascii="ITC Avant Garde" w:hAnsi="ITC Avant Garde" w:cs="Arial"/>
          <w:sz w:val="20"/>
          <w:szCs w:val="20"/>
        </w:rPr>
        <w:t xml:space="preserve"> Los criterios que aseguren competencia efectiva y prevengan fenómenos de concentración que contraríen el interés público;</w:t>
      </w:r>
    </w:p>
    <w:p w14:paraId="5FBB8F12" w14:textId="77777777" w:rsidR="00D97A46"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b/>
          <w:sz w:val="20"/>
          <w:szCs w:val="20"/>
        </w:rPr>
        <w:t>VI.</w:t>
      </w:r>
      <w:r w:rsidRPr="000B3EEE">
        <w:rPr>
          <w:rFonts w:ascii="ITC Avant Garde" w:hAnsi="ITC Avant Garde" w:cs="Arial"/>
          <w:sz w:val="20"/>
          <w:szCs w:val="20"/>
        </w:rPr>
        <w:t xml:space="preserve"> La obligación de los concesionarios de presentar garantía de seriedad;</w:t>
      </w:r>
    </w:p>
    <w:p w14:paraId="396C85BF" w14:textId="77777777" w:rsidR="00D97A46"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b/>
          <w:sz w:val="20"/>
          <w:szCs w:val="20"/>
        </w:rPr>
        <w:t>VII.</w:t>
      </w:r>
      <w:r w:rsidRPr="000B3EEE">
        <w:rPr>
          <w:rFonts w:ascii="ITC Avant Garde" w:hAnsi="ITC Avant Garde" w:cs="Arial"/>
          <w:sz w:val="20"/>
          <w:szCs w:val="20"/>
        </w:rPr>
        <w:t xml:space="preserve"> La vigencia de la concesión, y</w:t>
      </w:r>
    </w:p>
    <w:p w14:paraId="5AFBC981" w14:textId="77777777" w:rsidR="000B3EEE"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hAnsi="ITC Avant Garde" w:cs="Arial"/>
          <w:b/>
          <w:sz w:val="20"/>
          <w:szCs w:val="20"/>
        </w:rPr>
        <w:t>VIII.</w:t>
      </w:r>
      <w:r w:rsidRPr="000B3EEE">
        <w:rPr>
          <w:rFonts w:ascii="ITC Avant Garde" w:hAnsi="ITC Avant Garde" w:cs="Arial"/>
          <w:sz w:val="20"/>
          <w:szCs w:val="20"/>
        </w:rPr>
        <w:t xml:space="preserve"> En ningún caso el factor determinante será meramente económico, sin menoscabo de lo establecido en esta Ley en materia de contraprestaciones”. </w:t>
      </w:r>
    </w:p>
    <w:p w14:paraId="0A2C2AC0" w14:textId="77777777" w:rsidR="000B3EEE" w:rsidRPr="000B3EEE" w:rsidRDefault="00D97A46" w:rsidP="00B43814">
      <w:pPr>
        <w:pStyle w:val="Textocomentario"/>
        <w:spacing w:after="200"/>
        <w:jc w:val="both"/>
        <w:rPr>
          <w:rFonts w:ascii="ITC Avant Garde" w:hAnsi="ITC Avant Garde"/>
          <w:sz w:val="22"/>
          <w:szCs w:val="22"/>
        </w:rPr>
      </w:pPr>
      <w:r w:rsidRPr="000B3EEE">
        <w:rPr>
          <w:rFonts w:ascii="ITC Avant Garde" w:hAnsi="ITC Avant Garde"/>
          <w:sz w:val="22"/>
          <w:szCs w:val="22"/>
        </w:rPr>
        <w:t xml:space="preserve">El artículo 78 de la </w:t>
      </w:r>
      <w:r w:rsidRPr="000B3EEE">
        <w:rPr>
          <w:rFonts w:ascii="ITC Avant Garde" w:eastAsia="Times New Roman" w:hAnsi="ITC Avant Garde" w:cs="Arial"/>
          <w:kern w:val="2"/>
          <w:sz w:val="22"/>
          <w:szCs w:val="22"/>
          <w:lang w:eastAsia="ar-SA"/>
        </w:rPr>
        <w:t>Ley</w:t>
      </w:r>
      <w:r w:rsidRPr="000B3EEE">
        <w:rPr>
          <w:rFonts w:ascii="ITC Avant Garde" w:hAnsi="ITC Avant Garde"/>
          <w:sz w:val="22"/>
          <w:szCs w:val="22"/>
        </w:rPr>
        <w:t xml:space="preserve"> establece que las concesiones de espectro radioeléctrico deben regirse bajo los criterios contenidos en los artículos 6o., 7o., 28 y 134 de la Constitución, relativos a que las licitaciones deben ser idóneas para asegurar que las bases, procedimientos, reglas, requisitos y demás elementos, acrediten la economía, eficacia, eficiencia, imparcialidad y honradez que aseguren las mejores condiciones del Estado.</w:t>
      </w:r>
    </w:p>
    <w:p w14:paraId="10B41BC3" w14:textId="77777777" w:rsidR="000B3EEE" w:rsidRPr="000B3EEE" w:rsidRDefault="00D97A46" w:rsidP="00B43814">
      <w:pPr>
        <w:pStyle w:val="Textocomentario"/>
        <w:spacing w:after="200"/>
        <w:jc w:val="both"/>
        <w:rPr>
          <w:rFonts w:ascii="ITC Avant Garde" w:hAnsi="ITC Avant Garde"/>
          <w:sz w:val="22"/>
          <w:szCs w:val="22"/>
        </w:rPr>
      </w:pPr>
      <w:r w:rsidRPr="000B3EEE">
        <w:rPr>
          <w:rFonts w:ascii="ITC Avant Garde" w:hAnsi="ITC Avant Garde"/>
          <w:sz w:val="22"/>
          <w:szCs w:val="22"/>
        </w:rPr>
        <w:t>Dicho criterio ha sido igualmente consagrado por el Pleno de la Suprema Corte de Justicia de la Nación en la jurisprudencia P./J. 72/2007, Novena Época, tomo XXVI, diciembre de 2007, publicada en el Semanario Judicial de la Federación y su Gaceta, visible en la página 986 y con número de registro 170758, que establece:</w:t>
      </w:r>
    </w:p>
    <w:p w14:paraId="6B217633" w14:textId="77777777" w:rsidR="000B3EEE" w:rsidRPr="000B3EEE" w:rsidRDefault="00D97A46" w:rsidP="00B43814">
      <w:pPr>
        <w:spacing w:line="240" w:lineRule="auto"/>
        <w:ind w:left="1134" w:right="1182"/>
        <w:contextualSpacing/>
        <w:jc w:val="both"/>
        <w:rPr>
          <w:rFonts w:ascii="ITC Avant Garde" w:hAnsi="ITC Avant Garde" w:cs="Arial"/>
          <w:sz w:val="20"/>
          <w:szCs w:val="20"/>
        </w:rPr>
      </w:pPr>
      <w:r w:rsidRPr="000B3EEE">
        <w:rPr>
          <w:rFonts w:ascii="ITC Avant Garde" w:eastAsia="Times New Roman" w:hAnsi="ITC Avant Garde" w:cs="Arial"/>
          <w:b/>
          <w:bCs/>
          <w:sz w:val="20"/>
          <w:szCs w:val="20"/>
          <w:lang w:eastAsia="es-MX"/>
        </w:rPr>
        <w:t xml:space="preserve">“ESPECTRO RADIOELÉCTRICO. A LAS CONCESIONES RELATIVAS SON APLICABLES LOS PRINCIPIOS CONTENIDOS EN EL ARTÍCULO 134 DE LA CONSTITUCIÓN POLÍTICA DE LOS ESTADOS UNIDOS MEXICANOS, CONJUNTAMENTE CON LOS ESTABLECIDOS EN LOS NUMERALES QUE CONFORMAN EL CAPÍTULO ECONÓMICO DE ÉSTA, Y PREFERENTEMENTE LOS RELATIVOS A LOS DERECHOS FUNDAMENTALES DE LOS GOBERNADOS.- </w:t>
      </w:r>
      <w:r w:rsidRPr="000B3EEE">
        <w:rPr>
          <w:rFonts w:ascii="ITC Avant Garde" w:eastAsia="Times New Roman" w:hAnsi="ITC Avant Garde" w:cs="Arial"/>
          <w:sz w:val="20"/>
          <w:szCs w:val="20"/>
          <w:lang w:eastAsia="es-MX"/>
        </w:rPr>
        <w:t xml:space="preserve">El citado precepto protege, como valor fundamental, el manejo de los recursos económicos de la Federación, que si bien, en principio, son aquellos ingresos públicos o medios financieros que se asignan vía presupuesto para las contrataciones de obras públicas y servicios, o bien, para las adquisiciones, arrendamientos y servicios, </w:t>
      </w:r>
      <w:r w:rsidRPr="000B3EEE">
        <w:rPr>
          <w:rFonts w:ascii="ITC Avant Garde" w:eastAsia="Times New Roman" w:hAnsi="ITC Avant Garde" w:cs="Arial"/>
          <w:b/>
          <w:sz w:val="20"/>
          <w:szCs w:val="20"/>
          <w:lang w:eastAsia="es-MX"/>
        </w:rPr>
        <w:t>bajo los principios de eficiencia, eficacia, honradez y licitación pública y abierta</w:t>
      </w:r>
      <w:r w:rsidRPr="000B3EEE">
        <w:rPr>
          <w:rFonts w:ascii="ITC Avant Garde" w:eastAsia="Times New Roman" w:hAnsi="ITC Avant Garde" w:cs="Arial"/>
          <w:sz w:val="20"/>
          <w:szCs w:val="20"/>
          <w:lang w:eastAsia="es-MX"/>
        </w:rPr>
        <w:t xml:space="preserve">, a fin de asegurar al Estado las mejores condiciones, también comprenden las enajenaciones de todo tipo de bienes bajo los mismos principios y fines. Ahora bien, entendidos los recursos económicos como bienes del dominio de la nación susceptibles de entregarse a cambio de un precio, el espectro radioeléctrico, </w:t>
      </w:r>
      <w:r w:rsidRPr="000B3EEE">
        <w:rPr>
          <w:rFonts w:ascii="ITC Avant Garde" w:eastAsia="Times New Roman" w:hAnsi="ITC Avant Garde" w:cs="Arial"/>
          <w:b/>
          <w:sz w:val="20"/>
          <w:szCs w:val="20"/>
          <w:u w:val="single"/>
          <w:lang w:eastAsia="es-MX"/>
        </w:rPr>
        <w:t xml:space="preserve">por ser un bien de esa naturaleza que se otorga en concesión a cambio de una contraprestación económica, debe considerarse también como recurso económico en su amplia acepción, al que son aplicables los principios contenidos en el artículo </w:t>
      </w:r>
      <w:hyperlink r:id="rId11" w:history="1">
        <w:r w:rsidRPr="000B3EEE">
          <w:rPr>
            <w:rStyle w:val="Hipervnculo"/>
            <w:rFonts w:ascii="ITC Avant Garde" w:eastAsia="Times New Roman" w:hAnsi="ITC Avant Garde" w:cs="Arial"/>
            <w:b/>
            <w:sz w:val="20"/>
            <w:szCs w:val="20"/>
            <w:lang w:eastAsia="es-MX"/>
          </w:rPr>
          <w:t>134 de la Constitución Política de los Estados Unidos Mexicanos</w:t>
        </w:r>
      </w:hyperlink>
      <w:r w:rsidRPr="000B3EEE">
        <w:rPr>
          <w:rFonts w:ascii="ITC Avant Garde" w:eastAsia="Times New Roman" w:hAnsi="ITC Avant Garde" w:cs="Arial"/>
          <w:sz w:val="20"/>
          <w:szCs w:val="20"/>
          <w:lang w:eastAsia="es-MX"/>
        </w:rPr>
        <w:t xml:space="preserve"> respecto del género enajenaciones, conjuntamente con los establecidos en los artículos </w:t>
      </w:r>
      <w:hyperlink r:id="rId12" w:history="1">
        <w:r w:rsidRPr="000B3EEE">
          <w:rPr>
            <w:rStyle w:val="Hipervnculo"/>
            <w:rFonts w:ascii="ITC Avant Garde" w:eastAsia="Times New Roman" w:hAnsi="ITC Avant Garde" w:cs="Arial"/>
            <w:sz w:val="20"/>
            <w:szCs w:val="20"/>
            <w:u w:val="none"/>
            <w:lang w:eastAsia="es-MX"/>
          </w:rPr>
          <w:t>25, 26, 27 y 28</w:t>
        </w:r>
      </w:hyperlink>
      <w:r w:rsidRPr="000B3EEE">
        <w:rPr>
          <w:rFonts w:ascii="ITC Avant Garde" w:eastAsia="Times New Roman" w:hAnsi="ITC Avant Garde" w:cs="Arial"/>
          <w:sz w:val="20"/>
          <w:szCs w:val="20"/>
          <w:lang w:eastAsia="es-MX"/>
        </w:rPr>
        <w:t xml:space="preserve"> que conforman el capítulo económico de la Ley Fundamental. Además, toda vez que la radiodifusión constituye una actividad de </w:t>
      </w:r>
      <w:r w:rsidRPr="000B3EEE">
        <w:rPr>
          <w:rFonts w:ascii="ITC Avant Garde" w:eastAsia="Times New Roman" w:hAnsi="ITC Avant Garde" w:cs="Arial"/>
          <w:sz w:val="20"/>
          <w:szCs w:val="20"/>
          <w:lang w:eastAsia="es-MX"/>
        </w:rPr>
        <w:lastRenderedPageBreak/>
        <w:t>interés público que cumple una función social de relevancia trascendental para la nación, porque los medios de comunicación son un instrumento para hacer efectivos los derechos fundamentales de los gobernados, los principios del indicado artículo 134 deben relacionarse también, y preferentemente, con todas las disposiciones que consagran esos derechos fundamentales”.</w:t>
      </w:r>
    </w:p>
    <w:p w14:paraId="5A465283" w14:textId="77777777" w:rsidR="00EB4438" w:rsidRDefault="00EB4438" w:rsidP="00B43814">
      <w:pPr>
        <w:suppressAutoHyphens/>
        <w:spacing w:line="240" w:lineRule="auto"/>
        <w:ind w:right="49"/>
        <w:contextualSpacing/>
        <w:jc w:val="both"/>
        <w:rPr>
          <w:rFonts w:ascii="ITC Avant Garde" w:hAnsi="ITC Avant Garde" w:cs="Arial"/>
        </w:rPr>
      </w:pPr>
    </w:p>
    <w:p w14:paraId="5D8C4FDE" w14:textId="77777777" w:rsidR="000B3EEE" w:rsidRDefault="00D97A46" w:rsidP="00B43814">
      <w:pPr>
        <w:suppressAutoHyphens/>
        <w:spacing w:line="240" w:lineRule="auto"/>
        <w:ind w:right="49"/>
        <w:contextualSpacing/>
        <w:jc w:val="both"/>
        <w:rPr>
          <w:rFonts w:ascii="ITC Avant Garde" w:eastAsia="Times New Roman" w:hAnsi="ITC Avant Garde" w:cs="Arial"/>
          <w:lang w:eastAsia="es-MX"/>
        </w:rPr>
      </w:pPr>
      <w:r w:rsidRPr="000B3EEE">
        <w:rPr>
          <w:rFonts w:ascii="ITC Avant Garde" w:hAnsi="ITC Avant Garde" w:cs="Arial"/>
        </w:rPr>
        <w:t xml:space="preserve">En esa tesitura, el Pleno del Instituto </w:t>
      </w:r>
      <w:r w:rsidRPr="000B3EEE">
        <w:rPr>
          <w:rFonts w:ascii="ITC Avant Garde" w:hAnsi="ITC Avant Garde" w:cs="Arial"/>
          <w:kern w:val="2"/>
          <w:lang w:eastAsia="ar-SA"/>
        </w:rPr>
        <w:t xml:space="preserve">aprobó y emitió la Convocatoria y las Bases, en los términos descritos en el Antecedente IV de la presente Acta de Fallo, para </w:t>
      </w:r>
      <w:r w:rsidRPr="000B3EEE">
        <w:rPr>
          <w:rFonts w:ascii="ITC Avant Garde" w:eastAsia="Times New Roman" w:hAnsi="ITC Avant Garde" w:cs="Arial"/>
          <w:lang w:eastAsia="es-MX"/>
        </w:rPr>
        <w:t>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w:t>
      </w:r>
    </w:p>
    <w:p w14:paraId="1AC031E1" w14:textId="77777777" w:rsidR="00EB4438" w:rsidRPr="000B3EEE" w:rsidRDefault="00EB4438" w:rsidP="00B43814">
      <w:pPr>
        <w:suppressAutoHyphens/>
        <w:spacing w:line="240" w:lineRule="auto"/>
        <w:ind w:right="49"/>
        <w:contextualSpacing/>
        <w:jc w:val="both"/>
        <w:rPr>
          <w:rFonts w:ascii="ITC Avant Garde" w:hAnsi="ITC Avant Garde" w:cs="Arial"/>
          <w:kern w:val="2"/>
          <w:lang w:eastAsia="ar-SA"/>
        </w:rPr>
      </w:pPr>
    </w:p>
    <w:p w14:paraId="51A88DDA" w14:textId="03E8F308" w:rsidR="000B3EEE" w:rsidRPr="000B3EEE" w:rsidRDefault="00EB4438" w:rsidP="00EB4438">
      <w:pPr>
        <w:pBdr>
          <w:top w:val="nil"/>
          <w:left w:val="nil"/>
          <w:bottom w:val="nil"/>
          <w:right w:val="nil"/>
          <w:between w:val="nil"/>
          <w:bar w:val="nil"/>
        </w:pBdr>
        <w:spacing w:line="240" w:lineRule="auto"/>
        <w:contextualSpacing/>
        <w:jc w:val="both"/>
        <w:rPr>
          <w:rFonts w:ascii="ITC Avant Garde" w:hAnsi="ITC Avant Garde" w:cs="Arial"/>
        </w:rPr>
      </w:pPr>
      <w:r>
        <w:rPr>
          <w:rFonts w:ascii="ITC Avant Garde" w:hAnsi="ITC Avant Garde" w:cs="Arial"/>
          <w:b/>
        </w:rPr>
        <w:t>TERCERO.</w:t>
      </w:r>
      <w:r>
        <w:rPr>
          <w:rFonts w:ascii="ITC Avant Garde" w:hAnsi="ITC Avant Garde" w:cs="Arial"/>
          <w:b/>
        </w:rPr>
        <w:tab/>
      </w:r>
      <w:r w:rsidR="00D97A46" w:rsidRPr="000B3EEE">
        <w:rPr>
          <w:rFonts w:ascii="ITC Avant Garde" w:hAnsi="ITC Avant Garde" w:cs="Arial"/>
          <w:b/>
        </w:rPr>
        <w:t xml:space="preserve">Licitación No. IFT-4. </w:t>
      </w:r>
      <w:r w:rsidR="00D97A46" w:rsidRPr="000B3EEE">
        <w:rPr>
          <w:rFonts w:ascii="ITC Avant Garde" w:hAnsi="ITC Avant Garde" w:cs="Arial"/>
        </w:rPr>
        <w:t>El numeral 4 de las Bases prevé dentro del Calendario de Actividades las etapas siguientes:</w:t>
      </w:r>
    </w:p>
    <w:p w14:paraId="6E7E2C99" w14:textId="6AE0EB1C" w:rsidR="00D97A46" w:rsidRPr="000B3EEE" w:rsidRDefault="00D97A46" w:rsidP="00B43814">
      <w:pPr>
        <w:numPr>
          <w:ilvl w:val="0"/>
          <w:numId w:val="2"/>
        </w:numPr>
        <w:suppressAutoHyphens/>
        <w:spacing w:line="240" w:lineRule="auto"/>
        <w:jc w:val="both"/>
        <w:rPr>
          <w:rFonts w:ascii="ITC Avant Garde" w:hAnsi="ITC Avant Garde" w:cs="Arial"/>
          <w:kern w:val="2"/>
          <w:lang w:val="es-ES_tradnl" w:eastAsia="ar-SA"/>
        </w:rPr>
      </w:pPr>
      <w:r w:rsidRPr="000B3EEE">
        <w:rPr>
          <w:rFonts w:ascii="ITC Avant Garde" w:hAnsi="ITC Avant Garde" w:cs="Arial"/>
          <w:b/>
          <w:kern w:val="2"/>
          <w:lang w:val="es-ES_tradnl" w:eastAsia="ar-SA"/>
        </w:rPr>
        <w:t>Primera Etapa</w:t>
      </w:r>
      <w:r w:rsidRPr="000B3EEE">
        <w:rPr>
          <w:rFonts w:ascii="ITC Avant Garde" w:hAnsi="ITC Avant Garde" w:cs="Arial"/>
          <w:kern w:val="2"/>
          <w:lang w:val="es-ES_tradnl" w:eastAsia="ar-SA"/>
        </w:rPr>
        <w:t>: Manifestación de Interés, y Entrega de Información y Documentación.</w:t>
      </w:r>
    </w:p>
    <w:p w14:paraId="7981E0CA" w14:textId="77777777" w:rsidR="00D97A46" w:rsidRPr="000B3EEE" w:rsidRDefault="00D97A46" w:rsidP="00B43814">
      <w:pPr>
        <w:numPr>
          <w:ilvl w:val="0"/>
          <w:numId w:val="2"/>
        </w:numPr>
        <w:suppressAutoHyphens/>
        <w:spacing w:line="240" w:lineRule="auto"/>
        <w:jc w:val="both"/>
        <w:rPr>
          <w:rFonts w:ascii="ITC Avant Garde" w:hAnsi="ITC Avant Garde" w:cs="Arial"/>
          <w:kern w:val="2"/>
          <w:lang w:val="es-ES_tradnl" w:eastAsia="ar-SA"/>
        </w:rPr>
      </w:pPr>
      <w:r w:rsidRPr="000B3EEE">
        <w:rPr>
          <w:rFonts w:ascii="ITC Avant Garde" w:hAnsi="ITC Avant Garde" w:cs="Arial"/>
          <w:b/>
          <w:kern w:val="2"/>
          <w:lang w:val="es-ES_tradnl" w:eastAsia="ar-SA"/>
        </w:rPr>
        <w:t>Segunda Etapa</w:t>
      </w:r>
      <w:r w:rsidRPr="000B3EEE">
        <w:rPr>
          <w:rFonts w:ascii="ITC Avant Garde" w:hAnsi="ITC Avant Garde" w:cs="Arial"/>
          <w:kern w:val="2"/>
          <w:lang w:val="es-ES_tradnl" w:eastAsia="ar-SA"/>
        </w:rPr>
        <w:t>: Evaluación, Dictaminación y Emisión de Constancias de Participación.</w:t>
      </w:r>
    </w:p>
    <w:p w14:paraId="0699A54A" w14:textId="77777777" w:rsidR="00D97A46" w:rsidRPr="000B3EEE" w:rsidRDefault="00D97A46" w:rsidP="00B43814">
      <w:pPr>
        <w:numPr>
          <w:ilvl w:val="0"/>
          <w:numId w:val="2"/>
        </w:numPr>
        <w:suppressAutoHyphens/>
        <w:spacing w:line="240" w:lineRule="auto"/>
        <w:jc w:val="both"/>
        <w:rPr>
          <w:rFonts w:ascii="ITC Avant Garde" w:hAnsi="ITC Avant Garde" w:cs="Arial"/>
          <w:kern w:val="2"/>
          <w:lang w:val="es-ES_tradnl" w:eastAsia="ar-SA"/>
        </w:rPr>
      </w:pPr>
      <w:r w:rsidRPr="000B3EEE">
        <w:rPr>
          <w:rFonts w:ascii="ITC Avant Garde" w:hAnsi="ITC Avant Garde" w:cs="Arial"/>
          <w:b/>
          <w:kern w:val="2"/>
          <w:lang w:val="es-ES_tradnl" w:eastAsia="ar-SA"/>
        </w:rPr>
        <w:t>Tercera Etapa</w:t>
      </w:r>
      <w:r w:rsidRPr="000B3EEE">
        <w:rPr>
          <w:rFonts w:ascii="ITC Avant Garde" w:hAnsi="ITC Avant Garde" w:cs="Arial"/>
          <w:kern w:val="2"/>
          <w:lang w:val="es-ES_tradnl" w:eastAsia="ar-SA"/>
        </w:rPr>
        <w:t>: Sesión de Práctica y Procedimiento de Presentación de las Ofertas, y</w:t>
      </w:r>
    </w:p>
    <w:p w14:paraId="7E352062" w14:textId="77777777" w:rsidR="000B3EEE" w:rsidRPr="000B3EEE" w:rsidRDefault="00D97A46" w:rsidP="00B43814">
      <w:pPr>
        <w:numPr>
          <w:ilvl w:val="0"/>
          <w:numId w:val="2"/>
        </w:numPr>
        <w:suppressAutoHyphens/>
        <w:spacing w:line="240" w:lineRule="auto"/>
        <w:jc w:val="both"/>
        <w:rPr>
          <w:rFonts w:ascii="ITC Avant Garde" w:hAnsi="ITC Avant Garde" w:cs="Arial"/>
          <w:kern w:val="2"/>
          <w:lang w:val="es-ES_tradnl" w:eastAsia="ar-SA"/>
        </w:rPr>
      </w:pPr>
      <w:r w:rsidRPr="000B3EEE">
        <w:rPr>
          <w:rFonts w:ascii="ITC Avant Garde" w:hAnsi="ITC Avant Garde" w:cs="Arial"/>
          <w:b/>
          <w:kern w:val="2"/>
          <w:lang w:val="es-ES_tradnl" w:eastAsia="ar-SA"/>
        </w:rPr>
        <w:t>Cuarta Etapa</w:t>
      </w:r>
      <w:r w:rsidRPr="000B3EEE">
        <w:rPr>
          <w:rFonts w:ascii="ITC Avant Garde" w:hAnsi="ITC Avant Garde" w:cs="Arial"/>
          <w:kern w:val="2"/>
          <w:lang w:val="es-ES_tradnl" w:eastAsia="ar-SA"/>
        </w:rPr>
        <w:t>: Emisión de Acta de Fallo, Pago de Contraprestación y Otorgamiento de Títulos de Concesión.</w:t>
      </w:r>
    </w:p>
    <w:p w14:paraId="41E913CE" w14:textId="77777777" w:rsidR="000B3EEE" w:rsidRPr="000B3EEE" w:rsidRDefault="00D97A46" w:rsidP="00B43814">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0B3EEE">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77BE5D40" w14:textId="77777777" w:rsidR="000B3EEE" w:rsidRPr="000B3EEE" w:rsidRDefault="00D97A46" w:rsidP="00B43814">
      <w:pPr>
        <w:pStyle w:val="Prrafodelista"/>
        <w:numPr>
          <w:ilvl w:val="0"/>
          <w:numId w:val="23"/>
        </w:numPr>
        <w:suppressAutoHyphens/>
        <w:spacing w:after="200"/>
        <w:ind w:left="851"/>
        <w:jc w:val="both"/>
        <w:rPr>
          <w:rFonts w:ascii="ITC Avant Garde" w:hAnsi="ITC Avant Garde" w:cs="Arial"/>
          <w:kern w:val="2"/>
          <w:sz w:val="22"/>
          <w:szCs w:val="22"/>
          <w:lang w:val="es-ES_tradnl" w:eastAsia="ar-SA"/>
        </w:rPr>
      </w:pPr>
      <w:r w:rsidRPr="000B3EEE">
        <w:rPr>
          <w:rFonts w:ascii="ITC Avant Garde" w:hAnsi="ITC Avant Garde" w:cs="Arial"/>
          <w:b/>
          <w:kern w:val="2"/>
          <w:sz w:val="22"/>
          <w:szCs w:val="22"/>
          <w:lang w:val="es-ES_tradnl" w:eastAsia="ar-SA"/>
        </w:rPr>
        <w:t>Primera Etapa</w:t>
      </w:r>
      <w:r w:rsidRPr="000B3EEE">
        <w:rPr>
          <w:rFonts w:ascii="ITC Avant Garde" w:hAnsi="ITC Avant Garde" w:cs="Arial"/>
          <w:kern w:val="2"/>
          <w:sz w:val="22"/>
          <w:szCs w:val="22"/>
          <w:lang w:val="es-ES_tradnl" w:eastAsia="ar-SA"/>
        </w:rPr>
        <w:t xml:space="preserve">: Manifestación de Interés, y Entrega de Información y Documentación. </w:t>
      </w:r>
      <w:r w:rsidRPr="000B3EEE">
        <w:rPr>
          <w:rFonts w:ascii="ITC Avant Garde" w:hAnsi="ITC Avant Garde" w:cs="Arial"/>
          <w:kern w:val="2"/>
          <w:sz w:val="22"/>
          <w:szCs w:val="22"/>
          <w:lang w:val="es-ES_tradnl" w:eastAsia="ar-SA"/>
        </w:rPr>
        <w:tab/>
      </w:r>
    </w:p>
    <w:p w14:paraId="3BA9D8D2" w14:textId="77777777" w:rsidR="000B3EEE" w:rsidRPr="000B3EEE" w:rsidRDefault="00D97A46" w:rsidP="00B43814">
      <w:pPr>
        <w:tabs>
          <w:tab w:val="left" w:pos="7655"/>
        </w:tabs>
        <w:spacing w:line="240" w:lineRule="auto"/>
        <w:ind w:right="49"/>
        <w:contextualSpacing/>
        <w:jc w:val="both"/>
        <w:rPr>
          <w:rFonts w:ascii="ITC Avant Garde" w:hAnsi="ITC Avant Garde" w:cs="Arial"/>
        </w:rPr>
      </w:pPr>
      <w:r w:rsidRPr="000B3EEE">
        <w:rPr>
          <w:rFonts w:ascii="ITC Avant Garde" w:hAnsi="ITC Avant Garde" w:cs="Arial"/>
        </w:rPr>
        <w:t>Conforme al Calendario de Actividades de la Licitación No. IFT-4, el 21 de octubre de 2016 concluyó la última acción prevista para la Primera Etapa “</w:t>
      </w:r>
      <w:r w:rsidRPr="000B3EEE">
        <w:rPr>
          <w:rFonts w:ascii="ITC Avant Garde" w:hAnsi="ITC Avant Garde" w:cs="Arial"/>
          <w:kern w:val="2"/>
          <w:lang w:val="es-ES_tradnl" w:eastAsia="ar-SA"/>
        </w:rPr>
        <w:t>Manifestación de Interés, y Entrega de Información y Documentación”</w:t>
      </w:r>
      <w:r w:rsidRPr="000B3EEE">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72F947DB" w14:textId="77777777" w:rsidR="000B3EEE" w:rsidRPr="000B3EEE" w:rsidRDefault="00D97A46" w:rsidP="00B43814">
      <w:pPr>
        <w:pStyle w:val="Prrafodelista"/>
        <w:numPr>
          <w:ilvl w:val="0"/>
          <w:numId w:val="23"/>
        </w:numPr>
        <w:suppressAutoHyphens/>
        <w:spacing w:after="200"/>
        <w:ind w:left="851"/>
        <w:jc w:val="both"/>
        <w:rPr>
          <w:rFonts w:ascii="ITC Avant Garde" w:hAnsi="ITC Avant Garde" w:cs="Arial"/>
          <w:kern w:val="2"/>
          <w:sz w:val="22"/>
          <w:szCs w:val="22"/>
          <w:lang w:val="es-ES_tradnl" w:eastAsia="ar-SA"/>
        </w:rPr>
      </w:pPr>
      <w:r w:rsidRPr="000B3EEE">
        <w:rPr>
          <w:rFonts w:ascii="ITC Avant Garde" w:hAnsi="ITC Avant Garde" w:cs="Arial"/>
          <w:b/>
          <w:kern w:val="2"/>
          <w:sz w:val="22"/>
          <w:szCs w:val="22"/>
          <w:lang w:val="es-ES_tradnl" w:eastAsia="ar-SA"/>
        </w:rPr>
        <w:t>Segunda Etapa</w:t>
      </w:r>
      <w:r w:rsidRPr="000B3EEE">
        <w:rPr>
          <w:rFonts w:ascii="ITC Avant Garde" w:hAnsi="ITC Avant Garde" w:cs="Arial"/>
          <w:kern w:val="2"/>
          <w:sz w:val="22"/>
          <w:szCs w:val="22"/>
          <w:lang w:val="es-ES_tradnl" w:eastAsia="ar-SA"/>
        </w:rPr>
        <w:t>: Evaluación, Dictaminación y Emisión de Constancias de Participación.</w:t>
      </w:r>
    </w:p>
    <w:p w14:paraId="0EEA82BF" w14:textId="1941EFD8" w:rsidR="000B3EEE" w:rsidRDefault="00D97A46" w:rsidP="00B43814">
      <w:pPr>
        <w:tabs>
          <w:tab w:val="left" w:pos="7655"/>
        </w:tabs>
        <w:spacing w:line="240" w:lineRule="auto"/>
        <w:ind w:right="51"/>
        <w:contextualSpacing/>
        <w:jc w:val="both"/>
        <w:rPr>
          <w:rFonts w:ascii="ITC Avant Garde" w:hAnsi="ITC Avant Garde" w:cs="Arial"/>
        </w:rPr>
      </w:pPr>
      <w:r w:rsidRPr="000B3EEE">
        <w:rPr>
          <w:rFonts w:ascii="ITC Avant Garde" w:hAnsi="ITC Avant Garde" w:cs="Arial"/>
        </w:rPr>
        <w:t>La publicación en el Portal de Internet del Instituto del calendario con las fechas correspondientes para la entrega de las Constancias de Participación es la primera acción prevista en el Calendario de Actividad</w:t>
      </w:r>
      <w:r w:rsidR="00EB4438">
        <w:rPr>
          <w:rFonts w:ascii="ITC Avant Garde" w:hAnsi="ITC Avant Garde" w:cs="Arial"/>
        </w:rPr>
        <w:t>es para la etapa que nos ocupa.</w:t>
      </w:r>
    </w:p>
    <w:p w14:paraId="56691B1C" w14:textId="77777777" w:rsidR="00EB4438" w:rsidRPr="000B3EEE" w:rsidRDefault="00EB4438" w:rsidP="00B43814">
      <w:pPr>
        <w:tabs>
          <w:tab w:val="left" w:pos="7655"/>
        </w:tabs>
        <w:spacing w:line="240" w:lineRule="auto"/>
        <w:ind w:right="51"/>
        <w:contextualSpacing/>
        <w:jc w:val="both"/>
        <w:rPr>
          <w:rFonts w:ascii="ITC Avant Garde" w:hAnsi="ITC Avant Garde" w:cs="Arial"/>
        </w:rPr>
      </w:pPr>
    </w:p>
    <w:p w14:paraId="73009A3D" w14:textId="77777777" w:rsidR="000B3EEE" w:rsidRPr="000B3EEE" w:rsidRDefault="00D97A46" w:rsidP="00B43814">
      <w:pPr>
        <w:spacing w:line="240" w:lineRule="auto"/>
        <w:ind w:right="49"/>
        <w:contextualSpacing/>
        <w:jc w:val="both"/>
        <w:rPr>
          <w:rFonts w:ascii="ITC Avant Garde" w:hAnsi="ITC Avant Garde" w:cs="Arial"/>
          <w:lang w:val="es-ES_tradnl" w:eastAsia="es-MX"/>
        </w:rPr>
      </w:pPr>
      <w:r w:rsidRPr="000B3EEE">
        <w:rPr>
          <w:rFonts w:ascii="ITC Avant Garde" w:hAnsi="ITC Avant Garde" w:cs="Arial"/>
        </w:rPr>
        <w:t>Ahora bien, en términos del numeral 5.1.6 de las Bases, u</w:t>
      </w:r>
      <w:r w:rsidRPr="000B3EEE">
        <w:rPr>
          <w:rFonts w:ascii="ITC Avant Garde" w:hAnsi="ITC Avant Garde"/>
        </w:rPr>
        <w:t xml:space="preserve">na vez que el Instituto analizó la documentación presentada por los Interesados con motivo de la prevención efectuada, </w:t>
      </w:r>
      <w:r w:rsidRPr="000B3EEE">
        <w:rPr>
          <w:rFonts w:ascii="ITC Avant Garde" w:hAnsi="ITC Avant Garde" w:cs="Arial"/>
        </w:rPr>
        <w:t xml:space="preserve">notificó e hizo entrega de las Constancias de Participación a aquellos Interesados </w:t>
      </w:r>
      <w:r w:rsidRPr="000B3EEE">
        <w:rPr>
          <w:rFonts w:ascii="ITC Avant Garde" w:hAnsi="ITC Avant Garde"/>
        </w:rPr>
        <w:t xml:space="preserve">que </w:t>
      </w:r>
      <w:r w:rsidRPr="000B3EEE">
        <w:rPr>
          <w:rFonts w:ascii="ITC Avant Garde" w:hAnsi="ITC Avant Garde" w:cs="Arial"/>
        </w:rPr>
        <w:t xml:space="preserve">acreditaron su capacidad administrativa, técnica, jurídica y </w:t>
      </w:r>
      <w:r w:rsidRPr="000B3EEE" w:rsidDel="007412A4">
        <w:rPr>
          <w:rFonts w:ascii="ITC Avant Garde" w:hAnsi="ITC Avant Garde" w:cs="Arial"/>
        </w:rPr>
        <w:t>financiera</w:t>
      </w:r>
      <w:r w:rsidRPr="000B3EEE">
        <w:rPr>
          <w:rFonts w:ascii="ITC Avant Garde" w:hAnsi="ITC Avant Garde" w:cs="Arial"/>
        </w:rPr>
        <w:t xml:space="preserve">, así como los demás requisitos establecidos en el Apéndice A y sus Anexos, y el Apéndice E de las Bases, así como el numeral 5.2.1 de las Bases, </w:t>
      </w:r>
      <w:r w:rsidRPr="000B3EEE">
        <w:rPr>
          <w:rFonts w:ascii="ITC Avant Garde" w:hAnsi="ITC Avant Garde" w:cs="Arial Unicode MS"/>
          <w:bCs/>
          <w:u w:color="000000"/>
          <w:bdr w:val="nil"/>
          <w:lang w:val="es-ES_tradnl" w:eastAsia="es-MX"/>
        </w:rPr>
        <w:t xml:space="preserve">dentro del período comprendido del </w:t>
      </w:r>
      <w:r w:rsidRPr="000B3EEE">
        <w:rPr>
          <w:rFonts w:ascii="ITC Avant Garde" w:hAnsi="ITC Avant Garde" w:cs="Arial"/>
          <w:lang w:val="es-ES_tradnl" w:eastAsia="es-MX"/>
        </w:rPr>
        <w:t>23 al 27 de enero de 2017.</w:t>
      </w:r>
    </w:p>
    <w:p w14:paraId="0FD0CF59" w14:textId="77777777" w:rsidR="00EB4438" w:rsidRDefault="00EB4438" w:rsidP="00B43814">
      <w:pPr>
        <w:tabs>
          <w:tab w:val="left" w:pos="7655"/>
        </w:tabs>
        <w:spacing w:line="240" w:lineRule="auto"/>
        <w:ind w:right="51"/>
        <w:contextualSpacing/>
        <w:jc w:val="both"/>
        <w:rPr>
          <w:rFonts w:ascii="ITC Avant Garde" w:hAnsi="ITC Avant Garde"/>
        </w:rPr>
      </w:pPr>
    </w:p>
    <w:p w14:paraId="5A788FD8" w14:textId="4FE5B631" w:rsidR="000B3EEE" w:rsidRPr="000B3EEE" w:rsidRDefault="00D97A46" w:rsidP="00B43814">
      <w:pPr>
        <w:tabs>
          <w:tab w:val="left" w:pos="7655"/>
        </w:tabs>
        <w:spacing w:line="240" w:lineRule="auto"/>
        <w:ind w:right="51"/>
        <w:contextualSpacing/>
        <w:jc w:val="both"/>
        <w:rPr>
          <w:rFonts w:ascii="ITC Avant Garde" w:hAnsi="ITC Avant Garde"/>
        </w:rPr>
      </w:pPr>
      <w:r w:rsidRPr="000B3EEE">
        <w:rPr>
          <w:rFonts w:ascii="ITC Avant Garde" w:hAnsi="ITC Avant Garde"/>
        </w:rPr>
        <w:t xml:space="preserve">Asimismo, el Instituto estuvo impedido para entregarle la Constancia de Participación respectiva a los Interesados que no cumplieron con los requisitos especificados en </w:t>
      </w:r>
      <w:r w:rsidR="00DA3404" w:rsidRPr="000B3EEE">
        <w:rPr>
          <w:rFonts w:ascii="ITC Avant Garde" w:hAnsi="ITC Avant Garde"/>
        </w:rPr>
        <w:t xml:space="preserve">las Bases, </w:t>
      </w:r>
      <w:r w:rsidR="003C232A" w:rsidRPr="000B3EEE">
        <w:rPr>
          <w:rFonts w:ascii="ITC Avant Garde" w:hAnsi="ITC Avant Garde"/>
        </w:rPr>
        <w:t xml:space="preserve">sus </w:t>
      </w:r>
      <w:r w:rsidRPr="000B3EEE">
        <w:rPr>
          <w:rFonts w:ascii="ITC Avant Garde" w:hAnsi="ITC Avant Garde"/>
        </w:rPr>
        <w:t>Apéndice</w:t>
      </w:r>
      <w:r w:rsidR="003C232A" w:rsidRPr="000B3EEE">
        <w:rPr>
          <w:rFonts w:ascii="ITC Avant Garde" w:hAnsi="ITC Avant Garde"/>
        </w:rPr>
        <w:t>s</w:t>
      </w:r>
      <w:r w:rsidRPr="000B3EEE">
        <w:rPr>
          <w:rFonts w:ascii="ITC Avant Garde" w:hAnsi="ITC Avant Garde"/>
        </w:rPr>
        <w:t xml:space="preserve"> y Anexos</w:t>
      </w:r>
      <w:r w:rsidR="00DA3404" w:rsidRPr="000B3EEE">
        <w:rPr>
          <w:rFonts w:ascii="ITC Avant Garde" w:hAnsi="ITC Avant Garde"/>
        </w:rPr>
        <w:t>,</w:t>
      </w:r>
      <w:r w:rsidRPr="000B3EEE">
        <w:rPr>
          <w:rFonts w:ascii="ITC Avant Garde" w:hAnsi="ITC Avant Garde"/>
        </w:rPr>
        <w:t xml:space="preserve"> e hizo de su conocimiento por medio del SERPO y de manera formal, las causas por las cuales no cumplieron, conforme a las fechas establecidas en el Calendario de Actividades, </w:t>
      </w:r>
      <w:r w:rsidRPr="000B3EEE">
        <w:rPr>
          <w:rFonts w:ascii="ITC Avant Garde" w:hAnsi="ITC Avant Garde" w:cs="Arial Unicode MS"/>
          <w:bCs/>
          <w:u w:color="000000"/>
          <w:bdr w:val="nil"/>
          <w:lang w:val="es-ES_tradnl" w:eastAsia="es-MX"/>
        </w:rPr>
        <w:t xml:space="preserve">en el período comprendido del </w:t>
      </w:r>
      <w:r w:rsidRPr="000B3EEE">
        <w:rPr>
          <w:rFonts w:ascii="ITC Avant Garde" w:hAnsi="ITC Avant Garde" w:cs="Arial"/>
          <w:lang w:val="es-ES_tradnl" w:eastAsia="es-MX"/>
        </w:rPr>
        <w:t>23 al 27 de enero de 2017</w:t>
      </w:r>
      <w:r w:rsidR="00EB4438">
        <w:rPr>
          <w:rFonts w:ascii="ITC Avant Garde" w:hAnsi="ITC Avant Garde"/>
        </w:rPr>
        <w:t>.</w:t>
      </w:r>
    </w:p>
    <w:p w14:paraId="3A8B5F39" w14:textId="77777777" w:rsidR="00EB4438" w:rsidRDefault="00EB4438" w:rsidP="00B43814">
      <w:pPr>
        <w:spacing w:line="240" w:lineRule="auto"/>
        <w:ind w:right="49"/>
        <w:contextualSpacing/>
        <w:jc w:val="both"/>
        <w:rPr>
          <w:rFonts w:ascii="ITC Avant Garde" w:hAnsi="ITC Avant Garde" w:cs="Arial Unicode MS"/>
          <w:bCs/>
          <w:u w:color="000000"/>
          <w:bdr w:val="nil"/>
          <w:lang w:val="es-ES_tradnl" w:eastAsia="es-MX"/>
        </w:rPr>
      </w:pPr>
    </w:p>
    <w:p w14:paraId="6E7E2B6F" w14:textId="77777777" w:rsidR="000B3EEE" w:rsidRPr="000B3EEE" w:rsidRDefault="00D97A46" w:rsidP="00B43814">
      <w:pPr>
        <w:spacing w:line="240" w:lineRule="auto"/>
        <w:ind w:right="49"/>
        <w:contextualSpacing/>
        <w:jc w:val="both"/>
        <w:rPr>
          <w:rFonts w:ascii="ITC Avant Garde" w:eastAsiaTheme="minorHAnsi" w:hAnsi="ITC Avant Garde" w:cs="Arial"/>
        </w:rPr>
      </w:pPr>
      <w:r w:rsidRPr="000B3EEE">
        <w:rPr>
          <w:rFonts w:ascii="ITC Avant Garde" w:hAnsi="ITC Avant Garde" w:cs="Arial Unicode MS"/>
          <w:bCs/>
          <w:u w:color="000000"/>
          <w:bdr w:val="nil"/>
          <w:lang w:val="es-ES_tradnl" w:eastAsia="es-MX"/>
        </w:rPr>
        <w:t xml:space="preserve">En este sentido, conforme a </w:t>
      </w:r>
      <w:r w:rsidRPr="000B3EEE">
        <w:rPr>
          <w:rFonts w:ascii="ITC Avant Garde" w:eastAsiaTheme="minorHAnsi" w:hAnsi="ITC Avant Garde" w:cs="Arial"/>
        </w:rPr>
        <w:t>lo dispuesto en el numeral 5.2.1 de las Bases, con la notificación y entrega de las Constancias de Participación, dichos Interesados</w:t>
      </w:r>
      <w:r w:rsidRPr="000B3EEE">
        <w:rPr>
          <w:rFonts w:ascii="ITC Avant Garde" w:hAnsi="ITC Avant Garde" w:cs="Arial Unicode MS"/>
          <w:bCs/>
          <w:u w:color="000000"/>
          <w:bdr w:val="nil"/>
          <w:lang w:val="es-ES_tradnl" w:eastAsia="es-MX"/>
        </w:rPr>
        <w:t xml:space="preserve"> </w:t>
      </w:r>
      <w:r w:rsidRPr="000B3EEE">
        <w:rPr>
          <w:rFonts w:ascii="ITC Avant Garde" w:eastAsiaTheme="minorHAnsi" w:hAnsi="ITC Avant Garde" w:cs="Arial"/>
        </w:rPr>
        <w:t>alcanzaron la calidad de Participantes y avanzaron a la Tercera Etapa de la Licitación.</w:t>
      </w:r>
    </w:p>
    <w:p w14:paraId="55837804" w14:textId="77777777" w:rsidR="000B3EEE" w:rsidRPr="000B3EEE" w:rsidRDefault="00D97A46" w:rsidP="00B43814">
      <w:pPr>
        <w:pStyle w:val="Prrafodelista"/>
        <w:numPr>
          <w:ilvl w:val="0"/>
          <w:numId w:val="23"/>
        </w:numPr>
        <w:suppressAutoHyphens/>
        <w:spacing w:after="200"/>
        <w:ind w:left="851"/>
        <w:jc w:val="both"/>
        <w:rPr>
          <w:rFonts w:ascii="ITC Avant Garde" w:hAnsi="ITC Avant Garde" w:cs="Arial"/>
          <w:kern w:val="2"/>
          <w:sz w:val="22"/>
          <w:szCs w:val="22"/>
          <w:lang w:val="es-ES_tradnl" w:eastAsia="ar-SA"/>
        </w:rPr>
      </w:pPr>
      <w:r w:rsidRPr="000B3EEE">
        <w:rPr>
          <w:rFonts w:ascii="ITC Avant Garde" w:hAnsi="ITC Avant Garde" w:cs="Arial"/>
          <w:b/>
          <w:kern w:val="2"/>
          <w:sz w:val="22"/>
          <w:szCs w:val="22"/>
          <w:lang w:val="es-ES_tradnl" w:eastAsia="ar-SA"/>
        </w:rPr>
        <w:t xml:space="preserve">Tercera Etapa: </w:t>
      </w:r>
      <w:r w:rsidRPr="000B3EEE">
        <w:rPr>
          <w:rFonts w:ascii="ITC Avant Garde" w:hAnsi="ITC Avant Garde" w:cs="Arial"/>
          <w:kern w:val="2"/>
          <w:sz w:val="22"/>
          <w:szCs w:val="22"/>
          <w:lang w:val="es-ES_tradnl" w:eastAsia="ar-SA"/>
        </w:rPr>
        <w:t>Sesión de Práctica y Procedimiento de Presentación de las Ofertas.</w:t>
      </w:r>
    </w:p>
    <w:p w14:paraId="29CCCEB2" w14:textId="03342527" w:rsidR="000B3EEE" w:rsidRPr="000B3EEE" w:rsidRDefault="00D97A46" w:rsidP="00B43814">
      <w:pPr>
        <w:suppressAutoHyphens/>
        <w:spacing w:line="240" w:lineRule="auto"/>
        <w:jc w:val="both"/>
        <w:rPr>
          <w:rFonts w:ascii="ITC Avant Garde" w:hAnsi="ITC Avant Garde" w:cs="Arial"/>
          <w:kern w:val="2"/>
          <w:lang w:val="es-ES_tradnl" w:eastAsia="ar-SA"/>
        </w:rPr>
      </w:pPr>
      <w:r w:rsidRPr="000B3EEE">
        <w:rPr>
          <w:rFonts w:ascii="ITC Avant Garde" w:hAnsi="ITC Avant Garde" w:cs="Arial"/>
          <w:kern w:val="2"/>
          <w:lang w:val="es-ES_tradnl" w:eastAsia="ar-SA"/>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EB4438">
        <w:rPr>
          <w:rFonts w:ascii="ITC Avant Garde" w:hAnsi="ITC Avant Garde" w:cs="Arial"/>
          <w:kern w:val="2"/>
          <w:lang w:val="es-ES_tradnl" w:eastAsia="ar-SA"/>
        </w:rPr>
        <w:t>nto de Presentación de Ofertas.</w:t>
      </w:r>
    </w:p>
    <w:p w14:paraId="0C272ADA" w14:textId="77777777" w:rsidR="000B3EEE" w:rsidRPr="000B3EEE" w:rsidRDefault="00D97A46" w:rsidP="00B43814">
      <w:pPr>
        <w:suppressAutoHyphens/>
        <w:spacing w:line="240" w:lineRule="auto"/>
        <w:jc w:val="both"/>
        <w:rPr>
          <w:rFonts w:ascii="ITC Avant Garde" w:hAnsi="ITC Avant Garde" w:cs="Arial"/>
          <w:kern w:val="2"/>
          <w:lang w:val="es-ES_tradnl" w:eastAsia="ar-SA"/>
        </w:rPr>
      </w:pPr>
      <w:r w:rsidRPr="000B3EEE">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w:t>
      </w:r>
      <w:r w:rsidR="00946414" w:rsidRPr="000B3EEE">
        <w:rPr>
          <w:rFonts w:ascii="ITC Avant Garde" w:hAnsi="ITC Avant Garde" w:cs="Arial"/>
          <w:kern w:val="2"/>
          <w:lang w:val="es-ES_tradnl" w:eastAsia="ar-SA"/>
        </w:rPr>
        <w:t>En principio</w:t>
      </w:r>
      <w:r w:rsidR="00D26EDF" w:rsidRPr="000B3EEE">
        <w:rPr>
          <w:rFonts w:ascii="ITC Avant Garde" w:hAnsi="ITC Avant Garde" w:cs="Arial"/>
          <w:kern w:val="2"/>
          <w:lang w:val="es-ES_tradnl" w:eastAsia="ar-SA"/>
        </w:rPr>
        <w:t xml:space="preserve"> </w:t>
      </w:r>
      <w:r w:rsidR="00946414" w:rsidRPr="000B3EEE">
        <w:rPr>
          <w:rFonts w:ascii="ITC Avant Garde" w:hAnsi="ITC Avant Garde" w:cs="Arial"/>
          <w:kern w:val="2"/>
          <w:lang w:val="es-ES_tradnl" w:eastAsia="ar-SA"/>
        </w:rPr>
        <w:t>d</w:t>
      </w:r>
      <w:r w:rsidRPr="000B3EEE">
        <w:rPr>
          <w:rFonts w:ascii="ITC Avant Garde" w:hAnsi="ITC Avant Garde" w:cs="Arial"/>
          <w:kern w:val="2"/>
          <w:lang w:val="es-ES_tradnl" w:eastAsia="ar-SA"/>
        </w:rPr>
        <w:t xml:space="preserve">ichos Concursos estaban programados para durar 48 horas continuas; sin embargo, </w:t>
      </w:r>
      <w:r w:rsidR="00946414" w:rsidRPr="000B3EEE">
        <w:rPr>
          <w:rFonts w:ascii="ITC Avant Garde" w:hAnsi="ITC Avant Garde" w:cs="Arial"/>
          <w:kern w:val="2"/>
          <w:lang w:val="es-ES_tradnl" w:eastAsia="ar-SA"/>
        </w:rPr>
        <w:t xml:space="preserve">el referido </w:t>
      </w:r>
      <w:r w:rsidRPr="000B3EEE">
        <w:rPr>
          <w:rFonts w:ascii="ITC Avant Garde" w:hAnsi="ITC Avant Garde" w:cs="Arial"/>
          <w:kern w:val="2"/>
          <w:lang w:val="es-ES_tradnl" w:eastAsia="ar-SA"/>
        </w:rPr>
        <w:t xml:space="preserve">periodo podía extenderse para cada Lote, </w:t>
      </w:r>
      <w:r w:rsidR="00946414" w:rsidRPr="000B3EEE">
        <w:rPr>
          <w:rFonts w:ascii="ITC Avant Garde" w:hAnsi="ITC Avant Garde" w:cs="Arial"/>
          <w:kern w:val="2"/>
          <w:lang w:val="es-ES_tradnl" w:eastAsia="ar-SA"/>
        </w:rPr>
        <w:t>en</w:t>
      </w:r>
      <w:r w:rsidRPr="000B3EEE">
        <w:rPr>
          <w:rFonts w:ascii="ITC Avant Garde" w:hAnsi="ITC Avant Garde" w:cs="Arial"/>
          <w:kern w:val="2"/>
          <w:lang w:val="es-ES_tradnl" w:eastAsia="ar-SA"/>
        </w:rPr>
        <w:t xml:space="preserve"> caso de registrarse actividad para éste (presentación de al menos una Oferta) en la media hora previa al Cierre Programado. Los Lotes cuyo tiempo de presentación de Ofertas fue extendido, continuaron por </w:t>
      </w:r>
      <w:r w:rsidR="00946414" w:rsidRPr="000B3EEE">
        <w:rPr>
          <w:rFonts w:ascii="ITC Avant Garde" w:hAnsi="ITC Avant Garde" w:cs="Arial"/>
          <w:kern w:val="2"/>
          <w:lang w:val="es-ES_tradnl" w:eastAsia="ar-SA"/>
        </w:rPr>
        <w:t xml:space="preserve">30 </w:t>
      </w:r>
      <w:r w:rsidRPr="000B3EEE">
        <w:rPr>
          <w:rFonts w:ascii="ITC Avant Garde" w:hAnsi="ITC Avant Garde" w:cs="Arial"/>
          <w:kern w:val="2"/>
          <w:lang w:val="es-ES_tradnl" w:eastAsia="ar-SA"/>
        </w:rPr>
        <w:t xml:space="preserve">minutos adicionales al Cierre Programado originalmente y dicha extensión de tiempo se repitió cuando existió actividad durante </w:t>
      </w:r>
      <w:r w:rsidR="00946414" w:rsidRPr="000B3EEE">
        <w:rPr>
          <w:rFonts w:ascii="ITC Avant Garde" w:hAnsi="ITC Avant Garde" w:cs="Arial"/>
          <w:kern w:val="2"/>
          <w:lang w:val="es-ES_tradnl" w:eastAsia="ar-SA"/>
        </w:rPr>
        <w:t xml:space="preserve">dicho lapso de </w:t>
      </w:r>
      <w:r w:rsidRPr="000B3EEE">
        <w:rPr>
          <w:rFonts w:ascii="ITC Avant Garde" w:hAnsi="ITC Avant Garde" w:cs="Arial"/>
          <w:kern w:val="2"/>
          <w:lang w:val="es-ES_tradnl" w:eastAsia="ar-SA"/>
        </w:rPr>
        <w:t xml:space="preserve">media hora. </w:t>
      </w:r>
    </w:p>
    <w:p w14:paraId="0265EC01" w14:textId="44393BC1" w:rsidR="000B3EEE" w:rsidRPr="000B3EEE" w:rsidRDefault="00D97A46" w:rsidP="00B43814">
      <w:pPr>
        <w:suppressAutoHyphens/>
        <w:spacing w:line="240" w:lineRule="auto"/>
        <w:jc w:val="both"/>
        <w:rPr>
          <w:rFonts w:ascii="ITC Avant Garde" w:hAnsi="ITC Avant Garde" w:cs="Arial"/>
          <w:kern w:val="2"/>
          <w:lang w:val="es-ES_tradnl" w:eastAsia="ar-SA"/>
        </w:rPr>
      </w:pPr>
      <w:r w:rsidRPr="000B3EEE">
        <w:rPr>
          <w:rFonts w:ascii="ITC Avant Garde" w:hAnsi="ITC Avant Garde" w:cs="Arial"/>
          <w:kern w:val="2"/>
          <w:lang w:val="es-ES_tradnl" w:eastAsia="ar-SA"/>
        </w:rPr>
        <w:t xml:space="preserve">Las Ofertas presentadas se reflejaron en puntos determinados por la Fórmula de Evaluación prevista en </w:t>
      </w:r>
      <w:r w:rsidR="00DA3404" w:rsidRPr="000B3EEE">
        <w:rPr>
          <w:rFonts w:ascii="ITC Avant Garde" w:hAnsi="ITC Avant Garde" w:cs="Arial"/>
          <w:kern w:val="2"/>
          <w:lang w:val="es-ES_tradnl" w:eastAsia="ar-SA"/>
        </w:rPr>
        <w:t xml:space="preserve">el Apéndice B de </w:t>
      </w:r>
      <w:r w:rsidRPr="000B3EEE">
        <w:rPr>
          <w:rFonts w:ascii="ITC Avant Garde" w:hAnsi="ITC Avant Garde" w:cs="Arial"/>
          <w:kern w:val="2"/>
          <w:lang w:val="es-ES_tradnl" w:eastAsia="ar-SA"/>
        </w:rPr>
        <w:t>las Bases, la cual se conforma de un Componente Económico y, dependiendo del Concurso del que se trate, 1 (uno) o 2 (dos) Componentes No Económicos: el compromiso de iniciar operaciones en forma híbrida (analógica/digital) bajo el estándar IBOC</w:t>
      </w:r>
      <w:r w:rsidR="00DA3404" w:rsidRPr="000B3EEE">
        <w:rPr>
          <w:rFonts w:ascii="ITC Avant Garde" w:hAnsi="ITC Avant Garde" w:cs="Arial"/>
          <w:kern w:val="2"/>
          <w:lang w:val="es-ES_tradnl" w:eastAsia="ar-SA"/>
        </w:rPr>
        <w:t xml:space="preserve"> (en el caso del Concurso de FM)</w:t>
      </w:r>
      <w:r w:rsidRPr="000B3EEE">
        <w:rPr>
          <w:rFonts w:ascii="ITC Avant Garde" w:hAnsi="ITC Avant Garde" w:cs="Arial"/>
          <w:kern w:val="2"/>
          <w:lang w:val="es-ES_tradnl" w:eastAsia="ar-SA"/>
        </w:rPr>
        <w:t>, y la Incorporación de Nuevos Competidores en el Mercado</w:t>
      </w:r>
      <w:r w:rsidR="00DA3404" w:rsidRPr="000B3EEE">
        <w:rPr>
          <w:rFonts w:ascii="ITC Avant Garde" w:hAnsi="ITC Avant Garde" w:cs="Arial"/>
          <w:kern w:val="2"/>
          <w:lang w:val="es-ES_tradnl" w:eastAsia="ar-SA"/>
        </w:rPr>
        <w:t xml:space="preserve"> (en el caso de ambos Concursos)</w:t>
      </w:r>
      <w:r w:rsidRPr="000B3EEE">
        <w:rPr>
          <w:rFonts w:ascii="ITC Avant Garde" w:hAnsi="ITC Avant Garde" w:cs="Arial"/>
          <w:kern w:val="2"/>
          <w:lang w:val="es-ES_tradnl" w:eastAsia="ar-SA"/>
        </w:rPr>
        <w:t xml:space="preserve">. Por consiguiente, la aplicación de la Fórmula de Evaluación </w:t>
      </w:r>
      <w:r w:rsidR="007A4214" w:rsidRPr="000B3EEE">
        <w:rPr>
          <w:rFonts w:ascii="ITC Avant Garde" w:hAnsi="ITC Avant Garde" w:cs="Arial"/>
          <w:kern w:val="2"/>
          <w:lang w:val="es-ES_tradnl" w:eastAsia="ar-SA"/>
        </w:rPr>
        <w:lastRenderedPageBreak/>
        <w:t xml:space="preserve">podía otorgar </w:t>
      </w:r>
      <w:r w:rsidRPr="000B3EEE">
        <w:rPr>
          <w:rFonts w:ascii="ITC Avant Garde" w:hAnsi="ITC Avant Garde" w:cs="Arial"/>
          <w:kern w:val="2"/>
          <w:lang w:val="es-ES_tradnl" w:eastAsia="ar-SA"/>
        </w:rPr>
        <w:t>al Participante un puntaje con base en el Componente Económico y en los Componentes No Económicos aplicables</w:t>
      </w:r>
      <w:r w:rsidR="00EB4438">
        <w:rPr>
          <w:rFonts w:ascii="ITC Avant Garde" w:hAnsi="ITC Avant Garde" w:cs="Arial"/>
          <w:kern w:val="2"/>
          <w:lang w:val="es-ES_tradnl" w:eastAsia="ar-SA"/>
        </w:rPr>
        <w:t>.</w:t>
      </w:r>
    </w:p>
    <w:p w14:paraId="0BAF3207" w14:textId="77777777" w:rsidR="000B3EEE" w:rsidRPr="000B3EEE" w:rsidRDefault="00D97A46" w:rsidP="00B43814">
      <w:pPr>
        <w:suppressAutoHyphens/>
        <w:spacing w:line="240" w:lineRule="auto"/>
        <w:jc w:val="both"/>
        <w:rPr>
          <w:rFonts w:ascii="ITC Avant Garde" w:hAnsi="ITC Avant Garde" w:cs="Arial"/>
          <w:kern w:val="2"/>
          <w:lang w:val="es-ES_tradnl" w:eastAsia="ar-SA"/>
        </w:rPr>
      </w:pPr>
      <w:r w:rsidRPr="000B3EEE">
        <w:rPr>
          <w:rFonts w:ascii="ITC Avant Garde" w:hAnsi="ITC Avant Garde" w:cs="Arial"/>
          <w:kern w:val="2"/>
          <w:lang w:val="es-ES_tradnl" w:eastAsia="ar-SA"/>
        </w:rPr>
        <w:t>En este sentido, respecto de cada uno de los Concursos tenemos lo siguiente:</w:t>
      </w:r>
    </w:p>
    <w:p w14:paraId="49BD0DBE" w14:textId="77777777" w:rsidR="000B3EEE" w:rsidRPr="000B3EEE" w:rsidRDefault="00D97A46" w:rsidP="00B43814">
      <w:pPr>
        <w:pStyle w:val="Prrafodelista"/>
        <w:numPr>
          <w:ilvl w:val="0"/>
          <w:numId w:val="24"/>
        </w:numPr>
        <w:suppressAutoHyphens/>
        <w:spacing w:after="200"/>
        <w:jc w:val="both"/>
        <w:rPr>
          <w:rFonts w:ascii="ITC Avant Garde" w:hAnsi="ITC Avant Garde" w:cs="Arial"/>
          <w:b/>
          <w:kern w:val="2"/>
          <w:sz w:val="22"/>
          <w:szCs w:val="22"/>
          <w:lang w:val="es-ES_tradnl" w:eastAsia="ar-SA"/>
        </w:rPr>
      </w:pPr>
      <w:r w:rsidRPr="000B3EEE">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45371C89" w14:textId="77777777" w:rsidR="000B3EEE" w:rsidRPr="000B3EEE" w:rsidRDefault="00D97A46" w:rsidP="00B43814">
      <w:pPr>
        <w:pStyle w:val="Prrafodelista"/>
        <w:suppressAutoHyphens/>
        <w:spacing w:after="200"/>
        <w:ind w:left="709"/>
        <w:jc w:val="both"/>
        <w:rPr>
          <w:rFonts w:ascii="ITC Avant Garde" w:hAnsi="ITC Avant Garde" w:cs="Arial"/>
          <w:b/>
          <w:kern w:val="2"/>
          <w:sz w:val="22"/>
          <w:szCs w:val="22"/>
          <w:lang w:val="es-ES_tradnl" w:eastAsia="ar-SA"/>
        </w:rPr>
      </w:pPr>
      <w:r w:rsidRPr="000B3EEE">
        <w:rPr>
          <w:rFonts w:ascii="ITC Avant Garde" w:eastAsia="Arial Unicode MS" w:hAnsi="ITC Avant Garde" w:cs="Arial Unicode MS"/>
          <w:kern w:val="1"/>
          <w:sz w:val="22"/>
          <w:szCs w:val="22"/>
          <w:u w:color="000000"/>
          <w:bdr w:val="nil"/>
          <w:lang w:val="es-ES_tradnl" w:eastAsia="ar-SA"/>
        </w:rPr>
        <w:t xml:space="preserve">El 7 de febrero de 2017 dio inicio el Procedimiento de Presentación de Ofertas, para los Lotes en la Licitación No. IFT-4, correspondientes a la banda FM, a las 10:00 horas. </w:t>
      </w:r>
    </w:p>
    <w:p w14:paraId="5828197F" w14:textId="486EB417" w:rsidR="000B3EEE" w:rsidRPr="000B3EEE" w:rsidRDefault="00D97A46" w:rsidP="00B43814">
      <w:pPr>
        <w:pStyle w:val="Prrafodelista"/>
        <w:suppressAutoHyphens/>
        <w:spacing w:after="200"/>
        <w:ind w:left="709"/>
        <w:jc w:val="both"/>
        <w:rPr>
          <w:rFonts w:ascii="ITC Avant Garde" w:hAnsi="ITC Avant Garde" w:cs="Arial"/>
          <w:b/>
          <w:kern w:val="2"/>
          <w:sz w:val="22"/>
          <w:szCs w:val="22"/>
          <w:lang w:val="es-ES_tradnl" w:eastAsia="ar-SA"/>
        </w:rPr>
      </w:pPr>
      <w:r w:rsidRPr="000B3EEE">
        <w:rPr>
          <w:rFonts w:ascii="ITC Avant Garde" w:eastAsia="Arial Unicode MS" w:hAnsi="ITC Avant Garde" w:cs="Arial Unicode MS"/>
          <w:kern w:val="1"/>
          <w:sz w:val="22"/>
          <w:szCs w:val="22"/>
          <w:u w:color="000000"/>
          <w:bdr w:val="nil"/>
          <w:lang w:val="es-ES_tradnl" w:eastAsia="ar-SA"/>
        </w:rPr>
        <w:t>Posteriormente, el 9 de febrero de 2017 faltando treinta minutos para el cierre programado del periodo continuo de 48 horas, la Unidad de Espectro Radioeléctrico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43 Frecuencias el SERPO activó automáticamente las extensiones de tiempo de 30 minutos, de acuerdo con lo dispuesto en el numeral 5.3.1 de las Bases, concluyendo las últimas hasta el 13 de febrero de 2017, fecha en que culminó el Procedimiento de Presentación de Ofertas para las 191 Frecuencias de la Banda FM en el segmento de 88 a 106 MHz, al no presentarse nuevas posturas en el SERPO durante los 30 minutos de extensión de tiempo previos al nuevo Cierre Programado</w:t>
      </w:r>
      <w:r w:rsidR="00EB4438">
        <w:rPr>
          <w:rFonts w:ascii="ITC Avant Garde" w:eastAsia="Arial Unicode MS" w:hAnsi="ITC Avant Garde" w:cs="Arial Unicode MS"/>
          <w:kern w:val="1"/>
          <w:sz w:val="22"/>
          <w:szCs w:val="22"/>
          <w:u w:color="000000"/>
          <w:bdr w:val="nil"/>
          <w:lang w:val="es-ES_tradnl" w:eastAsia="ar-SA"/>
        </w:rPr>
        <w:t>, de conformidad con las Bases.</w:t>
      </w:r>
    </w:p>
    <w:p w14:paraId="2B0F1BA1" w14:textId="77777777" w:rsidR="000B3EEE" w:rsidRPr="000B3EEE" w:rsidRDefault="00D97A46" w:rsidP="00B43814">
      <w:pPr>
        <w:pStyle w:val="Prrafodelista"/>
        <w:suppressAutoHyphens/>
        <w:spacing w:after="200"/>
        <w:ind w:left="709"/>
        <w:jc w:val="both"/>
        <w:rPr>
          <w:rFonts w:ascii="ITC Avant Garde" w:hAnsi="ITC Avant Garde" w:cs="Arial"/>
          <w:kern w:val="2"/>
          <w:sz w:val="22"/>
          <w:szCs w:val="22"/>
          <w:lang w:val="es-ES_tradnl" w:eastAsia="ar-SA"/>
        </w:rPr>
      </w:pPr>
      <w:r w:rsidRPr="000B3EEE">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notificado vía el SERPO y correo electrónico el 10 de febrero de 2017.</w:t>
      </w:r>
    </w:p>
    <w:p w14:paraId="0F3BAF85" w14:textId="77777777" w:rsidR="000B3EEE" w:rsidRDefault="00D97A46" w:rsidP="00B43814">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B3EEE">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5C5F0F71" w14:textId="77777777" w:rsidR="00EB4438" w:rsidRPr="000B3EEE" w:rsidRDefault="00EB4438" w:rsidP="00B43814">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64882697" w14:textId="77777777" w:rsidR="000B3EEE" w:rsidRPr="000B3EEE" w:rsidRDefault="00D97A46" w:rsidP="00B43814">
      <w:pPr>
        <w:pStyle w:val="Prrafodelista"/>
        <w:numPr>
          <w:ilvl w:val="0"/>
          <w:numId w:val="25"/>
        </w:numPr>
        <w:suppressAutoHyphens/>
        <w:spacing w:after="200"/>
        <w:ind w:left="709" w:hanging="425"/>
        <w:jc w:val="both"/>
        <w:rPr>
          <w:rFonts w:ascii="ITC Avant Garde" w:hAnsi="ITC Avant Garde" w:cs="Arial"/>
          <w:b/>
          <w:kern w:val="2"/>
          <w:sz w:val="22"/>
          <w:szCs w:val="22"/>
          <w:lang w:val="es-ES_tradnl" w:eastAsia="ar-SA"/>
        </w:rPr>
      </w:pPr>
      <w:r w:rsidRPr="000B3EEE">
        <w:rPr>
          <w:rFonts w:ascii="ITC Avant Garde" w:hAnsi="ITC Avant Garde" w:cs="Arial"/>
          <w:b/>
          <w:kern w:val="2"/>
          <w:sz w:val="22"/>
          <w:szCs w:val="22"/>
          <w:lang w:val="es-ES_tradnl" w:eastAsia="ar-SA"/>
        </w:rPr>
        <w:lastRenderedPageBreak/>
        <w:t>Procedimiento de Presentación de Ofertas relativas al Concurso correspondiente a 66 Lotes de la Banda AM, en el segmento de 535 a 1605 kHz.</w:t>
      </w:r>
    </w:p>
    <w:p w14:paraId="09C41333" w14:textId="77777777" w:rsidR="000B3EEE" w:rsidRPr="000B3EEE" w:rsidRDefault="00D97A46" w:rsidP="00B43814">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B3EEE">
        <w:rPr>
          <w:rFonts w:ascii="ITC Avant Garde" w:eastAsia="Arial Unicode MS" w:hAnsi="ITC Avant Garde" w:cs="Arial Unicode MS"/>
          <w:kern w:val="1"/>
          <w:sz w:val="22"/>
          <w:szCs w:val="22"/>
          <w:u w:color="000000"/>
          <w:bdr w:val="nil"/>
          <w:lang w:val="es-ES_tradnl" w:eastAsia="ar-SA"/>
        </w:rPr>
        <w:t xml:space="preserve">El 14 de febrero de 2017 comenzó el Procedimiento de Presentación de Ofertas correspondientes a la </w:t>
      </w:r>
      <w:r w:rsidR="000018A7" w:rsidRPr="000B3EEE">
        <w:rPr>
          <w:rFonts w:ascii="ITC Avant Garde" w:eastAsia="Arial Unicode MS" w:hAnsi="ITC Avant Garde" w:cs="Arial Unicode MS"/>
          <w:kern w:val="1"/>
          <w:sz w:val="22"/>
          <w:szCs w:val="22"/>
          <w:u w:color="000000"/>
          <w:bdr w:val="nil"/>
          <w:lang w:val="es-ES_tradnl" w:eastAsia="ar-SA"/>
        </w:rPr>
        <w:t>B</w:t>
      </w:r>
      <w:r w:rsidRPr="000B3EEE">
        <w:rPr>
          <w:rFonts w:ascii="ITC Avant Garde" w:eastAsia="Arial Unicode MS" w:hAnsi="ITC Avant Garde" w:cs="Arial Unicode MS"/>
          <w:kern w:val="1"/>
          <w:sz w:val="22"/>
          <w:szCs w:val="22"/>
          <w:u w:color="000000"/>
          <w:bdr w:val="nil"/>
          <w:lang w:val="es-ES_tradnl" w:eastAsia="ar-SA"/>
        </w:rPr>
        <w:t xml:space="preserve">anda AM. Dicho Procedimiento concluyó el 16 de febrero de 2017 para las 31 frecuencias de AM consideradas en las Constancias de Participación otorgadas, toda vez que durante los últimos 30 minutos de extensión de tiempo previos a esa hora (18:00 horas) no se presentaron nuevas posturas en el SERPO, de conformidad con las Bases. </w:t>
      </w:r>
    </w:p>
    <w:p w14:paraId="10FF1517" w14:textId="77777777" w:rsidR="000B3EEE" w:rsidRPr="000B3EEE" w:rsidRDefault="00D97A46" w:rsidP="00B43814">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B3EEE">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5BD02D19" w14:textId="77777777" w:rsidR="00EB4438" w:rsidRDefault="00EB4438" w:rsidP="00B43814">
      <w:pPr>
        <w:pStyle w:val="Prrafodelista"/>
        <w:spacing w:after="200"/>
        <w:ind w:left="0" w:right="49"/>
        <w:contextualSpacing/>
        <w:jc w:val="both"/>
        <w:rPr>
          <w:rFonts w:ascii="ITC Avant Garde" w:hAnsi="ITC Avant Garde" w:cs="Arial"/>
          <w:kern w:val="2"/>
          <w:sz w:val="22"/>
          <w:szCs w:val="22"/>
          <w:lang w:val="es-ES_tradnl" w:eastAsia="ar-SA"/>
        </w:rPr>
      </w:pPr>
    </w:p>
    <w:p w14:paraId="2B95A7F3" w14:textId="77777777" w:rsidR="000B3EEE" w:rsidRPr="000B3EEE" w:rsidRDefault="00D97A46" w:rsidP="00B43814">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0B3EEE">
        <w:rPr>
          <w:rFonts w:ascii="ITC Avant Garde" w:hAnsi="ITC Avant Garde" w:cs="Arial"/>
          <w:kern w:val="2"/>
          <w:sz w:val="22"/>
          <w:szCs w:val="22"/>
          <w:lang w:val="es-ES_tradnl" w:eastAsia="ar-SA"/>
        </w:rPr>
        <w:t xml:space="preserve">El Procedimiento de Presentación de Ofertas de los Concursos de la Banda FM y de la Banda AM, al igual que el resto de las etapas previas de la Licitación No. IFT-4, fue atestiguado por un testigo social y contó con la participación de un fedatario público en diversas actividades del </w:t>
      </w:r>
      <w:r w:rsidR="000018A7" w:rsidRPr="000B3EEE">
        <w:rPr>
          <w:rFonts w:ascii="ITC Avant Garde" w:hAnsi="ITC Avant Garde" w:cs="Arial"/>
          <w:kern w:val="2"/>
          <w:sz w:val="22"/>
          <w:szCs w:val="22"/>
          <w:lang w:val="es-ES_tradnl" w:eastAsia="ar-SA"/>
        </w:rPr>
        <w:t>procedimiento</w:t>
      </w:r>
      <w:r w:rsidRPr="000B3EEE">
        <w:rPr>
          <w:rFonts w:ascii="ITC Avant Garde" w:hAnsi="ITC Avant Garde" w:cs="Arial"/>
          <w:kern w:val="2"/>
          <w:sz w:val="22"/>
          <w:szCs w:val="22"/>
          <w:lang w:val="es-ES_tradnl" w:eastAsia="ar-SA"/>
        </w:rPr>
        <w:t>.</w:t>
      </w:r>
    </w:p>
    <w:p w14:paraId="16760AA1" w14:textId="77777777" w:rsidR="000B3EEE" w:rsidRPr="000B3EEE" w:rsidRDefault="00D97A46" w:rsidP="00B43814">
      <w:pPr>
        <w:suppressAutoHyphens/>
        <w:spacing w:line="240" w:lineRule="auto"/>
        <w:jc w:val="both"/>
        <w:rPr>
          <w:rFonts w:ascii="ITC Avant Garde" w:hAnsi="ITC Avant Garde" w:cs="Arial"/>
          <w:kern w:val="2"/>
          <w:lang w:val="es-ES_tradnl" w:eastAsia="ar-SA"/>
        </w:rPr>
      </w:pPr>
      <w:r w:rsidRPr="000B3EEE">
        <w:rPr>
          <w:rFonts w:ascii="ITC Avant Garde" w:hAnsi="ITC Avant Garde"/>
        </w:rPr>
        <w:t xml:space="preserve">En este contexto, es procedente continuar con la </w:t>
      </w:r>
      <w:r w:rsidRPr="000B3EEE">
        <w:rPr>
          <w:rFonts w:ascii="ITC Avant Garde" w:hAnsi="ITC Avant Garde"/>
          <w:b/>
        </w:rPr>
        <w:t>Cuarta</w:t>
      </w:r>
      <w:r w:rsidRPr="000B3EEE">
        <w:rPr>
          <w:rFonts w:ascii="ITC Avant Garde" w:hAnsi="ITC Avant Garde"/>
          <w:b/>
          <w:kern w:val="1"/>
          <w:u w:color="000000"/>
          <w:bdr w:val="nil"/>
          <w:lang w:val="es-ES_tradnl"/>
        </w:rPr>
        <w:t xml:space="preserve"> Etapa</w:t>
      </w:r>
      <w:r w:rsidRPr="000B3EEE">
        <w:rPr>
          <w:rFonts w:ascii="ITC Avant Garde" w:hAnsi="ITC Avant Garde"/>
          <w:kern w:val="1"/>
          <w:u w:color="000000"/>
          <w:bdr w:val="nil"/>
          <w:lang w:val="es-ES_tradnl"/>
        </w:rPr>
        <w:t>, denominada “</w:t>
      </w:r>
      <w:r w:rsidRPr="000B3EEE">
        <w:rPr>
          <w:rFonts w:ascii="ITC Avant Garde" w:hAnsi="ITC Avant Garde"/>
          <w:kern w:val="2"/>
          <w:lang w:val="es-ES_tradnl"/>
        </w:rPr>
        <w:t>Emisión de Acta de Fallo, Pago de Contraprestación y Otorgamiento de Títulos de Concesión”</w:t>
      </w:r>
      <w:r w:rsidRPr="000B3EEE">
        <w:rPr>
          <w:rFonts w:ascii="ITC Avant Garde" w:hAnsi="ITC Avant Garde"/>
          <w:kern w:val="1"/>
          <w:u w:color="000000"/>
          <w:bdr w:val="nil"/>
          <w:lang w:val="es-ES_tradnl"/>
        </w:rPr>
        <w:t>.</w:t>
      </w:r>
    </w:p>
    <w:p w14:paraId="552B2978" w14:textId="413E9EFA" w:rsidR="00D26EDF" w:rsidRPr="000B3EEE" w:rsidRDefault="007A41FF" w:rsidP="007A41FF">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Pr>
          <w:rFonts w:ascii="ITC Avant Garde" w:eastAsia="Arial Unicode MS" w:hAnsi="ITC Avant Garde" w:cs="Arial"/>
          <w:b/>
          <w:bCs/>
          <w:u w:color="000000"/>
          <w:bdr w:val="nil"/>
          <w:lang w:val="es-ES_tradnl"/>
        </w:rPr>
        <w:t>CUARTO.</w:t>
      </w:r>
      <w:r>
        <w:rPr>
          <w:rFonts w:ascii="ITC Avant Garde" w:eastAsia="Arial Unicode MS" w:hAnsi="ITC Avant Garde" w:cs="Arial"/>
          <w:b/>
          <w:bCs/>
          <w:u w:color="000000"/>
          <w:bdr w:val="nil"/>
          <w:lang w:val="es-ES_tradnl"/>
        </w:rPr>
        <w:tab/>
      </w:r>
      <w:r w:rsidR="00D97A46" w:rsidRPr="000B3EEE">
        <w:rPr>
          <w:rFonts w:ascii="ITC Avant Garde" w:eastAsia="Arial Unicode MS" w:hAnsi="ITC Avant Garde" w:cs="Arial"/>
          <w:b/>
          <w:bCs/>
          <w:u w:color="000000"/>
          <w:bdr w:val="nil"/>
          <w:lang w:val="es-ES_tradnl"/>
        </w:rPr>
        <w:t>Emisión de Acta de Fallo, Pago de Contraprestación y Otorgamiento de Títulos de Concesión.</w:t>
      </w:r>
      <w:r w:rsidR="00D97A46" w:rsidRPr="000B3EEE">
        <w:rPr>
          <w:rFonts w:ascii="ITC Avant Garde" w:eastAsia="Arial Unicode MS" w:hAnsi="ITC Avant Garde" w:cs="Arial"/>
          <w:bCs/>
          <w:u w:color="000000"/>
          <w:bdr w:val="nil"/>
          <w:lang w:val="es-ES_tradnl"/>
        </w:rPr>
        <w:t xml:space="preserve"> De conformidad con el resultado de los </w:t>
      </w:r>
      <w:r w:rsidR="00D97A46" w:rsidRPr="000B3EEE">
        <w:rPr>
          <w:rFonts w:ascii="ITC Avant Garde" w:eastAsiaTheme="minorHAnsi" w:hAnsi="ITC Avant Garde" w:cs="Arial"/>
        </w:rPr>
        <w:t>Procedimientos de Presentación de Ofertas, relativos a los Concursos para los 191 Lotes de la Banda FM y de los 66 Lotes de la Banda AM, con el cumplimiento de</w:t>
      </w:r>
      <w:r w:rsidR="00D97A46" w:rsidRPr="000B3EEE">
        <w:rPr>
          <w:rFonts w:ascii="ITC Avant Garde" w:eastAsia="Arial Unicode MS" w:hAnsi="ITC Avant Garde" w:cs="Arial"/>
          <w:bCs/>
          <w:u w:color="000000"/>
          <w:bdr w:val="nil"/>
          <w:lang w:val="es-ES_tradnl"/>
        </w:rPr>
        <w:t xml:space="preserve"> lo previsto en las Bases, sus Apéndices y Anexos; así como las preferencias de asignación manifestadas en el Apéndice E de las Bases</w:t>
      </w:r>
      <w:r w:rsidR="00DA3404" w:rsidRPr="000B3EEE">
        <w:rPr>
          <w:rFonts w:ascii="ITC Avant Garde" w:eastAsia="Arial Unicode MS" w:hAnsi="ITC Avant Garde" w:cs="Arial"/>
          <w:bCs/>
          <w:u w:color="000000"/>
          <w:bdr w:val="nil"/>
          <w:lang w:val="es-ES_tradnl"/>
        </w:rPr>
        <w:t xml:space="preserve"> por cada Participante</w:t>
      </w:r>
      <w:r w:rsidR="00D97A46" w:rsidRPr="000B3EEE">
        <w:rPr>
          <w:rFonts w:ascii="ITC Avant Garde" w:eastAsia="Arial Unicode MS" w:hAnsi="ITC Avant Garde" w:cs="Arial"/>
          <w:bCs/>
          <w:u w:color="000000"/>
          <w:bdr w:val="nil"/>
          <w:lang w:val="es-ES_tradnl"/>
        </w:rPr>
        <w:t>, se determina como Participante Ganador a Cadena Radiópolis, S.A. de C.V., con número de Folio Único C1-153125, quien obtuvo el resultado siguiente:</w:t>
      </w:r>
    </w:p>
    <w:p w14:paraId="73E2B735" w14:textId="77777777" w:rsidR="00D26EDF" w:rsidRPr="000B3EEE" w:rsidRDefault="00D26EDF" w:rsidP="00EB4438">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tbl>
      <w:tblPr>
        <w:tblStyle w:val="Tablaconcuadrcula"/>
        <w:tblW w:w="0" w:type="auto"/>
        <w:tblLayout w:type="fixed"/>
        <w:tblLook w:val="04A0" w:firstRow="1" w:lastRow="0" w:firstColumn="1" w:lastColumn="0" w:noHBand="0" w:noVBand="1"/>
        <w:tblCaption w:val="Tabla"/>
        <w:tblDescription w:val="Resultado del participante ganador"/>
      </w:tblPr>
      <w:tblGrid>
        <w:gridCol w:w="704"/>
        <w:gridCol w:w="1276"/>
        <w:gridCol w:w="1276"/>
        <w:gridCol w:w="1529"/>
        <w:gridCol w:w="1164"/>
        <w:gridCol w:w="1140"/>
        <w:gridCol w:w="1270"/>
        <w:gridCol w:w="1035"/>
      </w:tblGrid>
      <w:tr w:rsidR="000B3EEE" w:rsidRPr="000B3EEE" w14:paraId="286DFADE" w14:textId="2AE09CBF" w:rsidTr="00C676DE">
        <w:trPr>
          <w:tblHeader/>
        </w:trPr>
        <w:tc>
          <w:tcPr>
            <w:tcW w:w="704" w:type="dxa"/>
            <w:shd w:val="clear" w:color="auto" w:fill="70AD47" w:themeFill="accent6"/>
          </w:tcPr>
          <w:p w14:paraId="5F5512FB" w14:textId="4B050E1A" w:rsidR="000F4975" w:rsidRPr="000B3EEE" w:rsidRDefault="000F4975" w:rsidP="00B43814">
            <w:pPr>
              <w:contextualSpacing/>
              <w:jc w:val="center"/>
              <w:outlineLvl w:val="1"/>
              <w:rPr>
                <w:rFonts w:ascii="ITC Avant Garde" w:hAnsi="ITC Avant Garde" w:cs="Arial Unicode MS"/>
                <w:bCs/>
                <w:sz w:val="16"/>
                <w:szCs w:val="16"/>
                <w:u w:color="000000"/>
                <w:bdr w:val="nil"/>
                <w:lang w:val="es-ES_tradnl" w:eastAsia="es-MX"/>
              </w:rPr>
            </w:pPr>
            <w:r w:rsidRPr="000B3EEE">
              <w:rPr>
                <w:rFonts w:ascii="ITC Avant Garde" w:hAnsi="ITC Avant Garde" w:cs="Arial Unicode MS"/>
                <w:sz w:val="16"/>
                <w:szCs w:val="16"/>
                <w:u w:color="000000"/>
                <w:bdr w:val="nil"/>
                <w:lang w:val="es-ES_tradnl" w:eastAsia="es-MX"/>
              </w:rPr>
              <w:t>Lote</w:t>
            </w:r>
            <w:r w:rsidRPr="000B3EEE">
              <w:rPr>
                <w:rStyle w:val="Refdenotaalpie"/>
                <w:rFonts w:ascii="ITC Avant Garde" w:hAnsi="ITC Avant Garde" w:cs="Arial Unicode MS"/>
                <w:sz w:val="16"/>
                <w:szCs w:val="16"/>
                <w:u w:color="000000"/>
                <w:bdr w:val="nil"/>
                <w:lang w:val="es-ES_tradnl" w:eastAsia="es-MX"/>
              </w:rPr>
              <w:footnoteReference w:id="3"/>
            </w:r>
          </w:p>
        </w:tc>
        <w:tc>
          <w:tcPr>
            <w:tcW w:w="1276" w:type="dxa"/>
            <w:shd w:val="clear" w:color="auto" w:fill="70AD47" w:themeFill="accent6"/>
          </w:tcPr>
          <w:p w14:paraId="5DC60A63" w14:textId="77777777" w:rsidR="000F4975" w:rsidRPr="000B3EEE" w:rsidRDefault="000F4975" w:rsidP="00B43814">
            <w:pPr>
              <w:contextualSpacing/>
              <w:jc w:val="center"/>
              <w:outlineLvl w:val="1"/>
              <w:rPr>
                <w:rFonts w:ascii="ITC Avant Garde" w:hAnsi="ITC Avant Garde" w:cs="Arial Unicode MS"/>
                <w:bCs/>
                <w:sz w:val="16"/>
                <w:szCs w:val="16"/>
                <w:u w:color="000000"/>
                <w:bdr w:val="nil"/>
                <w:lang w:val="es-ES_tradnl" w:eastAsia="es-MX"/>
              </w:rPr>
            </w:pPr>
            <w:r w:rsidRPr="000B3EEE">
              <w:rPr>
                <w:rFonts w:ascii="ITC Avant Garde" w:hAnsi="ITC Avant Garde" w:cs="Arial Unicode MS"/>
                <w:sz w:val="16"/>
                <w:szCs w:val="16"/>
                <w:u w:color="000000"/>
                <w:bdr w:val="nil"/>
                <w:lang w:val="es-ES_tradnl" w:eastAsia="es-MX"/>
              </w:rPr>
              <w:t>Banda de Frecuencias</w:t>
            </w:r>
          </w:p>
        </w:tc>
        <w:tc>
          <w:tcPr>
            <w:tcW w:w="1276" w:type="dxa"/>
            <w:shd w:val="clear" w:color="auto" w:fill="70AD47" w:themeFill="accent6"/>
          </w:tcPr>
          <w:p w14:paraId="118964B0" w14:textId="77777777" w:rsidR="000F4975" w:rsidRPr="000B3EEE" w:rsidRDefault="000F4975" w:rsidP="00B43814">
            <w:pPr>
              <w:contextualSpacing/>
              <w:jc w:val="center"/>
              <w:outlineLvl w:val="1"/>
              <w:rPr>
                <w:rFonts w:ascii="ITC Avant Garde" w:hAnsi="ITC Avant Garde" w:cs="Arial Unicode MS"/>
                <w:bCs/>
                <w:sz w:val="16"/>
                <w:szCs w:val="16"/>
                <w:u w:color="000000"/>
                <w:bdr w:val="nil"/>
                <w:lang w:val="es-ES_tradnl" w:eastAsia="es-MX"/>
              </w:rPr>
            </w:pPr>
            <w:r w:rsidRPr="000B3EEE">
              <w:rPr>
                <w:rFonts w:ascii="ITC Avant Garde" w:hAnsi="ITC Avant Garde" w:cs="Arial Unicode MS"/>
                <w:sz w:val="16"/>
                <w:szCs w:val="16"/>
                <w:u w:color="000000"/>
                <w:bdr w:val="nil"/>
                <w:lang w:val="es-ES_tradnl" w:eastAsia="es-MX"/>
              </w:rPr>
              <w:t>Frecuencia</w:t>
            </w:r>
          </w:p>
        </w:tc>
        <w:tc>
          <w:tcPr>
            <w:tcW w:w="1529" w:type="dxa"/>
            <w:shd w:val="clear" w:color="auto" w:fill="70AD47" w:themeFill="accent6"/>
          </w:tcPr>
          <w:p w14:paraId="5EE87CEB" w14:textId="77777777" w:rsidR="000F4975" w:rsidRPr="000B3EEE" w:rsidRDefault="000F4975" w:rsidP="00B43814">
            <w:pPr>
              <w:contextualSpacing/>
              <w:jc w:val="center"/>
              <w:outlineLvl w:val="1"/>
              <w:rPr>
                <w:rFonts w:ascii="ITC Avant Garde" w:hAnsi="ITC Avant Garde" w:cs="Arial Unicode MS"/>
                <w:bCs/>
                <w:sz w:val="16"/>
                <w:szCs w:val="16"/>
                <w:u w:color="000000"/>
                <w:bdr w:val="nil"/>
                <w:lang w:val="es-ES_tradnl" w:eastAsia="es-MX"/>
              </w:rPr>
            </w:pPr>
            <w:r w:rsidRPr="000B3EEE">
              <w:rPr>
                <w:rFonts w:ascii="ITC Avant Garde" w:hAnsi="ITC Avant Garde" w:cs="Arial Unicode MS"/>
                <w:sz w:val="16"/>
                <w:szCs w:val="16"/>
                <w:u w:color="000000"/>
                <w:bdr w:val="nil"/>
                <w:lang w:val="es-ES_tradnl" w:eastAsia="es-MX"/>
              </w:rPr>
              <w:t>Localidad(es) Principal(es) a Servir</w:t>
            </w:r>
          </w:p>
        </w:tc>
        <w:tc>
          <w:tcPr>
            <w:tcW w:w="1164" w:type="dxa"/>
            <w:shd w:val="clear" w:color="auto" w:fill="70AD47" w:themeFill="accent6"/>
          </w:tcPr>
          <w:p w14:paraId="180D1A11" w14:textId="77777777" w:rsidR="000F4975" w:rsidRPr="000B3EEE" w:rsidRDefault="000F4975" w:rsidP="00B43814">
            <w:pPr>
              <w:contextualSpacing/>
              <w:jc w:val="center"/>
              <w:outlineLvl w:val="1"/>
              <w:rPr>
                <w:rFonts w:ascii="ITC Avant Garde" w:hAnsi="ITC Avant Garde" w:cs="Arial Unicode MS"/>
                <w:bCs/>
                <w:sz w:val="16"/>
                <w:szCs w:val="16"/>
                <w:u w:color="000000"/>
                <w:bdr w:val="nil"/>
                <w:lang w:val="es-ES_tradnl" w:eastAsia="es-MX"/>
              </w:rPr>
            </w:pPr>
            <w:r w:rsidRPr="000B3EEE">
              <w:rPr>
                <w:rFonts w:ascii="ITC Avant Garde" w:hAnsi="ITC Avant Garde" w:cs="Arial Unicode MS"/>
                <w:sz w:val="16"/>
                <w:szCs w:val="16"/>
                <w:u w:color="000000"/>
                <w:bdr w:val="nil"/>
                <w:lang w:val="es-ES_tradnl" w:eastAsia="es-MX"/>
              </w:rPr>
              <w:t>Estado</w:t>
            </w:r>
          </w:p>
        </w:tc>
        <w:tc>
          <w:tcPr>
            <w:tcW w:w="1140" w:type="dxa"/>
            <w:shd w:val="clear" w:color="auto" w:fill="70AD47" w:themeFill="accent6"/>
          </w:tcPr>
          <w:p w14:paraId="49ADB7B8" w14:textId="77777777" w:rsidR="000F4975" w:rsidRPr="000B3EEE" w:rsidRDefault="000F4975" w:rsidP="00B43814">
            <w:pPr>
              <w:contextualSpacing/>
              <w:jc w:val="center"/>
              <w:outlineLvl w:val="1"/>
              <w:rPr>
                <w:rFonts w:ascii="ITC Avant Garde" w:hAnsi="ITC Avant Garde" w:cs="Arial Unicode MS"/>
                <w:bCs/>
                <w:sz w:val="16"/>
                <w:szCs w:val="16"/>
                <w:u w:color="000000"/>
                <w:bdr w:val="nil"/>
                <w:lang w:val="es-ES_tradnl" w:eastAsia="es-MX"/>
              </w:rPr>
            </w:pPr>
            <w:r w:rsidRPr="000B3EEE">
              <w:rPr>
                <w:rFonts w:ascii="ITC Avant Garde" w:hAnsi="ITC Avant Garde" w:cs="Arial Unicode MS"/>
                <w:sz w:val="16"/>
                <w:szCs w:val="16"/>
                <w:u w:color="000000"/>
                <w:bdr w:val="nil"/>
                <w:lang w:val="es-ES_tradnl" w:eastAsia="es-MX"/>
              </w:rPr>
              <w:t>Puntaje</w:t>
            </w:r>
            <w:r w:rsidRPr="000B3EEE">
              <w:rPr>
                <w:rStyle w:val="Refdenotaalpie"/>
                <w:rFonts w:ascii="ITC Avant Garde" w:hAnsi="ITC Avant Garde" w:cs="Arial Unicode MS"/>
                <w:sz w:val="16"/>
                <w:szCs w:val="16"/>
                <w:u w:color="000000"/>
                <w:bdr w:val="nil"/>
                <w:lang w:val="es-ES_tradnl" w:eastAsia="es-MX"/>
              </w:rPr>
              <w:footnoteReference w:id="4"/>
            </w:r>
          </w:p>
        </w:tc>
        <w:tc>
          <w:tcPr>
            <w:tcW w:w="1270" w:type="dxa"/>
            <w:shd w:val="clear" w:color="auto" w:fill="70AD47" w:themeFill="accent6"/>
          </w:tcPr>
          <w:p w14:paraId="3B409791" w14:textId="168E0899" w:rsidR="000F4975" w:rsidRPr="000B3EEE" w:rsidRDefault="000F4975" w:rsidP="00B43814">
            <w:pPr>
              <w:contextualSpacing/>
              <w:jc w:val="center"/>
              <w:outlineLvl w:val="1"/>
              <w:rPr>
                <w:rFonts w:ascii="ITC Avant Garde" w:hAnsi="ITC Avant Garde" w:cs="Arial Unicode MS"/>
                <w:sz w:val="16"/>
                <w:szCs w:val="16"/>
                <w:u w:color="000000"/>
                <w:bdr w:val="nil"/>
                <w:lang w:val="es-ES_tradnl" w:eastAsia="es-MX"/>
              </w:rPr>
            </w:pPr>
            <w:r w:rsidRPr="000B3EEE">
              <w:rPr>
                <w:rFonts w:ascii="ITC Avant Garde" w:hAnsi="ITC Avant Garde" w:cs="Arial Unicode MS"/>
                <w:sz w:val="16"/>
                <w:szCs w:val="16"/>
                <w:lang w:val="es-ES_tradnl" w:eastAsia="es-MX"/>
              </w:rPr>
              <w:t>Nuevo Competidor</w:t>
            </w:r>
            <w:r w:rsidRPr="000B3EEE">
              <w:rPr>
                <w:rStyle w:val="Refdenotaalpie"/>
                <w:rFonts w:ascii="ITC Avant Garde" w:hAnsi="ITC Avant Garde" w:cs="Arial Unicode MS"/>
                <w:sz w:val="16"/>
                <w:szCs w:val="16"/>
                <w:lang w:val="es-ES_tradnl" w:eastAsia="es-MX"/>
              </w:rPr>
              <w:footnoteReference w:id="5"/>
            </w:r>
          </w:p>
        </w:tc>
        <w:tc>
          <w:tcPr>
            <w:tcW w:w="1035" w:type="dxa"/>
            <w:shd w:val="clear" w:color="auto" w:fill="70AD47" w:themeFill="accent6"/>
          </w:tcPr>
          <w:p w14:paraId="05EA205C" w14:textId="5ACC0331" w:rsidR="000F4975" w:rsidRPr="000B3EEE" w:rsidRDefault="000F4975" w:rsidP="00B43814">
            <w:pPr>
              <w:contextualSpacing/>
              <w:jc w:val="center"/>
              <w:outlineLvl w:val="1"/>
              <w:rPr>
                <w:rFonts w:ascii="ITC Avant Garde" w:hAnsi="ITC Avant Garde" w:cs="Arial Unicode MS"/>
                <w:sz w:val="16"/>
                <w:szCs w:val="16"/>
                <w:u w:color="000000"/>
                <w:bdr w:val="nil"/>
                <w:lang w:val="es-ES_tradnl" w:eastAsia="es-MX"/>
              </w:rPr>
            </w:pPr>
            <w:r w:rsidRPr="000B3EEE">
              <w:rPr>
                <w:rFonts w:ascii="ITC Avant Garde" w:hAnsi="ITC Avant Garde" w:cs="Arial Unicode MS"/>
                <w:sz w:val="16"/>
                <w:szCs w:val="16"/>
                <w:u w:color="000000"/>
                <w:bdr w:val="nil"/>
                <w:lang w:val="es-ES_tradnl" w:eastAsia="es-MX"/>
              </w:rPr>
              <w:t>IBOC</w:t>
            </w:r>
            <w:r w:rsidRPr="000B3EEE">
              <w:rPr>
                <w:rStyle w:val="Refdenotaalpie"/>
                <w:rFonts w:ascii="ITC Avant Garde" w:hAnsi="ITC Avant Garde" w:cs="Arial Unicode MS"/>
                <w:sz w:val="16"/>
                <w:szCs w:val="16"/>
                <w:u w:color="000000"/>
                <w:bdr w:val="nil"/>
                <w:lang w:val="es-ES_tradnl" w:eastAsia="es-MX"/>
              </w:rPr>
              <w:footnoteReference w:id="6"/>
            </w:r>
          </w:p>
        </w:tc>
      </w:tr>
      <w:tr w:rsidR="000B3EEE" w:rsidRPr="000B3EEE" w14:paraId="71E685F7" w14:textId="7142E88E" w:rsidTr="00C676DE">
        <w:trPr>
          <w:trHeight w:val="443"/>
        </w:trPr>
        <w:tc>
          <w:tcPr>
            <w:tcW w:w="704" w:type="dxa"/>
            <w:shd w:val="clear" w:color="auto" w:fill="E2EFD9" w:themeFill="accent6" w:themeFillTint="33"/>
          </w:tcPr>
          <w:p w14:paraId="1E3DD524" w14:textId="77777777" w:rsidR="00C122BC" w:rsidRPr="000B3EEE" w:rsidRDefault="00C122BC" w:rsidP="00B43814">
            <w:pPr>
              <w:contextualSpacing/>
              <w:jc w:val="center"/>
              <w:outlineLvl w:val="1"/>
              <w:rPr>
                <w:rFonts w:ascii="ITC Avant Garde" w:hAnsi="ITC Avant Garde" w:cs="Arial Unicode MS"/>
                <w:b/>
                <w:bCs/>
                <w:sz w:val="16"/>
                <w:szCs w:val="16"/>
                <w:u w:color="000000"/>
                <w:bdr w:val="nil"/>
                <w:lang w:val="es-ES_tradnl" w:eastAsia="es-MX"/>
              </w:rPr>
            </w:pPr>
            <w:r w:rsidRPr="000B3EEE">
              <w:rPr>
                <w:rFonts w:ascii="ITC Avant Garde" w:hAnsi="ITC Avant Garde" w:cs="Arial Unicode MS"/>
                <w:noProof/>
                <w:sz w:val="16"/>
                <w:szCs w:val="16"/>
                <w:u w:color="000000"/>
                <w:bdr w:val="nil"/>
                <w:lang w:val="es-ES_tradnl" w:eastAsia="es-MX"/>
              </w:rPr>
              <w:t>3</w:t>
            </w:r>
          </w:p>
        </w:tc>
        <w:tc>
          <w:tcPr>
            <w:tcW w:w="1276" w:type="dxa"/>
            <w:shd w:val="clear" w:color="auto" w:fill="E2EFD9" w:themeFill="accent6" w:themeFillTint="33"/>
          </w:tcPr>
          <w:p w14:paraId="45268C49" w14:textId="77777777" w:rsidR="00C122BC" w:rsidRPr="000B3EEE" w:rsidRDefault="00C122BC" w:rsidP="00B43814">
            <w:pPr>
              <w:contextualSpacing/>
              <w:jc w:val="center"/>
              <w:outlineLvl w:val="1"/>
              <w:rPr>
                <w:rFonts w:ascii="ITC Avant Garde" w:hAnsi="ITC Avant Garde" w:cs="Arial Unicode MS"/>
                <w:bCs/>
                <w:sz w:val="16"/>
                <w:szCs w:val="16"/>
                <w:u w:color="000000"/>
                <w:bdr w:val="nil"/>
                <w:lang w:val="es-ES_tradnl" w:eastAsia="es-MX"/>
              </w:rPr>
            </w:pPr>
            <w:r w:rsidRPr="000B3EEE">
              <w:rPr>
                <w:rFonts w:ascii="ITC Avant Garde" w:hAnsi="ITC Avant Garde" w:cs="Arial Unicode MS"/>
                <w:bCs/>
                <w:noProof/>
                <w:sz w:val="16"/>
                <w:szCs w:val="16"/>
                <w:u w:color="000000"/>
                <w:bdr w:val="nil"/>
                <w:lang w:val="es-ES_tradnl" w:eastAsia="es-MX"/>
              </w:rPr>
              <w:t>FM</w:t>
            </w:r>
          </w:p>
        </w:tc>
        <w:tc>
          <w:tcPr>
            <w:tcW w:w="1276" w:type="dxa"/>
            <w:shd w:val="clear" w:color="auto" w:fill="E2EFD9" w:themeFill="accent6" w:themeFillTint="33"/>
          </w:tcPr>
          <w:p w14:paraId="72E0ADEC" w14:textId="1A468C97" w:rsidR="00C122BC" w:rsidRPr="000B3EEE" w:rsidRDefault="00C122BC" w:rsidP="00B43814">
            <w:pPr>
              <w:contextualSpacing/>
              <w:jc w:val="center"/>
              <w:outlineLvl w:val="1"/>
              <w:rPr>
                <w:rFonts w:ascii="ITC Avant Garde" w:hAnsi="ITC Avant Garde" w:cs="Arial Unicode MS"/>
                <w:bCs/>
                <w:sz w:val="16"/>
                <w:szCs w:val="16"/>
                <w:u w:color="000000"/>
                <w:bdr w:val="nil"/>
                <w:lang w:val="es-ES_tradnl" w:eastAsia="es-MX"/>
              </w:rPr>
            </w:pPr>
            <w:r w:rsidRPr="000B3EEE">
              <w:rPr>
                <w:rFonts w:ascii="ITC Avant Garde" w:hAnsi="ITC Avant Garde" w:cs="Arial Unicode MS"/>
                <w:bCs/>
                <w:noProof/>
                <w:sz w:val="16"/>
                <w:szCs w:val="16"/>
                <w:u w:color="000000"/>
                <w:bdr w:val="nil"/>
                <w:lang w:val="es-ES_tradnl" w:eastAsia="es-MX"/>
              </w:rPr>
              <w:t>96.9 MHz</w:t>
            </w:r>
          </w:p>
        </w:tc>
        <w:tc>
          <w:tcPr>
            <w:tcW w:w="1529" w:type="dxa"/>
            <w:shd w:val="clear" w:color="auto" w:fill="E2EFD9" w:themeFill="accent6" w:themeFillTint="33"/>
          </w:tcPr>
          <w:p w14:paraId="307D3C08" w14:textId="77777777" w:rsidR="00C122BC" w:rsidRPr="000B3EEE" w:rsidRDefault="00C122BC" w:rsidP="00B43814">
            <w:pPr>
              <w:contextualSpacing/>
              <w:jc w:val="center"/>
              <w:outlineLvl w:val="1"/>
              <w:rPr>
                <w:rFonts w:ascii="ITC Avant Garde" w:hAnsi="ITC Avant Garde" w:cs="Arial Unicode MS"/>
                <w:bCs/>
                <w:sz w:val="16"/>
                <w:szCs w:val="16"/>
                <w:u w:color="000000"/>
                <w:bdr w:val="nil"/>
                <w:lang w:val="es-ES_tradnl" w:eastAsia="es-MX"/>
              </w:rPr>
            </w:pPr>
            <w:r w:rsidRPr="000B3EEE">
              <w:rPr>
                <w:rFonts w:ascii="ITC Avant Garde" w:hAnsi="ITC Avant Garde" w:cs="Arial Unicode MS"/>
                <w:bCs/>
                <w:noProof/>
                <w:sz w:val="16"/>
                <w:szCs w:val="16"/>
                <w:u w:color="000000"/>
                <w:bdr w:val="nil"/>
                <w:lang w:val="es-ES_tradnl" w:eastAsia="es-MX"/>
              </w:rPr>
              <w:t>Ensenada</w:t>
            </w:r>
          </w:p>
        </w:tc>
        <w:tc>
          <w:tcPr>
            <w:tcW w:w="1164" w:type="dxa"/>
            <w:shd w:val="clear" w:color="auto" w:fill="E2EFD9" w:themeFill="accent6" w:themeFillTint="33"/>
          </w:tcPr>
          <w:p w14:paraId="4F74DE24" w14:textId="77777777" w:rsidR="00C122BC" w:rsidRPr="000B3EEE" w:rsidRDefault="00C122BC" w:rsidP="00B43814">
            <w:pPr>
              <w:contextualSpacing/>
              <w:jc w:val="center"/>
              <w:outlineLvl w:val="1"/>
              <w:rPr>
                <w:rFonts w:ascii="ITC Avant Garde" w:hAnsi="ITC Avant Garde" w:cs="Arial Unicode MS"/>
                <w:bCs/>
                <w:sz w:val="16"/>
                <w:szCs w:val="16"/>
                <w:u w:color="000000"/>
                <w:bdr w:val="nil"/>
                <w:lang w:val="es-ES_tradnl" w:eastAsia="es-MX"/>
              </w:rPr>
            </w:pPr>
            <w:r w:rsidRPr="000B3EEE">
              <w:rPr>
                <w:rFonts w:ascii="ITC Avant Garde" w:hAnsi="ITC Avant Garde" w:cs="Arial Unicode MS"/>
                <w:noProof/>
                <w:sz w:val="16"/>
                <w:szCs w:val="16"/>
                <w:u w:color="000000"/>
                <w:bdr w:val="nil"/>
                <w:lang w:val="es-ES_tradnl" w:eastAsia="es-MX"/>
              </w:rPr>
              <w:t>Baja California</w:t>
            </w:r>
          </w:p>
        </w:tc>
        <w:tc>
          <w:tcPr>
            <w:tcW w:w="1140" w:type="dxa"/>
            <w:shd w:val="clear" w:color="auto" w:fill="E2EFD9" w:themeFill="accent6" w:themeFillTint="33"/>
          </w:tcPr>
          <w:p w14:paraId="517ADFBF" w14:textId="77777777" w:rsidR="00C122BC" w:rsidRPr="000B3EEE" w:rsidRDefault="00C122BC" w:rsidP="00B43814">
            <w:pPr>
              <w:contextualSpacing/>
              <w:jc w:val="center"/>
              <w:outlineLvl w:val="1"/>
              <w:rPr>
                <w:rFonts w:ascii="ITC Avant Garde" w:hAnsi="ITC Avant Garde" w:cs="Arial Unicode MS"/>
                <w:bCs/>
                <w:sz w:val="16"/>
                <w:szCs w:val="16"/>
                <w:u w:color="000000"/>
                <w:bdr w:val="nil"/>
                <w:lang w:val="es-ES_tradnl" w:eastAsia="es-MX"/>
              </w:rPr>
            </w:pPr>
            <w:r w:rsidRPr="000B3EEE">
              <w:rPr>
                <w:rFonts w:ascii="ITC Avant Garde" w:hAnsi="ITC Avant Garde" w:cs="Arial Unicode MS"/>
                <w:bCs/>
                <w:noProof/>
                <w:sz w:val="16"/>
                <w:szCs w:val="16"/>
                <w:u w:color="000000"/>
                <w:bdr w:val="nil"/>
                <w:lang w:val="es-ES_tradnl" w:eastAsia="es-MX"/>
              </w:rPr>
              <w:t>32,990</w:t>
            </w:r>
          </w:p>
        </w:tc>
        <w:tc>
          <w:tcPr>
            <w:tcW w:w="1270" w:type="dxa"/>
            <w:shd w:val="clear" w:color="auto" w:fill="E2EFD9" w:themeFill="accent6" w:themeFillTint="33"/>
          </w:tcPr>
          <w:p w14:paraId="04452DD0" w14:textId="49ED8083" w:rsidR="00C122BC" w:rsidRPr="000B3EEE" w:rsidRDefault="00C122BC" w:rsidP="00B43814">
            <w:pPr>
              <w:contextualSpacing/>
              <w:jc w:val="center"/>
              <w:outlineLvl w:val="1"/>
              <w:rPr>
                <w:rFonts w:ascii="ITC Avant Garde" w:hAnsi="ITC Avant Garde" w:cs="Arial Unicode MS"/>
                <w:bCs/>
                <w:noProof/>
                <w:sz w:val="16"/>
                <w:szCs w:val="16"/>
                <w:u w:color="000000"/>
                <w:bdr w:val="nil"/>
                <w:lang w:val="es-ES_tradnl" w:eastAsia="es-MX"/>
              </w:rPr>
            </w:pPr>
            <w:r w:rsidRPr="000B3EEE">
              <w:rPr>
                <w:rFonts w:ascii="ITC Avant Garde" w:hAnsi="ITC Avant Garde" w:cs="Arial Unicode MS"/>
                <w:bCs/>
                <w:noProof/>
                <w:sz w:val="16"/>
                <w:szCs w:val="16"/>
                <w:u w:color="000000"/>
                <w:bdr w:val="nil"/>
                <w:lang w:val="es-ES_tradnl" w:eastAsia="es-MX"/>
              </w:rPr>
              <w:t>No</w:t>
            </w:r>
          </w:p>
        </w:tc>
        <w:tc>
          <w:tcPr>
            <w:tcW w:w="1035" w:type="dxa"/>
            <w:shd w:val="clear" w:color="auto" w:fill="E2EFD9" w:themeFill="accent6" w:themeFillTint="33"/>
          </w:tcPr>
          <w:p w14:paraId="2EE07112" w14:textId="42488611" w:rsidR="00C122BC" w:rsidRPr="000B3EEE" w:rsidRDefault="00C122BC" w:rsidP="00B43814">
            <w:pPr>
              <w:contextualSpacing/>
              <w:jc w:val="center"/>
              <w:outlineLvl w:val="1"/>
              <w:rPr>
                <w:rFonts w:ascii="ITC Avant Garde" w:hAnsi="ITC Avant Garde" w:cs="Arial Unicode MS"/>
                <w:bCs/>
                <w:noProof/>
                <w:sz w:val="16"/>
                <w:szCs w:val="16"/>
                <w:u w:color="000000"/>
                <w:bdr w:val="nil"/>
                <w:lang w:val="es-ES_tradnl" w:eastAsia="es-MX"/>
              </w:rPr>
            </w:pPr>
            <w:r w:rsidRPr="000B3EEE">
              <w:rPr>
                <w:rFonts w:ascii="ITC Avant Garde" w:hAnsi="ITC Avant Garde" w:cs="Arial Unicode MS"/>
                <w:bCs/>
                <w:noProof/>
                <w:sz w:val="16"/>
                <w:szCs w:val="16"/>
                <w:u w:color="000000"/>
                <w:bdr w:val="nil"/>
                <w:lang w:val="es-ES_tradnl" w:eastAsia="es-MX"/>
              </w:rPr>
              <w:t>Si</w:t>
            </w:r>
          </w:p>
        </w:tc>
      </w:tr>
    </w:tbl>
    <w:p w14:paraId="101EBC3F" w14:textId="77777777" w:rsidR="007A41FF" w:rsidRDefault="007A41FF" w:rsidP="00C676DE">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2F6CB9F4" w14:textId="4FC59F8F" w:rsidR="000B3EEE" w:rsidRPr="000B3EEE" w:rsidRDefault="00D97A46" w:rsidP="00C676DE">
      <w:pPr>
        <w:pBdr>
          <w:top w:val="nil"/>
          <w:left w:val="nil"/>
          <w:bottom w:val="nil"/>
          <w:right w:val="nil"/>
          <w:between w:val="nil"/>
          <w:bar w:val="nil"/>
        </w:pBdr>
        <w:spacing w:line="240" w:lineRule="auto"/>
        <w:contextualSpacing/>
        <w:jc w:val="both"/>
        <w:rPr>
          <w:rFonts w:ascii="ITC Avant Garde" w:eastAsiaTheme="minorHAnsi" w:hAnsi="ITC Avant Garde" w:cs="Arial"/>
        </w:rPr>
      </w:pPr>
      <w:r w:rsidRPr="000B3EEE">
        <w:rPr>
          <w:rFonts w:ascii="ITC Avant Garde" w:hAnsi="ITC Avant Garde" w:cs="Arial Unicode MS"/>
          <w:bCs/>
          <w:u w:color="000000"/>
          <w:bdr w:val="nil"/>
          <w:lang w:val="es-ES_tradnl" w:eastAsia="es-MX"/>
        </w:rPr>
        <w:t>En términos del numeral 5.4.1 de las Bases, el Instituto</w:t>
      </w:r>
      <w:r w:rsidRPr="000B3EEE">
        <w:rPr>
          <w:rFonts w:ascii="ITC Avant Garde" w:eastAsiaTheme="minorHAnsi" w:hAnsi="ITC Avant Garde" w:cs="Arial"/>
        </w:rPr>
        <w:t xml:space="preserve"> notificará electrónicamente al Participante Ganador, a través del SERPO, la presente Acta de Fallo, de acuerdo con el plazo previsto en el Calendario de Activida</w:t>
      </w:r>
      <w:r w:rsidR="00C676DE">
        <w:rPr>
          <w:rFonts w:ascii="ITC Avant Garde" w:eastAsiaTheme="minorHAnsi" w:hAnsi="ITC Avant Garde" w:cs="Arial"/>
        </w:rPr>
        <w:t>des de las Bases de Licitación.</w:t>
      </w:r>
    </w:p>
    <w:p w14:paraId="560C6E08" w14:textId="3F1AE86E" w:rsidR="000B3EEE" w:rsidRDefault="00D97A46" w:rsidP="00C676DE">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B3EEE">
        <w:rPr>
          <w:rFonts w:ascii="ITC Avant Garde" w:eastAsiaTheme="minorHAnsi" w:hAnsi="ITC Avant Garde" w:cs="Arial"/>
        </w:rPr>
        <w:lastRenderedPageBreak/>
        <w:t>Ahora bien, para la entrega d</w:t>
      </w:r>
      <w:r w:rsidRPr="000B3EEE">
        <w:rPr>
          <w:rFonts w:ascii="ITC Avant Garde" w:eastAsia="Arial Unicode MS" w:hAnsi="ITC Avant Garde" w:cs="Arial"/>
          <w:bCs/>
          <w:u w:color="000000"/>
          <w:bdr w:val="nil"/>
          <w:lang w:val="es-ES_tradnl"/>
        </w:rPr>
        <w:t xml:space="preserve">el(os) título(s) de concesión, en términos de lo previsto en el numeral 5.4.4, en relación con el numeral 5.4.1 de las Bases, </w:t>
      </w:r>
      <w:r w:rsidRPr="000B3EEE">
        <w:rPr>
          <w:rFonts w:ascii="ITC Avant Garde" w:eastAsiaTheme="minorHAnsi" w:hAnsi="ITC Avant Garde" w:cs="Arial"/>
        </w:rPr>
        <w:t>el Participante Ganador</w:t>
      </w:r>
      <w:r w:rsidRPr="000B3EEE">
        <w:rPr>
          <w:rFonts w:ascii="ITC Avant Garde" w:eastAsia="Arial Unicode MS" w:hAnsi="ITC Avant Garde"/>
          <w:u w:color="000000"/>
          <w:bdr w:val="nil"/>
          <w:lang w:val="es-ES_tradnl"/>
        </w:rPr>
        <w:t xml:space="preserve"> </w:t>
      </w:r>
      <w:r w:rsidRPr="000B3EEE">
        <w:rPr>
          <w:rFonts w:ascii="ITC Avant Garde" w:eastAsia="Arial Unicode MS" w:hAnsi="ITC Avant Garde" w:cs="Arial"/>
          <w:bCs/>
          <w:u w:color="000000"/>
          <w:bdr w:val="nil"/>
          <w:lang w:val="es-ES_tradnl"/>
        </w:rPr>
        <w:t>deberá satisfa</w:t>
      </w:r>
      <w:r w:rsidR="00C676DE">
        <w:rPr>
          <w:rFonts w:ascii="ITC Avant Garde" w:eastAsia="Arial Unicode MS" w:hAnsi="ITC Avant Garde" w:cs="Arial"/>
          <w:bCs/>
          <w:u w:color="000000"/>
          <w:bdr w:val="nil"/>
          <w:lang w:val="es-ES_tradnl"/>
        </w:rPr>
        <w:t>cer las condiciones siguientes:</w:t>
      </w:r>
    </w:p>
    <w:p w14:paraId="062882E0" w14:textId="77777777" w:rsidR="007A41FF" w:rsidRPr="000B3EEE" w:rsidRDefault="007A41FF" w:rsidP="00C676DE">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56880E17" w14:textId="77777777" w:rsidR="000B3EEE" w:rsidRPr="000B3EEE" w:rsidRDefault="00D97A46" w:rsidP="00B43814">
      <w:pPr>
        <w:tabs>
          <w:tab w:val="left" w:pos="142"/>
        </w:tabs>
        <w:spacing w:line="240" w:lineRule="auto"/>
        <w:ind w:left="1134"/>
        <w:jc w:val="both"/>
        <w:rPr>
          <w:rFonts w:ascii="ITC Avant Garde" w:hAnsi="ITC Avant Garde" w:cs="Arial Unicode MS"/>
          <w:bCs/>
          <w:u w:color="000000"/>
          <w:bdr w:val="nil"/>
          <w:lang w:val="es-ES_tradnl" w:eastAsia="es-MX"/>
        </w:rPr>
      </w:pPr>
      <w:r w:rsidRPr="000B3EEE">
        <w:rPr>
          <w:rFonts w:ascii="ITC Avant Garde" w:eastAsia="Arial Unicode MS" w:hAnsi="ITC Avant Garde" w:cs="Arial"/>
          <w:b/>
          <w:bCs/>
          <w:u w:color="000000"/>
          <w:bdr w:val="nil"/>
          <w:lang w:val="es-ES_tradnl"/>
        </w:rPr>
        <w:t>1.-</w:t>
      </w:r>
      <w:r w:rsidRPr="000B3EEE">
        <w:rPr>
          <w:rFonts w:ascii="ITC Avant Garde" w:eastAsia="Arial Unicode MS" w:hAnsi="ITC Avant Garde" w:cs="Arial"/>
          <w:bCs/>
          <w:u w:color="000000"/>
          <w:bdr w:val="nil"/>
          <w:lang w:val="es-ES_tradnl"/>
        </w:rPr>
        <w:t xml:space="preserve"> Pagar la Contraprestación </w:t>
      </w:r>
      <w:r w:rsidRPr="000B3EEE">
        <w:rPr>
          <w:rFonts w:ascii="ITC Avant Garde" w:hAnsi="ITC Avant Garde" w:cs="Arial Unicode MS"/>
          <w:bCs/>
          <w:u w:color="000000"/>
          <w:bdr w:val="nil"/>
          <w:lang w:val="es-ES_tradnl" w:eastAsia="es-MX"/>
        </w:rPr>
        <w:t xml:space="preserve">de acuerdo con lo establecido en los artículos 78, párrafo primero y 101 de la Ley, </w:t>
      </w:r>
      <w:r w:rsidRPr="000B3EEE">
        <w:rPr>
          <w:rFonts w:ascii="ITC Avant Garde" w:hAnsi="ITC Avant Garde"/>
        </w:rPr>
        <w:t xml:space="preserve">como límite máximo dentro de los 30 (treinta) días hábiles siguientes a la notificación de la presente Acta de Fallo, </w:t>
      </w:r>
      <w:r w:rsidRPr="000B3EEE">
        <w:rPr>
          <w:rFonts w:ascii="ITC Avant Garde" w:hAnsi="ITC Avant Garde" w:cs="Arial Unicode MS"/>
          <w:bCs/>
          <w:u w:color="000000"/>
          <w:bdr w:val="nil"/>
          <w:lang w:val="es-ES_tradnl" w:eastAsia="es-MX"/>
        </w:rPr>
        <w:t xml:space="preserve">por un monto de </w:t>
      </w:r>
      <w:r w:rsidRPr="000B3EEE">
        <w:rPr>
          <w:rFonts w:ascii="ITC Avant Garde" w:hAnsi="ITC Avant Garde" w:cs="Arial Unicode MS"/>
          <w:bCs/>
          <w:noProof/>
          <w:u w:color="000000"/>
          <w:bdr w:val="nil"/>
          <w:lang w:val="es-ES_tradnl" w:eastAsia="es-MX"/>
        </w:rPr>
        <w:t>$32,029,000.00</w:t>
      </w:r>
      <w:r w:rsidRPr="000B3EEE">
        <w:rPr>
          <w:rFonts w:ascii="ITC Avant Garde" w:hAnsi="ITC Avant Garde" w:cs="Arial Unicode MS"/>
          <w:bCs/>
          <w:u w:color="000000"/>
          <w:bdr w:val="nil"/>
          <w:lang w:val="es-ES_tradnl" w:eastAsia="es-MX"/>
        </w:rPr>
        <w:t xml:space="preserve"> (</w:t>
      </w:r>
      <w:r w:rsidRPr="000B3EEE">
        <w:rPr>
          <w:rFonts w:ascii="ITC Avant Garde" w:hAnsi="ITC Avant Garde" w:cs="Arial Unicode MS"/>
          <w:bCs/>
          <w:noProof/>
          <w:u w:color="000000"/>
          <w:bdr w:val="nil"/>
          <w:lang w:val="es-ES_tradnl" w:eastAsia="es-MX"/>
        </w:rPr>
        <w:t>TREINTA Y DOS MILLONES VEINTINUEVE MIL PESOS 00/100 M.N.</w:t>
      </w:r>
      <w:r w:rsidRPr="000B3EEE">
        <w:rPr>
          <w:rFonts w:ascii="ITC Avant Garde" w:hAnsi="ITC Avant Garde" w:cs="Arial Unicode MS"/>
          <w:bCs/>
          <w:u w:color="000000"/>
          <w:bdr w:val="nil"/>
          <w:lang w:val="es-ES_tradnl" w:eastAsia="es-MX"/>
        </w:rPr>
        <w:t>), que corresponde al Componente Económico de su Oferta, en términos del numeral 5.4.3 de las Bases.</w:t>
      </w:r>
    </w:p>
    <w:p w14:paraId="3003AEC0" w14:textId="77777777" w:rsidR="000B3EEE" w:rsidRPr="000B3EEE" w:rsidRDefault="00D97A46" w:rsidP="00B43814">
      <w:pPr>
        <w:tabs>
          <w:tab w:val="left" w:pos="142"/>
        </w:tabs>
        <w:spacing w:line="240" w:lineRule="auto"/>
        <w:ind w:left="1134"/>
        <w:jc w:val="both"/>
        <w:rPr>
          <w:rFonts w:ascii="ITC Avant Garde" w:hAnsi="ITC Avant Garde"/>
        </w:rPr>
      </w:pPr>
      <w:r w:rsidRPr="000B3EEE">
        <w:rPr>
          <w:rFonts w:ascii="ITC Avant Garde" w:eastAsia="Arial Unicode MS" w:hAnsi="ITC Avant Garde" w:cs="Arial"/>
          <w:bCs/>
          <w:u w:color="000000"/>
          <w:bdr w:val="nil"/>
          <w:lang w:val="es-ES_tradnl"/>
        </w:rPr>
        <w:t xml:space="preserve">El pago de mérito se realizará a favor de la Tesorería de la Federación y </w:t>
      </w:r>
      <w:r w:rsidRPr="000B3EEE">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639D4EDF" w14:textId="49C3E692" w:rsidR="000B3EEE" w:rsidRPr="000B3EEE" w:rsidRDefault="00D97A46" w:rsidP="007A41FF">
      <w:pPr>
        <w:tabs>
          <w:tab w:val="left" w:pos="142"/>
        </w:tabs>
        <w:spacing w:line="240" w:lineRule="auto"/>
        <w:ind w:left="1134"/>
        <w:jc w:val="both"/>
        <w:rPr>
          <w:rFonts w:ascii="ITC Avant Garde" w:eastAsia="Arial Unicode MS" w:hAnsi="ITC Avant Garde" w:cs="Arial"/>
          <w:bCs/>
          <w:u w:color="000000"/>
          <w:bdr w:val="nil"/>
          <w:lang w:val="es-ES_tradnl"/>
        </w:rPr>
      </w:pPr>
      <w:r w:rsidRPr="000B3EEE">
        <w:rPr>
          <w:rFonts w:ascii="ITC Avant Garde" w:eastAsia="Arial Unicode MS" w:hAnsi="ITC Avant Garde" w:cs="Arial"/>
          <w:b/>
          <w:bCs/>
          <w:u w:color="000000"/>
          <w:bdr w:val="nil"/>
          <w:lang w:val="es-ES_tradnl"/>
        </w:rPr>
        <w:t>2.-</w:t>
      </w:r>
      <w:r w:rsidRPr="000B3EEE">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w:t>
      </w:r>
      <w:r w:rsidR="00D549DB" w:rsidRPr="000B3EEE">
        <w:rPr>
          <w:rFonts w:ascii="ITC Avant Garde" w:eastAsia="Arial Unicode MS" w:hAnsi="ITC Avant Garde" w:cs="Arial"/>
          <w:bCs/>
          <w:u w:color="000000"/>
          <w:bdr w:val="nil"/>
          <w:lang w:val="es-ES_tradnl"/>
        </w:rPr>
        <w:t>, con excepción de la información y los documentos presentados conforme al numeral 5.2.1 de las Bases</w:t>
      </w:r>
      <w:r w:rsidR="007A41FF">
        <w:rPr>
          <w:rFonts w:ascii="ITC Avant Garde" w:eastAsia="Arial Unicode MS" w:hAnsi="ITC Avant Garde" w:cs="Arial"/>
          <w:bCs/>
          <w:u w:color="000000"/>
          <w:bdr w:val="nil"/>
          <w:lang w:val="es-ES_tradnl"/>
        </w:rPr>
        <w:t>.</w:t>
      </w:r>
    </w:p>
    <w:p w14:paraId="64DEA6D9" w14:textId="77777777" w:rsidR="000B3EEE" w:rsidRPr="00C676DE" w:rsidRDefault="00D97A46" w:rsidP="00C676DE">
      <w:pPr>
        <w:pBdr>
          <w:top w:val="nil"/>
          <w:left w:val="nil"/>
          <w:bottom w:val="nil"/>
          <w:right w:val="nil"/>
          <w:between w:val="nil"/>
          <w:bar w:val="nil"/>
        </w:pBdr>
        <w:spacing w:line="240" w:lineRule="auto"/>
        <w:contextualSpacing/>
        <w:jc w:val="both"/>
        <w:rPr>
          <w:rFonts w:ascii="ITC Avant Garde" w:hAnsi="ITC Avant Garde" w:cs="Arial"/>
        </w:rPr>
      </w:pPr>
      <w:r w:rsidRPr="00C676DE">
        <w:rPr>
          <w:rFonts w:ascii="ITC Avant Garde" w:hAnsi="ITC Avant Garde" w:cs="Arial"/>
        </w:rPr>
        <w:t>Cabe señalar que, para dar cumplimiento a lo dispuesto en los numerales 1 y 2 del presente considerando, los días 30 y 31 de marzo de 2017 se publicará en el Portal de Internet del Instituto, el calendario de fechas para la entrega de documentación física, así como los números de referencia para el pago de la Contraprestación</w:t>
      </w:r>
      <w:r w:rsidR="00D549DB" w:rsidRPr="00C676DE">
        <w:rPr>
          <w:rFonts w:ascii="ITC Avant Garde" w:hAnsi="ITC Avant Garde" w:cs="Arial"/>
        </w:rPr>
        <w:t xml:space="preserve"> en términos del numeral 5.4.1 de las Bases</w:t>
      </w:r>
      <w:r w:rsidRPr="00C676DE">
        <w:rPr>
          <w:rFonts w:ascii="ITC Avant Garde" w:hAnsi="ITC Avant Garde" w:cs="Arial"/>
        </w:rPr>
        <w:t>.</w:t>
      </w:r>
    </w:p>
    <w:p w14:paraId="11901EAD" w14:textId="77777777" w:rsidR="007A41FF" w:rsidRDefault="007A41FF" w:rsidP="00C676DE">
      <w:pPr>
        <w:pBdr>
          <w:top w:val="nil"/>
          <w:left w:val="nil"/>
          <w:bottom w:val="nil"/>
          <w:right w:val="nil"/>
          <w:between w:val="nil"/>
          <w:bar w:val="nil"/>
        </w:pBdr>
        <w:spacing w:line="240" w:lineRule="auto"/>
        <w:contextualSpacing/>
        <w:jc w:val="both"/>
        <w:rPr>
          <w:rFonts w:ascii="ITC Avant Garde" w:hAnsi="ITC Avant Garde" w:cs="Arial"/>
        </w:rPr>
      </w:pPr>
    </w:p>
    <w:p w14:paraId="25D6FE6E" w14:textId="77777777" w:rsidR="000B3EEE" w:rsidRPr="00C676DE" w:rsidRDefault="00D97A46" w:rsidP="00C676DE">
      <w:pPr>
        <w:pBdr>
          <w:top w:val="nil"/>
          <w:left w:val="nil"/>
          <w:bottom w:val="nil"/>
          <w:right w:val="nil"/>
          <w:between w:val="nil"/>
          <w:bar w:val="nil"/>
        </w:pBdr>
        <w:spacing w:line="240" w:lineRule="auto"/>
        <w:contextualSpacing/>
        <w:jc w:val="both"/>
        <w:rPr>
          <w:rFonts w:ascii="ITC Avant Garde" w:hAnsi="ITC Avant Garde" w:cs="Arial"/>
        </w:rPr>
      </w:pPr>
      <w:r w:rsidRPr="00C676DE">
        <w:rPr>
          <w:rFonts w:ascii="ITC Avant Garde" w:hAnsi="ITC Avant Garde" w:cs="Arial"/>
        </w:rPr>
        <w:t xml:space="preserve">Una vez acreditadas las condiciones señaladas con anterioridad, y cumpliendo con lo dispuesto en la presente Acta de Fallo por parte del Participante Ganador, se llevará a cabo el otorgamiento del título de Concesión de Espectro Radioeléctrico para Uso Comercial a su favor, de conformidad con los Apéndices C1 o C2 de las Bases, según corresponda, y dentro del plazo establecido en el Calendario de Actividades de las mismas. </w:t>
      </w:r>
      <w:r w:rsidR="0008759E" w:rsidRPr="00C676DE">
        <w:rPr>
          <w:rFonts w:ascii="ITC Avant Garde" w:hAnsi="ITC Avant Garde" w:cs="Arial"/>
        </w:rPr>
        <w:t>En el mismo acto el Instituto le otorgará un título de Concesión Única para Uso Comercial, considerando el modelo de título del Apéndice D de las Bases, a menos que ya cuente con éste.</w:t>
      </w:r>
    </w:p>
    <w:p w14:paraId="5B317183" w14:textId="77777777" w:rsidR="007A41FF" w:rsidRDefault="007A41FF" w:rsidP="00C676DE">
      <w:pPr>
        <w:pBdr>
          <w:top w:val="nil"/>
          <w:left w:val="nil"/>
          <w:bottom w:val="nil"/>
          <w:right w:val="nil"/>
          <w:between w:val="nil"/>
          <w:bar w:val="nil"/>
        </w:pBdr>
        <w:spacing w:line="240" w:lineRule="auto"/>
        <w:contextualSpacing/>
        <w:jc w:val="both"/>
        <w:rPr>
          <w:rFonts w:ascii="ITC Avant Garde" w:hAnsi="ITC Avant Garde" w:cs="Arial"/>
        </w:rPr>
      </w:pPr>
    </w:p>
    <w:p w14:paraId="406E9D06" w14:textId="77777777" w:rsidR="000B3EEE" w:rsidRPr="00C676DE" w:rsidRDefault="00D97A46" w:rsidP="00C676DE">
      <w:pPr>
        <w:pBdr>
          <w:top w:val="nil"/>
          <w:left w:val="nil"/>
          <w:bottom w:val="nil"/>
          <w:right w:val="nil"/>
          <w:between w:val="nil"/>
          <w:bar w:val="nil"/>
        </w:pBdr>
        <w:spacing w:line="240" w:lineRule="auto"/>
        <w:contextualSpacing/>
        <w:jc w:val="both"/>
        <w:rPr>
          <w:rFonts w:ascii="ITC Avant Garde" w:hAnsi="ITC Avant Garde" w:cs="Arial"/>
        </w:rPr>
      </w:pPr>
      <w:r w:rsidRPr="00C676DE">
        <w:rPr>
          <w:rFonts w:ascii="ITC Avant Garde" w:hAnsi="ITC Avant Garde" w:cs="Arial"/>
        </w:rPr>
        <w:t>En términos de lo previsto en el numeral 5.4.1, séptimo párrafo de las Bases, en caso de incumplimiento de las condiciones anteriormente indicadas, dentro de los plazos previstos en el Calendario de Actividades de las Bases, quedará sin efectos el Acta de Fallo para el Participante Ganador, respecto del Lote señalado, por lo que el Instituto procederá a declarar su descalificación, de acuerdo con el numeral 10.3 de las Bases y realizará las gestiones necesarias para la ejecución de la(s) Garantía(s) de Seriedad respectiva(s).</w:t>
      </w:r>
    </w:p>
    <w:p w14:paraId="1CDE9D8B" w14:textId="77777777" w:rsidR="007A41FF" w:rsidRDefault="007A41FF" w:rsidP="00B43814">
      <w:pPr>
        <w:pBdr>
          <w:top w:val="nil"/>
          <w:left w:val="nil"/>
          <w:bottom w:val="nil"/>
          <w:right w:val="nil"/>
          <w:between w:val="nil"/>
          <w:bar w:val="nil"/>
        </w:pBdr>
        <w:spacing w:line="240" w:lineRule="auto"/>
        <w:contextualSpacing/>
        <w:jc w:val="both"/>
        <w:rPr>
          <w:rFonts w:ascii="ITC Avant Garde" w:hAnsi="ITC Avant Garde" w:cs="Arial"/>
        </w:rPr>
      </w:pPr>
    </w:p>
    <w:p w14:paraId="5E850885" w14:textId="196FA2DF" w:rsidR="000B3EEE" w:rsidRPr="000B3EEE" w:rsidRDefault="00D97A46" w:rsidP="00B43814">
      <w:pPr>
        <w:pBdr>
          <w:top w:val="nil"/>
          <w:left w:val="nil"/>
          <w:bottom w:val="nil"/>
          <w:right w:val="nil"/>
          <w:between w:val="nil"/>
          <w:bar w:val="nil"/>
        </w:pBdr>
        <w:spacing w:line="240" w:lineRule="auto"/>
        <w:contextualSpacing/>
        <w:jc w:val="both"/>
        <w:rPr>
          <w:rFonts w:ascii="ITC Avant Garde" w:hAnsi="ITC Avant Garde" w:cs="Arial"/>
        </w:rPr>
      </w:pPr>
      <w:r w:rsidRPr="000B3EEE">
        <w:rPr>
          <w:rFonts w:ascii="ITC Avant Garde" w:hAnsi="ITC Avant Garde" w:cs="Arial"/>
        </w:rPr>
        <w:lastRenderedPageBreak/>
        <w:t>Por consiguiente, en caso de que el 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 Apéndice G de las Bases, previa descalificación del anterior Participante Ganador; y así sucesivamente, hasta que el nuevo Participante Ganador cumpla con los requisitos para entregarle su título de concesión o, ya no existan Participantes con la Oferta Subsecuente más Alta en un determinado Lote, en cuyo caso, s</w:t>
      </w:r>
      <w:r w:rsidR="007A41FF">
        <w:rPr>
          <w:rFonts w:ascii="ITC Avant Garde" w:hAnsi="ITC Avant Garde" w:cs="Arial"/>
        </w:rPr>
        <w:t>erá declarado desierto el Lote.</w:t>
      </w:r>
    </w:p>
    <w:p w14:paraId="6AC80479" w14:textId="77777777" w:rsidR="007A41FF" w:rsidRDefault="007A41FF" w:rsidP="00B43814">
      <w:pPr>
        <w:pBdr>
          <w:top w:val="nil"/>
          <w:left w:val="nil"/>
          <w:bottom w:val="nil"/>
          <w:right w:val="nil"/>
          <w:between w:val="nil"/>
          <w:bar w:val="nil"/>
        </w:pBdr>
        <w:spacing w:line="240" w:lineRule="auto"/>
        <w:contextualSpacing/>
        <w:jc w:val="both"/>
        <w:rPr>
          <w:rFonts w:ascii="ITC Avant Garde" w:hAnsi="ITC Avant Garde" w:cs="Arial"/>
        </w:rPr>
      </w:pPr>
    </w:p>
    <w:p w14:paraId="3B45A657" w14:textId="0B357538" w:rsidR="000B3EEE" w:rsidRPr="000B3EEE" w:rsidRDefault="000018A7" w:rsidP="00B43814">
      <w:pPr>
        <w:pBdr>
          <w:top w:val="nil"/>
          <w:left w:val="nil"/>
          <w:bottom w:val="nil"/>
          <w:right w:val="nil"/>
          <w:between w:val="nil"/>
          <w:bar w:val="nil"/>
        </w:pBdr>
        <w:spacing w:line="240" w:lineRule="auto"/>
        <w:contextualSpacing/>
        <w:jc w:val="both"/>
        <w:rPr>
          <w:rFonts w:ascii="ITC Avant Garde" w:hAnsi="ITC Avant Garde" w:cs="Arial"/>
        </w:rPr>
      </w:pPr>
      <w:r w:rsidRPr="000B3EEE">
        <w:rPr>
          <w:rFonts w:ascii="ITC Avant Garde" w:hAnsi="ITC Avant Garde" w:cs="Arial"/>
        </w:rPr>
        <w:t>Tratándose del supuesto en que ningún Participante manifieste interés en ese Lote o no cumpla con las condiciones anteriormente indicadas, se declarará desierto el proce</w:t>
      </w:r>
      <w:r w:rsidR="007A41FF">
        <w:rPr>
          <w:rFonts w:ascii="ITC Avant Garde" w:hAnsi="ITC Avant Garde" w:cs="Arial"/>
        </w:rPr>
        <w:t>so licitatorio para dicho Lote.</w:t>
      </w:r>
    </w:p>
    <w:p w14:paraId="16609065" w14:textId="77777777" w:rsidR="007A41FF" w:rsidRPr="007A41FF" w:rsidRDefault="007A41FF" w:rsidP="007A41FF">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179A94F0" w14:textId="0F9A7BCF" w:rsidR="000B3EEE" w:rsidRPr="000B3EEE" w:rsidRDefault="007A41FF" w:rsidP="007A41FF">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Pr>
          <w:rFonts w:ascii="ITC Avant Garde" w:eastAsia="Arial Unicode MS" w:hAnsi="ITC Avant Garde" w:cs="Arial"/>
          <w:b/>
          <w:bCs/>
          <w:u w:color="000000"/>
          <w:bdr w:val="nil"/>
          <w:lang w:val="es-ES_tradnl"/>
        </w:rPr>
        <w:t>QUINTO.</w:t>
      </w:r>
      <w:r>
        <w:rPr>
          <w:rFonts w:ascii="ITC Avant Garde" w:eastAsia="Arial Unicode MS" w:hAnsi="ITC Avant Garde" w:cs="Arial"/>
          <w:b/>
          <w:bCs/>
          <w:u w:color="000000"/>
          <w:bdr w:val="nil"/>
          <w:lang w:val="es-ES_tradnl"/>
        </w:rPr>
        <w:tab/>
      </w:r>
      <w:r w:rsidR="00D97A46" w:rsidRPr="000B3EEE">
        <w:rPr>
          <w:rFonts w:ascii="ITC Avant Garde" w:eastAsia="Arial Unicode MS" w:hAnsi="ITC Avant Garde" w:cs="Arial"/>
          <w:b/>
          <w:bCs/>
          <w:u w:color="000000"/>
          <w:bdr w:val="nil"/>
          <w:lang w:val="es-ES_tradnl"/>
        </w:rPr>
        <w:t xml:space="preserve">Liberación de las Garantías de Seriedad. </w:t>
      </w:r>
      <w:r w:rsidR="00D97A46" w:rsidRPr="000B3EEE">
        <w:rPr>
          <w:rFonts w:ascii="ITC Avant Garde" w:eastAsia="Arial Unicode MS" w:hAnsi="ITC Avant Garde" w:cs="Arial"/>
          <w:bCs/>
          <w:u w:color="000000"/>
          <w:bdr w:val="nil"/>
          <w:lang w:val="es-ES_tradnl"/>
        </w:rPr>
        <w:t>El Instituto liberará la Garantía de Seriedad de los Participantes no Ganadores que no manifiesten su interés de continuar en la Licitación No. IFT-4, respecto al Lote que nos ocupa, de acuerdo con el numeral 5.4.1, quinto párrafo y 8.10 fracción II de las Bases, una vez concluido el plazo previsto en el Calendario de Actividades para presentar tal manifestación, esto es, del 17 al 21 de abril de 2017, y no hayan incurrido en una causal de descalificación.</w:t>
      </w:r>
    </w:p>
    <w:p w14:paraId="12DC99E4" w14:textId="77777777" w:rsidR="007A41FF" w:rsidRDefault="007A41FF" w:rsidP="00B43814">
      <w:pPr>
        <w:pBdr>
          <w:top w:val="nil"/>
          <w:left w:val="nil"/>
          <w:bottom w:val="nil"/>
          <w:right w:val="nil"/>
          <w:between w:val="nil"/>
          <w:bar w:val="nil"/>
        </w:pBdr>
        <w:spacing w:line="240" w:lineRule="auto"/>
        <w:contextualSpacing/>
        <w:jc w:val="both"/>
        <w:rPr>
          <w:rFonts w:ascii="ITC Avant Garde" w:hAnsi="ITC Avant Garde" w:cs="Arial"/>
        </w:rPr>
      </w:pPr>
    </w:p>
    <w:p w14:paraId="4A44AF53" w14:textId="77777777" w:rsidR="000B3EEE" w:rsidRPr="000B3EEE" w:rsidRDefault="00D97A46" w:rsidP="00B43814">
      <w:pPr>
        <w:pBdr>
          <w:top w:val="nil"/>
          <w:left w:val="nil"/>
          <w:bottom w:val="nil"/>
          <w:right w:val="nil"/>
          <w:between w:val="nil"/>
          <w:bar w:val="nil"/>
        </w:pBdr>
        <w:spacing w:line="240" w:lineRule="auto"/>
        <w:contextualSpacing/>
        <w:jc w:val="both"/>
        <w:rPr>
          <w:rFonts w:ascii="ITC Avant Garde" w:hAnsi="ITC Avant Garde" w:cs="Arial"/>
        </w:rPr>
      </w:pPr>
      <w:r w:rsidRPr="000B3EEE">
        <w:rPr>
          <w:rFonts w:ascii="ITC Avant Garde" w:hAnsi="ITC Avant Garde" w:cs="Arial"/>
        </w:rPr>
        <w:t xml:space="preserve">Asimismo, una vez entregado el(los) Título(s) de Concesión respectivo(s) al Participante Ganador, el Instituto liberará </w:t>
      </w:r>
      <w:r w:rsidR="000018A7" w:rsidRPr="000B3EEE">
        <w:rPr>
          <w:rFonts w:ascii="ITC Avant Garde" w:hAnsi="ITC Avant Garde" w:cs="Arial"/>
        </w:rPr>
        <w:t xml:space="preserve">la Garantía de Seriedad </w:t>
      </w:r>
      <w:r w:rsidRPr="000B3EEE">
        <w:rPr>
          <w:rFonts w:ascii="ITC Avant Garde" w:hAnsi="ITC Avant Garde" w:cs="Arial"/>
        </w:rPr>
        <w:t>de los Participantes no ganadores que manifestaron su interés de continuar en la Licitación No. IFT-4.</w:t>
      </w:r>
    </w:p>
    <w:p w14:paraId="5A240FE6" w14:textId="77777777" w:rsidR="00C676DE" w:rsidRDefault="00C676DE" w:rsidP="00B43814">
      <w:pPr>
        <w:spacing w:line="240" w:lineRule="auto"/>
        <w:contextualSpacing/>
        <w:jc w:val="both"/>
        <w:rPr>
          <w:rFonts w:ascii="ITC Avant Garde" w:eastAsia="Times New Roman" w:hAnsi="ITC Avant Garde" w:cs="Arial"/>
          <w:lang w:eastAsia="es-MX"/>
        </w:rPr>
      </w:pPr>
    </w:p>
    <w:p w14:paraId="4A0E114F" w14:textId="77777777" w:rsidR="000B3EEE" w:rsidRDefault="00D97A46" w:rsidP="00B43814">
      <w:pPr>
        <w:spacing w:line="240" w:lineRule="auto"/>
        <w:contextualSpacing/>
        <w:jc w:val="both"/>
        <w:rPr>
          <w:rFonts w:ascii="ITC Avant Garde" w:eastAsia="Times New Roman" w:hAnsi="ITC Avant Garde" w:cs="Arial"/>
          <w:lang w:eastAsia="es-MX"/>
        </w:rPr>
      </w:pPr>
      <w:r w:rsidRPr="000B3EEE">
        <w:rPr>
          <w:rFonts w:ascii="ITC Avant Garde" w:eastAsia="Times New Roman" w:hAnsi="ITC Avant Garde" w:cs="Arial"/>
          <w:lang w:eastAsia="es-MX"/>
        </w:rPr>
        <w:t>Por lo expuesto,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17, fracción XV, 54, 78, fracción II y 79 de la Ley Federal de Telecomunicaciones y Radiodifusión; 1, 4, fracción I, 6, fracción I, 27, 29, fracciones I y V</w:t>
      </w:r>
      <w:r w:rsidRPr="000B3EEE">
        <w:rPr>
          <w:rFonts w:ascii="ITC Avant Garde" w:hAnsi="ITC Avant Garde" w:cs="Arial"/>
        </w:rPr>
        <w:t xml:space="preserve"> </w:t>
      </w:r>
      <w:r w:rsidRPr="000B3EEE">
        <w:rPr>
          <w:rFonts w:ascii="ITC Avant Garde" w:eastAsia="Times New Roman" w:hAnsi="ITC Avant Garde" w:cs="Arial"/>
          <w:lang w:eastAsia="es-MX"/>
        </w:rPr>
        <w:t>del Estatuto Orgánico del Instituto Federal de Telecomunicaciones, y numerales 1, 3.2, 4, 5.4, 5.4.1, 5.4.3</w:t>
      </w:r>
      <w:r w:rsidR="00D549DB" w:rsidRPr="000B3EEE">
        <w:rPr>
          <w:rFonts w:ascii="ITC Avant Garde" w:eastAsia="Times New Roman" w:hAnsi="ITC Avant Garde" w:cs="Arial"/>
          <w:lang w:eastAsia="es-MX"/>
        </w:rPr>
        <w:t>,</w:t>
      </w:r>
      <w:r w:rsidRPr="000B3EEE">
        <w:rPr>
          <w:rFonts w:ascii="ITC Avant Garde" w:eastAsia="Times New Roman" w:hAnsi="ITC Avant Garde" w:cs="Arial"/>
          <w:lang w:eastAsia="es-MX"/>
        </w:rPr>
        <w:t xml:space="preserve"> 5.4.4 y 16.4 de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el Pleno del Instituto Federal de Telecomunicaciones emite el siguiente:</w:t>
      </w:r>
    </w:p>
    <w:p w14:paraId="54C28AC0" w14:textId="77777777" w:rsidR="007A41FF" w:rsidRPr="000B3EEE" w:rsidRDefault="007A41FF" w:rsidP="00B43814">
      <w:pPr>
        <w:spacing w:line="240" w:lineRule="auto"/>
        <w:contextualSpacing/>
        <w:jc w:val="both"/>
        <w:rPr>
          <w:rFonts w:ascii="ITC Avant Garde" w:eastAsia="Times New Roman" w:hAnsi="ITC Avant Garde" w:cs="Arial"/>
          <w:lang w:eastAsia="es-MX"/>
        </w:rPr>
      </w:pPr>
    </w:p>
    <w:p w14:paraId="528FD74A" w14:textId="475CC34E" w:rsidR="000B3EEE" w:rsidRPr="000B3EEE" w:rsidRDefault="00D97A46" w:rsidP="00C676DE">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0B3EEE">
        <w:rPr>
          <w:rFonts w:ascii="ITC Avant Garde" w:hAnsi="ITC Avant Garde"/>
          <w:b/>
          <w:bCs/>
          <w:lang w:eastAsia="es-MX"/>
        </w:rPr>
        <w:t>FALLO</w:t>
      </w:r>
    </w:p>
    <w:p w14:paraId="16B26467" w14:textId="77777777" w:rsidR="007A41FF" w:rsidRPr="007A41FF" w:rsidRDefault="007A41FF" w:rsidP="00C676DE">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6E424895" w14:textId="32F8677B" w:rsidR="000B3EEE" w:rsidRPr="000B3EEE" w:rsidRDefault="00C676DE" w:rsidP="00C676DE">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C676DE">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D97A46" w:rsidRPr="000B3EEE">
        <w:rPr>
          <w:rFonts w:ascii="ITC Avant Garde" w:eastAsia="Arial Unicode MS" w:hAnsi="ITC Avant Garde" w:cs="Arial"/>
          <w:bCs/>
          <w:u w:color="000000"/>
          <w:bdr w:val="nil"/>
          <w:lang w:val="es-ES_tradnl"/>
        </w:rPr>
        <w:t xml:space="preserve">Se declara como Participante Ganador de la Licitación No. IFT-4, al Participante </w:t>
      </w:r>
      <w:r w:rsidR="00D97A46" w:rsidRPr="000B3EEE">
        <w:rPr>
          <w:rFonts w:ascii="ITC Avant Garde" w:eastAsia="Arial Unicode MS" w:hAnsi="ITC Avant Garde" w:cs="Arial"/>
          <w:bCs/>
          <w:noProof/>
          <w:u w:color="000000"/>
          <w:bdr w:val="nil"/>
          <w:lang w:val="es-ES_tradnl"/>
        </w:rPr>
        <w:t>Cadena Radiópolis, S.A. de C.V.</w:t>
      </w:r>
      <w:r w:rsidR="00D97A46" w:rsidRPr="000B3EEE">
        <w:rPr>
          <w:rFonts w:ascii="ITC Avant Garde" w:eastAsia="Arial Unicode MS" w:hAnsi="ITC Avant Garde" w:cs="Arial"/>
          <w:bCs/>
          <w:u w:color="000000"/>
          <w:bdr w:val="nil"/>
          <w:lang w:val="es-ES_tradnl"/>
        </w:rPr>
        <w:t xml:space="preserve">, con número de Folio Único </w:t>
      </w:r>
      <w:r w:rsidR="00D97A46" w:rsidRPr="000B3EEE">
        <w:rPr>
          <w:rFonts w:ascii="ITC Avant Garde" w:eastAsia="Arial Unicode MS" w:hAnsi="ITC Avant Garde" w:cs="Arial"/>
          <w:bCs/>
          <w:noProof/>
          <w:u w:color="000000"/>
          <w:bdr w:val="nil"/>
          <w:lang w:val="es-ES_tradnl"/>
        </w:rPr>
        <w:t>C1-153125</w:t>
      </w:r>
      <w:r w:rsidR="00D97A46" w:rsidRPr="000B3EEE">
        <w:rPr>
          <w:rFonts w:ascii="ITC Avant Garde" w:eastAsia="Arial Unicode MS" w:hAnsi="ITC Avant Garde" w:cs="Arial"/>
          <w:bCs/>
          <w:u w:color="000000"/>
          <w:bdr w:val="nil"/>
          <w:lang w:val="es-ES_tradnl"/>
        </w:rPr>
        <w:t>,</w:t>
      </w:r>
      <w:r w:rsidR="00D549DB" w:rsidRPr="000B3EEE">
        <w:rPr>
          <w:rFonts w:ascii="ITC Avant Garde" w:eastAsia="Arial Unicode MS" w:hAnsi="ITC Avant Garde" w:cs="Arial"/>
          <w:bCs/>
          <w:u w:color="000000"/>
          <w:bdr w:val="nil"/>
          <w:lang w:val="es-ES_tradnl"/>
        </w:rPr>
        <w:t xml:space="preserve"> </w:t>
      </w:r>
      <w:r w:rsidR="00D549DB" w:rsidRPr="000B3EEE">
        <w:rPr>
          <w:rFonts w:ascii="ITC Avant Garde" w:eastAsia="Arial Unicode MS" w:hAnsi="ITC Avant Garde" w:cs="Arial"/>
          <w:bCs/>
          <w:u w:color="000000"/>
          <w:bdr w:val="nil"/>
          <w:lang w:val="es-ES_tradnl"/>
        </w:rPr>
        <w:lastRenderedPageBreak/>
        <w:t>,</w:t>
      </w:r>
      <w:r w:rsidR="00D97A46" w:rsidRPr="000B3EEE">
        <w:rPr>
          <w:rFonts w:ascii="ITC Avant Garde" w:eastAsia="Arial Unicode MS" w:hAnsi="ITC Avant Garde" w:cs="Arial"/>
          <w:bCs/>
          <w:u w:color="000000"/>
          <w:bdr w:val="nil"/>
          <w:lang w:val="es-ES_tradnl"/>
        </w:rPr>
        <w:t xml:space="preserve"> </w:t>
      </w:r>
      <w:r w:rsidR="00D97A46" w:rsidRPr="000B3EEE">
        <w:rPr>
          <w:rFonts w:ascii="ITC Avant Garde" w:hAnsi="ITC Avant Garde" w:cs="Arial"/>
          <w:bCs/>
          <w:u w:color="000000"/>
          <w:bdr w:val="nil"/>
          <w:lang w:val="es-ES_tradnl" w:eastAsia="es-MX"/>
        </w:rPr>
        <w:t xml:space="preserve">de conformidad con lo dispuesto en el </w:t>
      </w:r>
      <w:r w:rsidR="00D97A46" w:rsidRPr="000B3EEE">
        <w:rPr>
          <w:rFonts w:ascii="ITC Avant Garde" w:hAnsi="ITC Avant Garde" w:cs="Arial"/>
          <w:b/>
          <w:bCs/>
          <w:u w:color="000000"/>
          <w:bdr w:val="nil"/>
          <w:lang w:val="es-ES_tradnl" w:eastAsia="es-MX"/>
        </w:rPr>
        <w:t xml:space="preserve">Considerando CUARTO </w:t>
      </w:r>
      <w:r w:rsidR="00D97A46" w:rsidRPr="000B3EEE">
        <w:rPr>
          <w:rFonts w:ascii="ITC Avant Garde" w:hAnsi="ITC Avant Garde" w:cs="Arial"/>
          <w:bCs/>
          <w:u w:color="000000"/>
          <w:bdr w:val="nil"/>
          <w:lang w:val="es-ES_tradnl" w:eastAsia="es-MX"/>
        </w:rPr>
        <w:t>de la presente Resolución,</w:t>
      </w:r>
      <w:r w:rsidR="00D97A46" w:rsidRPr="000B3EEE">
        <w:rPr>
          <w:rFonts w:ascii="ITC Avant Garde" w:eastAsia="Arial Unicode MS" w:hAnsi="ITC Avant Garde" w:cs="Arial"/>
          <w:bCs/>
          <w:u w:color="000000"/>
          <w:bdr w:val="nil"/>
          <w:lang w:val="es-ES_tradnl"/>
        </w:rPr>
        <w:t xml:space="preserve"> quien obtuvo el resultado siguiente:</w:t>
      </w:r>
    </w:p>
    <w:p w14:paraId="2AFACC37" w14:textId="73430C78" w:rsidR="00D97A46" w:rsidRPr="000B3EEE" w:rsidRDefault="00D97A46" w:rsidP="00C676DE">
      <w:pPr>
        <w:tabs>
          <w:tab w:val="left" w:pos="2410"/>
        </w:tabs>
        <w:spacing w:after="0" w:line="240" w:lineRule="auto"/>
        <w:jc w:val="both"/>
        <w:rPr>
          <w:rFonts w:ascii="ITC Avant Garde" w:hAnsi="ITC Avant Garde" w:cs="Arial Unicode MS"/>
          <w:bCs/>
          <w:sz w:val="20"/>
          <w:szCs w:val="20"/>
          <w:u w:color="000000"/>
          <w:bdr w:val="nil"/>
          <w:lang w:val="es-ES_tradnl" w:eastAsia="es-MX"/>
        </w:rPr>
      </w:pPr>
    </w:p>
    <w:tbl>
      <w:tblPr>
        <w:tblStyle w:val="Cuadrculadetablaclara"/>
        <w:tblW w:w="0" w:type="auto"/>
        <w:tblLayout w:type="fixed"/>
        <w:tblLook w:val="04A0" w:firstRow="1" w:lastRow="0" w:firstColumn="1" w:lastColumn="0" w:noHBand="0" w:noVBand="1"/>
        <w:tblCaption w:val="Tabla"/>
        <w:tblDescription w:val="Resultado del participante ganador"/>
      </w:tblPr>
      <w:tblGrid>
        <w:gridCol w:w="704"/>
        <w:gridCol w:w="1276"/>
        <w:gridCol w:w="1276"/>
        <w:gridCol w:w="1529"/>
        <w:gridCol w:w="1164"/>
        <w:gridCol w:w="1140"/>
        <w:gridCol w:w="1270"/>
        <w:gridCol w:w="1035"/>
      </w:tblGrid>
      <w:tr w:rsidR="000B3EEE" w:rsidRPr="000B3EEE" w14:paraId="66746931" w14:textId="77777777" w:rsidTr="00C676DE">
        <w:trPr>
          <w:tblHeader/>
        </w:trPr>
        <w:tc>
          <w:tcPr>
            <w:tcW w:w="704" w:type="dxa"/>
            <w:shd w:val="clear" w:color="auto" w:fill="70AD47" w:themeFill="accent6"/>
          </w:tcPr>
          <w:p w14:paraId="6D6FE5A6" w14:textId="77777777" w:rsidR="00C122BC" w:rsidRPr="000B3EEE" w:rsidRDefault="00C122BC" w:rsidP="00B43814">
            <w:pPr>
              <w:contextualSpacing/>
              <w:jc w:val="center"/>
              <w:outlineLvl w:val="1"/>
              <w:rPr>
                <w:rFonts w:ascii="ITC Avant Garde" w:hAnsi="ITC Avant Garde" w:cs="Arial Unicode MS"/>
                <w:bCs/>
                <w:sz w:val="18"/>
                <w:u w:color="000000"/>
                <w:bdr w:val="nil"/>
                <w:lang w:val="es-ES_tradnl" w:eastAsia="es-MX"/>
              </w:rPr>
            </w:pPr>
            <w:r w:rsidRPr="000B3EEE">
              <w:rPr>
                <w:rFonts w:ascii="ITC Avant Garde" w:hAnsi="ITC Avant Garde" w:cs="Arial Unicode MS"/>
                <w:sz w:val="18"/>
                <w:u w:color="000000"/>
                <w:bdr w:val="nil"/>
                <w:lang w:val="es-ES_tradnl" w:eastAsia="es-MX"/>
              </w:rPr>
              <w:t>Lote</w:t>
            </w:r>
            <w:r w:rsidRPr="000B3EEE">
              <w:rPr>
                <w:rStyle w:val="Refdenotaalpie"/>
                <w:rFonts w:ascii="ITC Avant Garde" w:hAnsi="ITC Avant Garde" w:cs="Arial Unicode MS"/>
                <w:sz w:val="18"/>
                <w:u w:color="000000"/>
                <w:bdr w:val="nil"/>
                <w:lang w:val="es-ES_tradnl" w:eastAsia="es-MX"/>
              </w:rPr>
              <w:footnoteReference w:id="7"/>
            </w:r>
          </w:p>
        </w:tc>
        <w:tc>
          <w:tcPr>
            <w:tcW w:w="1276" w:type="dxa"/>
            <w:shd w:val="clear" w:color="auto" w:fill="70AD47" w:themeFill="accent6"/>
          </w:tcPr>
          <w:p w14:paraId="78CA15B3" w14:textId="77777777" w:rsidR="00C122BC" w:rsidRPr="000B3EEE" w:rsidRDefault="00C122BC" w:rsidP="00B43814">
            <w:pPr>
              <w:contextualSpacing/>
              <w:jc w:val="center"/>
              <w:outlineLvl w:val="1"/>
              <w:rPr>
                <w:rFonts w:ascii="ITC Avant Garde" w:hAnsi="ITC Avant Garde" w:cs="Arial Unicode MS"/>
                <w:bCs/>
                <w:sz w:val="18"/>
                <w:u w:color="000000"/>
                <w:bdr w:val="nil"/>
                <w:lang w:val="es-ES_tradnl" w:eastAsia="es-MX"/>
              </w:rPr>
            </w:pPr>
            <w:r w:rsidRPr="000B3EEE">
              <w:rPr>
                <w:rFonts w:ascii="ITC Avant Garde" w:hAnsi="ITC Avant Garde" w:cs="Arial Unicode MS"/>
                <w:sz w:val="18"/>
                <w:u w:color="000000"/>
                <w:bdr w:val="nil"/>
                <w:lang w:val="es-ES_tradnl" w:eastAsia="es-MX"/>
              </w:rPr>
              <w:t>Banda de Frecuencias</w:t>
            </w:r>
          </w:p>
        </w:tc>
        <w:tc>
          <w:tcPr>
            <w:tcW w:w="1276" w:type="dxa"/>
            <w:shd w:val="clear" w:color="auto" w:fill="70AD47" w:themeFill="accent6"/>
          </w:tcPr>
          <w:p w14:paraId="7BAF72BA" w14:textId="77777777" w:rsidR="00C122BC" w:rsidRPr="000B3EEE" w:rsidRDefault="00C122BC" w:rsidP="00B43814">
            <w:pPr>
              <w:contextualSpacing/>
              <w:jc w:val="center"/>
              <w:outlineLvl w:val="1"/>
              <w:rPr>
                <w:rFonts w:ascii="ITC Avant Garde" w:hAnsi="ITC Avant Garde" w:cs="Arial Unicode MS"/>
                <w:bCs/>
                <w:sz w:val="18"/>
                <w:u w:color="000000"/>
                <w:bdr w:val="nil"/>
                <w:lang w:val="es-ES_tradnl" w:eastAsia="es-MX"/>
              </w:rPr>
            </w:pPr>
            <w:r w:rsidRPr="000B3EEE">
              <w:rPr>
                <w:rFonts w:ascii="ITC Avant Garde" w:hAnsi="ITC Avant Garde" w:cs="Arial Unicode MS"/>
                <w:sz w:val="18"/>
                <w:u w:color="000000"/>
                <w:bdr w:val="nil"/>
                <w:lang w:val="es-ES_tradnl" w:eastAsia="es-MX"/>
              </w:rPr>
              <w:t>Frecuencia</w:t>
            </w:r>
          </w:p>
        </w:tc>
        <w:tc>
          <w:tcPr>
            <w:tcW w:w="1529" w:type="dxa"/>
            <w:shd w:val="clear" w:color="auto" w:fill="70AD47" w:themeFill="accent6"/>
          </w:tcPr>
          <w:p w14:paraId="14D14FC5" w14:textId="77777777" w:rsidR="00C122BC" w:rsidRPr="000B3EEE" w:rsidRDefault="00C122BC" w:rsidP="00B43814">
            <w:pPr>
              <w:contextualSpacing/>
              <w:jc w:val="center"/>
              <w:outlineLvl w:val="1"/>
              <w:rPr>
                <w:rFonts w:ascii="ITC Avant Garde" w:hAnsi="ITC Avant Garde" w:cs="Arial Unicode MS"/>
                <w:bCs/>
                <w:sz w:val="18"/>
                <w:u w:color="000000"/>
                <w:bdr w:val="nil"/>
                <w:lang w:val="es-ES_tradnl" w:eastAsia="es-MX"/>
              </w:rPr>
            </w:pPr>
            <w:r w:rsidRPr="000B3EEE">
              <w:rPr>
                <w:rFonts w:ascii="ITC Avant Garde" w:hAnsi="ITC Avant Garde" w:cs="Arial Unicode MS"/>
                <w:sz w:val="18"/>
                <w:u w:color="000000"/>
                <w:bdr w:val="nil"/>
                <w:lang w:val="es-ES_tradnl" w:eastAsia="es-MX"/>
              </w:rPr>
              <w:t>Localidad(es) Principal(es) a Servir</w:t>
            </w:r>
          </w:p>
        </w:tc>
        <w:tc>
          <w:tcPr>
            <w:tcW w:w="1164" w:type="dxa"/>
            <w:shd w:val="clear" w:color="auto" w:fill="70AD47" w:themeFill="accent6"/>
          </w:tcPr>
          <w:p w14:paraId="3CEDF855" w14:textId="77777777" w:rsidR="00C122BC" w:rsidRPr="000B3EEE" w:rsidRDefault="00C122BC" w:rsidP="00B43814">
            <w:pPr>
              <w:contextualSpacing/>
              <w:jc w:val="center"/>
              <w:outlineLvl w:val="1"/>
              <w:rPr>
                <w:rFonts w:ascii="ITC Avant Garde" w:hAnsi="ITC Avant Garde" w:cs="Arial Unicode MS"/>
                <w:bCs/>
                <w:sz w:val="18"/>
                <w:u w:color="000000"/>
                <w:bdr w:val="nil"/>
                <w:lang w:val="es-ES_tradnl" w:eastAsia="es-MX"/>
              </w:rPr>
            </w:pPr>
            <w:r w:rsidRPr="000B3EEE">
              <w:rPr>
                <w:rFonts w:ascii="ITC Avant Garde" w:hAnsi="ITC Avant Garde" w:cs="Arial Unicode MS"/>
                <w:sz w:val="18"/>
                <w:u w:color="000000"/>
                <w:bdr w:val="nil"/>
                <w:lang w:val="es-ES_tradnl" w:eastAsia="es-MX"/>
              </w:rPr>
              <w:t>Estado</w:t>
            </w:r>
          </w:p>
        </w:tc>
        <w:tc>
          <w:tcPr>
            <w:tcW w:w="1140" w:type="dxa"/>
            <w:shd w:val="clear" w:color="auto" w:fill="70AD47" w:themeFill="accent6"/>
          </w:tcPr>
          <w:p w14:paraId="105C9E76" w14:textId="77777777" w:rsidR="00C122BC" w:rsidRPr="000B3EEE" w:rsidRDefault="00C122BC" w:rsidP="00B43814">
            <w:pPr>
              <w:contextualSpacing/>
              <w:jc w:val="center"/>
              <w:outlineLvl w:val="1"/>
              <w:rPr>
                <w:rFonts w:ascii="ITC Avant Garde" w:hAnsi="ITC Avant Garde" w:cs="Arial Unicode MS"/>
                <w:bCs/>
                <w:sz w:val="18"/>
                <w:u w:color="000000"/>
                <w:bdr w:val="nil"/>
                <w:lang w:val="es-ES_tradnl" w:eastAsia="es-MX"/>
              </w:rPr>
            </w:pPr>
            <w:r w:rsidRPr="000B3EEE">
              <w:rPr>
                <w:rFonts w:ascii="ITC Avant Garde" w:hAnsi="ITC Avant Garde" w:cs="Arial Unicode MS"/>
                <w:sz w:val="18"/>
                <w:u w:color="000000"/>
                <w:bdr w:val="nil"/>
                <w:lang w:val="es-ES_tradnl" w:eastAsia="es-MX"/>
              </w:rPr>
              <w:t>Puntaje</w:t>
            </w:r>
            <w:r w:rsidRPr="000B3EEE">
              <w:rPr>
                <w:rStyle w:val="Refdenotaalpie"/>
                <w:rFonts w:ascii="ITC Avant Garde" w:hAnsi="ITC Avant Garde" w:cs="Arial Unicode MS"/>
                <w:sz w:val="18"/>
                <w:u w:color="000000"/>
                <w:bdr w:val="nil"/>
                <w:lang w:val="es-ES_tradnl" w:eastAsia="es-MX"/>
              </w:rPr>
              <w:footnoteReference w:id="8"/>
            </w:r>
          </w:p>
        </w:tc>
        <w:tc>
          <w:tcPr>
            <w:tcW w:w="1270" w:type="dxa"/>
            <w:shd w:val="clear" w:color="auto" w:fill="70AD47" w:themeFill="accent6"/>
          </w:tcPr>
          <w:p w14:paraId="4C37D694" w14:textId="77777777" w:rsidR="00C122BC" w:rsidRPr="000B3EEE" w:rsidRDefault="00C122BC" w:rsidP="00B43814">
            <w:pPr>
              <w:contextualSpacing/>
              <w:jc w:val="center"/>
              <w:outlineLvl w:val="1"/>
              <w:rPr>
                <w:rFonts w:ascii="ITC Avant Garde" w:hAnsi="ITC Avant Garde" w:cs="Arial Unicode MS"/>
                <w:sz w:val="18"/>
                <w:u w:color="000000"/>
                <w:bdr w:val="nil"/>
                <w:lang w:val="es-ES_tradnl" w:eastAsia="es-MX"/>
              </w:rPr>
            </w:pPr>
            <w:r w:rsidRPr="000B3EEE">
              <w:rPr>
                <w:rFonts w:ascii="ITC Avant Garde" w:hAnsi="ITC Avant Garde" w:cs="Arial Unicode MS"/>
                <w:sz w:val="16"/>
                <w:szCs w:val="16"/>
                <w:lang w:val="es-ES_tradnl" w:eastAsia="es-MX"/>
              </w:rPr>
              <w:t>Nuevo Competidor</w:t>
            </w:r>
            <w:r w:rsidRPr="000B3EEE">
              <w:rPr>
                <w:rStyle w:val="Refdenotaalpie"/>
                <w:rFonts w:ascii="ITC Avant Garde" w:hAnsi="ITC Avant Garde" w:cs="Arial Unicode MS"/>
                <w:sz w:val="18"/>
                <w:lang w:val="es-ES_tradnl" w:eastAsia="es-MX"/>
              </w:rPr>
              <w:footnoteReference w:id="9"/>
            </w:r>
          </w:p>
        </w:tc>
        <w:tc>
          <w:tcPr>
            <w:tcW w:w="1035" w:type="dxa"/>
            <w:shd w:val="clear" w:color="auto" w:fill="70AD47" w:themeFill="accent6"/>
          </w:tcPr>
          <w:p w14:paraId="152FD112" w14:textId="77777777" w:rsidR="00C122BC" w:rsidRPr="000B3EEE" w:rsidRDefault="00C122BC" w:rsidP="00B43814">
            <w:pPr>
              <w:contextualSpacing/>
              <w:jc w:val="center"/>
              <w:outlineLvl w:val="1"/>
              <w:rPr>
                <w:rFonts w:ascii="ITC Avant Garde" w:hAnsi="ITC Avant Garde" w:cs="Arial Unicode MS"/>
                <w:sz w:val="18"/>
                <w:u w:color="000000"/>
                <w:bdr w:val="nil"/>
                <w:lang w:val="es-ES_tradnl" w:eastAsia="es-MX"/>
              </w:rPr>
            </w:pPr>
            <w:r w:rsidRPr="000B3EEE">
              <w:rPr>
                <w:rFonts w:ascii="ITC Avant Garde" w:hAnsi="ITC Avant Garde" w:cs="Arial Unicode MS"/>
                <w:sz w:val="18"/>
                <w:u w:color="000000"/>
                <w:bdr w:val="nil"/>
                <w:lang w:val="es-ES_tradnl" w:eastAsia="es-MX"/>
              </w:rPr>
              <w:t>IBOC</w:t>
            </w:r>
            <w:r w:rsidRPr="000B3EEE">
              <w:rPr>
                <w:rStyle w:val="Refdenotaalpie"/>
                <w:rFonts w:ascii="ITC Avant Garde" w:hAnsi="ITC Avant Garde" w:cs="Arial Unicode MS"/>
                <w:sz w:val="18"/>
                <w:u w:color="000000"/>
                <w:bdr w:val="nil"/>
                <w:lang w:val="es-ES_tradnl" w:eastAsia="es-MX"/>
              </w:rPr>
              <w:footnoteReference w:id="10"/>
            </w:r>
          </w:p>
        </w:tc>
      </w:tr>
      <w:tr w:rsidR="000B3EEE" w:rsidRPr="000B3EEE" w14:paraId="7B1E4AC1" w14:textId="77777777" w:rsidTr="00B43814">
        <w:trPr>
          <w:trHeight w:val="443"/>
        </w:trPr>
        <w:tc>
          <w:tcPr>
            <w:tcW w:w="704" w:type="dxa"/>
            <w:shd w:val="clear" w:color="auto" w:fill="E2EFD9" w:themeFill="accent6" w:themeFillTint="33"/>
          </w:tcPr>
          <w:p w14:paraId="1AF46BD9" w14:textId="77777777" w:rsidR="00C122BC" w:rsidRPr="000B3EEE" w:rsidRDefault="00C122BC" w:rsidP="00B43814">
            <w:pPr>
              <w:contextualSpacing/>
              <w:jc w:val="center"/>
              <w:outlineLvl w:val="1"/>
              <w:rPr>
                <w:rFonts w:ascii="ITC Avant Garde" w:hAnsi="ITC Avant Garde" w:cs="Arial Unicode MS"/>
                <w:b/>
                <w:bCs/>
                <w:sz w:val="18"/>
                <w:u w:color="000000"/>
                <w:bdr w:val="nil"/>
                <w:lang w:val="es-ES_tradnl" w:eastAsia="es-MX"/>
              </w:rPr>
            </w:pPr>
            <w:r w:rsidRPr="000B3EEE">
              <w:rPr>
                <w:rFonts w:ascii="ITC Avant Garde" w:hAnsi="ITC Avant Garde" w:cs="Arial Unicode MS"/>
                <w:noProof/>
                <w:sz w:val="18"/>
                <w:u w:color="000000"/>
                <w:bdr w:val="nil"/>
                <w:lang w:val="es-ES_tradnl" w:eastAsia="es-MX"/>
              </w:rPr>
              <w:t>3</w:t>
            </w:r>
          </w:p>
        </w:tc>
        <w:tc>
          <w:tcPr>
            <w:tcW w:w="1276" w:type="dxa"/>
            <w:shd w:val="clear" w:color="auto" w:fill="E2EFD9" w:themeFill="accent6" w:themeFillTint="33"/>
          </w:tcPr>
          <w:p w14:paraId="2DDA1EA7" w14:textId="77777777" w:rsidR="00C122BC" w:rsidRPr="000B3EEE" w:rsidRDefault="00C122BC" w:rsidP="00B43814">
            <w:pPr>
              <w:contextualSpacing/>
              <w:jc w:val="center"/>
              <w:outlineLvl w:val="1"/>
              <w:rPr>
                <w:rFonts w:ascii="ITC Avant Garde" w:hAnsi="ITC Avant Garde" w:cs="Arial Unicode MS"/>
                <w:bCs/>
                <w:sz w:val="18"/>
                <w:u w:color="000000"/>
                <w:bdr w:val="nil"/>
                <w:lang w:val="es-ES_tradnl" w:eastAsia="es-MX"/>
              </w:rPr>
            </w:pPr>
            <w:r w:rsidRPr="000B3EEE">
              <w:rPr>
                <w:rFonts w:ascii="ITC Avant Garde" w:hAnsi="ITC Avant Garde" w:cs="Arial Unicode MS"/>
                <w:bCs/>
                <w:noProof/>
                <w:sz w:val="18"/>
                <w:u w:color="000000"/>
                <w:bdr w:val="nil"/>
                <w:lang w:val="es-ES_tradnl" w:eastAsia="es-MX"/>
              </w:rPr>
              <w:t>FM</w:t>
            </w:r>
          </w:p>
        </w:tc>
        <w:tc>
          <w:tcPr>
            <w:tcW w:w="1276" w:type="dxa"/>
            <w:shd w:val="clear" w:color="auto" w:fill="E2EFD9" w:themeFill="accent6" w:themeFillTint="33"/>
          </w:tcPr>
          <w:p w14:paraId="23D6B6B3" w14:textId="77777777" w:rsidR="00C122BC" w:rsidRPr="000B3EEE" w:rsidRDefault="00C122BC" w:rsidP="00B43814">
            <w:pPr>
              <w:contextualSpacing/>
              <w:jc w:val="center"/>
              <w:outlineLvl w:val="1"/>
              <w:rPr>
                <w:rFonts w:ascii="ITC Avant Garde" w:hAnsi="ITC Avant Garde" w:cs="Arial Unicode MS"/>
                <w:bCs/>
                <w:sz w:val="18"/>
                <w:u w:color="000000"/>
                <w:bdr w:val="nil"/>
                <w:lang w:val="es-ES_tradnl" w:eastAsia="es-MX"/>
              </w:rPr>
            </w:pPr>
            <w:r w:rsidRPr="000B3EEE">
              <w:rPr>
                <w:rFonts w:ascii="ITC Avant Garde" w:hAnsi="ITC Avant Garde" w:cs="Arial Unicode MS"/>
                <w:bCs/>
                <w:noProof/>
                <w:sz w:val="18"/>
                <w:u w:color="000000"/>
                <w:bdr w:val="nil"/>
                <w:lang w:val="es-ES_tradnl" w:eastAsia="es-MX"/>
              </w:rPr>
              <w:t>96.9 MHz</w:t>
            </w:r>
          </w:p>
        </w:tc>
        <w:tc>
          <w:tcPr>
            <w:tcW w:w="1529" w:type="dxa"/>
            <w:shd w:val="clear" w:color="auto" w:fill="E2EFD9" w:themeFill="accent6" w:themeFillTint="33"/>
          </w:tcPr>
          <w:p w14:paraId="7F2BB62F" w14:textId="77777777" w:rsidR="00C122BC" w:rsidRPr="000B3EEE" w:rsidRDefault="00C122BC" w:rsidP="00B43814">
            <w:pPr>
              <w:contextualSpacing/>
              <w:jc w:val="center"/>
              <w:outlineLvl w:val="1"/>
              <w:rPr>
                <w:rFonts w:ascii="ITC Avant Garde" w:hAnsi="ITC Avant Garde" w:cs="Arial Unicode MS"/>
                <w:bCs/>
                <w:sz w:val="18"/>
                <w:u w:color="000000"/>
                <w:bdr w:val="nil"/>
                <w:lang w:val="es-ES_tradnl" w:eastAsia="es-MX"/>
              </w:rPr>
            </w:pPr>
            <w:r w:rsidRPr="000B3EEE">
              <w:rPr>
                <w:rFonts w:ascii="ITC Avant Garde" w:hAnsi="ITC Avant Garde" w:cs="Arial Unicode MS"/>
                <w:bCs/>
                <w:noProof/>
                <w:sz w:val="18"/>
                <w:u w:color="000000"/>
                <w:bdr w:val="nil"/>
                <w:lang w:val="es-ES_tradnl" w:eastAsia="es-MX"/>
              </w:rPr>
              <w:t>Ensenada</w:t>
            </w:r>
          </w:p>
        </w:tc>
        <w:tc>
          <w:tcPr>
            <w:tcW w:w="1164" w:type="dxa"/>
            <w:shd w:val="clear" w:color="auto" w:fill="E2EFD9" w:themeFill="accent6" w:themeFillTint="33"/>
          </w:tcPr>
          <w:p w14:paraId="4AF91C04" w14:textId="77777777" w:rsidR="00C122BC" w:rsidRPr="000B3EEE" w:rsidRDefault="00C122BC" w:rsidP="00B43814">
            <w:pPr>
              <w:contextualSpacing/>
              <w:jc w:val="center"/>
              <w:outlineLvl w:val="1"/>
              <w:rPr>
                <w:rFonts w:ascii="ITC Avant Garde" w:hAnsi="ITC Avant Garde" w:cs="Arial Unicode MS"/>
                <w:bCs/>
                <w:sz w:val="18"/>
                <w:u w:color="000000"/>
                <w:bdr w:val="nil"/>
                <w:lang w:val="es-ES_tradnl" w:eastAsia="es-MX"/>
              </w:rPr>
            </w:pPr>
            <w:r w:rsidRPr="000B3EEE">
              <w:rPr>
                <w:rFonts w:ascii="ITC Avant Garde" w:hAnsi="ITC Avant Garde" w:cs="Arial Unicode MS"/>
                <w:noProof/>
                <w:sz w:val="18"/>
                <w:u w:color="000000"/>
                <w:bdr w:val="nil"/>
                <w:lang w:val="es-ES_tradnl" w:eastAsia="es-MX"/>
              </w:rPr>
              <w:t>Baja California</w:t>
            </w:r>
          </w:p>
        </w:tc>
        <w:tc>
          <w:tcPr>
            <w:tcW w:w="1140" w:type="dxa"/>
            <w:shd w:val="clear" w:color="auto" w:fill="E2EFD9" w:themeFill="accent6" w:themeFillTint="33"/>
          </w:tcPr>
          <w:p w14:paraId="51B49181" w14:textId="77777777" w:rsidR="00C122BC" w:rsidRPr="000B3EEE" w:rsidRDefault="00C122BC" w:rsidP="00B43814">
            <w:pPr>
              <w:contextualSpacing/>
              <w:jc w:val="center"/>
              <w:outlineLvl w:val="1"/>
              <w:rPr>
                <w:rFonts w:ascii="ITC Avant Garde" w:hAnsi="ITC Avant Garde" w:cs="Arial Unicode MS"/>
                <w:bCs/>
                <w:sz w:val="18"/>
                <w:u w:color="000000"/>
                <w:bdr w:val="nil"/>
                <w:lang w:val="es-ES_tradnl" w:eastAsia="es-MX"/>
              </w:rPr>
            </w:pPr>
            <w:r w:rsidRPr="000B3EEE">
              <w:rPr>
                <w:rFonts w:ascii="ITC Avant Garde" w:hAnsi="ITC Avant Garde" w:cs="Arial Unicode MS"/>
                <w:bCs/>
                <w:noProof/>
                <w:sz w:val="18"/>
                <w:u w:color="000000"/>
                <w:bdr w:val="nil"/>
                <w:lang w:val="es-ES_tradnl" w:eastAsia="es-MX"/>
              </w:rPr>
              <w:t>32,990</w:t>
            </w:r>
          </w:p>
        </w:tc>
        <w:tc>
          <w:tcPr>
            <w:tcW w:w="1270" w:type="dxa"/>
            <w:shd w:val="clear" w:color="auto" w:fill="E2EFD9" w:themeFill="accent6" w:themeFillTint="33"/>
          </w:tcPr>
          <w:p w14:paraId="173EE9B7" w14:textId="77777777" w:rsidR="00C122BC" w:rsidRPr="000B3EEE" w:rsidRDefault="00C122BC" w:rsidP="00B43814">
            <w:pPr>
              <w:contextualSpacing/>
              <w:jc w:val="center"/>
              <w:outlineLvl w:val="1"/>
              <w:rPr>
                <w:rFonts w:ascii="ITC Avant Garde" w:hAnsi="ITC Avant Garde" w:cs="Arial Unicode MS"/>
                <w:bCs/>
                <w:noProof/>
                <w:sz w:val="18"/>
                <w:u w:color="000000"/>
                <w:bdr w:val="nil"/>
                <w:lang w:val="es-ES_tradnl" w:eastAsia="es-MX"/>
              </w:rPr>
            </w:pPr>
            <w:r w:rsidRPr="000B3EEE">
              <w:rPr>
                <w:rFonts w:ascii="ITC Avant Garde" w:hAnsi="ITC Avant Garde" w:cs="Arial Unicode MS"/>
                <w:bCs/>
                <w:noProof/>
                <w:sz w:val="18"/>
                <w:u w:color="000000"/>
                <w:bdr w:val="nil"/>
                <w:lang w:val="es-ES_tradnl" w:eastAsia="es-MX"/>
              </w:rPr>
              <w:t>No</w:t>
            </w:r>
          </w:p>
        </w:tc>
        <w:tc>
          <w:tcPr>
            <w:tcW w:w="1035" w:type="dxa"/>
            <w:shd w:val="clear" w:color="auto" w:fill="E2EFD9" w:themeFill="accent6" w:themeFillTint="33"/>
          </w:tcPr>
          <w:p w14:paraId="6398E1E0" w14:textId="77777777" w:rsidR="00C122BC" w:rsidRPr="000B3EEE" w:rsidRDefault="00C122BC" w:rsidP="00B43814">
            <w:pPr>
              <w:contextualSpacing/>
              <w:jc w:val="center"/>
              <w:outlineLvl w:val="1"/>
              <w:rPr>
                <w:rFonts w:ascii="ITC Avant Garde" w:hAnsi="ITC Avant Garde" w:cs="Arial Unicode MS"/>
                <w:bCs/>
                <w:noProof/>
                <w:sz w:val="18"/>
                <w:u w:color="000000"/>
                <w:bdr w:val="nil"/>
                <w:lang w:val="es-ES_tradnl" w:eastAsia="es-MX"/>
              </w:rPr>
            </w:pPr>
            <w:r w:rsidRPr="000B3EEE">
              <w:rPr>
                <w:rFonts w:ascii="ITC Avant Garde" w:hAnsi="ITC Avant Garde" w:cs="Arial Unicode MS"/>
                <w:bCs/>
                <w:noProof/>
                <w:sz w:val="18"/>
                <w:u w:color="000000"/>
                <w:bdr w:val="nil"/>
                <w:lang w:val="es-ES_tradnl" w:eastAsia="es-MX"/>
              </w:rPr>
              <w:t>Si</w:t>
            </w:r>
          </w:p>
        </w:tc>
      </w:tr>
    </w:tbl>
    <w:p w14:paraId="7FE77908" w14:textId="77777777" w:rsidR="000B3EEE" w:rsidRPr="000B3EEE" w:rsidRDefault="000B3EEE" w:rsidP="00EB4438">
      <w:pPr>
        <w:tabs>
          <w:tab w:val="left" w:pos="2410"/>
        </w:tabs>
        <w:spacing w:after="0" w:line="240" w:lineRule="auto"/>
        <w:ind w:left="1134"/>
        <w:jc w:val="both"/>
        <w:rPr>
          <w:rFonts w:ascii="ITC Avant Garde" w:hAnsi="ITC Avant Garde" w:cs="Arial Unicode MS"/>
          <w:bCs/>
          <w:sz w:val="20"/>
          <w:szCs w:val="20"/>
          <w:u w:color="000000"/>
          <w:bdr w:val="nil"/>
          <w:lang w:val="es-ES_tradnl" w:eastAsia="es-MX"/>
        </w:rPr>
      </w:pPr>
    </w:p>
    <w:p w14:paraId="7A1E437A" w14:textId="5AA85EF9" w:rsidR="000B3EEE" w:rsidRPr="000B3EEE" w:rsidRDefault="00C676DE" w:rsidP="00C676DE">
      <w:pPr>
        <w:pBdr>
          <w:top w:val="nil"/>
          <w:left w:val="nil"/>
          <w:bottom w:val="nil"/>
          <w:right w:val="nil"/>
          <w:between w:val="nil"/>
          <w:bar w:val="nil"/>
        </w:pBdr>
        <w:spacing w:line="240" w:lineRule="auto"/>
        <w:contextualSpacing/>
        <w:jc w:val="both"/>
        <w:rPr>
          <w:rFonts w:ascii="ITC Avant Garde" w:hAnsi="ITC Avant Garde" w:cs="Arial"/>
        </w:rPr>
      </w:pPr>
      <w:r w:rsidRPr="00C676DE">
        <w:rPr>
          <w:rFonts w:ascii="ITC Avant Garde" w:eastAsia="Arial Unicode MS" w:hAnsi="ITC Avant Garde" w:cs="Arial"/>
          <w:b/>
          <w:bCs/>
          <w:u w:color="000000"/>
          <w:bdr w:val="nil"/>
          <w:lang w:val="es-ES_tradnl"/>
        </w:rPr>
        <w:t>SEGUNDO.</w:t>
      </w:r>
      <w:r>
        <w:rPr>
          <w:rFonts w:ascii="ITC Avant Garde" w:eastAsia="Arial Unicode MS" w:hAnsi="ITC Avant Garde" w:cs="Arial"/>
          <w:bCs/>
          <w:u w:color="000000"/>
          <w:bdr w:val="nil"/>
          <w:lang w:val="es-ES_tradnl"/>
        </w:rPr>
        <w:tab/>
      </w:r>
      <w:r w:rsidR="00D97A46" w:rsidRPr="000B3EEE">
        <w:rPr>
          <w:rFonts w:ascii="ITC Avant Garde" w:eastAsia="Arial Unicode MS" w:hAnsi="ITC Avant Garde" w:cs="Arial"/>
          <w:bCs/>
          <w:u w:color="000000"/>
          <w:bdr w:val="nil"/>
          <w:lang w:val="es-ES_tradnl"/>
        </w:rPr>
        <w:t>Se instruye a la Unidad de Espectro Radioeléctrico para que notifique electrónicamente, a través del SERP</w:t>
      </w:r>
      <w:r w:rsidR="00D97A46" w:rsidRPr="000B3EEE">
        <w:rPr>
          <w:rFonts w:ascii="ITC Avant Garde" w:eastAsia="Arial Unicode MS" w:hAnsi="ITC Avant Garde" w:cs="Arial"/>
          <w:bdr w:val="nil"/>
          <w:lang w:val="es-ES_tradnl"/>
        </w:rPr>
        <w:t>O, la presente Acta de Fallo al Participante Ganador Cadena Radiópolis, S.A. de C.V.</w:t>
      </w:r>
    </w:p>
    <w:p w14:paraId="085065E1" w14:textId="77777777" w:rsidR="00C676DE" w:rsidRPr="00C676DE" w:rsidRDefault="00C676DE" w:rsidP="00C676DE">
      <w:pPr>
        <w:pBdr>
          <w:top w:val="nil"/>
          <w:left w:val="nil"/>
          <w:bottom w:val="nil"/>
          <w:right w:val="nil"/>
          <w:between w:val="nil"/>
          <w:bar w:val="nil"/>
        </w:pBdr>
        <w:spacing w:line="240" w:lineRule="auto"/>
        <w:contextualSpacing/>
        <w:jc w:val="both"/>
        <w:rPr>
          <w:rFonts w:ascii="ITC Avant Garde" w:eastAsia="Arial Unicode MS" w:hAnsi="ITC Avant Garde" w:cs="Arial"/>
          <w:bdr w:val="nil"/>
          <w:lang w:val="es-ES_tradnl"/>
        </w:rPr>
      </w:pPr>
    </w:p>
    <w:p w14:paraId="2A6798D3" w14:textId="3721A2BA" w:rsidR="000B3EEE" w:rsidRPr="000B3EEE" w:rsidRDefault="00C676DE" w:rsidP="00C676DE">
      <w:pPr>
        <w:pBdr>
          <w:top w:val="nil"/>
          <w:left w:val="nil"/>
          <w:bottom w:val="nil"/>
          <w:right w:val="nil"/>
          <w:between w:val="nil"/>
          <w:bar w:val="nil"/>
        </w:pBdr>
        <w:spacing w:line="240" w:lineRule="auto"/>
        <w:contextualSpacing/>
        <w:jc w:val="both"/>
        <w:rPr>
          <w:rFonts w:ascii="ITC Avant Garde" w:eastAsia="Arial Unicode MS" w:hAnsi="ITC Avant Garde" w:cs="Arial"/>
          <w:bdr w:val="nil"/>
          <w:lang w:val="es-ES_tradnl"/>
        </w:rPr>
      </w:pPr>
      <w:r w:rsidRPr="00C676DE">
        <w:rPr>
          <w:rFonts w:ascii="ITC Avant Garde" w:eastAsia="Arial Unicode MS" w:hAnsi="ITC Avant Garde" w:cs="Arial"/>
          <w:b/>
          <w:bdr w:val="nil"/>
          <w:lang w:val="es-ES_tradnl"/>
        </w:rPr>
        <w:t>TERCERO.</w:t>
      </w:r>
      <w:r>
        <w:rPr>
          <w:rFonts w:ascii="ITC Avant Garde" w:eastAsia="Arial Unicode MS" w:hAnsi="ITC Avant Garde" w:cs="Arial"/>
          <w:bdr w:val="nil"/>
          <w:lang w:val="es-ES_tradnl"/>
        </w:rPr>
        <w:tab/>
      </w:r>
      <w:r w:rsidR="00824CCA" w:rsidRPr="000B3EEE">
        <w:rPr>
          <w:rFonts w:ascii="ITC Avant Garde" w:eastAsia="Arial Unicode MS" w:hAnsi="ITC Avant Garde" w:cs="Arial"/>
          <w:bdr w:val="nil"/>
          <w:lang w:val="es-ES_tradnl"/>
        </w:rPr>
        <w:t xml:space="preserve">Se instruye a la Unidad de Espectro Radioeléctrico para que, una vez que el Participante Ganador acredite el cumplimiento de las condiciones para la entrega de los títulos de concesión, establecidas en el </w:t>
      </w:r>
      <w:r w:rsidR="00824CCA" w:rsidRPr="000B3EEE">
        <w:rPr>
          <w:rFonts w:ascii="ITC Avant Garde" w:eastAsia="Arial Unicode MS" w:hAnsi="ITC Avant Garde" w:cs="Arial"/>
          <w:b/>
          <w:bdr w:val="nil"/>
          <w:lang w:val="es-ES_tradnl"/>
        </w:rPr>
        <w:t xml:space="preserve">Considerando CUARTO </w:t>
      </w:r>
      <w:r w:rsidR="00824CCA" w:rsidRPr="000B3EEE">
        <w:rPr>
          <w:rFonts w:ascii="ITC Avant Garde" w:eastAsia="Arial Unicode MS" w:hAnsi="ITC Avant Garde" w:cs="Arial"/>
          <w:bdr w:val="nil"/>
          <w:lang w:val="es-ES_tradnl"/>
        </w:rPr>
        <w:t xml:space="preserve">de la presente Resolución, en coordinación con la Unidad de Concesiones y Servicios, lleve a cabo </w:t>
      </w:r>
      <w:r w:rsidR="00824CCA" w:rsidRPr="000B3EEE">
        <w:rPr>
          <w:rFonts w:ascii="ITC Avant Garde" w:eastAsia="Arial Unicode MS" w:hAnsi="ITC Avant Garde" w:cs="Arial"/>
          <w:bdr w:val="none" w:sz="0" w:space="0" w:color="auto" w:frame="1"/>
          <w:lang w:val="es-ES_tradnl"/>
        </w:rPr>
        <w:t xml:space="preserve">los actos necesarios para que el Comisionado Presidente del Instituto, con base en las facultades que le confiere el artículo 14 fracción X del Estatuto Orgánico, suscriba </w:t>
      </w:r>
      <w:r w:rsidR="00824CCA" w:rsidRPr="000B3EEE">
        <w:rPr>
          <w:rFonts w:ascii="ITC Avant Garde" w:eastAsia="Arial Unicode MS" w:hAnsi="ITC Avant Garde" w:cs="Arial"/>
          <w:bdr w:val="nil"/>
          <w:lang w:val="es-ES_tradnl"/>
        </w:rPr>
        <w:t>el título de Concesión de Espectro Radioeléctrico para Uso Comercial, así como un título de Concesión Única para Uso Comercial, a menos que ya cuente con este último.</w:t>
      </w:r>
    </w:p>
    <w:p w14:paraId="206C9150" w14:textId="77777777" w:rsidR="00C676DE" w:rsidRPr="00C676DE" w:rsidRDefault="00C676DE" w:rsidP="00C676DE">
      <w:pPr>
        <w:pBdr>
          <w:top w:val="nil"/>
          <w:left w:val="nil"/>
          <w:bottom w:val="nil"/>
          <w:right w:val="nil"/>
          <w:between w:val="nil"/>
          <w:bar w:val="nil"/>
        </w:pBdr>
        <w:spacing w:line="240" w:lineRule="auto"/>
        <w:contextualSpacing/>
        <w:jc w:val="both"/>
        <w:rPr>
          <w:rFonts w:ascii="ITC Avant Garde" w:hAnsi="ITC Avant Garde" w:cs="Arial"/>
        </w:rPr>
      </w:pPr>
    </w:p>
    <w:p w14:paraId="514ABF49" w14:textId="1A30D4FF" w:rsidR="000B3EEE" w:rsidRPr="000B3EEE" w:rsidRDefault="00C676DE" w:rsidP="00C676DE">
      <w:pPr>
        <w:pBdr>
          <w:top w:val="nil"/>
          <w:left w:val="nil"/>
          <w:bottom w:val="nil"/>
          <w:right w:val="nil"/>
          <w:between w:val="nil"/>
          <w:bar w:val="nil"/>
        </w:pBdr>
        <w:spacing w:line="240" w:lineRule="auto"/>
        <w:contextualSpacing/>
        <w:jc w:val="both"/>
        <w:rPr>
          <w:rFonts w:ascii="ITC Avant Garde" w:eastAsia="Arial Unicode MS" w:hAnsi="ITC Avant Garde" w:cs="Arial"/>
          <w:b/>
          <w:u w:color="000000"/>
          <w:bdr w:val="nil"/>
          <w:lang w:val="es-ES_tradnl"/>
        </w:rPr>
      </w:pPr>
      <w:r w:rsidRPr="00C676DE">
        <w:rPr>
          <w:rFonts w:ascii="ITC Avant Garde" w:hAnsi="ITC Avant Garde" w:cs="Arial"/>
          <w:b/>
        </w:rPr>
        <w:t>CUARTO.</w:t>
      </w:r>
      <w:r>
        <w:rPr>
          <w:rFonts w:ascii="ITC Avant Garde" w:hAnsi="ITC Avant Garde" w:cs="Arial"/>
        </w:rPr>
        <w:tab/>
        <w:t>S</w:t>
      </w:r>
      <w:r w:rsidR="00D97A46" w:rsidRPr="000B3EEE">
        <w:rPr>
          <w:rFonts w:ascii="ITC Avant Garde" w:hAnsi="ITC Avant Garde" w:cs="Arial"/>
        </w:rPr>
        <w:t xml:space="preserve">e instruye a la Unidad de Espectro Radioeléctrico, a efecto de que, conforme a lo establecido en las Bases, libere las Garantías de Seriedad de los Participantes no ganadores conforme a los supuestos previstos en el </w:t>
      </w:r>
      <w:r w:rsidR="00D97A46" w:rsidRPr="000B3EEE">
        <w:rPr>
          <w:rFonts w:ascii="ITC Avant Garde" w:hAnsi="ITC Avant Garde" w:cs="Arial"/>
          <w:b/>
        </w:rPr>
        <w:t>Considerando QUINTO</w:t>
      </w:r>
      <w:r w:rsidR="00D97A46" w:rsidRPr="000B3EEE">
        <w:rPr>
          <w:rFonts w:ascii="ITC Avant Garde" w:hAnsi="ITC Avant Garde" w:cs="Arial"/>
        </w:rPr>
        <w:t xml:space="preserve"> de la presente Resolución</w:t>
      </w:r>
      <w:r w:rsidR="007A41FF">
        <w:rPr>
          <w:rFonts w:ascii="ITC Avant Garde" w:hAnsi="ITC Avant Garde" w:cs="Arial"/>
        </w:rPr>
        <w:t>.</w:t>
      </w:r>
    </w:p>
    <w:p w14:paraId="34087780" w14:textId="77777777" w:rsidR="007A41FF" w:rsidRDefault="007A41FF" w:rsidP="00C676DE">
      <w:pPr>
        <w:pBdr>
          <w:top w:val="nil"/>
          <w:left w:val="nil"/>
          <w:bottom w:val="nil"/>
          <w:right w:val="nil"/>
          <w:between w:val="nil"/>
          <w:bar w:val="nil"/>
        </w:pBdr>
        <w:spacing w:line="240" w:lineRule="auto"/>
        <w:contextualSpacing/>
        <w:jc w:val="both"/>
        <w:rPr>
          <w:rFonts w:ascii="ITC Avant Garde" w:hAnsi="ITC Avant Garde" w:cs="Arial"/>
          <w:b/>
        </w:rPr>
      </w:pPr>
    </w:p>
    <w:p w14:paraId="5118DB32" w14:textId="5D2F3A54" w:rsidR="000B3EEE" w:rsidRPr="000B3EEE" w:rsidRDefault="00C676DE" w:rsidP="00C676DE">
      <w:pPr>
        <w:pBdr>
          <w:top w:val="nil"/>
          <w:left w:val="nil"/>
          <w:bottom w:val="nil"/>
          <w:right w:val="nil"/>
          <w:between w:val="nil"/>
          <w:bar w:val="nil"/>
        </w:pBdr>
        <w:spacing w:line="240" w:lineRule="auto"/>
        <w:contextualSpacing/>
        <w:jc w:val="both"/>
        <w:rPr>
          <w:rFonts w:ascii="ITC Avant Garde" w:eastAsia="Arial Unicode MS" w:hAnsi="ITC Avant Garde" w:cs="Arial"/>
          <w:b/>
          <w:u w:color="000000"/>
          <w:bdr w:val="nil"/>
          <w:lang w:val="es-ES_tradnl"/>
        </w:rPr>
      </w:pPr>
      <w:r w:rsidRPr="00C676DE">
        <w:rPr>
          <w:rFonts w:ascii="ITC Avant Garde" w:hAnsi="ITC Avant Garde" w:cs="Arial"/>
          <w:b/>
        </w:rPr>
        <w:t>QUINTO.</w:t>
      </w:r>
      <w:r>
        <w:rPr>
          <w:rFonts w:ascii="ITC Avant Garde" w:hAnsi="ITC Avant Garde" w:cs="Arial"/>
        </w:rPr>
        <w:tab/>
      </w:r>
      <w:r w:rsidR="00D97A46" w:rsidRPr="000B3EEE">
        <w:rPr>
          <w:rFonts w:ascii="ITC Avant Garde" w:hAnsi="ITC Avant Garde" w:cs="Arial"/>
        </w:rPr>
        <w:t xml:space="preserve">Se instruye a la Unidad de Espectro Radioeléctrico para que, en coordinación con la Secretaria Técnica del Pleno, realice las gestiones necesarias a efecto de publicar </w:t>
      </w:r>
      <w:r w:rsidR="00D97A46" w:rsidRPr="000B3EEE">
        <w:rPr>
          <w:rFonts w:ascii="ITC Avant Garde" w:hAnsi="ITC Avant Garde"/>
          <w:lang w:eastAsia="es-MX"/>
        </w:rPr>
        <w:t>la presente Acta de Fallo</w:t>
      </w:r>
      <w:r w:rsidR="00D97A46" w:rsidRPr="000B3EEE">
        <w:rPr>
          <w:rFonts w:ascii="ITC Avant Garde" w:eastAsia="Arial Unicode MS" w:hAnsi="ITC Avant Garde" w:cs="Arial Unicode MS"/>
          <w:u w:color="000000"/>
          <w:bdr w:val="nil"/>
          <w:lang w:val="es-ES_tradnl"/>
        </w:rPr>
        <w:t xml:space="preserve"> </w:t>
      </w:r>
      <w:r w:rsidR="00D97A46" w:rsidRPr="000B3EEE">
        <w:rPr>
          <w:rFonts w:ascii="ITC Avant Garde" w:hAnsi="ITC Avant Garde"/>
        </w:rPr>
        <w:t xml:space="preserve">en el portal de Internet del Instituto, </w:t>
      </w:r>
      <w:r w:rsidR="00D97A46" w:rsidRPr="000B3EEE">
        <w:rPr>
          <w:rFonts w:ascii="ITC Avant Garde" w:eastAsia="Arial Unicode MS" w:hAnsi="ITC Avant Garde" w:cs="Arial"/>
          <w:u w:color="000000"/>
          <w:bdr w:val="nil"/>
          <w:lang w:val="es-ES_tradnl"/>
        </w:rPr>
        <w:t>una vez que haya sido notificada al Participante Ganador.</w:t>
      </w:r>
    </w:p>
    <w:p w14:paraId="77DDA186" w14:textId="77777777" w:rsidR="00C676DE" w:rsidRPr="00C676DE" w:rsidRDefault="00C676DE" w:rsidP="00C676DE">
      <w:pPr>
        <w:pBdr>
          <w:top w:val="nil"/>
          <w:left w:val="nil"/>
          <w:bottom w:val="nil"/>
          <w:right w:val="nil"/>
          <w:between w:val="nil"/>
          <w:bar w:val="nil"/>
        </w:pBdr>
        <w:spacing w:line="240" w:lineRule="auto"/>
        <w:contextualSpacing/>
        <w:jc w:val="both"/>
        <w:rPr>
          <w:rFonts w:ascii="ITC Avant Garde" w:hAnsi="ITC Avant Garde" w:cs="Arial"/>
        </w:rPr>
      </w:pPr>
    </w:p>
    <w:p w14:paraId="5511ECBE" w14:textId="69ECF26F" w:rsidR="000B3EEE" w:rsidRPr="000B3EEE" w:rsidRDefault="00C676DE" w:rsidP="00C676DE">
      <w:pPr>
        <w:pBdr>
          <w:top w:val="nil"/>
          <w:left w:val="nil"/>
          <w:bottom w:val="nil"/>
          <w:right w:val="nil"/>
          <w:between w:val="nil"/>
          <w:bar w:val="nil"/>
        </w:pBdr>
        <w:spacing w:line="240" w:lineRule="auto"/>
        <w:contextualSpacing/>
        <w:jc w:val="both"/>
        <w:rPr>
          <w:rFonts w:ascii="ITC Avant Garde" w:eastAsia="Arial Unicode MS" w:hAnsi="ITC Avant Garde" w:cs="Arial"/>
          <w:b/>
          <w:u w:color="000000"/>
          <w:bdr w:val="nil"/>
          <w:lang w:val="es-ES_tradnl"/>
        </w:rPr>
      </w:pPr>
      <w:r w:rsidRPr="00C676DE">
        <w:rPr>
          <w:rFonts w:ascii="ITC Avant Garde" w:hAnsi="ITC Avant Garde" w:cs="Arial"/>
          <w:b/>
        </w:rPr>
        <w:t>SEXTO.</w:t>
      </w:r>
      <w:r w:rsidRPr="00C676DE">
        <w:rPr>
          <w:rFonts w:ascii="ITC Avant Garde" w:hAnsi="ITC Avant Garde" w:cs="Arial"/>
          <w:b/>
        </w:rPr>
        <w:tab/>
      </w:r>
      <w:r>
        <w:rPr>
          <w:rFonts w:ascii="ITC Avant Garde" w:hAnsi="ITC Avant Garde" w:cs="Arial"/>
        </w:rPr>
        <w:tab/>
      </w:r>
      <w:r w:rsidR="006357AC" w:rsidRPr="000B3EEE">
        <w:rPr>
          <w:rFonts w:ascii="ITC Avant Garde" w:hAnsi="ITC Avant Garde" w:cs="Arial"/>
        </w:rPr>
        <w:t xml:space="preserve">Se hace del conocimiento del Interesado, que la presente Resolución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w:t>
      </w:r>
      <w:r w:rsidR="006357AC" w:rsidRPr="000B3EEE">
        <w:rPr>
          <w:rFonts w:ascii="ITC Avant Garde" w:hAnsi="ITC Avant Garde" w:cs="Arial"/>
        </w:rPr>
        <w:lastRenderedPageBreak/>
        <w:t>contados a partir de que surta efectos la notificación del presente Acuerdo, en términos del artículo 17, párrafo primero de la Ley de Amparo, Reglamentaria de los artículos 103 y 107 de la Constitución Política de los Estados Unidos Mexicanos.</w:t>
      </w:r>
    </w:p>
    <w:p w14:paraId="20CC4EED" w14:textId="77777777" w:rsidR="005B4A97" w:rsidRPr="000B3EEE" w:rsidRDefault="005B4A97" w:rsidP="00B43814">
      <w:pPr>
        <w:pStyle w:val="Prrafodelista"/>
        <w:spacing w:before="240" w:after="200"/>
        <w:ind w:left="0"/>
        <w:jc w:val="both"/>
        <w:rPr>
          <w:rFonts w:ascii="Times New Roman" w:hAnsi="Times New Roman"/>
          <w:sz w:val="14"/>
          <w:szCs w:val="14"/>
          <w:lang w:val="es-ES_tradnl"/>
        </w:rPr>
      </w:pPr>
      <w:r w:rsidRPr="000B3EEE">
        <w:rPr>
          <w:rFonts w:ascii="ITC Avant Garde" w:hAnsi="ITC Avant Garde"/>
          <w:sz w:val="14"/>
          <w:szCs w:val="14"/>
          <w:lang w:val="es-ES_tradnl"/>
        </w:rPr>
        <w:t xml:space="preserve">La presente Resolución fue aprobada por el Pleno del Instituto Federal de Telecomunicaciones en su XII Sesión Ordinaria celebrada el 22 de marzo de 2017, </w:t>
      </w:r>
      <w:r w:rsidRPr="000B3EEE">
        <w:rPr>
          <w:rFonts w:ascii="ITC Avant Garde" w:hAnsi="ITC Avant Garde"/>
          <w:bCs/>
          <w:sz w:val="14"/>
          <w:szCs w:val="14"/>
          <w:lang w:val="es-ES_tradnl"/>
        </w:rPr>
        <w:t>por unanimidad</w:t>
      </w:r>
      <w:r w:rsidRPr="000B3EEE">
        <w:rPr>
          <w:rFonts w:ascii="ITC Avant Garde" w:hAnsi="ITC Avant Garde"/>
          <w:sz w:val="14"/>
          <w:szCs w:val="14"/>
          <w:lang w:val="es-ES_tradnl"/>
        </w:rPr>
        <w:t xml:space="preserve"> de votos de los Comisionados Gabriel Oswaldo Contreras Saldívar,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P/IFT/220317/149.</w:t>
      </w:r>
    </w:p>
    <w:p w14:paraId="532CA1CA" w14:textId="14B01CBA" w:rsidR="00D26EDF" w:rsidRPr="000B3EEE" w:rsidRDefault="005B4A97" w:rsidP="00B43814">
      <w:pPr>
        <w:pStyle w:val="N1IFT"/>
        <w:spacing w:line="240" w:lineRule="auto"/>
        <w:rPr>
          <w:color w:val="auto"/>
          <w:sz w:val="14"/>
          <w:szCs w:val="14"/>
          <w:lang w:val="es-ES_tradnl"/>
        </w:rPr>
      </w:pPr>
      <w:r w:rsidRPr="000B3EEE">
        <w:rPr>
          <w:b w:val="0"/>
          <w:bCs w:val="0"/>
          <w:color w:val="auto"/>
          <w:sz w:val="14"/>
          <w:szCs w:val="14"/>
          <w:lang w:val="es-ES"/>
        </w:rPr>
        <w:t>La Comisionada Adriana Sofía Labardini Inzunza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D26EDF" w:rsidRPr="000B3EEE" w:rsidSect="00D26EDF">
      <w:headerReference w:type="even" r:id="rId13"/>
      <w:footerReference w:type="default" r:id="rId14"/>
      <w:headerReference w:type="first" r:id="rId15"/>
      <w:pgSz w:w="12240" w:h="15840"/>
      <w:pgMar w:top="1843" w:right="1608"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5548D" w14:textId="77777777" w:rsidR="00AA6C7D" w:rsidRDefault="00AA6C7D">
      <w:pPr>
        <w:spacing w:after="0" w:line="240" w:lineRule="auto"/>
      </w:pPr>
      <w:r>
        <w:separator/>
      </w:r>
    </w:p>
  </w:endnote>
  <w:endnote w:type="continuationSeparator" w:id="0">
    <w:p w14:paraId="56C36E41" w14:textId="77777777" w:rsidR="00AA6C7D" w:rsidRDefault="00AA6C7D">
      <w:pPr>
        <w:spacing w:after="0" w:line="240" w:lineRule="auto"/>
      </w:pPr>
      <w:r>
        <w:continuationSeparator/>
      </w:r>
    </w:p>
  </w:endnote>
  <w:endnote w:type="continuationNotice" w:id="1">
    <w:p w14:paraId="47D45C42" w14:textId="77777777" w:rsidR="00AA6C7D" w:rsidRDefault="00AA6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Avant Garde">
    <w:altName w:val="ITC Avant Garde"/>
    <w:panose1 w:val="020B0402020203020304"/>
    <w:charset w:val="00"/>
    <w:family w:val="swiss"/>
    <w:pitch w:val="variable"/>
    <w:sig w:usb0="00000007" w:usb1="00000000" w:usb2="00000000" w:usb3="00000000" w:csb0="00000093" w:csb1="00000000"/>
  </w:font>
  <w:font w:name="Helvetica Neue">
    <w:charset w:val="00"/>
    <w:family w:val="auto"/>
    <w:pitch w:val="variable"/>
    <w:sig w:usb0="8000006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117625"/>
      <w:docPartObj>
        <w:docPartGallery w:val="Page Numbers (Bottom of Page)"/>
        <w:docPartUnique/>
      </w:docPartObj>
    </w:sdtPr>
    <w:sdtEndPr>
      <w:rPr>
        <w:rFonts w:ascii="ITC Avant Garde" w:hAnsi="ITC Avant Garde"/>
        <w:sz w:val="20"/>
        <w:szCs w:val="20"/>
      </w:rPr>
    </w:sdtEndPr>
    <w:sdtContent>
      <w:p w14:paraId="10C28292" w14:textId="77777777" w:rsidR="000B3EEE" w:rsidRDefault="001776BE">
        <w:pPr>
          <w:pStyle w:val="Piedepgina"/>
          <w:jc w:val="right"/>
          <w:rPr>
            <w:rFonts w:ascii="ITC Avant Garde" w:hAnsi="ITC Avant Garde"/>
            <w:sz w:val="20"/>
            <w:szCs w:val="20"/>
          </w:rPr>
        </w:pPr>
        <w:r w:rsidRPr="001776BE">
          <w:rPr>
            <w:rFonts w:ascii="ITC Avant Garde" w:hAnsi="ITC Avant Garde"/>
            <w:sz w:val="20"/>
            <w:szCs w:val="20"/>
          </w:rPr>
          <w:fldChar w:fldCharType="begin"/>
        </w:r>
        <w:r w:rsidRPr="001776BE">
          <w:rPr>
            <w:rFonts w:ascii="ITC Avant Garde" w:hAnsi="ITC Avant Garde"/>
            <w:sz w:val="20"/>
            <w:szCs w:val="20"/>
          </w:rPr>
          <w:instrText>PAGE   \* MERGEFORMAT</w:instrText>
        </w:r>
        <w:r w:rsidRPr="001776BE">
          <w:rPr>
            <w:rFonts w:ascii="ITC Avant Garde" w:hAnsi="ITC Avant Garde"/>
            <w:sz w:val="20"/>
            <w:szCs w:val="20"/>
          </w:rPr>
          <w:fldChar w:fldCharType="separate"/>
        </w:r>
        <w:r w:rsidR="00532EE0" w:rsidRPr="00532EE0">
          <w:rPr>
            <w:rFonts w:ascii="ITC Avant Garde" w:hAnsi="ITC Avant Garde"/>
            <w:noProof/>
            <w:sz w:val="20"/>
            <w:szCs w:val="20"/>
            <w:lang w:val="es-ES"/>
          </w:rPr>
          <w:t>1</w:t>
        </w:r>
        <w:r w:rsidRPr="001776BE">
          <w:rPr>
            <w:rFonts w:ascii="ITC Avant Garde" w:hAnsi="ITC Avant Garde"/>
            <w:sz w:val="20"/>
            <w:szCs w:val="20"/>
          </w:rPr>
          <w:fldChar w:fldCharType="end"/>
        </w:r>
      </w:p>
    </w:sdtContent>
  </w:sdt>
  <w:p w14:paraId="201EB091" w14:textId="129F9FCF" w:rsidR="00455FDB" w:rsidRDefault="00455FDB" w:rsidP="001F2FA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37B8D" w14:textId="77777777" w:rsidR="00AA6C7D" w:rsidRDefault="00AA6C7D">
      <w:pPr>
        <w:spacing w:after="0" w:line="240" w:lineRule="auto"/>
      </w:pPr>
      <w:r>
        <w:separator/>
      </w:r>
    </w:p>
  </w:footnote>
  <w:footnote w:type="continuationSeparator" w:id="0">
    <w:p w14:paraId="606502CB" w14:textId="77777777" w:rsidR="00AA6C7D" w:rsidRDefault="00AA6C7D">
      <w:pPr>
        <w:spacing w:after="0" w:line="240" w:lineRule="auto"/>
      </w:pPr>
      <w:r>
        <w:continuationSeparator/>
      </w:r>
    </w:p>
  </w:footnote>
  <w:footnote w:type="continuationNotice" w:id="1">
    <w:p w14:paraId="2A097F51" w14:textId="77777777" w:rsidR="00AA6C7D" w:rsidRDefault="00AA6C7D">
      <w:pPr>
        <w:spacing w:after="0" w:line="240" w:lineRule="auto"/>
      </w:pPr>
    </w:p>
  </w:footnote>
  <w:footnote w:id="2">
    <w:p w14:paraId="6903015F" w14:textId="77777777" w:rsidR="00455FDB" w:rsidRPr="00702127" w:rsidRDefault="00455FDB">
      <w:pPr>
        <w:pStyle w:val="Textonotapie"/>
        <w:rPr>
          <w:rFonts w:ascii="ITC Avant Garde" w:hAnsi="ITC Avant Garde"/>
          <w:sz w:val="16"/>
          <w:szCs w:val="16"/>
        </w:rPr>
      </w:pPr>
      <w:r w:rsidRPr="00702127">
        <w:rPr>
          <w:rStyle w:val="Refdenotaalpie"/>
          <w:rFonts w:ascii="ITC Avant Garde" w:hAnsi="ITC Avant Garde"/>
          <w:sz w:val="16"/>
          <w:szCs w:val="16"/>
        </w:rPr>
        <w:footnoteRef/>
      </w:r>
      <w:r w:rsidRPr="00702127">
        <w:rPr>
          <w:rFonts w:ascii="ITC Avant Garde" w:hAnsi="ITC Avant Garde"/>
          <w:sz w:val="16"/>
          <w:szCs w:val="16"/>
        </w:rPr>
        <w:t xml:space="preserve"> Los términos utilizados en la presente Acta de Fallo corresponden a las definiciones previstas en la Bases.</w:t>
      </w:r>
    </w:p>
  </w:footnote>
  <w:footnote w:id="3">
    <w:p w14:paraId="33589286" w14:textId="146E358B" w:rsidR="00455FDB" w:rsidRPr="00702127" w:rsidRDefault="00455FDB">
      <w:pPr>
        <w:pStyle w:val="Textonotapie"/>
        <w:rPr>
          <w:rFonts w:ascii="ITC Avant Garde" w:hAnsi="ITC Avant Garde"/>
          <w:sz w:val="16"/>
          <w:szCs w:val="16"/>
        </w:rPr>
      </w:pPr>
      <w:r w:rsidRPr="00702127">
        <w:rPr>
          <w:rStyle w:val="Refdenotaalpie"/>
          <w:rFonts w:ascii="ITC Avant Garde" w:hAnsi="ITC Avant Garde"/>
          <w:sz w:val="16"/>
          <w:szCs w:val="16"/>
        </w:rPr>
        <w:footnoteRef/>
      </w:r>
      <w:r w:rsidRPr="00702127">
        <w:rPr>
          <w:rFonts w:ascii="ITC Avant Garde" w:hAnsi="ITC Avant Garde"/>
          <w:sz w:val="16"/>
          <w:szCs w:val="16"/>
        </w:rPr>
        <w:t xml:space="preserve"> </w:t>
      </w:r>
      <w:r w:rsidRPr="00A31B8C">
        <w:rPr>
          <w:rFonts w:ascii="ITC Avant Garde" w:hAnsi="ITC Avant Garde"/>
          <w:sz w:val="16"/>
          <w:szCs w:val="16"/>
        </w:rPr>
        <w:t xml:space="preserve">Conforme al </w:t>
      </w:r>
      <w:r>
        <w:rPr>
          <w:rFonts w:ascii="ITC Avant Garde" w:hAnsi="ITC Avant Garde"/>
          <w:sz w:val="16"/>
          <w:szCs w:val="16"/>
        </w:rPr>
        <w:t>número de Lote y las características técnicas establecidas en el numeral 3 de las Bases</w:t>
      </w:r>
      <w:r w:rsidRPr="00A31B8C">
        <w:rPr>
          <w:rFonts w:ascii="ITC Avant Garde" w:hAnsi="ITC Avant Garde"/>
          <w:sz w:val="16"/>
          <w:szCs w:val="16"/>
        </w:rPr>
        <w:t>.</w:t>
      </w:r>
    </w:p>
  </w:footnote>
  <w:footnote w:id="4">
    <w:p w14:paraId="67F9DF91" w14:textId="77777777" w:rsidR="00455FDB" w:rsidRPr="00702127" w:rsidRDefault="00455FDB">
      <w:pPr>
        <w:pStyle w:val="Textonotapie"/>
        <w:rPr>
          <w:rFonts w:ascii="ITC Avant Garde" w:hAnsi="ITC Avant Garde"/>
          <w:sz w:val="16"/>
          <w:szCs w:val="16"/>
        </w:rPr>
      </w:pPr>
      <w:r w:rsidRPr="00702127">
        <w:rPr>
          <w:rStyle w:val="Refdenotaalpie"/>
          <w:rFonts w:ascii="ITC Avant Garde" w:hAnsi="ITC Avant Garde"/>
          <w:sz w:val="16"/>
          <w:szCs w:val="16"/>
        </w:rPr>
        <w:footnoteRef/>
      </w:r>
      <w:r w:rsidRPr="00702127">
        <w:rPr>
          <w:rFonts w:ascii="ITC Avant Garde" w:hAnsi="ITC Avant Garde"/>
          <w:sz w:val="16"/>
          <w:szCs w:val="16"/>
        </w:rPr>
        <w:t xml:space="preserve"> El puntaje se determinó conforme a la fórmula de evaluación prevista en el numeral 4 del Apéndice B de las Bases.</w:t>
      </w:r>
    </w:p>
  </w:footnote>
  <w:footnote w:id="5">
    <w:p w14:paraId="4A808450" w14:textId="77777777" w:rsidR="00455FDB" w:rsidRPr="00A31B8C" w:rsidRDefault="00455FDB">
      <w:pPr>
        <w:pStyle w:val="Textonotapie"/>
        <w:rPr>
          <w:rFonts w:ascii="ITC Avant Garde" w:hAnsi="ITC Avant Garde"/>
          <w:sz w:val="16"/>
          <w:szCs w:val="16"/>
        </w:rPr>
      </w:pPr>
      <w:r w:rsidRPr="00A31B8C">
        <w:rPr>
          <w:rStyle w:val="Refdenotaalpie"/>
          <w:rFonts w:ascii="ITC Avant Garde" w:hAnsi="ITC Avant Garde"/>
          <w:sz w:val="16"/>
          <w:szCs w:val="16"/>
        </w:rPr>
        <w:footnoteRef/>
      </w:r>
      <w:r w:rsidRPr="00A31B8C">
        <w:rPr>
          <w:rFonts w:ascii="ITC Avant Garde" w:hAnsi="ITC Avant Garde"/>
          <w:sz w:val="16"/>
          <w:szCs w:val="16"/>
        </w:rPr>
        <w:t xml:space="preserve"> Incentivo del 15% (por ciento) </w:t>
      </w:r>
    </w:p>
  </w:footnote>
  <w:footnote w:id="6">
    <w:p w14:paraId="59B11383" w14:textId="77777777" w:rsidR="00455FDB" w:rsidRPr="00A31B8C" w:rsidRDefault="00455FDB">
      <w:pPr>
        <w:pStyle w:val="Textonotapie"/>
        <w:rPr>
          <w:rFonts w:ascii="ITC Avant Garde" w:hAnsi="ITC Avant Garde"/>
          <w:sz w:val="16"/>
          <w:szCs w:val="16"/>
        </w:rPr>
      </w:pPr>
      <w:r w:rsidRPr="00A31B8C">
        <w:rPr>
          <w:rStyle w:val="Refdenotaalpie"/>
          <w:rFonts w:ascii="ITC Avant Garde" w:hAnsi="ITC Avant Garde"/>
          <w:sz w:val="16"/>
          <w:szCs w:val="16"/>
        </w:rPr>
        <w:footnoteRef/>
      </w:r>
      <w:r w:rsidRPr="00A31B8C">
        <w:rPr>
          <w:rFonts w:ascii="ITC Avant Garde" w:hAnsi="ITC Avant Garde"/>
          <w:sz w:val="16"/>
          <w:szCs w:val="16"/>
        </w:rPr>
        <w:t xml:space="preserve"> Incentivo del 3% (por ciento)</w:t>
      </w:r>
    </w:p>
  </w:footnote>
  <w:footnote w:id="7">
    <w:p w14:paraId="6D086ABA" w14:textId="6308C35A" w:rsidR="00455FDB" w:rsidRPr="00702127" w:rsidRDefault="00455FDB" w:rsidP="00C122BC">
      <w:pPr>
        <w:pStyle w:val="Textonotapie"/>
        <w:rPr>
          <w:rFonts w:ascii="ITC Avant Garde" w:hAnsi="ITC Avant Garde"/>
          <w:sz w:val="16"/>
          <w:szCs w:val="16"/>
        </w:rPr>
      </w:pPr>
      <w:r w:rsidRPr="00702127">
        <w:rPr>
          <w:rStyle w:val="Refdenotaalpie"/>
          <w:rFonts w:ascii="ITC Avant Garde" w:hAnsi="ITC Avant Garde"/>
          <w:sz w:val="16"/>
          <w:szCs w:val="16"/>
        </w:rPr>
        <w:footnoteRef/>
      </w:r>
      <w:r w:rsidRPr="00702127">
        <w:rPr>
          <w:rFonts w:ascii="ITC Avant Garde" w:hAnsi="ITC Avant Garde"/>
          <w:sz w:val="16"/>
          <w:szCs w:val="16"/>
        </w:rPr>
        <w:t xml:space="preserve"> </w:t>
      </w:r>
      <w:r w:rsidRPr="00A31B8C">
        <w:rPr>
          <w:rFonts w:ascii="ITC Avant Garde" w:hAnsi="ITC Avant Garde"/>
          <w:sz w:val="16"/>
          <w:szCs w:val="16"/>
        </w:rPr>
        <w:t xml:space="preserve">Conforme al </w:t>
      </w:r>
      <w:r>
        <w:rPr>
          <w:rFonts w:ascii="ITC Avant Garde" w:hAnsi="ITC Avant Garde"/>
          <w:sz w:val="16"/>
          <w:szCs w:val="16"/>
        </w:rPr>
        <w:t>número de Lote y las características técnicas establecidas en el numeral 3 de las Bases</w:t>
      </w:r>
      <w:r w:rsidRPr="00A31B8C">
        <w:rPr>
          <w:rFonts w:ascii="ITC Avant Garde" w:hAnsi="ITC Avant Garde"/>
          <w:sz w:val="16"/>
          <w:szCs w:val="16"/>
        </w:rPr>
        <w:t>.</w:t>
      </w:r>
    </w:p>
  </w:footnote>
  <w:footnote w:id="8">
    <w:p w14:paraId="76F34A04" w14:textId="77777777" w:rsidR="00455FDB" w:rsidRPr="00702127" w:rsidRDefault="00455FDB" w:rsidP="00C122BC">
      <w:pPr>
        <w:pStyle w:val="Textonotapie"/>
        <w:rPr>
          <w:rFonts w:ascii="ITC Avant Garde" w:hAnsi="ITC Avant Garde"/>
          <w:sz w:val="16"/>
          <w:szCs w:val="16"/>
        </w:rPr>
      </w:pPr>
      <w:r w:rsidRPr="00702127">
        <w:rPr>
          <w:rStyle w:val="Refdenotaalpie"/>
          <w:rFonts w:ascii="ITC Avant Garde" w:hAnsi="ITC Avant Garde"/>
          <w:sz w:val="16"/>
          <w:szCs w:val="16"/>
        </w:rPr>
        <w:footnoteRef/>
      </w:r>
      <w:r w:rsidRPr="00702127">
        <w:rPr>
          <w:rFonts w:ascii="ITC Avant Garde" w:hAnsi="ITC Avant Garde"/>
          <w:sz w:val="16"/>
          <w:szCs w:val="16"/>
        </w:rPr>
        <w:t xml:space="preserve"> El puntaje se determinó conforme a la fórmula de evaluación prevista en el numeral 4 del Apéndice B de las Bases.</w:t>
      </w:r>
    </w:p>
  </w:footnote>
  <w:footnote w:id="9">
    <w:p w14:paraId="6E6B83BF" w14:textId="77777777" w:rsidR="00455FDB" w:rsidRPr="00A31B8C" w:rsidRDefault="00455FDB" w:rsidP="00C122BC">
      <w:pPr>
        <w:pStyle w:val="Textonotapie"/>
        <w:rPr>
          <w:rFonts w:ascii="ITC Avant Garde" w:hAnsi="ITC Avant Garde"/>
          <w:sz w:val="16"/>
          <w:szCs w:val="16"/>
        </w:rPr>
      </w:pPr>
      <w:r w:rsidRPr="00A31B8C">
        <w:rPr>
          <w:rStyle w:val="Refdenotaalpie"/>
          <w:rFonts w:ascii="ITC Avant Garde" w:hAnsi="ITC Avant Garde"/>
          <w:sz w:val="16"/>
          <w:szCs w:val="16"/>
        </w:rPr>
        <w:footnoteRef/>
      </w:r>
      <w:r w:rsidRPr="00A31B8C">
        <w:rPr>
          <w:rFonts w:ascii="ITC Avant Garde" w:hAnsi="ITC Avant Garde"/>
          <w:sz w:val="16"/>
          <w:szCs w:val="16"/>
        </w:rPr>
        <w:t xml:space="preserve"> Incentivo del 15% (por ciento) </w:t>
      </w:r>
    </w:p>
  </w:footnote>
  <w:footnote w:id="10">
    <w:p w14:paraId="2DAA1FD0" w14:textId="77777777" w:rsidR="00455FDB" w:rsidRPr="00A31B8C" w:rsidRDefault="00455FDB" w:rsidP="00C122BC">
      <w:pPr>
        <w:pStyle w:val="Textonotapie"/>
        <w:rPr>
          <w:rFonts w:ascii="ITC Avant Garde" w:hAnsi="ITC Avant Garde"/>
          <w:sz w:val="16"/>
          <w:szCs w:val="16"/>
        </w:rPr>
      </w:pPr>
      <w:r w:rsidRPr="00A31B8C">
        <w:rPr>
          <w:rStyle w:val="Refdenotaalpie"/>
          <w:rFonts w:ascii="ITC Avant Garde" w:hAnsi="ITC Avant Garde"/>
          <w:sz w:val="16"/>
          <w:szCs w:val="16"/>
        </w:rPr>
        <w:footnoteRef/>
      </w:r>
      <w:r w:rsidRPr="00A31B8C">
        <w:rPr>
          <w:rFonts w:ascii="ITC Avant Garde" w:hAnsi="ITC Avant Garde"/>
          <w:sz w:val="16"/>
          <w:szCs w:val="16"/>
        </w:rPr>
        <w:t xml:space="preserve"> Incentivo del 3% (por ciento)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5E689" w14:textId="77777777" w:rsidR="00455FDB" w:rsidRDefault="00AA6C7D">
    <w:pPr>
      <w:pStyle w:val="Encabezado"/>
    </w:pPr>
    <w:r>
      <w:rPr>
        <w:noProof/>
        <w:lang w:eastAsia="es-MX"/>
      </w:rPr>
      <w:pict w14:anchorId="6386A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8D72B" w14:textId="77777777" w:rsidR="00455FDB" w:rsidRDefault="00AA6C7D">
    <w:pPr>
      <w:pStyle w:val="Encabezado"/>
    </w:pPr>
    <w:r>
      <w:rPr>
        <w:noProof/>
        <w:lang w:eastAsia="es-MX"/>
      </w:rPr>
      <w:pict w14:anchorId="6D156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93D1F5A"/>
    <w:multiLevelType w:val="hybridMultilevel"/>
    <w:tmpl w:val="26563786"/>
    <w:lvl w:ilvl="0" w:tplc="6DF4C4F0">
      <w:start w:val="1"/>
      <w:numFmt w:val="lowerLetter"/>
      <w:pStyle w:val="NormalIFT"/>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11">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1">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3" w15:restartNumberingAfterBreak="1">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4" w15:restartNumberingAfterBreak="1">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5"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7" w15:restartNumberingAfterBreak="0">
    <w:nsid w:val="2C84747A"/>
    <w:multiLevelType w:val="hybridMultilevel"/>
    <w:tmpl w:val="9E84B714"/>
    <w:lvl w:ilvl="0" w:tplc="080A0017">
      <w:start w:val="1"/>
      <w:numFmt w:val="lowerLetter"/>
      <w:lvlText w:val="%1)"/>
      <w:lvlJc w:val="left"/>
      <w:pPr>
        <w:ind w:left="2280" w:hanging="360"/>
      </w:p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328B40A8"/>
    <w:multiLevelType w:val="hybridMultilevel"/>
    <w:tmpl w:val="620A705E"/>
    <w:lvl w:ilvl="0" w:tplc="5960170E">
      <w:start w:val="1"/>
      <w:numFmt w:val="ordinalText"/>
      <w:lvlText w:val="%1."/>
      <w:lvlJc w:val="left"/>
      <w:pPr>
        <w:ind w:left="4188" w:hanging="360"/>
      </w:pPr>
      <w:rPr>
        <w:rFonts w:hint="default"/>
        <w:b/>
        <w:i w:val="0"/>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1" w15:restartNumberingAfterBreak="1">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2" w15:restartNumberingAfterBreak="1">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3" w15:restartNumberingAfterBreak="1">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4" w15:restartNumberingAfterBreak="1">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1">
    <w:nsid w:val="4DB157E5"/>
    <w:multiLevelType w:val="multilevel"/>
    <w:tmpl w:val="2BC20D32"/>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1">
    <w:nsid w:val="4F0530F9"/>
    <w:multiLevelType w:val="hybridMultilevel"/>
    <w:tmpl w:val="23D4CFE2"/>
    <w:lvl w:ilvl="0" w:tplc="9732D404">
      <w:start w:val="1"/>
      <w:numFmt w:val="decimal"/>
      <w:pStyle w:val="Cuadros"/>
      <w:suff w:val="space"/>
      <w:lvlText w:val="Cuadro %1."/>
      <w:lvlJc w:val="left"/>
      <w:pPr>
        <w:ind w:left="720" w:hanging="360"/>
      </w:pPr>
      <w:rPr>
        <w:rFonts w:ascii="ITC Avant Garde" w:hAnsi="ITC Avant Garde"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9" w15:restartNumberingAfterBreak="0">
    <w:nsid w:val="550D17AD"/>
    <w:multiLevelType w:val="hybridMultilevel"/>
    <w:tmpl w:val="F6C0D5B6"/>
    <w:lvl w:ilvl="0" w:tplc="080A0017">
      <w:start w:val="1"/>
      <w:numFmt w:val="lowerLetter"/>
      <w:lvlText w:val="%1)"/>
      <w:lvlJc w:val="left"/>
      <w:pPr>
        <w:ind w:left="2563" w:hanging="360"/>
      </w:p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20" w15:restartNumberingAfterBreak="1">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1"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1">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23"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1">
    <w:nsid w:val="779C6017"/>
    <w:multiLevelType w:val="hybridMultilevel"/>
    <w:tmpl w:val="4D40E512"/>
    <w:lvl w:ilvl="0" w:tplc="AE06C4CC">
      <w:start w:val="1"/>
      <w:numFmt w:val="ordinalText"/>
      <w:lvlText w:val="%1."/>
      <w:lvlJc w:val="left"/>
      <w:pPr>
        <w:ind w:left="360" w:hanging="360"/>
      </w:pPr>
      <w:rPr>
        <w:rFonts w:hint="default"/>
        <w:b/>
        <w:caps/>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6" w15:restartNumberingAfterBreak="1">
    <w:nsid w:val="7D9519FA"/>
    <w:multiLevelType w:val="hybridMultilevel"/>
    <w:tmpl w:val="DB3E78C2"/>
    <w:lvl w:ilvl="0" w:tplc="061E0D2C">
      <w:start w:val="1"/>
      <w:numFmt w:val="lowerRoman"/>
      <w:pStyle w:val="Ttulo6"/>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23"/>
  </w:num>
  <w:num w:numId="2">
    <w:abstractNumId w:val="24"/>
  </w:num>
  <w:num w:numId="3">
    <w:abstractNumId w:val="25"/>
  </w:num>
  <w:num w:numId="4">
    <w:abstractNumId w:val="6"/>
  </w:num>
  <w:num w:numId="5">
    <w:abstractNumId w:val="2"/>
  </w:num>
  <w:num w:numId="6">
    <w:abstractNumId w:val="11"/>
  </w:num>
  <w:num w:numId="7">
    <w:abstractNumId w:val="10"/>
  </w:num>
  <w:num w:numId="8">
    <w:abstractNumId w:val="4"/>
  </w:num>
  <w:num w:numId="9">
    <w:abstractNumId w:val="18"/>
  </w:num>
  <w:num w:numId="10">
    <w:abstractNumId w:val="14"/>
  </w:num>
  <w:num w:numId="11">
    <w:abstractNumId w:val="12"/>
  </w:num>
  <w:num w:numId="12">
    <w:abstractNumId w:val="3"/>
  </w:num>
  <w:num w:numId="13">
    <w:abstractNumId w:val="20"/>
  </w:num>
  <w:num w:numId="14">
    <w:abstractNumId w:val="13"/>
  </w:num>
  <w:num w:numId="15">
    <w:abstractNumId w:val="22"/>
  </w:num>
  <w:num w:numId="16">
    <w:abstractNumId w:val="26"/>
  </w:num>
  <w:num w:numId="17">
    <w:abstractNumId w:val="5"/>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8"/>
  </w:num>
  <w:num w:numId="25">
    <w:abstractNumId w:val="17"/>
  </w:num>
  <w:num w:numId="26">
    <w:abstractNumId w:val="7"/>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A4"/>
    <w:rsid w:val="00000643"/>
    <w:rsid w:val="00000B50"/>
    <w:rsid w:val="000018A7"/>
    <w:rsid w:val="00001E49"/>
    <w:rsid w:val="000038FC"/>
    <w:rsid w:val="0000529F"/>
    <w:rsid w:val="000052D7"/>
    <w:rsid w:val="00005931"/>
    <w:rsid w:val="000060AD"/>
    <w:rsid w:val="00006E12"/>
    <w:rsid w:val="0000710C"/>
    <w:rsid w:val="000078DE"/>
    <w:rsid w:val="000100F8"/>
    <w:rsid w:val="00010483"/>
    <w:rsid w:val="000119F2"/>
    <w:rsid w:val="00012B30"/>
    <w:rsid w:val="00013CCC"/>
    <w:rsid w:val="00013FE2"/>
    <w:rsid w:val="00015477"/>
    <w:rsid w:val="0001727D"/>
    <w:rsid w:val="00017B3C"/>
    <w:rsid w:val="00020012"/>
    <w:rsid w:val="000205B5"/>
    <w:rsid w:val="000227F5"/>
    <w:rsid w:val="00025847"/>
    <w:rsid w:val="000258B9"/>
    <w:rsid w:val="00025D29"/>
    <w:rsid w:val="00027A37"/>
    <w:rsid w:val="00030726"/>
    <w:rsid w:val="00030FBC"/>
    <w:rsid w:val="0003197F"/>
    <w:rsid w:val="00032589"/>
    <w:rsid w:val="00033E49"/>
    <w:rsid w:val="00034DC5"/>
    <w:rsid w:val="0003569E"/>
    <w:rsid w:val="00035CF5"/>
    <w:rsid w:val="00036792"/>
    <w:rsid w:val="00041443"/>
    <w:rsid w:val="00041BF3"/>
    <w:rsid w:val="00041D68"/>
    <w:rsid w:val="000431AF"/>
    <w:rsid w:val="000452ED"/>
    <w:rsid w:val="00045A87"/>
    <w:rsid w:val="00045D7C"/>
    <w:rsid w:val="00046C4E"/>
    <w:rsid w:val="00050A18"/>
    <w:rsid w:val="000514F0"/>
    <w:rsid w:val="00051812"/>
    <w:rsid w:val="00051AD9"/>
    <w:rsid w:val="00051C6F"/>
    <w:rsid w:val="0005301A"/>
    <w:rsid w:val="00054D28"/>
    <w:rsid w:val="00054F85"/>
    <w:rsid w:val="00055394"/>
    <w:rsid w:val="00056047"/>
    <w:rsid w:val="000577D6"/>
    <w:rsid w:val="00057DC5"/>
    <w:rsid w:val="00060004"/>
    <w:rsid w:val="0006018B"/>
    <w:rsid w:val="00060DB5"/>
    <w:rsid w:val="0006112B"/>
    <w:rsid w:val="0006279E"/>
    <w:rsid w:val="00062993"/>
    <w:rsid w:val="00063F59"/>
    <w:rsid w:val="000650EC"/>
    <w:rsid w:val="00066EAC"/>
    <w:rsid w:val="000674E4"/>
    <w:rsid w:val="0006762C"/>
    <w:rsid w:val="0006780C"/>
    <w:rsid w:val="00067DF7"/>
    <w:rsid w:val="0007137C"/>
    <w:rsid w:val="00072C49"/>
    <w:rsid w:val="00072C66"/>
    <w:rsid w:val="00074235"/>
    <w:rsid w:val="00074424"/>
    <w:rsid w:val="00074D29"/>
    <w:rsid w:val="000756A2"/>
    <w:rsid w:val="00075732"/>
    <w:rsid w:val="000768B8"/>
    <w:rsid w:val="000768FD"/>
    <w:rsid w:val="00077022"/>
    <w:rsid w:val="0008009E"/>
    <w:rsid w:val="00080185"/>
    <w:rsid w:val="000801BF"/>
    <w:rsid w:val="0008078D"/>
    <w:rsid w:val="00081076"/>
    <w:rsid w:val="00081E56"/>
    <w:rsid w:val="00081FEF"/>
    <w:rsid w:val="00084061"/>
    <w:rsid w:val="000851ED"/>
    <w:rsid w:val="000858C8"/>
    <w:rsid w:val="00086070"/>
    <w:rsid w:val="0008656B"/>
    <w:rsid w:val="0008759E"/>
    <w:rsid w:val="00087CB9"/>
    <w:rsid w:val="0009240D"/>
    <w:rsid w:val="0009452E"/>
    <w:rsid w:val="00094DC9"/>
    <w:rsid w:val="00095AAA"/>
    <w:rsid w:val="00096CF9"/>
    <w:rsid w:val="000A044C"/>
    <w:rsid w:val="000A14B4"/>
    <w:rsid w:val="000A1C24"/>
    <w:rsid w:val="000A24D5"/>
    <w:rsid w:val="000A3A64"/>
    <w:rsid w:val="000A3F09"/>
    <w:rsid w:val="000A4197"/>
    <w:rsid w:val="000A5113"/>
    <w:rsid w:val="000A5E2D"/>
    <w:rsid w:val="000A779C"/>
    <w:rsid w:val="000B0118"/>
    <w:rsid w:val="000B1214"/>
    <w:rsid w:val="000B1C3D"/>
    <w:rsid w:val="000B3EEE"/>
    <w:rsid w:val="000B5448"/>
    <w:rsid w:val="000B54B0"/>
    <w:rsid w:val="000B6157"/>
    <w:rsid w:val="000B6E71"/>
    <w:rsid w:val="000B7690"/>
    <w:rsid w:val="000C04E1"/>
    <w:rsid w:val="000C0627"/>
    <w:rsid w:val="000C1374"/>
    <w:rsid w:val="000C1C4D"/>
    <w:rsid w:val="000C27E6"/>
    <w:rsid w:val="000C2C6D"/>
    <w:rsid w:val="000C434A"/>
    <w:rsid w:val="000C6262"/>
    <w:rsid w:val="000C64E9"/>
    <w:rsid w:val="000C70EF"/>
    <w:rsid w:val="000C71BA"/>
    <w:rsid w:val="000C7295"/>
    <w:rsid w:val="000C769D"/>
    <w:rsid w:val="000C7B11"/>
    <w:rsid w:val="000D083E"/>
    <w:rsid w:val="000D0885"/>
    <w:rsid w:val="000D0B55"/>
    <w:rsid w:val="000D12B1"/>
    <w:rsid w:val="000D1E23"/>
    <w:rsid w:val="000D1F39"/>
    <w:rsid w:val="000D24AB"/>
    <w:rsid w:val="000D5661"/>
    <w:rsid w:val="000D5F85"/>
    <w:rsid w:val="000D77FE"/>
    <w:rsid w:val="000D7D33"/>
    <w:rsid w:val="000E381D"/>
    <w:rsid w:val="000E49F0"/>
    <w:rsid w:val="000E4CAC"/>
    <w:rsid w:val="000E55A8"/>
    <w:rsid w:val="000E6BE8"/>
    <w:rsid w:val="000E6D6C"/>
    <w:rsid w:val="000E75FE"/>
    <w:rsid w:val="000E7CED"/>
    <w:rsid w:val="000F31BC"/>
    <w:rsid w:val="000F39BE"/>
    <w:rsid w:val="000F4295"/>
    <w:rsid w:val="000F4975"/>
    <w:rsid w:val="000F49CA"/>
    <w:rsid w:val="000F520E"/>
    <w:rsid w:val="000F53F5"/>
    <w:rsid w:val="000F593C"/>
    <w:rsid w:val="000F5C9E"/>
    <w:rsid w:val="000F636F"/>
    <w:rsid w:val="000F6EE2"/>
    <w:rsid w:val="000F782D"/>
    <w:rsid w:val="00100484"/>
    <w:rsid w:val="00101271"/>
    <w:rsid w:val="00103B57"/>
    <w:rsid w:val="00103C14"/>
    <w:rsid w:val="001048DF"/>
    <w:rsid w:val="001049F4"/>
    <w:rsid w:val="001056E9"/>
    <w:rsid w:val="001073FC"/>
    <w:rsid w:val="001101AF"/>
    <w:rsid w:val="00110BB0"/>
    <w:rsid w:val="0011221F"/>
    <w:rsid w:val="001125B9"/>
    <w:rsid w:val="001157A8"/>
    <w:rsid w:val="001175FD"/>
    <w:rsid w:val="00120527"/>
    <w:rsid w:val="00120B37"/>
    <w:rsid w:val="0012279C"/>
    <w:rsid w:val="00125FB9"/>
    <w:rsid w:val="00127DA5"/>
    <w:rsid w:val="0013093E"/>
    <w:rsid w:val="00131834"/>
    <w:rsid w:val="00131840"/>
    <w:rsid w:val="00132632"/>
    <w:rsid w:val="00132728"/>
    <w:rsid w:val="001354BA"/>
    <w:rsid w:val="00135B8E"/>
    <w:rsid w:val="00135CA1"/>
    <w:rsid w:val="001365F3"/>
    <w:rsid w:val="00140611"/>
    <w:rsid w:val="00141B25"/>
    <w:rsid w:val="00143A98"/>
    <w:rsid w:val="0014539D"/>
    <w:rsid w:val="001455C2"/>
    <w:rsid w:val="001463F7"/>
    <w:rsid w:val="00150536"/>
    <w:rsid w:val="00151916"/>
    <w:rsid w:val="00151A6C"/>
    <w:rsid w:val="00153210"/>
    <w:rsid w:val="00153366"/>
    <w:rsid w:val="00153E76"/>
    <w:rsid w:val="00154049"/>
    <w:rsid w:val="00154AD7"/>
    <w:rsid w:val="00155123"/>
    <w:rsid w:val="00155380"/>
    <w:rsid w:val="00155D95"/>
    <w:rsid w:val="00155FF8"/>
    <w:rsid w:val="0016086F"/>
    <w:rsid w:val="0016101C"/>
    <w:rsid w:val="0016180F"/>
    <w:rsid w:val="00161F2A"/>
    <w:rsid w:val="0016297C"/>
    <w:rsid w:val="00162C0B"/>
    <w:rsid w:val="00162EF2"/>
    <w:rsid w:val="001636D1"/>
    <w:rsid w:val="0016434D"/>
    <w:rsid w:val="001665BE"/>
    <w:rsid w:val="0016740E"/>
    <w:rsid w:val="001701AB"/>
    <w:rsid w:val="00170881"/>
    <w:rsid w:val="00170968"/>
    <w:rsid w:val="00170AB5"/>
    <w:rsid w:val="00170E6B"/>
    <w:rsid w:val="00171E0E"/>
    <w:rsid w:val="0017388D"/>
    <w:rsid w:val="00173ABA"/>
    <w:rsid w:val="00173FCA"/>
    <w:rsid w:val="00175404"/>
    <w:rsid w:val="001776BE"/>
    <w:rsid w:val="001776FF"/>
    <w:rsid w:val="00177E56"/>
    <w:rsid w:val="00180420"/>
    <w:rsid w:val="001809D5"/>
    <w:rsid w:val="00181C82"/>
    <w:rsid w:val="00181E1B"/>
    <w:rsid w:val="001826E5"/>
    <w:rsid w:val="00183790"/>
    <w:rsid w:val="00184E4E"/>
    <w:rsid w:val="0018633F"/>
    <w:rsid w:val="00186552"/>
    <w:rsid w:val="00186793"/>
    <w:rsid w:val="00186AA2"/>
    <w:rsid w:val="00187B22"/>
    <w:rsid w:val="00190ED7"/>
    <w:rsid w:val="001915DD"/>
    <w:rsid w:val="00192CBF"/>
    <w:rsid w:val="00192D33"/>
    <w:rsid w:val="00193370"/>
    <w:rsid w:val="00193670"/>
    <w:rsid w:val="001944B3"/>
    <w:rsid w:val="0019454F"/>
    <w:rsid w:val="00194B2D"/>
    <w:rsid w:val="00195419"/>
    <w:rsid w:val="00195821"/>
    <w:rsid w:val="001961C0"/>
    <w:rsid w:val="00196BE3"/>
    <w:rsid w:val="001974B8"/>
    <w:rsid w:val="00197873"/>
    <w:rsid w:val="001A066E"/>
    <w:rsid w:val="001A0F52"/>
    <w:rsid w:val="001A163D"/>
    <w:rsid w:val="001A18A5"/>
    <w:rsid w:val="001A1DEC"/>
    <w:rsid w:val="001A32BE"/>
    <w:rsid w:val="001A337D"/>
    <w:rsid w:val="001A372D"/>
    <w:rsid w:val="001A451D"/>
    <w:rsid w:val="001A4F36"/>
    <w:rsid w:val="001A5D14"/>
    <w:rsid w:val="001A6B2D"/>
    <w:rsid w:val="001A77EA"/>
    <w:rsid w:val="001B0368"/>
    <w:rsid w:val="001B0465"/>
    <w:rsid w:val="001B1366"/>
    <w:rsid w:val="001B1D37"/>
    <w:rsid w:val="001B210C"/>
    <w:rsid w:val="001B2EB0"/>
    <w:rsid w:val="001B3549"/>
    <w:rsid w:val="001B3CFB"/>
    <w:rsid w:val="001B4EBB"/>
    <w:rsid w:val="001B55CF"/>
    <w:rsid w:val="001B720D"/>
    <w:rsid w:val="001B7303"/>
    <w:rsid w:val="001B769C"/>
    <w:rsid w:val="001C014C"/>
    <w:rsid w:val="001C06EE"/>
    <w:rsid w:val="001C103A"/>
    <w:rsid w:val="001C1B22"/>
    <w:rsid w:val="001C1C20"/>
    <w:rsid w:val="001C1D1C"/>
    <w:rsid w:val="001C1E2E"/>
    <w:rsid w:val="001C24E2"/>
    <w:rsid w:val="001C3952"/>
    <w:rsid w:val="001C43BE"/>
    <w:rsid w:val="001C4532"/>
    <w:rsid w:val="001C59EE"/>
    <w:rsid w:val="001C6FB2"/>
    <w:rsid w:val="001D0418"/>
    <w:rsid w:val="001D0A48"/>
    <w:rsid w:val="001D0C8A"/>
    <w:rsid w:val="001D23D3"/>
    <w:rsid w:val="001D30A4"/>
    <w:rsid w:val="001D322C"/>
    <w:rsid w:val="001D39A2"/>
    <w:rsid w:val="001D39A6"/>
    <w:rsid w:val="001D4423"/>
    <w:rsid w:val="001D4734"/>
    <w:rsid w:val="001D4771"/>
    <w:rsid w:val="001D584C"/>
    <w:rsid w:val="001D5BFF"/>
    <w:rsid w:val="001D6916"/>
    <w:rsid w:val="001D73DC"/>
    <w:rsid w:val="001D7456"/>
    <w:rsid w:val="001E02CE"/>
    <w:rsid w:val="001E1A03"/>
    <w:rsid w:val="001E32AF"/>
    <w:rsid w:val="001E37B8"/>
    <w:rsid w:val="001E3E8A"/>
    <w:rsid w:val="001E4643"/>
    <w:rsid w:val="001E6570"/>
    <w:rsid w:val="001E65C0"/>
    <w:rsid w:val="001E6D80"/>
    <w:rsid w:val="001E729D"/>
    <w:rsid w:val="001E7D5F"/>
    <w:rsid w:val="001F02C5"/>
    <w:rsid w:val="001F0549"/>
    <w:rsid w:val="001F2166"/>
    <w:rsid w:val="001F291A"/>
    <w:rsid w:val="001F2FAB"/>
    <w:rsid w:val="001F487E"/>
    <w:rsid w:val="001F6E80"/>
    <w:rsid w:val="001F7E67"/>
    <w:rsid w:val="00200DD5"/>
    <w:rsid w:val="00202303"/>
    <w:rsid w:val="002029ED"/>
    <w:rsid w:val="002053E7"/>
    <w:rsid w:val="00205E07"/>
    <w:rsid w:val="00206CF1"/>
    <w:rsid w:val="00210C8D"/>
    <w:rsid w:val="00211E73"/>
    <w:rsid w:val="00213ADF"/>
    <w:rsid w:val="0021405E"/>
    <w:rsid w:val="00214911"/>
    <w:rsid w:val="00215708"/>
    <w:rsid w:val="002159B3"/>
    <w:rsid w:val="00216D9E"/>
    <w:rsid w:val="00217E03"/>
    <w:rsid w:val="00220EA7"/>
    <w:rsid w:val="00222BB9"/>
    <w:rsid w:val="00223C20"/>
    <w:rsid w:val="0022420C"/>
    <w:rsid w:val="002246C1"/>
    <w:rsid w:val="002257B6"/>
    <w:rsid w:val="00226325"/>
    <w:rsid w:val="002273DB"/>
    <w:rsid w:val="0023051A"/>
    <w:rsid w:val="002309C3"/>
    <w:rsid w:val="0023110C"/>
    <w:rsid w:val="00231F37"/>
    <w:rsid w:val="002325B5"/>
    <w:rsid w:val="002326E9"/>
    <w:rsid w:val="00233A2A"/>
    <w:rsid w:val="00234750"/>
    <w:rsid w:val="00235B58"/>
    <w:rsid w:val="00235C16"/>
    <w:rsid w:val="00236306"/>
    <w:rsid w:val="00236431"/>
    <w:rsid w:val="00240127"/>
    <w:rsid w:val="002402E0"/>
    <w:rsid w:val="0024098F"/>
    <w:rsid w:val="00240F37"/>
    <w:rsid w:val="0024134D"/>
    <w:rsid w:val="002413D8"/>
    <w:rsid w:val="00241681"/>
    <w:rsid w:val="00241B22"/>
    <w:rsid w:val="002427B9"/>
    <w:rsid w:val="00243757"/>
    <w:rsid w:val="002437D5"/>
    <w:rsid w:val="00243830"/>
    <w:rsid w:val="00243C71"/>
    <w:rsid w:val="00246479"/>
    <w:rsid w:val="0024726D"/>
    <w:rsid w:val="00247758"/>
    <w:rsid w:val="00250F67"/>
    <w:rsid w:val="002516D2"/>
    <w:rsid w:val="00251A2A"/>
    <w:rsid w:val="00252D37"/>
    <w:rsid w:val="002552C3"/>
    <w:rsid w:val="002558DC"/>
    <w:rsid w:val="00255A55"/>
    <w:rsid w:val="00255E2C"/>
    <w:rsid w:val="00257C14"/>
    <w:rsid w:val="00257E3B"/>
    <w:rsid w:val="00257F01"/>
    <w:rsid w:val="00260C9B"/>
    <w:rsid w:val="00261AD5"/>
    <w:rsid w:val="00262C42"/>
    <w:rsid w:val="002638D4"/>
    <w:rsid w:val="00263E56"/>
    <w:rsid w:val="00263F3D"/>
    <w:rsid w:val="002647D3"/>
    <w:rsid w:val="00266914"/>
    <w:rsid w:val="002670A3"/>
    <w:rsid w:val="002672A9"/>
    <w:rsid w:val="00270F0B"/>
    <w:rsid w:val="0027162B"/>
    <w:rsid w:val="00271969"/>
    <w:rsid w:val="002719DC"/>
    <w:rsid w:val="00271AC5"/>
    <w:rsid w:val="00272C4C"/>
    <w:rsid w:val="002735C1"/>
    <w:rsid w:val="002740C1"/>
    <w:rsid w:val="00274B19"/>
    <w:rsid w:val="00274DF8"/>
    <w:rsid w:val="00275686"/>
    <w:rsid w:val="00275AB0"/>
    <w:rsid w:val="00276590"/>
    <w:rsid w:val="002765C5"/>
    <w:rsid w:val="0027705B"/>
    <w:rsid w:val="00277842"/>
    <w:rsid w:val="00282B3A"/>
    <w:rsid w:val="00282DE9"/>
    <w:rsid w:val="002837F8"/>
    <w:rsid w:val="002840E2"/>
    <w:rsid w:val="00284687"/>
    <w:rsid w:val="00284AE9"/>
    <w:rsid w:val="00285475"/>
    <w:rsid w:val="00285E72"/>
    <w:rsid w:val="00286FA0"/>
    <w:rsid w:val="00287931"/>
    <w:rsid w:val="00287941"/>
    <w:rsid w:val="00290522"/>
    <w:rsid w:val="0029102D"/>
    <w:rsid w:val="00291880"/>
    <w:rsid w:val="00291A57"/>
    <w:rsid w:val="00292312"/>
    <w:rsid w:val="00292EC0"/>
    <w:rsid w:val="0029457D"/>
    <w:rsid w:val="00294DF1"/>
    <w:rsid w:val="0029661F"/>
    <w:rsid w:val="00296C5A"/>
    <w:rsid w:val="002975B9"/>
    <w:rsid w:val="002A02B2"/>
    <w:rsid w:val="002A0A12"/>
    <w:rsid w:val="002A0BCF"/>
    <w:rsid w:val="002A1E15"/>
    <w:rsid w:val="002A2183"/>
    <w:rsid w:val="002A3A40"/>
    <w:rsid w:val="002A42C8"/>
    <w:rsid w:val="002A43C8"/>
    <w:rsid w:val="002A4E9C"/>
    <w:rsid w:val="002A4FCF"/>
    <w:rsid w:val="002A7020"/>
    <w:rsid w:val="002A74DD"/>
    <w:rsid w:val="002A7801"/>
    <w:rsid w:val="002B08FE"/>
    <w:rsid w:val="002B23D0"/>
    <w:rsid w:val="002B318D"/>
    <w:rsid w:val="002B52D5"/>
    <w:rsid w:val="002B68D2"/>
    <w:rsid w:val="002B771D"/>
    <w:rsid w:val="002B77F1"/>
    <w:rsid w:val="002C024F"/>
    <w:rsid w:val="002C047F"/>
    <w:rsid w:val="002C1402"/>
    <w:rsid w:val="002C20C4"/>
    <w:rsid w:val="002C2B7B"/>
    <w:rsid w:val="002C35E6"/>
    <w:rsid w:val="002C3834"/>
    <w:rsid w:val="002C399D"/>
    <w:rsid w:val="002C4478"/>
    <w:rsid w:val="002C44B8"/>
    <w:rsid w:val="002C4F96"/>
    <w:rsid w:val="002C560D"/>
    <w:rsid w:val="002C5915"/>
    <w:rsid w:val="002C6089"/>
    <w:rsid w:val="002C677A"/>
    <w:rsid w:val="002C68C8"/>
    <w:rsid w:val="002C707E"/>
    <w:rsid w:val="002C7174"/>
    <w:rsid w:val="002D1DAB"/>
    <w:rsid w:val="002D1FB9"/>
    <w:rsid w:val="002D1FDC"/>
    <w:rsid w:val="002D265A"/>
    <w:rsid w:val="002D2A12"/>
    <w:rsid w:val="002D2D00"/>
    <w:rsid w:val="002D3E91"/>
    <w:rsid w:val="002D4617"/>
    <w:rsid w:val="002D4636"/>
    <w:rsid w:val="002E0B27"/>
    <w:rsid w:val="002E1FC6"/>
    <w:rsid w:val="002E2DE3"/>
    <w:rsid w:val="002E30A5"/>
    <w:rsid w:val="002E4012"/>
    <w:rsid w:val="002E4B4D"/>
    <w:rsid w:val="002E5365"/>
    <w:rsid w:val="002E68DF"/>
    <w:rsid w:val="002F0C00"/>
    <w:rsid w:val="002F0C95"/>
    <w:rsid w:val="002F1647"/>
    <w:rsid w:val="002F2110"/>
    <w:rsid w:val="002F2429"/>
    <w:rsid w:val="002F2550"/>
    <w:rsid w:val="002F38A3"/>
    <w:rsid w:val="002F5AAC"/>
    <w:rsid w:val="002F6C9E"/>
    <w:rsid w:val="002F71F8"/>
    <w:rsid w:val="002F7593"/>
    <w:rsid w:val="002F768C"/>
    <w:rsid w:val="002F7FE4"/>
    <w:rsid w:val="00300ED6"/>
    <w:rsid w:val="003010E5"/>
    <w:rsid w:val="0030143C"/>
    <w:rsid w:val="003018C5"/>
    <w:rsid w:val="00303C46"/>
    <w:rsid w:val="003040CC"/>
    <w:rsid w:val="00304B17"/>
    <w:rsid w:val="00305415"/>
    <w:rsid w:val="00305C71"/>
    <w:rsid w:val="00305C9D"/>
    <w:rsid w:val="0031095E"/>
    <w:rsid w:val="00311DA5"/>
    <w:rsid w:val="00313D7C"/>
    <w:rsid w:val="00314C04"/>
    <w:rsid w:val="00315D83"/>
    <w:rsid w:val="00316515"/>
    <w:rsid w:val="003172F6"/>
    <w:rsid w:val="00317442"/>
    <w:rsid w:val="0032085A"/>
    <w:rsid w:val="00320DC6"/>
    <w:rsid w:val="00320F1B"/>
    <w:rsid w:val="00321920"/>
    <w:rsid w:val="00324A36"/>
    <w:rsid w:val="00324C47"/>
    <w:rsid w:val="00326029"/>
    <w:rsid w:val="003276FF"/>
    <w:rsid w:val="003325A9"/>
    <w:rsid w:val="00333271"/>
    <w:rsid w:val="003337F2"/>
    <w:rsid w:val="00333C66"/>
    <w:rsid w:val="00336488"/>
    <w:rsid w:val="00336AC1"/>
    <w:rsid w:val="00337D29"/>
    <w:rsid w:val="0034369C"/>
    <w:rsid w:val="00343B7F"/>
    <w:rsid w:val="00344A34"/>
    <w:rsid w:val="00345382"/>
    <w:rsid w:val="00345E71"/>
    <w:rsid w:val="00345F45"/>
    <w:rsid w:val="00347B69"/>
    <w:rsid w:val="00347F30"/>
    <w:rsid w:val="00350430"/>
    <w:rsid w:val="00350C77"/>
    <w:rsid w:val="003524B6"/>
    <w:rsid w:val="0035387D"/>
    <w:rsid w:val="00354F15"/>
    <w:rsid w:val="003552C5"/>
    <w:rsid w:val="00355C54"/>
    <w:rsid w:val="00357DB0"/>
    <w:rsid w:val="003609B3"/>
    <w:rsid w:val="00361CAB"/>
    <w:rsid w:val="003623F4"/>
    <w:rsid w:val="003639A7"/>
    <w:rsid w:val="003642A3"/>
    <w:rsid w:val="00364C73"/>
    <w:rsid w:val="003656FA"/>
    <w:rsid w:val="00365901"/>
    <w:rsid w:val="00366598"/>
    <w:rsid w:val="0036693C"/>
    <w:rsid w:val="003671DC"/>
    <w:rsid w:val="00367B57"/>
    <w:rsid w:val="00367F7E"/>
    <w:rsid w:val="00370EEB"/>
    <w:rsid w:val="00370F5C"/>
    <w:rsid w:val="00372E97"/>
    <w:rsid w:val="003732B9"/>
    <w:rsid w:val="00375563"/>
    <w:rsid w:val="0038013F"/>
    <w:rsid w:val="00380D4F"/>
    <w:rsid w:val="00380F73"/>
    <w:rsid w:val="00381FCB"/>
    <w:rsid w:val="00382680"/>
    <w:rsid w:val="00382B64"/>
    <w:rsid w:val="003848B5"/>
    <w:rsid w:val="00384AE4"/>
    <w:rsid w:val="00385393"/>
    <w:rsid w:val="003870A6"/>
    <w:rsid w:val="003910AD"/>
    <w:rsid w:val="003914C6"/>
    <w:rsid w:val="00391D1D"/>
    <w:rsid w:val="00392204"/>
    <w:rsid w:val="00392718"/>
    <w:rsid w:val="00392935"/>
    <w:rsid w:val="0039324E"/>
    <w:rsid w:val="00393AC3"/>
    <w:rsid w:val="00393C2B"/>
    <w:rsid w:val="00394DA1"/>
    <w:rsid w:val="003961AE"/>
    <w:rsid w:val="0039729F"/>
    <w:rsid w:val="003A0634"/>
    <w:rsid w:val="003A0929"/>
    <w:rsid w:val="003A1F6D"/>
    <w:rsid w:val="003A2344"/>
    <w:rsid w:val="003A3D06"/>
    <w:rsid w:val="003A4532"/>
    <w:rsid w:val="003A4FC3"/>
    <w:rsid w:val="003A5C60"/>
    <w:rsid w:val="003A6572"/>
    <w:rsid w:val="003A70DB"/>
    <w:rsid w:val="003A7320"/>
    <w:rsid w:val="003A7377"/>
    <w:rsid w:val="003B03B9"/>
    <w:rsid w:val="003B0613"/>
    <w:rsid w:val="003B0ACD"/>
    <w:rsid w:val="003B1434"/>
    <w:rsid w:val="003B2471"/>
    <w:rsid w:val="003B3790"/>
    <w:rsid w:val="003B6280"/>
    <w:rsid w:val="003B64C8"/>
    <w:rsid w:val="003B7A31"/>
    <w:rsid w:val="003C0CA1"/>
    <w:rsid w:val="003C1638"/>
    <w:rsid w:val="003C198E"/>
    <w:rsid w:val="003C1F52"/>
    <w:rsid w:val="003C232A"/>
    <w:rsid w:val="003C244F"/>
    <w:rsid w:val="003C27A7"/>
    <w:rsid w:val="003C2881"/>
    <w:rsid w:val="003C36CC"/>
    <w:rsid w:val="003C4B6B"/>
    <w:rsid w:val="003C518C"/>
    <w:rsid w:val="003C5FAB"/>
    <w:rsid w:val="003C6403"/>
    <w:rsid w:val="003C6ACA"/>
    <w:rsid w:val="003C7AD5"/>
    <w:rsid w:val="003D096C"/>
    <w:rsid w:val="003D0ACB"/>
    <w:rsid w:val="003D10E8"/>
    <w:rsid w:val="003D14CE"/>
    <w:rsid w:val="003D1D0B"/>
    <w:rsid w:val="003D23BC"/>
    <w:rsid w:val="003D2B16"/>
    <w:rsid w:val="003D37D5"/>
    <w:rsid w:val="003D3E73"/>
    <w:rsid w:val="003D5D26"/>
    <w:rsid w:val="003D7291"/>
    <w:rsid w:val="003E02AB"/>
    <w:rsid w:val="003E1E6F"/>
    <w:rsid w:val="003E2A5E"/>
    <w:rsid w:val="003E2FD7"/>
    <w:rsid w:val="003E300B"/>
    <w:rsid w:val="003E4CE6"/>
    <w:rsid w:val="003E5D40"/>
    <w:rsid w:val="003E5FA0"/>
    <w:rsid w:val="003E6ED8"/>
    <w:rsid w:val="003E6FC4"/>
    <w:rsid w:val="003E7D0E"/>
    <w:rsid w:val="003F2C5B"/>
    <w:rsid w:val="003F2F89"/>
    <w:rsid w:val="003F3793"/>
    <w:rsid w:val="003F3930"/>
    <w:rsid w:val="003F60AB"/>
    <w:rsid w:val="003F6139"/>
    <w:rsid w:val="003F6FB8"/>
    <w:rsid w:val="003F7F8C"/>
    <w:rsid w:val="004005BE"/>
    <w:rsid w:val="00400B50"/>
    <w:rsid w:val="00400C7A"/>
    <w:rsid w:val="00401AAB"/>
    <w:rsid w:val="004051C5"/>
    <w:rsid w:val="00405FFE"/>
    <w:rsid w:val="004060B8"/>
    <w:rsid w:val="00406508"/>
    <w:rsid w:val="00406BB0"/>
    <w:rsid w:val="00407EE2"/>
    <w:rsid w:val="00407F6D"/>
    <w:rsid w:val="00410173"/>
    <w:rsid w:val="004107C3"/>
    <w:rsid w:val="00411B29"/>
    <w:rsid w:val="0041250D"/>
    <w:rsid w:val="0041296E"/>
    <w:rsid w:val="00412A09"/>
    <w:rsid w:val="00413069"/>
    <w:rsid w:val="0041396D"/>
    <w:rsid w:val="00414446"/>
    <w:rsid w:val="00414C67"/>
    <w:rsid w:val="0041660F"/>
    <w:rsid w:val="00416A32"/>
    <w:rsid w:val="00417106"/>
    <w:rsid w:val="0042009A"/>
    <w:rsid w:val="00420C83"/>
    <w:rsid w:val="004213CB"/>
    <w:rsid w:val="00421A2A"/>
    <w:rsid w:val="00422575"/>
    <w:rsid w:val="00422652"/>
    <w:rsid w:val="0042308E"/>
    <w:rsid w:val="00423240"/>
    <w:rsid w:val="00424150"/>
    <w:rsid w:val="0042419A"/>
    <w:rsid w:val="00424443"/>
    <w:rsid w:val="00424AD0"/>
    <w:rsid w:val="00425083"/>
    <w:rsid w:val="004250CA"/>
    <w:rsid w:val="004254BC"/>
    <w:rsid w:val="00427BA5"/>
    <w:rsid w:val="0043029C"/>
    <w:rsid w:val="004318FA"/>
    <w:rsid w:val="004324AD"/>
    <w:rsid w:val="004332AD"/>
    <w:rsid w:val="004351AB"/>
    <w:rsid w:val="0043644A"/>
    <w:rsid w:val="00436728"/>
    <w:rsid w:val="00436939"/>
    <w:rsid w:val="004373DF"/>
    <w:rsid w:val="00437A02"/>
    <w:rsid w:val="00437A80"/>
    <w:rsid w:val="00437C96"/>
    <w:rsid w:val="004404BF"/>
    <w:rsid w:val="00441FD3"/>
    <w:rsid w:val="004425F6"/>
    <w:rsid w:val="00443682"/>
    <w:rsid w:val="00443890"/>
    <w:rsid w:val="00443FC4"/>
    <w:rsid w:val="00444694"/>
    <w:rsid w:val="00444A0D"/>
    <w:rsid w:val="00444EB5"/>
    <w:rsid w:val="004457B5"/>
    <w:rsid w:val="004465E1"/>
    <w:rsid w:val="004474FA"/>
    <w:rsid w:val="0045121D"/>
    <w:rsid w:val="004522DE"/>
    <w:rsid w:val="004526FB"/>
    <w:rsid w:val="004528FA"/>
    <w:rsid w:val="00452A27"/>
    <w:rsid w:val="00453585"/>
    <w:rsid w:val="004535EB"/>
    <w:rsid w:val="00453890"/>
    <w:rsid w:val="00453967"/>
    <w:rsid w:val="00454418"/>
    <w:rsid w:val="00454FE0"/>
    <w:rsid w:val="00455FDB"/>
    <w:rsid w:val="00456790"/>
    <w:rsid w:val="00456D73"/>
    <w:rsid w:val="0045772C"/>
    <w:rsid w:val="00457AE5"/>
    <w:rsid w:val="00460A39"/>
    <w:rsid w:val="00460D56"/>
    <w:rsid w:val="00460EB3"/>
    <w:rsid w:val="00462D9C"/>
    <w:rsid w:val="00464257"/>
    <w:rsid w:val="004648A1"/>
    <w:rsid w:val="00464DD7"/>
    <w:rsid w:val="00465002"/>
    <w:rsid w:val="00465911"/>
    <w:rsid w:val="004669BD"/>
    <w:rsid w:val="004678F1"/>
    <w:rsid w:val="00467D46"/>
    <w:rsid w:val="00470230"/>
    <w:rsid w:val="00470489"/>
    <w:rsid w:val="0047098C"/>
    <w:rsid w:val="0047101A"/>
    <w:rsid w:val="0047144A"/>
    <w:rsid w:val="00471512"/>
    <w:rsid w:val="0047266D"/>
    <w:rsid w:val="00473A17"/>
    <w:rsid w:val="00477F50"/>
    <w:rsid w:val="00480A98"/>
    <w:rsid w:val="00480E87"/>
    <w:rsid w:val="00480F43"/>
    <w:rsid w:val="00480FDD"/>
    <w:rsid w:val="004813B0"/>
    <w:rsid w:val="00482922"/>
    <w:rsid w:val="00482E49"/>
    <w:rsid w:val="00483E7F"/>
    <w:rsid w:val="0048416D"/>
    <w:rsid w:val="00484340"/>
    <w:rsid w:val="00484664"/>
    <w:rsid w:val="00484D55"/>
    <w:rsid w:val="00485C1E"/>
    <w:rsid w:val="0048613C"/>
    <w:rsid w:val="00486D06"/>
    <w:rsid w:val="004872D1"/>
    <w:rsid w:val="0048746E"/>
    <w:rsid w:val="00487492"/>
    <w:rsid w:val="00490A48"/>
    <w:rsid w:val="004929AC"/>
    <w:rsid w:val="0049344F"/>
    <w:rsid w:val="0049454C"/>
    <w:rsid w:val="00494EF6"/>
    <w:rsid w:val="004954FE"/>
    <w:rsid w:val="004958C0"/>
    <w:rsid w:val="00495FD7"/>
    <w:rsid w:val="0049646F"/>
    <w:rsid w:val="00496EFE"/>
    <w:rsid w:val="004A0248"/>
    <w:rsid w:val="004A0837"/>
    <w:rsid w:val="004A26A5"/>
    <w:rsid w:val="004A291A"/>
    <w:rsid w:val="004A3DDC"/>
    <w:rsid w:val="004A5766"/>
    <w:rsid w:val="004B0599"/>
    <w:rsid w:val="004B1046"/>
    <w:rsid w:val="004B2208"/>
    <w:rsid w:val="004B2BDE"/>
    <w:rsid w:val="004B34EB"/>
    <w:rsid w:val="004B3675"/>
    <w:rsid w:val="004B3694"/>
    <w:rsid w:val="004B4113"/>
    <w:rsid w:val="004B58CC"/>
    <w:rsid w:val="004B7661"/>
    <w:rsid w:val="004B7BA5"/>
    <w:rsid w:val="004C007D"/>
    <w:rsid w:val="004C0D48"/>
    <w:rsid w:val="004C33E7"/>
    <w:rsid w:val="004C35D2"/>
    <w:rsid w:val="004C390F"/>
    <w:rsid w:val="004C3B52"/>
    <w:rsid w:val="004C3C2A"/>
    <w:rsid w:val="004C41D7"/>
    <w:rsid w:val="004C49D0"/>
    <w:rsid w:val="004C5859"/>
    <w:rsid w:val="004C6A2D"/>
    <w:rsid w:val="004C742C"/>
    <w:rsid w:val="004D14C7"/>
    <w:rsid w:val="004D2117"/>
    <w:rsid w:val="004D28B0"/>
    <w:rsid w:val="004D37F2"/>
    <w:rsid w:val="004D4855"/>
    <w:rsid w:val="004D51FB"/>
    <w:rsid w:val="004D5623"/>
    <w:rsid w:val="004D57AF"/>
    <w:rsid w:val="004D5BC2"/>
    <w:rsid w:val="004D5E0B"/>
    <w:rsid w:val="004D5F71"/>
    <w:rsid w:val="004D62A0"/>
    <w:rsid w:val="004D65EE"/>
    <w:rsid w:val="004D7014"/>
    <w:rsid w:val="004D7FC4"/>
    <w:rsid w:val="004E0A23"/>
    <w:rsid w:val="004E10EA"/>
    <w:rsid w:val="004E219B"/>
    <w:rsid w:val="004E317B"/>
    <w:rsid w:val="004E3DAE"/>
    <w:rsid w:val="004E4F09"/>
    <w:rsid w:val="004E6C68"/>
    <w:rsid w:val="004E6F59"/>
    <w:rsid w:val="004E7034"/>
    <w:rsid w:val="004F1DFA"/>
    <w:rsid w:val="004F2906"/>
    <w:rsid w:val="004F2A53"/>
    <w:rsid w:val="004F3F49"/>
    <w:rsid w:val="004F545D"/>
    <w:rsid w:val="004F5648"/>
    <w:rsid w:val="004F58A4"/>
    <w:rsid w:val="004F5CB8"/>
    <w:rsid w:val="004F5E18"/>
    <w:rsid w:val="004F6F5F"/>
    <w:rsid w:val="004F714F"/>
    <w:rsid w:val="004F7571"/>
    <w:rsid w:val="004F773A"/>
    <w:rsid w:val="004F79A9"/>
    <w:rsid w:val="00500125"/>
    <w:rsid w:val="005004C2"/>
    <w:rsid w:val="005014C1"/>
    <w:rsid w:val="00502917"/>
    <w:rsid w:val="00504648"/>
    <w:rsid w:val="005048AA"/>
    <w:rsid w:val="00505E3E"/>
    <w:rsid w:val="00505E4F"/>
    <w:rsid w:val="00505F1B"/>
    <w:rsid w:val="00506E8A"/>
    <w:rsid w:val="00510560"/>
    <w:rsid w:val="0051375F"/>
    <w:rsid w:val="005143FA"/>
    <w:rsid w:val="00514636"/>
    <w:rsid w:val="00517D90"/>
    <w:rsid w:val="00520D25"/>
    <w:rsid w:val="00521135"/>
    <w:rsid w:val="005221D7"/>
    <w:rsid w:val="00522BF3"/>
    <w:rsid w:val="00523020"/>
    <w:rsid w:val="00523DD8"/>
    <w:rsid w:val="00523E3A"/>
    <w:rsid w:val="00523EF8"/>
    <w:rsid w:val="0052426A"/>
    <w:rsid w:val="005249C4"/>
    <w:rsid w:val="0052569B"/>
    <w:rsid w:val="0052587E"/>
    <w:rsid w:val="005259BB"/>
    <w:rsid w:val="00525D94"/>
    <w:rsid w:val="00527779"/>
    <w:rsid w:val="005302EA"/>
    <w:rsid w:val="00530360"/>
    <w:rsid w:val="00531DDB"/>
    <w:rsid w:val="00532BBE"/>
    <w:rsid w:val="00532EE0"/>
    <w:rsid w:val="005333EF"/>
    <w:rsid w:val="0053340A"/>
    <w:rsid w:val="005338AB"/>
    <w:rsid w:val="00533CB3"/>
    <w:rsid w:val="00533E79"/>
    <w:rsid w:val="005350DE"/>
    <w:rsid w:val="00535925"/>
    <w:rsid w:val="00537890"/>
    <w:rsid w:val="0054067B"/>
    <w:rsid w:val="00541B08"/>
    <w:rsid w:val="005422C9"/>
    <w:rsid w:val="005426FE"/>
    <w:rsid w:val="00542755"/>
    <w:rsid w:val="00543352"/>
    <w:rsid w:val="00543B18"/>
    <w:rsid w:val="005448F9"/>
    <w:rsid w:val="00545373"/>
    <w:rsid w:val="00545632"/>
    <w:rsid w:val="00545FE7"/>
    <w:rsid w:val="00546109"/>
    <w:rsid w:val="005471FD"/>
    <w:rsid w:val="0054787E"/>
    <w:rsid w:val="00552E96"/>
    <w:rsid w:val="005530F1"/>
    <w:rsid w:val="0055454C"/>
    <w:rsid w:val="00555037"/>
    <w:rsid w:val="00556B68"/>
    <w:rsid w:val="00556E8B"/>
    <w:rsid w:val="0055796D"/>
    <w:rsid w:val="00557FED"/>
    <w:rsid w:val="00560A38"/>
    <w:rsid w:val="00560A53"/>
    <w:rsid w:val="00560E7D"/>
    <w:rsid w:val="005622B1"/>
    <w:rsid w:val="00563B64"/>
    <w:rsid w:val="00563F50"/>
    <w:rsid w:val="00564FF1"/>
    <w:rsid w:val="00565488"/>
    <w:rsid w:val="005665A4"/>
    <w:rsid w:val="0056678B"/>
    <w:rsid w:val="005703CB"/>
    <w:rsid w:val="00570ED2"/>
    <w:rsid w:val="005718E5"/>
    <w:rsid w:val="00572011"/>
    <w:rsid w:val="00572116"/>
    <w:rsid w:val="005725EC"/>
    <w:rsid w:val="00574A91"/>
    <w:rsid w:val="00575C9C"/>
    <w:rsid w:val="00576078"/>
    <w:rsid w:val="0057798F"/>
    <w:rsid w:val="00580AFF"/>
    <w:rsid w:val="00582F0C"/>
    <w:rsid w:val="00583D6F"/>
    <w:rsid w:val="0058462D"/>
    <w:rsid w:val="005853E5"/>
    <w:rsid w:val="00586550"/>
    <w:rsid w:val="00587D15"/>
    <w:rsid w:val="005922D4"/>
    <w:rsid w:val="00593614"/>
    <w:rsid w:val="005944A5"/>
    <w:rsid w:val="00594D29"/>
    <w:rsid w:val="00595B30"/>
    <w:rsid w:val="00597E41"/>
    <w:rsid w:val="005A140A"/>
    <w:rsid w:val="005A1CF6"/>
    <w:rsid w:val="005A2425"/>
    <w:rsid w:val="005A2A81"/>
    <w:rsid w:val="005A2AAB"/>
    <w:rsid w:val="005A49DC"/>
    <w:rsid w:val="005A4C2E"/>
    <w:rsid w:val="005A5E1B"/>
    <w:rsid w:val="005B1184"/>
    <w:rsid w:val="005B1326"/>
    <w:rsid w:val="005B19E9"/>
    <w:rsid w:val="005B275F"/>
    <w:rsid w:val="005B2FFC"/>
    <w:rsid w:val="005B33E8"/>
    <w:rsid w:val="005B37F0"/>
    <w:rsid w:val="005B4A97"/>
    <w:rsid w:val="005C0478"/>
    <w:rsid w:val="005C081B"/>
    <w:rsid w:val="005C0EF8"/>
    <w:rsid w:val="005C2049"/>
    <w:rsid w:val="005C22FB"/>
    <w:rsid w:val="005C2727"/>
    <w:rsid w:val="005C3188"/>
    <w:rsid w:val="005C3603"/>
    <w:rsid w:val="005C39A3"/>
    <w:rsid w:val="005C45B6"/>
    <w:rsid w:val="005C4837"/>
    <w:rsid w:val="005C4A99"/>
    <w:rsid w:val="005C6688"/>
    <w:rsid w:val="005C6CD2"/>
    <w:rsid w:val="005C7435"/>
    <w:rsid w:val="005C7F73"/>
    <w:rsid w:val="005D031D"/>
    <w:rsid w:val="005D0418"/>
    <w:rsid w:val="005D0FCA"/>
    <w:rsid w:val="005D11A2"/>
    <w:rsid w:val="005D17F0"/>
    <w:rsid w:val="005D1D47"/>
    <w:rsid w:val="005D2CF5"/>
    <w:rsid w:val="005D30C0"/>
    <w:rsid w:val="005D333B"/>
    <w:rsid w:val="005D3628"/>
    <w:rsid w:val="005D3E34"/>
    <w:rsid w:val="005D47F9"/>
    <w:rsid w:val="005D4A6E"/>
    <w:rsid w:val="005D5382"/>
    <w:rsid w:val="005D6082"/>
    <w:rsid w:val="005D608E"/>
    <w:rsid w:val="005D676F"/>
    <w:rsid w:val="005D6ECB"/>
    <w:rsid w:val="005D71EF"/>
    <w:rsid w:val="005D757A"/>
    <w:rsid w:val="005E262D"/>
    <w:rsid w:val="005E38D5"/>
    <w:rsid w:val="005E3B0C"/>
    <w:rsid w:val="005E47C3"/>
    <w:rsid w:val="005E5014"/>
    <w:rsid w:val="005E528D"/>
    <w:rsid w:val="005E588E"/>
    <w:rsid w:val="005E5FCE"/>
    <w:rsid w:val="005E60BF"/>
    <w:rsid w:val="005E683D"/>
    <w:rsid w:val="005E7E8A"/>
    <w:rsid w:val="005F036C"/>
    <w:rsid w:val="005F14FF"/>
    <w:rsid w:val="005F17FB"/>
    <w:rsid w:val="005F187F"/>
    <w:rsid w:val="005F300F"/>
    <w:rsid w:val="005F3231"/>
    <w:rsid w:val="005F4B7B"/>
    <w:rsid w:val="005F52EE"/>
    <w:rsid w:val="005F546D"/>
    <w:rsid w:val="005F6451"/>
    <w:rsid w:val="005F6479"/>
    <w:rsid w:val="005F757E"/>
    <w:rsid w:val="005F7CF9"/>
    <w:rsid w:val="006009F1"/>
    <w:rsid w:val="00600C1E"/>
    <w:rsid w:val="006019BA"/>
    <w:rsid w:val="00605238"/>
    <w:rsid w:val="006056D6"/>
    <w:rsid w:val="00605956"/>
    <w:rsid w:val="00605F6C"/>
    <w:rsid w:val="006103E9"/>
    <w:rsid w:val="00610611"/>
    <w:rsid w:val="006125A4"/>
    <w:rsid w:val="00612BEC"/>
    <w:rsid w:val="0061653F"/>
    <w:rsid w:val="00616DA4"/>
    <w:rsid w:val="0061734E"/>
    <w:rsid w:val="006174FD"/>
    <w:rsid w:val="00622437"/>
    <w:rsid w:val="0062313B"/>
    <w:rsid w:val="00623AC4"/>
    <w:rsid w:val="00624EB8"/>
    <w:rsid w:val="00625400"/>
    <w:rsid w:val="0062621A"/>
    <w:rsid w:val="00626710"/>
    <w:rsid w:val="006275FD"/>
    <w:rsid w:val="0062764D"/>
    <w:rsid w:val="00627B79"/>
    <w:rsid w:val="006313DD"/>
    <w:rsid w:val="00631453"/>
    <w:rsid w:val="006314F5"/>
    <w:rsid w:val="00631B5E"/>
    <w:rsid w:val="006323D9"/>
    <w:rsid w:val="006330D7"/>
    <w:rsid w:val="00633C66"/>
    <w:rsid w:val="00634916"/>
    <w:rsid w:val="006349CC"/>
    <w:rsid w:val="006349EB"/>
    <w:rsid w:val="006357AC"/>
    <w:rsid w:val="006378AA"/>
    <w:rsid w:val="00640922"/>
    <w:rsid w:val="00640BD8"/>
    <w:rsid w:val="00640DCE"/>
    <w:rsid w:val="0064114D"/>
    <w:rsid w:val="00642DFA"/>
    <w:rsid w:val="00643C8C"/>
    <w:rsid w:val="00646468"/>
    <w:rsid w:val="00646FB3"/>
    <w:rsid w:val="0064773E"/>
    <w:rsid w:val="006478FD"/>
    <w:rsid w:val="0065176B"/>
    <w:rsid w:val="00653AF9"/>
    <w:rsid w:val="00653F3F"/>
    <w:rsid w:val="00655709"/>
    <w:rsid w:val="00655942"/>
    <w:rsid w:val="00656484"/>
    <w:rsid w:val="006603CC"/>
    <w:rsid w:val="00661D98"/>
    <w:rsid w:val="00662029"/>
    <w:rsid w:val="00664324"/>
    <w:rsid w:val="006647F4"/>
    <w:rsid w:val="00666EE2"/>
    <w:rsid w:val="00666F37"/>
    <w:rsid w:val="006677CA"/>
    <w:rsid w:val="006726A8"/>
    <w:rsid w:val="00674D0A"/>
    <w:rsid w:val="00676C1C"/>
    <w:rsid w:val="006804E6"/>
    <w:rsid w:val="0068059F"/>
    <w:rsid w:val="00680C6D"/>
    <w:rsid w:val="006818AB"/>
    <w:rsid w:val="006820BA"/>
    <w:rsid w:val="0068246D"/>
    <w:rsid w:val="006858A8"/>
    <w:rsid w:val="00685BCF"/>
    <w:rsid w:val="0069026C"/>
    <w:rsid w:val="00691C40"/>
    <w:rsid w:val="00692151"/>
    <w:rsid w:val="00692874"/>
    <w:rsid w:val="00692AC8"/>
    <w:rsid w:val="00693271"/>
    <w:rsid w:val="00693552"/>
    <w:rsid w:val="00694788"/>
    <w:rsid w:val="00695219"/>
    <w:rsid w:val="006957E5"/>
    <w:rsid w:val="006966D6"/>
    <w:rsid w:val="006A055B"/>
    <w:rsid w:val="006A0BF9"/>
    <w:rsid w:val="006A19B3"/>
    <w:rsid w:val="006A1E0E"/>
    <w:rsid w:val="006A1F40"/>
    <w:rsid w:val="006A2312"/>
    <w:rsid w:val="006A29E1"/>
    <w:rsid w:val="006A381B"/>
    <w:rsid w:val="006A4BB3"/>
    <w:rsid w:val="006A5BBE"/>
    <w:rsid w:val="006A7E86"/>
    <w:rsid w:val="006B00A9"/>
    <w:rsid w:val="006B0C4A"/>
    <w:rsid w:val="006B11F3"/>
    <w:rsid w:val="006B1283"/>
    <w:rsid w:val="006B1788"/>
    <w:rsid w:val="006B2D27"/>
    <w:rsid w:val="006B2E56"/>
    <w:rsid w:val="006B41CC"/>
    <w:rsid w:val="006B4298"/>
    <w:rsid w:val="006B51E0"/>
    <w:rsid w:val="006B7BFC"/>
    <w:rsid w:val="006C0AC5"/>
    <w:rsid w:val="006C0C53"/>
    <w:rsid w:val="006C0CE6"/>
    <w:rsid w:val="006C1EF6"/>
    <w:rsid w:val="006C2A95"/>
    <w:rsid w:val="006C31E0"/>
    <w:rsid w:val="006C36D2"/>
    <w:rsid w:val="006C4C2F"/>
    <w:rsid w:val="006C5319"/>
    <w:rsid w:val="006C5A84"/>
    <w:rsid w:val="006C686D"/>
    <w:rsid w:val="006C6CF2"/>
    <w:rsid w:val="006C7A80"/>
    <w:rsid w:val="006D154B"/>
    <w:rsid w:val="006D1E33"/>
    <w:rsid w:val="006D36E6"/>
    <w:rsid w:val="006D47D3"/>
    <w:rsid w:val="006D4E5F"/>
    <w:rsid w:val="006D54FB"/>
    <w:rsid w:val="006D6FA4"/>
    <w:rsid w:val="006E1489"/>
    <w:rsid w:val="006E172E"/>
    <w:rsid w:val="006E1CA2"/>
    <w:rsid w:val="006E311D"/>
    <w:rsid w:val="006E3D65"/>
    <w:rsid w:val="006E4440"/>
    <w:rsid w:val="006E45C6"/>
    <w:rsid w:val="006E6195"/>
    <w:rsid w:val="006E66D7"/>
    <w:rsid w:val="006E6A23"/>
    <w:rsid w:val="006F05E9"/>
    <w:rsid w:val="006F0ED3"/>
    <w:rsid w:val="006F140A"/>
    <w:rsid w:val="006F1551"/>
    <w:rsid w:val="006F1A00"/>
    <w:rsid w:val="006F1D13"/>
    <w:rsid w:val="006F1E13"/>
    <w:rsid w:val="006F2EBD"/>
    <w:rsid w:val="006F3F34"/>
    <w:rsid w:val="006F420D"/>
    <w:rsid w:val="006F5141"/>
    <w:rsid w:val="006F5B40"/>
    <w:rsid w:val="006F61EC"/>
    <w:rsid w:val="006F66D8"/>
    <w:rsid w:val="006F7842"/>
    <w:rsid w:val="006F7AC1"/>
    <w:rsid w:val="00700612"/>
    <w:rsid w:val="00701EC1"/>
    <w:rsid w:val="00702127"/>
    <w:rsid w:val="007028F5"/>
    <w:rsid w:val="00703007"/>
    <w:rsid w:val="00706EEB"/>
    <w:rsid w:val="00706FBD"/>
    <w:rsid w:val="00707006"/>
    <w:rsid w:val="0070723E"/>
    <w:rsid w:val="007108F2"/>
    <w:rsid w:val="007120A2"/>
    <w:rsid w:val="00712151"/>
    <w:rsid w:val="00712530"/>
    <w:rsid w:val="00712F65"/>
    <w:rsid w:val="0071306E"/>
    <w:rsid w:val="00714ECE"/>
    <w:rsid w:val="0071519C"/>
    <w:rsid w:val="00720BA4"/>
    <w:rsid w:val="00720F1B"/>
    <w:rsid w:val="00721EA1"/>
    <w:rsid w:val="007234EF"/>
    <w:rsid w:val="007249C4"/>
    <w:rsid w:val="00724C87"/>
    <w:rsid w:val="0072695D"/>
    <w:rsid w:val="00727106"/>
    <w:rsid w:val="007273DF"/>
    <w:rsid w:val="00730296"/>
    <w:rsid w:val="00730FCC"/>
    <w:rsid w:val="00733285"/>
    <w:rsid w:val="007335BD"/>
    <w:rsid w:val="00733799"/>
    <w:rsid w:val="00733904"/>
    <w:rsid w:val="00734B81"/>
    <w:rsid w:val="007358A4"/>
    <w:rsid w:val="007404E0"/>
    <w:rsid w:val="00740F26"/>
    <w:rsid w:val="00740F5A"/>
    <w:rsid w:val="00741034"/>
    <w:rsid w:val="007412AD"/>
    <w:rsid w:val="00742C43"/>
    <w:rsid w:val="007445BB"/>
    <w:rsid w:val="00745FB6"/>
    <w:rsid w:val="007465B8"/>
    <w:rsid w:val="00746C3C"/>
    <w:rsid w:val="00747DAB"/>
    <w:rsid w:val="0075071C"/>
    <w:rsid w:val="00750B42"/>
    <w:rsid w:val="00751214"/>
    <w:rsid w:val="007512A2"/>
    <w:rsid w:val="00753687"/>
    <w:rsid w:val="00753950"/>
    <w:rsid w:val="00754ADC"/>
    <w:rsid w:val="0075636A"/>
    <w:rsid w:val="00757421"/>
    <w:rsid w:val="00757FC9"/>
    <w:rsid w:val="00760525"/>
    <w:rsid w:val="00760AE9"/>
    <w:rsid w:val="00760C0B"/>
    <w:rsid w:val="007634F0"/>
    <w:rsid w:val="00763A42"/>
    <w:rsid w:val="00763EE2"/>
    <w:rsid w:val="007641E2"/>
    <w:rsid w:val="00764381"/>
    <w:rsid w:val="00765391"/>
    <w:rsid w:val="00765A5D"/>
    <w:rsid w:val="00765FA1"/>
    <w:rsid w:val="00766039"/>
    <w:rsid w:val="0076697F"/>
    <w:rsid w:val="00766BF1"/>
    <w:rsid w:val="00767F28"/>
    <w:rsid w:val="0077150A"/>
    <w:rsid w:val="00771DBD"/>
    <w:rsid w:val="00771EF4"/>
    <w:rsid w:val="00772748"/>
    <w:rsid w:val="00773B3F"/>
    <w:rsid w:val="0077492F"/>
    <w:rsid w:val="00774B61"/>
    <w:rsid w:val="00775C23"/>
    <w:rsid w:val="00776829"/>
    <w:rsid w:val="0077718F"/>
    <w:rsid w:val="00777B1E"/>
    <w:rsid w:val="00780383"/>
    <w:rsid w:val="007814BF"/>
    <w:rsid w:val="00782175"/>
    <w:rsid w:val="0078425D"/>
    <w:rsid w:val="00785669"/>
    <w:rsid w:val="00786946"/>
    <w:rsid w:val="0078775F"/>
    <w:rsid w:val="00790424"/>
    <w:rsid w:val="00790D65"/>
    <w:rsid w:val="00792120"/>
    <w:rsid w:val="00792316"/>
    <w:rsid w:val="007931B8"/>
    <w:rsid w:val="0079428D"/>
    <w:rsid w:val="00794C25"/>
    <w:rsid w:val="00794F1D"/>
    <w:rsid w:val="007A0963"/>
    <w:rsid w:val="007A0EFF"/>
    <w:rsid w:val="007A1D26"/>
    <w:rsid w:val="007A2632"/>
    <w:rsid w:val="007A28FE"/>
    <w:rsid w:val="007A3556"/>
    <w:rsid w:val="007A41FF"/>
    <w:rsid w:val="007A4214"/>
    <w:rsid w:val="007A4D82"/>
    <w:rsid w:val="007A4DBA"/>
    <w:rsid w:val="007A61C4"/>
    <w:rsid w:val="007A6685"/>
    <w:rsid w:val="007A7071"/>
    <w:rsid w:val="007A7BA6"/>
    <w:rsid w:val="007B077C"/>
    <w:rsid w:val="007B44E1"/>
    <w:rsid w:val="007B6B79"/>
    <w:rsid w:val="007B6DB9"/>
    <w:rsid w:val="007B6E8A"/>
    <w:rsid w:val="007B7377"/>
    <w:rsid w:val="007C0DC7"/>
    <w:rsid w:val="007C1C57"/>
    <w:rsid w:val="007C29AE"/>
    <w:rsid w:val="007C3CA9"/>
    <w:rsid w:val="007C5A28"/>
    <w:rsid w:val="007C5CEA"/>
    <w:rsid w:val="007C62FC"/>
    <w:rsid w:val="007C69A0"/>
    <w:rsid w:val="007D0413"/>
    <w:rsid w:val="007D0429"/>
    <w:rsid w:val="007D172F"/>
    <w:rsid w:val="007D2987"/>
    <w:rsid w:val="007D4993"/>
    <w:rsid w:val="007D5602"/>
    <w:rsid w:val="007D60BB"/>
    <w:rsid w:val="007D6F02"/>
    <w:rsid w:val="007E00E7"/>
    <w:rsid w:val="007E156B"/>
    <w:rsid w:val="007E17B6"/>
    <w:rsid w:val="007E1897"/>
    <w:rsid w:val="007E2F7B"/>
    <w:rsid w:val="007E31E5"/>
    <w:rsid w:val="007E3755"/>
    <w:rsid w:val="007E37D7"/>
    <w:rsid w:val="007E4426"/>
    <w:rsid w:val="007E4F30"/>
    <w:rsid w:val="007E5106"/>
    <w:rsid w:val="007E6034"/>
    <w:rsid w:val="007E725A"/>
    <w:rsid w:val="007E73DF"/>
    <w:rsid w:val="007E7B0A"/>
    <w:rsid w:val="007F119E"/>
    <w:rsid w:val="007F1664"/>
    <w:rsid w:val="007F19C4"/>
    <w:rsid w:val="007F26F8"/>
    <w:rsid w:val="007F2B95"/>
    <w:rsid w:val="007F35B9"/>
    <w:rsid w:val="007F4E4E"/>
    <w:rsid w:val="007F4EE5"/>
    <w:rsid w:val="007F5986"/>
    <w:rsid w:val="007F61FC"/>
    <w:rsid w:val="007F6414"/>
    <w:rsid w:val="007F7BB3"/>
    <w:rsid w:val="007F7E4F"/>
    <w:rsid w:val="0080029A"/>
    <w:rsid w:val="00800565"/>
    <w:rsid w:val="00801523"/>
    <w:rsid w:val="00801A3E"/>
    <w:rsid w:val="00801EDF"/>
    <w:rsid w:val="0080205F"/>
    <w:rsid w:val="0080441D"/>
    <w:rsid w:val="008045D7"/>
    <w:rsid w:val="00804993"/>
    <w:rsid w:val="00804F8A"/>
    <w:rsid w:val="008051F4"/>
    <w:rsid w:val="00805424"/>
    <w:rsid w:val="00805D15"/>
    <w:rsid w:val="00806A1E"/>
    <w:rsid w:val="00806D30"/>
    <w:rsid w:val="00807570"/>
    <w:rsid w:val="0081026E"/>
    <w:rsid w:val="00810A91"/>
    <w:rsid w:val="008110A7"/>
    <w:rsid w:val="008111C8"/>
    <w:rsid w:val="008114D6"/>
    <w:rsid w:val="00811A1C"/>
    <w:rsid w:val="00812654"/>
    <w:rsid w:val="00812AA5"/>
    <w:rsid w:val="00813909"/>
    <w:rsid w:val="008145ED"/>
    <w:rsid w:val="00814DAE"/>
    <w:rsid w:val="00816009"/>
    <w:rsid w:val="0081668D"/>
    <w:rsid w:val="0081746C"/>
    <w:rsid w:val="00817579"/>
    <w:rsid w:val="0082238F"/>
    <w:rsid w:val="0082340A"/>
    <w:rsid w:val="00824CCA"/>
    <w:rsid w:val="0082538C"/>
    <w:rsid w:val="00825F0C"/>
    <w:rsid w:val="0082684B"/>
    <w:rsid w:val="008273B7"/>
    <w:rsid w:val="00827743"/>
    <w:rsid w:val="008279A2"/>
    <w:rsid w:val="00827B46"/>
    <w:rsid w:val="008304F2"/>
    <w:rsid w:val="00830542"/>
    <w:rsid w:val="008320C4"/>
    <w:rsid w:val="00832E23"/>
    <w:rsid w:val="0083398D"/>
    <w:rsid w:val="008352C8"/>
    <w:rsid w:val="00835A57"/>
    <w:rsid w:val="008364CD"/>
    <w:rsid w:val="008372A1"/>
    <w:rsid w:val="00837F96"/>
    <w:rsid w:val="00840CF9"/>
    <w:rsid w:val="00840D43"/>
    <w:rsid w:val="00841524"/>
    <w:rsid w:val="0084172E"/>
    <w:rsid w:val="00841E13"/>
    <w:rsid w:val="0084216D"/>
    <w:rsid w:val="00843FF8"/>
    <w:rsid w:val="0084597B"/>
    <w:rsid w:val="008467F9"/>
    <w:rsid w:val="00846920"/>
    <w:rsid w:val="00846B17"/>
    <w:rsid w:val="00846B97"/>
    <w:rsid w:val="00851262"/>
    <w:rsid w:val="00851288"/>
    <w:rsid w:val="00852AB6"/>
    <w:rsid w:val="00852AEF"/>
    <w:rsid w:val="0085382C"/>
    <w:rsid w:val="00853BD1"/>
    <w:rsid w:val="00853F1C"/>
    <w:rsid w:val="008542EB"/>
    <w:rsid w:val="0085439E"/>
    <w:rsid w:val="008554FB"/>
    <w:rsid w:val="008561D1"/>
    <w:rsid w:val="00856CF2"/>
    <w:rsid w:val="0085764E"/>
    <w:rsid w:val="00860160"/>
    <w:rsid w:val="00860719"/>
    <w:rsid w:val="00860DB3"/>
    <w:rsid w:val="00861D4A"/>
    <w:rsid w:val="0086228B"/>
    <w:rsid w:val="00864B72"/>
    <w:rsid w:val="00864C75"/>
    <w:rsid w:val="00865A65"/>
    <w:rsid w:val="00866FEB"/>
    <w:rsid w:val="00867081"/>
    <w:rsid w:val="008714D9"/>
    <w:rsid w:val="00873B60"/>
    <w:rsid w:val="008753C4"/>
    <w:rsid w:val="008763F7"/>
    <w:rsid w:val="008765CA"/>
    <w:rsid w:val="00877E7C"/>
    <w:rsid w:val="008819ED"/>
    <w:rsid w:val="00882B0D"/>
    <w:rsid w:val="00883F43"/>
    <w:rsid w:val="008849C5"/>
    <w:rsid w:val="00885B5E"/>
    <w:rsid w:val="00886E33"/>
    <w:rsid w:val="008875CF"/>
    <w:rsid w:val="008877B9"/>
    <w:rsid w:val="008903F2"/>
    <w:rsid w:val="00891767"/>
    <w:rsid w:val="00891A63"/>
    <w:rsid w:val="008924A5"/>
    <w:rsid w:val="00893A0C"/>
    <w:rsid w:val="008943AD"/>
    <w:rsid w:val="00895038"/>
    <w:rsid w:val="00896081"/>
    <w:rsid w:val="008960E1"/>
    <w:rsid w:val="00896C1F"/>
    <w:rsid w:val="00897185"/>
    <w:rsid w:val="008A0138"/>
    <w:rsid w:val="008A0555"/>
    <w:rsid w:val="008A2268"/>
    <w:rsid w:val="008A2A2F"/>
    <w:rsid w:val="008A2B7A"/>
    <w:rsid w:val="008A2F28"/>
    <w:rsid w:val="008A2F8A"/>
    <w:rsid w:val="008A30F5"/>
    <w:rsid w:val="008A3B20"/>
    <w:rsid w:val="008A40C3"/>
    <w:rsid w:val="008A5006"/>
    <w:rsid w:val="008A50C4"/>
    <w:rsid w:val="008A52AF"/>
    <w:rsid w:val="008A5F1D"/>
    <w:rsid w:val="008A6628"/>
    <w:rsid w:val="008B0BE6"/>
    <w:rsid w:val="008B19BA"/>
    <w:rsid w:val="008B1C43"/>
    <w:rsid w:val="008B2D56"/>
    <w:rsid w:val="008B37E9"/>
    <w:rsid w:val="008B386F"/>
    <w:rsid w:val="008B3A78"/>
    <w:rsid w:val="008B482E"/>
    <w:rsid w:val="008B52FB"/>
    <w:rsid w:val="008B7674"/>
    <w:rsid w:val="008C0DCB"/>
    <w:rsid w:val="008C0F16"/>
    <w:rsid w:val="008C12A6"/>
    <w:rsid w:val="008C1BE8"/>
    <w:rsid w:val="008C29C6"/>
    <w:rsid w:val="008C34F3"/>
    <w:rsid w:val="008C4D65"/>
    <w:rsid w:val="008C5C76"/>
    <w:rsid w:val="008C5D16"/>
    <w:rsid w:val="008C6757"/>
    <w:rsid w:val="008D0464"/>
    <w:rsid w:val="008D1130"/>
    <w:rsid w:val="008D1B77"/>
    <w:rsid w:val="008D2658"/>
    <w:rsid w:val="008D387C"/>
    <w:rsid w:val="008D3A46"/>
    <w:rsid w:val="008D3A8E"/>
    <w:rsid w:val="008D3AC0"/>
    <w:rsid w:val="008D4792"/>
    <w:rsid w:val="008D76BE"/>
    <w:rsid w:val="008E0087"/>
    <w:rsid w:val="008E04AA"/>
    <w:rsid w:val="008E05AF"/>
    <w:rsid w:val="008E2D5C"/>
    <w:rsid w:val="008E39EB"/>
    <w:rsid w:val="008E4936"/>
    <w:rsid w:val="008E4F5B"/>
    <w:rsid w:val="008E604C"/>
    <w:rsid w:val="008E61D0"/>
    <w:rsid w:val="008E6FD7"/>
    <w:rsid w:val="008E7F96"/>
    <w:rsid w:val="008F060F"/>
    <w:rsid w:val="008F086D"/>
    <w:rsid w:val="008F2109"/>
    <w:rsid w:val="008F3B5B"/>
    <w:rsid w:val="008F408F"/>
    <w:rsid w:val="008F47BF"/>
    <w:rsid w:val="008F4F57"/>
    <w:rsid w:val="008F7688"/>
    <w:rsid w:val="00900579"/>
    <w:rsid w:val="00900FF0"/>
    <w:rsid w:val="009015DE"/>
    <w:rsid w:val="00901736"/>
    <w:rsid w:val="00901EC3"/>
    <w:rsid w:val="00902A08"/>
    <w:rsid w:val="0090305C"/>
    <w:rsid w:val="00904C9F"/>
    <w:rsid w:val="00904F15"/>
    <w:rsid w:val="0090525D"/>
    <w:rsid w:val="00905898"/>
    <w:rsid w:val="00905B2A"/>
    <w:rsid w:val="00905CB5"/>
    <w:rsid w:val="00906154"/>
    <w:rsid w:val="0090630F"/>
    <w:rsid w:val="0090756C"/>
    <w:rsid w:val="009079AE"/>
    <w:rsid w:val="0091158C"/>
    <w:rsid w:val="00914242"/>
    <w:rsid w:val="009144EA"/>
    <w:rsid w:val="0091521A"/>
    <w:rsid w:val="009204E2"/>
    <w:rsid w:val="0092434E"/>
    <w:rsid w:val="00925721"/>
    <w:rsid w:val="00927B28"/>
    <w:rsid w:val="00927C4D"/>
    <w:rsid w:val="00927C6B"/>
    <w:rsid w:val="00931DC1"/>
    <w:rsid w:val="00932515"/>
    <w:rsid w:val="009336D0"/>
    <w:rsid w:val="00933723"/>
    <w:rsid w:val="0093546F"/>
    <w:rsid w:val="009354B6"/>
    <w:rsid w:val="00935F42"/>
    <w:rsid w:val="009378D4"/>
    <w:rsid w:val="00940C76"/>
    <w:rsid w:val="00941885"/>
    <w:rsid w:val="00942761"/>
    <w:rsid w:val="00943ACD"/>
    <w:rsid w:val="00943E41"/>
    <w:rsid w:val="00944C89"/>
    <w:rsid w:val="00945587"/>
    <w:rsid w:val="00946414"/>
    <w:rsid w:val="0095094D"/>
    <w:rsid w:val="0095117D"/>
    <w:rsid w:val="009511C8"/>
    <w:rsid w:val="00953B35"/>
    <w:rsid w:val="00954677"/>
    <w:rsid w:val="00955FE4"/>
    <w:rsid w:val="00957BE1"/>
    <w:rsid w:val="00960ABD"/>
    <w:rsid w:val="0096163B"/>
    <w:rsid w:val="009616DD"/>
    <w:rsid w:val="0096239A"/>
    <w:rsid w:val="0096250B"/>
    <w:rsid w:val="00962C82"/>
    <w:rsid w:val="00962E56"/>
    <w:rsid w:val="00963F05"/>
    <w:rsid w:val="009644BC"/>
    <w:rsid w:val="00964E3F"/>
    <w:rsid w:val="00966490"/>
    <w:rsid w:val="00966E3B"/>
    <w:rsid w:val="00967D6B"/>
    <w:rsid w:val="00970397"/>
    <w:rsid w:val="00970619"/>
    <w:rsid w:val="00971158"/>
    <w:rsid w:val="00972823"/>
    <w:rsid w:val="00972A19"/>
    <w:rsid w:val="009732B9"/>
    <w:rsid w:val="0097384E"/>
    <w:rsid w:val="00975B35"/>
    <w:rsid w:val="00977A8E"/>
    <w:rsid w:val="00980C4E"/>
    <w:rsid w:val="00981EF7"/>
    <w:rsid w:val="009839D2"/>
    <w:rsid w:val="00983BD6"/>
    <w:rsid w:val="00984E30"/>
    <w:rsid w:val="0098525D"/>
    <w:rsid w:val="00986BDF"/>
    <w:rsid w:val="00986C4E"/>
    <w:rsid w:val="00986CC0"/>
    <w:rsid w:val="00987236"/>
    <w:rsid w:val="009872D8"/>
    <w:rsid w:val="0098748F"/>
    <w:rsid w:val="00987542"/>
    <w:rsid w:val="009876C1"/>
    <w:rsid w:val="0098794E"/>
    <w:rsid w:val="00990F0D"/>
    <w:rsid w:val="00993188"/>
    <w:rsid w:val="00993366"/>
    <w:rsid w:val="0099348F"/>
    <w:rsid w:val="00994EE2"/>
    <w:rsid w:val="00995673"/>
    <w:rsid w:val="009A0C6A"/>
    <w:rsid w:val="009A1FC5"/>
    <w:rsid w:val="009A2109"/>
    <w:rsid w:val="009A23AC"/>
    <w:rsid w:val="009A296C"/>
    <w:rsid w:val="009A2C3F"/>
    <w:rsid w:val="009A2CAC"/>
    <w:rsid w:val="009A2F9B"/>
    <w:rsid w:val="009A41C7"/>
    <w:rsid w:val="009A44B0"/>
    <w:rsid w:val="009A57D9"/>
    <w:rsid w:val="009A594B"/>
    <w:rsid w:val="009A6451"/>
    <w:rsid w:val="009A6E1F"/>
    <w:rsid w:val="009A6E3E"/>
    <w:rsid w:val="009A6FC8"/>
    <w:rsid w:val="009A705D"/>
    <w:rsid w:val="009B14C5"/>
    <w:rsid w:val="009B1CFE"/>
    <w:rsid w:val="009B226B"/>
    <w:rsid w:val="009B27D6"/>
    <w:rsid w:val="009B28C4"/>
    <w:rsid w:val="009B2A80"/>
    <w:rsid w:val="009B30CE"/>
    <w:rsid w:val="009B3C31"/>
    <w:rsid w:val="009B4191"/>
    <w:rsid w:val="009B4A3E"/>
    <w:rsid w:val="009B5A5B"/>
    <w:rsid w:val="009B5C9D"/>
    <w:rsid w:val="009B60D9"/>
    <w:rsid w:val="009B62D7"/>
    <w:rsid w:val="009B6526"/>
    <w:rsid w:val="009B72AA"/>
    <w:rsid w:val="009C0A6F"/>
    <w:rsid w:val="009C0EEC"/>
    <w:rsid w:val="009C344B"/>
    <w:rsid w:val="009C34F7"/>
    <w:rsid w:val="009C6999"/>
    <w:rsid w:val="009C7678"/>
    <w:rsid w:val="009D0359"/>
    <w:rsid w:val="009D0AF7"/>
    <w:rsid w:val="009D0D9B"/>
    <w:rsid w:val="009D1054"/>
    <w:rsid w:val="009D108C"/>
    <w:rsid w:val="009D21EB"/>
    <w:rsid w:val="009D3B16"/>
    <w:rsid w:val="009D3B53"/>
    <w:rsid w:val="009D4BBD"/>
    <w:rsid w:val="009D4E2A"/>
    <w:rsid w:val="009D500F"/>
    <w:rsid w:val="009D691D"/>
    <w:rsid w:val="009D7B61"/>
    <w:rsid w:val="009E2630"/>
    <w:rsid w:val="009E3453"/>
    <w:rsid w:val="009E3601"/>
    <w:rsid w:val="009E53C7"/>
    <w:rsid w:val="009E56ED"/>
    <w:rsid w:val="009E5CCB"/>
    <w:rsid w:val="009E6F63"/>
    <w:rsid w:val="009E76E4"/>
    <w:rsid w:val="009E77E2"/>
    <w:rsid w:val="009F0CF2"/>
    <w:rsid w:val="009F3145"/>
    <w:rsid w:val="009F3703"/>
    <w:rsid w:val="009F4ED1"/>
    <w:rsid w:val="009F4FF9"/>
    <w:rsid w:val="009F53D9"/>
    <w:rsid w:val="009F57A3"/>
    <w:rsid w:val="009F732E"/>
    <w:rsid w:val="009F7F0F"/>
    <w:rsid w:val="00A00641"/>
    <w:rsid w:val="00A00F55"/>
    <w:rsid w:val="00A011E7"/>
    <w:rsid w:val="00A036CA"/>
    <w:rsid w:val="00A04D7B"/>
    <w:rsid w:val="00A0524D"/>
    <w:rsid w:val="00A05A70"/>
    <w:rsid w:val="00A05AFC"/>
    <w:rsid w:val="00A05F56"/>
    <w:rsid w:val="00A070AC"/>
    <w:rsid w:val="00A11E87"/>
    <w:rsid w:val="00A12060"/>
    <w:rsid w:val="00A129E3"/>
    <w:rsid w:val="00A12D8F"/>
    <w:rsid w:val="00A1311C"/>
    <w:rsid w:val="00A140D6"/>
    <w:rsid w:val="00A14414"/>
    <w:rsid w:val="00A145C6"/>
    <w:rsid w:val="00A145DD"/>
    <w:rsid w:val="00A1569D"/>
    <w:rsid w:val="00A15C43"/>
    <w:rsid w:val="00A15DAF"/>
    <w:rsid w:val="00A15E09"/>
    <w:rsid w:val="00A179D4"/>
    <w:rsid w:val="00A2035B"/>
    <w:rsid w:val="00A20564"/>
    <w:rsid w:val="00A21BFF"/>
    <w:rsid w:val="00A23E68"/>
    <w:rsid w:val="00A24693"/>
    <w:rsid w:val="00A24F61"/>
    <w:rsid w:val="00A26FAA"/>
    <w:rsid w:val="00A27ABC"/>
    <w:rsid w:val="00A27E1F"/>
    <w:rsid w:val="00A303A7"/>
    <w:rsid w:val="00A304E3"/>
    <w:rsid w:val="00A314C7"/>
    <w:rsid w:val="00A31711"/>
    <w:rsid w:val="00A34115"/>
    <w:rsid w:val="00A34664"/>
    <w:rsid w:val="00A3605B"/>
    <w:rsid w:val="00A37B17"/>
    <w:rsid w:val="00A40C5A"/>
    <w:rsid w:val="00A41DF3"/>
    <w:rsid w:val="00A43553"/>
    <w:rsid w:val="00A443A4"/>
    <w:rsid w:val="00A4445D"/>
    <w:rsid w:val="00A47D0A"/>
    <w:rsid w:val="00A47F4D"/>
    <w:rsid w:val="00A50BC1"/>
    <w:rsid w:val="00A51145"/>
    <w:rsid w:val="00A511C0"/>
    <w:rsid w:val="00A51E01"/>
    <w:rsid w:val="00A52583"/>
    <w:rsid w:val="00A52E59"/>
    <w:rsid w:val="00A53062"/>
    <w:rsid w:val="00A538E7"/>
    <w:rsid w:val="00A5507C"/>
    <w:rsid w:val="00A559EA"/>
    <w:rsid w:val="00A56E4A"/>
    <w:rsid w:val="00A57699"/>
    <w:rsid w:val="00A57C52"/>
    <w:rsid w:val="00A60903"/>
    <w:rsid w:val="00A62700"/>
    <w:rsid w:val="00A62DE1"/>
    <w:rsid w:val="00A63106"/>
    <w:rsid w:val="00A63985"/>
    <w:rsid w:val="00A64836"/>
    <w:rsid w:val="00A65FCC"/>
    <w:rsid w:val="00A6623D"/>
    <w:rsid w:val="00A7121A"/>
    <w:rsid w:val="00A71A59"/>
    <w:rsid w:val="00A71FFA"/>
    <w:rsid w:val="00A729D3"/>
    <w:rsid w:val="00A72A9E"/>
    <w:rsid w:val="00A730A6"/>
    <w:rsid w:val="00A7717D"/>
    <w:rsid w:val="00A7726E"/>
    <w:rsid w:val="00A77D98"/>
    <w:rsid w:val="00A81FC5"/>
    <w:rsid w:val="00A8231D"/>
    <w:rsid w:val="00A823FB"/>
    <w:rsid w:val="00A830F2"/>
    <w:rsid w:val="00A84A6B"/>
    <w:rsid w:val="00A87DD2"/>
    <w:rsid w:val="00A9033C"/>
    <w:rsid w:val="00A906B7"/>
    <w:rsid w:val="00A9091B"/>
    <w:rsid w:val="00A92576"/>
    <w:rsid w:val="00A95D2D"/>
    <w:rsid w:val="00A964EF"/>
    <w:rsid w:val="00A96FCD"/>
    <w:rsid w:val="00AA040F"/>
    <w:rsid w:val="00AA1E30"/>
    <w:rsid w:val="00AA46FA"/>
    <w:rsid w:val="00AA51E7"/>
    <w:rsid w:val="00AA5739"/>
    <w:rsid w:val="00AA5A4C"/>
    <w:rsid w:val="00AA5F83"/>
    <w:rsid w:val="00AA6C7D"/>
    <w:rsid w:val="00AA6D46"/>
    <w:rsid w:val="00AA6DC6"/>
    <w:rsid w:val="00AA6F6F"/>
    <w:rsid w:val="00AB11DD"/>
    <w:rsid w:val="00AB1DD5"/>
    <w:rsid w:val="00AB24AC"/>
    <w:rsid w:val="00AB2876"/>
    <w:rsid w:val="00AB2B6F"/>
    <w:rsid w:val="00AB3C86"/>
    <w:rsid w:val="00AB4BD1"/>
    <w:rsid w:val="00AB504A"/>
    <w:rsid w:val="00AB53A4"/>
    <w:rsid w:val="00AB5A78"/>
    <w:rsid w:val="00AB5B0B"/>
    <w:rsid w:val="00AB62E5"/>
    <w:rsid w:val="00AB7460"/>
    <w:rsid w:val="00AC02AB"/>
    <w:rsid w:val="00AC1E47"/>
    <w:rsid w:val="00AC2037"/>
    <w:rsid w:val="00AC25D7"/>
    <w:rsid w:val="00AC26E3"/>
    <w:rsid w:val="00AC34AD"/>
    <w:rsid w:val="00AC36D9"/>
    <w:rsid w:val="00AC54E3"/>
    <w:rsid w:val="00AC57D5"/>
    <w:rsid w:val="00AC5A87"/>
    <w:rsid w:val="00AD1A24"/>
    <w:rsid w:val="00AD24C6"/>
    <w:rsid w:val="00AD45B0"/>
    <w:rsid w:val="00AD5202"/>
    <w:rsid w:val="00AE0ACF"/>
    <w:rsid w:val="00AE1FB9"/>
    <w:rsid w:val="00AE2156"/>
    <w:rsid w:val="00AE28FC"/>
    <w:rsid w:val="00AE2A4B"/>
    <w:rsid w:val="00AE2D21"/>
    <w:rsid w:val="00AE2ED0"/>
    <w:rsid w:val="00AE36D1"/>
    <w:rsid w:val="00AE3B50"/>
    <w:rsid w:val="00AE4752"/>
    <w:rsid w:val="00AE5274"/>
    <w:rsid w:val="00AE6404"/>
    <w:rsid w:val="00AE7372"/>
    <w:rsid w:val="00AE7AFA"/>
    <w:rsid w:val="00AF080F"/>
    <w:rsid w:val="00AF1169"/>
    <w:rsid w:val="00AF1CFE"/>
    <w:rsid w:val="00AF214B"/>
    <w:rsid w:val="00AF2D8E"/>
    <w:rsid w:val="00AF3103"/>
    <w:rsid w:val="00AF3A1C"/>
    <w:rsid w:val="00AF4862"/>
    <w:rsid w:val="00AF5D83"/>
    <w:rsid w:val="00AF656F"/>
    <w:rsid w:val="00AF6C2C"/>
    <w:rsid w:val="00B003D3"/>
    <w:rsid w:val="00B008B0"/>
    <w:rsid w:val="00B0091D"/>
    <w:rsid w:val="00B009D2"/>
    <w:rsid w:val="00B01408"/>
    <w:rsid w:val="00B03517"/>
    <w:rsid w:val="00B036EA"/>
    <w:rsid w:val="00B03E2E"/>
    <w:rsid w:val="00B04A96"/>
    <w:rsid w:val="00B063C6"/>
    <w:rsid w:val="00B06498"/>
    <w:rsid w:val="00B06B05"/>
    <w:rsid w:val="00B07456"/>
    <w:rsid w:val="00B07967"/>
    <w:rsid w:val="00B07E66"/>
    <w:rsid w:val="00B1029B"/>
    <w:rsid w:val="00B10DA6"/>
    <w:rsid w:val="00B11095"/>
    <w:rsid w:val="00B129A6"/>
    <w:rsid w:val="00B13429"/>
    <w:rsid w:val="00B14435"/>
    <w:rsid w:val="00B15F1A"/>
    <w:rsid w:val="00B17357"/>
    <w:rsid w:val="00B17F74"/>
    <w:rsid w:val="00B20627"/>
    <w:rsid w:val="00B20DB5"/>
    <w:rsid w:val="00B22139"/>
    <w:rsid w:val="00B230EF"/>
    <w:rsid w:val="00B2328A"/>
    <w:rsid w:val="00B23CDF"/>
    <w:rsid w:val="00B2594F"/>
    <w:rsid w:val="00B25EF1"/>
    <w:rsid w:val="00B26E4D"/>
    <w:rsid w:val="00B270E8"/>
    <w:rsid w:val="00B273CF"/>
    <w:rsid w:val="00B27F8C"/>
    <w:rsid w:val="00B30BF5"/>
    <w:rsid w:val="00B30ED1"/>
    <w:rsid w:val="00B31170"/>
    <w:rsid w:val="00B31191"/>
    <w:rsid w:val="00B311CC"/>
    <w:rsid w:val="00B313E8"/>
    <w:rsid w:val="00B31801"/>
    <w:rsid w:val="00B31E69"/>
    <w:rsid w:val="00B31E93"/>
    <w:rsid w:val="00B35A24"/>
    <w:rsid w:val="00B40537"/>
    <w:rsid w:val="00B4249E"/>
    <w:rsid w:val="00B43814"/>
    <w:rsid w:val="00B44119"/>
    <w:rsid w:val="00B456EF"/>
    <w:rsid w:val="00B45707"/>
    <w:rsid w:val="00B459E9"/>
    <w:rsid w:val="00B46977"/>
    <w:rsid w:val="00B47D15"/>
    <w:rsid w:val="00B5030F"/>
    <w:rsid w:val="00B50A22"/>
    <w:rsid w:val="00B50FEF"/>
    <w:rsid w:val="00B51476"/>
    <w:rsid w:val="00B52163"/>
    <w:rsid w:val="00B52335"/>
    <w:rsid w:val="00B5234E"/>
    <w:rsid w:val="00B523DD"/>
    <w:rsid w:val="00B53A19"/>
    <w:rsid w:val="00B54C52"/>
    <w:rsid w:val="00B54D2E"/>
    <w:rsid w:val="00B55202"/>
    <w:rsid w:val="00B55D21"/>
    <w:rsid w:val="00B56379"/>
    <w:rsid w:val="00B57E34"/>
    <w:rsid w:val="00B60190"/>
    <w:rsid w:val="00B60E3E"/>
    <w:rsid w:val="00B62B0B"/>
    <w:rsid w:val="00B62B58"/>
    <w:rsid w:val="00B62B9F"/>
    <w:rsid w:val="00B6388F"/>
    <w:rsid w:val="00B63D54"/>
    <w:rsid w:val="00B660E2"/>
    <w:rsid w:val="00B66531"/>
    <w:rsid w:val="00B711B9"/>
    <w:rsid w:val="00B7130E"/>
    <w:rsid w:val="00B721FA"/>
    <w:rsid w:val="00B731A9"/>
    <w:rsid w:val="00B73C3C"/>
    <w:rsid w:val="00B749A5"/>
    <w:rsid w:val="00B75AD8"/>
    <w:rsid w:val="00B75C15"/>
    <w:rsid w:val="00B7620D"/>
    <w:rsid w:val="00B76854"/>
    <w:rsid w:val="00B77DCB"/>
    <w:rsid w:val="00B80363"/>
    <w:rsid w:val="00B80810"/>
    <w:rsid w:val="00B80B9B"/>
    <w:rsid w:val="00B812C4"/>
    <w:rsid w:val="00B8183F"/>
    <w:rsid w:val="00B82FC6"/>
    <w:rsid w:val="00B838F0"/>
    <w:rsid w:val="00B83E8D"/>
    <w:rsid w:val="00B8419D"/>
    <w:rsid w:val="00B849DF"/>
    <w:rsid w:val="00B859BB"/>
    <w:rsid w:val="00B85D29"/>
    <w:rsid w:val="00B85D4B"/>
    <w:rsid w:val="00B8621A"/>
    <w:rsid w:val="00B875D3"/>
    <w:rsid w:val="00B87CE5"/>
    <w:rsid w:val="00B903D6"/>
    <w:rsid w:val="00B9316F"/>
    <w:rsid w:val="00B93846"/>
    <w:rsid w:val="00B9418D"/>
    <w:rsid w:val="00B941CF"/>
    <w:rsid w:val="00B94623"/>
    <w:rsid w:val="00B94A5F"/>
    <w:rsid w:val="00B94C3A"/>
    <w:rsid w:val="00B95617"/>
    <w:rsid w:val="00B96FD2"/>
    <w:rsid w:val="00B975D8"/>
    <w:rsid w:val="00B97A7C"/>
    <w:rsid w:val="00BA0DD8"/>
    <w:rsid w:val="00BA190E"/>
    <w:rsid w:val="00BA1FCC"/>
    <w:rsid w:val="00BA3482"/>
    <w:rsid w:val="00BA5B26"/>
    <w:rsid w:val="00BA5C63"/>
    <w:rsid w:val="00BA6438"/>
    <w:rsid w:val="00BA677B"/>
    <w:rsid w:val="00BA67DA"/>
    <w:rsid w:val="00BA68CC"/>
    <w:rsid w:val="00BA6FA2"/>
    <w:rsid w:val="00BA71AA"/>
    <w:rsid w:val="00BA79AD"/>
    <w:rsid w:val="00BB06CF"/>
    <w:rsid w:val="00BB0E54"/>
    <w:rsid w:val="00BB1DA9"/>
    <w:rsid w:val="00BB1F02"/>
    <w:rsid w:val="00BB2262"/>
    <w:rsid w:val="00BB4FE3"/>
    <w:rsid w:val="00BB58DB"/>
    <w:rsid w:val="00BB5B6A"/>
    <w:rsid w:val="00BB791F"/>
    <w:rsid w:val="00BB7BF6"/>
    <w:rsid w:val="00BC12DE"/>
    <w:rsid w:val="00BC23BE"/>
    <w:rsid w:val="00BC25C4"/>
    <w:rsid w:val="00BC25FE"/>
    <w:rsid w:val="00BC3157"/>
    <w:rsid w:val="00BC6D8D"/>
    <w:rsid w:val="00BD07FF"/>
    <w:rsid w:val="00BD131C"/>
    <w:rsid w:val="00BD13AE"/>
    <w:rsid w:val="00BD2EE5"/>
    <w:rsid w:val="00BD4425"/>
    <w:rsid w:val="00BD56B8"/>
    <w:rsid w:val="00BD5B4E"/>
    <w:rsid w:val="00BD5D8A"/>
    <w:rsid w:val="00BD6501"/>
    <w:rsid w:val="00BD70CE"/>
    <w:rsid w:val="00BD7C30"/>
    <w:rsid w:val="00BE0591"/>
    <w:rsid w:val="00BE13B1"/>
    <w:rsid w:val="00BE1717"/>
    <w:rsid w:val="00BE21E3"/>
    <w:rsid w:val="00BE24BF"/>
    <w:rsid w:val="00BE30DB"/>
    <w:rsid w:val="00BE3A0A"/>
    <w:rsid w:val="00BE3D2E"/>
    <w:rsid w:val="00BE5CBF"/>
    <w:rsid w:val="00BE755E"/>
    <w:rsid w:val="00BE75C5"/>
    <w:rsid w:val="00BE7C7A"/>
    <w:rsid w:val="00BF00E0"/>
    <w:rsid w:val="00BF0329"/>
    <w:rsid w:val="00BF0B8A"/>
    <w:rsid w:val="00BF1600"/>
    <w:rsid w:val="00BF1CA9"/>
    <w:rsid w:val="00BF1CDF"/>
    <w:rsid w:val="00BF1E10"/>
    <w:rsid w:val="00BF2BDF"/>
    <w:rsid w:val="00BF3999"/>
    <w:rsid w:val="00BF6F23"/>
    <w:rsid w:val="00BF7650"/>
    <w:rsid w:val="00C0112C"/>
    <w:rsid w:val="00C011D2"/>
    <w:rsid w:val="00C01A7E"/>
    <w:rsid w:val="00C01DC5"/>
    <w:rsid w:val="00C02DDF"/>
    <w:rsid w:val="00C04E09"/>
    <w:rsid w:val="00C05A58"/>
    <w:rsid w:val="00C11BF7"/>
    <w:rsid w:val="00C122BC"/>
    <w:rsid w:val="00C12FB4"/>
    <w:rsid w:val="00C1577C"/>
    <w:rsid w:val="00C163B2"/>
    <w:rsid w:val="00C168E0"/>
    <w:rsid w:val="00C1759D"/>
    <w:rsid w:val="00C17E59"/>
    <w:rsid w:val="00C20796"/>
    <w:rsid w:val="00C20A83"/>
    <w:rsid w:val="00C21C8B"/>
    <w:rsid w:val="00C22030"/>
    <w:rsid w:val="00C2312B"/>
    <w:rsid w:val="00C24005"/>
    <w:rsid w:val="00C24319"/>
    <w:rsid w:val="00C2524B"/>
    <w:rsid w:val="00C26B6A"/>
    <w:rsid w:val="00C26FA0"/>
    <w:rsid w:val="00C27757"/>
    <w:rsid w:val="00C31A0E"/>
    <w:rsid w:val="00C3230B"/>
    <w:rsid w:val="00C325E4"/>
    <w:rsid w:val="00C32B21"/>
    <w:rsid w:val="00C33186"/>
    <w:rsid w:val="00C33E92"/>
    <w:rsid w:val="00C35AE9"/>
    <w:rsid w:val="00C36020"/>
    <w:rsid w:val="00C369EF"/>
    <w:rsid w:val="00C4028C"/>
    <w:rsid w:val="00C4064D"/>
    <w:rsid w:val="00C40A9A"/>
    <w:rsid w:val="00C43617"/>
    <w:rsid w:val="00C43C77"/>
    <w:rsid w:val="00C4452A"/>
    <w:rsid w:val="00C44766"/>
    <w:rsid w:val="00C45DB6"/>
    <w:rsid w:val="00C466A0"/>
    <w:rsid w:val="00C4712B"/>
    <w:rsid w:val="00C47C98"/>
    <w:rsid w:val="00C514F9"/>
    <w:rsid w:val="00C51B75"/>
    <w:rsid w:val="00C51CBA"/>
    <w:rsid w:val="00C51EFC"/>
    <w:rsid w:val="00C53064"/>
    <w:rsid w:val="00C55C66"/>
    <w:rsid w:val="00C60801"/>
    <w:rsid w:val="00C62A37"/>
    <w:rsid w:val="00C63F06"/>
    <w:rsid w:val="00C64F93"/>
    <w:rsid w:val="00C657B8"/>
    <w:rsid w:val="00C667FA"/>
    <w:rsid w:val="00C668A3"/>
    <w:rsid w:val="00C676DE"/>
    <w:rsid w:val="00C67E76"/>
    <w:rsid w:val="00C70FF8"/>
    <w:rsid w:val="00C7388E"/>
    <w:rsid w:val="00C747D3"/>
    <w:rsid w:val="00C753E4"/>
    <w:rsid w:val="00C75814"/>
    <w:rsid w:val="00C76DCD"/>
    <w:rsid w:val="00C77577"/>
    <w:rsid w:val="00C77A0B"/>
    <w:rsid w:val="00C83E95"/>
    <w:rsid w:val="00C841B2"/>
    <w:rsid w:val="00C86576"/>
    <w:rsid w:val="00C86922"/>
    <w:rsid w:val="00C9133B"/>
    <w:rsid w:val="00C917B4"/>
    <w:rsid w:val="00C91ECC"/>
    <w:rsid w:val="00C945B2"/>
    <w:rsid w:val="00C949EC"/>
    <w:rsid w:val="00C94AA8"/>
    <w:rsid w:val="00C95A05"/>
    <w:rsid w:val="00C97C9D"/>
    <w:rsid w:val="00C97DFD"/>
    <w:rsid w:val="00CA06FB"/>
    <w:rsid w:val="00CA0A06"/>
    <w:rsid w:val="00CA11A1"/>
    <w:rsid w:val="00CA1C2F"/>
    <w:rsid w:val="00CA2186"/>
    <w:rsid w:val="00CA241B"/>
    <w:rsid w:val="00CA2698"/>
    <w:rsid w:val="00CA2EA6"/>
    <w:rsid w:val="00CA3EFD"/>
    <w:rsid w:val="00CA4426"/>
    <w:rsid w:val="00CA6A1E"/>
    <w:rsid w:val="00CA72DD"/>
    <w:rsid w:val="00CA7A98"/>
    <w:rsid w:val="00CB06B7"/>
    <w:rsid w:val="00CB0984"/>
    <w:rsid w:val="00CB10CD"/>
    <w:rsid w:val="00CB132F"/>
    <w:rsid w:val="00CB1D23"/>
    <w:rsid w:val="00CB20B1"/>
    <w:rsid w:val="00CB21EB"/>
    <w:rsid w:val="00CB25CC"/>
    <w:rsid w:val="00CB3109"/>
    <w:rsid w:val="00CB334B"/>
    <w:rsid w:val="00CB426D"/>
    <w:rsid w:val="00CB5693"/>
    <w:rsid w:val="00CB677D"/>
    <w:rsid w:val="00CB6EE5"/>
    <w:rsid w:val="00CB78BD"/>
    <w:rsid w:val="00CC1E3C"/>
    <w:rsid w:val="00CC3ADE"/>
    <w:rsid w:val="00CC3E03"/>
    <w:rsid w:val="00CC632B"/>
    <w:rsid w:val="00CC7666"/>
    <w:rsid w:val="00CD14C4"/>
    <w:rsid w:val="00CD1E2F"/>
    <w:rsid w:val="00CD261F"/>
    <w:rsid w:val="00CD343C"/>
    <w:rsid w:val="00CD3933"/>
    <w:rsid w:val="00CD3D2E"/>
    <w:rsid w:val="00CD3D38"/>
    <w:rsid w:val="00CD4A09"/>
    <w:rsid w:val="00CD4DF4"/>
    <w:rsid w:val="00CD7251"/>
    <w:rsid w:val="00CD7FF3"/>
    <w:rsid w:val="00CE0DE2"/>
    <w:rsid w:val="00CE0E90"/>
    <w:rsid w:val="00CE11D6"/>
    <w:rsid w:val="00CE2219"/>
    <w:rsid w:val="00CE22BF"/>
    <w:rsid w:val="00CE24E9"/>
    <w:rsid w:val="00CE530A"/>
    <w:rsid w:val="00CE5A1B"/>
    <w:rsid w:val="00CE5E3D"/>
    <w:rsid w:val="00CE7086"/>
    <w:rsid w:val="00CF00B1"/>
    <w:rsid w:val="00CF05B3"/>
    <w:rsid w:val="00CF15A9"/>
    <w:rsid w:val="00CF1AA1"/>
    <w:rsid w:val="00CF2397"/>
    <w:rsid w:val="00CF2618"/>
    <w:rsid w:val="00CF4A71"/>
    <w:rsid w:val="00CF53C8"/>
    <w:rsid w:val="00CF5F93"/>
    <w:rsid w:val="00CF63F0"/>
    <w:rsid w:val="00CF66ED"/>
    <w:rsid w:val="00CF67A0"/>
    <w:rsid w:val="00CF6AC0"/>
    <w:rsid w:val="00CF70BB"/>
    <w:rsid w:val="00CF70F1"/>
    <w:rsid w:val="00CF75CD"/>
    <w:rsid w:val="00D00123"/>
    <w:rsid w:val="00D0269B"/>
    <w:rsid w:val="00D03174"/>
    <w:rsid w:val="00D059A6"/>
    <w:rsid w:val="00D05DB9"/>
    <w:rsid w:val="00D05F09"/>
    <w:rsid w:val="00D0645B"/>
    <w:rsid w:val="00D06A33"/>
    <w:rsid w:val="00D117CA"/>
    <w:rsid w:val="00D12284"/>
    <w:rsid w:val="00D124CE"/>
    <w:rsid w:val="00D138E8"/>
    <w:rsid w:val="00D13A89"/>
    <w:rsid w:val="00D1532E"/>
    <w:rsid w:val="00D17FC5"/>
    <w:rsid w:val="00D208CA"/>
    <w:rsid w:val="00D215B2"/>
    <w:rsid w:val="00D21EF3"/>
    <w:rsid w:val="00D22863"/>
    <w:rsid w:val="00D22FC1"/>
    <w:rsid w:val="00D23C39"/>
    <w:rsid w:val="00D25477"/>
    <w:rsid w:val="00D26EDF"/>
    <w:rsid w:val="00D27040"/>
    <w:rsid w:val="00D273AF"/>
    <w:rsid w:val="00D303D2"/>
    <w:rsid w:val="00D30699"/>
    <w:rsid w:val="00D30CE0"/>
    <w:rsid w:val="00D3164A"/>
    <w:rsid w:val="00D3172F"/>
    <w:rsid w:val="00D32004"/>
    <w:rsid w:val="00D32333"/>
    <w:rsid w:val="00D328AD"/>
    <w:rsid w:val="00D32D73"/>
    <w:rsid w:val="00D32FB7"/>
    <w:rsid w:val="00D33106"/>
    <w:rsid w:val="00D33262"/>
    <w:rsid w:val="00D336F8"/>
    <w:rsid w:val="00D33B61"/>
    <w:rsid w:val="00D34092"/>
    <w:rsid w:val="00D3486D"/>
    <w:rsid w:val="00D35193"/>
    <w:rsid w:val="00D352BD"/>
    <w:rsid w:val="00D35527"/>
    <w:rsid w:val="00D35AF0"/>
    <w:rsid w:val="00D37864"/>
    <w:rsid w:val="00D37B18"/>
    <w:rsid w:val="00D4035B"/>
    <w:rsid w:val="00D409A5"/>
    <w:rsid w:val="00D429F2"/>
    <w:rsid w:val="00D42F9A"/>
    <w:rsid w:val="00D43180"/>
    <w:rsid w:val="00D438FB"/>
    <w:rsid w:val="00D43DA9"/>
    <w:rsid w:val="00D43E18"/>
    <w:rsid w:val="00D43F4F"/>
    <w:rsid w:val="00D4421A"/>
    <w:rsid w:val="00D44CD9"/>
    <w:rsid w:val="00D45A74"/>
    <w:rsid w:val="00D463EA"/>
    <w:rsid w:val="00D4674A"/>
    <w:rsid w:val="00D469FF"/>
    <w:rsid w:val="00D46AB9"/>
    <w:rsid w:val="00D47A77"/>
    <w:rsid w:val="00D47BC4"/>
    <w:rsid w:val="00D509F9"/>
    <w:rsid w:val="00D5161D"/>
    <w:rsid w:val="00D523B9"/>
    <w:rsid w:val="00D5242A"/>
    <w:rsid w:val="00D5376F"/>
    <w:rsid w:val="00D53F1D"/>
    <w:rsid w:val="00D549DB"/>
    <w:rsid w:val="00D54FFF"/>
    <w:rsid w:val="00D55619"/>
    <w:rsid w:val="00D56005"/>
    <w:rsid w:val="00D56459"/>
    <w:rsid w:val="00D60026"/>
    <w:rsid w:val="00D60BA3"/>
    <w:rsid w:val="00D6188D"/>
    <w:rsid w:val="00D66B3B"/>
    <w:rsid w:val="00D71C37"/>
    <w:rsid w:val="00D71D02"/>
    <w:rsid w:val="00D720F3"/>
    <w:rsid w:val="00D72EF0"/>
    <w:rsid w:val="00D73978"/>
    <w:rsid w:val="00D7457A"/>
    <w:rsid w:val="00D7475D"/>
    <w:rsid w:val="00D74797"/>
    <w:rsid w:val="00D7507E"/>
    <w:rsid w:val="00D754D7"/>
    <w:rsid w:val="00D75BCC"/>
    <w:rsid w:val="00D76C9E"/>
    <w:rsid w:val="00D77B46"/>
    <w:rsid w:val="00D8000D"/>
    <w:rsid w:val="00D816D5"/>
    <w:rsid w:val="00D81EB0"/>
    <w:rsid w:val="00D8206A"/>
    <w:rsid w:val="00D82AFA"/>
    <w:rsid w:val="00D8329B"/>
    <w:rsid w:val="00D8336B"/>
    <w:rsid w:val="00D83487"/>
    <w:rsid w:val="00D836CC"/>
    <w:rsid w:val="00D8418E"/>
    <w:rsid w:val="00D84E76"/>
    <w:rsid w:val="00D8500E"/>
    <w:rsid w:val="00D851A1"/>
    <w:rsid w:val="00D85962"/>
    <w:rsid w:val="00D865BA"/>
    <w:rsid w:val="00D86EEE"/>
    <w:rsid w:val="00D8741A"/>
    <w:rsid w:val="00D87C22"/>
    <w:rsid w:val="00D90A6C"/>
    <w:rsid w:val="00D9243A"/>
    <w:rsid w:val="00D93A41"/>
    <w:rsid w:val="00D9421E"/>
    <w:rsid w:val="00D95F7D"/>
    <w:rsid w:val="00D96D8C"/>
    <w:rsid w:val="00D97A46"/>
    <w:rsid w:val="00DA0399"/>
    <w:rsid w:val="00DA0D93"/>
    <w:rsid w:val="00DA1A7E"/>
    <w:rsid w:val="00DA22FB"/>
    <w:rsid w:val="00DA3146"/>
    <w:rsid w:val="00DA3404"/>
    <w:rsid w:val="00DA353F"/>
    <w:rsid w:val="00DA36A5"/>
    <w:rsid w:val="00DA4396"/>
    <w:rsid w:val="00DA4C27"/>
    <w:rsid w:val="00DA54E2"/>
    <w:rsid w:val="00DA5A69"/>
    <w:rsid w:val="00DA5D5A"/>
    <w:rsid w:val="00DA7356"/>
    <w:rsid w:val="00DB0DA9"/>
    <w:rsid w:val="00DB55DC"/>
    <w:rsid w:val="00DB7E38"/>
    <w:rsid w:val="00DB7FF7"/>
    <w:rsid w:val="00DC0336"/>
    <w:rsid w:val="00DC0AB1"/>
    <w:rsid w:val="00DC0ED4"/>
    <w:rsid w:val="00DC11A5"/>
    <w:rsid w:val="00DC11B7"/>
    <w:rsid w:val="00DC1A9B"/>
    <w:rsid w:val="00DC1FCB"/>
    <w:rsid w:val="00DC25EF"/>
    <w:rsid w:val="00DC29EE"/>
    <w:rsid w:val="00DC3435"/>
    <w:rsid w:val="00DC4E65"/>
    <w:rsid w:val="00DC66EF"/>
    <w:rsid w:val="00DC7575"/>
    <w:rsid w:val="00DC78FB"/>
    <w:rsid w:val="00DC7FC6"/>
    <w:rsid w:val="00DD0B4B"/>
    <w:rsid w:val="00DD1314"/>
    <w:rsid w:val="00DD139D"/>
    <w:rsid w:val="00DD1842"/>
    <w:rsid w:val="00DD4A07"/>
    <w:rsid w:val="00DD4C74"/>
    <w:rsid w:val="00DD4CA6"/>
    <w:rsid w:val="00DD54A1"/>
    <w:rsid w:val="00DD5569"/>
    <w:rsid w:val="00DD58AA"/>
    <w:rsid w:val="00DD5CB4"/>
    <w:rsid w:val="00DD5F5E"/>
    <w:rsid w:val="00DD6394"/>
    <w:rsid w:val="00DE0BDE"/>
    <w:rsid w:val="00DE15F7"/>
    <w:rsid w:val="00DE177E"/>
    <w:rsid w:val="00DE1CE7"/>
    <w:rsid w:val="00DE2F24"/>
    <w:rsid w:val="00DE3F64"/>
    <w:rsid w:val="00DE4806"/>
    <w:rsid w:val="00DE48A5"/>
    <w:rsid w:val="00DE4C14"/>
    <w:rsid w:val="00DE5971"/>
    <w:rsid w:val="00DE674B"/>
    <w:rsid w:val="00DE7127"/>
    <w:rsid w:val="00DF09EC"/>
    <w:rsid w:val="00DF2382"/>
    <w:rsid w:val="00DF330A"/>
    <w:rsid w:val="00DF362B"/>
    <w:rsid w:val="00DF3FFE"/>
    <w:rsid w:val="00DF4AD9"/>
    <w:rsid w:val="00DF53CC"/>
    <w:rsid w:val="00DF606E"/>
    <w:rsid w:val="00DF6595"/>
    <w:rsid w:val="00DF6B51"/>
    <w:rsid w:val="00DF76E9"/>
    <w:rsid w:val="00E0024D"/>
    <w:rsid w:val="00E01002"/>
    <w:rsid w:val="00E01C2D"/>
    <w:rsid w:val="00E01CFD"/>
    <w:rsid w:val="00E02271"/>
    <w:rsid w:val="00E024B1"/>
    <w:rsid w:val="00E02B3A"/>
    <w:rsid w:val="00E0348B"/>
    <w:rsid w:val="00E04C38"/>
    <w:rsid w:val="00E061B7"/>
    <w:rsid w:val="00E07220"/>
    <w:rsid w:val="00E0737B"/>
    <w:rsid w:val="00E079D3"/>
    <w:rsid w:val="00E07C0A"/>
    <w:rsid w:val="00E1042F"/>
    <w:rsid w:val="00E1120E"/>
    <w:rsid w:val="00E120D5"/>
    <w:rsid w:val="00E124CB"/>
    <w:rsid w:val="00E12F7F"/>
    <w:rsid w:val="00E13245"/>
    <w:rsid w:val="00E13349"/>
    <w:rsid w:val="00E134AB"/>
    <w:rsid w:val="00E14071"/>
    <w:rsid w:val="00E14EC2"/>
    <w:rsid w:val="00E153F6"/>
    <w:rsid w:val="00E205BB"/>
    <w:rsid w:val="00E208D6"/>
    <w:rsid w:val="00E20A91"/>
    <w:rsid w:val="00E2184C"/>
    <w:rsid w:val="00E239DA"/>
    <w:rsid w:val="00E23C56"/>
    <w:rsid w:val="00E23CB7"/>
    <w:rsid w:val="00E2506E"/>
    <w:rsid w:val="00E25703"/>
    <w:rsid w:val="00E259A0"/>
    <w:rsid w:val="00E25A48"/>
    <w:rsid w:val="00E305CF"/>
    <w:rsid w:val="00E30B92"/>
    <w:rsid w:val="00E32AE7"/>
    <w:rsid w:val="00E340F1"/>
    <w:rsid w:val="00E34E6D"/>
    <w:rsid w:val="00E35BF7"/>
    <w:rsid w:val="00E37587"/>
    <w:rsid w:val="00E37B3A"/>
    <w:rsid w:val="00E37CE3"/>
    <w:rsid w:val="00E4059A"/>
    <w:rsid w:val="00E40AA2"/>
    <w:rsid w:val="00E41BFD"/>
    <w:rsid w:val="00E42656"/>
    <w:rsid w:val="00E44D61"/>
    <w:rsid w:val="00E46B04"/>
    <w:rsid w:val="00E46B87"/>
    <w:rsid w:val="00E46FED"/>
    <w:rsid w:val="00E47840"/>
    <w:rsid w:val="00E47D8E"/>
    <w:rsid w:val="00E5013A"/>
    <w:rsid w:val="00E5039A"/>
    <w:rsid w:val="00E506BB"/>
    <w:rsid w:val="00E507C6"/>
    <w:rsid w:val="00E52A4C"/>
    <w:rsid w:val="00E52BAD"/>
    <w:rsid w:val="00E52CB9"/>
    <w:rsid w:val="00E52D1B"/>
    <w:rsid w:val="00E536DB"/>
    <w:rsid w:val="00E54314"/>
    <w:rsid w:val="00E54510"/>
    <w:rsid w:val="00E55F83"/>
    <w:rsid w:val="00E6048D"/>
    <w:rsid w:val="00E61DC4"/>
    <w:rsid w:val="00E6264F"/>
    <w:rsid w:val="00E64E97"/>
    <w:rsid w:val="00E6684B"/>
    <w:rsid w:val="00E674AA"/>
    <w:rsid w:val="00E706D2"/>
    <w:rsid w:val="00E70E0E"/>
    <w:rsid w:val="00E7102C"/>
    <w:rsid w:val="00E71683"/>
    <w:rsid w:val="00E71A2D"/>
    <w:rsid w:val="00E71B45"/>
    <w:rsid w:val="00E72241"/>
    <w:rsid w:val="00E728E4"/>
    <w:rsid w:val="00E729BA"/>
    <w:rsid w:val="00E74450"/>
    <w:rsid w:val="00E7463D"/>
    <w:rsid w:val="00E7531F"/>
    <w:rsid w:val="00E75C11"/>
    <w:rsid w:val="00E766B9"/>
    <w:rsid w:val="00E775E0"/>
    <w:rsid w:val="00E801BF"/>
    <w:rsid w:val="00E80350"/>
    <w:rsid w:val="00E805D8"/>
    <w:rsid w:val="00E80AFD"/>
    <w:rsid w:val="00E814BE"/>
    <w:rsid w:val="00E819F6"/>
    <w:rsid w:val="00E822B5"/>
    <w:rsid w:val="00E8282F"/>
    <w:rsid w:val="00E82864"/>
    <w:rsid w:val="00E84179"/>
    <w:rsid w:val="00E84521"/>
    <w:rsid w:val="00E84DA6"/>
    <w:rsid w:val="00E86453"/>
    <w:rsid w:val="00E87701"/>
    <w:rsid w:val="00E87A44"/>
    <w:rsid w:val="00E87E09"/>
    <w:rsid w:val="00E9048E"/>
    <w:rsid w:val="00E9061C"/>
    <w:rsid w:val="00E911D6"/>
    <w:rsid w:val="00E918DC"/>
    <w:rsid w:val="00E91936"/>
    <w:rsid w:val="00E929FA"/>
    <w:rsid w:val="00E92E71"/>
    <w:rsid w:val="00E932BF"/>
    <w:rsid w:val="00E93B5F"/>
    <w:rsid w:val="00E94C72"/>
    <w:rsid w:val="00E963C7"/>
    <w:rsid w:val="00E9640C"/>
    <w:rsid w:val="00E97584"/>
    <w:rsid w:val="00E9771D"/>
    <w:rsid w:val="00E97EDB"/>
    <w:rsid w:val="00EA0AF6"/>
    <w:rsid w:val="00EA0E25"/>
    <w:rsid w:val="00EA1831"/>
    <w:rsid w:val="00EA2B46"/>
    <w:rsid w:val="00EA3B71"/>
    <w:rsid w:val="00EA3EB3"/>
    <w:rsid w:val="00EA477C"/>
    <w:rsid w:val="00EA495B"/>
    <w:rsid w:val="00EA6BE8"/>
    <w:rsid w:val="00EB3826"/>
    <w:rsid w:val="00EB4438"/>
    <w:rsid w:val="00EB49E7"/>
    <w:rsid w:val="00EB5565"/>
    <w:rsid w:val="00EB7E66"/>
    <w:rsid w:val="00EB7F77"/>
    <w:rsid w:val="00EC011F"/>
    <w:rsid w:val="00EC204E"/>
    <w:rsid w:val="00EC22F7"/>
    <w:rsid w:val="00EC2509"/>
    <w:rsid w:val="00EC32C1"/>
    <w:rsid w:val="00EC407A"/>
    <w:rsid w:val="00EC4A23"/>
    <w:rsid w:val="00ED00AF"/>
    <w:rsid w:val="00ED0552"/>
    <w:rsid w:val="00ED1911"/>
    <w:rsid w:val="00ED2FC7"/>
    <w:rsid w:val="00ED318C"/>
    <w:rsid w:val="00ED358B"/>
    <w:rsid w:val="00ED442E"/>
    <w:rsid w:val="00ED48D0"/>
    <w:rsid w:val="00ED4A44"/>
    <w:rsid w:val="00ED4EC7"/>
    <w:rsid w:val="00ED5BC7"/>
    <w:rsid w:val="00ED6182"/>
    <w:rsid w:val="00ED6E68"/>
    <w:rsid w:val="00ED7FAC"/>
    <w:rsid w:val="00EE16FF"/>
    <w:rsid w:val="00EE190A"/>
    <w:rsid w:val="00EE3D86"/>
    <w:rsid w:val="00EE5ACE"/>
    <w:rsid w:val="00EE67FA"/>
    <w:rsid w:val="00EF06B1"/>
    <w:rsid w:val="00EF1048"/>
    <w:rsid w:val="00EF1F35"/>
    <w:rsid w:val="00EF2894"/>
    <w:rsid w:val="00EF2FDD"/>
    <w:rsid w:val="00EF3973"/>
    <w:rsid w:val="00EF3F10"/>
    <w:rsid w:val="00EF4A80"/>
    <w:rsid w:val="00EF4E0A"/>
    <w:rsid w:val="00EF55A9"/>
    <w:rsid w:val="00EF5A18"/>
    <w:rsid w:val="00EF6062"/>
    <w:rsid w:val="00EF6737"/>
    <w:rsid w:val="00EF6993"/>
    <w:rsid w:val="00EF6D7F"/>
    <w:rsid w:val="00EF6F73"/>
    <w:rsid w:val="00EF7CCE"/>
    <w:rsid w:val="00F004B4"/>
    <w:rsid w:val="00F012CB"/>
    <w:rsid w:val="00F0160F"/>
    <w:rsid w:val="00F01A87"/>
    <w:rsid w:val="00F01CF2"/>
    <w:rsid w:val="00F0325A"/>
    <w:rsid w:val="00F038AB"/>
    <w:rsid w:val="00F04512"/>
    <w:rsid w:val="00F04653"/>
    <w:rsid w:val="00F062C0"/>
    <w:rsid w:val="00F06CE1"/>
    <w:rsid w:val="00F06FF0"/>
    <w:rsid w:val="00F07042"/>
    <w:rsid w:val="00F07209"/>
    <w:rsid w:val="00F10A1D"/>
    <w:rsid w:val="00F135F4"/>
    <w:rsid w:val="00F13C1F"/>
    <w:rsid w:val="00F1502F"/>
    <w:rsid w:val="00F1540F"/>
    <w:rsid w:val="00F157A7"/>
    <w:rsid w:val="00F15A50"/>
    <w:rsid w:val="00F15DAA"/>
    <w:rsid w:val="00F16923"/>
    <w:rsid w:val="00F17572"/>
    <w:rsid w:val="00F17F7F"/>
    <w:rsid w:val="00F20C7F"/>
    <w:rsid w:val="00F213EE"/>
    <w:rsid w:val="00F219EC"/>
    <w:rsid w:val="00F2297E"/>
    <w:rsid w:val="00F23C36"/>
    <w:rsid w:val="00F23C51"/>
    <w:rsid w:val="00F24084"/>
    <w:rsid w:val="00F25A36"/>
    <w:rsid w:val="00F31454"/>
    <w:rsid w:val="00F31EE3"/>
    <w:rsid w:val="00F32AD2"/>
    <w:rsid w:val="00F343DB"/>
    <w:rsid w:val="00F348D4"/>
    <w:rsid w:val="00F368D3"/>
    <w:rsid w:val="00F36EFD"/>
    <w:rsid w:val="00F403A2"/>
    <w:rsid w:val="00F4159F"/>
    <w:rsid w:val="00F41831"/>
    <w:rsid w:val="00F4185C"/>
    <w:rsid w:val="00F4202A"/>
    <w:rsid w:val="00F43635"/>
    <w:rsid w:val="00F44EBC"/>
    <w:rsid w:val="00F452C8"/>
    <w:rsid w:val="00F46292"/>
    <w:rsid w:val="00F465F1"/>
    <w:rsid w:val="00F46BE0"/>
    <w:rsid w:val="00F47271"/>
    <w:rsid w:val="00F47FC8"/>
    <w:rsid w:val="00F50986"/>
    <w:rsid w:val="00F5266E"/>
    <w:rsid w:val="00F52D88"/>
    <w:rsid w:val="00F534F0"/>
    <w:rsid w:val="00F5402B"/>
    <w:rsid w:val="00F5649D"/>
    <w:rsid w:val="00F5794A"/>
    <w:rsid w:val="00F57A0B"/>
    <w:rsid w:val="00F6058E"/>
    <w:rsid w:val="00F622A7"/>
    <w:rsid w:val="00F64BAF"/>
    <w:rsid w:val="00F64BF2"/>
    <w:rsid w:val="00F67419"/>
    <w:rsid w:val="00F7057D"/>
    <w:rsid w:val="00F70A91"/>
    <w:rsid w:val="00F712D9"/>
    <w:rsid w:val="00F72B6E"/>
    <w:rsid w:val="00F73286"/>
    <w:rsid w:val="00F74EC9"/>
    <w:rsid w:val="00F75DB6"/>
    <w:rsid w:val="00F76227"/>
    <w:rsid w:val="00F76E6E"/>
    <w:rsid w:val="00F76FCE"/>
    <w:rsid w:val="00F800C5"/>
    <w:rsid w:val="00F8027D"/>
    <w:rsid w:val="00F80B75"/>
    <w:rsid w:val="00F81C6E"/>
    <w:rsid w:val="00F823E6"/>
    <w:rsid w:val="00F825BC"/>
    <w:rsid w:val="00F82814"/>
    <w:rsid w:val="00F83404"/>
    <w:rsid w:val="00F8394E"/>
    <w:rsid w:val="00F839D7"/>
    <w:rsid w:val="00F83ACF"/>
    <w:rsid w:val="00F84621"/>
    <w:rsid w:val="00F84B52"/>
    <w:rsid w:val="00F84D49"/>
    <w:rsid w:val="00F84F23"/>
    <w:rsid w:val="00F860FE"/>
    <w:rsid w:val="00F8682F"/>
    <w:rsid w:val="00F87095"/>
    <w:rsid w:val="00F90B14"/>
    <w:rsid w:val="00F91181"/>
    <w:rsid w:val="00F9152B"/>
    <w:rsid w:val="00F9344B"/>
    <w:rsid w:val="00F93F76"/>
    <w:rsid w:val="00F94CCD"/>
    <w:rsid w:val="00F958C8"/>
    <w:rsid w:val="00F975F3"/>
    <w:rsid w:val="00FA0CEB"/>
    <w:rsid w:val="00FA1CB0"/>
    <w:rsid w:val="00FA4FBD"/>
    <w:rsid w:val="00FA7D4D"/>
    <w:rsid w:val="00FB0373"/>
    <w:rsid w:val="00FB07D6"/>
    <w:rsid w:val="00FB0A12"/>
    <w:rsid w:val="00FB135C"/>
    <w:rsid w:val="00FB14D7"/>
    <w:rsid w:val="00FB2149"/>
    <w:rsid w:val="00FB279D"/>
    <w:rsid w:val="00FB2A7C"/>
    <w:rsid w:val="00FB30DA"/>
    <w:rsid w:val="00FB4A96"/>
    <w:rsid w:val="00FB5485"/>
    <w:rsid w:val="00FB5D5F"/>
    <w:rsid w:val="00FB5D74"/>
    <w:rsid w:val="00FB7337"/>
    <w:rsid w:val="00FC1968"/>
    <w:rsid w:val="00FC20AC"/>
    <w:rsid w:val="00FC2726"/>
    <w:rsid w:val="00FC37F6"/>
    <w:rsid w:val="00FC46D7"/>
    <w:rsid w:val="00FC4C7E"/>
    <w:rsid w:val="00FC5F23"/>
    <w:rsid w:val="00FC6690"/>
    <w:rsid w:val="00FC66DE"/>
    <w:rsid w:val="00FC6776"/>
    <w:rsid w:val="00FC6879"/>
    <w:rsid w:val="00FC789B"/>
    <w:rsid w:val="00FD0038"/>
    <w:rsid w:val="00FD01B1"/>
    <w:rsid w:val="00FD0899"/>
    <w:rsid w:val="00FD0A3E"/>
    <w:rsid w:val="00FD0C40"/>
    <w:rsid w:val="00FD1B92"/>
    <w:rsid w:val="00FD1D6A"/>
    <w:rsid w:val="00FD1F24"/>
    <w:rsid w:val="00FD2D1A"/>
    <w:rsid w:val="00FD32FF"/>
    <w:rsid w:val="00FD40A0"/>
    <w:rsid w:val="00FD415E"/>
    <w:rsid w:val="00FD5FC6"/>
    <w:rsid w:val="00FD62BF"/>
    <w:rsid w:val="00FD720F"/>
    <w:rsid w:val="00FD7772"/>
    <w:rsid w:val="00FE0B73"/>
    <w:rsid w:val="00FE1D05"/>
    <w:rsid w:val="00FE22FB"/>
    <w:rsid w:val="00FE23BD"/>
    <w:rsid w:val="00FE2593"/>
    <w:rsid w:val="00FE2ED8"/>
    <w:rsid w:val="00FE3A75"/>
    <w:rsid w:val="00FE3F18"/>
    <w:rsid w:val="00FE48A9"/>
    <w:rsid w:val="00FE5361"/>
    <w:rsid w:val="00FE6770"/>
    <w:rsid w:val="00FE7128"/>
    <w:rsid w:val="00FE7452"/>
    <w:rsid w:val="00FE772C"/>
    <w:rsid w:val="00FF0301"/>
    <w:rsid w:val="00FF0993"/>
    <w:rsid w:val="00FF0E74"/>
    <w:rsid w:val="00FF0FC2"/>
    <w:rsid w:val="00FF13D8"/>
    <w:rsid w:val="00FF478E"/>
    <w:rsid w:val="00FF48EC"/>
    <w:rsid w:val="00FF5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04BE31"/>
  <w15:chartTrackingRefBased/>
  <w15:docId w15:val="{24C1A1E5-34A6-424F-87A6-551D2448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5A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83790"/>
    <w:pPr>
      <w:pBdr>
        <w:top w:val="nil"/>
        <w:left w:val="nil"/>
        <w:bottom w:val="nil"/>
        <w:right w:val="nil"/>
        <w:between w:val="nil"/>
        <w:bar w:val="nil"/>
      </w:pBdr>
      <w:spacing w:after="0" w:line="240" w:lineRule="auto"/>
      <w:contextualSpacing/>
      <w:jc w:val="both"/>
      <w:outlineLvl w:val="0"/>
    </w:pPr>
    <w:rPr>
      <w:rFonts w:ascii="ITC Avant Garde" w:eastAsia="Times New Roman" w:hAnsi="ITC Avant Garde" w:cs="Arial"/>
      <w:b/>
      <w:color w:val="2F2F2F"/>
      <w:bdr w:val="nil"/>
      <w:lang w:eastAsia="es-MX"/>
    </w:rPr>
  </w:style>
  <w:style w:type="paragraph" w:styleId="Ttulo2">
    <w:name w:val="heading 2"/>
    <w:basedOn w:val="Normal"/>
    <w:next w:val="Normal"/>
    <w:link w:val="Ttulo2Car"/>
    <w:uiPriority w:val="9"/>
    <w:unhideWhenUsed/>
    <w:qFormat/>
    <w:rsid w:val="00183790"/>
    <w:pPr>
      <w:pBdr>
        <w:top w:val="nil"/>
        <w:left w:val="nil"/>
        <w:bottom w:val="nil"/>
        <w:right w:val="nil"/>
        <w:between w:val="nil"/>
        <w:bar w:val="nil"/>
      </w:pBdr>
      <w:spacing w:after="0" w:line="240" w:lineRule="auto"/>
      <w:contextualSpacing/>
      <w:jc w:val="center"/>
      <w:outlineLvl w:val="1"/>
    </w:pPr>
    <w:rPr>
      <w:rFonts w:ascii="ITC Avant Garde" w:eastAsia="Times New Roman" w:hAnsi="ITC Avant Garde" w:cs="Times"/>
      <w:b/>
      <w:color w:val="2F2F2F"/>
      <w:bdr w:val="nil"/>
      <w:lang w:eastAsia="es-MX"/>
    </w:rPr>
  </w:style>
  <w:style w:type="paragraph" w:styleId="Ttulo3">
    <w:name w:val="heading 3"/>
    <w:basedOn w:val="Ttulo2"/>
    <w:next w:val="Normal"/>
    <w:link w:val="Ttulo3Car"/>
    <w:uiPriority w:val="9"/>
    <w:unhideWhenUsed/>
    <w:qFormat/>
    <w:rsid w:val="00183790"/>
    <w:pPr>
      <w:numPr>
        <w:numId w:val="17"/>
      </w:numPr>
      <w:outlineLvl w:val="2"/>
    </w:pPr>
    <w:rPr>
      <w:sz w:val="24"/>
      <w:szCs w:val="24"/>
    </w:rPr>
  </w:style>
  <w:style w:type="paragraph" w:styleId="Ttulo4">
    <w:name w:val="heading 4"/>
    <w:basedOn w:val="Cuerpo"/>
    <w:next w:val="Normal"/>
    <w:link w:val="Ttulo4Car"/>
    <w:uiPriority w:val="9"/>
    <w:unhideWhenUsed/>
    <w:qFormat/>
    <w:rsid w:val="00183790"/>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183790"/>
    <w:pPr>
      <w:pBdr>
        <w:top w:val="nil"/>
        <w:left w:val="nil"/>
        <w:bottom w:val="nil"/>
        <w:right w:val="nil"/>
        <w:between w:val="nil"/>
        <w:bar w:val="nil"/>
      </w:pBdr>
      <w:ind w:left="1440" w:hanging="360"/>
      <w:contextualSpacing/>
      <w:jc w:val="both"/>
      <w:outlineLvl w:val="4"/>
    </w:pPr>
    <w:rPr>
      <w:rFonts w:ascii="ITC Avant Garde" w:eastAsia="Arial Unicode MS" w:hAnsi="ITC Avant Garde" w:cs="Arial"/>
      <w:b/>
      <w:color w:val="000000"/>
      <w:sz w:val="22"/>
      <w:szCs w:val="22"/>
      <w:u w:color="000000"/>
      <w:bdr w:val="nil"/>
      <w:lang w:val="es-ES_tradnl"/>
    </w:rPr>
  </w:style>
  <w:style w:type="paragraph" w:styleId="Ttulo6">
    <w:name w:val="heading 6"/>
    <w:basedOn w:val="Prrafodelista"/>
    <w:next w:val="Normal"/>
    <w:link w:val="Ttulo6Car"/>
    <w:uiPriority w:val="9"/>
    <w:unhideWhenUsed/>
    <w:qFormat/>
    <w:rsid w:val="00183790"/>
    <w:pPr>
      <w:numPr>
        <w:numId w:val="16"/>
      </w:numPr>
      <w:pBdr>
        <w:top w:val="nil"/>
        <w:left w:val="nil"/>
        <w:bottom w:val="nil"/>
        <w:right w:val="nil"/>
        <w:between w:val="nil"/>
        <w:bar w:val="nil"/>
      </w:pBdr>
      <w:contextualSpacing/>
      <w:jc w:val="both"/>
      <w:outlineLvl w:val="5"/>
    </w:pPr>
    <w:rPr>
      <w:rFonts w:ascii="ITC Avant Garde" w:eastAsia="Arial Unicode MS" w:hAnsi="ITC Avant Garde" w:cs="Arial Unicode MS"/>
      <w:b/>
      <w:color w:val="000000"/>
      <w:sz w:val="22"/>
      <w:szCs w:val="22"/>
      <w:u w:color="000000"/>
      <w:bdr w:val="nil"/>
      <w:lang w:val="es-ES"/>
    </w:rPr>
  </w:style>
  <w:style w:type="paragraph" w:styleId="Ttulo7">
    <w:name w:val="heading 7"/>
    <w:basedOn w:val="Normal"/>
    <w:next w:val="Normal"/>
    <w:link w:val="Ttulo7Car"/>
    <w:uiPriority w:val="9"/>
    <w:unhideWhenUsed/>
    <w:qFormat/>
    <w:rsid w:val="00183790"/>
    <w:pPr>
      <w:tabs>
        <w:tab w:val="left" w:pos="1843"/>
      </w:tabs>
      <w:spacing w:after="0" w:line="240" w:lineRule="auto"/>
      <w:ind w:left="1701"/>
      <w:contextualSpacing/>
      <w:jc w:val="both"/>
      <w:outlineLvl w:val="6"/>
    </w:pPr>
    <w:rPr>
      <w:rFonts w:ascii="ITC Avant Garde" w:eastAsia="Arial Unicode MS" w:hAnsi="ITC Avant Garde"/>
      <w:b/>
      <w:bdr w:val="nil"/>
      <w:lang w:val="es-ES"/>
    </w:rPr>
  </w:style>
  <w:style w:type="paragraph" w:styleId="Ttulo8">
    <w:name w:val="heading 8"/>
    <w:basedOn w:val="Normal"/>
    <w:next w:val="Normal"/>
    <w:link w:val="Ttulo8Car"/>
    <w:uiPriority w:val="9"/>
    <w:unhideWhenUsed/>
    <w:qFormat/>
    <w:rsid w:val="00183790"/>
    <w:pPr>
      <w:keepNext/>
      <w:tabs>
        <w:tab w:val="left" w:pos="7655"/>
      </w:tabs>
      <w:spacing w:after="0" w:line="240" w:lineRule="auto"/>
      <w:ind w:right="49"/>
      <w:contextualSpacing/>
      <w:jc w:val="center"/>
      <w:outlineLvl w:val="7"/>
    </w:pPr>
    <w:rPr>
      <w:rFonts w:ascii="ITC Avant Garde" w:eastAsia="Arial Unicode MS" w:hAnsi="ITC Avant Garde"/>
      <w:b/>
      <w:color w:val="000000" w:themeColor="text1"/>
      <w:sz w:val="20"/>
      <w:szCs w:val="20"/>
      <w:bdr w:val="nil"/>
    </w:rPr>
  </w:style>
  <w:style w:type="paragraph" w:styleId="Ttulo9">
    <w:name w:val="heading 9"/>
    <w:basedOn w:val="Normal"/>
    <w:next w:val="Normal"/>
    <w:link w:val="Ttulo9Car"/>
    <w:uiPriority w:val="9"/>
    <w:unhideWhenUsed/>
    <w:qFormat/>
    <w:rsid w:val="00183790"/>
    <w:pPr>
      <w:keepNext/>
      <w:tabs>
        <w:tab w:val="left" w:pos="7655"/>
      </w:tabs>
      <w:spacing w:after="0" w:line="240" w:lineRule="auto"/>
      <w:ind w:right="49"/>
      <w:contextualSpacing/>
      <w:jc w:val="center"/>
      <w:outlineLvl w:val="8"/>
    </w:pPr>
    <w:rPr>
      <w:rFonts w:ascii="ITC Avant Garde" w:eastAsia="Arial Unicode MS" w:hAnsi="ITC Avant Garde"/>
      <w:b/>
      <w:bCs/>
      <w:color w:val="FFFFFF" w:themeColor="background1"/>
      <w:sz w:val="20"/>
      <w:szCs w:val="20"/>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tête SQ,base,Encabezado1,h,.üG·"/>
    <w:basedOn w:val="Normal"/>
    <w:link w:val="EncabezadoCar"/>
    <w:uiPriority w:val="99"/>
    <w:unhideWhenUsed/>
    <w:rsid w:val="005665A4"/>
    <w:pPr>
      <w:tabs>
        <w:tab w:val="center" w:pos="4419"/>
        <w:tab w:val="right" w:pos="8838"/>
      </w:tabs>
      <w:spacing w:after="0" w:line="240" w:lineRule="auto"/>
    </w:pPr>
  </w:style>
  <w:style w:type="character" w:customStyle="1" w:styleId="EncabezadoCar">
    <w:name w:val="Encabezado Car"/>
    <w:aliases w:val="En-tête SQ Car,base Car,Encabezado1 Car,h Car,.üG· Car"/>
    <w:basedOn w:val="Fuentedeprrafopredeter"/>
    <w:link w:val="Encabezado"/>
    <w:uiPriority w:val="99"/>
    <w:rsid w:val="005665A4"/>
    <w:rPr>
      <w:rFonts w:ascii="Calibri" w:eastAsia="Calibri" w:hAnsi="Calibri" w:cs="Times New Roman"/>
    </w:rPr>
  </w:style>
  <w:style w:type="paragraph" w:styleId="Piedepgina">
    <w:name w:val="footer"/>
    <w:basedOn w:val="Normal"/>
    <w:link w:val="PiedepginaCar"/>
    <w:uiPriority w:val="99"/>
    <w:unhideWhenUsed/>
    <w:rsid w:val="005665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65A4"/>
    <w:rPr>
      <w:rFonts w:ascii="Calibri" w:eastAsia="Calibri" w:hAnsi="Calibri" w:cs="Times New Roman"/>
    </w:rPr>
  </w:style>
  <w:style w:type="paragraph" w:styleId="NormalWeb">
    <w:name w:val="Normal (Web)"/>
    <w:basedOn w:val="Normal"/>
    <w:uiPriority w:val="99"/>
    <w:unhideWhenUsed/>
    <w:rsid w:val="005665A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5665A4"/>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Numeración 1,Cuadrícula media 1 - Énfasis 21,4 Viñ 1nivel,Listas,lp1"/>
    <w:basedOn w:val="Normal"/>
    <w:link w:val="PrrafodelistaCar"/>
    <w:uiPriority w:val="34"/>
    <w:qFormat/>
    <w:rsid w:val="005665A4"/>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665A4"/>
    <w:rPr>
      <w:rFonts w:ascii="Arial" w:eastAsia="Times New Roman" w:hAnsi="Arial" w:cs="Times New Roman"/>
      <w:sz w:val="24"/>
      <w:szCs w:val="20"/>
    </w:rPr>
  </w:style>
  <w:style w:type="paragraph" w:customStyle="1" w:styleId="Texto">
    <w:name w:val="Texto"/>
    <w:basedOn w:val="Normal"/>
    <w:link w:val="TextoCar"/>
    <w:rsid w:val="005665A4"/>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5665A4"/>
    <w:rPr>
      <w:rFonts w:ascii="Arial" w:eastAsia="Times New Roman" w:hAnsi="Arial" w:cs="Arial"/>
      <w:sz w:val="18"/>
      <w:szCs w:val="18"/>
      <w:lang w:val="es-ES" w:eastAsia="es-ES"/>
    </w:rPr>
  </w:style>
  <w:style w:type="character" w:styleId="Refdecomentario">
    <w:name w:val="annotation reference"/>
    <w:basedOn w:val="Fuentedeprrafopredeter"/>
    <w:uiPriority w:val="99"/>
    <w:unhideWhenUsed/>
    <w:rsid w:val="00BF1CDF"/>
    <w:rPr>
      <w:sz w:val="16"/>
      <w:szCs w:val="16"/>
    </w:rPr>
  </w:style>
  <w:style w:type="paragraph" w:styleId="Textocomentario">
    <w:name w:val="annotation text"/>
    <w:basedOn w:val="Normal"/>
    <w:link w:val="TextocomentarioCar"/>
    <w:uiPriority w:val="99"/>
    <w:unhideWhenUsed/>
    <w:rsid w:val="00BF1CDF"/>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BF1CDF"/>
    <w:rPr>
      <w:sz w:val="20"/>
      <w:szCs w:val="20"/>
    </w:rPr>
  </w:style>
  <w:style w:type="paragraph" w:styleId="Textodeglobo">
    <w:name w:val="Balloon Text"/>
    <w:basedOn w:val="Normal"/>
    <w:link w:val="TextodegloboCar"/>
    <w:uiPriority w:val="99"/>
    <w:semiHidden/>
    <w:unhideWhenUsed/>
    <w:rsid w:val="00BF1C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CDF"/>
    <w:rPr>
      <w:rFonts w:ascii="Segoe UI" w:eastAsia="Calibri" w:hAnsi="Segoe UI" w:cs="Segoe UI"/>
      <w:sz w:val="18"/>
      <w:szCs w:val="18"/>
    </w:rPr>
  </w:style>
  <w:style w:type="character" w:styleId="nfasis">
    <w:name w:val="Emphasis"/>
    <w:basedOn w:val="Fuentedeprrafopredeter"/>
    <w:uiPriority w:val="20"/>
    <w:qFormat/>
    <w:rsid w:val="00B0091D"/>
    <w:rPr>
      <w:i/>
      <w:iCs/>
    </w:rPr>
  </w:style>
  <w:style w:type="paragraph" w:styleId="Asuntodelcomentario">
    <w:name w:val="annotation subject"/>
    <w:basedOn w:val="Textocomentario"/>
    <w:next w:val="Textocomentario"/>
    <w:link w:val="AsuntodelcomentarioCar"/>
    <w:uiPriority w:val="99"/>
    <w:semiHidden/>
    <w:unhideWhenUsed/>
    <w:rsid w:val="006A7E86"/>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6A7E86"/>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E6264F"/>
    <w:rPr>
      <w:color w:val="808080"/>
    </w:rPr>
  </w:style>
  <w:style w:type="paragraph" w:styleId="Revisin">
    <w:name w:val="Revision"/>
    <w:hidden/>
    <w:uiPriority w:val="99"/>
    <w:semiHidden/>
    <w:rsid w:val="00627B79"/>
    <w:pPr>
      <w:spacing w:after="0" w:line="240" w:lineRule="auto"/>
    </w:pPr>
    <w:rPr>
      <w:rFonts w:ascii="Calibri" w:eastAsia="Calibri" w:hAnsi="Calibri" w:cs="Times New Roman"/>
    </w:rPr>
  </w:style>
  <w:style w:type="paragraph" w:customStyle="1" w:styleId="TextoNormal">
    <w:name w:val="Texto Normal"/>
    <w:basedOn w:val="Normal"/>
    <w:link w:val="TextoNormalCar"/>
    <w:qFormat/>
    <w:rsid w:val="00A50BC1"/>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A50BC1"/>
    <w:rPr>
      <w:rFonts w:ascii="Cambria" w:eastAsia="Arial Unicode MS" w:hAnsi="Cambria" w:cs="Arial Unicode MS"/>
      <w:color w:val="000000"/>
      <w:u w:color="000000"/>
      <w:bdr w:val="nil"/>
      <w:lang w:val="es-ES_tradnl"/>
    </w:rPr>
  </w:style>
  <w:style w:type="paragraph" w:customStyle="1" w:styleId="texto0">
    <w:name w:val="texto"/>
    <w:basedOn w:val="Normal"/>
    <w:rsid w:val="002053E7"/>
    <w:pPr>
      <w:spacing w:before="100" w:beforeAutospacing="1" w:after="100" w:afterAutospacing="1" w:line="240" w:lineRule="auto"/>
    </w:pPr>
    <w:rPr>
      <w:rFonts w:ascii="Times New Roman" w:eastAsia="Times New Roman" w:hAnsi="Times New Roman"/>
      <w:sz w:val="24"/>
      <w:szCs w:val="24"/>
      <w:lang w:eastAsia="es-MX"/>
    </w:rPr>
  </w:style>
  <w:style w:type="paragraph" w:styleId="Textosinformato">
    <w:name w:val="Plain Text"/>
    <w:basedOn w:val="Normal"/>
    <w:link w:val="TextosinformatoCar"/>
    <w:uiPriority w:val="99"/>
    <w:semiHidden/>
    <w:unhideWhenUsed/>
    <w:rsid w:val="002053E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sinformatoCar">
    <w:name w:val="Texto sin formato Car"/>
    <w:basedOn w:val="Fuentedeprrafopredeter"/>
    <w:link w:val="Textosinformato"/>
    <w:uiPriority w:val="99"/>
    <w:semiHidden/>
    <w:rsid w:val="002053E7"/>
    <w:rPr>
      <w:rFonts w:ascii="Times New Roman" w:eastAsia="Times New Roman" w:hAnsi="Times New Roman" w:cs="Times New Roman"/>
      <w:sz w:val="24"/>
      <w:szCs w:val="24"/>
      <w:lang w:eastAsia="es-MX"/>
    </w:rPr>
  </w:style>
  <w:style w:type="table" w:styleId="Tablaconcuadrcula">
    <w:name w:val="Table Grid"/>
    <w:basedOn w:val="Tablanormal"/>
    <w:uiPriority w:val="39"/>
    <w:rsid w:val="004B2208"/>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753950"/>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753950"/>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753950"/>
    <w:rPr>
      <w:vertAlign w:val="superscript"/>
    </w:rPr>
  </w:style>
  <w:style w:type="table" w:styleId="Tabladecuadrcula4-nfasis6">
    <w:name w:val="Grid Table 4 Accent 6"/>
    <w:basedOn w:val="Tablanormal"/>
    <w:uiPriority w:val="49"/>
    <w:rsid w:val="003C6AC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independiente">
    <w:name w:val="Body Text"/>
    <w:basedOn w:val="Normal"/>
    <w:link w:val="TextoindependienteCar"/>
    <w:qFormat/>
    <w:rsid w:val="00B523DD"/>
    <w:pPr>
      <w:spacing w:after="240" w:line="240" w:lineRule="auto"/>
    </w:pPr>
    <w:rPr>
      <w:rFonts w:asciiTheme="minorHAnsi" w:eastAsiaTheme="minorEastAsia" w:hAnsiTheme="minorHAnsi" w:cstheme="minorBidi"/>
      <w:sz w:val="24"/>
      <w:szCs w:val="24"/>
      <w:lang w:val="en-GB" w:eastAsia="ja-JP"/>
    </w:rPr>
  </w:style>
  <w:style w:type="character" w:customStyle="1" w:styleId="TextoindependienteCar">
    <w:name w:val="Texto independiente Car"/>
    <w:basedOn w:val="Fuentedeprrafopredeter"/>
    <w:link w:val="Textoindependiente"/>
    <w:rsid w:val="00B523DD"/>
    <w:rPr>
      <w:rFonts w:eastAsiaTheme="minorEastAsia"/>
      <w:sz w:val="24"/>
      <w:szCs w:val="24"/>
      <w:lang w:val="en-GB" w:eastAsia="ja-JP"/>
    </w:rPr>
  </w:style>
  <w:style w:type="character" w:customStyle="1" w:styleId="Ttulo1Car">
    <w:name w:val="Título 1 Car"/>
    <w:basedOn w:val="Fuentedeprrafopredeter"/>
    <w:link w:val="Ttulo1"/>
    <w:uiPriority w:val="9"/>
    <w:rsid w:val="00183790"/>
    <w:rPr>
      <w:rFonts w:ascii="ITC Avant Garde" w:eastAsia="Times New Roman" w:hAnsi="ITC Avant Garde" w:cs="Arial"/>
      <w:b/>
      <w:color w:val="2F2F2F"/>
      <w:bdr w:val="nil"/>
      <w:lang w:eastAsia="es-MX"/>
    </w:rPr>
  </w:style>
  <w:style w:type="character" w:customStyle="1" w:styleId="Ttulo2Car">
    <w:name w:val="Título 2 Car"/>
    <w:basedOn w:val="Fuentedeprrafopredeter"/>
    <w:link w:val="Ttulo2"/>
    <w:uiPriority w:val="9"/>
    <w:rsid w:val="00183790"/>
    <w:rPr>
      <w:rFonts w:ascii="ITC Avant Garde" w:eastAsia="Times New Roman" w:hAnsi="ITC Avant Garde" w:cs="Times"/>
      <w:b/>
      <w:color w:val="2F2F2F"/>
      <w:bdr w:val="nil"/>
      <w:lang w:eastAsia="es-MX"/>
    </w:rPr>
  </w:style>
  <w:style w:type="character" w:customStyle="1" w:styleId="Ttulo3Car">
    <w:name w:val="Título 3 Car"/>
    <w:basedOn w:val="Fuentedeprrafopredeter"/>
    <w:link w:val="Ttulo3"/>
    <w:uiPriority w:val="9"/>
    <w:rsid w:val="00183790"/>
    <w:rPr>
      <w:rFonts w:ascii="ITC Avant Garde" w:eastAsia="Times New Roman" w:hAnsi="ITC Avant Garde" w:cs="Times"/>
      <w:b/>
      <w:color w:val="2F2F2F"/>
      <w:sz w:val="24"/>
      <w:szCs w:val="24"/>
      <w:bdr w:val="nil"/>
      <w:lang w:eastAsia="es-MX"/>
    </w:rPr>
  </w:style>
  <w:style w:type="character" w:customStyle="1" w:styleId="Ttulo4Car">
    <w:name w:val="Título 4 Car"/>
    <w:basedOn w:val="Fuentedeprrafopredeter"/>
    <w:link w:val="Ttulo4"/>
    <w:uiPriority w:val="9"/>
    <w:rsid w:val="00183790"/>
    <w:rPr>
      <w:rFonts w:ascii="Cambria" w:eastAsia="Arial Unicode MS" w:hAnsi="Cambria" w:cs="Arial Unicode MS"/>
      <w:b/>
      <w:bCs/>
      <w:color w:val="000000"/>
      <w:u w:color="000000"/>
      <w:bdr w:val="nil"/>
      <w:lang w:val="es-ES_tradnl"/>
    </w:rPr>
  </w:style>
  <w:style w:type="character" w:customStyle="1" w:styleId="Ttulo5Car">
    <w:name w:val="Título 5 Car"/>
    <w:basedOn w:val="Fuentedeprrafopredeter"/>
    <w:link w:val="Ttulo5"/>
    <w:uiPriority w:val="9"/>
    <w:rsid w:val="00183790"/>
    <w:rPr>
      <w:rFonts w:ascii="ITC Avant Garde" w:eastAsia="Arial Unicode MS" w:hAnsi="ITC Avant Garde" w:cs="Arial"/>
      <w:b/>
      <w:color w:val="000000"/>
      <w:u w:color="000000"/>
      <w:bdr w:val="nil"/>
      <w:lang w:val="es-ES_tradnl"/>
    </w:rPr>
  </w:style>
  <w:style w:type="character" w:customStyle="1" w:styleId="Ttulo6Car">
    <w:name w:val="Título 6 Car"/>
    <w:basedOn w:val="Fuentedeprrafopredeter"/>
    <w:link w:val="Ttulo6"/>
    <w:uiPriority w:val="9"/>
    <w:rsid w:val="00183790"/>
    <w:rPr>
      <w:rFonts w:ascii="ITC Avant Garde" w:eastAsia="Arial Unicode MS" w:hAnsi="ITC Avant Garde" w:cs="Arial Unicode MS"/>
      <w:b/>
      <w:color w:val="000000"/>
      <w:u w:color="000000"/>
      <w:bdr w:val="nil"/>
      <w:lang w:val="es-ES"/>
    </w:rPr>
  </w:style>
  <w:style w:type="character" w:customStyle="1" w:styleId="Ttulo7Car">
    <w:name w:val="Título 7 Car"/>
    <w:basedOn w:val="Fuentedeprrafopredeter"/>
    <w:link w:val="Ttulo7"/>
    <w:uiPriority w:val="9"/>
    <w:rsid w:val="00183790"/>
    <w:rPr>
      <w:rFonts w:ascii="ITC Avant Garde" w:eastAsia="Arial Unicode MS" w:hAnsi="ITC Avant Garde" w:cs="Times New Roman"/>
      <w:b/>
      <w:bdr w:val="nil"/>
      <w:lang w:val="es-ES"/>
    </w:rPr>
  </w:style>
  <w:style w:type="character" w:customStyle="1" w:styleId="Ttulo8Car">
    <w:name w:val="Título 8 Car"/>
    <w:basedOn w:val="Fuentedeprrafopredeter"/>
    <w:link w:val="Ttulo8"/>
    <w:uiPriority w:val="9"/>
    <w:rsid w:val="00183790"/>
    <w:rPr>
      <w:rFonts w:ascii="ITC Avant Garde" w:eastAsia="Arial Unicode MS" w:hAnsi="ITC Avant Garde" w:cs="Times New Roman"/>
      <w:b/>
      <w:color w:val="000000" w:themeColor="text1"/>
      <w:sz w:val="20"/>
      <w:szCs w:val="20"/>
      <w:bdr w:val="nil"/>
    </w:rPr>
  </w:style>
  <w:style w:type="character" w:customStyle="1" w:styleId="Ttulo9Car">
    <w:name w:val="Título 9 Car"/>
    <w:basedOn w:val="Fuentedeprrafopredeter"/>
    <w:link w:val="Ttulo9"/>
    <w:uiPriority w:val="9"/>
    <w:rsid w:val="00183790"/>
    <w:rPr>
      <w:rFonts w:ascii="ITC Avant Garde" w:eastAsia="Arial Unicode MS" w:hAnsi="ITC Avant Garde" w:cs="Times New Roman"/>
      <w:b/>
      <w:bCs/>
      <w:color w:val="FFFFFF" w:themeColor="background1"/>
      <w:sz w:val="20"/>
      <w:szCs w:val="20"/>
      <w:bdr w:val="nil"/>
    </w:rPr>
  </w:style>
  <w:style w:type="character" w:styleId="Hipervnculo">
    <w:name w:val="Hyperlink"/>
    <w:uiPriority w:val="99"/>
    <w:rsid w:val="00183790"/>
    <w:rPr>
      <w:u w:val="single"/>
    </w:rPr>
  </w:style>
  <w:style w:type="paragraph" w:customStyle="1" w:styleId="Cuerpo">
    <w:name w:val="Cuerpo"/>
    <w:link w:val="CuerpoCar"/>
    <w:rsid w:val="00183790"/>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s-ES_tradnl"/>
    </w:rPr>
  </w:style>
  <w:style w:type="character" w:styleId="Nmerodepgina">
    <w:name w:val="page number"/>
    <w:rsid w:val="00183790"/>
    <w:rPr>
      <w:lang w:val="es-ES_tradnl"/>
    </w:rPr>
  </w:style>
  <w:style w:type="numbering" w:customStyle="1" w:styleId="List0">
    <w:name w:val="List 0"/>
    <w:basedOn w:val="Estiloimportado1"/>
    <w:rsid w:val="00183790"/>
    <w:pPr>
      <w:numPr>
        <w:numId w:val="4"/>
      </w:numPr>
    </w:pPr>
  </w:style>
  <w:style w:type="numbering" w:customStyle="1" w:styleId="Estiloimportado1">
    <w:name w:val="Estilo importado 1"/>
    <w:rsid w:val="00183790"/>
  </w:style>
  <w:style w:type="numbering" w:customStyle="1" w:styleId="Guin">
    <w:name w:val="Guión"/>
    <w:rsid w:val="00183790"/>
    <w:pPr>
      <w:numPr>
        <w:numId w:val="5"/>
      </w:numPr>
    </w:pPr>
  </w:style>
  <w:style w:type="paragraph" w:customStyle="1" w:styleId="Poromisin">
    <w:name w:val="Por omisión"/>
    <w:rsid w:val="00183790"/>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rPr>
  </w:style>
  <w:style w:type="numbering" w:customStyle="1" w:styleId="List1">
    <w:name w:val="List 1"/>
    <w:basedOn w:val="Estiloimportado6"/>
    <w:rsid w:val="00183790"/>
    <w:pPr>
      <w:numPr>
        <w:numId w:val="6"/>
      </w:numPr>
    </w:pPr>
  </w:style>
  <w:style w:type="numbering" w:customStyle="1" w:styleId="Estiloimportado6">
    <w:name w:val="Estilo importado 6"/>
    <w:rsid w:val="00183790"/>
  </w:style>
  <w:style w:type="paragraph" w:customStyle="1" w:styleId="Estilodetabla2">
    <w:name w:val="Estilo de tabla 2"/>
    <w:rsid w:val="00183790"/>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s-ES_tradnl"/>
    </w:rPr>
  </w:style>
  <w:style w:type="character" w:customStyle="1" w:styleId="Hyperlink0">
    <w:name w:val="Hyperlink.0"/>
    <w:rsid w:val="00183790"/>
    <w:rPr>
      <w:color w:val="0000FF"/>
      <w:u w:val="single" w:color="0000FF"/>
    </w:rPr>
  </w:style>
  <w:style w:type="paragraph" w:customStyle="1" w:styleId="Encabezamiento2">
    <w:name w:val="Encabezamiento 2"/>
    <w:next w:val="Cuerpo"/>
    <w:rsid w:val="00183790"/>
    <w:pPr>
      <w:keepNext/>
      <w:keepLines/>
      <w:pBdr>
        <w:top w:val="nil"/>
        <w:left w:val="nil"/>
        <w:bottom w:val="nil"/>
        <w:right w:val="nil"/>
        <w:between w:val="nil"/>
        <w:bar w:val="nil"/>
      </w:pBdr>
      <w:spacing w:before="200" w:after="0" w:line="276" w:lineRule="auto"/>
      <w:outlineLvl w:val="1"/>
    </w:pPr>
    <w:rPr>
      <w:rFonts w:ascii="Calibri" w:eastAsia="Arial Unicode MS" w:hAnsi="Arial Unicode MS" w:cs="Arial Unicode MS"/>
      <w:b/>
      <w:bCs/>
      <w:color w:val="4F81BD"/>
      <w:sz w:val="26"/>
      <w:szCs w:val="26"/>
      <w:u w:color="4F81BD"/>
      <w:bdr w:val="nil"/>
      <w:lang w:val="es-ES_tradnl"/>
    </w:rPr>
  </w:style>
  <w:style w:type="paragraph" w:customStyle="1" w:styleId="Encabezamiento3">
    <w:name w:val="Encabezamiento 3"/>
    <w:next w:val="Cuerpo"/>
    <w:rsid w:val="00183790"/>
    <w:pPr>
      <w:keepNext/>
      <w:keepLines/>
      <w:pBdr>
        <w:top w:val="nil"/>
        <w:left w:val="nil"/>
        <w:bottom w:val="nil"/>
        <w:right w:val="nil"/>
        <w:between w:val="nil"/>
        <w:bar w:val="nil"/>
      </w:pBdr>
      <w:spacing w:before="200" w:after="0" w:line="276" w:lineRule="auto"/>
      <w:outlineLvl w:val="2"/>
    </w:pPr>
    <w:rPr>
      <w:rFonts w:ascii="Calibri" w:eastAsia="Arial Unicode MS" w:hAnsi="Arial Unicode MS" w:cs="Arial Unicode MS"/>
      <w:b/>
      <w:bCs/>
      <w:color w:val="4F81BD"/>
      <w:u w:color="4F81BD"/>
      <w:bdr w:val="nil"/>
      <w:lang w:val="es-ES_tradnl"/>
    </w:rPr>
  </w:style>
  <w:style w:type="numbering" w:customStyle="1" w:styleId="List21">
    <w:name w:val="List 21"/>
    <w:basedOn w:val="Estiloimportado9"/>
    <w:rsid w:val="00183790"/>
    <w:pPr>
      <w:numPr>
        <w:numId w:val="7"/>
      </w:numPr>
    </w:pPr>
  </w:style>
  <w:style w:type="numbering" w:customStyle="1" w:styleId="Estiloimportado9">
    <w:name w:val="Estilo importado 9"/>
    <w:rsid w:val="00183790"/>
  </w:style>
  <w:style w:type="paragraph" w:styleId="Sinespaciado">
    <w:name w:val="No Spacing"/>
    <w:uiPriority w:val="99"/>
    <w:qFormat/>
    <w:rsid w:val="00183790"/>
    <w:pPr>
      <w:pBdr>
        <w:top w:val="nil"/>
        <w:left w:val="nil"/>
        <w:bottom w:val="nil"/>
        <w:right w:val="nil"/>
        <w:between w:val="nil"/>
        <w:bar w:val="nil"/>
      </w:pBdr>
      <w:spacing w:after="0" w:line="240" w:lineRule="auto"/>
    </w:pPr>
    <w:rPr>
      <w:rFonts w:ascii="Cambria" w:eastAsia="Cambria" w:hAnsi="Cambria" w:cs="Cambria"/>
      <w:color w:val="000000"/>
      <w:u w:color="000000"/>
      <w:bdr w:val="nil"/>
      <w:lang w:val="es-ES_tradnl"/>
    </w:rPr>
  </w:style>
  <w:style w:type="numbering" w:customStyle="1" w:styleId="List31">
    <w:name w:val="List 31"/>
    <w:basedOn w:val="Estiloimportado90"/>
    <w:rsid w:val="00183790"/>
    <w:pPr>
      <w:numPr>
        <w:numId w:val="8"/>
      </w:numPr>
    </w:pPr>
  </w:style>
  <w:style w:type="numbering" w:customStyle="1" w:styleId="Estiloimportado90">
    <w:name w:val="Estilo importado 9.0"/>
    <w:rsid w:val="00183790"/>
  </w:style>
  <w:style w:type="numbering" w:customStyle="1" w:styleId="List41">
    <w:name w:val="List 41"/>
    <w:basedOn w:val="Estiloimportado91"/>
    <w:rsid w:val="00183790"/>
    <w:pPr>
      <w:numPr>
        <w:numId w:val="14"/>
      </w:numPr>
    </w:pPr>
  </w:style>
  <w:style w:type="numbering" w:customStyle="1" w:styleId="Estiloimportado91">
    <w:name w:val="Estilo importado 9.1"/>
    <w:rsid w:val="00183790"/>
  </w:style>
  <w:style w:type="numbering" w:customStyle="1" w:styleId="List51">
    <w:name w:val="List 51"/>
    <w:basedOn w:val="Estiloimportado92"/>
    <w:rsid w:val="00183790"/>
    <w:pPr>
      <w:numPr>
        <w:numId w:val="9"/>
      </w:numPr>
    </w:pPr>
  </w:style>
  <w:style w:type="numbering" w:customStyle="1" w:styleId="Estiloimportado92">
    <w:name w:val="Estilo importado 9.2"/>
    <w:rsid w:val="00183790"/>
  </w:style>
  <w:style w:type="numbering" w:customStyle="1" w:styleId="List6">
    <w:name w:val="List 6"/>
    <w:basedOn w:val="Estiloimportado93"/>
    <w:rsid w:val="00183790"/>
    <w:pPr>
      <w:numPr>
        <w:numId w:val="10"/>
      </w:numPr>
    </w:pPr>
  </w:style>
  <w:style w:type="numbering" w:customStyle="1" w:styleId="Estiloimportado93">
    <w:name w:val="Estilo importado 9.3"/>
    <w:rsid w:val="00183790"/>
  </w:style>
  <w:style w:type="numbering" w:customStyle="1" w:styleId="List7">
    <w:name w:val="List 7"/>
    <w:basedOn w:val="Estiloimportado94"/>
    <w:rsid w:val="00183790"/>
    <w:pPr>
      <w:numPr>
        <w:numId w:val="11"/>
      </w:numPr>
    </w:pPr>
  </w:style>
  <w:style w:type="numbering" w:customStyle="1" w:styleId="Estiloimportado94">
    <w:name w:val="Estilo importado 9.4"/>
    <w:rsid w:val="00183790"/>
  </w:style>
  <w:style w:type="numbering" w:customStyle="1" w:styleId="List8">
    <w:name w:val="List 8"/>
    <w:basedOn w:val="Estiloimportado95"/>
    <w:rsid w:val="00183790"/>
    <w:pPr>
      <w:numPr>
        <w:numId w:val="12"/>
      </w:numPr>
    </w:pPr>
  </w:style>
  <w:style w:type="numbering" w:customStyle="1" w:styleId="Estiloimportado95">
    <w:name w:val="Estilo importado 9.5"/>
    <w:rsid w:val="00183790"/>
  </w:style>
  <w:style w:type="numbering" w:customStyle="1" w:styleId="List9">
    <w:name w:val="List 9"/>
    <w:basedOn w:val="Estiloimportado91"/>
    <w:rsid w:val="00183790"/>
    <w:pPr>
      <w:numPr>
        <w:numId w:val="15"/>
      </w:numPr>
    </w:pPr>
  </w:style>
  <w:style w:type="numbering" w:customStyle="1" w:styleId="List10">
    <w:name w:val="List 10"/>
    <w:basedOn w:val="Estiloimportado91"/>
    <w:rsid w:val="00183790"/>
    <w:pPr>
      <w:numPr>
        <w:numId w:val="13"/>
      </w:numPr>
    </w:pPr>
  </w:style>
  <w:style w:type="paragraph" w:styleId="Textonotaalfinal">
    <w:name w:val="endnote text"/>
    <w:basedOn w:val="Normal"/>
    <w:link w:val="TextonotaalfinalCar"/>
    <w:rsid w:val="00183790"/>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rsid w:val="00183790"/>
    <w:rPr>
      <w:rFonts w:ascii="Times New Roman" w:eastAsia="Times New Roman" w:hAnsi="Times New Roman" w:cs="Times New Roman"/>
      <w:sz w:val="20"/>
      <w:szCs w:val="20"/>
      <w:lang w:val="es-ES" w:eastAsia="es-ES"/>
    </w:rPr>
  </w:style>
  <w:style w:type="paragraph" w:styleId="TtulodeTDC">
    <w:name w:val="TOC Heading"/>
    <w:basedOn w:val="Ttulo1"/>
    <w:next w:val="Normal"/>
    <w:uiPriority w:val="39"/>
    <w:unhideWhenUsed/>
    <w:qFormat/>
    <w:rsid w:val="0018379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183790"/>
    <w:pPr>
      <w:pBdr>
        <w:top w:val="nil"/>
        <w:left w:val="nil"/>
        <w:bottom w:val="nil"/>
        <w:right w:val="nil"/>
        <w:between w:val="nil"/>
        <w:bar w:val="nil"/>
      </w:pBdr>
      <w:tabs>
        <w:tab w:val="right" w:leader="dot" w:pos="8630"/>
      </w:tabs>
      <w:spacing w:after="100" w:line="240" w:lineRule="auto"/>
      <w:ind w:left="142"/>
    </w:pPr>
    <w:rPr>
      <w:rFonts w:ascii="Times New Roman" w:eastAsia="Arial Unicode MS" w:hAnsi="Times New Roman"/>
      <w:sz w:val="24"/>
      <w:szCs w:val="24"/>
      <w:bdr w:val="nil"/>
    </w:rPr>
  </w:style>
  <w:style w:type="paragraph" w:styleId="TDC3">
    <w:name w:val="toc 3"/>
    <w:basedOn w:val="Normal"/>
    <w:next w:val="Normal"/>
    <w:autoRedefine/>
    <w:uiPriority w:val="39"/>
    <w:unhideWhenUsed/>
    <w:rsid w:val="00183790"/>
    <w:pPr>
      <w:pBdr>
        <w:top w:val="nil"/>
        <w:left w:val="nil"/>
        <w:bottom w:val="nil"/>
        <w:right w:val="nil"/>
        <w:between w:val="nil"/>
        <w:bar w:val="nil"/>
      </w:pBdr>
      <w:spacing w:after="100" w:line="240" w:lineRule="auto"/>
      <w:ind w:left="480"/>
    </w:pPr>
    <w:rPr>
      <w:rFonts w:ascii="Times New Roman" w:eastAsia="Arial Unicode MS" w:hAnsi="Times New Roman"/>
      <w:sz w:val="24"/>
      <w:szCs w:val="24"/>
      <w:bdr w:val="nil"/>
    </w:rPr>
  </w:style>
  <w:style w:type="paragraph" w:styleId="TDC1">
    <w:name w:val="toc 1"/>
    <w:basedOn w:val="Normal"/>
    <w:next w:val="Normal"/>
    <w:autoRedefine/>
    <w:uiPriority w:val="39"/>
    <w:unhideWhenUsed/>
    <w:rsid w:val="00183790"/>
    <w:pPr>
      <w:pBdr>
        <w:top w:val="nil"/>
        <w:left w:val="nil"/>
        <w:bottom w:val="nil"/>
        <w:right w:val="nil"/>
        <w:between w:val="nil"/>
        <w:bar w:val="nil"/>
      </w:pBdr>
      <w:spacing w:after="100" w:line="240" w:lineRule="auto"/>
    </w:pPr>
    <w:rPr>
      <w:rFonts w:ascii="Times New Roman" w:eastAsia="Arial Unicode MS" w:hAnsi="Times New Roman"/>
      <w:sz w:val="24"/>
      <w:szCs w:val="24"/>
      <w:bdr w:val="nil"/>
    </w:rPr>
  </w:style>
  <w:style w:type="paragraph" w:styleId="TDC4">
    <w:name w:val="toc 4"/>
    <w:basedOn w:val="Normal"/>
    <w:next w:val="Normal"/>
    <w:autoRedefine/>
    <w:uiPriority w:val="39"/>
    <w:unhideWhenUsed/>
    <w:rsid w:val="00183790"/>
    <w:pPr>
      <w:spacing w:after="100" w:line="259" w:lineRule="auto"/>
      <w:ind w:left="660"/>
    </w:pPr>
    <w:rPr>
      <w:rFonts w:ascii="Helvetica" w:eastAsia="Helvetica" w:hAnsi="Helvetica"/>
      <w:lang w:eastAsia="es-MX"/>
    </w:rPr>
  </w:style>
  <w:style w:type="character" w:customStyle="1" w:styleId="CuerpoCar">
    <w:name w:val="Cuerpo Car"/>
    <w:link w:val="Cuerpo"/>
    <w:rsid w:val="00183790"/>
    <w:rPr>
      <w:rFonts w:ascii="Cambria" w:eastAsia="Arial Unicode MS" w:hAnsi="Arial Unicode MS" w:cs="Arial Unicode MS"/>
      <w:color w:val="000000"/>
      <w:sz w:val="24"/>
      <w:szCs w:val="24"/>
      <w:u w:color="000000"/>
      <w:bdr w:val="nil"/>
      <w:lang w:val="es-ES_tradnl"/>
    </w:rPr>
  </w:style>
  <w:style w:type="paragraph" w:styleId="TDC5">
    <w:name w:val="toc 5"/>
    <w:basedOn w:val="Normal"/>
    <w:next w:val="Normal"/>
    <w:autoRedefine/>
    <w:uiPriority w:val="39"/>
    <w:unhideWhenUsed/>
    <w:rsid w:val="00183790"/>
    <w:pPr>
      <w:spacing w:after="100" w:line="259" w:lineRule="auto"/>
      <w:ind w:left="880"/>
    </w:pPr>
    <w:rPr>
      <w:rFonts w:ascii="Helvetica" w:eastAsia="Helvetica" w:hAnsi="Helvetica"/>
      <w:lang w:eastAsia="es-MX"/>
    </w:rPr>
  </w:style>
  <w:style w:type="paragraph" w:styleId="TDC6">
    <w:name w:val="toc 6"/>
    <w:basedOn w:val="Normal"/>
    <w:next w:val="Normal"/>
    <w:autoRedefine/>
    <w:uiPriority w:val="39"/>
    <w:unhideWhenUsed/>
    <w:rsid w:val="00183790"/>
    <w:pPr>
      <w:spacing w:after="100" w:line="259" w:lineRule="auto"/>
      <w:ind w:left="1100"/>
    </w:pPr>
    <w:rPr>
      <w:rFonts w:ascii="Helvetica" w:eastAsia="Helvetica" w:hAnsi="Helvetica"/>
      <w:lang w:eastAsia="es-MX"/>
    </w:rPr>
  </w:style>
  <w:style w:type="paragraph" w:styleId="TDC7">
    <w:name w:val="toc 7"/>
    <w:basedOn w:val="Normal"/>
    <w:next w:val="Normal"/>
    <w:autoRedefine/>
    <w:uiPriority w:val="39"/>
    <w:unhideWhenUsed/>
    <w:rsid w:val="00183790"/>
    <w:pPr>
      <w:spacing w:after="100" w:line="259" w:lineRule="auto"/>
      <w:ind w:left="1320"/>
    </w:pPr>
    <w:rPr>
      <w:rFonts w:ascii="Helvetica" w:eastAsia="Helvetica" w:hAnsi="Helvetica"/>
      <w:lang w:eastAsia="es-MX"/>
    </w:rPr>
  </w:style>
  <w:style w:type="paragraph" w:styleId="TDC8">
    <w:name w:val="toc 8"/>
    <w:basedOn w:val="Normal"/>
    <w:next w:val="Normal"/>
    <w:autoRedefine/>
    <w:uiPriority w:val="39"/>
    <w:unhideWhenUsed/>
    <w:rsid w:val="00183790"/>
    <w:pPr>
      <w:spacing w:after="100" w:line="259" w:lineRule="auto"/>
      <w:ind w:left="1540"/>
    </w:pPr>
    <w:rPr>
      <w:rFonts w:ascii="Helvetica" w:eastAsia="Helvetica" w:hAnsi="Helvetica"/>
      <w:lang w:eastAsia="es-MX"/>
    </w:rPr>
  </w:style>
  <w:style w:type="paragraph" w:styleId="TDC9">
    <w:name w:val="toc 9"/>
    <w:basedOn w:val="Normal"/>
    <w:next w:val="Normal"/>
    <w:autoRedefine/>
    <w:uiPriority w:val="39"/>
    <w:unhideWhenUsed/>
    <w:rsid w:val="00183790"/>
    <w:pPr>
      <w:spacing w:after="100" w:line="259" w:lineRule="auto"/>
      <w:ind w:left="1760"/>
    </w:pPr>
    <w:rPr>
      <w:rFonts w:ascii="Helvetica" w:eastAsia="Helvetica" w:hAnsi="Helvetica"/>
      <w:lang w:eastAsia="es-MX"/>
    </w:rPr>
  </w:style>
  <w:style w:type="paragraph" w:customStyle="1" w:styleId="Transcripcin">
    <w:name w:val="Transcripción"/>
    <w:basedOn w:val="Cuerpo"/>
    <w:link w:val="TranscripcinCar"/>
    <w:qFormat/>
    <w:rsid w:val="00183790"/>
    <w:pPr>
      <w:ind w:left="567"/>
      <w:contextualSpacing/>
      <w:jc w:val="both"/>
    </w:pPr>
    <w:rPr>
      <w:rFonts w:hAnsi="Cambria"/>
      <w:i/>
      <w:sz w:val="20"/>
      <w:szCs w:val="22"/>
      <w:lang w:val="es-ES"/>
    </w:rPr>
  </w:style>
  <w:style w:type="paragraph" w:customStyle="1" w:styleId="Bullets">
    <w:name w:val="Bullets"/>
    <w:basedOn w:val="TextoNormal"/>
    <w:link w:val="BulletsCar"/>
    <w:qFormat/>
    <w:rsid w:val="00183790"/>
    <w:pPr>
      <w:ind w:left="1134" w:hanging="567"/>
    </w:pPr>
  </w:style>
  <w:style w:type="character" w:customStyle="1" w:styleId="TranscripcinCar">
    <w:name w:val="Transcripción Car"/>
    <w:link w:val="Transcripcin"/>
    <w:rsid w:val="00183790"/>
    <w:rPr>
      <w:rFonts w:ascii="Cambria" w:eastAsia="Arial Unicode MS" w:hAnsi="Cambria" w:cs="Arial Unicode MS"/>
      <w:i/>
      <w:color w:val="000000"/>
      <w:sz w:val="20"/>
      <w:u w:color="000000"/>
      <w:bdr w:val="nil"/>
      <w:lang w:val="es-ES"/>
    </w:rPr>
  </w:style>
  <w:style w:type="table" w:customStyle="1" w:styleId="Tabladecuadrcula5oscura-nfasis21">
    <w:name w:val="Tabla de cuadrícula 5 oscura - Énfasis 21"/>
    <w:basedOn w:val="Tablanormal"/>
    <w:uiPriority w:val="50"/>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183790"/>
    <w:rPr>
      <w:rFonts w:ascii="Cambria" w:eastAsia="Arial Unicode MS" w:hAnsi="Cambria" w:cs="Arial Unicode MS"/>
      <w:color w:val="000000"/>
      <w:u w:color="000000"/>
      <w:bdr w:val="nil"/>
      <w:lang w:val="es-ES_tradnl"/>
    </w:rPr>
  </w:style>
  <w:style w:type="table" w:customStyle="1" w:styleId="Tabladecuadrcula1clara1">
    <w:name w:val="Tabla de cuadrícula 1 clara1"/>
    <w:basedOn w:val="Tablanormal"/>
    <w:uiPriority w:val="46"/>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ipervnculovisitado">
    <w:name w:val="FollowedHyperlink"/>
    <w:uiPriority w:val="99"/>
    <w:semiHidden/>
    <w:unhideWhenUsed/>
    <w:rsid w:val="00183790"/>
    <w:rPr>
      <w:color w:val="FF00FF"/>
      <w:u w:val="single"/>
    </w:rPr>
  </w:style>
  <w:style w:type="paragraph" w:customStyle="1" w:styleId="Headingb">
    <w:name w:val="Heading_b"/>
    <w:basedOn w:val="Ttulo3"/>
    <w:next w:val="Normal"/>
    <w:link w:val="HeadingbChar"/>
    <w:rsid w:val="0018379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183790"/>
    <w:rPr>
      <w:rFonts w:ascii="Times New Roman" w:eastAsia="Times New Roman" w:hAnsi="Times New Roman" w:cs="Times New Roman"/>
      <w:b/>
      <w:bCs/>
      <w:sz w:val="24"/>
      <w:szCs w:val="20"/>
      <w:lang w:val="fr-FR" w:eastAsia="es-MX"/>
    </w:rPr>
  </w:style>
  <w:style w:type="character" w:customStyle="1" w:styleId="EstiloCar">
    <w:name w:val="Estilo Car"/>
    <w:link w:val="Estilo"/>
    <w:locked/>
    <w:rsid w:val="00183790"/>
    <w:rPr>
      <w:rFonts w:ascii="Arial" w:hAnsi="Arial" w:cs="Arial"/>
      <w:sz w:val="24"/>
    </w:rPr>
  </w:style>
  <w:style w:type="paragraph" w:customStyle="1" w:styleId="Estilo">
    <w:name w:val="Estilo"/>
    <w:basedOn w:val="Sinespaciado"/>
    <w:link w:val="EstiloCar"/>
    <w:qFormat/>
    <w:rsid w:val="0018379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heme="minorHAnsi" w:hAnsi="Arial" w:cs="Arial"/>
      <w:color w:val="auto"/>
      <w:sz w:val="24"/>
      <w:bdr w:val="none" w:sz="0" w:space="0" w:color="auto"/>
      <w:lang w:val="es-MX"/>
    </w:rPr>
  </w:style>
  <w:style w:type="character" w:customStyle="1" w:styleId="apple-converted-space">
    <w:name w:val="apple-converted-space"/>
    <w:basedOn w:val="Fuentedeprrafopredeter"/>
    <w:rsid w:val="00183790"/>
  </w:style>
  <w:style w:type="character" w:styleId="Refdenotaalfinal">
    <w:name w:val="endnote reference"/>
    <w:basedOn w:val="Fuentedeprrafopredeter"/>
    <w:uiPriority w:val="99"/>
    <w:semiHidden/>
    <w:unhideWhenUsed/>
    <w:rsid w:val="00183790"/>
    <w:rPr>
      <w:vertAlign w:val="superscript"/>
    </w:rPr>
  </w:style>
  <w:style w:type="table" w:customStyle="1" w:styleId="Tabladelista3-nfasis21">
    <w:name w:val="Tabla de lista 3 - Énfasis 21"/>
    <w:basedOn w:val="Tablanormal"/>
    <w:uiPriority w:val="48"/>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Subttulo">
    <w:name w:val="Subtitle"/>
    <w:basedOn w:val="Normal"/>
    <w:next w:val="Normal"/>
    <w:link w:val="SubttuloCar"/>
    <w:uiPriority w:val="11"/>
    <w:rsid w:val="00183790"/>
    <w:pPr>
      <w:numPr>
        <w:ilvl w:val="1"/>
      </w:numPr>
      <w:pBdr>
        <w:top w:val="nil"/>
        <w:left w:val="nil"/>
        <w:bottom w:val="nil"/>
        <w:right w:val="nil"/>
        <w:between w:val="nil"/>
        <w:bar w:val="nil"/>
      </w:pBdr>
      <w:spacing w:after="160" w:line="240" w:lineRule="auto"/>
    </w:pPr>
    <w:rPr>
      <w:rFonts w:asciiTheme="minorHAnsi" w:eastAsiaTheme="minorEastAsia" w:hAnsiTheme="minorHAnsi" w:cstheme="minorBidi"/>
      <w:color w:val="5A5A5A" w:themeColor="text1" w:themeTint="A5"/>
      <w:spacing w:val="15"/>
      <w:bdr w:val="nil"/>
    </w:rPr>
  </w:style>
  <w:style w:type="character" w:customStyle="1" w:styleId="SubttuloCar">
    <w:name w:val="Subtítulo Car"/>
    <w:basedOn w:val="Fuentedeprrafopredeter"/>
    <w:link w:val="Subttulo"/>
    <w:uiPriority w:val="11"/>
    <w:rsid w:val="00183790"/>
    <w:rPr>
      <w:rFonts w:eastAsiaTheme="minorEastAsia"/>
      <w:color w:val="5A5A5A" w:themeColor="text1" w:themeTint="A5"/>
      <w:spacing w:val="15"/>
      <w:bdr w:val="nil"/>
    </w:rPr>
  </w:style>
  <w:style w:type="table" w:customStyle="1" w:styleId="Tabladecuadrcula4-nfasis21">
    <w:name w:val="Tabla de cuadrícula 4 - Énfasis 21"/>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1Claro-nfasis21">
    <w:name w:val="Tabla de cuadrícula 1 Claro - Énfasis 21"/>
    <w:basedOn w:val="Tablanormal"/>
    <w:uiPriority w:val="46"/>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183790"/>
    <w:rPr>
      <w:i/>
      <w:iCs/>
      <w:color w:val="404040" w:themeColor="text1" w:themeTint="BF"/>
    </w:rPr>
  </w:style>
  <w:style w:type="paragraph" w:customStyle="1" w:styleId="Ttulo10">
    <w:name w:val="Título1"/>
    <w:basedOn w:val="Normal"/>
    <w:link w:val="TtuloCar"/>
    <w:qFormat/>
    <w:rsid w:val="00183790"/>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character" w:customStyle="1" w:styleId="TtuloCar">
    <w:name w:val="Título Car"/>
    <w:basedOn w:val="Fuentedeprrafopredeter"/>
    <w:link w:val="Ttulo10"/>
    <w:rsid w:val="00183790"/>
    <w:rPr>
      <w:rFonts w:ascii="ITC Avant Garde" w:eastAsia="Times New Roman" w:hAnsi="ITC Avant Garde" w:cs="Arial"/>
      <w:b/>
      <w:color w:val="2F2F2F"/>
      <w:sz w:val="28"/>
      <w:bdr w:val="nil"/>
      <w:lang w:eastAsia="es-MX"/>
    </w:rPr>
  </w:style>
  <w:style w:type="paragraph" w:styleId="Sangradetextonormal">
    <w:name w:val="Body Text Indent"/>
    <w:basedOn w:val="Normal"/>
    <w:link w:val="SangradetextonormalCar"/>
    <w:uiPriority w:val="99"/>
    <w:semiHidden/>
    <w:unhideWhenUsed/>
    <w:rsid w:val="0018379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angradetextonormalCar">
    <w:name w:val="Sangría de texto normal Car"/>
    <w:basedOn w:val="Fuentedeprrafopredeter"/>
    <w:link w:val="Sangradetextonormal"/>
    <w:uiPriority w:val="99"/>
    <w:semiHidden/>
    <w:rsid w:val="00183790"/>
    <w:rPr>
      <w:rFonts w:ascii="Times New Roman" w:eastAsia="Times New Roman" w:hAnsi="Times New Roman" w:cs="Times New Roman"/>
      <w:sz w:val="24"/>
      <w:szCs w:val="24"/>
      <w:lang w:eastAsia="es-MX"/>
    </w:rPr>
  </w:style>
  <w:style w:type="character" w:customStyle="1" w:styleId="red">
    <w:name w:val="red"/>
    <w:basedOn w:val="Fuentedeprrafopredeter"/>
    <w:rsid w:val="00183790"/>
  </w:style>
  <w:style w:type="paragraph" w:customStyle="1" w:styleId="Titulo1">
    <w:name w:val="Titulo 1"/>
    <w:basedOn w:val="Texto"/>
    <w:rsid w:val="00183790"/>
    <w:pPr>
      <w:pBdr>
        <w:bottom w:val="single" w:sz="12" w:space="1" w:color="auto"/>
      </w:pBdr>
      <w:spacing w:before="120" w:after="0" w:line="240" w:lineRule="auto"/>
      <w:ind w:firstLine="0"/>
      <w:outlineLvl w:val="0"/>
    </w:pPr>
    <w:rPr>
      <w:rFonts w:ascii="Times New Roman" w:hAnsi="Times New Roman"/>
      <w:b/>
      <w:u w:color="000000"/>
      <w:lang w:val="es-MX" w:eastAsia="es-MX"/>
    </w:rPr>
  </w:style>
  <w:style w:type="table" w:customStyle="1" w:styleId="Tablaconcuadrcula1">
    <w:name w:val="Tabla con cuadrícula1"/>
    <w:basedOn w:val="Tablanormal"/>
    <w:next w:val="Tablaconcuadrcula"/>
    <w:uiPriority w:val="39"/>
    <w:rsid w:val="00183790"/>
    <w:pPr>
      <w:spacing w:after="0" w:line="240" w:lineRule="auto"/>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uiPriority w:val="99"/>
    <w:unhideWhenUsed/>
    <w:rsid w:val="00183790"/>
    <w:pPr>
      <w:pBdr>
        <w:top w:val="nil"/>
        <w:left w:val="nil"/>
        <w:bottom w:val="nil"/>
        <w:right w:val="nil"/>
        <w:between w:val="nil"/>
        <w:bar w:val="nil"/>
      </w:pBdr>
      <w:spacing w:after="0" w:line="240" w:lineRule="auto"/>
      <w:ind w:left="1134" w:right="1182"/>
      <w:contextualSpacing/>
      <w:jc w:val="both"/>
    </w:pPr>
    <w:rPr>
      <w:rFonts w:ascii="ITC Avant Garde" w:eastAsia="Arial Unicode MS" w:hAnsi="ITC Avant Garde" w:cs="Arial"/>
      <w:i/>
      <w:color w:val="000000" w:themeColor="text1"/>
      <w:sz w:val="18"/>
      <w:szCs w:val="20"/>
      <w:bdr w:val="nil"/>
    </w:rPr>
  </w:style>
  <w:style w:type="paragraph" w:styleId="Textoindependiente2">
    <w:name w:val="Body Text 2"/>
    <w:basedOn w:val="Normal"/>
    <w:link w:val="Textoindependiente2Car"/>
    <w:uiPriority w:val="99"/>
    <w:unhideWhenUsed/>
    <w:rsid w:val="00183790"/>
    <w:pPr>
      <w:pBdr>
        <w:top w:val="nil"/>
        <w:left w:val="nil"/>
        <w:bottom w:val="nil"/>
        <w:right w:val="nil"/>
        <w:between w:val="nil"/>
        <w:bar w:val="nil"/>
      </w:pBdr>
      <w:suppressAutoHyphens/>
      <w:spacing w:after="0" w:line="240" w:lineRule="auto"/>
      <w:ind w:right="-62"/>
      <w:contextualSpacing/>
      <w:jc w:val="both"/>
    </w:pPr>
    <w:rPr>
      <w:rFonts w:ascii="ITC Avant Garde" w:eastAsiaTheme="minorHAnsi" w:hAnsi="ITC Avant Garde" w:cs="Arial"/>
      <w:color w:val="000000" w:themeColor="text1"/>
      <w:sz w:val="20"/>
      <w:szCs w:val="20"/>
      <w:bdr w:val="nil"/>
    </w:rPr>
  </w:style>
  <w:style w:type="character" w:customStyle="1" w:styleId="Textoindependiente2Car">
    <w:name w:val="Texto independiente 2 Car"/>
    <w:basedOn w:val="Fuentedeprrafopredeter"/>
    <w:link w:val="Textoindependiente2"/>
    <w:uiPriority w:val="99"/>
    <w:rsid w:val="00183790"/>
    <w:rPr>
      <w:rFonts w:ascii="ITC Avant Garde" w:hAnsi="ITC Avant Garde" w:cs="Arial"/>
      <w:color w:val="000000" w:themeColor="text1"/>
      <w:sz w:val="20"/>
      <w:szCs w:val="20"/>
      <w:bdr w:val="nil"/>
    </w:rPr>
  </w:style>
  <w:style w:type="paragraph" w:styleId="Sangra2detindependiente">
    <w:name w:val="Body Text Indent 2"/>
    <w:basedOn w:val="Normal"/>
    <w:link w:val="Sangra2detindependienteCar"/>
    <w:uiPriority w:val="99"/>
    <w:unhideWhenUsed/>
    <w:rsid w:val="00183790"/>
    <w:pPr>
      <w:pBdr>
        <w:top w:val="nil"/>
        <w:left w:val="nil"/>
        <w:bottom w:val="nil"/>
        <w:right w:val="nil"/>
        <w:between w:val="nil"/>
        <w:bar w:val="nil"/>
      </w:pBdr>
      <w:spacing w:after="0" w:line="240" w:lineRule="auto"/>
      <w:ind w:left="1134"/>
      <w:contextualSpacing/>
      <w:jc w:val="both"/>
    </w:pPr>
    <w:rPr>
      <w:rFonts w:ascii="ITC Avant Garde" w:eastAsia="Arial Unicode MS" w:hAnsi="ITC Avant Garde" w:cs="Arial"/>
      <w:color w:val="000000" w:themeColor="text1"/>
      <w:sz w:val="20"/>
      <w:szCs w:val="20"/>
      <w:bdr w:val="nil"/>
    </w:rPr>
  </w:style>
  <w:style w:type="character" w:customStyle="1" w:styleId="Sangra2detindependienteCar">
    <w:name w:val="Sangría 2 de t. independiente Car"/>
    <w:basedOn w:val="Fuentedeprrafopredeter"/>
    <w:link w:val="Sangra2detindependiente"/>
    <w:uiPriority w:val="99"/>
    <w:rsid w:val="00183790"/>
    <w:rPr>
      <w:rFonts w:ascii="ITC Avant Garde" w:eastAsia="Arial Unicode MS" w:hAnsi="ITC Avant Garde" w:cs="Arial"/>
      <w:color w:val="000000" w:themeColor="text1"/>
      <w:sz w:val="20"/>
      <w:szCs w:val="20"/>
      <w:bdr w:val="nil"/>
    </w:rPr>
  </w:style>
  <w:style w:type="paragraph" w:styleId="Textoindependiente3">
    <w:name w:val="Body Text 3"/>
    <w:basedOn w:val="Normal"/>
    <w:link w:val="Textoindependiente3Car"/>
    <w:uiPriority w:val="99"/>
    <w:unhideWhenUsed/>
    <w:rsid w:val="00183790"/>
    <w:pPr>
      <w:tabs>
        <w:tab w:val="left" w:pos="7655"/>
      </w:tabs>
      <w:spacing w:after="0" w:line="240" w:lineRule="auto"/>
      <w:ind w:right="49"/>
      <w:contextualSpacing/>
      <w:jc w:val="center"/>
    </w:pPr>
    <w:rPr>
      <w:rFonts w:ascii="ITC Avant Garde" w:eastAsia="Arial Unicode MS" w:hAnsi="ITC Avant Garde"/>
      <w:b/>
      <w:color w:val="000000" w:themeColor="text1"/>
      <w:sz w:val="16"/>
      <w:szCs w:val="20"/>
      <w:bdr w:val="nil"/>
    </w:rPr>
  </w:style>
  <w:style w:type="character" w:customStyle="1" w:styleId="Textoindependiente3Car">
    <w:name w:val="Texto independiente 3 Car"/>
    <w:basedOn w:val="Fuentedeprrafopredeter"/>
    <w:link w:val="Textoindependiente3"/>
    <w:uiPriority w:val="99"/>
    <w:rsid w:val="00183790"/>
    <w:rPr>
      <w:rFonts w:ascii="ITC Avant Garde" w:eastAsia="Arial Unicode MS" w:hAnsi="ITC Avant Garde" w:cs="Times New Roman"/>
      <w:b/>
      <w:color w:val="000000" w:themeColor="text1"/>
      <w:sz w:val="16"/>
      <w:szCs w:val="20"/>
      <w:bdr w:val="nil"/>
    </w:rPr>
  </w:style>
  <w:style w:type="paragraph" w:styleId="Sangra3detindependiente">
    <w:name w:val="Body Text Indent 3"/>
    <w:basedOn w:val="Normal"/>
    <w:link w:val="Sangra3detindependienteCar"/>
    <w:uiPriority w:val="99"/>
    <w:unhideWhenUsed/>
    <w:rsid w:val="00183790"/>
    <w:pPr>
      <w:pBdr>
        <w:top w:val="nil"/>
        <w:left w:val="nil"/>
        <w:bottom w:val="nil"/>
        <w:right w:val="nil"/>
        <w:between w:val="nil"/>
        <w:bar w:val="nil"/>
      </w:pBdr>
      <w:spacing w:after="0" w:line="240" w:lineRule="auto"/>
      <w:ind w:left="1134"/>
      <w:contextualSpacing/>
      <w:jc w:val="both"/>
    </w:pPr>
    <w:rPr>
      <w:rFonts w:ascii="ITC Avant Garde" w:eastAsia="Arial Unicode MS" w:hAnsi="ITC Avant Garde" w:cs="Arial"/>
      <w:sz w:val="20"/>
      <w:szCs w:val="20"/>
      <w:bdr w:val="nil"/>
    </w:rPr>
  </w:style>
  <w:style w:type="character" w:customStyle="1" w:styleId="Sangra3detindependienteCar">
    <w:name w:val="Sangría 3 de t. independiente Car"/>
    <w:basedOn w:val="Fuentedeprrafopredeter"/>
    <w:link w:val="Sangra3detindependiente"/>
    <w:uiPriority w:val="99"/>
    <w:rsid w:val="00183790"/>
    <w:rPr>
      <w:rFonts w:ascii="ITC Avant Garde" w:eastAsia="Arial Unicode MS" w:hAnsi="ITC Avant Garde" w:cs="Arial"/>
      <w:sz w:val="20"/>
      <w:szCs w:val="20"/>
      <w:bdr w:val="nil"/>
    </w:rPr>
  </w:style>
  <w:style w:type="table" w:customStyle="1" w:styleId="Tabladecuadrcula4-nfasis31">
    <w:name w:val="Tabla de cuadrícula 4 - Énfasis 31"/>
    <w:basedOn w:val="Tablanormal"/>
    <w:next w:val="Tabladecuadrcula4-nfasis32"/>
    <w:uiPriority w:val="49"/>
    <w:rsid w:val="00183790"/>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32">
    <w:name w:val="Tabla de cuadrícula 4 - Énfasis 32"/>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nfasis22">
    <w:name w:val="Tabla de cuadrícula 4 - Énfasis 22"/>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wText">
    <w:name w:val="wText"/>
    <w:basedOn w:val="Normal"/>
    <w:uiPriority w:val="2"/>
    <w:qFormat/>
    <w:rsid w:val="00183790"/>
    <w:pPr>
      <w:spacing w:after="240" w:line="240" w:lineRule="auto"/>
      <w:jc w:val="both"/>
    </w:pPr>
    <w:rPr>
      <w:rFonts w:ascii="Times New Roman" w:eastAsia="MS Mincho" w:hAnsi="Times New Roman" w:cstheme="minorBidi"/>
      <w:sz w:val="24"/>
      <w:lang w:val="es-ES_tradnl"/>
    </w:rPr>
  </w:style>
  <w:style w:type="paragraph" w:customStyle="1" w:styleId="Text">
    <w:name w:val="Text"/>
    <w:basedOn w:val="Normal"/>
    <w:rsid w:val="00183790"/>
    <w:pPr>
      <w:spacing w:after="240" w:line="240" w:lineRule="auto"/>
    </w:pPr>
    <w:rPr>
      <w:rFonts w:ascii="Arial" w:hAnsi="Arial" w:cs="Arial"/>
      <w:b/>
      <w:sz w:val="24"/>
      <w:szCs w:val="20"/>
      <w:lang w:val="es-ES_tradnl"/>
    </w:rPr>
  </w:style>
  <w:style w:type="table" w:customStyle="1" w:styleId="Tabladecuadrcula4-nfasis61">
    <w:name w:val="Tabla de cuadrícula 4 - Énfasis 61"/>
    <w:basedOn w:val="Tablanormal"/>
    <w:uiPriority w:val="49"/>
    <w:rsid w:val="001837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NormalIFT">
    <w:name w:val="Normal IFT"/>
    <w:basedOn w:val="Prrafodelista"/>
    <w:link w:val="NormalIFTCar"/>
    <w:autoRedefine/>
    <w:qFormat/>
    <w:rsid w:val="00183790"/>
    <w:pPr>
      <w:numPr>
        <w:numId w:val="19"/>
      </w:numPr>
      <w:shd w:val="clear" w:color="auto" w:fill="FFFFFF"/>
      <w:autoSpaceDE w:val="0"/>
      <w:autoSpaceDN w:val="0"/>
      <w:adjustRightInd w:val="0"/>
      <w:spacing w:before="120" w:after="120"/>
      <w:ind w:left="360"/>
      <w:jc w:val="both"/>
    </w:pPr>
    <w:rPr>
      <w:rFonts w:ascii="ITC Avant Garde" w:hAnsi="ITC Avant Garde"/>
      <w:bCs/>
      <w:color w:val="000000"/>
      <w:sz w:val="22"/>
      <w:szCs w:val="24"/>
      <w:u w:color="000000"/>
      <w:shd w:val="clear" w:color="auto" w:fill="FFFFFF"/>
      <w:lang w:val="es-ES_tradnl" w:eastAsia="es-ES"/>
    </w:rPr>
  </w:style>
  <w:style w:type="character" w:customStyle="1" w:styleId="NormalIFTCar">
    <w:name w:val="Normal IFT Car"/>
    <w:link w:val="NormalIFT"/>
    <w:rsid w:val="00183790"/>
    <w:rPr>
      <w:rFonts w:ascii="ITC Avant Garde" w:eastAsia="Times New Roman" w:hAnsi="ITC Avant Garde" w:cs="Times New Roman"/>
      <w:bCs/>
      <w:color w:val="000000"/>
      <w:szCs w:val="24"/>
      <w:u w:color="000000"/>
      <w:shd w:val="clear" w:color="auto" w:fill="FFFFFF"/>
      <w:lang w:val="es-ES_tradnl" w:eastAsia="es-ES"/>
    </w:rPr>
  </w:style>
  <w:style w:type="paragraph" w:customStyle="1" w:styleId="Cuadros">
    <w:name w:val="Cuadros"/>
    <w:basedOn w:val="Normal"/>
    <w:qFormat/>
    <w:rsid w:val="00183790"/>
    <w:pPr>
      <w:keepNext/>
      <w:numPr>
        <w:numId w:val="20"/>
      </w:numPr>
      <w:spacing w:before="240" w:after="0"/>
      <w:ind w:left="714" w:hanging="357"/>
      <w:jc w:val="center"/>
    </w:pPr>
    <w:rPr>
      <w:rFonts w:ascii="ITC Avant Garde" w:hAnsi="ITC Avant Garde"/>
      <w:b/>
      <w:lang w:eastAsia="es-MX"/>
    </w:rPr>
  </w:style>
  <w:style w:type="paragraph" w:customStyle="1" w:styleId="TtuloIFT-4">
    <w:name w:val="Título IFT-4"/>
    <w:basedOn w:val="Normal"/>
    <w:next w:val="Normal"/>
    <w:link w:val="TtuloIFT-4Car"/>
    <w:qFormat/>
    <w:rsid w:val="00183790"/>
    <w:pPr>
      <w:numPr>
        <w:numId w:val="21"/>
      </w:numPr>
      <w:tabs>
        <w:tab w:val="left" w:pos="142"/>
      </w:tabs>
      <w:spacing w:after="0" w:line="240" w:lineRule="auto"/>
      <w:jc w:val="both"/>
    </w:pPr>
    <w:rPr>
      <w:rFonts w:ascii="ITC Avant Garde" w:eastAsia="Times New Roman" w:hAnsi="ITC Avant Garde"/>
      <w:b/>
      <w:sz w:val="24"/>
      <w:szCs w:val="24"/>
      <w:lang w:eastAsia="es-MX"/>
    </w:rPr>
  </w:style>
  <w:style w:type="character" w:customStyle="1" w:styleId="TtuloIFT-4Car">
    <w:name w:val="Título IFT-4 Car"/>
    <w:link w:val="TtuloIFT-4"/>
    <w:rsid w:val="00183790"/>
    <w:rPr>
      <w:rFonts w:ascii="ITC Avant Garde" w:eastAsia="Times New Roman" w:hAnsi="ITC Avant Garde" w:cs="Times New Roman"/>
      <w:b/>
      <w:sz w:val="24"/>
      <w:szCs w:val="24"/>
      <w:lang w:eastAsia="es-MX"/>
    </w:rPr>
  </w:style>
  <w:style w:type="paragraph" w:customStyle="1" w:styleId="Ttulo">
    <w:name w:val="Título"/>
    <w:basedOn w:val="Normal"/>
    <w:qFormat/>
    <w:rsid w:val="00EC4A23"/>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table" w:styleId="Tabladecuadrcula4-nfasis3">
    <w:name w:val="Grid Table 4 Accent 3"/>
    <w:basedOn w:val="Tablanormal"/>
    <w:uiPriority w:val="49"/>
    <w:rsid w:val="00EC4A2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2">
    <w:name w:val="Grid Table 4 Accent 2"/>
    <w:basedOn w:val="Tablanormal"/>
    <w:uiPriority w:val="49"/>
    <w:rsid w:val="00EC4A2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xl63">
    <w:name w:val="xl63"/>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4">
    <w:name w:val="xl64"/>
    <w:basedOn w:val="Normal"/>
    <w:rsid w:val="004535EB"/>
    <w:pPr>
      <w:pBdr>
        <w:top w:val="single" w:sz="12"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5">
    <w:name w:val="xl65"/>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6">
    <w:name w:val="xl66"/>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7">
    <w:name w:val="xl67"/>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8">
    <w:name w:val="xl68"/>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9">
    <w:name w:val="xl69"/>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0">
    <w:name w:val="xl70"/>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1">
    <w:name w:val="xl71"/>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2">
    <w:name w:val="xl72"/>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3">
    <w:name w:val="xl73"/>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5">
    <w:name w:val="xl75"/>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6">
    <w:name w:val="xl76"/>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7">
    <w:name w:val="xl77"/>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8">
    <w:name w:val="xl78"/>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9">
    <w:name w:val="xl79"/>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0">
    <w:name w:val="xl80"/>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1">
    <w:name w:val="xl81"/>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2">
    <w:name w:val="xl82"/>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3">
    <w:name w:val="xl83"/>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4">
    <w:name w:val="xl84"/>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5">
    <w:name w:val="xl85"/>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6">
    <w:name w:val="xl86"/>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7">
    <w:name w:val="xl87"/>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8">
    <w:name w:val="xl88"/>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9">
    <w:name w:val="xl89"/>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0">
    <w:name w:val="xl90"/>
    <w:basedOn w:val="Normal"/>
    <w:rsid w:val="004535EB"/>
    <w:pPr>
      <w:pBdr>
        <w:top w:val="single" w:sz="4" w:space="0" w:color="A9D08E"/>
        <w:left w:val="single" w:sz="8" w:space="0" w:color="A8D08D"/>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1">
    <w:name w:val="xl91"/>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2">
    <w:name w:val="xl92"/>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3">
    <w:name w:val="xl93"/>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4">
    <w:name w:val="xl94"/>
    <w:basedOn w:val="Normal"/>
    <w:rsid w:val="004535EB"/>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95">
    <w:name w:val="xl95"/>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6">
    <w:name w:val="xl96"/>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7">
    <w:name w:val="xl97"/>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8">
    <w:name w:val="xl98"/>
    <w:basedOn w:val="Normal"/>
    <w:rsid w:val="004535EB"/>
    <w:pPr>
      <w:pBdr>
        <w:top w:val="single" w:sz="4" w:space="0" w:color="C6E0B4"/>
        <w:left w:val="single" w:sz="4" w:space="0" w:color="C6E0B4"/>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99">
    <w:name w:val="xl99"/>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0">
    <w:name w:val="xl100"/>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1">
    <w:name w:val="xl101"/>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2">
    <w:name w:val="xl102"/>
    <w:basedOn w:val="Normal"/>
    <w:rsid w:val="004535EB"/>
    <w:pPr>
      <w:pBdr>
        <w:top w:val="single" w:sz="4" w:space="0" w:color="C6E0B4"/>
        <w:left w:val="single" w:sz="8" w:space="0" w:color="A9D08E"/>
        <w:bottom w:val="single" w:sz="12" w:space="0" w:color="A9D08E"/>
        <w:right w:val="single" w:sz="4" w:space="0" w:color="C6E0B4"/>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3">
    <w:name w:val="xl103"/>
    <w:basedOn w:val="Normal"/>
    <w:rsid w:val="004535EB"/>
    <w:pPr>
      <w:pBdr>
        <w:top w:val="single" w:sz="12" w:space="0" w:color="A9D08E"/>
        <w:left w:val="single" w:sz="4" w:space="0" w:color="C6E0B4"/>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4">
    <w:name w:val="xl104"/>
    <w:basedOn w:val="Normal"/>
    <w:rsid w:val="004535EB"/>
    <w:pPr>
      <w:pBdr>
        <w:top w:val="single" w:sz="12"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5">
    <w:name w:val="xl105"/>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6">
    <w:name w:val="xl106"/>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7">
    <w:name w:val="xl107"/>
    <w:basedOn w:val="Normal"/>
    <w:rsid w:val="004535EB"/>
    <w:pPr>
      <w:pBdr>
        <w:top w:val="single" w:sz="4" w:space="0" w:color="A9D08E"/>
        <w:left w:val="single" w:sz="4" w:space="0" w:color="C6E0B4"/>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8">
    <w:name w:val="xl108"/>
    <w:basedOn w:val="Normal"/>
    <w:rsid w:val="004535EB"/>
    <w:pPr>
      <w:pBdr>
        <w:top w:val="single" w:sz="4" w:space="0" w:color="A9D08E"/>
        <w:left w:val="single" w:sz="4" w:space="0" w:color="C6E0B4"/>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9">
    <w:name w:val="xl109"/>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0">
    <w:name w:val="xl110"/>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1">
    <w:name w:val="xl111"/>
    <w:basedOn w:val="Normal"/>
    <w:rsid w:val="004535EB"/>
    <w:pPr>
      <w:pBdr>
        <w:top w:val="single" w:sz="4" w:space="0" w:color="A9D08E"/>
        <w:left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2">
    <w:name w:val="xl112"/>
    <w:basedOn w:val="Normal"/>
    <w:rsid w:val="004535EB"/>
    <w:pPr>
      <w:pBdr>
        <w:top w:val="single" w:sz="4" w:space="0" w:color="A9D08E"/>
        <w:left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3">
    <w:name w:val="xl113"/>
    <w:basedOn w:val="Normal"/>
    <w:rsid w:val="004535EB"/>
    <w:pPr>
      <w:pBdr>
        <w:top w:val="single" w:sz="4" w:space="0" w:color="A9D08E"/>
        <w:left w:val="single" w:sz="8" w:space="0" w:color="A8D08D"/>
        <w:bottom w:val="single" w:sz="4" w:space="0" w:color="A9D08E"/>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4">
    <w:name w:val="xl114"/>
    <w:basedOn w:val="Normal"/>
    <w:rsid w:val="004535EB"/>
    <w:pPr>
      <w:pBdr>
        <w:top w:val="single" w:sz="4" w:space="0" w:color="A9D08E"/>
        <w:bottom w:val="single" w:sz="4" w:space="0" w:color="A9D08E"/>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5">
    <w:name w:val="xl115"/>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6">
    <w:name w:val="xl116"/>
    <w:basedOn w:val="Normal"/>
    <w:rsid w:val="004535EB"/>
    <w:pPr>
      <w:pBdr>
        <w:top w:val="single" w:sz="4" w:space="0" w:color="A9D08E"/>
        <w:left w:val="single" w:sz="8" w:space="0" w:color="A8D08D"/>
        <w:bottom w:val="single" w:sz="4" w:space="0" w:color="A9D08E"/>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7">
    <w:name w:val="xl117"/>
    <w:basedOn w:val="Normal"/>
    <w:rsid w:val="004535EB"/>
    <w:pPr>
      <w:pBdr>
        <w:top w:val="single" w:sz="4" w:space="0" w:color="A9D08E"/>
        <w:bottom w:val="single" w:sz="4" w:space="0" w:color="A9D08E"/>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8">
    <w:name w:val="xl118"/>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9">
    <w:name w:val="xl119"/>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20">
    <w:name w:val="xl120"/>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styleId="Citadestacada">
    <w:name w:val="Intense Quote"/>
    <w:basedOn w:val="Normal"/>
    <w:next w:val="Normal"/>
    <w:link w:val="CitadestacadaCar"/>
    <w:uiPriority w:val="30"/>
    <w:qFormat/>
    <w:rsid w:val="009464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46414"/>
    <w:rPr>
      <w:rFonts w:ascii="Calibri" w:eastAsia="Calibri" w:hAnsi="Calibri" w:cs="Times New Roman"/>
      <w:i/>
      <w:iCs/>
      <w:color w:val="5B9BD5" w:themeColor="accent1"/>
    </w:rPr>
  </w:style>
  <w:style w:type="character" w:customStyle="1" w:styleId="N1IFTCar">
    <w:name w:val="N1 IFT Car"/>
    <w:basedOn w:val="Fuentedeprrafopredeter"/>
    <w:link w:val="N1IFT"/>
    <w:locked/>
    <w:rsid w:val="00460EB3"/>
    <w:rPr>
      <w:rFonts w:ascii="ITC Avant Garde" w:hAnsi="ITC Avant Garde"/>
      <w:b/>
      <w:bCs/>
      <w:color w:val="000000"/>
      <w:lang w:eastAsia="es-ES"/>
    </w:rPr>
  </w:style>
  <w:style w:type="paragraph" w:customStyle="1" w:styleId="N1IFT">
    <w:name w:val="N1 IFT"/>
    <w:basedOn w:val="Normal"/>
    <w:link w:val="N1IFTCar"/>
    <w:rsid w:val="00460EB3"/>
    <w:pPr>
      <w:jc w:val="both"/>
    </w:pPr>
    <w:rPr>
      <w:rFonts w:ascii="ITC Avant Garde" w:eastAsiaTheme="minorHAnsi" w:hAnsi="ITC Avant Garde" w:cstheme="minorBidi"/>
      <w:b/>
      <w:bCs/>
      <w:color w:val="000000"/>
      <w:lang w:eastAsia="es-ES"/>
    </w:rPr>
  </w:style>
  <w:style w:type="table" w:styleId="Cuadrculadetablaclara">
    <w:name w:val="Grid Table Light"/>
    <w:basedOn w:val="Tablanormal"/>
    <w:uiPriority w:val="40"/>
    <w:rsid w:val="00B438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3290">
      <w:bodyDiv w:val="1"/>
      <w:marLeft w:val="0"/>
      <w:marRight w:val="0"/>
      <w:marTop w:val="0"/>
      <w:marBottom w:val="0"/>
      <w:divBdr>
        <w:top w:val="none" w:sz="0" w:space="0" w:color="auto"/>
        <w:left w:val="none" w:sz="0" w:space="0" w:color="auto"/>
        <w:bottom w:val="none" w:sz="0" w:space="0" w:color="auto"/>
        <w:right w:val="none" w:sz="0" w:space="0" w:color="auto"/>
      </w:divBdr>
    </w:div>
    <w:div w:id="52430240">
      <w:bodyDiv w:val="1"/>
      <w:marLeft w:val="0"/>
      <w:marRight w:val="0"/>
      <w:marTop w:val="0"/>
      <w:marBottom w:val="0"/>
      <w:divBdr>
        <w:top w:val="none" w:sz="0" w:space="0" w:color="auto"/>
        <w:left w:val="none" w:sz="0" w:space="0" w:color="auto"/>
        <w:bottom w:val="none" w:sz="0" w:space="0" w:color="auto"/>
        <w:right w:val="none" w:sz="0" w:space="0" w:color="auto"/>
      </w:divBdr>
    </w:div>
    <w:div w:id="71705085">
      <w:bodyDiv w:val="1"/>
      <w:marLeft w:val="0"/>
      <w:marRight w:val="0"/>
      <w:marTop w:val="0"/>
      <w:marBottom w:val="0"/>
      <w:divBdr>
        <w:top w:val="none" w:sz="0" w:space="0" w:color="auto"/>
        <w:left w:val="none" w:sz="0" w:space="0" w:color="auto"/>
        <w:bottom w:val="none" w:sz="0" w:space="0" w:color="auto"/>
        <w:right w:val="none" w:sz="0" w:space="0" w:color="auto"/>
      </w:divBdr>
    </w:div>
    <w:div w:id="95951809">
      <w:bodyDiv w:val="1"/>
      <w:marLeft w:val="0"/>
      <w:marRight w:val="0"/>
      <w:marTop w:val="0"/>
      <w:marBottom w:val="0"/>
      <w:divBdr>
        <w:top w:val="none" w:sz="0" w:space="0" w:color="auto"/>
        <w:left w:val="none" w:sz="0" w:space="0" w:color="auto"/>
        <w:bottom w:val="none" w:sz="0" w:space="0" w:color="auto"/>
        <w:right w:val="none" w:sz="0" w:space="0" w:color="auto"/>
      </w:divBdr>
    </w:div>
    <w:div w:id="127017667">
      <w:bodyDiv w:val="1"/>
      <w:marLeft w:val="0"/>
      <w:marRight w:val="0"/>
      <w:marTop w:val="0"/>
      <w:marBottom w:val="0"/>
      <w:divBdr>
        <w:top w:val="none" w:sz="0" w:space="0" w:color="auto"/>
        <w:left w:val="none" w:sz="0" w:space="0" w:color="auto"/>
        <w:bottom w:val="none" w:sz="0" w:space="0" w:color="auto"/>
        <w:right w:val="none" w:sz="0" w:space="0" w:color="auto"/>
      </w:divBdr>
    </w:div>
    <w:div w:id="134759774">
      <w:bodyDiv w:val="1"/>
      <w:marLeft w:val="0"/>
      <w:marRight w:val="0"/>
      <w:marTop w:val="0"/>
      <w:marBottom w:val="0"/>
      <w:divBdr>
        <w:top w:val="none" w:sz="0" w:space="0" w:color="auto"/>
        <w:left w:val="none" w:sz="0" w:space="0" w:color="auto"/>
        <w:bottom w:val="none" w:sz="0" w:space="0" w:color="auto"/>
        <w:right w:val="none" w:sz="0" w:space="0" w:color="auto"/>
      </w:divBdr>
    </w:div>
    <w:div w:id="141119096">
      <w:bodyDiv w:val="1"/>
      <w:marLeft w:val="0"/>
      <w:marRight w:val="0"/>
      <w:marTop w:val="0"/>
      <w:marBottom w:val="0"/>
      <w:divBdr>
        <w:top w:val="none" w:sz="0" w:space="0" w:color="auto"/>
        <w:left w:val="none" w:sz="0" w:space="0" w:color="auto"/>
        <w:bottom w:val="none" w:sz="0" w:space="0" w:color="auto"/>
        <w:right w:val="none" w:sz="0" w:space="0" w:color="auto"/>
      </w:divBdr>
    </w:div>
    <w:div w:id="154300453">
      <w:bodyDiv w:val="1"/>
      <w:marLeft w:val="0"/>
      <w:marRight w:val="0"/>
      <w:marTop w:val="0"/>
      <w:marBottom w:val="0"/>
      <w:divBdr>
        <w:top w:val="none" w:sz="0" w:space="0" w:color="auto"/>
        <w:left w:val="none" w:sz="0" w:space="0" w:color="auto"/>
        <w:bottom w:val="none" w:sz="0" w:space="0" w:color="auto"/>
        <w:right w:val="none" w:sz="0" w:space="0" w:color="auto"/>
      </w:divBdr>
    </w:div>
    <w:div w:id="161628065">
      <w:bodyDiv w:val="1"/>
      <w:marLeft w:val="0"/>
      <w:marRight w:val="0"/>
      <w:marTop w:val="0"/>
      <w:marBottom w:val="0"/>
      <w:divBdr>
        <w:top w:val="none" w:sz="0" w:space="0" w:color="auto"/>
        <w:left w:val="none" w:sz="0" w:space="0" w:color="auto"/>
        <w:bottom w:val="none" w:sz="0" w:space="0" w:color="auto"/>
        <w:right w:val="none" w:sz="0" w:space="0" w:color="auto"/>
      </w:divBdr>
    </w:div>
    <w:div w:id="179244463">
      <w:bodyDiv w:val="1"/>
      <w:marLeft w:val="0"/>
      <w:marRight w:val="0"/>
      <w:marTop w:val="0"/>
      <w:marBottom w:val="0"/>
      <w:divBdr>
        <w:top w:val="none" w:sz="0" w:space="0" w:color="auto"/>
        <w:left w:val="none" w:sz="0" w:space="0" w:color="auto"/>
        <w:bottom w:val="none" w:sz="0" w:space="0" w:color="auto"/>
        <w:right w:val="none" w:sz="0" w:space="0" w:color="auto"/>
      </w:divBdr>
    </w:div>
    <w:div w:id="179515070">
      <w:bodyDiv w:val="1"/>
      <w:marLeft w:val="0"/>
      <w:marRight w:val="0"/>
      <w:marTop w:val="0"/>
      <w:marBottom w:val="0"/>
      <w:divBdr>
        <w:top w:val="none" w:sz="0" w:space="0" w:color="auto"/>
        <w:left w:val="none" w:sz="0" w:space="0" w:color="auto"/>
        <w:bottom w:val="none" w:sz="0" w:space="0" w:color="auto"/>
        <w:right w:val="none" w:sz="0" w:space="0" w:color="auto"/>
      </w:divBdr>
    </w:div>
    <w:div w:id="186330877">
      <w:bodyDiv w:val="1"/>
      <w:marLeft w:val="0"/>
      <w:marRight w:val="0"/>
      <w:marTop w:val="0"/>
      <w:marBottom w:val="0"/>
      <w:divBdr>
        <w:top w:val="none" w:sz="0" w:space="0" w:color="auto"/>
        <w:left w:val="none" w:sz="0" w:space="0" w:color="auto"/>
        <w:bottom w:val="none" w:sz="0" w:space="0" w:color="auto"/>
        <w:right w:val="none" w:sz="0" w:space="0" w:color="auto"/>
      </w:divBdr>
    </w:div>
    <w:div w:id="188299508">
      <w:bodyDiv w:val="1"/>
      <w:marLeft w:val="0"/>
      <w:marRight w:val="0"/>
      <w:marTop w:val="0"/>
      <w:marBottom w:val="0"/>
      <w:divBdr>
        <w:top w:val="none" w:sz="0" w:space="0" w:color="auto"/>
        <w:left w:val="none" w:sz="0" w:space="0" w:color="auto"/>
        <w:bottom w:val="none" w:sz="0" w:space="0" w:color="auto"/>
        <w:right w:val="none" w:sz="0" w:space="0" w:color="auto"/>
      </w:divBdr>
    </w:div>
    <w:div w:id="190578894">
      <w:bodyDiv w:val="1"/>
      <w:marLeft w:val="0"/>
      <w:marRight w:val="0"/>
      <w:marTop w:val="0"/>
      <w:marBottom w:val="0"/>
      <w:divBdr>
        <w:top w:val="none" w:sz="0" w:space="0" w:color="auto"/>
        <w:left w:val="none" w:sz="0" w:space="0" w:color="auto"/>
        <w:bottom w:val="none" w:sz="0" w:space="0" w:color="auto"/>
        <w:right w:val="none" w:sz="0" w:space="0" w:color="auto"/>
      </w:divBdr>
    </w:div>
    <w:div w:id="201673622">
      <w:bodyDiv w:val="1"/>
      <w:marLeft w:val="0"/>
      <w:marRight w:val="0"/>
      <w:marTop w:val="0"/>
      <w:marBottom w:val="0"/>
      <w:divBdr>
        <w:top w:val="none" w:sz="0" w:space="0" w:color="auto"/>
        <w:left w:val="none" w:sz="0" w:space="0" w:color="auto"/>
        <w:bottom w:val="none" w:sz="0" w:space="0" w:color="auto"/>
        <w:right w:val="none" w:sz="0" w:space="0" w:color="auto"/>
      </w:divBdr>
    </w:div>
    <w:div w:id="203443002">
      <w:bodyDiv w:val="1"/>
      <w:marLeft w:val="0"/>
      <w:marRight w:val="0"/>
      <w:marTop w:val="0"/>
      <w:marBottom w:val="0"/>
      <w:divBdr>
        <w:top w:val="none" w:sz="0" w:space="0" w:color="auto"/>
        <w:left w:val="none" w:sz="0" w:space="0" w:color="auto"/>
        <w:bottom w:val="none" w:sz="0" w:space="0" w:color="auto"/>
        <w:right w:val="none" w:sz="0" w:space="0" w:color="auto"/>
      </w:divBdr>
    </w:div>
    <w:div w:id="212233901">
      <w:bodyDiv w:val="1"/>
      <w:marLeft w:val="0"/>
      <w:marRight w:val="0"/>
      <w:marTop w:val="0"/>
      <w:marBottom w:val="0"/>
      <w:divBdr>
        <w:top w:val="none" w:sz="0" w:space="0" w:color="auto"/>
        <w:left w:val="none" w:sz="0" w:space="0" w:color="auto"/>
        <w:bottom w:val="none" w:sz="0" w:space="0" w:color="auto"/>
        <w:right w:val="none" w:sz="0" w:space="0" w:color="auto"/>
      </w:divBdr>
    </w:div>
    <w:div w:id="239097028">
      <w:bodyDiv w:val="1"/>
      <w:marLeft w:val="0"/>
      <w:marRight w:val="0"/>
      <w:marTop w:val="0"/>
      <w:marBottom w:val="0"/>
      <w:divBdr>
        <w:top w:val="none" w:sz="0" w:space="0" w:color="auto"/>
        <w:left w:val="none" w:sz="0" w:space="0" w:color="auto"/>
        <w:bottom w:val="none" w:sz="0" w:space="0" w:color="auto"/>
        <w:right w:val="none" w:sz="0" w:space="0" w:color="auto"/>
      </w:divBdr>
    </w:div>
    <w:div w:id="286013326">
      <w:bodyDiv w:val="1"/>
      <w:marLeft w:val="0"/>
      <w:marRight w:val="0"/>
      <w:marTop w:val="0"/>
      <w:marBottom w:val="0"/>
      <w:divBdr>
        <w:top w:val="none" w:sz="0" w:space="0" w:color="auto"/>
        <w:left w:val="none" w:sz="0" w:space="0" w:color="auto"/>
        <w:bottom w:val="none" w:sz="0" w:space="0" w:color="auto"/>
        <w:right w:val="none" w:sz="0" w:space="0" w:color="auto"/>
      </w:divBdr>
    </w:div>
    <w:div w:id="290868499">
      <w:bodyDiv w:val="1"/>
      <w:marLeft w:val="0"/>
      <w:marRight w:val="0"/>
      <w:marTop w:val="0"/>
      <w:marBottom w:val="0"/>
      <w:divBdr>
        <w:top w:val="none" w:sz="0" w:space="0" w:color="auto"/>
        <w:left w:val="none" w:sz="0" w:space="0" w:color="auto"/>
        <w:bottom w:val="none" w:sz="0" w:space="0" w:color="auto"/>
        <w:right w:val="none" w:sz="0" w:space="0" w:color="auto"/>
      </w:divBdr>
    </w:div>
    <w:div w:id="308290030">
      <w:bodyDiv w:val="1"/>
      <w:marLeft w:val="0"/>
      <w:marRight w:val="0"/>
      <w:marTop w:val="0"/>
      <w:marBottom w:val="0"/>
      <w:divBdr>
        <w:top w:val="none" w:sz="0" w:space="0" w:color="auto"/>
        <w:left w:val="none" w:sz="0" w:space="0" w:color="auto"/>
        <w:bottom w:val="none" w:sz="0" w:space="0" w:color="auto"/>
        <w:right w:val="none" w:sz="0" w:space="0" w:color="auto"/>
      </w:divBdr>
    </w:div>
    <w:div w:id="308483784">
      <w:bodyDiv w:val="1"/>
      <w:marLeft w:val="0"/>
      <w:marRight w:val="0"/>
      <w:marTop w:val="0"/>
      <w:marBottom w:val="0"/>
      <w:divBdr>
        <w:top w:val="none" w:sz="0" w:space="0" w:color="auto"/>
        <w:left w:val="none" w:sz="0" w:space="0" w:color="auto"/>
        <w:bottom w:val="none" w:sz="0" w:space="0" w:color="auto"/>
        <w:right w:val="none" w:sz="0" w:space="0" w:color="auto"/>
      </w:divBdr>
    </w:div>
    <w:div w:id="315260053">
      <w:bodyDiv w:val="1"/>
      <w:marLeft w:val="0"/>
      <w:marRight w:val="0"/>
      <w:marTop w:val="0"/>
      <w:marBottom w:val="0"/>
      <w:divBdr>
        <w:top w:val="none" w:sz="0" w:space="0" w:color="auto"/>
        <w:left w:val="none" w:sz="0" w:space="0" w:color="auto"/>
        <w:bottom w:val="none" w:sz="0" w:space="0" w:color="auto"/>
        <w:right w:val="none" w:sz="0" w:space="0" w:color="auto"/>
      </w:divBdr>
    </w:div>
    <w:div w:id="322202572">
      <w:bodyDiv w:val="1"/>
      <w:marLeft w:val="0"/>
      <w:marRight w:val="0"/>
      <w:marTop w:val="0"/>
      <w:marBottom w:val="0"/>
      <w:divBdr>
        <w:top w:val="none" w:sz="0" w:space="0" w:color="auto"/>
        <w:left w:val="none" w:sz="0" w:space="0" w:color="auto"/>
        <w:bottom w:val="none" w:sz="0" w:space="0" w:color="auto"/>
        <w:right w:val="none" w:sz="0" w:space="0" w:color="auto"/>
      </w:divBdr>
    </w:div>
    <w:div w:id="357780465">
      <w:bodyDiv w:val="1"/>
      <w:marLeft w:val="0"/>
      <w:marRight w:val="0"/>
      <w:marTop w:val="0"/>
      <w:marBottom w:val="0"/>
      <w:divBdr>
        <w:top w:val="none" w:sz="0" w:space="0" w:color="auto"/>
        <w:left w:val="none" w:sz="0" w:space="0" w:color="auto"/>
        <w:bottom w:val="none" w:sz="0" w:space="0" w:color="auto"/>
        <w:right w:val="none" w:sz="0" w:space="0" w:color="auto"/>
      </w:divBdr>
    </w:div>
    <w:div w:id="386342413">
      <w:bodyDiv w:val="1"/>
      <w:marLeft w:val="0"/>
      <w:marRight w:val="0"/>
      <w:marTop w:val="0"/>
      <w:marBottom w:val="0"/>
      <w:divBdr>
        <w:top w:val="none" w:sz="0" w:space="0" w:color="auto"/>
        <w:left w:val="none" w:sz="0" w:space="0" w:color="auto"/>
        <w:bottom w:val="none" w:sz="0" w:space="0" w:color="auto"/>
        <w:right w:val="none" w:sz="0" w:space="0" w:color="auto"/>
      </w:divBdr>
    </w:div>
    <w:div w:id="395662544">
      <w:bodyDiv w:val="1"/>
      <w:marLeft w:val="0"/>
      <w:marRight w:val="0"/>
      <w:marTop w:val="0"/>
      <w:marBottom w:val="0"/>
      <w:divBdr>
        <w:top w:val="none" w:sz="0" w:space="0" w:color="auto"/>
        <w:left w:val="none" w:sz="0" w:space="0" w:color="auto"/>
        <w:bottom w:val="none" w:sz="0" w:space="0" w:color="auto"/>
        <w:right w:val="none" w:sz="0" w:space="0" w:color="auto"/>
      </w:divBdr>
    </w:div>
    <w:div w:id="414595147">
      <w:bodyDiv w:val="1"/>
      <w:marLeft w:val="0"/>
      <w:marRight w:val="0"/>
      <w:marTop w:val="0"/>
      <w:marBottom w:val="0"/>
      <w:divBdr>
        <w:top w:val="none" w:sz="0" w:space="0" w:color="auto"/>
        <w:left w:val="none" w:sz="0" w:space="0" w:color="auto"/>
        <w:bottom w:val="none" w:sz="0" w:space="0" w:color="auto"/>
        <w:right w:val="none" w:sz="0" w:space="0" w:color="auto"/>
      </w:divBdr>
    </w:div>
    <w:div w:id="432746172">
      <w:bodyDiv w:val="1"/>
      <w:marLeft w:val="0"/>
      <w:marRight w:val="0"/>
      <w:marTop w:val="0"/>
      <w:marBottom w:val="0"/>
      <w:divBdr>
        <w:top w:val="none" w:sz="0" w:space="0" w:color="auto"/>
        <w:left w:val="none" w:sz="0" w:space="0" w:color="auto"/>
        <w:bottom w:val="none" w:sz="0" w:space="0" w:color="auto"/>
        <w:right w:val="none" w:sz="0" w:space="0" w:color="auto"/>
      </w:divBdr>
    </w:div>
    <w:div w:id="439644207">
      <w:bodyDiv w:val="1"/>
      <w:marLeft w:val="0"/>
      <w:marRight w:val="0"/>
      <w:marTop w:val="0"/>
      <w:marBottom w:val="0"/>
      <w:divBdr>
        <w:top w:val="none" w:sz="0" w:space="0" w:color="auto"/>
        <w:left w:val="none" w:sz="0" w:space="0" w:color="auto"/>
        <w:bottom w:val="none" w:sz="0" w:space="0" w:color="auto"/>
        <w:right w:val="none" w:sz="0" w:space="0" w:color="auto"/>
      </w:divBdr>
    </w:div>
    <w:div w:id="457727811">
      <w:bodyDiv w:val="1"/>
      <w:marLeft w:val="0"/>
      <w:marRight w:val="0"/>
      <w:marTop w:val="0"/>
      <w:marBottom w:val="0"/>
      <w:divBdr>
        <w:top w:val="none" w:sz="0" w:space="0" w:color="auto"/>
        <w:left w:val="none" w:sz="0" w:space="0" w:color="auto"/>
        <w:bottom w:val="none" w:sz="0" w:space="0" w:color="auto"/>
        <w:right w:val="none" w:sz="0" w:space="0" w:color="auto"/>
      </w:divBdr>
    </w:div>
    <w:div w:id="472524675">
      <w:bodyDiv w:val="1"/>
      <w:marLeft w:val="0"/>
      <w:marRight w:val="0"/>
      <w:marTop w:val="0"/>
      <w:marBottom w:val="0"/>
      <w:divBdr>
        <w:top w:val="none" w:sz="0" w:space="0" w:color="auto"/>
        <w:left w:val="none" w:sz="0" w:space="0" w:color="auto"/>
        <w:bottom w:val="none" w:sz="0" w:space="0" w:color="auto"/>
        <w:right w:val="none" w:sz="0" w:space="0" w:color="auto"/>
      </w:divBdr>
    </w:div>
    <w:div w:id="484397399">
      <w:bodyDiv w:val="1"/>
      <w:marLeft w:val="0"/>
      <w:marRight w:val="0"/>
      <w:marTop w:val="0"/>
      <w:marBottom w:val="0"/>
      <w:divBdr>
        <w:top w:val="none" w:sz="0" w:space="0" w:color="auto"/>
        <w:left w:val="none" w:sz="0" w:space="0" w:color="auto"/>
        <w:bottom w:val="none" w:sz="0" w:space="0" w:color="auto"/>
        <w:right w:val="none" w:sz="0" w:space="0" w:color="auto"/>
      </w:divBdr>
    </w:div>
    <w:div w:id="499856462">
      <w:bodyDiv w:val="1"/>
      <w:marLeft w:val="0"/>
      <w:marRight w:val="0"/>
      <w:marTop w:val="0"/>
      <w:marBottom w:val="0"/>
      <w:divBdr>
        <w:top w:val="none" w:sz="0" w:space="0" w:color="auto"/>
        <w:left w:val="none" w:sz="0" w:space="0" w:color="auto"/>
        <w:bottom w:val="none" w:sz="0" w:space="0" w:color="auto"/>
        <w:right w:val="none" w:sz="0" w:space="0" w:color="auto"/>
      </w:divBdr>
    </w:div>
    <w:div w:id="505026004">
      <w:bodyDiv w:val="1"/>
      <w:marLeft w:val="0"/>
      <w:marRight w:val="0"/>
      <w:marTop w:val="0"/>
      <w:marBottom w:val="0"/>
      <w:divBdr>
        <w:top w:val="none" w:sz="0" w:space="0" w:color="auto"/>
        <w:left w:val="none" w:sz="0" w:space="0" w:color="auto"/>
        <w:bottom w:val="none" w:sz="0" w:space="0" w:color="auto"/>
        <w:right w:val="none" w:sz="0" w:space="0" w:color="auto"/>
      </w:divBdr>
    </w:div>
    <w:div w:id="522523741">
      <w:bodyDiv w:val="1"/>
      <w:marLeft w:val="0"/>
      <w:marRight w:val="0"/>
      <w:marTop w:val="0"/>
      <w:marBottom w:val="0"/>
      <w:divBdr>
        <w:top w:val="none" w:sz="0" w:space="0" w:color="auto"/>
        <w:left w:val="none" w:sz="0" w:space="0" w:color="auto"/>
        <w:bottom w:val="none" w:sz="0" w:space="0" w:color="auto"/>
        <w:right w:val="none" w:sz="0" w:space="0" w:color="auto"/>
      </w:divBdr>
    </w:div>
    <w:div w:id="529802054">
      <w:bodyDiv w:val="1"/>
      <w:marLeft w:val="0"/>
      <w:marRight w:val="0"/>
      <w:marTop w:val="0"/>
      <w:marBottom w:val="0"/>
      <w:divBdr>
        <w:top w:val="none" w:sz="0" w:space="0" w:color="auto"/>
        <w:left w:val="none" w:sz="0" w:space="0" w:color="auto"/>
        <w:bottom w:val="none" w:sz="0" w:space="0" w:color="auto"/>
        <w:right w:val="none" w:sz="0" w:space="0" w:color="auto"/>
      </w:divBdr>
    </w:div>
    <w:div w:id="533034348">
      <w:bodyDiv w:val="1"/>
      <w:marLeft w:val="0"/>
      <w:marRight w:val="0"/>
      <w:marTop w:val="0"/>
      <w:marBottom w:val="0"/>
      <w:divBdr>
        <w:top w:val="none" w:sz="0" w:space="0" w:color="auto"/>
        <w:left w:val="none" w:sz="0" w:space="0" w:color="auto"/>
        <w:bottom w:val="none" w:sz="0" w:space="0" w:color="auto"/>
        <w:right w:val="none" w:sz="0" w:space="0" w:color="auto"/>
      </w:divBdr>
    </w:div>
    <w:div w:id="539786759">
      <w:bodyDiv w:val="1"/>
      <w:marLeft w:val="0"/>
      <w:marRight w:val="0"/>
      <w:marTop w:val="0"/>
      <w:marBottom w:val="0"/>
      <w:divBdr>
        <w:top w:val="none" w:sz="0" w:space="0" w:color="auto"/>
        <w:left w:val="none" w:sz="0" w:space="0" w:color="auto"/>
        <w:bottom w:val="none" w:sz="0" w:space="0" w:color="auto"/>
        <w:right w:val="none" w:sz="0" w:space="0" w:color="auto"/>
      </w:divBdr>
    </w:div>
    <w:div w:id="543371206">
      <w:bodyDiv w:val="1"/>
      <w:marLeft w:val="0"/>
      <w:marRight w:val="0"/>
      <w:marTop w:val="0"/>
      <w:marBottom w:val="0"/>
      <w:divBdr>
        <w:top w:val="none" w:sz="0" w:space="0" w:color="auto"/>
        <w:left w:val="none" w:sz="0" w:space="0" w:color="auto"/>
        <w:bottom w:val="none" w:sz="0" w:space="0" w:color="auto"/>
        <w:right w:val="none" w:sz="0" w:space="0" w:color="auto"/>
      </w:divBdr>
    </w:div>
    <w:div w:id="543836898">
      <w:bodyDiv w:val="1"/>
      <w:marLeft w:val="0"/>
      <w:marRight w:val="0"/>
      <w:marTop w:val="0"/>
      <w:marBottom w:val="0"/>
      <w:divBdr>
        <w:top w:val="none" w:sz="0" w:space="0" w:color="auto"/>
        <w:left w:val="none" w:sz="0" w:space="0" w:color="auto"/>
        <w:bottom w:val="none" w:sz="0" w:space="0" w:color="auto"/>
        <w:right w:val="none" w:sz="0" w:space="0" w:color="auto"/>
      </w:divBdr>
    </w:div>
    <w:div w:id="547573306">
      <w:bodyDiv w:val="1"/>
      <w:marLeft w:val="0"/>
      <w:marRight w:val="0"/>
      <w:marTop w:val="0"/>
      <w:marBottom w:val="0"/>
      <w:divBdr>
        <w:top w:val="none" w:sz="0" w:space="0" w:color="auto"/>
        <w:left w:val="none" w:sz="0" w:space="0" w:color="auto"/>
        <w:bottom w:val="none" w:sz="0" w:space="0" w:color="auto"/>
        <w:right w:val="none" w:sz="0" w:space="0" w:color="auto"/>
      </w:divBdr>
    </w:div>
    <w:div w:id="550460631">
      <w:bodyDiv w:val="1"/>
      <w:marLeft w:val="0"/>
      <w:marRight w:val="0"/>
      <w:marTop w:val="0"/>
      <w:marBottom w:val="0"/>
      <w:divBdr>
        <w:top w:val="none" w:sz="0" w:space="0" w:color="auto"/>
        <w:left w:val="none" w:sz="0" w:space="0" w:color="auto"/>
        <w:bottom w:val="none" w:sz="0" w:space="0" w:color="auto"/>
        <w:right w:val="none" w:sz="0" w:space="0" w:color="auto"/>
      </w:divBdr>
    </w:div>
    <w:div w:id="552078193">
      <w:bodyDiv w:val="1"/>
      <w:marLeft w:val="0"/>
      <w:marRight w:val="0"/>
      <w:marTop w:val="0"/>
      <w:marBottom w:val="0"/>
      <w:divBdr>
        <w:top w:val="none" w:sz="0" w:space="0" w:color="auto"/>
        <w:left w:val="none" w:sz="0" w:space="0" w:color="auto"/>
        <w:bottom w:val="none" w:sz="0" w:space="0" w:color="auto"/>
        <w:right w:val="none" w:sz="0" w:space="0" w:color="auto"/>
      </w:divBdr>
    </w:div>
    <w:div w:id="557789187">
      <w:bodyDiv w:val="1"/>
      <w:marLeft w:val="0"/>
      <w:marRight w:val="0"/>
      <w:marTop w:val="0"/>
      <w:marBottom w:val="0"/>
      <w:divBdr>
        <w:top w:val="none" w:sz="0" w:space="0" w:color="auto"/>
        <w:left w:val="none" w:sz="0" w:space="0" w:color="auto"/>
        <w:bottom w:val="none" w:sz="0" w:space="0" w:color="auto"/>
        <w:right w:val="none" w:sz="0" w:space="0" w:color="auto"/>
      </w:divBdr>
    </w:div>
    <w:div w:id="561908816">
      <w:bodyDiv w:val="1"/>
      <w:marLeft w:val="0"/>
      <w:marRight w:val="0"/>
      <w:marTop w:val="0"/>
      <w:marBottom w:val="0"/>
      <w:divBdr>
        <w:top w:val="none" w:sz="0" w:space="0" w:color="auto"/>
        <w:left w:val="none" w:sz="0" w:space="0" w:color="auto"/>
        <w:bottom w:val="none" w:sz="0" w:space="0" w:color="auto"/>
        <w:right w:val="none" w:sz="0" w:space="0" w:color="auto"/>
      </w:divBdr>
    </w:div>
    <w:div w:id="604072028">
      <w:bodyDiv w:val="1"/>
      <w:marLeft w:val="0"/>
      <w:marRight w:val="0"/>
      <w:marTop w:val="0"/>
      <w:marBottom w:val="0"/>
      <w:divBdr>
        <w:top w:val="none" w:sz="0" w:space="0" w:color="auto"/>
        <w:left w:val="none" w:sz="0" w:space="0" w:color="auto"/>
        <w:bottom w:val="none" w:sz="0" w:space="0" w:color="auto"/>
        <w:right w:val="none" w:sz="0" w:space="0" w:color="auto"/>
      </w:divBdr>
    </w:div>
    <w:div w:id="613292301">
      <w:bodyDiv w:val="1"/>
      <w:marLeft w:val="0"/>
      <w:marRight w:val="0"/>
      <w:marTop w:val="0"/>
      <w:marBottom w:val="0"/>
      <w:divBdr>
        <w:top w:val="none" w:sz="0" w:space="0" w:color="auto"/>
        <w:left w:val="none" w:sz="0" w:space="0" w:color="auto"/>
        <w:bottom w:val="none" w:sz="0" w:space="0" w:color="auto"/>
        <w:right w:val="none" w:sz="0" w:space="0" w:color="auto"/>
      </w:divBdr>
    </w:div>
    <w:div w:id="617034394">
      <w:bodyDiv w:val="1"/>
      <w:marLeft w:val="0"/>
      <w:marRight w:val="0"/>
      <w:marTop w:val="0"/>
      <w:marBottom w:val="0"/>
      <w:divBdr>
        <w:top w:val="none" w:sz="0" w:space="0" w:color="auto"/>
        <w:left w:val="none" w:sz="0" w:space="0" w:color="auto"/>
        <w:bottom w:val="none" w:sz="0" w:space="0" w:color="auto"/>
        <w:right w:val="none" w:sz="0" w:space="0" w:color="auto"/>
      </w:divBdr>
    </w:div>
    <w:div w:id="621959664">
      <w:bodyDiv w:val="1"/>
      <w:marLeft w:val="0"/>
      <w:marRight w:val="0"/>
      <w:marTop w:val="0"/>
      <w:marBottom w:val="0"/>
      <w:divBdr>
        <w:top w:val="none" w:sz="0" w:space="0" w:color="auto"/>
        <w:left w:val="none" w:sz="0" w:space="0" w:color="auto"/>
        <w:bottom w:val="none" w:sz="0" w:space="0" w:color="auto"/>
        <w:right w:val="none" w:sz="0" w:space="0" w:color="auto"/>
      </w:divBdr>
    </w:div>
    <w:div w:id="629676713">
      <w:bodyDiv w:val="1"/>
      <w:marLeft w:val="0"/>
      <w:marRight w:val="0"/>
      <w:marTop w:val="0"/>
      <w:marBottom w:val="0"/>
      <w:divBdr>
        <w:top w:val="none" w:sz="0" w:space="0" w:color="auto"/>
        <w:left w:val="none" w:sz="0" w:space="0" w:color="auto"/>
        <w:bottom w:val="none" w:sz="0" w:space="0" w:color="auto"/>
        <w:right w:val="none" w:sz="0" w:space="0" w:color="auto"/>
      </w:divBdr>
    </w:div>
    <w:div w:id="630284861">
      <w:bodyDiv w:val="1"/>
      <w:marLeft w:val="0"/>
      <w:marRight w:val="0"/>
      <w:marTop w:val="0"/>
      <w:marBottom w:val="0"/>
      <w:divBdr>
        <w:top w:val="none" w:sz="0" w:space="0" w:color="auto"/>
        <w:left w:val="none" w:sz="0" w:space="0" w:color="auto"/>
        <w:bottom w:val="none" w:sz="0" w:space="0" w:color="auto"/>
        <w:right w:val="none" w:sz="0" w:space="0" w:color="auto"/>
      </w:divBdr>
    </w:div>
    <w:div w:id="639964705">
      <w:bodyDiv w:val="1"/>
      <w:marLeft w:val="0"/>
      <w:marRight w:val="0"/>
      <w:marTop w:val="0"/>
      <w:marBottom w:val="0"/>
      <w:divBdr>
        <w:top w:val="none" w:sz="0" w:space="0" w:color="auto"/>
        <w:left w:val="none" w:sz="0" w:space="0" w:color="auto"/>
        <w:bottom w:val="none" w:sz="0" w:space="0" w:color="auto"/>
        <w:right w:val="none" w:sz="0" w:space="0" w:color="auto"/>
      </w:divBdr>
    </w:div>
    <w:div w:id="641497023">
      <w:bodyDiv w:val="1"/>
      <w:marLeft w:val="0"/>
      <w:marRight w:val="0"/>
      <w:marTop w:val="0"/>
      <w:marBottom w:val="0"/>
      <w:divBdr>
        <w:top w:val="none" w:sz="0" w:space="0" w:color="auto"/>
        <w:left w:val="none" w:sz="0" w:space="0" w:color="auto"/>
        <w:bottom w:val="none" w:sz="0" w:space="0" w:color="auto"/>
        <w:right w:val="none" w:sz="0" w:space="0" w:color="auto"/>
      </w:divBdr>
    </w:div>
    <w:div w:id="669480859">
      <w:bodyDiv w:val="1"/>
      <w:marLeft w:val="0"/>
      <w:marRight w:val="0"/>
      <w:marTop w:val="0"/>
      <w:marBottom w:val="0"/>
      <w:divBdr>
        <w:top w:val="none" w:sz="0" w:space="0" w:color="auto"/>
        <w:left w:val="none" w:sz="0" w:space="0" w:color="auto"/>
        <w:bottom w:val="none" w:sz="0" w:space="0" w:color="auto"/>
        <w:right w:val="none" w:sz="0" w:space="0" w:color="auto"/>
      </w:divBdr>
    </w:div>
    <w:div w:id="686522211">
      <w:bodyDiv w:val="1"/>
      <w:marLeft w:val="0"/>
      <w:marRight w:val="0"/>
      <w:marTop w:val="0"/>
      <w:marBottom w:val="0"/>
      <w:divBdr>
        <w:top w:val="none" w:sz="0" w:space="0" w:color="auto"/>
        <w:left w:val="none" w:sz="0" w:space="0" w:color="auto"/>
        <w:bottom w:val="none" w:sz="0" w:space="0" w:color="auto"/>
        <w:right w:val="none" w:sz="0" w:space="0" w:color="auto"/>
      </w:divBdr>
    </w:div>
    <w:div w:id="687487799">
      <w:bodyDiv w:val="1"/>
      <w:marLeft w:val="0"/>
      <w:marRight w:val="0"/>
      <w:marTop w:val="0"/>
      <w:marBottom w:val="0"/>
      <w:divBdr>
        <w:top w:val="none" w:sz="0" w:space="0" w:color="auto"/>
        <w:left w:val="none" w:sz="0" w:space="0" w:color="auto"/>
        <w:bottom w:val="none" w:sz="0" w:space="0" w:color="auto"/>
        <w:right w:val="none" w:sz="0" w:space="0" w:color="auto"/>
      </w:divBdr>
    </w:div>
    <w:div w:id="708188504">
      <w:bodyDiv w:val="1"/>
      <w:marLeft w:val="0"/>
      <w:marRight w:val="0"/>
      <w:marTop w:val="0"/>
      <w:marBottom w:val="0"/>
      <w:divBdr>
        <w:top w:val="none" w:sz="0" w:space="0" w:color="auto"/>
        <w:left w:val="none" w:sz="0" w:space="0" w:color="auto"/>
        <w:bottom w:val="none" w:sz="0" w:space="0" w:color="auto"/>
        <w:right w:val="none" w:sz="0" w:space="0" w:color="auto"/>
      </w:divBdr>
    </w:div>
    <w:div w:id="712578743">
      <w:bodyDiv w:val="1"/>
      <w:marLeft w:val="0"/>
      <w:marRight w:val="0"/>
      <w:marTop w:val="0"/>
      <w:marBottom w:val="0"/>
      <w:divBdr>
        <w:top w:val="none" w:sz="0" w:space="0" w:color="auto"/>
        <w:left w:val="none" w:sz="0" w:space="0" w:color="auto"/>
        <w:bottom w:val="none" w:sz="0" w:space="0" w:color="auto"/>
        <w:right w:val="none" w:sz="0" w:space="0" w:color="auto"/>
      </w:divBdr>
    </w:div>
    <w:div w:id="723211128">
      <w:bodyDiv w:val="1"/>
      <w:marLeft w:val="0"/>
      <w:marRight w:val="0"/>
      <w:marTop w:val="0"/>
      <w:marBottom w:val="0"/>
      <w:divBdr>
        <w:top w:val="none" w:sz="0" w:space="0" w:color="auto"/>
        <w:left w:val="none" w:sz="0" w:space="0" w:color="auto"/>
        <w:bottom w:val="none" w:sz="0" w:space="0" w:color="auto"/>
        <w:right w:val="none" w:sz="0" w:space="0" w:color="auto"/>
      </w:divBdr>
    </w:div>
    <w:div w:id="726341463">
      <w:bodyDiv w:val="1"/>
      <w:marLeft w:val="0"/>
      <w:marRight w:val="0"/>
      <w:marTop w:val="0"/>
      <w:marBottom w:val="0"/>
      <w:divBdr>
        <w:top w:val="none" w:sz="0" w:space="0" w:color="auto"/>
        <w:left w:val="none" w:sz="0" w:space="0" w:color="auto"/>
        <w:bottom w:val="none" w:sz="0" w:space="0" w:color="auto"/>
        <w:right w:val="none" w:sz="0" w:space="0" w:color="auto"/>
      </w:divBdr>
    </w:div>
    <w:div w:id="738331645">
      <w:bodyDiv w:val="1"/>
      <w:marLeft w:val="0"/>
      <w:marRight w:val="0"/>
      <w:marTop w:val="0"/>
      <w:marBottom w:val="0"/>
      <w:divBdr>
        <w:top w:val="none" w:sz="0" w:space="0" w:color="auto"/>
        <w:left w:val="none" w:sz="0" w:space="0" w:color="auto"/>
        <w:bottom w:val="none" w:sz="0" w:space="0" w:color="auto"/>
        <w:right w:val="none" w:sz="0" w:space="0" w:color="auto"/>
      </w:divBdr>
    </w:div>
    <w:div w:id="747969233">
      <w:bodyDiv w:val="1"/>
      <w:marLeft w:val="0"/>
      <w:marRight w:val="0"/>
      <w:marTop w:val="0"/>
      <w:marBottom w:val="0"/>
      <w:divBdr>
        <w:top w:val="none" w:sz="0" w:space="0" w:color="auto"/>
        <w:left w:val="none" w:sz="0" w:space="0" w:color="auto"/>
        <w:bottom w:val="none" w:sz="0" w:space="0" w:color="auto"/>
        <w:right w:val="none" w:sz="0" w:space="0" w:color="auto"/>
      </w:divBdr>
    </w:div>
    <w:div w:id="752506514">
      <w:bodyDiv w:val="1"/>
      <w:marLeft w:val="0"/>
      <w:marRight w:val="0"/>
      <w:marTop w:val="0"/>
      <w:marBottom w:val="0"/>
      <w:divBdr>
        <w:top w:val="none" w:sz="0" w:space="0" w:color="auto"/>
        <w:left w:val="none" w:sz="0" w:space="0" w:color="auto"/>
        <w:bottom w:val="none" w:sz="0" w:space="0" w:color="auto"/>
        <w:right w:val="none" w:sz="0" w:space="0" w:color="auto"/>
      </w:divBdr>
    </w:div>
    <w:div w:id="755713532">
      <w:bodyDiv w:val="1"/>
      <w:marLeft w:val="0"/>
      <w:marRight w:val="0"/>
      <w:marTop w:val="0"/>
      <w:marBottom w:val="0"/>
      <w:divBdr>
        <w:top w:val="none" w:sz="0" w:space="0" w:color="auto"/>
        <w:left w:val="none" w:sz="0" w:space="0" w:color="auto"/>
        <w:bottom w:val="none" w:sz="0" w:space="0" w:color="auto"/>
        <w:right w:val="none" w:sz="0" w:space="0" w:color="auto"/>
      </w:divBdr>
    </w:div>
    <w:div w:id="762646553">
      <w:bodyDiv w:val="1"/>
      <w:marLeft w:val="0"/>
      <w:marRight w:val="0"/>
      <w:marTop w:val="0"/>
      <w:marBottom w:val="0"/>
      <w:divBdr>
        <w:top w:val="none" w:sz="0" w:space="0" w:color="auto"/>
        <w:left w:val="none" w:sz="0" w:space="0" w:color="auto"/>
        <w:bottom w:val="none" w:sz="0" w:space="0" w:color="auto"/>
        <w:right w:val="none" w:sz="0" w:space="0" w:color="auto"/>
      </w:divBdr>
    </w:div>
    <w:div w:id="773135755">
      <w:bodyDiv w:val="1"/>
      <w:marLeft w:val="0"/>
      <w:marRight w:val="0"/>
      <w:marTop w:val="0"/>
      <w:marBottom w:val="0"/>
      <w:divBdr>
        <w:top w:val="none" w:sz="0" w:space="0" w:color="auto"/>
        <w:left w:val="none" w:sz="0" w:space="0" w:color="auto"/>
        <w:bottom w:val="none" w:sz="0" w:space="0" w:color="auto"/>
        <w:right w:val="none" w:sz="0" w:space="0" w:color="auto"/>
      </w:divBdr>
    </w:div>
    <w:div w:id="774911112">
      <w:bodyDiv w:val="1"/>
      <w:marLeft w:val="0"/>
      <w:marRight w:val="0"/>
      <w:marTop w:val="0"/>
      <w:marBottom w:val="0"/>
      <w:divBdr>
        <w:top w:val="none" w:sz="0" w:space="0" w:color="auto"/>
        <w:left w:val="none" w:sz="0" w:space="0" w:color="auto"/>
        <w:bottom w:val="none" w:sz="0" w:space="0" w:color="auto"/>
        <w:right w:val="none" w:sz="0" w:space="0" w:color="auto"/>
      </w:divBdr>
    </w:div>
    <w:div w:id="787745633">
      <w:bodyDiv w:val="1"/>
      <w:marLeft w:val="0"/>
      <w:marRight w:val="0"/>
      <w:marTop w:val="0"/>
      <w:marBottom w:val="0"/>
      <w:divBdr>
        <w:top w:val="none" w:sz="0" w:space="0" w:color="auto"/>
        <w:left w:val="none" w:sz="0" w:space="0" w:color="auto"/>
        <w:bottom w:val="none" w:sz="0" w:space="0" w:color="auto"/>
        <w:right w:val="none" w:sz="0" w:space="0" w:color="auto"/>
      </w:divBdr>
    </w:div>
    <w:div w:id="788544806">
      <w:bodyDiv w:val="1"/>
      <w:marLeft w:val="0"/>
      <w:marRight w:val="0"/>
      <w:marTop w:val="0"/>
      <w:marBottom w:val="0"/>
      <w:divBdr>
        <w:top w:val="none" w:sz="0" w:space="0" w:color="auto"/>
        <w:left w:val="none" w:sz="0" w:space="0" w:color="auto"/>
        <w:bottom w:val="none" w:sz="0" w:space="0" w:color="auto"/>
        <w:right w:val="none" w:sz="0" w:space="0" w:color="auto"/>
      </w:divBdr>
    </w:div>
    <w:div w:id="795876465">
      <w:bodyDiv w:val="1"/>
      <w:marLeft w:val="0"/>
      <w:marRight w:val="0"/>
      <w:marTop w:val="0"/>
      <w:marBottom w:val="0"/>
      <w:divBdr>
        <w:top w:val="none" w:sz="0" w:space="0" w:color="auto"/>
        <w:left w:val="none" w:sz="0" w:space="0" w:color="auto"/>
        <w:bottom w:val="none" w:sz="0" w:space="0" w:color="auto"/>
        <w:right w:val="none" w:sz="0" w:space="0" w:color="auto"/>
      </w:divBdr>
    </w:div>
    <w:div w:id="821505656">
      <w:bodyDiv w:val="1"/>
      <w:marLeft w:val="0"/>
      <w:marRight w:val="0"/>
      <w:marTop w:val="0"/>
      <w:marBottom w:val="0"/>
      <w:divBdr>
        <w:top w:val="none" w:sz="0" w:space="0" w:color="auto"/>
        <w:left w:val="none" w:sz="0" w:space="0" w:color="auto"/>
        <w:bottom w:val="none" w:sz="0" w:space="0" w:color="auto"/>
        <w:right w:val="none" w:sz="0" w:space="0" w:color="auto"/>
      </w:divBdr>
    </w:div>
    <w:div w:id="825632436">
      <w:bodyDiv w:val="1"/>
      <w:marLeft w:val="0"/>
      <w:marRight w:val="0"/>
      <w:marTop w:val="0"/>
      <w:marBottom w:val="0"/>
      <w:divBdr>
        <w:top w:val="none" w:sz="0" w:space="0" w:color="auto"/>
        <w:left w:val="none" w:sz="0" w:space="0" w:color="auto"/>
        <w:bottom w:val="none" w:sz="0" w:space="0" w:color="auto"/>
        <w:right w:val="none" w:sz="0" w:space="0" w:color="auto"/>
      </w:divBdr>
    </w:div>
    <w:div w:id="839734177">
      <w:bodyDiv w:val="1"/>
      <w:marLeft w:val="0"/>
      <w:marRight w:val="0"/>
      <w:marTop w:val="0"/>
      <w:marBottom w:val="0"/>
      <w:divBdr>
        <w:top w:val="none" w:sz="0" w:space="0" w:color="auto"/>
        <w:left w:val="none" w:sz="0" w:space="0" w:color="auto"/>
        <w:bottom w:val="none" w:sz="0" w:space="0" w:color="auto"/>
        <w:right w:val="none" w:sz="0" w:space="0" w:color="auto"/>
      </w:divBdr>
    </w:div>
    <w:div w:id="845943928">
      <w:bodyDiv w:val="1"/>
      <w:marLeft w:val="0"/>
      <w:marRight w:val="0"/>
      <w:marTop w:val="0"/>
      <w:marBottom w:val="0"/>
      <w:divBdr>
        <w:top w:val="none" w:sz="0" w:space="0" w:color="auto"/>
        <w:left w:val="none" w:sz="0" w:space="0" w:color="auto"/>
        <w:bottom w:val="none" w:sz="0" w:space="0" w:color="auto"/>
        <w:right w:val="none" w:sz="0" w:space="0" w:color="auto"/>
      </w:divBdr>
    </w:div>
    <w:div w:id="878854211">
      <w:bodyDiv w:val="1"/>
      <w:marLeft w:val="0"/>
      <w:marRight w:val="0"/>
      <w:marTop w:val="0"/>
      <w:marBottom w:val="0"/>
      <w:divBdr>
        <w:top w:val="none" w:sz="0" w:space="0" w:color="auto"/>
        <w:left w:val="none" w:sz="0" w:space="0" w:color="auto"/>
        <w:bottom w:val="none" w:sz="0" w:space="0" w:color="auto"/>
        <w:right w:val="none" w:sz="0" w:space="0" w:color="auto"/>
      </w:divBdr>
    </w:div>
    <w:div w:id="882448433">
      <w:bodyDiv w:val="1"/>
      <w:marLeft w:val="0"/>
      <w:marRight w:val="0"/>
      <w:marTop w:val="0"/>
      <w:marBottom w:val="0"/>
      <w:divBdr>
        <w:top w:val="none" w:sz="0" w:space="0" w:color="auto"/>
        <w:left w:val="none" w:sz="0" w:space="0" w:color="auto"/>
        <w:bottom w:val="none" w:sz="0" w:space="0" w:color="auto"/>
        <w:right w:val="none" w:sz="0" w:space="0" w:color="auto"/>
      </w:divBdr>
    </w:div>
    <w:div w:id="899555597">
      <w:bodyDiv w:val="1"/>
      <w:marLeft w:val="0"/>
      <w:marRight w:val="0"/>
      <w:marTop w:val="0"/>
      <w:marBottom w:val="0"/>
      <w:divBdr>
        <w:top w:val="none" w:sz="0" w:space="0" w:color="auto"/>
        <w:left w:val="none" w:sz="0" w:space="0" w:color="auto"/>
        <w:bottom w:val="none" w:sz="0" w:space="0" w:color="auto"/>
        <w:right w:val="none" w:sz="0" w:space="0" w:color="auto"/>
      </w:divBdr>
    </w:div>
    <w:div w:id="901982846">
      <w:bodyDiv w:val="1"/>
      <w:marLeft w:val="0"/>
      <w:marRight w:val="0"/>
      <w:marTop w:val="0"/>
      <w:marBottom w:val="0"/>
      <w:divBdr>
        <w:top w:val="none" w:sz="0" w:space="0" w:color="auto"/>
        <w:left w:val="none" w:sz="0" w:space="0" w:color="auto"/>
        <w:bottom w:val="none" w:sz="0" w:space="0" w:color="auto"/>
        <w:right w:val="none" w:sz="0" w:space="0" w:color="auto"/>
      </w:divBdr>
    </w:div>
    <w:div w:id="906188959">
      <w:bodyDiv w:val="1"/>
      <w:marLeft w:val="0"/>
      <w:marRight w:val="0"/>
      <w:marTop w:val="0"/>
      <w:marBottom w:val="0"/>
      <w:divBdr>
        <w:top w:val="none" w:sz="0" w:space="0" w:color="auto"/>
        <w:left w:val="none" w:sz="0" w:space="0" w:color="auto"/>
        <w:bottom w:val="none" w:sz="0" w:space="0" w:color="auto"/>
        <w:right w:val="none" w:sz="0" w:space="0" w:color="auto"/>
      </w:divBdr>
    </w:div>
    <w:div w:id="916596796">
      <w:bodyDiv w:val="1"/>
      <w:marLeft w:val="0"/>
      <w:marRight w:val="0"/>
      <w:marTop w:val="0"/>
      <w:marBottom w:val="0"/>
      <w:divBdr>
        <w:top w:val="none" w:sz="0" w:space="0" w:color="auto"/>
        <w:left w:val="none" w:sz="0" w:space="0" w:color="auto"/>
        <w:bottom w:val="none" w:sz="0" w:space="0" w:color="auto"/>
        <w:right w:val="none" w:sz="0" w:space="0" w:color="auto"/>
      </w:divBdr>
    </w:div>
    <w:div w:id="919369029">
      <w:bodyDiv w:val="1"/>
      <w:marLeft w:val="0"/>
      <w:marRight w:val="0"/>
      <w:marTop w:val="0"/>
      <w:marBottom w:val="0"/>
      <w:divBdr>
        <w:top w:val="none" w:sz="0" w:space="0" w:color="auto"/>
        <w:left w:val="none" w:sz="0" w:space="0" w:color="auto"/>
        <w:bottom w:val="none" w:sz="0" w:space="0" w:color="auto"/>
        <w:right w:val="none" w:sz="0" w:space="0" w:color="auto"/>
      </w:divBdr>
    </w:div>
    <w:div w:id="922836285">
      <w:bodyDiv w:val="1"/>
      <w:marLeft w:val="0"/>
      <w:marRight w:val="0"/>
      <w:marTop w:val="0"/>
      <w:marBottom w:val="0"/>
      <w:divBdr>
        <w:top w:val="none" w:sz="0" w:space="0" w:color="auto"/>
        <w:left w:val="none" w:sz="0" w:space="0" w:color="auto"/>
        <w:bottom w:val="none" w:sz="0" w:space="0" w:color="auto"/>
        <w:right w:val="none" w:sz="0" w:space="0" w:color="auto"/>
      </w:divBdr>
    </w:div>
    <w:div w:id="930506242">
      <w:bodyDiv w:val="1"/>
      <w:marLeft w:val="0"/>
      <w:marRight w:val="0"/>
      <w:marTop w:val="0"/>
      <w:marBottom w:val="0"/>
      <w:divBdr>
        <w:top w:val="none" w:sz="0" w:space="0" w:color="auto"/>
        <w:left w:val="none" w:sz="0" w:space="0" w:color="auto"/>
        <w:bottom w:val="none" w:sz="0" w:space="0" w:color="auto"/>
        <w:right w:val="none" w:sz="0" w:space="0" w:color="auto"/>
      </w:divBdr>
    </w:div>
    <w:div w:id="966278704">
      <w:bodyDiv w:val="1"/>
      <w:marLeft w:val="0"/>
      <w:marRight w:val="0"/>
      <w:marTop w:val="0"/>
      <w:marBottom w:val="0"/>
      <w:divBdr>
        <w:top w:val="none" w:sz="0" w:space="0" w:color="auto"/>
        <w:left w:val="none" w:sz="0" w:space="0" w:color="auto"/>
        <w:bottom w:val="none" w:sz="0" w:space="0" w:color="auto"/>
        <w:right w:val="none" w:sz="0" w:space="0" w:color="auto"/>
      </w:divBdr>
    </w:div>
    <w:div w:id="975526276">
      <w:bodyDiv w:val="1"/>
      <w:marLeft w:val="0"/>
      <w:marRight w:val="0"/>
      <w:marTop w:val="0"/>
      <w:marBottom w:val="0"/>
      <w:divBdr>
        <w:top w:val="none" w:sz="0" w:space="0" w:color="auto"/>
        <w:left w:val="none" w:sz="0" w:space="0" w:color="auto"/>
        <w:bottom w:val="none" w:sz="0" w:space="0" w:color="auto"/>
        <w:right w:val="none" w:sz="0" w:space="0" w:color="auto"/>
      </w:divBdr>
    </w:div>
    <w:div w:id="980883792">
      <w:bodyDiv w:val="1"/>
      <w:marLeft w:val="0"/>
      <w:marRight w:val="0"/>
      <w:marTop w:val="0"/>
      <w:marBottom w:val="0"/>
      <w:divBdr>
        <w:top w:val="none" w:sz="0" w:space="0" w:color="auto"/>
        <w:left w:val="none" w:sz="0" w:space="0" w:color="auto"/>
        <w:bottom w:val="none" w:sz="0" w:space="0" w:color="auto"/>
        <w:right w:val="none" w:sz="0" w:space="0" w:color="auto"/>
      </w:divBdr>
    </w:div>
    <w:div w:id="1062216971">
      <w:bodyDiv w:val="1"/>
      <w:marLeft w:val="0"/>
      <w:marRight w:val="0"/>
      <w:marTop w:val="0"/>
      <w:marBottom w:val="0"/>
      <w:divBdr>
        <w:top w:val="none" w:sz="0" w:space="0" w:color="auto"/>
        <w:left w:val="none" w:sz="0" w:space="0" w:color="auto"/>
        <w:bottom w:val="none" w:sz="0" w:space="0" w:color="auto"/>
        <w:right w:val="none" w:sz="0" w:space="0" w:color="auto"/>
      </w:divBdr>
    </w:div>
    <w:div w:id="1074159870">
      <w:bodyDiv w:val="1"/>
      <w:marLeft w:val="0"/>
      <w:marRight w:val="0"/>
      <w:marTop w:val="0"/>
      <w:marBottom w:val="0"/>
      <w:divBdr>
        <w:top w:val="none" w:sz="0" w:space="0" w:color="auto"/>
        <w:left w:val="none" w:sz="0" w:space="0" w:color="auto"/>
        <w:bottom w:val="none" w:sz="0" w:space="0" w:color="auto"/>
        <w:right w:val="none" w:sz="0" w:space="0" w:color="auto"/>
      </w:divBdr>
    </w:div>
    <w:div w:id="1105081096">
      <w:bodyDiv w:val="1"/>
      <w:marLeft w:val="0"/>
      <w:marRight w:val="0"/>
      <w:marTop w:val="0"/>
      <w:marBottom w:val="0"/>
      <w:divBdr>
        <w:top w:val="none" w:sz="0" w:space="0" w:color="auto"/>
        <w:left w:val="none" w:sz="0" w:space="0" w:color="auto"/>
        <w:bottom w:val="none" w:sz="0" w:space="0" w:color="auto"/>
        <w:right w:val="none" w:sz="0" w:space="0" w:color="auto"/>
      </w:divBdr>
    </w:div>
    <w:div w:id="1120954070">
      <w:bodyDiv w:val="1"/>
      <w:marLeft w:val="0"/>
      <w:marRight w:val="0"/>
      <w:marTop w:val="0"/>
      <w:marBottom w:val="0"/>
      <w:divBdr>
        <w:top w:val="none" w:sz="0" w:space="0" w:color="auto"/>
        <w:left w:val="none" w:sz="0" w:space="0" w:color="auto"/>
        <w:bottom w:val="none" w:sz="0" w:space="0" w:color="auto"/>
        <w:right w:val="none" w:sz="0" w:space="0" w:color="auto"/>
      </w:divBdr>
    </w:div>
    <w:div w:id="1127971550">
      <w:bodyDiv w:val="1"/>
      <w:marLeft w:val="0"/>
      <w:marRight w:val="0"/>
      <w:marTop w:val="0"/>
      <w:marBottom w:val="0"/>
      <w:divBdr>
        <w:top w:val="none" w:sz="0" w:space="0" w:color="auto"/>
        <w:left w:val="none" w:sz="0" w:space="0" w:color="auto"/>
        <w:bottom w:val="none" w:sz="0" w:space="0" w:color="auto"/>
        <w:right w:val="none" w:sz="0" w:space="0" w:color="auto"/>
      </w:divBdr>
    </w:div>
    <w:div w:id="1129201738">
      <w:bodyDiv w:val="1"/>
      <w:marLeft w:val="0"/>
      <w:marRight w:val="0"/>
      <w:marTop w:val="0"/>
      <w:marBottom w:val="0"/>
      <w:divBdr>
        <w:top w:val="none" w:sz="0" w:space="0" w:color="auto"/>
        <w:left w:val="none" w:sz="0" w:space="0" w:color="auto"/>
        <w:bottom w:val="none" w:sz="0" w:space="0" w:color="auto"/>
        <w:right w:val="none" w:sz="0" w:space="0" w:color="auto"/>
      </w:divBdr>
    </w:div>
    <w:div w:id="1136801809">
      <w:bodyDiv w:val="1"/>
      <w:marLeft w:val="0"/>
      <w:marRight w:val="0"/>
      <w:marTop w:val="0"/>
      <w:marBottom w:val="0"/>
      <w:divBdr>
        <w:top w:val="none" w:sz="0" w:space="0" w:color="auto"/>
        <w:left w:val="none" w:sz="0" w:space="0" w:color="auto"/>
        <w:bottom w:val="none" w:sz="0" w:space="0" w:color="auto"/>
        <w:right w:val="none" w:sz="0" w:space="0" w:color="auto"/>
      </w:divBdr>
    </w:div>
    <w:div w:id="1144082480">
      <w:bodyDiv w:val="1"/>
      <w:marLeft w:val="0"/>
      <w:marRight w:val="0"/>
      <w:marTop w:val="0"/>
      <w:marBottom w:val="0"/>
      <w:divBdr>
        <w:top w:val="none" w:sz="0" w:space="0" w:color="auto"/>
        <w:left w:val="none" w:sz="0" w:space="0" w:color="auto"/>
        <w:bottom w:val="none" w:sz="0" w:space="0" w:color="auto"/>
        <w:right w:val="none" w:sz="0" w:space="0" w:color="auto"/>
      </w:divBdr>
    </w:div>
    <w:div w:id="1161385378">
      <w:bodyDiv w:val="1"/>
      <w:marLeft w:val="0"/>
      <w:marRight w:val="0"/>
      <w:marTop w:val="0"/>
      <w:marBottom w:val="0"/>
      <w:divBdr>
        <w:top w:val="none" w:sz="0" w:space="0" w:color="auto"/>
        <w:left w:val="none" w:sz="0" w:space="0" w:color="auto"/>
        <w:bottom w:val="none" w:sz="0" w:space="0" w:color="auto"/>
        <w:right w:val="none" w:sz="0" w:space="0" w:color="auto"/>
      </w:divBdr>
    </w:div>
    <w:div w:id="1162432804">
      <w:bodyDiv w:val="1"/>
      <w:marLeft w:val="0"/>
      <w:marRight w:val="0"/>
      <w:marTop w:val="0"/>
      <w:marBottom w:val="0"/>
      <w:divBdr>
        <w:top w:val="none" w:sz="0" w:space="0" w:color="auto"/>
        <w:left w:val="none" w:sz="0" w:space="0" w:color="auto"/>
        <w:bottom w:val="none" w:sz="0" w:space="0" w:color="auto"/>
        <w:right w:val="none" w:sz="0" w:space="0" w:color="auto"/>
      </w:divBdr>
    </w:div>
    <w:div w:id="1177189401">
      <w:bodyDiv w:val="1"/>
      <w:marLeft w:val="0"/>
      <w:marRight w:val="0"/>
      <w:marTop w:val="0"/>
      <w:marBottom w:val="0"/>
      <w:divBdr>
        <w:top w:val="none" w:sz="0" w:space="0" w:color="auto"/>
        <w:left w:val="none" w:sz="0" w:space="0" w:color="auto"/>
        <w:bottom w:val="none" w:sz="0" w:space="0" w:color="auto"/>
        <w:right w:val="none" w:sz="0" w:space="0" w:color="auto"/>
      </w:divBdr>
    </w:div>
    <w:div w:id="1200053331">
      <w:bodyDiv w:val="1"/>
      <w:marLeft w:val="0"/>
      <w:marRight w:val="0"/>
      <w:marTop w:val="0"/>
      <w:marBottom w:val="0"/>
      <w:divBdr>
        <w:top w:val="none" w:sz="0" w:space="0" w:color="auto"/>
        <w:left w:val="none" w:sz="0" w:space="0" w:color="auto"/>
        <w:bottom w:val="none" w:sz="0" w:space="0" w:color="auto"/>
        <w:right w:val="none" w:sz="0" w:space="0" w:color="auto"/>
      </w:divBdr>
    </w:div>
    <w:div w:id="1235121129">
      <w:bodyDiv w:val="1"/>
      <w:marLeft w:val="0"/>
      <w:marRight w:val="0"/>
      <w:marTop w:val="0"/>
      <w:marBottom w:val="0"/>
      <w:divBdr>
        <w:top w:val="none" w:sz="0" w:space="0" w:color="auto"/>
        <w:left w:val="none" w:sz="0" w:space="0" w:color="auto"/>
        <w:bottom w:val="none" w:sz="0" w:space="0" w:color="auto"/>
        <w:right w:val="none" w:sz="0" w:space="0" w:color="auto"/>
      </w:divBdr>
    </w:div>
    <w:div w:id="1239052115">
      <w:bodyDiv w:val="1"/>
      <w:marLeft w:val="0"/>
      <w:marRight w:val="0"/>
      <w:marTop w:val="0"/>
      <w:marBottom w:val="0"/>
      <w:divBdr>
        <w:top w:val="none" w:sz="0" w:space="0" w:color="auto"/>
        <w:left w:val="none" w:sz="0" w:space="0" w:color="auto"/>
        <w:bottom w:val="none" w:sz="0" w:space="0" w:color="auto"/>
        <w:right w:val="none" w:sz="0" w:space="0" w:color="auto"/>
      </w:divBdr>
    </w:div>
    <w:div w:id="1255282507">
      <w:bodyDiv w:val="1"/>
      <w:marLeft w:val="0"/>
      <w:marRight w:val="0"/>
      <w:marTop w:val="0"/>
      <w:marBottom w:val="0"/>
      <w:divBdr>
        <w:top w:val="none" w:sz="0" w:space="0" w:color="auto"/>
        <w:left w:val="none" w:sz="0" w:space="0" w:color="auto"/>
        <w:bottom w:val="none" w:sz="0" w:space="0" w:color="auto"/>
        <w:right w:val="none" w:sz="0" w:space="0" w:color="auto"/>
      </w:divBdr>
    </w:div>
    <w:div w:id="1267498282">
      <w:bodyDiv w:val="1"/>
      <w:marLeft w:val="0"/>
      <w:marRight w:val="0"/>
      <w:marTop w:val="0"/>
      <w:marBottom w:val="0"/>
      <w:divBdr>
        <w:top w:val="none" w:sz="0" w:space="0" w:color="auto"/>
        <w:left w:val="none" w:sz="0" w:space="0" w:color="auto"/>
        <w:bottom w:val="none" w:sz="0" w:space="0" w:color="auto"/>
        <w:right w:val="none" w:sz="0" w:space="0" w:color="auto"/>
      </w:divBdr>
    </w:div>
    <w:div w:id="1286153430">
      <w:bodyDiv w:val="1"/>
      <w:marLeft w:val="0"/>
      <w:marRight w:val="0"/>
      <w:marTop w:val="0"/>
      <w:marBottom w:val="0"/>
      <w:divBdr>
        <w:top w:val="none" w:sz="0" w:space="0" w:color="auto"/>
        <w:left w:val="none" w:sz="0" w:space="0" w:color="auto"/>
        <w:bottom w:val="none" w:sz="0" w:space="0" w:color="auto"/>
        <w:right w:val="none" w:sz="0" w:space="0" w:color="auto"/>
      </w:divBdr>
    </w:div>
    <w:div w:id="1293750984">
      <w:bodyDiv w:val="1"/>
      <w:marLeft w:val="0"/>
      <w:marRight w:val="0"/>
      <w:marTop w:val="0"/>
      <w:marBottom w:val="0"/>
      <w:divBdr>
        <w:top w:val="none" w:sz="0" w:space="0" w:color="auto"/>
        <w:left w:val="none" w:sz="0" w:space="0" w:color="auto"/>
        <w:bottom w:val="none" w:sz="0" w:space="0" w:color="auto"/>
        <w:right w:val="none" w:sz="0" w:space="0" w:color="auto"/>
      </w:divBdr>
    </w:div>
    <w:div w:id="1304313953">
      <w:bodyDiv w:val="1"/>
      <w:marLeft w:val="0"/>
      <w:marRight w:val="0"/>
      <w:marTop w:val="0"/>
      <w:marBottom w:val="0"/>
      <w:divBdr>
        <w:top w:val="none" w:sz="0" w:space="0" w:color="auto"/>
        <w:left w:val="none" w:sz="0" w:space="0" w:color="auto"/>
        <w:bottom w:val="none" w:sz="0" w:space="0" w:color="auto"/>
        <w:right w:val="none" w:sz="0" w:space="0" w:color="auto"/>
      </w:divBdr>
    </w:div>
    <w:div w:id="1310207152">
      <w:bodyDiv w:val="1"/>
      <w:marLeft w:val="0"/>
      <w:marRight w:val="0"/>
      <w:marTop w:val="0"/>
      <w:marBottom w:val="0"/>
      <w:divBdr>
        <w:top w:val="none" w:sz="0" w:space="0" w:color="auto"/>
        <w:left w:val="none" w:sz="0" w:space="0" w:color="auto"/>
        <w:bottom w:val="none" w:sz="0" w:space="0" w:color="auto"/>
        <w:right w:val="none" w:sz="0" w:space="0" w:color="auto"/>
      </w:divBdr>
    </w:div>
    <w:div w:id="1322193648">
      <w:bodyDiv w:val="1"/>
      <w:marLeft w:val="0"/>
      <w:marRight w:val="0"/>
      <w:marTop w:val="0"/>
      <w:marBottom w:val="0"/>
      <w:divBdr>
        <w:top w:val="none" w:sz="0" w:space="0" w:color="auto"/>
        <w:left w:val="none" w:sz="0" w:space="0" w:color="auto"/>
        <w:bottom w:val="none" w:sz="0" w:space="0" w:color="auto"/>
        <w:right w:val="none" w:sz="0" w:space="0" w:color="auto"/>
      </w:divBdr>
    </w:div>
    <w:div w:id="1352879117">
      <w:bodyDiv w:val="1"/>
      <w:marLeft w:val="0"/>
      <w:marRight w:val="0"/>
      <w:marTop w:val="0"/>
      <w:marBottom w:val="0"/>
      <w:divBdr>
        <w:top w:val="none" w:sz="0" w:space="0" w:color="auto"/>
        <w:left w:val="none" w:sz="0" w:space="0" w:color="auto"/>
        <w:bottom w:val="none" w:sz="0" w:space="0" w:color="auto"/>
        <w:right w:val="none" w:sz="0" w:space="0" w:color="auto"/>
      </w:divBdr>
    </w:div>
    <w:div w:id="1358971100">
      <w:bodyDiv w:val="1"/>
      <w:marLeft w:val="0"/>
      <w:marRight w:val="0"/>
      <w:marTop w:val="0"/>
      <w:marBottom w:val="0"/>
      <w:divBdr>
        <w:top w:val="none" w:sz="0" w:space="0" w:color="auto"/>
        <w:left w:val="none" w:sz="0" w:space="0" w:color="auto"/>
        <w:bottom w:val="none" w:sz="0" w:space="0" w:color="auto"/>
        <w:right w:val="none" w:sz="0" w:space="0" w:color="auto"/>
      </w:divBdr>
    </w:div>
    <w:div w:id="1362393356">
      <w:bodyDiv w:val="1"/>
      <w:marLeft w:val="0"/>
      <w:marRight w:val="0"/>
      <w:marTop w:val="0"/>
      <w:marBottom w:val="0"/>
      <w:divBdr>
        <w:top w:val="none" w:sz="0" w:space="0" w:color="auto"/>
        <w:left w:val="none" w:sz="0" w:space="0" w:color="auto"/>
        <w:bottom w:val="none" w:sz="0" w:space="0" w:color="auto"/>
        <w:right w:val="none" w:sz="0" w:space="0" w:color="auto"/>
      </w:divBdr>
    </w:div>
    <w:div w:id="1367173756">
      <w:bodyDiv w:val="1"/>
      <w:marLeft w:val="0"/>
      <w:marRight w:val="0"/>
      <w:marTop w:val="0"/>
      <w:marBottom w:val="0"/>
      <w:divBdr>
        <w:top w:val="none" w:sz="0" w:space="0" w:color="auto"/>
        <w:left w:val="none" w:sz="0" w:space="0" w:color="auto"/>
        <w:bottom w:val="none" w:sz="0" w:space="0" w:color="auto"/>
        <w:right w:val="none" w:sz="0" w:space="0" w:color="auto"/>
      </w:divBdr>
    </w:div>
    <w:div w:id="1381827338">
      <w:bodyDiv w:val="1"/>
      <w:marLeft w:val="0"/>
      <w:marRight w:val="0"/>
      <w:marTop w:val="0"/>
      <w:marBottom w:val="0"/>
      <w:divBdr>
        <w:top w:val="none" w:sz="0" w:space="0" w:color="auto"/>
        <w:left w:val="none" w:sz="0" w:space="0" w:color="auto"/>
        <w:bottom w:val="none" w:sz="0" w:space="0" w:color="auto"/>
        <w:right w:val="none" w:sz="0" w:space="0" w:color="auto"/>
      </w:divBdr>
    </w:div>
    <w:div w:id="1386876381">
      <w:bodyDiv w:val="1"/>
      <w:marLeft w:val="0"/>
      <w:marRight w:val="0"/>
      <w:marTop w:val="0"/>
      <w:marBottom w:val="0"/>
      <w:divBdr>
        <w:top w:val="none" w:sz="0" w:space="0" w:color="auto"/>
        <w:left w:val="none" w:sz="0" w:space="0" w:color="auto"/>
        <w:bottom w:val="none" w:sz="0" w:space="0" w:color="auto"/>
        <w:right w:val="none" w:sz="0" w:space="0" w:color="auto"/>
      </w:divBdr>
    </w:div>
    <w:div w:id="1415980894">
      <w:bodyDiv w:val="1"/>
      <w:marLeft w:val="0"/>
      <w:marRight w:val="0"/>
      <w:marTop w:val="0"/>
      <w:marBottom w:val="0"/>
      <w:divBdr>
        <w:top w:val="none" w:sz="0" w:space="0" w:color="auto"/>
        <w:left w:val="none" w:sz="0" w:space="0" w:color="auto"/>
        <w:bottom w:val="none" w:sz="0" w:space="0" w:color="auto"/>
        <w:right w:val="none" w:sz="0" w:space="0" w:color="auto"/>
      </w:divBdr>
    </w:div>
    <w:div w:id="1439640808">
      <w:bodyDiv w:val="1"/>
      <w:marLeft w:val="0"/>
      <w:marRight w:val="0"/>
      <w:marTop w:val="0"/>
      <w:marBottom w:val="0"/>
      <w:divBdr>
        <w:top w:val="none" w:sz="0" w:space="0" w:color="auto"/>
        <w:left w:val="none" w:sz="0" w:space="0" w:color="auto"/>
        <w:bottom w:val="none" w:sz="0" w:space="0" w:color="auto"/>
        <w:right w:val="none" w:sz="0" w:space="0" w:color="auto"/>
      </w:divBdr>
    </w:div>
    <w:div w:id="1439988907">
      <w:bodyDiv w:val="1"/>
      <w:marLeft w:val="0"/>
      <w:marRight w:val="0"/>
      <w:marTop w:val="0"/>
      <w:marBottom w:val="0"/>
      <w:divBdr>
        <w:top w:val="none" w:sz="0" w:space="0" w:color="auto"/>
        <w:left w:val="none" w:sz="0" w:space="0" w:color="auto"/>
        <w:bottom w:val="none" w:sz="0" w:space="0" w:color="auto"/>
        <w:right w:val="none" w:sz="0" w:space="0" w:color="auto"/>
      </w:divBdr>
    </w:div>
    <w:div w:id="1444812621">
      <w:bodyDiv w:val="1"/>
      <w:marLeft w:val="0"/>
      <w:marRight w:val="0"/>
      <w:marTop w:val="0"/>
      <w:marBottom w:val="0"/>
      <w:divBdr>
        <w:top w:val="none" w:sz="0" w:space="0" w:color="auto"/>
        <w:left w:val="none" w:sz="0" w:space="0" w:color="auto"/>
        <w:bottom w:val="none" w:sz="0" w:space="0" w:color="auto"/>
        <w:right w:val="none" w:sz="0" w:space="0" w:color="auto"/>
      </w:divBdr>
    </w:div>
    <w:div w:id="1460755992">
      <w:bodyDiv w:val="1"/>
      <w:marLeft w:val="0"/>
      <w:marRight w:val="0"/>
      <w:marTop w:val="0"/>
      <w:marBottom w:val="0"/>
      <w:divBdr>
        <w:top w:val="none" w:sz="0" w:space="0" w:color="auto"/>
        <w:left w:val="none" w:sz="0" w:space="0" w:color="auto"/>
        <w:bottom w:val="none" w:sz="0" w:space="0" w:color="auto"/>
        <w:right w:val="none" w:sz="0" w:space="0" w:color="auto"/>
      </w:divBdr>
    </w:div>
    <w:div w:id="1481728460">
      <w:bodyDiv w:val="1"/>
      <w:marLeft w:val="0"/>
      <w:marRight w:val="0"/>
      <w:marTop w:val="0"/>
      <w:marBottom w:val="0"/>
      <w:divBdr>
        <w:top w:val="none" w:sz="0" w:space="0" w:color="auto"/>
        <w:left w:val="none" w:sz="0" w:space="0" w:color="auto"/>
        <w:bottom w:val="none" w:sz="0" w:space="0" w:color="auto"/>
        <w:right w:val="none" w:sz="0" w:space="0" w:color="auto"/>
      </w:divBdr>
    </w:div>
    <w:div w:id="1483961313">
      <w:bodyDiv w:val="1"/>
      <w:marLeft w:val="0"/>
      <w:marRight w:val="0"/>
      <w:marTop w:val="0"/>
      <w:marBottom w:val="0"/>
      <w:divBdr>
        <w:top w:val="none" w:sz="0" w:space="0" w:color="auto"/>
        <w:left w:val="none" w:sz="0" w:space="0" w:color="auto"/>
        <w:bottom w:val="none" w:sz="0" w:space="0" w:color="auto"/>
        <w:right w:val="none" w:sz="0" w:space="0" w:color="auto"/>
      </w:divBdr>
    </w:div>
    <w:div w:id="1491095987">
      <w:bodyDiv w:val="1"/>
      <w:marLeft w:val="0"/>
      <w:marRight w:val="0"/>
      <w:marTop w:val="0"/>
      <w:marBottom w:val="0"/>
      <w:divBdr>
        <w:top w:val="none" w:sz="0" w:space="0" w:color="auto"/>
        <w:left w:val="none" w:sz="0" w:space="0" w:color="auto"/>
        <w:bottom w:val="none" w:sz="0" w:space="0" w:color="auto"/>
        <w:right w:val="none" w:sz="0" w:space="0" w:color="auto"/>
      </w:divBdr>
    </w:div>
    <w:div w:id="1511606144">
      <w:bodyDiv w:val="1"/>
      <w:marLeft w:val="0"/>
      <w:marRight w:val="0"/>
      <w:marTop w:val="0"/>
      <w:marBottom w:val="0"/>
      <w:divBdr>
        <w:top w:val="none" w:sz="0" w:space="0" w:color="auto"/>
        <w:left w:val="none" w:sz="0" w:space="0" w:color="auto"/>
        <w:bottom w:val="none" w:sz="0" w:space="0" w:color="auto"/>
        <w:right w:val="none" w:sz="0" w:space="0" w:color="auto"/>
      </w:divBdr>
    </w:div>
    <w:div w:id="1528134727">
      <w:bodyDiv w:val="1"/>
      <w:marLeft w:val="0"/>
      <w:marRight w:val="0"/>
      <w:marTop w:val="0"/>
      <w:marBottom w:val="0"/>
      <w:divBdr>
        <w:top w:val="none" w:sz="0" w:space="0" w:color="auto"/>
        <w:left w:val="none" w:sz="0" w:space="0" w:color="auto"/>
        <w:bottom w:val="none" w:sz="0" w:space="0" w:color="auto"/>
        <w:right w:val="none" w:sz="0" w:space="0" w:color="auto"/>
      </w:divBdr>
    </w:div>
    <w:div w:id="1538852444">
      <w:bodyDiv w:val="1"/>
      <w:marLeft w:val="0"/>
      <w:marRight w:val="0"/>
      <w:marTop w:val="0"/>
      <w:marBottom w:val="0"/>
      <w:divBdr>
        <w:top w:val="none" w:sz="0" w:space="0" w:color="auto"/>
        <w:left w:val="none" w:sz="0" w:space="0" w:color="auto"/>
        <w:bottom w:val="none" w:sz="0" w:space="0" w:color="auto"/>
        <w:right w:val="none" w:sz="0" w:space="0" w:color="auto"/>
      </w:divBdr>
    </w:div>
    <w:div w:id="1539661728">
      <w:bodyDiv w:val="1"/>
      <w:marLeft w:val="0"/>
      <w:marRight w:val="0"/>
      <w:marTop w:val="0"/>
      <w:marBottom w:val="0"/>
      <w:divBdr>
        <w:top w:val="none" w:sz="0" w:space="0" w:color="auto"/>
        <w:left w:val="none" w:sz="0" w:space="0" w:color="auto"/>
        <w:bottom w:val="none" w:sz="0" w:space="0" w:color="auto"/>
        <w:right w:val="none" w:sz="0" w:space="0" w:color="auto"/>
      </w:divBdr>
    </w:div>
    <w:div w:id="1540776019">
      <w:bodyDiv w:val="1"/>
      <w:marLeft w:val="0"/>
      <w:marRight w:val="0"/>
      <w:marTop w:val="0"/>
      <w:marBottom w:val="0"/>
      <w:divBdr>
        <w:top w:val="none" w:sz="0" w:space="0" w:color="auto"/>
        <w:left w:val="none" w:sz="0" w:space="0" w:color="auto"/>
        <w:bottom w:val="none" w:sz="0" w:space="0" w:color="auto"/>
        <w:right w:val="none" w:sz="0" w:space="0" w:color="auto"/>
      </w:divBdr>
    </w:div>
    <w:div w:id="1547909218">
      <w:bodyDiv w:val="1"/>
      <w:marLeft w:val="0"/>
      <w:marRight w:val="0"/>
      <w:marTop w:val="0"/>
      <w:marBottom w:val="0"/>
      <w:divBdr>
        <w:top w:val="none" w:sz="0" w:space="0" w:color="auto"/>
        <w:left w:val="none" w:sz="0" w:space="0" w:color="auto"/>
        <w:bottom w:val="none" w:sz="0" w:space="0" w:color="auto"/>
        <w:right w:val="none" w:sz="0" w:space="0" w:color="auto"/>
      </w:divBdr>
    </w:div>
    <w:div w:id="1549147943">
      <w:bodyDiv w:val="1"/>
      <w:marLeft w:val="0"/>
      <w:marRight w:val="0"/>
      <w:marTop w:val="0"/>
      <w:marBottom w:val="0"/>
      <w:divBdr>
        <w:top w:val="none" w:sz="0" w:space="0" w:color="auto"/>
        <w:left w:val="none" w:sz="0" w:space="0" w:color="auto"/>
        <w:bottom w:val="none" w:sz="0" w:space="0" w:color="auto"/>
        <w:right w:val="none" w:sz="0" w:space="0" w:color="auto"/>
      </w:divBdr>
    </w:div>
    <w:div w:id="1559323437">
      <w:bodyDiv w:val="1"/>
      <w:marLeft w:val="0"/>
      <w:marRight w:val="0"/>
      <w:marTop w:val="0"/>
      <w:marBottom w:val="0"/>
      <w:divBdr>
        <w:top w:val="none" w:sz="0" w:space="0" w:color="auto"/>
        <w:left w:val="none" w:sz="0" w:space="0" w:color="auto"/>
        <w:bottom w:val="none" w:sz="0" w:space="0" w:color="auto"/>
        <w:right w:val="none" w:sz="0" w:space="0" w:color="auto"/>
      </w:divBdr>
    </w:div>
    <w:div w:id="1573588560">
      <w:bodyDiv w:val="1"/>
      <w:marLeft w:val="0"/>
      <w:marRight w:val="0"/>
      <w:marTop w:val="0"/>
      <w:marBottom w:val="0"/>
      <w:divBdr>
        <w:top w:val="none" w:sz="0" w:space="0" w:color="auto"/>
        <w:left w:val="none" w:sz="0" w:space="0" w:color="auto"/>
        <w:bottom w:val="none" w:sz="0" w:space="0" w:color="auto"/>
        <w:right w:val="none" w:sz="0" w:space="0" w:color="auto"/>
      </w:divBdr>
    </w:div>
    <w:div w:id="1588952856">
      <w:bodyDiv w:val="1"/>
      <w:marLeft w:val="0"/>
      <w:marRight w:val="0"/>
      <w:marTop w:val="0"/>
      <w:marBottom w:val="0"/>
      <w:divBdr>
        <w:top w:val="none" w:sz="0" w:space="0" w:color="auto"/>
        <w:left w:val="none" w:sz="0" w:space="0" w:color="auto"/>
        <w:bottom w:val="none" w:sz="0" w:space="0" w:color="auto"/>
        <w:right w:val="none" w:sz="0" w:space="0" w:color="auto"/>
      </w:divBdr>
    </w:div>
    <w:div w:id="1600336406">
      <w:bodyDiv w:val="1"/>
      <w:marLeft w:val="0"/>
      <w:marRight w:val="0"/>
      <w:marTop w:val="0"/>
      <w:marBottom w:val="0"/>
      <w:divBdr>
        <w:top w:val="none" w:sz="0" w:space="0" w:color="auto"/>
        <w:left w:val="none" w:sz="0" w:space="0" w:color="auto"/>
        <w:bottom w:val="none" w:sz="0" w:space="0" w:color="auto"/>
        <w:right w:val="none" w:sz="0" w:space="0" w:color="auto"/>
      </w:divBdr>
    </w:div>
    <w:div w:id="1627278160">
      <w:bodyDiv w:val="1"/>
      <w:marLeft w:val="0"/>
      <w:marRight w:val="0"/>
      <w:marTop w:val="0"/>
      <w:marBottom w:val="0"/>
      <w:divBdr>
        <w:top w:val="none" w:sz="0" w:space="0" w:color="auto"/>
        <w:left w:val="none" w:sz="0" w:space="0" w:color="auto"/>
        <w:bottom w:val="none" w:sz="0" w:space="0" w:color="auto"/>
        <w:right w:val="none" w:sz="0" w:space="0" w:color="auto"/>
      </w:divBdr>
    </w:div>
    <w:div w:id="1632591537">
      <w:bodyDiv w:val="1"/>
      <w:marLeft w:val="0"/>
      <w:marRight w:val="0"/>
      <w:marTop w:val="0"/>
      <w:marBottom w:val="0"/>
      <w:divBdr>
        <w:top w:val="none" w:sz="0" w:space="0" w:color="auto"/>
        <w:left w:val="none" w:sz="0" w:space="0" w:color="auto"/>
        <w:bottom w:val="none" w:sz="0" w:space="0" w:color="auto"/>
        <w:right w:val="none" w:sz="0" w:space="0" w:color="auto"/>
      </w:divBdr>
    </w:div>
    <w:div w:id="1633290670">
      <w:bodyDiv w:val="1"/>
      <w:marLeft w:val="0"/>
      <w:marRight w:val="0"/>
      <w:marTop w:val="0"/>
      <w:marBottom w:val="0"/>
      <w:divBdr>
        <w:top w:val="none" w:sz="0" w:space="0" w:color="auto"/>
        <w:left w:val="none" w:sz="0" w:space="0" w:color="auto"/>
        <w:bottom w:val="none" w:sz="0" w:space="0" w:color="auto"/>
        <w:right w:val="none" w:sz="0" w:space="0" w:color="auto"/>
      </w:divBdr>
    </w:div>
    <w:div w:id="1636715693">
      <w:bodyDiv w:val="1"/>
      <w:marLeft w:val="0"/>
      <w:marRight w:val="0"/>
      <w:marTop w:val="0"/>
      <w:marBottom w:val="0"/>
      <w:divBdr>
        <w:top w:val="none" w:sz="0" w:space="0" w:color="auto"/>
        <w:left w:val="none" w:sz="0" w:space="0" w:color="auto"/>
        <w:bottom w:val="none" w:sz="0" w:space="0" w:color="auto"/>
        <w:right w:val="none" w:sz="0" w:space="0" w:color="auto"/>
      </w:divBdr>
    </w:div>
    <w:div w:id="1645311579">
      <w:bodyDiv w:val="1"/>
      <w:marLeft w:val="0"/>
      <w:marRight w:val="0"/>
      <w:marTop w:val="0"/>
      <w:marBottom w:val="0"/>
      <w:divBdr>
        <w:top w:val="none" w:sz="0" w:space="0" w:color="auto"/>
        <w:left w:val="none" w:sz="0" w:space="0" w:color="auto"/>
        <w:bottom w:val="none" w:sz="0" w:space="0" w:color="auto"/>
        <w:right w:val="none" w:sz="0" w:space="0" w:color="auto"/>
      </w:divBdr>
    </w:div>
    <w:div w:id="1652440359">
      <w:bodyDiv w:val="1"/>
      <w:marLeft w:val="0"/>
      <w:marRight w:val="0"/>
      <w:marTop w:val="0"/>
      <w:marBottom w:val="0"/>
      <w:divBdr>
        <w:top w:val="none" w:sz="0" w:space="0" w:color="auto"/>
        <w:left w:val="none" w:sz="0" w:space="0" w:color="auto"/>
        <w:bottom w:val="none" w:sz="0" w:space="0" w:color="auto"/>
        <w:right w:val="none" w:sz="0" w:space="0" w:color="auto"/>
      </w:divBdr>
    </w:div>
    <w:div w:id="1663968278">
      <w:bodyDiv w:val="1"/>
      <w:marLeft w:val="0"/>
      <w:marRight w:val="0"/>
      <w:marTop w:val="0"/>
      <w:marBottom w:val="0"/>
      <w:divBdr>
        <w:top w:val="none" w:sz="0" w:space="0" w:color="auto"/>
        <w:left w:val="none" w:sz="0" w:space="0" w:color="auto"/>
        <w:bottom w:val="none" w:sz="0" w:space="0" w:color="auto"/>
        <w:right w:val="none" w:sz="0" w:space="0" w:color="auto"/>
      </w:divBdr>
    </w:div>
    <w:div w:id="1670794774">
      <w:bodyDiv w:val="1"/>
      <w:marLeft w:val="0"/>
      <w:marRight w:val="0"/>
      <w:marTop w:val="0"/>
      <w:marBottom w:val="0"/>
      <w:divBdr>
        <w:top w:val="none" w:sz="0" w:space="0" w:color="auto"/>
        <w:left w:val="none" w:sz="0" w:space="0" w:color="auto"/>
        <w:bottom w:val="none" w:sz="0" w:space="0" w:color="auto"/>
        <w:right w:val="none" w:sz="0" w:space="0" w:color="auto"/>
      </w:divBdr>
    </w:div>
    <w:div w:id="1696420995">
      <w:bodyDiv w:val="1"/>
      <w:marLeft w:val="0"/>
      <w:marRight w:val="0"/>
      <w:marTop w:val="0"/>
      <w:marBottom w:val="0"/>
      <w:divBdr>
        <w:top w:val="none" w:sz="0" w:space="0" w:color="auto"/>
        <w:left w:val="none" w:sz="0" w:space="0" w:color="auto"/>
        <w:bottom w:val="none" w:sz="0" w:space="0" w:color="auto"/>
        <w:right w:val="none" w:sz="0" w:space="0" w:color="auto"/>
      </w:divBdr>
    </w:div>
    <w:div w:id="1722944016">
      <w:bodyDiv w:val="1"/>
      <w:marLeft w:val="0"/>
      <w:marRight w:val="0"/>
      <w:marTop w:val="0"/>
      <w:marBottom w:val="0"/>
      <w:divBdr>
        <w:top w:val="none" w:sz="0" w:space="0" w:color="auto"/>
        <w:left w:val="none" w:sz="0" w:space="0" w:color="auto"/>
        <w:bottom w:val="none" w:sz="0" w:space="0" w:color="auto"/>
        <w:right w:val="none" w:sz="0" w:space="0" w:color="auto"/>
      </w:divBdr>
    </w:div>
    <w:div w:id="1744521458">
      <w:bodyDiv w:val="1"/>
      <w:marLeft w:val="0"/>
      <w:marRight w:val="0"/>
      <w:marTop w:val="0"/>
      <w:marBottom w:val="0"/>
      <w:divBdr>
        <w:top w:val="none" w:sz="0" w:space="0" w:color="auto"/>
        <w:left w:val="none" w:sz="0" w:space="0" w:color="auto"/>
        <w:bottom w:val="none" w:sz="0" w:space="0" w:color="auto"/>
        <w:right w:val="none" w:sz="0" w:space="0" w:color="auto"/>
      </w:divBdr>
    </w:div>
    <w:div w:id="1745294016">
      <w:bodyDiv w:val="1"/>
      <w:marLeft w:val="0"/>
      <w:marRight w:val="0"/>
      <w:marTop w:val="0"/>
      <w:marBottom w:val="0"/>
      <w:divBdr>
        <w:top w:val="none" w:sz="0" w:space="0" w:color="auto"/>
        <w:left w:val="none" w:sz="0" w:space="0" w:color="auto"/>
        <w:bottom w:val="none" w:sz="0" w:space="0" w:color="auto"/>
        <w:right w:val="none" w:sz="0" w:space="0" w:color="auto"/>
      </w:divBdr>
    </w:div>
    <w:div w:id="1750927229">
      <w:bodyDiv w:val="1"/>
      <w:marLeft w:val="0"/>
      <w:marRight w:val="0"/>
      <w:marTop w:val="0"/>
      <w:marBottom w:val="0"/>
      <w:divBdr>
        <w:top w:val="none" w:sz="0" w:space="0" w:color="auto"/>
        <w:left w:val="none" w:sz="0" w:space="0" w:color="auto"/>
        <w:bottom w:val="none" w:sz="0" w:space="0" w:color="auto"/>
        <w:right w:val="none" w:sz="0" w:space="0" w:color="auto"/>
      </w:divBdr>
    </w:div>
    <w:div w:id="1752508839">
      <w:bodyDiv w:val="1"/>
      <w:marLeft w:val="0"/>
      <w:marRight w:val="0"/>
      <w:marTop w:val="0"/>
      <w:marBottom w:val="0"/>
      <w:divBdr>
        <w:top w:val="none" w:sz="0" w:space="0" w:color="auto"/>
        <w:left w:val="none" w:sz="0" w:space="0" w:color="auto"/>
        <w:bottom w:val="none" w:sz="0" w:space="0" w:color="auto"/>
        <w:right w:val="none" w:sz="0" w:space="0" w:color="auto"/>
      </w:divBdr>
    </w:div>
    <w:div w:id="1757046340">
      <w:bodyDiv w:val="1"/>
      <w:marLeft w:val="0"/>
      <w:marRight w:val="0"/>
      <w:marTop w:val="0"/>
      <w:marBottom w:val="0"/>
      <w:divBdr>
        <w:top w:val="none" w:sz="0" w:space="0" w:color="auto"/>
        <w:left w:val="none" w:sz="0" w:space="0" w:color="auto"/>
        <w:bottom w:val="none" w:sz="0" w:space="0" w:color="auto"/>
        <w:right w:val="none" w:sz="0" w:space="0" w:color="auto"/>
      </w:divBdr>
    </w:div>
    <w:div w:id="1778135988">
      <w:bodyDiv w:val="1"/>
      <w:marLeft w:val="0"/>
      <w:marRight w:val="0"/>
      <w:marTop w:val="0"/>
      <w:marBottom w:val="0"/>
      <w:divBdr>
        <w:top w:val="none" w:sz="0" w:space="0" w:color="auto"/>
        <w:left w:val="none" w:sz="0" w:space="0" w:color="auto"/>
        <w:bottom w:val="none" w:sz="0" w:space="0" w:color="auto"/>
        <w:right w:val="none" w:sz="0" w:space="0" w:color="auto"/>
      </w:divBdr>
    </w:div>
    <w:div w:id="1778403341">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805393122">
      <w:bodyDiv w:val="1"/>
      <w:marLeft w:val="0"/>
      <w:marRight w:val="0"/>
      <w:marTop w:val="0"/>
      <w:marBottom w:val="0"/>
      <w:divBdr>
        <w:top w:val="none" w:sz="0" w:space="0" w:color="auto"/>
        <w:left w:val="none" w:sz="0" w:space="0" w:color="auto"/>
        <w:bottom w:val="none" w:sz="0" w:space="0" w:color="auto"/>
        <w:right w:val="none" w:sz="0" w:space="0" w:color="auto"/>
      </w:divBdr>
    </w:div>
    <w:div w:id="1808931654">
      <w:bodyDiv w:val="1"/>
      <w:marLeft w:val="0"/>
      <w:marRight w:val="0"/>
      <w:marTop w:val="0"/>
      <w:marBottom w:val="0"/>
      <w:divBdr>
        <w:top w:val="none" w:sz="0" w:space="0" w:color="auto"/>
        <w:left w:val="none" w:sz="0" w:space="0" w:color="auto"/>
        <w:bottom w:val="none" w:sz="0" w:space="0" w:color="auto"/>
        <w:right w:val="none" w:sz="0" w:space="0" w:color="auto"/>
      </w:divBdr>
    </w:div>
    <w:div w:id="1832062852">
      <w:bodyDiv w:val="1"/>
      <w:marLeft w:val="0"/>
      <w:marRight w:val="0"/>
      <w:marTop w:val="0"/>
      <w:marBottom w:val="0"/>
      <w:divBdr>
        <w:top w:val="none" w:sz="0" w:space="0" w:color="auto"/>
        <w:left w:val="none" w:sz="0" w:space="0" w:color="auto"/>
        <w:bottom w:val="none" w:sz="0" w:space="0" w:color="auto"/>
        <w:right w:val="none" w:sz="0" w:space="0" w:color="auto"/>
      </w:divBdr>
    </w:div>
    <w:div w:id="1844782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3977359">
      <w:bodyDiv w:val="1"/>
      <w:marLeft w:val="0"/>
      <w:marRight w:val="0"/>
      <w:marTop w:val="0"/>
      <w:marBottom w:val="0"/>
      <w:divBdr>
        <w:top w:val="none" w:sz="0" w:space="0" w:color="auto"/>
        <w:left w:val="none" w:sz="0" w:space="0" w:color="auto"/>
        <w:bottom w:val="none" w:sz="0" w:space="0" w:color="auto"/>
        <w:right w:val="none" w:sz="0" w:space="0" w:color="auto"/>
      </w:divBdr>
    </w:div>
    <w:div w:id="1876577174">
      <w:bodyDiv w:val="1"/>
      <w:marLeft w:val="0"/>
      <w:marRight w:val="0"/>
      <w:marTop w:val="0"/>
      <w:marBottom w:val="0"/>
      <w:divBdr>
        <w:top w:val="none" w:sz="0" w:space="0" w:color="auto"/>
        <w:left w:val="none" w:sz="0" w:space="0" w:color="auto"/>
        <w:bottom w:val="none" w:sz="0" w:space="0" w:color="auto"/>
        <w:right w:val="none" w:sz="0" w:space="0" w:color="auto"/>
      </w:divBdr>
    </w:div>
    <w:div w:id="1892383293">
      <w:bodyDiv w:val="1"/>
      <w:marLeft w:val="0"/>
      <w:marRight w:val="0"/>
      <w:marTop w:val="0"/>
      <w:marBottom w:val="0"/>
      <w:divBdr>
        <w:top w:val="none" w:sz="0" w:space="0" w:color="auto"/>
        <w:left w:val="none" w:sz="0" w:space="0" w:color="auto"/>
        <w:bottom w:val="none" w:sz="0" w:space="0" w:color="auto"/>
        <w:right w:val="none" w:sz="0" w:space="0" w:color="auto"/>
      </w:divBdr>
    </w:div>
    <w:div w:id="1900437631">
      <w:bodyDiv w:val="1"/>
      <w:marLeft w:val="0"/>
      <w:marRight w:val="0"/>
      <w:marTop w:val="0"/>
      <w:marBottom w:val="0"/>
      <w:divBdr>
        <w:top w:val="none" w:sz="0" w:space="0" w:color="auto"/>
        <w:left w:val="none" w:sz="0" w:space="0" w:color="auto"/>
        <w:bottom w:val="none" w:sz="0" w:space="0" w:color="auto"/>
        <w:right w:val="none" w:sz="0" w:space="0" w:color="auto"/>
      </w:divBdr>
    </w:div>
    <w:div w:id="1904756992">
      <w:bodyDiv w:val="1"/>
      <w:marLeft w:val="0"/>
      <w:marRight w:val="0"/>
      <w:marTop w:val="0"/>
      <w:marBottom w:val="0"/>
      <w:divBdr>
        <w:top w:val="none" w:sz="0" w:space="0" w:color="auto"/>
        <w:left w:val="none" w:sz="0" w:space="0" w:color="auto"/>
        <w:bottom w:val="none" w:sz="0" w:space="0" w:color="auto"/>
        <w:right w:val="none" w:sz="0" w:space="0" w:color="auto"/>
      </w:divBdr>
    </w:div>
    <w:div w:id="1918703471">
      <w:bodyDiv w:val="1"/>
      <w:marLeft w:val="0"/>
      <w:marRight w:val="0"/>
      <w:marTop w:val="0"/>
      <w:marBottom w:val="0"/>
      <w:divBdr>
        <w:top w:val="none" w:sz="0" w:space="0" w:color="auto"/>
        <w:left w:val="none" w:sz="0" w:space="0" w:color="auto"/>
        <w:bottom w:val="none" w:sz="0" w:space="0" w:color="auto"/>
        <w:right w:val="none" w:sz="0" w:space="0" w:color="auto"/>
      </w:divBdr>
    </w:div>
    <w:div w:id="1934436104">
      <w:bodyDiv w:val="1"/>
      <w:marLeft w:val="0"/>
      <w:marRight w:val="0"/>
      <w:marTop w:val="0"/>
      <w:marBottom w:val="0"/>
      <w:divBdr>
        <w:top w:val="none" w:sz="0" w:space="0" w:color="auto"/>
        <w:left w:val="none" w:sz="0" w:space="0" w:color="auto"/>
        <w:bottom w:val="none" w:sz="0" w:space="0" w:color="auto"/>
        <w:right w:val="none" w:sz="0" w:space="0" w:color="auto"/>
      </w:divBdr>
    </w:div>
    <w:div w:id="1937013959">
      <w:bodyDiv w:val="1"/>
      <w:marLeft w:val="0"/>
      <w:marRight w:val="0"/>
      <w:marTop w:val="0"/>
      <w:marBottom w:val="0"/>
      <w:divBdr>
        <w:top w:val="none" w:sz="0" w:space="0" w:color="auto"/>
        <w:left w:val="none" w:sz="0" w:space="0" w:color="auto"/>
        <w:bottom w:val="none" w:sz="0" w:space="0" w:color="auto"/>
        <w:right w:val="none" w:sz="0" w:space="0" w:color="auto"/>
      </w:divBdr>
    </w:div>
    <w:div w:id="1958178686">
      <w:bodyDiv w:val="1"/>
      <w:marLeft w:val="0"/>
      <w:marRight w:val="0"/>
      <w:marTop w:val="0"/>
      <w:marBottom w:val="0"/>
      <w:divBdr>
        <w:top w:val="none" w:sz="0" w:space="0" w:color="auto"/>
        <w:left w:val="none" w:sz="0" w:space="0" w:color="auto"/>
        <w:bottom w:val="none" w:sz="0" w:space="0" w:color="auto"/>
        <w:right w:val="none" w:sz="0" w:space="0" w:color="auto"/>
      </w:divBdr>
    </w:div>
    <w:div w:id="1969895729">
      <w:bodyDiv w:val="1"/>
      <w:marLeft w:val="0"/>
      <w:marRight w:val="0"/>
      <w:marTop w:val="0"/>
      <w:marBottom w:val="0"/>
      <w:divBdr>
        <w:top w:val="none" w:sz="0" w:space="0" w:color="auto"/>
        <w:left w:val="none" w:sz="0" w:space="0" w:color="auto"/>
        <w:bottom w:val="none" w:sz="0" w:space="0" w:color="auto"/>
        <w:right w:val="none" w:sz="0" w:space="0" w:color="auto"/>
      </w:divBdr>
    </w:div>
    <w:div w:id="1973485741">
      <w:bodyDiv w:val="1"/>
      <w:marLeft w:val="0"/>
      <w:marRight w:val="0"/>
      <w:marTop w:val="0"/>
      <w:marBottom w:val="0"/>
      <w:divBdr>
        <w:top w:val="none" w:sz="0" w:space="0" w:color="auto"/>
        <w:left w:val="none" w:sz="0" w:space="0" w:color="auto"/>
        <w:bottom w:val="none" w:sz="0" w:space="0" w:color="auto"/>
        <w:right w:val="none" w:sz="0" w:space="0" w:color="auto"/>
      </w:divBdr>
    </w:div>
    <w:div w:id="2004891599">
      <w:bodyDiv w:val="1"/>
      <w:marLeft w:val="0"/>
      <w:marRight w:val="0"/>
      <w:marTop w:val="0"/>
      <w:marBottom w:val="0"/>
      <w:divBdr>
        <w:top w:val="none" w:sz="0" w:space="0" w:color="auto"/>
        <w:left w:val="none" w:sz="0" w:space="0" w:color="auto"/>
        <w:bottom w:val="none" w:sz="0" w:space="0" w:color="auto"/>
        <w:right w:val="none" w:sz="0" w:space="0" w:color="auto"/>
      </w:divBdr>
    </w:div>
    <w:div w:id="2050109996">
      <w:bodyDiv w:val="1"/>
      <w:marLeft w:val="0"/>
      <w:marRight w:val="0"/>
      <w:marTop w:val="0"/>
      <w:marBottom w:val="0"/>
      <w:divBdr>
        <w:top w:val="none" w:sz="0" w:space="0" w:color="auto"/>
        <w:left w:val="none" w:sz="0" w:space="0" w:color="auto"/>
        <w:bottom w:val="none" w:sz="0" w:space="0" w:color="auto"/>
        <w:right w:val="none" w:sz="0" w:space="0" w:color="auto"/>
      </w:divBdr>
    </w:div>
    <w:div w:id="2072464386">
      <w:bodyDiv w:val="1"/>
      <w:marLeft w:val="0"/>
      <w:marRight w:val="0"/>
      <w:marTop w:val="0"/>
      <w:marBottom w:val="0"/>
      <w:divBdr>
        <w:top w:val="none" w:sz="0" w:space="0" w:color="auto"/>
        <w:left w:val="none" w:sz="0" w:space="0" w:color="auto"/>
        <w:bottom w:val="none" w:sz="0" w:space="0" w:color="auto"/>
        <w:right w:val="none" w:sz="0" w:space="0" w:color="auto"/>
      </w:divBdr>
    </w:div>
    <w:div w:id="2079012946">
      <w:bodyDiv w:val="1"/>
      <w:marLeft w:val="0"/>
      <w:marRight w:val="0"/>
      <w:marTop w:val="0"/>
      <w:marBottom w:val="0"/>
      <w:divBdr>
        <w:top w:val="none" w:sz="0" w:space="0" w:color="auto"/>
        <w:left w:val="none" w:sz="0" w:space="0" w:color="auto"/>
        <w:bottom w:val="none" w:sz="0" w:space="0" w:color="auto"/>
        <w:right w:val="none" w:sz="0" w:space="0" w:color="auto"/>
      </w:divBdr>
    </w:div>
    <w:div w:id="2103380137">
      <w:bodyDiv w:val="1"/>
      <w:marLeft w:val="0"/>
      <w:marRight w:val="0"/>
      <w:marTop w:val="0"/>
      <w:marBottom w:val="0"/>
      <w:divBdr>
        <w:top w:val="none" w:sz="0" w:space="0" w:color="auto"/>
        <w:left w:val="none" w:sz="0" w:space="0" w:color="auto"/>
        <w:bottom w:val="none" w:sz="0" w:space="0" w:color="auto"/>
        <w:right w:val="none" w:sz="0" w:space="0" w:color="auto"/>
      </w:divBdr>
    </w:div>
    <w:div w:id="2124811476">
      <w:bodyDiv w:val="1"/>
      <w:marLeft w:val="0"/>
      <w:marRight w:val="0"/>
      <w:marTop w:val="0"/>
      <w:marBottom w:val="0"/>
      <w:divBdr>
        <w:top w:val="none" w:sz="0" w:space="0" w:color="auto"/>
        <w:left w:val="none" w:sz="0" w:space="0" w:color="auto"/>
        <w:bottom w:val="none" w:sz="0" w:space="0" w:color="auto"/>
        <w:right w:val="none" w:sz="0" w:space="0" w:color="auto"/>
      </w:divBdr>
    </w:div>
    <w:div w:id="21327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AbrirModal(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1CBA9-C5BB-4E1C-A424-1B0C29BB809D}">
  <ds:schemaRefs>
    <ds:schemaRef ds:uri="http://schemas.microsoft.com/sharepoint/v3/contenttype/forms"/>
  </ds:schemaRefs>
</ds:datastoreItem>
</file>

<file path=customXml/itemProps2.xml><?xml version="1.0" encoding="utf-8"?>
<ds:datastoreItem xmlns:ds="http://schemas.openxmlformats.org/officeDocument/2006/customXml" ds:itemID="{934403B2-BEB1-4C46-A4BE-FCA085D332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8F38B0-4475-4C25-B50F-E27BA6CC0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FCDAEF-8B08-41B6-B6B7-8A6A72AD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5783</Words>
  <Characters>31809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Sosa Hernandez</dc:creator>
  <cp:keywords/>
  <dc:description/>
  <cp:lastModifiedBy>Maria del Consuelo Gonzalez Moreno</cp:lastModifiedBy>
  <cp:revision>12</cp:revision>
  <cp:lastPrinted>2017-03-01T16:23:00Z</cp:lastPrinted>
  <dcterms:created xsi:type="dcterms:W3CDTF">2017-03-27T19:10:00Z</dcterms:created>
  <dcterms:modified xsi:type="dcterms:W3CDTF">2017-09-26T17:22:00Z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