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17F719" w14:textId="77777777" w:rsidR="00654D1D" w:rsidRPr="00654D1D" w:rsidRDefault="00A37EBA" w:rsidP="0052417C">
      <w:pPr>
        <w:spacing w:after="0"/>
        <w:jc w:val="right"/>
        <w:rPr>
          <w:rFonts w:ascii="ITC Avant Garde" w:eastAsia="Calibri" w:hAnsi="ITC Avant Garde" w:cs="Times New Roman"/>
          <w:lang w:eastAsia="es-MX"/>
        </w:rPr>
      </w:pPr>
      <w:bookmarkStart w:id="0" w:name="_GoBack"/>
      <w:bookmarkEnd w:id="0"/>
      <w:r w:rsidRPr="00654D1D">
        <w:rPr>
          <w:rFonts w:ascii="ITC Avant Garde" w:eastAsia="Calibri" w:hAnsi="ITC Avant Garde" w:cs="Times New Roman"/>
          <w:lang w:eastAsia="es-MX"/>
        </w:rPr>
        <w:t>Ciudad de México, a 22</w:t>
      </w:r>
      <w:r w:rsidR="003E526D" w:rsidRPr="00654D1D">
        <w:rPr>
          <w:rFonts w:ascii="ITC Avant Garde" w:eastAsia="Calibri" w:hAnsi="ITC Avant Garde" w:cs="Times New Roman"/>
          <w:lang w:eastAsia="es-MX"/>
        </w:rPr>
        <w:t xml:space="preserve"> de marzo de 2017.</w:t>
      </w:r>
    </w:p>
    <w:p w14:paraId="64BCCAAC" w14:textId="00A9B1D5" w:rsidR="00654D1D" w:rsidRPr="00654D1D" w:rsidRDefault="003E526D" w:rsidP="0052417C">
      <w:pPr>
        <w:spacing w:after="0"/>
        <w:jc w:val="both"/>
        <w:rPr>
          <w:rFonts w:ascii="ITC Avant Garde" w:eastAsia="Calibri" w:hAnsi="ITC Avant Garde" w:cs="Times New Roman"/>
          <w:b/>
          <w:lang w:eastAsia="es-MX"/>
        </w:rPr>
      </w:pPr>
      <w:r w:rsidRPr="00654D1D">
        <w:rPr>
          <w:rFonts w:ascii="ITC Avant Garde" w:eastAsia="Calibri" w:hAnsi="ITC Avant Garde" w:cs="Times New Roman"/>
          <w:b/>
          <w:lang w:eastAsia="es-MX"/>
        </w:rPr>
        <w:t>RECURRENTE:</w:t>
      </w:r>
    </w:p>
    <w:p w14:paraId="4B601CF3" w14:textId="4AE5961E" w:rsidR="003E526D" w:rsidRPr="00654D1D" w:rsidRDefault="003E526D" w:rsidP="0052417C">
      <w:pPr>
        <w:spacing w:after="0"/>
        <w:jc w:val="both"/>
        <w:rPr>
          <w:rFonts w:ascii="ITC Avant Garde" w:eastAsia="Calibri" w:hAnsi="ITC Avant Garde" w:cs="Times New Roman"/>
          <w:b/>
          <w:lang w:eastAsia="es-MX"/>
        </w:rPr>
      </w:pPr>
      <w:r w:rsidRPr="00654D1D">
        <w:rPr>
          <w:rFonts w:ascii="ITC Avant Garde" w:eastAsia="Calibri" w:hAnsi="ITC Avant Garde" w:cs="Times New Roman"/>
          <w:b/>
          <w:lang w:eastAsia="es-MX"/>
        </w:rPr>
        <w:t>BAJA CELULAR MEXICANA, S.A. DE C.V.;</w:t>
      </w:r>
    </w:p>
    <w:p w14:paraId="4B601CF4" w14:textId="77777777" w:rsidR="003E526D" w:rsidRPr="00654D1D" w:rsidRDefault="003E526D" w:rsidP="0052417C">
      <w:pPr>
        <w:spacing w:after="0"/>
        <w:jc w:val="both"/>
        <w:rPr>
          <w:rFonts w:ascii="ITC Avant Garde" w:eastAsia="Calibri" w:hAnsi="ITC Avant Garde" w:cs="Times New Roman"/>
          <w:b/>
          <w:lang w:eastAsia="es-MX"/>
        </w:rPr>
      </w:pPr>
      <w:r w:rsidRPr="00654D1D">
        <w:rPr>
          <w:rFonts w:ascii="ITC Avant Garde" w:eastAsia="Calibri" w:hAnsi="ITC Avant Garde" w:cs="Times New Roman"/>
          <w:b/>
          <w:lang w:eastAsia="es-MX"/>
        </w:rPr>
        <w:t>CELULAR DE TELEFONÍA, S.A. DE C.V.;</w:t>
      </w:r>
    </w:p>
    <w:p w14:paraId="4B601CF5" w14:textId="77777777" w:rsidR="003E526D" w:rsidRPr="00654D1D" w:rsidRDefault="003E526D" w:rsidP="0052417C">
      <w:pPr>
        <w:spacing w:after="0"/>
        <w:jc w:val="both"/>
        <w:rPr>
          <w:rFonts w:ascii="ITC Avant Garde" w:eastAsia="Calibri" w:hAnsi="ITC Avant Garde" w:cs="Times New Roman"/>
          <w:b/>
          <w:lang w:eastAsia="es-MX"/>
        </w:rPr>
      </w:pPr>
      <w:r w:rsidRPr="00654D1D">
        <w:rPr>
          <w:rFonts w:ascii="ITC Avant Garde" w:eastAsia="Calibri" w:hAnsi="ITC Avant Garde" w:cs="Times New Roman"/>
          <w:b/>
          <w:lang w:eastAsia="es-MX"/>
        </w:rPr>
        <w:t>MOVITEL DEL NOROESTE, S.A. DE C.V.;</w:t>
      </w:r>
    </w:p>
    <w:p w14:paraId="4B601CF6" w14:textId="77777777" w:rsidR="003E526D" w:rsidRPr="00654D1D" w:rsidRDefault="003E526D" w:rsidP="0052417C">
      <w:pPr>
        <w:spacing w:after="0"/>
        <w:jc w:val="both"/>
        <w:rPr>
          <w:rFonts w:ascii="ITC Avant Garde" w:eastAsia="Calibri" w:hAnsi="ITC Avant Garde" w:cs="Times New Roman"/>
          <w:b/>
          <w:lang w:eastAsia="es-MX"/>
        </w:rPr>
      </w:pPr>
      <w:r w:rsidRPr="00654D1D">
        <w:rPr>
          <w:rFonts w:ascii="ITC Avant Garde" w:eastAsia="Calibri" w:hAnsi="ITC Avant Garde" w:cs="Times New Roman"/>
          <w:b/>
          <w:lang w:eastAsia="es-MX"/>
        </w:rPr>
        <w:t>TELEFONÍA CELULAR DEL NORTE, S.A. DE C.V.;</w:t>
      </w:r>
    </w:p>
    <w:p w14:paraId="4B601CF7" w14:textId="77777777" w:rsidR="003E526D" w:rsidRPr="00654D1D" w:rsidRDefault="003E526D" w:rsidP="0052417C">
      <w:pPr>
        <w:spacing w:after="0"/>
        <w:jc w:val="both"/>
        <w:rPr>
          <w:rFonts w:ascii="ITC Avant Garde" w:eastAsia="Calibri" w:hAnsi="ITC Avant Garde" w:cs="Times New Roman"/>
          <w:b/>
          <w:lang w:eastAsia="es-MX"/>
        </w:rPr>
      </w:pPr>
      <w:r w:rsidRPr="00654D1D">
        <w:rPr>
          <w:rFonts w:ascii="ITC Avant Garde" w:eastAsia="Calibri" w:hAnsi="ITC Avant Garde" w:cs="Times New Roman"/>
          <w:b/>
          <w:lang w:eastAsia="es-MX"/>
        </w:rPr>
        <w:t>PEGASO COMUNICACIONES Y SISTEMAS, S.A. DE C.V.</w:t>
      </w:r>
    </w:p>
    <w:p w14:paraId="4B601CF8" w14:textId="77777777" w:rsidR="0052417C" w:rsidRPr="00654D1D" w:rsidRDefault="0052417C" w:rsidP="0052417C">
      <w:pPr>
        <w:spacing w:after="0"/>
        <w:jc w:val="both"/>
        <w:rPr>
          <w:rFonts w:ascii="ITC Avant Garde" w:eastAsia="Calibri" w:hAnsi="ITC Avant Garde" w:cs="Times New Roman"/>
          <w:b/>
          <w:lang w:eastAsia="es-MX"/>
        </w:rPr>
      </w:pPr>
      <w:r w:rsidRPr="00654D1D">
        <w:rPr>
          <w:rFonts w:ascii="ITC Avant Garde" w:eastAsia="Calibri" w:hAnsi="ITC Avant Garde" w:cs="Times New Roman"/>
          <w:b/>
          <w:lang w:eastAsia="es-MX"/>
        </w:rPr>
        <w:t>HOY PEGASO, PCS, S.A. DE C.V.</w:t>
      </w:r>
    </w:p>
    <w:p w14:paraId="4B601CF9" w14:textId="77777777" w:rsidR="003E526D" w:rsidRPr="00654D1D" w:rsidRDefault="0052417C" w:rsidP="0052417C">
      <w:pPr>
        <w:spacing w:after="0"/>
        <w:jc w:val="both"/>
        <w:rPr>
          <w:rFonts w:ascii="ITC Avant Garde" w:eastAsia="Calibri" w:hAnsi="ITC Avant Garde" w:cs="Times New Roman"/>
          <w:lang w:eastAsia="es-MX"/>
        </w:rPr>
      </w:pPr>
      <w:r w:rsidRPr="00654D1D">
        <w:rPr>
          <w:rFonts w:ascii="ITC Avant Garde" w:eastAsia="Calibri" w:hAnsi="ITC Avant Garde" w:cs="Times New Roman"/>
          <w:lang w:eastAsia="es-MX"/>
        </w:rPr>
        <w:t xml:space="preserve">Boulevard Manuel Ávila Camacho número 24, PH </w:t>
      </w:r>
    </w:p>
    <w:p w14:paraId="4B601CFA" w14:textId="77777777" w:rsidR="003E526D" w:rsidRPr="00654D1D" w:rsidRDefault="0052417C" w:rsidP="0052417C">
      <w:pPr>
        <w:spacing w:after="0"/>
        <w:jc w:val="both"/>
        <w:rPr>
          <w:rFonts w:ascii="ITC Avant Garde" w:eastAsia="Calibri" w:hAnsi="ITC Avant Garde" w:cs="Times New Roman"/>
          <w:lang w:eastAsia="es-MX"/>
        </w:rPr>
      </w:pPr>
      <w:r w:rsidRPr="00654D1D">
        <w:rPr>
          <w:rFonts w:ascii="ITC Avant Garde" w:eastAsia="Calibri" w:hAnsi="ITC Avant Garde" w:cs="Times New Roman"/>
          <w:lang w:eastAsia="es-MX"/>
        </w:rPr>
        <w:t xml:space="preserve">Colonia Lomas de Chapultepec </w:t>
      </w:r>
    </w:p>
    <w:p w14:paraId="4B601CFB" w14:textId="77777777" w:rsidR="003E526D" w:rsidRPr="00654D1D" w:rsidRDefault="0052417C" w:rsidP="0052417C">
      <w:pPr>
        <w:spacing w:after="0"/>
        <w:jc w:val="both"/>
        <w:rPr>
          <w:rFonts w:ascii="ITC Avant Garde" w:eastAsia="Calibri" w:hAnsi="ITC Avant Garde" w:cs="Times New Roman"/>
          <w:lang w:eastAsia="es-MX"/>
        </w:rPr>
      </w:pPr>
      <w:r w:rsidRPr="00654D1D">
        <w:rPr>
          <w:rFonts w:ascii="ITC Avant Garde" w:eastAsia="Calibri" w:hAnsi="ITC Avant Garde" w:cs="Times New Roman"/>
          <w:lang w:eastAsia="es-MX"/>
        </w:rPr>
        <w:t>Delegación Miguel Hidalgo</w:t>
      </w:r>
    </w:p>
    <w:p w14:paraId="4B601CFC" w14:textId="77777777" w:rsidR="003E526D" w:rsidRPr="00654D1D" w:rsidRDefault="0052417C" w:rsidP="0052417C">
      <w:pPr>
        <w:spacing w:after="0"/>
        <w:jc w:val="both"/>
        <w:rPr>
          <w:rFonts w:ascii="ITC Avant Garde" w:eastAsia="Calibri" w:hAnsi="ITC Avant Garde" w:cs="Times New Roman"/>
          <w:lang w:eastAsia="es-MX"/>
        </w:rPr>
      </w:pPr>
      <w:r w:rsidRPr="00654D1D">
        <w:rPr>
          <w:rFonts w:ascii="ITC Avant Garde" w:eastAsia="Calibri" w:hAnsi="ITC Avant Garde" w:cs="Times New Roman"/>
          <w:lang w:eastAsia="es-MX"/>
        </w:rPr>
        <w:t>Código Postal 11000</w:t>
      </w:r>
    </w:p>
    <w:p w14:paraId="7F6481EC" w14:textId="77777777" w:rsidR="00654D1D" w:rsidRPr="00654D1D" w:rsidRDefault="0052417C" w:rsidP="0052417C">
      <w:pPr>
        <w:spacing w:after="0"/>
        <w:jc w:val="both"/>
        <w:rPr>
          <w:rFonts w:ascii="ITC Avant Garde" w:eastAsia="Calibri" w:hAnsi="ITC Avant Garde" w:cs="Times New Roman"/>
          <w:lang w:eastAsia="es-MX"/>
        </w:rPr>
      </w:pPr>
      <w:r w:rsidRPr="00654D1D">
        <w:rPr>
          <w:rFonts w:ascii="ITC Avant Garde" w:eastAsia="Calibri" w:hAnsi="ITC Avant Garde" w:cs="Times New Roman"/>
          <w:lang w:eastAsia="es-MX"/>
        </w:rPr>
        <w:t>Ciudad de México</w:t>
      </w:r>
    </w:p>
    <w:p w14:paraId="1BDE3798" w14:textId="776F2ED4" w:rsidR="00654D1D" w:rsidRPr="00654D1D" w:rsidRDefault="003E526D" w:rsidP="00654D1D">
      <w:pPr>
        <w:spacing w:before="240"/>
        <w:jc w:val="both"/>
        <w:rPr>
          <w:rFonts w:ascii="ITC Avant Garde" w:eastAsia="Calibri" w:hAnsi="ITC Avant Garde" w:cs="Times New Roman"/>
          <w:b/>
          <w:lang w:eastAsia="es-MX"/>
        </w:rPr>
      </w:pPr>
      <w:r w:rsidRPr="00654D1D">
        <w:rPr>
          <w:rFonts w:ascii="ITC Avant Garde" w:eastAsia="Calibri" w:hAnsi="ITC Avant Garde" w:cs="Times New Roman"/>
          <w:b/>
          <w:lang w:eastAsia="es-MX"/>
        </w:rPr>
        <w:t>TERCEROS PERJUDICADAS:</w:t>
      </w:r>
    </w:p>
    <w:p w14:paraId="4B601D02" w14:textId="1C69A4A6" w:rsidR="003E526D" w:rsidRPr="00654D1D" w:rsidRDefault="003E526D" w:rsidP="0052417C">
      <w:pPr>
        <w:spacing w:after="0"/>
        <w:jc w:val="both"/>
        <w:rPr>
          <w:rFonts w:ascii="ITC Avant Garde" w:eastAsia="Calibri" w:hAnsi="ITC Avant Garde" w:cs="Times New Roman"/>
          <w:b/>
          <w:lang w:eastAsia="es-MX"/>
        </w:rPr>
      </w:pPr>
      <w:r w:rsidRPr="00654D1D">
        <w:rPr>
          <w:rFonts w:ascii="ITC Avant Garde" w:eastAsia="Calibri" w:hAnsi="ITC Avant Garde" w:cs="Times New Roman"/>
          <w:b/>
          <w:lang w:eastAsia="es-MX"/>
        </w:rPr>
        <w:t>OPERBES, S.A. DE C.V.</w:t>
      </w:r>
    </w:p>
    <w:p w14:paraId="4B601D03" w14:textId="77777777" w:rsidR="003E526D" w:rsidRPr="00654D1D" w:rsidRDefault="003E526D" w:rsidP="0052417C">
      <w:pPr>
        <w:spacing w:after="0"/>
        <w:jc w:val="both"/>
        <w:rPr>
          <w:rFonts w:ascii="ITC Avant Garde" w:eastAsia="Calibri" w:hAnsi="ITC Avant Garde" w:cs="Times New Roman"/>
          <w:b/>
          <w:lang w:eastAsia="es-MX"/>
        </w:rPr>
      </w:pPr>
      <w:r w:rsidRPr="00654D1D">
        <w:rPr>
          <w:rFonts w:ascii="ITC Avant Garde" w:eastAsia="Calibri" w:hAnsi="ITC Avant Garde" w:cs="Times New Roman"/>
          <w:b/>
          <w:lang w:eastAsia="es-MX"/>
        </w:rPr>
        <w:t>BESTPHONE, S.A. DE C.V.</w:t>
      </w:r>
    </w:p>
    <w:p w14:paraId="4B601D04" w14:textId="77777777" w:rsidR="003E526D" w:rsidRPr="00654D1D" w:rsidRDefault="003E526D" w:rsidP="0052417C">
      <w:pPr>
        <w:spacing w:after="0"/>
        <w:jc w:val="both"/>
        <w:rPr>
          <w:rFonts w:ascii="ITC Avant Garde" w:eastAsia="Calibri" w:hAnsi="ITC Avant Garde" w:cs="Times New Roman"/>
          <w:b/>
          <w:lang w:eastAsia="es-MX"/>
        </w:rPr>
      </w:pPr>
      <w:r w:rsidRPr="00654D1D">
        <w:rPr>
          <w:rFonts w:ascii="ITC Avant Garde" w:eastAsia="Calibri" w:hAnsi="ITC Avant Garde" w:cs="Times New Roman"/>
          <w:b/>
          <w:lang w:eastAsia="es-MX"/>
        </w:rPr>
        <w:t>CABLEVISIÓN, S.A. DE C.V.</w:t>
      </w:r>
    </w:p>
    <w:p w14:paraId="4B601D05" w14:textId="77777777" w:rsidR="003E526D" w:rsidRPr="00654D1D" w:rsidRDefault="003E526D" w:rsidP="0052417C">
      <w:pPr>
        <w:spacing w:after="0" w:line="240" w:lineRule="auto"/>
        <w:rPr>
          <w:rFonts w:ascii="ITC Avant Garde" w:eastAsia="Calibri" w:hAnsi="ITC Avant Garde" w:cs="Times New Roman"/>
          <w:lang w:eastAsia="es-MX"/>
        </w:rPr>
      </w:pPr>
      <w:r w:rsidRPr="00654D1D">
        <w:rPr>
          <w:rFonts w:ascii="ITC Avant Garde" w:eastAsia="Calibri" w:hAnsi="ITC Avant Garde" w:cs="Times New Roman"/>
          <w:lang w:eastAsia="es-MX"/>
        </w:rPr>
        <w:t>Avenida Javier Barros Sierra número 540</w:t>
      </w:r>
    </w:p>
    <w:p w14:paraId="4B601D06" w14:textId="77777777" w:rsidR="003E526D" w:rsidRPr="00654D1D" w:rsidRDefault="003E526D" w:rsidP="0052417C">
      <w:pPr>
        <w:spacing w:after="0" w:line="240" w:lineRule="auto"/>
        <w:rPr>
          <w:rFonts w:ascii="ITC Avant Garde" w:eastAsia="Calibri" w:hAnsi="ITC Avant Garde" w:cs="Times New Roman"/>
          <w:lang w:eastAsia="es-MX"/>
        </w:rPr>
      </w:pPr>
      <w:r w:rsidRPr="00654D1D">
        <w:rPr>
          <w:rFonts w:ascii="ITC Avant Garde" w:eastAsia="Calibri" w:hAnsi="ITC Avant Garde" w:cs="Times New Roman"/>
          <w:lang w:eastAsia="es-MX"/>
        </w:rPr>
        <w:t xml:space="preserve">Park Plaza Torre II, Colonia Santa Fe </w:t>
      </w:r>
    </w:p>
    <w:p w14:paraId="4B601D07" w14:textId="77777777" w:rsidR="003E526D" w:rsidRPr="00654D1D" w:rsidRDefault="003E526D" w:rsidP="0052417C">
      <w:pPr>
        <w:spacing w:after="0" w:line="240" w:lineRule="auto"/>
        <w:rPr>
          <w:rFonts w:ascii="ITC Avant Garde" w:eastAsia="Calibri" w:hAnsi="ITC Avant Garde" w:cs="Times New Roman"/>
          <w:lang w:eastAsia="es-MX"/>
        </w:rPr>
      </w:pPr>
      <w:r w:rsidRPr="00654D1D">
        <w:rPr>
          <w:rFonts w:ascii="ITC Avant Garde" w:eastAsia="Calibri" w:hAnsi="ITC Avant Garde" w:cs="Times New Roman"/>
          <w:lang w:eastAsia="es-MX"/>
        </w:rPr>
        <w:t>C.P. 01210, Delegación Álvaro Obregón</w:t>
      </w:r>
    </w:p>
    <w:p w14:paraId="1F1BF8F1" w14:textId="77777777" w:rsidR="00654D1D" w:rsidRPr="00654D1D" w:rsidRDefault="003E526D" w:rsidP="0052417C">
      <w:pPr>
        <w:spacing w:after="0" w:line="240" w:lineRule="auto"/>
        <w:rPr>
          <w:rFonts w:ascii="ITC Avant Garde" w:hAnsi="ITC Avant Garde"/>
        </w:rPr>
      </w:pPr>
      <w:r w:rsidRPr="00654D1D">
        <w:rPr>
          <w:rFonts w:ascii="ITC Avant Garde" w:eastAsia="Calibri" w:hAnsi="ITC Avant Garde" w:cs="Times New Roman"/>
          <w:lang w:eastAsia="es-MX"/>
        </w:rPr>
        <w:t>Ciudad de México</w:t>
      </w:r>
    </w:p>
    <w:p w14:paraId="475BF9D7" w14:textId="77777777" w:rsidR="00654D1D" w:rsidRPr="00654D1D" w:rsidRDefault="003E526D" w:rsidP="00654D1D">
      <w:pPr>
        <w:pStyle w:val="Ttulo1"/>
        <w:spacing w:after="240"/>
        <w:jc w:val="both"/>
        <w:rPr>
          <w:rFonts w:ascii="ITC Avant Garde" w:hAnsi="ITC Avant Garde"/>
          <w:b/>
          <w:color w:val="auto"/>
          <w:sz w:val="24"/>
          <w:szCs w:val="24"/>
        </w:rPr>
      </w:pPr>
      <w:r w:rsidRPr="00654D1D">
        <w:rPr>
          <w:rFonts w:ascii="ITC Avant Garde" w:hAnsi="ITC Avant Garde"/>
          <w:b/>
          <w:color w:val="auto"/>
          <w:sz w:val="24"/>
          <w:szCs w:val="24"/>
        </w:rPr>
        <w:t xml:space="preserve">RESOLUCIÓN POR LA QUE EL PLENO DEL INSTITUTO FEDERAL DE TELECOMUNICACIONES RESUELVE EL RECURSO ADMINISTRATIVO DE REVISIÓN INTERPUESTO POR BAJA CELULAR MEXICANA, S.A. DE C.V., CELULAR DE TELEFONÍA, S.A. DE C.V., MOVITEL DEL NOROESTE, S.A. DE C.V., TELEFONÍA CELULAR DEL NORTE, S.A. DE C.V., Y PEGASO COMUNICACIONES Y SISTEMAS, S.A. DE C.V., </w:t>
      </w:r>
      <w:r w:rsidR="0052417C" w:rsidRPr="00654D1D">
        <w:rPr>
          <w:rFonts w:ascii="ITC Avant Garde" w:hAnsi="ITC Avant Garde"/>
          <w:b/>
          <w:color w:val="auto"/>
          <w:sz w:val="24"/>
          <w:szCs w:val="24"/>
        </w:rPr>
        <w:t xml:space="preserve">HOY PEGASO, PCS, S.A. DE C.V., </w:t>
      </w:r>
      <w:r w:rsidRPr="00654D1D">
        <w:rPr>
          <w:rFonts w:ascii="ITC Avant Garde" w:hAnsi="ITC Avant Garde"/>
          <w:b/>
          <w:color w:val="auto"/>
          <w:sz w:val="24"/>
          <w:szCs w:val="24"/>
        </w:rPr>
        <w:t xml:space="preserve">EN CONTRA DE LA RESOLUCIÓN P/060711/257, EMITIDA POR EL PLENO DE LA COMISIÓN FEDERAL DE TELECOMUNICACIONES </w:t>
      </w:r>
    </w:p>
    <w:p w14:paraId="7B5BAF95" w14:textId="60F58FA6" w:rsidR="00654D1D" w:rsidRPr="00654D1D" w:rsidRDefault="003E526D" w:rsidP="00654D1D">
      <w:pPr>
        <w:pStyle w:val="Ttulo2"/>
        <w:keepLines/>
        <w:spacing w:before="240" w:after="240" w:line="276" w:lineRule="auto"/>
        <w:rPr>
          <w:rFonts w:ascii="ITC Avant Garde" w:eastAsiaTheme="majorEastAsia" w:hAnsi="ITC Avant Garde" w:cstheme="majorBidi"/>
          <w:sz w:val="22"/>
          <w:szCs w:val="22"/>
          <w:lang w:eastAsia="en-US"/>
        </w:rPr>
      </w:pPr>
      <w:r w:rsidRPr="00654D1D">
        <w:rPr>
          <w:rFonts w:ascii="ITC Avant Garde" w:eastAsiaTheme="majorEastAsia" w:hAnsi="ITC Avant Garde" w:cstheme="majorBidi"/>
          <w:sz w:val="22"/>
          <w:szCs w:val="22"/>
          <w:lang w:eastAsia="en-US"/>
        </w:rPr>
        <w:t>RESULTANDO</w:t>
      </w:r>
    </w:p>
    <w:p w14:paraId="52F809CB"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 xml:space="preserve">El 17 de diciembre de 2010, el representante legal de </w:t>
      </w:r>
      <w:proofErr w:type="spellStart"/>
      <w:r w:rsidRPr="00654D1D">
        <w:rPr>
          <w:rFonts w:ascii="ITC Avant Garde" w:hAnsi="ITC Avant Garde" w:cs="Arial"/>
        </w:rPr>
        <w:t>Operbes</w:t>
      </w:r>
      <w:proofErr w:type="spellEnd"/>
      <w:r w:rsidRPr="00654D1D">
        <w:rPr>
          <w:rFonts w:ascii="ITC Avant Garde" w:hAnsi="ITC Avant Garde" w:cs="Arial"/>
        </w:rPr>
        <w:t xml:space="preserve">, S.A. de C.V., </w:t>
      </w:r>
      <w:proofErr w:type="spellStart"/>
      <w:r w:rsidRPr="00654D1D">
        <w:rPr>
          <w:rFonts w:ascii="ITC Avant Garde" w:hAnsi="ITC Avant Garde" w:cs="Arial"/>
        </w:rPr>
        <w:t>Bestphone</w:t>
      </w:r>
      <w:proofErr w:type="spellEnd"/>
      <w:r w:rsidRPr="00654D1D">
        <w:rPr>
          <w:rFonts w:ascii="ITC Avant Garde" w:hAnsi="ITC Avant Garde" w:cs="Arial"/>
        </w:rPr>
        <w:t xml:space="preserve">, S.A. de C.V. y Cablevisión, S.A. de C.V., (en lo sucesivo conjuntamente los “Solicitantes”) presentaron ante la Comisión Federal de Telecomunicaciones (en lo sucesivo, la “Comisión”), escritos mediante los cuales solicitan la intervención de ese órgano a efecto de que procediera a resolver las condiciones en materia de interconexión no convenidas entre dichos concesionarios y Grupo Telefónica, consistentes en las propuestas de tarifas de interconexión por servicios de terminación </w:t>
      </w:r>
      <w:r w:rsidRPr="00654D1D">
        <w:rPr>
          <w:rFonts w:ascii="ITC Avant Garde" w:hAnsi="ITC Avant Garde" w:cs="Arial"/>
        </w:rPr>
        <w:lastRenderedPageBreak/>
        <w:t>móvil para el periodo 2011 – 2013, forma de tasación y tarifa de interconexión por servicios de terminación fija para el año 2011.</w:t>
      </w:r>
    </w:p>
    <w:p w14:paraId="614984FB" w14:textId="77777777" w:rsidR="00654D1D" w:rsidRPr="00654D1D" w:rsidRDefault="003E526D" w:rsidP="00654D1D">
      <w:pPr>
        <w:spacing w:before="240"/>
        <w:contextualSpacing/>
        <w:jc w:val="both"/>
        <w:rPr>
          <w:rFonts w:ascii="ITC Avant Garde" w:hAnsi="ITC Avant Garde" w:cs="Arial"/>
        </w:rPr>
      </w:pPr>
      <w:r w:rsidRPr="00654D1D">
        <w:rPr>
          <w:rFonts w:ascii="ITC Avant Garde" w:hAnsi="ITC Avant Garde" w:cs="Arial"/>
        </w:rPr>
        <w:t>El 18 de enero de 2011, el representante legal de los Solicitantes presentó ante la Comisión escritos mediante los cuales en alcance a las Solicitudes de Resolución ofreció como prueba el documento denominado “propuesta tarifaria para la terminación local móvil de llamadas bajo la modalidad “El que llama paga” para el año 2011”.</w:t>
      </w:r>
    </w:p>
    <w:p w14:paraId="214D5EEE" w14:textId="77777777" w:rsidR="00654D1D" w:rsidRPr="00654D1D" w:rsidRDefault="003E526D" w:rsidP="00654D1D">
      <w:pPr>
        <w:spacing w:before="240"/>
        <w:contextualSpacing/>
        <w:jc w:val="both"/>
        <w:rPr>
          <w:rFonts w:ascii="ITC Avant Garde" w:hAnsi="ITC Avant Garde" w:cs="Arial"/>
        </w:rPr>
      </w:pPr>
      <w:r w:rsidRPr="00654D1D">
        <w:rPr>
          <w:rFonts w:ascii="ITC Avant Garde" w:hAnsi="ITC Avant Garde" w:cs="Arial"/>
        </w:rPr>
        <w:t xml:space="preserve">Para tales efectos, el representante legal de los Solicitantes manifestó que el 24 de septiembre de 2010, </w:t>
      </w:r>
      <w:proofErr w:type="spellStart"/>
      <w:r w:rsidRPr="00654D1D">
        <w:rPr>
          <w:rFonts w:ascii="ITC Avant Garde" w:hAnsi="ITC Avant Garde" w:cs="Arial"/>
        </w:rPr>
        <w:t>Operbes</w:t>
      </w:r>
      <w:proofErr w:type="spellEnd"/>
      <w:r w:rsidRPr="00654D1D">
        <w:rPr>
          <w:rFonts w:ascii="ITC Avant Garde" w:hAnsi="ITC Avant Garde" w:cs="Arial"/>
        </w:rPr>
        <w:t xml:space="preserve"> y </w:t>
      </w:r>
      <w:proofErr w:type="spellStart"/>
      <w:r w:rsidRPr="00654D1D">
        <w:rPr>
          <w:rFonts w:ascii="ITC Avant Garde" w:hAnsi="ITC Avant Garde" w:cs="Arial"/>
        </w:rPr>
        <w:t>Bestphone</w:t>
      </w:r>
      <w:proofErr w:type="spellEnd"/>
      <w:r w:rsidRPr="00654D1D">
        <w:rPr>
          <w:rFonts w:ascii="ITC Avant Garde" w:hAnsi="ITC Avant Garde" w:cs="Arial"/>
        </w:rPr>
        <w:t xml:space="preserve"> solicitaron a Grupo Telefónica las gestiones sobre el establecimiento de los términos y condiciones aplicables a la interconexión de redes.  Asimismo manifestó que el 30 de septiembre de 2010, Cablevisión solicitó a Grupo Telefónica las gestiones sobre el establecimiento de los términos y condiciones aplicables a la interconexión de sus redes.</w:t>
      </w:r>
    </w:p>
    <w:p w14:paraId="105EF83B" w14:textId="77777777" w:rsidR="00654D1D" w:rsidRPr="00654D1D" w:rsidRDefault="006B4A5E"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w:t>
      </w:r>
      <w:r w:rsidR="003E526D" w:rsidRPr="00654D1D">
        <w:rPr>
          <w:rFonts w:ascii="ITC Avant Garde" w:hAnsi="ITC Avant Garde" w:cs="Arial"/>
        </w:rPr>
        <w:t xml:space="preserve">ediante resolución emitida por el Pleno de la Comisión Federal de Telecomunicaciones mediante acuerdo P/060711/257 de fecha 6 de julio de 2011, (en lo sucesivo la Resolución), se determinaron las condiciones de interconexión no convenidas entre </w:t>
      </w:r>
      <w:proofErr w:type="spellStart"/>
      <w:r w:rsidR="003E526D" w:rsidRPr="00654D1D">
        <w:rPr>
          <w:rFonts w:ascii="ITC Avant Garde" w:hAnsi="ITC Avant Garde" w:cs="Arial"/>
        </w:rPr>
        <w:t>Operbes</w:t>
      </w:r>
      <w:proofErr w:type="spellEnd"/>
      <w:r w:rsidR="003E526D" w:rsidRPr="00654D1D">
        <w:rPr>
          <w:rFonts w:ascii="ITC Avant Garde" w:hAnsi="ITC Avant Garde" w:cs="Arial"/>
        </w:rPr>
        <w:t xml:space="preserve">, S.A. de C.V., </w:t>
      </w:r>
      <w:proofErr w:type="spellStart"/>
      <w:r w:rsidR="003E526D" w:rsidRPr="00654D1D">
        <w:rPr>
          <w:rFonts w:ascii="ITC Avant Garde" w:hAnsi="ITC Avant Garde" w:cs="Arial"/>
        </w:rPr>
        <w:t>Bestphone</w:t>
      </w:r>
      <w:proofErr w:type="spellEnd"/>
      <w:r w:rsidR="003E526D" w:rsidRPr="00654D1D">
        <w:rPr>
          <w:rFonts w:ascii="ITC Avant Garde" w:hAnsi="ITC Avant Garde" w:cs="Arial"/>
        </w:rPr>
        <w:t xml:space="preserve">, S.A. de C.V. y Cablevisión, S.A. de C.V., en lo sucesivo los Solicitantes y Baja Celular Mexicana, S.A. de C.V., Celular de Telefonía, S.A. de C.V., </w:t>
      </w:r>
      <w:proofErr w:type="spellStart"/>
      <w:r w:rsidR="003E526D" w:rsidRPr="00654D1D">
        <w:rPr>
          <w:rFonts w:ascii="ITC Avant Garde" w:hAnsi="ITC Avant Garde" w:cs="Arial"/>
        </w:rPr>
        <w:t>Movitel</w:t>
      </w:r>
      <w:proofErr w:type="spellEnd"/>
      <w:r w:rsidR="003E526D" w:rsidRPr="00654D1D">
        <w:rPr>
          <w:rFonts w:ascii="ITC Avant Garde" w:hAnsi="ITC Avant Garde" w:cs="Arial"/>
        </w:rPr>
        <w:t xml:space="preserve"> del Noroeste, S.A. de C.V., Telefonía Celular del Norte, S.A. de C.V. y Pegaso Comunicaciones y Sistemas, S.A. de C.V.,</w:t>
      </w:r>
      <w:r w:rsidR="0052417C" w:rsidRPr="00654D1D">
        <w:rPr>
          <w:rFonts w:ascii="ITC Avant Garde" w:hAnsi="ITC Avant Garde" w:cs="Arial"/>
        </w:rPr>
        <w:t xml:space="preserve"> hoy Pegaso PCS, S.A. de C.V.</w:t>
      </w:r>
      <w:r w:rsidR="003E526D" w:rsidRPr="00654D1D">
        <w:rPr>
          <w:rFonts w:ascii="ITC Avant Garde" w:hAnsi="ITC Avant Garde" w:cs="Arial"/>
        </w:rPr>
        <w:t xml:space="preserve"> (en lo sucesivo, “Grupo Telefónica”</w:t>
      </w:r>
      <w:r w:rsidR="0052417C" w:rsidRPr="00654D1D">
        <w:rPr>
          <w:rFonts w:ascii="ITC Avant Garde" w:hAnsi="ITC Avant Garde" w:cs="Arial"/>
        </w:rPr>
        <w:t xml:space="preserve"> o “la Recurrente”</w:t>
      </w:r>
      <w:r w:rsidR="0058053B" w:rsidRPr="00654D1D">
        <w:rPr>
          <w:rFonts w:ascii="ITC Avant Garde" w:hAnsi="ITC Avant Garde" w:cs="Arial"/>
        </w:rPr>
        <w:t>), que a la letra dice:</w:t>
      </w:r>
    </w:p>
    <w:p w14:paraId="27E4CB41" w14:textId="77777777" w:rsidR="00654D1D" w:rsidRPr="00654D1D" w:rsidRDefault="00FA0D74" w:rsidP="00654D1D">
      <w:pPr>
        <w:spacing w:before="240"/>
        <w:ind w:left="567" w:right="758"/>
        <w:contextualSpacing/>
        <w:jc w:val="both"/>
        <w:rPr>
          <w:rFonts w:ascii="ITC Avant Garde" w:hAnsi="ITC Avant Garde" w:cs="Arial"/>
          <w:sz w:val="18"/>
          <w:szCs w:val="18"/>
        </w:rPr>
      </w:pPr>
      <w:r w:rsidRPr="00654D1D">
        <w:rPr>
          <w:rFonts w:ascii="ITC Avant Garde" w:hAnsi="ITC Avant Garde" w:cs="Arial"/>
          <w:sz w:val="18"/>
          <w:szCs w:val="18"/>
        </w:rPr>
        <w:t>“</w:t>
      </w:r>
      <w:r w:rsidRPr="00654D1D">
        <w:rPr>
          <w:rFonts w:ascii="ITC Avant Garde" w:hAnsi="ITC Avant Garde" w:cs="Arial"/>
          <w:b/>
          <w:sz w:val="18"/>
          <w:szCs w:val="18"/>
        </w:rPr>
        <w:t>PRIMERO.-</w:t>
      </w:r>
      <w:r w:rsidRPr="00654D1D">
        <w:rPr>
          <w:rFonts w:ascii="ITC Avant Garde" w:hAnsi="ITC Avant Garde" w:cs="Arial"/>
          <w:sz w:val="18"/>
          <w:szCs w:val="18"/>
        </w:rPr>
        <w:t xml:space="preserve"> Se determinan las condiciones que en materia de interconexión no pudieron convenir los concesionarios de redes públicas de telecomunicaciones denominados: </w:t>
      </w:r>
      <w:proofErr w:type="spellStart"/>
      <w:r w:rsidRPr="00654D1D">
        <w:rPr>
          <w:rFonts w:ascii="ITC Avant Garde" w:hAnsi="ITC Avant Garde" w:cs="Arial"/>
          <w:sz w:val="18"/>
          <w:szCs w:val="18"/>
        </w:rPr>
        <w:t>Operbes</w:t>
      </w:r>
      <w:proofErr w:type="spellEnd"/>
      <w:r w:rsidRPr="00654D1D">
        <w:rPr>
          <w:rFonts w:ascii="ITC Avant Garde" w:hAnsi="ITC Avant Garde" w:cs="Arial"/>
          <w:sz w:val="18"/>
          <w:szCs w:val="18"/>
        </w:rPr>
        <w:t xml:space="preserve">, S.A. de C.V.,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S.A. de C.V., Cablevisión, S.A. de C.V. y las empresas Baja Celular Mexicana, S.A. de C.V., Celular de Telefonía, S.A. de C.V., </w:t>
      </w:r>
      <w:proofErr w:type="spellStart"/>
      <w:r w:rsidRPr="00654D1D">
        <w:rPr>
          <w:rFonts w:ascii="ITC Avant Garde" w:hAnsi="ITC Avant Garde" w:cs="Arial"/>
          <w:sz w:val="18"/>
          <w:szCs w:val="18"/>
        </w:rPr>
        <w:t>Movitel</w:t>
      </w:r>
      <w:proofErr w:type="spellEnd"/>
      <w:r w:rsidRPr="00654D1D">
        <w:rPr>
          <w:rFonts w:ascii="ITC Avant Garde" w:hAnsi="ITC Avant Garde" w:cs="Arial"/>
          <w:sz w:val="18"/>
          <w:szCs w:val="18"/>
        </w:rPr>
        <w:t xml:space="preserve"> del Noroeste, S.A. de C.V., Telefonía Celular del Norte, S.A. de C.V. y Pegaso Comunicaciones y Sistemas, S.A. de C.V., en términos de los resolutivos Segundo, Tercero, Cuarto, Quinto y Sexto de la presente Resolución. Asimismo, como se establece en el artículo 9 de la Ley Federal del Procedimiento Administrativo, las obligaciones en materia de interconexión establecidas en la presente Resolución serán eficaces y exigibles para </w:t>
      </w:r>
      <w:proofErr w:type="spellStart"/>
      <w:r w:rsidRPr="00654D1D">
        <w:rPr>
          <w:rFonts w:ascii="ITC Avant Garde" w:hAnsi="ITC Avant Garde" w:cs="Arial"/>
          <w:sz w:val="18"/>
          <w:szCs w:val="18"/>
        </w:rPr>
        <w:t>Operbes</w:t>
      </w:r>
      <w:proofErr w:type="spellEnd"/>
      <w:r w:rsidRPr="00654D1D">
        <w:rPr>
          <w:rFonts w:ascii="ITC Avant Garde" w:hAnsi="ITC Avant Garde" w:cs="Arial"/>
          <w:sz w:val="18"/>
          <w:szCs w:val="18"/>
        </w:rPr>
        <w:t xml:space="preserve">, S.A. de C.V.,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S.A. de C.V., Cablevisión, S.A. de  C.V. y las empresas Baja Celular Mexicana, S.A. de C.V., Celular  de </w:t>
      </w:r>
      <w:proofErr w:type="spellStart"/>
      <w:r w:rsidRPr="00654D1D">
        <w:rPr>
          <w:rFonts w:ascii="ITC Avant Garde" w:hAnsi="ITC Avant Garde" w:cs="Arial"/>
          <w:sz w:val="18"/>
          <w:szCs w:val="18"/>
        </w:rPr>
        <w:t>Telefonia</w:t>
      </w:r>
      <w:proofErr w:type="spellEnd"/>
      <w:r w:rsidRPr="00654D1D">
        <w:rPr>
          <w:rFonts w:ascii="ITC Avant Garde" w:hAnsi="ITC Avant Garde" w:cs="Arial"/>
          <w:sz w:val="18"/>
          <w:szCs w:val="18"/>
        </w:rPr>
        <w:t xml:space="preserve">, S.A. de C.V., </w:t>
      </w:r>
      <w:proofErr w:type="spellStart"/>
      <w:r w:rsidRPr="00654D1D">
        <w:rPr>
          <w:rFonts w:ascii="ITC Avant Garde" w:hAnsi="ITC Avant Garde" w:cs="Arial"/>
          <w:sz w:val="18"/>
          <w:szCs w:val="18"/>
        </w:rPr>
        <w:t>Movitel</w:t>
      </w:r>
      <w:proofErr w:type="spellEnd"/>
      <w:r w:rsidRPr="00654D1D">
        <w:rPr>
          <w:rFonts w:ascii="ITC Avant Garde" w:hAnsi="ITC Avant Garde" w:cs="Arial"/>
          <w:sz w:val="18"/>
          <w:szCs w:val="18"/>
        </w:rPr>
        <w:t xml:space="preserve"> del Noroeste, S.A. de C.V., </w:t>
      </w:r>
      <w:proofErr w:type="spellStart"/>
      <w:r w:rsidRPr="00654D1D">
        <w:rPr>
          <w:rFonts w:ascii="ITC Avant Garde" w:hAnsi="ITC Avant Garde" w:cs="Arial"/>
          <w:sz w:val="18"/>
          <w:szCs w:val="18"/>
        </w:rPr>
        <w:t>Telefonia</w:t>
      </w:r>
      <w:proofErr w:type="spellEnd"/>
      <w:r w:rsidRPr="00654D1D">
        <w:rPr>
          <w:rFonts w:ascii="ITC Avant Garde" w:hAnsi="ITC Avant Garde" w:cs="Arial"/>
          <w:sz w:val="18"/>
          <w:szCs w:val="18"/>
        </w:rPr>
        <w:t xml:space="preserve"> Celular del Norte, S.A. de C.V. y Pegaso Comunicaciones y Sistemas, S.A. de C.V., a partir del día siguiente al que surta efectos legales la notificación de la presente Resolución, por lo que las condiciones de interconexión establecidas, incluyendo las tarifas de interconexión, serán aplicables a partir de la fecha antes señalada a los servicios de interconexión que las partes se prestan.</w:t>
      </w:r>
    </w:p>
    <w:p w14:paraId="79BEC5AB" w14:textId="77777777" w:rsidR="00654D1D" w:rsidRPr="00654D1D" w:rsidRDefault="00FA0D74" w:rsidP="00654D1D">
      <w:pPr>
        <w:spacing w:before="240"/>
        <w:ind w:left="567" w:right="758"/>
        <w:contextualSpacing/>
        <w:jc w:val="both"/>
        <w:rPr>
          <w:rFonts w:ascii="ITC Avant Garde" w:hAnsi="ITC Avant Garde" w:cs="Arial"/>
          <w:sz w:val="18"/>
          <w:szCs w:val="18"/>
        </w:rPr>
      </w:pPr>
      <w:r w:rsidRPr="00654D1D">
        <w:rPr>
          <w:rFonts w:ascii="ITC Avant Garde" w:hAnsi="ITC Avant Garde" w:cs="Arial"/>
          <w:b/>
          <w:sz w:val="18"/>
          <w:szCs w:val="18"/>
        </w:rPr>
        <w:t>SEGUNDO.-</w:t>
      </w:r>
      <w:r w:rsidRPr="00654D1D">
        <w:rPr>
          <w:rFonts w:ascii="ITC Avant Garde" w:hAnsi="ITC Avant Garde" w:cs="Arial"/>
          <w:sz w:val="18"/>
          <w:szCs w:val="18"/>
        </w:rPr>
        <w:t xml:space="preserve"> Dentro de los 10 (diez) días hábiles siguientes al día en que surta efectos legales la notificación de la presente Resolución y con independencia de su obligación de cumplir con la prestación del servicio de interconexión conforme a las condiciones y tarifas establecidas en la presente Resolución; </w:t>
      </w:r>
      <w:proofErr w:type="spellStart"/>
      <w:r w:rsidRPr="00654D1D">
        <w:rPr>
          <w:rFonts w:ascii="ITC Avant Garde" w:hAnsi="ITC Avant Garde" w:cs="Arial"/>
          <w:sz w:val="18"/>
          <w:szCs w:val="18"/>
        </w:rPr>
        <w:t>Operbes</w:t>
      </w:r>
      <w:proofErr w:type="spellEnd"/>
      <w:r w:rsidRPr="00654D1D">
        <w:rPr>
          <w:rFonts w:ascii="ITC Avant Garde" w:hAnsi="ITC Avant Garde" w:cs="Arial"/>
          <w:sz w:val="18"/>
          <w:szCs w:val="18"/>
        </w:rPr>
        <w:t xml:space="preserve">, S.A. de C.V.,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S.A. de C.V., Cablevisión, S.A. de C.V. y las empresas Baja Celular Mexicana, S.A. de C.V., Celular de Telefonía, S.A. de C.V., </w:t>
      </w:r>
      <w:proofErr w:type="spellStart"/>
      <w:r w:rsidRPr="00654D1D">
        <w:rPr>
          <w:rFonts w:ascii="ITC Avant Garde" w:hAnsi="ITC Avant Garde" w:cs="Arial"/>
          <w:sz w:val="18"/>
          <w:szCs w:val="18"/>
        </w:rPr>
        <w:t>Movitel</w:t>
      </w:r>
      <w:proofErr w:type="spellEnd"/>
      <w:r w:rsidRPr="00654D1D">
        <w:rPr>
          <w:rFonts w:ascii="ITC Avant Garde" w:hAnsi="ITC Avant Garde" w:cs="Arial"/>
          <w:sz w:val="18"/>
          <w:szCs w:val="18"/>
        </w:rPr>
        <w:t xml:space="preserve"> del Noroeste, S.A. de C.V., Telefonía Celular del Norte, S.A. de C.V. y Pegaso Comunicaciones y Sistemas, S.A. de C.V., deberán celebrar el convenio de interconexión de sus redes públicas de telecomunicaciones conforme a los términos y condiciones determinados en los Resolutivos Tercero, Cuarto, Quinto y Sexto. Hecho lo </w:t>
      </w:r>
      <w:r w:rsidRPr="00654D1D">
        <w:rPr>
          <w:rFonts w:ascii="ITC Avant Garde" w:hAnsi="ITC Avant Garde" w:cs="Arial"/>
          <w:sz w:val="18"/>
          <w:szCs w:val="18"/>
        </w:rPr>
        <w:lastRenderedPageBreak/>
        <w:t xml:space="preserve">anterior, deberán remitir un ejemplar original o copia certificada del mismo a esta Comisión Federal de Telecomunicaciones, dentro de los quince (15) días naturales siguientes a la fecha de su firma, para efectos de su inscripción en el Registro de Telecomunicaciones conforme al artículo 64, fracción </w:t>
      </w:r>
      <w:proofErr w:type="spellStart"/>
      <w:r w:rsidRPr="00654D1D">
        <w:rPr>
          <w:rFonts w:ascii="ITC Avant Garde" w:hAnsi="ITC Avant Garde" w:cs="Arial"/>
          <w:sz w:val="18"/>
          <w:szCs w:val="18"/>
        </w:rPr>
        <w:t>VIl</w:t>
      </w:r>
      <w:proofErr w:type="spellEnd"/>
      <w:r w:rsidRPr="00654D1D">
        <w:rPr>
          <w:rFonts w:ascii="ITC Avant Garde" w:hAnsi="ITC Avant Garde" w:cs="Arial"/>
          <w:sz w:val="18"/>
          <w:szCs w:val="18"/>
        </w:rPr>
        <w:t xml:space="preserve"> de la Ley Federal de Telecomunicaciones.</w:t>
      </w:r>
    </w:p>
    <w:p w14:paraId="1D79EA8F" w14:textId="77777777" w:rsidR="00654D1D" w:rsidRPr="00654D1D" w:rsidRDefault="00FA0D74" w:rsidP="00654D1D">
      <w:pPr>
        <w:spacing w:before="240"/>
        <w:ind w:left="567" w:right="758"/>
        <w:contextualSpacing/>
        <w:jc w:val="both"/>
        <w:rPr>
          <w:rFonts w:ascii="ITC Avant Garde" w:hAnsi="ITC Avant Garde" w:cs="Arial"/>
          <w:sz w:val="18"/>
          <w:szCs w:val="18"/>
        </w:rPr>
      </w:pPr>
      <w:r w:rsidRPr="00654D1D">
        <w:rPr>
          <w:rFonts w:ascii="ITC Avant Garde" w:hAnsi="ITC Avant Garde" w:cs="Arial"/>
          <w:b/>
          <w:sz w:val="18"/>
          <w:szCs w:val="18"/>
        </w:rPr>
        <w:t>TERCERO.-</w:t>
      </w:r>
      <w:r w:rsidRPr="00654D1D">
        <w:rPr>
          <w:rFonts w:ascii="ITC Avant Garde" w:hAnsi="ITC Avant Garde" w:cs="Arial"/>
          <w:sz w:val="18"/>
          <w:szCs w:val="18"/>
        </w:rPr>
        <w:t xml:space="preserve"> La tarifa de interconexión que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S.A. de C.V. y Cablevisión, S.A. de C.V. deberán pagarte a las empresas Baja Celular Mexicana, S.A. de C.V., Celular de Telefonía, S.A. de C.V., </w:t>
      </w:r>
      <w:proofErr w:type="spellStart"/>
      <w:r w:rsidRPr="00654D1D">
        <w:rPr>
          <w:rFonts w:ascii="ITC Avant Garde" w:hAnsi="ITC Avant Garde" w:cs="Arial"/>
          <w:sz w:val="18"/>
          <w:szCs w:val="18"/>
        </w:rPr>
        <w:t>Movitel</w:t>
      </w:r>
      <w:proofErr w:type="spellEnd"/>
      <w:r w:rsidRPr="00654D1D">
        <w:rPr>
          <w:rFonts w:ascii="ITC Avant Garde" w:hAnsi="ITC Avant Garde" w:cs="Arial"/>
          <w:sz w:val="18"/>
          <w:szCs w:val="18"/>
        </w:rPr>
        <w:t xml:space="preserve"> del Noroeste, S.A. de C.V., Telefonía Celular del Norte, S.A. de C.V. y Pegaso Comunicaciones y Sistemas, S.A. de C.V., por servicios de terminación conmutada en usuarios móviles bajo la modalidad "El que llama paga", así como la tarifa de interconexión que </w:t>
      </w:r>
      <w:proofErr w:type="spellStart"/>
      <w:r w:rsidRPr="00654D1D">
        <w:rPr>
          <w:rFonts w:ascii="ITC Avant Garde" w:hAnsi="ITC Avant Garde" w:cs="Arial"/>
          <w:sz w:val="18"/>
          <w:szCs w:val="18"/>
        </w:rPr>
        <w:t>Operbes</w:t>
      </w:r>
      <w:proofErr w:type="spellEnd"/>
      <w:r w:rsidRPr="00654D1D">
        <w:rPr>
          <w:rFonts w:ascii="ITC Avant Garde" w:hAnsi="ITC Avant Garde" w:cs="Arial"/>
          <w:sz w:val="18"/>
          <w:szCs w:val="18"/>
        </w:rPr>
        <w:t xml:space="preserve">, S.A. de C.V. deberá pagarle las empresas Baja Celular Mexicana, S.A. de C.V., Celular de Telefonía, S.A. de C.V., </w:t>
      </w:r>
      <w:proofErr w:type="spellStart"/>
      <w:r w:rsidRPr="00654D1D">
        <w:rPr>
          <w:rFonts w:ascii="ITC Avant Garde" w:hAnsi="ITC Avant Garde" w:cs="Arial"/>
          <w:sz w:val="18"/>
          <w:szCs w:val="18"/>
        </w:rPr>
        <w:t>Movitel</w:t>
      </w:r>
      <w:proofErr w:type="spellEnd"/>
      <w:r w:rsidRPr="00654D1D">
        <w:rPr>
          <w:rFonts w:ascii="ITC Avant Garde" w:hAnsi="ITC Avant Garde" w:cs="Arial"/>
          <w:sz w:val="18"/>
          <w:szCs w:val="18"/>
        </w:rPr>
        <w:t xml:space="preserve"> del Noroeste, S.A. de C.V., </w:t>
      </w:r>
      <w:proofErr w:type="spellStart"/>
      <w:r w:rsidRPr="00654D1D">
        <w:rPr>
          <w:rFonts w:ascii="ITC Avant Garde" w:hAnsi="ITC Avant Garde" w:cs="Arial"/>
          <w:sz w:val="18"/>
          <w:szCs w:val="18"/>
        </w:rPr>
        <w:t>Telefonfa</w:t>
      </w:r>
      <w:proofErr w:type="spellEnd"/>
      <w:r w:rsidRPr="00654D1D">
        <w:rPr>
          <w:rFonts w:ascii="ITC Avant Garde" w:hAnsi="ITC Avant Garde" w:cs="Arial"/>
          <w:sz w:val="18"/>
          <w:szCs w:val="18"/>
        </w:rPr>
        <w:t xml:space="preserve"> Celular del Norte, S.A. de C.V. y Pegaso Comunicaciones y Sistemas,  S.A. de C.V., por servicios de terminación conmutada en usuarios móviles bajo la modalidad "El que llama paga nacional", será la siguiente:</w:t>
      </w:r>
    </w:p>
    <w:p w14:paraId="467060EA" w14:textId="77777777" w:rsidR="00654D1D" w:rsidRPr="00654D1D" w:rsidRDefault="00FA0D74" w:rsidP="00654D1D">
      <w:pPr>
        <w:spacing w:before="240"/>
        <w:ind w:left="567" w:right="758"/>
        <w:contextualSpacing/>
        <w:jc w:val="both"/>
        <w:rPr>
          <w:rFonts w:ascii="ITC Avant Garde" w:hAnsi="ITC Avant Garde" w:cs="Arial"/>
          <w:sz w:val="18"/>
          <w:szCs w:val="18"/>
        </w:rPr>
      </w:pPr>
      <w:r w:rsidRPr="00654D1D">
        <w:rPr>
          <w:rFonts w:ascii="ITC Avant Garde" w:hAnsi="ITC Avant Garde" w:cs="Arial"/>
          <w:sz w:val="18"/>
          <w:szCs w:val="18"/>
        </w:rPr>
        <w:t>• Del 1° de enero de 2011 al 31 de diciembre de 2011, $0.3912 pesos por minuto de interconexión.</w:t>
      </w:r>
    </w:p>
    <w:p w14:paraId="7B2532C1" w14:textId="77777777" w:rsidR="00654D1D" w:rsidRPr="00654D1D" w:rsidRDefault="00FA0D74" w:rsidP="00654D1D">
      <w:pPr>
        <w:spacing w:before="240"/>
        <w:ind w:left="567" w:right="758"/>
        <w:contextualSpacing/>
        <w:jc w:val="both"/>
        <w:rPr>
          <w:rFonts w:ascii="ITC Avant Garde" w:hAnsi="ITC Avant Garde" w:cs="Arial"/>
          <w:sz w:val="18"/>
          <w:szCs w:val="18"/>
        </w:rPr>
      </w:pPr>
      <w:r w:rsidRPr="00654D1D">
        <w:rPr>
          <w:rFonts w:ascii="ITC Avant Garde" w:hAnsi="ITC Avant Garde" w:cs="Arial"/>
          <w:sz w:val="18"/>
          <w:szCs w:val="18"/>
        </w:rPr>
        <w:t>La tarifa anterior ya incluye el costo correspondiente a los puertos necesarios para la interconexión.</w:t>
      </w:r>
    </w:p>
    <w:p w14:paraId="254C20D4" w14:textId="77777777" w:rsidR="00654D1D" w:rsidRPr="00654D1D" w:rsidRDefault="00FA0D74" w:rsidP="00654D1D">
      <w:pPr>
        <w:spacing w:before="240"/>
        <w:ind w:left="567" w:right="758"/>
        <w:contextualSpacing/>
        <w:jc w:val="both"/>
        <w:rPr>
          <w:rFonts w:ascii="ITC Avant Garde" w:hAnsi="ITC Avant Garde" w:cs="Arial"/>
          <w:sz w:val="18"/>
          <w:szCs w:val="18"/>
        </w:rPr>
      </w:pPr>
      <w:r w:rsidRPr="00654D1D">
        <w:rPr>
          <w:rFonts w:ascii="ITC Avant Garde" w:hAnsi="ITC Avant Garde" w:cs="Arial"/>
          <w:sz w:val="18"/>
          <w:szCs w:val="18"/>
        </w:rPr>
        <w:t xml:space="preserve">La Comisión Federal de Telecomunicaciones deja a salvo los derechos de Cablevisión, S.A. de C.V., </w:t>
      </w:r>
      <w:proofErr w:type="spellStart"/>
      <w:r w:rsidRPr="00654D1D">
        <w:rPr>
          <w:rFonts w:ascii="ITC Avant Garde" w:hAnsi="ITC Avant Garde" w:cs="Arial"/>
          <w:sz w:val="18"/>
          <w:szCs w:val="18"/>
        </w:rPr>
        <w:t>Operbes</w:t>
      </w:r>
      <w:proofErr w:type="spellEnd"/>
      <w:r w:rsidRPr="00654D1D">
        <w:rPr>
          <w:rFonts w:ascii="ITC Avant Garde" w:hAnsi="ITC Avant Garde" w:cs="Arial"/>
          <w:sz w:val="18"/>
          <w:szCs w:val="18"/>
        </w:rPr>
        <w:t xml:space="preserve">, S.A. de C.V. y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S.A. de C.V., para que, una vez que se cuente con el modelo de costos que permita calcular las tarifas de interconexión aplicables para los años 2012 y 2013, conforme a lo dispuesto por el artículo 42 de la Ley Federal de Telecomunicaciones, en su caso, soliciten la intervención de esta autoridad para que sean determinadas las tarifas de interconexión correspondientes.</w:t>
      </w:r>
    </w:p>
    <w:p w14:paraId="741CE1AC" w14:textId="77777777" w:rsidR="00654D1D" w:rsidRPr="00654D1D" w:rsidRDefault="00FA0D74" w:rsidP="00654D1D">
      <w:pPr>
        <w:spacing w:before="240"/>
        <w:ind w:left="567" w:right="758"/>
        <w:contextualSpacing/>
        <w:jc w:val="both"/>
        <w:rPr>
          <w:rFonts w:ascii="ITC Avant Garde" w:hAnsi="ITC Avant Garde" w:cs="Arial"/>
          <w:sz w:val="18"/>
          <w:szCs w:val="18"/>
        </w:rPr>
      </w:pPr>
      <w:r w:rsidRPr="00654D1D">
        <w:rPr>
          <w:rFonts w:ascii="ITC Avant Garde" w:hAnsi="ITC Avant Garde" w:cs="Arial"/>
          <w:b/>
          <w:sz w:val="18"/>
          <w:szCs w:val="18"/>
        </w:rPr>
        <w:t>CUARTO.-</w:t>
      </w:r>
      <w:r w:rsidRPr="00654D1D">
        <w:rPr>
          <w:rFonts w:ascii="ITC Avant Garde" w:hAnsi="ITC Avant Garde" w:cs="Arial"/>
          <w:sz w:val="18"/>
          <w:szCs w:val="18"/>
        </w:rPr>
        <w:t xml:space="preserve"> En la aplicación de la tarifa a que se refiere el resolutivo anterior, las empresas Baja Celular Mexicana, S.A. de C.V., Celular de Telefonía, S.A. de C.V., </w:t>
      </w:r>
      <w:proofErr w:type="spellStart"/>
      <w:r w:rsidRPr="00654D1D">
        <w:rPr>
          <w:rFonts w:ascii="ITC Avant Garde" w:hAnsi="ITC Avant Garde" w:cs="Arial"/>
          <w:sz w:val="18"/>
          <w:szCs w:val="18"/>
        </w:rPr>
        <w:t>Movitel</w:t>
      </w:r>
      <w:proofErr w:type="spellEnd"/>
      <w:r w:rsidRPr="00654D1D">
        <w:rPr>
          <w:rFonts w:ascii="ITC Avant Garde" w:hAnsi="ITC Avant Garde" w:cs="Arial"/>
          <w:sz w:val="18"/>
          <w:szCs w:val="18"/>
        </w:rPr>
        <w:t xml:space="preserve"> del Noroeste, S.A. de C.V., Telefonía Celular del Norte, S.A. de C.V. y Pegaso Comunicaciones y Sistemas, S.A. de C.V., calcularán las contraprestaciones que </w:t>
      </w:r>
      <w:proofErr w:type="spellStart"/>
      <w:r w:rsidRPr="00654D1D">
        <w:rPr>
          <w:rFonts w:ascii="ITC Avant Garde" w:hAnsi="ITC Avant Garde" w:cs="Arial"/>
          <w:sz w:val="18"/>
          <w:szCs w:val="18"/>
        </w:rPr>
        <w:t>Operbes</w:t>
      </w:r>
      <w:proofErr w:type="spellEnd"/>
      <w:r w:rsidRPr="00654D1D">
        <w:rPr>
          <w:rFonts w:ascii="ITC Avant Garde" w:hAnsi="ITC Avant Garde" w:cs="Arial"/>
          <w:sz w:val="18"/>
          <w:szCs w:val="18"/>
        </w:rPr>
        <w:t xml:space="preserve">, S.A. de C.V.,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S.A. de C.V. y Cablevisión, S.A. de C.V., deberán pagarles por servicios de terminación conmutada en usuarios móviles bajo las modalidades "El que llama paga" y "El que llama paga nacional", según corresponda, con base en la duración real de las llamadas, sin redondear al minuto, debiendo para tal efecto sumar la duración de todas las llamadas completadas en el período de facturación correspondiente, medidas en segundos, y multiplicar los minutos equivalentes a dicha suma, por la tarifa correspondiente.</w:t>
      </w:r>
    </w:p>
    <w:p w14:paraId="115A3781" w14:textId="77777777" w:rsidR="00654D1D" w:rsidRPr="00654D1D" w:rsidRDefault="00FA0D74" w:rsidP="00654D1D">
      <w:pPr>
        <w:spacing w:before="240"/>
        <w:ind w:left="567" w:right="758"/>
        <w:contextualSpacing/>
        <w:jc w:val="both"/>
        <w:rPr>
          <w:rFonts w:ascii="ITC Avant Garde" w:hAnsi="ITC Avant Garde" w:cs="Arial"/>
          <w:sz w:val="18"/>
          <w:szCs w:val="18"/>
        </w:rPr>
      </w:pPr>
      <w:r w:rsidRPr="00654D1D">
        <w:rPr>
          <w:rFonts w:ascii="ITC Avant Garde" w:hAnsi="ITC Avant Garde" w:cs="Arial"/>
          <w:b/>
          <w:sz w:val="18"/>
          <w:szCs w:val="18"/>
        </w:rPr>
        <w:t>QUINTO.</w:t>
      </w:r>
      <w:r w:rsidRPr="00654D1D">
        <w:rPr>
          <w:rFonts w:ascii="ITC Avant Garde" w:hAnsi="ITC Avant Garde" w:cs="Arial"/>
          <w:sz w:val="18"/>
          <w:szCs w:val="18"/>
        </w:rPr>
        <w:t xml:space="preserve">- La tarifa de interconexión que las empresas Baja Celular Mexicana, S.A. de C.V., Celular de Telefonía, S.A. de C.V., </w:t>
      </w:r>
      <w:proofErr w:type="spellStart"/>
      <w:r w:rsidRPr="00654D1D">
        <w:rPr>
          <w:rFonts w:ascii="ITC Avant Garde" w:hAnsi="ITC Avant Garde" w:cs="Arial"/>
          <w:sz w:val="18"/>
          <w:szCs w:val="18"/>
        </w:rPr>
        <w:t>Movitel</w:t>
      </w:r>
      <w:proofErr w:type="spellEnd"/>
      <w:r w:rsidRPr="00654D1D">
        <w:rPr>
          <w:rFonts w:ascii="ITC Avant Garde" w:hAnsi="ITC Avant Garde" w:cs="Arial"/>
          <w:sz w:val="18"/>
          <w:szCs w:val="18"/>
        </w:rPr>
        <w:t xml:space="preserve"> del Noroeste, S.A. de C.V., Telefonía Celular del Norte, S.A. de C.V. y Pegaso Comunicaciones y Sistemas, S.A. de C.V., deberán pagarle a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S.A. de C.V. y Cablevisión, S.A. de C.V., por servicios de terminación conmutada en usuarios fijos será la siguiente:</w:t>
      </w:r>
    </w:p>
    <w:p w14:paraId="7AB04E86" w14:textId="77777777" w:rsidR="00654D1D" w:rsidRPr="00654D1D" w:rsidRDefault="00FA0D74" w:rsidP="00654D1D">
      <w:pPr>
        <w:spacing w:before="240"/>
        <w:ind w:left="567" w:right="758"/>
        <w:contextualSpacing/>
        <w:jc w:val="both"/>
        <w:rPr>
          <w:rFonts w:ascii="ITC Avant Garde" w:hAnsi="ITC Avant Garde" w:cs="Arial"/>
          <w:sz w:val="18"/>
          <w:szCs w:val="18"/>
        </w:rPr>
      </w:pPr>
      <w:r w:rsidRPr="00654D1D">
        <w:rPr>
          <w:rFonts w:ascii="ITC Avant Garde" w:hAnsi="ITC Avant Garde" w:cs="Arial"/>
          <w:sz w:val="18"/>
          <w:szCs w:val="18"/>
        </w:rPr>
        <w:t>•Del 1° de enero de 2011 al 31 de diciembre de 2011, $0.03951 pesos M.N. por minuto de interconexión.</w:t>
      </w:r>
    </w:p>
    <w:p w14:paraId="0E735A55" w14:textId="77777777" w:rsidR="00654D1D" w:rsidRPr="00654D1D" w:rsidRDefault="00FA0D74" w:rsidP="00654D1D">
      <w:pPr>
        <w:spacing w:before="240"/>
        <w:ind w:left="567" w:right="758"/>
        <w:contextualSpacing/>
        <w:jc w:val="both"/>
        <w:rPr>
          <w:rFonts w:ascii="ITC Avant Garde" w:hAnsi="ITC Avant Garde" w:cs="Arial"/>
          <w:sz w:val="18"/>
          <w:szCs w:val="18"/>
        </w:rPr>
      </w:pPr>
      <w:r w:rsidRPr="00654D1D">
        <w:rPr>
          <w:rFonts w:ascii="ITC Avant Garde" w:hAnsi="ITC Avant Garde" w:cs="Arial"/>
          <w:sz w:val="18"/>
          <w:szCs w:val="18"/>
        </w:rPr>
        <w:t>La tarifa anterior ya incluye el costo correspondiente a los puertos necesarios para la interconexión. Asimismo contiene un margen adecuado sobre los costos incrementales que permite recuperar los costos comunes y compartidos.</w:t>
      </w:r>
    </w:p>
    <w:p w14:paraId="63E7589D" w14:textId="77777777" w:rsidR="00654D1D" w:rsidRPr="00654D1D" w:rsidRDefault="00FA0D74" w:rsidP="00654D1D">
      <w:pPr>
        <w:spacing w:before="240"/>
        <w:ind w:left="567" w:right="758"/>
        <w:contextualSpacing/>
        <w:jc w:val="both"/>
        <w:rPr>
          <w:rFonts w:ascii="ITC Avant Garde" w:hAnsi="ITC Avant Garde" w:cs="Arial"/>
          <w:sz w:val="18"/>
          <w:szCs w:val="18"/>
        </w:rPr>
      </w:pPr>
      <w:r w:rsidRPr="00654D1D">
        <w:rPr>
          <w:rFonts w:ascii="ITC Avant Garde" w:hAnsi="ITC Avant Garde" w:cs="Arial"/>
          <w:b/>
          <w:sz w:val="18"/>
          <w:szCs w:val="18"/>
        </w:rPr>
        <w:t>SEXTO.</w:t>
      </w:r>
      <w:r w:rsidRPr="00654D1D">
        <w:rPr>
          <w:rFonts w:ascii="ITC Avant Garde" w:hAnsi="ITC Avant Garde" w:cs="Arial"/>
          <w:sz w:val="18"/>
          <w:szCs w:val="18"/>
        </w:rPr>
        <w:t xml:space="preserve">- En la aplicación de la tarifa a que se refiere el resolutivo anterior,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S.A. de C.V. y Cablevisión, S.A. de C.V., calcularán las contraprestaciones que las empresas Baja Celular Mexicana, S.A. de C.V., Celular de Telefonía, S.A. de C.V., </w:t>
      </w:r>
      <w:proofErr w:type="spellStart"/>
      <w:r w:rsidRPr="00654D1D">
        <w:rPr>
          <w:rFonts w:ascii="ITC Avant Garde" w:hAnsi="ITC Avant Garde" w:cs="Arial"/>
          <w:sz w:val="18"/>
          <w:szCs w:val="18"/>
        </w:rPr>
        <w:t>Movitel</w:t>
      </w:r>
      <w:proofErr w:type="spellEnd"/>
      <w:r w:rsidRPr="00654D1D">
        <w:rPr>
          <w:rFonts w:ascii="ITC Avant Garde" w:hAnsi="ITC Avant Garde" w:cs="Arial"/>
          <w:sz w:val="18"/>
          <w:szCs w:val="18"/>
        </w:rPr>
        <w:t xml:space="preserve"> del Noroeste, S.A. de C.V., Telefonía Celular del Norte, S.A. de C.V. y Pegaso Comunicaciones y Sistemas, S.A. </w:t>
      </w:r>
      <w:r w:rsidRPr="00654D1D">
        <w:rPr>
          <w:rFonts w:ascii="ITC Avant Garde" w:hAnsi="ITC Avant Garde" w:cs="Arial"/>
          <w:sz w:val="18"/>
          <w:szCs w:val="18"/>
        </w:rPr>
        <w:lastRenderedPageBreak/>
        <w:t>de C.V., deberá pagarles por servicios de terminación conmutada en usuarios fijos, sumando la duración de todas las llamadas completadas en el período de facturación correspondiente, medidas en segundos, y multiplicar los minutos equivalentes a dicha suma, por la tarifa correspondiente.</w:t>
      </w:r>
    </w:p>
    <w:p w14:paraId="45D371EC" w14:textId="77777777" w:rsidR="00654D1D" w:rsidRPr="00654D1D" w:rsidRDefault="00FA0D74" w:rsidP="00654D1D">
      <w:pPr>
        <w:spacing w:before="240"/>
        <w:ind w:left="567" w:right="758"/>
        <w:contextualSpacing/>
        <w:jc w:val="both"/>
        <w:rPr>
          <w:rFonts w:ascii="ITC Avant Garde" w:hAnsi="ITC Avant Garde" w:cs="Arial"/>
          <w:sz w:val="18"/>
          <w:szCs w:val="18"/>
        </w:rPr>
      </w:pPr>
      <w:r w:rsidRPr="00654D1D">
        <w:rPr>
          <w:rFonts w:ascii="ITC Avant Garde" w:hAnsi="ITC Avant Garde" w:cs="Arial"/>
          <w:b/>
          <w:sz w:val="18"/>
          <w:szCs w:val="18"/>
        </w:rPr>
        <w:t>SÉPTIMO.-</w:t>
      </w:r>
      <w:r w:rsidRPr="00654D1D">
        <w:rPr>
          <w:rFonts w:ascii="ITC Avant Garde" w:hAnsi="ITC Avant Garde" w:cs="Arial"/>
          <w:sz w:val="18"/>
          <w:szCs w:val="18"/>
        </w:rPr>
        <w:t xml:space="preserve"> De conformidad con el artículo 3, fracción XV de la Ley Federal de Procedimiento Administrativo, se hace del conocimiento de las partes que esta Resolución es impugnable mediante la interposición del recurso de revisión que prevé el titulo Sexto, capítulo Primero del ordenamiento citado.</w:t>
      </w:r>
    </w:p>
    <w:p w14:paraId="5F449874" w14:textId="77777777" w:rsidR="00654D1D" w:rsidRPr="00654D1D" w:rsidRDefault="008473D4" w:rsidP="00654D1D">
      <w:pPr>
        <w:spacing w:before="240"/>
        <w:ind w:left="567" w:right="758"/>
        <w:contextualSpacing/>
        <w:jc w:val="both"/>
        <w:rPr>
          <w:rFonts w:ascii="ITC Avant Garde" w:hAnsi="ITC Avant Garde" w:cs="Arial"/>
          <w:sz w:val="18"/>
          <w:szCs w:val="18"/>
        </w:rPr>
      </w:pPr>
      <w:r w:rsidRPr="00654D1D">
        <w:rPr>
          <w:rFonts w:ascii="ITC Avant Garde" w:hAnsi="ITC Avant Garde" w:cs="Arial"/>
          <w:b/>
          <w:sz w:val="18"/>
          <w:szCs w:val="18"/>
        </w:rPr>
        <w:t>OCTAVO.-</w:t>
      </w:r>
      <w:r w:rsidRPr="00654D1D">
        <w:rPr>
          <w:rFonts w:ascii="ITC Avant Garde" w:hAnsi="ITC Avant Garde" w:cs="Arial"/>
          <w:sz w:val="18"/>
          <w:szCs w:val="18"/>
        </w:rPr>
        <w:t xml:space="preserve"> Notifíquese personalmente a los representantes legales de las empresas </w:t>
      </w:r>
      <w:proofErr w:type="spellStart"/>
      <w:r w:rsidRPr="00654D1D">
        <w:rPr>
          <w:rFonts w:ascii="ITC Avant Garde" w:hAnsi="ITC Avant Garde" w:cs="Arial"/>
          <w:sz w:val="18"/>
          <w:szCs w:val="18"/>
        </w:rPr>
        <w:t>Operbes</w:t>
      </w:r>
      <w:proofErr w:type="spellEnd"/>
      <w:r w:rsidRPr="00654D1D">
        <w:rPr>
          <w:rFonts w:ascii="ITC Avant Garde" w:hAnsi="ITC Avant Garde" w:cs="Arial"/>
          <w:sz w:val="18"/>
          <w:szCs w:val="18"/>
        </w:rPr>
        <w:t xml:space="preserve">, S.A. de C.V.,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S.A. de C.V. y Cablevisión, S.A. de C.V., Baja Celular Mexicana, S.A. de C.V., Celular de Telefonía, S.A. de C.V., </w:t>
      </w:r>
      <w:proofErr w:type="spellStart"/>
      <w:r w:rsidRPr="00654D1D">
        <w:rPr>
          <w:rFonts w:ascii="ITC Avant Garde" w:hAnsi="ITC Avant Garde" w:cs="Arial"/>
          <w:sz w:val="18"/>
          <w:szCs w:val="18"/>
        </w:rPr>
        <w:t>Movitel</w:t>
      </w:r>
      <w:proofErr w:type="spellEnd"/>
      <w:r w:rsidRPr="00654D1D">
        <w:rPr>
          <w:rFonts w:ascii="ITC Avant Garde" w:hAnsi="ITC Avant Garde" w:cs="Arial"/>
          <w:sz w:val="18"/>
          <w:szCs w:val="18"/>
        </w:rPr>
        <w:t xml:space="preserve"> del Noroeste, S.A. de C.V., Telefonía Celular del Norte, S.A. de C.V. y Pegaso Comunicaciones y Sistemas, S.A. de C.V., el contenido de la presente Resolución”</w:t>
      </w:r>
    </w:p>
    <w:p w14:paraId="4D8CD8A1" w14:textId="77777777" w:rsidR="00654D1D" w:rsidRPr="00654D1D" w:rsidRDefault="00B41BAF"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 xml:space="preserve">Por </w:t>
      </w:r>
      <w:r w:rsidR="003E526D" w:rsidRPr="00654D1D">
        <w:rPr>
          <w:rFonts w:ascii="ITC Avant Garde" w:hAnsi="ITC Avant Garde" w:cs="Arial"/>
        </w:rPr>
        <w:t>citatorio de fecha 18 de julio de 2011, mediante instructivo de notificación de fecha 19 del mismo mes y año, se hizo del conocimiento de Grupo Telefónica la Resolución P/060711/257 de fecha 6 de julio de 2011, emitida por el Pleno de la Comisión.</w:t>
      </w:r>
    </w:p>
    <w:p w14:paraId="7A086553"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 xml:space="preserve">Mediante escrito presentado ante la Oficialía de Partes de la Comisión el 15 de agosto de 2011, Grupo Telefónica interpuso el recurso administrativo de revisión previsto en la Ley Federal de Procedimiento Administrativo (en lo sucesivo la LFPA), en contra de la resolución número P/060711/257 de fecha 6 de julio de 2011, emitida por el Pleno de la Comisión. </w:t>
      </w:r>
    </w:p>
    <w:p w14:paraId="1779B94F"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Por acuerdo de 18 de agosto de 2011, la Comisión Federal de Telecomunicaciones determinó dar inicio al procedimiento administrativo para resolver el referido acuerdo sobre las condiciones de interconexión no convenidas entre los Solicitantes y Grupo Telefónica.</w:t>
      </w:r>
    </w:p>
    <w:p w14:paraId="6CEE3881"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 xml:space="preserve">Mediante resolución de 18 de agosto de 2011, emitida por el Pleno de la Comisión Federal de Telecomunicaciones se resolvió negar la suspensión solicitada por Baja Celular Mexicana, S.A. de C.V., Celular de Telefonía, S.A. de C.V., </w:t>
      </w:r>
      <w:proofErr w:type="spellStart"/>
      <w:r w:rsidRPr="00654D1D">
        <w:rPr>
          <w:rFonts w:ascii="ITC Avant Garde" w:hAnsi="ITC Avant Garde" w:cs="Arial"/>
        </w:rPr>
        <w:t>Movitel</w:t>
      </w:r>
      <w:proofErr w:type="spellEnd"/>
      <w:r w:rsidRPr="00654D1D">
        <w:rPr>
          <w:rFonts w:ascii="ITC Avant Garde" w:hAnsi="ITC Avant Garde" w:cs="Arial"/>
        </w:rPr>
        <w:t xml:space="preserve"> del Noroeste, S.A. de C.V., Telefonía Celular del Norte, S.A. de C.V. y Pegaso Comunicaciones y Sistemas, S.A. de C.V., por considerar no satisfacerse el requisito previsto en el artículo 87, fracción III de la Ley Federal de Procedimiento Administrativo.</w:t>
      </w:r>
    </w:p>
    <w:p w14:paraId="709D5932"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comparecencia de 22 de agosto de 2011, se notificó personalmente a la autorizada de Grupo Telefónica, los acuerdos de 18 del mismo mes y año.</w:t>
      </w:r>
    </w:p>
    <w:p w14:paraId="74C6656A" w14:textId="77777777" w:rsidR="00654D1D" w:rsidRPr="00654D1D" w:rsidRDefault="00B41BAF"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 xml:space="preserve">Previo </w:t>
      </w:r>
      <w:r w:rsidR="003E526D" w:rsidRPr="00654D1D">
        <w:rPr>
          <w:rFonts w:ascii="ITC Avant Garde" w:hAnsi="ITC Avant Garde" w:cs="Arial"/>
        </w:rPr>
        <w:t>citatorio de fecha 26 de agosto de 2011, mediante instructivo de notificación de fecha 29 del mismo mes y año, se hizo del conocimiento de los Solicitantes el acuerdo que determinó dar inicio al procedimiento administrativo.</w:t>
      </w:r>
    </w:p>
    <w:p w14:paraId="3F18BB01"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P</w:t>
      </w:r>
      <w:r w:rsidR="00C9455B" w:rsidRPr="00654D1D">
        <w:rPr>
          <w:rFonts w:ascii="ITC Avant Garde" w:hAnsi="ITC Avant Garde" w:cs="Arial"/>
        </w:rPr>
        <w:t>or</w:t>
      </w:r>
      <w:r w:rsidRPr="00654D1D">
        <w:rPr>
          <w:rFonts w:ascii="ITC Avant Garde" w:hAnsi="ITC Avant Garde" w:cs="Arial"/>
        </w:rPr>
        <w:t xml:space="preserve"> citatorio de fecha 26 de agosto de 2011, </w:t>
      </w:r>
      <w:r w:rsidR="00C9455B" w:rsidRPr="00654D1D">
        <w:rPr>
          <w:rFonts w:ascii="ITC Avant Garde" w:hAnsi="ITC Avant Garde" w:cs="Arial"/>
        </w:rPr>
        <w:t>e</w:t>
      </w:r>
      <w:r w:rsidRPr="00654D1D">
        <w:rPr>
          <w:rFonts w:ascii="ITC Avant Garde" w:hAnsi="ITC Avant Garde" w:cs="Arial"/>
        </w:rPr>
        <w:t xml:space="preserve"> instructivo de notificación de fecha 29 del mismo mes y año, se hizo del conocimiento de los Solicitantes la resolución que resolvió negar la suspensión solicitada en el recurso de referencia.</w:t>
      </w:r>
    </w:p>
    <w:p w14:paraId="2C5905CF"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 xml:space="preserve">Mediante escrito presentado el 25 de agosto de 2011 y acta circunstanciada de la misma fecha, se hizo constar que el Licenciado Iván Díaz Barreiro Hernández, perito </w:t>
      </w:r>
      <w:r w:rsidRPr="00654D1D">
        <w:rPr>
          <w:rFonts w:ascii="ITC Avant Garde" w:hAnsi="ITC Avant Garde" w:cs="Arial"/>
        </w:rPr>
        <w:lastRenderedPageBreak/>
        <w:t>en Economía por Grupo Telefónica, compareció a aceptar y protestar el cargo conferido.</w:t>
      </w:r>
    </w:p>
    <w:p w14:paraId="3F9AA4BE"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Por escritos presentados el 5 de septiembre de 2011, los Solicitantes designaron como perito en economía de las telecomunicaciones al licenciado Carlos Manuel Castro Landeros y adicionaron el cuestionario objeto de la prueba pericial admitida en el procedimiento a Grupo Telefónica.</w:t>
      </w:r>
    </w:p>
    <w:p w14:paraId="4B601D44" w14:textId="6E409B81" w:rsidR="003E526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Por escritos presentados el 12 de septiembre de 2011, los Solicitantes formularon diversas alegaciones y ofrecieron pruebas.</w:t>
      </w:r>
    </w:p>
    <w:p w14:paraId="0F88A43E"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acuerdo de 15 de septiembre de 2011, se concedió a los Solicitantes el término de tres días hábiles para que presentara a su perito en materia de economía de las telecomunicaciones licenciado Carlos Manuel Castro Landeros, para aceptar y protestar el cargo.</w:t>
      </w:r>
    </w:p>
    <w:p w14:paraId="23DEA9E6" w14:textId="77777777" w:rsidR="00654D1D" w:rsidRPr="00654D1D" w:rsidRDefault="00B41BAF"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 xml:space="preserve">Por </w:t>
      </w:r>
      <w:r w:rsidR="003E526D" w:rsidRPr="00654D1D">
        <w:rPr>
          <w:rFonts w:ascii="ITC Avant Garde" w:hAnsi="ITC Avant Garde" w:cs="Arial"/>
        </w:rPr>
        <w:t>citatorio de fecha 28 de septiembre de 2011, mediante instructivo de notificación de fecha 29 del mismo mes y año, se hizo del conocimiento de los Solicitantes el acuerdo de 15 del mismo mes y año.</w:t>
      </w:r>
    </w:p>
    <w:p w14:paraId="23CA9F4C"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acta circunstanciada de 4 de octubre de 2011, se hizo constar que el licenciado Carlos Manuel Castro Landeros, perito en Economía designado por los Solicitantes, compareció a aceptar y protestar el cargo conferido.</w:t>
      </w:r>
    </w:p>
    <w:p w14:paraId="5CE75F4B"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Por acuerdo de 28 de noviembre de 2011, se concedió a los peritos de las partes un plazo de 10 días hábiles, para rendir sus dictámenes periciales correspondientes, con el apercibimiento que en caso de no hacerlo se estarían a lo establecido en el artículo 153 del Código Federal de Procedimientos Civiles, de aplicación supletoria en términos del artículo 2 de la LFPA.</w:t>
      </w:r>
    </w:p>
    <w:p w14:paraId="2EB2D9DE"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acta circunstanciada de 7 de diciembre de 2011, el autorizado de los Solicitantes compareció a darse por notificado del acuerdo de 28 de noviembre del mismo año.</w:t>
      </w:r>
    </w:p>
    <w:p w14:paraId="6AF0C261"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acta circunstanciada de 12 de diciembre de 2011, el autorizado de Grupo Telefónica compareció a darse por notificado del acuerdo de 28 de noviembre del mismo año.</w:t>
      </w:r>
    </w:p>
    <w:p w14:paraId="7B867C86"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Con fecha 21 de diciembre de 2011, el C. Carlos Manuel Castro Landeros, perito designado en materia de economía de las telecomunicaciones por los Solicitantes, rindió y ratificó el dictamen pericial que le fue encomendado.</w:t>
      </w:r>
    </w:p>
    <w:p w14:paraId="27740544"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Con fecha 23 de diciembre de 2011, Grupo Telefónica solicitó se le concediera una prórroga de 10 días al perito designado de su parte para rendir su dictamen pericial.</w:t>
      </w:r>
    </w:p>
    <w:p w14:paraId="35787236"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Por acuerdo de 23 de diciembre de 2011, se concedió una prórroga de 5 días al perito en economía designado por Grupo Telefónica, para rendir su dictamen pericial.</w:t>
      </w:r>
    </w:p>
    <w:p w14:paraId="01753D9D"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comparecencia de 16 de enero de 2012, el autorizado de Grupo Telefónica y el perito designado por su parte se dieron por notificados del acuerdo de 23 de diciembre de 2011.</w:t>
      </w:r>
    </w:p>
    <w:p w14:paraId="0DC1ECDA"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lastRenderedPageBreak/>
        <w:t>Con fecha 20 de enero de 2012, C. Iván Díaz Barreiro Hernández, perito designado en materia de economía de las telecomunicaciones por Grupo Telefónica, rindió y ratificó el dictamen pericial que le fue encomendado.</w:t>
      </w:r>
    </w:p>
    <w:p w14:paraId="45967D40"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Por auto de 25 de enero de 2012, se tuvieron por presentados y ratificados los dictámenes rendidos por los peritos de las partes con el fin de desahogar el peritaje ofrecido por Grupo Telefónica en materia de economía de las telecomunicaciones, y tomando en consideración que los mismos diferían en los puntos esenciales sobre lo que debía versar dicha prueba, se solicitó por oficio al Colegio Nacional de Economistas A.C., en lo sucesivo CNE, designara perito oficial en la materia referida, para que actuara como perito tercero en discordia.</w:t>
      </w:r>
    </w:p>
    <w:p w14:paraId="4A2EB658"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comparecencia</w:t>
      </w:r>
      <w:r w:rsidR="00253D34" w:rsidRPr="00654D1D">
        <w:rPr>
          <w:rFonts w:ascii="ITC Avant Garde" w:hAnsi="ITC Avant Garde" w:cs="Arial"/>
        </w:rPr>
        <w:t>s</w:t>
      </w:r>
      <w:r w:rsidRPr="00654D1D">
        <w:rPr>
          <w:rFonts w:ascii="ITC Avant Garde" w:hAnsi="ITC Avant Garde" w:cs="Arial"/>
        </w:rPr>
        <w:t xml:space="preserve"> de 8 de febrero de 2012, </w:t>
      </w:r>
      <w:r w:rsidR="00253D34" w:rsidRPr="00654D1D">
        <w:rPr>
          <w:rFonts w:ascii="ITC Avant Garde" w:hAnsi="ITC Avant Garde" w:cs="Arial"/>
        </w:rPr>
        <w:t>los</w:t>
      </w:r>
      <w:r w:rsidRPr="00654D1D">
        <w:rPr>
          <w:rFonts w:ascii="ITC Avant Garde" w:hAnsi="ITC Avant Garde" w:cs="Arial"/>
        </w:rPr>
        <w:t xml:space="preserve"> autorizado</w:t>
      </w:r>
      <w:r w:rsidR="00253D34" w:rsidRPr="00654D1D">
        <w:rPr>
          <w:rFonts w:ascii="ITC Avant Garde" w:hAnsi="ITC Avant Garde" w:cs="Arial"/>
        </w:rPr>
        <w:t>s</w:t>
      </w:r>
      <w:r w:rsidRPr="00654D1D">
        <w:rPr>
          <w:rFonts w:ascii="ITC Avant Garde" w:hAnsi="ITC Avant Garde" w:cs="Arial"/>
        </w:rPr>
        <w:t xml:space="preserve"> de l</w:t>
      </w:r>
      <w:r w:rsidR="00253D34" w:rsidRPr="00654D1D">
        <w:rPr>
          <w:rFonts w:ascii="ITC Avant Garde" w:hAnsi="ITC Avant Garde" w:cs="Arial"/>
        </w:rPr>
        <w:t>a</w:t>
      </w:r>
      <w:r w:rsidRPr="00654D1D">
        <w:rPr>
          <w:rFonts w:ascii="ITC Avant Garde" w:hAnsi="ITC Avant Garde" w:cs="Arial"/>
        </w:rPr>
        <w:t xml:space="preserve">s </w:t>
      </w:r>
      <w:r w:rsidR="00253D34" w:rsidRPr="00654D1D">
        <w:rPr>
          <w:rFonts w:ascii="ITC Avant Garde" w:hAnsi="ITC Avant Garde" w:cs="Arial"/>
        </w:rPr>
        <w:t>partes</w:t>
      </w:r>
      <w:r w:rsidRPr="00654D1D">
        <w:rPr>
          <w:rFonts w:ascii="ITC Avant Garde" w:hAnsi="ITC Avant Garde" w:cs="Arial"/>
        </w:rPr>
        <w:t xml:space="preserve"> acudi</w:t>
      </w:r>
      <w:r w:rsidR="00253D34" w:rsidRPr="00654D1D">
        <w:rPr>
          <w:rFonts w:ascii="ITC Avant Garde" w:hAnsi="ITC Avant Garde" w:cs="Arial"/>
        </w:rPr>
        <w:t>eron</w:t>
      </w:r>
      <w:r w:rsidRPr="00654D1D">
        <w:rPr>
          <w:rFonts w:ascii="ITC Avant Garde" w:hAnsi="ITC Avant Garde" w:cs="Arial"/>
        </w:rPr>
        <w:t xml:space="preserve"> a darse por notificado</w:t>
      </w:r>
      <w:r w:rsidR="00253D34" w:rsidRPr="00654D1D">
        <w:rPr>
          <w:rFonts w:ascii="ITC Avant Garde" w:hAnsi="ITC Avant Garde" w:cs="Arial"/>
        </w:rPr>
        <w:t>s</w:t>
      </w:r>
      <w:r w:rsidRPr="00654D1D">
        <w:rPr>
          <w:rFonts w:ascii="ITC Avant Garde" w:hAnsi="ITC Avant Garde" w:cs="Arial"/>
        </w:rPr>
        <w:t xml:space="preserve"> personalmente del acuerdo de 25 de enero del mismo año.</w:t>
      </w:r>
    </w:p>
    <w:p w14:paraId="541C37BA"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oficio presentado el 9 de marzo de 2012, el CNE designó como perito tercero en discordia en materia de economía al Lic. David García Montoya.</w:t>
      </w:r>
    </w:p>
    <w:p w14:paraId="6CF4A83E"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 xml:space="preserve">Mediante escrito presentado el </w:t>
      </w:r>
      <w:r w:rsidR="00253D34" w:rsidRPr="00654D1D">
        <w:rPr>
          <w:rFonts w:ascii="ITC Avant Garde" w:hAnsi="ITC Avant Garde" w:cs="Arial"/>
        </w:rPr>
        <w:t>12</w:t>
      </w:r>
      <w:r w:rsidRPr="00654D1D">
        <w:rPr>
          <w:rFonts w:ascii="ITC Avant Garde" w:hAnsi="ITC Avant Garde" w:cs="Arial"/>
        </w:rPr>
        <w:t xml:space="preserve"> de marzo de 2012, el Lic. David García Montoya, perito tercero en discordia designado por el CNE, renunció al cargo conferido.</w:t>
      </w:r>
    </w:p>
    <w:p w14:paraId="4596F8BB"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oficio presentado el 9 de marzo de 2012, el CNE designó como perito tercero en discordia en materia de economía al Lic. Carlos Enrique Noriega Carrillo.</w:t>
      </w:r>
    </w:p>
    <w:p w14:paraId="2ADDE2A5"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acuerdo de 11 de abril de 2012, se concedió el término de 3 días al perito tercero en discordia en materia de economía al Lic. Carlos Enrique Noriega Carrillo, a efecto de que compareciera a aceptar y protestar el cargo conferido, así como para presentar los documentos que acreditaran su calidad de perito en la materia.</w:t>
      </w:r>
    </w:p>
    <w:p w14:paraId="1F637DF9" w14:textId="77777777" w:rsidR="00654D1D" w:rsidRPr="00654D1D" w:rsidRDefault="00B41BAF"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 xml:space="preserve">Por </w:t>
      </w:r>
      <w:r w:rsidR="003E526D" w:rsidRPr="00654D1D">
        <w:rPr>
          <w:rFonts w:ascii="ITC Avant Garde" w:hAnsi="ITC Avant Garde" w:cs="Arial"/>
        </w:rPr>
        <w:t xml:space="preserve">citatorio de fecha </w:t>
      </w:r>
      <w:smartTag w:uri="urn:schemas-microsoft-com:office:smarttags" w:element="date">
        <w:smartTagPr>
          <w:attr w:name="ls" w:val="trans"/>
          <w:attr w:name="Month" w:val="4"/>
          <w:attr w:name="Day" w:val="20"/>
          <w:attr w:name="Year" w:val="2012"/>
        </w:smartTagPr>
        <w:r w:rsidR="003E526D" w:rsidRPr="00654D1D">
          <w:rPr>
            <w:rFonts w:ascii="ITC Avant Garde" w:hAnsi="ITC Avant Garde" w:cs="Arial"/>
          </w:rPr>
          <w:t>20 de abril de 2012</w:t>
        </w:r>
      </w:smartTag>
      <w:r w:rsidR="003E526D" w:rsidRPr="00654D1D">
        <w:rPr>
          <w:rFonts w:ascii="ITC Avant Garde" w:hAnsi="ITC Avant Garde" w:cs="Arial"/>
        </w:rPr>
        <w:t xml:space="preserve">, mediante instructivo de notificación de fecha 23 del mismo mes y año, se hizo del conocimiento del perito tercero en </w:t>
      </w:r>
      <w:r w:rsidR="00C9455B" w:rsidRPr="00654D1D">
        <w:rPr>
          <w:rFonts w:ascii="ITC Avant Garde" w:hAnsi="ITC Avant Garde" w:cs="Arial"/>
        </w:rPr>
        <w:t xml:space="preserve">discordia </w:t>
      </w:r>
      <w:r w:rsidR="003E526D" w:rsidRPr="00654D1D">
        <w:rPr>
          <w:rFonts w:ascii="ITC Avant Garde" w:hAnsi="ITC Avant Garde" w:cs="Arial"/>
        </w:rPr>
        <w:t>el acuerdo de 11 del mismo mes y año.</w:t>
      </w:r>
    </w:p>
    <w:p w14:paraId="44E056BD"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acta circunstanciada de 24 de abril de 2012, se hizo constar la comparecencia del licenciado Carlos Enrique Noriega Carrillo, perito tercero en economía, nombrado por el Colegio Nacional de Economistas, A.C., a efecto de aceptar y protestar el cargo conferido.</w:t>
      </w:r>
    </w:p>
    <w:p w14:paraId="709DE06E"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Con escrito de fecha 24 de abril de 2012, el Licenciado Carlos Enrique Noriega Carrillo perito tercero en discordia designado por el CNE, presentó propuesta respecto al monto de sus honorarios, por los Servicios y trabajos que se requieren para desahogar la prueba pericial.</w:t>
      </w:r>
    </w:p>
    <w:p w14:paraId="703E00BA"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Por acuerdo de 7 de mayo de 2012, se ordenó dar vista a Grupo Telefónica y a los Solicitantes para que se manifestaran respecto a la propuesta de honorarios hecha por el perito tercero en discordia en materia de economía.</w:t>
      </w:r>
    </w:p>
    <w:p w14:paraId="6CC0AF3B" w14:textId="77777777" w:rsidR="00654D1D" w:rsidRPr="00654D1D" w:rsidRDefault="00B41BAF"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lastRenderedPageBreak/>
        <w:t xml:space="preserve">Mediante </w:t>
      </w:r>
      <w:r w:rsidR="003E526D" w:rsidRPr="00654D1D">
        <w:rPr>
          <w:rFonts w:ascii="ITC Avant Garde" w:hAnsi="ITC Avant Garde" w:cs="Arial"/>
        </w:rPr>
        <w:t>citatorios de fecha 18 de mayo de 2012, mediante instructivos de notificación de fecha 21 del mismo mes y año, se hizo del conocimiento de Grupo Telefónica y del perito tercero en discordia el acuerdo de 7 de mayo de ese año.</w:t>
      </w:r>
    </w:p>
    <w:p w14:paraId="6491EB83" w14:textId="77777777" w:rsidR="00654D1D" w:rsidRPr="00654D1D" w:rsidRDefault="00B41BAF"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 xml:space="preserve">Por </w:t>
      </w:r>
      <w:r w:rsidR="003E526D" w:rsidRPr="00654D1D">
        <w:rPr>
          <w:rFonts w:ascii="ITC Avant Garde" w:hAnsi="ITC Avant Garde" w:cs="Arial"/>
        </w:rPr>
        <w:t>citatorios de fecha 21 de mayo de 2012, mediante instructivos de notificación de fecha 22 del mismo mes y año, se hizo del conocimiento de los Solicitantes el acuerdo de 7 de mayo de ese año.</w:t>
      </w:r>
    </w:p>
    <w:p w14:paraId="4E8A1C24"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oficio 1.- 199, de 5 de septiembre de 2012, de la Secretaría de Comunicaciones y Transportes, determinó que dicha Secretaría es legalmente incompetente para resolver el recurso de revisión interpuesto por Telefónica, en contra de la resolución P/060711/257 emitida por el Pleno de la Comisión.</w:t>
      </w:r>
    </w:p>
    <w:p w14:paraId="2BA1E53A" w14:textId="77777777" w:rsidR="00654D1D" w:rsidRPr="00654D1D" w:rsidRDefault="00B41BAF"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 xml:space="preserve">Previos </w:t>
      </w:r>
      <w:r w:rsidR="003E526D" w:rsidRPr="00654D1D">
        <w:rPr>
          <w:rFonts w:ascii="ITC Avant Garde" w:hAnsi="ITC Avant Garde" w:cs="Arial"/>
        </w:rPr>
        <w:t>citatorios de fecha 18 de septiembre de 2012, mediante instructivos de notificación de fecha 19 del mismo mes y año, se notificó personalmente a las partes la resolución 5 de septiembre del mismo año, emitida por la Secretaría de Comunicaciones y Transportes.</w:t>
      </w:r>
    </w:p>
    <w:p w14:paraId="42D00351"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Por acuerdo de 9 de octubre de 2012, emitido por la Comisión Federal de Telecomunicaciones, dicha autoridad se declaró competente para resolver el recurso de revisión interpuesto por Grupo Telefónica y por lo tanto se ordenó turnar el expediente administrativo al área correspondiente para la elaboración del proyecto de resolución respectivo.</w:t>
      </w:r>
    </w:p>
    <w:p w14:paraId="6A682739"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Por acuerdo de 11 de octubre de 2012, se otorgó el término de 3 días hábiles a las partes para que garantizaran el monto de los honorarios del perito tercero en discordia designado por el CNE, Licenciado Carlos Enrique Noriega Carrillo.</w:t>
      </w:r>
    </w:p>
    <w:p w14:paraId="29E32D6D"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acta circunstanciada de 16 de octubre de 2012, se hizo constar la comparecencia del autorizado de Grupo Telefónica, a efecto de darse por notificado del acuerdo de 9 de octubre del mismo año.</w:t>
      </w:r>
    </w:p>
    <w:p w14:paraId="77FE45B8"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acta circunstanciada de 16 de octubre de 2012, hizo constar la notificación personal de Grupo Telefónica el acuerdo de 11 del mismo mes y año.</w:t>
      </w:r>
    </w:p>
    <w:p w14:paraId="67F14097"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acta circunstanciada de 17 de octubre de 2012, hizo constar la notificación personal del perito tercero en discordia del acuerdo de 11 del mismo mes y año.</w:t>
      </w:r>
    </w:p>
    <w:p w14:paraId="34FD02E3"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Con fecha 17 de octubre de 2012, Grupo Telefónica exhibió la garantía ordenada por auto de 11 del mismo mes y año.</w:t>
      </w:r>
    </w:p>
    <w:p w14:paraId="5225862A" w14:textId="77777777" w:rsidR="00654D1D" w:rsidRPr="00654D1D" w:rsidRDefault="00B41BAF"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 xml:space="preserve">Por </w:t>
      </w:r>
      <w:r w:rsidR="003E526D" w:rsidRPr="00654D1D">
        <w:rPr>
          <w:rFonts w:ascii="ITC Avant Garde" w:hAnsi="ITC Avant Garde" w:cs="Arial"/>
        </w:rPr>
        <w:t>citatorios de fecha 23 de octubre de 2012, mediante instructivos de notificación de fecha 24 del mismo mes y año, se hizo del conocimiento de los Solicitantes el acuerdo de 9 de octubre de ese año.</w:t>
      </w:r>
    </w:p>
    <w:p w14:paraId="7665B20F" w14:textId="77777777" w:rsidR="00654D1D" w:rsidRPr="00654D1D" w:rsidRDefault="00B41BAF"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 xml:space="preserve">Mediante </w:t>
      </w:r>
      <w:r w:rsidR="003E526D" w:rsidRPr="00654D1D">
        <w:rPr>
          <w:rFonts w:ascii="ITC Avant Garde" w:hAnsi="ITC Avant Garde" w:cs="Arial"/>
        </w:rPr>
        <w:t>citatorio de fecha 23 de octubre de 2012, mediante instructivo de notificación de fecha 24 del mismo mes y año, se notificó personalmente a los Solicitantes el acuerdo de 11 de octubre del mismo año.</w:t>
      </w:r>
    </w:p>
    <w:p w14:paraId="0CCDAC17"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lastRenderedPageBreak/>
        <w:t xml:space="preserve">Con fecha 29 de octubre de 2012, los Solicitantes </w:t>
      </w:r>
      <w:r w:rsidR="00C9455B" w:rsidRPr="00654D1D">
        <w:rPr>
          <w:rFonts w:ascii="ITC Avant Garde" w:hAnsi="ITC Avant Garde" w:cs="Arial"/>
        </w:rPr>
        <w:t>pidieron</w:t>
      </w:r>
      <w:r w:rsidRPr="00654D1D">
        <w:rPr>
          <w:rFonts w:ascii="ITC Avant Garde" w:hAnsi="ITC Avant Garde" w:cs="Arial"/>
        </w:rPr>
        <w:t xml:space="preserve"> se le</w:t>
      </w:r>
      <w:r w:rsidR="00C9455B" w:rsidRPr="00654D1D">
        <w:rPr>
          <w:rFonts w:ascii="ITC Avant Garde" w:hAnsi="ITC Avant Garde" w:cs="Arial"/>
        </w:rPr>
        <w:t>s</w:t>
      </w:r>
      <w:r w:rsidRPr="00654D1D">
        <w:rPr>
          <w:rFonts w:ascii="ITC Avant Garde" w:hAnsi="ITC Avant Garde" w:cs="Arial"/>
        </w:rPr>
        <w:t xml:space="preserve"> concediera una prórroga de 3 días, para exhibir la garantía ordenada por auto de 11 de octubre del mismo año.</w:t>
      </w:r>
    </w:p>
    <w:p w14:paraId="0DB5A8ED"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Por acuerdo de 5 de noviembre de 2012, se concedió por tres días más la ampliación de término solicitada por los Solicitantes, para garantizar el pago de honorarios del perito tercero en discordia.</w:t>
      </w:r>
    </w:p>
    <w:p w14:paraId="5E70C571"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acta circunstanciada de 6 de noviembre de 2012, hizo constar la notificación personal de los Solicitantes del acuerdo de 5 del mismo mes y año.</w:t>
      </w:r>
    </w:p>
    <w:p w14:paraId="44C324F5"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Con fecha 6 de noviembre de 2012, los Solicitantes exhibieron el billete de depósito para garantizar el pago de honorarios del perito tercero en discordia en materia de economía.</w:t>
      </w:r>
    </w:p>
    <w:p w14:paraId="3FDE80B9"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Por acuerdo de 18 de diciembre de 2012, se tuvo a Grupo Telefónica y a los Solicitantes exhibiendo el billete de depósito para garantizar los honorarios del perito tercero en discordia, consecuentemente, se le concedió al perito un término de 10 días para que rindiera el dictamen pericial correspondiente.</w:t>
      </w:r>
    </w:p>
    <w:p w14:paraId="6740F701"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acta circunstanciada de 19 de diciembre de 2012, hizo constar la notificación personal del perito tercero en discordia del acuerdo de 18 de diciembre del mismo año.</w:t>
      </w:r>
    </w:p>
    <w:p w14:paraId="33746EA7"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Mediante acta circunstanciada de 8 de enero de 2013, hizo constar la notificación personal de los Solicitantes del acuerdo de 18 de diciembre del mismo año.</w:t>
      </w:r>
    </w:p>
    <w:p w14:paraId="0145131F"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Con fecha 7 de enero de 2013, el licenciado Carlos Enrique Noriega Carrillo, perito tercero en discordia designado por el CNE, rindió su dictamen pericial, ratificándolo el 16 del mismo mes y año.</w:t>
      </w:r>
    </w:p>
    <w:p w14:paraId="31108D15" w14:textId="77777777" w:rsidR="00654D1D" w:rsidRPr="00654D1D" w:rsidRDefault="00B41BAF"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 xml:space="preserve">Mediante </w:t>
      </w:r>
      <w:r w:rsidR="003E526D" w:rsidRPr="00654D1D">
        <w:rPr>
          <w:rFonts w:ascii="ITC Avant Garde" w:hAnsi="ITC Avant Garde" w:cs="Arial"/>
        </w:rPr>
        <w:t>citatorio de fecha 25 de enero de 2013, mediante instructivo de notificación de fecha 28 del mismo mes y año, se notificó personalmente a Grupo Telefónica el acuerdo de 18 de diciembre de 2012.</w:t>
      </w:r>
    </w:p>
    <w:p w14:paraId="3DE387AB"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Por acuerdo de 2 de mayo de 2013, se dio cuenta con el dictamen pericial rendido por licenciado Carlos Enrique Noriega Carrillo, perito tercero en economía, nombrado por el Colegio Nacional de Economistas, A.C., el cual se tuvo por rendido en tiempo y forma.</w:t>
      </w:r>
    </w:p>
    <w:p w14:paraId="76EDC001" w14:textId="77777777" w:rsidR="00654D1D" w:rsidRPr="00654D1D" w:rsidRDefault="003E526D" w:rsidP="00654D1D">
      <w:pPr>
        <w:numPr>
          <w:ilvl w:val="0"/>
          <w:numId w:val="1"/>
        </w:numPr>
        <w:spacing w:before="240"/>
        <w:ind w:left="0" w:firstLine="0"/>
        <w:contextualSpacing/>
        <w:jc w:val="both"/>
        <w:rPr>
          <w:rFonts w:ascii="ITC Avant Garde" w:hAnsi="ITC Avant Garde" w:cs="Arial"/>
        </w:rPr>
      </w:pPr>
      <w:r w:rsidRPr="00654D1D">
        <w:rPr>
          <w:rFonts w:ascii="ITC Avant Garde" w:hAnsi="ITC Avant Garde" w:cs="Arial"/>
        </w:rPr>
        <w:t>Con fecha 15 de mayo de 2013, Grupo Telefónica realizó diversas manifestaciones con relación al dictamen pericial emitido por el perito tercero en discordia en materia de economía de las telecomunicaciones.</w:t>
      </w:r>
    </w:p>
    <w:p w14:paraId="0A43D710" w14:textId="77777777" w:rsidR="00654D1D" w:rsidRPr="00654D1D" w:rsidRDefault="003E526D" w:rsidP="00654D1D">
      <w:pPr>
        <w:numPr>
          <w:ilvl w:val="0"/>
          <w:numId w:val="1"/>
        </w:numPr>
        <w:spacing w:before="240"/>
        <w:ind w:left="0" w:firstLine="0"/>
        <w:contextualSpacing/>
        <w:jc w:val="both"/>
        <w:rPr>
          <w:rFonts w:ascii="ITC Avant Garde" w:hAnsi="ITC Avant Garde" w:cs="Arial"/>
          <w:lang w:eastAsia="es-ES"/>
        </w:rPr>
      </w:pPr>
      <w:r w:rsidRPr="00654D1D">
        <w:rPr>
          <w:rFonts w:ascii="ITC Avant Garde" w:hAnsi="ITC Avant Garde" w:cs="Arial"/>
          <w:lang w:eastAsia="es-ES"/>
        </w:rPr>
        <w:t xml:space="preserve">Mediante oficio IFT/D03/USI/941/2013 de fecha 19 de diciembre de 2013, la </w:t>
      </w:r>
      <w:r w:rsidRPr="00654D1D">
        <w:rPr>
          <w:rFonts w:ascii="ITC Avant Garde" w:hAnsi="ITC Avant Garde" w:cs="Arial"/>
          <w:snapToGrid w:val="0"/>
          <w:lang w:eastAsia="es-ES"/>
        </w:rPr>
        <w:t>Unidad</w:t>
      </w:r>
      <w:r w:rsidRPr="00654D1D">
        <w:rPr>
          <w:rFonts w:ascii="ITC Avant Garde" w:hAnsi="ITC Avant Garde" w:cs="Arial"/>
          <w:lang w:eastAsia="es-ES"/>
        </w:rPr>
        <w:t xml:space="preserve"> de Servicios a la Industria del Instituto Federal de Telecomunicaciones (en lo sucesivo, el “Instituto”) autorizó a Baja Celular Mexicana, S.A. de C.V., Celular de Telefonía, S.A. de C.V., Telefonía Celular del Norte, S.A. de C.V. y Pegaso Comunicaciones y Sistemas, S.A. de C.V., ceder los derechos y obligaciones de las </w:t>
      </w:r>
      <w:r w:rsidRPr="00654D1D">
        <w:rPr>
          <w:rFonts w:ascii="ITC Avant Garde" w:hAnsi="ITC Avant Garde" w:cs="Arial"/>
          <w:lang w:eastAsia="es-ES"/>
        </w:rPr>
        <w:lastRenderedPageBreak/>
        <w:t>concesiones de las que eran titulares, a favor de la empresa Pegaso PCS, S.A. de C.V. (en lo sucesivo, "Pegaso PCS”), adquiriendo esta última el carácter de concesionario.</w:t>
      </w:r>
    </w:p>
    <w:p w14:paraId="3D739398" w14:textId="77777777" w:rsidR="00654D1D" w:rsidRPr="00654D1D" w:rsidRDefault="003E526D" w:rsidP="00654D1D">
      <w:pPr>
        <w:spacing w:before="240"/>
        <w:contextualSpacing/>
        <w:jc w:val="both"/>
        <w:rPr>
          <w:rFonts w:ascii="ITC Avant Garde" w:hAnsi="ITC Avant Garde" w:cs="Arial"/>
          <w:lang w:eastAsia="es-ES"/>
        </w:rPr>
      </w:pPr>
      <w:r w:rsidRPr="00654D1D">
        <w:rPr>
          <w:rFonts w:ascii="ITC Avant Garde" w:hAnsi="ITC Avant Garde" w:cs="Arial"/>
          <w:lang w:eastAsia="es-ES"/>
        </w:rPr>
        <w:t>Asimismo, en dicho oficio se resolvió que Pegaso PCS adquirió el carácter de concesionario derivado de las cesiones de derechos en comento, por lo que se dejaron sin efectos las autorizaciones emitidas por la Secretaría a dicha empresa, para prestar servicios de telecomunicaciones en su calidad de filial, afiliada o subsidiaria.</w:t>
      </w:r>
    </w:p>
    <w:p w14:paraId="02A4882F" w14:textId="77777777" w:rsidR="00654D1D" w:rsidRPr="00654D1D" w:rsidRDefault="008D6399" w:rsidP="00654D1D">
      <w:pPr>
        <w:pStyle w:val="Prrafodelista"/>
        <w:numPr>
          <w:ilvl w:val="0"/>
          <w:numId w:val="1"/>
        </w:numPr>
        <w:shd w:val="clear" w:color="auto" w:fill="FFFFFF" w:themeFill="background1"/>
        <w:tabs>
          <w:tab w:val="left" w:pos="0"/>
          <w:tab w:val="left" w:pos="567"/>
        </w:tabs>
        <w:spacing w:before="240"/>
        <w:ind w:left="0" w:firstLine="0"/>
        <w:jc w:val="both"/>
        <w:rPr>
          <w:rFonts w:ascii="ITC Avant Garde" w:hAnsi="ITC Avant Garde" w:cs="Arial"/>
        </w:rPr>
      </w:pPr>
      <w:r w:rsidRPr="00654D1D">
        <w:rPr>
          <w:rFonts w:ascii="ITC Avant Garde" w:hAnsi="ITC Avant Garde" w:cs="Arial"/>
        </w:rPr>
        <w:t>Por Acuerdo de fecha 1</w:t>
      </w:r>
      <w:r w:rsidR="006515E4" w:rsidRPr="00654D1D">
        <w:rPr>
          <w:rFonts w:ascii="ITC Avant Garde" w:hAnsi="ITC Avant Garde" w:cs="Arial"/>
        </w:rPr>
        <w:t>1</w:t>
      </w:r>
      <w:r w:rsidRPr="00654D1D">
        <w:rPr>
          <w:rFonts w:ascii="ITC Avant Garde" w:hAnsi="ITC Avant Garde" w:cs="Arial"/>
        </w:rPr>
        <w:t xml:space="preserve"> de </w:t>
      </w:r>
      <w:r w:rsidR="006515E4" w:rsidRPr="00654D1D">
        <w:rPr>
          <w:rFonts w:ascii="ITC Avant Garde" w:hAnsi="ITC Avant Garde" w:cs="Arial"/>
        </w:rPr>
        <w:t>enero</w:t>
      </w:r>
      <w:r w:rsidRPr="00654D1D">
        <w:rPr>
          <w:rFonts w:ascii="ITC Avant Garde" w:hAnsi="ITC Avant Garde" w:cs="Arial"/>
        </w:rPr>
        <w:t xml:space="preserve"> de 201</w:t>
      </w:r>
      <w:r w:rsidR="006515E4" w:rsidRPr="00654D1D">
        <w:rPr>
          <w:rFonts w:ascii="ITC Avant Garde" w:hAnsi="ITC Avant Garde" w:cs="Arial"/>
        </w:rPr>
        <w:t>7</w:t>
      </w:r>
      <w:r w:rsidRPr="00654D1D">
        <w:rPr>
          <w:rFonts w:ascii="ITC Avant Garde" w:hAnsi="ITC Avant Garde" w:cs="Arial"/>
        </w:rPr>
        <w:t xml:space="preserve">, dictado en el procedimiento relativo al Recurso Administrativo de Revisión, el Instituto otorgó a las partes un plazo para formular alegatos, en término de lo dispuesto por el artículo 56 de la Ley Federal de Procedimiento Administrativo. </w:t>
      </w:r>
    </w:p>
    <w:p w14:paraId="629D2675" w14:textId="77777777" w:rsidR="00654D1D" w:rsidRPr="00654D1D" w:rsidRDefault="008D6399" w:rsidP="00654D1D">
      <w:pPr>
        <w:pStyle w:val="Prrafodelista"/>
        <w:numPr>
          <w:ilvl w:val="0"/>
          <w:numId w:val="1"/>
        </w:numPr>
        <w:shd w:val="clear" w:color="auto" w:fill="FFFFFF" w:themeFill="background1"/>
        <w:tabs>
          <w:tab w:val="left" w:pos="0"/>
          <w:tab w:val="left" w:pos="567"/>
        </w:tabs>
        <w:spacing w:before="240"/>
        <w:ind w:left="0" w:firstLine="0"/>
        <w:jc w:val="both"/>
        <w:rPr>
          <w:rFonts w:ascii="ITC Avant Garde" w:hAnsi="ITC Avant Garde" w:cs="Arial"/>
        </w:rPr>
      </w:pPr>
      <w:r w:rsidRPr="00654D1D">
        <w:rPr>
          <w:rFonts w:ascii="ITC Avant Garde" w:hAnsi="ITC Avant Garde" w:cs="Arial"/>
        </w:rPr>
        <w:t>Mediante citatorio de fecha 1</w:t>
      </w:r>
      <w:r w:rsidR="006515E4" w:rsidRPr="00654D1D">
        <w:rPr>
          <w:rFonts w:ascii="ITC Avant Garde" w:hAnsi="ITC Avant Garde" w:cs="Arial"/>
        </w:rPr>
        <w:t>3</w:t>
      </w:r>
      <w:r w:rsidRPr="00654D1D">
        <w:rPr>
          <w:rFonts w:ascii="ITC Avant Garde" w:hAnsi="ITC Avant Garde" w:cs="Arial"/>
        </w:rPr>
        <w:t xml:space="preserve"> de </w:t>
      </w:r>
      <w:r w:rsidR="006515E4" w:rsidRPr="00654D1D">
        <w:rPr>
          <w:rFonts w:ascii="ITC Avant Garde" w:hAnsi="ITC Avant Garde" w:cs="Arial"/>
        </w:rPr>
        <w:t>enero</w:t>
      </w:r>
      <w:r w:rsidRPr="00654D1D">
        <w:rPr>
          <w:rFonts w:ascii="ITC Avant Garde" w:hAnsi="ITC Avant Garde" w:cs="Arial"/>
        </w:rPr>
        <w:t xml:space="preserve"> e instructivo de 1</w:t>
      </w:r>
      <w:r w:rsidR="006515E4" w:rsidRPr="00654D1D">
        <w:rPr>
          <w:rFonts w:ascii="ITC Avant Garde" w:hAnsi="ITC Avant Garde" w:cs="Arial"/>
        </w:rPr>
        <w:t>6</w:t>
      </w:r>
      <w:r w:rsidRPr="00654D1D">
        <w:rPr>
          <w:rFonts w:ascii="ITC Avant Garde" w:hAnsi="ITC Avant Garde" w:cs="Arial"/>
        </w:rPr>
        <w:t xml:space="preserve"> de </w:t>
      </w:r>
      <w:r w:rsidR="006515E4" w:rsidRPr="00654D1D">
        <w:rPr>
          <w:rFonts w:ascii="ITC Avant Garde" w:hAnsi="ITC Avant Garde" w:cs="Arial"/>
        </w:rPr>
        <w:t>enero</w:t>
      </w:r>
      <w:r w:rsidRPr="00654D1D">
        <w:rPr>
          <w:rFonts w:ascii="ITC Avant Garde" w:hAnsi="ITC Avant Garde" w:cs="Arial"/>
        </w:rPr>
        <w:t>, ambos de 201</w:t>
      </w:r>
      <w:r w:rsidR="006515E4" w:rsidRPr="00654D1D">
        <w:rPr>
          <w:rFonts w:ascii="ITC Avant Garde" w:hAnsi="ITC Avant Garde" w:cs="Arial"/>
        </w:rPr>
        <w:t>7</w:t>
      </w:r>
      <w:r w:rsidRPr="00654D1D">
        <w:rPr>
          <w:rFonts w:ascii="ITC Avant Garde" w:hAnsi="ITC Avant Garde" w:cs="Arial"/>
        </w:rPr>
        <w:t xml:space="preserve">, se notificó a la </w:t>
      </w:r>
      <w:r w:rsidR="008B08BA" w:rsidRPr="00654D1D">
        <w:rPr>
          <w:rFonts w:ascii="ITC Avant Garde" w:hAnsi="ITC Avant Garde" w:cs="Arial"/>
        </w:rPr>
        <w:t>Recurrente</w:t>
      </w:r>
      <w:r w:rsidRPr="00654D1D">
        <w:rPr>
          <w:rFonts w:ascii="ITC Avant Garde" w:hAnsi="ITC Avant Garde" w:cs="Arial"/>
        </w:rPr>
        <w:t xml:space="preserve"> el Acuerdo de fecha 1</w:t>
      </w:r>
      <w:r w:rsidR="006515E4" w:rsidRPr="00654D1D">
        <w:rPr>
          <w:rFonts w:ascii="ITC Avant Garde" w:hAnsi="ITC Avant Garde" w:cs="Arial"/>
        </w:rPr>
        <w:t>1</w:t>
      </w:r>
      <w:r w:rsidRPr="00654D1D">
        <w:rPr>
          <w:rFonts w:ascii="ITC Avant Garde" w:hAnsi="ITC Avant Garde" w:cs="Arial"/>
        </w:rPr>
        <w:t xml:space="preserve"> de </w:t>
      </w:r>
      <w:r w:rsidR="006515E4" w:rsidRPr="00654D1D">
        <w:rPr>
          <w:rFonts w:ascii="ITC Avant Garde" w:hAnsi="ITC Avant Garde" w:cs="Arial"/>
        </w:rPr>
        <w:t>enero</w:t>
      </w:r>
      <w:r w:rsidR="008B08BA" w:rsidRPr="00654D1D">
        <w:rPr>
          <w:rFonts w:ascii="ITC Avant Garde" w:hAnsi="ITC Avant Garde" w:cs="Arial"/>
        </w:rPr>
        <w:t xml:space="preserve"> de 2017 y por acta circunstanciada de 24 de enero de 2017 a la Solicitante.</w:t>
      </w:r>
    </w:p>
    <w:p w14:paraId="455123EF" w14:textId="77777777" w:rsidR="00654D1D" w:rsidRPr="00654D1D" w:rsidRDefault="008D6399" w:rsidP="00654D1D">
      <w:pPr>
        <w:pStyle w:val="Prrafodelista"/>
        <w:numPr>
          <w:ilvl w:val="0"/>
          <w:numId w:val="1"/>
        </w:numPr>
        <w:shd w:val="clear" w:color="auto" w:fill="FFFFFF" w:themeFill="background1"/>
        <w:tabs>
          <w:tab w:val="left" w:pos="0"/>
          <w:tab w:val="left" w:pos="567"/>
        </w:tabs>
        <w:spacing w:before="240"/>
        <w:ind w:left="0" w:firstLine="0"/>
        <w:jc w:val="both"/>
        <w:rPr>
          <w:rFonts w:ascii="ITC Avant Garde" w:hAnsi="ITC Avant Garde" w:cs="Arial"/>
        </w:rPr>
      </w:pPr>
      <w:r w:rsidRPr="00654D1D">
        <w:rPr>
          <w:rFonts w:ascii="ITC Avant Garde" w:hAnsi="ITC Avant Garde" w:cs="Arial"/>
        </w:rPr>
        <w:t>Por escrito de fecha 2</w:t>
      </w:r>
      <w:r w:rsidR="008B08BA" w:rsidRPr="00654D1D">
        <w:rPr>
          <w:rFonts w:ascii="ITC Avant Garde" w:hAnsi="ITC Avant Garde" w:cs="Arial"/>
        </w:rPr>
        <w:t xml:space="preserve">0 </w:t>
      </w:r>
      <w:r w:rsidRPr="00654D1D">
        <w:rPr>
          <w:rFonts w:ascii="ITC Avant Garde" w:hAnsi="ITC Avant Garde" w:cs="Arial"/>
        </w:rPr>
        <w:t xml:space="preserve">de </w:t>
      </w:r>
      <w:r w:rsidR="008B08BA" w:rsidRPr="00654D1D">
        <w:rPr>
          <w:rFonts w:ascii="ITC Avant Garde" w:hAnsi="ITC Avant Garde" w:cs="Arial"/>
        </w:rPr>
        <w:t>enero</w:t>
      </w:r>
      <w:r w:rsidRPr="00654D1D">
        <w:rPr>
          <w:rFonts w:ascii="ITC Avant Garde" w:hAnsi="ITC Avant Garde" w:cs="Arial"/>
        </w:rPr>
        <w:t xml:space="preserve"> de 201</w:t>
      </w:r>
      <w:r w:rsidR="008B08BA" w:rsidRPr="00654D1D">
        <w:rPr>
          <w:rFonts w:ascii="ITC Avant Garde" w:hAnsi="ITC Avant Garde" w:cs="Arial"/>
        </w:rPr>
        <w:t>7</w:t>
      </w:r>
      <w:r w:rsidRPr="00654D1D">
        <w:rPr>
          <w:rFonts w:ascii="ITC Avant Garde" w:hAnsi="ITC Avant Garde" w:cs="Arial"/>
        </w:rPr>
        <w:t xml:space="preserve">, </w:t>
      </w:r>
      <w:r w:rsidR="008B08BA" w:rsidRPr="00654D1D">
        <w:rPr>
          <w:rFonts w:ascii="ITC Avant Garde" w:hAnsi="ITC Avant Garde" w:cs="Arial"/>
        </w:rPr>
        <w:t>la Tercero Perjudicada</w:t>
      </w:r>
      <w:r w:rsidRPr="00654D1D">
        <w:rPr>
          <w:rFonts w:ascii="ITC Avant Garde" w:hAnsi="ITC Avant Garde" w:cs="Arial"/>
        </w:rPr>
        <w:t xml:space="preserve"> señala nuevo domicilio designa autorizados.</w:t>
      </w:r>
    </w:p>
    <w:p w14:paraId="235122D0" w14:textId="77777777" w:rsidR="00654D1D" w:rsidRPr="00654D1D" w:rsidRDefault="008D6399" w:rsidP="00654D1D">
      <w:pPr>
        <w:pStyle w:val="Prrafodelista"/>
        <w:numPr>
          <w:ilvl w:val="0"/>
          <w:numId w:val="1"/>
        </w:numPr>
        <w:shd w:val="clear" w:color="auto" w:fill="FFFFFF" w:themeFill="background1"/>
        <w:tabs>
          <w:tab w:val="left" w:pos="0"/>
          <w:tab w:val="left" w:pos="567"/>
        </w:tabs>
        <w:spacing w:before="240"/>
        <w:ind w:left="0" w:firstLine="0"/>
        <w:jc w:val="both"/>
        <w:rPr>
          <w:rFonts w:ascii="ITC Avant Garde" w:hAnsi="ITC Avant Garde" w:cs="Arial"/>
        </w:rPr>
      </w:pPr>
      <w:r w:rsidRPr="00654D1D">
        <w:rPr>
          <w:rFonts w:ascii="ITC Avant Garde" w:hAnsi="ITC Avant Garde" w:cs="Arial"/>
        </w:rPr>
        <w:t xml:space="preserve">Por oficio de fecha </w:t>
      </w:r>
      <w:r w:rsidR="008B08BA" w:rsidRPr="00654D1D">
        <w:rPr>
          <w:rFonts w:ascii="ITC Avant Garde" w:hAnsi="ITC Avant Garde" w:cs="Arial"/>
        </w:rPr>
        <w:t>23</w:t>
      </w:r>
      <w:r w:rsidRPr="00654D1D">
        <w:rPr>
          <w:rFonts w:ascii="ITC Avant Garde" w:hAnsi="ITC Avant Garde" w:cs="Arial"/>
        </w:rPr>
        <w:t xml:space="preserve"> de enero de 2017 se tuvo por señalado como nuevo domicilio de </w:t>
      </w:r>
      <w:r w:rsidR="008B08BA" w:rsidRPr="00654D1D">
        <w:rPr>
          <w:rFonts w:ascii="ITC Avant Garde" w:hAnsi="ITC Avant Garde" w:cs="Arial"/>
        </w:rPr>
        <w:t>la Tercero Perjudicada</w:t>
      </w:r>
      <w:r w:rsidRPr="00654D1D">
        <w:rPr>
          <w:rFonts w:ascii="ITC Avant Garde" w:hAnsi="ITC Avant Garde" w:cs="Arial"/>
        </w:rPr>
        <w:t xml:space="preserve"> y autorizadas a las personas desinadas en escrito </w:t>
      </w:r>
      <w:r w:rsidR="008B08BA" w:rsidRPr="00654D1D">
        <w:rPr>
          <w:rFonts w:ascii="ITC Avant Garde" w:hAnsi="ITC Avant Garde" w:cs="Arial"/>
        </w:rPr>
        <w:t>20 de enero de 2017</w:t>
      </w:r>
      <w:r w:rsidRPr="00654D1D">
        <w:rPr>
          <w:rFonts w:ascii="ITC Avant Garde" w:hAnsi="ITC Avant Garde" w:cs="Arial"/>
        </w:rPr>
        <w:t xml:space="preserve">, el cual fue notificado a la </w:t>
      </w:r>
      <w:r w:rsidR="008B08BA" w:rsidRPr="00654D1D">
        <w:rPr>
          <w:rFonts w:ascii="ITC Avant Garde" w:hAnsi="ITC Avant Garde" w:cs="Arial"/>
        </w:rPr>
        <w:t>Solicitante</w:t>
      </w:r>
      <w:r w:rsidRPr="00654D1D">
        <w:rPr>
          <w:rFonts w:ascii="ITC Avant Garde" w:hAnsi="ITC Avant Garde" w:cs="Arial"/>
        </w:rPr>
        <w:t xml:space="preserve"> mediante acta circunstanciada de fecha 24 de enero de 2017.</w:t>
      </w:r>
    </w:p>
    <w:p w14:paraId="01160A8F" w14:textId="77777777" w:rsidR="00654D1D" w:rsidRPr="00654D1D" w:rsidRDefault="008D6399" w:rsidP="00654D1D">
      <w:pPr>
        <w:pStyle w:val="Prrafodelista"/>
        <w:numPr>
          <w:ilvl w:val="0"/>
          <w:numId w:val="1"/>
        </w:numPr>
        <w:shd w:val="clear" w:color="auto" w:fill="FFFFFF" w:themeFill="background1"/>
        <w:tabs>
          <w:tab w:val="left" w:pos="0"/>
          <w:tab w:val="left" w:pos="567"/>
        </w:tabs>
        <w:spacing w:before="240"/>
        <w:ind w:left="0" w:firstLine="0"/>
        <w:jc w:val="both"/>
        <w:rPr>
          <w:rFonts w:ascii="ITC Avant Garde" w:hAnsi="ITC Avant Garde" w:cs="Arial"/>
        </w:rPr>
      </w:pPr>
      <w:r w:rsidRPr="00654D1D">
        <w:rPr>
          <w:rFonts w:ascii="ITC Avant Garde" w:hAnsi="ITC Avant Garde" w:cs="Arial"/>
        </w:rPr>
        <w:t xml:space="preserve">Mediante escrito de fecha </w:t>
      </w:r>
      <w:r w:rsidR="00FD47BF" w:rsidRPr="00654D1D">
        <w:rPr>
          <w:rFonts w:ascii="ITC Avant Garde" w:hAnsi="ITC Avant Garde" w:cs="Arial"/>
        </w:rPr>
        <w:t>23</w:t>
      </w:r>
      <w:r w:rsidRPr="00654D1D">
        <w:rPr>
          <w:rFonts w:ascii="ITC Avant Garde" w:hAnsi="ITC Avant Garde" w:cs="Arial"/>
        </w:rPr>
        <w:t xml:space="preserve"> de enero de 2017, la Recurrente solicitó la ampliación al plazo para rendir alegatos en relación al Recurso de Revisión que nos ocupa.</w:t>
      </w:r>
    </w:p>
    <w:p w14:paraId="1F29E67A" w14:textId="77777777" w:rsidR="00654D1D" w:rsidRPr="00654D1D" w:rsidRDefault="008D6399" w:rsidP="00654D1D">
      <w:pPr>
        <w:pStyle w:val="Prrafodelista"/>
        <w:numPr>
          <w:ilvl w:val="0"/>
          <w:numId w:val="1"/>
        </w:numPr>
        <w:shd w:val="clear" w:color="auto" w:fill="FFFFFF" w:themeFill="background1"/>
        <w:tabs>
          <w:tab w:val="left" w:pos="0"/>
          <w:tab w:val="left" w:pos="567"/>
        </w:tabs>
        <w:spacing w:before="240"/>
        <w:ind w:left="0" w:firstLine="0"/>
        <w:jc w:val="both"/>
        <w:rPr>
          <w:rFonts w:ascii="ITC Avant Garde" w:hAnsi="ITC Avant Garde" w:cs="Arial"/>
        </w:rPr>
      </w:pPr>
      <w:r w:rsidRPr="00654D1D">
        <w:rPr>
          <w:rFonts w:ascii="ITC Avant Garde" w:hAnsi="ITC Avant Garde" w:cs="Arial"/>
        </w:rPr>
        <w:t xml:space="preserve">Por Acuerdo de fecha </w:t>
      </w:r>
      <w:r w:rsidR="00FD47BF" w:rsidRPr="00654D1D">
        <w:rPr>
          <w:rFonts w:ascii="ITC Avant Garde" w:hAnsi="ITC Avant Garde" w:cs="Arial"/>
        </w:rPr>
        <w:t>24</w:t>
      </w:r>
      <w:r w:rsidRPr="00654D1D">
        <w:rPr>
          <w:rFonts w:ascii="ITC Avant Garde" w:hAnsi="ITC Avant Garde" w:cs="Arial"/>
        </w:rPr>
        <w:t xml:space="preserve"> de enero de 2017, se otorgó a la Recurrente la ampliación del plazo solicitado, para rendir sus Alegatos, por 3 días adicionales al plazo original, mismo que fue notificado mediante citatorio de fecha </w:t>
      </w:r>
      <w:r w:rsidR="00FD47BF" w:rsidRPr="00654D1D">
        <w:rPr>
          <w:rFonts w:ascii="ITC Avant Garde" w:hAnsi="ITC Avant Garde" w:cs="Arial"/>
        </w:rPr>
        <w:t>30</w:t>
      </w:r>
      <w:r w:rsidRPr="00654D1D">
        <w:rPr>
          <w:rFonts w:ascii="ITC Avant Garde" w:hAnsi="ITC Avant Garde" w:cs="Arial"/>
        </w:rPr>
        <w:t xml:space="preserve"> e instructivo del </w:t>
      </w:r>
      <w:r w:rsidR="00FD47BF" w:rsidRPr="00654D1D">
        <w:rPr>
          <w:rFonts w:ascii="ITC Avant Garde" w:hAnsi="ITC Avant Garde" w:cs="Arial"/>
        </w:rPr>
        <w:t>31</w:t>
      </w:r>
      <w:r w:rsidRPr="00654D1D">
        <w:rPr>
          <w:rFonts w:ascii="ITC Avant Garde" w:hAnsi="ITC Avant Garde" w:cs="Arial"/>
        </w:rPr>
        <w:t>, ambos de enero del presente año.</w:t>
      </w:r>
    </w:p>
    <w:p w14:paraId="1261A641" w14:textId="77777777" w:rsidR="00654D1D" w:rsidRPr="00654D1D" w:rsidRDefault="008D6399" w:rsidP="00654D1D">
      <w:pPr>
        <w:pStyle w:val="Prrafodelista"/>
        <w:numPr>
          <w:ilvl w:val="0"/>
          <w:numId w:val="1"/>
        </w:numPr>
        <w:shd w:val="clear" w:color="auto" w:fill="FFFFFF" w:themeFill="background1"/>
        <w:tabs>
          <w:tab w:val="left" w:pos="0"/>
          <w:tab w:val="left" w:pos="567"/>
        </w:tabs>
        <w:spacing w:before="240"/>
        <w:ind w:left="0" w:firstLine="0"/>
        <w:jc w:val="both"/>
        <w:rPr>
          <w:rFonts w:ascii="ITC Avant Garde" w:hAnsi="ITC Avant Garde" w:cs="Arial"/>
        </w:rPr>
      </w:pPr>
      <w:r w:rsidRPr="00654D1D">
        <w:rPr>
          <w:rFonts w:ascii="ITC Avant Garde" w:hAnsi="ITC Avant Garde" w:cs="Arial"/>
        </w:rPr>
        <w:t xml:space="preserve">Con fecha </w:t>
      </w:r>
      <w:r w:rsidR="00FD47BF" w:rsidRPr="00654D1D">
        <w:rPr>
          <w:rFonts w:ascii="ITC Avant Garde" w:hAnsi="ITC Avant Garde" w:cs="Arial"/>
        </w:rPr>
        <w:t>31</w:t>
      </w:r>
      <w:r w:rsidRPr="00654D1D">
        <w:rPr>
          <w:rFonts w:ascii="ITC Avant Garde" w:hAnsi="ITC Avant Garde" w:cs="Arial"/>
        </w:rPr>
        <w:t xml:space="preserve"> de enero de 2017, la Tercero Perjudicada presentó en la Oficialía de Partes del Instituto Federal de Telecomunicaciones escrito que contiene Alegatos, relativos al procedimiento administrativo.</w:t>
      </w:r>
    </w:p>
    <w:p w14:paraId="4B601DB0" w14:textId="257B9DCE" w:rsidR="008D6399" w:rsidRPr="00654D1D" w:rsidRDefault="008D6399" w:rsidP="00654D1D">
      <w:pPr>
        <w:pStyle w:val="Prrafodelista"/>
        <w:numPr>
          <w:ilvl w:val="0"/>
          <w:numId w:val="1"/>
        </w:numPr>
        <w:shd w:val="clear" w:color="auto" w:fill="FFFFFF" w:themeFill="background1"/>
        <w:tabs>
          <w:tab w:val="left" w:pos="0"/>
          <w:tab w:val="left" w:pos="567"/>
        </w:tabs>
        <w:spacing w:before="240"/>
        <w:ind w:left="0" w:firstLine="0"/>
        <w:jc w:val="both"/>
        <w:rPr>
          <w:rFonts w:ascii="ITC Avant Garde" w:hAnsi="ITC Avant Garde" w:cs="Arial"/>
        </w:rPr>
      </w:pPr>
      <w:r w:rsidRPr="00654D1D">
        <w:rPr>
          <w:rFonts w:ascii="ITC Avant Garde" w:hAnsi="ITC Avant Garde" w:cs="Arial"/>
        </w:rPr>
        <w:t xml:space="preserve">Por escrito presentado en Oficialía de Partes del Instituto Federal de Telecomunicaciones el día </w:t>
      </w:r>
      <w:r w:rsidR="00FD47BF" w:rsidRPr="00654D1D">
        <w:rPr>
          <w:rFonts w:ascii="ITC Avant Garde" w:hAnsi="ITC Avant Garde" w:cs="Arial"/>
        </w:rPr>
        <w:t>2</w:t>
      </w:r>
      <w:r w:rsidRPr="00654D1D">
        <w:rPr>
          <w:rFonts w:ascii="ITC Avant Garde" w:hAnsi="ITC Avant Garde" w:cs="Arial"/>
        </w:rPr>
        <w:t xml:space="preserve"> de </w:t>
      </w:r>
      <w:r w:rsidR="00FD47BF" w:rsidRPr="00654D1D">
        <w:rPr>
          <w:rFonts w:ascii="ITC Avant Garde" w:hAnsi="ITC Avant Garde" w:cs="Arial"/>
        </w:rPr>
        <w:t>febrero</w:t>
      </w:r>
      <w:r w:rsidRPr="00654D1D">
        <w:rPr>
          <w:rFonts w:ascii="ITC Avant Garde" w:hAnsi="ITC Avant Garde" w:cs="Arial"/>
        </w:rPr>
        <w:t xml:space="preserve"> de 2017, la Recurrente rindió sus Alegatos.</w:t>
      </w:r>
    </w:p>
    <w:p w14:paraId="28F9F2BA" w14:textId="77777777" w:rsidR="00654D1D" w:rsidRPr="00654D1D" w:rsidRDefault="003E526D" w:rsidP="00654D1D">
      <w:pPr>
        <w:keepNext/>
        <w:spacing w:before="240"/>
        <w:jc w:val="center"/>
        <w:outlineLvl w:val="1"/>
        <w:rPr>
          <w:rFonts w:ascii="ITC Avant Garde" w:eastAsia="Times New Roman" w:hAnsi="ITC Avant Garde" w:cs="Arial"/>
          <w:b/>
          <w:lang w:val="es-ES" w:eastAsia="es-MX"/>
        </w:rPr>
      </w:pPr>
      <w:r w:rsidRPr="00654D1D">
        <w:rPr>
          <w:rFonts w:ascii="ITC Avant Garde" w:eastAsia="Times New Roman" w:hAnsi="ITC Avant Garde" w:cs="Arial"/>
          <w:b/>
          <w:lang w:val="es-ES" w:eastAsia="es-MX"/>
        </w:rPr>
        <w:t>CONSIDERANDO</w:t>
      </w:r>
    </w:p>
    <w:p w14:paraId="413C1EE2" w14:textId="77777777" w:rsidR="00654D1D" w:rsidRPr="00654D1D" w:rsidRDefault="003E526D" w:rsidP="00654D1D">
      <w:pPr>
        <w:adjustRightInd w:val="0"/>
        <w:spacing w:before="240"/>
        <w:jc w:val="both"/>
        <w:rPr>
          <w:rFonts w:ascii="ITC Avant Garde" w:eastAsia="Times New Roman" w:hAnsi="ITC Avant Garde" w:cs="Arial"/>
          <w:bCs/>
          <w:lang w:eastAsia="es-ES"/>
        </w:rPr>
      </w:pPr>
      <w:r w:rsidRPr="00654D1D">
        <w:rPr>
          <w:rFonts w:ascii="ITC Avant Garde" w:eastAsia="Times New Roman" w:hAnsi="ITC Avant Garde" w:cs="Arial"/>
          <w:b/>
          <w:bCs/>
          <w:lang w:eastAsia="es-ES"/>
        </w:rPr>
        <w:t xml:space="preserve">PRIMERO.- </w:t>
      </w:r>
      <w:r w:rsidRPr="00654D1D">
        <w:rPr>
          <w:rFonts w:ascii="ITC Avant Garde" w:eastAsia="Times New Roman" w:hAnsi="ITC Avant Garde" w:cs="Arial"/>
          <w:bCs/>
          <w:lang w:eastAsia="es-ES"/>
        </w:rPr>
        <w:t xml:space="preserve">El 11 de junio de 2013, se publicó en el Diario Oficial de la Federación (en lo sucesivo, el “DOF”), el “Decreto por el que se reforman y adicionan diversas disposiciones de los artículos 6o., 7o., 27, 28, 73, 78, 94 y 105 de la Constitución Política de los Estados Unidos Mexicanos, en materia de telecomunicaciones” (en lo sucesivo, “Decreto”), mediante el cual se creó al Instituto, como un órgano autónomo con personalidad jurídica y patrimonio propio, cuyo objeto es el desarrollo eficiente de la radiodifusión y </w:t>
      </w:r>
      <w:r w:rsidRPr="00654D1D">
        <w:rPr>
          <w:rFonts w:ascii="ITC Avant Garde" w:eastAsia="Times New Roman" w:hAnsi="ITC Avant Garde" w:cs="Arial"/>
          <w:bCs/>
          <w:lang w:eastAsia="es-ES"/>
        </w:rPr>
        <w:lastRenderedPageBreak/>
        <w:t>las telecomunicaciones conforme a lo dispuesto en la propia Constitución Política de los Estados Unidos Mexicanos (en lo sucesivo, la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67F1C99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Conforme al SÉPTIMO Transitorio del Decreto, los procedimientos iniciados con anterioridad a la integración del Instituto, continuarán su trámite ante éste órgano en términos de la legislación aplicable al momento de su inicio, siendo el Instituto causahabiente de la hoy extinta Comisión.</w:t>
      </w:r>
    </w:p>
    <w:p w14:paraId="6C440038" w14:textId="77777777" w:rsidR="00654D1D" w:rsidRPr="00654D1D" w:rsidRDefault="003E526D" w:rsidP="00654D1D">
      <w:pPr>
        <w:adjustRightInd w:val="0"/>
        <w:spacing w:before="240"/>
        <w:jc w:val="both"/>
        <w:rPr>
          <w:rFonts w:ascii="ITC Avant Garde" w:eastAsia="Times New Roman" w:hAnsi="ITC Avant Garde" w:cs="Arial"/>
          <w:bCs/>
          <w:lang w:eastAsia="es-ES"/>
        </w:rPr>
      </w:pPr>
      <w:r w:rsidRPr="00654D1D">
        <w:rPr>
          <w:rFonts w:ascii="ITC Avant Garde" w:eastAsia="Times New Roman" w:hAnsi="ITC Avant Garde" w:cs="Arial"/>
          <w:b/>
          <w:bCs/>
          <w:lang w:eastAsia="es-ES"/>
        </w:rPr>
        <w:t xml:space="preserve">SEGUNDO.- </w:t>
      </w:r>
      <w:r w:rsidRPr="00654D1D">
        <w:rPr>
          <w:rFonts w:ascii="ITC Avant Garde" w:eastAsia="Times New Roman" w:hAnsi="ITC Avant Garde" w:cs="Arial"/>
          <w:bCs/>
          <w:lang w:eastAsia="es-ES"/>
        </w:rPr>
        <w:t>El órgano de gobierno del Instituto se integra por siete Comisionados, incluyendo al Comisionado Presidente, designados en forma escalonada a propuesta del Ejecutivo Federal con la ratificación del Senado de la República, de conformidad con el artículo 28 párrafo vigésimo primero de la Constitución.</w:t>
      </w:r>
    </w:p>
    <w:p w14:paraId="4FE1B18C" w14:textId="77777777" w:rsidR="00654D1D" w:rsidRPr="00654D1D" w:rsidRDefault="003E526D" w:rsidP="00654D1D">
      <w:pPr>
        <w:adjustRightInd w:val="0"/>
        <w:spacing w:before="240"/>
        <w:jc w:val="both"/>
        <w:rPr>
          <w:rFonts w:ascii="ITC Avant Garde" w:eastAsia="Times New Roman" w:hAnsi="ITC Avant Garde" w:cs="Arial"/>
          <w:bCs/>
          <w:lang w:eastAsia="es-ES"/>
        </w:rPr>
      </w:pPr>
      <w:r w:rsidRPr="00654D1D">
        <w:rPr>
          <w:rFonts w:ascii="ITC Avant Garde" w:eastAsia="Times New Roman" w:hAnsi="ITC Avant Garde" w:cs="Arial"/>
          <w:bCs/>
          <w:lang w:eastAsia="es-ES"/>
        </w:rPr>
        <w:t>A este respecto, el 10 de septiembre de 2013, quedó integrado el Instituto en términos de lo dispuesto por el artículo Sexto Transitorio del Decreto, mediante la ratificación por parte del Senado de la República de los nombramientos de los Comisionados que integran su órgano de gobierno y la designación de su Presidente.</w:t>
      </w:r>
    </w:p>
    <w:p w14:paraId="6112D57C" w14:textId="77777777" w:rsidR="00654D1D" w:rsidRPr="00654D1D" w:rsidRDefault="003E526D" w:rsidP="00654D1D">
      <w:pPr>
        <w:spacing w:before="240"/>
        <w:jc w:val="both"/>
        <w:rPr>
          <w:rFonts w:ascii="ITC Avant Garde" w:eastAsia="Calibri" w:hAnsi="ITC Avant Garde" w:cs="Arial"/>
        </w:rPr>
      </w:pPr>
      <w:r w:rsidRPr="00654D1D">
        <w:rPr>
          <w:rFonts w:ascii="ITC Avant Garde" w:eastAsia="Times New Roman" w:hAnsi="ITC Avant Garde" w:cs="Arial"/>
          <w:b/>
          <w:bCs/>
          <w:lang w:eastAsia="es-ES"/>
        </w:rPr>
        <w:t xml:space="preserve">TERCERO.- </w:t>
      </w:r>
      <w:r w:rsidRPr="00654D1D">
        <w:rPr>
          <w:rFonts w:ascii="ITC Avant Garde" w:eastAsia="Calibri" w:hAnsi="ITC Avant Garde" w:cs="Arial"/>
        </w:rPr>
        <w:t xml:space="preserve">De conformidad con el artículo 28 de la Constitución, el Instituto es un órgano autónomo, con personalidad jurídica y patrimonio propio, que tiene por objeto el desarrollo eficiente de la radiodifusión y las telecomunicaciones, conforme a lo dispuesto en la propia Constitución y en los términos que fijen las leyes. </w:t>
      </w:r>
    </w:p>
    <w:p w14:paraId="2C67CD13" w14:textId="77777777" w:rsidR="00654D1D" w:rsidRPr="00654D1D" w:rsidRDefault="003E526D" w:rsidP="00654D1D">
      <w:pPr>
        <w:spacing w:before="240"/>
        <w:jc w:val="both"/>
        <w:rPr>
          <w:rFonts w:ascii="ITC Avant Garde" w:eastAsia="Calibri" w:hAnsi="ITC Avant Garde" w:cs="Arial"/>
        </w:rPr>
      </w:pPr>
      <w:r w:rsidRPr="00654D1D">
        <w:rPr>
          <w:rFonts w:ascii="ITC Avant Garde" w:eastAsia="Calibri" w:hAnsi="ITC Avant Garde" w:cs="Arial"/>
        </w:rPr>
        <w:t>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35479F09" w14:textId="77777777" w:rsidR="00654D1D" w:rsidRPr="00654D1D" w:rsidRDefault="003E526D" w:rsidP="00654D1D">
      <w:pPr>
        <w:spacing w:before="240"/>
        <w:jc w:val="both"/>
        <w:rPr>
          <w:rFonts w:ascii="ITC Avant Garde" w:eastAsia="Times New Roman" w:hAnsi="ITC Avant Garde" w:cs="Arial"/>
          <w:bCs/>
          <w:lang w:eastAsia="es-ES"/>
        </w:rPr>
      </w:pPr>
      <w:r w:rsidRPr="00654D1D">
        <w:rPr>
          <w:rFonts w:ascii="ITC Avant Garde" w:eastAsia="Calibri" w:hAnsi="ITC Avant Garde" w:cs="Arial"/>
        </w:rPr>
        <w:t xml:space="preserve">En este sentido, el Instituto será independiente en sus decisiones y funcionamiento, profesional en su desempeño e imparcial en sus actuaciones, dictará sus resoluciones con plena independencia; las leyes garantizarán, dentro del Instituto, la separación entre la autoridad que conoce de la etapa de investigación y la que resuelve en los procedimientos que se sustancien en forma de juicio; los órganos de gobierno deliberarán en forma colegiada y decidirán los asuntos por mayoría de votos; sus </w:t>
      </w:r>
      <w:r w:rsidRPr="00654D1D">
        <w:rPr>
          <w:rFonts w:ascii="ITC Avant Garde" w:eastAsia="Calibri" w:hAnsi="ITC Avant Garde" w:cs="Arial"/>
        </w:rPr>
        <w:lastRenderedPageBreak/>
        <w:t>sesiones, acuerdos y resoluciones serán de carácter público con las excepciones que determine la ley.</w:t>
      </w:r>
    </w:p>
    <w:p w14:paraId="5FC3D4DA" w14:textId="77777777" w:rsidR="00654D1D" w:rsidRPr="00654D1D" w:rsidRDefault="003E526D" w:rsidP="00654D1D">
      <w:pPr>
        <w:adjustRightInd w:val="0"/>
        <w:spacing w:before="240"/>
        <w:jc w:val="both"/>
        <w:rPr>
          <w:rFonts w:ascii="ITC Avant Garde" w:eastAsia="Times New Roman" w:hAnsi="ITC Avant Garde" w:cs="Arial"/>
          <w:lang w:eastAsia="es-ES"/>
        </w:rPr>
      </w:pPr>
      <w:r w:rsidRPr="00654D1D">
        <w:rPr>
          <w:rFonts w:ascii="ITC Avant Garde" w:eastAsia="Times New Roman" w:hAnsi="ITC Avant Garde" w:cs="Arial"/>
          <w:bCs/>
          <w:lang w:eastAsia="es-ES"/>
        </w:rPr>
        <w:t>E</w:t>
      </w:r>
      <w:r w:rsidRPr="00654D1D">
        <w:rPr>
          <w:rFonts w:ascii="ITC Avant Garde" w:eastAsia="Times New Roman" w:hAnsi="ITC Avant Garde" w:cs="Arial"/>
          <w:lang w:eastAsia="es-ES"/>
        </w:rPr>
        <w:t>l Pleno del Instituto mediante Acuerdo adoptado en su I Sesión, celebrada el 20 de septiembre de 2013, aprobó el “Estatuto Orgánico del Instituto Federal de Telecomunicaciones”, mismo que fue publicado en el DOF el 23 de septiembre de 2013, el cual persigue como fin, entre otras cosas, dotar a las Unidades Administrativas de facultades suficientes para conocer de los asuntos competencia del Instituto, a efecto de ejercer las facultades constitucionales y legales que le permitan sustanciar los procedimientos a cargo de éste.</w:t>
      </w:r>
    </w:p>
    <w:p w14:paraId="3115DC57" w14:textId="77777777" w:rsidR="00654D1D" w:rsidRPr="00654D1D" w:rsidRDefault="003E526D" w:rsidP="00654D1D">
      <w:pPr>
        <w:adjustRightInd w:val="0"/>
        <w:spacing w:before="240"/>
        <w:jc w:val="both"/>
        <w:rPr>
          <w:rFonts w:ascii="ITC Avant Garde" w:hAnsi="ITC Avant Garde" w:cs="Arial"/>
        </w:rPr>
      </w:pPr>
      <w:r w:rsidRPr="00654D1D">
        <w:rPr>
          <w:rFonts w:ascii="ITC Avant Garde" w:eastAsia="Times New Roman" w:hAnsi="ITC Avant Garde" w:cs="Arial"/>
          <w:lang w:eastAsia="es-ES"/>
        </w:rPr>
        <w:t>El 14 de julio de 2014 se publicó en el DOF la Ley Federal de Telecomunicaciones y Radiodifusión, en cuyo artículo 15, fracción X estableció como facultad indelegable del Pleno del Instituto “</w:t>
      </w:r>
      <w:r w:rsidRPr="00654D1D">
        <w:rPr>
          <w:rFonts w:ascii="ITC Avant Garde" w:hAnsi="ITC Avant Garde" w:cs="Arial"/>
        </w:rPr>
        <w:t>Resolver y establecer los términos y condiciones de interconexión que no hayan podido convenir los concesionarios respecto de sus redes públicas de telecomunicaciones conforme a lo previsto en la presente Ley”.</w:t>
      </w:r>
    </w:p>
    <w:p w14:paraId="1D8AD18E"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eastAsia="es-ES"/>
        </w:rPr>
        <w:t xml:space="preserve">Asimismo, el Pleno del Instituto mediante </w:t>
      </w:r>
      <w:r w:rsidRPr="00654D1D">
        <w:rPr>
          <w:rFonts w:ascii="ITC Avant Garde" w:hAnsi="ITC Avant Garde" w:cs="Arial"/>
        </w:rPr>
        <w:t xml:space="preserve">Acuerdo P/IFT/EXT/270814/209 adoptado en su XXII Sesión Extraordinaria celebrada el 27 de agosto de 2014 aprobó el </w:t>
      </w:r>
      <w:r w:rsidRPr="00654D1D">
        <w:rPr>
          <w:rFonts w:ascii="ITC Avant Garde" w:eastAsia="Times New Roman" w:hAnsi="ITC Avant Garde" w:cs="Arial"/>
          <w:lang w:eastAsia="es-ES"/>
        </w:rPr>
        <w:t xml:space="preserve">“Estatuto Orgánico del Instituto Federal de Telecomunicaciones”, mismo que fue publicado en el DOF el 4 de septiembre de 2014 (en lo sucesivo el “Estatuto”), por el cual quedó abrogado el Estatuto Orgánico referido en el párrafo precedente. El Estatuto fue reformado mediante acuerdo publicado en el DOF el 17 de octubre de 2014 y posteriormente mediante acuerdo publicado en el DOF el 17 de octubre de 2016. </w:t>
      </w:r>
    </w:p>
    <w:p w14:paraId="4B601DC9" w14:textId="2EB2D464" w:rsidR="003E526D" w:rsidRPr="00654D1D" w:rsidRDefault="003E526D" w:rsidP="00654D1D">
      <w:pPr>
        <w:adjustRightInd w:val="0"/>
        <w:spacing w:before="240"/>
        <w:jc w:val="both"/>
        <w:rPr>
          <w:rFonts w:ascii="ITC Avant Garde" w:eastAsia="Times New Roman" w:hAnsi="ITC Avant Garde" w:cs="Arial"/>
          <w:lang w:eastAsia="es-ES"/>
        </w:rPr>
      </w:pPr>
      <w:r w:rsidRPr="00654D1D">
        <w:rPr>
          <w:rFonts w:ascii="ITC Avant Garde" w:eastAsia="Times New Roman" w:hAnsi="ITC Avant Garde" w:cs="Arial"/>
          <w:lang w:eastAsia="es-ES"/>
        </w:rPr>
        <w:t>De conformidad con el artículo 2, fracción X del Estatuto</w:t>
      </w:r>
      <w:r w:rsidR="00B41BAF" w:rsidRPr="00654D1D">
        <w:rPr>
          <w:rFonts w:ascii="ITC Avant Garde" w:eastAsia="Times New Roman" w:hAnsi="ITC Avant Garde" w:cs="Arial"/>
          <w:lang w:eastAsia="es-ES"/>
        </w:rPr>
        <w:t xml:space="preserve"> vigente</w:t>
      </w:r>
      <w:r w:rsidRPr="00654D1D">
        <w:rPr>
          <w:rFonts w:ascii="ITC Avant Garde" w:eastAsia="Times New Roman" w:hAnsi="ITC Avant Garde" w:cs="Arial"/>
          <w:lang w:eastAsia="es-ES"/>
        </w:rPr>
        <w:t>, el Pleno es el órgano máximo de gobierno y decisión del Instituto integrado por siete Comisionados con voz y voto, incluido su Presidente.</w:t>
      </w:r>
    </w:p>
    <w:p w14:paraId="4B601DCA" w14:textId="77777777" w:rsidR="003E526D" w:rsidRPr="00654D1D" w:rsidRDefault="003E526D" w:rsidP="00654D1D">
      <w:pPr>
        <w:adjustRightInd w:val="0"/>
        <w:spacing w:before="240"/>
        <w:jc w:val="both"/>
        <w:rPr>
          <w:rFonts w:ascii="ITC Avant Garde" w:eastAsia="Times New Roman" w:hAnsi="ITC Avant Garde" w:cs="Arial"/>
          <w:highlight w:val="yellow"/>
          <w:lang w:eastAsia="es-ES"/>
        </w:rPr>
      </w:pPr>
      <w:r w:rsidRPr="00654D1D">
        <w:rPr>
          <w:rFonts w:ascii="ITC Avant Garde" w:eastAsia="Times New Roman" w:hAnsi="ITC Avant Garde" w:cs="Arial"/>
          <w:lang w:eastAsia="es-ES"/>
        </w:rPr>
        <w:t xml:space="preserve"> </w:t>
      </w:r>
    </w:p>
    <w:p w14:paraId="1E5F0636"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hAnsi="ITC Avant Garde" w:cs="Arial"/>
        </w:rPr>
        <w:t>Los artículos 83 y 86 de la Ley Federal de Procedimiento Administrativo disponen que los interesados afectados por los actos y resoluciones de las autoridades administrativas que pongan fin a un procedimiento, a una instancia o resuelvan un expediente, podrán interponer recurso de revisión ante la autoridad que emitió el acto impugnado, el que será resuelto por el superior jerárquico</w:t>
      </w:r>
      <w:r w:rsidRPr="00654D1D">
        <w:rPr>
          <w:rFonts w:ascii="ITC Avant Garde" w:eastAsia="Times New Roman" w:hAnsi="ITC Avant Garde" w:cs="Arial"/>
          <w:lang w:val="es-ES" w:eastAsia="es-ES"/>
        </w:rPr>
        <w:t xml:space="preserve">, salvo que el acto impugnado provenga del titular de una dependencia, en cuyo caso será resuelto por el mismo. </w:t>
      </w:r>
    </w:p>
    <w:p w14:paraId="051CB91D" w14:textId="1CB20AA4" w:rsidR="00654D1D" w:rsidRPr="00654D1D" w:rsidRDefault="003E526D" w:rsidP="00654D1D">
      <w:pPr>
        <w:adjustRightInd w:val="0"/>
        <w:spacing w:before="240"/>
        <w:jc w:val="both"/>
        <w:rPr>
          <w:rFonts w:ascii="ITC Avant Garde" w:eastAsia="Times New Roman" w:hAnsi="ITC Avant Garde" w:cs="Arial"/>
          <w:lang w:eastAsia="es-ES"/>
        </w:rPr>
      </w:pPr>
      <w:r w:rsidRPr="00654D1D">
        <w:rPr>
          <w:rFonts w:ascii="ITC Avant Garde" w:eastAsia="Times New Roman" w:hAnsi="ITC Avant Garde" w:cs="Arial"/>
          <w:lang w:eastAsia="es-ES"/>
        </w:rPr>
        <w:t xml:space="preserve">Derivado de que el Pleno del Instituto es el órgano facultado para resolver los desacuerdos en materia de interconexión conforme al artículo 15, fracción X de la Ley Federal de Telecomunicaciones y Radiodifusión, y que en el caso la resolución recurrida </w:t>
      </w:r>
      <w:r w:rsidRPr="00654D1D">
        <w:rPr>
          <w:rFonts w:ascii="ITC Avant Garde" w:eastAsia="Times New Roman" w:hAnsi="ITC Avant Garde" w:cs="Arial"/>
          <w:lang w:eastAsia="es-ES"/>
        </w:rPr>
        <w:lastRenderedPageBreak/>
        <w:t>corresponde a la decisión de un desacuerdo de esa índole, emitida en su momento por el Pleno de la entonces Comisión, y siendo el Pleno del Instituto el órgano máximo de decisión dentro del Instituto, conforme al artículo 2, fracción X del Estatuto, el Pleno del Instituto resulta competente para emitir la presente resolución por ser el órgano máximo del Instituto, siendo la autoridad facultada para resolver el recurso conforme a la parte final del primer párrafo del artículo 86 de la Ley Federal d</w:t>
      </w:r>
      <w:r w:rsidR="00654D1D">
        <w:rPr>
          <w:rFonts w:ascii="ITC Avant Garde" w:eastAsia="Times New Roman" w:hAnsi="ITC Avant Garde" w:cs="Arial"/>
          <w:lang w:eastAsia="es-ES"/>
        </w:rPr>
        <w:t>e Procedimiento Administrativo.</w:t>
      </w:r>
    </w:p>
    <w:p w14:paraId="38429517"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b/>
          <w:lang w:val="es-ES" w:eastAsia="es-MX"/>
        </w:rPr>
        <w:t>CUARTO.-</w:t>
      </w:r>
      <w:r w:rsidRPr="00654D1D">
        <w:rPr>
          <w:rFonts w:ascii="ITC Avant Garde" w:eastAsia="Times New Roman" w:hAnsi="ITC Avant Garde" w:cs="Arial"/>
          <w:lang w:val="es-ES" w:eastAsia="es-MX"/>
        </w:rPr>
        <w:t xml:space="preserve"> Que esta autoridad es competente para conocer y resolver el recurso de revisión interpuesto por la Recurrente, en términos de lo dispuesto por el artículo 86 de la Ley Federal de Procedimiento Administrativo, en relación con los diversos </w:t>
      </w:r>
      <w:r w:rsidRPr="00654D1D">
        <w:rPr>
          <w:rFonts w:ascii="ITC Avant Garde" w:eastAsia="Times New Roman" w:hAnsi="ITC Avant Garde" w:cs="Arial"/>
          <w:lang w:val="es-ES" w:eastAsia="es-ES"/>
        </w:rPr>
        <w:t>15, fracción X de la Ley Federal de Telecomunicaciones y Radiodifusión, y 2, fracción X del Estatuto</w:t>
      </w:r>
      <w:r w:rsidRPr="00654D1D">
        <w:rPr>
          <w:rFonts w:ascii="ITC Avant Garde" w:eastAsia="Times New Roman" w:hAnsi="ITC Avant Garde" w:cs="Arial"/>
          <w:lang w:val="es-ES" w:eastAsia="es-MX"/>
        </w:rPr>
        <w:t>.</w:t>
      </w:r>
    </w:p>
    <w:p w14:paraId="57768C87"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b/>
          <w:lang w:val="es-ES" w:eastAsia="es-ES"/>
        </w:rPr>
        <w:t>QUINTO.-</w:t>
      </w:r>
      <w:r w:rsidRPr="00654D1D">
        <w:rPr>
          <w:rFonts w:ascii="ITC Avant Garde" w:eastAsia="Times New Roman" w:hAnsi="ITC Avant Garde" w:cs="Arial"/>
          <w:lang w:val="es-ES" w:eastAsia="es-ES"/>
        </w:rPr>
        <w:t xml:space="preserve"> Que el recurso de revisión interpuesto en contra de la Resolución es procedente en virtud de que no se configura ninguno de los supuestos señalados por el artículo 89 de la LFPA. </w:t>
      </w:r>
    </w:p>
    <w:p w14:paraId="0849B55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b/>
        </w:rPr>
        <w:t xml:space="preserve">SEXTO.- </w:t>
      </w:r>
      <w:r w:rsidRPr="00654D1D">
        <w:rPr>
          <w:rFonts w:ascii="ITC Avant Garde" w:hAnsi="ITC Avant Garde" w:cs="Arial"/>
        </w:rPr>
        <w:t>Que conforme a lo dispuesto por el artículo 91 de la Ley Federal de Procedimiento Administrativo, la autoridad encargada de resolver el recurso podrá: I.- Desecharlo por improcedente o sobreseerlo; II.- Confirmar el acto impugnado; III.- Declarar la inexistencia, nulidad o anulabilidad del acto impugnado o revocarlo total o parcialmente; y IV.- Modificar u ordenar la modificación del acto impugnado o dictar u ordenar expedir uno nuevo que lo sustituya, cuando el recurso interpuesto sea total o parcialmente resuelto a favor del recurrente.</w:t>
      </w:r>
    </w:p>
    <w:p w14:paraId="58520243"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b/>
          <w:lang w:val="es-ES" w:eastAsia="es-MX"/>
        </w:rPr>
        <w:t>SÉPTIMO.-</w:t>
      </w:r>
      <w:r w:rsidRPr="00654D1D">
        <w:rPr>
          <w:rFonts w:ascii="ITC Avant Garde" w:eastAsia="Times New Roman" w:hAnsi="ITC Avant Garde" w:cs="Arial"/>
          <w:lang w:val="es-ES" w:eastAsia="es-MX"/>
        </w:rPr>
        <w:t xml:space="preserve"> Que el artículo 92 de la LFPA en sus párrafos primero y último establece que la resolución del recurso se fundará en derecho y examinará todos y cada uno de los agravios hechos valer por el recurrente teniendo la autoridad la facultad de invocar hechos notorios; pero, cuando uno de los agravios sea suficiente para desvirtuar la validez del acto impugnado bastará con el examen de dicho punto; y si la resolución ordena realizar un determinado acto o iniciar la reposición del procedimiento, deberá cumplirse en un plazo de cuatro meses.</w:t>
      </w:r>
    </w:p>
    <w:p w14:paraId="3BE047F3"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b/>
          <w:lang w:val="es-ES" w:eastAsia="es-MX"/>
        </w:rPr>
        <w:t xml:space="preserve">OCTAVO.- </w:t>
      </w:r>
      <w:r w:rsidRPr="00654D1D">
        <w:rPr>
          <w:rFonts w:ascii="ITC Avant Garde" w:eastAsia="Times New Roman" w:hAnsi="ITC Avant Garde" w:cs="Arial"/>
          <w:lang w:val="es-ES" w:eastAsia="es-MX"/>
        </w:rPr>
        <w:t>Que la Recurrente hace valer los siguientes argumentos, en síntesis:</w:t>
      </w:r>
    </w:p>
    <w:p w14:paraId="5CA8C28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el escrito por el que la Recurrente interpuso el recurso de revisión contra la resolución recurrida, incluyó un apartado de </w:t>
      </w:r>
      <w:r w:rsidRPr="00654D1D">
        <w:rPr>
          <w:rFonts w:ascii="ITC Avant Garde" w:hAnsi="ITC Avant Garde" w:cs="Arial"/>
          <w:b/>
        </w:rPr>
        <w:t>CONSIDERACIONES PREVIAS</w:t>
      </w:r>
      <w:r w:rsidRPr="00654D1D">
        <w:rPr>
          <w:rFonts w:ascii="ITC Avant Garde" w:hAnsi="ITC Avant Garde" w:cs="Arial"/>
        </w:rPr>
        <w:t>, en el que manifestó esencialmente lo siguiente:</w:t>
      </w:r>
    </w:p>
    <w:p w14:paraId="012278D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Invocó que el Pleno de la Comisión es competente para resolver el recurso de revisión, de conformidad con el artículo 9-A de la Ley Federal de Telecomunicaciones, pues tiene autonomía técnica y de gestión para dictar sus resoluciones, por lo que éstas no pueden </w:t>
      </w:r>
      <w:r w:rsidRPr="00654D1D">
        <w:rPr>
          <w:rFonts w:ascii="ITC Avant Garde" w:hAnsi="ITC Avant Garde" w:cs="Arial"/>
        </w:rPr>
        <w:lastRenderedPageBreak/>
        <w:t>ser revisadas por los titulares de las secretarías de las que forman parte, como sucede en el caso de la Comisión Federal de Competencia, del Servicio de Administración Tributaria o de la Comisión Nacional Bancaria y de Valores (órganos desconcentrados de las Secretarías de Economía, el primero, y de Hacienda y Crédito Público, los otros dos). Donde existe la misma razón jurídica, debe existir la misma consecuencia de derecho.</w:t>
      </w:r>
    </w:p>
    <w:p w14:paraId="5B2B130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Lo anterior no implica que la autonomía de un órgano desconcentrado con autonomía técnica para dictar sus resoluciones signifique que dichas resoluciones no estén sujetas a ningún control. Efectivamente se encuentran sujetas a control de legalidad y de constitucionalidad, ya sea mediante el recurso de revisión ante el Pleno de la Comisión o mediante juicio de nulidad ante el Tribunal Federal de Justicia Fiscal y Administrativa o ante el Poder Judicial de la Federación vía el juicio de amparo.</w:t>
      </w:r>
    </w:p>
    <w:p w14:paraId="132B507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Concluye que el Pleno de la Comisión es quien deberá resolver el recurso de revisión, en la medida que resulta contrario a toda lógica que la Comisión tenga plena autonomía para dictar sus resoluciones, pero que dichas resoluciones puedan ser revisadas por el titular de la Secretaría de la que forma parte y, por lo tanto, que pudiera ser declarada su inexistencia, nulidad, anulabilidad o revocación de conformidad con el artículo 91 de la Ley Federal de Procedimiento Administrativo.</w:t>
      </w:r>
      <w:bookmarkStart w:id="1" w:name="bookmark8"/>
    </w:p>
    <w:p w14:paraId="53BDB6A8" w14:textId="4AAA3B26"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Incluyó un punto denominado </w:t>
      </w:r>
      <w:r w:rsidRPr="00654D1D">
        <w:rPr>
          <w:rFonts w:ascii="ITC Avant Garde" w:hAnsi="ITC Avant Garde" w:cs="Arial"/>
          <w:b/>
        </w:rPr>
        <w:t>POLÍTICA PÚBLICA</w:t>
      </w:r>
      <w:r w:rsidRPr="00654D1D">
        <w:rPr>
          <w:rFonts w:ascii="ITC Avant Garde" w:hAnsi="ITC Avant Garde" w:cs="Arial"/>
        </w:rPr>
        <w:t xml:space="preserve">, en el que </w:t>
      </w:r>
      <w:bookmarkEnd w:id="1"/>
      <w:r w:rsidRPr="00654D1D">
        <w:rPr>
          <w:rFonts w:ascii="ITC Avant Garde" w:hAnsi="ITC Avant Garde" w:cs="Arial"/>
        </w:rPr>
        <w:t>señala que estima conveniente mencionar algunas cuestiones de política pública que se considera que deben ser tomadas en cuenta por la Comisión en la elaboración de los modelos de costos.</w:t>
      </w:r>
      <w:bookmarkStart w:id="2" w:name="bookmark9"/>
    </w:p>
    <w:p w14:paraId="769FF2F0" w14:textId="22B6D2D1"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w:t>
      </w:r>
      <w:r w:rsidRPr="00654D1D">
        <w:rPr>
          <w:rFonts w:ascii="ITC Avant Garde" w:hAnsi="ITC Avant Garde" w:cs="Arial"/>
          <w:b/>
        </w:rPr>
        <w:t xml:space="preserve">buena práctica internacional recomienda reducciones progresivas de las Tarifas de Terminación Móvil </w:t>
      </w:r>
      <w:r w:rsidRPr="00654D1D">
        <w:rPr>
          <w:rFonts w:ascii="ITC Avant Garde" w:hAnsi="ITC Avant Garde" w:cs="Arial"/>
        </w:rPr>
        <w:t>(en adelante TTM) y desaconseja disminuciones abruptas</w:t>
      </w:r>
      <w:bookmarkEnd w:id="2"/>
      <w:r w:rsidRPr="00654D1D">
        <w:rPr>
          <w:rFonts w:ascii="ITC Avant Garde" w:hAnsi="ITC Avant Garde" w:cs="Arial"/>
        </w:rPr>
        <w:t xml:space="preserve">. </w:t>
      </w:r>
    </w:p>
    <w:p w14:paraId="03A6FAE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Al efecto, invoca que en enero de 2002 la Unión Internacional de Telecomunicaciones emitió la "Recomendación UIT-D 16: Reequilibrado de tarifas y orientación a los costos" en la que reconoce la importancia de la estructura tarifaria para el financiamiento de los planes de inversiones y desarrollo de los operadores y recomienda que los ajustes de las tarifas hacia su nivel de costos se realice de manera gradual, a fin de evitar incrementos compensatorios en los precios de otros servicios y efectos adversos sobre el nivel de acceso a los servicios.</w:t>
      </w:r>
    </w:p>
    <w:p w14:paraId="53C4214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Adicionalmente, existen estudios que acreditan con evidencia empírica el hecho de que las reducciones reguladas en las TTM se traducen en el encarecimiento de otros servicios a los clientes finales, a lo que se le conoce como "efecto cama de agua" (de la expresión en idioma inglés “</w:t>
      </w:r>
      <w:proofErr w:type="spellStart"/>
      <w:r w:rsidRPr="00654D1D">
        <w:rPr>
          <w:rFonts w:ascii="ITC Avant Garde" w:hAnsi="ITC Avant Garde" w:cs="Arial"/>
        </w:rPr>
        <w:t>water</w:t>
      </w:r>
      <w:proofErr w:type="spellEnd"/>
      <w:r w:rsidRPr="00654D1D">
        <w:rPr>
          <w:rFonts w:ascii="ITC Avant Garde" w:hAnsi="ITC Avant Garde" w:cs="Arial"/>
        </w:rPr>
        <w:t xml:space="preserve"> </w:t>
      </w:r>
      <w:proofErr w:type="spellStart"/>
      <w:r w:rsidRPr="00654D1D">
        <w:rPr>
          <w:rFonts w:ascii="ITC Avant Garde" w:hAnsi="ITC Avant Garde" w:cs="Arial"/>
        </w:rPr>
        <w:t>bed</w:t>
      </w:r>
      <w:proofErr w:type="spellEnd"/>
      <w:r w:rsidRPr="00654D1D">
        <w:rPr>
          <w:rFonts w:ascii="ITC Avant Garde" w:hAnsi="ITC Avant Garde" w:cs="Arial"/>
        </w:rPr>
        <w:t xml:space="preserve"> </w:t>
      </w:r>
      <w:proofErr w:type="spellStart"/>
      <w:r w:rsidRPr="00654D1D">
        <w:rPr>
          <w:rFonts w:ascii="ITC Avant Garde" w:hAnsi="ITC Avant Garde" w:cs="Arial"/>
        </w:rPr>
        <w:t>effect</w:t>
      </w:r>
      <w:proofErr w:type="spellEnd"/>
      <w:r w:rsidRPr="00654D1D">
        <w:rPr>
          <w:rFonts w:ascii="ITC Avant Garde" w:hAnsi="ITC Avant Garde" w:cs="Arial"/>
        </w:rPr>
        <w:t>”).</w:t>
      </w:r>
    </w:p>
    <w:p w14:paraId="4E9D4D4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En julio de 2008, un equipo de </w:t>
      </w:r>
      <w:proofErr w:type="spellStart"/>
      <w:r w:rsidRPr="00654D1D">
        <w:rPr>
          <w:rFonts w:ascii="ITC Avant Garde" w:hAnsi="ITC Avant Garde" w:cs="Arial"/>
        </w:rPr>
        <w:t>Frontier</w:t>
      </w:r>
      <w:proofErr w:type="spellEnd"/>
      <w:r w:rsidRPr="00654D1D">
        <w:rPr>
          <w:rFonts w:ascii="ITC Avant Garde" w:hAnsi="ITC Avant Garde" w:cs="Arial"/>
        </w:rPr>
        <w:t xml:space="preserve"> </w:t>
      </w:r>
      <w:proofErr w:type="spellStart"/>
      <w:r w:rsidRPr="00654D1D">
        <w:rPr>
          <w:rFonts w:ascii="ITC Avant Garde" w:hAnsi="ITC Avant Garde" w:cs="Arial"/>
        </w:rPr>
        <w:t>Economics</w:t>
      </w:r>
      <w:proofErr w:type="spellEnd"/>
      <w:r w:rsidRPr="00654D1D">
        <w:rPr>
          <w:rFonts w:ascii="ITC Avant Garde" w:hAnsi="ITC Avant Garde" w:cs="Arial"/>
        </w:rPr>
        <w:t xml:space="preserve"> dirigido por George </w:t>
      </w:r>
      <w:proofErr w:type="spellStart"/>
      <w:r w:rsidRPr="00654D1D">
        <w:rPr>
          <w:rFonts w:ascii="ITC Avant Garde" w:hAnsi="ITC Avant Garde" w:cs="Arial"/>
        </w:rPr>
        <w:t>Houpis</w:t>
      </w:r>
      <w:proofErr w:type="spellEnd"/>
      <w:r w:rsidRPr="00654D1D">
        <w:rPr>
          <w:rFonts w:ascii="ITC Avant Garde" w:hAnsi="ITC Avant Garde" w:cs="Arial"/>
        </w:rPr>
        <w:t xml:space="preserve"> publicó un estudio titulado “</w:t>
      </w:r>
      <w:proofErr w:type="spellStart"/>
      <w:r w:rsidRPr="00654D1D">
        <w:rPr>
          <w:rFonts w:ascii="ITC Avant Garde" w:hAnsi="ITC Avant Garde" w:cs="Arial"/>
        </w:rPr>
        <w:t>Assessing</w:t>
      </w:r>
      <w:proofErr w:type="spellEnd"/>
      <w:r w:rsidRPr="00654D1D">
        <w:rPr>
          <w:rFonts w:ascii="ITC Avant Garde" w:hAnsi="ITC Avant Garde" w:cs="Arial"/>
        </w:rPr>
        <w:t xml:space="preserve"> </w:t>
      </w:r>
      <w:proofErr w:type="spellStart"/>
      <w:r w:rsidRPr="00654D1D">
        <w:rPr>
          <w:rFonts w:ascii="ITC Avant Garde" w:hAnsi="ITC Avant Garde" w:cs="Arial"/>
        </w:rPr>
        <w:t>the</w:t>
      </w:r>
      <w:proofErr w:type="spellEnd"/>
      <w:r w:rsidRPr="00654D1D">
        <w:rPr>
          <w:rFonts w:ascii="ITC Avant Garde" w:hAnsi="ITC Avant Garde" w:cs="Arial"/>
        </w:rPr>
        <w:t xml:space="preserve"> </w:t>
      </w:r>
      <w:proofErr w:type="spellStart"/>
      <w:r w:rsidRPr="00654D1D">
        <w:rPr>
          <w:rFonts w:ascii="ITC Avant Garde" w:hAnsi="ITC Avant Garde" w:cs="Arial"/>
        </w:rPr>
        <w:t>impact</w:t>
      </w:r>
      <w:proofErr w:type="spellEnd"/>
      <w:r w:rsidRPr="00654D1D">
        <w:rPr>
          <w:rFonts w:ascii="ITC Avant Garde" w:hAnsi="ITC Avant Garde" w:cs="Arial"/>
        </w:rPr>
        <w:t xml:space="preserve"> of </w:t>
      </w:r>
      <w:proofErr w:type="spellStart"/>
      <w:r w:rsidRPr="00654D1D">
        <w:rPr>
          <w:rFonts w:ascii="ITC Avant Garde" w:hAnsi="ITC Avant Garde" w:cs="Arial"/>
        </w:rPr>
        <w:t>lowering</w:t>
      </w:r>
      <w:proofErr w:type="spellEnd"/>
      <w:r w:rsidRPr="00654D1D">
        <w:rPr>
          <w:rFonts w:ascii="ITC Avant Garde" w:hAnsi="ITC Avant Garde" w:cs="Arial"/>
        </w:rPr>
        <w:t xml:space="preserve"> </w:t>
      </w:r>
      <w:proofErr w:type="spellStart"/>
      <w:r w:rsidRPr="00654D1D">
        <w:rPr>
          <w:rFonts w:ascii="ITC Avant Garde" w:hAnsi="ITC Avant Garde" w:cs="Arial"/>
        </w:rPr>
        <w:t>mobile</w:t>
      </w:r>
      <w:proofErr w:type="spellEnd"/>
      <w:r w:rsidRPr="00654D1D">
        <w:rPr>
          <w:rFonts w:ascii="ITC Avant Garde" w:hAnsi="ITC Avant Garde" w:cs="Arial"/>
        </w:rPr>
        <w:t xml:space="preserve"> </w:t>
      </w:r>
      <w:proofErr w:type="spellStart"/>
      <w:r w:rsidRPr="00654D1D">
        <w:rPr>
          <w:rFonts w:ascii="ITC Avant Garde" w:hAnsi="ITC Avant Garde" w:cs="Arial"/>
        </w:rPr>
        <w:t>termination</w:t>
      </w:r>
      <w:proofErr w:type="spellEnd"/>
      <w:r w:rsidRPr="00654D1D">
        <w:rPr>
          <w:rFonts w:ascii="ITC Avant Garde" w:hAnsi="ITC Avant Garde" w:cs="Arial"/>
        </w:rPr>
        <w:t xml:space="preserve"> </w:t>
      </w:r>
      <w:proofErr w:type="spellStart"/>
      <w:r w:rsidRPr="00654D1D">
        <w:rPr>
          <w:rFonts w:ascii="ITC Avant Garde" w:hAnsi="ITC Avant Garde" w:cs="Arial"/>
        </w:rPr>
        <w:t>rate</w:t>
      </w:r>
      <w:proofErr w:type="spellEnd"/>
      <w:r w:rsidRPr="00654D1D">
        <w:rPr>
          <w:rFonts w:ascii="ITC Avant Garde" w:hAnsi="ITC Avant Garde" w:cs="Arial"/>
        </w:rPr>
        <w:t>” (Analizando el impacto de reducir las tarifas de terminación móvil), en el que se realizaba una profunda evaluación econométrica sobre el impacto que podría tener una disminución agresiva de los cargos de terminación en Europa y se llegaba a la conclusión de que: "La evidencia económica y empírica indica que reducciones drásticas de los TTM muy probablemente reducirán el bienestar de los consumidores europeos. Adicionalmente, no es recomendable basarse en la experiencia de los Estados Unidos como soporte de políticas regulatorias que, en la práctica, conducen a TTM por debajo de costos. Un análisis de los patrones de uso muestra que sólo los usuarios europeos de alto consumo se beneficiarían con tal aproximación</w:t>
      </w:r>
      <w:r w:rsidRPr="00654D1D">
        <w:rPr>
          <w:rFonts w:ascii="ITC Avant Garde" w:hAnsi="ITC Avant Garde" w:cs="Arial"/>
          <w:vertAlign w:val="superscript"/>
        </w:rPr>
        <w:footnoteReference w:id="2"/>
      </w:r>
      <w:r w:rsidRPr="00654D1D">
        <w:rPr>
          <w:rFonts w:ascii="ITC Avant Garde" w:hAnsi="ITC Avant Garde" w:cs="Arial"/>
        </w:rPr>
        <w:t>."</w:t>
      </w:r>
    </w:p>
    <w:p w14:paraId="3A5FF28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Aunque el informe fue elaborado originalmente para el mercado europeo, sus conclusiones son altamente significativas para la realidad latinoamericana, caracterizada por una gran base de clientes de planes de prepago, preponderantemente de bajo consumo.</w:t>
      </w:r>
    </w:p>
    <w:p w14:paraId="03E57F3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un contexto en que los operadores mexicanos tienen ante sí el reto de incrementar sustancialmente los niveles de penetración para llevarlos a promedios regionales, una política como la implantada por la Comisión va a producir el incentivo inverso, forzando a los operadores a concentrar sus operaciones en las áreas de mayor tráfico promedio y a descontinuar planes de prepago de bajo valor, que han pasado a convertirse en no rentables.</w:t>
      </w:r>
    </w:p>
    <w:p w14:paraId="460A480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mejor práctica internacional aconseja la implementación de un </w:t>
      </w:r>
      <w:proofErr w:type="spellStart"/>
      <w:r w:rsidRPr="00654D1D">
        <w:rPr>
          <w:rFonts w:ascii="ITC Avant Garde" w:hAnsi="ITC Avant Garde" w:cs="Arial"/>
        </w:rPr>
        <w:t>glidepath</w:t>
      </w:r>
      <w:proofErr w:type="spellEnd"/>
      <w:r w:rsidRPr="00654D1D">
        <w:rPr>
          <w:rFonts w:ascii="ITC Avant Garde" w:hAnsi="ITC Avant Garde" w:cs="Arial"/>
        </w:rPr>
        <w:t xml:space="preserve"> que evite distorsiones tan severas como la recientemente aprobada por esa Comisión, de hecho en la Resolución P/270507/262, por la que se fijaron las TTM aplicables a las redes móviles del Grupo Telefónica para el período 2006-2010, la Comisión definió claramente la importancia de adoptar un proceso de ajuste gradual.</w:t>
      </w:r>
    </w:p>
    <w:p w14:paraId="42E7261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Cabe destacar que las TTM resueltas por la Comisión en la citada Resolución P/270507/262 implicaban una reducción en la tarifa nominal de 35% en un período de cuatro años, mientras que la Resolución Impugnada establece una disminución efectiva de la TTM equivalente a 76% nominal (61% por la disminución en el monto nominal de la tarifa y aproximadamente 40% adicional por la eliminación del redondeo en la duración de cada llamada al minuto superior) aplicable de manera inmediata y con efectos </w:t>
      </w:r>
      <w:r w:rsidRPr="00654D1D">
        <w:rPr>
          <w:rFonts w:ascii="ITC Avant Garde" w:hAnsi="ITC Avant Garde" w:cs="Arial"/>
        </w:rPr>
        <w:lastRenderedPageBreak/>
        <w:t>retroactivos al inicio de año. Lo que significa el súbito abandono de los criterios establecidos la propia Comisión para fijar las TTM.</w:t>
      </w:r>
    </w:p>
    <w:p w14:paraId="7B1995B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buena práctica internacional recomienda un programa de disminución de cargos que sea predecible e incentive ajustes graduales en las estrategias comerciales.  </w:t>
      </w:r>
    </w:p>
    <w:p w14:paraId="5231431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establecimiento de cargos tope o por defecto, con vigencia por un período lo suficientemente largo de tiempo (se recomienda un entorno de 4 a 5 años) proporciona incentivos adecuados a los operadores en el mercado. La opción adoptada por esa Comisión, resolver tarifas para un solo año (periodo de noviembre a diciembre de 2011, en el presente caso), genera una alta incertidumbre en el mercado mexicano y es susceptible de producir efectos de retracción en las inversiones que los operadores competitivos deben desplegar para incrementar su cobertura 3G y 4G. </w:t>
      </w:r>
    </w:p>
    <w:p w14:paraId="15768A2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modelo aprobado por la Comisión </w:t>
      </w:r>
      <w:r w:rsidRPr="00654D1D">
        <w:rPr>
          <w:rFonts w:ascii="ITC Avant Garde" w:hAnsi="ITC Avant Garde" w:cs="Arial"/>
          <w:b/>
        </w:rPr>
        <w:t>no presenta el detalle suficiente para permitir su discusión técnica</w:t>
      </w:r>
      <w:r w:rsidRPr="00654D1D">
        <w:rPr>
          <w:rFonts w:ascii="ITC Avant Garde" w:hAnsi="ITC Avant Garde" w:cs="Arial"/>
        </w:rPr>
        <w:t xml:space="preserve">, ya que como soporte técnico de su modelo, la Comisión ha formulado un conjunto de aseveraciones genéricas en la Resolución Recurrida, en la que constan los valores que ha adoptado para cada uno de los parámetros del modelo. El documento así publicado no permite que los operadores desarrollen sensibilidades que les permitan predecir, con absoluta certeza, cómo reaccionaría el modelo ante modificaciones en los valores de las variables (fundamentalmente aquellas que intervienen en el dimensionamiento de la red). Adicionalmente, valores sumamente relevantes (como los activos que conforman la red) se presentan con un alto nivel de agregación, lo que impide verificar con certeza si es que se ha considerado debidamente todos los costos en que un operador eficiente debería incurrir para la producción de dicho activo. Esta aproximación se aleja de la mejor práctica desarrollada en la región. </w:t>
      </w:r>
    </w:p>
    <w:p w14:paraId="5A394D9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w:t>
      </w:r>
      <w:r w:rsidRPr="00654D1D">
        <w:rPr>
          <w:rFonts w:ascii="ITC Avant Garde" w:hAnsi="ITC Avant Garde" w:cs="Arial"/>
          <w:b/>
        </w:rPr>
        <w:t>realidad del mercado mexicano justifica la aprobación de una tarifa asimétrica</w:t>
      </w:r>
      <w:r w:rsidRPr="00654D1D">
        <w:rPr>
          <w:rFonts w:ascii="ITC Avant Garde" w:hAnsi="ITC Avant Garde" w:cs="Arial"/>
        </w:rPr>
        <w:t xml:space="preserve">, en el "Anteproyecto de Lineamientos para Desarrollar Modelos de Costos al Momento de Resolver sobre Tarifas de Interconexión” (en lo sucesivo, los Lineamientos), elaborado por la Comisión, se defiende fuertemente el establecimiento de un cargo simétrico sobre la base de un modelo de costo incremental de largo plazo para un operador eficiente. </w:t>
      </w:r>
    </w:p>
    <w:p w14:paraId="4DC7815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Sin embargo, la </w:t>
      </w:r>
      <w:proofErr w:type="spellStart"/>
      <w:r w:rsidRPr="00654D1D">
        <w:rPr>
          <w:rFonts w:ascii="ITC Avant Garde" w:hAnsi="ITC Avant Garde" w:cs="Arial"/>
        </w:rPr>
        <w:t>Cofetel</w:t>
      </w:r>
      <w:proofErr w:type="spellEnd"/>
      <w:r w:rsidRPr="00654D1D">
        <w:rPr>
          <w:rFonts w:ascii="ITC Avant Garde" w:hAnsi="ITC Avant Garde" w:cs="Arial"/>
        </w:rPr>
        <w:t xml:space="preserve"> parece pasar por alto que ese no es el único aspecto en el que el Grupo de Reguladores Europeos establecen una posición común; gran parte del documento se destina a analizar y explicar la Posición Común que adoptan respecto a las excepciones que justifican la aplicación transitoria de tarifas asimétricas para tomar en cuenta diferencias en la asignación de espectro y para promover el desarrollo de operadores que entraron en forma tardía al mercado y no han alcanzado la escala de operación eficiente.</w:t>
      </w:r>
    </w:p>
    <w:p w14:paraId="6AE12FF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Que la implantación de una reducción tan agresiva de las tarifas de interconexión como la resuelta por </w:t>
      </w:r>
      <w:proofErr w:type="spellStart"/>
      <w:r w:rsidRPr="00654D1D">
        <w:rPr>
          <w:rFonts w:ascii="ITC Avant Garde" w:hAnsi="ITC Avant Garde" w:cs="Arial"/>
        </w:rPr>
        <w:t>Cofetel</w:t>
      </w:r>
      <w:proofErr w:type="spellEnd"/>
      <w:r w:rsidRPr="00654D1D">
        <w:rPr>
          <w:rFonts w:ascii="ITC Avant Garde" w:hAnsi="ITC Avant Garde" w:cs="Arial"/>
        </w:rPr>
        <w:t>, sin considerar un programa de disminución progresiva, puede producir efectos muy severos en el crecimiento de la penetración en el mercado y disminuir sensiblemente el bienestar de los consumidores mexicanos.</w:t>
      </w:r>
    </w:p>
    <w:p w14:paraId="481A844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Que la fijación de un valor tan bajo, únicamente para el periodo comprendido entre el 1 de enero y el 31 de diciembre de 2011, genera alta incertidumbre en el mexicano sobre los valores que regirán a partir del año 2012 y puede afectar el despliegue de nuevas redes en zonas de menor densidad poblacional y, en particular, de redes 3G.</w:t>
      </w:r>
    </w:p>
    <w:p w14:paraId="1F94969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Si bien los Lineamientos han sido materia de comentarios, la forma en que se desarrolló el modelo en el que se basa la Resolución de tarifas de interconexión no pudo ser materia de una discusión técnica profunda ni cumple con las disposiciones establecidas en los Lineamientos.</w:t>
      </w:r>
    </w:p>
    <w:p w14:paraId="1246BD5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Las circunstancias propias del mercado mexicano recomiendan la implantación de un cargo asimétrico, al menos en tanto no se corrijan de modo efectivo distorsiones que afectan el normal desarrollo de la competencia en telecomunicaciones.</w:t>
      </w:r>
    </w:p>
    <w:p w14:paraId="0B51FF0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b/>
        </w:rPr>
        <w:t xml:space="preserve">El modelo de costos debería incluir información real de las empresas. </w:t>
      </w:r>
      <w:r w:rsidRPr="00654D1D">
        <w:rPr>
          <w:rFonts w:ascii="ITC Avant Garde" w:hAnsi="ITC Avant Garde" w:cs="Arial"/>
        </w:rPr>
        <w:t>En el supuesto de que la Comisión utilice un modelo de costos para determinar las tarifas de interconexión, éste deberá de valorar los costos reales en los que incurren las empresas para proveer el servicio de interconexión.</w:t>
      </w:r>
    </w:p>
    <w:p w14:paraId="5FD3FA4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Ahora bien, la Recurrente sostiene en el apartado correspondiente a AGRAVIOS, sustancialmente lo siguiente:</w:t>
      </w:r>
    </w:p>
    <w:p w14:paraId="037BF15B" w14:textId="6CED1F3B"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AGRAVIOS RELACIONADOS CON EL MODELO DE COSTOS RESPECTO DEL RESOLUTIVO TERCERO.</w:t>
      </w:r>
    </w:p>
    <w:p w14:paraId="686633EE"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PRIMERO.</w:t>
      </w:r>
      <w:r w:rsidRPr="00654D1D">
        <w:rPr>
          <w:rFonts w:ascii="ITC Avant Garde" w:hAnsi="ITC Avant Garde" w:cs="Arial"/>
        </w:rPr>
        <w:t xml:space="preserve"> El Modelo de Costos asigna valores arbitrarios a las distintas variables que lo integran, lo que implica que la Resolución Impugnada adolezca de una debida fundamentación y motivación, contraviniendo lo dispuesto en el artículo 3, fracción V de la Ley Federal de Procedimiento Administrativo.</w:t>
      </w:r>
    </w:p>
    <w:p w14:paraId="2D513FC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efecto, la Comisión en el Modelo de Costos asigna valores arbitrarios y sin justificación a las distintas variables que integran el mismo, por lo cual la Resolución Impugnada infringe los requerimientos de fundamentación y motivación, así como es incongruente desde un punto de vista interno, con lo que se viola lo dispuesto en el artículo 3, fracción V, de la Ley Federal de Procedimiento Administrativo, y 16 constitucional.</w:t>
      </w:r>
    </w:p>
    <w:p w14:paraId="038A285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La garantía de seguridad jurídica no se respetó el elaborarse el Modelo de Costos al contravenirse el artículo 3, fracción V, de la Ley Federal de Procedimiento Administrativo.</w:t>
      </w:r>
    </w:p>
    <w:p w14:paraId="0BF0E1B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Comisión al momento de crear el Modelo de Costos:</w:t>
      </w:r>
    </w:p>
    <w:p w14:paraId="106935BD"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Fue omisa en establecer las causas, razones, motivos y circunstancias del por qué utilizó dicho modelo, así como el porqué de los diversos modelos existentes en la ciencia económica para determinar las tarifas que pretendió fijar, consideró utilizar el denominado costo incremental a largo plazo con un modelo ascendente (</w:t>
      </w:r>
      <w:proofErr w:type="spellStart"/>
      <w:r w:rsidRPr="00654D1D">
        <w:rPr>
          <w:rFonts w:ascii="ITC Avant Garde" w:hAnsi="ITC Avant Garde" w:cs="Arial"/>
        </w:rPr>
        <w:t>bottom</w:t>
      </w:r>
      <w:proofErr w:type="spellEnd"/>
      <w:r w:rsidRPr="00654D1D">
        <w:rPr>
          <w:rFonts w:ascii="ITC Avant Garde" w:hAnsi="ITC Avant Garde" w:cs="Arial"/>
        </w:rPr>
        <w:t>-up) de una red hipotética de un operador eficiente, y no otros.</w:t>
      </w:r>
    </w:p>
    <w:p w14:paraId="2967FD96"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Fue omisa en llevar a cabo la diversidad de estudios económicos y financieros a fin de determinar los diversos elementos que deberán integrar dicho modelo, a efecto de poder arribar a la determinación de tarifas que se adecúen a la industria específica de que se trate.</w:t>
      </w:r>
    </w:p>
    <w:p w14:paraId="3FC4A3D6"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Confunde los costos directos e indirectos de una empresa al pretender aplicar el Modelo de Costos, sin que medie una debida motivación al respecto, razón por la cual dicho modelo resulta a todas luces desapegado a la realidad de la industria de las telecomunicaciones.</w:t>
      </w:r>
    </w:p>
    <w:p w14:paraId="012E1300"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Efectúa razonamientos para sustentar que las tarifas por encima de los costos en que se incurre por la prestación del servicio de terminación de llamadas en la red local de la Recurrente, inhibe la sana competencia entre los operadores y no promueve un desarrollo eficiente de las telecomunicaciones, lo que carece de todo sustento jurídico.</w:t>
      </w:r>
    </w:p>
    <w:p w14:paraId="718D3474"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 xml:space="preserve">Establece que una tarifa por encima del costo de proveer el servicio es un costo innecesario en el que incurre el demandante del servicio, y afirma dogmáticamente que por lo mismo ésta es trasladada al usuario final. Lo anterior no es así, debido a que la tarifa que se fije por dicha contraprestación debe ser aquella considerada justa, ya que de lo contrario, como acontece en el caso que nos ocupa quien se beneficie con las tarifas fijadas por esa Comisión son las Tercero Perjudicadas, toda vez que en modo alguno va a repercutir las mismas al usuario final (en específico aquellas pagadas de </w:t>
      </w:r>
      <w:r w:rsidRPr="00654D1D">
        <w:rPr>
          <w:rFonts w:ascii="ITC Avant Garde" w:hAnsi="ITC Avant Garde" w:cs="Arial"/>
          <w:b/>
        </w:rPr>
        <w:t>enero a julio de 2011</w:t>
      </w:r>
      <w:r w:rsidRPr="00654D1D">
        <w:rPr>
          <w:rFonts w:ascii="ITC Avant Garde" w:hAnsi="ITC Avant Garde" w:cs="Arial"/>
        </w:rPr>
        <w:t>, la Comisión no determina, ni señala, ni funda, ni motiva un posible traslado de beneficios tarifarios a los usuarios finales, lo que deja en entredicho la vinculación de la reducción de tarifas de interconexión con el interés general.</w:t>
      </w:r>
    </w:p>
    <w:p w14:paraId="296D611A" w14:textId="77777777" w:rsidR="00654D1D" w:rsidRPr="00654D1D" w:rsidRDefault="003E526D" w:rsidP="00654D1D">
      <w:pPr>
        <w:numPr>
          <w:ilvl w:val="0"/>
          <w:numId w:val="44"/>
        </w:numPr>
        <w:spacing w:before="240"/>
        <w:ind w:left="284"/>
        <w:contextualSpacing/>
        <w:jc w:val="both"/>
        <w:rPr>
          <w:rFonts w:ascii="ITC Avant Garde" w:hAnsi="ITC Avant Garde" w:cs="Arial"/>
          <w:b/>
        </w:rPr>
      </w:pPr>
      <w:r w:rsidRPr="00654D1D">
        <w:rPr>
          <w:rFonts w:ascii="ITC Avant Garde" w:hAnsi="ITC Avant Garde" w:cs="Arial"/>
        </w:rPr>
        <w:t>Motiva su modelo estableciendo que el mismo utiliza proyecciones que determinan tarifas hacia el futuro, y resulta que con el mismo esa Comisión determina tarifas de periodos pasados (</w:t>
      </w:r>
      <w:r w:rsidRPr="00654D1D">
        <w:rPr>
          <w:rFonts w:ascii="ITC Avant Garde" w:hAnsi="ITC Avant Garde" w:cs="Arial"/>
          <w:b/>
        </w:rPr>
        <w:t>enero a julio 2011).</w:t>
      </w:r>
    </w:p>
    <w:p w14:paraId="10170FF3"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 xml:space="preserve">Toma en consideración a un operador eficiente "representativo”, es decir, dicho modelo no tiene fundamento en los costos propios de la Recurrente, sino en los que incurre dicho operador ficticio, cuyas características fueron arbitrariamente </w:t>
      </w:r>
      <w:r w:rsidRPr="00654D1D">
        <w:rPr>
          <w:rFonts w:ascii="ITC Avant Garde" w:hAnsi="ITC Avant Garde" w:cs="Arial"/>
        </w:rPr>
        <w:lastRenderedPageBreak/>
        <w:t>determinadas por la Comisión y no guardan proporción alguna con las características reales y efectivas de los operadores existentes en el mercado mexicano.</w:t>
      </w:r>
    </w:p>
    <w:p w14:paraId="4B601E22" w14:textId="6432E8BA" w:rsidR="003E526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Omite señalar las causas, razones, motivos y circunstancias del porqué únicamente tomó en consideración aquellos costos que son originados por la provisión de un incremento específico en el servicio de terminación de llamadas en redes de telefonía móvil, descartando de manera contraria a derecho y a la naturaleza del modelo que esta adoptó todos aquellos costos relacionados directa o indirectamente con el servicio a que se viene haciendo referencia.</w:t>
      </w:r>
    </w:p>
    <w:p w14:paraId="1FA26C1B"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Omite señalar las causas, razones, motivos y circunstancias del porque a su parecer, todos los activos son remplazados al final de su vida útil y que método de depreciación de los activos debe reflejar fielmente la disminución de su valor económico a través del tiempo.</w:t>
      </w:r>
    </w:p>
    <w:p w14:paraId="4430EA01"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 xml:space="preserve"> Vulnera la legislación aplicable al establecer un operador representativo que cuenta con el 25% de participación en el mercado, ya que en México no existe una distribución entre operadores del mercado de telefonía celular como lo pretende hacer esa Comisión, situación esta última que hace a todas luces inviable e inaplicable, a la Recurrente, el modelo económico de referencia.</w:t>
      </w:r>
    </w:p>
    <w:p w14:paraId="1C7E1977"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 xml:space="preserve"> Omite señalar las causas, razones, motivos y circunstancias del por qué a su parecer considera que la tecnología GSM (Global </w:t>
      </w:r>
      <w:proofErr w:type="spellStart"/>
      <w:r w:rsidRPr="00654D1D">
        <w:rPr>
          <w:rFonts w:ascii="ITC Avant Garde" w:hAnsi="ITC Avant Garde" w:cs="Arial"/>
        </w:rPr>
        <w:t>System</w:t>
      </w:r>
      <w:proofErr w:type="spellEnd"/>
      <w:r w:rsidRPr="00654D1D">
        <w:rPr>
          <w:rFonts w:ascii="ITC Avant Garde" w:hAnsi="ITC Avant Garde" w:cs="Arial"/>
        </w:rPr>
        <w:t xml:space="preserve"> </w:t>
      </w:r>
      <w:proofErr w:type="spellStart"/>
      <w:r w:rsidRPr="00654D1D">
        <w:rPr>
          <w:rFonts w:ascii="ITC Avant Garde" w:hAnsi="ITC Avant Garde" w:cs="Arial"/>
        </w:rPr>
        <w:t>for</w:t>
      </w:r>
      <w:proofErr w:type="spellEnd"/>
      <w:r w:rsidRPr="00654D1D">
        <w:rPr>
          <w:rFonts w:ascii="ITC Avant Garde" w:hAnsi="ITC Avant Garde" w:cs="Arial"/>
        </w:rPr>
        <w:t xml:space="preserve"> Mobile </w:t>
      </w:r>
      <w:proofErr w:type="spellStart"/>
      <w:r w:rsidRPr="00654D1D">
        <w:rPr>
          <w:rFonts w:ascii="ITC Avant Garde" w:hAnsi="ITC Avant Garde" w:cs="Arial"/>
        </w:rPr>
        <w:t>Communications</w:t>
      </w:r>
      <w:proofErr w:type="spellEnd"/>
      <w:r w:rsidRPr="00654D1D">
        <w:rPr>
          <w:rFonts w:ascii="ITC Avant Garde" w:hAnsi="ITC Avant Garde" w:cs="Arial"/>
        </w:rPr>
        <w:t>), es eficiente, y los criterios que utilizó para medir esa eficiencia.</w:t>
      </w:r>
    </w:p>
    <w:p w14:paraId="209A643E" w14:textId="77777777" w:rsidR="00654D1D" w:rsidRPr="00654D1D" w:rsidRDefault="003E526D" w:rsidP="00654D1D">
      <w:pPr>
        <w:numPr>
          <w:ilvl w:val="0"/>
          <w:numId w:val="44"/>
        </w:numPr>
        <w:spacing w:before="240"/>
        <w:ind w:left="284"/>
        <w:contextualSpacing/>
        <w:jc w:val="both"/>
        <w:rPr>
          <w:rFonts w:ascii="ITC Avant Garde" w:hAnsi="ITC Avant Garde" w:cs="Arial"/>
          <w:b/>
        </w:rPr>
      </w:pPr>
      <w:r w:rsidRPr="00654D1D">
        <w:rPr>
          <w:rFonts w:ascii="ITC Avant Garde" w:hAnsi="ITC Avant Garde" w:cs="Arial"/>
        </w:rPr>
        <w:t xml:space="preserve"> Es incongruente al pretender construir un modelo de abajo hacia arriba (</w:t>
      </w:r>
      <w:proofErr w:type="spellStart"/>
      <w:r w:rsidRPr="00654D1D">
        <w:rPr>
          <w:rFonts w:ascii="ITC Avant Garde" w:hAnsi="ITC Avant Garde" w:cs="Arial"/>
        </w:rPr>
        <w:t>Bottom</w:t>
      </w:r>
      <w:proofErr w:type="spellEnd"/>
      <w:r w:rsidRPr="00654D1D">
        <w:rPr>
          <w:rFonts w:ascii="ITC Avant Garde" w:hAnsi="ITC Avant Garde" w:cs="Arial"/>
        </w:rPr>
        <w:t>-Up), es decir a partir de una estimación de demanda de servicio, cuando mediante el mismo se están determinando tarifas del pasado (</w:t>
      </w:r>
      <w:r w:rsidRPr="00654D1D">
        <w:rPr>
          <w:rFonts w:ascii="ITC Avant Garde" w:hAnsi="ITC Avant Garde" w:cs="Arial"/>
          <w:b/>
        </w:rPr>
        <w:t>1 de enero de 2011 al 19 de julio de 2011).</w:t>
      </w:r>
    </w:p>
    <w:p w14:paraId="66AAFD18"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 xml:space="preserve"> Es incongruente al establecer que los precios de los equipos que conforman la red de su operador eficiente son actuales, pues con dichos precios pretende fijar tarifas de periodos pasados. Además, omite hacer señalamientos sobre la inclusión, pasada, presente o futura de nuevas tecnologías para la implementación de nuevos servicios en un sector que evoluciona constantemente. La falta de cohesión en el establecimiento de precios es tal que cuando pretende justificar la determinación del monto de la inversión total remite a información publicada por el Órgano Regulador de las Telecomunicaciones en Francia pero no refiere a qué periodo o a qué elementos se refiere dicha información.</w:t>
      </w:r>
    </w:p>
    <w:p w14:paraId="7E0B635E"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 xml:space="preserve"> Omite señalar las causas, razones, motivos y circunstancias del porque señala que los costos operativos equivalen al 15% de la inversión total, con lo cual no hace más que desconocer totalmente la teoría económica y la situación real de la Recurrente pues ni siquiera establece un margen adecuado de medición de la PTU pagada a los trabajadores como parte de sus costos operativos.</w:t>
      </w:r>
    </w:p>
    <w:p w14:paraId="332EFF09"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lastRenderedPageBreak/>
        <w:t xml:space="preserve"> Asume indebidamente que el operador eficiente invierte en activos, despliega su red y llega al nivel eficiente de tráfico (equivalente al 25% del tráfico total) desde el momento cero; esto es, sin solución de continuidad. Como resulta evidente, este es un supuesto de </w:t>
      </w:r>
      <w:proofErr w:type="spellStart"/>
      <w:r w:rsidRPr="00654D1D">
        <w:rPr>
          <w:rFonts w:ascii="ITC Avant Garde" w:hAnsi="ITC Avant Garde" w:cs="Arial"/>
        </w:rPr>
        <w:t>hipereficiencia</w:t>
      </w:r>
      <w:proofErr w:type="spellEnd"/>
      <w:r w:rsidRPr="00654D1D">
        <w:rPr>
          <w:rFonts w:ascii="ITC Avant Garde" w:hAnsi="ITC Avant Garde" w:cs="Arial"/>
        </w:rPr>
        <w:t xml:space="preserve"> que no se corresponde con la realidad de ningún operador. El modelo debería corregirse, en cualquier caso, para reconocer la existencia de un lapso de tiempo (de entre 8 meses y 1 año) entre la adquisición de los elementos de red y su efectiva operación. Durante este lapso, el costo de capital asociado debería ser materia de reconocimiento. Además, por simple congruencia el modelo debería considerar un período de evolución hasta que el operador pueda razonablemente aspirar a gestionar el 25% del tráfico total en el mercado.</w:t>
      </w:r>
    </w:p>
    <w:p w14:paraId="2BEC7941"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 xml:space="preserve"> Subestima el costo de algunos activos, ya que esa autoridad ha tomado el precio de algunos de los componentes de red directamente del modelo elaborado por los reguladores francés o británico, sin embargo, esta aproximación es errónea y produce subestimaciones importantes para algunos de los activos que forman parte de las redes de los operadores mexicanos. La razón de la subestimación es evidente: los operadores latinoamericanos operan en realidades geográficas complicadas, con vías de comunicación deficientes y bajas densidades poblaciones. Como resultado de esta realidad, los costos de instalación (que comprenden no sólo la ingeniería de detalle, sino también el acarreo) son sustancialmente más altos en Latinoamérica que en Europa. Por lo demás, es notorio cómo los costos en Euros adoptados por ARCEP en el año 2009 han sido tomados directamente por esa autoridad, sin realizar los ajustes por inflación que deberían realizarse dado el tiempo transcurrido.</w:t>
      </w:r>
    </w:p>
    <w:p w14:paraId="22789573"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 xml:space="preserve"> Considera un valor de 8% como aceptable para el parámetro "porcentaje de tráfico en hora pico" ya que dicho factor en apariencia es consistente con el utilizado por el regulador británico; sin embargo, este valor difiere sustancialmente del porcentaje de tráfico en hora cargada que la compañía soporta actualmente su red, el que es del orden de 10,4 %. Los reguladores en Francia y en el Reino Unido han considerado en sus modelaciones una reducción paulatina en el porcentaje de hora cargada, consistente con la expansión de la </w:t>
      </w:r>
      <w:proofErr w:type="spellStart"/>
      <w:r w:rsidRPr="00654D1D">
        <w:rPr>
          <w:rFonts w:ascii="ITC Avant Garde" w:hAnsi="ITC Avant Garde" w:cs="Arial"/>
        </w:rPr>
        <w:t>teledensidad</w:t>
      </w:r>
      <w:proofErr w:type="spellEnd"/>
      <w:r w:rsidRPr="00654D1D">
        <w:rPr>
          <w:rFonts w:ascii="ITC Avant Garde" w:hAnsi="ITC Avant Garde" w:cs="Arial"/>
        </w:rPr>
        <w:t xml:space="preserve">. En este contexto, sin embargo, no llega a explicarse cuál es la razón por la que esa autoridad ha decidido utilizar un factor de 8% en lugar de usar los factores superiores a 9% que tanto </w:t>
      </w:r>
      <w:proofErr w:type="spellStart"/>
      <w:r w:rsidRPr="00654D1D">
        <w:rPr>
          <w:rFonts w:ascii="ITC Avant Garde" w:hAnsi="ITC Avant Garde" w:cs="Arial"/>
        </w:rPr>
        <w:t>Arcep</w:t>
      </w:r>
      <w:proofErr w:type="spellEnd"/>
      <w:r w:rsidRPr="00654D1D">
        <w:rPr>
          <w:rFonts w:ascii="ITC Avant Garde" w:hAnsi="ITC Avant Garde" w:cs="Arial"/>
        </w:rPr>
        <w:t xml:space="preserve"> como </w:t>
      </w:r>
      <w:proofErr w:type="spellStart"/>
      <w:r w:rsidRPr="00654D1D">
        <w:rPr>
          <w:rFonts w:ascii="ITC Avant Garde" w:hAnsi="ITC Avant Garde" w:cs="Arial"/>
        </w:rPr>
        <w:t>Ofcom</w:t>
      </w:r>
      <w:proofErr w:type="spellEnd"/>
      <w:r w:rsidRPr="00654D1D">
        <w:rPr>
          <w:rFonts w:ascii="ITC Avant Garde" w:hAnsi="ITC Avant Garde" w:cs="Arial"/>
        </w:rPr>
        <w:t xml:space="preserve"> han considerado válidos para niveles de </w:t>
      </w:r>
      <w:proofErr w:type="spellStart"/>
      <w:r w:rsidRPr="00654D1D">
        <w:rPr>
          <w:rFonts w:ascii="ITC Avant Garde" w:hAnsi="ITC Avant Garde" w:cs="Arial"/>
        </w:rPr>
        <w:t>teledensidad</w:t>
      </w:r>
      <w:proofErr w:type="spellEnd"/>
      <w:r w:rsidRPr="00654D1D">
        <w:rPr>
          <w:rFonts w:ascii="ITC Avant Garde" w:hAnsi="ITC Avant Garde" w:cs="Arial"/>
        </w:rPr>
        <w:t xml:space="preserve"> semejantes a los que actualmente tiene el mercado mexicano. La mejor aproximación es obtener dicha información mediante datos históricos de los operadores.</w:t>
      </w:r>
    </w:p>
    <w:p w14:paraId="298B6EDD"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 xml:space="preserve"> Dimensiona indebidamente la distribución poblacional del País, lo hace conforme al Censo de Población y Vivienda para 2005, aún y cuando para el momento de la emisión de la Resolución Impugnada ya se contaban con datos estadísticos del Censo para 2010, lo que evidencia una defectuosa motivación.</w:t>
      </w:r>
    </w:p>
    <w:p w14:paraId="6A811E9E" w14:textId="77777777" w:rsidR="00654D1D" w:rsidRPr="00654D1D" w:rsidRDefault="003E526D" w:rsidP="00654D1D">
      <w:pPr>
        <w:spacing w:before="240"/>
        <w:ind w:left="284"/>
        <w:jc w:val="both"/>
        <w:rPr>
          <w:rFonts w:ascii="ITC Avant Garde" w:hAnsi="ITC Avant Garde" w:cs="Arial"/>
        </w:rPr>
      </w:pPr>
      <w:r w:rsidRPr="00654D1D">
        <w:rPr>
          <w:rFonts w:ascii="ITC Avant Garde" w:hAnsi="ITC Avant Garde" w:cs="Arial"/>
        </w:rPr>
        <w:lastRenderedPageBreak/>
        <w:t>En consecuencia, el modelo considera una población en México de 109'219,931 cuando el último censo de población del INEGI ha mostrado que México es un país de 112 millones de habitantes.</w:t>
      </w:r>
    </w:p>
    <w:p w14:paraId="3D85EE4D" w14:textId="77777777" w:rsidR="00654D1D" w:rsidRPr="00654D1D" w:rsidRDefault="003E526D" w:rsidP="00654D1D">
      <w:pPr>
        <w:numPr>
          <w:ilvl w:val="0"/>
          <w:numId w:val="44"/>
        </w:numPr>
        <w:spacing w:before="240"/>
        <w:ind w:left="284"/>
        <w:contextualSpacing/>
        <w:jc w:val="both"/>
        <w:rPr>
          <w:rFonts w:ascii="ITC Avant Garde" w:hAnsi="ITC Avant Garde" w:cs="Arial"/>
        </w:rPr>
      </w:pPr>
      <w:r w:rsidRPr="00654D1D">
        <w:rPr>
          <w:rFonts w:ascii="ITC Avant Garde" w:hAnsi="ITC Avant Garde" w:cs="Arial"/>
        </w:rPr>
        <w:t>No existe ningún fundamento para los días anuales de hora pico, variable que la fijan en 250 días cuando los datos reales de la Recurrente son de 235 días.</w:t>
      </w:r>
    </w:p>
    <w:p w14:paraId="4F113AD8" w14:textId="77777777" w:rsidR="00654D1D" w:rsidRPr="00654D1D" w:rsidRDefault="003E526D" w:rsidP="00654D1D">
      <w:pPr>
        <w:spacing w:before="240"/>
        <w:ind w:left="360"/>
        <w:jc w:val="both"/>
        <w:rPr>
          <w:rFonts w:ascii="ITC Avant Garde" w:hAnsi="ITC Avant Garde" w:cs="Arial"/>
        </w:rPr>
      </w:pPr>
      <w:r w:rsidRPr="00654D1D">
        <w:rPr>
          <w:rFonts w:ascii="ITC Avant Garde" w:hAnsi="ITC Avant Garde" w:cs="Arial"/>
        </w:rPr>
        <w:t xml:space="preserve">La capacidad promedio de </w:t>
      </w:r>
      <w:proofErr w:type="spellStart"/>
      <w:r w:rsidRPr="00654D1D">
        <w:rPr>
          <w:rFonts w:ascii="ITC Avant Garde" w:hAnsi="ITC Avant Garde" w:cs="Arial"/>
        </w:rPr>
        <w:t>Erlangs</w:t>
      </w:r>
      <w:proofErr w:type="spellEnd"/>
      <w:r w:rsidRPr="00654D1D">
        <w:rPr>
          <w:rFonts w:ascii="ITC Avant Garde" w:hAnsi="ITC Avant Garde" w:cs="Arial"/>
        </w:rPr>
        <w:t xml:space="preserve"> por sector (la capacidad de una </w:t>
      </w:r>
      <w:proofErr w:type="spellStart"/>
      <w:r w:rsidRPr="00654D1D">
        <w:rPr>
          <w:rFonts w:ascii="ITC Avant Garde" w:hAnsi="ITC Avant Garde" w:cs="Arial"/>
        </w:rPr>
        <w:t>radiobase</w:t>
      </w:r>
      <w:proofErr w:type="spellEnd"/>
      <w:r w:rsidRPr="00654D1D">
        <w:rPr>
          <w:rFonts w:ascii="ITC Avant Garde" w:hAnsi="ITC Avant Garde" w:cs="Arial"/>
        </w:rPr>
        <w:t xml:space="preserve">) la establece esa Comisión en 6.58 cuando en la resolución de octubre del 2010 la estableció en 5.48 </w:t>
      </w:r>
      <w:proofErr w:type="spellStart"/>
      <w:r w:rsidRPr="00654D1D">
        <w:rPr>
          <w:rFonts w:ascii="ITC Avant Garde" w:hAnsi="ITC Avant Garde" w:cs="Arial"/>
        </w:rPr>
        <w:t>Erlangs</w:t>
      </w:r>
      <w:proofErr w:type="spellEnd"/>
      <w:r w:rsidRPr="00654D1D">
        <w:rPr>
          <w:rFonts w:ascii="ITC Avant Garde" w:hAnsi="ITC Avant Garde" w:cs="Arial"/>
        </w:rPr>
        <w:t>. Es importante señalar que no se explica porque el cambio pero esta variable es muy sensible en el modelo.</w:t>
      </w:r>
    </w:p>
    <w:p w14:paraId="41909CFF" w14:textId="77777777" w:rsidR="00654D1D" w:rsidRPr="00654D1D" w:rsidRDefault="003E526D" w:rsidP="00654D1D">
      <w:pPr>
        <w:spacing w:before="240"/>
        <w:ind w:left="284"/>
        <w:contextualSpacing/>
        <w:jc w:val="both"/>
        <w:rPr>
          <w:rFonts w:ascii="ITC Avant Garde" w:hAnsi="ITC Avant Garde" w:cs="Arial"/>
        </w:rPr>
      </w:pPr>
      <w:r w:rsidRPr="00654D1D">
        <w:rPr>
          <w:rFonts w:ascii="ITC Avant Garde" w:hAnsi="ITC Avant Garde" w:cs="Arial"/>
        </w:rPr>
        <w:t>La relación de intentos por llamada está en 1.1, cuando la realidad de la Recurrente es de 1.8.</w:t>
      </w:r>
    </w:p>
    <w:p w14:paraId="2FA349F2" w14:textId="77777777" w:rsidR="00654D1D" w:rsidRPr="00654D1D" w:rsidRDefault="003E526D" w:rsidP="00654D1D">
      <w:pPr>
        <w:spacing w:before="240"/>
        <w:ind w:left="360"/>
        <w:jc w:val="both"/>
        <w:rPr>
          <w:rFonts w:ascii="ITC Avant Garde" w:hAnsi="ITC Avant Garde" w:cs="Arial"/>
        </w:rPr>
      </w:pPr>
      <w:r w:rsidRPr="00654D1D">
        <w:rPr>
          <w:rFonts w:ascii="ITC Avant Garde" w:hAnsi="ITC Avant Garde" w:cs="Arial"/>
        </w:rPr>
        <w:t>El tiempo de ocupación efectiva de la red por cada llamada esta subestimado porque no considera los tiempos de espera que transcurren desde la marcación del cliente hasta la contestación de la llamada cuando éstas son completadas, ni los tiempos de espera hasta que se cortan las llamadas no completadas.</w:t>
      </w:r>
    </w:p>
    <w:p w14:paraId="22D4FCF6"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En adición a los anteriores vicios, la Resolución Impugnada resulta ilegal, toda vez que la Comisión alimenta el mencionado modelo con valores determinados de manera arbitraria, injustificada y contradictoria.</w:t>
      </w:r>
    </w:p>
    <w:p w14:paraId="0B7A61F7" w14:textId="6234E8D4" w:rsidR="00654D1D" w:rsidRPr="00654D1D" w:rsidRDefault="003E526D" w:rsidP="00654D1D">
      <w:pPr>
        <w:spacing w:before="240"/>
        <w:jc w:val="both"/>
        <w:rPr>
          <w:rFonts w:ascii="ITC Avant Garde" w:hAnsi="ITC Avant Garde" w:cs="Arial"/>
        </w:rPr>
      </w:pPr>
      <w:r w:rsidRPr="00654D1D">
        <w:rPr>
          <w:rFonts w:ascii="ITC Avant Garde" w:hAnsi="ITC Avant Garde" w:cs="Arial"/>
          <w:b/>
        </w:rPr>
        <w:t>Numeral II del Primer Agravio. Modelos de Costos Incrementales de Largo Plazo</w:t>
      </w:r>
      <w:r w:rsidRPr="00654D1D">
        <w:rPr>
          <w:rFonts w:ascii="ITC Avant Garde" w:hAnsi="ITC Avant Garde" w:cs="Arial"/>
        </w:rPr>
        <w:t>.</w:t>
      </w:r>
    </w:p>
    <w:p w14:paraId="16C280C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el </w:t>
      </w:r>
      <w:r w:rsidRPr="00654D1D">
        <w:rPr>
          <w:rFonts w:ascii="ITC Avant Garde" w:hAnsi="ITC Avant Garde" w:cs="Arial"/>
          <w:b/>
        </w:rPr>
        <w:t>numeral II del Primer Agravio</w:t>
      </w:r>
      <w:r w:rsidRPr="00654D1D">
        <w:rPr>
          <w:rFonts w:ascii="ITC Avant Garde" w:hAnsi="ITC Avant Garde" w:cs="Arial"/>
        </w:rPr>
        <w:t xml:space="preserve"> la recurrente señala que de acuerdo con la propia Comisión, el </w:t>
      </w:r>
      <w:r w:rsidRPr="00654D1D">
        <w:rPr>
          <w:rFonts w:ascii="ITC Avant Garde" w:hAnsi="ITC Avant Garde" w:cs="Arial"/>
          <w:b/>
        </w:rPr>
        <w:t>Modelo de Costos Incrementales de Largo Plazo</w:t>
      </w:r>
      <w:r w:rsidRPr="00654D1D">
        <w:rPr>
          <w:rFonts w:ascii="ITC Avant Garde" w:hAnsi="ITC Avant Garde" w:cs="Arial"/>
        </w:rPr>
        <w:t xml:space="preserve"> es un mecanismo que permite conocer los costos en los que incurriría una empresa eficiente por la prestación de los servicios de interconexión.</w:t>
      </w:r>
    </w:p>
    <w:p w14:paraId="5A4D7FD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este punto, conviene precisar que el modelo de costos elaborado por la Comisión se basa en el modelo de costos elaborado por la Secretaría de Comunicaciones y Transportes para resolver diversos desacuerdos de interconexión, el cual tuvo su génesis en dos estudios previos: i) el primero es el análisis del modelo de costos contratado por esa Comisión en el año 2005 a la empresa de consultoría </w:t>
      </w:r>
      <w:proofErr w:type="spellStart"/>
      <w:r w:rsidRPr="00654D1D">
        <w:rPr>
          <w:rFonts w:ascii="ITC Avant Garde" w:hAnsi="ITC Avant Garde" w:cs="Arial"/>
        </w:rPr>
        <w:t>Analysys</w:t>
      </w:r>
      <w:proofErr w:type="spellEnd"/>
      <w:r w:rsidRPr="00654D1D">
        <w:rPr>
          <w:rFonts w:ascii="ITC Avant Garde" w:hAnsi="ITC Avant Garde" w:cs="Arial"/>
        </w:rPr>
        <w:t xml:space="preserve">, al que se le "actualizó" información y se introdujo el concepto de operador "representativo" y ii) el segundo en la metodología desarrollada por </w:t>
      </w:r>
      <w:proofErr w:type="spellStart"/>
      <w:r w:rsidRPr="00654D1D">
        <w:rPr>
          <w:rFonts w:ascii="ITC Avant Garde" w:hAnsi="ITC Avant Garde" w:cs="Arial"/>
        </w:rPr>
        <w:t>Wik</w:t>
      </w:r>
      <w:proofErr w:type="spellEnd"/>
      <w:r w:rsidRPr="00654D1D">
        <w:rPr>
          <w:rFonts w:ascii="ITC Avant Garde" w:hAnsi="ITC Avant Garde" w:cs="Arial"/>
        </w:rPr>
        <w:t xml:space="preserve"> </w:t>
      </w:r>
      <w:proofErr w:type="spellStart"/>
      <w:r w:rsidRPr="00654D1D">
        <w:rPr>
          <w:rFonts w:ascii="ITC Avant Garde" w:hAnsi="ITC Avant Garde" w:cs="Arial"/>
        </w:rPr>
        <w:t>Consult</w:t>
      </w:r>
      <w:proofErr w:type="spellEnd"/>
      <w:r w:rsidRPr="00654D1D">
        <w:rPr>
          <w:rFonts w:ascii="ITC Avant Garde" w:hAnsi="ITC Avant Garde" w:cs="Arial"/>
        </w:rPr>
        <w:t>, lo cual según dicha dependencia genera un método de valuación más transparente, y en el que se incorpora la depreciación económica de la red a través de anualidades ajustadas, tanto por cambios en la demanda de los servicios como en el valor de los activos.</w:t>
      </w:r>
    </w:p>
    <w:p w14:paraId="716B513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b/>
        </w:rPr>
        <w:lastRenderedPageBreak/>
        <w:t xml:space="preserve">Ni el estudio de </w:t>
      </w:r>
      <w:proofErr w:type="spellStart"/>
      <w:r w:rsidRPr="00654D1D">
        <w:rPr>
          <w:rFonts w:ascii="ITC Avant Garde" w:hAnsi="ITC Avant Garde" w:cs="Arial"/>
          <w:b/>
        </w:rPr>
        <w:t>Analysys</w:t>
      </w:r>
      <w:proofErr w:type="spellEnd"/>
      <w:r w:rsidRPr="00654D1D">
        <w:rPr>
          <w:rFonts w:ascii="ITC Avant Garde" w:hAnsi="ITC Avant Garde" w:cs="Arial"/>
          <w:b/>
        </w:rPr>
        <w:t xml:space="preserve"> ni el elaborado por </w:t>
      </w:r>
      <w:proofErr w:type="spellStart"/>
      <w:r w:rsidRPr="00654D1D">
        <w:rPr>
          <w:rFonts w:ascii="ITC Avant Garde" w:hAnsi="ITC Avant Garde" w:cs="Arial"/>
          <w:b/>
        </w:rPr>
        <w:t>WikConsult</w:t>
      </w:r>
      <w:proofErr w:type="spellEnd"/>
      <w:r w:rsidRPr="00654D1D">
        <w:rPr>
          <w:rFonts w:ascii="ITC Avant Garde" w:hAnsi="ITC Avant Garde" w:cs="Arial"/>
          <w:b/>
        </w:rPr>
        <w:t xml:space="preserve"> fueron proporcionados a la Recurrente a fin de que pueda apreciar la veracidad y suficiencia de dicha metodología</w:t>
      </w:r>
      <w:r w:rsidRPr="00654D1D">
        <w:rPr>
          <w:rFonts w:ascii="ITC Avant Garde" w:hAnsi="ITC Avant Garde" w:cs="Arial"/>
        </w:rPr>
        <w:t xml:space="preserve">, limitándose a referenciar la página de Internet de dichas empresas. Esta omisión afecta sustancialmente las defensas de la Recurrente en el desacuerdo de interconexión, por lo que trasciende tal vicio a la Resolución Impugnada por estar la misma fundada en un documento diverso que no le fue entregado a la Recurrente dejándola en completo estado de indefensión. </w:t>
      </w:r>
    </w:p>
    <w:p w14:paraId="12273CA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el </w:t>
      </w:r>
      <w:r w:rsidRPr="00654D1D">
        <w:rPr>
          <w:rFonts w:ascii="ITC Avant Garde" w:hAnsi="ITC Avant Garde" w:cs="Arial"/>
          <w:b/>
        </w:rPr>
        <w:t>numeral III del Primer Agravio</w:t>
      </w:r>
      <w:r w:rsidRPr="00654D1D">
        <w:rPr>
          <w:rFonts w:ascii="ITC Avant Garde" w:hAnsi="ITC Avant Garde" w:cs="Arial"/>
        </w:rPr>
        <w:t xml:space="preserve"> la Recurrente sostiene los siguientes puntos:</w:t>
      </w:r>
    </w:p>
    <w:p w14:paraId="11B2FA9F" w14:textId="77777777" w:rsidR="00654D1D" w:rsidRPr="00654D1D" w:rsidRDefault="003E526D" w:rsidP="00654D1D">
      <w:pPr>
        <w:numPr>
          <w:ilvl w:val="0"/>
          <w:numId w:val="45"/>
        </w:numPr>
        <w:spacing w:before="240"/>
        <w:ind w:left="426"/>
        <w:contextualSpacing/>
        <w:jc w:val="both"/>
        <w:rPr>
          <w:rFonts w:ascii="ITC Avant Garde" w:hAnsi="ITC Avant Garde" w:cs="Arial"/>
        </w:rPr>
      </w:pPr>
      <w:r w:rsidRPr="00654D1D">
        <w:rPr>
          <w:rFonts w:ascii="ITC Avant Garde" w:hAnsi="ITC Avant Garde" w:cs="Arial"/>
        </w:rPr>
        <w:t>Señala que una vez hecha la estimación del número de suscriptores, se utilizan una serie de parámetros para estimar las siguientes variables del Modelo a partir de las cuales se estimarán las dimensiones de los distintos elementos de red: i) minutos de salida por suscriptor por mes, es decir la suma de todos los minutos de todas las llamadas originadas por cada suscriptor; ii) minutos de entrada por suscriptor por mes, es decir la suma de todos los minutos de todas las llamadas recibidas por cada suscriptor; iii) porcentaje de minutos locales del total de minutos de salida; iv) porcentaje de las llamadas locales del total de minutos de entrada, y v) el porcentaje de llamadas "</w:t>
      </w:r>
      <w:proofErr w:type="spellStart"/>
      <w:r w:rsidRPr="00654D1D">
        <w:rPr>
          <w:rFonts w:ascii="ITC Avant Garde" w:hAnsi="ITC Avant Garde" w:cs="Arial"/>
        </w:rPr>
        <w:t>intrared</w:t>
      </w:r>
      <w:proofErr w:type="spellEnd"/>
      <w:r w:rsidRPr="00654D1D">
        <w:rPr>
          <w:rFonts w:ascii="ITC Avant Garde" w:hAnsi="ITC Avant Garde" w:cs="Arial"/>
        </w:rPr>
        <w:t>" del total de llamadas de salida. El problema de motivación del modelo y de falta de congruencia interna comienza precisamente en la asignación de valores a estos parámetros. Como justificación de los valores de la Comisión se ofrece una tabla en donde junto al valor asignado se contiene una explicación de su origen, misma que es del todo insuficiente para justificar la veracidad de los mismos e inclusive es contradictoria con otros parámetros empleados en el Modelo de Costos.</w:t>
      </w:r>
    </w:p>
    <w:p w14:paraId="6FCB3E5C" w14:textId="77777777" w:rsidR="00654D1D" w:rsidRPr="00654D1D" w:rsidRDefault="003E526D" w:rsidP="00654D1D">
      <w:pPr>
        <w:spacing w:before="240"/>
        <w:ind w:left="426"/>
        <w:jc w:val="both"/>
        <w:rPr>
          <w:rFonts w:ascii="ITC Avant Garde" w:hAnsi="ITC Avant Garde" w:cs="Arial"/>
        </w:rPr>
      </w:pPr>
      <w:r w:rsidRPr="00654D1D">
        <w:rPr>
          <w:rFonts w:ascii="ITC Avant Garde" w:hAnsi="ITC Avant Garde" w:cs="Arial"/>
        </w:rPr>
        <w:t xml:space="preserve">La Comisión afirma en la página </w:t>
      </w:r>
      <w:r w:rsidRPr="00654D1D">
        <w:rPr>
          <w:rFonts w:ascii="ITC Avant Garde" w:hAnsi="ITC Avant Garde" w:cs="Arial"/>
          <w:b/>
        </w:rPr>
        <w:t>31</w:t>
      </w:r>
      <w:r w:rsidRPr="00654D1D">
        <w:rPr>
          <w:rFonts w:ascii="ITC Avant Garde" w:hAnsi="ITC Avant Garde" w:cs="Arial"/>
        </w:rPr>
        <w:t xml:space="preserve"> que los minutos de salida y entrada por usuario son estimados con base en "la información de una empresa y se realizan proyecciones de crecimiento", sin embargo, no se presenta en el modelo de costos el texto de dicha información ni de las proyecciones ni se justifica el por qué la misma se considera la fuente más confiable para determinar los minutos de salida, máxime que se trata en esencia de calcular los mismos para periodos que ya han transcurrido (</w:t>
      </w:r>
      <w:r w:rsidRPr="00654D1D">
        <w:rPr>
          <w:rFonts w:ascii="ITC Avant Garde" w:hAnsi="ITC Avant Garde" w:cs="Arial"/>
          <w:b/>
        </w:rPr>
        <w:t xml:space="preserve">1 </w:t>
      </w:r>
      <w:r w:rsidRPr="00654D1D">
        <w:rPr>
          <w:rFonts w:ascii="ITC Avant Garde" w:hAnsi="ITC Avant Garde" w:cs="Arial"/>
        </w:rPr>
        <w:t xml:space="preserve">de enero de 2011 al </w:t>
      </w:r>
      <w:r w:rsidRPr="00654D1D">
        <w:rPr>
          <w:rFonts w:ascii="ITC Avant Garde" w:hAnsi="ITC Avant Garde" w:cs="Arial"/>
          <w:b/>
        </w:rPr>
        <w:t xml:space="preserve">19 de julio </w:t>
      </w:r>
      <w:r w:rsidRPr="00654D1D">
        <w:rPr>
          <w:rFonts w:ascii="ITC Avant Garde" w:hAnsi="ITC Avant Garde" w:cs="Arial"/>
        </w:rPr>
        <w:t xml:space="preserve">de 2011) y que por lo tanto podrían ser determinados con base en información real (en acatamiento a lo dispuesto por el artículo 68 de la Ley Federal de Telecomunicaciones y el artículo 95 del Reglamento de Telecomunicaciones que prevén se solicite información actual a los operadores en lugar de proyecciones. Sostiene que existe contradicción entre las fuentes empleadas, es decir, entre las establecidas en el texto y la Tabla 2 de la Resolución Recurrida en la página </w:t>
      </w:r>
      <w:r w:rsidRPr="00654D1D">
        <w:rPr>
          <w:rFonts w:ascii="ITC Avant Garde" w:hAnsi="ITC Avant Garde" w:cs="Arial"/>
          <w:b/>
        </w:rPr>
        <w:t>31</w:t>
      </w:r>
      <w:r w:rsidRPr="00654D1D">
        <w:rPr>
          <w:rFonts w:ascii="ITC Avant Garde" w:hAnsi="ITC Avant Garde" w:cs="Arial"/>
        </w:rPr>
        <w:t xml:space="preserve"> y la tabla que aparece en la página </w:t>
      </w:r>
      <w:r w:rsidRPr="00654D1D">
        <w:rPr>
          <w:rFonts w:ascii="ITC Avant Garde" w:hAnsi="ITC Avant Garde" w:cs="Arial"/>
          <w:b/>
        </w:rPr>
        <w:t>47</w:t>
      </w:r>
      <w:r w:rsidRPr="00654D1D">
        <w:rPr>
          <w:rFonts w:ascii="ITC Avant Garde" w:hAnsi="ITC Avant Garde" w:cs="Arial"/>
        </w:rPr>
        <w:t xml:space="preserve"> del Anexo, contradicción interna que viola los principios del artículo 16 de la Constitución, ya que por una parte se afirma que los minutos entrantes y salientes por usuario se </w:t>
      </w:r>
      <w:r w:rsidRPr="00654D1D">
        <w:rPr>
          <w:rFonts w:ascii="ITC Avant Garde" w:hAnsi="ITC Avant Garde" w:cs="Arial"/>
        </w:rPr>
        <w:lastRenderedPageBreak/>
        <w:t>obtienen de una proyección basada en la información de un operador y por la otra se establece que esta misma información se obtiene a partir de la información reportada por Merrill Lynch.</w:t>
      </w:r>
    </w:p>
    <w:p w14:paraId="7E835352" w14:textId="77777777" w:rsidR="00654D1D" w:rsidRPr="00654D1D" w:rsidRDefault="003E526D" w:rsidP="00654D1D">
      <w:pPr>
        <w:spacing w:before="240"/>
        <w:ind w:left="426"/>
        <w:jc w:val="both"/>
        <w:rPr>
          <w:rFonts w:ascii="ITC Avant Garde" w:hAnsi="ITC Avant Garde" w:cs="Arial"/>
        </w:rPr>
      </w:pPr>
      <w:r w:rsidRPr="00654D1D">
        <w:rPr>
          <w:rFonts w:ascii="ITC Avant Garde" w:hAnsi="ITC Avant Garde" w:cs="Arial"/>
        </w:rPr>
        <w:t xml:space="preserve">La Resolución Recurrida y el modelo de costos utilizado señalan los minutos de salida y entrada se obtuvieron con base en datos históricos. </w:t>
      </w:r>
      <w:r w:rsidRPr="00654D1D">
        <w:rPr>
          <w:rFonts w:ascii="ITC Avant Garde" w:hAnsi="ITC Avant Garde" w:cs="Arial"/>
          <w:b/>
        </w:rPr>
        <w:t>Los datos sobre minutos que tiene Merrill Lynch así como esa autoridad son datos de minutos facturados y no reales. Ni la Resolución Recurrida ni el modelo explican cómo cambian los minutos facturados a minutos reales</w:t>
      </w:r>
      <w:r w:rsidRPr="00654D1D">
        <w:rPr>
          <w:rFonts w:ascii="ITC Avant Garde" w:hAnsi="ITC Avant Garde" w:cs="Arial"/>
        </w:rPr>
        <w:t>; no explican ni el proceso ni los factores de ajuste, ni cómo llegaron a ellos.</w:t>
      </w:r>
    </w:p>
    <w:p w14:paraId="69C9BB89" w14:textId="77777777" w:rsidR="00654D1D" w:rsidRPr="00654D1D" w:rsidRDefault="003E526D" w:rsidP="00654D1D">
      <w:pPr>
        <w:spacing w:before="240"/>
        <w:ind w:left="426"/>
        <w:jc w:val="both"/>
        <w:rPr>
          <w:rFonts w:ascii="ITC Avant Garde" w:hAnsi="ITC Avant Garde" w:cs="Arial"/>
        </w:rPr>
      </w:pPr>
      <w:r w:rsidRPr="00654D1D">
        <w:rPr>
          <w:rFonts w:ascii="ITC Avant Garde" w:hAnsi="ITC Avant Garde" w:cs="Arial"/>
        </w:rPr>
        <w:t>Concluye que existe la necesidad por parte de la Comisión de determinar las tarifas de interconexión tomando en consideración información real y actualizada, a efecto de conseguir fijar la tarifa de interconexión adecuada a cada caso concreto.</w:t>
      </w:r>
    </w:p>
    <w:p w14:paraId="6F39D58A" w14:textId="77777777" w:rsidR="00654D1D" w:rsidRPr="00654D1D" w:rsidRDefault="003E526D" w:rsidP="00654D1D">
      <w:pPr>
        <w:numPr>
          <w:ilvl w:val="0"/>
          <w:numId w:val="45"/>
        </w:numPr>
        <w:spacing w:before="240"/>
        <w:ind w:left="426"/>
        <w:contextualSpacing/>
        <w:jc w:val="both"/>
        <w:rPr>
          <w:rFonts w:ascii="ITC Avant Garde" w:hAnsi="ITC Avant Garde" w:cs="Arial"/>
        </w:rPr>
      </w:pPr>
      <w:r w:rsidRPr="00654D1D">
        <w:rPr>
          <w:rFonts w:ascii="ITC Avant Garde" w:hAnsi="ITC Avant Garde" w:cs="Arial"/>
        </w:rPr>
        <w:t>Los minutos de entrada son también producto de una estimación de Merrill Lynch, pero aquí añade una relación entre minutos de salida por minutos de entrada del 93%. Al igual que en el caso anterior, no es claro cuáles son los documentos de Merrill Lynch a los que alude la Resolución Recurrida ni la fuente para estimar la mencionada proporción de 93%. Más aún, del análisis de la resolución y del modelo de costos publicado por la Comisión no se desprende que este porcentaje haya sido efectivamente considerado en la determinación de los minutos por usuario.</w:t>
      </w:r>
    </w:p>
    <w:p w14:paraId="641E92AA" w14:textId="77777777" w:rsidR="00654D1D" w:rsidRPr="00654D1D" w:rsidRDefault="003E526D" w:rsidP="00654D1D">
      <w:pPr>
        <w:spacing w:before="240"/>
        <w:ind w:left="567"/>
        <w:jc w:val="both"/>
        <w:rPr>
          <w:rFonts w:ascii="ITC Avant Garde" w:hAnsi="ITC Avant Garde" w:cs="Arial"/>
        </w:rPr>
      </w:pPr>
      <w:r w:rsidRPr="00654D1D">
        <w:rPr>
          <w:rFonts w:ascii="ITC Avant Garde" w:hAnsi="ITC Avant Garde" w:cs="Arial"/>
        </w:rPr>
        <w:t>Invoca el párrafo Tercero del Anexo 2 (Resolutivos) de los Lineamientos publicados por la Comisión el 12 de abril de 2012, sin embargo, del análisis efectuado al modelo de costos como a sus anexos técnicos la Recurrente no encuentra evidencia de que se haya aplicado efectivamente un modelo “</w:t>
      </w:r>
      <w:proofErr w:type="spellStart"/>
      <w:r w:rsidRPr="00654D1D">
        <w:rPr>
          <w:rFonts w:ascii="ITC Avant Garde" w:hAnsi="ITC Avant Garde" w:cs="Arial"/>
        </w:rPr>
        <w:t>Scorched</w:t>
      </w:r>
      <w:proofErr w:type="spellEnd"/>
      <w:r w:rsidRPr="00654D1D">
        <w:rPr>
          <w:rFonts w:ascii="ITC Avant Garde" w:hAnsi="ITC Avant Garde" w:cs="Arial"/>
        </w:rPr>
        <w:t xml:space="preserve"> </w:t>
      </w:r>
      <w:proofErr w:type="spellStart"/>
      <w:r w:rsidRPr="00654D1D">
        <w:rPr>
          <w:rFonts w:ascii="ITC Avant Garde" w:hAnsi="ITC Avant Garde" w:cs="Arial"/>
        </w:rPr>
        <w:t>Earth</w:t>
      </w:r>
      <w:proofErr w:type="spellEnd"/>
      <w:r w:rsidRPr="00654D1D">
        <w:rPr>
          <w:rFonts w:ascii="ITC Avant Garde" w:hAnsi="ITC Avant Garde" w:cs="Arial"/>
        </w:rPr>
        <w:t xml:space="preserve">”, ni que se haya utilizado información sobre la topografía mexicana y la distribución poblacional que se observa en este mercado. </w:t>
      </w:r>
    </w:p>
    <w:p w14:paraId="47BBBF42" w14:textId="77777777" w:rsidR="00654D1D" w:rsidRPr="00654D1D" w:rsidRDefault="003E526D" w:rsidP="00654D1D">
      <w:pPr>
        <w:numPr>
          <w:ilvl w:val="0"/>
          <w:numId w:val="45"/>
        </w:numPr>
        <w:spacing w:before="240"/>
        <w:contextualSpacing/>
        <w:jc w:val="both"/>
        <w:rPr>
          <w:rFonts w:ascii="ITC Avant Garde" w:hAnsi="ITC Avant Garde" w:cs="Arial"/>
          <w:b/>
        </w:rPr>
      </w:pPr>
      <w:r w:rsidRPr="00654D1D">
        <w:rPr>
          <w:rFonts w:ascii="ITC Avant Garde" w:hAnsi="ITC Avant Garde" w:cs="Arial"/>
        </w:rPr>
        <w:t xml:space="preserve">Como fuente del porcentaje de llamadas locales se ofrece una estimación de mercado de la Organización para la Cooperación y el Desarrollo Económico ("OCDE"); misma que en ningún momento es presentada a la Recurrente para efectos de confirmar su veracidad o suficiencia para efectos de medir las llamadas locales que ya ocurrieron durante los meses de </w:t>
      </w:r>
      <w:r w:rsidRPr="00654D1D">
        <w:rPr>
          <w:rFonts w:ascii="ITC Avant Garde" w:hAnsi="ITC Avant Garde" w:cs="Arial"/>
          <w:b/>
        </w:rPr>
        <w:t xml:space="preserve">enero a julio de 2011. </w:t>
      </w:r>
    </w:p>
    <w:p w14:paraId="4189E7DE" w14:textId="77777777" w:rsidR="00654D1D" w:rsidRPr="00654D1D" w:rsidRDefault="003E526D" w:rsidP="00654D1D">
      <w:pPr>
        <w:spacing w:before="240"/>
        <w:ind w:left="720"/>
        <w:contextualSpacing/>
        <w:jc w:val="both"/>
        <w:rPr>
          <w:rFonts w:ascii="ITC Avant Garde" w:hAnsi="ITC Avant Garde" w:cs="Arial"/>
        </w:rPr>
      </w:pPr>
      <w:r w:rsidRPr="00654D1D">
        <w:rPr>
          <w:rFonts w:ascii="ITC Avant Garde" w:hAnsi="ITC Avant Garde" w:cs="Arial"/>
        </w:rPr>
        <w:t>El Modelo de Costos también requiere de una estimación de llamadas "</w:t>
      </w:r>
      <w:proofErr w:type="spellStart"/>
      <w:r w:rsidRPr="00654D1D">
        <w:rPr>
          <w:rFonts w:ascii="ITC Avant Garde" w:hAnsi="ITC Avant Garde" w:cs="Arial"/>
        </w:rPr>
        <w:t>intrared</w:t>
      </w:r>
      <w:proofErr w:type="spellEnd"/>
      <w:r w:rsidRPr="00654D1D">
        <w:rPr>
          <w:rFonts w:ascii="ITC Avant Garde" w:hAnsi="ITC Avant Garde" w:cs="Arial"/>
        </w:rPr>
        <w:t xml:space="preserve">" (llamadas de un usuario de la Recurrente a otro usuario del mismo grupo). Ésta estimación también encuentra fundamento en un supuesto de mercado de la OCDE, cuyo documento origen no fue proporcionado a la Recurrente, por lo que queda en total estado de indefensión. Adicionalmente, la proporción estimada (47% para 2011) no corresponde al porcentaje observado para usuarios de la </w:t>
      </w:r>
      <w:r w:rsidRPr="00654D1D">
        <w:rPr>
          <w:rFonts w:ascii="ITC Avant Garde" w:hAnsi="ITC Avant Garde" w:cs="Arial"/>
        </w:rPr>
        <w:lastRenderedPageBreak/>
        <w:t>Recurrente ni se ofrece una explicación de la idoneidad de ese supuesto para incorporarlo en el modelo de costos desarrollado por la propia Comisión.</w:t>
      </w:r>
    </w:p>
    <w:p w14:paraId="6E76D0FD" w14:textId="77777777" w:rsidR="00654D1D" w:rsidRPr="00654D1D" w:rsidRDefault="003E526D" w:rsidP="00654D1D">
      <w:pPr>
        <w:numPr>
          <w:ilvl w:val="0"/>
          <w:numId w:val="45"/>
        </w:numPr>
        <w:spacing w:before="240"/>
        <w:contextualSpacing/>
        <w:jc w:val="both"/>
        <w:rPr>
          <w:rFonts w:ascii="ITC Avant Garde" w:hAnsi="ITC Avant Garde" w:cs="Arial"/>
        </w:rPr>
      </w:pPr>
      <w:r w:rsidRPr="00654D1D">
        <w:rPr>
          <w:rFonts w:ascii="ITC Avant Garde" w:hAnsi="ITC Avant Garde" w:cs="Arial"/>
        </w:rPr>
        <w:t>Un supuesto adicional es la estimación de la duración promedio por llamada. En este caso, el modelo de costos de la Comisión en la Resolución Recurrida considera tres diferentes tipos de llamada dentro de las que se incluye de teléfono fijo a móvil y se utiliza una vez más un supuesto de mercado de la OCDE (de nivel bajo) para asignar una duración promedio de 1.5 minutos por llamada. El documento en el que se contiene dicho supuesto no fue proporcionado a la Recurrente y la Comisión en el modelo de costos no expuso las razones por las cuáles este supuesto encuadra en la realidad del mercado mexicano.</w:t>
      </w:r>
    </w:p>
    <w:p w14:paraId="2C3432BB" w14:textId="77777777" w:rsidR="00654D1D" w:rsidRPr="00654D1D" w:rsidRDefault="003E526D" w:rsidP="00654D1D">
      <w:pPr>
        <w:spacing w:before="240"/>
        <w:ind w:left="708"/>
        <w:jc w:val="both"/>
        <w:rPr>
          <w:rFonts w:ascii="ITC Avant Garde" w:hAnsi="ITC Avant Garde" w:cs="Arial"/>
        </w:rPr>
      </w:pPr>
      <w:r w:rsidRPr="00654D1D">
        <w:rPr>
          <w:rFonts w:ascii="ITC Avant Garde" w:hAnsi="ITC Avant Garde" w:cs="Arial"/>
        </w:rPr>
        <w:t xml:space="preserve">Finalmente, en la elaboración del Modelo de Costos la Comisión nunca emitió memoriales de cálculo para las estimaciones de los números de llamadas por año. Todo lo anterior resulta en una violación a los principios de adecuada motivación y congruencia interna de la Resolución Recurrida que resulta violatoria del artículo 16 de la Constitución y que además deja a la Recurrente en estado de indefensión. </w:t>
      </w:r>
    </w:p>
    <w:p w14:paraId="15A3E6DF" w14:textId="77777777" w:rsidR="00654D1D" w:rsidRPr="00654D1D" w:rsidRDefault="003E526D" w:rsidP="00654D1D">
      <w:pPr>
        <w:numPr>
          <w:ilvl w:val="0"/>
          <w:numId w:val="45"/>
        </w:numPr>
        <w:spacing w:before="240"/>
        <w:contextualSpacing/>
        <w:jc w:val="both"/>
        <w:rPr>
          <w:rFonts w:ascii="ITC Avant Garde" w:hAnsi="ITC Avant Garde" w:cs="Arial"/>
        </w:rPr>
      </w:pPr>
      <w:r w:rsidRPr="00654D1D">
        <w:rPr>
          <w:rFonts w:ascii="ITC Avant Garde" w:hAnsi="ITC Avant Garde" w:cs="Arial"/>
        </w:rPr>
        <w:t xml:space="preserve">El Modelo de Costos nuevamente modifica el supuesto del "operador eficiente" o "representativo" y lo convierte en un operador de tamaño "medio". El empleo de un "operador de tamaño medio" es el fundamento para excluir del Modelo de Costos a las zonas rurales, a pesar de que las mismas representarían el 69.03% del área geográfica del país en términos de la propia Resolución Recurrida. Más aún, con base en la información censal del Conteo 2005 de INEGI, que la Comisión utiliza como fuente en la Resolución Recurrida, la población urbana representa sólo el 76% de la población total, por lo que para alcanzar una cobertura de señal para el 90.55% que supone la Comisión se requiere necesariamente cubrir otro 14.5 % de la población total y que vive en zonas rurales; es decir se requiere dar cobertura de señal a cerca del 60% de la población rural. Esta falta de congruencia en las características del operador al interior de la Resolución Recurrida resulta una vez más en una violación al principio de adecuada motivación que deben tener todos los actos de autoridad. </w:t>
      </w:r>
    </w:p>
    <w:p w14:paraId="6EE2C5C6" w14:textId="77777777" w:rsidR="00654D1D" w:rsidRPr="00654D1D" w:rsidRDefault="003E526D" w:rsidP="00654D1D">
      <w:pPr>
        <w:spacing w:before="240"/>
        <w:ind w:left="709"/>
        <w:jc w:val="both"/>
        <w:rPr>
          <w:rFonts w:ascii="ITC Avant Garde" w:hAnsi="ITC Avant Garde" w:cs="Arial"/>
        </w:rPr>
      </w:pPr>
      <w:r w:rsidRPr="00654D1D">
        <w:rPr>
          <w:rFonts w:ascii="ITC Avant Garde" w:hAnsi="ITC Avant Garde" w:cs="Arial"/>
        </w:rPr>
        <w:t xml:space="preserve">La Resolución Recurrida en ningún momento presenta las fuentes o fundamentos de la Comisión para determinar: i) si los elementos mencionados constituyen la totalidad de los elementos de una red de telefonía móvil, y ii) si los elementos seleccionados son los únicos necesarios para prestar los servicios de interconexión, y iii) que los costos de interconexión y adquisición de enlaces dedicados y de Larga Distancia son los mismos para Telcel que para los demás operadores, cuando es público en el sector que Telmex ha permitido a Telcel llevar a cabo toda la interconexión nacional en un número de puntos sustancialmente inferior </w:t>
      </w:r>
      <w:r w:rsidRPr="00654D1D">
        <w:rPr>
          <w:rFonts w:ascii="ITC Avant Garde" w:hAnsi="ITC Avant Garde" w:cs="Arial"/>
        </w:rPr>
        <w:lastRenderedPageBreak/>
        <w:t>a los que tuvieron que construir los demás operadores con vocación nacional y cuando la Comisión desconoce por completo los cargos que Telmex hace a Telcel por el uso de infraestructura ya que Telmex se ha negado a presentar contabilidad separada con base en estándares internacionales y se limita a presentar información tan general que resulta imposible para la Comisión confirmar a partir de ella que Telmex ha dado trato igualitario a Telcel que al resto de los operadores. Las mencionadas omisiones por parte de la Comisión en el modelo de costos constituye en sí misma una ausencia de motivación conforme al artículo 16 de la Constitución puesto que ésta omite el indicar cuales fueron las razones o motivos que tuvo para estimar el número y características de los elementos de red.</w:t>
      </w:r>
    </w:p>
    <w:p w14:paraId="43A6C98C" w14:textId="77777777" w:rsidR="00654D1D" w:rsidRPr="00654D1D" w:rsidRDefault="003E526D" w:rsidP="00654D1D">
      <w:pPr>
        <w:spacing w:before="240"/>
        <w:ind w:left="709"/>
        <w:jc w:val="both"/>
        <w:rPr>
          <w:rFonts w:ascii="ITC Avant Garde" w:hAnsi="ITC Avant Garde" w:cs="Arial"/>
        </w:rPr>
      </w:pPr>
      <w:r w:rsidRPr="00654D1D">
        <w:rPr>
          <w:rFonts w:ascii="ITC Avant Garde" w:hAnsi="ITC Avant Garde" w:cs="Arial"/>
        </w:rPr>
        <w:t>En resumen, todo el Modelo de Costos elaborado por la Comisión se encuentra sustentado en la existencia de una empresa que no existe en la realidad. Siendo que lo que tenía que hacer la autoridad al elaborar el Modelo de Costos era calcular las tarifas de interconexión entre las Tercero Perjudicadas y la Recurrente, es así que, carece de lógica el emplear los supuestos costos en los que incurre dicho operador inexistente para fijar estas tarifas de interconexión. Adicionalmente, la Comisión en la elaboración del Modelo de Costos proporciona dos definiciones distintas de lo que es un operador "eficiente" o un operador "representativo", lo cual vicia al Modelo con falta de congruencia desde el punto de vista interno y, por lo tanto, es violatoria de los principios de debida fundamentación y motivación consagrados en el artículo 16 de la Constitución, mismos que son adoptados en la legislación secundaria por el artículo 3 de la Ley Federal de Procedimiento Administrativo.</w:t>
      </w:r>
    </w:p>
    <w:p w14:paraId="32E39DF8" w14:textId="77777777" w:rsidR="00654D1D" w:rsidRPr="00654D1D" w:rsidRDefault="003E526D" w:rsidP="00654D1D">
      <w:pPr>
        <w:spacing w:before="240"/>
        <w:ind w:left="709"/>
        <w:jc w:val="both"/>
        <w:rPr>
          <w:rFonts w:ascii="ITC Avant Garde" w:hAnsi="ITC Avant Garde" w:cs="Arial"/>
        </w:rPr>
      </w:pPr>
      <w:r w:rsidRPr="00654D1D">
        <w:rPr>
          <w:rFonts w:ascii="ITC Avant Garde" w:hAnsi="ITC Avant Garde" w:cs="Arial"/>
        </w:rPr>
        <w:t>El Modelo de Costos no proporciona razones o motivos para emplear los valores que utiliza, cita fuentes de documentos que nunca le fueron proporcionados a la Recurrente, incurre en contradicciones o emplea valores que no encuentran explicación alguna en el propio Modelo de Costos o la Resolución Recurrida, para tal efecto considera lo siguiente:</w:t>
      </w:r>
    </w:p>
    <w:p w14:paraId="08C0DD48" w14:textId="77777777" w:rsidR="00654D1D" w:rsidRPr="00654D1D" w:rsidRDefault="003E526D" w:rsidP="00654D1D">
      <w:pPr>
        <w:numPr>
          <w:ilvl w:val="0"/>
          <w:numId w:val="45"/>
        </w:numPr>
        <w:spacing w:before="240"/>
        <w:ind w:left="426"/>
        <w:contextualSpacing/>
        <w:jc w:val="both"/>
        <w:rPr>
          <w:rFonts w:ascii="ITC Avant Garde" w:hAnsi="ITC Avant Garde" w:cs="Arial"/>
        </w:rPr>
      </w:pPr>
      <w:r w:rsidRPr="00654D1D">
        <w:rPr>
          <w:rFonts w:ascii="ITC Avant Garde" w:hAnsi="ITC Avant Garde" w:cs="Arial"/>
        </w:rPr>
        <w:t>El primer paso del Modelo de Costos utilizado en la Resolución Recurrida es distinguir entre dos tipos de costos, a saber; i) los costos operativos (OPEX), y ii) los costos de capital (CAPEX). En el Modelo de Costos nunca se presenta el desglose claro y detallado de cuáles son los elementos que integran los costos operativos, es más, arbitrariamente se asigna a los costos operativos un valor del 15% de la inversión total efectuada por la Recurrente sin siquiera tomar en consideración la información que periódicamente se ha presentado a la Comisión por la Recurrente respecto de sus diversas inversiones en México.</w:t>
      </w:r>
    </w:p>
    <w:p w14:paraId="1242A403" w14:textId="77777777" w:rsidR="00654D1D" w:rsidRPr="00654D1D" w:rsidRDefault="003E526D" w:rsidP="00654D1D">
      <w:pPr>
        <w:spacing w:before="240"/>
        <w:ind w:left="426"/>
        <w:jc w:val="both"/>
        <w:rPr>
          <w:rFonts w:ascii="ITC Avant Garde" w:hAnsi="ITC Avant Garde" w:cs="Arial"/>
        </w:rPr>
      </w:pPr>
      <w:r w:rsidRPr="00654D1D">
        <w:rPr>
          <w:rFonts w:ascii="ITC Avant Garde" w:hAnsi="ITC Avant Garde" w:cs="Arial"/>
        </w:rPr>
        <w:lastRenderedPageBreak/>
        <w:t>El modelo de costos no considera como parte del costo de interconexión un conjunto de activos o servicios que resultan necesarios para la provisión de servicios de interconexión, tal como facturación, conciliación/liquidación, etc.</w:t>
      </w:r>
    </w:p>
    <w:p w14:paraId="4AB73E88" w14:textId="77777777" w:rsidR="00654D1D" w:rsidRPr="00654D1D" w:rsidRDefault="003E526D" w:rsidP="00654D1D">
      <w:pPr>
        <w:numPr>
          <w:ilvl w:val="0"/>
          <w:numId w:val="45"/>
        </w:numPr>
        <w:spacing w:before="240"/>
        <w:ind w:left="426"/>
        <w:contextualSpacing/>
        <w:jc w:val="both"/>
        <w:rPr>
          <w:rFonts w:ascii="ITC Avant Garde" w:hAnsi="ITC Avant Garde" w:cs="Arial"/>
        </w:rPr>
      </w:pPr>
      <w:r w:rsidRPr="00654D1D">
        <w:rPr>
          <w:rFonts w:ascii="ITC Avant Garde" w:hAnsi="ITC Avant Garde" w:cs="Arial"/>
        </w:rPr>
        <w:t xml:space="preserve">En el caso del modelo en el que se ha basado la estimación del cargo para el año 2011, la Comisión ha considerado únicamente el costo de las redes 2G. </w:t>
      </w:r>
    </w:p>
    <w:p w14:paraId="1CCC3A51" w14:textId="77777777" w:rsidR="00654D1D" w:rsidRPr="00654D1D" w:rsidRDefault="003E526D" w:rsidP="00654D1D">
      <w:pPr>
        <w:spacing w:before="240"/>
        <w:ind w:left="426"/>
        <w:jc w:val="both"/>
        <w:rPr>
          <w:rFonts w:ascii="ITC Avant Garde" w:hAnsi="ITC Avant Garde" w:cs="Arial"/>
        </w:rPr>
      </w:pPr>
      <w:r w:rsidRPr="00654D1D">
        <w:rPr>
          <w:rFonts w:ascii="ITC Avant Garde" w:hAnsi="ITC Avant Garde" w:cs="Arial"/>
        </w:rPr>
        <w:t xml:space="preserve">Esta aproximación subestima el nivel de inversiones que efectivamente han venido desplegando los operadores en el mercado mexicano. La Recurrente refiere que en Perú el modelo recientemente aprobado por </w:t>
      </w:r>
      <w:proofErr w:type="spellStart"/>
      <w:r w:rsidRPr="00654D1D">
        <w:rPr>
          <w:rFonts w:ascii="ITC Avant Garde" w:hAnsi="ITC Avant Garde" w:cs="Arial"/>
        </w:rPr>
        <w:t>Osiptel</w:t>
      </w:r>
      <w:proofErr w:type="spellEnd"/>
      <w:r w:rsidRPr="00654D1D">
        <w:rPr>
          <w:rFonts w:ascii="ITC Avant Garde" w:hAnsi="ITC Avant Garde" w:cs="Arial"/>
        </w:rPr>
        <w:t xml:space="preserve"> ha considerado como parte del costo de interconexión, entre otros componentes no considerados por la Comisión: i) las inversiones relacionadas con la introducción y migración a las tecnología de tercera generación; ii) la existencia de </w:t>
      </w:r>
      <w:proofErr w:type="spellStart"/>
      <w:r w:rsidRPr="00654D1D">
        <w:rPr>
          <w:rFonts w:ascii="ITC Avant Garde" w:hAnsi="ITC Avant Garde" w:cs="Arial"/>
        </w:rPr>
        <w:t>HLRs</w:t>
      </w:r>
      <w:proofErr w:type="spellEnd"/>
      <w:r w:rsidRPr="00654D1D">
        <w:rPr>
          <w:rFonts w:ascii="ITC Avant Garde" w:hAnsi="ITC Avant Garde" w:cs="Arial"/>
        </w:rPr>
        <w:t xml:space="preserve"> redundantes; iii) la red de señalización; y iv) el "software" de optimización para tecnologías "2G" con un valor superior a los seis millones de dólares. De manera ilustrativa se exhibe adjunto al presente los informes a la Gerencia General números 478-GPR/2010 de 12 de agosto de 2010 y Número 168-GPR/2010 de 26 de marzo de 2010 elaborados por OSIPTEL, documentos a los que la Recurrente no le otorga mayor alcance ni consiente cuestiones diversas a los incisos arriba enunciados.</w:t>
      </w:r>
    </w:p>
    <w:p w14:paraId="4C7533F8" w14:textId="77777777" w:rsidR="00654D1D" w:rsidRPr="00654D1D" w:rsidRDefault="003E526D" w:rsidP="00654D1D">
      <w:pPr>
        <w:numPr>
          <w:ilvl w:val="0"/>
          <w:numId w:val="45"/>
        </w:numPr>
        <w:spacing w:before="240"/>
        <w:ind w:left="426"/>
        <w:contextualSpacing/>
        <w:jc w:val="both"/>
        <w:rPr>
          <w:rFonts w:ascii="ITC Avant Garde" w:hAnsi="ITC Avant Garde" w:cs="Arial"/>
        </w:rPr>
      </w:pPr>
      <w:r w:rsidRPr="00654D1D">
        <w:rPr>
          <w:rFonts w:ascii="ITC Avant Garde" w:hAnsi="ITC Avant Garde" w:cs="Arial"/>
        </w:rPr>
        <w:t>Una de las variables más importantes para efectos de determinar el costo en el que incurre la Recurrente en la prestación de los servicios de interconexión es, naturalmente, el valor del espectro radioeléctrico que forma parte de la red pública de telecomunicaciones a través del cual se prestan los servicios de interconexión. El espectro radioeléctrico es el espacio que permite la propagación de ondas electromagnéticas en distintas bandas de frecuencia, es decir, es el medio por el que viajan las ondas que permiten la comunicación a los usuarios de teléfonos móviles, en esta tesitura, el espectro radioeléctrico es parte de los elementos concesionados por el Gobierno Federal a una empresa de telefonía móvil.</w:t>
      </w:r>
    </w:p>
    <w:p w14:paraId="045D05CB" w14:textId="77777777" w:rsidR="00654D1D" w:rsidRPr="00654D1D" w:rsidRDefault="003E526D" w:rsidP="00654D1D">
      <w:pPr>
        <w:spacing w:before="240"/>
        <w:ind w:left="426"/>
        <w:jc w:val="both"/>
        <w:rPr>
          <w:rFonts w:ascii="ITC Avant Garde" w:hAnsi="ITC Avant Garde" w:cs="Arial"/>
        </w:rPr>
      </w:pPr>
      <w:r w:rsidRPr="00654D1D">
        <w:rPr>
          <w:rFonts w:ascii="ITC Avant Garde" w:hAnsi="ITC Avant Garde" w:cs="Arial"/>
        </w:rPr>
        <w:t xml:space="preserve">Ahora bien, la Comisión sin tomar en consideración ningún otro dato, toma por valor de referencia de cada MHz. en las bandas de frecuencia de 800 MHz y de 1.9 GHz con la deficiente fundamentación y motivación de establecer que se calculó el valor del espectro a partir de las licitaciones 20 (respecto a la Banda de Espectro Radioeléctrico 1850-1910/1930-1990 </w:t>
      </w:r>
      <w:proofErr w:type="spellStart"/>
      <w:r w:rsidRPr="00654D1D">
        <w:rPr>
          <w:rFonts w:ascii="ITC Avant Garde" w:hAnsi="ITC Avant Garde" w:cs="Arial"/>
        </w:rPr>
        <w:t>Mhz</w:t>
      </w:r>
      <w:proofErr w:type="spellEnd"/>
      <w:r w:rsidRPr="00654D1D">
        <w:rPr>
          <w:rFonts w:ascii="ITC Avant Garde" w:hAnsi="ITC Avant Garde" w:cs="Arial"/>
        </w:rPr>
        <w:t xml:space="preserve">) y 21 (respecto a la Banda de Espectro Radioeléctrico 1710- 1770/2110-2170 </w:t>
      </w:r>
      <w:proofErr w:type="spellStart"/>
      <w:r w:rsidRPr="00654D1D">
        <w:rPr>
          <w:rFonts w:ascii="ITC Avant Garde" w:hAnsi="ITC Avant Garde" w:cs="Arial"/>
        </w:rPr>
        <w:t>Mhz</w:t>
      </w:r>
      <w:proofErr w:type="spellEnd"/>
      <w:r w:rsidRPr="00654D1D">
        <w:rPr>
          <w:rFonts w:ascii="ITC Avant Garde" w:hAnsi="ITC Avant Garde" w:cs="Arial"/>
        </w:rPr>
        <w:t>), subasta publicada en el Diario Oficial de la Federación el 23 de noviembre de 2009 mismas que fueron adjudicadas a un Grupo encabezado por Inversiones Nextel, S.A. de C.V., así como "en las valoraciones que realizaron las bandas de frecuencias en las distintas licitaciones.</w:t>
      </w:r>
    </w:p>
    <w:p w14:paraId="356F883E" w14:textId="77777777" w:rsidR="00654D1D" w:rsidRPr="00654D1D" w:rsidRDefault="003E526D" w:rsidP="00654D1D">
      <w:pPr>
        <w:spacing w:before="240"/>
        <w:ind w:left="426"/>
        <w:jc w:val="both"/>
        <w:rPr>
          <w:rFonts w:ascii="ITC Avant Garde" w:hAnsi="ITC Avant Garde" w:cs="Arial"/>
        </w:rPr>
      </w:pPr>
      <w:r w:rsidRPr="00654D1D">
        <w:rPr>
          <w:rFonts w:ascii="ITC Avant Garde" w:hAnsi="ITC Avant Garde" w:cs="Arial"/>
        </w:rPr>
        <w:t xml:space="preserve">Lo anterior, aún y cuando no es posible asignar un mismo valor a un MHz en la banda de 800 MHz que a uno en la banda de 1.9 GHz (los MHz en la banda de 800 MHz </w:t>
      </w:r>
      <w:r w:rsidRPr="00654D1D">
        <w:rPr>
          <w:rFonts w:ascii="ITC Avant Garde" w:hAnsi="ITC Avant Garde" w:cs="Arial"/>
        </w:rPr>
        <w:lastRenderedPageBreak/>
        <w:t>tienen más valor pues sus propiedades físicas permiten una mayor y mejor propagación de las señales). Más aún, la Recurrente se encuentra en total estado de indefensión, puesto que la Comisión decide considerar arbitrariamente una tenencia de espectro de 42.5 MHz por operador, cuando la tenencia promedio de espectro es de 59 MHz por operador y no ofrece explicación alguna al respecto no le son proporcionados los contratos celebrados entre dichas empresas y con base en el cuál se le asigna un valor a uno de los activos más importantes de la Recurrente como lo es el espectro radioeléctrico. Esta determinación del valor del espectro radioeléctrico es violatoria de los principios de debida fundamentación y motivación por no tomar en consideración las contraprestaciones y derechos que la Recurrente ha pagado al Gobierno Federal por el espectro radioeléctrico que le fue concesionado.</w:t>
      </w:r>
    </w:p>
    <w:p w14:paraId="7CE83AF1" w14:textId="77777777" w:rsidR="00654D1D" w:rsidRPr="00654D1D" w:rsidRDefault="003E526D" w:rsidP="00654D1D">
      <w:pPr>
        <w:spacing w:before="240"/>
        <w:ind w:left="426"/>
        <w:jc w:val="both"/>
        <w:rPr>
          <w:rFonts w:ascii="ITC Avant Garde" w:hAnsi="ITC Avant Garde" w:cs="Arial"/>
        </w:rPr>
      </w:pPr>
      <w:r w:rsidRPr="00654D1D">
        <w:rPr>
          <w:rFonts w:ascii="ITC Avant Garde" w:hAnsi="ITC Avant Garde" w:cs="Arial"/>
        </w:rPr>
        <w:t xml:space="preserve">Por lo demás, tomando en cuenta que el valor desembolsado en la última licitación ha sido del orden de los US $0.07 x </w:t>
      </w:r>
      <w:proofErr w:type="spellStart"/>
      <w:r w:rsidRPr="00654D1D">
        <w:rPr>
          <w:rFonts w:ascii="ITC Avant Garde" w:hAnsi="ITC Avant Garde" w:cs="Arial"/>
        </w:rPr>
        <w:t>Mhz</w:t>
      </w:r>
      <w:proofErr w:type="spellEnd"/>
      <w:r w:rsidRPr="00654D1D">
        <w:rPr>
          <w:rFonts w:ascii="ITC Avant Garde" w:hAnsi="ITC Avant Garde" w:cs="Arial"/>
        </w:rPr>
        <w:t xml:space="preserve"> x </w:t>
      </w:r>
      <w:proofErr w:type="spellStart"/>
      <w:r w:rsidRPr="00654D1D">
        <w:rPr>
          <w:rFonts w:ascii="ITC Avant Garde" w:hAnsi="ITC Avant Garde" w:cs="Arial"/>
        </w:rPr>
        <w:t>Pob</w:t>
      </w:r>
      <w:proofErr w:type="spellEnd"/>
      <w:r w:rsidRPr="00654D1D">
        <w:rPr>
          <w:rFonts w:ascii="ITC Avant Garde" w:hAnsi="ITC Avant Garde" w:cs="Arial"/>
        </w:rPr>
        <w:t>, la valorización del espectro en el modelo debería incrementarse de US$ 355 MM a US$ 450 MM.</w:t>
      </w:r>
    </w:p>
    <w:p w14:paraId="0E7A3344" w14:textId="77777777" w:rsidR="00654D1D" w:rsidRPr="00654D1D" w:rsidRDefault="003E526D" w:rsidP="00654D1D">
      <w:pPr>
        <w:numPr>
          <w:ilvl w:val="0"/>
          <w:numId w:val="45"/>
        </w:numPr>
        <w:spacing w:before="240"/>
        <w:ind w:left="426"/>
        <w:contextualSpacing/>
        <w:jc w:val="both"/>
        <w:rPr>
          <w:rFonts w:ascii="ITC Avant Garde" w:hAnsi="ITC Avant Garde" w:cs="Arial"/>
        </w:rPr>
      </w:pPr>
      <w:r w:rsidRPr="00654D1D">
        <w:rPr>
          <w:rFonts w:ascii="ITC Avant Garde" w:hAnsi="ITC Avant Garde" w:cs="Arial"/>
        </w:rPr>
        <w:t xml:space="preserve">A foja </w:t>
      </w:r>
      <w:r w:rsidRPr="00654D1D">
        <w:rPr>
          <w:rFonts w:ascii="ITC Avant Garde" w:hAnsi="ITC Avant Garde" w:cs="Arial"/>
          <w:b/>
        </w:rPr>
        <w:t>43</w:t>
      </w:r>
      <w:r w:rsidRPr="00654D1D">
        <w:rPr>
          <w:rFonts w:ascii="ITC Avant Garde" w:hAnsi="ITC Avant Garde" w:cs="Arial"/>
        </w:rPr>
        <w:t xml:space="preserve"> en la tabla 6 del Modelo de Costos se fijan las fórmulas y los parámetros para estimar la tasa denominada Costo Promedio de Capital Ponderado (WACC por sus siglas en inglés). Este cálculo es con el que se pretende estimar cual es la tasa de retorno que tiene derecho a percibir la Recurrente por los servicios de interconexión y al igual que el resto del Modelo de Costos adolece de vicios de adecuada motivación.</w:t>
      </w:r>
    </w:p>
    <w:p w14:paraId="795FE631" w14:textId="77777777" w:rsidR="00654D1D" w:rsidRPr="00654D1D" w:rsidRDefault="003E526D" w:rsidP="00654D1D">
      <w:pPr>
        <w:spacing w:before="240"/>
        <w:ind w:left="426"/>
        <w:jc w:val="both"/>
        <w:rPr>
          <w:rFonts w:ascii="ITC Avant Garde" w:hAnsi="ITC Avant Garde" w:cs="Arial"/>
        </w:rPr>
      </w:pPr>
      <w:r w:rsidRPr="00654D1D">
        <w:rPr>
          <w:rFonts w:ascii="ITC Avant Garde" w:hAnsi="ITC Avant Garde" w:cs="Arial"/>
        </w:rPr>
        <w:t>La Comisión al elaborar el Modelo de Costos en la Resolución Recurrida nunca justifica por qué el cálculo del Costo de Capital Promedio Ponderado es la mejor forma de evaluar el rendimiento que tiene derecho a percibir la Recurrente, ni las razones por las cuáles considera que el mismo es el más adecuado para satisfacer los requisitos del artículo 42 de la Ley Federal de Telecomunicaciones, no explica en qué consiste dicho costo, ni cuáles son las fuentes para aseverar que es una "metodología comúnmente utilizada" para obtener tasas de descuento (es decir, de rendimiento) para proyectos de inversión.</w:t>
      </w:r>
    </w:p>
    <w:p w14:paraId="295594C1" w14:textId="77777777" w:rsidR="00654D1D" w:rsidRPr="00654D1D" w:rsidRDefault="003E526D" w:rsidP="00654D1D">
      <w:pPr>
        <w:numPr>
          <w:ilvl w:val="0"/>
          <w:numId w:val="45"/>
        </w:numPr>
        <w:spacing w:before="240"/>
        <w:ind w:left="426"/>
        <w:contextualSpacing/>
        <w:jc w:val="both"/>
        <w:rPr>
          <w:rFonts w:ascii="ITC Avant Garde" w:hAnsi="ITC Avant Garde" w:cs="Arial"/>
        </w:rPr>
      </w:pPr>
      <w:r w:rsidRPr="00654D1D">
        <w:rPr>
          <w:rFonts w:ascii="ITC Avant Garde" w:hAnsi="ITC Avant Garde" w:cs="Arial"/>
        </w:rPr>
        <w:t xml:space="preserve">Dentro de los requerimientos fijados por los tribunales para una adecuada fundamentación y motivación se encuentra el desglose de las fórmulas aplicadas por la Comisión a fin de que el gobernado pueda conocer los cálculos que se han efectuado. En el caso que nos ocupa, todo lo que aparecen son una serie de tablas para diversos años con someras explicaciones, pero dada la complejidad de las fórmulas empleadas por la Comisión es prácticamente imposible el verificar si los cálculos se encuentran debidamente efectuados. Además, el modelo está construido de manera tal que el número de </w:t>
      </w:r>
      <w:proofErr w:type="spellStart"/>
      <w:r w:rsidRPr="00654D1D">
        <w:rPr>
          <w:rFonts w:ascii="ITC Avant Garde" w:hAnsi="ITC Avant Garde" w:cs="Arial"/>
        </w:rPr>
        <w:t>radiobases</w:t>
      </w:r>
      <w:proofErr w:type="spellEnd"/>
      <w:r w:rsidRPr="00654D1D">
        <w:rPr>
          <w:rFonts w:ascii="ITC Avant Garde" w:hAnsi="ITC Avant Garde" w:cs="Arial"/>
        </w:rPr>
        <w:t xml:space="preserve"> resultante es independiente </w:t>
      </w:r>
      <w:r w:rsidRPr="00654D1D">
        <w:rPr>
          <w:rFonts w:ascii="ITC Avant Garde" w:hAnsi="ITC Avant Garde" w:cs="Arial"/>
        </w:rPr>
        <w:lastRenderedPageBreak/>
        <w:t>de la cantidad de espectro que se tiene, cosa que es completamente contrario a lo que sucede en la realidad.</w:t>
      </w:r>
    </w:p>
    <w:p w14:paraId="3978F9AD" w14:textId="77777777" w:rsidR="00654D1D" w:rsidRPr="00654D1D" w:rsidRDefault="003E526D" w:rsidP="00654D1D">
      <w:pPr>
        <w:numPr>
          <w:ilvl w:val="0"/>
          <w:numId w:val="45"/>
        </w:numPr>
        <w:spacing w:before="240"/>
        <w:ind w:left="426"/>
        <w:contextualSpacing/>
        <w:jc w:val="both"/>
        <w:rPr>
          <w:rFonts w:ascii="ITC Avant Garde" w:hAnsi="ITC Avant Garde" w:cs="Arial"/>
        </w:rPr>
      </w:pPr>
      <w:r w:rsidRPr="00654D1D">
        <w:rPr>
          <w:rFonts w:ascii="ITC Avant Garde" w:hAnsi="ITC Avant Garde" w:cs="Arial"/>
        </w:rPr>
        <w:t xml:space="preserve">Robustece la indebida fundamentación y motivación, así como la arbitrariedad en el modelo de costos que pese a que era conocido el tipo de cambio aplicable para </w:t>
      </w:r>
      <w:r w:rsidRPr="00654D1D">
        <w:rPr>
          <w:rFonts w:ascii="ITC Avant Garde" w:hAnsi="ITC Avant Garde" w:cs="Arial"/>
          <w:b/>
        </w:rPr>
        <w:t>enero a julio de 2011</w:t>
      </w:r>
      <w:r w:rsidRPr="00654D1D">
        <w:rPr>
          <w:rFonts w:ascii="ITC Avant Garde" w:hAnsi="ITC Avant Garde" w:cs="Arial"/>
        </w:rPr>
        <w:t>, la Comisión efectúa arbitrariamente un promedio del mismo para determinar la tarifa de interconexión, lo cual acusa una notoria indebida motivación.</w:t>
      </w:r>
    </w:p>
    <w:p w14:paraId="71D61092" w14:textId="77777777" w:rsidR="00654D1D" w:rsidRPr="00654D1D" w:rsidRDefault="003E526D" w:rsidP="00654D1D">
      <w:pPr>
        <w:spacing w:before="240"/>
        <w:ind w:left="426"/>
        <w:jc w:val="both"/>
        <w:rPr>
          <w:rFonts w:ascii="ITC Avant Garde" w:hAnsi="ITC Avant Garde" w:cs="Arial"/>
        </w:rPr>
      </w:pPr>
      <w:r w:rsidRPr="00654D1D">
        <w:rPr>
          <w:rFonts w:ascii="ITC Avant Garde" w:hAnsi="ITC Avant Garde" w:cs="Arial"/>
        </w:rPr>
        <w:t>Concluye que el Modelo de Costos incorpora variables subjetivas y arbitrarias que lo vician de indebida fundamentación y motivación toda vez que durante el procedimiento de desacuerdo de interconexión no se dio a conocer a la Recurrente la totalidad de elementos en los que se basó esa Comisión para elaborar el Modelo de Costos; se incorporan variables y parámetros arbitrarios en su elaboración, lo cual provoca se desapegue a la realidad; y en Modelos de Costos idénticos en los que se determinan tarifas de interconexión por el periodo de 2011 se arrojan tarifas de interconexión distintas.</w:t>
      </w:r>
    </w:p>
    <w:p w14:paraId="7D277EFE" w14:textId="77777777" w:rsidR="00654D1D" w:rsidRPr="00654D1D" w:rsidRDefault="003E526D" w:rsidP="00654D1D">
      <w:pPr>
        <w:numPr>
          <w:ilvl w:val="0"/>
          <w:numId w:val="45"/>
        </w:numPr>
        <w:spacing w:before="240"/>
        <w:ind w:left="426" w:hanging="284"/>
        <w:contextualSpacing/>
        <w:jc w:val="both"/>
        <w:rPr>
          <w:rFonts w:ascii="ITC Avant Garde" w:hAnsi="ITC Avant Garde" w:cs="Arial"/>
        </w:rPr>
      </w:pPr>
      <w:r w:rsidRPr="00654D1D">
        <w:rPr>
          <w:rFonts w:ascii="ITC Avant Garde" w:hAnsi="ITC Avant Garde" w:cs="Arial"/>
        </w:rPr>
        <w:t>La Intensidad de Uso o "</w:t>
      </w:r>
      <w:proofErr w:type="spellStart"/>
      <w:r w:rsidRPr="00654D1D">
        <w:rPr>
          <w:rFonts w:ascii="ITC Avant Garde" w:hAnsi="ITC Avant Garde" w:cs="Arial"/>
        </w:rPr>
        <w:t>Ruteamiento</w:t>
      </w:r>
      <w:proofErr w:type="spellEnd"/>
      <w:r w:rsidRPr="00654D1D">
        <w:rPr>
          <w:rFonts w:ascii="ITC Avant Garde" w:hAnsi="ITC Avant Garde" w:cs="Arial"/>
        </w:rPr>
        <w:t xml:space="preserve">" de los Elementos de Red. Una vez que la </w:t>
      </w:r>
      <w:proofErr w:type="spellStart"/>
      <w:r w:rsidRPr="00654D1D">
        <w:rPr>
          <w:rFonts w:ascii="ITC Avant Garde" w:hAnsi="ITC Avant Garde" w:cs="Arial"/>
        </w:rPr>
        <w:t>Cofetel</w:t>
      </w:r>
      <w:proofErr w:type="spellEnd"/>
      <w:r w:rsidRPr="00654D1D">
        <w:rPr>
          <w:rFonts w:ascii="ITC Avant Garde" w:hAnsi="ITC Avant Garde" w:cs="Arial"/>
        </w:rPr>
        <w:t xml:space="preserve"> ha efectuado todas las asignaciones de valores a que se refieren los numerales anteriores, procede a fijar un factor de intensidad de uso o "</w:t>
      </w:r>
      <w:proofErr w:type="spellStart"/>
      <w:r w:rsidRPr="00654D1D">
        <w:rPr>
          <w:rFonts w:ascii="ITC Avant Garde" w:hAnsi="ITC Avant Garde" w:cs="Arial"/>
        </w:rPr>
        <w:t>ruteamiento</w:t>
      </w:r>
      <w:proofErr w:type="spellEnd"/>
      <w:r w:rsidRPr="00654D1D">
        <w:rPr>
          <w:rFonts w:ascii="ITC Avant Garde" w:hAnsi="ITC Avant Garde" w:cs="Arial"/>
        </w:rPr>
        <w:t>" de la red, mismos que aparecen en la Tabla 8 del Modelo de Costos. Los factores son asignados por esa Comisión al elaborar el Modelo de Costos sin mediar explicación o motivo de ninguna especie, razón por la que se viola de nueva cuenta el principio de adecuada motivación que debe estar presente en todos los actos de autoridad conforme al artículo 16 de la Constitución.</w:t>
      </w:r>
    </w:p>
    <w:p w14:paraId="0052E9CB" w14:textId="77777777" w:rsidR="00654D1D" w:rsidRPr="00654D1D" w:rsidRDefault="003E526D" w:rsidP="00654D1D">
      <w:pPr>
        <w:numPr>
          <w:ilvl w:val="0"/>
          <w:numId w:val="45"/>
        </w:numPr>
        <w:spacing w:before="240"/>
        <w:ind w:left="426" w:hanging="284"/>
        <w:contextualSpacing/>
        <w:jc w:val="both"/>
        <w:rPr>
          <w:rFonts w:ascii="ITC Avant Garde" w:hAnsi="ITC Avant Garde" w:cs="Arial"/>
        </w:rPr>
      </w:pPr>
      <w:r w:rsidRPr="00654D1D">
        <w:rPr>
          <w:rFonts w:ascii="ITC Avant Garde" w:hAnsi="ITC Avant Garde" w:cs="Arial"/>
        </w:rPr>
        <w:t xml:space="preserve">Los Costos Comunes. Finalmente, la </w:t>
      </w:r>
      <w:proofErr w:type="spellStart"/>
      <w:r w:rsidRPr="00654D1D">
        <w:rPr>
          <w:rFonts w:ascii="ITC Avant Garde" w:hAnsi="ITC Avant Garde" w:cs="Arial"/>
        </w:rPr>
        <w:t>Cofetel</w:t>
      </w:r>
      <w:proofErr w:type="spellEnd"/>
      <w:r w:rsidRPr="00654D1D">
        <w:rPr>
          <w:rFonts w:ascii="ITC Avant Garde" w:hAnsi="ITC Avant Garde" w:cs="Arial"/>
        </w:rPr>
        <w:t xml:space="preserve"> le asigna un valor incongruente y errático a los denominados "costos comunes" sin acreditar en forma alguna a cuáles se refiere o en qué consisten los mismos, aunque parece referirse a costos de carácter organizacional.  En todo caso, es de hacerse notar que la Resolución Impugnada es violatoria del artículo 16 constitucional, ya que: i) es incongruente consigo misma porque a foja 46 les asigna a esta clase de costos un valor del 10%  sobre los costos de los elementos de red, mientras que modifica esta ya de por sí arbitraria determinación y les asigna un valor gradual y decreciente, y ii) la motivación para ·hacer la determinación del porcentaje de costos comunes en la tabla 9 sin siquiera citar de donde provienen dichos costos ni  ofreciendo mayores explicaciones de cómo es que esos porcentajes son aplicables a la situación de mis Representadas en su relación con las hoy Tercero Perjudicadas, lo cual acusa una evidente indebida motivación.</w:t>
      </w:r>
    </w:p>
    <w:p w14:paraId="2B303625"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 xml:space="preserve">SEGUNDO. </w:t>
      </w:r>
      <w:r w:rsidRPr="00654D1D">
        <w:rPr>
          <w:rFonts w:ascii="ITC Avant Garde" w:hAnsi="ITC Avant Garde" w:cs="Arial"/>
          <w:b/>
        </w:rPr>
        <w:t>El Modelo de Costos no se encuentra debidamente sustentado en opiniones emitidas por expertos de reconocido prestigio</w:t>
      </w:r>
      <w:r w:rsidRPr="00654D1D">
        <w:rPr>
          <w:rFonts w:ascii="ITC Avant Garde" w:hAnsi="ITC Avant Garde" w:cs="Arial"/>
        </w:rPr>
        <w:t xml:space="preserve">, siendo omisa la autoridad en cuanto a su </w:t>
      </w:r>
      <w:r w:rsidRPr="00654D1D">
        <w:rPr>
          <w:rFonts w:ascii="ITC Avant Garde" w:hAnsi="ITC Avant Garde" w:cs="Arial"/>
        </w:rPr>
        <w:lastRenderedPageBreak/>
        <w:t>determinación y relación con el desacuerdo lo que implica que la Resolución Recurrida carece de una debida motivación, contraviniendo lo dispuesto en el artículo 3, fracción V, de la Ley Federal de Procedimiento Administrativo.</w:t>
      </w:r>
    </w:p>
    <w:p w14:paraId="74EFA8B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 efecto de que la Resolución Recurrida se encuentre debidamente motivada, la Comisión debió señalar las razones por las cuales el Modelo de Costos es el adecuado para satisfacer las pretensiones planteadas por las partes en la resolución al desacuerdo de interconexión.</w:t>
      </w:r>
    </w:p>
    <w:p w14:paraId="74F6839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 obligatorio para la Comisión señalar las opiniones de personas o entidades expertas en materia de telecomunicaciones respecto las cualidades del Modelo de Costos, así como la relación que exista entre dichas opiniones y el caso en particular que nos ocupa. Es decir, se debieron de satisfacer los siguientes requisitos: (i) Señalar de manera precisa opiniones sobre el Modelo de Costos Utilizado en la Resolución Impugnada, emitidas por personas o entidades de expertos en el ámbito de las telecomunicaciones; y (ii) La relación que exista entre dichas opiniones y el desacuerdo de interconexión suscitado entre la Recurrente y las Tercero Perjudicadas que permita determinar porque el Modelo de Costos utilizado es el ideal para dirimir dicha controversia.</w:t>
      </w:r>
    </w:p>
    <w:p w14:paraId="642A0279" w14:textId="5FF92B14"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TERCERO.</w:t>
      </w:r>
      <w:r w:rsidRPr="00654D1D">
        <w:rPr>
          <w:rFonts w:ascii="ITC Avant Garde" w:hAnsi="ITC Avant Garde" w:cs="Arial"/>
          <w:b/>
        </w:rPr>
        <w:t xml:space="preserve"> La utilización del "operador eficiente" en el Modelo de Costos implica una indebida fundamentación y motivación de la Resolución Recurrida</w:t>
      </w:r>
      <w:r w:rsidRPr="00654D1D">
        <w:rPr>
          <w:rFonts w:ascii="ITC Avant Garde" w:hAnsi="ITC Avant Garde" w:cs="Arial"/>
        </w:rPr>
        <w:t>, con lo que se vulnera lo dispuesto por el artículo 3, fracción V, de la Ley Federal de Procedimiento Administrativo.</w:t>
      </w:r>
    </w:p>
    <w:p w14:paraId="37EA24D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determinación e implementación del Modelo de Costos empleado por esa Comisión con base en un supuesto "operador eficiente" que no existe en la realidad, pero que es uno de los presupuestos de la Resolución Recurrida, implica la violación del artículo 3, fracción V de la Ley Federal de Procedimiento Administrativo y, por lo tanto, vicia de indebida fundamentación y motivación a la citada resolución.</w:t>
      </w:r>
    </w:p>
    <w:p w14:paraId="475E8AA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Asimismo, resulta incongruente desde un punto de vista interno y desapegado de la realidad que esa Comisión pretenda regular a la Recurrente con un poder en el mercado del 25% lo cual resulta en una violación a los principios de debida motivación y congruencia interna aceptados en el ordenamiento jurídico mexicano.</w:t>
      </w:r>
    </w:p>
    <w:p w14:paraId="7901A0C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Resolución Recurrida contiene diversas páginas en las que pretende dar una debida fundamentación y motivación de la imposición de un Modelo de Costos Incrementales Totales de Largo Plazo con el objetivo de evitar que las tarifas por interconexión sean inferiores a las tarifas que se cobran al usuario final. Lo que debería haber efectuado la Comisión era simplemente observar los costos en los que incurrió la Recurrente por prestar los servicios de interconexión, obligación que debe de cumplir esa autoridad en </w:t>
      </w:r>
      <w:r w:rsidRPr="00654D1D">
        <w:rPr>
          <w:rFonts w:ascii="ITC Avant Garde" w:hAnsi="ITC Avant Garde" w:cs="Arial"/>
        </w:rPr>
        <w:lastRenderedPageBreak/>
        <w:t>términos de lo dispuesto en los artículos 68 de la Ley Federal de Telecomunicaciones y 95 de su reglamento.</w:t>
      </w:r>
    </w:p>
    <w:p w14:paraId="4B601E98" w14:textId="10FA9A64" w:rsidR="003E526D" w:rsidRPr="00654D1D" w:rsidRDefault="003E526D" w:rsidP="00654D1D">
      <w:pPr>
        <w:spacing w:before="240"/>
        <w:jc w:val="both"/>
        <w:rPr>
          <w:rFonts w:ascii="ITC Avant Garde" w:hAnsi="ITC Avant Garde" w:cs="Arial"/>
        </w:rPr>
      </w:pPr>
      <w:r w:rsidRPr="00654D1D">
        <w:rPr>
          <w:rFonts w:ascii="ITC Avant Garde" w:hAnsi="ITC Avant Garde" w:cs="Arial"/>
        </w:rPr>
        <w:t>Sin embargo, la autoridad toma la determinación de artificialmente crear un "operador eficiente" y posteriormente elabora el Modelo de Costos Incrementales para ese operador ficticio, lo cual es contrario a los principios de debida fundamentación y motivación pues no adecúa la norma a la realidad fáctica que pretende ordenar.</w:t>
      </w:r>
    </w:p>
    <w:p w14:paraId="4B601E99" w14:textId="77777777" w:rsidR="003E526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 </w:t>
      </w:r>
    </w:p>
    <w:p w14:paraId="4369E32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este sentido, siendo que Telcel tiene más del 70% del mercado nacional, es absolutamente claro que dicho operador "representativo" no existe ni ha existido en el sector de las telecomunicaciones en México. Desde este punto de vista, la Resolución Recurrida no sólo es incongruente por emplear dos tipos de operador de manera errática, sino que además es incoherente con la realidad que pretende regular, puesto que la Recurrente no es un "operador representativo" conforme a la definición de la Comisión.</w:t>
      </w:r>
    </w:p>
    <w:p w14:paraId="26B782B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realidad del caso es que en México existe un solo operador que detenta el 70% del mercado y los demás se dividen el 30% restante, de lo que resulta que el modelo de costos empleado por la Comisión no es congruente con la realidad, puesto que ningún operador de telefonía móvil tiene una participación del 25% del mercado, como indebida e injustificadamente lo sostiene esta autoridad.</w:t>
      </w:r>
    </w:p>
    <w:p w14:paraId="4D56B33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Todo el Modelo de Costos empleado por la autoridad se encuentra sustentado en la existencia de una empresa que no existe en la realidad. </w:t>
      </w:r>
    </w:p>
    <w:p w14:paraId="4620C5CF"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CUARTO.</w:t>
      </w:r>
      <w:r w:rsidRPr="00654D1D">
        <w:rPr>
          <w:rFonts w:ascii="ITC Avant Garde" w:hAnsi="ITC Avant Garde" w:cs="Arial"/>
        </w:rPr>
        <w:t xml:space="preserve"> La Comisión omite señalar las operaciones aritméticas para determinar la tarifa de interconexión, por lo que se violan los principios de debida fundamentación y motivación, contenidos en el artículo 3, fracción V de la Ley Federal de Procedimiento Administrativo.</w:t>
      </w:r>
    </w:p>
    <w:p w14:paraId="3A66543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autoridad pretende motivar la tarifa de interconexión que deberán pagar las Tercero Perjudicadas a la Recurrente, utilizando el Modelo de Costos Incrementales Totales de Largo Plazo; sin embargo, en ningún momento se señalan o precisan las operaciones aritméticas que esa Comisión utilizó para llegar a la tarifa de interconexión que determinó, motivo por el cual la Resolución Impugnada adolece de la debida fundamentación y motivación que todo acto administrativo debe necesariamente contener, de conformidad con lo dispuesto por la fracción V del artículo 3 la Ley Federal de Procedimiento Administrativo.</w:t>
      </w:r>
    </w:p>
    <w:p w14:paraId="4EA8C02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En el caso concreto, dada la complejidad para llevar a cabo la cuantificación de la tarifa de interconexión, la Comisión estimó que deben tomarse en consideración diversos elementos; sin embargo, el tomar en cuenta tales elementos de manera teórica y general no es suficiente para considerar debidamente motivada la Resolución Recurrida, pues se insiste, en ninguna parte de la resolución se concatenaron los elementos tomados en cuenta, ni mucho menos se estableció una fórmula para ello, con la finalidad de evidenciar que efectivamente la tarifa de interconexión se ajusta a la metodología adoptada.</w:t>
      </w:r>
    </w:p>
    <w:p w14:paraId="4578D30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Al momento de determinar la tarifa, no señala con precisión el procedimiento aritmético y el cálculo que llevó a cabo de los elementos que componen dichos modelos y fórmulas que ésta supuestamente utilizó, motivo por el cual la resolución, adolece de la debida fundamentación y motivación que todo acto administrativo debe de contener de conformidad con los principios constitucionales recogidos en la fracción V del artículo 3 de la Ley Federal de Procedimiento Administrativo.</w:t>
      </w:r>
    </w:p>
    <w:p w14:paraId="1F37ECC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Para constatar la ilegalidad de la Resolución Recurrida, por carecer de la debida motivación, basta señalar, a manera ejemplificativa, lo resuelto a fojas </w:t>
      </w:r>
      <w:r w:rsidRPr="00654D1D">
        <w:rPr>
          <w:rFonts w:ascii="ITC Avant Garde" w:hAnsi="ITC Avant Garde" w:cs="Arial"/>
          <w:b/>
        </w:rPr>
        <w:t>34 y 35, 37 a 39 y 41 a 46</w:t>
      </w:r>
      <w:r w:rsidRPr="00654D1D">
        <w:rPr>
          <w:rFonts w:ascii="ITC Avant Garde" w:hAnsi="ITC Avant Garde" w:cs="Arial"/>
        </w:rPr>
        <w:t>, en las que cita diversas gráficas, ecuaciones y estadísticas, a efecto de desarrollar el Modelo de Costos; sin embargo, estos parámetros generales en ningún momento son actualizados con base en los datos concretos y aplicables a esta situación en particular.</w:t>
      </w:r>
    </w:p>
    <w:p w14:paraId="4FFF98C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Lo resuelto por esa Comisión a fojas </w:t>
      </w:r>
      <w:r w:rsidRPr="00654D1D">
        <w:rPr>
          <w:rFonts w:ascii="ITC Avant Garde" w:hAnsi="ITC Avant Garde" w:cs="Arial"/>
          <w:b/>
        </w:rPr>
        <w:t>41 a 44</w:t>
      </w:r>
      <w:r w:rsidRPr="00654D1D">
        <w:rPr>
          <w:rFonts w:ascii="ITC Avant Garde" w:hAnsi="ITC Avant Garde" w:cs="Arial"/>
        </w:rPr>
        <w:t>, en las que describe ecuaciones para obtener el costo de los activos (</w:t>
      </w:r>
      <w:proofErr w:type="spellStart"/>
      <w:r w:rsidRPr="00654D1D">
        <w:rPr>
          <w:rFonts w:ascii="ITC Avant Garde" w:hAnsi="ITC Avant Garde" w:cs="Arial"/>
        </w:rPr>
        <w:t>capex</w:t>
      </w:r>
      <w:proofErr w:type="spellEnd"/>
      <w:r w:rsidRPr="00654D1D">
        <w:rPr>
          <w:rFonts w:ascii="ITC Avant Garde" w:hAnsi="ITC Avant Garde" w:cs="Arial"/>
        </w:rPr>
        <w:t>) y el Costo Promedio Ponderado de Capital (WACC), en las que de manera por demás desapegada a derecho, únicamente se limita a realizar una expresión general de la fórmula que aplicó, sin que en ésta, los valores concretos se hubieran sustituido y con ello arribar a un cálculo cierto y así determinar de la manera más transparente la tarifa de interconexión.</w:t>
      </w:r>
    </w:p>
    <w:p w14:paraId="3DACB3B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Si bien señala (aunque sin motivación alguna) cuáles son los conceptos que integraron los componentes de cada una de las ecuaciones y modelos utilizados para obtener la tarifa de interconexión del operador representativo en el Modelo de Costos durante el periodo de 2011, la autoridad es omisa en establecer la sustitución numérica de los valores de cada una de las ecuaciones utilizadas y con ello arribar al resultado que se manifiesta a foja </w:t>
      </w:r>
      <w:r w:rsidRPr="00654D1D">
        <w:rPr>
          <w:rFonts w:ascii="ITC Avant Garde" w:hAnsi="ITC Avant Garde" w:cs="Arial"/>
          <w:b/>
        </w:rPr>
        <w:t>46</w:t>
      </w:r>
      <w:r w:rsidRPr="00654D1D">
        <w:rPr>
          <w:rFonts w:ascii="ITC Avant Garde" w:hAnsi="ITC Avant Garde" w:cs="Arial"/>
        </w:rPr>
        <w:t xml:space="preserve"> de la Resolución Recurrida, de lo que se desprende de nueva cuenta la falta de motivación en la que incurre la Comisión.</w:t>
      </w:r>
    </w:p>
    <w:p w14:paraId="08D0B29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Con lo anterior, queda de manifiesto que la Resolución Recurrida no otorga seguridad jurídica alguna a la Recurrente respecto de los resultados a los que arriba la Comisión, situación que se repite en todos y cada uno de los componentes del Modelo de Costos.</w:t>
      </w:r>
    </w:p>
    <w:p w14:paraId="697796E3"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lastRenderedPageBreak/>
        <w:t xml:space="preserve">QUINTO. </w:t>
      </w:r>
      <w:r w:rsidRPr="00654D1D">
        <w:rPr>
          <w:rFonts w:ascii="ITC Avant Garde" w:hAnsi="ITC Avant Garde" w:cs="Arial"/>
        </w:rPr>
        <w:t>La Comisión indebidamente determina la medición del tráfico y el esquema de facturación de los servicios de interconexión aduciendo supuestos beneficios al público usuario final, violando el principio de libertad tarifaria en perjuicio de la Recurrente, lo que implica una indebida fundamentación y motivación, por lo que viola el artículo 3, fracción V, de la Ley Federal de Procedimiento Administrativo.</w:t>
      </w:r>
    </w:p>
    <w:p w14:paraId="7393440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 través de la Resolución Recurrida, la autoridad determinó que en la aplicación de la tarifa de interconexión, la Recurrente deberá calcular la contraprestación con base en la duración real de las llamadas, sin redondear al minuto, debiendo para tal efecto sumar la duración de todas las llamadas completadas medidas por segundos y multiplicarse dicha suma por la tarifa correspondiente.</w:t>
      </w:r>
    </w:p>
    <w:p w14:paraId="53FE18E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Comisión determina la medición del tráfico y el esquema de facturación de los servicios de interconexión, pretendiendo fundar y motivar su actuar en la falsa presunción de que las tarifas de interconexión inciden directamente y en todos los casos, en las tarifas que el usuario final debe pagar.</w:t>
      </w:r>
    </w:p>
    <w:p w14:paraId="61E484A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Bajo esta falsa premisa y en violación al principio de libertad tarifaria la Comisión determina la medición del tráfico de interconexión sin redondear al minuto, para que, consecuentemente la tarifa que se cobre al usuario final de igual manera tenga como base la medición del tráfico en tiempo real; teniendo ello como consecuencia que en violación al principio de libertad tarifaria, la Comisión determine variables para fijar las tarifas a los usuarios finales.</w:t>
      </w:r>
    </w:p>
    <w:p w14:paraId="356CD3D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Las tarifas por los servicios de telecomunicaciones, son determinadas al público directamente por el propio concesionario que le brinda dicho servicio, ello derivado del principio de libertad tarifaria existente en nuestro país, mismo que se encuentra consagrado en el artículo 60 de la Ley Federal de Telecomunicaciones.</w:t>
      </w:r>
    </w:p>
    <w:p w14:paraId="4AF3FA9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este orden de ideas, la intención del legislador al establecer dicho principio consistió en verdaderamente otorgarle plena libertad a los concesionarios para fijar las tarifas de los servicios de telecomunicaciones sin limitación alguna, salvo cuando se trate de salvaguardar la libre concurrencia.</w:t>
      </w:r>
    </w:p>
    <w:p w14:paraId="313B429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este sentido, derivado de la prerrogativa que la Ley Federal de Telecomunicaciones otorga directamente a los concesionarios de redes públicas de telecomunicaciones, se tiene que los mismos cuentan con entera libertad para tomar u omitir tomar en consideración diversas variables para determinar el monto de dichas tarifas de servicios al público usuario; como pueden ser, de manera enunciativa, el precio de los insumos, la infraestructura, la oferta y la demanda, los costos operativos o administrativos (</w:t>
      </w:r>
      <w:proofErr w:type="spellStart"/>
      <w:r w:rsidRPr="00654D1D">
        <w:rPr>
          <w:rFonts w:ascii="ITC Avant Garde" w:hAnsi="ITC Avant Garde" w:cs="Arial"/>
        </w:rPr>
        <w:t>Vgr</w:t>
      </w:r>
      <w:proofErr w:type="spellEnd"/>
      <w:r w:rsidRPr="00654D1D">
        <w:rPr>
          <w:rFonts w:ascii="ITC Avant Garde" w:hAnsi="ITC Avant Garde" w:cs="Arial"/>
        </w:rPr>
        <w:t>. Renta de inmuebles), el capital de trabajo, entre otras.</w:t>
      </w:r>
    </w:p>
    <w:p w14:paraId="46F047A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Así las cosas, cada concesionario tiene la prerrogativa para determinar con base en las condiciones de la marcha de la empresa, la serie elementos que integrarán los precios al usuario final y que por tanto, serán trasladados a la tarifa que dicho consumidor cubra y tendrán incidencia directa en la misma.</w:t>
      </w:r>
    </w:p>
    <w:p w14:paraId="1F48073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Ahora bien, en la Resolución Recurrida la autoridad indebidamente presume que las tarifas de interconexión inciden de manera directa en las tarifas que son cobradas al usuario final, lo que la llevó a la ilegal conclusión de determinar la medición del tráfico en tiempo real para efectos de que en esos mismos términos se cobre a los usuarios por parte de los concesionarios. </w:t>
      </w:r>
    </w:p>
    <w:p w14:paraId="76BBF5FC"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SEXTO.</w:t>
      </w:r>
      <w:r w:rsidRPr="00654D1D">
        <w:rPr>
          <w:rFonts w:ascii="ITC Avant Garde" w:hAnsi="ITC Avant Garde" w:cs="Arial"/>
        </w:rPr>
        <w:t xml:space="preserve"> En la Resolución Recurrida se </w:t>
      </w:r>
      <w:r w:rsidRPr="00654D1D">
        <w:rPr>
          <w:rFonts w:ascii="ITC Avant Garde" w:hAnsi="ITC Avant Garde" w:cs="Arial"/>
          <w:b/>
        </w:rPr>
        <w:t>utilizan argumentos vagos e imprecisos y se contraviene</w:t>
      </w:r>
      <w:r w:rsidRPr="00654D1D">
        <w:rPr>
          <w:rFonts w:ascii="ITC Avant Garde" w:hAnsi="ITC Avant Garde" w:cs="Arial"/>
        </w:rPr>
        <w:t xml:space="preserve"> lo dispuesto en el artículo 3, fracción V, de la Ley Federal de Procedimiento Administrativo.</w:t>
      </w:r>
    </w:p>
    <w:p w14:paraId="4ACAB07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 foja </w:t>
      </w:r>
      <w:r w:rsidRPr="00654D1D">
        <w:rPr>
          <w:rFonts w:ascii="ITC Avant Garde" w:hAnsi="ITC Avant Garde" w:cs="Arial"/>
          <w:b/>
        </w:rPr>
        <w:t>27</w:t>
      </w:r>
      <w:r w:rsidRPr="00654D1D">
        <w:rPr>
          <w:rFonts w:ascii="ITC Avant Garde" w:hAnsi="ITC Avant Garde" w:cs="Arial"/>
        </w:rPr>
        <w:t>, quinto párrafo, de la Resolución Recurrida, la Comisión pretende motivar el enfoque de las tarifas basadas en costos, trayendo a colación diversos organismos internacionales, sin embargo, omite fundar su dicho, resultando deficiente tal motivación.</w:t>
      </w:r>
    </w:p>
    <w:p w14:paraId="4C63E34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 través de la </w:t>
      </w:r>
      <w:r w:rsidRPr="00654D1D">
        <w:rPr>
          <w:rFonts w:ascii="ITC Avant Garde" w:hAnsi="ITC Avant Garde" w:cs="Arial"/>
          <w:b/>
        </w:rPr>
        <w:t>Resolución Recurrida únicamente se señala que el modelo que la Comisión utilizó, se encuentra avalado por expertos internacionales y ha sido adoptada por la mayoría de los órganos reguladores, sin sustentar dicha afirmación</w:t>
      </w:r>
      <w:r w:rsidRPr="00654D1D">
        <w:rPr>
          <w:rFonts w:ascii="ITC Avant Garde" w:hAnsi="ITC Avant Garde" w:cs="Arial"/>
        </w:rPr>
        <w:t>.</w:t>
      </w:r>
    </w:p>
    <w:p w14:paraId="5C6932E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Asimismo, la Comisión podrá advertir que dentro del modelo de costos se manifiesta sin fundamento alguno que el hecho de utilizar una participación de mercado del 25% para la determinación del costo de interconexión en la terminación de una llamada en la red móvil, es congruente con los participantes del mercado mexicano, sin sustentar dicha afirmación (foja </w:t>
      </w:r>
      <w:r w:rsidRPr="00654D1D">
        <w:rPr>
          <w:rFonts w:ascii="ITC Avant Garde" w:hAnsi="ITC Avant Garde" w:cs="Arial"/>
          <w:b/>
        </w:rPr>
        <w:t>33</w:t>
      </w:r>
      <w:r w:rsidRPr="00654D1D">
        <w:rPr>
          <w:rFonts w:ascii="ITC Avant Garde" w:hAnsi="ITC Avant Garde" w:cs="Arial"/>
        </w:rPr>
        <w:t xml:space="preserve">, </w:t>
      </w:r>
      <w:r w:rsidRPr="00654D1D">
        <w:rPr>
          <w:rFonts w:ascii="ITC Avant Garde" w:hAnsi="ITC Avant Garde" w:cs="Arial"/>
          <w:b/>
        </w:rPr>
        <w:t>cuarto</w:t>
      </w:r>
      <w:r w:rsidRPr="00654D1D">
        <w:rPr>
          <w:rFonts w:ascii="ITC Avant Garde" w:hAnsi="ITC Avant Garde" w:cs="Arial"/>
        </w:rPr>
        <w:t xml:space="preserve"> párrafo, de la Resolución Recurrida).</w:t>
      </w:r>
    </w:p>
    <w:p w14:paraId="6F01214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 foja </w:t>
      </w:r>
      <w:r w:rsidRPr="00654D1D">
        <w:rPr>
          <w:rFonts w:ascii="ITC Avant Garde" w:hAnsi="ITC Avant Garde" w:cs="Arial"/>
          <w:b/>
        </w:rPr>
        <w:t>40</w:t>
      </w:r>
      <w:r w:rsidRPr="00654D1D">
        <w:rPr>
          <w:rFonts w:ascii="ITC Avant Garde" w:hAnsi="ITC Avant Garde" w:cs="Arial"/>
        </w:rPr>
        <w:t>, de la Resolución Recurrida, al momento de desarrollar el Modelo de Costos, no se exponen los motivos, razones y circunstancias que se tuvieron en consideración para determinar el valor del espectro con base en los elementos que dicha autoridad manifiesta que tomó en consideración, y no otros, lo que pone en evidencia la indebida motivación de la resolución recurrida.</w:t>
      </w:r>
    </w:p>
    <w:p w14:paraId="30D6DC6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Dentro del modelo de costos, la Comisión determinó el monto de la inversión total, tomando en consideración la información pública del órgano regulador de las telecomunicaciones de Francia (ARCEP), relativa al precio de los elementos de la red; ello sin expresar los argumentos, motivos, razones y circunstancias que llevaron a esa </w:t>
      </w:r>
      <w:r w:rsidRPr="00654D1D">
        <w:rPr>
          <w:rFonts w:ascii="ITC Avant Garde" w:hAnsi="ITC Avant Garde" w:cs="Arial"/>
        </w:rPr>
        <w:lastRenderedPageBreak/>
        <w:t xml:space="preserve">autoridad a basarse en dicha información, tal y como se desprende del tercer párrafo de la foja </w:t>
      </w:r>
      <w:r w:rsidRPr="00654D1D">
        <w:rPr>
          <w:rFonts w:ascii="ITC Avant Garde" w:hAnsi="ITC Avant Garde" w:cs="Arial"/>
          <w:b/>
        </w:rPr>
        <w:t>40</w:t>
      </w:r>
      <w:r w:rsidRPr="00654D1D">
        <w:rPr>
          <w:rFonts w:ascii="ITC Avant Garde" w:hAnsi="ITC Avant Garde" w:cs="Arial"/>
        </w:rPr>
        <w:t xml:space="preserve"> y del pie de página número 6, ambos de la Resolución Recurrida.</w:t>
      </w:r>
    </w:p>
    <w:p w14:paraId="49D5572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Debido a las vaguedades e imprecisiones contenidas en la Resolución Recurrida, como a las que se ha hecho referencia en el presente agravio, la Recurrente no conoce muchas de las razones específicas por las que la Comisión determinó la tarifa de interconexión en los términos de la Resolución Recurrida.</w:t>
      </w:r>
    </w:p>
    <w:p w14:paraId="15A7A973"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SÉPTIMO.</w:t>
      </w:r>
      <w:r w:rsidRPr="00654D1D">
        <w:rPr>
          <w:rFonts w:ascii="ITC Avant Garde" w:hAnsi="ITC Avant Garde" w:cs="Arial"/>
        </w:rPr>
        <w:t xml:space="preserve"> El Modelo de Costos no toma en cuenta la cobertura ni los minutos no facturados, lo que implica que la Resolución Recurrida adolezca de una debida fundamentación y motivación, contraviniendo lo dispuesto en el artículo 3, fracción V de la Ley Federal de Procedimiento Administrativo.</w:t>
      </w:r>
    </w:p>
    <w:p w14:paraId="49120E2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Modelo de Costos no tomó en cuenta la cobertura ni los minutos no facturados por lo cual la Resolución Recurrida infringe los requerimientos de fundamentación y motivación, así como es incongruente desde un punto de vista interno, con lo que se viola lo dispuesto en el artículo 3, fracción V, de la Ley Federal de Procedimiento Administrativo.</w:t>
      </w:r>
    </w:p>
    <w:p w14:paraId="74AE931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Las mencionadas omisiones por parte de la Comisión en el modelo de costos constituyen en sí misma una ausencia de motivación conforme al artículo 16 de la Constitución, puesto que ésta omite tomar en cuenta la cobertura y los minutos no facturados.</w:t>
      </w:r>
    </w:p>
    <w:p w14:paraId="6148B37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modelo desarrollado por la Comisión carece de un módulo que estime la cobertura de red necesaria para dar servicio al 90.5% de la población (</w:t>
      </w:r>
      <w:r w:rsidRPr="00654D1D">
        <w:rPr>
          <w:rFonts w:ascii="ITC Avant Garde" w:hAnsi="ITC Avant Garde" w:cs="Arial"/>
          <w:b/>
        </w:rPr>
        <w:t>31%</w:t>
      </w:r>
      <w:r w:rsidRPr="00654D1D">
        <w:rPr>
          <w:rFonts w:ascii="ITC Avant Garde" w:hAnsi="ITC Avant Garde" w:cs="Arial"/>
        </w:rPr>
        <w:t xml:space="preserve"> del territorio mexicano). El modelo de costos se basa únicamente en la demanda de tráfico y la capacidad media de una estación base para determinar el número necesario de éstas. Por ello, si se reduce el tráfico por usuario en un 50%, las estaciones base necesarias calculadas por el modelo se reducen en un 50%.</w:t>
      </w:r>
    </w:p>
    <w:p w14:paraId="32E2D67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Según la documentación del modelo se cubre el </w:t>
      </w:r>
      <w:r w:rsidRPr="00654D1D">
        <w:rPr>
          <w:rFonts w:ascii="ITC Avant Garde" w:hAnsi="ITC Avant Garde" w:cs="Arial"/>
          <w:b/>
        </w:rPr>
        <w:t>31</w:t>
      </w:r>
      <w:r w:rsidRPr="00654D1D">
        <w:rPr>
          <w:rFonts w:ascii="ITC Avant Garde" w:hAnsi="ITC Avant Garde" w:cs="Arial"/>
        </w:rPr>
        <w:t xml:space="preserve">% del territorio con 11.495 estaciones base. El </w:t>
      </w:r>
      <w:r w:rsidRPr="00654D1D">
        <w:rPr>
          <w:rFonts w:ascii="ITC Avant Garde" w:hAnsi="ITC Avant Garde" w:cs="Arial"/>
          <w:b/>
        </w:rPr>
        <w:t>31</w:t>
      </w:r>
      <w:r w:rsidRPr="00654D1D">
        <w:rPr>
          <w:rFonts w:ascii="ITC Avant Garde" w:hAnsi="ITC Avant Garde" w:cs="Arial"/>
        </w:rPr>
        <w:t>% del territorio mexicano equivale a un área de 610,728 Km 2. De forma que la estación base media cubre un área de 53,13 Km. Una reducción del tráfico en 50%, supondría que el número de estación base necesarias para cubrir la misma extensión de territorio se redujera a 5,748, lo que significaría que cada estación base cubriera un área de 106,25 Km. En buena cuenta, lo que el modelo supone es que el número de estación base sería exactamente el mismo para cursar un volumen semejante de tráfico en un área de territorio equivalente, con independencia de si esa área estuviera ubicada en México, Rusia o Estados Unidos.</w:t>
      </w:r>
    </w:p>
    <w:p w14:paraId="0330FB9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Habitualmente, en los módulos de cobertura se definen distintos </w:t>
      </w:r>
      <w:proofErr w:type="spellStart"/>
      <w:r w:rsidRPr="00654D1D">
        <w:rPr>
          <w:rFonts w:ascii="ITC Avant Garde" w:hAnsi="ITC Avant Garde" w:cs="Arial"/>
        </w:rPr>
        <w:t>geotipos</w:t>
      </w:r>
      <w:proofErr w:type="spellEnd"/>
      <w:r w:rsidRPr="00654D1D">
        <w:rPr>
          <w:rFonts w:ascii="ITC Avant Garde" w:hAnsi="ITC Avant Garde" w:cs="Arial"/>
        </w:rPr>
        <w:t xml:space="preserve"> y el área geográfica cubierta por una estación base en cada </w:t>
      </w:r>
      <w:proofErr w:type="spellStart"/>
      <w:r w:rsidRPr="00654D1D">
        <w:rPr>
          <w:rFonts w:ascii="ITC Avant Garde" w:hAnsi="ITC Avant Garde" w:cs="Arial"/>
        </w:rPr>
        <w:t>geotipo</w:t>
      </w:r>
      <w:proofErr w:type="spellEnd"/>
      <w:r w:rsidRPr="00654D1D">
        <w:rPr>
          <w:rFonts w:ascii="ITC Avant Garde" w:hAnsi="ITC Avant Garde" w:cs="Arial"/>
        </w:rPr>
        <w:t>. El factor cobertura determina más del 80% de los emplazamientos y estación base necesarios. Teniendo en cuenta que aproximadamente el 75% de los costos del modelo de esa Comisión se derivan directa o indirectamente del número de emplazamientos, el factor cobertura determina prácticamente el 60% de los costos incluidos en dicho modelo.</w:t>
      </w:r>
    </w:p>
    <w:p w14:paraId="32512E1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modelizar la cobertura permite valorar en mejor medida las implicaciones del cargo propuesto por esa Comisión en dos dimensiones: La relación entre el cargo propuesto y la población cubierta; y las ganancias de eficiencia/rentas implícitas en el cargo propuesto por la Comisión.</w:t>
      </w:r>
    </w:p>
    <w:p w14:paraId="3F4E2E0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el modelo de costos no existe ninguna relación entre el costo unitario de terminación y la población cubierta: aumentar la población cubierta no varía el costo unitario a menos que varíe la </w:t>
      </w:r>
      <w:proofErr w:type="spellStart"/>
      <w:r w:rsidRPr="00654D1D">
        <w:rPr>
          <w:rFonts w:ascii="ITC Avant Garde" w:hAnsi="ITC Avant Garde" w:cs="Arial"/>
        </w:rPr>
        <w:t>teledensidad</w:t>
      </w:r>
      <w:proofErr w:type="spellEnd"/>
      <w:r w:rsidRPr="00654D1D">
        <w:rPr>
          <w:rFonts w:ascii="ITC Avant Garde" w:hAnsi="ITC Avant Garde" w:cs="Arial"/>
        </w:rPr>
        <w:t xml:space="preserve"> media. Si la </w:t>
      </w:r>
      <w:proofErr w:type="spellStart"/>
      <w:r w:rsidRPr="00654D1D">
        <w:rPr>
          <w:rFonts w:ascii="ITC Avant Garde" w:hAnsi="ITC Avant Garde" w:cs="Arial"/>
        </w:rPr>
        <w:t>teledensidad</w:t>
      </w:r>
      <w:proofErr w:type="spellEnd"/>
      <w:r w:rsidRPr="00654D1D">
        <w:rPr>
          <w:rFonts w:ascii="ITC Avant Garde" w:hAnsi="ITC Avant Garde" w:cs="Arial"/>
        </w:rPr>
        <w:t xml:space="preserve"> media aumenta, el tráfico en la red aumentará y el coste unitario decrece. Esto es lógico que suceda en el modelo de costos, porque prácticamente los únicos costes fijos que existen en este modelo son los del espectro (que no varían con el tráfico), por lo que aumentar el número de usuarios, aumenta el tráfico y reduce los costes medios.</w:t>
      </w:r>
    </w:p>
    <w:p w14:paraId="3629C36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Sin embargo al introducir la cobertura, se pone de relieve el hecho de que si se quiere aumentar la población cubierta es necesario incurrir en unos costos de despliegue por usuario mayores que los que se ha incurrido hasta ese momento. Dado que el aumento de cobertura se producirá en zonas rurales, más dispersas y menos densamente pobladas que las zonas urbanas y semiurbanas cubiertas con anterioridad, el número de usuarios por estación base será menor que con la cobertura anterior. De esta forma, aunque estos nuevos usuarios potenciales realizarán y recibirán llamadas, esto es, aumentarán el tráfico en la red, lo harán en una proporción menor que el incremento de costes de cobertura, lo que conducirá a un aumento de los costes unitarios.</w:t>
      </w:r>
    </w:p>
    <w:p w14:paraId="0302327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De esta forma si un objetivo de la política de la Comisión en los precios de terminación es aumentar la cobertura, el modelo desarrollado no sería una herramienta adecuada, por cuanto no permite valorar la relación entre ambas.</w:t>
      </w:r>
    </w:p>
    <w:p w14:paraId="570463C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Al Incorporar el módulo de cobertura, el coste por minuto de terminación prácticamente no varía; sin embargo, el comportamiento del costo unitario ante variaciones del tráfico es enteramente distinto.</w:t>
      </w:r>
    </w:p>
    <w:p w14:paraId="476A1D5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Aquellos operadores con menos tráfico que el supuesto en el modelo tendrán un costo de terminación por encima del precio regulado de terminación. Esto es, según el modelo, tendrán pérdidas en el sentido de precios inferior al costo incremental de largo </w:t>
      </w:r>
      <w:r w:rsidRPr="00654D1D">
        <w:rPr>
          <w:rFonts w:ascii="ITC Avant Garde" w:hAnsi="ITC Avant Garde" w:cs="Arial"/>
        </w:rPr>
        <w:lastRenderedPageBreak/>
        <w:t>plazo. Recíprocamente, sucederá lo contrario para aquellos operadores con un tráfico superior al utilizado en el modelo.</w:t>
      </w:r>
    </w:p>
    <w:p w14:paraId="64DDAE3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tanto, más allá del valor del costo unitario, la cobertura afecta a las ganancias de eficiencia que un operador razonablemente puede conseguir, y por tanto, debe informar la decisión regulatoria.</w:t>
      </w:r>
    </w:p>
    <w:p w14:paraId="2D3F126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conclusión, la introducción de un módulo de cobertura más allá del efecto que tiene sobre los costos unitarios, hace explícitos algunos efectos de los cargos de terminación en el modelo de esa Comisión, lo que ayuda a mejorar el análisis de cómo los costos de los operadores varían ante dos dimensiones clave en la política regulatoria, como es la cobertura y la eficiencia, así como el impacto que la dotación de espectro tiene sobre los costos de cobertura y el coste de terminación.</w:t>
      </w:r>
    </w:p>
    <w:p w14:paraId="45265B1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el modelo de costos los minutos usados son los efectivamente cursados y facturados. Sin embargo, consideramos que para un dimensionamiento correcto de la red se deberían incluir también los minutos no facturados. Estos se derivan principalmente del hecho que pasa un determinado tiempo hasta que el destinatario de la llamada la acepte o la rechace ("holding time"). El modelo sí parece controlar por las llamadas fallidas, incluyendo la hipótesis de que por cada 10 llamadas completadas hay una fallida. Sin embargo la fuente de este dato no aparece sustentada.</w:t>
      </w:r>
    </w:p>
    <w:p w14:paraId="598961E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De conformidad con los datos de la Recurrente, el tiempo de espera es de 0.2 minutos por llamada completada, siendo similar para llamadas fallidas. Dado que las llamadas fallidas representan el 10% de las llamadas completadas, el holding time por llamada completada asciende a 0.22. </w:t>
      </w:r>
    </w:p>
    <w:p w14:paraId="7B7D4F89" w14:textId="6B8146E3"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AGRAVIOS GENERALES RESPECTO DEL RESOLUTIVO TERCERO DE LA RESOLUCIÓN IMPUGNADA.</w:t>
      </w:r>
    </w:p>
    <w:p w14:paraId="57883201"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OCTAVO.</w:t>
      </w:r>
      <w:r w:rsidRPr="00654D1D">
        <w:rPr>
          <w:rFonts w:ascii="ITC Avant Garde" w:hAnsi="ITC Avant Garde" w:cs="Arial"/>
        </w:rPr>
        <w:t xml:space="preserve"> No existe disposición jurídica que faculte a la Comisión para fijar a la Recurrente las tarifas de interconexión con base en costos, por lo que la Comisión contraviene lo dispuesto en el artículo 3, fracción V, de la Ley Federal de Procedimiento Administrativo.</w:t>
      </w:r>
    </w:p>
    <w:p w14:paraId="70848B9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efecto, esa autoridad en la Resolución Recurrida fija las tarifas de interconexión con base en supuestos costos, lo cual no tiene fundamento en disposición legal alguna, por lo que resulta violatoria de lo dispuesto por el artículo 3, fracción V, de la Ley Federal de Procedimiento Administrativo, en relación con la inadecuada aplicación de los artículos 7, 41, 42 y 63 de la Ley Federal de Telecomunicaciones. </w:t>
      </w:r>
    </w:p>
    <w:p w14:paraId="55A60A2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La Resolución Recurrida es contraria al principio de debida fundamentación que todo acto de autoridad debe necesariamente contener. </w:t>
      </w:r>
    </w:p>
    <w:p w14:paraId="6A77D19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Si bien es cierto que el artículo 42 de la Ley Federal de Telecomunicaciones no establece parámetro alguno que debe utilizar la autoridad al resolver las disputas de interconexión, el artículo 7 del mismo ordenamiento indica que el objetivo de la propia ley es promover un desarrollo eficiente de las telecomunicaciones, ejercer la rectoría del Estado en la materia, para garantizar la soberanía nacional; fomentar una sana competencia entre los diferentes prestadores de servicios de telecomunicaciones a fin de que éstos se presten con mejores precios, diversidad y calidad en beneficio de los usuarios, y promover una adecuada cobertura social. </w:t>
      </w:r>
    </w:p>
    <w:p w14:paraId="3EB9767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este sentido, era de suponerse que el Modelo de Costos elaborado por la autoridad debió haber resuelto el pretendido desacuerdo entre las Tercero Perjudicadas y la Recurrente con base en cada uno de estos principios expresando las razones por las cuáles consideró que su resolución colmaba los objetivos de la ley.</w:t>
      </w:r>
    </w:p>
    <w:p w14:paraId="116D240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este sentido, es incomprensible que, si la Ley Federal de Telecomunicaciones no faculta al regulador para establecer las tarifas a los concesionarios conforme a costos incrementales de largo plazo salvo en el caso de que tengan poder sustancial en el mercado relevante conforme a la Ley Federal de Competencia Económica el Modelo de Costos elaborado pretenda fijar las tarifas de interconexión precisamente con base en costos incrementales a largo plazo sin que medie la declaración de poder sustancial en el mercado relevante firme.</w:t>
      </w:r>
    </w:p>
    <w:p w14:paraId="3EDF13B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 decir, la Ley Federal de Telecomunicaciones es clara respecto del único caso en el que se pueden fijar tarifas conforme a costos incrementales de largo plazo es para operadores con dominancia en el mercado y esa autoridad, sin embargo, arbitrariamente modifica el contenido de dicha norma por lo que, se puede presumir válidamente que en la determinación de las tarifas de interconexión se asume infundadamente que la Recurrente perpetra prácticas monopólicas sean relativas o absolutas, lo cual resulta evidentemente inexacto en atención a que ninguna autoridad competente ha decretado que tengan poder sustancial en el mercado relevante, mediante resolución definitiva inatacable.</w:t>
      </w:r>
    </w:p>
    <w:p w14:paraId="0DF4E8E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efecto, a lo largo de toda la Resolución Recurrida se vierten una serie de argumentos para demostrar que es más conveniente que las tarifas de interconexión se fijen con base en costos. Estos argumentos se basan en recomendaciones internacionales, experiencias en otros países, supuestos hechos notorios o cuestiones fácticas entre otras.</w:t>
      </w:r>
    </w:p>
    <w:p w14:paraId="7CB9E63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Sin embargo, la autoridad olvida que no obstante que fuera aconsejable la utilización de un modelo de costos, en el marco jurídico mexicano no existe ninguna disposición que permita la utilización del modelo de costos para fijar las tarifas de interconexión de un operador que no tenga poder sustancial en el mercado relevante. Si se quisiera aplicar dichas prácticas aconsejables entonces se debería reformar la ley, pero no actuar al margen de ella.</w:t>
      </w:r>
    </w:p>
    <w:p w14:paraId="76CD6F7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artículo 63 de la Ley Federal de Telecomunicaciones consagra la facultad de la Comisión para establecer al concesionario de redes públicas de telecomunicaciones que tenga poder sustancial en el mercado relevante de acuerdo a la Ley Federal de Competencia Económica, obligaciones específicas relacionadas con tarifas, calidad de servicio e información. En el segundo párrafo de este artículo también establece que la regulación tarifaria que se aplique a los concesionarios de redes públicas de telecomunicaciones que tengan poder sustancial en el mercado relevante buscará que las tarifas de cada servicio, capacidad o función, incluyendo las de interconexión, permitan recuperar, al menos, el costo incremental promedio de largo plazo.</w:t>
      </w:r>
    </w:p>
    <w:p w14:paraId="2831519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primer lugar, no existe disposición expresa que establezca expresamente que las tarifas de interconexión estén orientadas a costos, por lo que resulta evidente que de una interpretación de la Ley Federal de Telecomunicaciones se concluye que no existe fundamento legal para que en la Resolución Recurrida se fijen las tarifas de interconexión con base en costos.</w:t>
      </w:r>
    </w:p>
    <w:p w14:paraId="7AB30A3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segundo lugar, en la Ley Federal de Telecomunicaciones se establece que, tratándose de operadores dominantes, las tarifas deben estar orientadas a costos, es decir, deberá tomarse en consideración el costo real de proveer el servicio de interconexión, para lo cual es necesario que las tarifas determinadas contemplen costos actuales y comprobables.</w:t>
      </w:r>
    </w:p>
    <w:p w14:paraId="1E96626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artículo 63 de la Ley Federal de Telecomunicaciones establece las tarifas con base en costos, no como una obligación de la autoridad de fijarlos con fundamento en éstos, sino como un derecho mínimo que debe respetar la citada autoridad. Es decir, al efectuarlo, lo hace con el objeto de establecer un derecho a favor del operador dominante de que la autoridad no establezca tarifas por debajo del mismo; o sea le establece un límite inferior o "piso" a la autoridad para el caso de determinar las tarifas de los diversos servicios a que hace referencia el citado artículo 63 de la Ley Federal de Telecomunicaciones.</w:t>
      </w:r>
    </w:p>
    <w:p w14:paraId="6FF3D85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Reitera que al tratarse el artículo 63 de un régimen especial para los operadores dominantes no puede ser utilizado de ninguna manera para los que no lo son. En la Resolución Impugnada (foja </w:t>
      </w:r>
      <w:r w:rsidRPr="00654D1D">
        <w:rPr>
          <w:rFonts w:ascii="ITC Avant Garde" w:hAnsi="ITC Avant Garde" w:cs="Arial"/>
          <w:b/>
        </w:rPr>
        <w:t>33 cuarto</w:t>
      </w:r>
      <w:r w:rsidRPr="00654D1D">
        <w:rPr>
          <w:rFonts w:ascii="ITC Avant Garde" w:hAnsi="ITC Avant Garde" w:cs="Arial"/>
        </w:rPr>
        <w:t xml:space="preserve"> párrafo) pretende darle infundadamente a la </w:t>
      </w:r>
      <w:r w:rsidRPr="00654D1D">
        <w:rPr>
          <w:rFonts w:ascii="ITC Avant Garde" w:hAnsi="ITC Avant Garde" w:cs="Arial"/>
        </w:rPr>
        <w:lastRenderedPageBreak/>
        <w:t>Recurrente el carácter de un operador con poder sustancial en el mercado, al basar el modelo en un operador "eficiente" que mantiene el control del 25% del mercado relevante, cuando que en la realidad la Recurrente ostenta una cuota de accesos en el mercado del orden del 21%.</w:t>
      </w:r>
    </w:p>
    <w:p w14:paraId="41CA33A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Así las cosas, no se puede aceptar, como se señala (foja </w:t>
      </w:r>
      <w:r w:rsidRPr="00654D1D">
        <w:rPr>
          <w:rFonts w:ascii="ITC Avant Garde" w:hAnsi="ITC Avant Garde" w:cs="Arial"/>
          <w:b/>
        </w:rPr>
        <w:t>27</w:t>
      </w:r>
      <w:r w:rsidRPr="00654D1D">
        <w:rPr>
          <w:rFonts w:ascii="ITC Avant Garde" w:hAnsi="ITC Avant Garde" w:cs="Arial"/>
        </w:rPr>
        <w:t xml:space="preserve"> de la Resolución Recurrida) que la fijación de tarifas basadas en costos constituya "...un hecho notorio respecto a la industria de las telecomunicaciones..." Al contrario, la fijación de tarifas basadas en costos constituye una excepción al marco general y, por lo tanto, no es aplicable a los concesionarios que se ubican en la regla general, ya que las excepciones son de aplicación estricta. </w:t>
      </w:r>
    </w:p>
    <w:p w14:paraId="1591209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artículo 63 de la Ley Federal de Telecomunicaciones establece una facultad reglada, pues el precepto legal taxativamente limita el actuar de esa autoridad en materia de imposición de tarifas al operador con poder sustancial en el mercado relevante. La clara y terminante disposición legal convierte a este artículo en una facultad reglada: si y sólo si el operador tiene poder sustancial en el mercado relevante así declarado por la autoridad competente en el periodo del desacuerdo puede imponerse una tarifa orientada a costos. El legislador no abrió otros casos en donde esa autoridad pudiera imponer tarifas con base a costos, ni mucho menos le dio un rango de interpretación para excusar el cumplimiento del requisito esencial de que existiese una declaración de poder sustancial en el mercado relevante que es precisamente la hipótesis normativa del actuar de la Comisión en la Resolución Recurrida.</w:t>
      </w:r>
    </w:p>
    <w:p w14:paraId="5AB735A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autoridad cita los artículos 7 y 41 de la Ley Federal de Telecomunicaciones como fundamento para fijar las tarifas de interconexión con base en costos. La autoridad señala (foja </w:t>
      </w:r>
      <w:r w:rsidRPr="00654D1D">
        <w:rPr>
          <w:rFonts w:ascii="ITC Avant Garde" w:hAnsi="ITC Avant Garde" w:cs="Arial"/>
          <w:b/>
        </w:rPr>
        <w:t>26</w:t>
      </w:r>
      <w:r w:rsidRPr="00654D1D">
        <w:rPr>
          <w:rFonts w:ascii="ITC Avant Garde" w:hAnsi="ITC Avant Garde" w:cs="Arial"/>
        </w:rPr>
        <w:t xml:space="preserve"> de la Resolución Recurrida) que dos principios esenciales para la determinación de tarifas son: "el desarrollo eficiente de las telecomunicaciones y el fomento a una sana competencia entre los prestadores de servicios de telecomunicaciones".</w:t>
      </w:r>
    </w:p>
    <w:p w14:paraId="07BE4B8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No obstante la imposibilidad jurídica por parte de la Comisión para fundar la Resolución Recurrida, el cálculo tarifario de interconexión con base en costos diseñado (el cual está siendo impuesto como una carga y no como un derecho mínimo) no permite recuperar las inversiones realizadas y mucho menos continuar con la promoción de la cobertura social a que la Recurrente está obligada en términos de la Ley Federal de Telecomunicaciones y sus títulos de concesión.</w:t>
      </w:r>
    </w:p>
    <w:p w14:paraId="548B5F3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Comisión omite otro objetivo fundamental contenido también en el citado artículo 7 de la Ley Federal de Telecomunicaciones consistente en "promover una adecuada cobertura social."</w:t>
      </w:r>
    </w:p>
    <w:p w14:paraId="4EE3D4B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En relación a la adecuada cobertura social como uno de los objetivos de la Ley Federal de Telecomunicaciones, es fundamental exponer que el cálculo de la tarifa de interconexión basada en el modelo de costos desarrollado por la Comisión, no obstante que entre sus motivaciones exponga que permita recuperar los costos de capital asociados a la inversión realizada, no permite recuperar las inversiones en infraestructura incurridas por la Recurrente.</w:t>
      </w:r>
    </w:p>
    <w:p w14:paraId="544A934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Esto significa que al no poder recuperar las inversiones en infraestructura o en capital realizadas, el crecimiento de la Recurrente, así como de los demás operadores de telefonía móvil se verá limitado y no se alcanzará la cobertura social esperada para los próximos años.</w:t>
      </w:r>
    </w:p>
    <w:p w14:paraId="3295CA9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 del conocimiento público que la telefonía móvil ha permitido el acceso a la intercomunicación a sectores de la población que no tienen los medios económicos para sufragar el gasto que implica una renta mensual fija en el caso de la telefonía fija y que le ha permitido a los campesinos y a los trabajadores de menores ingresos, así como al sector rural, a tener una comunicación accesible.</w:t>
      </w:r>
    </w:p>
    <w:p w14:paraId="1F31B76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Con base en el modelo de costos impuesto por esa autoridad no le es posible a la Recurrente cumplir con los objetivos de cobertura social establecidos en su título de concesión y en la Ley Federal de Telecomunicaciones, los cuales, de conformidad con lo manifestado por el Legislador, merecen un interés especial. Lo anterior dado que se restringe la posibilidad de que la Recurrente continúe con las inversiones realizadas para ampliar la cobertura de la Red.</w:t>
      </w:r>
    </w:p>
    <w:p w14:paraId="00772EA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sana competencia se materializa a través del establecimiento de disposiciones generales en los planes y no por medio de resoluciones particulares emitidas en desacuerdos de interconexión.</w:t>
      </w:r>
    </w:p>
    <w:p w14:paraId="5ACE322A" w14:textId="62EB3FBE" w:rsidR="00654D1D" w:rsidRPr="00654D1D" w:rsidRDefault="003E526D" w:rsidP="00654D1D">
      <w:pPr>
        <w:spacing w:before="240"/>
        <w:jc w:val="both"/>
        <w:rPr>
          <w:rFonts w:ascii="ITC Avant Garde" w:hAnsi="ITC Avant Garde" w:cs="Arial"/>
        </w:rPr>
      </w:pPr>
      <w:bookmarkStart w:id="3" w:name="bookmark33"/>
      <w:r w:rsidRPr="00654D1D">
        <w:rPr>
          <w:rFonts w:ascii="ITC Avant Garde" w:hAnsi="ITC Avant Garde" w:cs="Arial"/>
        </w:rPr>
        <w:t>De la Interpretación del principio de libertad tarifaria en el</w:t>
      </w:r>
      <w:bookmarkEnd w:id="3"/>
      <w:r w:rsidRPr="00654D1D">
        <w:rPr>
          <w:rFonts w:ascii="ITC Avant Garde" w:hAnsi="ITC Avant Garde" w:cs="Arial"/>
        </w:rPr>
        <w:t xml:space="preserve"> sector de las telecomunicaciones, contenidos en la exposición de motivos de la Ley Federal de Telecomunicaciones, no se desprende que las tarifas de interconexión de los concesionarios de redes públicas de telecomunicaciones deban calcularse con base en costos.</w:t>
      </w:r>
    </w:p>
    <w:p w14:paraId="1D8041B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Con las tarifas con base a costos fijadas por esa autoridad en su resolución, no le sería posible a la Recurrente continuar con la prestación de los servicios de interconexión en condiciones satisfactorias de calidad, competitividad, seguridad y permanencia, pues no les sería posible ni siquiera recuperar las inversiones de capital realizadas en los últimos años.</w:t>
      </w:r>
    </w:p>
    <w:p w14:paraId="1F5D525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En una primera parte, la Comisión manifestó que no es aplicable el Plan de Interconexión ni aquellas interpretaciones y principios que del mismo se deriven debido a que, por una parte, su utilización implicaría la aplicación retroactiva del mismo y, por la otra, existe un amparo concedido a favor de la Recurrente en contra de la aplicación presente y futura del Plan.</w:t>
      </w:r>
    </w:p>
    <w:p w14:paraId="7478B9A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No obstante la existencia de un amparo en favor de la Recurrente, de la Resolución Recurrida se desprende que la Comisión aplica principios derivados del Plan de Interconexión pretendiendo fundar su resolución, lo que desde luego deviene en una ilegalidad que robustece, como más adelante se precisará, la indebida fundamentación que adolece la Resolución Recurrida.</w:t>
      </w:r>
    </w:p>
    <w:p w14:paraId="314D304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Contrario a lo que afirma la Comisión en la Resolución Recurrida, la fijación de tarifas de interconexión con base en costos no tiene fundamento en: Los artículos 7 y 41 de la Ley Federal de Telecomunicaciones; Acuerdos y recomendaciones internacionales; En hechos notorios; Reglas del Servicio Local; Reglas del Servicio de Larga Distancia; En los artículos 42 y 63 de la Ley Federal de Telecomunicaciones, y En el Plan de Interconexión.</w:t>
      </w:r>
    </w:p>
    <w:p w14:paraId="145CFD6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De conformidad con lo establecido en la Ley Federal de Telecomunicaciones, específicamente de su artículo 63, sólo procede fijar tarifas de interconexión con base en costos en el caso de operadores dominantes. De los artículos 7, 41 y 42 no se </w:t>
      </w:r>
      <w:proofErr w:type="gramStart"/>
      <w:r w:rsidRPr="00654D1D">
        <w:rPr>
          <w:rFonts w:ascii="ITC Avant Garde" w:hAnsi="ITC Avant Garde" w:cs="Arial"/>
        </w:rPr>
        <w:t>desprende</w:t>
      </w:r>
      <w:proofErr w:type="gramEnd"/>
      <w:r w:rsidRPr="00654D1D">
        <w:rPr>
          <w:rFonts w:ascii="ITC Avant Garde" w:hAnsi="ITC Avant Garde" w:cs="Arial"/>
        </w:rPr>
        <w:t xml:space="preserve"> ninguna disposición, ni de una interpretación sistemática se llega a la conclusión de que las tarifas de interconexión de todos los operadores deben fijarse orientadas a costos.</w:t>
      </w:r>
    </w:p>
    <w:p w14:paraId="6D35594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Regla Novena Transitoria de las Reglas del Servicio Local dispone expresamente que, su aplicabilidad se encuentra supeditada a la prestación del servicio local fijo, caso contrario al concreto en virtud de que la Recurrente presta el servicio de telefonía móvil.</w:t>
      </w:r>
    </w:p>
    <w:p w14:paraId="7B9EF6E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otro lado la Regla 53 de las Reglas de Larga Distancia aplica exclusivamente en tratándose de operadores con poder sustancial en el mercado relevante para servicios de interconexión bajo la modalidad "El que llama paga Nacional' y no bajo la modalidad "El Que Llama Paga (Local)", en congruencia con lo dispuesto por la Ley Federal de Telecomunicaciones.</w:t>
      </w:r>
    </w:p>
    <w:p w14:paraId="64B4373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Los principios que así se desprendan del Plan Técnico Fundamental, no pueden aplicarse a la Recurrente ya que el mismo fue desincorporado de la esfera jurídica de las quejosas por virtud de un amparo y esa Comisión acepta que el mismo no sirvió como fundamento para la emisión de la Resolución Recurrida.</w:t>
      </w:r>
    </w:p>
    <w:p w14:paraId="15A51AB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Las recomendaciones y directivas internacionales, son simplemente recomendaciones, por lo que resulta inconcuso que no tienen el carácter de Ley Suprema en términos del artículo 133 constitucional y, en consecuencia, el que las mismas sean invocadas por la Comisión para la implementación del modelo de costos repercute en una incorrecta fundamentación.</w:t>
      </w:r>
    </w:p>
    <w:p w14:paraId="4E1162B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Ausencia de declaración de poder sustancial en contra de la Recurrente por parte de la Comisión Federal de Competencia Económica, máxime cuando la aplicabilidad del modelo de costos se encuentra supeditado a la detentación de un poder sustancial en el mercado relevante en términos del multicitado artículo 63 de la Ley Federal de Telecomunicaciones.</w:t>
      </w:r>
    </w:p>
    <w:p w14:paraId="46DE8C7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No existe a la fecha determinación definitiva y firme de poder sustancial en el mercado relevante en contra de la Recurrente que faculte a la autoridad la determinación de tarifas de interconexión con base en costos, no obstante, dicha facultad no deviene en una obligación sino en una facultad potestativa de la autoridad en favor del operador declarado con poder sustancial en el mercado relevante.</w:t>
      </w:r>
    </w:p>
    <w:p w14:paraId="6BFEA3E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Se debió utilizar el artículo 95 del Reglamento de Telecomunicaciones en el que se establece lo que se deberá garantizar para fijar los términos de interconexión, y la Recurrente destaca que en el citado Reglamento de Telecomunicaciones se hace referencia a los costos, pero no a cualquier costo, sino a los propios costos en los que incurre el operador para prestar el servicio.</w:t>
      </w:r>
    </w:p>
    <w:p w14:paraId="7E8AD418"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 xml:space="preserve">NOVENO. </w:t>
      </w:r>
      <w:r w:rsidRPr="00654D1D">
        <w:rPr>
          <w:rFonts w:ascii="ITC Avant Garde" w:hAnsi="ITC Avant Garde" w:cs="Arial"/>
        </w:rPr>
        <w:t>La Resolución Recurrida no fija una justa retribución y restringe la libertad de trabajo, por lo que está viciada de una indebida motivación al no acatar lo dispuesto por el artículo 5 de la Constitución en relación con el artículo 3, fracción V, de la Ley Federal de Procedimiento Administrativo.</w:t>
      </w:r>
    </w:p>
    <w:p w14:paraId="69FE961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Comisión mediante la Resolución Recurrida establece tarifas de interconexión fincadas con base en parámetros arbitrarios que entre otras cosas: i) se fijan de conformidad con un operador simulado que no existe en la realidad; ii) determina las tarifas con base en un modelo que no toma en consideración los costos reales de proveer el servicio de interconexión, y iii) atribuye indebidamente a la Recurrente prácticas monopólicas, entre otras cosas.</w:t>
      </w:r>
    </w:p>
    <w:p w14:paraId="5290466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este sentido, la Resolución Recurrida carece de una debida motivación que justifique la falta de una justa retribución a la Recurrente con relación a las contraprestaciones que deberá pagar a las Tercero Perjudicadas. Asimismo, esa Comisión no consideró debidamente el uso de infraestructura propiedad de la Recurrente ni el costo real de </w:t>
      </w:r>
      <w:r w:rsidRPr="00654D1D">
        <w:rPr>
          <w:rFonts w:ascii="ITC Avant Garde" w:hAnsi="ITC Avant Garde" w:cs="Arial"/>
        </w:rPr>
        <w:lastRenderedPageBreak/>
        <w:t>proveer el servicio, lo que genera la ilegalidad de dicha resolución y, en consecuencia con ello, su nulidad.</w:t>
      </w:r>
    </w:p>
    <w:p w14:paraId="579BA66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el caso que nos ocupa, la Recurrente es obligada a prestar un trabajo (los servicios de interconexión) sin que medie una justa retribución. Se insiste, no se puede estimar como justa una retribución que ha sido fijada con base en un Modelo de Costos: i) elaborado para una empresa ficticia o hipotética que sólo fue concebida en el ilegal Modelo de Costos elaborado por esa Comisión en la Resolución Recurrida; ii) que no contempla la situación del mercado mexicano en donde existe un operador que concentra el </w:t>
      </w:r>
      <w:r w:rsidRPr="00654D1D">
        <w:rPr>
          <w:rFonts w:ascii="ITC Avant Garde" w:hAnsi="ITC Avant Garde" w:cs="Arial"/>
          <w:b/>
        </w:rPr>
        <w:t>70%</w:t>
      </w:r>
      <w:r w:rsidRPr="00654D1D">
        <w:rPr>
          <w:rFonts w:ascii="ITC Avant Garde" w:hAnsi="ITC Avant Garde" w:cs="Arial"/>
        </w:rPr>
        <w:t xml:space="preserve"> de los usuarios; iii) que hace caso omiso de las inversiones y costos reales efectuadas por la Recurrente; iv) que fija los valores utilizados en dicho modelo con base en documentos que no le fueron proporcionados a la Recurrente para efectos de analizar su veracidad y congruencia; v) que contiene cálculos complejos que nunca son desglosados, y vi) que desecha el tomar en cuenta que inclusive para el caso de operadores dominantes, el modelo de costo incremental a largo plazo es tan sólo un piso o límite inferior en la fijación de las tarifas (véase segundo párrafo del artículo 63 de la Ley Federal de Telecomunicaciones).</w:t>
      </w:r>
    </w:p>
    <w:p w14:paraId="3A48E7D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efecto que tiene la Resolución Recurrida es crear la forma más eficaz de restricción en perjuicio de la Recurrente, las cuales ya han prestado el servicio de interconexión y las Tercero Perjudicadas ha obtenido el beneficio completo por estos servicios, y ahora se pretende privar a la Recurrente de la justa retribución que le corresponde por haberlos llevado a cabo.</w:t>
      </w:r>
    </w:p>
    <w:p w14:paraId="170D220D"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DÉCIMO.</w:t>
      </w:r>
      <w:r w:rsidRPr="00654D1D">
        <w:rPr>
          <w:rFonts w:ascii="ITC Avant Garde" w:hAnsi="ITC Avant Garde" w:cs="Arial"/>
        </w:rPr>
        <w:t xml:space="preserve"> La Resolución Recurrida viola el principio de retroactividad al fijar tarifas para un periodo ya pasado, por lo que está viciada de una indebida motivación y, por lo tanto, viola el artículo 3, fracción V, de la Ley Federal de Procedimiento Administrativo.</w:t>
      </w:r>
    </w:p>
    <w:p w14:paraId="452C996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efecto, la Resolución Recurrida adolece del vicio de retroactividad en perjuicio de la Recurrente, ya que la Comisión estableció tarifas de interconexión correspondientes al periodo comprendido del </w:t>
      </w:r>
      <w:r w:rsidRPr="00654D1D">
        <w:rPr>
          <w:rFonts w:ascii="ITC Avant Garde" w:hAnsi="ITC Avant Garde" w:cs="Arial"/>
          <w:b/>
        </w:rPr>
        <w:t>1 de enero de 2011 al 19 de julio de 2011</w:t>
      </w:r>
      <w:r w:rsidRPr="00654D1D">
        <w:rPr>
          <w:rFonts w:ascii="ITC Avant Garde" w:hAnsi="ITC Avant Garde" w:cs="Arial"/>
        </w:rPr>
        <w:t>, por lo que viola lo dispuesto en las fracciones III y V del artículo 3 de la Ley Federal de Procedimiento Administrativo, en relación con el 14 y 16 constitucionales.</w:t>
      </w:r>
    </w:p>
    <w:p w14:paraId="374D1F6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Resolución Recurrida no obstante que se dictó con fecha </w:t>
      </w:r>
      <w:r w:rsidRPr="00654D1D">
        <w:rPr>
          <w:rFonts w:ascii="ITC Avant Garde" w:hAnsi="ITC Avant Garde" w:cs="Arial"/>
          <w:b/>
        </w:rPr>
        <w:t xml:space="preserve">6 de julio de 2011 (se notificó el 19 de julio del mismo año) </w:t>
      </w:r>
      <w:r w:rsidRPr="00654D1D">
        <w:rPr>
          <w:rFonts w:ascii="ITC Avant Garde" w:hAnsi="ITC Avant Garde" w:cs="Arial"/>
        </w:rPr>
        <w:t xml:space="preserve">contempla tarifas del </w:t>
      </w:r>
      <w:r w:rsidRPr="00654D1D">
        <w:rPr>
          <w:rFonts w:ascii="ITC Avant Garde" w:hAnsi="ITC Avant Garde" w:cs="Arial"/>
          <w:b/>
        </w:rPr>
        <w:t>1 de enero al 31 de diciembre de 2011.</w:t>
      </w:r>
    </w:p>
    <w:p w14:paraId="1CDB5FC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Así, esa Comisión pretende modificar circunstancias que ya se han verificado y que al momento de ocurrir ya surtieron plenos efectos y consecuencias, así como que, en su caso, se integraron a la esfera jurídica de la Recurrente.</w:t>
      </w:r>
    </w:p>
    <w:p w14:paraId="35BE4E6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Toda vez que las tarifas percibidas por la Recurrente por el periodo previsto del </w:t>
      </w:r>
      <w:r w:rsidRPr="00654D1D">
        <w:rPr>
          <w:rFonts w:ascii="ITC Avant Garde" w:hAnsi="ITC Avant Garde" w:cs="Arial"/>
          <w:b/>
        </w:rPr>
        <w:t>1 de enero al 19 de julio de 2011</w:t>
      </w:r>
      <w:r w:rsidRPr="00654D1D">
        <w:rPr>
          <w:rFonts w:ascii="ITC Avant Garde" w:hAnsi="ITC Avant Garde" w:cs="Arial"/>
        </w:rPr>
        <w:t xml:space="preserve"> ya fueron devengadas y, por lo tanto, se trata de derechos adquiridos; modificar dichas tarifas implica aplicar la ley de forma retroactiva y dotarla de efectos retroactivos en perjuicio.</w:t>
      </w:r>
    </w:p>
    <w:p w14:paraId="22A66A9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Al respecto, es importante que la Comisión considere que en ninguna parte de la Ley Federal de Telecomunicaciones, así como en el Plan de Interconexión (suponiendo sin conceder que este fuera aplicable a la Recurrente) se establece la posibilidad de tomar como punto de partida temporal para la fijación de las tarifas de interconexión: a) el primer día del año dentro del cual se produzca el desacuerdo y se promueva esta Instancia, b) la fecha de inicio de las negociaciones tendientes a fijar dichas tarifas, o c) la fecha en que se inicia ante esa Comisión el desacuerdo correspondiente (máxime que las tarifas respecto de dichos servicios al público usuario ya han sido devengadas, lo que implicaría, en su caso, otorgar beneficio indebido a favor de </w:t>
      </w:r>
      <w:proofErr w:type="spellStart"/>
      <w:r w:rsidRPr="00654D1D">
        <w:rPr>
          <w:rFonts w:ascii="ITC Avant Garde" w:hAnsi="ITC Avant Garde" w:cs="Arial"/>
          <w:b/>
        </w:rPr>
        <w:t>Operbes</w:t>
      </w:r>
      <w:proofErr w:type="spellEnd"/>
      <w:r w:rsidRPr="00654D1D">
        <w:rPr>
          <w:rFonts w:ascii="ITC Avant Garde" w:hAnsi="ITC Avant Garde" w:cs="Arial"/>
          <w:b/>
        </w:rPr>
        <w:t xml:space="preserve">, </w:t>
      </w:r>
      <w:proofErr w:type="spellStart"/>
      <w:r w:rsidRPr="00654D1D">
        <w:rPr>
          <w:rFonts w:ascii="ITC Avant Garde" w:hAnsi="ITC Avant Garde" w:cs="Arial"/>
          <w:b/>
        </w:rPr>
        <w:t>Bestphone</w:t>
      </w:r>
      <w:proofErr w:type="spellEnd"/>
      <w:r w:rsidRPr="00654D1D">
        <w:rPr>
          <w:rFonts w:ascii="ITC Avant Garde" w:hAnsi="ITC Avant Garde" w:cs="Arial"/>
          <w:b/>
        </w:rPr>
        <w:t>, y Cablevisión.</w:t>
      </w:r>
    </w:p>
    <w:p w14:paraId="088A0F4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 la Recurrente le causa un perjuicio la retroactividad de la Resolución Recurrida, no sólo porque se le podría privar de ingresos legítimamente obtenidos, sino porque, en su caso, habría que modificar sus finanzas y contabilidad hacia el pasado para acomodar, así como, en su caso, el correspondiente impacto en sus declaraciones fiscales.</w:t>
      </w:r>
    </w:p>
    <w:p w14:paraId="303B91C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Comisión no está facultada para fijar una determinada tarifa de interconexión aplicable a períodos o fechas en los cuales se encontraba surtiendo plenos efectos una diversa tarifa pactada voluntariamente entre la Recurrente y </w:t>
      </w:r>
      <w:r w:rsidRPr="00654D1D">
        <w:rPr>
          <w:rFonts w:ascii="ITC Avant Garde" w:hAnsi="ITC Avant Garde" w:cs="Arial"/>
          <w:b/>
        </w:rPr>
        <w:t xml:space="preserve">Cablevisión y la Recurrente y </w:t>
      </w:r>
      <w:proofErr w:type="spellStart"/>
      <w:r w:rsidRPr="00654D1D">
        <w:rPr>
          <w:rFonts w:ascii="ITC Avant Garde" w:hAnsi="ITC Avant Garde" w:cs="Arial"/>
          <w:b/>
        </w:rPr>
        <w:t>Bestphone</w:t>
      </w:r>
      <w:proofErr w:type="spellEnd"/>
      <w:r w:rsidRPr="00654D1D">
        <w:rPr>
          <w:rFonts w:ascii="ITC Avant Garde" w:hAnsi="ITC Avant Garde" w:cs="Arial"/>
          <w:b/>
        </w:rPr>
        <w:t xml:space="preserve"> </w:t>
      </w:r>
      <w:r w:rsidRPr="00654D1D">
        <w:rPr>
          <w:rFonts w:ascii="ITC Avant Garde" w:hAnsi="ITC Avant Garde" w:cs="Arial"/>
        </w:rPr>
        <w:t xml:space="preserve">de </w:t>
      </w:r>
      <w:r w:rsidRPr="00654D1D">
        <w:rPr>
          <w:rFonts w:ascii="ITC Avant Garde" w:hAnsi="ITC Avant Garde" w:cs="Arial"/>
          <w:b/>
        </w:rPr>
        <w:t xml:space="preserve">conformidad con lo establecido en las cláusulas denominadas </w:t>
      </w:r>
      <w:r w:rsidRPr="00654D1D">
        <w:rPr>
          <w:rFonts w:ascii="ITC Avant Garde" w:hAnsi="ITC Avant Garde" w:cs="Arial"/>
        </w:rPr>
        <w:t xml:space="preserve">de "Aplicación Continua" y </w:t>
      </w:r>
      <w:r w:rsidRPr="00654D1D">
        <w:rPr>
          <w:rFonts w:ascii="ITC Avant Garde" w:hAnsi="ITC Avant Garde" w:cs="Arial"/>
          <w:b/>
        </w:rPr>
        <w:t>“Vigencia”</w:t>
      </w:r>
      <w:r w:rsidRPr="00654D1D">
        <w:rPr>
          <w:rFonts w:ascii="ITC Avant Garde" w:hAnsi="ITC Avant Garde" w:cs="Arial"/>
        </w:rPr>
        <w:t xml:space="preserve">, contenida en los convenios de interconexión que la Recurrente celebró con Cablevisión y </w:t>
      </w:r>
      <w:proofErr w:type="spellStart"/>
      <w:r w:rsidRPr="00654D1D">
        <w:rPr>
          <w:rFonts w:ascii="ITC Avant Garde" w:hAnsi="ITC Avant Garde" w:cs="Arial"/>
        </w:rPr>
        <w:t>Bestphone</w:t>
      </w:r>
      <w:proofErr w:type="spellEnd"/>
      <w:r w:rsidRPr="00654D1D">
        <w:rPr>
          <w:rFonts w:ascii="ITC Avant Garde" w:hAnsi="ITC Avant Garde" w:cs="Arial"/>
        </w:rPr>
        <w:t xml:space="preserve"> que rigieron </w:t>
      </w:r>
      <w:r w:rsidRPr="00654D1D">
        <w:rPr>
          <w:rFonts w:ascii="ITC Avant Garde" w:hAnsi="ITC Avant Garde" w:cs="Arial"/>
          <w:b/>
        </w:rPr>
        <w:t>hasta el día en que surtió efectos la notificación de la Resolución Impugnada y se ordenó la suscripción y registro de un nuevo convenio.</w:t>
      </w:r>
    </w:p>
    <w:p w14:paraId="35370343"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DÉCIMO PRIMERO.</w:t>
      </w:r>
      <w:r w:rsidRPr="00654D1D">
        <w:rPr>
          <w:rFonts w:ascii="ITC Avant Garde" w:hAnsi="ITC Avant Garde" w:cs="Arial"/>
        </w:rPr>
        <w:t xml:space="preserve"> La Resolución Recurrida contraviene el principio de congruencia procesal con motivo de la interpretación y aplicación de Principios derivados del Plan Técnico Fundamental de Interconexión e Interoperabilidad, contenido en el artículo 3, fracciones V y XVI, de la Ley Federal de Procedimiento Administrativo.</w:t>
      </w:r>
    </w:p>
    <w:p w14:paraId="7797088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Comisión es incongruente al fundar la Resolución Recurrida en el Plan de Interconexión, el cual resulta inaplicable al caso concreto toda vez que, por una parte, su utilización implicaría la aplicación retroactiva del mismo y, por la otra, actualmente existe un amparo concedido a favor de la Recurrente en contra de la aplicación presente y futura del Plan.</w:t>
      </w:r>
    </w:p>
    <w:p w14:paraId="6CD6DC6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A lo largo de la Resolución Recurrida aplica los principios aplicables al Plan de Interconexión, situación que es manifestada por la autoridad en la foja </w:t>
      </w:r>
      <w:r w:rsidRPr="00654D1D">
        <w:rPr>
          <w:rFonts w:ascii="ITC Avant Garde" w:hAnsi="ITC Avant Garde" w:cs="Arial"/>
          <w:b/>
        </w:rPr>
        <w:t>26</w:t>
      </w:r>
      <w:r w:rsidRPr="00654D1D">
        <w:rPr>
          <w:rFonts w:ascii="ITC Avant Garde" w:hAnsi="ITC Avant Garde" w:cs="Arial"/>
        </w:rPr>
        <w:t>, en la cual textualmente señala lo siguiente: "Cabe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7BD479D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transcripción que antecede, no se hace más que evidenciar que contrario a lo manifestado por la propia autoridad a foja </w:t>
      </w:r>
      <w:r w:rsidRPr="00654D1D">
        <w:rPr>
          <w:rFonts w:ascii="ITC Avant Garde" w:hAnsi="ITC Avant Garde" w:cs="Arial"/>
          <w:b/>
        </w:rPr>
        <w:t xml:space="preserve">12 </w:t>
      </w:r>
      <w:r w:rsidRPr="00654D1D">
        <w:rPr>
          <w:rFonts w:ascii="ITC Avant Garde" w:hAnsi="ITC Avant Garde" w:cs="Arial"/>
        </w:rPr>
        <w:t>de la Resolución Recurrida, la misma de manera por demás contraria a derecho aplica cuestiones relativas al Plan de Interconexión, como lo son entre otras cuestiones los principios aplicables al mismo.</w:t>
      </w:r>
    </w:p>
    <w:p w14:paraId="3CE7D08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esta tesitura, queda de manifiesto la contradicción en la que incurre la Comisión en la medida que aplica, para su resolución, principios que se desprenden de normas generales del Plan de Interconexión, no obstante la existencia de un amparo en favor de la Recurrente, cuyos efectos no se limitan al acto que se reclamó, sino a la imposibilidad de volvérsele a aplicar, tomando en cuenta que la inconstitucionalidad declarada se refiere al Plan en sí mismo; es decir, todo aquello que del mismo se desprenda, como son los Principios que invoca esa Comisión como parte de su indebida fundamentación, con motivo consecuente de una violación al principio de legalidad.</w:t>
      </w:r>
    </w:p>
    <w:p w14:paraId="323CE342"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DÉCIMO SEGUNDO.</w:t>
      </w:r>
      <w:r w:rsidRPr="00654D1D">
        <w:rPr>
          <w:rFonts w:ascii="ITC Avant Garde" w:hAnsi="ITC Avant Garde" w:cs="Arial"/>
        </w:rPr>
        <w:t xml:space="preserve"> La Resolución Impugnada transgrede en perjuicio de la Recurrente la garantía de debida fundamentación y motivación en relación con el cálculo del tiempo de las llamadas.</w:t>
      </w:r>
    </w:p>
    <w:p w14:paraId="10B7979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efecto, la Comisión pretende establecer a cargo de la Recurrente la obligación de calcular las llamadas en tiempo real y no por redondeo a minutos sin que exista la debida fundamentación y motivación para ello.</w:t>
      </w:r>
    </w:p>
    <w:p w14:paraId="7C9F507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Lo anterior es así, ya que el modelo utilizado por el Pleno de la Comisión (en la hipótesis no admitida de que el mismo resultara aplicable) claramente contiene diversas incongruencias entre sí, pues por un lado, establece la obligación a cargo de la Recurrente de calcular las llamadas en tiempo real, es decir, por segundos y por el otro la Comisión utiliza factores para sustentar su modelo cuyo cálculo utiliza el método de redondeo por minuto.</w:t>
      </w:r>
    </w:p>
    <w:p w14:paraId="1D0F402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Lo anterior es así, ya que si la Comisión realizara las mismas operaciones y cálculos con una base de datos calculada en tiempo real, es decir, mediante el cálculo de las llamadas en segundos, necesariamente tendría que determinar tarifas de interconexión </w:t>
      </w:r>
      <w:r w:rsidRPr="00654D1D">
        <w:rPr>
          <w:rFonts w:ascii="ITC Avant Garde" w:hAnsi="ITC Avant Garde" w:cs="Arial"/>
        </w:rPr>
        <w:lastRenderedPageBreak/>
        <w:t xml:space="preserve">mucho más altas, ya que se estaría modificando el factor denominado "Demanda de Red (minutos X </w:t>
      </w:r>
      <w:proofErr w:type="spellStart"/>
      <w:r w:rsidRPr="00654D1D">
        <w:rPr>
          <w:rFonts w:ascii="ITC Avant Garde" w:hAnsi="ITC Avant Garde" w:cs="Arial"/>
        </w:rPr>
        <w:t>Ruteamiento</w:t>
      </w:r>
      <w:proofErr w:type="spellEnd"/>
      <w:r w:rsidRPr="00654D1D">
        <w:rPr>
          <w:rFonts w:ascii="ITC Avant Garde" w:hAnsi="ITC Avant Garde" w:cs="Arial"/>
        </w:rPr>
        <w:t>)" consagrado en la tabla 9 para obtener el "CILP", lo que necesariamente generaría un resultado diferente al obtenido por la Comisión y el cual se traduciría en unas tarifas de interconexión superiores a la establecidas en la Resolución Recurrida.</w:t>
      </w:r>
    </w:p>
    <w:p w14:paraId="058F212D"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 xml:space="preserve">DÉCIMO TERCERO. </w:t>
      </w:r>
      <w:r w:rsidRPr="00654D1D">
        <w:rPr>
          <w:rFonts w:ascii="ITC Avant Garde" w:hAnsi="ITC Avant Garde" w:cs="Arial"/>
        </w:rPr>
        <w:t>En la elaboración del Modelo de Costos se violó la Ley Federal de Procedimiento Administrativo, pues no fue objeto del proceso de mejora regulatoria ni se publicó debidamente en el Diario Oficial de la Federación, contraviniendo lo dispuesto en los artículos 69 y demás relativos de la Ley Federal de Procedimiento Administrativo.</w:t>
      </w:r>
    </w:p>
    <w:p w14:paraId="7C9ADC7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Modelo de Costos incumple con la obligación establecida por los artículos 4, 69-A y demás relativos de la Ley Federal de Procedimiento Administrativo, pues el acto jurídico consistente en la elaboración del modelo de costos que contiene la metodología para determinar las tarifas de interconexión no fue objeto del proceso de mejora regulatoria ni se publicó debidamente en el Diario Oficial de la Federación.</w:t>
      </w:r>
    </w:p>
    <w:p w14:paraId="7E2D0D3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efecto, de conformidad con el artículo 4 de la Ley Federal de Procedimiento Administrativo, los actos administrativos consistentes en metodologías y criterios deben ser publicados en el Diario Oficial de la Federación previa opinión de la Comisión Federal de Mejora Regulatoria (en adelante "</w:t>
      </w:r>
      <w:proofErr w:type="spellStart"/>
      <w:r w:rsidRPr="00654D1D">
        <w:rPr>
          <w:rFonts w:ascii="ITC Avant Garde" w:hAnsi="ITC Avant Garde" w:cs="Arial"/>
        </w:rPr>
        <w:t>Cofemer</w:t>
      </w:r>
      <w:proofErr w:type="spellEnd"/>
      <w:r w:rsidRPr="00654D1D">
        <w:rPr>
          <w:rFonts w:ascii="ITC Avant Garde" w:hAnsi="ITC Avant Garde" w:cs="Arial"/>
        </w:rPr>
        <w:t>").</w:t>
      </w:r>
    </w:p>
    <w:p w14:paraId="0DC9C92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 decir, todas las metodologías emitidas por una dependencia u órgano descentralizado de la Administración Pública Federal, deberán obtener un dictamen final de la </w:t>
      </w:r>
      <w:proofErr w:type="spellStart"/>
      <w:r w:rsidRPr="00654D1D">
        <w:rPr>
          <w:rFonts w:ascii="ITC Avant Garde" w:hAnsi="ITC Avant Garde" w:cs="Arial"/>
        </w:rPr>
        <w:t>Cofemer</w:t>
      </w:r>
      <w:proofErr w:type="spellEnd"/>
      <w:r w:rsidRPr="00654D1D">
        <w:rPr>
          <w:rFonts w:ascii="ITC Avant Garde" w:hAnsi="ITC Avant Garde" w:cs="Arial"/>
        </w:rPr>
        <w:t xml:space="preserve"> a efecto de que puedan ser publicadas en el Diario Oficial de la Federación y, por lo tanto, puedan surtir sus efectos jurídicos. </w:t>
      </w:r>
    </w:p>
    <w:p w14:paraId="524C8F3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Ahora bien, si dicho Modelo de Costos no fue publicado en el Diario Oficial de la Federación y, por lo tanto, no surte sus efectos jurídicos a particulares que esa Comisión lo utilice en la Resolución Recurrida implica una flagrante violación a la garantía de debida fundamentación y motivación prevista en los artículos 14 y 16 de nuestra Constitución en relación al artículo 3, fracción V de la Ley Federal del Procedimiento Administrativo.</w:t>
      </w:r>
    </w:p>
    <w:p w14:paraId="0BE02DFE"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DÉCIMO CUARTO.</w:t>
      </w:r>
      <w:r w:rsidRPr="00654D1D">
        <w:rPr>
          <w:rFonts w:ascii="ITC Avant Garde" w:hAnsi="ITC Avant Garde" w:cs="Arial"/>
        </w:rPr>
        <w:t xml:space="preserve"> La Resolución Recurrida resulta ilegal, dado el vicio de incongruencia externa que adolece, pues con el modelo de costos que utiliza, determina tarifas de interconexión diversas para varios operadores, violando con ello los requisitos de debida fundamentación y motivación previstos en el artículo 3 de la Ley Federal de Procedimiento Administrativo.</w:t>
      </w:r>
    </w:p>
    <w:p w14:paraId="6D895AC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En principio de cuentas, solicito atentamente a esa Comisión se tengan por insertos los argumentos relativos a la debida fundamentación y motivación que todo acto privativo debe tener.</w:t>
      </w:r>
    </w:p>
    <w:p w14:paraId="3F71C8F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Resolución Recurrida deviene en ilegal, en virtud de que pese a que esa Comisión utiliza el mismo modelo de costos empleado para resolver el desacuerdo de interconexión con diversos operadores, determina tarifas de interconexión distintas, con lo que se está dando un trato inequitativo y sin justificación legal que redunda en un trato arbitrario a los operadores de telecomunicaciones.</w:t>
      </w:r>
    </w:p>
    <w:p w14:paraId="40D4157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Con fecha 20 de octubre de 2010, en la resolución P/EXT/201010/492, se resolvieron tarifas de interconexión mediante el empleo de un modelo de costos incrementales a largo plazo basado en un operador hipotético, la Comisión determinó ciertas tarifas, y determinó tarifas aún más bajas para el periodo de 2011 en la Resolución Recurrida.</w:t>
      </w:r>
    </w:p>
    <w:p w14:paraId="47910B0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este sentido, como todo ámbito de autoridad, el actuar de esa Comisión está circunscrito a que se sigan determinadas formalidades para su ejercicio, para lo cual debió enunciar los motivos razones y circunstancias que la llevaron a resolver tarifas distintas para dos periodos idénticos con base en la aplicación de supuestamente los mismos principios.</w:t>
      </w:r>
    </w:p>
    <w:p w14:paraId="5791E247"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DÉCIMO QUINTO.</w:t>
      </w:r>
      <w:r w:rsidRPr="00654D1D">
        <w:rPr>
          <w:rFonts w:ascii="ITC Avant Garde" w:hAnsi="ITC Avant Garde" w:cs="Arial"/>
        </w:rPr>
        <w:t xml:space="preserve"> La Resolución Recurrida resulta ilegal, toda vez que la Comisión se encontraba impedida para determinar tarifas de interconexión en el presente desacuerdo, en virtud de que está infringiendo lo convenido en la cláusula de aplicación continua y vigencia.</w:t>
      </w:r>
    </w:p>
    <w:p w14:paraId="0407435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Ley Federal de Telecomunicaciones permite que los concesionarios de redes públicas de telecomunicaciones convengan los términos y condiciones de interconexión entre sus redes de conformidad con lo establecido por el artículo 42 de la Ley Federal de Telecomunicaciones, es necesario que existan condiciones no convenidas como un presupuesto esencial de procedencia para la intervención de la Comisión en la resolución del desacuerdo.</w:t>
      </w:r>
    </w:p>
    <w:p w14:paraId="6899EB1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Invoca las cláusulas </w:t>
      </w:r>
      <w:r w:rsidRPr="00654D1D">
        <w:rPr>
          <w:rFonts w:ascii="ITC Avant Garde" w:hAnsi="ITC Avant Garde" w:cs="Arial"/>
          <w:b/>
        </w:rPr>
        <w:t>17.2 y</w:t>
      </w:r>
      <w:r w:rsidRPr="00654D1D">
        <w:rPr>
          <w:rFonts w:ascii="ITC Avant Garde" w:hAnsi="ITC Avant Garde" w:cs="Arial"/>
        </w:rPr>
        <w:t xml:space="preserve"> </w:t>
      </w:r>
      <w:r w:rsidRPr="00654D1D">
        <w:rPr>
          <w:rFonts w:ascii="ITC Avant Garde" w:hAnsi="ITC Avant Garde" w:cs="Arial"/>
          <w:b/>
        </w:rPr>
        <w:t>4.1.2.</w:t>
      </w:r>
      <w:r w:rsidRPr="00654D1D">
        <w:rPr>
          <w:rFonts w:ascii="ITC Avant Garde" w:hAnsi="ITC Avant Garde" w:cs="Arial"/>
        </w:rPr>
        <w:t xml:space="preserve">, del convenio de interconexión celebrado entre </w:t>
      </w:r>
      <w:r w:rsidRPr="00654D1D">
        <w:rPr>
          <w:rFonts w:ascii="ITC Avant Garde" w:hAnsi="ITC Avant Garde" w:cs="Arial"/>
          <w:b/>
        </w:rPr>
        <w:t xml:space="preserve">Cablevisión y </w:t>
      </w:r>
      <w:r w:rsidRPr="00654D1D">
        <w:rPr>
          <w:rFonts w:ascii="ITC Avant Garde" w:hAnsi="ITC Avant Garde" w:cs="Arial"/>
        </w:rPr>
        <w:t xml:space="preserve">la Recurrente, </w:t>
      </w:r>
      <w:r w:rsidRPr="00654D1D">
        <w:rPr>
          <w:rFonts w:ascii="ITC Avant Garde" w:hAnsi="ITC Avant Garde" w:cs="Arial"/>
          <w:b/>
        </w:rPr>
        <w:t xml:space="preserve">así como las cláusulas 15.2 y 4.1.2.,  del Convenio de Interconexión celebrado entre la Recurrente y </w:t>
      </w:r>
      <w:proofErr w:type="spellStart"/>
      <w:r w:rsidRPr="00654D1D">
        <w:rPr>
          <w:rFonts w:ascii="ITC Avant Garde" w:hAnsi="ITC Avant Garde" w:cs="Arial"/>
          <w:b/>
        </w:rPr>
        <w:t>Bestphone</w:t>
      </w:r>
      <w:proofErr w:type="spellEnd"/>
      <w:r w:rsidRPr="00654D1D">
        <w:rPr>
          <w:rFonts w:ascii="ITC Avant Garde" w:hAnsi="ITC Avant Garde" w:cs="Arial"/>
          <w:b/>
        </w:rPr>
        <w:t xml:space="preserve">, </w:t>
      </w:r>
      <w:r w:rsidRPr="00654D1D">
        <w:rPr>
          <w:rFonts w:ascii="ITC Avant Garde" w:hAnsi="ITC Avant Garde" w:cs="Arial"/>
        </w:rPr>
        <w:t xml:space="preserve">y aduce que se debe advertir que en ejercicio de la autonomía de la voluntad, las partes pactaron que los convenios tendrían plena vigencia hasta en tanto suscribieran nuevos convenios de interconexión, situación que no ha acontecido y si se efectúa una interpretación literal de las citadas cláusulas impide a esa Comisión a intervenir en términos del artículo 42 de la Ley Federal de Telecomunicaciones en el desacuerdo. En este sentido, deviene ilegal por contrario </w:t>
      </w:r>
      <w:r w:rsidRPr="00654D1D">
        <w:rPr>
          <w:rFonts w:ascii="ITC Avant Garde" w:hAnsi="ITC Avant Garde" w:cs="Arial"/>
        </w:rPr>
        <w:lastRenderedPageBreak/>
        <w:t>al espíritu del artículo 42 de la multicitada Ley el que esa Comisión haya soslayado el argumento de la Recurrente en el sentido de que se veía material y jurídicamente imposibilitada para resolver el desacuerdo.</w:t>
      </w:r>
    </w:p>
    <w:p w14:paraId="4B601F85" w14:textId="25AFE967" w:rsidR="003E526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 xml:space="preserve">DÉCIMO SEXTO. </w:t>
      </w:r>
      <w:r w:rsidRPr="00654D1D">
        <w:rPr>
          <w:rFonts w:ascii="ITC Avant Garde" w:hAnsi="ITC Avant Garde" w:cs="Arial"/>
        </w:rPr>
        <w:t>La Resolución Recurrida carece de fundamentación y es objeto de una deficiente motivación, al declarar que la tarifa de facturación y cobranza no es materia del desacuerdo de interconexión en virtud de que dicha tarifa forma parte de la tarifa que se cobra al usuario final, de ahí que se regule bajo el principio de libertad tarifaria.</w:t>
      </w:r>
    </w:p>
    <w:p w14:paraId="1147F94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Recurrente en los escritos de contestación de los desacuerdos promovido por las Tercero Perjudicadas y dentro de la secuela procesal, manifestó que la Comisión ha distinguido entre operadores móviles y fijos, manteniendo sobre estos últimos un sobreprecio derivado de la facturación y cobranza por el tráfico dirigido a redes móviles bajo la modalidad "EQLLP" (en adelante tarifa de costos asociados a la facturación y cobranza), aun y cuando la Recurrente, en todos los casos, ha solicitado la eliminación o reducción de la tarifa de costos asociados a la facturación y cobranza como parte de la </w:t>
      </w:r>
      <w:proofErr w:type="spellStart"/>
      <w:r w:rsidRPr="00654D1D">
        <w:rPr>
          <w:rFonts w:ascii="ITC Avant Garde" w:hAnsi="ITC Avant Garde" w:cs="Arial"/>
        </w:rPr>
        <w:t>litis</w:t>
      </w:r>
      <w:proofErr w:type="spellEnd"/>
      <w:r w:rsidRPr="00654D1D">
        <w:rPr>
          <w:rFonts w:ascii="ITC Avant Garde" w:hAnsi="ITC Avant Garde" w:cs="Arial"/>
        </w:rPr>
        <w:t xml:space="preserve"> de los desacuerdos de interconexión de que ha sido parte.</w:t>
      </w:r>
    </w:p>
    <w:p w14:paraId="77BBEAF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Comisión haciendo caso omiso a los argumentos expresados por la Recurrente, de forma ilegal y equívoca determina que las tarifas aplicables por concepto de facturación y cobranza no son materia del presente desacuerdo, ya que éstas forman parte de la tarifa que cobra el concesionario al usuario final, de ahí que se regulen bajo el principio de libertad tarifaria.</w:t>
      </w:r>
    </w:p>
    <w:p w14:paraId="269FB67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tarifa de facturación y cobranza que las empresas de telefonía fija cobran a sus usuarios finales por tráfico dirigido a las redes móviles, bajo la modalidad "EQLLP", fue determinada mediante la resolución P/271198/282, de fecha 27 de noviembre de 1998, en el desacuerdo de interconexión entre Teléfonos de México, S.A. de C.V. y Teléfonos del Noroeste, S.A. de C.V. y Baja Celular Mexicana, S.A. de C.V.; Celular de Telefonía, S.A. de C.V.; </w:t>
      </w:r>
      <w:proofErr w:type="spellStart"/>
      <w:r w:rsidRPr="00654D1D">
        <w:rPr>
          <w:rFonts w:ascii="ITC Avant Garde" w:hAnsi="ITC Avant Garde" w:cs="Arial"/>
        </w:rPr>
        <w:t>Movitel</w:t>
      </w:r>
      <w:proofErr w:type="spellEnd"/>
      <w:r w:rsidRPr="00654D1D">
        <w:rPr>
          <w:rFonts w:ascii="ITC Avant Garde" w:hAnsi="ITC Avant Garde" w:cs="Arial"/>
        </w:rPr>
        <w:t xml:space="preserve"> del Noroeste, S.A. de C.V.; Telefonía Celular del Norte, S.A. de C.V., Comunicaciones Celulares de Occidente, S.A. de C.V., Sistemas Telefónicos Portátiles Celulares, S.A. de C.V., Telecomunicaciones del Golfo, S.A. de C.V., SOS Telecomunicaciones, S.A. de C.V. y </w:t>
      </w:r>
      <w:proofErr w:type="spellStart"/>
      <w:r w:rsidRPr="00654D1D">
        <w:rPr>
          <w:rFonts w:ascii="ITC Avant Garde" w:hAnsi="ITC Avant Garde" w:cs="Arial"/>
        </w:rPr>
        <w:t>Portatel</w:t>
      </w:r>
      <w:proofErr w:type="spellEnd"/>
      <w:r w:rsidRPr="00654D1D">
        <w:rPr>
          <w:rFonts w:ascii="ITC Avant Garde" w:hAnsi="ITC Avant Garde" w:cs="Arial"/>
        </w:rPr>
        <w:t xml:space="preserve"> del Sureste, S.A. de C.V., en la que se consideró “Que en la actualidad la tarifa de servicio medido local que cobran Telmex y </w:t>
      </w:r>
      <w:proofErr w:type="spellStart"/>
      <w:r w:rsidRPr="00654D1D">
        <w:rPr>
          <w:rFonts w:ascii="ITC Avant Garde" w:hAnsi="ITC Avant Garde" w:cs="Arial"/>
        </w:rPr>
        <w:t>Telnor</w:t>
      </w:r>
      <w:proofErr w:type="spellEnd"/>
      <w:r w:rsidRPr="00654D1D">
        <w:rPr>
          <w:rFonts w:ascii="ITC Avant Garde" w:hAnsi="ITC Avant Garde" w:cs="Arial"/>
        </w:rPr>
        <w:t xml:space="preserve"> a sus usuarios por realizar llamadas de esa clase son significativamente inferiores al costo por terminación de tráfico en una red de acceso inalámbrico que presta el servicio local móvil, por lo que para poder cubrir la tarifa de interconexión correspondiente, bajo la modalidad "El que llama paga", se justifica la aplicación de una mayor tarifa por la </w:t>
      </w:r>
      <w:proofErr w:type="spellStart"/>
      <w:r w:rsidRPr="00654D1D">
        <w:rPr>
          <w:rFonts w:ascii="ITC Avant Garde" w:hAnsi="ITC Avant Garde" w:cs="Arial"/>
        </w:rPr>
        <w:t>originación</w:t>
      </w:r>
      <w:proofErr w:type="spellEnd"/>
      <w:r w:rsidRPr="00654D1D">
        <w:rPr>
          <w:rFonts w:ascii="ITC Avant Garde" w:hAnsi="ITC Avant Garde" w:cs="Arial"/>
        </w:rPr>
        <w:t xml:space="preserve"> de éste que permita recuperar, además del uso de la </w:t>
      </w:r>
      <w:r w:rsidRPr="00654D1D">
        <w:rPr>
          <w:rFonts w:ascii="ITC Avant Garde" w:hAnsi="ITC Avant Garde" w:cs="Arial"/>
        </w:rPr>
        <w:lastRenderedPageBreak/>
        <w:t>infraestructura local, el monto correspondiente a la tarifa de interconexión y otros costos asociados a la facturación y cobranza de la misma, visible a foja 11.</w:t>
      </w:r>
    </w:p>
    <w:p w14:paraId="2245251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De conformidad con lo anterior, resulta incongruente que la Resolución Recurrida determine que la tarifa de costos asociados a la facturación y cobranza es una tarifa al usuario final y, que por ello se rija bajo el principio de libertad tarifaria, ya que se la está regulando Telmex y a </w:t>
      </w:r>
      <w:proofErr w:type="spellStart"/>
      <w:r w:rsidRPr="00654D1D">
        <w:rPr>
          <w:rFonts w:ascii="ITC Avant Garde" w:hAnsi="ITC Avant Garde" w:cs="Arial"/>
        </w:rPr>
        <w:t>Telnor</w:t>
      </w:r>
      <w:proofErr w:type="spellEnd"/>
      <w:r w:rsidRPr="00654D1D">
        <w:rPr>
          <w:rFonts w:ascii="ITC Avant Garde" w:hAnsi="ITC Avant Garde" w:cs="Arial"/>
        </w:rPr>
        <w:t xml:space="preserve"> dentro de un desacuerdo de interconexión (sin que sea una obligación derivada de su título de concesión, o en su caso en su carácter de operador sustancial), por lo que la Comisión debe regular de igual forma a todos los concesionarios fijos que originen tráfico dirigido a las redes móviles, bajo la modalidad "EQLLP".</w:t>
      </w:r>
    </w:p>
    <w:p w14:paraId="6CAEE42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De esta forma, los operadores fijos al cobrar a sus usuarios el sobrecargo por llamadas a redes móviles, el cual no tiene su base en costos, proporciona a las redes móviles un trato discriminatorio injustificado con respecto a las llamadas destinadas a redes fijas, encareciendo las llamadas destino a las redes móviles en perjuicio de la Recurrente y en contravención de los principios rectores en materia de telecomunicaciones previstos en el artículo 7 de la Ley Federal de Telecomunicaciones.</w:t>
      </w:r>
    </w:p>
    <w:p w14:paraId="3A441E18" w14:textId="77777777" w:rsidR="00654D1D" w:rsidRPr="00654D1D" w:rsidRDefault="003E526D" w:rsidP="00654D1D">
      <w:pPr>
        <w:spacing w:before="240"/>
        <w:jc w:val="both"/>
        <w:rPr>
          <w:rFonts w:ascii="ITC Avant Garde" w:hAnsi="ITC Avant Garde" w:cs="Arial"/>
        </w:rPr>
      </w:pPr>
      <w:r w:rsidRPr="00654D1D">
        <w:rPr>
          <w:rFonts w:ascii="ITC Avant Garde" w:eastAsia="Times New Roman" w:hAnsi="ITC Avant Garde" w:cs="Arial"/>
          <w:lang w:val="es-ES" w:eastAsia="es-ES"/>
        </w:rPr>
        <w:t>DÉCIMO SÉPTIMO.</w:t>
      </w:r>
      <w:r w:rsidRPr="00654D1D">
        <w:rPr>
          <w:rFonts w:ascii="ITC Avant Garde" w:hAnsi="ITC Avant Garde" w:cs="Arial"/>
        </w:rPr>
        <w:t xml:space="preserve"> La Comisión debe resolver debidamente la objeción de documentos hecha valer por la Recurrente en el inicio del procedimiento y tomarla en consideración al momento de valorar las pruebas ofrecidas por las partes.</w:t>
      </w:r>
    </w:p>
    <w:p w14:paraId="4D640F3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Resolución Recurrida es violatoria de lo dispuesto por el artículo 203 del Código Federal de Procedimientos Civiles, de aplicación supletoria a la materia administrativa, al no haber atendido debidamente la objeción de documentos hecha valer por la Recurrente en el curso del procedimiento, lo que tiene como consecuencia la violación a su vez de lo dispuesto por el artículo 3, fracción VII, de la Ley Federal de Procedimiento Administrativo, en tanto que dicha resolución no se sujetó a las disposiciones relativas al procedimiento administrativo previstas en dicho ordenamiento legal.</w:t>
      </w:r>
    </w:p>
    <w:p w14:paraId="66EB0B9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efecto, la Recurrente en los escritos por virtud de los cuales compareció al desacuerdo de interconexión, objetó expresamente el alcance y valor probatorio (no así la autenticidad, lo que se aclara para los efectos legales conducentes) de todos y cada uno de los documentos exhibidos hasta entonces por las Tercero Perjudicadas.</w:t>
      </w:r>
    </w:p>
    <w:p w14:paraId="2CE6F25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relación con el particular, en la página </w:t>
      </w:r>
      <w:r w:rsidRPr="00654D1D">
        <w:rPr>
          <w:rFonts w:ascii="ITC Avant Garde" w:hAnsi="ITC Avant Garde" w:cs="Arial"/>
          <w:b/>
        </w:rPr>
        <w:t>21</w:t>
      </w:r>
      <w:r w:rsidRPr="00654D1D">
        <w:rPr>
          <w:rFonts w:ascii="ITC Avant Garde" w:hAnsi="ITC Avant Garde" w:cs="Arial"/>
        </w:rPr>
        <w:t xml:space="preserve"> de la Resolución Recurrida el Pleno de la Comisión manifestó: "Respecto a la objeción de documentos manifestada por Grupo Telefónica y por los solicitantes, esta Comisión considera que si bien es cierto que de conformidad con el artículo 2o de la LFPA, el CFPC es aplicable de manera supletoria a dicho ordenamiento legal; en el caso concreto, el artículo 142 del CFPC referido a la objeción de documentos dicha objeción no tiene trascendencia, toda vez que la </w:t>
      </w:r>
      <w:r w:rsidRPr="00654D1D">
        <w:rPr>
          <w:rFonts w:ascii="ITC Avant Garde" w:hAnsi="ITC Avant Garde" w:cs="Arial"/>
        </w:rPr>
        <w:lastRenderedPageBreak/>
        <w:t xml:space="preserve">Comisión en la presente resolución se ha pronunciado respecto a las pruebas ofrecidas por las partes. Lo anterior en virtud de que la autoridad tiene el carácter de </w:t>
      </w:r>
      <w:proofErr w:type="spellStart"/>
      <w:r w:rsidRPr="00654D1D">
        <w:rPr>
          <w:rFonts w:ascii="ITC Avant Garde" w:hAnsi="ITC Avant Garde" w:cs="Arial"/>
        </w:rPr>
        <w:t>resolutora</w:t>
      </w:r>
      <w:proofErr w:type="spellEnd"/>
      <w:r w:rsidRPr="00654D1D">
        <w:rPr>
          <w:rFonts w:ascii="ITC Avant Garde" w:hAnsi="ITC Avant Garde" w:cs="Arial"/>
        </w:rPr>
        <w:t xml:space="preserve"> y el particular se encuentra en una situación de subordinación en relación con dicha autoridad. Por tanto, esta Comisión considera improcedentes las manifestaciones de Grupo Telefónica y los Solicitantes."</w:t>
      </w:r>
    </w:p>
    <w:p w14:paraId="6F457A2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Según se advierte de la transcripción anterior, la Comisión considera que la Recurrente se encuentra en una situación de subordinación en su relación con esta misma autoridad y que, por tal razón considera que carece de trascendencia la objeción de documentos formulada expresa y oportunamente en el procedimiento. Únicamente agrega la Comisión, al momento de desestimar por completo la objeción planteada, que la misma ya se ha pronunciado sobre las pruebas ofrecidas por la partes.</w:t>
      </w:r>
    </w:p>
    <w:p w14:paraId="50C9656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artículo 2 de la Ley Federal de Procedimiento Administrativo establece que ese mismo ordenamiento legal deberá ser suplido por las disposiciones del Código Federal de Procedimientos Civiles; de tal forma que la objeción de documentos a que se refieren los artículos 142, 203 y demás relativos del Código Federal de Procedimientos Civiles, constituye una disposición válidamente aplicable en el caso del procedimiento administrativo cuyo objeto es resolver los desacuerdos de interconexión iniciados con base en lo dispuesto por el artículo 42 de la Ley Federal de Telecomunicaciones. Por su parte, la manera de atender la objeción de documentos formulada dentro de un procedimiento administrativo, como es el caso, constituye a su vez una formalidad del procedimiento en tanto que debe ceñirse a los efectos que los dispositivos legales antes invocados atribuyen a dichos actos procesales.</w:t>
      </w:r>
    </w:p>
    <w:p w14:paraId="1EF032A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objeción es un acto jurídico procesal, esto es, una expresión de voluntad que tiene por objeto manifestar que quien la produce no está dispuesto a someterse al contenido, alcance y valor probatorio del documento privado contra el cual se formula en un determinado procedimiento.</w:t>
      </w:r>
    </w:p>
    <w:p w14:paraId="74140DA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tales términos, la actitud de quien opone la objeción permite evitar que se entienda consentido el alcance y valor probatorio que la contraparte pretende dar a un instrumento privado determinado y, por ende, dicha conducta activa consigue que no se produzca en su contra el reconocimiento tácito del documento. De esta forma, el oferente de la documental objetada, para demostrar sus afirmaciones, debe acreditar el hecho específico con otros medios de prueba distintos y/o adicionales.</w:t>
      </w:r>
    </w:p>
    <w:p w14:paraId="3DFDC50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Comisión, en observancia de las formalidades del procedimiento debió considerar la objeción formulada por la Recurrente al momento de pronunciarse sobre las pruebas ofrecidas por las partes, estableciendo razonadamente el impacto que dicha objeción </w:t>
      </w:r>
      <w:r w:rsidRPr="00654D1D">
        <w:rPr>
          <w:rFonts w:ascii="ITC Avant Garde" w:hAnsi="ITC Avant Garde" w:cs="Arial"/>
        </w:rPr>
        <w:lastRenderedPageBreak/>
        <w:t>produjo en el caso concreto, en relación con el valor probatorio de los documentos respecto de los cuales se formuló.</w:t>
      </w:r>
    </w:p>
    <w:p w14:paraId="5F1C6273" w14:textId="77777777" w:rsidR="00654D1D" w:rsidRPr="00654D1D" w:rsidRDefault="003E526D" w:rsidP="00654D1D">
      <w:pPr>
        <w:spacing w:before="240"/>
        <w:jc w:val="both"/>
        <w:rPr>
          <w:rFonts w:ascii="ITC Avant Garde" w:hAnsi="ITC Avant Garde" w:cs="Arial"/>
          <w:b/>
        </w:rPr>
      </w:pPr>
      <w:r w:rsidRPr="00654D1D">
        <w:rPr>
          <w:rFonts w:ascii="ITC Avant Garde" w:eastAsia="Times New Roman" w:hAnsi="ITC Avant Garde" w:cs="Arial"/>
          <w:lang w:val="es-ES" w:eastAsia="es-ES"/>
        </w:rPr>
        <w:t>DÉCIMO OCTAVO.</w:t>
      </w:r>
      <w:r w:rsidRPr="00654D1D">
        <w:rPr>
          <w:rFonts w:ascii="ITC Avant Garde" w:hAnsi="ITC Avant Garde" w:cs="Arial"/>
        </w:rPr>
        <w:t xml:space="preserve"> La Comisión carece de facultades para emitir determinaciones que afecten directa o indirectamente la existencia, validez, vigencia o exigibilidad de las condiciones de interconexión previamente convenidas entre la Recurrente y </w:t>
      </w:r>
      <w:r w:rsidRPr="00654D1D">
        <w:rPr>
          <w:rFonts w:ascii="ITC Avant Garde" w:hAnsi="ITC Avant Garde" w:cs="Arial"/>
          <w:b/>
        </w:rPr>
        <w:t>Cablevisión.</w:t>
      </w:r>
    </w:p>
    <w:p w14:paraId="2C48ECC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Lo ordenado por esa autoridad en el resolutivo primero de la Resolución Recurrida en relación con el momento en el cual serán eficaces y exigibles las condiciones de interconexión por ésta establecidas, específicamente en lo relativo a las tarifas de interconexión entre la Recurrente y las Tercero Perjudicadas, es contrario a las condiciones de interconexión que esas mismas partes tienen convenidas entre sí, violando así lo dispuesto por el artículo 42 de la Ley Federal de Telecomunicaciones en relación con los requisitos establecidos en el artículo 3, fracción de la Ley Federal de Procedimiento Administrativo.</w:t>
      </w:r>
    </w:p>
    <w:p w14:paraId="70B3F1F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De conformidad con la fracción X del artículo 9-A y la última parte del artículo 42 de la Ley Federal de Telecomunicaciones, la Comisión sólo puede resolver las condiciones que, en materia de interconexión de redes públicas de telecomunicaciones, no hayan podido convenirse entre los respectivos concesionarios. De tal manera que si no existe desacuerdo, es decir, si los concesionarios han logrado pactar algunos de los términos que rigen la interconexión, éstos deben respetarse tanto por las partes involucradas, como por la propia Comisión, la que en este caso carece de facultades para revocar, modificar o en cualquier otra forma alterar esas condiciones que sí pudieron convenirse.</w:t>
      </w:r>
    </w:p>
    <w:p w14:paraId="3B40497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seguimiento de lo anterior, las resoluciones emitidas por la Comisión en relación con las condiciones de la interconexión que no pudieron convenirse en un caso determinado, en ningún modo pueden tener el efecto o alcance de privar, dejar sin efectos, dar por terminados o limitar los términos y condiciones que sí fueron convenidos entre determinados concesionarios.</w:t>
      </w:r>
    </w:p>
    <w:p w14:paraId="54200937"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rPr>
        <w:t>En la especie, la Recurrente y las Tercero Perjudicadas tienen celebrado a la presente fecha convenios de interconexión en el cual pactaron válidamente diversas condiciones de interconexión, las cuales, a la fecha, se encuentran surtiendo plenos efectos en razón de la cláusula de aplicación continua contenida en dicho convenio (</w:t>
      </w:r>
      <w:r w:rsidRPr="00654D1D">
        <w:rPr>
          <w:rFonts w:ascii="ITC Avant Garde" w:hAnsi="ITC Avant Garde" w:cs="Arial"/>
          <w:b/>
        </w:rPr>
        <w:t>cláusula 17.2 del convenio de interconexión).</w:t>
      </w:r>
    </w:p>
    <w:p w14:paraId="7CCCA45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Una de esas condiciones sí convenidas entre las partes, respecto de las cuales la Comisión se encuentra impedida para pronunciarse por no ser materia del desacuerdo, </w:t>
      </w:r>
      <w:r w:rsidRPr="00654D1D">
        <w:rPr>
          <w:rFonts w:ascii="ITC Avant Garde" w:hAnsi="ITC Avant Garde" w:cs="Arial"/>
        </w:rPr>
        <w:lastRenderedPageBreak/>
        <w:t>es decir, por carecer de facultades legales para hacerlo, se deduce de lo establecido en la diversa cláusula 4.1.2 de los mencionados convenios de interconexión.</w:t>
      </w:r>
    </w:p>
    <w:p w14:paraId="15FB352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lo anterior, queda claro que lo ordenado por la Comisión en relación al momento en el cual serán eficaces y exigibles las nuevas tarifas establecidas en la Resolución Recurrida, si bien es cierto que en términos generales se encuentra apoyado en lo establecido por el artículo 9 de la Ley Federal de Procedimiento Administrativo, no menos cierto es que dicha determinación es infundada en el caso particular, pues resulta contraria a lo convenido entre las partes directamente involucradas, ya que éstas acordaron expresamente que las nuevas tarifas que en su caso se establezcan, para ser aplicadas y/o pagadas entre sí, deberán contenerse en una "resolución administrativa o judicial”, circunstancia que no acontece en el caso de la Resolución Recurrida, pues a la fecha existen diversos recursos ordinarios y medios de defensa que las partes se encuentran en aptitudes de agotar, tal y como es el caso del recurso de revisión que en el presente escrito se promueve.</w:t>
      </w:r>
    </w:p>
    <w:p w14:paraId="68C9D2E5"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AGRAVIOS RESPECTO CON EL RESOLUTIVO QUINTO DE LA RESOLUCIÓN IMPUGNADA.</w:t>
      </w:r>
    </w:p>
    <w:p w14:paraId="73FDB871"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DÉCIMO NOVENO.- No existe disposición jurídica que faculte a la Comisión para fijar a mis Representadas las tarifas de interconexión con base en costos.</w:t>
      </w:r>
    </w:p>
    <w:p w14:paraId="0E9B1BAD"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VIGÉSIMO.- La utilización del “operador eficiente” en el Modelo de Costos implica una indebida fundamentación y motivación de la Resolución, contraviniendo lo dispuesto en el artículo 3, fracción V, de la Ley Federal de Procedimiento Administrativo.</w:t>
      </w:r>
    </w:p>
    <w:p w14:paraId="535C378A"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La determinación e implementación del modelo de costos empleado por esa autoridad con base en un supuesto “operador eficiente” que no existe en la realidad, implica la violación del artículo 3, fracción V, de la Ley Federal de Procedimiento Administrativo.</w:t>
      </w:r>
    </w:p>
    <w:p w14:paraId="02D68BD6"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Todo el Modelo de Costos se encuentra sustentado en la existencia de una empresa que no existe en realidad. Siendo que lo que tenía que hacer esa autoridad era calcular la tarifa de interconexión entre las hoy Tercero Perjudicadas y mis Representadas, carece de toda lógica al emplear los supuestos costos en los que incurre dicho operador inexistente para fijar esta tarifa.  Esa Comisión proporciona dos definiciones distintas de lo que es un operador “eficiente” o un operador “representativo”, lo cual vuelve a toda la Resolución Impugnada incongruente desde el punto de vista interno y, por lo tanto la vicia de indebida fundamentación y motivación.</w:t>
      </w:r>
    </w:p>
    <w:p w14:paraId="7643CC03"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VIGÉSIMO PRIMERO.- Esa Comisión omite señalar las operaciones aritméticas para determinar la tarifa de interconexión, por lo que se viola lo dispuesto en la fracción V del artículo 3 de la Ley Federal de Procedimiento Administrativo.</w:t>
      </w:r>
    </w:p>
    <w:p w14:paraId="08FB57FB"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lastRenderedPageBreak/>
        <w:t>En el modelo de costos mediante el cual se determina la tarifa de interconexión contenida en el resolutivo tercero, esa Comisión no refiere de manera puntual la justificación de las operaciones matemáticas efectuadas, así como el mecanismo utilizado en las mismas.</w:t>
      </w:r>
    </w:p>
    <w:p w14:paraId="7C5AC77B"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Lo anterior, no otorga seguridad jurídica alguna a mis Representadas respecto de los resultados a los que arriba esa Comisión, situación que se repite en todos y cada uno de los componentes del Modelo de Costos.</w:t>
      </w:r>
    </w:p>
    <w:p w14:paraId="428C1ADD"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VIGÉSIMO SEGUNDO.- En la Resolución Impugnada se utilizan argumentos vagos e imprecisos, por lo que está indebidamente motivada y viola el artículo 3, fracción V de la Ley Federal de Procedimiento Administrativo.</w:t>
      </w:r>
    </w:p>
    <w:p w14:paraId="611AD291"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 xml:space="preserve">La Resolución Impugnada respecto a las consideraciones que la llevaron a determinar las tarifas de interconexión del resolutivo quinto está indebidamente motivada ya que esa Comisión utilizada argumentos vagos y la petición de principio, con lo </w:t>
      </w:r>
      <w:proofErr w:type="spellStart"/>
      <w:r w:rsidRPr="00654D1D">
        <w:rPr>
          <w:rFonts w:ascii="ITC Avant Garde" w:eastAsia="Times New Roman" w:hAnsi="ITC Avant Garde" w:cs="Arial"/>
          <w:lang w:val="es-ES" w:eastAsia="es-ES"/>
        </w:rPr>
        <w:t>cuál</w:t>
      </w:r>
      <w:proofErr w:type="spellEnd"/>
      <w:r w:rsidRPr="00654D1D">
        <w:rPr>
          <w:rFonts w:ascii="ITC Avant Garde" w:eastAsia="Times New Roman" w:hAnsi="ITC Avant Garde" w:cs="Arial"/>
          <w:lang w:val="es-ES" w:eastAsia="es-ES"/>
        </w:rPr>
        <w:t xml:space="preserve"> mis Representadas no tienen conocimiento de cómo se motivaron los resolutivos.</w:t>
      </w:r>
    </w:p>
    <w:p w14:paraId="51B8A003"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Debido a las vaguedades e imprecisiones contenidas en la Resolución Impugnada, como a las que se ha hecho referencia en el presente agravio, mis representadas no conocen muchas de las razones específicas por las que esa Comisión determinó la tarifa de interconexión en los términos de la Resolución que nos ocupa.</w:t>
      </w:r>
    </w:p>
    <w:p w14:paraId="422BC392"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Derivado de lo anterior, la Recurrente solicita se declare la nulidad de la Resolución Recurrida.</w:t>
      </w:r>
    </w:p>
    <w:p w14:paraId="5E341C7D"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b/>
          <w:lang w:val="es-ES" w:eastAsia="es-ES"/>
        </w:rPr>
        <w:t xml:space="preserve">NOVENO.- </w:t>
      </w:r>
      <w:r w:rsidRPr="00654D1D">
        <w:rPr>
          <w:rFonts w:ascii="ITC Avant Garde" w:eastAsia="Times New Roman" w:hAnsi="ITC Avant Garde" w:cs="Arial"/>
          <w:lang w:val="es-ES" w:eastAsia="es-ES"/>
        </w:rPr>
        <w:t>Que para acreditar la procedencia de los argumentos referidos en el considerando precedente, la Recurrente ofreció como pruebas las siguientes:</w:t>
      </w:r>
    </w:p>
    <w:p w14:paraId="797A237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lang w:val="es-ES"/>
        </w:rPr>
        <w:t xml:space="preserve">1) </w:t>
      </w:r>
      <w:r w:rsidRPr="00654D1D">
        <w:rPr>
          <w:rFonts w:ascii="ITC Avant Garde" w:hAnsi="ITC Avant Garde" w:cs="Arial"/>
        </w:rPr>
        <w:t xml:space="preserve">LAS DOCUMENTALES PÚBLICAS, consistentes en las escrituras mediante las cuales se acredita la personalidad del apoderado </w:t>
      </w:r>
      <w:proofErr w:type="spellStart"/>
      <w:r w:rsidRPr="00654D1D">
        <w:rPr>
          <w:rFonts w:ascii="ITC Avant Garde" w:hAnsi="ITC Avant Garde" w:cs="Arial"/>
        </w:rPr>
        <w:t>d</w:t>
      </w:r>
      <w:r w:rsidR="00B1380D" w:rsidRPr="00654D1D">
        <w:rPr>
          <w:rFonts w:ascii="ITC Avant Garde" w:hAnsi="ITC Avant Garde" w:cs="Arial"/>
        </w:rPr>
        <w:t>sabes</w:t>
      </w:r>
      <w:r w:rsidRPr="00654D1D">
        <w:rPr>
          <w:rFonts w:ascii="ITC Avant Garde" w:hAnsi="ITC Avant Garde" w:cs="Arial"/>
        </w:rPr>
        <w:t>e</w:t>
      </w:r>
      <w:proofErr w:type="spellEnd"/>
      <w:r w:rsidRPr="00654D1D">
        <w:rPr>
          <w:rFonts w:ascii="ITC Avant Garde" w:hAnsi="ITC Avant Garde" w:cs="Arial"/>
        </w:rPr>
        <w:t xml:space="preserve"> las personas morales recurrentes, que acompañó como Anexos 1 al 5;</w:t>
      </w:r>
    </w:p>
    <w:p w14:paraId="2C9DF5B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2) LA DOCUMENTAL PRIVADA, consistente en el informe preparado por la Firma “</w:t>
      </w:r>
      <w:proofErr w:type="spellStart"/>
      <w:r w:rsidRPr="00654D1D">
        <w:rPr>
          <w:rFonts w:ascii="ITC Avant Garde" w:hAnsi="ITC Avant Garde" w:cs="Arial"/>
        </w:rPr>
        <w:t>Frontier</w:t>
      </w:r>
      <w:proofErr w:type="spellEnd"/>
      <w:r w:rsidRPr="00654D1D">
        <w:rPr>
          <w:rFonts w:ascii="ITC Avant Garde" w:hAnsi="ITC Avant Garde" w:cs="Arial"/>
        </w:rPr>
        <w:t xml:space="preserve"> </w:t>
      </w:r>
      <w:proofErr w:type="spellStart"/>
      <w:r w:rsidRPr="00654D1D">
        <w:rPr>
          <w:rFonts w:ascii="ITC Avant Garde" w:hAnsi="ITC Avant Garde" w:cs="Arial"/>
        </w:rPr>
        <w:t>Economics</w:t>
      </w:r>
      <w:proofErr w:type="spellEnd"/>
      <w:r w:rsidRPr="00654D1D">
        <w:rPr>
          <w:rFonts w:ascii="ITC Avant Garde" w:hAnsi="ITC Avant Garde" w:cs="Arial"/>
        </w:rPr>
        <w:t>”, a través del cual realiza comentarios con respecto al modelo de costos de terminación en redes móviles utilizado por la Comisión, que acompañó como Anexo 6;</w:t>
      </w:r>
    </w:p>
    <w:p w14:paraId="5221D47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3) LA DOCUMENTAL PRIVADA, consistente en un papel de trabajo mediante el cual se exponen los datos comparativos estadísticos de: i) la inversión unitaria que debe hacer el operador en algunos elementos de red, ii) el porcentaje comparativo de llamadas en hora pico en México, Francia y Gran Bretaña, iii) vida útil de algunos elementos que </w:t>
      </w:r>
      <w:r w:rsidRPr="00654D1D">
        <w:rPr>
          <w:rFonts w:ascii="ITC Avant Garde" w:hAnsi="ITC Avant Garde" w:cs="Arial"/>
        </w:rPr>
        <w:lastRenderedPageBreak/>
        <w:t>integran las Redes Públicas de Telecomunicaciones, iv) lista de países que dimensionan sus modelos de costos con base en la topología de la red utilizando datos precisos de la geografía y v) el factor de no homogeneidad aplicable al TRX, que acompañó como Anexo 7;</w:t>
      </w:r>
    </w:p>
    <w:p w14:paraId="37259D3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4) DOCUMENTALES PRIVADAS, consistentes en los informes a la Gerencia General números 478-GPR/2010 de 12 de agosto de 2010 y Número 168- GPR/2010 de 26 de marzo de 2010 elaborados por OSIPTEL, documentos a los que la Recurrente no le otorga mayor alcance ni consiente cuestiones diversas a los siguientes incisos: i) las inversiones relacionadas con la introducción y migración a las tecnología de tercera generación; ii) la existencia de </w:t>
      </w:r>
      <w:proofErr w:type="spellStart"/>
      <w:r w:rsidRPr="00654D1D">
        <w:rPr>
          <w:rFonts w:ascii="ITC Avant Garde" w:hAnsi="ITC Avant Garde" w:cs="Arial"/>
        </w:rPr>
        <w:t>HLRs</w:t>
      </w:r>
      <w:proofErr w:type="spellEnd"/>
      <w:r w:rsidRPr="00654D1D">
        <w:rPr>
          <w:rFonts w:ascii="ITC Avant Garde" w:hAnsi="ITC Avant Garde" w:cs="Arial"/>
        </w:rPr>
        <w:t xml:space="preserve"> redundantes; iii) la red de señalización; y iv) el “software” de optimización para tecnologías “2G” con un valor superior a los seis millones de dólares, que acompañó como Anexos 8 y 9;</w:t>
      </w:r>
    </w:p>
    <w:p w14:paraId="2A2EBDD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5) DOCUMENTALES PÚBLICAS, consistentes en copias certificadas: i) del citatorio de fecha 18 de julio de 2011 por virtud del se solicita a la Recurrente se sirvan esperar el día 19 de julio de 2011 al Notificador correspondiente de la Comisión a efecto de notificar la Resolución P/060711/257, ii) del instructivo de notificación de fecha 19 de julio de 2011 por virtud del cual se notifica a la Recurrente la resolución P/060711/257 emitida por el Pleno de la Comisión Federal de Telecomunicaciones, y, iii) de la resolución P/060711/257 de fecha 6 de julio de 2011, mediante la cual el Pleno de la Comisión Federal de Telecomunicaciones determina las condiciones de interconexión no convenidas entre la Tercero Perjudicada y la Recurrente, que acompañó como Anexos 10,11 y 12;</w:t>
      </w:r>
    </w:p>
    <w:p w14:paraId="3EC19AD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6) DOCUMENTALES PÚBLICAS, consistentes en copia simple i) del voto particular del Comisionado Alexis Milo </w:t>
      </w:r>
      <w:proofErr w:type="spellStart"/>
      <w:r w:rsidRPr="00654D1D">
        <w:rPr>
          <w:rFonts w:ascii="ITC Avant Garde" w:hAnsi="ITC Avant Garde" w:cs="Arial"/>
        </w:rPr>
        <w:t>Caraza</w:t>
      </w:r>
      <w:proofErr w:type="spellEnd"/>
      <w:r w:rsidRPr="00654D1D">
        <w:rPr>
          <w:rFonts w:ascii="ITC Avant Garde" w:hAnsi="ITC Avant Garde" w:cs="Arial"/>
        </w:rPr>
        <w:t>, emitido mediante oficio "CFT/D01/OCB/0730/2011", de fecha 13 de julio de 2011, ii) de la resolución P/201010/492 de fecha 20 de octubre de 2010, mediante la cual el Pleno de la Comisión Federal de Telecomunicaciones determina las condiciones de interconexión no convenidas entre Axtel, S.A.B. de C.V. y la Recurrente y iii) "Anexo 1" de la Resolución P/201010/492 por virtud del cual se determina la tarifa de terminación local para una red de telefonía móvil en México bajo el esquema "El que llama paga", implementando un Modelo de Costos Incrementales de Largo Plazo, que acompañó como Anexos 13, 14 y 15;</w:t>
      </w:r>
    </w:p>
    <w:p w14:paraId="3992B94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7) DOCUMENTAL PRIVADA, consistente en un estudio de vida útil efectuado por la Firma Ernst and Young en Chile, que acompañó como Anexo 16.</w:t>
      </w:r>
    </w:p>
    <w:p w14:paraId="133982B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8) DOCUMENTAL</w:t>
      </w:r>
      <w:r w:rsidRPr="00654D1D">
        <w:rPr>
          <w:rFonts w:ascii="ITC Avant Garde" w:hAnsi="ITC Avant Garde" w:cs="Arial"/>
        </w:rPr>
        <w:tab/>
        <w:t>PRIVADA, consistente en papel de trabajo comparativo en el que se enuncia la valoración de elementos de red en el modelo de costos para terminación móvil en Perú, que acompañó como Anexo 17;</w:t>
      </w:r>
    </w:p>
    <w:p w14:paraId="012AF9D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9) DOCUMENTAL PRIVADA, consistente en papel de trabajo en el que se establece el monto histórico de inversiones realizadas por los operadores de telefonía móvil en México, que acompañó como Anexo 18;</w:t>
      </w:r>
    </w:p>
    <w:p w14:paraId="113F41E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10) DOCUMENTAL PRIVADA, consistente en papel de trabajo en el cual se refleja la vida útil de inversiones en bienes de capital necesarios para la prestación del servicio de telecomunicaciones en Chile, así como diversos gastos relacionados con la prestación del servicio, que acompañó como Anexo 19;</w:t>
      </w:r>
    </w:p>
    <w:p w14:paraId="60D6B8C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11) PRUEBA PERICIAL EN MATERIA DE ECONOMÍA DE LAS TELECOMUNICACIONES, a cargo del licenciado en economía Iván Díaz Barreiro Hernández, con cédula profesional número 3424365 expedida a su favor por la Dirección General de Profesiones de la Secretaría de Educación Pública, que acompañó como Anexo 19, al tenor del cuestionario que formuló la oferente de la prueba.</w:t>
      </w:r>
    </w:p>
    <w:p w14:paraId="5053912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12) EL EXPEDIENTE ADMINISTRATIVO, que contiene toda la información relacionada con el procedimiento que dio lugar a la emisión de la Resolución Recurrida, incluidas todas las documentales tanto públicas como privadas que obren en el mismo.</w:t>
      </w:r>
    </w:p>
    <w:p w14:paraId="38E5550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13) LA PRESUNCIONAL LEGAL Y HUMANA, ASÍ COMO LA INSTRUMENTAL DE ACTUACIONES, en todo aquello que beneficie a los intereses de la Recurrente.</w:t>
      </w:r>
    </w:p>
    <w:p w14:paraId="483044ED" w14:textId="77777777" w:rsidR="00654D1D" w:rsidRPr="00654D1D" w:rsidRDefault="003E526D" w:rsidP="00654D1D">
      <w:pPr>
        <w:spacing w:before="240"/>
        <w:jc w:val="both"/>
        <w:rPr>
          <w:rFonts w:ascii="ITC Avant Garde" w:eastAsia="Times New Roman" w:hAnsi="ITC Avant Garde" w:cs="Arial"/>
          <w:lang w:eastAsia="es-ES"/>
        </w:rPr>
      </w:pPr>
      <w:r w:rsidRPr="00654D1D">
        <w:rPr>
          <w:rFonts w:ascii="ITC Avant Garde" w:eastAsia="Times New Roman" w:hAnsi="ITC Avant Garde" w:cs="Arial"/>
          <w:lang w:eastAsia="es-ES"/>
        </w:rPr>
        <w:t xml:space="preserve">La totalidad de las probanzas referidas fueron admitidas por oficio del </w:t>
      </w:r>
      <w:r w:rsidRPr="00654D1D">
        <w:rPr>
          <w:rFonts w:ascii="ITC Avant Garde" w:eastAsia="Times New Roman" w:hAnsi="ITC Avant Garde" w:cs="Arial"/>
          <w:b/>
          <w:lang w:eastAsia="es-ES"/>
        </w:rPr>
        <w:t>dieciocho de agosto de dos mil once</w:t>
      </w:r>
      <w:r w:rsidRPr="00654D1D">
        <w:rPr>
          <w:rFonts w:ascii="ITC Avant Garde" w:eastAsia="Times New Roman" w:hAnsi="ITC Avant Garde" w:cs="Arial"/>
          <w:lang w:eastAsia="es-ES"/>
        </w:rPr>
        <w:t xml:space="preserve">, por lo que sin perjuicio de las referencias que se realicen a las probanzas referidas, al analizar los argumentos de la Recurrente, se entra al análisis y valoración de las pruebas admitidas y desahogadas en los siguientes términos:  </w:t>
      </w:r>
    </w:p>
    <w:p w14:paraId="3733C424" w14:textId="77777777" w:rsidR="00654D1D" w:rsidRPr="00654D1D" w:rsidRDefault="003E526D" w:rsidP="00654D1D">
      <w:pPr>
        <w:spacing w:before="240"/>
        <w:jc w:val="both"/>
        <w:rPr>
          <w:rFonts w:ascii="ITC Avant Garde" w:eastAsia="Times New Roman" w:hAnsi="ITC Avant Garde" w:cs="Arial"/>
          <w:b/>
          <w:lang w:val="es-ES" w:eastAsia="es-ES"/>
        </w:rPr>
      </w:pPr>
      <w:r w:rsidRPr="00654D1D">
        <w:rPr>
          <w:rFonts w:ascii="ITC Avant Garde" w:eastAsia="Times New Roman" w:hAnsi="ITC Avant Garde" w:cs="Arial"/>
          <w:b/>
          <w:lang w:val="es-ES" w:eastAsia="es-ES"/>
        </w:rPr>
        <w:t>Documentales</w:t>
      </w:r>
    </w:p>
    <w:p w14:paraId="72EFE0EF" w14:textId="77777777" w:rsidR="00654D1D" w:rsidRPr="00654D1D" w:rsidRDefault="003E526D" w:rsidP="00654D1D">
      <w:pPr>
        <w:spacing w:before="240"/>
        <w:jc w:val="both"/>
        <w:rPr>
          <w:rFonts w:ascii="ITC Avant Garde" w:hAnsi="ITC Avant Garde" w:cs="Arial"/>
          <w:b/>
          <w:bCs/>
        </w:rPr>
      </w:pPr>
      <w:r w:rsidRPr="00654D1D">
        <w:rPr>
          <w:rFonts w:ascii="ITC Avant Garde" w:hAnsi="ITC Avant Garde" w:cs="Arial"/>
          <w:bCs/>
        </w:rPr>
        <w:t xml:space="preserve">Anexo 1: En relación con la documental pública consistente en la copia certificada de la escritura número </w:t>
      </w:r>
      <w:r w:rsidRPr="00654D1D">
        <w:rPr>
          <w:rFonts w:ascii="ITC Avant Garde" w:hAnsi="ITC Avant Garde" w:cs="Arial"/>
          <w:b/>
          <w:bCs/>
        </w:rPr>
        <w:t xml:space="preserve">136,678 </w:t>
      </w:r>
      <w:r w:rsidRPr="00654D1D">
        <w:rPr>
          <w:rFonts w:ascii="ITC Avant Garde" w:hAnsi="ITC Avant Garde" w:cs="Arial"/>
          <w:bCs/>
        </w:rPr>
        <w:t xml:space="preserve">de fecha </w:t>
      </w:r>
      <w:r w:rsidRPr="00654D1D">
        <w:rPr>
          <w:rFonts w:ascii="ITC Avant Garde" w:hAnsi="ITC Avant Garde" w:cs="Arial"/>
          <w:b/>
          <w:bCs/>
        </w:rPr>
        <w:t xml:space="preserve">4 de mayo de 2009, </w:t>
      </w:r>
      <w:r w:rsidRPr="00654D1D">
        <w:rPr>
          <w:rFonts w:ascii="ITC Avant Garde" w:hAnsi="ITC Avant Garde" w:cs="Arial"/>
          <w:bCs/>
        </w:rPr>
        <w:t xml:space="preserve">otorgada ante la fe del licenciado Cecilio González Márquez, Notario Público número 151 del Distrito Federal, se concede a la misma pleno valor probatorio en términos de lo dispuesto en los artículos 79, 93 fracción II, 129, 197 y 202 del Código Federal de Procedimientos Civiles (en lo sucesivo, CFPC), y con la misma se tiene por acreditada la personalidad del representante legal de </w:t>
      </w:r>
      <w:r w:rsidRPr="00654D1D">
        <w:rPr>
          <w:rFonts w:ascii="ITC Avant Garde" w:hAnsi="ITC Avant Garde" w:cs="Arial"/>
          <w:b/>
          <w:bCs/>
        </w:rPr>
        <w:t>Baja Celular Mexicana, S.A. de C.V.</w:t>
      </w:r>
    </w:p>
    <w:p w14:paraId="313BEEA7" w14:textId="77777777" w:rsidR="00654D1D" w:rsidRPr="00654D1D" w:rsidRDefault="003E526D" w:rsidP="00654D1D">
      <w:pPr>
        <w:spacing w:before="240"/>
        <w:jc w:val="both"/>
        <w:rPr>
          <w:rFonts w:ascii="ITC Avant Garde" w:hAnsi="ITC Avant Garde" w:cs="Arial"/>
          <w:b/>
          <w:bCs/>
        </w:rPr>
      </w:pPr>
      <w:r w:rsidRPr="00654D1D">
        <w:rPr>
          <w:rFonts w:ascii="ITC Avant Garde" w:hAnsi="ITC Avant Garde" w:cs="Arial"/>
          <w:bCs/>
        </w:rPr>
        <w:t xml:space="preserve">Anexo 2: En relación con la documental pública consistente en la copia certificada de la escritura número </w:t>
      </w:r>
      <w:r w:rsidRPr="00654D1D">
        <w:rPr>
          <w:rFonts w:ascii="ITC Avant Garde" w:hAnsi="ITC Avant Garde" w:cs="Arial"/>
          <w:b/>
          <w:bCs/>
        </w:rPr>
        <w:t xml:space="preserve">117,807 </w:t>
      </w:r>
      <w:r w:rsidRPr="00654D1D">
        <w:rPr>
          <w:rFonts w:ascii="ITC Avant Garde" w:hAnsi="ITC Avant Garde" w:cs="Arial"/>
          <w:bCs/>
        </w:rPr>
        <w:t xml:space="preserve">de fecha </w:t>
      </w:r>
      <w:r w:rsidRPr="00654D1D">
        <w:rPr>
          <w:rFonts w:ascii="ITC Avant Garde" w:hAnsi="ITC Avant Garde" w:cs="Arial"/>
          <w:b/>
          <w:bCs/>
        </w:rPr>
        <w:t xml:space="preserve">19 de septiembre de 2006, </w:t>
      </w:r>
      <w:r w:rsidRPr="00654D1D">
        <w:rPr>
          <w:rFonts w:ascii="ITC Avant Garde" w:hAnsi="ITC Avant Garde" w:cs="Arial"/>
          <w:bCs/>
        </w:rPr>
        <w:t xml:space="preserve">otorgada ante la fe del licenciado Cecilio González Márquez, Notario Público número 151 del Distrito Federal, se concede a la misma pleno valor probatorio en términos de lo dispuesto en los artículos </w:t>
      </w:r>
      <w:r w:rsidRPr="00654D1D">
        <w:rPr>
          <w:rFonts w:ascii="ITC Avant Garde" w:hAnsi="ITC Avant Garde" w:cs="Arial"/>
          <w:bCs/>
        </w:rPr>
        <w:lastRenderedPageBreak/>
        <w:t xml:space="preserve">79, 93 fracción II, 129, 197 y 202 del Código Federal de Procedimientos Civiles (en lo sucesivo, CFPC), y con la misma se tiene por acreditada la personalidad del representante legal de </w:t>
      </w:r>
      <w:r w:rsidRPr="00654D1D">
        <w:rPr>
          <w:rFonts w:ascii="ITC Avant Garde" w:hAnsi="ITC Avant Garde" w:cs="Arial"/>
          <w:b/>
          <w:bCs/>
        </w:rPr>
        <w:t>Celular de Telefonía, S.A. de C.V.</w:t>
      </w:r>
    </w:p>
    <w:p w14:paraId="0FB2CD3B" w14:textId="77777777" w:rsidR="00654D1D" w:rsidRPr="00654D1D" w:rsidRDefault="003E526D" w:rsidP="00654D1D">
      <w:pPr>
        <w:spacing w:before="240"/>
        <w:jc w:val="both"/>
        <w:rPr>
          <w:rFonts w:ascii="ITC Avant Garde" w:hAnsi="ITC Avant Garde" w:cs="Arial"/>
          <w:bCs/>
        </w:rPr>
      </w:pPr>
      <w:r w:rsidRPr="00654D1D">
        <w:rPr>
          <w:rFonts w:ascii="ITC Avant Garde" w:hAnsi="ITC Avant Garde" w:cs="Arial"/>
          <w:bCs/>
        </w:rPr>
        <w:t xml:space="preserve">Anexo 3: En relación con la documental pública consistente en la copia certificada de la escritura número </w:t>
      </w:r>
      <w:r w:rsidRPr="00654D1D">
        <w:rPr>
          <w:rFonts w:ascii="ITC Avant Garde" w:hAnsi="ITC Avant Garde" w:cs="Arial"/>
          <w:b/>
          <w:bCs/>
        </w:rPr>
        <w:t>144,512</w:t>
      </w:r>
      <w:r w:rsidRPr="00654D1D">
        <w:rPr>
          <w:rFonts w:ascii="ITC Avant Garde" w:hAnsi="ITC Avant Garde" w:cs="Arial"/>
          <w:bCs/>
        </w:rPr>
        <w:t xml:space="preserve"> de fecha </w:t>
      </w:r>
      <w:r w:rsidRPr="00654D1D">
        <w:rPr>
          <w:rFonts w:ascii="ITC Avant Garde" w:hAnsi="ITC Avant Garde" w:cs="Arial"/>
          <w:b/>
          <w:bCs/>
        </w:rPr>
        <w:t xml:space="preserve">25 de junio de 2010, </w:t>
      </w:r>
      <w:r w:rsidRPr="00654D1D">
        <w:rPr>
          <w:rFonts w:ascii="ITC Avant Garde" w:hAnsi="ITC Avant Garde" w:cs="Arial"/>
          <w:bCs/>
        </w:rPr>
        <w:t xml:space="preserve">pasada ante la fe del licenciado Cecilio González Márquez, Notario Público número 151 del Distrito Federal, se concede a la misma pleno valor probatorio en términos de lo dispuesto en los artículos 79, 93 fracción II, 129, 197 y 202 del CFPC, y con la misma se tiene por acreditada la personalidad del representante legal de </w:t>
      </w:r>
      <w:proofErr w:type="spellStart"/>
      <w:r w:rsidRPr="00654D1D">
        <w:rPr>
          <w:rFonts w:ascii="ITC Avant Garde" w:hAnsi="ITC Avant Garde" w:cs="Arial"/>
          <w:b/>
          <w:bCs/>
        </w:rPr>
        <w:t>Movitel</w:t>
      </w:r>
      <w:proofErr w:type="spellEnd"/>
      <w:r w:rsidRPr="00654D1D">
        <w:rPr>
          <w:rFonts w:ascii="ITC Avant Garde" w:hAnsi="ITC Avant Garde" w:cs="Arial"/>
          <w:b/>
          <w:bCs/>
        </w:rPr>
        <w:t xml:space="preserve"> del Noroeste, S.A. de C.V.</w:t>
      </w:r>
    </w:p>
    <w:p w14:paraId="6BC7D87D" w14:textId="77777777" w:rsidR="00654D1D" w:rsidRPr="00654D1D" w:rsidRDefault="003E526D" w:rsidP="00654D1D">
      <w:pPr>
        <w:spacing w:before="240"/>
        <w:jc w:val="both"/>
        <w:rPr>
          <w:rFonts w:ascii="ITC Avant Garde" w:hAnsi="ITC Avant Garde" w:cs="Arial"/>
          <w:b/>
          <w:bCs/>
        </w:rPr>
      </w:pPr>
      <w:r w:rsidRPr="00654D1D">
        <w:rPr>
          <w:rFonts w:ascii="ITC Avant Garde" w:hAnsi="ITC Avant Garde" w:cs="Arial"/>
          <w:bCs/>
        </w:rPr>
        <w:t xml:space="preserve">Anexo 4: En relación con la documental pública consistente en la copia certificada de la escritura número </w:t>
      </w:r>
      <w:r w:rsidRPr="00654D1D">
        <w:rPr>
          <w:rFonts w:ascii="ITC Avant Garde" w:hAnsi="ITC Avant Garde" w:cs="Arial"/>
          <w:b/>
          <w:bCs/>
        </w:rPr>
        <w:t>144,406</w:t>
      </w:r>
      <w:r w:rsidRPr="00654D1D">
        <w:rPr>
          <w:rFonts w:ascii="ITC Avant Garde" w:hAnsi="ITC Avant Garde" w:cs="Arial"/>
          <w:bCs/>
        </w:rPr>
        <w:t xml:space="preserve"> de fecha </w:t>
      </w:r>
      <w:r w:rsidRPr="00654D1D">
        <w:rPr>
          <w:rFonts w:ascii="ITC Avant Garde" w:hAnsi="ITC Avant Garde" w:cs="Arial"/>
          <w:b/>
          <w:bCs/>
        </w:rPr>
        <w:t xml:space="preserve">17 de junio de 2010, </w:t>
      </w:r>
      <w:r w:rsidRPr="00654D1D">
        <w:rPr>
          <w:rFonts w:ascii="ITC Avant Garde" w:hAnsi="ITC Avant Garde" w:cs="Arial"/>
          <w:bCs/>
        </w:rPr>
        <w:t xml:space="preserve">pasada ante la fe del licenciado Cecilio González Márquez, Notario Público número 151 del Distrito Federal, se concede a la misma pleno valor probatorio en términos de lo dispuesto en los artículos 79, 93 fracción II, 129, 197 y 202 del CFPC, y con la misma se tiene por acreditada la personalidad del representante legal de </w:t>
      </w:r>
      <w:r w:rsidRPr="00654D1D">
        <w:rPr>
          <w:rFonts w:ascii="ITC Avant Garde" w:hAnsi="ITC Avant Garde" w:cs="Arial"/>
          <w:b/>
          <w:bCs/>
        </w:rPr>
        <w:t>Telefonía Celular del Norte, S.A. de C.V.</w:t>
      </w:r>
    </w:p>
    <w:p w14:paraId="79B1CF1D" w14:textId="77777777" w:rsidR="00654D1D" w:rsidRPr="00654D1D" w:rsidRDefault="003E526D" w:rsidP="00654D1D">
      <w:pPr>
        <w:spacing w:before="240"/>
        <w:jc w:val="both"/>
        <w:rPr>
          <w:rFonts w:ascii="ITC Avant Garde" w:hAnsi="ITC Avant Garde" w:cs="Arial"/>
          <w:b/>
          <w:bCs/>
        </w:rPr>
      </w:pPr>
      <w:r w:rsidRPr="00654D1D">
        <w:rPr>
          <w:rFonts w:ascii="ITC Avant Garde" w:hAnsi="ITC Avant Garde" w:cs="Arial"/>
          <w:bCs/>
        </w:rPr>
        <w:t xml:space="preserve">Anexo 5: En relación con la documental pública consistente en la copia certificada de la escritura número </w:t>
      </w:r>
      <w:r w:rsidRPr="00654D1D">
        <w:rPr>
          <w:rFonts w:ascii="ITC Avant Garde" w:hAnsi="ITC Avant Garde" w:cs="Arial"/>
          <w:b/>
          <w:bCs/>
        </w:rPr>
        <w:t>144,400</w:t>
      </w:r>
      <w:r w:rsidRPr="00654D1D">
        <w:rPr>
          <w:rFonts w:ascii="ITC Avant Garde" w:hAnsi="ITC Avant Garde" w:cs="Arial"/>
          <w:bCs/>
        </w:rPr>
        <w:t xml:space="preserve"> de fecha </w:t>
      </w:r>
      <w:r w:rsidRPr="00654D1D">
        <w:rPr>
          <w:rFonts w:ascii="ITC Avant Garde" w:hAnsi="ITC Avant Garde" w:cs="Arial"/>
          <w:b/>
          <w:bCs/>
        </w:rPr>
        <w:t xml:space="preserve">17 de junio de 2010, </w:t>
      </w:r>
      <w:r w:rsidRPr="00654D1D">
        <w:rPr>
          <w:rFonts w:ascii="ITC Avant Garde" w:hAnsi="ITC Avant Garde" w:cs="Arial"/>
          <w:bCs/>
        </w:rPr>
        <w:t xml:space="preserve">otorgada ante la fe del licenciado Cecilio González Márquez, Notario Público número 151 del Distrito Federal, se concede a la misma pleno valor probatorio en términos de lo dispuesto en los artículos 79, 93 fracción II, 129, 197 y 202 del CFPC, y con la misma se tiene por acreditada la personalidad del representante legal de </w:t>
      </w:r>
      <w:r w:rsidRPr="00654D1D">
        <w:rPr>
          <w:rFonts w:ascii="ITC Avant Garde" w:hAnsi="ITC Avant Garde" w:cs="Arial"/>
          <w:b/>
          <w:bCs/>
        </w:rPr>
        <w:t>Pegaso Comunicaciones y Sistemas</w:t>
      </w:r>
      <w:r w:rsidRPr="00654D1D">
        <w:rPr>
          <w:rFonts w:ascii="ITC Avant Garde" w:hAnsi="ITC Avant Garde" w:cs="Arial"/>
          <w:bCs/>
        </w:rPr>
        <w:t xml:space="preserve">, </w:t>
      </w:r>
      <w:r w:rsidRPr="00654D1D">
        <w:rPr>
          <w:rFonts w:ascii="ITC Avant Garde" w:hAnsi="ITC Avant Garde" w:cs="Arial"/>
          <w:b/>
          <w:bCs/>
        </w:rPr>
        <w:t>S.A. de C.V.</w:t>
      </w:r>
    </w:p>
    <w:p w14:paraId="4403854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lang w:val="es-ES"/>
        </w:rPr>
        <w:t xml:space="preserve">Anexo 6: </w:t>
      </w:r>
      <w:r w:rsidRPr="00654D1D">
        <w:rPr>
          <w:rFonts w:ascii="ITC Avant Garde" w:hAnsi="ITC Avant Garde" w:cs="Arial"/>
          <w:bCs/>
        </w:rPr>
        <w:t xml:space="preserve">En relación con el documento consistente en la copia fotostática denominada “Comentarios al modelo de costos de terminación en redes móviles de </w:t>
      </w:r>
      <w:proofErr w:type="spellStart"/>
      <w:r w:rsidRPr="00654D1D">
        <w:rPr>
          <w:rFonts w:ascii="ITC Avant Garde" w:hAnsi="ITC Avant Garde" w:cs="Arial"/>
          <w:bCs/>
        </w:rPr>
        <w:t>Cofetel</w:t>
      </w:r>
      <w:proofErr w:type="spellEnd"/>
      <w:r w:rsidRPr="00654D1D">
        <w:rPr>
          <w:rFonts w:ascii="ITC Avant Garde" w:hAnsi="ITC Avant Garde" w:cs="Arial"/>
          <w:bCs/>
        </w:rPr>
        <w:t xml:space="preserve">. UN INFORME PREPARADO PARA TELEFÓNICA MÓVILES MÉXICO. </w:t>
      </w:r>
      <w:proofErr w:type="spellStart"/>
      <w:r w:rsidRPr="00654D1D">
        <w:rPr>
          <w:rFonts w:ascii="ITC Avant Garde" w:hAnsi="ITC Avant Garde" w:cs="Arial"/>
          <w:bCs/>
        </w:rPr>
        <w:t>August</w:t>
      </w:r>
      <w:proofErr w:type="spellEnd"/>
      <w:r w:rsidRPr="00654D1D">
        <w:rPr>
          <w:rFonts w:ascii="ITC Avant Garde" w:hAnsi="ITC Avant Garde" w:cs="Arial"/>
          <w:bCs/>
        </w:rPr>
        <w:t xml:space="preserve"> 2011”, que se atribuye a </w:t>
      </w:r>
      <w:proofErr w:type="spellStart"/>
      <w:r w:rsidRPr="00654D1D">
        <w:rPr>
          <w:rFonts w:ascii="ITC Avant Garde" w:hAnsi="ITC Avant Garde" w:cs="Arial"/>
          <w:bCs/>
        </w:rPr>
        <w:t>Frontier</w:t>
      </w:r>
      <w:proofErr w:type="spellEnd"/>
      <w:r w:rsidRPr="00654D1D">
        <w:rPr>
          <w:rFonts w:ascii="ITC Avant Garde" w:hAnsi="ITC Avant Garde" w:cs="Arial"/>
          <w:bCs/>
        </w:rPr>
        <w:t xml:space="preserve"> </w:t>
      </w:r>
      <w:proofErr w:type="spellStart"/>
      <w:r w:rsidRPr="00654D1D">
        <w:rPr>
          <w:rFonts w:ascii="ITC Avant Garde" w:hAnsi="ITC Avant Garde" w:cs="Arial"/>
          <w:bCs/>
        </w:rPr>
        <w:t>Economics</w:t>
      </w:r>
      <w:proofErr w:type="spellEnd"/>
      <w:r w:rsidRPr="00654D1D">
        <w:rPr>
          <w:rFonts w:ascii="ITC Avant Garde" w:hAnsi="ITC Avant Garde" w:cs="Arial"/>
          <w:bCs/>
        </w:rPr>
        <w:t xml:space="preserve"> </w:t>
      </w:r>
      <w:proofErr w:type="spellStart"/>
      <w:r w:rsidRPr="00654D1D">
        <w:rPr>
          <w:rFonts w:ascii="ITC Avant Garde" w:hAnsi="ITC Avant Garde" w:cs="Arial"/>
          <w:bCs/>
        </w:rPr>
        <w:t>Limited</w:t>
      </w:r>
      <w:proofErr w:type="spellEnd"/>
      <w:r w:rsidRPr="00654D1D">
        <w:rPr>
          <w:rFonts w:ascii="ITC Avant Garde" w:hAnsi="ITC Avant Garde" w:cs="Arial"/>
          <w:bCs/>
        </w:rPr>
        <w:t xml:space="preserve"> in </w:t>
      </w:r>
      <w:proofErr w:type="spellStart"/>
      <w:r w:rsidRPr="00654D1D">
        <w:rPr>
          <w:rFonts w:ascii="ITC Avant Garde" w:hAnsi="ITC Avant Garde" w:cs="Arial"/>
          <w:bCs/>
        </w:rPr>
        <w:t>Europe</w:t>
      </w:r>
      <w:proofErr w:type="spellEnd"/>
      <w:r w:rsidRPr="00654D1D">
        <w:rPr>
          <w:rFonts w:ascii="ITC Avant Garde" w:hAnsi="ITC Avant Garde" w:cs="Arial"/>
          <w:bCs/>
        </w:rPr>
        <w:t xml:space="preserve">, </w:t>
      </w:r>
      <w:r w:rsidRPr="00654D1D">
        <w:rPr>
          <w:rFonts w:ascii="ITC Avant Garde" w:hAnsi="ITC Avant Garde" w:cs="Arial"/>
        </w:rPr>
        <w:t xml:space="preserve">toda vez que se presentaron copias fotostáticas de un documento,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654D1D">
        <w:rPr>
          <w:rFonts w:ascii="ITC Avant Garde" w:hAnsi="ITC Avant Garde" w:cs="Arial"/>
        </w:rPr>
        <w:t>adminiculadamente</w:t>
      </w:r>
      <w:proofErr w:type="spellEnd"/>
      <w:r w:rsidRPr="00654D1D">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3D3DF30F"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A respecto son aplicables las tesis jurisprudenciales emitidas por nuestros tribunales federales, que se citan a continuación:</w:t>
      </w:r>
    </w:p>
    <w:p w14:paraId="4A917CDC" w14:textId="77777777" w:rsidR="00654D1D" w:rsidRPr="00654D1D" w:rsidRDefault="003E526D" w:rsidP="00654D1D">
      <w:pPr>
        <w:autoSpaceDE w:val="0"/>
        <w:autoSpaceDN w:val="0"/>
        <w:adjustRightInd w:val="0"/>
        <w:spacing w:before="240"/>
        <w:ind w:left="567" w:right="567"/>
        <w:jc w:val="both"/>
        <w:rPr>
          <w:rFonts w:ascii="ITC Avant Garde" w:hAnsi="ITC Avant Garde" w:cs="Arial"/>
          <w:sz w:val="18"/>
          <w:szCs w:val="18"/>
        </w:rPr>
      </w:pPr>
      <w:r w:rsidRPr="00654D1D">
        <w:rPr>
          <w:rFonts w:ascii="ITC Avant Garde" w:hAnsi="ITC Avant Garde" w:cs="Arial"/>
          <w:b/>
          <w:sz w:val="18"/>
          <w:szCs w:val="18"/>
        </w:rPr>
        <w:lastRenderedPageBreak/>
        <w:t>COPIAS FOTOSTÁTICAS SIN CERTIFICAR SU VALOR PROBATORIO QUEDA AL PRUDENTE ARBITRIO JUDICIAL COMO INDICIO.</w:t>
      </w:r>
      <w:r w:rsidRPr="00654D1D">
        <w:rPr>
          <w:rFonts w:ascii="ITC Avant Garde" w:hAnsi="ITC Avant Garde" w:cs="Arial"/>
          <w:sz w:val="18"/>
          <w:szCs w:val="18"/>
        </w:rPr>
        <w:t xml:space="preserve"> La jurisprudencia publicada en el Semanario Judicial de la Federación 1917-1988, Segunda Parte, Volumen II, página 916, número 533, con el rubro: "COPIAS FOTOSTÁTICAS. SU VALOR PROBATORIO.", establece que conforme a lo previsto por el artículo 217 del Código Federal de Procedimientos Civiles, el valor de las fotografías de documentos o de cualesquiera otras aportadas por los descubrimientos de la ciencia, cuando carecen de certificación, queda al prudente arbitrio judicial como indicio. La correcta interpretación y el alcance que debe darse a este criterio jurisprudencial no es el de que las copias fotostáticas sin certificar carecen de valor probatorio, sino que debe considerarse que dichas copias constituyen un medio de prueba reconocido por la ley cuyo valor queda al prudente arbitrio del juzgador como indicio. Por tanto, no resulta apegado a derecho negar todo valor probatorio a las fotostáticas de referencia por el solo hecho de carecer de certificación, sino que, considerándolas como indicio, debe atenderse a los hechos que con ellas se pretende probar y a los demás elementos probatorios que obren en autos, a fin de establecer como resultado de una valuación integral y relacionada de todas las pruebas, el verdadero alcance probatorio que debe otorgárseles. Amparo en revisión 1066/95. Mario Hernández Garduño. 19 de enero de 1996. Cinco votos. Ponente: Mariano Azuela </w:t>
      </w:r>
      <w:proofErr w:type="spellStart"/>
      <w:r w:rsidRPr="00654D1D">
        <w:rPr>
          <w:rFonts w:ascii="ITC Avant Garde" w:hAnsi="ITC Avant Garde" w:cs="Arial"/>
          <w:sz w:val="18"/>
          <w:szCs w:val="18"/>
        </w:rPr>
        <w:t>Güitrón</w:t>
      </w:r>
      <w:proofErr w:type="spellEnd"/>
      <w:r w:rsidRPr="00654D1D">
        <w:rPr>
          <w:rFonts w:ascii="ITC Avant Garde" w:hAnsi="ITC Avant Garde" w:cs="Arial"/>
          <w:sz w:val="18"/>
          <w:szCs w:val="18"/>
        </w:rPr>
        <w:t xml:space="preserve">. Secretaria: Maria Estela Ferrer Mac </w:t>
      </w:r>
      <w:proofErr w:type="spellStart"/>
      <w:r w:rsidRPr="00654D1D">
        <w:rPr>
          <w:rFonts w:ascii="ITC Avant Garde" w:hAnsi="ITC Avant Garde" w:cs="Arial"/>
          <w:sz w:val="18"/>
          <w:szCs w:val="18"/>
        </w:rPr>
        <w:t>Gregor</w:t>
      </w:r>
      <w:proofErr w:type="spellEnd"/>
      <w:r w:rsidRPr="00654D1D">
        <w:rPr>
          <w:rFonts w:ascii="ITC Avant Garde" w:hAnsi="ITC Avant Garde" w:cs="Arial"/>
          <w:sz w:val="18"/>
          <w:szCs w:val="18"/>
        </w:rPr>
        <w:t xml:space="preserve"> </w:t>
      </w:r>
      <w:proofErr w:type="spellStart"/>
      <w:r w:rsidRPr="00654D1D">
        <w:rPr>
          <w:rFonts w:ascii="ITC Avant Garde" w:hAnsi="ITC Avant Garde" w:cs="Arial"/>
          <w:sz w:val="18"/>
          <w:szCs w:val="18"/>
        </w:rPr>
        <w:t>Poisot</w:t>
      </w:r>
      <w:proofErr w:type="spellEnd"/>
      <w:r w:rsidRPr="00654D1D">
        <w:rPr>
          <w:rFonts w:ascii="ITC Avant Garde" w:hAnsi="ITC Avant Garde" w:cs="Arial"/>
          <w:sz w:val="18"/>
          <w:szCs w:val="18"/>
        </w:rPr>
        <w:t xml:space="preserve">. Amparo en revisión 602/97. Amador Salceda Rodriguez. 20 de junio de 1997. Unanimidad de cuatro votos. Ausente: Guillermo l. Ortiz </w:t>
      </w:r>
      <w:proofErr w:type="spellStart"/>
      <w:r w:rsidRPr="00654D1D">
        <w:rPr>
          <w:rFonts w:ascii="ITC Avant Garde" w:hAnsi="ITC Avant Garde" w:cs="Arial"/>
          <w:sz w:val="18"/>
          <w:szCs w:val="18"/>
        </w:rPr>
        <w:t>Mayagoitia</w:t>
      </w:r>
      <w:proofErr w:type="spellEnd"/>
      <w:r w:rsidRPr="00654D1D">
        <w:rPr>
          <w:rFonts w:ascii="ITC Avant Garde" w:hAnsi="ITC Avant Garde" w:cs="Arial"/>
          <w:sz w:val="18"/>
          <w:szCs w:val="18"/>
        </w:rPr>
        <w:t xml:space="preserve">. Ponente: Sergio Salvador Aguirre Anguiano. Secretario: Felipe Alfredo Fuentes Barrera. Amparo en revisión 2645/97. Autobuses México, Toluca, Zinacantepec y Ramales, S.A. de C.V. 20 de marzo de 1998. Cinco votos. Ponente: Genaro David Góngora Pimentel. Secretaria: Fortunata F. Silva Vásquez. Amparo en revisión 874/98. Antonio Castro Vázquez. 28 de agosto de 1998. Cinco votos. Ponente: Juan Díaz Romero. Secretario: Alejandro Sánchez López. Amparo en revisión 143/99. Derivados de Gasa, S.A. de C.V. II de febrero del año 2000. Cinco votos. Ponente: José Vicente </w:t>
      </w:r>
      <w:proofErr w:type="spellStart"/>
      <w:r w:rsidRPr="00654D1D">
        <w:rPr>
          <w:rFonts w:ascii="ITC Avant Garde" w:hAnsi="ITC Avant Garde" w:cs="Arial"/>
          <w:sz w:val="18"/>
          <w:szCs w:val="18"/>
        </w:rPr>
        <w:t>Aguinaco</w:t>
      </w:r>
      <w:proofErr w:type="spellEnd"/>
      <w:r w:rsidRPr="00654D1D">
        <w:rPr>
          <w:rFonts w:ascii="ITC Avant Garde" w:hAnsi="ITC Avant Garde" w:cs="Arial"/>
          <w:sz w:val="18"/>
          <w:szCs w:val="18"/>
        </w:rPr>
        <w:t xml:space="preserve"> Alemán. Secretario: </w:t>
      </w:r>
      <w:proofErr w:type="spellStart"/>
      <w:r w:rsidRPr="00654D1D">
        <w:rPr>
          <w:rFonts w:ascii="ITC Avant Garde" w:hAnsi="ITC Avant Garde" w:cs="Arial"/>
          <w:sz w:val="18"/>
          <w:szCs w:val="18"/>
        </w:rPr>
        <w:t>Ernmanuel</w:t>
      </w:r>
      <w:proofErr w:type="spellEnd"/>
      <w:r w:rsidRPr="00654D1D">
        <w:rPr>
          <w:rFonts w:ascii="ITC Avant Garde" w:hAnsi="ITC Avant Garde" w:cs="Arial"/>
          <w:sz w:val="18"/>
          <w:szCs w:val="18"/>
        </w:rPr>
        <w:t xml:space="preserve"> G. Rosales Guerrero. Tesis de jurisprudencia 32/2000. Aprobada por la Segunda Sala de este Alto Tribunal, en sesión privada del veinticuatro de marzo del año dos mil. </w:t>
      </w:r>
    </w:p>
    <w:p w14:paraId="3FC3BD36" w14:textId="77777777" w:rsidR="00654D1D" w:rsidRPr="00654D1D" w:rsidRDefault="003E526D" w:rsidP="00654D1D">
      <w:pPr>
        <w:autoSpaceDE w:val="0"/>
        <w:autoSpaceDN w:val="0"/>
        <w:adjustRightInd w:val="0"/>
        <w:spacing w:before="240"/>
        <w:ind w:left="567" w:right="567"/>
        <w:jc w:val="both"/>
        <w:rPr>
          <w:rFonts w:ascii="ITC Avant Garde" w:hAnsi="ITC Avant Garde" w:cs="Arial"/>
          <w:sz w:val="18"/>
          <w:szCs w:val="18"/>
        </w:rPr>
      </w:pPr>
      <w:r w:rsidRPr="00654D1D">
        <w:rPr>
          <w:rFonts w:ascii="ITC Avant Garde" w:hAnsi="ITC Avant Garde" w:cs="Arial"/>
          <w:b/>
          <w:sz w:val="18"/>
          <w:szCs w:val="18"/>
        </w:rPr>
        <w:t xml:space="preserve">COPIAS FOTOSTATICAS. HACEN PRUEBA PLENA CONTRA SU OFERENTE. </w:t>
      </w:r>
      <w:r w:rsidRPr="00654D1D">
        <w:rPr>
          <w:rFonts w:ascii="ITC Avant Garde" w:hAnsi="ITC Avant Garde" w:cs="Arial"/>
          <w:sz w:val="18"/>
          <w:szCs w:val="18"/>
        </w:rPr>
        <w:t xml:space="preserve">No es válido negar el carácter de prueba a las copias fotostáticas simples de documentos, puesto que no debe pasar inadvertido que conforme a diversas legislaciones, tales instrumentos admiten ser considerados como medios de convicción. Así el Código Federal de Procedimientos Civiles previene, en su artículo 93, que: "La ley reconoce como medios de prueba: ... VII. Las fotografías, escritos y notas taquigráficas y, en general, todos aquellos elementos aportados por los descubrimientos de la ciencia ... " El artículo 278 del Código de Procedimientos Civiles para el Distrito Federal establece a su vez que para conocer la verdad sobre los puntos controvertidos, el juzgador puede valerse, entre otros elementos probatorios, " ... de cualquier cosa ... " Dentro de estas disposiciones es admisible considerar comprendidas a las copias fotostáticas simples de documentos, cuya fuerza probatoria mayor o menor, dependerá del caso concreto y de las circunstancias especiales en que aparezcan aportadas al juicio. De este modo, la copia fotostática simple de un documento hace prueba plena en contra de su oferente, porque cabe considerar que la aportación de tal probanza al juicio lleva implícita la afirmación de que esa copia coincide plenamente con su original. Esto es así porque las partes aportan pruebas con el objeto de que el juzgador verifique las afirmaciones producidas por aquéllas en los escritos que fijan la </w:t>
      </w:r>
      <w:proofErr w:type="spellStart"/>
      <w:r w:rsidRPr="00654D1D">
        <w:rPr>
          <w:rFonts w:ascii="ITC Avant Garde" w:hAnsi="ITC Avant Garde" w:cs="Arial"/>
          <w:sz w:val="18"/>
          <w:szCs w:val="18"/>
        </w:rPr>
        <w:t>litis</w:t>
      </w:r>
      <w:proofErr w:type="spellEnd"/>
      <w:r w:rsidRPr="00654D1D">
        <w:rPr>
          <w:rFonts w:ascii="ITC Avant Garde" w:hAnsi="ITC Avant Garde" w:cs="Arial"/>
          <w:sz w:val="18"/>
          <w:szCs w:val="18"/>
        </w:rPr>
        <w:t xml:space="preserve">; por tanto, si se aporta determinado medio de convicción, es porque el oferente lo considera adecuado para servir de instrumento de verificación a sus afirmaciones. No es concebible que el oferente presente una prueba para </w:t>
      </w:r>
      <w:r w:rsidRPr="00654D1D">
        <w:rPr>
          <w:rFonts w:ascii="ITC Avant Garde" w:hAnsi="ITC Avant Garde" w:cs="Arial"/>
          <w:sz w:val="18"/>
          <w:szCs w:val="18"/>
        </w:rPr>
        <w:lastRenderedPageBreak/>
        <w:t xml:space="preserve">demostrar la veracidad de sus asertos y que, al mismo tiempo, sostenga que tal elemento de convicción, por falso o inauténtico, carece de confiabilidad para acreditar sus aseveraciones. En cambio la propia copia fotostática simple no tendría plena eficacia probatoria respecto a la contraparte del oferente, porque contra ésta ya no operaría la misma razón y habría que tener en cuenta, además, que ni siquiera tendría la fuerza probatoria que producen los documentos simples, por carecer de uno de los elementos constitutivos de éstos, como es la firma autógrafa de quien lo suscribe y, en este caso, la mayor o menor convicción que produciría, dependería de la fuerza probatoria que proporcionaran otras probanzas que se relacionaran con su autenticidad. CUARTO TRIBUNAL COLEGIADO EN MATERIA CIVIL DEL PRIMER CIRCUITO. Amparo en revisión 44/88. Elodia Rodríguez Jiménez. 4 de febrero de 1988. Unanimidad de votos. Ponente: Mauro Miguel Reyes Zapata. Secretario: 1. Refugio Ortega Marín. Amparo directo 649/88. Vicenta Chávez viuda de </w:t>
      </w:r>
      <w:proofErr w:type="gramStart"/>
      <w:r w:rsidRPr="00654D1D">
        <w:rPr>
          <w:rFonts w:ascii="ITC Avant Garde" w:hAnsi="ITC Avant Garde" w:cs="Arial"/>
          <w:sz w:val="18"/>
          <w:szCs w:val="18"/>
        </w:rPr>
        <w:t>Alemán</w:t>
      </w:r>
      <w:proofErr w:type="gramEnd"/>
      <w:r w:rsidRPr="00654D1D">
        <w:rPr>
          <w:rFonts w:ascii="ITC Avant Garde" w:hAnsi="ITC Avant Garde" w:cs="Arial"/>
          <w:sz w:val="18"/>
          <w:szCs w:val="18"/>
        </w:rPr>
        <w:t xml:space="preserve">. 17 de marzo de 1988. Unanimidad de votos. Ponente: Leonel Castillo González. Secretario: Ricardo Romero Vázquez. Amparo en revisión 1904/95. Pedro Bernal Adame. 26 de octubre de 1995. Unanimidad de votos. Ponente: Mauro Miguel Reyes Zapata. Secretario: Eliseo Puga Cervantes. Amparo directo 5484/95. Luz María Campos </w:t>
      </w:r>
      <w:proofErr w:type="spellStart"/>
      <w:r w:rsidRPr="00654D1D">
        <w:rPr>
          <w:rFonts w:ascii="ITC Avant Garde" w:hAnsi="ITC Avant Garde" w:cs="Arial"/>
          <w:sz w:val="18"/>
          <w:szCs w:val="18"/>
        </w:rPr>
        <w:t>Gerber</w:t>
      </w:r>
      <w:proofErr w:type="spellEnd"/>
      <w:r w:rsidRPr="00654D1D">
        <w:rPr>
          <w:rFonts w:ascii="ITC Avant Garde" w:hAnsi="ITC Avant Garde" w:cs="Arial"/>
          <w:sz w:val="18"/>
          <w:szCs w:val="18"/>
        </w:rPr>
        <w:t>. 9 de noviembre de 1995. Unanimidad de votos. Ponente: Gilda Rincón Orta. Secretario: Daniel Horacio Escudero Contreras. Amparo directo 5814/95. Seguros América, S.A., hoy Seguros Comercial América, S.A. de C.V. 9 de noviembre de 1995. Unanimidad de votos. Ponente: Leonel Castillo González. Secretario: Carlos Arteaga Álvarez.</w:t>
      </w:r>
    </w:p>
    <w:p w14:paraId="23FA6934" w14:textId="77777777" w:rsidR="00654D1D" w:rsidRPr="00654D1D" w:rsidRDefault="003E526D" w:rsidP="00654D1D">
      <w:pPr>
        <w:adjustRightInd w:val="0"/>
        <w:spacing w:before="240"/>
        <w:jc w:val="both"/>
        <w:rPr>
          <w:rFonts w:ascii="ITC Avant Garde" w:hAnsi="ITC Avant Garde" w:cs="Arial"/>
        </w:rPr>
      </w:pPr>
      <w:r w:rsidRPr="00654D1D">
        <w:rPr>
          <w:rFonts w:ascii="ITC Avant Garde" w:hAnsi="ITC Avant Garde" w:cs="Arial"/>
        </w:rPr>
        <w:t xml:space="preserve">Asimismo, la valoración se realiza de acuerdo a la Jurisprudencia que se transcribe a continuación: </w:t>
      </w:r>
    </w:p>
    <w:p w14:paraId="755BDC8C" w14:textId="77777777" w:rsidR="00654D1D" w:rsidRPr="00654D1D" w:rsidRDefault="003E526D" w:rsidP="00654D1D">
      <w:pPr>
        <w:autoSpaceDE w:val="0"/>
        <w:autoSpaceDN w:val="0"/>
        <w:adjustRightInd w:val="0"/>
        <w:spacing w:before="240"/>
        <w:ind w:left="567" w:right="567"/>
        <w:jc w:val="both"/>
        <w:rPr>
          <w:rFonts w:ascii="ITC Avant Garde" w:hAnsi="ITC Avant Garde" w:cs="Arial"/>
          <w:sz w:val="18"/>
          <w:szCs w:val="18"/>
        </w:rPr>
      </w:pPr>
      <w:r w:rsidRPr="00654D1D">
        <w:rPr>
          <w:rFonts w:ascii="ITC Avant Garde" w:hAnsi="ITC Avant Garde" w:cs="Arial"/>
          <w:b/>
          <w:sz w:val="18"/>
          <w:szCs w:val="18"/>
        </w:rPr>
        <w:t xml:space="preserve">DOCUMENTOS PRIVADOS NO OBJETADOS, VALORACION Y EFICACIA DE LOS. </w:t>
      </w:r>
      <w:r w:rsidRPr="00654D1D">
        <w:rPr>
          <w:rFonts w:ascii="ITC Avant Garde" w:hAnsi="ITC Avant Garde" w:cs="Arial"/>
          <w:sz w:val="18"/>
          <w:szCs w:val="18"/>
        </w:rPr>
        <w:t>Es cierto que el artículo 335 del Código de Procedimientos Civiles para el Distrito Federal dispone que los documentos privados presentados en juicio como prueba por uno de los interesados y no objetados por la parte contraria, se tiene por admitidos y surten sus efectos como si hubieran sido reconocidos, pero también lo es que la falta de objeción por la contraparte del oferente, únicamente constituye una admisión ficta del contenido de los documentos, sin que tal circunstancia implique que su valor probatorio tenga plena eficacia jurídica para demostrar el extremo planteado, toda vez que el numeral 402 del ordenamiento legal citado otorga al juzgador plenas facultades para valorar en su conjunto, los medios de convicción allegados al juicio por las partes, atendiendo a las reglas de la lógica y la experiencia, con la obligación ineludible de exponer en forma clara los fundamentos de esa valoración y de la decisión que se tome en el caso, por tanto, el valor indiciario que conlleva la admisión ficta de documentos no objetados, comprende la obligación para quien los ofrece de adminicularlos con otros medios probatorios, a fin de obtener la eficacia jurídica que con ellos se pretende.</w:t>
      </w:r>
    </w:p>
    <w:p w14:paraId="1974E252" w14:textId="77777777" w:rsidR="00654D1D" w:rsidRPr="00654D1D" w:rsidRDefault="003E526D" w:rsidP="00654D1D">
      <w:pPr>
        <w:spacing w:before="240"/>
        <w:ind w:left="567" w:right="616"/>
        <w:jc w:val="both"/>
        <w:rPr>
          <w:rFonts w:ascii="ITC Avant Garde" w:eastAsia="Times New Roman" w:hAnsi="ITC Avant Garde" w:cs="Arial"/>
          <w:sz w:val="18"/>
          <w:szCs w:val="18"/>
          <w:lang w:eastAsia="es-MX"/>
        </w:rPr>
      </w:pPr>
      <w:r w:rsidRPr="00654D1D">
        <w:rPr>
          <w:rFonts w:ascii="ITC Avant Garde" w:eastAsia="Times New Roman" w:hAnsi="ITC Avant Garde" w:cs="Arial"/>
          <w:sz w:val="18"/>
          <w:szCs w:val="18"/>
          <w:lang w:eastAsia="es-MX"/>
        </w:rPr>
        <w:t>QUINTO TRIBUNAL COLEGIADO EN MATERIA CIVIL DEL PRIMER CIRCUITO.</w:t>
      </w:r>
    </w:p>
    <w:p w14:paraId="12325105" w14:textId="77777777" w:rsidR="00654D1D" w:rsidRPr="00654D1D" w:rsidRDefault="003E526D" w:rsidP="00654D1D">
      <w:pPr>
        <w:spacing w:before="240"/>
        <w:ind w:left="567" w:right="616"/>
        <w:jc w:val="both"/>
        <w:rPr>
          <w:rFonts w:ascii="ITC Avant Garde" w:eastAsia="Times New Roman" w:hAnsi="ITC Avant Garde" w:cs="Arial"/>
          <w:sz w:val="18"/>
          <w:szCs w:val="18"/>
          <w:lang w:eastAsia="es-MX"/>
        </w:rPr>
      </w:pPr>
      <w:r w:rsidRPr="00654D1D">
        <w:rPr>
          <w:rFonts w:ascii="ITC Avant Garde" w:eastAsia="Times New Roman" w:hAnsi="ITC Avant Garde" w:cs="Arial"/>
          <w:sz w:val="18"/>
          <w:szCs w:val="18"/>
          <w:lang w:eastAsia="es-MX"/>
        </w:rPr>
        <w:t>Amparo directo 3100/89. María Julieta Valdez Hernández. 7 de septiembre de 1989. Unanimidad de votos. Ponente: Manuel Islas Domínguez. Secretario: Roberto A. Navarro Suárez.</w:t>
      </w:r>
    </w:p>
    <w:p w14:paraId="4D2D457A" w14:textId="77777777" w:rsidR="00654D1D" w:rsidRPr="00654D1D" w:rsidRDefault="003E526D" w:rsidP="00654D1D">
      <w:pPr>
        <w:spacing w:before="240"/>
        <w:ind w:left="567" w:right="616"/>
        <w:jc w:val="both"/>
        <w:rPr>
          <w:rFonts w:ascii="ITC Avant Garde" w:eastAsia="Times New Roman" w:hAnsi="ITC Avant Garde" w:cs="Arial"/>
          <w:sz w:val="18"/>
          <w:szCs w:val="18"/>
          <w:lang w:eastAsia="es-MX"/>
        </w:rPr>
      </w:pPr>
      <w:r w:rsidRPr="00654D1D">
        <w:rPr>
          <w:rFonts w:ascii="ITC Avant Garde" w:eastAsia="Times New Roman" w:hAnsi="ITC Avant Garde" w:cs="Arial"/>
          <w:sz w:val="18"/>
          <w:szCs w:val="18"/>
          <w:lang w:eastAsia="es-MX"/>
        </w:rPr>
        <w:t>Amparo directo 225/89. Rubén López Gómez. 16 de febrero de 1989. Unanimidad de votos. Ponente: Víctor Manuel Islas Domínguez. Secretario: Roberto A. Navarro Suárez. Octava Época, Tomo III, Segunda Parte-1, página 301.</w:t>
      </w:r>
    </w:p>
    <w:p w14:paraId="14C213DF" w14:textId="77777777" w:rsidR="00654D1D" w:rsidRPr="00654D1D" w:rsidRDefault="003E526D" w:rsidP="00654D1D">
      <w:pPr>
        <w:spacing w:before="240"/>
        <w:ind w:left="567" w:right="616"/>
        <w:jc w:val="both"/>
        <w:rPr>
          <w:rFonts w:ascii="ITC Avant Garde" w:eastAsia="Times New Roman" w:hAnsi="ITC Avant Garde" w:cs="Arial"/>
          <w:sz w:val="18"/>
          <w:szCs w:val="18"/>
          <w:lang w:eastAsia="es-MX"/>
        </w:rPr>
      </w:pPr>
      <w:r w:rsidRPr="00654D1D">
        <w:rPr>
          <w:rFonts w:ascii="ITC Avant Garde" w:eastAsia="Times New Roman" w:hAnsi="ITC Avant Garde" w:cs="Arial"/>
          <w:sz w:val="18"/>
          <w:szCs w:val="18"/>
          <w:lang w:eastAsia="es-MX"/>
        </w:rPr>
        <w:lastRenderedPageBreak/>
        <w:t xml:space="preserve">Amparo directo 2045/88. </w:t>
      </w:r>
      <w:proofErr w:type="spellStart"/>
      <w:r w:rsidRPr="00654D1D">
        <w:rPr>
          <w:rFonts w:ascii="ITC Avant Garde" w:eastAsia="Times New Roman" w:hAnsi="ITC Avant Garde" w:cs="Arial"/>
          <w:sz w:val="18"/>
          <w:szCs w:val="18"/>
          <w:lang w:eastAsia="es-MX"/>
        </w:rPr>
        <w:t>Worthington</w:t>
      </w:r>
      <w:proofErr w:type="spellEnd"/>
      <w:r w:rsidRPr="00654D1D">
        <w:rPr>
          <w:rFonts w:ascii="ITC Avant Garde" w:eastAsia="Times New Roman" w:hAnsi="ITC Avant Garde" w:cs="Arial"/>
          <w:sz w:val="18"/>
          <w:szCs w:val="18"/>
          <w:lang w:eastAsia="es-MX"/>
        </w:rPr>
        <w:t xml:space="preserve"> de México, S.A. de C.V. 29 de septiembre de 1988. Unanimidad de votos. Ponente: Víctor Manuel Islas Domínguez. Secretario: Roberto A. Navarro Suárez. Octava Época, Tomo II Segunda Parte-1, página 235. </w:t>
      </w:r>
    </w:p>
    <w:p w14:paraId="1457C29D" w14:textId="77777777" w:rsidR="00654D1D" w:rsidRPr="00654D1D" w:rsidRDefault="003E526D" w:rsidP="00654D1D">
      <w:pPr>
        <w:spacing w:before="240"/>
        <w:ind w:left="567" w:right="616"/>
        <w:jc w:val="both"/>
        <w:rPr>
          <w:rFonts w:ascii="ITC Avant Garde" w:eastAsia="Times New Roman" w:hAnsi="ITC Avant Garde" w:cs="Arial"/>
          <w:sz w:val="18"/>
          <w:szCs w:val="18"/>
          <w:lang w:eastAsia="es-MX"/>
        </w:rPr>
      </w:pPr>
      <w:r w:rsidRPr="00654D1D">
        <w:rPr>
          <w:rFonts w:ascii="ITC Avant Garde" w:eastAsia="Times New Roman" w:hAnsi="ITC Avant Garde" w:cs="Arial"/>
          <w:sz w:val="18"/>
          <w:szCs w:val="18"/>
          <w:lang w:eastAsia="es-MX"/>
        </w:rPr>
        <w:t>Amparo directo 2480/88. Laura Beatriz Hernández Esparza. 2 de septiembre de 1988. Unanimidad de votos. Ponente: Víctor Manuel Islas Domínguez. Secretario: Roberto A. Navarro Suárez. Octava Época, Tomo II Segunda Parte-1, página 235.</w:t>
      </w:r>
    </w:p>
    <w:p w14:paraId="5796E7D0"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En este sentido, no causa ánimo de convicción al Instituto a efecto de modificar o revocar la Resolución Recurrida.</w:t>
      </w:r>
    </w:p>
    <w:p w14:paraId="0E1D0035"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 xml:space="preserve">Sin perjuicio de lo anterior, el contenido de la documental referida no es concluyente toda vez que los argumentos presentados en la prueba documental son en esencia los que la recurrente hizo valer en el presente recurso de revisión, mismos que se han valorado a lo largo del presente documento.  </w:t>
      </w:r>
    </w:p>
    <w:p w14:paraId="4B60200D" w14:textId="53480CB9" w:rsidR="003E526D" w:rsidRPr="00654D1D" w:rsidRDefault="003E526D" w:rsidP="00654D1D">
      <w:pPr>
        <w:adjustRightInd w:val="0"/>
        <w:spacing w:before="240"/>
        <w:jc w:val="both"/>
        <w:rPr>
          <w:rFonts w:ascii="ITC Avant Garde" w:hAnsi="ITC Avant Garde" w:cs="Arial"/>
        </w:rPr>
      </w:pPr>
      <w:r w:rsidRPr="00654D1D">
        <w:rPr>
          <w:rFonts w:ascii="ITC Avant Garde" w:hAnsi="ITC Avant Garde" w:cs="Arial"/>
          <w:lang w:val="es-ES"/>
        </w:rPr>
        <w:t xml:space="preserve">Anexo 7: </w:t>
      </w:r>
      <w:r w:rsidRPr="00654D1D">
        <w:rPr>
          <w:rFonts w:ascii="ITC Avant Garde" w:hAnsi="ITC Avant Garde" w:cs="Arial"/>
          <w:bCs/>
        </w:rPr>
        <w:t>En relación con el documento que la Recurrente define como un papel de trabajo mediante</w:t>
      </w:r>
      <w:r w:rsidRPr="00654D1D">
        <w:rPr>
          <w:rFonts w:ascii="ITC Avant Garde" w:hAnsi="ITC Avant Garde" w:cs="Arial"/>
        </w:rPr>
        <w:t xml:space="preserve"> el cual se exponen datos comparativos estadísticos, cuyo autor se desconoce, respecto de esta prueba se precisa que si bien fue admitida como Documental, su análisis y valoración se realiza en los términos de lo dispuesto por el artículo 210-A del CFPC, de aplicación supletoria a la Ley Federal de Procedimiento Administrativo, por tratarse, según se aprecia en el expediente de una impresión, sin firmas y sin que se detecte a su autor, y en ese tenor se debe señalar que dicha prueba carece de valor probatorio alguno, atento a que no fue perfeccionada por la oferente, al no haber acreditado la fiabilidad en el método en que fue generada, comunicada, recibida o archivada y, en su caso a quien es posible atribuir el contenido de la información relativa, y ser accesible para su ulterior consulta. Asimismo, esta prueba tampoco fue posible adminicularla con alguna de las otras pruebas desahogadas, para tener  por acreditado su contenido, por no ser ninguna de ellas idónea para el perfeccionamiento de la mencionada probanza, de acuerdo al prudente arbitrio de esta autoridad, y por las omisiones señaladas, en que incurrió la oferente.</w:t>
      </w:r>
    </w:p>
    <w:p w14:paraId="01F8D24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Anexo 8: En relación </w:t>
      </w:r>
      <w:r w:rsidRPr="00654D1D">
        <w:rPr>
          <w:rFonts w:ascii="ITC Avant Garde" w:hAnsi="ITC Avant Garde" w:cs="Arial"/>
          <w:bCs/>
        </w:rPr>
        <w:t xml:space="preserve">con el documento consistente en la copia fotostática denominada informe No. 478-GPR/2010, constante de 199 páginas, que se atribuye a OSIPTEL, </w:t>
      </w:r>
      <w:r w:rsidRPr="00654D1D">
        <w:rPr>
          <w:rFonts w:ascii="ITC Avant Garde" w:hAnsi="ITC Avant Garde" w:cs="Arial"/>
        </w:rPr>
        <w:t xml:space="preserve">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654D1D">
        <w:rPr>
          <w:rFonts w:ascii="ITC Avant Garde" w:hAnsi="ITC Avant Garde" w:cs="Arial"/>
        </w:rPr>
        <w:t>adminiculadamente</w:t>
      </w:r>
      <w:proofErr w:type="spellEnd"/>
      <w:r w:rsidRPr="00654D1D">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 </w:t>
      </w:r>
    </w:p>
    <w:p w14:paraId="3F81F2FF"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lastRenderedPageBreak/>
        <w:t xml:space="preserve">Sin perjuicio de lo anterior, el contenido de la documental referida no es concluyente toda vez que se refiere a regulaciones adoptadas por órganos reguladores de otros países, cuya implementación no significa que deban replicarse en la industria de telecomunicaciones en México, toda vez que la política regulatoria debe ser acorde a la realidad de cada país. </w:t>
      </w:r>
    </w:p>
    <w:p w14:paraId="6D1E7C1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Anexo 9: En relación </w:t>
      </w:r>
      <w:r w:rsidRPr="00654D1D">
        <w:rPr>
          <w:rFonts w:ascii="ITC Avant Garde" w:hAnsi="ITC Avant Garde" w:cs="Arial"/>
          <w:bCs/>
        </w:rPr>
        <w:t xml:space="preserve">con el documento consistente en la copia fotostática denominada informe No. 168-GPR/2010, constante de 397 páginas, que se atribuye a OSIPTEL, </w:t>
      </w:r>
      <w:r w:rsidRPr="00654D1D">
        <w:rPr>
          <w:rFonts w:ascii="ITC Avant Garde" w:hAnsi="ITC Avant Garde" w:cs="Arial"/>
        </w:rPr>
        <w:t xml:space="preserve">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654D1D">
        <w:rPr>
          <w:rFonts w:ascii="ITC Avant Garde" w:hAnsi="ITC Avant Garde" w:cs="Arial"/>
        </w:rPr>
        <w:t>adminiculadamente</w:t>
      </w:r>
      <w:proofErr w:type="spellEnd"/>
      <w:r w:rsidRPr="00654D1D">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06BBD8DF"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 xml:space="preserve">Sin perjuicio de lo anterior, el contenido de la documental referida no es concluyente toda vez que se refiere a regulaciones adoptadas por órganos reguladores de otros países, cuya implementación no significa que deban replicarse en la industria de telecomunicaciones en México, toda vez que la política regulatoria debe ser acorde a la realidad de cada país. </w:t>
      </w:r>
    </w:p>
    <w:p w14:paraId="75AD4F88" w14:textId="77777777" w:rsidR="00654D1D" w:rsidRPr="00654D1D" w:rsidRDefault="003E526D" w:rsidP="00654D1D">
      <w:pPr>
        <w:spacing w:before="240"/>
        <w:jc w:val="both"/>
        <w:rPr>
          <w:rFonts w:ascii="ITC Avant Garde" w:hAnsi="ITC Avant Garde" w:cs="Arial"/>
          <w:bCs/>
        </w:rPr>
      </w:pPr>
      <w:r w:rsidRPr="00654D1D">
        <w:rPr>
          <w:rFonts w:ascii="ITC Avant Garde" w:hAnsi="ITC Avant Garde" w:cs="Arial"/>
        </w:rPr>
        <w:t xml:space="preserve">Anexo 10: En relación </w:t>
      </w:r>
      <w:r w:rsidRPr="00654D1D">
        <w:rPr>
          <w:rFonts w:ascii="ITC Avant Garde" w:hAnsi="ITC Avant Garde" w:cs="Arial"/>
          <w:bCs/>
        </w:rPr>
        <w:t xml:space="preserve">con el documento consistente en la copia certificada </w:t>
      </w:r>
      <w:r w:rsidRPr="00654D1D">
        <w:rPr>
          <w:rFonts w:ascii="ITC Avant Garde" w:hAnsi="ITC Avant Garde" w:cs="Arial"/>
        </w:rPr>
        <w:t xml:space="preserve">del citatorio de fecha dieciocho de julio de dos mil once, por virtud del cual se solicita a la Recurrente se sirvan esperar el día diecinueve de julio de dos mil once al Notificador correspondiente de la Comisión a efecto de notificar la Resolución P/060711/257, </w:t>
      </w:r>
      <w:r w:rsidRPr="00654D1D">
        <w:rPr>
          <w:rFonts w:ascii="ITC Avant Garde" w:hAnsi="ITC Avant Garde" w:cs="Arial"/>
          <w:bCs/>
        </w:rPr>
        <w:t xml:space="preserve">se concede a la misma pleno valor probatorio en términos de lo dispuesto en los artículos 79, 93 fracción II, 129, 197 y 202 del Código Federal de Procedimientos Civiles (en lo sucesivo, CFPC). </w:t>
      </w:r>
      <w:r w:rsidRPr="00654D1D">
        <w:rPr>
          <w:rFonts w:ascii="ITC Avant Garde" w:hAnsi="ITC Avant Garde" w:cs="Arial"/>
        </w:rPr>
        <w:t xml:space="preserve">Considerando lo anterior, así como que en el numeral </w:t>
      </w:r>
      <w:r w:rsidRPr="00654D1D">
        <w:rPr>
          <w:rFonts w:ascii="ITC Avant Garde" w:hAnsi="ITC Avant Garde" w:cs="Arial"/>
          <w:b/>
        </w:rPr>
        <w:t>XII</w:t>
      </w:r>
      <w:r w:rsidRPr="00654D1D">
        <w:rPr>
          <w:rFonts w:ascii="ITC Avant Garde" w:hAnsi="ITC Avant Garde" w:cs="Arial"/>
        </w:rPr>
        <w:t xml:space="preserve"> del capítulo de ofrecimiento de pruebas del escrito por el que se interpuso el recurso que se resuelve en este acto  se ofreció como prueba el expediente administrativo en que se dictó la Resolución Recurrida, probanza que fue admitida, teniéndose a la vista el referido expediente al momento de dictar esta resolución, se analizan las copias certificadas referidas, y dado que las mismas coinciden con el original que obra en el referido expediente, se concede valor probatorio a la probanza referida, y con la misma se tiene por acreditado que la Recurrente recibió el citatorio de referencia  por virtud del cual se solicita a la Recurrente se sirvan esperar el día diecinueve de julio de dos mil once, al Notificador correspondiente de la Comisión a efecto de notificar la Resolución P/060711/257.</w:t>
      </w:r>
    </w:p>
    <w:p w14:paraId="34B16F2D" w14:textId="77777777" w:rsidR="00654D1D" w:rsidRPr="00654D1D" w:rsidRDefault="003E526D" w:rsidP="00654D1D">
      <w:pPr>
        <w:spacing w:before="240"/>
        <w:jc w:val="both"/>
        <w:rPr>
          <w:rFonts w:ascii="ITC Avant Garde" w:hAnsi="ITC Avant Garde" w:cs="Arial"/>
          <w:bCs/>
        </w:rPr>
      </w:pPr>
      <w:r w:rsidRPr="00654D1D">
        <w:rPr>
          <w:rFonts w:ascii="ITC Avant Garde" w:hAnsi="ITC Avant Garde" w:cs="Arial"/>
        </w:rPr>
        <w:lastRenderedPageBreak/>
        <w:t xml:space="preserve">Anexo 11: En relación </w:t>
      </w:r>
      <w:r w:rsidRPr="00654D1D">
        <w:rPr>
          <w:rFonts w:ascii="ITC Avant Garde" w:hAnsi="ITC Avant Garde" w:cs="Arial"/>
          <w:bCs/>
        </w:rPr>
        <w:t xml:space="preserve">con el documento consistente en la copia certificada </w:t>
      </w:r>
      <w:r w:rsidRPr="00654D1D">
        <w:rPr>
          <w:rFonts w:ascii="ITC Avant Garde" w:hAnsi="ITC Avant Garde" w:cs="Arial"/>
        </w:rPr>
        <w:t xml:space="preserve">del instructivo de notificación de fecha diecinueve de julio de dos mil once, por virtud del cual se notifica a la Recurrente la resolución P/060711/257 emitida por el Pleno de la Comisión Federal de Telecomunicaciones, </w:t>
      </w:r>
      <w:r w:rsidRPr="00654D1D">
        <w:rPr>
          <w:rFonts w:ascii="ITC Avant Garde" w:hAnsi="ITC Avant Garde" w:cs="Arial"/>
          <w:bCs/>
        </w:rPr>
        <w:t xml:space="preserve">se concede a la misma pleno valor probatorio en términos de lo dispuesto en los artículos 79, 93 fracción II, 129, 197 y 202 del Código Federal de Procedimientos Civiles (en lo sucesivo, CFPC). </w:t>
      </w:r>
      <w:r w:rsidRPr="00654D1D">
        <w:rPr>
          <w:rFonts w:ascii="ITC Avant Garde" w:hAnsi="ITC Avant Garde" w:cs="Arial"/>
        </w:rPr>
        <w:t xml:space="preserve">Considerando lo anterior, así como que en el numeral </w:t>
      </w:r>
      <w:r w:rsidRPr="00654D1D">
        <w:rPr>
          <w:rFonts w:ascii="ITC Avant Garde" w:hAnsi="ITC Avant Garde" w:cs="Arial"/>
          <w:b/>
        </w:rPr>
        <w:t>XII</w:t>
      </w:r>
      <w:r w:rsidRPr="00654D1D">
        <w:rPr>
          <w:rFonts w:ascii="ITC Avant Garde" w:hAnsi="ITC Avant Garde" w:cs="Arial"/>
        </w:rPr>
        <w:t xml:space="preserve"> del capítulo de ofrecimiento de pruebas del escrito por el que se interpuso el recurso que se resuelve en este acto  se ofreció como prueba el expediente administrativo en que se dictó la Resolución Recurrida, probanza que fue admitida, teniéndose a la vista el referido expediente al momento de dictar esta resolución, se analizan las copias certificadas referidas, y dado que las mismas coinciden con el original que obra en el referido expediente,  se concede valor probatorio a la probanza referida, y con la misma se tiene por acreditado que la Recurrente recibió el instructivo de referencia  por virtud del cual el día diecinueve de julio de dos mil once, se notificó a la Recurrente la resolución P/060711/257, emitida por el Pleno de la Comisión Federal de Telecomunicaciones.</w:t>
      </w:r>
    </w:p>
    <w:p w14:paraId="09E877E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Anexo 12: En relación </w:t>
      </w:r>
      <w:r w:rsidRPr="00654D1D">
        <w:rPr>
          <w:rFonts w:ascii="ITC Avant Garde" w:hAnsi="ITC Avant Garde" w:cs="Arial"/>
          <w:bCs/>
        </w:rPr>
        <w:t xml:space="preserve">con el documento consistente en la copia certificada </w:t>
      </w:r>
      <w:r w:rsidRPr="00654D1D">
        <w:rPr>
          <w:rFonts w:ascii="ITC Avant Garde" w:hAnsi="ITC Avant Garde" w:cs="Arial"/>
        </w:rPr>
        <w:t>de la resolución P/060711/257</w:t>
      </w:r>
      <w:r w:rsidRPr="00654D1D">
        <w:rPr>
          <w:rFonts w:ascii="ITC Avant Garde" w:hAnsi="ITC Avant Garde" w:cs="Arial"/>
          <w:b/>
        </w:rPr>
        <w:t xml:space="preserve">, </w:t>
      </w:r>
      <w:r w:rsidRPr="00654D1D">
        <w:rPr>
          <w:rFonts w:ascii="ITC Avant Garde" w:hAnsi="ITC Avant Garde" w:cs="Arial"/>
        </w:rPr>
        <w:t xml:space="preserve">ofrecido por la Recurrente, se valora dicha probanza otorgándole </w:t>
      </w:r>
      <w:r w:rsidRPr="00654D1D">
        <w:rPr>
          <w:rFonts w:ascii="ITC Avant Garde" w:hAnsi="ITC Avant Garde" w:cs="Arial"/>
          <w:bCs/>
        </w:rPr>
        <w:t xml:space="preserve">pleno valor probatorio en términos de lo dispuesto en los artículos 79, 93 fracción II, 129, 197 y 202 del Código Federal de Procedimientos Civiles (en lo sucesivo, CFPC). </w:t>
      </w:r>
      <w:r w:rsidRPr="00654D1D">
        <w:rPr>
          <w:rFonts w:ascii="ITC Avant Garde" w:hAnsi="ITC Avant Garde" w:cs="Arial"/>
        </w:rPr>
        <w:t xml:space="preserve">Considerando lo anterior, así como que en el numeral </w:t>
      </w:r>
      <w:r w:rsidRPr="00654D1D">
        <w:rPr>
          <w:rFonts w:ascii="ITC Avant Garde" w:hAnsi="ITC Avant Garde" w:cs="Arial"/>
          <w:b/>
        </w:rPr>
        <w:t>XII</w:t>
      </w:r>
      <w:r w:rsidRPr="00654D1D">
        <w:rPr>
          <w:rFonts w:ascii="ITC Avant Garde" w:hAnsi="ITC Avant Garde" w:cs="Arial"/>
        </w:rPr>
        <w:t xml:space="preserve"> del capítulo de ofrecimiento de pruebas del escrito por el que se interpuso el recurso que se resuelve en este acto  se ofreció como prueba el expediente administrativo en que se dictó la Resolución Recurrida, probanza que fue admitida, teniéndose a la vista el referido expediente al momento de dictar esta resolución, se analizan las copias certificadas referidas, y dado que las mismas coinciden con el original que obra en el referido expediente,  se concede valor probatorio a la probanza referida, y con la misma se tiene por acreditada la Resolución Recurrida, P/060711/257, emitida por el Pleno de la Comisión Federal de Telecomunicaciones.</w:t>
      </w:r>
    </w:p>
    <w:p w14:paraId="2916138F"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 xml:space="preserve">Anexo 13: En relación </w:t>
      </w:r>
      <w:r w:rsidRPr="00654D1D">
        <w:rPr>
          <w:rFonts w:ascii="ITC Avant Garde" w:hAnsi="ITC Avant Garde" w:cs="Arial"/>
          <w:bCs/>
        </w:rPr>
        <w:t>con el documento consistente en la copia simple</w:t>
      </w:r>
      <w:r w:rsidRPr="00654D1D">
        <w:rPr>
          <w:rFonts w:ascii="ITC Avant Garde" w:hAnsi="ITC Avant Garde" w:cs="Arial"/>
        </w:rPr>
        <w:t xml:space="preserve"> del oficio CFT/D01/OCB/0730/2011 de fecha 13 de julio de 2011, y toda vez que dicha documental obra en autos de este Instituto, lo cual obedece a un hecho notorio, la misma se valoran en términos de los dispuesto en el artículo 202 del CFPC, de aplicación supletoria a la Ley Federal de Procedimiento Administrativo, señalándose que la misma no tiene el alcance probatorio que el oferente pretende otorgarle, en virtud de que se trata de un voto particular que en nada cambiaría el sentido de la resolución, ya que solo reflejan la postura de un comisionado, siendo que las determinaciones de la entonces Comisión se tomaban de manera colegiada y por mayoría de votos.</w:t>
      </w:r>
    </w:p>
    <w:p w14:paraId="44F5960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Anexo 14: En relación </w:t>
      </w:r>
      <w:r w:rsidRPr="00654D1D">
        <w:rPr>
          <w:rFonts w:ascii="ITC Avant Garde" w:hAnsi="ITC Avant Garde" w:cs="Arial"/>
          <w:bCs/>
        </w:rPr>
        <w:t>con el documento consistente en la copia fotostática</w:t>
      </w:r>
      <w:r w:rsidRPr="00654D1D">
        <w:rPr>
          <w:rFonts w:ascii="ITC Avant Garde" w:hAnsi="ITC Avant Garde" w:cs="Arial"/>
        </w:rPr>
        <w:t xml:space="preserve"> de la resolución P/201010/492 de fecha 20 de octubre de 2010, mediante la cual el Pleno de la Comisión Federal de Telecomunicaciones determina las condiciones de interconexión no convenidas entre Axtel, S.A.B. de C.V. y la Recurrente, y toda vez que dicha documental obra en autos de este Instituto, lo cual obedece a un hecho notorio, la misma se valoran en términos de los dispuesto en el artículo 202 del CFPC, de aplicación supletoria a la Ley Federal de Procedimiento Administrativo, señalándose que la misma no tiene el alcance probatorio que el oferente pretende otorgarle, en virtud de que el contenido de dicha documental es ajeno a la resolución recurrida, pues resulta evidente que en la misma se hace referencia a un diverso desacuerdo de interconexión, al que fue materia de la resolución recurrida, y en consecuencia en nada favorece a los intereses de la oferente.</w:t>
      </w:r>
    </w:p>
    <w:p w14:paraId="0097A54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Anexo 15: En relación </w:t>
      </w:r>
      <w:r w:rsidRPr="00654D1D">
        <w:rPr>
          <w:rFonts w:ascii="ITC Avant Garde" w:hAnsi="ITC Avant Garde" w:cs="Arial"/>
          <w:bCs/>
        </w:rPr>
        <w:t>con el documento consistente en la copia fotostática</w:t>
      </w:r>
      <w:r w:rsidRPr="00654D1D">
        <w:rPr>
          <w:rFonts w:ascii="ITC Avant Garde" w:hAnsi="ITC Avant Garde" w:cs="Arial"/>
        </w:rPr>
        <w:t xml:space="preserve"> del documento denominado “ANEXO 1 “Determinación de la tarifa de terminación local para una red de telefonía móvil en México bajo el esquema “El Que Llama Paga”, Modelo de Costos Incrementales de Largo Plazo.”, que la Recurrente indica es anexo de la resolución P/201010/492 de fecha 20 de octubre de 2010, mediante la cual el Pleno de la Comisión Federal de Telecomunicaciones determina las condiciones de interconexión no convenidas entre Axtel, S.A.B. de C.V. y la Recurrente, las mismas se valoran en términos de los dispuesto en el artículo 202 del CFPC, de aplicación supletoria a la Ley Federal de Procedimiento Administrativo, señalándose que la misma no tiene el alcance probatorio que el oferente pretende otorgarle, en virtud de que el contenido de dicha documental es ajeno a la resolución recurrida, pues resulta evidente que en la misma se hace referencia a un diverso desacuerdo de interconexión, al que fue materia de la resolución recurrida, y en consecuencia en nada favorece a los intereses de la oferente.</w:t>
      </w:r>
    </w:p>
    <w:p w14:paraId="6913C4A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Anexo 16: En relación </w:t>
      </w:r>
      <w:r w:rsidRPr="00654D1D">
        <w:rPr>
          <w:rFonts w:ascii="ITC Avant Garde" w:hAnsi="ITC Avant Garde" w:cs="Arial"/>
          <w:bCs/>
        </w:rPr>
        <w:t>con el documento consistente en la copia fotostática</w:t>
      </w:r>
      <w:r w:rsidRPr="00654D1D">
        <w:rPr>
          <w:rFonts w:ascii="ITC Avant Garde" w:hAnsi="ITC Avant Garde" w:cs="Arial"/>
        </w:rPr>
        <w:t xml:space="preserve"> del documento denominado “Estudio de Vidas Útiles Borrador Informe Final ATELMO”, que la Recurrente atribuye a </w:t>
      </w:r>
      <w:proofErr w:type="spellStart"/>
      <w:r w:rsidRPr="00654D1D">
        <w:rPr>
          <w:rFonts w:ascii="ITC Avant Garde" w:hAnsi="ITC Avant Garde" w:cs="Arial"/>
        </w:rPr>
        <w:t>Ernst&amp;Young</w:t>
      </w:r>
      <w:proofErr w:type="spellEnd"/>
      <w:r w:rsidRPr="00654D1D">
        <w:rPr>
          <w:rFonts w:ascii="ITC Avant Garde" w:hAnsi="ITC Avant Garde" w:cs="Arial"/>
        </w:rPr>
        <w:t xml:space="preserve"> en Chile,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654D1D">
        <w:rPr>
          <w:rFonts w:ascii="ITC Avant Garde" w:hAnsi="ITC Avant Garde" w:cs="Arial"/>
        </w:rPr>
        <w:t>adminiculadamente</w:t>
      </w:r>
      <w:proofErr w:type="spellEnd"/>
      <w:r w:rsidRPr="00654D1D">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03630C80"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lastRenderedPageBreak/>
        <w:t>Sin perjuicio de lo anterior, el contenido de la documental referida no es concluyente toda vez que no tiene el alcance ni el valor probatorio que el oferente pretende otorgarle, toda vez que tal como se menciona en el estudio se recopiló información de distintos países, centrándose en los activos expuestos a obsolescencia tecnológica, considerando parámetros que permitan la comparación con la realidad de la industria de telecomunicaciones móviles en Chile, no así con la realidad del mercado móvil en México.</w:t>
      </w:r>
    </w:p>
    <w:p w14:paraId="572FD9A0" w14:textId="067CF8D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Anexo 17: En relación </w:t>
      </w:r>
      <w:r w:rsidRPr="00654D1D">
        <w:rPr>
          <w:rFonts w:ascii="ITC Avant Garde" w:hAnsi="ITC Avant Garde" w:cs="Arial"/>
          <w:bCs/>
        </w:rPr>
        <w:t>con el documento consistente en la copia fotostática</w:t>
      </w:r>
      <w:r w:rsidRPr="00654D1D">
        <w:rPr>
          <w:rFonts w:ascii="ITC Avant Garde" w:hAnsi="ITC Avant Garde" w:cs="Arial"/>
        </w:rPr>
        <w:t xml:space="preserve"> del documento denominado “ANEXO DE PRECIOS DE ELEMENTOS DE RED DEL MODELO DE TERMINACIÓN MÓVIL PERU – COSTOS US$”, que la Recurrente identifica como papel de trabajo,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654D1D">
        <w:rPr>
          <w:rFonts w:ascii="ITC Avant Garde" w:hAnsi="ITC Avant Garde" w:cs="Arial"/>
        </w:rPr>
        <w:t>adminiculadamente</w:t>
      </w:r>
      <w:proofErr w:type="spellEnd"/>
      <w:r w:rsidRPr="00654D1D">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4B60202B" w14:textId="4F825CD3" w:rsidR="003E526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Sin perjuicio de lo anterior, el contenido de la documental referida no es concluyente toda vez que no tiene el alcance ni el valor probatorio que el oferente pretende otorgarle, toda vez que representa los supuestos costos de los elementos de red en el mercado peruano.</w:t>
      </w:r>
    </w:p>
    <w:p w14:paraId="203FFFA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Anexo 18: En relación </w:t>
      </w:r>
      <w:r w:rsidRPr="00654D1D">
        <w:rPr>
          <w:rFonts w:ascii="ITC Avant Garde" w:hAnsi="ITC Avant Garde" w:cs="Arial"/>
          <w:bCs/>
        </w:rPr>
        <w:t>con el documento consistente en la copia fotostática</w:t>
      </w:r>
      <w:r w:rsidRPr="00654D1D">
        <w:rPr>
          <w:rFonts w:ascii="ITC Avant Garde" w:hAnsi="ITC Avant Garde" w:cs="Arial"/>
        </w:rPr>
        <w:t xml:space="preserve"> del documento que la Recurrente identifica como papel de trabajo en el que se establece el monto histórico de inversiones realizadas por los operadores de telefonía móvil en México,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654D1D">
        <w:rPr>
          <w:rFonts w:ascii="ITC Avant Garde" w:hAnsi="ITC Avant Garde" w:cs="Arial"/>
        </w:rPr>
        <w:t>adminiculadamente</w:t>
      </w:r>
      <w:proofErr w:type="spellEnd"/>
      <w:r w:rsidRPr="00654D1D">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71028F0F"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Sin perjuicio de lo anterior, el contenido de la documental referida no es concluyente toda vez que no señala la fuente de la información presentada y no permite distinguir la inversión asociada a la prestación de servicios de interconexión.</w:t>
      </w:r>
    </w:p>
    <w:p w14:paraId="7FDBE23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Anexo 19: En relación </w:t>
      </w:r>
      <w:r w:rsidRPr="00654D1D">
        <w:rPr>
          <w:rFonts w:ascii="ITC Avant Garde" w:hAnsi="ITC Avant Garde" w:cs="Arial"/>
          <w:bCs/>
        </w:rPr>
        <w:t>con el documento consistente en copia simple del papel de trabajo en el que se refleja la vida útil de inversiones en bienes de capital necesarios para la prestación del servicio de telecomunicaciones, así como diversos gastos relacionados con la prestación del servicio</w:t>
      </w:r>
      <w:r w:rsidRPr="00654D1D">
        <w:rPr>
          <w:rFonts w:ascii="ITC Avant Garde" w:hAnsi="ITC Avant Garde" w:cs="Arial"/>
        </w:rPr>
        <w:t xml:space="preserve">,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654D1D">
        <w:rPr>
          <w:rFonts w:ascii="ITC Avant Garde" w:hAnsi="ITC Avant Garde" w:cs="Arial"/>
        </w:rPr>
        <w:t>adminiculadamente</w:t>
      </w:r>
      <w:proofErr w:type="spellEnd"/>
      <w:r w:rsidRPr="00654D1D">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7F6A08DE"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Sin perjuicio de lo anterior, el contenido de la documental referida no es concluyente toda vez que no señala la fuente de la información presentada y las mismas sirven únicamente como referencia.</w:t>
      </w:r>
    </w:p>
    <w:p w14:paraId="24870A26"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Prueba Pericial</w:t>
      </w:r>
    </w:p>
    <w:p w14:paraId="022A46F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Partiendo de la base de que la autoridad goza de la más amplia libertad para hacer el análisis de las pruebas rendidas, determinar su valor y fijar el resultado de dicha valuación contradictoria, y de que en lo que respecta a la valoración de la prueba pericial, la misma quedará a la prudente apreciación de la autoridad, de conformidad con los artículos 93 fracción IV, 143, 144, 197 y 211 del CFPC, de aplicación supletoria a la Ley Federal de Procedimiento Administrativo.</w:t>
      </w:r>
    </w:p>
    <w:p w14:paraId="7AFD2FA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 continuación se procede a valorar el dictamen pericial en materia de economía de las telecomunicaciones, la cual fue desahogada por el licenciado en economía Iván Díaz Barreiro Hernández con Cédula Profesional número 3424365, perito designado Grupo Telefónica en su carácter de parte quejosa, por el licenciado en economía Carlos Manuel Castro Landeros con Cédula Profesional número 3446577, perito designado por la Grupo Televisa en su carácter de tercero interesada y por el licenciado en economía Carlos Enrique Noriega Carrillo con Cédula Profesional número 570824, perito tercero en discordia designado por el Colegio Nacional de Economistas. Quienes suscribieron y ratificaron su correspondiente dictamen pericial, los cuales son valorados en los siguientes términos:</w:t>
      </w:r>
    </w:p>
    <w:p w14:paraId="485D1867" w14:textId="77777777" w:rsidR="00654D1D" w:rsidRPr="00654D1D" w:rsidRDefault="003E526D" w:rsidP="00654D1D">
      <w:pPr>
        <w:widowControl w:val="0"/>
        <w:tabs>
          <w:tab w:val="left" w:pos="720"/>
          <w:tab w:val="center" w:pos="4252"/>
          <w:tab w:val="right" w:pos="8504"/>
        </w:tabs>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 xml:space="preserve">Con relación a la prueba pericial ofrecida por </w:t>
      </w:r>
      <w:r w:rsidRPr="00654D1D">
        <w:rPr>
          <w:rFonts w:ascii="ITC Avant Garde" w:eastAsia="Courier New" w:hAnsi="ITC Avant Garde" w:cs="Arial"/>
          <w:lang w:val="es-ES" w:eastAsia="es-ES"/>
        </w:rPr>
        <w:t xml:space="preserve">representante legal de las empresas Baja Celular Mexicana, S.A. de C.V., Celular de Telefonía, S.A. de C.V., </w:t>
      </w:r>
      <w:proofErr w:type="spellStart"/>
      <w:r w:rsidRPr="00654D1D">
        <w:rPr>
          <w:rFonts w:ascii="ITC Avant Garde" w:eastAsia="Courier New" w:hAnsi="ITC Avant Garde" w:cs="Arial"/>
          <w:lang w:val="es-ES" w:eastAsia="es-ES"/>
        </w:rPr>
        <w:t>Movitel</w:t>
      </w:r>
      <w:proofErr w:type="spellEnd"/>
      <w:r w:rsidRPr="00654D1D">
        <w:rPr>
          <w:rFonts w:ascii="ITC Avant Garde" w:eastAsia="Courier New" w:hAnsi="ITC Avant Garde" w:cs="Arial"/>
          <w:lang w:val="es-ES" w:eastAsia="es-ES"/>
        </w:rPr>
        <w:t xml:space="preserve"> del Noroeste, S.A. de C.V., Telefonía Celular del Norte, S.A. de C.V. y Pegaso Comunicaciones y Sistemas, S.A. de C.V.</w:t>
      </w:r>
      <w:r w:rsidRPr="00654D1D">
        <w:rPr>
          <w:rFonts w:ascii="ITC Avant Garde" w:eastAsia="Times New Roman" w:hAnsi="ITC Avant Garde" w:cs="Arial"/>
          <w:lang w:val="es-ES" w:eastAsia="es-ES"/>
        </w:rPr>
        <w:t xml:space="preserve">, ofrecida dentro del recurso de revisión que se resuelve, este Instituto valora la misma en términos del artículo 211, del CFPC, en los siguientes términos: </w:t>
      </w:r>
    </w:p>
    <w:p w14:paraId="1D789654" w14:textId="77777777" w:rsidR="00654D1D" w:rsidRPr="00654D1D" w:rsidRDefault="003E526D" w:rsidP="00654D1D">
      <w:pPr>
        <w:spacing w:before="240"/>
        <w:jc w:val="both"/>
        <w:rPr>
          <w:rFonts w:ascii="ITC Avant Garde" w:hAnsi="ITC Avant Garde" w:cs="Arial"/>
          <w:lang w:val="es-ES"/>
        </w:rPr>
      </w:pPr>
      <w:r w:rsidRPr="00654D1D">
        <w:rPr>
          <w:rFonts w:ascii="ITC Avant Garde" w:hAnsi="ITC Avant Garde" w:cs="Arial"/>
          <w:lang w:val="es-ES"/>
        </w:rPr>
        <w:lastRenderedPageBreak/>
        <w:t>Preguntas en materia económica propuestas por Grupo Telefónica</w:t>
      </w:r>
    </w:p>
    <w:p w14:paraId="4B4D6E4B"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Pregunta 1. Que diga y explique el perito, con base en la experiencia internacional, la evolución de las metodologías utilizadas para la determinación de tarifas de interconexión con base en costos.</w:t>
      </w:r>
    </w:p>
    <w:p w14:paraId="6546D39D"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Al respecto, el perito de la recurrente refiere que la teoría económica recomienda que las tarifas reguladas de interconexión se establezcan con base en los costos incrementales de largo plazo de ofrecer el servicio, con una contribución adicional para la recuperación de costos comunes y conjuntos.</w:t>
      </w:r>
    </w:p>
    <w:p w14:paraId="1E1573DA" w14:textId="77777777" w:rsidR="00654D1D" w:rsidRPr="00654D1D" w:rsidRDefault="003E526D" w:rsidP="00654D1D">
      <w:pPr>
        <w:autoSpaceDE w:val="0"/>
        <w:autoSpaceDN w:val="0"/>
        <w:adjustRightInd w:val="0"/>
        <w:spacing w:before="240"/>
        <w:jc w:val="both"/>
        <w:rPr>
          <w:rFonts w:ascii="ITC Avant Garde" w:hAnsi="ITC Avant Garde" w:cs="Arial"/>
          <w:lang w:val="en-US"/>
        </w:rPr>
      </w:pPr>
      <w:r w:rsidRPr="00654D1D">
        <w:rPr>
          <w:rFonts w:ascii="ITC Avant Garde" w:hAnsi="ITC Avant Garde" w:cs="Arial"/>
        </w:rPr>
        <w:t>Los LRIC pueden ser calculados de dos modalidades: "Top Down" y "</w:t>
      </w:r>
      <w:proofErr w:type="spellStart"/>
      <w:r w:rsidRPr="00654D1D">
        <w:rPr>
          <w:rFonts w:ascii="ITC Avant Garde" w:hAnsi="ITC Avant Garde" w:cs="Arial"/>
        </w:rPr>
        <w:t>Bottom</w:t>
      </w:r>
      <w:proofErr w:type="spellEnd"/>
      <w:r w:rsidRPr="00654D1D">
        <w:rPr>
          <w:rFonts w:ascii="ITC Avant Garde" w:hAnsi="ITC Avant Garde" w:cs="Arial"/>
        </w:rPr>
        <w:t xml:space="preserve"> Up". </w:t>
      </w:r>
      <w:r w:rsidRPr="00654D1D">
        <w:rPr>
          <w:rFonts w:ascii="ITC Avant Garde" w:hAnsi="ITC Avant Garde" w:cs="Arial"/>
          <w:lang w:val="en-US"/>
        </w:rPr>
        <w:t xml:space="preserve">El </w:t>
      </w:r>
      <w:proofErr w:type="spellStart"/>
      <w:r w:rsidRPr="00654D1D">
        <w:rPr>
          <w:rFonts w:ascii="ITC Avant Garde" w:hAnsi="ITC Avant Garde" w:cs="Arial"/>
          <w:lang w:val="en-US"/>
        </w:rPr>
        <w:t>enfoque</w:t>
      </w:r>
      <w:proofErr w:type="spellEnd"/>
      <w:r w:rsidRPr="00654D1D">
        <w:rPr>
          <w:rFonts w:ascii="ITC Avant Garde" w:hAnsi="ITC Avant Garde" w:cs="Arial"/>
          <w:lang w:val="en-US"/>
        </w:rPr>
        <w:t xml:space="preserve"> "Bottom Up" </w:t>
      </w:r>
      <w:proofErr w:type="spellStart"/>
      <w:r w:rsidRPr="00654D1D">
        <w:rPr>
          <w:rFonts w:ascii="ITC Avant Garde" w:hAnsi="ITC Avant Garde" w:cs="Arial"/>
          <w:lang w:val="en-US"/>
        </w:rPr>
        <w:t>incluye</w:t>
      </w:r>
      <w:proofErr w:type="spellEnd"/>
      <w:r w:rsidRPr="00654D1D">
        <w:rPr>
          <w:rFonts w:ascii="ITC Avant Garde" w:hAnsi="ITC Avant Garde" w:cs="Arial"/>
          <w:lang w:val="en-US"/>
        </w:rPr>
        <w:t xml:space="preserve"> los </w:t>
      </w:r>
      <w:proofErr w:type="spellStart"/>
      <w:r w:rsidRPr="00654D1D">
        <w:rPr>
          <w:rFonts w:ascii="ITC Avant Garde" w:hAnsi="ITC Avant Garde" w:cs="Arial"/>
          <w:lang w:val="en-US"/>
        </w:rPr>
        <w:t>métodos</w:t>
      </w:r>
      <w:proofErr w:type="spellEnd"/>
      <w:r w:rsidRPr="00654D1D">
        <w:rPr>
          <w:rFonts w:ascii="ITC Avant Garde" w:hAnsi="ITC Avant Garde" w:cs="Arial"/>
          <w:lang w:val="en-US"/>
        </w:rPr>
        <w:t xml:space="preserve"> "Scorched earth" y "Scorched node".</w:t>
      </w:r>
    </w:p>
    <w:p w14:paraId="4B602045" w14:textId="69312997" w:rsidR="003E526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 xml:space="preserve">Recientemente un creciente número de reguladores en el mundo, ha adoptado los modelos </w:t>
      </w:r>
      <w:proofErr w:type="spellStart"/>
      <w:r w:rsidRPr="00654D1D">
        <w:rPr>
          <w:rFonts w:ascii="ITC Avant Garde" w:hAnsi="ITC Avant Garde" w:cs="Arial"/>
        </w:rPr>
        <w:t>Bottom</w:t>
      </w:r>
      <w:proofErr w:type="spellEnd"/>
      <w:r w:rsidRPr="00654D1D">
        <w:rPr>
          <w:rFonts w:ascii="ITC Avant Garde" w:hAnsi="ITC Avant Garde" w:cs="Arial"/>
        </w:rPr>
        <w:t xml:space="preserve">-Up. Sin embargo, se mantienen las obligaciones sobre los operadores con PSM de elaborar y proporcionar su información contable por servicio, la cual es utilizada para calibrar y hacer más robustos los resultados de los modelos </w:t>
      </w:r>
      <w:proofErr w:type="spellStart"/>
      <w:r w:rsidRPr="00654D1D">
        <w:rPr>
          <w:rFonts w:ascii="ITC Avant Garde" w:hAnsi="ITC Avant Garde" w:cs="Arial"/>
        </w:rPr>
        <w:t>Bottom</w:t>
      </w:r>
      <w:proofErr w:type="spellEnd"/>
      <w:r w:rsidRPr="00654D1D">
        <w:rPr>
          <w:rFonts w:ascii="ITC Avant Garde" w:hAnsi="ITC Avant Garde" w:cs="Arial"/>
        </w:rPr>
        <w:t>-Up. A los modelos elaborados de esta forma también se les conoce como "modelos híbridos".</w:t>
      </w:r>
    </w:p>
    <w:p w14:paraId="7C0E5E3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otra parte, el perito de la tercero perjudicada manifestó que las mejores prácticas internacionales en materia de tarifas de interconexión, están basadas en la aplicación del concepto del CILP, lo cual está acorde con el enfoque utilizado por la </w:t>
      </w:r>
      <w:proofErr w:type="spellStart"/>
      <w:r w:rsidRPr="00654D1D">
        <w:rPr>
          <w:rFonts w:ascii="ITC Avant Garde" w:hAnsi="ITC Avant Garde" w:cs="Arial"/>
        </w:rPr>
        <w:t>Cofetel</w:t>
      </w:r>
      <w:proofErr w:type="spellEnd"/>
      <w:r w:rsidRPr="00654D1D">
        <w:rPr>
          <w:rFonts w:ascii="ITC Avant Garde" w:hAnsi="ITC Avant Garde" w:cs="Arial"/>
        </w:rPr>
        <w:t xml:space="preserve"> en su modelo de costos para la determinación de las tarifas de interconexión.</w:t>
      </w:r>
    </w:p>
    <w:p w14:paraId="3F8A5B5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su parte el perito tercero en discordia refiere que la evolución de las metodologías de las tarifas de interconexión con base en costos fue: </w:t>
      </w:r>
    </w:p>
    <w:p w14:paraId="4C385411" w14:textId="77777777" w:rsidR="00654D1D" w:rsidRPr="00654D1D" w:rsidRDefault="003E526D" w:rsidP="00654D1D">
      <w:pPr>
        <w:numPr>
          <w:ilvl w:val="0"/>
          <w:numId w:val="30"/>
        </w:numPr>
        <w:spacing w:before="240"/>
        <w:contextualSpacing/>
        <w:jc w:val="both"/>
        <w:rPr>
          <w:rFonts w:ascii="ITC Avant Garde" w:hAnsi="ITC Avant Garde" w:cs="Arial"/>
        </w:rPr>
      </w:pPr>
      <w:proofErr w:type="spellStart"/>
      <w:r w:rsidRPr="00654D1D">
        <w:rPr>
          <w:rFonts w:ascii="ITC Avant Garde" w:hAnsi="ITC Avant Garde" w:cs="Arial"/>
        </w:rPr>
        <w:t>Botton</w:t>
      </w:r>
      <w:proofErr w:type="spellEnd"/>
      <w:r w:rsidRPr="00654D1D">
        <w:rPr>
          <w:rFonts w:ascii="ITC Avant Garde" w:hAnsi="ITC Avant Garde" w:cs="Arial"/>
        </w:rPr>
        <w:t xml:space="preserve">-Up </w:t>
      </w:r>
      <w:proofErr w:type="spellStart"/>
      <w:r w:rsidRPr="00654D1D">
        <w:rPr>
          <w:rFonts w:ascii="ITC Avant Garde" w:hAnsi="ITC Avant Garde" w:cs="Arial"/>
        </w:rPr>
        <w:t>Scorched</w:t>
      </w:r>
      <w:proofErr w:type="spellEnd"/>
      <w:r w:rsidRPr="00654D1D">
        <w:rPr>
          <w:rFonts w:ascii="ITC Avant Garde" w:hAnsi="ITC Avant Garde" w:cs="Arial"/>
        </w:rPr>
        <w:t xml:space="preserve"> </w:t>
      </w:r>
      <w:proofErr w:type="spellStart"/>
      <w:r w:rsidRPr="00654D1D">
        <w:rPr>
          <w:rFonts w:ascii="ITC Avant Garde" w:hAnsi="ITC Avant Garde" w:cs="Arial"/>
        </w:rPr>
        <w:t>Node</w:t>
      </w:r>
      <w:proofErr w:type="spellEnd"/>
      <w:r w:rsidRPr="00654D1D">
        <w:rPr>
          <w:rFonts w:ascii="ITC Avant Garde" w:hAnsi="ITC Avant Garde" w:cs="Arial"/>
        </w:rPr>
        <w:t>, basado en el principal operador, que contempla los costos de operación, el tamaño de la red, la infraestructura, la inversión, los costos de capital y operacionales, costos comunes compartidos al modelo de interconexión estimado.</w:t>
      </w:r>
    </w:p>
    <w:p w14:paraId="555A725B" w14:textId="77777777" w:rsidR="00654D1D" w:rsidRPr="00654D1D" w:rsidRDefault="003E526D" w:rsidP="00654D1D">
      <w:pPr>
        <w:numPr>
          <w:ilvl w:val="0"/>
          <w:numId w:val="30"/>
        </w:numPr>
        <w:spacing w:before="240"/>
        <w:contextualSpacing/>
        <w:jc w:val="both"/>
        <w:rPr>
          <w:rFonts w:ascii="ITC Avant Garde" w:hAnsi="ITC Avant Garde" w:cs="Arial"/>
        </w:rPr>
      </w:pPr>
      <w:r w:rsidRPr="00654D1D">
        <w:rPr>
          <w:rFonts w:ascii="ITC Avant Garde" w:hAnsi="ITC Avant Garde" w:cs="Arial"/>
        </w:rPr>
        <w:t>BOTTOM-UP SCORCHED EARTH, basado en la demanda el servicio, clientes, condiciones socioeconómicas y principalmente geográficas del territorio de operación.</w:t>
      </w:r>
    </w:p>
    <w:p w14:paraId="4B60204F" w14:textId="27FDF987" w:rsidR="003E526D" w:rsidRPr="00654D1D" w:rsidRDefault="003E526D" w:rsidP="00654D1D">
      <w:pPr>
        <w:numPr>
          <w:ilvl w:val="0"/>
          <w:numId w:val="30"/>
        </w:numPr>
        <w:spacing w:before="240"/>
        <w:contextualSpacing/>
        <w:jc w:val="both"/>
        <w:rPr>
          <w:rFonts w:ascii="ITC Avant Garde" w:hAnsi="ITC Avant Garde" w:cs="Arial"/>
        </w:rPr>
      </w:pPr>
      <w:r w:rsidRPr="00654D1D">
        <w:rPr>
          <w:rFonts w:ascii="ITC Avant Garde" w:hAnsi="ITC Avant Garde" w:cs="Arial"/>
        </w:rPr>
        <w:t>TOP DOWN parten de la utilización de los costos operativos reales que se obtienen de la información contable auditada de la empresa, por lo que en una primera instancia la información de los costos correspondientes a los activos y demás elementos de la infraestructura de la red corresponde a los costos históricos.</w:t>
      </w:r>
    </w:p>
    <w:p w14:paraId="38F6C7A7"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78B0A45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Este Instituto coincide con los señalamientos de los tres peritos en el sentido de que existen diferentes metodologías de costeo que ha sido adoptadas en diversos países, en este sentido los peritos de la parte quejosa y de la tercero interesada señalan que la evolución de la practicas regulatorias en la materia demuestran que los Costos Incrementales de Largo Plazo son actualmente la metodología más utilizada a nivel mundial e incluso, reconocida como una mejor practica internacional para el cálculo de las tarifas de los servicios de interconexión de terminación por organismos internacionales especializados como la Unión Internacional de Telecomunicaciones (UIT).</w:t>
      </w:r>
    </w:p>
    <w:p w14:paraId="54AB4EC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De igual modo, se coincide con el señalamiento del perito designado por la quejosa en el sentido de que actualmente el enfoque más usado en el mundo es el ascendente o ingenieril también llamado </w:t>
      </w:r>
      <w:proofErr w:type="spellStart"/>
      <w:r w:rsidRPr="00654D1D">
        <w:rPr>
          <w:rFonts w:ascii="ITC Avant Garde" w:hAnsi="ITC Avant Garde" w:cs="Arial"/>
        </w:rPr>
        <w:t>Bottom</w:t>
      </w:r>
      <w:proofErr w:type="spellEnd"/>
      <w:r w:rsidRPr="00654D1D">
        <w:rPr>
          <w:rFonts w:ascii="ITC Avant Garde" w:hAnsi="ITC Avant Garde" w:cs="Arial"/>
        </w:rPr>
        <w:t>-Up, ya que los modelos que utilizan este enfoque son congruentes con la concepción de modelar una red hipotética basada en un operador eficiente que utilice la mejor tecnología disponible que impulse la competencia y eficiencia entre los operadores participantes del mercado. Mientras que los modelos de tipo Top Down utilizan los datos contables reales de la empresa, práctica que no es coincidente con el objetivo de modelar un operador eficiente que utiliza la mejor tecnología disponible y que se desarrolla en un mercado competitivo.</w:t>
      </w:r>
    </w:p>
    <w:p w14:paraId="5D85092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Asimismo se coincide con el perito de la parte quejosa en cuanto a que es posible reconciliar los resultados del modelo </w:t>
      </w:r>
      <w:proofErr w:type="spellStart"/>
      <w:r w:rsidRPr="00654D1D">
        <w:rPr>
          <w:rFonts w:ascii="ITC Avant Garde" w:hAnsi="ITC Avant Garde" w:cs="Arial"/>
        </w:rPr>
        <w:t>Bottom</w:t>
      </w:r>
      <w:proofErr w:type="spellEnd"/>
      <w:r w:rsidRPr="00654D1D">
        <w:rPr>
          <w:rFonts w:ascii="ITC Avant Garde" w:hAnsi="ITC Avant Garde" w:cs="Arial"/>
        </w:rPr>
        <w:t xml:space="preserve">-Up con los de uno Top-Down, sin embargo es preciso mencionar que para ello es necesario contar con el uso de información auditada respecto de la información que utiliza el modelo Top-Down a efecto de que se cuente con información fidedigna. Asimismo, el uso de información de costos históricos ocasiona que se incluya en el cálculo de los costos ineficiencias derivadas de decisiones que no se tomarían por una empresa racional y eficiente que opera en un mercado competitivo. </w:t>
      </w:r>
    </w:p>
    <w:p w14:paraId="75E34CE0"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Pregunta 2. Que identifique y explique el perito las mejores prácticas internacionales para ajustar las tarifas de interconexión hacia el nivel de costos correspondiente.</w:t>
      </w:r>
    </w:p>
    <w:p w14:paraId="76FB3A60"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Al respecto, el perito de la recurrente refiere que el modelo "</w:t>
      </w:r>
      <w:proofErr w:type="spellStart"/>
      <w:r w:rsidRPr="00654D1D">
        <w:rPr>
          <w:rFonts w:ascii="ITC Avant Garde" w:hAnsi="ITC Avant Garde" w:cs="Arial"/>
        </w:rPr>
        <w:t>scorched</w:t>
      </w:r>
      <w:proofErr w:type="spellEnd"/>
      <w:r w:rsidRPr="00654D1D">
        <w:rPr>
          <w:rFonts w:ascii="ITC Avant Garde" w:hAnsi="ITC Avant Garde" w:cs="Arial"/>
        </w:rPr>
        <w:t xml:space="preserve"> </w:t>
      </w:r>
      <w:proofErr w:type="spellStart"/>
      <w:r w:rsidRPr="00654D1D">
        <w:rPr>
          <w:rFonts w:ascii="ITC Avant Garde" w:hAnsi="ITC Avant Garde" w:cs="Arial"/>
        </w:rPr>
        <w:t>node</w:t>
      </w:r>
      <w:proofErr w:type="spellEnd"/>
      <w:r w:rsidRPr="00654D1D">
        <w:rPr>
          <w:rFonts w:ascii="ITC Avant Garde" w:hAnsi="ITC Avant Garde" w:cs="Arial"/>
        </w:rPr>
        <w:t>" para estimaciones de LRIC representa el punto medio entre los dos extremos. Asume que la ubicación de los nodos de la red es fija, y que el operador puede elegir la mejor tecnología disponible para configurar la red alrededor de éstos. Además, los modelos pueden calibrados utilizando la información real proporcionada por las empresas con lo que ofrecen resultados más robustos y confiables.</w:t>
      </w:r>
    </w:p>
    <w:p w14:paraId="2D7A0C9A"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lastRenderedPageBreak/>
        <w:t>La práctica internacional se ha orientado a este tipo de "modelos híbridos", que utilizan como base un modelo "</w:t>
      </w:r>
      <w:proofErr w:type="spellStart"/>
      <w:r w:rsidRPr="00654D1D">
        <w:rPr>
          <w:rFonts w:ascii="ITC Avant Garde" w:hAnsi="ITC Avant Garde" w:cs="Arial"/>
        </w:rPr>
        <w:t>Bottom</w:t>
      </w:r>
      <w:proofErr w:type="spellEnd"/>
      <w:r w:rsidRPr="00654D1D">
        <w:rPr>
          <w:rFonts w:ascii="ITC Avant Garde" w:hAnsi="ITC Avant Garde" w:cs="Arial"/>
        </w:rPr>
        <w:t>-Up", pero que son calibrados con la información real de las empresas proveedoras del servicio.</w:t>
      </w:r>
    </w:p>
    <w:p w14:paraId="0C7ABF35"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 xml:space="preserve">El perito de la tercero perjudicada manifestó que se puede concluir que el hecho de que la </w:t>
      </w:r>
      <w:proofErr w:type="spellStart"/>
      <w:r w:rsidRPr="00654D1D">
        <w:rPr>
          <w:rFonts w:ascii="ITC Avant Garde" w:hAnsi="ITC Avant Garde" w:cs="Arial"/>
        </w:rPr>
        <w:t>Cofetel</w:t>
      </w:r>
      <w:proofErr w:type="spellEnd"/>
      <w:r w:rsidRPr="00654D1D">
        <w:rPr>
          <w:rFonts w:ascii="ITC Avant Garde" w:hAnsi="ITC Avant Garde" w:cs="Arial"/>
        </w:rPr>
        <w:t xml:space="preserve"> utilice para definir sus tarifas de interconexión un modelo económico orientado a costos, además de estar sustentado en una metodología </w:t>
      </w:r>
      <w:proofErr w:type="spellStart"/>
      <w:r w:rsidRPr="00654D1D">
        <w:rPr>
          <w:rFonts w:ascii="ITC Avant Garde" w:hAnsi="ITC Avant Garde" w:cs="Arial"/>
        </w:rPr>
        <w:t>Bottom</w:t>
      </w:r>
      <w:proofErr w:type="spellEnd"/>
      <w:r w:rsidRPr="00654D1D">
        <w:rPr>
          <w:rFonts w:ascii="ITC Avant Garde" w:hAnsi="ITC Avant Garde" w:cs="Arial"/>
        </w:rPr>
        <w:t>-Up, está acorde con las mejores prácticas internacionales.</w:t>
      </w:r>
    </w:p>
    <w:p w14:paraId="7118236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tercero en discordia argumenta que las prácticas internacionales buscan ajustar las tarifas de interconexión hacia sus niveles de costos, estos son los modelos de costos, porque es una herramienta que permite calcular el servicio de interconexión física entre dos redes con la finalidad de intercambiar el tráfico de las telecomunicaciones entre usuarios de dos redes diferentes.</w:t>
      </w:r>
    </w:p>
    <w:p w14:paraId="164DFB4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Los modelos de costos permiten la competencia de las telecomunicaciones en el concepto mundial, cuyo propósito es permitir la competencia en un mercado específico lo que permite tarifas accesibles para los usuarios con una tendencia a la baja de los precios en el corto, mediano y largo plazo, sin menguar la calidad del servicio.</w:t>
      </w:r>
    </w:p>
    <w:p w14:paraId="3D8A415C"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4A54FDF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Esta autoridad reguladora concuerda con los señalamientos del perito designado por la tercera interesada y el perito de la tercero en discordia referentes a que el modelo instrumentado por este Instituto es acorde con las mejores prácticas internacionales en la materia, ya que estas tienen como objetivo conseguir tarifas tendientes a los costos de producción que incentiven la competencia y eficiencia de los operadores participantes en el mercado y que se reflejaran en mejores condiciones de calidad y precio para los usuarios finales.</w:t>
      </w:r>
    </w:p>
    <w:p w14:paraId="2E0801B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otro lado, se toma en cuenta la respuesta del perito de la quejosa sobre que el enfoque </w:t>
      </w:r>
      <w:proofErr w:type="spellStart"/>
      <w:r w:rsidRPr="00654D1D">
        <w:rPr>
          <w:rFonts w:ascii="ITC Avant Garde" w:hAnsi="ITC Avant Garde" w:cs="Arial"/>
        </w:rPr>
        <w:t>Scorched</w:t>
      </w:r>
      <w:proofErr w:type="spellEnd"/>
      <w:r w:rsidRPr="00654D1D">
        <w:rPr>
          <w:rFonts w:ascii="ITC Avant Garde" w:hAnsi="ITC Avant Garde" w:cs="Arial"/>
        </w:rPr>
        <w:t xml:space="preserve"> </w:t>
      </w:r>
      <w:proofErr w:type="spellStart"/>
      <w:r w:rsidRPr="00654D1D">
        <w:rPr>
          <w:rFonts w:ascii="ITC Avant Garde" w:hAnsi="ITC Avant Garde" w:cs="Arial"/>
        </w:rPr>
        <w:t>Node</w:t>
      </w:r>
      <w:proofErr w:type="spellEnd"/>
      <w:r w:rsidRPr="00654D1D">
        <w:rPr>
          <w:rFonts w:ascii="ITC Avant Garde" w:hAnsi="ITC Avant Garde" w:cs="Arial"/>
        </w:rPr>
        <w:t xml:space="preserve"> es una opción intermedia que en algunas circunstancias puede ofrecer resultados más robustos y confiables. No obstante, el enfoque </w:t>
      </w:r>
      <w:proofErr w:type="spellStart"/>
      <w:r w:rsidRPr="00654D1D">
        <w:rPr>
          <w:rFonts w:ascii="ITC Avant Garde" w:hAnsi="ITC Avant Garde" w:cs="Arial"/>
        </w:rPr>
        <w:t>Scorched-Node</w:t>
      </w:r>
      <w:proofErr w:type="spellEnd"/>
      <w:r w:rsidRPr="00654D1D">
        <w:rPr>
          <w:rFonts w:ascii="ITC Avant Garde" w:hAnsi="ITC Avant Garde" w:cs="Arial"/>
        </w:rPr>
        <w:t xml:space="preserve"> presenta diversas desventajas frente al enfoque </w:t>
      </w:r>
      <w:proofErr w:type="spellStart"/>
      <w:r w:rsidRPr="00654D1D">
        <w:rPr>
          <w:rFonts w:ascii="ITC Avant Garde" w:hAnsi="ITC Avant Garde" w:cs="Arial"/>
        </w:rPr>
        <w:t>Scorched-Earth</w:t>
      </w:r>
      <w:proofErr w:type="spellEnd"/>
      <w:r w:rsidRPr="00654D1D">
        <w:rPr>
          <w:rFonts w:ascii="ITC Avant Garde" w:hAnsi="ITC Avant Garde" w:cs="Arial"/>
        </w:rPr>
        <w:t xml:space="preserve">. Dichas desventajas se derivan del hecho de que la información requerida para incorporar las restricciones geográficas y demográficas es propiedad de los operadores, mientras que la información que requiere el enfoque </w:t>
      </w:r>
      <w:proofErr w:type="spellStart"/>
      <w:r w:rsidRPr="00654D1D">
        <w:rPr>
          <w:rFonts w:ascii="ITC Avant Garde" w:hAnsi="ITC Avant Garde" w:cs="Arial"/>
        </w:rPr>
        <w:t>Scorched-Earth</w:t>
      </w:r>
      <w:proofErr w:type="spellEnd"/>
      <w:r w:rsidRPr="00654D1D">
        <w:rPr>
          <w:rFonts w:ascii="ITC Avant Garde" w:hAnsi="ITC Avant Garde" w:cs="Arial"/>
        </w:rPr>
        <w:t xml:space="preserve"> está públicamente disponible. En este sentido, es previsible que exista una reticencia de los concesionarios para proporcionar información certera de sus elementos de red, lo cual conllevaría a que el modelo carezca de transparencia, y por ende credibilidad, generando cuestionamientos sobre la calidad de sus resultados. Así mismo y como se menciona con </w:t>
      </w:r>
      <w:r w:rsidRPr="00654D1D">
        <w:rPr>
          <w:rFonts w:ascii="ITC Avant Garde" w:hAnsi="ITC Avant Garde" w:cs="Arial"/>
        </w:rPr>
        <w:lastRenderedPageBreak/>
        <w:t>antelación, la información que generan los operadores presenta el problema adicional de que puede ser manipulable, por lo que aun cuando el operador haya construido su red de manera eficiente, podría proporcionar información que sobrestime el número de elementos de su red, lo cual implicaría en una sobrestimación de los costos corrientes del servicio de interconexión y por ende en la determinación de tarifas de interconexión por arriba de niveles eficientes.</w:t>
      </w:r>
    </w:p>
    <w:p w14:paraId="4B60206A" w14:textId="399F4432" w:rsidR="003E526D" w:rsidRPr="00654D1D" w:rsidRDefault="003E526D" w:rsidP="00654D1D">
      <w:pPr>
        <w:spacing w:before="240"/>
        <w:jc w:val="both"/>
        <w:rPr>
          <w:rFonts w:ascii="ITC Avant Garde" w:hAnsi="ITC Avant Garde" w:cs="Arial"/>
          <w:b/>
        </w:rPr>
      </w:pPr>
      <w:r w:rsidRPr="00654D1D">
        <w:rPr>
          <w:rFonts w:ascii="ITC Avant Garde" w:hAnsi="ITC Avant Garde" w:cs="Arial"/>
          <w:b/>
        </w:rPr>
        <w:t>Pregunta 3. Que diga y explique el perito, con base en experiencias internacionales, las posibles consecuencias de llevar a cabo disminuciones abruptas en las tarifas de terminación y si son aconsejables conforme a las mejores prácticas internacionales.</w:t>
      </w:r>
    </w:p>
    <w:p w14:paraId="4B60206C" w14:textId="77777777" w:rsidR="003E526D" w:rsidRPr="00654D1D" w:rsidRDefault="003E526D" w:rsidP="00654D1D">
      <w:pPr>
        <w:spacing w:before="240"/>
        <w:jc w:val="both"/>
        <w:rPr>
          <w:rFonts w:ascii="ITC Avant Garde" w:hAnsi="ITC Avant Garde" w:cs="Arial"/>
        </w:rPr>
      </w:pPr>
      <w:r w:rsidRPr="00654D1D">
        <w:rPr>
          <w:rFonts w:ascii="ITC Avant Garde" w:hAnsi="ITC Avant Garde" w:cs="Arial"/>
        </w:rPr>
        <w:t>Al respecto, el perito de la recurrente refiere que una reducción abrupta en las Tarifas de Terminación Móvil (TTM) resulta contraria a las recomendaciones de la Unión Internacional de Telecomunicaciones (</w:t>
      </w:r>
      <w:proofErr w:type="spellStart"/>
      <w:r w:rsidRPr="00654D1D">
        <w:rPr>
          <w:rFonts w:ascii="ITC Avant Garde" w:hAnsi="ITC Avant Garde" w:cs="Arial"/>
        </w:rPr>
        <w:t>UlT</w:t>
      </w:r>
      <w:proofErr w:type="spellEnd"/>
      <w:r w:rsidRPr="00654D1D">
        <w:rPr>
          <w:rFonts w:ascii="ITC Avant Garde" w:hAnsi="ITC Avant Garde" w:cs="Arial"/>
        </w:rPr>
        <w:t>)</w:t>
      </w:r>
    </w:p>
    <w:p w14:paraId="61130BA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Sigue diciendo que es muy probable que una drástica reducción de precios tenga impactos no deseados en los precios y/o las condiciones de acceso a los servicios móviles, toda vez que los operadores buscarán mecanismos alternos para compensar la pérdida de ingresos, particularmente en un amplio segmento de usuarios que básicamente recibe llamadas y recuperación de costos depende en gran medida de interconexión. Lo que puede ocasionar una potencial reducción en la penetración del servicio y su tasa de crecimiento, así como una disminución de los incentivos a invertir por parte de los operadores, ya que la rentabilidad de los segmentos de mercado de bajo consumo disminuye. </w:t>
      </w:r>
    </w:p>
    <w:p w14:paraId="7E4740F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de la tercero perjudicada manifestó que en principio desde la perspectiva de la teoría económica, la reducción en el precio de un insumo se debe reflejar directamente en el precio del producto o servicio. En el caso de la telefonía móvil, por lo tanto, con la reducción en los costos por interconexión se esperaría que las tarifas a pagar por los usuarios del servicio se vieran también a la baja.</w:t>
      </w:r>
    </w:p>
    <w:p w14:paraId="5EC72F4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otra parte, el perito tercero en discordia argumenta que no es aconsejable hacer disminuciones abruptas en las tarifas de terminación, ya que frenaría la inversión en el sector y la calidad del servicio se vería afectada la </w:t>
      </w:r>
      <w:r w:rsidR="00B41BAF" w:rsidRPr="00654D1D">
        <w:rPr>
          <w:rFonts w:ascii="ITC Avant Garde" w:hAnsi="ITC Avant Garde" w:cs="Arial"/>
        </w:rPr>
        <w:t>práctica</w:t>
      </w:r>
      <w:r w:rsidRPr="00654D1D">
        <w:rPr>
          <w:rFonts w:ascii="ITC Avant Garde" w:hAnsi="ITC Avant Garde" w:cs="Arial"/>
        </w:rPr>
        <w:t xml:space="preserve"> internacional aconseja que deberán irse adecuando a los niveles de costos y grado de competencia y también, se ira adaptando al nivel de desarrollo económico que un país especifico vaya alcanzando, tal como lo establece la Unión Internacional de Telecomunicaciones (UIT).</w:t>
      </w:r>
    </w:p>
    <w:p w14:paraId="5B2398A4"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 xml:space="preserve">Valoración del Instituto </w:t>
      </w:r>
    </w:p>
    <w:p w14:paraId="45135FC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Este Instituto desestima la respuesta del perito de la quejosa toda vez que la determinación de las tarifas que ocupan el presente recurso de revisión, no trae u origina consecuencias adversas para los operadores dado que la utilización de un modelo de costos arrojará una tarifa que tomará en cuenta los costos, así como el otorgamiento de un margen adecuado de ganancia por las inversiones realizadas, lo que favorece a la competencia e incentiva a los operadores a seguir invirtiendo. </w:t>
      </w:r>
    </w:p>
    <w:p w14:paraId="4B602078" w14:textId="7FA3AC3B" w:rsidR="003E526D" w:rsidRPr="00654D1D" w:rsidRDefault="003E526D" w:rsidP="00654D1D">
      <w:pPr>
        <w:spacing w:before="240"/>
        <w:jc w:val="both"/>
        <w:rPr>
          <w:rFonts w:ascii="ITC Avant Garde" w:hAnsi="ITC Avant Garde" w:cs="Arial"/>
        </w:rPr>
      </w:pPr>
      <w:r w:rsidRPr="00654D1D">
        <w:rPr>
          <w:rFonts w:ascii="ITC Avant Garde" w:hAnsi="ITC Avant Garde" w:cs="Arial"/>
        </w:rPr>
        <w:t>Asimismo, se concuerda con el perito de la tercero en discordia en lo relativo a que la práctica internacional aconseja que las tarifas de interconexión deberán irse adecuando a los niveles de costos y grado de competencia.</w:t>
      </w:r>
    </w:p>
    <w:p w14:paraId="34EF710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otro lado, se coincide con el señalamiento del perito de la tercero interesada sobre que menores tarifas de interconexión se reflejan en menores precios de los bienes y servicios finales.</w:t>
      </w:r>
    </w:p>
    <w:p w14:paraId="0EB6C5C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b/>
        </w:rPr>
        <w:t>Pregunta 4.</w:t>
      </w:r>
      <w:r w:rsidRPr="00654D1D">
        <w:rPr>
          <w:rFonts w:ascii="ITC Avant Garde" w:hAnsi="ITC Avant Garde" w:cs="Arial"/>
        </w:rPr>
        <w:t xml:space="preserve"> </w:t>
      </w:r>
      <w:r w:rsidRPr="00654D1D">
        <w:rPr>
          <w:rFonts w:ascii="ITC Avant Garde" w:hAnsi="ITC Avant Garde" w:cs="Arial"/>
          <w:b/>
        </w:rPr>
        <w:t>Que diga y explique el perito las ventajas y desventajas de imponer una tarifa de interconexión basada en costos que sea idéntica para todos los operadores móviles y en qué situaciones podría justificarse el uso de tarifas de interconexión asimétricas.</w:t>
      </w:r>
    </w:p>
    <w:p w14:paraId="21E17F1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de la recurrente argumenta que en un mercado perfectamente competitivo, los nuevos entrantes son "precio aceptantes" porque carecen de capacidad para afectar el nivel de precios y tienen fuertes incentivos para reducir rápidamente sus costos al nivel de máxima eficiencia para ser competitivos y mantenerse en el mercado. De igual manera, bajo el supuesto de que los mercados de interconexión fueran competitivos y que los servicios de terminación fueran prácticamente homogéneos, las tarifas tenderían a ser simétricas para todos los operadores y similares a los costos en condiciones de eficiencia.</w:t>
      </w:r>
    </w:p>
    <w:p w14:paraId="3447FE1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No obstante, los mercados de interconexión se caracterizan por contar con un número relativamente reducido de participantes en el cuál, como consecuencia de las extensas diferencias de penetración en el mercado, no existe una verdadera competencia entre unos y otros, y por lo tanto existen circunstancias en las que la aplicación de TTM simétricas, no serían aconsejables para asegurar los beneficios de un mercado competitivo en el largo plazo.</w:t>
      </w:r>
    </w:p>
    <w:p w14:paraId="2A16712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de la tercero perjudicada refiere que desde la perspectiva de la teoría económica, la asimetría en las tarifas de interconexión es eficiente sólo al principio de la apertura de los mercados a la competencia, pero una vez que el mercado ha madurado y se presenta la convergencia tecnológica, lo eficiente es aplicar tarifas simétricas o iguales para todos los operadores.</w:t>
      </w:r>
    </w:p>
    <w:p w14:paraId="701D96D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Ahora bien, el perito tercero en discordia señala que una ventaja es que el usuario está en posibilidad de elegir según su preferencia, al operador que se adecue a sus necesidades, en términos de calidad del servicio y el costo del servicio, una desventaja sería, que si un operador móvil tiene un precio de interconexión cercana a sus costos, los costos de la empresa pequeña aumentan más que los de la empresa grande.</w:t>
      </w:r>
    </w:p>
    <w:p w14:paraId="6988D173" w14:textId="09E34D6A"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3F611A1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Este instituto coincide con lo señalado por el perito de la recurrente en el sentido de que en un mercado perfectamente competitivo, los nuevos entrantes son precio aceptantes, por lo que independientemente de su escala de producción deben reducir sus costos a un nivel eficiente; por lo que si bien es cierto que en una industria con fuertes economías de escala y alcance como es la de telecomunicaciones, la existencia de un concesionario que cuenta con una elevada participación de mercado le otorga ventajas importantes en costos esto no implica que se deban establecer tarifas asimétricas. </w:t>
      </w:r>
    </w:p>
    <w:p w14:paraId="047F4B5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Asimismo, se da cuenta de la respuesta de los peritos en el sentido de que bajo algunas circunstancias diferentes órganos reguladores han aplicado tarifas asimétricas, sin embargo se considera que ello depende de la política regulatoria que decida cada país, y que por tanto queda acotada a su discreción, más que adecuarse a una mejor práctica internacional. </w:t>
      </w:r>
    </w:p>
    <w:p w14:paraId="272FB0B7" w14:textId="3A30FDA4"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Pregunta 5. Que diga y explique el perito cuál es la experiencia internacional con la aplicación de tarifas asimétricas para la terminación de llamadas en redes móviles.</w:t>
      </w:r>
    </w:p>
    <w:p w14:paraId="3C491BE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de la recurrente menciona que la mayoría de los países de la Unión Europea, al igual que algunos de Latinoamérica, utilizan o han utilizado regímenes de tarifas asimétricas entre operadores móviles.</w:t>
      </w:r>
    </w:p>
    <w:p w14:paraId="1194473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asimetría de las tarifas básicamente reconocía diferenciales de costos que no eran atribuibles a la falta de eficiencia en la operación de los proveedores de servicios, sino que reflejaban diferencias en las economías de escala atribuibles la participación de mercado. Así, los operadores entrantes que tenían una menor participación de mercado podían cobrar TTM móvil superiores a las aplicables a los operadores que mantenían la mayor participación y experiencia de mercado.</w:t>
      </w:r>
    </w:p>
    <w:p w14:paraId="5962CFE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Esta práctica permitió incentivar la competencia en el mediano y largo plazo al ofrecer a los nuevos entrantes mayores márgenes esperados en su operación, fortaleciendo su capacidad competitiva para enfrentar a los operadores establecidos.</w:t>
      </w:r>
    </w:p>
    <w:p w14:paraId="14AB68F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Refiere el perito de</w:t>
      </w:r>
      <w:r w:rsidR="00A736BF" w:rsidRPr="00654D1D">
        <w:rPr>
          <w:rFonts w:ascii="ITC Avant Garde" w:hAnsi="ITC Avant Garde" w:cs="Arial"/>
        </w:rPr>
        <w:t>l</w:t>
      </w:r>
      <w:r w:rsidRPr="00654D1D">
        <w:rPr>
          <w:rFonts w:ascii="ITC Avant Garde" w:hAnsi="ITC Avant Garde" w:cs="Arial"/>
        </w:rPr>
        <w:t xml:space="preserve"> tercero perjudicad</w:t>
      </w:r>
      <w:r w:rsidR="00A37F46" w:rsidRPr="00654D1D">
        <w:rPr>
          <w:rFonts w:ascii="ITC Avant Garde" w:hAnsi="ITC Avant Garde" w:cs="Arial"/>
        </w:rPr>
        <w:t>o</w:t>
      </w:r>
      <w:r w:rsidRPr="00654D1D">
        <w:rPr>
          <w:rFonts w:ascii="ITC Avant Garde" w:hAnsi="ITC Avant Garde" w:cs="Arial"/>
        </w:rPr>
        <w:t xml:space="preserve"> que a nivel internacional hay una tendencia a evolucionar hacia esquemas tarifarios simétricos, una vez que se han establecido condiciones de competencia en los mercados y con ello se ha incentivado al entrada de nuevos prestadores de servicios. Además de que finalmente cada operador tiene una estructura de monopolio en la terminación de las llamadas en su red, por lo que una regulación asimétrica reforzaría estas diferencias en detrimento del bienestar de los usuarios, que son los que finalmente terminan pagando estas diferencias. Entonces una regulación asimétrica tendría un efecto reducido en el objetivo de disminuir ese poder de mercado y por lo tanto carece de eficiencia.</w:t>
      </w:r>
    </w:p>
    <w:p w14:paraId="400353E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tercero en discordia señala que en la práctica internacional, los nuevos operadores están en desventaja respecto a los operadores ya establecidos en el mercado, en cuanto a la cobertura, número de usuarios, la calidad de servicios y reputación ante los usuarios, por lo que la experiencia internacional establece, estudiar la aplicación de una regulación a tarifas asimétricas.</w:t>
      </w:r>
    </w:p>
    <w:p w14:paraId="051B5E1C"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4BC7C9D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Este Instituto da cuenta de lo señalado por los diferentes peritos en el sentido de que a nivel internacional se ha utilizado la asimetría en tarifas de interconexión como una política regulatoria en los casos en los que existían diferencias objetivas de costos una de las cuales puede ser que las participaciones de mercado sean notoriamente disimiles. Asimismo se observa que dicha política ha sido temporal, ya que como lo señala el</w:t>
      </w:r>
      <w:r w:rsidR="00A37F46" w:rsidRPr="00654D1D">
        <w:rPr>
          <w:rFonts w:ascii="ITC Avant Garde" w:hAnsi="ITC Avant Garde" w:cs="Arial"/>
        </w:rPr>
        <w:t xml:space="preserve"> perito del tercero perjudicado</w:t>
      </w:r>
      <w:r w:rsidRPr="00654D1D">
        <w:rPr>
          <w:rFonts w:ascii="ITC Avant Garde" w:hAnsi="ITC Avant Garde" w:cs="Arial"/>
        </w:rPr>
        <w:t xml:space="preserve"> hay una tendencia a evolucionar hacia esquemas tarifarios simétricos. </w:t>
      </w:r>
    </w:p>
    <w:p w14:paraId="444C60FF"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Pregunta 6. Que establezca el perito las participaciones del mercado de los distintos operadores de telefonía móvil en el país conforme a los indicadores más utilizados en la práctica internacional</w:t>
      </w:r>
    </w:p>
    <w:p w14:paraId="317F058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perito de la recurrente argumenta que México no existe información homogénea respecto de los minutos de tráfico cursados por las redes móviles que permita integrar un indicador confiable. Ello obedece a la falta de una metodología que establezca lineamientos uniformes respecto de la forma en que los operadores deben reportar su tráfico. Así, operadores como Telcel y </w:t>
      </w:r>
      <w:proofErr w:type="spellStart"/>
      <w:r w:rsidRPr="00654D1D">
        <w:rPr>
          <w:rFonts w:ascii="ITC Avant Garde" w:hAnsi="ITC Avant Garde" w:cs="Arial"/>
        </w:rPr>
        <w:t>lusacell</w:t>
      </w:r>
      <w:proofErr w:type="spellEnd"/>
      <w:r w:rsidRPr="00654D1D">
        <w:rPr>
          <w:rFonts w:ascii="ITC Avant Garde" w:hAnsi="ITC Avant Garde" w:cs="Arial"/>
        </w:rPr>
        <w:t xml:space="preserve"> mantienen la práctica de reportar dos minutos de tráfico por cada minuto intranet, uno de </w:t>
      </w:r>
      <w:proofErr w:type="spellStart"/>
      <w:r w:rsidRPr="00654D1D">
        <w:rPr>
          <w:rFonts w:ascii="ITC Avant Garde" w:hAnsi="ITC Avant Garde" w:cs="Arial"/>
        </w:rPr>
        <w:t>originación</w:t>
      </w:r>
      <w:proofErr w:type="spellEnd"/>
      <w:r w:rsidRPr="00654D1D">
        <w:rPr>
          <w:rFonts w:ascii="ITC Avant Garde" w:hAnsi="ITC Avant Garde" w:cs="Arial"/>
        </w:rPr>
        <w:t xml:space="preserve"> y uno de terminación, siguiendo la práctica norteamericana de países con RPP; mientras que Telefónica reporta solamente un minuto por cada minuto de tráfico intranet, siguiendo la práctica europea de países con CPP.</w:t>
      </w:r>
    </w:p>
    <w:p w14:paraId="4B6020A0" w14:textId="4131E084" w:rsidR="003E526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Refiere el perito de la tercero perjudicada que actualmente se utilizan los siguientes indicadores: a) número de usuarios; b) participación en el mercado: c) EBITDA; ARPU.</w:t>
      </w:r>
    </w:p>
    <w:p w14:paraId="4E1582C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Ahora bien, el perito tercero en discordia manifestó que la participación de los distintos operadores de telefonía móvil en el mercado nacional se mide de acuerdo a los indicadores utilizados en la práctica internacional y son los siguientes: a). las líneas utilizadas o sea los usuarios, b). los ingresos obtenidos y c). </w:t>
      </w:r>
      <w:proofErr w:type="gramStart"/>
      <w:r w:rsidRPr="00654D1D">
        <w:rPr>
          <w:rFonts w:ascii="ITC Avant Garde" w:hAnsi="ITC Avant Garde" w:cs="Arial"/>
        </w:rPr>
        <w:t>los</w:t>
      </w:r>
      <w:proofErr w:type="gramEnd"/>
      <w:r w:rsidRPr="00654D1D">
        <w:rPr>
          <w:rFonts w:ascii="ITC Avant Garde" w:hAnsi="ITC Avant Garde" w:cs="Arial"/>
        </w:rPr>
        <w:t xml:space="preserve"> minutos de tráfico cursados por la red.</w:t>
      </w:r>
    </w:p>
    <w:p w14:paraId="150A62C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De acuerdo a la información histórica, las participaciones de los diferentes operadores muestran la siguiente situación: con base en el número de líneas: las empresas más representativas: Telcel, 69.7%, Nextel 3.6%, </w:t>
      </w:r>
      <w:proofErr w:type="spellStart"/>
      <w:r w:rsidRPr="00654D1D">
        <w:rPr>
          <w:rFonts w:ascii="ITC Avant Garde" w:hAnsi="ITC Avant Garde" w:cs="Arial"/>
        </w:rPr>
        <w:t>Telefonica</w:t>
      </w:r>
      <w:proofErr w:type="spellEnd"/>
      <w:r w:rsidRPr="00654D1D">
        <w:rPr>
          <w:rFonts w:ascii="ITC Avant Garde" w:hAnsi="ITC Avant Garde" w:cs="Arial"/>
        </w:rPr>
        <w:t xml:space="preserve">, 23.1%, </w:t>
      </w:r>
      <w:proofErr w:type="spellStart"/>
      <w:r w:rsidRPr="00654D1D">
        <w:rPr>
          <w:rFonts w:ascii="ITC Avant Garde" w:hAnsi="ITC Avant Garde" w:cs="Arial"/>
        </w:rPr>
        <w:t>Iusacel</w:t>
      </w:r>
      <w:proofErr w:type="spellEnd"/>
      <w:r w:rsidRPr="00654D1D">
        <w:rPr>
          <w:rFonts w:ascii="ITC Avant Garde" w:hAnsi="ITC Avant Garde" w:cs="Arial"/>
        </w:rPr>
        <w:t xml:space="preserve"> / </w:t>
      </w:r>
      <w:proofErr w:type="spellStart"/>
      <w:r w:rsidRPr="00654D1D">
        <w:rPr>
          <w:rFonts w:ascii="ITC Avant Garde" w:hAnsi="ITC Avant Garde" w:cs="Arial"/>
        </w:rPr>
        <w:t>Unefon</w:t>
      </w:r>
      <w:proofErr w:type="spellEnd"/>
      <w:r w:rsidRPr="00654D1D">
        <w:rPr>
          <w:rFonts w:ascii="ITC Avant Garde" w:hAnsi="ITC Avant Garde" w:cs="Arial"/>
        </w:rPr>
        <w:t xml:space="preserve">, 4.6%, con base en ingresos: Telcel, 69.2%, Nextel, 12.8%, </w:t>
      </w:r>
      <w:proofErr w:type="spellStart"/>
      <w:r w:rsidRPr="00654D1D">
        <w:rPr>
          <w:rFonts w:ascii="ITC Avant Garde" w:hAnsi="ITC Avant Garde" w:cs="Arial"/>
        </w:rPr>
        <w:t>Telefonica</w:t>
      </w:r>
      <w:proofErr w:type="spellEnd"/>
      <w:r w:rsidRPr="00654D1D">
        <w:rPr>
          <w:rFonts w:ascii="ITC Avant Garde" w:hAnsi="ITC Avant Garde" w:cs="Arial"/>
        </w:rPr>
        <w:t xml:space="preserve">, 12.6%, </w:t>
      </w:r>
      <w:proofErr w:type="spellStart"/>
      <w:r w:rsidRPr="00654D1D">
        <w:rPr>
          <w:rFonts w:ascii="ITC Avant Garde" w:hAnsi="ITC Avant Garde" w:cs="Arial"/>
        </w:rPr>
        <w:t>Iusacel</w:t>
      </w:r>
      <w:proofErr w:type="spellEnd"/>
      <w:r w:rsidRPr="00654D1D">
        <w:rPr>
          <w:rFonts w:ascii="ITC Avant Garde" w:hAnsi="ITC Avant Garde" w:cs="Arial"/>
        </w:rPr>
        <w:t>, 5.4%.</w:t>
      </w:r>
    </w:p>
    <w:p w14:paraId="727FFCFE"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778C51F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Esta autoridad reguladora coincide con el señalamiento de los peritos en el sentido de que la participación de mercado se puede medir mediante diversas variables, como los minutos de tráfico cursados, el número de usuarios y los ingresos obtenidos, asimismo da cuenta de los ejercicios que </w:t>
      </w:r>
      <w:r w:rsidR="00A37F46" w:rsidRPr="00654D1D">
        <w:rPr>
          <w:rFonts w:ascii="ITC Avant Garde" w:hAnsi="ITC Avant Garde" w:cs="Arial"/>
        </w:rPr>
        <w:t xml:space="preserve">al </w:t>
      </w:r>
      <w:r w:rsidRPr="00654D1D">
        <w:rPr>
          <w:rFonts w:ascii="ITC Avant Garde" w:hAnsi="ITC Avant Garde" w:cs="Arial"/>
        </w:rPr>
        <w:t>respecto realizaron los peritos.</w:t>
      </w:r>
    </w:p>
    <w:p w14:paraId="4754315E"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Pregunta 7. Que diga y explique el perito cuál de los indicadores identificados en la pregunta anterior es el más relevante para representar la participación de mercado de un operador de servicio móvil en un modelo de costos </w:t>
      </w:r>
    </w:p>
    <w:p w14:paraId="2E5509B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de la recurrente manifestó que para fines de utilizar un Modelo de Costos de un operador móvil, el indicador relevante es la participación de mercado medida por la cantidad de minutos de tráfico de voz cursado por su red, respecto del total de minutos de voz del mercado. Ello es así porque uno de los principales elementos para dimensionar la red del operador móvil representativo en un Modelo de Costos es la demanda de minutos de tráfico que debe atender y posteriormente calcula el costo correspondiente por minuto. Es decir, el costo por minuto es función de la infraestructura requerida para atender los minutos de tráfico que debe tramitar la red.</w:t>
      </w:r>
    </w:p>
    <w:p w14:paraId="4807F36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Argumenta el perito de la tercero perjudicada que el indicador más utilizado en los modelos de costos es la participación de mercado a través del cociente entre el número de usuarios del operador, entre el total de usuarios registrados en el mercado. El resto de los indicadores se refieren principalmente a la relación entre cuestiones financieras y de operación de los operadores.</w:t>
      </w:r>
    </w:p>
    <w:p w14:paraId="40CF169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El perito tercero en discordia argumenta que la participación de los distintos operadores de telefonía móvil en el mercado nacional, de acuerdo a los indicadores utilizados en la práctica internacional, son los siguientes: la cantidad de minutos de tráfico de voz cursados por su red, las líneas utilizadas o sea los usuarios y los ingresos obtenidos.</w:t>
      </w:r>
    </w:p>
    <w:p w14:paraId="1027AA45"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2E0FA63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Este Instituto da cuenta de lo señalado por los peritos en el sentido de que para representar la participación de mercado de un operador móvil en un modelo de costos se pueden utilizar diversas variables, asimismo se observa que no existe consenso de los peritos al respecto; por lo que se considera que dicha decisión de modelado corresponde al ámbito de discrecionalidad del órgano regulador.</w:t>
      </w:r>
    </w:p>
    <w:p w14:paraId="40997E1D"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Pregunta 8. Que diga y explique el perito si un operador de servicios móviles con 25% del mercado es representativo de la realidad del mercado mexicano y si en las condiciones de mercado existentes en México es aconsejable la introducción de tarifas asimétricas para la terminación de llamadas en redes móviles.</w:t>
      </w:r>
    </w:p>
    <w:p w14:paraId="0930D97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de la recurrente argumenta que el Modelo de Costos de la Comisión considera que participan en la prestación del servicio cuatro operadores de telefonía móvil, por lo que el operador representativo tiene una participación del 25% del mercado. Si bien este supuesto es congruente con las prácticas observadas en algunos países que determinan sus TTM con base en un modelo de operador hipotético eficiente, resulta totalmente inapropiado para México, toda vez que un operador que participa con el 25% del mercado no es representativo en forma alguna del mercado de servicios móviles en este país.</w:t>
      </w:r>
    </w:p>
    <w:p w14:paraId="4730C13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Las condiciones existentes en el mercado mexicano hacen aconsejable la aplicación transitoria de tarifas asimétricas por un período de tiempo suficiente para </w:t>
      </w:r>
      <w:proofErr w:type="gramStart"/>
      <w:r w:rsidRPr="00654D1D">
        <w:rPr>
          <w:rFonts w:ascii="ITC Avant Garde" w:hAnsi="ITC Avant Garde" w:cs="Arial"/>
        </w:rPr>
        <w:t>darle</w:t>
      </w:r>
      <w:proofErr w:type="gramEnd"/>
      <w:r w:rsidRPr="00654D1D">
        <w:rPr>
          <w:rFonts w:ascii="ITC Avant Garde" w:hAnsi="ITC Avant Garde" w:cs="Arial"/>
        </w:rPr>
        <w:t xml:space="preserve"> oportunidad a los operadores competitivos de incrementar sus niveles de eficiencia y lograr la convergencia de sus costos hacia los de un operador eficiente con mayor escala de operación.</w:t>
      </w:r>
    </w:p>
    <w:p w14:paraId="4B6020BC" w14:textId="3214132F" w:rsidR="003E526D" w:rsidRPr="00654D1D" w:rsidRDefault="003E526D" w:rsidP="00654D1D">
      <w:pPr>
        <w:spacing w:before="240"/>
        <w:jc w:val="both"/>
        <w:rPr>
          <w:rFonts w:ascii="ITC Avant Garde" w:hAnsi="ITC Avant Garde" w:cs="Arial"/>
        </w:rPr>
      </w:pPr>
      <w:r w:rsidRPr="00654D1D">
        <w:rPr>
          <w:rFonts w:ascii="ITC Avant Garde" w:hAnsi="ITC Avant Garde" w:cs="Arial"/>
        </w:rPr>
        <w:t>Por otro lado, el perito de la tercero perjudicada señala que los modelos, económicos están sustentados en supuestos que les permitan abstraerse de la realidad para analizarla, interpretarla y a partir de ello proponer acciones y recomendaciones. Por ello, el modelo de costos de Comisión al suponer una participación del operador eficiente del 25%, que si bien no corresponde específicamente al caso de alguno de los operadores presentes en el mercado, le permite construir un entorno representativo del mercado en México, para de ahí definir las características de la red, sus equipos, costos, inversiones, gastos y finalmente una propuesta de tarifa de interconexión.</w:t>
      </w:r>
    </w:p>
    <w:p w14:paraId="5DF1433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El perito tercero en discordia señala que un operador que ostenta el 25% del mercado, si es representativo de la realidad del mercado mexicano.</w:t>
      </w:r>
    </w:p>
    <w:p w14:paraId="0F9DA0F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la realidad del mercado mexicano, el criterio de la Comisión Federal de Competencia, establece que las tarifas de interconexión resultante del modelo de costos entre redes que ofrecen el mismo servicio deberán ser simétricas ya que se busca incentivar servicios eficientes y un mercado competitivo, tener un operador con el 25% del mercado resulta ser una correcta aproximación para la determinación de la tarifa de terminación de llamadas de telefonía móvil en México.</w:t>
      </w:r>
    </w:p>
    <w:p w14:paraId="6D3FBC02"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7E3E159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Este organismo regulador observa que únicamente el perito de la tercero perjudicada señala que un operador con el 25% de participación de mercado no es representativo de nuestro país, mientras que da cuenta de lo señalado por el perito tercero en discordia en lo concerniente a que el modelo de costos instrumentado por la extinta </w:t>
      </w:r>
      <w:proofErr w:type="spellStart"/>
      <w:r w:rsidRPr="00654D1D">
        <w:rPr>
          <w:rFonts w:ascii="ITC Avant Garde" w:hAnsi="ITC Avant Garde" w:cs="Arial"/>
        </w:rPr>
        <w:t>Cofetel</w:t>
      </w:r>
      <w:proofErr w:type="spellEnd"/>
      <w:r w:rsidRPr="00654D1D">
        <w:rPr>
          <w:rFonts w:ascii="ITC Avant Garde" w:hAnsi="ITC Avant Garde" w:cs="Arial"/>
        </w:rPr>
        <w:t xml:space="preserve"> no tenía como objetivo representar la realidad de algún operador en particular o un grupo aislado de ellos, sino el de simular un operador eficiente que se desarrolla en un mercado en competencia, supuestos que estimulan a los operadores participantes del mercado a elevar su eficiencia y su competitividad, y que dan como resultado que puedan ofertar bienes y servicios con mayor calidad y un menor precio a los consumidores.</w:t>
      </w:r>
    </w:p>
    <w:p w14:paraId="42BDBDD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tal virtud, la participación de mercado del operador modelado corresponde más a una decisión en materia de política regulatoria que entra dentro del ámbito de discreción del órgano regulador.</w:t>
      </w:r>
    </w:p>
    <w:p w14:paraId="1479BADA"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Pregunta 9. El perito dirá y explicará si el Modelo de Costos que la Comisión considera en la Resolución mediante la cual determina las condiciones de interconexión no convenidas entre las hoy Tercero Perjudicadas y mis representadas es el mismo que la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hizo público en su página Web. </w:t>
      </w:r>
    </w:p>
    <w:p w14:paraId="6EC2A4E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Argumenta el perito de la recurrente que después de revisar la información disponible en ambos casos, se puede afirmar que el Modelo de Costos publicado por la Comisión Federal de Telecomunicaciones, es el mismo, llega a idéntico resultado y tiene los mismos supuestos, premisas, errores y consideraciones económicas, técnicas y financieras.</w:t>
      </w:r>
    </w:p>
    <w:p w14:paraId="4B6020CC" w14:textId="1D01F28C" w:rsidR="003E526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Ahora bien, el perito de la tercero interesada señala que se puede afirmar que el Modelo de Costos publicado por la Comisión, es el mismo y tiene los mismos supuestos, premisas y consideraciones económicas, técnicas y financieras, que el modelo en que basó la Comisión su resolución sobre las condiciones de interconexión no convenidas entre las </w:t>
      </w:r>
      <w:r w:rsidRPr="00654D1D">
        <w:rPr>
          <w:rFonts w:ascii="ITC Avant Garde" w:hAnsi="ITC Avant Garde" w:cs="Arial"/>
        </w:rPr>
        <w:lastRenderedPageBreak/>
        <w:t>hoy Tercero Perjudicadas y las empresas Baja Celular del Noroeste, S.A. de C.V., Telefonía Celular del Norte, S.A. de C.V., y Pegaso Comunicaciones y Sistemas, S.A. de C.V.</w:t>
      </w:r>
    </w:p>
    <w:p w14:paraId="2B75242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perito tercero en discordia refiere que al hacer un comparativo del modelo de costos aplicado por la </w:t>
      </w:r>
      <w:proofErr w:type="spellStart"/>
      <w:r w:rsidRPr="00654D1D">
        <w:rPr>
          <w:rFonts w:ascii="ITC Avant Garde" w:hAnsi="ITC Avant Garde" w:cs="Arial"/>
        </w:rPr>
        <w:t>Cofetel</w:t>
      </w:r>
      <w:proofErr w:type="spellEnd"/>
      <w:r w:rsidRPr="00654D1D">
        <w:rPr>
          <w:rFonts w:ascii="ITC Avant Garde" w:hAnsi="ITC Avant Garde" w:cs="Arial"/>
        </w:rPr>
        <w:t xml:space="preserve">, es el de Costos Incrementales Totales Promedio a Largo Plazo (LRC) el que deberá permitir recuperar los costos, expandir las redes telefónicas, y a la vez promover la competencia en el sector de comunicaciones, es el modelo aplicado por el organismo en su resolución: P/201010/492 es idéntico al que la </w:t>
      </w:r>
      <w:proofErr w:type="spellStart"/>
      <w:r w:rsidRPr="00654D1D">
        <w:rPr>
          <w:rFonts w:ascii="ITC Avant Garde" w:hAnsi="ITC Avant Garde" w:cs="Arial"/>
        </w:rPr>
        <w:t>Cofetel</w:t>
      </w:r>
      <w:proofErr w:type="spellEnd"/>
      <w:r w:rsidRPr="00654D1D">
        <w:rPr>
          <w:rFonts w:ascii="ITC Avant Garde" w:hAnsi="ITC Avant Garde" w:cs="Arial"/>
        </w:rPr>
        <w:t xml:space="preserve"> publicó en su página web.</w:t>
      </w:r>
    </w:p>
    <w:p w14:paraId="545770AE"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18279155" w14:textId="77777777" w:rsidR="00654D1D" w:rsidRPr="00654D1D" w:rsidRDefault="00260FDE" w:rsidP="00654D1D">
      <w:pPr>
        <w:spacing w:before="240"/>
        <w:jc w:val="both"/>
        <w:rPr>
          <w:rFonts w:ascii="ITC Avant Garde" w:hAnsi="ITC Avant Garde" w:cs="Arial"/>
        </w:rPr>
      </w:pPr>
      <w:r w:rsidRPr="00654D1D">
        <w:rPr>
          <w:rFonts w:ascii="ITC Avant Garde" w:hAnsi="ITC Avant Garde" w:cs="Arial"/>
        </w:rPr>
        <w:t>Esta autoridad regulatoria desestima las respuestas de los tres peritos, toda vez que la pregunta planteada, lejos de tratar de proporcionar información especializada en la materia, pretende que el perito lleve a cabo una auditoría cotejando un archivo en hoja de cálculo con la explicación plasmada en la resolución recurrida, lo cual la veracidad del modelo utilizado por el Instituto no se encuentra sujeto a la valoración</w:t>
      </w:r>
      <w:r w:rsidR="00722A1C" w:rsidRPr="00654D1D">
        <w:rPr>
          <w:rFonts w:ascii="ITC Avant Garde" w:hAnsi="ITC Avant Garde" w:cs="Arial"/>
        </w:rPr>
        <w:t xml:space="preserve"> </w:t>
      </w:r>
      <w:r w:rsidRPr="00654D1D">
        <w:rPr>
          <w:rFonts w:ascii="ITC Avant Garde" w:hAnsi="ITC Avant Garde" w:cs="Arial"/>
        </w:rPr>
        <w:t>no puede ser materia de una de prueba pericial alguna</w:t>
      </w:r>
      <w:r w:rsidR="00722A1C" w:rsidRPr="00654D1D">
        <w:rPr>
          <w:rFonts w:ascii="ITC Avant Garde" w:hAnsi="ITC Avant Garde" w:cs="Arial"/>
        </w:rPr>
        <w:t xml:space="preserve"> </w:t>
      </w:r>
      <w:r w:rsidRPr="00654D1D">
        <w:rPr>
          <w:rFonts w:ascii="ITC Avant Garde" w:hAnsi="ITC Avant Garde" w:cs="Arial"/>
        </w:rPr>
        <w:t xml:space="preserve">en economía. </w:t>
      </w:r>
    </w:p>
    <w:p w14:paraId="19FB70DB"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Pregunta 10. El perito dirá y explicará si el modelo de costos utilizado por el Pleno de la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en su Resolución P/201010/492, contiene diferencias con el modelo de costos que la Comisión considera en la Resolución mediante la cual determina las condiciones de interconexión no convenidas entre las hoy Tercero Perjudicadas y mis Representadas.</w:t>
      </w:r>
    </w:p>
    <w:p w14:paraId="58899CB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Refiere el perito de la recurrente que el Modelo de Costos publicado por la Comisión Federal de Telecomunicaciones es el mismo que fue utilizado para la elaboración de la Resolución P/201010/492, toda vez que contempla los mismos supuestos y algoritmos para el diseño de la red del operador eficiente y para la determinación de la tarifa de terminación correspondiente.</w:t>
      </w:r>
    </w:p>
    <w:p w14:paraId="148FA6C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Sin embargo, debe hacerse notar que los valores de los parámetros que alimentaron el Modelo de Costos en las resoluciones P/EXT/27</w:t>
      </w:r>
      <w:r w:rsidR="00260FDE" w:rsidRPr="00654D1D">
        <w:rPr>
          <w:rFonts w:ascii="ITC Avant Garde" w:hAnsi="ITC Avant Garde" w:cs="Arial"/>
        </w:rPr>
        <w:t>0511</w:t>
      </w:r>
      <w:r w:rsidRPr="00654D1D">
        <w:rPr>
          <w:rFonts w:ascii="ITC Avant Garde" w:hAnsi="ITC Avant Garde" w:cs="Arial"/>
        </w:rPr>
        <w:t xml:space="preserve">/55 y P/060711/257 son idénticos a los utilizados en la versión del modelo que fue publicado por </w:t>
      </w:r>
      <w:proofErr w:type="spellStart"/>
      <w:r w:rsidRPr="00654D1D">
        <w:rPr>
          <w:rFonts w:ascii="ITC Avant Garde" w:hAnsi="ITC Avant Garde" w:cs="Arial"/>
        </w:rPr>
        <w:t>Cofetel</w:t>
      </w:r>
      <w:proofErr w:type="spellEnd"/>
      <w:r w:rsidRPr="00654D1D">
        <w:rPr>
          <w:rFonts w:ascii="ITC Avant Garde" w:hAnsi="ITC Avant Garde" w:cs="Arial"/>
        </w:rPr>
        <w:t>; mientras que los valores de los parámetros utilizados en la Resolución P/201010/492 resultan significativamente diferentes y no guardan relación entre sí.</w:t>
      </w:r>
    </w:p>
    <w:p w14:paraId="67AC0F2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otra parte, el perito de la tercero perjudicada señaló que al tomar en cuenta la información de los modelos de costos que utilizó la Comisión para las resoluciones señaladas se encontraron algunas diferencias que consisten básicamente en que: a) La Comisión utilizó menos minutos de salida por suscriptor por mes: 110 minutos en la resolución P/201010/492 y 80 en la resolución que nos ocupa; b) situación similar se </w:t>
      </w:r>
      <w:r w:rsidRPr="00654D1D">
        <w:rPr>
          <w:rFonts w:ascii="ITC Avant Garde" w:hAnsi="ITC Avant Garde" w:cs="Arial"/>
        </w:rPr>
        <w:lastRenderedPageBreak/>
        <w:t xml:space="preserve">presenta con los minutos de entrada que se reducen de 102 a 36; c) se presentan diferencias en los valores de la distribución de la cobertura de la red en sus tres casos: urbana, semiurbana y carretera; d) se incrementa la capacidad promedio efectiva en </w:t>
      </w:r>
      <w:proofErr w:type="spellStart"/>
      <w:r w:rsidRPr="00654D1D">
        <w:rPr>
          <w:rFonts w:ascii="ITC Avant Garde" w:hAnsi="ITC Avant Garde" w:cs="Arial"/>
        </w:rPr>
        <w:t>erlangs</w:t>
      </w:r>
      <w:proofErr w:type="spellEnd"/>
      <w:r w:rsidRPr="00654D1D">
        <w:rPr>
          <w:rFonts w:ascii="ITC Avant Garde" w:hAnsi="ITC Avant Garde" w:cs="Arial"/>
        </w:rPr>
        <w:t xml:space="preserve"> de un sector de 5.48 a 6.58; e) los intentos de llamadas bajan de 1.3 a 1.1.</w:t>
      </w:r>
    </w:p>
    <w:p w14:paraId="0934DB1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perito tercero en discordia señala que se observa que el modelo de costos es el mismo, pero lo propuesto por el autor Andoni </w:t>
      </w:r>
      <w:proofErr w:type="spellStart"/>
      <w:r w:rsidRPr="00654D1D">
        <w:rPr>
          <w:rFonts w:ascii="ITC Avant Garde" w:hAnsi="ITC Avant Garde" w:cs="Arial"/>
        </w:rPr>
        <w:t>Garritz</w:t>
      </w:r>
      <w:proofErr w:type="spellEnd"/>
      <w:r w:rsidRPr="00654D1D">
        <w:rPr>
          <w:rFonts w:ascii="ITC Avant Garde" w:hAnsi="ITC Avant Garde" w:cs="Arial"/>
        </w:rPr>
        <w:t xml:space="preserve">, es que se debe usar el costo por minuto del 7 %. En la resolución original que en este caso es la P/201010/492, y la </w:t>
      </w:r>
      <w:proofErr w:type="spellStart"/>
      <w:r w:rsidRPr="00654D1D">
        <w:rPr>
          <w:rFonts w:ascii="ITC Avant Garde" w:hAnsi="ITC Avant Garde" w:cs="Arial"/>
        </w:rPr>
        <w:t>Cofetel</w:t>
      </w:r>
      <w:proofErr w:type="spellEnd"/>
      <w:r w:rsidRPr="00654D1D">
        <w:rPr>
          <w:rFonts w:ascii="ITC Avant Garde" w:hAnsi="ITC Avant Garde" w:cs="Arial"/>
        </w:rPr>
        <w:t>, utilizó el 10% en la resolución, que da un resultado sustancialmente diferente.</w:t>
      </w:r>
    </w:p>
    <w:p w14:paraId="6D4C1B98"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68A4C99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Este Instituto no forma convicción de las respuestas de los peritos, debido a que no es procedente entrar al estudio de la Resolución P/201010/492, dado que el pleno de la extinta </w:t>
      </w:r>
      <w:proofErr w:type="spellStart"/>
      <w:r w:rsidRPr="00654D1D">
        <w:rPr>
          <w:rFonts w:ascii="ITC Avant Garde" w:hAnsi="ITC Avant Garde" w:cs="Arial"/>
        </w:rPr>
        <w:t>Cofetel</w:t>
      </w:r>
      <w:proofErr w:type="spellEnd"/>
      <w:r w:rsidRPr="00654D1D">
        <w:rPr>
          <w:rFonts w:ascii="ITC Avant Garde" w:hAnsi="ITC Avant Garde" w:cs="Arial"/>
        </w:rPr>
        <w:t xml:space="preserve"> no invocó ni fundo en dicha Resolución los resolutivos de las condiciones y tarifas de interconexión no convenidas de la Resolución P/060711/257 que es la que nos ocupa.</w:t>
      </w:r>
    </w:p>
    <w:p w14:paraId="19294CC9"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Pregunta 11. En caso afirmativo, el perito dirá y explicará las diferencias existentes entre ambos modelos, en qué consiste cada una de ellas, así como su impacto en la tarifa de interconexión determinada por la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en su resolución de las condiciones de interconexión no convenidas entre las Tercero Perjudicadas y las recurrentes. </w:t>
      </w:r>
    </w:p>
    <w:p w14:paraId="468B398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Aunque el modelo es exactamente el mismo, el valor de los parámetros incorporados al Modelo de Costos es significativamente diferente, por lo que sorprende que el cálculo final arroje un resultado relativamente similar en ambos casos.</w:t>
      </w:r>
    </w:p>
    <w:p w14:paraId="76131CD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síntesis, aunque la resolución del 27 de mayo de 2011 reduce la TTM en 6.3% el nivel de la tarifa originalmente estimado por la propia </w:t>
      </w:r>
      <w:proofErr w:type="spellStart"/>
      <w:r w:rsidRPr="00654D1D">
        <w:rPr>
          <w:rFonts w:ascii="ITC Avant Garde" w:hAnsi="ITC Avant Garde" w:cs="Arial"/>
        </w:rPr>
        <w:t>Cofetel</w:t>
      </w:r>
      <w:proofErr w:type="spellEnd"/>
      <w:r w:rsidRPr="00654D1D">
        <w:rPr>
          <w:rFonts w:ascii="ITC Avant Garde" w:hAnsi="ITC Avant Garde" w:cs="Arial"/>
        </w:rPr>
        <w:t xml:space="preserve"> y la SCT, este porcentaje encierra correcciones muy significativas en los parámetros utilizados para valorar el modelo. Las correcciones descritas en este numeral son independientes una de la otra y sorprende que un grupo de estas correcciones aumente en 140% el valor estimado de la TTT, mientras que el resto de los ajustes disminuye la tarifa alcanzada a menos de la mitad, con una reducción de 61%.</w:t>
      </w:r>
    </w:p>
    <w:p w14:paraId="10BAEA9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Ahora bien, el perito de la tercero perjudicada señaló que las diferencias en los insumos que considera la Comisión entre ambos modelos, se refleja básicamente en el tráfico considerado en términos de los minutos de entrada y de salida por usuario por mes. De esta manera, el dimensionamiento de la red y el equipamiento requerido se reduce toda vez que el nivel de demanda es menor. Por ello, la tarifa de interconexión resultante en </w:t>
      </w:r>
      <w:r w:rsidRPr="00654D1D">
        <w:rPr>
          <w:rFonts w:ascii="ITC Avant Garde" w:hAnsi="ITC Avant Garde" w:cs="Arial"/>
        </w:rPr>
        <w:lastRenderedPageBreak/>
        <w:t>la resolución P/2</w:t>
      </w:r>
      <w:r w:rsidR="00784D62" w:rsidRPr="00654D1D">
        <w:rPr>
          <w:rFonts w:ascii="ITC Avant Garde" w:hAnsi="ITC Avant Garde" w:cs="Arial"/>
        </w:rPr>
        <w:t>0</w:t>
      </w:r>
      <w:r w:rsidRPr="00654D1D">
        <w:rPr>
          <w:rFonts w:ascii="ITC Avant Garde" w:hAnsi="ITC Avant Garde" w:cs="Arial"/>
        </w:rPr>
        <w:t>1</w:t>
      </w:r>
      <w:r w:rsidR="00784D62" w:rsidRPr="00654D1D">
        <w:rPr>
          <w:rFonts w:ascii="ITC Avant Garde" w:hAnsi="ITC Avant Garde" w:cs="Arial"/>
        </w:rPr>
        <w:t>0</w:t>
      </w:r>
      <w:r w:rsidRPr="00654D1D">
        <w:rPr>
          <w:rFonts w:ascii="ITC Avant Garde" w:hAnsi="ITC Avant Garde" w:cs="Arial"/>
        </w:rPr>
        <w:t>1</w:t>
      </w:r>
      <w:r w:rsidR="00784D62" w:rsidRPr="00654D1D">
        <w:rPr>
          <w:rFonts w:ascii="ITC Avant Garde" w:hAnsi="ITC Avant Garde" w:cs="Arial"/>
        </w:rPr>
        <w:t>0</w:t>
      </w:r>
      <w:r w:rsidRPr="00654D1D">
        <w:rPr>
          <w:rFonts w:ascii="ITC Avant Garde" w:hAnsi="ITC Avant Garde" w:cs="Arial"/>
        </w:rPr>
        <w:t>/492 es para el año en curso de 0.4179 pesos, en tanto que en la resolución que nos ocupa es de 0.3912 pesos.</w:t>
      </w:r>
    </w:p>
    <w:p w14:paraId="7B69C59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perito tercero en discordia refiere que las diferencias se encuentran contenidas en los valores de las tablas, por lo que el valor de los índices de los dos modelos </w:t>
      </w:r>
      <w:r w:rsidR="00784D62" w:rsidRPr="00654D1D">
        <w:rPr>
          <w:rFonts w:ascii="ITC Avant Garde" w:hAnsi="ITC Avant Garde" w:cs="Arial"/>
        </w:rPr>
        <w:t>es</w:t>
      </w:r>
      <w:r w:rsidRPr="00654D1D">
        <w:rPr>
          <w:rFonts w:ascii="ITC Avant Garde" w:hAnsi="ITC Avant Garde" w:cs="Arial"/>
        </w:rPr>
        <w:t xml:space="preserve"> significativamente diferente. La diferencia de estos modelos de costos radica en el precio de interconexión que arroja cada uno. </w:t>
      </w:r>
    </w:p>
    <w:p w14:paraId="3469A8F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el caso de la resolución P/201010/492 determinada por </w:t>
      </w:r>
      <w:proofErr w:type="spellStart"/>
      <w:r w:rsidRPr="00654D1D">
        <w:rPr>
          <w:rFonts w:ascii="ITC Avant Garde" w:hAnsi="ITC Avant Garde" w:cs="Arial"/>
        </w:rPr>
        <w:t>Cofetel</w:t>
      </w:r>
      <w:proofErr w:type="spellEnd"/>
      <w:r w:rsidRPr="00654D1D">
        <w:rPr>
          <w:rFonts w:ascii="ITC Avant Garde" w:hAnsi="ITC Avant Garde" w:cs="Arial"/>
        </w:rPr>
        <w:t xml:space="preserve"> nos da un precio de 0.4179 pesos por minuto, en comparación con la resolución P/060711/261 del 27 de mayo del 2011, en donde el precio por minuto es de 0.3912. Las diferencias entre estas dos resoluciones es el impacto directo en el precio de tarifa de interconexión, que es mayor.</w:t>
      </w:r>
    </w:p>
    <w:p w14:paraId="756C7000"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2E6DA38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Esta autoridad regulatoria desestima las respuestas de los peritos ya que como se menciona con antelación, no es procedente entrar al estudio de la Resolución P/201010/492, dado que el pleno de la extinta </w:t>
      </w:r>
      <w:proofErr w:type="spellStart"/>
      <w:r w:rsidRPr="00654D1D">
        <w:rPr>
          <w:rFonts w:ascii="ITC Avant Garde" w:hAnsi="ITC Avant Garde" w:cs="Arial"/>
        </w:rPr>
        <w:t>Cofetel</w:t>
      </w:r>
      <w:proofErr w:type="spellEnd"/>
      <w:r w:rsidRPr="00654D1D">
        <w:rPr>
          <w:rFonts w:ascii="ITC Avant Garde" w:hAnsi="ITC Avant Garde" w:cs="Arial"/>
        </w:rPr>
        <w:t xml:space="preserve"> no invocó ni fundo en dicha Resolución los resolutivos de las condiciones y tarifas de interconexión no convenidas de la Resolución P/060711/257 que es la que nos ocupa.</w:t>
      </w:r>
    </w:p>
    <w:p w14:paraId="65C15EC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Así mismo, se señala que en términos de lo dispuesto por los artículos 9-A fracción X, 42 y 43 de la abrogada LFT, la extinta </w:t>
      </w:r>
      <w:proofErr w:type="spellStart"/>
      <w:r w:rsidRPr="00654D1D">
        <w:rPr>
          <w:rFonts w:ascii="ITC Avant Garde" w:hAnsi="ITC Avant Garde" w:cs="Arial"/>
        </w:rPr>
        <w:t>Cofetel</w:t>
      </w:r>
      <w:proofErr w:type="spellEnd"/>
      <w:r w:rsidRPr="00654D1D">
        <w:rPr>
          <w:rFonts w:ascii="ITC Avant Garde" w:hAnsi="ITC Avant Garde" w:cs="Arial"/>
        </w:rPr>
        <w:t xml:space="preserve"> estaba facultada para resolver con autonomía plena las condiciones que en materia de interconexión, no hubiesen sido convenidas entre los concesionarios de redes públicas de telecomunicaciones, para lo cual utilizó un Modelo de Costos que otorgó certeza jurídica a las partes conforme al marco jurídico aplicable en dicho periodo.</w:t>
      </w:r>
    </w:p>
    <w:p w14:paraId="3018823E"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Pregunta 12. Que diga y explique el perito la metodología utilizada por la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para estimar la demanda de tráfico de llamadas de voz y que determine si está debidamente justificada y respaldada por la evidencia empírica. </w:t>
      </w:r>
    </w:p>
    <w:p w14:paraId="1246238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Argumenta el perito de la recurrente que resulta evidente que en el procedimiento descrito para estimar el tráfico de minutos de voz que deberá cursar la red del operador representativo resultan fundamentales los minutos de voz mensuales que se le atribuyen a cada uno de los usuarios. Sin embargo, la </w:t>
      </w:r>
      <w:proofErr w:type="spellStart"/>
      <w:r w:rsidRPr="00654D1D">
        <w:rPr>
          <w:rFonts w:ascii="ITC Avant Garde" w:hAnsi="ITC Avant Garde" w:cs="Arial"/>
        </w:rPr>
        <w:t>Cofetel</w:t>
      </w:r>
      <w:proofErr w:type="spellEnd"/>
      <w:r w:rsidRPr="00654D1D">
        <w:rPr>
          <w:rFonts w:ascii="ITC Avant Garde" w:hAnsi="ITC Avant Garde" w:cs="Arial"/>
        </w:rPr>
        <w:t xml:space="preserve"> no sigue ningún método para recopilar y valorar la información de los operadores ni para estimar una cifra que pudiera ser representativa del mercado mexicano. La Comisión simplemente se limita a afirmar que, después de analizar la información que reportan los concesionarios a la Comisión y que publican en sus informes anuales, "decidió utilizar la información de un concesionario en particular", sin dar mayor explicación al respecto.</w:t>
      </w:r>
    </w:p>
    <w:p w14:paraId="134BBF6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Lo anterior, constituye una seria deficiencia en la metodología adoptada porque la información específica de "un concesionario en particular" no puede asumirse como representativa del mercado y menos aún de la demanda que enfrenta el supuesto concesionario representativo.</w:t>
      </w:r>
    </w:p>
    <w:p w14:paraId="4F1BE66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otra parte, el perito de la tercero perjudicada señaló que la determinación de la demanda de tráfico está basada en información públicamente disponible de variables como población, niveles de penetración y características de uso, entre otras. Es por lo tanto, información real y verificable, además de avalada por las instituciones responsables de la misma en el país. De esta manera se valida que la información utilizada por </w:t>
      </w:r>
      <w:proofErr w:type="spellStart"/>
      <w:r w:rsidRPr="00654D1D">
        <w:rPr>
          <w:rFonts w:ascii="ITC Avant Garde" w:hAnsi="ITC Avant Garde" w:cs="Arial"/>
        </w:rPr>
        <w:t>Cofetel</w:t>
      </w:r>
      <w:proofErr w:type="spellEnd"/>
      <w:r w:rsidRPr="00654D1D">
        <w:rPr>
          <w:rFonts w:ascii="ITC Avant Garde" w:hAnsi="ITC Avant Garde" w:cs="Arial"/>
        </w:rPr>
        <w:t xml:space="preserve"> en su modelo es la adecuada como insumo de su modelo.</w:t>
      </w:r>
    </w:p>
    <w:p w14:paraId="7A4A09B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Señala el perito tercero en discordia que para estimar la demanda de tráfico de llamadas de voz, la </w:t>
      </w:r>
      <w:proofErr w:type="spellStart"/>
      <w:r w:rsidRPr="00654D1D">
        <w:rPr>
          <w:rFonts w:ascii="ITC Avant Garde" w:hAnsi="ITC Avant Garde" w:cs="Arial"/>
        </w:rPr>
        <w:t>Cofetel</w:t>
      </w:r>
      <w:proofErr w:type="spellEnd"/>
      <w:r w:rsidRPr="00654D1D">
        <w:rPr>
          <w:rFonts w:ascii="ITC Avant Garde" w:hAnsi="ITC Avant Garde" w:cs="Arial"/>
        </w:rPr>
        <w:t xml:space="preserve"> utilizó la combinación de las metodologías de los modelos de costos, </w:t>
      </w:r>
      <w:proofErr w:type="spellStart"/>
      <w:r w:rsidRPr="00654D1D">
        <w:rPr>
          <w:rFonts w:ascii="ITC Avant Garde" w:hAnsi="ITC Avant Garde" w:cs="Arial"/>
        </w:rPr>
        <w:t>Bottom</w:t>
      </w:r>
      <w:proofErr w:type="spellEnd"/>
      <w:r w:rsidRPr="00654D1D">
        <w:rPr>
          <w:rFonts w:ascii="ITC Avant Garde" w:hAnsi="ITC Avant Garde" w:cs="Arial"/>
        </w:rPr>
        <w:t xml:space="preserve"> Up </w:t>
      </w:r>
      <w:proofErr w:type="spellStart"/>
      <w:r w:rsidRPr="00654D1D">
        <w:rPr>
          <w:rFonts w:ascii="ITC Avant Garde" w:hAnsi="ITC Avant Garde" w:cs="Arial"/>
        </w:rPr>
        <w:t>Ertth</w:t>
      </w:r>
      <w:proofErr w:type="spellEnd"/>
      <w:r w:rsidRPr="00654D1D">
        <w:rPr>
          <w:rFonts w:ascii="ITC Avant Garde" w:hAnsi="ITC Avant Garde" w:cs="Arial"/>
        </w:rPr>
        <w:t xml:space="preserve">, </w:t>
      </w:r>
      <w:proofErr w:type="spellStart"/>
      <w:r w:rsidRPr="00654D1D">
        <w:rPr>
          <w:rFonts w:ascii="ITC Avant Garde" w:hAnsi="ITC Avant Garde" w:cs="Arial"/>
        </w:rPr>
        <w:t>Bottom</w:t>
      </w:r>
      <w:proofErr w:type="spellEnd"/>
      <w:r w:rsidRPr="00654D1D">
        <w:rPr>
          <w:rFonts w:ascii="ITC Avant Garde" w:hAnsi="ITC Avant Garde" w:cs="Arial"/>
        </w:rPr>
        <w:t xml:space="preserve"> Up </w:t>
      </w:r>
      <w:proofErr w:type="spellStart"/>
      <w:r w:rsidRPr="00654D1D">
        <w:rPr>
          <w:rFonts w:ascii="ITC Avant Garde" w:hAnsi="ITC Avant Garde" w:cs="Arial"/>
        </w:rPr>
        <w:t>Node</w:t>
      </w:r>
      <w:proofErr w:type="spellEnd"/>
      <w:r w:rsidRPr="00654D1D">
        <w:rPr>
          <w:rFonts w:ascii="ITC Avant Garde" w:hAnsi="ITC Avant Garde" w:cs="Arial"/>
        </w:rPr>
        <w:t>, dando un modelo hibrido, de lo que se observa que la Comisión decidió utilizar información basada en reportes de crecimiento de los concesionarios y dinámica del crecimiento del sector, lo que hace justificado y confiable, el procedimiento que utiliza.</w:t>
      </w:r>
    </w:p>
    <w:p w14:paraId="606A2CDE"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3D9D1A0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Este Instituto coincide con el señalamiento del perito designado por parte de la tercera interesada en el aspecto de que para la determinación de la demanda se instrumentó un enfoque de tipo ingenieril o </w:t>
      </w:r>
      <w:proofErr w:type="spellStart"/>
      <w:r w:rsidRPr="00654D1D">
        <w:rPr>
          <w:rFonts w:ascii="ITC Avant Garde" w:hAnsi="ITC Avant Garde" w:cs="Arial"/>
        </w:rPr>
        <w:t>Botto</w:t>
      </w:r>
      <w:r w:rsidR="00260FDE" w:rsidRPr="00654D1D">
        <w:rPr>
          <w:rFonts w:ascii="ITC Avant Garde" w:hAnsi="ITC Avant Garde" w:cs="Arial"/>
        </w:rPr>
        <w:t>m</w:t>
      </w:r>
      <w:proofErr w:type="spellEnd"/>
      <w:r w:rsidRPr="00654D1D">
        <w:rPr>
          <w:rFonts w:ascii="ITC Avant Garde" w:hAnsi="ITC Avant Garde" w:cs="Arial"/>
        </w:rPr>
        <w:t xml:space="preserve"> Up y un calibrado por medio de un enfoque </w:t>
      </w:r>
      <w:proofErr w:type="spellStart"/>
      <w:r w:rsidRPr="00654D1D">
        <w:rPr>
          <w:rFonts w:ascii="ITC Avant Garde" w:hAnsi="ITC Avant Garde" w:cs="Arial"/>
        </w:rPr>
        <w:t>Scorched-Earth</w:t>
      </w:r>
      <w:proofErr w:type="spellEnd"/>
      <w:r w:rsidRPr="00654D1D">
        <w:rPr>
          <w:rFonts w:ascii="ITC Avant Garde" w:hAnsi="ITC Avant Garde" w:cs="Arial"/>
        </w:rPr>
        <w:t xml:space="preserve"> que se basa en información pública disponible y que evita los riesgos de tomar en cuenta información manipulada que transfiera ineficiencias de los operadores reales al modelo.</w:t>
      </w:r>
    </w:p>
    <w:p w14:paraId="51EE9FF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otro lado, se desestima la respuesta del perito de la quejosa respecto de que la extinta </w:t>
      </w:r>
      <w:proofErr w:type="spellStart"/>
      <w:r w:rsidRPr="00654D1D">
        <w:rPr>
          <w:rFonts w:ascii="ITC Avant Garde" w:hAnsi="ITC Avant Garde" w:cs="Arial"/>
        </w:rPr>
        <w:t>Cofetel</w:t>
      </w:r>
      <w:proofErr w:type="spellEnd"/>
      <w:r w:rsidRPr="00654D1D">
        <w:rPr>
          <w:rFonts w:ascii="ITC Avant Garde" w:hAnsi="ITC Avant Garde" w:cs="Arial"/>
        </w:rPr>
        <w:t xml:space="preserve"> no siguió algún método para recopilar y valorar la información de los operadores ni para estimar una cifra que pudiera ser representativa del mercado mexicano, ya que de la foja 34 a la 36 de la Resolución en escrutinio se detalla la metodología con la que la extinta Comisión estimo la demanda de los servicios.</w:t>
      </w:r>
    </w:p>
    <w:p w14:paraId="6D1A7813"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Pregunta 13. Que diga y explique el perito si la información de demanda de tráfico utilizada por la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es suficiente para la determinación del dimensionamiento de la red modelada y si se incluye una contabilización matemáticamente robusta y adecuada de los minutos relevantes para determinar el impacto sobre los costos de proveer el tráfico estimado.</w:t>
      </w:r>
    </w:p>
    <w:p w14:paraId="06EA44A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El perito de la recurrente refiere que la Comisión no hace una contabilización adecuada de todos los minutos relevantes para el dimensionamiento de la red puesto que deja fuera todos los minutos en que la red se encuentra ocupada, pero que no generan un cobro específico por esa utilización.</w:t>
      </w:r>
    </w:p>
    <w:p w14:paraId="41A8A24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Este es el caso de los minutos de utilización de red por el tiempo que transcurre desde que se genera una llamada hasta que la llamada es contestada o, en su caso, el tiempo transcurrido cuando el destinatario no contesta y se considera como una llamada fallida y se suspende el intento de comunicación. Si bien es cierto que los intentos de conexión de llamadas y el envío de los tonos correspondientes solamente hacen uso del canal de señalización, debe tomarse en cuenta que durante el tiempo transcurrido en el intento de conexión la red aparta también un canal de voz para el establecimiento de la llamada, por lo que la ocupación de la red es prácticamente la misma que se tiene cuando se cursa efectivamente la llamada de voz.</w:t>
      </w:r>
    </w:p>
    <w:p w14:paraId="34E141C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omisión de la entonces Comisión al considerar este tipo de ocupación de la red subestima el costo por minuto de proporcionar el servicio. </w:t>
      </w:r>
    </w:p>
    <w:p w14:paraId="33660F0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Ahora bien, el perito de la tercero perjudicada señaló que la información requerida por el modelo de costos para el dimensionamiento de la red, incluye el número de suscriptores, las llamadas que realiza y las diferentes modalidades de comunicaciones. Es decir, la demanda toma en consideración tanto el número de suscriptores como el uso de los servicios, además de que la </w:t>
      </w:r>
      <w:proofErr w:type="spellStart"/>
      <w:r w:rsidRPr="00654D1D">
        <w:rPr>
          <w:rFonts w:ascii="ITC Avant Garde" w:hAnsi="ITC Avant Garde" w:cs="Arial"/>
        </w:rPr>
        <w:t>Cofetel</w:t>
      </w:r>
      <w:proofErr w:type="spellEnd"/>
      <w:r w:rsidRPr="00654D1D">
        <w:rPr>
          <w:rFonts w:ascii="ITC Avant Garde" w:hAnsi="ITC Avant Garde" w:cs="Arial"/>
        </w:rPr>
        <w:t xml:space="preserve"> señala que la información corresponde a un operador del mercado nacional, con lo que se asegura que los valores corresponden a dicho mercado.</w:t>
      </w:r>
    </w:p>
    <w:p w14:paraId="4B60210E" w14:textId="40A5CAE8" w:rsidR="003E526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otra parte, el perito tercero en discordia considera que si es suficiente la demanda de </w:t>
      </w:r>
      <w:r w:rsidR="0051578F" w:rsidRPr="00654D1D">
        <w:rPr>
          <w:rFonts w:ascii="ITC Avant Garde" w:hAnsi="ITC Avant Garde" w:cs="Arial"/>
        </w:rPr>
        <w:t>tráfico</w:t>
      </w:r>
      <w:r w:rsidRPr="00654D1D">
        <w:rPr>
          <w:rFonts w:ascii="ITC Avant Garde" w:hAnsi="ITC Avant Garde" w:cs="Arial"/>
        </w:rPr>
        <w:t xml:space="preserve"> utilizada por </w:t>
      </w:r>
      <w:proofErr w:type="spellStart"/>
      <w:r w:rsidRPr="00654D1D">
        <w:rPr>
          <w:rFonts w:ascii="ITC Avant Garde" w:hAnsi="ITC Avant Garde" w:cs="Arial"/>
        </w:rPr>
        <w:t>Cofetel</w:t>
      </w:r>
      <w:proofErr w:type="spellEnd"/>
      <w:r w:rsidRPr="00654D1D">
        <w:rPr>
          <w:rFonts w:ascii="ITC Avant Garde" w:hAnsi="ITC Avant Garde" w:cs="Arial"/>
        </w:rPr>
        <w:t xml:space="preserve">, para la determinación del dimensionamiento de la red modelada, por lo que se infiere que la contabilización de los minutos relevantes está incluida, dado que, los minutos salientes, entrantes e </w:t>
      </w:r>
      <w:proofErr w:type="spellStart"/>
      <w:r w:rsidRPr="00654D1D">
        <w:rPr>
          <w:rFonts w:ascii="ITC Avant Garde" w:hAnsi="ITC Avant Garde" w:cs="Arial"/>
        </w:rPr>
        <w:t>intrared</w:t>
      </w:r>
      <w:proofErr w:type="spellEnd"/>
      <w:r w:rsidRPr="00654D1D">
        <w:rPr>
          <w:rFonts w:ascii="ITC Avant Garde" w:hAnsi="ITC Avant Garde" w:cs="Arial"/>
        </w:rPr>
        <w:t xml:space="preserve"> la conforman.</w:t>
      </w:r>
    </w:p>
    <w:p w14:paraId="69DED87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demanda de tráfico de llamadas o información de tráfico, se compone de: número de usuarios, localización de estos, concentraciones geográficas o densidad de población, lo que conforma el número de </w:t>
      </w:r>
      <w:proofErr w:type="spellStart"/>
      <w:r w:rsidRPr="00654D1D">
        <w:rPr>
          <w:rFonts w:ascii="ITC Avant Garde" w:hAnsi="ITC Avant Garde" w:cs="Arial"/>
        </w:rPr>
        <w:t>radiobases</w:t>
      </w:r>
      <w:proofErr w:type="spellEnd"/>
      <w:r w:rsidRPr="00654D1D">
        <w:rPr>
          <w:rFonts w:ascii="ITC Avant Garde" w:hAnsi="ITC Avant Garde" w:cs="Arial"/>
        </w:rPr>
        <w:t xml:space="preserve"> y los elementos de la red.</w:t>
      </w:r>
    </w:p>
    <w:p w14:paraId="4B602112" w14:textId="6D5B7D32" w:rsidR="003E526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430E4B7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Este Instituto desestima la respuesta del perito de la quejosa ya que para dimensionar la red del operador representativo en el modelo la extinta </w:t>
      </w:r>
      <w:proofErr w:type="spellStart"/>
      <w:r w:rsidRPr="00654D1D">
        <w:rPr>
          <w:rFonts w:ascii="ITC Avant Garde" w:hAnsi="ITC Avant Garde" w:cs="Arial"/>
        </w:rPr>
        <w:t>Cofetel</w:t>
      </w:r>
      <w:proofErr w:type="spellEnd"/>
      <w:r w:rsidRPr="00654D1D">
        <w:rPr>
          <w:rFonts w:ascii="ITC Avant Garde" w:hAnsi="ITC Avant Garde" w:cs="Arial"/>
        </w:rPr>
        <w:t xml:space="preserve"> tomo en cuenta la información relevante de la demanda del servicio, la cual constituía la mejor información disponible al momento de elaborar el modelo de costos. En este sentido, para los </w:t>
      </w:r>
      <w:r w:rsidRPr="00654D1D">
        <w:rPr>
          <w:rFonts w:ascii="ITC Avant Garde" w:hAnsi="ITC Avant Garde" w:cs="Arial"/>
        </w:rPr>
        <w:lastRenderedPageBreak/>
        <w:t>suscriptores se determinó el tráfico de servicios de telefonía en el promedio de minutos de entrada y salida, con ello se estimó la distribución de los distintos tipos de llamadas terminadas en una red móvil.</w:t>
      </w:r>
    </w:p>
    <w:p w14:paraId="021E9A04"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Pregunta 14. Que diga y explique el perito por qué es importante en un modelo de costos considerar el dimensionamiento de la red para lograr un nivel de cobertura.</w:t>
      </w:r>
    </w:p>
    <w:p w14:paraId="0D48A1B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de la recurrente manifiesta que los modelos "</w:t>
      </w:r>
      <w:proofErr w:type="spellStart"/>
      <w:r w:rsidRPr="00654D1D">
        <w:rPr>
          <w:rFonts w:ascii="ITC Avant Garde" w:hAnsi="ITC Avant Garde" w:cs="Arial"/>
        </w:rPr>
        <w:t>Bottom</w:t>
      </w:r>
      <w:proofErr w:type="spellEnd"/>
      <w:r w:rsidRPr="00654D1D">
        <w:rPr>
          <w:rFonts w:ascii="ITC Avant Garde" w:hAnsi="ITC Avant Garde" w:cs="Arial"/>
        </w:rPr>
        <w:t>-up", que diseñan la red de un operador representativo, deben considerar que la red debe tener cobertura y disponibilidad de servicio en condiciones no menos favorables que las que ofrecen sus competidores. La necesidad de ofrecer cobertura suficiente significa un importante costo en el desarrollo de la red de cualquier operador móvil, particularmente en las etapas iniciales de su operación, puesto que los efectos económicos de los costos de ofrecer cobertura son similares a los de los costos fijos y solo pueden absorberse gradualmente conforme se van ganando clientes que utilicen efectivamente la capacidad de la cobertura desplegada. Ello hace que los costos unitarios de proveer servicios se reduzcan sensiblemente conforme el operador aumenta el tráfico que se cursa en su red.</w:t>
      </w:r>
    </w:p>
    <w:p w14:paraId="7B5E4CF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otro lado, el perito de la tercero perjudicada señaló que el concepto de dimensionamiento de la red se sustenta en el cálculo del número y tipo de equipos que el operador eficiente debe tener en su infraestructura para satisfacer la demanda de servicios.</w:t>
      </w:r>
    </w:p>
    <w:p w14:paraId="6F64B8B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Las redes móviles se dimensionan básicamente bajo dos criterios: capacidad/volumen y cobertura. Así, el dimensionamiento de la red debe ser tal que incluya toda la infraestructura estrictamente necesaria para prestar los servicios de telecomunicaciones de manera óptima. Lo anterior implica considerar variables como el tiempo para el establecimiento de una llamada y las llamadas no contestadas, llamadas con marcación errada e intentos de llamada, así como las llamadas gratuitas (emergencia, atención al cliente, consulta de saldo, etc.).</w:t>
      </w:r>
    </w:p>
    <w:p w14:paraId="4B60211E" w14:textId="6BBA914A" w:rsidR="003E526D" w:rsidRPr="00654D1D" w:rsidRDefault="003E526D" w:rsidP="00654D1D">
      <w:pPr>
        <w:spacing w:before="240"/>
        <w:jc w:val="both"/>
        <w:rPr>
          <w:rFonts w:ascii="ITC Avant Garde" w:hAnsi="ITC Avant Garde" w:cs="Arial"/>
        </w:rPr>
      </w:pPr>
      <w:r w:rsidRPr="00654D1D">
        <w:rPr>
          <w:rFonts w:ascii="ITC Avant Garde" w:hAnsi="ITC Avant Garde" w:cs="Arial"/>
        </w:rPr>
        <w:t>Asimismo, para dimensionar las redes también se deben considerar los aspectos de cobertura, a efecto de cumplir con los objetivos y metas establecidos en términos de penetración del servicio.</w:t>
      </w:r>
    </w:p>
    <w:p w14:paraId="7154C0B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otro lado, el perito tercero en discordia señaló que para establecer el dimensionamiento de la red en los modelos de costos, es importante para poder determinar el tamaño de la red, que se tome en cuenta la información de la cantidad de los componentes y los precio de los elementos que conforman la red utilizada, para poder establecer los costos de interconexión.</w:t>
      </w:r>
    </w:p>
    <w:p w14:paraId="3C5018D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Cuando se utiliza el modelo de costos </w:t>
      </w:r>
      <w:proofErr w:type="spellStart"/>
      <w:r w:rsidRPr="00654D1D">
        <w:rPr>
          <w:rFonts w:ascii="ITC Avant Garde" w:hAnsi="ITC Avant Garde" w:cs="Arial"/>
        </w:rPr>
        <w:t>Botto</w:t>
      </w:r>
      <w:r w:rsidR="00260FDE" w:rsidRPr="00654D1D">
        <w:rPr>
          <w:rFonts w:ascii="ITC Avant Garde" w:hAnsi="ITC Avant Garde" w:cs="Arial"/>
        </w:rPr>
        <w:t>m</w:t>
      </w:r>
      <w:proofErr w:type="spellEnd"/>
      <w:r w:rsidR="00722A1C" w:rsidRPr="00654D1D">
        <w:rPr>
          <w:rFonts w:ascii="ITC Avant Garde" w:hAnsi="ITC Avant Garde" w:cs="Arial"/>
        </w:rPr>
        <w:t>-</w:t>
      </w:r>
      <w:r w:rsidRPr="00654D1D">
        <w:rPr>
          <w:rFonts w:ascii="ITC Avant Garde" w:hAnsi="ITC Avant Garde" w:cs="Arial"/>
        </w:rPr>
        <w:t>Up de largo plazo, contemplan los diferentes servicios prestados, los costos incrementales totales y se le considera el modelo ideal compartido por los distintos servicios, este modelo es el utilizado por la Comisión.</w:t>
      </w:r>
    </w:p>
    <w:p w14:paraId="6AABE4F9"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33C050C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Esta autoridad reguladora converge con las respuestas de los tres peritos en el sentido de que el dimensionamiento de la red dentro del modelo es importante para determinar los costos de los servicios y su nivel de cobertura. </w:t>
      </w:r>
    </w:p>
    <w:p w14:paraId="460DF38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este sentido el dimensionamiento de la red incide en las economías de escala y alcance características de los operadores de telecomunicaciones, ya que en la medida en la que el operador modelado puede ofrecer una mayor gama de servicios en su zona de cobertura incrementara sus economías de alcance. De igual modo, en la medida que el tráfico de su red se incremente los costos unitarios disminuirán generando mayores economías de escala que le permitan disminuir precios y aumentar la demanda de sus servicios.</w:t>
      </w:r>
    </w:p>
    <w:p w14:paraId="5DEC3CA8"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Pregunta 15. Que diga y explique el perito si el Modelo de Costos utilizado por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efectivamente considera el dimensionamiento de la red necesario para ofrecer los niveles de cobertura geográfica establecidos en las consideraciones de la Resolución. En caso de no ser así, el perito explicará las consecuencias que tendría sobre la estimación de los costos. </w:t>
      </w:r>
    </w:p>
    <w:p w14:paraId="07D7849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de la recurrente arguye que el modelo de costos de la Comisión ignora por completo los parámetros de cobertura geográfica establecidos en los considerandos de la resolución. De hecho, el modelo de costos carece de un módulo de cobertura geográfica lo que resulta no solo contrario a lo que establecen los resolutivos sino a cualquier ejercicio que pretenda modelar el diseño de una red eficiente para calcular costos.</w:t>
      </w:r>
    </w:p>
    <w:p w14:paraId="1FDC953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Ahora bien, el perito de la tercero perjudicada señaló que en lo referente al concepto capacidad/volumen, el modelo calcula el número de estaciones base que se requieren para atender las necesidades de tráfico en cada zona. Asimismo, en lo referente a la cobertura, el modelo considera que el operador representativo es un proveedor de servicios de telefonía móvil a nivel nacional, por lo que su cobertura comprende a cada una de las 9 regiones celulares o PCS en las que se encuentra dividido el país. Adicionalmente consideró dentro de su cobertura a las áreas geográficas a cubrir a las zonas urbanas, semiurbanas, y carreteras del país. </w:t>
      </w:r>
    </w:p>
    <w:p w14:paraId="06641FF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Por lo anterior se puede señalar que el modelo de </w:t>
      </w:r>
      <w:proofErr w:type="spellStart"/>
      <w:r w:rsidRPr="00654D1D">
        <w:rPr>
          <w:rFonts w:ascii="ITC Avant Garde" w:hAnsi="ITC Avant Garde" w:cs="Arial"/>
        </w:rPr>
        <w:t>Cofetel</w:t>
      </w:r>
      <w:proofErr w:type="spellEnd"/>
      <w:r w:rsidRPr="00654D1D">
        <w:rPr>
          <w:rFonts w:ascii="ITC Avant Garde" w:hAnsi="ITC Avant Garde" w:cs="Arial"/>
        </w:rPr>
        <w:t xml:space="preserve"> sí considera el dimensionamiento de la red que se requiere para satisfacer los niveles de cobertura geográfica establecidos en las consideraciones de la Resolución.</w:t>
      </w:r>
    </w:p>
    <w:p w14:paraId="67DFD93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perito tercero en discordia manifestó que es claro que el modelo de costos de la Comisión si consideró el dimensionamiento de la red necesaria para ofrecer los niveles de cobertura geográfica considerados en la resolución, dado que utilizó la conjunción de los modelos </w:t>
      </w:r>
      <w:proofErr w:type="spellStart"/>
      <w:r w:rsidRPr="00654D1D">
        <w:rPr>
          <w:rFonts w:ascii="ITC Avant Garde" w:hAnsi="ITC Avant Garde" w:cs="Arial"/>
        </w:rPr>
        <w:t>Botto</w:t>
      </w:r>
      <w:r w:rsidR="00260FDE" w:rsidRPr="00654D1D">
        <w:rPr>
          <w:rFonts w:ascii="ITC Avant Garde" w:hAnsi="ITC Avant Garde" w:cs="Arial"/>
        </w:rPr>
        <w:t>m</w:t>
      </w:r>
      <w:proofErr w:type="spellEnd"/>
      <w:r w:rsidRPr="00654D1D">
        <w:rPr>
          <w:rFonts w:ascii="ITC Avant Garde" w:hAnsi="ITC Avant Garde" w:cs="Arial"/>
        </w:rPr>
        <w:t xml:space="preserve"> Up </w:t>
      </w:r>
      <w:proofErr w:type="spellStart"/>
      <w:r w:rsidRPr="00654D1D">
        <w:rPr>
          <w:rFonts w:ascii="ITC Avant Garde" w:hAnsi="ITC Avant Garde" w:cs="Arial"/>
        </w:rPr>
        <w:t>Scorched</w:t>
      </w:r>
      <w:proofErr w:type="spellEnd"/>
      <w:r w:rsidRPr="00654D1D">
        <w:rPr>
          <w:rFonts w:ascii="ITC Avant Garde" w:hAnsi="ITC Avant Garde" w:cs="Arial"/>
        </w:rPr>
        <w:t xml:space="preserve"> </w:t>
      </w:r>
      <w:proofErr w:type="spellStart"/>
      <w:r w:rsidRPr="00654D1D">
        <w:rPr>
          <w:rFonts w:ascii="ITC Avant Garde" w:hAnsi="ITC Avant Garde" w:cs="Arial"/>
        </w:rPr>
        <w:t>Node</w:t>
      </w:r>
      <w:proofErr w:type="spellEnd"/>
      <w:r w:rsidRPr="00654D1D">
        <w:rPr>
          <w:rFonts w:ascii="ITC Avant Garde" w:hAnsi="ITC Avant Garde" w:cs="Arial"/>
        </w:rPr>
        <w:t xml:space="preserve">, basado en el principal operador y </w:t>
      </w:r>
      <w:proofErr w:type="spellStart"/>
      <w:r w:rsidRPr="00654D1D">
        <w:rPr>
          <w:rFonts w:ascii="ITC Avant Garde" w:hAnsi="ITC Avant Garde" w:cs="Arial"/>
        </w:rPr>
        <w:t>Bottom</w:t>
      </w:r>
      <w:proofErr w:type="spellEnd"/>
      <w:r w:rsidRPr="00654D1D">
        <w:rPr>
          <w:rFonts w:ascii="ITC Avant Garde" w:hAnsi="ITC Avant Garde" w:cs="Arial"/>
        </w:rPr>
        <w:t xml:space="preserve">-Up </w:t>
      </w:r>
      <w:proofErr w:type="spellStart"/>
      <w:r w:rsidRPr="00654D1D">
        <w:rPr>
          <w:rFonts w:ascii="ITC Avant Garde" w:hAnsi="ITC Avant Garde" w:cs="Arial"/>
        </w:rPr>
        <w:t>Scorched</w:t>
      </w:r>
      <w:proofErr w:type="spellEnd"/>
      <w:r w:rsidRPr="00654D1D">
        <w:rPr>
          <w:rFonts w:ascii="ITC Avant Garde" w:hAnsi="ITC Avant Garde" w:cs="Arial"/>
        </w:rPr>
        <w:t xml:space="preserve"> </w:t>
      </w:r>
      <w:proofErr w:type="spellStart"/>
      <w:r w:rsidRPr="00654D1D">
        <w:rPr>
          <w:rFonts w:ascii="ITC Avant Garde" w:hAnsi="ITC Avant Garde" w:cs="Arial"/>
        </w:rPr>
        <w:t>Earth</w:t>
      </w:r>
      <w:proofErr w:type="spellEnd"/>
      <w:r w:rsidRPr="00654D1D">
        <w:rPr>
          <w:rFonts w:ascii="ITC Avant Garde" w:hAnsi="ITC Avant Garde" w:cs="Arial"/>
        </w:rPr>
        <w:t>, basado en la demanda del servicio, clientes, condiciones socioeconómicas y principalmente geográficas del territorio de operación.</w:t>
      </w:r>
    </w:p>
    <w:p w14:paraId="44C71B93"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4900857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Este Instituto desestima la respuesta del perito de la quejosa respecto de que el modelo de costos de la extinta Comisión ignora por completo los parámetros de cobertura geográfica establecidos en los considerandos de la resolución, ya que en la resolución en disputa si se detallan los elementos de red y la metodología utilizados, lo cual se puede observar de la foja 6 a la 39 de dicha Resolución.</w:t>
      </w:r>
    </w:p>
    <w:p w14:paraId="79D8675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Asimismo, se coincide con los peritos de la tercera interesada y tercero en discordia en lo relativo a que el operador representativo es un proveedor de servicios de telefonía móvil a nivel nacional que cuenta con cobertura en las 9 regiones celulares del país y que considera áreas geográficas urbanas, semiurbanas, y carreteras del país, </w:t>
      </w:r>
      <w:r w:rsidR="00982459" w:rsidRPr="00654D1D">
        <w:rPr>
          <w:rFonts w:ascii="ITC Avant Garde" w:hAnsi="ITC Avant Garde" w:cs="Arial"/>
        </w:rPr>
        <w:t>e</w:t>
      </w:r>
      <w:r w:rsidRPr="00654D1D">
        <w:rPr>
          <w:rFonts w:ascii="ITC Avant Garde" w:hAnsi="ITC Avant Garde" w:cs="Arial"/>
        </w:rPr>
        <w:t xml:space="preserve">lementos que se calibraron con las metodologías </w:t>
      </w:r>
      <w:proofErr w:type="spellStart"/>
      <w:r w:rsidRPr="00654D1D">
        <w:rPr>
          <w:rFonts w:ascii="ITC Avant Garde" w:hAnsi="ITC Avant Garde" w:cs="Arial"/>
        </w:rPr>
        <w:t>Botto</w:t>
      </w:r>
      <w:r w:rsidR="00260FDE" w:rsidRPr="00654D1D">
        <w:rPr>
          <w:rFonts w:ascii="ITC Avant Garde" w:hAnsi="ITC Avant Garde" w:cs="Arial"/>
        </w:rPr>
        <w:t>m</w:t>
      </w:r>
      <w:proofErr w:type="spellEnd"/>
      <w:r w:rsidR="00722A1C" w:rsidRPr="00654D1D">
        <w:rPr>
          <w:rFonts w:ascii="ITC Avant Garde" w:hAnsi="ITC Avant Garde" w:cs="Arial"/>
        </w:rPr>
        <w:t>-</w:t>
      </w:r>
      <w:r w:rsidRPr="00654D1D">
        <w:rPr>
          <w:rFonts w:ascii="ITC Avant Garde" w:hAnsi="ITC Avant Garde" w:cs="Arial"/>
        </w:rPr>
        <w:t xml:space="preserve">Up y </w:t>
      </w:r>
      <w:proofErr w:type="spellStart"/>
      <w:r w:rsidRPr="00654D1D">
        <w:rPr>
          <w:rFonts w:ascii="ITC Avant Garde" w:hAnsi="ITC Avant Garde" w:cs="Arial"/>
        </w:rPr>
        <w:t>Scorche</w:t>
      </w:r>
      <w:proofErr w:type="spellEnd"/>
      <w:r w:rsidRPr="00654D1D">
        <w:rPr>
          <w:rFonts w:ascii="ITC Avant Garde" w:hAnsi="ITC Avant Garde" w:cs="Arial"/>
        </w:rPr>
        <w:t xml:space="preserve"> </w:t>
      </w:r>
      <w:proofErr w:type="spellStart"/>
      <w:r w:rsidRPr="00654D1D">
        <w:rPr>
          <w:rFonts w:ascii="ITC Avant Garde" w:hAnsi="ITC Avant Garde" w:cs="Arial"/>
        </w:rPr>
        <w:t>Earth</w:t>
      </w:r>
      <w:proofErr w:type="spellEnd"/>
      <w:r w:rsidRPr="00654D1D">
        <w:rPr>
          <w:rFonts w:ascii="ITC Avant Garde" w:hAnsi="ITC Avant Garde" w:cs="Arial"/>
        </w:rPr>
        <w:t>.</w:t>
      </w:r>
    </w:p>
    <w:p w14:paraId="295B3D9D"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Pregunta 16. Que diga y explique el perito cuáles son los enfoques metodológicos utilizados en los modelos de costos para el diseño y optimización de la red que será modelada.</w:t>
      </w:r>
    </w:p>
    <w:p w14:paraId="34C72E4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Refiere el perito de la recurrente que en el caso de los modelos </w:t>
      </w:r>
      <w:proofErr w:type="spellStart"/>
      <w:r w:rsidRPr="00654D1D">
        <w:rPr>
          <w:rFonts w:ascii="ITC Avant Garde" w:hAnsi="ITC Avant Garde" w:cs="Arial"/>
        </w:rPr>
        <w:t>Bottom</w:t>
      </w:r>
      <w:proofErr w:type="spellEnd"/>
      <w:r w:rsidRPr="00654D1D">
        <w:rPr>
          <w:rFonts w:ascii="ITC Avant Garde" w:hAnsi="ITC Avant Garde" w:cs="Arial"/>
        </w:rPr>
        <w:t>-Up como el que publicó la Comisión, se utiliza información detallada para construir una red que hipotéticamente ofrezca servicios de telecomunicación, incluyendo servicios de interconexión. Los costos de dicha red, incluyendo costos de capital y costos de operación y mantenimiento, son asignados dentro de los servicios prestados.</w:t>
      </w:r>
    </w:p>
    <w:p w14:paraId="1CEAE33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modelo "</w:t>
      </w:r>
      <w:proofErr w:type="spellStart"/>
      <w:r w:rsidRPr="00654D1D">
        <w:rPr>
          <w:rFonts w:ascii="ITC Avant Garde" w:hAnsi="ITC Avant Garde" w:cs="Arial"/>
        </w:rPr>
        <w:t>scorched</w:t>
      </w:r>
      <w:proofErr w:type="spellEnd"/>
      <w:r w:rsidRPr="00654D1D">
        <w:rPr>
          <w:rFonts w:ascii="ITC Avant Garde" w:hAnsi="ITC Avant Garde" w:cs="Arial"/>
        </w:rPr>
        <w:t xml:space="preserve"> </w:t>
      </w:r>
      <w:proofErr w:type="spellStart"/>
      <w:r w:rsidRPr="00654D1D">
        <w:rPr>
          <w:rFonts w:ascii="ITC Avant Garde" w:hAnsi="ITC Avant Garde" w:cs="Arial"/>
        </w:rPr>
        <w:t>node</w:t>
      </w:r>
      <w:proofErr w:type="spellEnd"/>
      <w:r w:rsidRPr="00654D1D">
        <w:rPr>
          <w:rFonts w:ascii="ITC Avant Garde" w:hAnsi="ITC Avant Garde" w:cs="Arial"/>
        </w:rPr>
        <w:t>" para estimaciones de LRIC representa el punto medio entre los dos extremos. Asume que la ubicación de los nodos de la red es fija, y que el operador puede elegir la mejor tecnología disponible para configurar la red alrededor de éstos.</w:t>
      </w:r>
    </w:p>
    <w:p w14:paraId="36BA8DD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Ahora bien, el perito de la tercero perjudicada argumenta que en el caso de los modelos </w:t>
      </w:r>
      <w:proofErr w:type="spellStart"/>
      <w:r w:rsidRPr="00654D1D">
        <w:rPr>
          <w:rFonts w:ascii="ITC Avant Garde" w:hAnsi="ITC Avant Garde" w:cs="Arial"/>
        </w:rPr>
        <w:t>Bottom</w:t>
      </w:r>
      <w:proofErr w:type="spellEnd"/>
      <w:r w:rsidRPr="00654D1D">
        <w:rPr>
          <w:rFonts w:ascii="ITC Avant Garde" w:hAnsi="ITC Avant Garde" w:cs="Arial"/>
        </w:rPr>
        <w:t xml:space="preserve">-Up como el que publicó la Comisión y que ha utilizado para las resoluciones </w:t>
      </w:r>
      <w:r w:rsidRPr="00654D1D">
        <w:rPr>
          <w:rFonts w:ascii="ITC Avant Garde" w:hAnsi="ITC Avant Garde" w:cs="Arial"/>
        </w:rPr>
        <w:lastRenderedPageBreak/>
        <w:t>sobre las tarifas de interconexión, la metodología toma como referencia un caso hipotético de mercado y a través de un desarrollo de ingeniería de red, se determinan los costos del servicio analizado. Así, la estimación de los costos comienza desde abajo con la demanda, y se va construyendo hacia arriba con el diseño de la red y la determinación de los costos correspondientes, tanto operativos como de inversión.</w:t>
      </w:r>
    </w:p>
    <w:p w14:paraId="3DBFF03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tercero en discordia manifestó que los enfoques metodológicos utilizados en el Modelo de Costos contemplan los costos de operación, el tamaño de la red, la infraestructura, la inversión, los costos de capital y de operación, costos comunes compartidos al modelo de interconexión estimado, lo que permite adecuar el equilibrio entre una red modelada y los costos corrientes de la red ya instalada con lo que se debe optimizar la red de telecomunicaciones.</w:t>
      </w:r>
    </w:p>
    <w:p w14:paraId="50BBF0A3"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33C0A75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Esta autoridad reguladora da cuenta de la existencia de diversos enfoques y metodologías que son aplicables al momento de construir modelos de costos de servicios de telecomunicaciones, como se observa de la respuesta de los peritos cada una de ellas cuenta con ventajas y desventajas, por lo que la utilización de una determinada alternativa corresponde a una decisión de política regulatoria que entra dentro del ámbito de discrecionalidad del órgano regulador. </w:t>
      </w:r>
    </w:p>
    <w:p w14:paraId="155FBC71"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Pregunta 17. Que diga y explique el perito qué metodología de diseño de red adopta el Modelo de Costos utilizado para determinar la tarifa de terminación móvil en la Resolución P/060711/257 y si cumple con los lineamientos para desarrollar los modelos de costos emitidos por la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y publicados en el Diario Oficial de la federación el 12 de abril de 2011.</w:t>
      </w:r>
    </w:p>
    <w:p w14:paraId="19205D9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Para el perito de la recurrente resulta evidente que el Modelo de Costos utilizado por la Comisión no cumple con lo dispuesto por el tercer párrafo del numeral Tercero de los Lineamientos publicados en el DOF el 12 de abril de 2011, porque no utiliza en absoluto un enfoque "</w:t>
      </w:r>
      <w:proofErr w:type="spellStart"/>
      <w:r w:rsidRPr="00654D1D">
        <w:rPr>
          <w:rFonts w:ascii="ITC Avant Garde" w:hAnsi="ITC Avant Garde" w:cs="Arial"/>
        </w:rPr>
        <w:t>Scorched</w:t>
      </w:r>
      <w:proofErr w:type="spellEnd"/>
      <w:r w:rsidRPr="00654D1D">
        <w:rPr>
          <w:rFonts w:ascii="ITC Avant Garde" w:hAnsi="ITC Avant Garde" w:cs="Arial"/>
        </w:rPr>
        <w:t xml:space="preserve"> </w:t>
      </w:r>
      <w:proofErr w:type="spellStart"/>
      <w:r w:rsidRPr="00654D1D">
        <w:rPr>
          <w:rFonts w:ascii="ITC Avant Garde" w:hAnsi="ITC Avant Garde" w:cs="Arial"/>
        </w:rPr>
        <w:t>Earth</w:t>
      </w:r>
      <w:proofErr w:type="spellEnd"/>
      <w:r w:rsidRPr="00654D1D">
        <w:rPr>
          <w:rFonts w:ascii="ITC Avant Garde" w:hAnsi="ITC Avant Garde" w:cs="Arial"/>
        </w:rPr>
        <w:t>" para diseñar la red hipotética. De hecho el modelo está mal definido porque no considera ningún diseño ni configuración para la red. Simplemente calcula el número de antenas necesarias para atender una determinada demanda de minutos de voz.</w:t>
      </w:r>
    </w:p>
    <w:p w14:paraId="3D1AA6B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Ahora bien, el perito de la tercero perjudicada refiere que de la información en la descripción sobre la definición de los elementos de la red del operador representativo, se puede observar que efectivamente utiliza el enfoque </w:t>
      </w:r>
      <w:proofErr w:type="spellStart"/>
      <w:r w:rsidRPr="00654D1D">
        <w:rPr>
          <w:rFonts w:ascii="ITC Avant Garde" w:hAnsi="ITC Avant Garde" w:cs="Arial"/>
        </w:rPr>
        <w:t>Scorched-Earth</w:t>
      </w:r>
      <w:proofErr w:type="spellEnd"/>
      <w:r w:rsidRPr="00654D1D">
        <w:rPr>
          <w:rFonts w:ascii="ITC Avant Garde" w:hAnsi="ITC Avant Garde" w:cs="Arial"/>
        </w:rPr>
        <w:t xml:space="preserve"> al considerar las características geográficas y demográficas del país.</w:t>
      </w:r>
    </w:p>
    <w:p w14:paraId="54A553F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El perito tercero en discordia señala que la metodología utilizada es el modelo </w:t>
      </w:r>
      <w:proofErr w:type="spellStart"/>
      <w:r w:rsidRPr="00654D1D">
        <w:rPr>
          <w:rFonts w:ascii="ITC Avant Garde" w:hAnsi="ITC Avant Garde" w:cs="Arial"/>
        </w:rPr>
        <w:t>Bottom</w:t>
      </w:r>
      <w:proofErr w:type="spellEnd"/>
      <w:r w:rsidRPr="00654D1D">
        <w:rPr>
          <w:rFonts w:ascii="ITC Avant Garde" w:hAnsi="ITC Avant Garde" w:cs="Arial"/>
        </w:rPr>
        <w:t xml:space="preserve"> -Up </w:t>
      </w:r>
      <w:proofErr w:type="spellStart"/>
      <w:r w:rsidRPr="00654D1D">
        <w:rPr>
          <w:rFonts w:ascii="ITC Avant Garde" w:hAnsi="ITC Avant Garde" w:cs="Arial"/>
        </w:rPr>
        <w:t>Earth</w:t>
      </w:r>
      <w:proofErr w:type="spellEnd"/>
      <w:r w:rsidRPr="00654D1D">
        <w:rPr>
          <w:rFonts w:ascii="ITC Avant Garde" w:hAnsi="ITC Avant Garde" w:cs="Arial"/>
        </w:rPr>
        <w:t xml:space="preserve">, que se basa en la demanda en lo geográfico, toma en cuenta las 9 zonas en que se divide el país, con información geográfica y poblacional emitida por el INEGI, esto permitió establecer que la resolución P/150611/198 de la </w:t>
      </w:r>
      <w:proofErr w:type="spellStart"/>
      <w:r w:rsidRPr="00654D1D">
        <w:rPr>
          <w:rFonts w:ascii="ITC Avant Garde" w:hAnsi="ITC Avant Garde" w:cs="Arial"/>
        </w:rPr>
        <w:t>Cofetel</w:t>
      </w:r>
      <w:proofErr w:type="spellEnd"/>
      <w:r w:rsidRPr="00654D1D">
        <w:rPr>
          <w:rFonts w:ascii="ITC Avant Garde" w:hAnsi="ITC Avant Garde" w:cs="Arial"/>
        </w:rPr>
        <w:t>, toma en cuenta la demanda, que permite distinguir que el 61% del tráfico de llamadas es urbano y el 38% es tráfico semiurbano, finalmente el 1% restante es tráfico de carreteras, por lo tanto cumple con los lineamientos establecidos por Comisión.</w:t>
      </w:r>
    </w:p>
    <w:p w14:paraId="71F5CF38"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01B47D1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Este Instituto desestima la respuesta del perito de la quejosa, en virtud de que la resolución reclamada no se fundamenta en los Lineamientos, asimismo en la propia resolución se explica de manera amplia la metodología utilizada en el diseño de red, empleándose un modelo </w:t>
      </w:r>
      <w:proofErr w:type="spellStart"/>
      <w:r w:rsidRPr="00654D1D">
        <w:rPr>
          <w:rFonts w:ascii="ITC Avant Garde" w:hAnsi="ITC Avant Garde" w:cs="Arial"/>
        </w:rPr>
        <w:t>bottom</w:t>
      </w:r>
      <w:proofErr w:type="spellEnd"/>
      <w:r w:rsidRPr="00654D1D">
        <w:rPr>
          <w:rFonts w:ascii="ITC Avant Garde" w:hAnsi="ITC Avant Garde" w:cs="Arial"/>
        </w:rPr>
        <w:t xml:space="preserve">-up con un diseño </w:t>
      </w:r>
      <w:proofErr w:type="spellStart"/>
      <w:r w:rsidRPr="00654D1D">
        <w:rPr>
          <w:rFonts w:ascii="ITC Avant Garde" w:hAnsi="ITC Avant Garde" w:cs="Arial"/>
        </w:rPr>
        <w:t>scorched</w:t>
      </w:r>
      <w:proofErr w:type="spellEnd"/>
      <w:r w:rsidRPr="00654D1D">
        <w:rPr>
          <w:rFonts w:ascii="ITC Avant Garde" w:hAnsi="ITC Avant Garde" w:cs="Arial"/>
        </w:rPr>
        <w:t xml:space="preserve"> </w:t>
      </w:r>
      <w:proofErr w:type="spellStart"/>
      <w:r w:rsidRPr="00654D1D">
        <w:rPr>
          <w:rFonts w:ascii="ITC Avant Garde" w:hAnsi="ITC Avant Garde" w:cs="Arial"/>
        </w:rPr>
        <w:t>earth</w:t>
      </w:r>
      <w:proofErr w:type="spellEnd"/>
      <w:r w:rsidRPr="00654D1D">
        <w:rPr>
          <w:rFonts w:ascii="ITC Avant Garde" w:hAnsi="ITC Avant Garde" w:cs="Arial"/>
        </w:rPr>
        <w:t xml:space="preserve">.  </w:t>
      </w:r>
    </w:p>
    <w:p w14:paraId="1E4DD971"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Pregunta 18. Que diga y explique el perito si los modelos de costos utilizados internacionalmente reconocen los efectos sobre el diseño de la red de las características geográficas y poblacionales específicas del país en que se aplican.</w:t>
      </w:r>
    </w:p>
    <w:p w14:paraId="0869F30B"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Además, que diga el perito como se compara en estos aspectos el modelo de costos utilizado por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con los modelos utilizados en otros países.</w:t>
      </w:r>
    </w:p>
    <w:p w14:paraId="312C232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Argumenta el perito de la recurrente que los reguladores internacionales parten de la información de las redes ya instaladas en sus países. Con dicha información, y de acuerdo con la tecnología disponible, determinan las redes óptimas basadas en tecnologías eficientes. Asimismo, consideran las características geográficas como insumos al momento de planificar la red de la empresa eficiente, así como lo referente al perfil y consumo de los usuarios. De esta manera, dimensionan la red bajo dos criterios: cobertura y capacidad/volumen.</w:t>
      </w:r>
    </w:p>
    <w:p w14:paraId="28E48EB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Además de que de acuerdo con la información disponible públicamente no hay elementos para suponer que la Comisión incluyó en el Modelo de Costos elementos de cobertura geográfica en el diseño de la red del operador representativo, a pesar de que los Considerandos de la Resolución así lo exigían.</w:t>
      </w:r>
    </w:p>
    <w:p w14:paraId="5F20231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de la tercero perjudicada manifestó que en los modelos de costos que los reguladores utilizan a nivel internacional para la configuración y diseño de la red de la empresa representativa, se parte de la información de las redes ya instaladas en sus países y con ello incorporan en el dimensionamiento de la red las características geográficas específicas existentes en cada caso.</w:t>
      </w:r>
    </w:p>
    <w:p w14:paraId="6A676A1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Por lo que de acuerdo con la información disponible sí hay elementos para asegurar que la </w:t>
      </w:r>
      <w:proofErr w:type="spellStart"/>
      <w:r w:rsidRPr="00654D1D">
        <w:rPr>
          <w:rFonts w:ascii="ITC Avant Garde" w:hAnsi="ITC Avant Garde" w:cs="Arial"/>
        </w:rPr>
        <w:t>Cofetel</w:t>
      </w:r>
      <w:proofErr w:type="spellEnd"/>
      <w:r w:rsidRPr="00654D1D">
        <w:rPr>
          <w:rFonts w:ascii="ITC Avant Garde" w:hAnsi="ITC Avant Garde" w:cs="Arial"/>
        </w:rPr>
        <w:t xml:space="preserve"> incluyó este tipo de consideraciones en el diseño de la red del operador representativo y en la cual basó su decisión del nivel de la tarifa de interconexión.</w:t>
      </w:r>
    </w:p>
    <w:p w14:paraId="724CDCD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Señala el perito tercero en discordia que es difícil establecer los comparativos con otros países, ya que se carece de información, pero se infiere que las diferencias, en la aplicación de los modelos, no está en el método utilizado, sino en la información que se alimenten los sistemas, solo se puede tomar como referencia a la forma de enfrentar la aplicación del modelo de costos.</w:t>
      </w:r>
    </w:p>
    <w:p w14:paraId="3EAC567D"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421BDD2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Este Instituto da cuenta de la respuesta de los diferentes peritos en el sentido de que en la elaboración de modelos de costos, existen reguladores que parten de la información de las redes ya instaladas en sus países a efecto de realizar el modelado; no obstante es preciso señalar que dicho enfoque es conocido como </w:t>
      </w:r>
      <w:proofErr w:type="spellStart"/>
      <w:r w:rsidRPr="00654D1D">
        <w:rPr>
          <w:rFonts w:ascii="ITC Avant Garde" w:hAnsi="ITC Avant Garde" w:cs="Arial"/>
        </w:rPr>
        <w:t>scorched</w:t>
      </w:r>
      <w:proofErr w:type="spellEnd"/>
      <w:r w:rsidRPr="00654D1D">
        <w:rPr>
          <w:rFonts w:ascii="ITC Avant Garde" w:hAnsi="ITC Avant Garde" w:cs="Arial"/>
        </w:rPr>
        <w:t xml:space="preserve"> </w:t>
      </w:r>
      <w:proofErr w:type="spellStart"/>
      <w:r w:rsidRPr="00654D1D">
        <w:rPr>
          <w:rFonts w:ascii="ITC Avant Garde" w:hAnsi="ITC Avant Garde" w:cs="Arial"/>
        </w:rPr>
        <w:t>node</w:t>
      </w:r>
      <w:proofErr w:type="spellEnd"/>
      <w:r w:rsidRPr="00654D1D">
        <w:rPr>
          <w:rFonts w:ascii="ITC Avant Garde" w:hAnsi="ITC Avant Garde" w:cs="Arial"/>
        </w:rPr>
        <w:t xml:space="preserve">, y que su utilización corresponde a una decisión de política regulatoria, misma que entra en el ámbito de discreción del órgano regulador. </w:t>
      </w:r>
    </w:p>
    <w:p w14:paraId="2DADA920"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Pregunta 19. Que determine el perito si el modelo de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considera factores de no homogeneidad de tráfico o manejan tráfico homogéneo. </w:t>
      </w:r>
    </w:p>
    <w:p w14:paraId="4B602168" w14:textId="4200A458" w:rsidR="003E526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Refiere el perito de la recurrente que de acuerdo con la información disponible en el modelo de costos publicado por la Comisión, se considera que todas las </w:t>
      </w:r>
      <w:proofErr w:type="spellStart"/>
      <w:r w:rsidRPr="00654D1D">
        <w:rPr>
          <w:rFonts w:ascii="ITC Avant Garde" w:hAnsi="ITC Avant Garde" w:cs="Arial"/>
        </w:rPr>
        <w:t>radiobases</w:t>
      </w:r>
      <w:proofErr w:type="spellEnd"/>
      <w:r w:rsidRPr="00654D1D">
        <w:rPr>
          <w:rFonts w:ascii="ITC Avant Garde" w:hAnsi="ITC Avant Garde" w:cs="Arial"/>
        </w:rPr>
        <w:t xml:space="preserve"> manejan el mismo tráfico</w:t>
      </w:r>
    </w:p>
    <w:p w14:paraId="34A0BCE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Lo anterior es una importante deficiencia del Modelo de Costos, ya que el servicio de telefonía móvil, para aprovechar al máximo el ancho de banda disponible y con el fin de servir a más usuarios a la vez en un mismo sector, es estructurado subdividiendo el área de servicio en zonas delimitadas llamadas celdas. Cada celda tiene una Estación Radio Base que opera en un set de canales de radio, diferentes a los utilizados en las celdas adyacentes, para evitar interferencias. Este tipo de subdivisión permite la reutilización de las mismas frecuencias en celdas no adyacentes.</w:t>
      </w:r>
    </w:p>
    <w:p w14:paraId="37CF766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Señala el perito de la tercero perjudicada que de acuerdo con la información disponible, en el modelo de costos publicado por la </w:t>
      </w:r>
      <w:proofErr w:type="spellStart"/>
      <w:r w:rsidRPr="00654D1D">
        <w:rPr>
          <w:rFonts w:ascii="ITC Avant Garde" w:hAnsi="ITC Avant Garde" w:cs="Arial"/>
        </w:rPr>
        <w:t>Cofetel</w:t>
      </w:r>
      <w:proofErr w:type="spellEnd"/>
      <w:r w:rsidRPr="00654D1D">
        <w:rPr>
          <w:rFonts w:ascii="ITC Avant Garde" w:hAnsi="ITC Avant Garde" w:cs="Arial"/>
        </w:rPr>
        <w:t xml:space="preserve">, se puede señalar que se consideran ambos tipos de factores, los factores no homogéneos, se puede observar que se consideran en el momento en que estiman el tráfico para cada una de las regiones geográficas consideradas: urbana, suburbana y carretera; y para la determinación del número de </w:t>
      </w:r>
      <w:proofErr w:type="spellStart"/>
      <w:r w:rsidRPr="00654D1D">
        <w:rPr>
          <w:rFonts w:ascii="ITC Avant Garde" w:hAnsi="ITC Avant Garde" w:cs="Arial"/>
        </w:rPr>
        <w:t>radiobases</w:t>
      </w:r>
      <w:proofErr w:type="spellEnd"/>
      <w:r w:rsidRPr="00654D1D">
        <w:rPr>
          <w:rFonts w:ascii="ITC Avant Garde" w:hAnsi="ITC Avant Garde" w:cs="Arial"/>
        </w:rPr>
        <w:t xml:space="preserve"> y su inclusión como insumo del modelo, hay </w:t>
      </w:r>
      <w:r w:rsidRPr="00654D1D">
        <w:rPr>
          <w:rFonts w:ascii="ITC Avant Garde" w:hAnsi="ITC Avant Garde" w:cs="Arial"/>
        </w:rPr>
        <w:lastRenderedPageBreak/>
        <w:t>una consideración de que todas ellas manejan un mismo tráfico, es decir un tráfico homogéneo en todas ellas.</w:t>
      </w:r>
    </w:p>
    <w:p w14:paraId="3BC7F8C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Refiere el perito tercero en discordia que los factores de homogeneidad, que pueden ser el número de usuarios, la distribución de la demanda en el espacio y la distribución de la red, pero en su resolución la Comisión maneja una cifra promedio de tráfico cruzado, por cada una de las </w:t>
      </w:r>
      <w:proofErr w:type="spellStart"/>
      <w:r w:rsidRPr="00654D1D">
        <w:rPr>
          <w:rFonts w:ascii="ITC Avant Garde" w:hAnsi="ITC Avant Garde" w:cs="Arial"/>
        </w:rPr>
        <w:t>radiobases</w:t>
      </w:r>
      <w:proofErr w:type="spellEnd"/>
      <w:r w:rsidRPr="00654D1D">
        <w:rPr>
          <w:rFonts w:ascii="ITC Avant Garde" w:hAnsi="ITC Avant Garde" w:cs="Arial"/>
        </w:rPr>
        <w:t>, así mismo toma en cuenta, los servicios de Interconexión y número de elementos de red y otros insumos, total de Tráfico, promediando el costo de terminación promedio de red por lo tanto elimina los factores de no homogeneidad.</w:t>
      </w:r>
    </w:p>
    <w:p w14:paraId="72243714"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30D60D4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Esta autoridad da cuenta de lo señalado por los peritos en el sentido de que en el modelo de costos se consideran zonas urbanas, sub urbanas y carreteras, y que  al interior de cada una de ellas se maneja un tráfico promedio. </w:t>
      </w:r>
    </w:p>
    <w:p w14:paraId="060686EF"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Pregunta 20. En relación con la pregunta inmediata anterior, que diga el perito cuál es el comportamiento del tráfico en una red real de telecomunicaciones y que explique las implicaciones económicas al construir un modelo de costos.</w:t>
      </w:r>
    </w:p>
    <w:p w14:paraId="37FE276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recurrente a través de su perito refiere que el diseño de la red y en especial el tráfico de cada </w:t>
      </w:r>
      <w:proofErr w:type="spellStart"/>
      <w:r w:rsidRPr="00654D1D">
        <w:rPr>
          <w:rFonts w:ascii="ITC Avant Garde" w:hAnsi="ITC Avant Garde" w:cs="Arial"/>
        </w:rPr>
        <w:t>radiobase</w:t>
      </w:r>
      <w:proofErr w:type="spellEnd"/>
      <w:r w:rsidRPr="00654D1D">
        <w:rPr>
          <w:rFonts w:ascii="ITC Avant Garde" w:hAnsi="ITC Avant Garde" w:cs="Arial"/>
        </w:rPr>
        <w:t xml:space="preserve"> debe estar en función de la densidad de los usuarios, de sus patrones de consumo y de su movilidad, y estos factores son distintos en las distintas localidades del país, por lo que no es posible que cada radio base tenga las mismas características en términos de uso de capacidad.</w:t>
      </w:r>
    </w:p>
    <w:p w14:paraId="3BF1AE8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Los modelos que no toman en consideración el comportamiento de tráfico en una red no representan adecuadamente las necesidades de una red móvil en condiciones de competencia y no capturan la verdadera naturaleza de los costos en los que incurren los operadores.</w:t>
      </w:r>
    </w:p>
    <w:p w14:paraId="52C13A6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perito de la tercero perjudicada refiere que el diseño de la red y en especial el tráfico de cada </w:t>
      </w:r>
      <w:proofErr w:type="spellStart"/>
      <w:r w:rsidRPr="00654D1D">
        <w:rPr>
          <w:rFonts w:ascii="ITC Avant Garde" w:hAnsi="ITC Avant Garde" w:cs="Arial"/>
        </w:rPr>
        <w:t>radiobase</w:t>
      </w:r>
      <w:proofErr w:type="spellEnd"/>
      <w:r w:rsidRPr="00654D1D">
        <w:rPr>
          <w:rFonts w:ascii="ITC Avant Garde" w:hAnsi="ITC Avant Garde" w:cs="Arial"/>
        </w:rPr>
        <w:t xml:space="preserve"> debe estar en función de la densidad de los usuarios, de sus patrones de consumo y de su movilidad, y estos factores son distintos en las distintas localidades del país, por lo que no es posible que cada radio base tenga las mismas características en términos de capacidad, de antenas, de canales y de repetidores de frecuencias.</w:t>
      </w:r>
    </w:p>
    <w:p w14:paraId="06BD20B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otra parte, el perito tercero en discordia manifiesta que el comportamiento de tráfico de una red de telecomunicaciones, tiene como base la homogeneidad para que la calidad en el servicio y cobertura den respuesta a la demanda del servicio en las horas </w:t>
      </w:r>
      <w:r w:rsidRPr="00654D1D">
        <w:rPr>
          <w:rFonts w:ascii="ITC Avant Garde" w:hAnsi="ITC Avant Garde" w:cs="Arial"/>
        </w:rPr>
        <w:lastRenderedPageBreak/>
        <w:t xml:space="preserve">pico. Al diseñarse la red y preferentemente el tráfico de cada </w:t>
      </w:r>
      <w:proofErr w:type="spellStart"/>
      <w:r w:rsidRPr="00654D1D">
        <w:rPr>
          <w:rFonts w:ascii="ITC Avant Garde" w:hAnsi="ITC Avant Garde" w:cs="Arial"/>
        </w:rPr>
        <w:t>radiobase</w:t>
      </w:r>
      <w:proofErr w:type="spellEnd"/>
      <w:r w:rsidRPr="00654D1D">
        <w:rPr>
          <w:rFonts w:ascii="ITC Avant Garde" w:hAnsi="ITC Avant Garde" w:cs="Arial"/>
        </w:rPr>
        <w:t xml:space="preserve"> debe estar en función de la densidad de los usuarios, de sus patrones de consumo y de su movilidad lo que permite ajustar los costos que realizan los operadores.</w:t>
      </w:r>
    </w:p>
    <w:p w14:paraId="52338385"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22C8D3B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Este Instituto coincide con el señalamiento de los tres peritos respecto de que el diseño de la red del operador representativo debe tomar en cuenta la densidad de los usuarios, sus patrones de consumo y su movilidad, condiciones que se tomaron en cuenta dentro del modelo instrumenta</w:t>
      </w:r>
      <w:r w:rsidR="00DD1537" w:rsidRPr="00654D1D">
        <w:rPr>
          <w:rFonts w:ascii="ITC Avant Garde" w:hAnsi="ITC Avant Garde" w:cs="Arial"/>
        </w:rPr>
        <w:t>l</w:t>
      </w:r>
      <w:r w:rsidRPr="00654D1D">
        <w:rPr>
          <w:rFonts w:ascii="ITC Avant Garde" w:hAnsi="ITC Avant Garde" w:cs="Arial"/>
        </w:rPr>
        <w:t xml:space="preserve"> en la Resolución en disputa y que se detallan de fojas 34 a 39 de dicha Resolución.</w:t>
      </w:r>
    </w:p>
    <w:p w14:paraId="4B602182" w14:textId="1D495EDC" w:rsidR="003E526D" w:rsidRPr="00654D1D" w:rsidRDefault="003E526D" w:rsidP="00654D1D">
      <w:pPr>
        <w:spacing w:before="240"/>
        <w:jc w:val="both"/>
        <w:rPr>
          <w:rFonts w:ascii="ITC Avant Garde" w:hAnsi="ITC Avant Garde" w:cs="Arial"/>
        </w:rPr>
      </w:pPr>
      <w:r w:rsidRPr="00654D1D">
        <w:rPr>
          <w:rFonts w:ascii="ITC Avant Garde" w:hAnsi="ITC Avant Garde" w:cs="Arial"/>
        </w:rPr>
        <w:t>En este sentido, se desestima la respuesta del perito de la quejosa ya que la utilización de factores homogéneos no invalida los resultados de un modelo de costos, ya que a efecto de obtener costos promedio es perfectamente válido modelar un mismo perfil de uso, por lo tanto el perfil de tráfico del operador modelado debería basarse en la media del mercado manteniendo consistencia con las escala definida de dicho operador. De este modo, las cantidades de elementos de red que el operador debe considerar para la operación eficiente de su red, está en función de la demanda esperada del servicio de un operador de servicios a nivel nacional que se desenvuelve en un mercado competitivo, en el que los usuarios pueden acceder a los servicios de la red desde cualquier punto del área de cobertura donde sea técnicamente factible.</w:t>
      </w:r>
    </w:p>
    <w:p w14:paraId="7BBA1691"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Pregunta 21. Que diga y explique el perito cuál es la importancia de incorporar en un modelo de costos una estimación del porcentaje de tráfico diario que se cursa durante el periodo pico y que presente su opinión respecto de la idoneidad de utilizar los valores adoptados por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en la Resolución P/060711/257</w:t>
      </w:r>
    </w:p>
    <w:p w14:paraId="0FC1617D"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 xml:space="preserve">El perito de la recurrente manifiesta que el porcentaje de tráfico en hora cargada utilizado por </w:t>
      </w:r>
      <w:proofErr w:type="spellStart"/>
      <w:r w:rsidRPr="00654D1D">
        <w:rPr>
          <w:rFonts w:ascii="ITC Avant Garde" w:hAnsi="ITC Avant Garde" w:cs="Arial"/>
        </w:rPr>
        <w:t>Cofetel</w:t>
      </w:r>
      <w:proofErr w:type="spellEnd"/>
      <w:r w:rsidRPr="00654D1D">
        <w:rPr>
          <w:rFonts w:ascii="ITC Avant Garde" w:hAnsi="ITC Avant Garde" w:cs="Arial"/>
        </w:rPr>
        <w:t xml:space="preserve"> resulta relativamente reducido, si se consideran los niveles de penetración estimados para México en el 2011 por la propia </w:t>
      </w:r>
      <w:proofErr w:type="spellStart"/>
      <w:r w:rsidRPr="00654D1D">
        <w:rPr>
          <w:rFonts w:ascii="ITC Avant Garde" w:hAnsi="ITC Avant Garde" w:cs="Arial"/>
        </w:rPr>
        <w:t>Cofetel</w:t>
      </w:r>
      <w:proofErr w:type="spellEnd"/>
      <w:r w:rsidRPr="00654D1D">
        <w:rPr>
          <w:rFonts w:ascii="ITC Avant Garde" w:hAnsi="ITC Avant Garde" w:cs="Arial"/>
        </w:rPr>
        <w:t>, lo que se traduce en una tarifa baja artificialmente.</w:t>
      </w:r>
    </w:p>
    <w:p w14:paraId="235A09E3"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 xml:space="preserve">Por otro lado, el perito de la tercero perjudicada señala que en lo que respecta al valor que utiliza la Comisión en su modelo de costos, para este factor considera que es 8% como porcentaje de tráfico en hora pico, el cual es consistente con los datos disponible del Francia y el Reino Unido, aunque la comparación tendría que ser con los datos registrados en las redes existentes en el país para validar el porcentaje utilizado por la </w:t>
      </w:r>
      <w:proofErr w:type="spellStart"/>
      <w:r w:rsidRPr="00654D1D">
        <w:rPr>
          <w:rFonts w:ascii="ITC Avant Garde" w:hAnsi="ITC Avant Garde" w:cs="Arial"/>
        </w:rPr>
        <w:t>Cofetel</w:t>
      </w:r>
      <w:proofErr w:type="spellEnd"/>
      <w:r w:rsidRPr="00654D1D">
        <w:rPr>
          <w:rFonts w:ascii="ITC Avant Garde" w:hAnsi="ITC Avant Garde" w:cs="Arial"/>
        </w:rPr>
        <w:t xml:space="preserve"> en su modelo.</w:t>
      </w:r>
    </w:p>
    <w:p w14:paraId="4B60218A" w14:textId="08C5B269" w:rsidR="003E526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lastRenderedPageBreak/>
        <w:t xml:space="preserve">El perito tercero en discordia señala que para el diseño de una red de telecomunicaciones, es de vital importancia considerar factores de estimación de tráfico que se cursa en lo que conoce como hora pico, donde se concentran el mayor número de llamadas, para lo cual se requiere la instalación para el manejo, del tráfico, la tecnología, los equipos y las inversiones necesarias para su instalación y puesta en operación, por lo tanto los valores utilizados por la Comisión en la resolución impugnada, estos valores adoptados por la </w:t>
      </w:r>
      <w:proofErr w:type="spellStart"/>
      <w:r w:rsidRPr="00654D1D">
        <w:rPr>
          <w:rFonts w:ascii="ITC Avant Garde" w:hAnsi="ITC Avant Garde" w:cs="Arial"/>
        </w:rPr>
        <w:t>Cofetel</w:t>
      </w:r>
      <w:proofErr w:type="spellEnd"/>
      <w:r w:rsidRPr="00654D1D">
        <w:rPr>
          <w:rFonts w:ascii="ITC Avant Garde" w:hAnsi="ITC Avant Garde" w:cs="Arial"/>
        </w:rPr>
        <w:t>, es lo más idóneo y apegado a la realidad del mercado.</w:t>
      </w:r>
    </w:p>
    <w:p w14:paraId="5F5B30AC" w14:textId="77777777" w:rsidR="00654D1D" w:rsidRPr="00654D1D" w:rsidRDefault="003E526D" w:rsidP="00654D1D">
      <w:pPr>
        <w:autoSpaceDE w:val="0"/>
        <w:autoSpaceDN w:val="0"/>
        <w:adjustRightInd w:val="0"/>
        <w:spacing w:before="240"/>
        <w:jc w:val="both"/>
        <w:rPr>
          <w:rFonts w:ascii="ITC Avant Garde" w:hAnsi="ITC Avant Garde" w:cs="Arial"/>
          <w:u w:val="single"/>
        </w:rPr>
      </w:pPr>
      <w:r w:rsidRPr="00654D1D">
        <w:rPr>
          <w:rFonts w:ascii="ITC Avant Garde" w:hAnsi="ITC Avant Garde" w:cs="Arial"/>
          <w:u w:val="single"/>
        </w:rPr>
        <w:t>Valoración del Instituto</w:t>
      </w:r>
    </w:p>
    <w:p w14:paraId="38A18705"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Este Instituto coincide con la respuesta del perito tercero en discordia en lo relacionado a que los valores adoptados por la extinta Comisión respecto de la estimación de tráfico en las horas pico en la Resolución impugnada son los más idóneos, ya que toman en cuenta las mejores prácticas internacionales al tiempo que se calibraron con la realidad del mercado nacional.</w:t>
      </w:r>
    </w:p>
    <w:p w14:paraId="6106185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este sentido, la respuesta del perito designado por la parte quejosa no causa convicción a esta autoridad reguladora, ya que él perito no cita en detalle los documentos ni la metodología por la que supuestamente y en su consideración, el cálculo del tráfico de las horas pico en la Resolución cuestionada es erróneo, o porque las tarifas expedidas en la misma son artificialmente bajas.</w:t>
      </w:r>
    </w:p>
    <w:p w14:paraId="5C6587E0"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Pregunta 22. Que diga y explique el perito si los equipos, elementos de red y demás facilidades identificadas por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en su Modelo de Costos son suficientes para construir y hacer funcional la red modelada y, en su caso, que identifique los activos y servicios faltantes para poder proveer eficaz y eficientemente los servicios de interconexión, así como el impacto de estas omisiones sobre la tarifa de interconexión estimada. </w:t>
      </w:r>
    </w:p>
    <w:p w14:paraId="1A32B6C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Refiere el perito de la recurrente que a foja 47 del Recurso de Revisión se especifican una serie de activos y servicios que no se incluyen en el modelo de costos y que se requieren para poder ofrecer el servicio de interconexión.</w:t>
      </w:r>
    </w:p>
    <w:p w14:paraId="0424F69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problema de no considerar estos elementos es que se está subestimando el monto de inversiones requeridas para desarrollar la red del operador representativo. Desde la perspectiva de la Teoría Económica para la prestación de cualquier servicio se deben considerar todos los costos en que el operador incurre, ya sean fijos o variables, toda vez que el precio que cobran por un servicio, para que sea eficiente, debe permitirles recuperar el total de ambos costos, así como un margen razonable de utilidad para cubrir sus costos de capital. Y como en este caso si no se consideran todos los costos, los </w:t>
      </w:r>
      <w:r w:rsidRPr="00654D1D">
        <w:rPr>
          <w:rFonts w:ascii="ITC Avant Garde" w:hAnsi="ITC Avant Garde" w:cs="Arial"/>
        </w:rPr>
        <w:lastRenderedPageBreak/>
        <w:t>precios propuestos no serán los eficientes y pueden inclusive generar pérdidas en los prestadores del servicio, poniendo en riesgo su presencia en el mercado.</w:t>
      </w:r>
    </w:p>
    <w:p w14:paraId="4B602198" w14:textId="269A2FB5" w:rsidR="003E526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perito de la tercero perjudicada aclara que es una pericial económica y no técnica. Sin embargo, de acuerdo a lo consultado por este perito, en el modelo de </w:t>
      </w:r>
      <w:proofErr w:type="spellStart"/>
      <w:r w:rsidRPr="00654D1D">
        <w:rPr>
          <w:rFonts w:ascii="ITC Avant Garde" w:hAnsi="ITC Avant Garde" w:cs="Arial"/>
        </w:rPr>
        <w:t>Cofetel</w:t>
      </w:r>
      <w:proofErr w:type="spellEnd"/>
      <w:r w:rsidRPr="00654D1D">
        <w:rPr>
          <w:rFonts w:ascii="ITC Avant Garde" w:hAnsi="ITC Avant Garde" w:cs="Arial"/>
        </w:rPr>
        <w:t xml:space="preserve"> se incorporan todos los elementos de red necesarios para operar una red representativa del servicio de telefonía móvil.</w:t>
      </w:r>
    </w:p>
    <w:p w14:paraId="29C20C5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Argumenta el perito tercero en discordia que la Comisión no considero una serie de elementos de red necesarios para construir suficientemente y hacer funcional la red modelada, activos y servicios tales como variables de mediación, provisión, equipo de mantenimiento y costos operativos, entre otros faltantes, lo que ocasionó que no se reflejara adecuadamente el costo total del servicio y en consecuencia se pueden generar pérdidas a los prestadores del servicio, poniendo en riesgo la posibilidad de quedar fuera de mercado.</w:t>
      </w:r>
    </w:p>
    <w:p w14:paraId="6CED684E"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7ED015A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Este Instituto desestima las respuestas de los peritos de la quejosa y tercero en discordia, ya que basta leer con detenimiento la Resolución en disputa para dar cuenta de que todos los elementos que los peritos mencionan si fueron tomados en cuenta. Estos son: la cobertura geográfica, llamadas </w:t>
      </w:r>
      <w:proofErr w:type="spellStart"/>
      <w:r w:rsidRPr="00654D1D">
        <w:rPr>
          <w:rFonts w:ascii="ITC Avant Garde" w:hAnsi="ITC Avant Garde" w:cs="Arial"/>
        </w:rPr>
        <w:t>intrared</w:t>
      </w:r>
      <w:proofErr w:type="spellEnd"/>
      <w:r w:rsidRPr="00654D1D">
        <w:rPr>
          <w:rFonts w:ascii="ITC Avant Garde" w:hAnsi="ITC Avant Garde" w:cs="Arial"/>
        </w:rPr>
        <w:t>, estimación promedio de llamada, así como, los elementos de red (activos y equipo) que entran dentro del renglón del costos de capital CAPEX, y los costos operativos (que incluyen los de mantenimiento) u OPEX.</w:t>
      </w:r>
    </w:p>
    <w:p w14:paraId="1A22E76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De igual modo, al aplicar la metodología CITLP el modelo toma en cuenta los Costos Comunes, los costos compartidos, además de que se calcula el Costo de Capital con lo cual se otorga un margen de ganancia razonable por la inversión realizada.</w:t>
      </w:r>
    </w:p>
    <w:p w14:paraId="49A43F7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tanto el modelo CITLP instrumentado por la extinta </w:t>
      </w:r>
      <w:proofErr w:type="spellStart"/>
      <w:r w:rsidRPr="00654D1D">
        <w:rPr>
          <w:rFonts w:ascii="ITC Avant Garde" w:hAnsi="ITC Avant Garde" w:cs="Arial"/>
        </w:rPr>
        <w:t>Cofetel</w:t>
      </w:r>
      <w:proofErr w:type="spellEnd"/>
      <w:r w:rsidRPr="00654D1D">
        <w:rPr>
          <w:rFonts w:ascii="ITC Avant Garde" w:hAnsi="ITC Avant Garde" w:cs="Arial"/>
        </w:rPr>
        <w:t xml:space="preserve"> permite recuperar todos los costos contraídos de manera eficiente por la provisión de servicio y otorga una tasa de retorno razonable por la inversión.</w:t>
      </w:r>
    </w:p>
    <w:p w14:paraId="1D61B7C4"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Pregunta 23. El perito explicará y evaluará la metodología que siguió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para determinar los precios de los elementos necesarios para construir la red modelada, la comparará con otros países y dirá si es adecuada para la estimación de tarifas de terminación en el mercado mexicano y, en su caso, el posible impacto que tiene sobre el nivel de la tarifa.</w:t>
      </w:r>
    </w:p>
    <w:p w14:paraId="4B6021A7" w14:textId="3D23B19D" w:rsidR="003E526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Refiere el perito de la recurrente que la Comisión utilizó precios de algunos componentes del modelo regulador francés o británico. Esta información debió ser evaluada a la luz </w:t>
      </w:r>
      <w:r w:rsidRPr="00654D1D">
        <w:rPr>
          <w:rFonts w:ascii="ITC Avant Garde" w:hAnsi="ITC Avant Garde" w:cs="Arial"/>
        </w:rPr>
        <w:lastRenderedPageBreak/>
        <w:t>de las condiciones reales de operación y abastecimiento que enfrentan los operadores en México a fin de evitar el riesgo de subestimar el costo de algunos activos y con ello los montos de inversión, de manera que como resultado final la valuación de los costos por la infraestructura resulte inferior y la tarifa de interconexión por lo tanto también este subvaluada.</w:t>
      </w:r>
    </w:p>
    <w:p w14:paraId="7B530B5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perito de la tercero perjudicada manifestó que desde la perspectiva de la Teoría Económica el suponer que los equipos tienen el mismo precio en Francia que en México, puede ser sustentable, aunque se corre el riesgo de que los precios sean mayores o menores a los que un operador en México los puede adquirir. Obviamente estará en función de su tamaño y por consiguiente de su poder de negociación con los proveedores, pero </w:t>
      </w:r>
      <w:proofErr w:type="spellStart"/>
      <w:r w:rsidRPr="00654D1D">
        <w:rPr>
          <w:rFonts w:ascii="ITC Avant Garde" w:hAnsi="ITC Avant Garde" w:cs="Arial"/>
        </w:rPr>
        <w:t>aún</w:t>
      </w:r>
      <w:proofErr w:type="spellEnd"/>
      <w:r w:rsidRPr="00654D1D">
        <w:rPr>
          <w:rFonts w:ascii="ITC Avant Garde" w:hAnsi="ITC Avant Garde" w:cs="Arial"/>
        </w:rPr>
        <w:t xml:space="preserve"> así como insumos de un modelo económico puede ser una opción válida tomar los precios de otro mercado para determinar tarifas de servicio en México.</w:t>
      </w:r>
    </w:p>
    <w:p w14:paraId="30BC2E1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tercero en discordia argumenta que se tiene una base adecuada para la estimación de tarifas de terminación, y con eso se puede mantener el nivel de estas, para continuar con el desarrollo del sector a pesar de haber subestimado el costo de algunos activos.</w:t>
      </w:r>
    </w:p>
    <w:p w14:paraId="33B61783" w14:textId="2279ABAF"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77ADD7C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Uno de los principales aspectos a los que se enfrentan los reguladores de telecomunicaciones de todo el mundo es la asimetría entre la información que posee la autoridad y la que poseen las empresas reguladas, en particular las empresas no están dispuestas a revelar información sensible acerca de sus costos, particularmente en el contexto de un proceso regulatorio de establecimiento de tarifas de interconexión.</w:t>
      </w:r>
    </w:p>
    <w:p w14:paraId="6F7F878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este sentido el perito de la quejosa menciona que existe un riesgo de subvaluación de los activos, sin embargo no presenta bases objetivas mediante las cuales sustente sus afirmaciones por lo que su respuesta no causa convicción a esta autoridad; asimismo se da cuenta de la respuesta del perito tercero cuando señala que se tiene una base adecuada para la estimación de tarifas de terminación, así como del perito de la tercero perjudicada cuando señala que el suponer que los equipos tienen el mismo precio en Francia que en México puede ser sustentable.</w:t>
      </w:r>
    </w:p>
    <w:p w14:paraId="4AA64AE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b/>
        </w:rPr>
        <w:t>Pregunta 24</w:t>
      </w:r>
      <w:r w:rsidRPr="00654D1D">
        <w:rPr>
          <w:rFonts w:ascii="ITC Avant Garde" w:hAnsi="ITC Avant Garde" w:cs="Arial"/>
        </w:rPr>
        <w:t xml:space="preserve">. </w:t>
      </w:r>
      <w:r w:rsidRPr="00654D1D">
        <w:rPr>
          <w:rFonts w:ascii="ITC Avant Garde" w:hAnsi="ITC Avant Garde" w:cs="Arial"/>
          <w:b/>
        </w:rPr>
        <w:t xml:space="preserve">Que diga y explique el perito si el Modelo de Costos utilizado por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considera todos los costos relevantes asociados a la adquisición, instalación y puesta en operación de los equipos y demás elementos de red necesarios para construir la red modelada.</w:t>
      </w:r>
    </w:p>
    <w:p w14:paraId="0406876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El perito de la recurrente argumenta que el Modelo de Costos publicado por la Comisión, no presenta un desglose claro y detallado de cuáles son los elementos que integran los costos operativos y de hecho únicamente se determina un valor del 15% de la inversión total. Por ello no es posible determinar si se consideran todos los costos de operación de una red.</w:t>
      </w:r>
    </w:p>
    <w:p w14:paraId="3E70628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otro lado, el perito de la tercero perjudicada señala que en el Modelo de Costos publicado por la Comisión, ni en la información disponible en la resolución impugnada, se presenta el desglose claro y detallado de cuáles son los elementos que integran los costos operativos y de hecho se determina un valor del 15% de la inversión total, por lo que no es posible determinar si se consideran diversos costos de operación de la red, por lo que desde la perspectiva de la teoría económica implica que los costos de operación no están correctamente calculados y por lo tanto el valor asignado de 15% podría estar subestimando los costos y con ello la tarifa de interconexión.</w:t>
      </w:r>
    </w:p>
    <w:p w14:paraId="76F0BD4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tercero en discordia manifiesta que los costos relevantes asociados que se incluyeron son los costos operativos con un valor de 15% para construir la red modelada, una proporción por costos comunes, que incluyen interconexiones y costos compartidos y finalmente un porcentaje adicional por costos comunes a diferentes servicios entre las empresas que se interconecten, esto permitió que se pusiera en operación de equipos y demás elementos de red necesarios para la construcción de la red modelada.</w:t>
      </w:r>
    </w:p>
    <w:p w14:paraId="6EB7AEF8"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4ABC6F7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Las respuestas de los peritos no originan convicción en esta autoridad regulatoria ya que de las fojas 39 a 46 de la Resolución en comento se detalla la metodología y los elementos usados, particularmente en las tablas 5 y 7 se puede observar el desglose de los elementos que componen el CAPEX y el OPEX, y en la tabla 8 la intensidad de uso de cada uno de los elementos de la red modelada.</w:t>
      </w:r>
    </w:p>
    <w:p w14:paraId="1B38963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Asimismo se señala que una manera válida de estimar el OPEX es definirlo como un porcentaje del CAPEX, de conformidad con la práctica de la industria.</w:t>
      </w:r>
    </w:p>
    <w:p w14:paraId="1ACEAE28"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Pregunta 25. El perito evaluará y explicará la metodología utilizada por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para determinar el costo del espectro radioeléctrico en el que incurre un operador representativo y, en su caso, señalará las deficiencias metodológicas que encuentre y valorará su impacto sobre la estimación de la tarifa de terminación móvil.</w:t>
      </w:r>
    </w:p>
    <w:p w14:paraId="2E30ED2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perito de la recurrente manifiesta que la Comisión no da explicación alguna respecto a porque considera que el operador representativo cuenta con sólo 42.5 MHz de espectro a nivel nacional, cuando que todos y cada uno de los operadores actuales </w:t>
      </w:r>
      <w:r w:rsidRPr="00654D1D">
        <w:rPr>
          <w:rFonts w:ascii="ITC Avant Garde" w:hAnsi="ITC Avant Garde" w:cs="Arial"/>
        </w:rPr>
        <w:lastRenderedPageBreak/>
        <w:t xml:space="preserve">cuenta con una cantidad de espectro superior a la establecida por </w:t>
      </w:r>
      <w:proofErr w:type="spellStart"/>
      <w:r w:rsidRPr="00654D1D">
        <w:rPr>
          <w:rFonts w:ascii="ITC Avant Garde" w:hAnsi="ITC Avant Garde" w:cs="Arial"/>
        </w:rPr>
        <w:t>Cofetel</w:t>
      </w:r>
      <w:proofErr w:type="spellEnd"/>
      <w:r w:rsidRPr="00654D1D">
        <w:rPr>
          <w:rFonts w:ascii="ITC Avant Garde" w:hAnsi="ITC Avant Garde" w:cs="Arial"/>
        </w:rPr>
        <w:t>. El promedio de la tenencia de espectro por operador es de casi 60 MHz.</w:t>
      </w:r>
    </w:p>
    <w:p w14:paraId="3DF2667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Refiere el perito de la tercero perjudicada que la valuación del espectro representa un componente esencial de modelo de costos utilizado para la determinación de la tarifa de terminación móvil debido a que el espectro es un recurso esencial para cualquier operador. Incrementar su valuación provoca un aumento de la tarifa determinada por el modelo que puede no ser muy significativo debido a los otros componentes de los costos en los que incurre un operador ya que las cuotas anuales, parte más importante del costo del espectro, están fijas y son determinadas por el Congreso.</w:t>
      </w:r>
    </w:p>
    <w:p w14:paraId="3F342D9D" w14:textId="3E4025AE"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Ahora bien, el perito tercero en discordia argumenta que la más importante deficiencia a destacar en la metodología utilizada por la </w:t>
      </w:r>
      <w:proofErr w:type="spellStart"/>
      <w:r w:rsidRPr="00654D1D">
        <w:rPr>
          <w:rFonts w:ascii="ITC Avant Garde" w:hAnsi="ITC Avant Garde" w:cs="Arial"/>
        </w:rPr>
        <w:t>Cofetel</w:t>
      </w:r>
      <w:proofErr w:type="spellEnd"/>
      <w:r w:rsidRPr="00654D1D">
        <w:rPr>
          <w:rFonts w:ascii="ITC Avant Garde" w:hAnsi="ITC Avant Garde" w:cs="Arial"/>
        </w:rPr>
        <w:t>, es el suponer que el operador más representativo, que opera en forma eficiente, utiliza para operar el espectro radioeléctrico solo 42.5 MHz en lugar de los 60 MHz promedio que, utilizan los operadores actuales.</w:t>
      </w:r>
    </w:p>
    <w:p w14:paraId="14238B94"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141151D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Esta autoridad regulatoria desestima las respuestas de los peritos ya que en la foja 40 de la Resolución impugnada se menciona que el valor del espectro que se aplicó al operador representativo fue calculado considerando que dicho operador utiliza de manera eficiente el espectro para el despliegue de una red GSM en las 9 regiones que se divide el país por lo que se utilizó la información del costo del pago que realizaron los concesionarios que participaron en la Licitación No. 20, así como el monto pagado en la Región 8 de la Licitación No. 21, ajustando dicho valor por las diferencias en las valoraciones que realizaron por las bandas de frecuencias en las distintas licitaciones. Este monto ascendió a 355</w:t>
      </w:r>
      <w:proofErr w:type="gramStart"/>
      <w:r w:rsidRPr="00654D1D">
        <w:rPr>
          <w:rFonts w:ascii="ITC Avant Garde" w:hAnsi="ITC Avant Garde" w:cs="Arial"/>
        </w:rPr>
        <w:t>,586,489</w:t>
      </w:r>
      <w:proofErr w:type="gramEnd"/>
      <w:r w:rsidRPr="00654D1D">
        <w:rPr>
          <w:rFonts w:ascii="ITC Avant Garde" w:hAnsi="ITC Avant Garde" w:cs="Arial"/>
        </w:rPr>
        <w:t xml:space="preserve"> dólares de los Estados Unidos de América, el cual se considera como una inversión. </w:t>
      </w:r>
      <w:r w:rsidRPr="00654D1D">
        <w:rPr>
          <w:rFonts w:ascii="ITC Avant Garde" w:hAnsi="ITC Avant Garde" w:cs="Arial"/>
          <w:u w:val="single"/>
        </w:rPr>
        <w:t>La cantidad de espectro considerada fue de 50 MHz en la banda 800 MHz y de 120 MHz en la banda 1.9 GHz o PCS.</w:t>
      </w:r>
    </w:p>
    <w:p w14:paraId="2AC51282" w14:textId="1750DBEA"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Pregunta 26. Dirá el perito si la fórmula seleccionada para estimar el costo promedio ponderado de capital es correcta en su aplicación por parte de la COFETEL.</w:t>
      </w:r>
    </w:p>
    <w:p w14:paraId="4B6021D2" w14:textId="797C25DA" w:rsidR="003E526D" w:rsidRPr="00654D1D" w:rsidRDefault="003E526D" w:rsidP="00654D1D">
      <w:pPr>
        <w:spacing w:before="240"/>
        <w:jc w:val="both"/>
        <w:rPr>
          <w:rFonts w:ascii="ITC Avant Garde" w:hAnsi="ITC Avant Garde" w:cs="Arial"/>
        </w:rPr>
      </w:pPr>
      <w:r w:rsidRPr="00654D1D">
        <w:rPr>
          <w:rFonts w:ascii="ITC Avant Garde" w:hAnsi="ITC Avant Garde" w:cs="Arial"/>
        </w:rPr>
        <w:t>El perito de la recurrente señala que la fórmula seleccionada por la Comisión aplica el factor impositivo erróneamente al costo del capital. Lo que afecta de forma importante el valor de los flujos estimados en el modelo utilizado.</w:t>
      </w:r>
    </w:p>
    <w:p w14:paraId="425D6D4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perito de la tercero perjudicada menciona que en el modelo de costos de </w:t>
      </w:r>
      <w:proofErr w:type="spellStart"/>
      <w:r w:rsidRPr="00654D1D">
        <w:rPr>
          <w:rFonts w:ascii="ITC Avant Garde" w:hAnsi="ITC Avant Garde" w:cs="Arial"/>
        </w:rPr>
        <w:t>Cofetel</w:t>
      </w:r>
      <w:proofErr w:type="spellEnd"/>
      <w:r w:rsidRPr="00654D1D">
        <w:rPr>
          <w:rFonts w:ascii="ITC Avant Garde" w:hAnsi="ITC Avant Garde" w:cs="Arial"/>
        </w:rPr>
        <w:t xml:space="preserve">, se puede observar que incrementos en variables como la beta y el costo de capital implican un aumento en la WACC, con lo que se vuelve más cara cada unidad de </w:t>
      </w:r>
      <w:r w:rsidRPr="00654D1D">
        <w:rPr>
          <w:rFonts w:ascii="ITC Avant Garde" w:hAnsi="ITC Avant Garde" w:cs="Arial"/>
        </w:rPr>
        <w:lastRenderedPageBreak/>
        <w:t>financiamiento. Esta tasa está relacionada directamente con el valor anualizado de la inversión para cada elemento de la red. Por ello el requerir una mayor inversión implica un mayor costo para la realización del proyecto, lo que conlleva a que los costos de interconexión se eleven y por consiguiente la tarifa por terminación de llamadas. Por lo tanto, mientras mayor sea el valor de la WACC, mayores serán los cobros por interconexión.</w:t>
      </w:r>
    </w:p>
    <w:p w14:paraId="41CACB7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lo que tomando en cuenta la aplicabilidad de la metodología del CAPM y la utilidad de determinar el WACC, se puede señalar que es adecuada su incorporación en el modelo de </w:t>
      </w:r>
      <w:proofErr w:type="spellStart"/>
      <w:r w:rsidRPr="00654D1D">
        <w:rPr>
          <w:rFonts w:ascii="ITC Avant Garde" w:hAnsi="ITC Avant Garde" w:cs="Arial"/>
        </w:rPr>
        <w:t>Cofetel</w:t>
      </w:r>
      <w:proofErr w:type="spellEnd"/>
      <w:r w:rsidRPr="00654D1D">
        <w:rPr>
          <w:rFonts w:ascii="ITC Avant Garde" w:hAnsi="ITC Avant Garde" w:cs="Arial"/>
        </w:rPr>
        <w:t>, aunque vale la pena señalar que aun cuando las cifras utilizadas como insumos para el cálculo del costo de capital se especifican en el modelo, no hay ninguna referencia, ni fuente de información para explicar el nivel de la tasa del costo de deuda.</w:t>
      </w:r>
    </w:p>
    <w:p w14:paraId="5AD6DCB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perito tercero en discordia refiere que de lo expuesto se desprende que la </w:t>
      </w:r>
      <w:r w:rsidR="002101A8" w:rsidRPr="00654D1D">
        <w:rPr>
          <w:rFonts w:ascii="ITC Avant Garde" w:hAnsi="ITC Avant Garde" w:cs="Arial"/>
        </w:rPr>
        <w:t>fórmula</w:t>
      </w:r>
      <w:r w:rsidRPr="00654D1D">
        <w:rPr>
          <w:rFonts w:ascii="ITC Avant Garde" w:hAnsi="ITC Avant Garde" w:cs="Arial"/>
        </w:rPr>
        <w:t xml:space="preserve"> aplicada por la </w:t>
      </w:r>
      <w:proofErr w:type="spellStart"/>
      <w:r w:rsidRPr="00654D1D">
        <w:rPr>
          <w:rFonts w:ascii="ITC Avant Garde" w:hAnsi="ITC Avant Garde" w:cs="Arial"/>
        </w:rPr>
        <w:t>Cofetel</w:t>
      </w:r>
      <w:proofErr w:type="spellEnd"/>
      <w:r w:rsidRPr="00654D1D">
        <w:rPr>
          <w:rFonts w:ascii="ITC Avant Garde" w:hAnsi="ITC Avant Garde" w:cs="Arial"/>
        </w:rPr>
        <w:t xml:space="preserve"> es correcta en su aplicación para efectos financieros.</w:t>
      </w:r>
    </w:p>
    <w:p w14:paraId="1896E02F"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3562AA5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Este Instituto coincide con las respuestas de los peritos de la tercero interesada y el tercero en discordia en lo que concierne a que la metodología WACC y CAPM es una práctica común entre las empresas del sector de telecomunicaciones y es reconocida como una mejor práctica.</w:t>
      </w:r>
    </w:p>
    <w:p w14:paraId="5F48851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otro lado se desestima el señalamiento del perito de la quejosa ya que no comprueba de manera fehaciente su dicho sobre el supuesto error al aplicar el factor impositivo en el cálculo del Costo de Capital. De igual modo, sobre sobre el señalamiento del perito de la tercero interesada relativo a que no hay ninguna referencia, ni fuente de información para explicar el nivel de la tasa del costo de deuda, se señala que de foja 42 a 44 de la Resolución a debate se detalla la manera en que se calculó el Costo de Capital.</w:t>
      </w:r>
    </w:p>
    <w:p w14:paraId="728B8043"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 xml:space="preserve">Pregunta 27. Que determine el perito si el modelo aprobado por </w:t>
      </w:r>
      <w:proofErr w:type="spellStart"/>
      <w:r w:rsidRPr="00654D1D">
        <w:rPr>
          <w:rFonts w:ascii="ITC Avant Garde" w:hAnsi="ITC Avant Garde" w:cs="Arial"/>
          <w:b/>
        </w:rPr>
        <w:t>Cofetel</w:t>
      </w:r>
      <w:proofErr w:type="spellEnd"/>
      <w:r w:rsidRPr="00654D1D">
        <w:rPr>
          <w:rFonts w:ascii="ITC Avant Garde" w:hAnsi="ITC Avant Garde" w:cs="Arial"/>
          <w:b/>
        </w:rPr>
        <w:t xml:space="preserve"> presenta el detalle suficiente para permitir su discusión técnica.</w:t>
      </w:r>
    </w:p>
    <w:p w14:paraId="4896E42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de la recurrente manifiesta que desde el punto de vista de la Teoría Económica, el Modelo publicado por la Comisión y utilizado para determinar las condiciones de interconexión incorpora una serie de supuestos que no están justificados y que definitivamente influyen en el nivel de la tarifa de interconexión propuesta.</w:t>
      </w:r>
    </w:p>
    <w:p w14:paraId="5CB7264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Así mismo, refiere que no hay información que pueda aseverar qué tipo de método se utiliza para el diseño de la red, si se toman en cuenta las condiciones geográficas y demográficas del país para dicho diseño y si se incluyen factores de no homogeneidad en el tráfico.</w:t>
      </w:r>
    </w:p>
    <w:p w14:paraId="4B6021E6" w14:textId="5FBC7A92" w:rsidR="003E526D" w:rsidRPr="00654D1D" w:rsidRDefault="003E526D" w:rsidP="00654D1D">
      <w:pPr>
        <w:spacing w:before="240"/>
        <w:jc w:val="both"/>
        <w:rPr>
          <w:rFonts w:ascii="ITC Avant Garde" w:hAnsi="ITC Avant Garde" w:cs="Arial"/>
        </w:rPr>
      </w:pPr>
      <w:r w:rsidRPr="00654D1D">
        <w:rPr>
          <w:rFonts w:ascii="ITC Avant Garde" w:hAnsi="ITC Avant Garde" w:cs="Arial"/>
        </w:rPr>
        <w:t>Señala el perito de la tercero perjudicada que en algunos casos no hay una justificación específica por parte del regulador en la incorporación de datos de algunas variables como los minutos de entrada y de salida por suscriptor por mes, la duración promedio por llamada, el número de intentos por llamada, el porcentaje correspondiente a los gastos de operación, etc.</w:t>
      </w:r>
    </w:p>
    <w:p w14:paraId="4E2CFF78"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Ahora bien, el perito tercero en discordia señaló que el Modelo de Costos que se instrumentó para definir las tarifas de interconexión móviles en México, está plenamente justificado y es una herramienta probada, además de que la Comisión aplicó lo establecido en el artículo 42, de la Ley de Competencia, para proveer el acceso a la comunicación y el desarrollo del mercado.</w:t>
      </w:r>
    </w:p>
    <w:p w14:paraId="63918B7A"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6D898E9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Este Instituto señala que el Instituto puso a disposición de las partes el modelo de costos utilizado para determinar las tarifas de interconexión en su versión de hoja de cálculo, con lo cual se otorga total transparencia, por lo que el nivel de detalle presentado no puede ser materia de una prueba pericial.  </w:t>
      </w:r>
    </w:p>
    <w:p w14:paraId="2C450378" w14:textId="77777777" w:rsidR="00654D1D" w:rsidRPr="00654D1D" w:rsidRDefault="003E526D" w:rsidP="00654D1D">
      <w:pPr>
        <w:spacing w:before="240"/>
        <w:ind w:right="48"/>
        <w:jc w:val="both"/>
        <w:rPr>
          <w:rFonts w:ascii="ITC Avant Garde" w:hAnsi="ITC Avant Garde" w:cs="Arial"/>
          <w:b/>
        </w:rPr>
      </w:pPr>
      <w:r w:rsidRPr="00654D1D">
        <w:rPr>
          <w:rFonts w:ascii="ITC Avant Garde" w:hAnsi="ITC Avant Garde" w:cs="Arial"/>
          <w:b/>
        </w:rPr>
        <w:t>Preguntas en materia económica propuestas por Cablevisión.</w:t>
      </w:r>
    </w:p>
    <w:p w14:paraId="78CE6D17"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Pregunta 1. Que diga y explique el perito, con base en la experiencia internacional, en qué países los reguladores en telecomunicaciones han tomado la decisión de reducir de manera significativa las tarifas de interconexión.</w:t>
      </w:r>
    </w:p>
    <w:p w14:paraId="4B6021F2" w14:textId="6EA2DB92" w:rsidR="003E526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perito de la tercero perjudicada manifiesta que de acuerdo con la información disponible, a nivel internacional se pueden encontrar diversos ejemplos de cómo los reguladores </w:t>
      </w:r>
      <w:proofErr w:type="gramStart"/>
      <w:r w:rsidRPr="00654D1D">
        <w:rPr>
          <w:rFonts w:ascii="ITC Avant Garde" w:hAnsi="ITC Avant Garde" w:cs="Arial"/>
        </w:rPr>
        <w:t>han</w:t>
      </w:r>
      <w:proofErr w:type="gramEnd"/>
      <w:r w:rsidRPr="00654D1D">
        <w:rPr>
          <w:rFonts w:ascii="ITC Avant Garde" w:hAnsi="ITC Avant Garde" w:cs="Arial"/>
        </w:rPr>
        <w:t xml:space="preserve"> decidido implementar sus programas de reducción de tarifas de interconexión. </w:t>
      </w:r>
    </w:p>
    <w:p w14:paraId="757FF41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su parte el perito de la recurrente manifestó que ningún otro país en el mundo ha reducido sus tarifas de interconexión para la terminación de llamadas en redes móviles en forma tan significativa y abrupta como lo ha hecho México.</w:t>
      </w:r>
    </w:p>
    <w:p w14:paraId="21F647E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El perito tercero en discordia manifiesta que en ningún otro país en el mundo ha reducido sus tarifas de interconexión para la terminación de llamadas en redes móviles en forma tan significativa y abrupta como México</w:t>
      </w:r>
    </w:p>
    <w:p w14:paraId="0903F218" w14:textId="77777777"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6508735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Esta autoridad reguladora da cuenta de la respuesta de los peritos en el sentido de que existen diversos ejemplos en reducción de tarifas de interconexión, sin embargo, el ritmo al cual se reducen las mismas es materia de la política regulatoria adoptada por cada país, por lo que su aplicación entra en el ámbito de discrecionalidad que corresponde al órgano regulador. </w:t>
      </w:r>
    </w:p>
    <w:p w14:paraId="1D888BA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Cabe mencionar que de conformidad con las mejores prácticas internacionales, es común que las tarifas de los servicios de interconexión sean tendientes a los costos de provisión de para incentivar la competencia y eficiencia de los operadores de telecomunicaciones y con ello mejorar la calidad y precio de los servicios destinados a los usuarios finales. Tal recomendación es respaldad por organismos internacionales especializados en la materia como lo es la UIT.</w:t>
      </w:r>
      <w:r w:rsidRPr="00654D1D">
        <w:rPr>
          <w:rFonts w:ascii="ITC Avant Garde" w:hAnsi="ITC Avant Garde" w:cs="Arial"/>
          <w:vertAlign w:val="superscript"/>
        </w:rPr>
        <w:footnoteReference w:id="3"/>
      </w:r>
      <w:r w:rsidRPr="00654D1D">
        <w:rPr>
          <w:rFonts w:ascii="ITC Avant Garde" w:hAnsi="ITC Avant Garde" w:cs="Arial"/>
        </w:rPr>
        <w:t xml:space="preserve"> Por lo que la tendencia decreciente de tarifas de interconexión es un fenómeno mundial y no exclusivo de México.</w:t>
      </w:r>
    </w:p>
    <w:p w14:paraId="39C22F18" w14:textId="777D5090"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Pregunta 2. Que diga y explique el perito, en base a la información anterior, cuáles han sido los resultados en esos mercados en términos de competencia, entrada de nuevos competidores y crecimiento del mercado.</w:t>
      </w:r>
    </w:p>
    <w:p w14:paraId="27EC93B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El perito de la tercero perjudicada manifiesta que los programas establecidos por los reguladores han tenido un impacto importante en equilibrar la participación de las distintas empresas en los mercados de comunicaciones móviles. </w:t>
      </w:r>
    </w:p>
    <w:p w14:paraId="30260A8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Sigue diciendo que, la disminución en tarifas de interconexión para introducir eficiencia y competencia en el mercado de telecomunicaciones ha sido utilizada como política internacional alrededor del mundo, particularmente en mercados con uno o dos operadores dominantes o para facilitar la entrada de nuevos competidores, mejorar los costos de acceso a la infraestructura por nuevas empresas, a la vez, que se ha beneficiado al consumidor final con menores precios de los servicios y una mayor variedad para elegir entre diversos operadores.</w:t>
      </w:r>
    </w:p>
    <w:p w14:paraId="377958A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Por otro lado, el perito de la recurrente manifestó que no existen antecedentes internacionales de una reducción tan significativa y abrupta en las tarifas de terminación móvil como la establecida por la Resolución de </w:t>
      </w:r>
      <w:proofErr w:type="spellStart"/>
      <w:r w:rsidRPr="00654D1D">
        <w:rPr>
          <w:rFonts w:ascii="ITC Avant Garde" w:hAnsi="ITC Avant Garde" w:cs="Arial"/>
        </w:rPr>
        <w:t>Cofetel</w:t>
      </w:r>
      <w:proofErr w:type="spellEnd"/>
      <w:r w:rsidRPr="00654D1D">
        <w:rPr>
          <w:rFonts w:ascii="ITC Avant Garde" w:hAnsi="ITC Avant Garde" w:cs="Arial"/>
        </w:rPr>
        <w:t>.</w:t>
      </w:r>
    </w:p>
    <w:p w14:paraId="36C0B8B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tercero en discordia manifiesta que en la Unión Europea, en donde se han implementado reducciones graduales de tarifas y bajo esquemas asimétricos, se generaron las condiciones para la entrada de nuevos competidores y el desarrollo de la competencia lo cual se ha reflejado en una reducción importante en la concentración de mercado y en donde los nuevos competidores han ido ganando participación en un mercado dinámico y en expansión.</w:t>
      </w:r>
    </w:p>
    <w:p w14:paraId="66374817" w14:textId="1A61D8A4"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5448BC2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Este Instituto da cuenta de los señalamientos de los peritos de la tercero interesada y el tercero en discordia en cuanto a que las tarifas de interconexión tendientes a los costos de provisión incentivan la competencia y eficiencia de los operadores de telecomunicaciones en beneficio de los consumidores. Por otro lado, se desestima la respuesta del perito de la quejosa ya que como se mencionó antes, las tarifas de interconexión de los servicios de telecomunicaciones tendientes a costos es una realidad que se ha venido observando en todas las regiones del planeta y no particularmente en nuestro país.</w:t>
      </w:r>
    </w:p>
    <w:p w14:paraId="0079193E" w14:textId="1A79F8C1"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Pregunta 3. Que diga y explique el perito, desde cuándo se iniciaron esas prácticas a nivel internacional.</w:t>
      </w:r>
    </w:p>
    <w:p w14:paraId="257B1F5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Refiere el perito de la tercero perjudicada que en cada país de acuerdo con sus condiciones económicas y sociales, así como en función de los objetivos de política pública en la materia, los reguladores han establecido sus esquemas de reducción de tarifas de interconexión.</w:t>
      </w:r>
    </w:p>
    <w:p w14:paraId="2A1CCE8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opinión del perito de recurrente la práctica de reducir las tarifas de interconexión para la terminación de llamadas en redes móviles para orientarlas a costos se inició hace poco más de trece años. El antecedente más destacado fue el procedimiento desarrollado en 1997 por el entonces regulador británico OFTEL, conjuntamente con la autoridad de competencia, para reducir las tarifas de terminación de llamadas en redes móviles en el Re</w:t>
      </w:r>
      <w:r w:rsidR="002C08B7" w:rsidRPr="00654D1D">
        <w:rPr>
          <w:rFonts w:ascii="ITC Avant Garde" w:hAnsi="ITC Avant Garde" w:cs="Arial"/>
        </w:rPr>
        <w:t>i</w:t>
      </w:r>
      <w:r w:rsidRPr="00654D1D">
        <w:rPr>
          <w:rFonts w:ascii="ITC Avant Garde" w:hAnsi="ITC Avant Garde" w:cs="Arial"/>
        </w:rPr>
        <w:t>no Unido para el período 1998-2002, con base en un modelo de costos y un largo proceso de consulta con los operadores.</w:t>
      </w:r>
    </w:p>
    <w:p w14:paraId="5EAEF44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otro lado, el perito tercero en discordia argumentó que las prácticas para reducir las tarifas de interconexión para la terminación de llamadas en redes móviles para orientarlas a costos se inició hace poco más de trece años, el antecedente más </w:t>
      </w:r>
      <w:r w:rsidRPr="00654D1D">
        <w:rPr>
          <w:rFonts w:ascii="ITC Avant Garde" w:hAnsi="ITC Avant Garde" w:cs="Arial"/>
        </w:rPr>
        <w:lastRenderedPageBreak/>
        <w:t>destacado fue el procedimiento desarrollado en 1997 por el entonces regulador británico OFTEL, conjuntamente con la autoridad de competencia, para reducir las tarifas de terminación de llamadas en redes móviles en el Reino Unido.</w:t>
      </w:r>
    </w:p>
    <w:p w14:paraId="761EC4FF" w14:textId="2E8C7D48" w:rsidR="00654D1D" w:rsidRPr="00654D1D" w:rsidRDefault="003E526D" w:rsidP="00654D1D">
      <w:pPr>
        <w:spacing w:before="240"/>
        <w:jc w:val="both"/>
        <w:rPr>
          <w:rFonts w:ascii="ITC Avant Garde" w:hAnsi="ITC Avant Garde" w:cs="Arial"/>
          <w:u w:val="single"/>
        </w:rPr>
      </w:pPr>
      <w:r w:rsidRPr="00654D1D">
        <w:rPr>
          <w:rFonts w:ascii="ITC Avant Garde" w:hAnsi="ITC Avant Garde" w:cs="Arial"/>
          <w:u w:val="single"/>
        </w:rPr>
        <w:t>Valoración del Instituto</w:t>
      </w:r>
    </w:p>
    <w:p w14:paraId="43F8B64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Este perito coincide con los tres peritos respecto de que la reducción en tarifas de interconexión se ha observado desde finales del siglo pasado y se ha generalizado en todas las regiones del mundo.</w:t>
      </w:r>
    </w:p>
    <w:p w14:paraId="2CB3F12F"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Pregunta 4. Que diga y explique el perito, con base en la experiencia internacional, cuáles son las políticas en términos de tasación por el servicio de interconexión.</w:t>
      </w:r>
    </w:p>
    <w:p w14:paraId="2509E01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de la tercero perjudicada señaló que conforme a la literatura académica y a las mejores prácticas internacionales, los factores que influyen o resultan determinantes de las tarifas de interconexión son principalmente: estructura orientada a costos; estructura tecnológica empleada en el sector y por los operadores específicos; economías de densidad; economías de escala; grado de competencia efectiva; contexto institucional regulatorio; la infraestructura disponible para cada operador; la asignación de espectro; así como el grado de influencia que ejerce el consumidor.</w:t>
      </w:r>
    </w:p>
    <w:p w14:paraId="6F487B6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El perito de la recurrente refiere que la pregunta es demasiado vaga y no es claro a que se refiere.</w:t>
      </w:r>
    </w:p>
    <w:p w14:paraId="6796118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último el perito tercero en discordia señaló que la pregunta es vaga y no es clara a que se refiere.</w:t>
      </w:r>
    </w:p>
    <w:p w14:paraId="21F1F25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Valoración del instituto</w:t>
      </w:r>
    </w:p>
    <w:p w14:paraId="4B602225" w14:textId="032AF47C" w:rsidR="003E526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Este Instituto da cuenta de que las respuestas de los peritos no atendieron a la pregunta planteada en el cuestionario. </w:t>
      </w:r>
    </w:p>
    <w:p w14:paraId="47D48A8F" w14:textId="77777777" w:rsidR="00654D1D" w:rsidRPr="00654D1D" w:rsidRDefault="003E526D" w:rsidP="00654D1D">
      <w:pPr>
        <w:spacing w:before="240"/>
        <w:jc w:val="both"/>
        <w:rPr>
          <w:rFonts w:ascii="ITC Avant Garde" w:hAnsi="ITC Avant Garde" w:cs="Arial"/>
          <w:b/>
        </w:rPr>
      </w:pPr>
      <w:r w:rsidRPr="00654D1D">
        <w:rPr>
          <w:rFonts w:ascii="ITC Avant Garde" w:hAnsi="ITC Avant Garde" w:cs="Arial"/>
          <w:b/>
        </w:rPr>
        <w:t>Otras pruebas</w:t>
      </w:r>
    </w:p>
    <w:p w14:paraId="5432ED5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relación </w:t>
      </w:r>
      <w:r w:rsidRPr="00654D1D">
        <w:rPr>
          <w:rFonts w:ascii="ITC Avant Garde" w:hAnsi="ITC Avant Garde" w:cs="Arial"/>
          <w:bCs/>
        </w:rPr>
        <w:t>con el expediente administrativo integrado para la emisión de la Resolución Recurrida, que fue admitido como prueba, en este acto se tiene a la vista para la emisión de la presente resolución, se concede al mismo pleno valor probatorio en términos de lo dispuesto en los artículos 79, 93 fracción II, 129, 197 y 202 del CFPC, y con el mismo se tiene por acreditado todo lo actuado en el expediente que concluyó con la Resolución Recurrida, el contenido de ésta, así como las notificaciones practicadas a la Recurrente y las Tercero Perjudicadas.</w:t>
      </w:r>
    </w:p>
    <w:p w14:paraId="2C43437C" w14:textId="77777777" w:rsidR="00654D1D" w:rsidRPr="00654D1D" w:rsidRDefault="003E526D" w:rsidP="00654D1D">
      <w:pPr>
        <w:adjustRightInd w:val="0"/>
        <w:spacing w:before="240"/>
        <w:jc w:val="both"/>
        <w:rPr>
          <w:rFonts w:ascii="ITC Avant Garde" w:hAnsi="ITC Avant Garde" w:cs="Arial"/>
          <w:bCs/>
        </w:rPr>
      </w:pPr>
      <w:r w:rsidRPr="00654D1D">
        <w:rPr>
          <w:rFonts w:ascii="ITC Avant Garde" w:hAnsi="ITC Avant Garde" w:cs="Arial"/>
          <w:bCs/>
        </w:rPr>
        <w:lastRenderedPageBreak/>
        <w:t xml:space="preserve">En relación con las pruebas </w:t>
      </w:r>
      <w:proofErr w:type="spellStart"/>
      <w:r w:rsidRPr="00654D1D">
        <w:rPr>
          <w:rFonts w:ascii="ITC Avant Garde" w:hAnsi="ITC Avant Garde" w:cs="Arial"/>
          <w:bCs/>
        </w:rPr>
        <w:t>presuncional</w:t>
      </w:r>
      <w:proofErr w:type="spellEnd"/>
      <w:r w:rsidRPr="00654D1D">
        <w:rPr>
          <w:rFonts w:ascii="ITC Avant Garde" w:hAnsi="ITC Avant Garde" w:cs="Arial"/>
          <w:bCs/>
        </w:rPr>
        <w:t xml:space="preserve"> e instrumental de actuaciones, se procede a su valoración en términos de los artículos 79, 93 fracción VIII, 190, 197, y 218 del CFPC, y atento al análisis y valoración realizada a todas y cada una de las pruebas que preceden, en nada benefician a los intereses de la oferente ya que no aportan elementos, ni siquiera indiciarios, que cambien o permitan cambiar la determinación adoptada en esta resolución.</w:t>
      </w:r>
    </w:p>
    <w:p w14:paraId="61880858" w14:textId="79AAE5EA"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b/>
          <w:lang w:val="es-ES" w:eastAsia="es-MX"/>
        </w:rPr>
        <w:t>DÉCIMO.-</w:t>
      </w:r>
      <w:r w:rsidRPr="00654D1D">
        <w:rPr>
          <w:rFonts w:ascii="ITC Avant Garde" w:eastAsia="Times New Roman" w:hAnsi="ITC Avant Garde" w:cs="Arial"/>
          <w:lang w:val="es-ES" w:eastAsia="es-MX"/>
        </w:rPr>
        <w:t xml:space="preserve"> En cumplimiento del artículo 92 de la Ley Federal de Procedimiento Administrativo, se entra al estudio en particular de cada uno de los argumentos que a manera de agravios hizo valer la Recurrente en los siguientes términos:</w:t>
      </w:r>
    </w:p>
    <w:p w14:paraId="4EFD3236" w14:textId="77777777" w:rsidR="00654D1D" w:rsidRPr="00654D1D" w:rsidRDefault="003E526D" w:rsidP="00654D1D">
      <w:pPr>
        <w:numPr>
          <w:ilvl w:val="0"/>
          <w:numId w:val="20"/>
        </w:numPr>
        <w:spacing w:before="240"/>
        <w:contextualSpacing/>
        <w:jc w:val="both"/>
        <w:rPr>
          <w:rFonts w:ascii="ITC Avant Garde" w:hAnsi="ITC Avant Garde" w:cs="Arial"/>
          <w:b/>
        </w:rPr>
      </w:pPr>
      <w:r w:rsidRPr="00654D1D">
        <w:rPr>
          <w:rFonts w:ascii="ITC Avant Garde" w:hAnsi="ITC Avant Garde" w:cs="Arial"/>
        </w:rPr>
        <w:t>En relación con los argumentos hechos valer por la Recurrente en el capítulo de CONSIDERACIONES PRELIMINARES, tenemos que la primera consideración relativa a la competencia del entonces Pleno de la Comisión para resolver el recurso de revisión, es infundado e inoperante, ya que a la fecha, como se ha establecido en los considerandos Primero a Cuarto de esta resolución, el Pleno del Instituto es el competente para dictar esta resolución.</w:t>
      </w:r>
    </w:p>
    <w:p w14:paraId="4CB4FA81" w14:textId="77777777"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Respecto de la segunda consideración preliminar, denominada POLÍTICA PÚBLICA, y los siete incisos que la integran, los argumentos de la Recurrente son infundados e inoperantes como se expone a continuación.</w:t>
      </w:r>
    </w:p>
    <w:p w14:paraId="1B8A31B8"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En relación al argumento en el sentido de que la buena práctica internacional recomienda reducciones progresivas de las Tarifas de Terminación Móvil, se señala que de conformidad con lo determinado por la Suprema Corte de Justicia de la Nación (en los sucesivo, la “SCJN”), en el Amparo en Revisión 426/2010, el Estado ejerce su rectoría en materia de telecomunicaciones a través del órgano regulador creado para el efecto, al que se dotó de un amplio margen de facultades discrecionales para determinar las condiciones que, en materia de interconexión, no hayan podido convenirse entre los concesionarios de redes públicas de telecomunicaciones.</w:t>
      </w:r>
    </w:p>
    <w:p w14:paraId="276A46DC"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La propia SCJN razona que es dentro del ejercicio de sus facultades discrecionales que la autoridad puede determinar un ajuste gradual de la tarifa de interconexión, para lo cual deberá motivar razonablemente su decisión, justificando la necesidad de realizar dicho ajuste. </w:t>
      </w:r>
    </w:p>
    <w:p w14:paraId="67E3054E"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En tal virtud, el establecimiento de un ajuste gradual en la resolución reclamada correspondía enteramente a una decisión de política regulatoria que entra dentro del ámbito de facultades discrecionales del órgano regulador, y en su momento la extinta Comisión optó por establecer cargos de interconexión basados en costos, favoreciendo con ello una política de promoción de la competencia y reducción de los precios al usuario final.</w:t>
      </w:r>
    </w:p>
    <w:p w14:paraId="02BF2D1B"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lastRenderedPageBreak/>
        <w:t xml:space="preserve">Por lo que hace al argumento que va en el sentido de que </w:t>
      </w:r>
      <w:r w:rsidRPr="00654D1D">
        <w:rPr>
          <w:rFonts w:ascii="ITC Avant Garde" w:eastAsia="Times New Roman" w:hAnsi="ITC Avant Garde" w:cs="Arial"/>
          <w:b/>
          <w:lang w:val="es-ES" w:eastAsia="es-MX"/>
        </w:rPr>
        <w:t>el modelo aprobado por la Comisión no presenta el detalle suficiente para permitir su discusión técnica</w:t>
      </w:r>
      <w:r w:rsidRPr="00654D1D">
        <w:rPr>
          <w:rFonts w:ascii="ITC Avant Garde" w:eastAsia="Times New Roman" w:hAnsi="ITC Avant Garde" w:cs="Arial"/>
          <w:lang w:val="es-ES" w:eastAsia="es-MX"/>
        </w:rPr>
        <w:t xml:space="preserve">, se señala que dicha afirmación carece de fundamento, toda vez que las partes tuvieron acceso al archivo de hoja de cálculo, en donde son plenamente visibles los algoritmos y procedimientos de cálculo que fueron empleados en el modelo, y que además ha permitido a la recurrente formular diversos agravios. </w:t>
      </w:r>
    </w:p>
    <w:p w14:paraId="491D19C0"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En lo que respecta al argumento de que la </w:t>
      </w:r>
      <w:r w:rsidRPr="00654D1D">
        <w:rPr>
          <w:rFonts w:ascii="ITC Avant Garde" w:eastAsia="Times New Roman" w:hAnsi="ITC Avant Garde" w:cs="Arial"/>
          <w:b/>
          <w:lang w:val="es-ES" w:eastAsia="es-MX"/>
        </w:rPr>
        <w:t>realidad del mercado mexicano justifica la aprobación de una tarifa asimétrica</w:t>
      </w:r>
      <w:r w:rsidRPr="00654D1D">
        <w:rPr>
          <w:rFonts w:ascii="ITC Avant Garde" w:eastAsia="Times New Roman" w:hAnsi="ITC Avant Garde" w:cs="Arial"/>
          <w:lang w:val="es-ES" w:eastAsia="es-MX"/>
        </w:rPr>
        <w:t xml:space="preserve">, de nueva cuenta se señala que es dentro del ejercicio de las facultades discrecionales que la autoridad puede determinar una tarifa de interconexión asimétrica, para lo cual deberá motivar razonablemente su decisión. </w:t>
      </w:r>
    </w:p>
    <w:p w14:paraId="3004A3B8"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En tal virtud, el establecimiento de una tarifa asimétrica correspondía enteramente a una decisión de política regulatoria que entra dentro del ámbito de facultades discrecionales del órgano regulador, y en su momento la extinta Comisión optó por establecer cargos de interconexión simétricos, favoreciendo con ello una política que incentivara la eficiencia en la prestación de los servicios, por lo que no existía ninguna obligación por parte de la extinta Comisión de determinar una tarifa asimétrica.</w:t>
      </w:r>
    </w:p>
    <w:p w14:paraId="3588C5DE"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Finalmente respecto de lo señalado en el sentido de que </w:t>
      </w:r>
      <w:r w:rsidRPr="00654D1D">
        <w:rPr>
          <w:rFonts w:ascii="ITC Avant Garde" w:eastAsia="Times New Roman" w:hAnsi="ITC Avant Garde" w:cs="Arial"/>
          <w:b/>
          <w:lang w:val="es-ES" w:eastAsia="es-MX"/>
        </w:rPr>
        <w:t>el modelo de costos debería incluir información real de las empresas</w:t>
      </w:r>
      <w:r w:rsidRPr="00654D1D">
        <w:rPr>
          <w:rFonts w:ascii="ITC Avant Garde" w:eastAsia="Times New Roman" w:hAnsi="ITC Avant Garde" w:cs="Arial"/>
          <w:lang w:val="es-ES" w:eastAsia="es-MX"/>
        </w:rPr>
        <w:t xml:space="preserve">, se comenta que dicho modelo es una herramienta de política regulatoria utilizada por el órgano regulador, y que en su momento se consideró que utilizar costos reales de los operadores no otorga los suficientes incentivos en materia de eficiencia, ello sin considerar la complejidad en recabar información fiable de los costos reales de los operadores. </w:t>
      </w:r>
    </w:p>
    <w:p w14:paraId="5022605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relación con el capítulo denominado AGRAVIOS, respecto de la primera parte denominada AGRAVIOS RELACIONADOS CON EL MODELO DE COSTOS RESPECTO DEL RESOLUTIVO TERCERO, se entra a su estudio en los siguientes términos:</w:t>
      </w:r>
    </w:p>
    <w:p w14:paraId="383FB0A3" w14:textId="77777777"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 xml:space="preserve">Lo manifestado por la Recurrente en el agravio </w:t>
      </w:r>
      <w:r w:rsidRPr="00654D1D">
        <w:rPr>
          <w:rFonts w:ascii="ITC Avant Garde" w:hAnsi="ITC Avant Garde" w:cs="Arial"/>
          <w:b/>
        </w:rPr>
        <w:t>PRIMERO</w:t>
      </w:r>
      <w:r w:rsidRPr="00654D1D">
        <w:rPr>
          <w:rFonts w:ascii="ITC Avant Garde" w:hAnsi="ITC Avant Garde" w:cs="Arial"/>
        </w:rPr>
        <w:t xml:space="preserve"> es infundado, ya que la Resolución Recurrida se encuentra debidamente fundada y motivada, respetando lo dispuesto en el artículo 3, fracción V de la Ley Federal de Procedimiento Administrativo.</w:t>
      </w:r>
    </w:p>
    <w:p w14:paraId="7E06B1E9" w14:textId="77777777" w:rsidR="00654D1D" w:rsidRPr="00654D1D" w:rsidRDefault="003E526D" w:rsidP="00654D1D">
      <w:pPr>
        <w:spacing w:before="240"/>
        <w:jc w:val="both"/>
        <w:rPr>
          <w:rFonts w:ascii="ITC Avant Garde" w:hAnsi="ITC Avant Garde" w:cs="Arial"/>
          <w:b/>
          <w:sz w:val="24"/>
          <w:szCs w:val="24"/>
        </w:rPr>
      </w:pPr>
      <w:r w:rsidRPr="00654D1D">
        <w:rPr>
          <w:rFonts w:ascii="ITC Avant Garde" w:hAnsi="ITC Avant Garde" w:cs="Arial"/>
          <w:b/>
          <w:sz w:val="24"/>
          <w:szCs w:val="24"/>
        </w:rPr>
        <w:t>Precisiones relativas a los señalamientos que la quejosa expone en el Numeral I del primer agravio:</w:t>
      </w:r>
    </w:p>
    <w:p w14:paraId="0BBDCBE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Al respecto, esta Autoridad revisora considera que los argumentos de la Recurrente resultan improcedentes, en virtud de las siguientes consideraciones que se contestan en forma correlativa a los argumentos de la Recurrente.</w:t>
      </w:r>
    </w:p>
    <w:p w14:paraId="3E830DA7" w14:textId="77777777" w:rsidR="00654D1D" w:rsidRPr="00654D1D" w:rsidRDefault="003E526D" w:rsidP="00654D1D">
      <w:pPr>
        <w:numPr>
          <w:ilvl w:val="0"/>
          <w:numId w:val="34"/>
        </w:num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lastRenderedPageBreak/>
        <w:t>Al respecto, se considera que no le asiste la razón a la Recurrente ya que la propia SCJN señaló que la Comisión Federal de Telecomunicaciones (ahora instituto Federal de Telecomunicaciones) es el órgano regulador creado por el Estado Mexicano con ciertas características que por su naturaleza y por sus funciones goza de un amplio margen de discrecionalidad en el ejercicio de sus facultades sin que por ello pueda ejercerlas de manera arbitraria, sino que debe fundar y motivar razonablemente sus decisiones pues su actuación está sujeta a los requisitos previstos en el artículo 16 constitucional.</w:t>
      </w:r>
    </w:p>
    <w:p w14:paraId="1D595C27" w14:textId="77777777" w:rsidR="00654D1D" w:rsidRPr="00654D1D" w:rsidRDefault="003E526D" w:rsidP="00654D1D">
      <w:pPr>
        <w:spacing w:before="240"/>
        <w:ind w:left="36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En tal virtud y en el ámbito de sus facultades discrecionales estaba plenamente facultada para utilizar un modelo de costos, máxime que el modelo de costos, es un instrumento o herramienta de soporte que sirve de apoyo al órgano regulador para fijar las tarifas que deberán aplicarse a los servicios de interconexión que presten los concesionarios, y que de esta forma se puedan cumplir con las funciones reguladoras; para lo cual únicamente debía fundar y motivar debidamente su decisión. </w:t>
      </w:r>
    </w:p>
    <w:p w14:paraId="5E2B31FA" w14:textId="77777777" w:rsidR="00654D1D" w:rsidRPr="00654D1D" w:rsidRDefault="003E526D" w:rsidP="00654D1D">
      <w:pPr>
        <w:spacing w:before="240"/>
        <w:ind w:left="36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Es así que de la propia Resolución recurrida se desprende que se señalaron los motivos, razones y causas de por qué se utiliza un Modelo de Costos, así como porque se consideró utilizar la metodología de costos incrementales, a mayor abundamiento se presenta lo señalado en dicha resolución que a la letra dice:</w:t>
      </w:r>
    </w:p>
    <w:p w14:paraId="57ED7C59" w14:textId="77777777" w:rsidR="00654D1D" w:rsidRPr="00654D1D" w:rsidRDefault="003E526D" w:rsidP="00654D1D">
      <w:pPr>
        <w:spacing w:before="240"/>
        <w:ind w:left="567" w:right="565"/>
        <w:jc w:val="both"/>
        <w:rPr>
          <w:rFonts w:ascii="ITC Avant Garde" w:eastAsia="Times New Roman" w:hAnsi="ITC Avant Garde" w:cs="Arial"/>
          <w:b/>
          <w:sz w:val="18"/>
          <w:szCs w:val="18"/>
          <w:lang w:val="es-ES" w:eastAsia="es-MX"/>
        </w:rPr>
      </w:pPr>
      <w:r w:rsidRPr="00654D1D">
        <w:rPr>
          <w:rFonts w:ascii="ITC Avant Garde" w:eastAsia="Times New Roman" w:hAnsi="ITC Avant Garde" w:cs="Arial"/>
          <w:sz w:val="18"/>
          <w:szCs w:val="18"/>
          <w:lang w:val="es-ES" w:eastAsia="es-MX"/>
        </w:rPr>
        <w:t>“</w:t>
      </w:r>
      <w:r w:rsidRPr="00654D1D">
        <w:rPr>
          <w:rFonts w:ascii="ITC Avant Garde" w:eastAsia="Times New Roman" w:hAnsi="ITC Avant Garde" w:cs="Arial"/>
          <w:b/>
          <w:sz w:val="18"/>
          <w:szCs w:val="18"/>
          <w:lang w:val="es-ES" w:eastAsia="es-MX"/>
        </w:rPr>
        <w:t>1. Tarifa de interconexión por servicios de terminación móvil.</w:t>
      </w:r>
    </w:p>
    <w:p w14:paraId="3A48C3AE"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Argumentos de las partes.</w:t>
      </w:r>
    </w:p>
    <w:p w14:paraId="37CC54A5"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w:t>
      </w:r>
    </w:p>
    <w:p w14:paraId="605A4DBC" w14:textId="77777777" w:rsidR="00654D1D" w:rsidRPr="00654D1D" w:rsidRDefault="003E526D" w:rsidP="00654D1D">
      <w:pPr>
        <w:spacing w:before="240"/>
        <w:ind w:left="710" w:right="565" w:firstLine="141"/>
        <w:jc w:val="both"/>
        <w:rPr>
          <w:rFonts w:ascii="ITC Avant Garde" w:eastAsia="Times New Roman" w:hAnsi="ITC Avant Garde" w:cs="Arial"/>
          <w:b/>
          <w:sz w:val="18"/>
          <w:szCs w:val="18"/>
          <w:lang w:val="es-ES" w:eastAsia="es-MX"/>
        </w:rPr>
      </w:pPr>
      <w:r w:rsidRPr="00654D1D">
        <w:rPr>
          <w:rFonts w:ascii="ITC Avant Garde" w:eastAsia="Times New Roman" w:hAnsi="ITC Avant Garde" w:cs="Arial"/>
          <w:b/>
          <w:sz w:val="18"/>
          <w:szCs w:val="18"/>
          <w:lang w:val="es-ES" w:eastAsia="es-MX"/>
        </w:rPr>
        <w:t>Consideraciones de la Comisión.</w:t>
      </w:r>
    </w:p>
    <w:p w14:paraId="54719553"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La interconexión es de vital importancia para el desarrollo de una sana competencia porque asegura que cualquier comunicación que inicie un usuario pueda llegar a su destino, independientemente de la red pública concesionada que se utilice; propiciando así que la decisión de con qué empresa contratar los servicios, esté sustentada en factores de precio, calidad y diversidad.</w:t>
      </w:r>
    </w:p>
    <w:p w14:paraId="0AD9DC3F"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 xml:space="preserve">En este sentido, se considera que en un escenario donde priva la competencia en la prestación de todos los servicios de telecomunicaciones, es necesario establecer tarifas que estén basadas en costos, ya que esto constituye una política que es neutral para el desarrollo de la competencia, en la medida que no se distorsiona el crecimiento eficiente del sector, ya que todos los participantes del mercado acceden a un elemento básico como lo es la interconexión, sin que ninguno obtenga ventajas extraordinarias en la prestación de dicho servicio. </w:t>
      </w:r>
    </w:p>
    <w:p w14:paraId="3C05F0D0"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lastRenderedPageBreak/>
        <w:t xml:space="preserve">En este tenor, para la determinación de las tarifas de interconexión relacionadas con la función de terminación de tráfico público conmutado en las redes públicas de telecomunicaciones de servicio local móvil de Grupo Telefónica, esta Comisión considera que los objetivos plasmados en el artículo 7 de la LFT establecen las bases para la fijación de las tarifas de interconexión con base a costos. Asimismo, las </w:t>
      </w:r>
      <w:proofErr w:type="spellStart"/>
      <w:r w:rsidRPr="00654D1D">
        <w:rPr>
          <w:rFonts w:ascii="ITC Avant Garde" w:eastAsia="Times New Roman" w:hAnsi="ITC Avant Garde" w:cs="Arial"/>
          <w:sz w:val="18"/>
          <w:szCs w:val="18"/>
          <w:lang w:val="es-ES" w:eastAsia="es-MX"/>
        </w:rPr>
        <w:t>RdSL</w:t>
      </w:r>
      <w:proofErr w:type="spellEnd"/>
      <w:r w:rsidRPr="00654D1D">
        <w:rPr>
          <w:rFonts w:ascii="ITC Avant Garde" w:eastAsia="Times New Roman" w:hAnsi="ITC Avant Garde" w:cs="Arial"/>
          <w:sz w:val="18"/>
          <w:szCs w:val="18"/>
          <w:lang w:val="es-ES" w:eastAsia="es-MX"/>
        </w:rPr>
        <w:t xml:space="preserve"> y las RSLD establecen claramente los lineamientos que deberá seguir la autoridad para el establecimiento de dichas tarifas de interconexión en caso de un desacuerdo de interconexión al amparo del artículo 42 de la LFT, esto es, se deberán establecer para todos los casos tarifas que permitan recuperar los CIPLPS y los costos comunes atribuibles a dicha función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1289C66F"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En este sentido, de la interpretación y aplicación de los artículos 7 y 41 de la LFT, se desprende que la Comisión deberá seguir la metodología indicada en el párrafo anterior.</w:t>
      </w:r>
    </w:p>
    <w:p w14:paraId="4FCBB5A2"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A tal efecto, el artículo 7 de la LFT establece lo siguiente:</w:t>
      </w:r>
    </w:p>
    <w:p w14:paraId="136B98A7" w14:textId="77777777" w:rsidR="00654D1D" w:rsidRPr="00654D1D" w:rsidRDefault="003E526D" w:rsidP="00654D1D">
      <w:pPr>
        <w:spacing w:before="240"/>
        <w:ind w:left="1080" w:right="565"/>
        <w:jc w:val="both"/>
        <w:rPr>
          <w:rFonts w:ascii="ITC Avant Garde" w:eastAsia="Times New Roman" w:hAnsi="ITC Avant Garde" w:cs="Arial"/>
          <w:sz w:val="18"/>
          <w:szCs w:val="18"/>
          <w:lang w:eastAsia="es-MX"/>
        </w:rPr>
      </w:pPr>
      <w:r w:rsidRPr="00654D1D">
        <w:rPr>
          <w:rFonts w:ascii="ITC Avant Garde" w:eastAsia="Times New Roman" w:hAnsi="ITC Avant Garde" w:cs="Arial"/>
          <w:b/>
          <w:sz w:val="18"/>
          <w:szCs w:val="18"/>
          <w:lang w:eastAsia="es-MX"/>
        </w:rPr>
        <w:t>‘Artículo 7.</w:t>
      </w:r>
      <w:r w:rsidRPr="00654D1D">
        <w:rPr>
          <w:rFonts w:ascii="ITC Avant Garde" w:eastAsia="Times New Roman" w:hAnsi="ITC Avant Garde" w:cs="Arial"/>
          <w:sz w:val="18"/>
          <w:szCs w:val="18"/>
          <w:lang w:eastAsia="es-MX"/>
        </w:rPr>
        <w:t xml:space="preserve"> La presente Ley tiene como objetivos promover un desarrollo eficiente de las telecomunicaciones; ejercer la rectoría del Estado en la materia, para garantizar la soberanía nacional; fomentar una sana competencia entre los diferentes prestadores de servicios de telecomunicaciones a fin de que éstos se presten con mejores precios, diversidad y calidad en beneficio de los usuarios, y promover una adecuada cobertura social.</w:t>
      </w:r>
    </w:p>
    <w:p w14:paraId="2ABE8877" w14:textId="77777777" w:rsidR="00654D1D" w:rsidRPr="00654D1D" w:rsidRDefault="003E526D" w:rsidP="00654D1D">
      <w:pPr>
        <w:spacing w:before="240"/>
        <w:ind w:left="1080" w:right="565"/>
        <w:jc w:val="both"/>
        <w:rPr>
          <w:rFonts w:ascii="ITC Avant Garde" w:eastAsia="Times New Roman" w:hAnsi="ITC Avant Garde" w:cs="Arial"/>
          <w:sz w:val="18"/>
          <w:szCs w:val="18"/>
          <w:lang w:eastAsia="es-MX"/>
        </w:rPr>
      </w:pPr>
      <w:r w:rsidRPr="00654D1D">
        <w:rPr>
          <w:rFonts w:ascii="ITC Avant Garde" w:eastAsia="Times New Roman" w:hAnsi="ITC Avant Garde" w:cs="Arial"/>
          <w:sz w:val="18"/>
          <w:szCs w:val="18"/>
          <w:lang w:eastAsia="es-MX"/>
        </w:rPr>
        <w:t>Para el logro de estos objetivos, corresponde a la Secretaría, sin perjuicio de las que se confieran a otras dependencias del Ejecutivo Federal, el ejercicio de las atribuciones siguientes:</w:t>
      </w:r>
    </w:p>
    <w:p w14:paraId="327B1E61" w14:textId="77777777" w:rsidR="00654D1D" w:rsidRPr="00654D1D" w:rsidRDefault="003E526D" w:rsidP="00654D1D">
      <w:pPr>
        <w:tabs>
          <w:tab w:val="left" w:pos="720"/>
        </w:tabs>
        <w:spacing w:before="240"/>
        <w:ind w:left="720" w:right="565" w:hanging="432"/>
        <w:jc w:val="both"/>
        <w:rPr>
          <w:rFonts w:ascii="ITC Avant Garde" w:eastAsia="Times New Roman" w:hAnsi="ITC Avant Garde" w:cs="Arial"/>
          <w:sz w:val="18"/>
          <w:szCs w:val="18"/>
          <w:lang w:eastAsia="es-MX"/>
        </w:rPr>
      </w:pPr>
      <w:r w:rsidRPr="00654D1D">
        <w:rPr>
          <w:rFonts w:ascii="ITC Avant Garde" w:eastAsia="Times New Roman" w:hAnsi="ITC Avant Garde" w:cs="Arial"/>
          <w:sz w:val="18"/>
          <w:szCs w:val="18"/>
          <w:lang w:eastAsia="es-MX"/>
        </w:rPr>
        <w:tab/>
      </w:r>
      <w:r w:rsidRPr="00654D1D">
        <w:rPr>
          <w:rFonts w:ascii="ITC Avant Garde" w:eastAsia="Times New Roman" w:hAnsi="ITC Avant Garde" w:cs="Arial"/>
          <w:sz w:val="18"/>
          <w:szCs w:val="18"/>
          <w:lang w:eastAsia="es-MX"/>
        </w:rPr>
        <w:tab/>
        <w:t>[…]</w:t>
      </w:r>
      <w:r w:rsidRPr="00654D1D">
        <w:rPr>
          <w:rFonts w:ascii="ITC Avant Garde" w:eastAsia="Times New Roman" w:hAnsi="ITC Avant Garde" w:cs="Arial"/>
          <w:b/>
          <w:sz w:val="18"/>
          <w:szCs w:val="18"/>
          <w:lang w:eastAsia="es-MX"/>
        </w:rPr>
        <w:t>;</w:t>
      </w:r>
    </w:p>
    <w:p w14:paraId="6DD03E15" w14:textId="77777777" w:rsidR="00654D1D" w:rsidRPr="00654D1D" w:rsidRDefault="003E526D" w:rsidP="00654D1D">
      <w:pPr>
        <w:tabs>
          <w:tab w:val="left" w:pos="720"/>
        </w:tabs>
        <w:spacing w:before="240"/>
        <w:ind w:left="2124" w:right="565" w:hanging="684"/>
        <w:jc w:val="both"/>
        <w:rPr>
          <w:rFonts w:ascii="ITC Avant Garde" w:eastAsia="Times New Roman" w:hAnsi="ITC Avant Garde" w:cs="Arial"/>
          <w:sz w:val="18"/>
          <w:szCs w:val="18"/>
          <w:lang w:eastAsia="es-MX"/>
        </w:rPr>
      </w:pPr>
      <w:r w:rsidRPr="00654D1D">
        <w:rPr>
          <w:rFonts w:ascii="ITC Avant Garde" w:eastAsia="Times New Roman" w:hAnsi="ITC Avant Garde" w:cs="Arial"/>
          <w:b/>
          <w:sz w:val="18"/>
          <w:szCs w:val="18"/>
          <w:lang w:eastAsia="es-MX"/>
        </w:rPr>
        <w:t>II.</w:t>
      </w:r>
      <w:r w:rsidRPr="00654D1D">
        <w:rPr>
          <w:rFonts w:ascii="ITC Avant Garde" w:eastAsia="Times New Roman" w:hAnsi="ITC Avant Garde" w:cs="Arial"/>
          <w:sz w:val="18"/>
          <w:szCs w:val="18"/>
          <w:lang w:eastAsia="es-MX"/>
        </w:rPr>
        <w:tab/>
        <w:t>Promover y vigilar la eficiente interconexión de los diferentes equipos y redes de telecomunicación;</w:t>
      </w:r>
    </w:p>
    <w:p w14:paraId="0C678C5F" w14:textId="77777777" w:rsidR="00654D1D" w:rsidRPr="00654D1D" w:rsidRDefault="003E526D" w:rsidP="00654D1D">
      <w:pPr>
        <w:tabs>
          <w:tab w:val="left" w:pos="720"/>
        </w:tabs>
        <w:spacing w:before="240"/>
        <w:ind w:left="1080" w:right="565" w:firstLine="360"/>
        <w:jc w:val="both"/>
        <w:rPr>
          <w:rFonts w:ascii="ITC Avant Garde" w:eastAsia="Times New Roman" w:hAnsi="ITC Avant Garde" w:cs="Arial"/>
          <w:sz w:val="18"/>
          <w:szCs w:val="18"/>
          <w:lang w:eastAsia="es-MX"/>
        </w:rPr>
      </w:pPr>
      <w:r w:rsidRPr="00654D1D">
        <w:rPr>
          <w:rFonts w:ascii="ITC Avant Garde" w:eastAsia="Times New Roman" w:hAnsi="ITC Avant Garde" w:cs="Arial"/>
          <w:sz w:val="18"/>
          <w:szCs w:val="18"/>
          <w:lang w:eastAsia="es-MX"/>
        </w:rPr>
        <w:t>[...]</w:t>
      </w:r>
    </w:p>
    <w:p w14:paraId="15D9A933" w14:textId="77777777" w:rsidR="00654D1D" w:rsidRPr="00654D1D" w:rsidRDefault="003E526D" w:rsidP="00654D1D">
      <w:pPr>
        <w:tabs>
          <w:tab w:val="left" w:pos="720"/>
        </w:tabs>
        <w:spacing w:before="240"/>
        <w:ind w:left="1080" w:right="565" w:firstLine="360"/>
        <w:jc w:val="both"/>
        <w:rPr>
          <w:rFonts w:ascii="ITC Avant Garde" w:eastAsia="Times New Roman" w:hAnsi="ITC Avant Garde" w:cs="Arial"/>
          <w:sz w:val="18"/>
          <w:szCs w:val="18"/>
          <w:lang w:eastAsia="es-MX"/>
        </w:rPr>
      </w:pPr>
      <w:r w:rsidRPr="00654D1D">
        <w:rPr>
          <w:rFonts w:ascii="ITC Avant Garde" w:eastAsia="Times New Roman" w:hAnsi="ITC Avant Garde" w:cs="Arial"/>
          <w:b/>
          <w:sz w:val="18"/>
          <w:szCs w:val="18"/>
          <w:lang w:eastAsia="es-MX"/>
        </w:rPr>
        <w:t>XII.</w:t>
      </w:r>
      <w:r w:rsidRPr="00654D1D">
        <w:rPr>
          <w:rFonts w:ascii="ITC Avant Garde" w:eastAsia="Times New Roman" w:hAnsi="ITC Avant Garde" w:cs="Arial"/>
          <w:sz w:val="18"/>
          <w:szCs w:val="18"/>
          <w:lang w:eastAsia="es-MX"/>
        </w:rPr>
        <w:tab/>
        <w:t>Interpretar esta Ley para efectos administrativos, y</w:t>
      </w:r>
    </w:p>
    <w:p w14:paraId="67E9587F" w14:textId="77777777" w:rsidR="00654D1D" w:rsidRPr="00654D1D" w:rsidRDefault="003E526D" w:rsidP="00654D1D">
      <w:pPr>
        <w:tabs>
          <w:tab w:val="left" w:pos="720"/>
        </w:tabs>
        <w:spacing w:before="240"/>
        <w:ind w:left="2124" w:right="565" w:hanging="684"/>
        <w:jc w:val="both"/>
        <w:rPr>
          <w:rFonts w:ascii="ITC Avant Garde" w:eastAsia="Times New Roman" w:hAnsi="ITC Avant Garde" w:cs="Arial"/>
          <w:sz w:val="18"/>
          <w:szCs w:val="18"/>
          <w:lang w:eastAsia="es-MX"/>
        </w:rPr>
      </w:pPr>
      <w:r w:rsidRPr="00654D1D">
        <w:rPr>
          <w:rFonts w:ascii="ITC Avant Garde" w:eastAsia="Times New Roman" w:hAnsi="ITC Avant Garde" w:cs="Arial"/>
          <w:b/>
          <w:sz w:val="18"/>
          <w:szCs w:val="18"/>
          <w:lang w:eastAsia="es-MX"/>
        </w:rPr>
        <w:t>XIII.</w:t>
      </w:r>
      <w:r w:rsidRPr="00654D1D">
        <w:rPr>
          <w:rFonts w:ascii="ITC Avant Garde" w:eastAsia="Times New Roman" w:hAnsi="ITC Avant Garde" w:cs="Arial"/>
          <w:sz w:val="18"/>
          <w:szCs w:val="18"/>
          <w:lang w:eastAsia="es-MX"/>
        </w:rPr>
        <w:tab/>
        <w:t>Las demás que esta Ley y otros ordenamientos legales le confieran en la materia.’</w:t>
      </w:r>
    </w:p>
    <w:p w14:paraId="3A856201"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Asimismo, el artículo 41 de la LFT establece lo siguiente:</w:t>
      </w:r>
    </w:p>
    <w:p w14:paraId="6474AA7F" w14:textId="77777777" w:rsidR="00654D1D" w:rsidRPr="00654D1D" w:rsidRDefault="003E526D" w:rsidP="00654D1D">
      <w:pPr>
        <w:spacing w:before="240"/>
        <w:ind w:left="1080" w:right="565"/>
        <w:jc w:val="both"/>
        <w:rPr>
          <w:rFonts w:ascii="ITC Avant Garde" w:eastAsia="Times New Roman" w:hAnsi="ITC Avant Garde" w:cs="Arial"/>
          <w:sz w:val="18"/>
          <w:szCs w:val="18"/>
          <w:lang w:eastAsia="es-MX"/>
        </w:rPr>
      </w:pPr>
      <w:r w:rsidRPr="00654D1D">
        <w:rPr>
          <w:rFonts w:ascii="ITC Avant Garde" w:eastAsia="Times New Roman" w:hAnsi="ITC Avant Garde" w:cs="Arial"/>
          <w:b/>
          <w:sz w:val="18"/>
          <w:szCs w:val="18"/>
          <w:lang w:eastAsia="es-MX"/>
        </w:rPr>
        <w:t>‘Artículo 41.</w:t>
      </w:r>
      <w:r w:rsidRPr="00654D1D">
        <w:rPr>
          <w:rFonts w:ascii="ITC Avant Garde" w:eastAsia="Times New Roman" w:hAnsi="ITC Avant Garde" w:cs="Arial"/>
          <w:sz w:val="18"/>
          <w:szCs w:val="18"/>
          <w:lang w:eastAsia="es-MX"/>
        </w:rPr>
        <w:t xml:space="preserve"> Los concesionarios de redes públicas de telecomunicaciones deberán adoptar diseños de arquitectura abierta de red para permitir la interconexión e interoperabilidad de sus redes. A tal efecto, la Secretaría elaborará y administrará los planes técnicos fundamentales de numeración, conmutación, señalización, transmisión, </w:t>
      </w:r>
      <w:r w:rsidRPr="00654D1D">
        <w:rPr>
          <w:rFonts w:ascii="ITC Avant Garde" w:eastAsia="Times New Roman" w:hAnsi="ITC Avant Garde" w:cs="Arial"/>
          <w:sz w:val="18"/>
          <w:szCs w:val="18"/>
          <w:lang w:eastAsia="es-MX"/>
        </w:rPr>
        <w:lastRenderedPageBreak/>
        <w:t>tarifación y sincronización, entre otros, a los que deberán sujetarse los concesionarios de redes públicas de telecomunicaciones. Dichos planes deberán considerar los intereses de los usuarios y de los concesionarios y tendrán los siguientes objetivos:</w:t>
      </w:r>
    </w:p>
    <w:p w14:paraId="096232D2" w14:textId="77777777" w:rsidR="00654D1D" w:rsidRPr="00654D1D" w:rsidRDefault="003E526D" w:rsidP="00654D1D">
      <w:pPr>
        <w:tabs>
          <w:tab w:val="left" w:pos="720"/>
        </w:tabs>
        <w:spacing w:before="240"/>
        <w:ind w:left="2127" w:right="565" w:hanging="711"/>
        <w:jc w:val="both"/>
        <w:rPr>
          <w:rFonts w:ascii="ITC Avant Garde" w:eastAsia="Times New Roman" w:hAnsi="ITC Avant Garde" w:cs="Arial"/>
          <w:sz w:val="18"/>
          <w:szCs w:val="18"/>
          <w:lang w:eastAsia="es-MX"/>
        </w:rPr>
      </w:pPr>
      <w:r w:rsidRPr="00654D1D">
        <w:rPr>
          <w:rFonts w:ascii="ITC Avant Garde" w:eastAsia="Times New Roman" w:hAnsi="ITC Avant Garde" w:cs="Arial"/>
          <w:b/>
          <w:sz w:val="18"/>
          <w:szCs w:val="18"/>
          <w:lang w:eastAsia="es-MX"/>
        </w:rPr>
        <w:t>I.</w:t>
      </w:r>
      <w:r w:rsidRPr="00654D1D">
        <w:rPr>
          <w:rFonts w:ascii="ITC Avant Garde" w:eastAsia="Times New Roman" w:hAnsi="ITC Avant Garde" w:cs="Arial"/>
          <w:sz w:val="18"/>
          <w:szCs w:val="18"/>
          <w:lang w:eastAsia="es-MX"/>
        </w:rPr>
        <w:tab/>
        <w:t>Permitir un amplio desarrollo de nuevos concesionarios y servicios de telecomunicaciones;</w:t>
      </w:r>
    </w:p>
    <w:p w14:paraId="3641735B" w14:textId="77777777" w:rsidR="00654D1D" w:rsidRPr="00654D1D" w:rsidRDefault="003E526D" w:rsidP="00654D1D">
      <w:pPr>
        <w:tabs>
          <w:tab w:val="left" w:pos="720"/>
        </w:tabs>
        <w:spacing w:before="240"/>
        <w:ind w:left="1416" w:right="565"/>
        <w:jc w:val="both"/>
        <w:rPr>
          <w:rFonts w:ascii="ITC Avant Garde" w:eastAsia="Times New Roman" w:hAnsi="ITC Avant Garde" w:cs="Arial"/>
          <w:sz w:val="18"/>
          <w:szCs w:val="18"/>
          <w:lang w:eastAsia="es-MX"/>
        </w:rPr>
      </w:pPr>
      <w:r w:rsidRPr="00654D1D">
        <w:rPr>
          <w:rFonts w:ascii="ITC Avant Garde" w:eastAsia="Times New Roman" w:hAnsi="ITC Avant Garde" w:cs="Arial"/>
          <w:b/>
          <w:sz w:val="18"/>
          <w:szCs w:val="18"/>
          <w:lang w:eastAsia="es-MX"/>
        </w:rPr>
        <w:t>II.</w:t>
      </w:r>
      <w:r w:rsidRPr="00654D1D">
        <w:rPr>
          <w:rFonts w:ascii="ITC Avant Garde" w:eastAsia="Times New Roman" w:hAnsi="ITC Avant Garde" w:cs="Arial"/>
          <w:sz w:val="18"/>
          <w:szCs w:val="18"/>
          <w:lang w:eastAsia="es-MX"/>
        </w:rPr>
        <w:tab/>
        <w:t>Dar un trato no discriminatorio a los concesionarios, y</w:t>
      </w:r>
    </w:p>
    <w:p w14:paraId="1869F849" w14:textId="77777777" w:rsidR="00654D1D" w:rsidRPr="00654D1D" w:rsidRDefault="003E526D" w:rsidP="00654D1D">
      <w:pPr>
        <w:tabs>
          <w:tab w:val="left" w:pos="720"/>
        </w:tabs>
        <w:spacing w:before="240"/>
        <w:ind w:left="1416" w:right="565"/>
        <w:jc w:val="both"/>
        <w:rPr>
          <w:rFonts w:ascii="ITC Avant Garde" w:eastAsia="Times New Roman" w:hAnsi="ITC Avant Garde" w:cs="Arial"/>
          <w:sz w:val="18"/>
          <w:szCs w:val="18"/>
          <w:lang w:eastAsia="es-MX"/>
        </w:rPr>
      </w:pPr>
      <w:r w:rsidRPr="00654D1D">
        <w:rPr>
          <w:rFonts w:ascii="ITC Avant Garde" w:eastAsia="Times New Roman" w:hAnsi="ITC Avant Garde" w:cs="Arial"/>
          <w:b/>
          <w:sz w:val="18"/>
          <w:szCs w:val="18"/>
          <w:lang w:eastAsia="es-MX"/>
        </w:rPr>
        <w:t>III.</w:t>
      </w:r>
      <w:r w:rsidRPr="00654D1D">
        <w:rPr>
          <w:rFonts w:ascii="ITC Avant Garde" w:eastAsia="Times New Roman" w:hAnsi="ITC Avant Garde" w:cs="Arial"/>
          <w:sz w:val="18"/>
          <w:szCs w:val="18"/>
          <w:lang w:eastAsia="es-MX"/>
        </w:rPr>
        <w:tab/>
        <w:t>Fomentar una sana competencia entre concesionarios.’</w:t>
      </w:r>
    </w:p>
    <w:p w14:paraId="6418F960"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51761C56"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 xml:space="preserve">Según se desprende de los preceptos arriba citados, el desarrollo eficiente de las telecomunicaciones y el fomento de una sana competencia entre los prestadores de servicios de telecomunicaciones, son dos principios esenciales, entre otros, que deben regir el actuar administrativo de la Comisión. </w:t>
      </w:r>
    </w:p>
    <w:p w14:paraId="52751593"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 xml:space="preserve">Como se desprende de los artículos 7 fracciones II y III, 9-A fracción I y 41 de la LFT, así como de la fracción II, del artículo 9 del Reglamento Interior de la Comisión, esta última está obligada a promover el desarrollo eficiente de las telecomunicaciones fomentando una sana competencia entre los prestadores de servicios de telecomunicaciones, para que dichos servicios se presten con mejores precios, diversidad y calidad en beneficio de todos los que los usamos. La Comisión debe, como órgano regulador técnico, en términos de la fracción II del artículo 7° citado, promover y vigilar la eficiente interconexión de los diferentes equipos y redes de telecomunicación y para tal efecto puede, en términos de la fracción III del precepto citado, expedir las disposiciones administrativas para cumplir tal encomienda, ya sea vía acto administrativo de carácter particular o general, en términos del artículo 4° de la LFPA.  </w:t>
      </w:r>
    </w:p>
    <w:p w14:paraId="7FE67B8D"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 xml:space="preserve">Adicionalmente, la Regla Novena Transitoria de las </w:t>
      </w:r>
      <w:proofErr w:type="spellStart"/>
      <w:r w:rsidRPr="00654D1D">
        <w:rPr>
          <w:rFonts w:ascii="ITC Avant Garde" w:eastAsia="Times New Roman" w:hAnsi="ITC Avant Garde" w:cs="Arial"/>
          <w:sz w:val="18"/>
          <w:szCs w:val="18"/>
          <w:lang w:val="es-ES" w:eastAsia="es-MX"/>
        </w:rPr>
        <w:t>RdSL</w:t>
      </w:r>
      <w:proofErr w:type="spellEnd"/>
      <w:r w:rsidRPr="00654D1D">
        <w:rPr>
          <w:rFonts w:ascii="ITC Avant Garde" w:eastAsia="Times New Roman" w:hAnsi="ITC Avant Garde" w:cs="Arial"/>
          <w:sz w:val="18"/>
          <w:szCs w:val="18"/>
          <w:lang w:val="es-ES" w:eastAsia="es-MX"/>
        </w:rPr>
        <w:t>, prevé lo siguiente:</w:t>
      </w:r>
    </w:p>
    <w:p w14:paraId="605FC0A7" w14:textId="77777777" w:rsidR="00654D1D" w:rsidRPr="00654D1D" w:rsidRDefault="003E526D" w:rsidP="00654D1D">
      <w:pPr>
        <w:spacing w:before="240"/>
        <w:ind w:left="1080" w:right="565"/>
        <w:jc w:val="both"/>
        <w:rPr>
          <w:rFonts w:ascii="ITC Avant Garde" w:eastAsia="Times New Roman" w:hAnsi="ITC Avant Garde" w:cs="Arial"/>
          <w:sz w:val="18"/>
          <w:szCs w:val="18"/>
          <w:lang w:eastAsia="es-MX"/>
        </w:rPr>
      </w:pPr>
      <w:r w:rsidRPr="00654D1D">
        <w:rPr>
          <w:rFonts w:ascii="ITC Avant Garde" w:eastAsia="Times New Roman" w:hAnsi="ITC Avant Garde" w:cs="Arial"/>
          <w:b/>
          <w:sz w:val="18"/>
          <w:szCs w:val="18"/>
          <w:lang w:eastAsia="es-MX"/>
        </w:rPr>
        <w:t>“NOVENA</w:t>
      </w:r>
      <w:r w:rsidRPr="00654D1D">
        <w:rPr>
          <w:rFonts w:ascii="ITC Avant Garde" w:eastAsia="Times New Roman" w:hAnsi="ITC Avant Garde" w:cs="Arial"/>
          <w:sz w:val="18"/>
          <w:szCs w:val="18"/>
          <w:lang w:eastAsia="es-MX"/>
        </w:rPr>
        <w:t>. En caso de que las partes no logren acordar dentro del término establecido por la Ley las condiciones de interconexión entre sus redes, incluyendo aquellas relativas a las tarifas por las diferentes funciones de interconexión que han sido establecidas por las presentes Reglas, la Comisión resolverá las condiciones que no hayan podido convenirse.</w:t>
      </w:r>
    </w:p>
    <w:p w14:paraId="38435105" w14:textId="77777777" w:rsidR="00654D1D" w:rsidRPr="00654D1D" w:rsidRDefault="003E526D" w:rsidP="00654D1D">
      <w:pPr>
        <w:spacing w:before="240"/>
        <w:ind w:left="1080" w:right="565"/>
        <w:jc w:val="both"/>
        <w:rPr>
          <w:rFonts w:ascii="ITC Avant Garde" w:eastAsia="Times New Roman" w:hAnsi="ITC Avant Garde" w:cs="Arial"/>
          <w:sz w:val="18"/>
          <w:szCs w:val="18"/>
          <w:lang w:eastAsia="es-MX"/>
        </w:rPr>
      </w:pPr>
      <w:r w:rsidRPr="00654D1D">
        <w:rPr>
          <w:rFonts w:ascii="ITC Avant Garde" w:eastAsia="Times New Roman" w:hAnsi="ITC Avant Garde" w:cs="Arial"/>
          <w:sz w:val="18"/>
          <w:szCs w:val="18"/>
          <w:lang w:eastAsia="es-MX"/>
        </w:rPr>
        <w:t xml:space="preserve">En tal caso y tratándose de tarifas por llevar a cabo la función de terminación conmutada entre redes autorizadas para prestar el servicio local fijo,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bases internacionalmente reconocidas, de tal forma que se promueva una sana competencia </w:t>
      </w:r>
      <w:r w:rsidRPr="00654D1D">
        <w:rPr>
          <w:rFonts w:ascii="ITC Avant Garde" w:eastAsia="Times New Roman" w:hAnsi="ITC Avant Garde" w:cs="Arial"/>
          <w:sz w:val="18"/>
          <w:szCs w:val="18"/>
          <w:lang w:eastAsia="es-MX"/>
        </w:rPr>
        <w:lastRenderedPageBreak/>
        <w:t>entre los prestadores del servicio local, a efecto de que éste se preste con mejores precios, diversidad y calidad en beneficio de los usuarios.”</w:t>
      </w:r>
    </w:p>
    <w:p w14:paraId="43E6FC05"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De igual forma, la Regla 53 de las RSLD, dispone que:</w:t>
      </w:r>
    </w:p>
    <w:p w14:paraId="50F5070A" w14:textId="77777777" w:rsidR="00654D1D" w:rsidRPr="00654D1D" w:rsidRDefault="003E526D" w:rsidP="00654D1D">
      <w:pPr>
        <w:spacing w:before="240"/>
        <w:ind w:left="1080" w:right="565"/>
        <w:jc w:val="both"/>
        <w:rPr>
          <w:rFonts w:ascii="ITC Avant Garde" w:eastAsia="Times New Roman" w:hAnsi="ITC Avant Garde" w:cs="Arial"/>
          <w:sz w:val="18"/>
          <w:szCs w:val="18"/>
          <w:lang w:eastAsia="es-MX"/>
        </w:rPr>
      </w:pPr>
      <w:r w:rsidRPr="00654D1D">
        <w:rPr>
          <w:rFonts w:ascii="ITC Avant Garde" w:eastAsia="Times New Roman" w:hAnsi="ITC Avant Garde" w:cs="Arial"/>
          <w:b/>
          <w:sz w:val="18"/>
          <w:szCs w:val="18"/>
          <w:lang w:eastAsia="es-MX"/>
        </w:rPr>
        <w:t>“Regla 53.</w:t>
      </w:r>
      <w:r w:rsidRPr="00654D1D">
        <w:rPr>
          <w:rFonts w:ascii="ITC Avant Garde" w:eastAsia="Times New Roman" w:hAnsi="ITC Avant Garde" w:cs="Arial"/>
          <w:sz w:val="18"/>
          <w:szCs w:val="18"/>
          <w:lang w:eastAsia="es-MX"/>
        </w:rPr>
        <w:t xml:space="preserve"> En caso de que las partes no logren acordar dentro del término establecido por la Ley las condiciones de interconexión entre sus redes, incluyendo aquellas relativas a las tarifas por las diferentes funciones de interconexión que sean necesarias para la implantación de la modalidad “El que llama paga nacional”, la Comisión resolverá en términos del artículo 42 de la Ley las condiciones que no hayan podido convenirse.</w:t>
      </w:r>
    </w:p>
    <w:p w14:paraId="3EE53578" w14:textId="77777777" w:rsidR="00654D1D" w:rsidRPr="00654D1D" w:rsidRDefault="003E526D" w:rsidP="00654D1D">
      <w:pPr>
        <w:spacing w:before="240"/>
        <w:ind w:left="1080"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En tal caso y tratándose de tarifas relacionadas a la función de terminación de tráfico público conmutado en las redes autorizadas para prestar el servicio local móvil,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una metodología de costeo de redes de acuerdo a bases internacionalmente reconocidas, la evolución de las referencias internacionales y el crecimiento y desarrollo de los mercados de telecomunicaciones en el país, de tal forma que se promueva una sana competencia entre los prestadores de servicios de telecomunicaciones, a efecto de que éstos se presten con mejores precios, diversidad y calidad en beneficio de los usuarios.”</w:t>
      </w:r>
    </w:p>
    <w:p w14:paraId="2B0CB445"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 xml:space="preserve">Al amparo de la Regla Novena Transitoria de las </w:t>
      </w:r>
      <w:proofErr w:type="spellStart"/>
      <w:r w:rsidRPr="00654D1D">
        <w:rPr>
          <w:rFonts w:ascii="ITC Avant Garde" w:eastAsia="Times New Roman" w:hAnsi="ITC Avant Garde" w:cs="Arial"/>
          <w:sz w:val="18"/>
          <w:szCs w:val="18"/>
          <w:lang w:val="es-ES" w:eastAsia="es-MX"/>
        </w:rPr>
        <w:t>RdSL</w:t>
      </w:r>
      <w:proofErr w:type="spellEnd"/>
      <w:r w:rsidRPr="00654D1D">
        <w:rPr>
          <w:rFonts w:ascii="ITC Avant Garde" w:eastAsia="Times New Roman" w:hAnsi="ITC Avant Garde" w:cs="Arial"/>
          <w:sz w:val="18"/>
          <w:szCs w:val="18"/>
          <w:lang w:val="es-ES" w:eastAsia="es-MX"/>
        </w:rPr>
        <w:t xml:space="preserve"> y la Regla 53 de las RSLD, esta Comisión a efecto de determinar la tarifa de interconexión aplicable a partir del 1° de enero de 2011, que no pudieron convenir los solicitantes y Grupo Telefónica, deberá considerar los costos incrementales de largo plazo más los costos comunes utilizando una metodología que esté reconocida internacionalmente.</w:t>
      </w:r>
    </w:p>
    <w:p w14:paraId="4B60228E" w14:textId="7A410293" w:rsidR="003E526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Sin perjuicio de que las autoridades administrativas deben resolver conforme a estricto derecho, el artículo 88 del CFPC, de aplicación supletoria, establece que la autoridad podrá invocar hechos notorios.</w:t>
      </w:r>
    </w:p>
    <w:p w14:paraId="5A7A3DE8"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Es un hecho notorio respecto a la industria de las telecomunicaciones que en las situaciones en donde la competencia es ineficaz, los precios basados en costos son considerados como recomendables para alcanzar los objetivos de eficiencia y desarrollo del mercado</w:t>
      </w:r>
      <w:r w:rsidRPr="00654D1D">
        <w:rPr>
          <w:rFonts w:ascii="ITC Avant Garde" w:eastAsia="Times New Roman" w:hAnsi="ITC Avant Garde" w:cs="Arial"/>
          <w:b/>
          <w:sz w:val="18"/>
          <w:szCs w:val="18"/>
          <w:u w:val="single"/>
          <w:lang w:val="es-ES" w:eastAsia="es-MX"/>
        </w:rPr>
        <w:t>. El enfoque de tarifas basadas en costos ha sido reconocido por la Organización Mundial de Comercio (en lo sucesivo, la “OMC”), para el caso de proveedores principales, por el Banco Mundial y por la Unión Internacional de Telecomunicaciones como el método más eficiente desde el punto de vista económico para fijar las tarifas de interconexión y, conjuntamente con la no discriminación y la transparencia como los principios básicos que deben regir en cualquier acuerdo de interconexión.</w:t>
      </w:r>
    </w:p>
    <w:p w14:paraId="57FA4BC3"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 xml:space="preserve">Es importante señalar que las tarifas de interconexión por encima de costos constituyen una barrera de entrada a nuevas empresas como consecuencia del alto precio de la interconexión. Esto se debe a que una tarifa de interconexión superior a costos impacta desproporcionalmente los costos de operadores con redes de menor tamaño, como las redes de los operadores entrantes. El porcentaje de participación de llamadas fuera de la red de un operador pequeño es mayor que la de un operador grande, lo que hace que los </w:t>
      </w:r>
      <w:r w:rsidRPr="00654D1D">
        <w:rPr>
          <w:rFonts w:ascii="ITC Avant Garde" w:eastAsia="Times New Roman" w:hAnsi="ITC Avant Garde" w:cs="Arial"/>
          <w:sz w:val="18"/>
          <w:szCs w:val="18"/>
          <w:lang w:val="es-ES" w:eastAsia="es-MX"/>
        </w:rPr>
        <w:lastRenderedPageBreak/>
        <w:t xml:space="preserve">costos promedios que enfrenta el operador pequeño sean mayores para proveer servicios a sus clientes, pues estos hacen un mayor número de llamadas fuera de la red y por ende hacen un mayor uso de los servicios de interconexión de otros operadores. Así, las tarifas de interconexión por encima de costos incrementan los costos promedio que enfrentan los operadores nuevos y de menor tamaño, que empiezan a ampliar su base de usuarios. Si las tarifas de interconexión están basadas en costos, no existe este efecto diferenciado sobre redes grandes y pequeñas. </w:t>
      </w:r>
    </w:p>
    <w:p w14:paraId="0ADF87CD"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En el caso de las redes fijas de los Solicitantes, el que le sean aplicadas tarifas de interconexión superiores a costos, inducirá a que sus usuarios sustituyan sus servicios por los ofrecidos por los operadores móviles, ya que los usuarios buscarán evitar las elevadas tarifas que resultan como consecuencia de las altas tarifas de interconexión. Ello provocará que en lugar de que sea la competencia la que induzca la sustitución entre operadores sean las altas tarifas de interconexión la que lo determinen. Cada operador de servicios es el único que, técnicamente, tiene la capacidad para completar una llamada dirigida a uno de sus abonados, razón por la cual tendría incentivos para elevar las tarifas de interconexión que cobra a otros.</w:t>
      </w:r>
    </w:p>
    <w:p w14:paraId="32C633D1"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 xml:space="preserve">Bajo la modalidad “el que llama paga” en la terminación de llamadas fijo-móvil, una tarifa de interconexión elevada es transferida totalmente a la tarifa final que pagan los usuarios de la red fija. Por otra parte, la mayor parte de los usuarios móviles son poco sensibles al precio que asumen las personas que las llaman desde la red fija. Por tanto, un operador de servicios móviles no enfrenta una presión por reducir la tarifa que cobra a los operadores de servicios fijos por la terminación de llamadas en su red. Esta situación podría mantenerse en el largo plazo debido a que los usuarios móviles, al presentar poca sensibilidad ante estas tarifas altas, no percibirán la necesidad de cambiar su afiliación a otra empresa. </w:t>
      </w:r>
    </w:p>
    <w:p w14:paraId="43D4BDCB"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Por el otro lado, el operador de servicios móviles se beneficia de fijar una elevada tarifa por la terminación de llamadas en su red, ya que de esa forma eleva los costos del operador de servicios fijos, reduciendo así su capacidad de competir en el mercado. Es decir, los operadores móviles al fijar elevadas tarifas de interconexión promueven que los usuarios de las redes de servicios fijos prefieran unirse a las redes de servicios móviles para buscar evitar pagar la elevada tarifa de interconexión. Por lo tanto, los operadores móviles no tendrán incentivos para modificar en el largo plazo su comportamiento, dado que no experimentarán el peligro de perder a sus clientes.</w:t>
      </w:r>
    </w:p>
    <w:p w14:paraId="3A9F42AF"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En adición a lo anterior, el hecho de que sean los operadores móviles quienes determinen, con la fijación de las tarifas de interconexión, el precio que habrán de pagar los usuarios del servicio fijo por la terminación de sus llamadas en redes móviles, produce ciertas distorsiones en la naturaleza de la relación contractual existente en las llamadas fijo - móvil. Esto se evidencia en que los operadores móviles no tienen una relación directa con quien paga la llamada, ya que no se trata de uno de sus usuarios, sino de un cliente del operador fijo, con quien compite en la prestación del servicio de telefonía local, siendo fija para uno y móvil para el otro. Por este motivo, dicho esquema no propicia la competencia entre los operadores móviles por fijar una menor tarifa de terminación de llamadas a los operadores de servicios fijos.</w:t>
      </w:r>
    </w:p>
    <w:p w14:paraId="1A8CD3B9"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 xml:space="preserve">El problema descrito en los párrafos anteriores ha motivado a los organismos reguladores del Reino Unido, Italia, Francia, Holanda y Portugal a intervenir en los mercados de </w:t>
      </w:r>
      <w:r w:rsidRPr="00654D1D">
        <w:rPr>
          <w:rFonts w:ascii="ITC Avant Garde" w:eastAsia="Times New Roman" w:hAnsi="ITC Avant Garde" w:cs="Arial"/>
          <w:sz w:val="18"/>
          <w:szCs w:val="18"/>
          <w:lang w:val="es-ES" w:eastAsia="es-MX"/>
        </w:rPr>
        <w:lastRenderedPageBreak/>
        <w:t xml:space="preserve">terminación de llamadas en las redes móviles e introducir diversos esquemas de regulación de precios. </w:t>
      </w:r>
    </w:p>
    <w:p w14:paraId="3636F23F"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Los operadores móviles tienen incentivos para utilizar recursos provenientes de las llamadas fijo - móvil para financiar sus prácticas de competencia en la búsqueda de nuevos usuarios. Ello se hace más evidente cuando los operadores móviles son los únicos que tienen la capacidad de terminar las llamadas fijo - móvil en su red pública de telecomunicaciones, lo cual se debe en parte a la poca sensibilidad de los usuarios de las redes móviles al precio final de tales llamadas, y a la distorsión que se produce cuando los operadores móviles determinan tarifas que serán asumidas por clientes de la red fija que no son usuarios y que no pueden elegir a la empresa que brindará el servicio.</w:t>
      </w:r>
    </w:p>
    <w:p w14:paraId="4B6022A0" w14:textId="27A313AF" w:rsidR="003E526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Las resoluciones de tarifas de interconexión orientadas a costos eliminan las distorsiones tarifarias en el mercado de servicios móviles, y permite:</w:t>
      </w:r>
    </w:p>
    <w:p w14:paraId="4B6022A1" w14:textId="77777777" w:rsidR="003E526D" w:rsidRPr="00654D1D" w:rsidRDefault="003E526D" w:rsidP="00654D1D">
      <w:pPr>
        <w:numPr>
          <w:ilvl w:val="0"/>
          <w:numId w:val="33"/>
        </w:numPr>
        <w:tabs>
          <w:tab w:val="num" w:pos="1560"/>
        </w:tabs>
        <w:spacing w:before="240"/>
        <w:ind w:left="1985" w:right="565" w:hanging="567"/>
        <w:jc w:val="both"/>
        <w:rPr>
          <w:rFonts w:ascii="ITC Avant Garde" w:eastAsia="Batang" w:hAnsi="ITC Avant Garde" w:cs="Arial"/>
          <w:iCs/>
          <w:sz w:val="18"/>
          <w:szCs w:val="18"/>
        </w:rPr>
      </w:pPr>
      <w:r w:rsidRPr="00654D1D">
        <w:rPr>
          <w:rFonts w:ascii="ITC Avant Garde" w:eastAsia="Batang" w:hAnsi="ITC Avant Garde" w:cs="Arial"/>
          <w:iCs/>
          <w:sz w:val="18"/>
          <w:szCs w:val="18"/>
        </w:rPr>
        <w:t>Manejar actuales condiciones de competencia, a través de una estructura de precios relativos finales más adecuada;</w:t>
      </w:r>
    </w:p>
    <w:p w14:paraId="70FA5604" w14:textId="77777777" w:rsidR="00654D1D" w:rsidRPr="00654D1D" w:rsidRDefault="003E526D" w:rsidP="00654D1D">
      <w:pPr>
        <w:numPr>
          <w:ilvl w:val="0"/>
          <w:numId w:val="33"/>
        </w:numPr>
        <w:tabs>
          <w:tab w:val="num" w:pos="1560"/>
        </w:tabs>
        <w:spacing w:before="240"/>
        <w:ind w:left="1985" w:right="565" w:hanging="567"/>
        <w:jc w:val="both"/>
        <w:rPr>
          <w:rFonts w:ascii="ITC Avant Garde" w:eastAsia="Batang" w:hAnsi="ITC Avant Garde" w:cs="Arial"/>
          <w:iCs/>
          <w:sz w:val="18"/>
          <w:szCs w:val="18"/>
        </w:rPr>
      </w:pPr>
      <w:r w:rsidRPr="00654D1D">
        <w:rPr>
          <w:rFonts w:ascii="ITC Avant Garde" w:eastAsia="Batang" w:hAnsi="ITC Avant Garde" w:cs="Arial"/>
          <w:iCs/>
          <w:sz w:val="18"/>
          <w:szCs w:val="18"/>
        </w:rPr>
        <w:t>Reduce costos de llamadas originadas en redes fijas.</w:t>
      </w:r>
    </w:p>
    <w:p w14:paraId="21BBB218"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 xml:space="preserve">De todo lo analizado con anterioridad, se determina que del marco jurídico Mexicano, encontrando como primer fundamento lo establecido en el artículo 7 de la LFT, contempla que las tarifas de interconexión deben determinarse de manera indubitable conforme a costos, debiéndose desarrollar para tal efecto un </w:t>
      </w:r>
      <w:r w:rsidRPr="00654D1D">
        <w:rPr>
          <w:rFonts w:ascii="ITC Avant Garde" w:eastAsia="Times New Roman" w:hAnsi="ITC Avant Garde" w:cs="Arial"/>
          <w:b/>
          <w:sz w:val="18"/>
          <w:szCs w:val="18"/>
          <w:u w:val="single"/>
          <w:lang w:val="es-ES" w:eastAsia="es-MX"/>
        </w:rPr>
        <w:t>modelo de costos</w:t>
      </w:r>
      <w:r w:rsidRPr="00654D1D">
        <w:rPr>
          <w:rFonts w:ascii="ITC Avant Garde" w:eastAsia="Times New Roman" w:hAnsi="ITC Avant Garde" w:cs="Arial"/>
          <w:sz w:val="18"/>
          <w:szCs w:val="18"/>
          <w:lang w:val="es-ES" w:eastAsia="es-MX"/>
        </w:rPr>
        <w:t xml:space="preserve"> que permita fijar de manera clara y precisa la forma en cómo habrán de ser determinadas las tarifas, </w:t>
      </w:r>
      <w:r w:rsidRPr="00654D1D">
        <w:rPr>
          <w:rFonts w:ascii="ITC Avant Garde" w:eastAsia="Times New Roman" w:hAnsi="ITC Avant Garde" w:cs="Arial"/>
          <w:b/>
          <w:sz w:val="18"/>
          <w:szCs w:val="18"/>
          <w:u w:val="single"/>
          <w:lang w:val="es-ES" w:eastAsia="es-MX"/>
        </w:rPr>
        <w:t>teniendo la Comisión plena libertad para desarrollar dicho modelo, con fundamento en el artículo 42 de la LFT</w:t>
      </w:r>
      <w:r w:rsidRPr="00654D1D">
        <w:rPr>
          <w:rFonts w:ascii="ITC Avant Garde" w:eastAsia="Times New Roman" w:hAnsi="ITC Avant Garde" w:cs="Arial"/>
          <w:sz w:val="18"/>
          <w:szCs w:val="18"/>
          <w:lang w:val="es-ES" w:eastAsia="es-MX"/>
        </w:rPr>
        <w:t>.</w:t>
      </w:r>
    </w:p>
    <w:p w14:paraId="3A2A35A7"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w:t>
      </w:r>
    </w:p>
    <w:p w14:paraId="75D4B07E"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 xml:space="preserve">Cabe hacer mención que, con fundamento en los artículos 42, 60 y 63 de la LFT, únicamente podían ser materia del procedimiento administrativo en que se actúa, las condiciones de interconexión no convenidas entre las partes, tal y como sucede con las tarifas de interconexión, más no lo podían ser la determinación de las tarifas aplicables por cualquiera de ellas al público en general por estar vigente al respecto el principio de libertad tarifaria, que solo admite las excepciones expresamente previstas en Ley. </w:t>
      </w:r>
    </w:p>
    <w:p w14:paraId="080A8730"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 xml:space="preserve">De tal suerte, que esta Comisión procede a determinar la tarifa de interconexión del año 2011 conforme a costos, por lo que en cumplimiento a lo establecido en el artículo 7 de la LFT, se considera que </w:t>
      </w:r>
      <w:r w:rsidRPr="00654D1D">
        <w:rPr>
          <w:rFonts w:ascii="ITC Avant Garde" w:eastAsia="Times New Roman" w:hAnsi="ITC Avant Garde" w:cs="Arial"/>
          <w:b/>
          <w:sz w:val="18"/>
          <w:szCs w:val="18"/>
          <w:u w:val="single"/>
          <w:lang w:val="es-ES" w:eastAsia="es-MX"/>
        </w:rPr>
        <w:t>la manera más eficiente económicamente de determinar las tarifas de interconexión, lo constituye la aplicación de un Modelo de Costos Incrementales Totales de Largo Plazo (en lo sucesivo, el “Modelo CITLP”)</w:t>
      </w:r>
      <w:r w:rsidRPr="00654D1D">
        <w:rPr>
          <w:rFonts w:ascii="ITC Avant Garde" w:eastAsia="Times New Roman" w:hAnsi="ITC Avant Garde" w:cs="Arial"/>
          <w:sz w:val="18"/>
          <w:szCs w:val="18"/>
          <w:lang w:val="es-ES" w:eastAsia="es-MX"/>
        </w:rPr>
        <w:t xml:space="preserve"> y en el mismo, los costos utilizados deben ser aquellos derivados de una empresa eficiente como se describe a continuación. </w:t>
      </w:r>
    </w:p>
    <w:p w14:paraId="354A6902"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 xml:space="preserve">De contar con un modelo de costos para la determinación de las tarifas de interconexión, esta Comisión estará en condiciones de ejercer las facultades correspondientes a la resolución de las condiciones de interconexión no convenidas entre los concesionarios, que permitan alcanzar los objetivos plasmados en la LFT, en particular lo establecido en su artículo 7 de fomentar una sana competencia entre los diferentes prestadores de servicios </w:t>
      </w:r>
      <w:r w:rsidRPr="00654D1D">
        <w:rPr>
          <w:rFonts w:ascii="ITC Avant Garde" w:eastAsia="Times New Roman" w:hAnsi="ITC Avant Garde" w:cs="Arial"/>
          <w:sz w:val="18"/>
          <w:szCs w:val="18"/>
          <w:lang w:val="es-ES" w:eastAsia="es-MX"/>
        </w:rPr>
        <w:lastRenderedPageBreak/>
        <w:t>de telecomunicaciones a fin de que éstos se presten con mejores precios, diversidad y calidad en beneficio de los usuarios, y promover una adecuada cobertura social.</w:t>
      </w:r>
    </w:p>
    <w:p w14:paraId="7D656F0A"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Con relación a las tarifas de interconexión de 2012 y 2013, es necesario que la Comisión tome en cuenta las mejores prácticas internacionales en la construcción de modelos de costos, en el sentido de que dichos modelos deberán incorporar la mejor información disponible para el periodo en cuestión, lo cual implica el seguimiento de diferentes fases que van desde la recopilación de la información para la elección de la mejor tecnología disponible en ese momento, la construcción del propio modelo de costos que incluya los elementos de red, la topología de las redes, los precios de los activos, los pronósticos de los volúmenes, el costo de capital, entre otros. Además de que es necesaria la calibración de los resultados obtenidos con base en información contable.</w:t>
      </w:r>
    </w:p>
    <w:p w14:paraId="3CCB9C79"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 xml:space="preserve">En esta tesitura, se otorgará certidumbre jurídica y financiera a los concesionarios de redes públicas de telecomunicaciones, ya que éstos en la medida que cuenten con el precio de un insumo esencial como lo es la tarifa de interconexión, podrán desarrollar ofertas comerciales y planes tarifarios que beneficien al usuario final. </w:t>
      </w:r>
    </w:p>
    <w:p w14:paraId="7F2E407F"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La aplicación del modelo de costos que se implemente para los años 2012 y 2013 permitirá a esta Comisión la determinación de las tarifas de interconexión en base a metodologías y cálculos económicos conocidos por los diversos operadores de telecomunicaciones y aplicables a los años de referencia, con lo cual se promoverá una mayor eficiencia en la interconexión de redes públicas de telecomunicaciones, ya que se establecerán tarifas competitivas que repercutan en un mayor bienestar social, en concordancia con el artículo 7 de la LFT.</w:t>
      </w:r>
    </w:p>
    <w:p w14:paraId="057C6F6B"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En consecuencia, el Pleno de la Comisión estima conveniente que las tarifas de interconexión solicitadas de 2012 y 2013, se determinen una vez que se cuente con el modelo de costos construido conforme a las mejores prácticas internaciones y en consistencia con el marco jurídico mexicano, de tal suerte que la estimación de las tarifas de interconexión en los términos antes expresados, en el futuro mediato permitirá el desarrollo eficiente de las telecomunicaciones y una sana competencia entre los concesionarios de redes públicas de telecomunicaciones.</w:t>
      </w:r>
    </w:p>
    <w:p w14:paraId="354F640F"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En virtud de lo anterior, la Comisión deja a salvo los solicitantes para que, una vez que se cuente con el modelo de costos que permita calcular las tarifas de interconexión de los años 2012 y 2013, conforme lo dispuesto en el artículo 42 de la LFT soliciten la intervención de esta Comisión para que sean determinadas las tarifas de interconexión correspondientes.</w:t>
      </w:r>
    </w:p>
    <w:p w14:paraId="2A052E75" w14:textId="11CB0A1B" w:rsidR="00654D1D" w:rsidRPr="00654D1D" w:rsidRDefault="003E526D" w:rsidP="00654D1D">
      <w:pPr>
        <w:spacing w:before="240"/>
        <w:ind w:left="567" w:right="565"/>
        <w:jc w:val="center"/>
        <w:rPr>
          <w:rFonts w:ascii="ITC Avant Garde" w:eastAsia="Times New Roman" w:hAnsi="ITC Avant Garde" w:cs="Arial"/>
          <w:b/>
          <w:sz w:val="18"/>
          <w:szCs w:val="18"/>
          <w:lang w:val="es-ES" w:eastAsia="es-MX"/>
        </w:rPr>
      </w:pPr>
      <w:r w:rsidRPr="00654D1D">
        <w:rPr>
          <w:rFonts w:ascii="ITC Avant Garde" w:eastAsia="Times New Roman" w:hAnsi="ITC Avant Garde" w:cs="Arial"/>
          <w:b/>
          <w:sz w:val="18"/>
          <w:szCs w:val="18"/>
          <w:lang w:val="es-ES" w:eastAsia="es-MX"/>
        </w:rPr>
        <w:t>Modelo de Costos Incrementales Totales de Largo Plazo.</w:t>
      </w:r>
    </w:p>
    <w:p w14:paraId="4B6022BC" w14:textId="532E15BF" w:rsidR="003E526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La aplicación del Modelo CITLP para la determinación de tarifas de interconexión permite a la empresa recuperar no sólo los costos variables y fijos atribuibles al servicio de interconexión sino también las inversiones requeridas para la prestación de este servicio. Adicionalmente, el CITLP incluye un margen para recuperar parte de los costos comunes a los demás de servicios prestados por la organización que no pueden ser atribuidos de manera causal al servicio de interconexión.</w:t>
      </w:r>
    </w:p>
    <w:p w14:paraId="4B6022BD" w14:textId="77777777" w:rsidR="003E526D" w:rsidRPr="00654D1D" w:rsidRDefault="003E526D" w:rsidP="00654D1D">
      <w:pPr>
        <w:tabs>
          <w:tab w:val="left" w:pos="2658"/>
        </w:tabs>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ab/>
      </w:r>
    </w:p>
    <w:p w14:paraId="19BCA4E5"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lastRenderedPageBreak/>
        <w:t xml:space="preserve">El CITLP es una metodología reconocida a nivel internacional para el cálculo de tarifas de interconexión y ha sido adoptada por la mayoría de los órganos reguladores. Las tarifas que resultan de esta metodología se consideran adecuadas ya que permiten a la empresa la recuperación eficiente de sus costos y al mismo tiempo envían las señales correctas al mercado en relación a la utilización de los recursos e inversiones necesarias para la provisión del servicio. </w:t>
      </w:r>
    </w:p>
    <w:p w14:paraId="4B6022C0" w14:textId="23D411D4" w:rsidR="003E526D" w:rsidRPr="00654D1D" w:rsidDel="00EE4630"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Entre las ventajas de este enfoque se encuentran:</w:t>
      </w:r>
    </w:p>
    <w:p w14:paraId="4B6022C1" w14:textId="77777777" w:rsidR="003E526D" w:rsidRPr="00654D1D" w:rsidRDefault="003E526D" w:rsidP="00654D1D">
      <w:pPr>
        <w:numPr>
          <w:ilvl w:val="0"/>
          <w:numId w:val="32"/>
        </w:numPr>
        <w:spacing w:before="240"/>
        <w:ind w:right="565"/>
        <w:jc w:val="both"/>
        <w:rPr>
          <w:rFonts w:ascii="ITC Avant Garde" w:hAnsi="ITC Avant Garde" w:cs="Arial"/>
          <w:sz w:val="18"/>
          <w:szCs w:val="18"/>
        </w:rPr>
      </w:pPr>
      <w:r w:rsidRPr="00654D1D">
        <w:rPr>
          <w:rFonts w:ascii="ITC Avant Garde" w:hAnsi="ITC Avant Garde" w:cs="Arial"/>
          <w:sz w:val="18"/>
          <w:szCs w:val="18"/>
        </w:rPr>
        <w:t>El CITLP permite que los operadores recuperen sólo aquellos costos que son causados por el servicio de interconexión en cuestión.</w:t>
      </w:r>
    </w:p>
    <w:p w14:paraId="4B6022C2" w14:textId="77777777" w:rsidR="003E526D" w:rsidRPr="00654D1D" w:rsidRDefault="003E526D" w:rsidP="00654D1D">
      <w:pPr>
        <w:numPr>
          <w:ilvl w:val="0"/>
          <w:numId w:val="32"/>
        </w:numPr>
        <w:spacing w:before="240"/>
        <w:ind w:right="565"/>
        <w:jc w:val="both"/>
        <w:rPr>
          <w:rFonts w:ascii="ITC Avant Garde" w:hAnsi="ITC Avant Garde" w:cs="Arial"/>
          <w:sz w:val="18"/>
          <w:szCs w:val="18"/>
        </w:rPr>
      </w:pPr>
      <w:r w:rsidRPr="00654D1D">
        <w:rPr>
          <w:rFonts w:ascii="ITC Avant Garde" w:hAnsi="ITC Avant Garde" w:cs="Arial"/>
          <w:sz w:val="18"/>
          <w:szCs w:val="18"/>
        </w:rPr>
        <w:t>Bajo este enfoque de largo plazo, todos los costos son variables, aun los costos de capital, lo que permite su asignación a diferentes servicios o productos.</w:t>
      </w:r>
    </w:p>
    <w:p w14:paraId="4DEF33AD" w14:textId="77777777" w:rsidR="00654D1D" w:rsidRPr="00654D1D" w:rsidRDefault="003E526D" w:rsidP="00654D1D">
      <w:pPr>
        <w:numPr>
          <w:ilvl w:val="0"/>
          <w:numId w:val="32"/>
        </w:numPr>
        <w:spacing w:before="240"/>
        <w:ind w:right="565"/>
        <w:jc w:val="both"/>
        <w:rPr>
          <w:rFonts w:ascii="ITC Avant Garde" w:hAnsi="ITC Avant Garde" w:cs="Arial"/>
          <w:sz w:val="18"/>
          <w:szCs w:val="18"/>
        </w:rPr>
      </w:pPr>
      <w:r w:rsidRPr="00654D1D">
        <w:rPr>
          <w:rFonts w:ascii="ITC Avant Garde" w:hAnsi="ITC Avant Garde" w:cs="Arial"/>
          <w:sz w:val="18"/>
          <w:szCs w:val="18"/>
        </w:rPr>
        <w:t>Bajo el enfoque del CITLP, se promueve una sana competencia entre los diferentes operadores de servicios de telecomunicaciones, uno de los objetivos de la LFT.</w:t>
      </w:r>
    </w:p>
    <w:p w14:paraId="13A9417D" w14:textId="77777777" w:rsidR="00654D1D" w:rsidRPr="00654D1D" w:rsidRDefault="003E526D" w:rsidP="00654D1D">
      <w:pPr>
        <w:spacing w:before="240"/>
        <w:ind w:left="851" w:right="565"/>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 xml:space="preserve">Es preciso señalar que es conveniente que la tarifa de interconexión cubra los costos en que incurre un operador eficiente por terminar las llamadas, y a la vez incluya un retorno al capital razonable por prestar este servicio. De lo contrario se podría desincentivar la provisión de los servicios de interconexión. </w:t>
      </w:r>
      <w:r w:rsidRPr="00654D1D">
        <w:rPr>
          <w:rFonts w:ascii="ITC Avant Garde" w:eastAsia="Times New Roman" w:hAnsi="ITC Avant Garde" w:cs="Arial"/>
          <w:b/>
          <w:sz w:val="18"/>
          <w:szCs w:val="18"/>
          <w:u w:val="single"/>
          <w:lang w:val="es-ES" w:eastAsia="es-MX"/>
        </w:rPr>
        <w:t>Es importante que los costos recuperados sean los de un operador eficiente, pues en caso contrario, se permitiría que la ineficiencia del operador se traslade a otros operadores y en última instancia, a los usuarios</w:t>
      </w:r>
      <w:r w:rsidRPr="00654D1D">
        <w:rPr>
          <w:rFonts w:ascii="ITC Avant Garde" w:eastAsia="Times New Roman" w:hAnsi="ITC Avant Garde" w:cs="Arial"/>
          <w:sz w:val="18"/>
          <w:szCs w:val="18"/>
          <w:lang w:val="es-ES" w:eastAsia="es-MX"/>
        </w:rPr>
        <w:t>.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 [Énfasis añadido].</w:t>
      </w:r>
    </w:p>
    <w:p w14:paraId="02D1E085" w14:textId="77777777" w:rsidR="00654D1D" w:rsidRPr="00654D1D" w:rsidRDefault="003E526D" w:rsidP="00654D1D">
      <w:pPr>
        <w:spacing w:before="240"/>
        <w:ind w:left="36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De lo anterior se desprende que la extinta Comisión en la Resolución impugnada estableció que al amparo de la Regla Novena Transitoria de las </w:t>
      </w:r>
      <w:proofErr w:type="spellStart"/>
      <w:r w:rsidRPr="00654D1D">
        <w:rPr>
          <w:rFonts w:ascii="ITC Avant Garde" w:eastAsia="Times New Roman" w:hAnsi="ITC Avant Garde" w:cs="Arial"/>
          <w:lang w:val="es-ES" w:eastAsia="es-MX"/>
        </w:rPr>
        <w:t>RdSL</w:t>
      </w:r>
      <w:proofErr w:type="spellEnd"/>
      <w:r w:rsidRPr="00654D1D">
        <w:rPr>
          <w:rFonts w:ascii="ITC Avant Garde" w:eastAsia="Times New Roman" w:hAnsi="ITC Avant Garde" w:cs="Arial"/>
          <w:lang w:val="es-ES" w:eastAsia="es-MX"/>
        </w:rPr>
        <w:t xml:space="preserve"> y la Regla 53 de las RSLD, a efecto de determinar la tarifa de interconexión aplicable a partir del 1° de enero de 2011, que no pudieron convenir las partes, debía considerar los costos incrementales de largo plazo más los costos comunes utilizando una metodología que esté reconocida internacionalmente.</w:t>
      </w:r>
    </w:p>
    <w:p w14:paraId="199E3D32" w14:textId="77777777" w:rsidR="00654D1D" w:rsidRPr="00654D1D" w:rsidRDefault="003E526D" w:rsidP="00654D1D">
      <w:pPr>
        <w:spacing w:before="240"/>
        <w:ind w:left="36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En este sentido, la extinta Comisión previó que en cumplimiento a lo establecido en el artículo 7 de la LFT, consideró que la manera más eficiente económicamente de determinar las tarifas de interconexión, lo constituye la aplicación de un Modelo de Costos Incrementales Totales de Largo Plazo (en lo sucesivo, el “Modelo CITLP”), </w:t>
      </w:r>
    </w:p>
    <w:p w14:paraId="65D122AF" w14:textId="77777777" w:rsidR="00654D1D" w:rsidRPr="00654D1D" w:rsidRDefault="003E526D" w:rsidP="00654D1D">
      <w:pPr>
        <w:spacing w:before="240"/>
        <w:ind w:left="36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Asimismo, la extinta Comisión motivó debidamente la Resolución recurrida al señalar que la aplicación del Modelo CITLP para la determinación de tarifas de interconexión permite a la empresa recuperar no sólo los costos variables y fijos atribuibles al servicio de interconexión sino también las inversiones requeridas para la prestación de este </w:t>
      </w:r>
      <w:r w:rsidRPr="00654D1D">
        <w:rPr>
          <w:rFonts w:ascii="ITC Avant Garde" w:eastAsia="Times New Roman" w:hAnsi="ITC Avant Garde" w:cs="Arial"/>
          <w:lang w:val="es-ES" w:eastAsia="es-MX"/>
        </w:rPr>
        <w:lastRenderedPageBreak/>
        <w:t>servicio. Adicionalmente, el CITLP incluye un margen para recuperar parte de los costos comunes a los demás de servicios prestados por la organización que no pueden ser atribuidos de manera causal al servicio de interconexión.</w:t>
      </w:r>
    </w:p>
    <w:p w14:paraId="7FA6F10A" w14:textId="77777777" w:rsidR="00654D1D" w:rsidRPr="00654D1D" w:rsidRDefault="003E526D" w:rsidP="00654D1D">
      <w:pPr>
        <w:spacing w:before="240"/>
        <w:ind w:left="360"/>
        <w:jc w:val="both"/>
        <w:rPr>
          <w:rFonts w:ascii="ITC Avant Garde" w:eastAsia="Times New Roman" w:hAnsi="ITC Avant Garde" w:cs="Arial"/>
          <w:b/>
          <w:lang w:val="es-ES" w:eastAsia="es-MX"/>
        </w:rPr>
      </w:pPr>
      <w:r w:rsidRPr="00654D1D">
        <w:rPr>
          <w:rFonts w:ascii="ITC Avant Garde" w:eastAsia="Times New Roman" w:hAnsi="ITC Avant Garde" w:cs="Arial"/>
          <w:b/>
          <w:lang w:val="es-ES" w:eastAsia="es-MX"/>
        </w:rPr>
        <w:t xml:space="preserve">De igual forma, la extinta Comisión expuso que el CITLP es una metodología reconocida a nivel internacional para el cálculo de tarifas de interconexión y ha sido adoptada por la mayoría de los órganos reguladores. Las tarifas que resultan de esta metodología se consideran adecuadas ya que permiten a la empresa la recuperación eficiente de sus costos y al mismo tiempo envían las señales correctas al mercado en relación a la utilización de los recursos e inversiones necesarias para la provisión del servicio. </w:t>
      </w:r>
    </w:p>
    <w:p w14:paraId="5F81DD1B" w14:textId="77777777" w:rsidR="00654D1D" w:rsidRPr="00654D1D" w:rsidRDefault="003E526D" w:rsidP="00654D1D">
      <w:pPr>
        <w:spacing w:before="240"/>
        <w:ind w:left="360"/>
        <w:jc w:val="both"/>
        <w:rPr>
          <w:rFonts w:ascii="ITC Avant Garde" w:eastAsia="Times New Roman" w:hAnsi="ITC Avant Garde" w:cs="Arial"/>
          <w:b/>
          <w:lang w:val="es-ES" w:eastAsia="es-MX"/>
        </w:rPr>
      </w:pPr>
      <w:r w:rsidRPr="00654D1D">
        <w:rPr>
          <w:rFonts w:ascii="ITC Avant Garde" w:eastAsia="Times New Roman" w:hAnsi="ITC Avant Garde" w:cs="Arial"/>
          <w:b/>
          <w:lang w:val="es-ES" w:eastAsia="es-MX"/>
        </w:rPr>
        <w:t>Entre las ventajas de este enfoque se encuentran:</w:t>
      </w:r>
    </w:p>
    <w:p w14:paraId="4B6022D1" w14:textId="427A0E42" w:rsidR="003E526D" w:rsidRPr="00654D1D" w:rsidRDefault="003E526D" w:rsidP="00654D1D">
      <w:pPr>
        <w:numPr>
          <w:ilvl w:val="0"/>
          <w:numId w:val="32"/>
        </w:numPr>
        <w:spacing w:before="240"/>
        <w:jc w:val="both"/>
        <w:rPr>
          <w:rFonts w:ascii="ITC Avant Garde" w:hAnsi="ITC Avant Garde" w:cs="Arial"/>
          <w:b/>
        </w:rPr>
      </w:pPr>
      <w:r w:rsidRPr="00654D1D">
        <w:rPr>
          <w:rFonts w:ascii="ITC Avant Garde" w:hAnsi="ITC Avant Garde" w:cs="Arial"/>
          <w:b/>
        </w:rPr>
        <w:t>El CITLP permite que los operadores recuperen sólo aquellos costos que son causados por el servicio de interconexión en cuestión.</w:t>
      </w:r>
    </w:p>
    <w:p w14:paraId="4B6022D2" w14:textId="77777777" w:rsidR="003E526D" w:rsidRPr="00654D1D" w:rsidRDefault="003E526D" w:rsidP="00654D1D">
      <w:pPr>
        <w:numPr>
          <w:ilvl w:val="0"/>
          <w:numId w:val="32"/>
        </w:numPr>
        <w:spacing w:before="240"/>
        <w:jc w:val="both"/>
        <w:rPr>
          <w:rFonts w:ascii="ITC Avant Garde" w:hAnsi="ITC Avant Garde" w:cs="Arial"/>
          <w:b/>
        </w:rPr>
      </w:pPr>
      <w:r w:rsidRPr="00654D1D">
        <w:rPr>
          <w:rFonts w:ascii="ITC Avant Garde" w:hAnsi="ITC Avant Garde" w:cs="Arial"/>
          <w:b/>
        </w:rPr>
        <w:t>Bajo este enfoque de largo plazo, todos los costos son variables, aun los costos de capital, lo que permite su asignación a diferentes servicios o productos.</w:t>
      </w:r>
    </w:p>
    <w:p w14:paraId="342F736A" w14:textId="77777777" w:rsidR="00654D1D" w:rsidRPr="00654D1D" w:rsidRDefault="003E526D" w:rsidP="00654D1D">
      <w:pPr>
        <w:numPr>
          <w:ilvl w:val="0"/>
          <w:numId w:val="32"/>
        </w:numPr>
        <w:spacing w:before="240"/>
        <w:jc w:val="both"/>
        <w:rPr>
          <w:rFonts w:ascii="ITC Avant Garde" w:hAnsi="ITC Avant Garde" w:cs="Arial"/>
          <w:b/>
        </w:rPr>
      </w:pPr>
      <w:r w:rsidRPr="00654D1D">
        <w:rPr>
          <w:rFonts w:ascii="ITC Avant Garde" w:hAnsi="ITC Avant Garde" w:cs="Arial"/>
          <w:b/>
        </w:rPr>
        <w:t>Bajo el enfoque del CITLP, se promueve una sana competencia entre los diferentes operadores de servicios de telecomunicaciones, uno de los objetivos de la LFT.</w:t>
      </w:r>
    </w:p>
    <w:p w14:paraId="0613A516" w14:textId="77777777" w:rsidR="00654D1D" w:rsidRPr="00654D1D" w:rsidRDefault="003E526D" w:rsidP="00654D1D">
      <w:pPr>
        <w:spacing w:before="240"/>
        <w:ind w:left="36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En consecuencia la Comisión fundó y motivó debidamente la Resolución recurrida en cuanto a utilizar el Modelo CITLP.</w:t>
      </w:r>
    </w:p>
    <w:p w14:paraId="313C9ACF" w14:textId="77777777" w:rsidR="00654D1D" w:rsidRPr="00654D1D" w:rsidRDefault="003E526D" w:rsidP="00654D1D">
      <w:pPr>
        <w:numPr>
          <w:ilvl w:val="0"/>
          <w:numId w:val="34"/>
        </w:num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En lo que respecta a que la Comisión fue omisa en llevar a cabo la diversidad de estudios económicos y financieros a fin de determinar los diversos elementos que integran dicho modelo, a efecto de poder arribar a la determinación de tarifas que se adecuen a la industria especifica de que se trate, se considera que no le asiste la razón a la Recurrente, ya que en la propia Resolución recurrida establece los elementos que integran el Modelo de Costos de terminación móvil, utilizado por la extinta Comisión para determinar la tarifa de interconexión, como se desprende de la misma Resolución puesto que de foja 31 a foja 67</w:t>
      </w:r>
      <w:r w:rsidR="00F46EFC" w:rsidRPr="00654D1D">
        <w:rPr>
          <w:rFonts w:ascii="ITC Avant Garde" w:eastAsia="Times New Roman" w:hAnsi="ITC Avant Garde" w:cs="Arial"/>
          <w:lang w:val="es-ES" w:eastAsia="es-MX"/>
        </w:rPr>
        <w:t xml:space="preserve"> </w:t>
      </w:r>
      <w:r w:rsidRPr="00654D1D">
        <w:rPr>
          <w:rFonts w:ascii="ITC Avant Garde" w:eastAsia="Times New Roman" w:hAnsi="ITC Avant Garde" w:cs="Arial"/>
          <w:lang w:val="es-ES" w:eastAsia="es-MX"/>
        </w:rPr>
        <w:t xml:space="preserve">se realiza una descripción detallada del modelo de costos, mismo que en apego al principio de economía procesal a que se debe sujetar el procedimiento administrativo se tiene aquí por reproducido como si a la letra se insertarse. </w:t>
      </w:r>
    </w:p>
    <w:p w14:paraId="4911A1CC" w14:textId="77777777" w:rsidR="00654D1D" w:rsidRPr="00654D1D" w:rsidRDefault="003E526D" w:rsidP="00654D1D">
      <w:pPr>
        <w:spacing w:before="240"/>
        <w:ind w:left="36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lastRenderedPageBreak/>
        <w:t>Por lo que resulta infundado el argumento de la Recurrente, toda vez que como ya quedó demostrado, la Comisión detalló todos los elementos que integran el modelo de costos en la Resolución recurrida.</w:t>
      </w:r>
    </w:p>
    <w:p w14:paraId="6CEC8B30" w14:textId="77777777" w:rsidR="00654D1D" w:rsidRPr="00654D1D" w:rsidRDefault="003E526D" w:rsidP="00654D1D">
      <w:pPr>
        <w:numPr>
          <w:ilvl w:val="0"/>
          <w:numId w:val="34"/>
        </w:numPr>
        <w:spacing w:before="240"/>
        <w:ind w:left="284"/>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El argumento de la Recurrente resulta inoperante ya que sólo señala que la Comisión confunde los costos directos e indirectos de una empresa al pretender aplicar el modelo de costos y que resulta desapegado de la realidad de la industria de las telecomunicaciones. Sin embargo, la Recurrente no explica en qué consiste dicha confusión, ni las razones por las cuales le causa afectación la supuesta confusión de los costos directos e indirectos. De ahí que se considere que el argumento de la Recurrente deviene de inoperante dado que no combate en qué le afecta la Resolución recurrida de manera específica, ya que sólo describe meras suposiciones aunado a que no demuestra y ni siquiera explica cuál es la supuesta confusión de la Comisión.</w:t>
      </w:r>
    </w:p>
    <w:p w14:paraId="4E1F1511" w14:textId="77777777" w:rsidR="00654D1D" w:rsidRPr="00654D1D" w:rsidRDefault="003E526D" w:rsidP="00654D1D">
      <w:pPr>
        <w:numPr>
          <w:ilvl w:val="0"/>
          <w:numId w:val="34"/>
        </w:numPr>
        <w:spacing w:before="240"/>
        <w:ind w:left="284"/>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La Recurrente menciona que carece de todo sustento jurídico los razonamientos de la Comisión para sustentar que las tarifas por encima de los costos en que se incurre por la prestación del servicio de terminación de llamadas en las redes locales de la Recurrente, inhibe la sana competencia entre los operadores y no promueve un desarrollo eficiente de las telecomunicaciones. Al respecto, el argumento de la Recurrente es infundado, toda vez que las consideraciones de la extinta Comisión establecidas en la Resolución recurrida estuvieron debidamente fundadas y motivadas, como se desprende a fojas 24 a 28 de la Resolución recurrida, que prevén lo siguiente:</w:t>
      </w:r>
    </w:p>
    <w:p w14:paraId="2C6FD91A" w14:textId="77777777" w:rsidR="00654D1D" w:rsidRPr="00654D1D" w:rsidRDefault="003E526D" w:rsidP="00654D1D">
      <w:pPr>
        <w:spacing w:before="240" w:line="240" w:lineRule="auto"/>
        <w:ind w:left="993" w:right="851"/>
        <w:jc w:val="both"/>
        <w:rPr>
          <w:rFonts w:ascii="ITC Avant Garde" w:hAnsi="ITC Avant Garde" w:cs="Arial"/>
          <w:sz w:val="18"/>
          <w:szCs w:val="18"/>
        </w:rPr>
      </w:pPr>
      <w:r w:rsidRPr="00654D1D">
        <w:rPr>
          <w:rFonts w:ascii="ITC Avant Garde" w:hAnsi="ITC Avant Garde" w:cs="Arial"/>
          <w:sz w:val="18"/>
          <w:szCs w:val="18"/>
        </w:rPr>
        <w:t>“En este sentido, se considera que en un escenario donde priva la competencia en la prestación de todos los servicios de telecomunicaciones, es necesario establecer tarifas que estén basadas en costos, ya que esto constituye una política que es neutral para el desarrollo de la competencia, en la medida que no se distorsiona el crecimiento eficiente del sector, ya que todos los participantes del mercado acceden a un elemento básico como lo es la interconexión, sin que ninguno obtenga ventajas extraordinarias en la prestación de dicho servicio.</w:t>
      </w:r>
    </w:p>
    <w:p w14:paraId="47714A04" w14:textId="77777777" w:rsidR="00654D1D" w:rsidRPr="00654D1D" w:rsidRDefault="003E526D" w:rsidP="00654D1D">
      <w:pPr>
        <w:spacing w:before="240" w:line="240" w:lineRule="auto"/>
        <w:ind w:left="993" w:right="851"/>
        <w:jc w:val="both"/>
        <w:rPr>
          <w:rFonts w:ascii="ITC Avant Garde" w:hAnsi="ITC Avant Garde" w:cs="Arial"/>
          <w:sz w:val="18"/>
          <w:szCs w:val="18"/>
        </w:rPr>
      </w:pPr>
      <w:r w:rsidRPr="00654D1D">
        <w:rPr>
          <w:rFonts w:ascii="ITC Avant Garde" w:hAnsi="ITC Avant Garde" w:cs="Arial"/>
          <w:sz w:val="18"/>
          <w:szCs w:val="18"/>
        </w:rPr>
        <w:t xml:space="preserve">En este tenor, para la determinación de las tarifas de interconexión relacionadas con la función de terminación de tráfico público conmutado en las redes públicas de telecomunicaciones de servicio local móvil de Grupo Telefónica, esta Comisión considera que los objetivos plasmados en el artículo 7 de la LFT establecen las bases para la fijación de las tarifas de interconexión con base a costos. Asimismo, las </w:t>
      </w:r>
      <w:proofErr w:type="spellStart"/>
      <w:r w:rsidRPr="00654D1D">
        <w:rPr>
          <w:rFonts w:ascii="ITC Avant Garde" w:hAnsi="ITC Avant Garde" w:cs="Arial"/>
          <w:sz w:val="18"/>
          <w:szCs w:val="18"/>
        </w:rPr>
        <w:t>RdSL</w:t>
      </w:r>
      <w:proofErr w:type="spellEnd"/>
      <w:r w:rsidRPr="00654D1D">
        <w:rPr>
          <w:rFonts w:ascii="ITC Avant Garde" w:hAnsi="ITC Avant Garde" w:cs="Arial"/>
          <w:sz w:val="18"/>
          <w:szCs w:val="18"/>
        </w:rPr>
        <w:t xml:space="preserve"> y las RSLD establecen claramente los lineamientos que deberá seguir la autoridad para el establecimiento de dichas tarifas de interconexión en caso de un desacuerdo de interconexión al amparo del artículo 42 de la LFT, esto es, se deberán establecer para todos los casos tarifas que permitan recuperar los CIPLPS y los costos comunes atribuibles a dicha función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w:t>
      </w:r>
      <w:r w:rsidRPr="00654D1D">
        <w:rPr>
          <w:rFonts w:ascii="ITC Avant Garde" w:hAnsi="ITC Avant Garde" w:cs="Arial"/>
          <w:sz w:val="18"/>
          <w:szCs w:val="18"/>
        </w:rPr>
        <w:lastRenderedPageBreak/>
        <w:t>telecomunicaciones, a efectos de que estos se presten con mejores precios, diversidad y calidad en beneficio de los usuarios.</w:t>
      </w:r>
    </w:p>
    <w:p w14:paraId="5E2960DC" w14:textId="77777777" w:rsidR="00654D1D" w:rsidRPr="00654D1D" w:rsidRDefault="003E526D" w:rsidP="00654D1D">
      <w:pPr>
        <w:spacing w:before="240"/>
        <w:ind w:left="993" w:right="900"/>
        <w:jc w:val="both"/>
        <w:rPr>
          <w:rFonts w:ascii="ITC Avant Garde" w:hAnsi="ITC Avant Garde" w:cs="Arial"/>
          <w:sz w:val="18"/>
          <w:szCs w:val="18"/>
        </w:rPr>
      </w:pPr>
      <w:r w:rsidRPr="00654D1D">
        <w:rPr>
          <w:rFonts w:ascii="ITC Avant Garde" w:hAnsi="ITC Avant Garde" w:cs="Arial"/>
          <w:sz w:val="18"/>
          <w:szCs w:val="18"/>
        </w:rPr>
        <w:t>En este sentido, de la interpretación y aplicación de los artículos 7 y 41 de la LFT, se desprende que la Comisión deberá seguir la metodología indicada en el párrafo anterior.</w:t>
      </w:r>
    </w:p>
    <w:p w14:paraId="628A7380" w14:textId="77777777" w:rsidR="00654D1D" w:rsidRPr="00654D1D" w:rsidRDefault="003E526D" w:rsidP="00654D1D">
      <w:pPr>
        <w:spacing w:before="240"/>
        <w:ind w:left="993" w:right="281"/>
        <w:jc w:val="both"/>
        <w:rPr>
          <w:rFonts w:ascii="ITC Avant Garde" w:hAnsi="ITC Avant Garde" w:cs="Arial"/>
          <w:sz w:val="18"/>
          <w:szCs w:val="18"/>
        </w:rPr>
      </w:pPr>
      <w:r w:rsidRPr="00654D1D">
        <w:rPr>
          <w:rFonts w:ascii="ITC Avant Garde" w:hAnsi="ITC Avant Garde" w:cs="Arial"/>
          <w:sz w:val="18"/>
          <w:szCs w:val="18"/>
        </w:rPr>
        <w:t>A tal efecto, el artículo 7 de la LFT establece lo siguiente:</w:t>
      </w:r>
    </w:p>
    <w:p w14:paraId="1D53A291" w14:textId="77777777" w:rsidR="00654D1D" w:rsidRPr="00654D1D" w:rsidRDefault="003E526D" w:rsidP="00654D1D">
      <w:pPr>
        <w:overflowPunct w:val="0"/>
        <w:autoSpaceDE w:val="0"/>
        <w:autoSpaceDN w:val="0"/>
        <w:adjustRightInd w:val="0"/>
        <w:spacing w:before="240"/>
        <w:ind w:left="1134" w:right="1325"/>
        <w:jc w:val="both"/>
        <w:textAlignment w:val="baseline"/>
        <w:rPr>
          <w:rFonts w:ascii="ITC Avant Garde" w:hAnsi="ITC Avant Garde" w:cs="Arial"/>
          <w:sz w:val="16"/>
          <w:szCs w:val="16"/>
        </w:rPr>
      </w:pPr>
      <w:r w:rsidRPr="00654D1D">
        <w:rPr>
          <w:rFonts w:ascii="ITC Avant Garde" w:hAnsi="ITC Avant Garde" w:cs="Arial"/>
          <w:b/>
          <w:sz w:val="16"/>
          <w:szCs w:val="16"/>
        </w:rPr>
        <w:t>‘Artículo 7.</w:t>
      </w:r>
      <w:r w:rsidRPr="00654D1D">
        <w:rPr>
          <w:rFonts w:ascii="ITC Avant Garde" w:hAnsi="ITC Avant Garde" w:cs="Arial"/>
          <w:sz w:val="16"/>
          <w:szCs w:val="16"/>
        </w:rPr>
        <w:t xml:space="preserve"> La presente Ley tiene como objetivos promover un desarrollo eficiente de las telecomunicaciones; ejercer la rectoría del Estado en la materia, para garantizar la soberanía nacional; fomentar una sana competencia entre los diferentes prestadores de servicios de telecomunicaciones a fin de que éstos se presten con mejores precios, diversidad y calidad en beneficio de los usuarios, y promover una adecuada cobertura social.</w:t>
      </w:r>
    </w:p>
    <w:p w14:paraId="31115258" w14:textId="77777777" w:rsidR="00654D1D" w:rsidRDefault="003E526D" w:rsidP="00654D1D">
      <w:pPr>
        <w:overflowPunct w:val="0"/>
        <w:autoSpaceDE w:val="0"/>
        <w:autoSpaceDN w:val="0"/>
        <w:adjustRightInd w:val="0"/>
        <w:spacing w:before="240"/>
        <w:ind w:left="1134" w:right="1325"/>
        <w:jc w:val="both"/>
        <w:textAlignment w:val="baseline"/>
        <w:rPr>
          <w:rFonts w:ascii="ITC Avant Garde" w:hAnsi="ITC Avant Garde" w:cs="Arial"/>
          <w:sz w:val="16"/>
          <w:szCs w:val="16"/>
        </w:rPr>
      </w:pPr>
      <w:r w:rsidRPr="00654D1D">
        <w:rPr>
          <w:rFonts w:ascii="ITC Avant Garde" w:hAnsi="ITC Avant Garde" w:cs="Arial"/>
          <w:sz w:val="16"/>
          <w:szCs w:val="16"/>
        </w:rPr>
        <w:t>Para el logro de estos objetivos, corresponde a la Secretaría, sin perjuicio de las que se confieran a otras dependencias del Ejecutivo Federal, el ejercicio de las atribuciones siguientes:</w:t>
      </w:r>
    </w:p>
    <w:p w14:paraId="3A1524D6" w14:textId="0090C68D" w:rsidR="00654D1D" w:rsidRPr="00654D1D" w:rsidRDefault="003E526D" w:rsidP="00654D1D">
      <w:pPr>
        <w:tabs>
          <w:tab w:val="left" w:pos="720"/>
        </w:tabs>
        <w:spacing w:before="240"/>
        <w:ind w:left="1080" w:right="1325" w:firstLine="360"/>
        <w:jc w:val="both"/>
        <w:rPr>
          <w:rFonts w:ascii="ITC Avant Garde" w:hAnsi="ITC Avant Garde" w:cs="Arial"/>
          <w:sz w:val="16"/>
          <w:szCs w:val="16"/>
        </w:rPr>
      </w:pPr>
      <w:r w:rsidRPr="00654D1D">
        <w:rPr>
          <w:rFonts w:ascii="ITC Avant Garde" w:eastAsia="Times New Roman" w:hAnsi="ITC Avant Garde" w:cs="Arial"/>
          <w:sz w:val="16"/>
          <w:szCs w:val="16"/>
          <w:lang w:eastAsia="es-MX"/>
        </w:rPr>
        <w:t>[…]</w:t>
      </w:r>
      <w:r w:rsidRPr="00654D1D">
        <w:rPr>
          <w:rFonts w:ascii="ITC Avant Garde" w:eastAsia="Times New Roman" w:hAnsi="ITC Avant Garde" w:cs="Arial"/>
          <w:b/>
          <w:sz w:val="16"/>
          <w:szCs w:val="16"/>
          <w:lang w:eastAsia="es-MX"/>
        </w:rPr>
        <w:t>;</w:t>
      </w:r>
    </w:p>
    <w:p w14:paraId="353F22ED" w14:textId="77777777" w:rsidR="00654D1D" w:rsidRPr="00654D1D" w:rsidRDefault="003E526D" w:rsidP="00654D1D">
      <w:pPr>
        <w:tabs>
          <w:tab w:val="left" w:pos="720"/>
        </w:tabs>
        <w:spacing w:before="240"/>
        <w:ind w:left="2124" w:right="1325" w:hanging="684"/>
        <w:jc w:val="both"/>
        <w:rPr>
          <w:rFonts w:ascii="ITC Avant Garde" w:eastAsia="Times New Roman" w:hAnsi="ITC Avant Garde" w:cs="Arial"/>
          <w:sz w:val="16"/>
          <w:szCs w:val="16"/>
          <w:lang w:eastAsia="es-MX"/>
        </w:rPr>
      </w:pPr>
      <w:r w:rsidRPr="00654D1D">
        <w:rPr>
          <w:rFonts w:ascii="ITC Avant Garde" w:eastAsia="Times New Roman" w:hAnsi="ITC Avant Garde" w:cs="Arial"/>
          <w:b/>
          <w:sz w:val="16"/>
          <w:szCs w:val="16"/>
          <w:lang w:eastAsia="es-MX"/>
        </w:rPr>
        <w:t>II.</w:t>
      </w:r>
      <w:r w:rsidRPr="00654D1D">
        <w:rPr>
          <w:rFonts w:ascii="ITC Avant Garde" w:eastAsia="Times New Roman" w:hAnsi="ITC Avant Garde" w:cs="Arial"/>
          <w:sz w:val="16"/>
          <w:szCs w:val="16"/>
          <w:lang w:eastAsia="es-MX"/>
        </w:rPr>
        <w:tab/>
        <w:t>Promover y vigilar la eficiente interconexión de los diferentes equipos y redes de telecomunicación;</w:t>
      </w:r>
    </w:p>
    <w:p w14:paraId="7070588D" w14:textId="77777777" w:rsidR="00654D1D" w:rsidRPr="00654D1D" w:rsidRDefault="003E526D" w:rsidP="00654D1D">
      <w:pPr>
        <w:tabs>
          <w:tab w:val="left" w:pos="720"/>
        </w:tabs>
        <w:spacing w:before="240"/>
        <w:ind w:left="1080" w:right="1325" w:firstLine="360"/>
        <w:jc w:val="both"/>
        <w:rPr>
          <w:rFonts w:ascii="ITC Avant Garde" w:eastAsia="Times New Roman" w:hAnsi="ITC Avant Garde" w:cs="Arial"/>
          <w:sz w:val="16"/>
          <w:szCs w:val="16"/>
          <w:lang w:eastAsia="es-MX"/>
        </w:rPr>
      </w:pPr>
      <w:r w:rsidRPr="00654D1D">
        <w:rPr>
          <w:rFonts w:ascii="ITC Avant Garde" w:eastAsia="Times New Roman" w:hAnsi="ITC Avant Garde" w:cs="Arial"/>
          <w:sz w:val="16"/>
          <w:szCs w:val="16"/>
          <w:lang w:eastAsia="es-MX"/>
        </w:rPr>
        <w:t>[...]</w:t>
      </w:r>
    </w:p>
    <w:p w14:paraId="63D932EB" w14:textId="77777777" w:rsidR="00654D1D" w:rsidRPr="00654D1D" w:rsidRDefault="003E526D" w:rsidP="00654D1D">
      <w:pPr>
        <w:tabs>
          <w:tab w:val="left" w:pos="720"/>
        </w:tabs>
        <w:spacing w:before="240"/>
        <w:ind w:left="1080" w:right="1325" w:firstLine="360"/>
        <w:jc w:val="both"/>
        <w:rPr>
          <w:rFonts w:ascii="ITC Avant Garde" w:eastAsia="Times New Roman" w:hAnsi="ITC Avant Garde" w:cs="Arial"/>
          <w:sz w:val="16"/>
          <w:szCs w:val="16"/>
          <w:lang w:eastAsia="es-MX"/>
        </w:rPr>
      </w:pPr>
      <w:r w:rsidRPr="00654D1D">
        <w:rPr>
          <w:rFonts w:ascii="ITC Avant Garde" w:eastAsia="Times New Roman" w:hAnsi="ITC Avant Garde" w:cs="Arial"/>
          <w:b/>
          <w:sz w:val="16"/>
          <w:szCs w:val="16"/>
          <w:lang w:eastAsia="es-MX"/>
        </w:rPr>
        <w:t>XII.</w:t>
      </w:r>
      <w:r w:rsidRPr="00654D1D">
        <w:rPr>
          <w:rFonts w:ascii="ITC Avant Garde" w:eastAsia="Times New Roman" w:hAnsi="ITC Avant Garde" w:cs="Arial"/>
          <w:sz w:val="16"/>
          <w:szCs w:val="16"/>
          <w:lang w:eastAsia="es-MX"/>
        </w:rPr>
        <w:tab/>
        <w:t>Interpretar esta Ley para efectos administrativos, y</w:t>
      </w:r>
    </w:p>
    <w:p w14:paraId="2E66170E" w14:textId="77777777" w:rsidR="00654D1D" w:rsidRPr="00654D1D" w:rsidRDefault="003E526D" w:rsidP="00654D1D">
      <w:pPr>
        <w:tabs>
          <w:tab w:val="left" w:pos="720"/>
        </w:tabs>
        <w:spacing w:before="240"/>
        <w:ind w:left="2124" w:right="1325" w:hanging="684"/>
        <w:jc w:val="both"/>
        <w:rPr>
          <w:rFonts w:ascii="ITC Avant Garde" w:eastAsia="Times New Roman" w:hAnsi="ITC Avant Garde" w:cs="Arial"/>
          <w:sz w:val="16"/>
          <w:szCs w:val="16"/>
          <w:lang w:eastAsia="es-MX"/>
        </w:rPr>
      </w:pPr>
      <w:r w:rsidRPr="00654D1D">
        <w:rPr>
          <w:rFonts w:ascii="ITC Avant Garde" w:eastAsia="Times New Roman" w:hAnsi="ITC Avant Garde" w:cs="Arial"/>
          <w:b/>
          <w:sz w:val="16"/>
          <w:szCs w:val="16"/>
          <w:lang w:eastAsia="es-MX"/>
        </w:rPr>
        <w:t>XIII.</w:t>
      </w:r>
      <w:r w:rsidRPr="00654D1D">
        <w:rPr>
          <w:rFonts w:ascii="ITC Avant Garde" w:eastAsia="Times New Roman" w:hAnsi="ITC Avant Garde" w:cs="Arial"/>
          <w:sz w:val="16"/>
          <w:szCs w:val="16"/>
          <w:lang w:eastAsia="es-MX"/>
        </w:rPr>
        <w:tab/>
        <w:t>Las demás que esta Ley y otros ordenamientos legales le confieran en la materia.”</w:t>
      </w:r>
    </w:p>
    <w:p w14:paraId="1A1E17C5" w14:textId="77777777" w:rsidR="00654D1D" w:rsidRPr="00654D1D" w:rsidRDefault="003E526D" w:rsidP="00654D1D">
      <w:pPr>
        <w:spacing w:before="240"/>
        <w:ind w:left="993" w:right="900"/>
        <w:jc w:val="both"/>
        <w:rPr>
          <w:rFonts w:ascii="ITC Avant Garde" w:hAnsi="ITC Avant Garde" w:cs="Arial"/>
          <w:sz w:val="18"/>
          <w:szCs w:val="18"/>
        </w:rPr>
      </w:pPr>
      <w:r w:rsidRPr="00654D1D">
        <w:rPr>
          <w:rFonts w:ascii="ITC Avant Garde" w:hAnsi="ITC Avant Garde" w:cs="Arial"/>
          <w:sz w:val="18"/>
          <w:szCs w:val="18"/>
        </w:rPr>
        <w:t>Asimismo, el artículo 41 de la LFT establece lo siguiente:</w:t>
      </w:r>
    </w:p>
    <w:p w14:paraId="1FB298F4" w14:textId="77777777" w:rsidR="00654D1D" w:rsidRPr="00654D1D" w:rsidRDefault="003E526D" w:rsidP="00654D1D">
      <w:pPr>
        <w:overflowPunct w:val="0"/>
        <w:autoSpaceDE w:val="0"/>
        <w:autoSpaceDN w:val="0"/>
        <w:adjustRightInd w:val="0"/>
        <w:spacing w:before="240"/>
        <w:ind w:left="1134" w:right="1325"/>
        <w:jc w:val="both"/>
        <w:textAlignment w:val="baseline"/>
        <w:rPr>
          <w:rFonts w:ascii="ITC Avant Garde" w:hAnsi="ITC Avant Garde" w:cs="Arial"/>
          <w:sz w:val="16"/>
          <w:szCs w:val="16"/>
        </w:rPr>
      </w:pPr>
      <w:r w:rsidRPr="00654D1D">
        <w:rPr>
          <w:rFonts w:ascii="ITC Avant Garde" w:hAnsi="ITC Avant Garde" w:cs="Arial"/>
          <w:sz w:val="16"/>
          <w:szCs w:val="16"/>
        </w:rPr>
        <w:t>‘</w:t>
      </w:r>
      <w:r w:rsidRPr="00654D1D">
        <w:rPr>
          <w:rFonts w:ascii="ITC Avant Garde" w:hAnsi="ITC Avant Garde" w:cs="Arial"/>
          <w:b/>
          <w:sz w:val="16"/>
          <w:szCs w:val="16"/>
        </w:rPr>
        <w:t>Artículo 41.</w:t>
      </w:r>
      <w:r w:rsidRPr="00654D1D">
        <w:rPr>
          <w:rFonts w:ascii="ITC Avant Garde" w:hAnsi="ITC Avant Garde" w:cs="Arial"/>
          <w:sz w:val="16"/>
          <w:szCs w:val="16"/>
        </w:rPr>
        <w:t xml:space="preserve"> Los concesionarios de redes públicas de telecomunicaciones deberán adoptar diseños de arquitectura abierta de red para permitir la interconexión e interoperabilidad de sus redes. A tal efecto, la Secretaría elaborará y administrará los planes técnicos fundamentales de numeración, conmutación, señalización, transmisión, tarifación y sincronización, entre otros, a los que deberán sujetarse los concesionarios de redes públicas de telecomunicaciones. Dichos planes deberán considerar los intereses de los usuarios y de los concesionarios y tendrán los siguientes objetivos:</w:t>
      </w:r>
    </w:p>
    <w:p w14:paraId="75B64C12" w14:textId="77777777" w:rsidR="00654D1D" w:rsidRPr="00654D1D" w:rsidRDefault="003E526D" w:rsidP="00654D1D">
      <w:pPr>
        <w:tabs>
          <w:tab w:val="left" w:pos="720"/>
          <w:tab w:val="left" w:pos="1276"/>
        </w:tabs>
        <w:overflowPunct w:val="0"/>
        <w:autoSpaceDE w:val="0"/>
        <w:autoSpaceDN w:val="0"/>
        <w:adjustRightInd w:val="0"/>
        <w:spacing w:before="240"/>
        <w:ind w:left="1134" w:right="1325" w:hanging="330"/>
        <w:jc w:val="both"/>
        <w:textAlignment w:val="baseline"/>
        <w:rPr>
          <w:rFonts w:ascii="ITC Avant Garde" w:hAnsi="ITC Avant Garde" w:cs="Arial"/>
          <w:sz w:val="16"/>
          <w:szCs w:val="16"/>
        </w:rPr>
      </w:pPr>
      <w:r w:rsidRPr="00654D1D">
        <w:rPr>
          <w:rFonts w:ascii="ITC Avant Garde" w:hAnsi="ITC Avant Garde" w:cs="Arial"/>
          <w:b/>
          <w:sz w:val="16"/>
          <w:szCs w:val="16"/>
        </w:rPr>
        <w:tab/>
        <w:t>I.</w:t>
      </w:r>
      <w:r w:rsidRPr="00654D1D">
        <w:rPr>
          <w:rFonts w:ascii="ITC Avant Garde" w:hAnsi="ITC Avant Garde" w:cs="Arial"/>
          <w:sz w:val="16"/>
          <w:szCs w:val="16"/>
        </w:rPr>
        <w:tab/>
        <w:t>Permitir un amplio desarrollo de nuevos concesionarios y servicios de telecomunicaciones;</w:t>
      </w:r>
    </w:p>
    <w:p w14:paraId="78D49438" w14:textId="77777777" w:rsidR="00654D1D" w:rsidRPr="00654D1D" w:rsidRDefault="003E526D" w:rsidP="00654D1D">
      <w:pPr>
        <w:tabs>
          <w:tab w:val="left" w:pos="720"/>
          <w:tab w:val="left" w:pos="1276"/>
        </w:tabs>
        <w:overflowPunct w:val="0"/>
        <w:autoSpaceDE w:val="0"/>
        <w:autoSpaceDN w:val="0"/>
        <w:adjustRightInd w:val="0"/>
        <w:spacing w:before="240"/>
        <w:ind w:left="1134" w:right="281"/>
        <w:jc w:val="both"/>
        <w:textAlignment w:val="baseline"/>
        <w:rPr>
          <w:rFonts w:ascii="ITC Avant Garde" w:hAnsi="ITC Avant Garde" w:cs="Arial"/>
          <w:sz w:val="16"/>
          <w:szCs w:val="16"/>
        </w:rPr>
      </w:pPr>
      <w:r w:rsidRPr="00654D1D">
        <w:rPr>
          <w:rFonts w:ascii="ITC Avant Garde" w:hAnsi="ITC Avant Garde" w:cs="Arial"/>
          <w:b/>
          <w:sz w:val="16"/>
          <w:szCs w:val="16"/>
        </w:rPr>
        <w:t>II.</w:t>
      </w:r>
      <w:r w:rsidRPr="00654D1D">
        <w:rPr>
          <w:rFonts w:ascii="ITC Avant Garde" w:hAnsi="ITC Avant Garde" w:cs="Arial"/>
          <w:sz w:val="16"/>
          <w:szCs w:val="16"/>
        </w:rPr>
        <w:tab/>
        <w:t>Dar un trato no discriminatorio a los concesionarios, y</w:t>
      </w:r>
    </w:p>
    <w:p w14:paraId="5C21C6A3" w14:textId="77777777" w:rsidR="00654D1D" w:rsidRPr="00654D1D" w:rsidRDefault="003E526D" w:rsidP="00654D1D">
      <w:pPr>
        <w:tabs>
          <w:tab w:val="left" w:pos="720"/>
          <w:tab w:val="left" w:pos="1276"/>
        </w:tabs>
        <w:overflowPunct w:val="0"/>
        <w:autoSpaceDE w:val="0"/>
        <w:autoSpaceDN w:val="0"/>
        <w:adjustRightInd w:val="0"/>
        <w:spacing w:before="240"/>
        <w:ind w:left="1134" w:right="281"/>
        <w:jc w:val="both"/>
        <w:textAlignment w:val="baseline"/>
        <w:rPr>
          <w:rFonts w:ascii="ITC Avant Garde" w:hAnsi="ITC Avant Garde" w:cs="Arial"/>
          <w:sz w:val="16"/>
          <w:szCs w:val="16"/>
        </w:rPr>
      </w:pPr>
      <w:r w:rsidRPr="00654D1D">
        <w:rPr>
          <w:rFonts w:ascii="ITC Avant Garde" w:hAnsi="ITC Avant Garde" w:cs="Arial"/>
          <w:b/>
          <w:sz w:val="16"/>
          <w:szCs w:val="16"/>
        </w:rPr>
        <w:t>III.</w:t>
      </w:r>
      <w:r w:rsidRPr="00654D1D">
        <w:rPr>
          <w:rFonts w:ascii="ITC Avant Garde" w:hAnsi="ITC Avant Garde" w:cs="Arial"/>
          <w:sz w:val="16"/>
          <w:szCs w:val="16"/>
        </w:rPr>
        <w:tab/>
        <w:t>Fomentar una sana competencia entre concesionarios.’</w:t>
      </w:r>
    </w:p>
    <w:p w14:paraId="031AA621" w14:textId="77777777" w:rsidR="00654D1D" w:rsidRPr="00654D1D" w:rsidRDefault="003E526D" w:rsidP="00654D1D">
      <w:pPr>
        <w:spacing w:before="240"/>
        <w:ind w:left="993" w:right="758"/>
        <w:jc w:val="both"/>
        <w:rPr>
          <w:rFonts w:ascii="ITC Avant Garde" w:hAnsi="ITC Avant Garde" w:cs="Arial"/>
          <w:sz w:val="18"/>
          <w:szCs w:val="18"/>
        </w:rPr>
      </w:pPr>
      <w:r w:rsidRPr="00654D1D">
        <w:rPr>
          <w:rFonts w:ascii="ITC Avant Garde" w:hAnsi="ITC Avant Garde" w:cs="Arial"/>
          <w:sz w:val="18"/>
          <w:szCs w:val="18"/>
        </w:rPr>
        <w:t xml:space="preserve">Cabe reiterar que no obstante que los objetivos contenidos en las fracciones del artículo 41 de la LFT se refieren a la emisión de planes fundamentales, dichos planes se encuentran íntimamente ligados con la interconexión pues facilitan la implementación </w:t>
      </w:r>
      <w:r w:rsidRPr="00654D1D">
        <w:rPr>
          <w:rFonts w:ascii="ITC Avant Garde" w:hAnsi="ITC Avant Garde" w:cs="Arial"/>
          <w:sz w:val="18"/>
          <w:szCs w:val="18"/>
        </w:rPr>
        <w:lastRenderedPageBreak/>
        <w:t>de la misma. En tal virtud, dichos principios se hacen extensivos como principios interpretadores para la determinación de condiciones de interconexión no convenidas por los concesionarios.</w:t>
      </w:r>
    </w:p>
    <w:p w14:paraId="03F05FE3" w14:textId="77777777" w:rsidR="00654D1D" w:rsidRPr="00654D1D" w:rsidRDefault="003E526D" w:rsidP="00654D1D">
      <w:pPr>
        <w:spacing w:before="240"/>
        <w:ind w:left="993" w:right="758"/>
        <w:jc w:val="both"/>
        <w:rPr>
          <w:rFonts w:ascii="ITC Avant Garde" w:hAnsi="ITC Avant Garde" w:cs="Arial"/>
          <w:sz w:val="18"/>
          <w:szCs w:val="18"/>
        </w:rPr>
      </w:pPr>
      <w:r w:rsidRPr="00654D1D">
        <w:rPr>
          <w:rFonts w:ascii="ITC Avant Garde" w:hAnsi="ITC Avant Garde" w:cs="Arial"/>
          <w:sz w:val="18"/>
          <w:szCs w:val="18"/>
        </w:rPr>
        <w:t xml:space="preserve">Según se desprende de los preceptos arriba citados, el desarrollo eficiente de las telecomunicaciones y el fomento de una sana competencia entre los prestadores de servicios de telecomunicaciones, son dos principios esenciales, entre otros, que deben regir el actuar administrativo de la Comisión. </w:t>
      </w:r>
    </w:p>
    <w:p w14:paraId="566DE109" w14:textId="77777777" w:rsidR="00654D1D" w:rsidRPr="00654D1D" w:rsidRDefault="003E526D" w:rsidP="00654D1D">
      <w:pPr>
        <w:spacing w:before="240"/>
        <w:ind w:left="993" w:right="758"/>
        <w:jc w:val="both"/>
        <w:rPr>
          <w:rFonts w:ascii="ITC Avant Garde" w:hAnsi="ITC Avant Garde" w:cs="Arial"/>
          <w:sz w:val="18"/>
          <w:szCs w:val="18"/>
        </w:rPr>
      </w:pPr>
      <w:r w:rsidRPr="00654D1D">
        <w:rPr>
          <w:rFonts w:ascii="ITC Avant Garde" w:hAnsi="ITC Avant Garde" w:cs="Arial"/>
          <w:sz w:val="18"/>
          <w:szCs w:val="18"/>
        </w:rPr>
        <w:t xml:space="preserve">Como se desprende de los artículos 7 fracciones II y III, 9-A fracción I y 41 de la LFT, así como de la fracción II, del artículo 9 del Reglamento Interior de la Comisión, esta última está obligada a promover el desarrollo eficiente de las telecomunicaciones fomentando una sana competencia entre los prestadores de servicios de telecomunicaciones, para que dichos servicios se presten con mejores precios, diversidad y calidad en beneficio de todos los que los usamos. La Comisión debe, como órgano regulador técnico, en términos de la fracción II del artículo 7° citado, promover y vigilar la eficiente interconexión de los diferentes equipos y redes de telecomunicación y para tal efecto puede, en términos de la fracción III del precepto citado, expedir las disposiciones administrativas para cumplir tal encomienda, ya sea vía acto administrativo de carácter particular o general, en términos del artículo 4° de la LFPA.  </w:t>
      </w:r>
    </w:p>
    <w:p w14:paraId="678F986D" w14:textId="77777777" w:rsidR="00654D1D" w:rsidRPr="00654D1D" w:rsidRDefault="003E526D" w:rsidP="00654D1D">
      <w:pPr>
        <w:spacing w:before="240"/>
        <w:ind w:left="993" w:right="758"/>
        <w:jc w:val="both"/>
        <w:rPr>
          <w:rFonts w:ascii="ITC Avant Garde" w:hAnsi="ITC Avant Garde" w:cs="Arial"/>
          <w:sz w:val="18"/>
          <w:szCs w:val="18"/>
        </w:rPr>
      </w:pPr>
      <w:r w:rsidRPr="00654D1D">
        <w:rPr>
          <w:rFonts w:ascii="ITC Avant Garde" w:hAnsi="ITC Avant Garde" w:cs="Arial"/>
          <w:sz w:val="18"/>
          <w:szCs w:val="18"/>
        </w:rPr>
        <w:t xml:space="preserve">Adicionalmente, la Regla Novena Transitoria de las </w:t>
      </w:r>
      <w:proofErr w:type="spellStart"/>
      <w:r w:rsidRPr="00654D1D">
        <w:rPr>
          <w:rFonts w:ascii="ITC Avant Garde" w:hAnsi="ITC Avant Garde" w:cs="Arial"/>
          <w:sz w:val="18"/>
          <w:szCs w:val="18"/>
        </w:rPr>
        <w:t>RdSL</w:t>
      </w:r>
      <w:proofErr w:type="spellEnd"/>
      <w:r w:rsidRPr="00654D1D">
        <w:rPr>
          <w:rFonts w:ascii="ITC Avant Garde" w:hAnsi="ITC Avant Garde" w:cs="Arial"/>
          <w:sz w:val="18"/>
          <w:szCs w:val="18"/>
        </w:rPr>
        <w:t>, prevé lo siguiente:</w:t>
      </w:r>
    </w:p>
    <w:p w14:paraId="05E43723" w14:textId="77777777" w:rsidR="00654D1D" w:rsidRPr="00654D1D" w:rsidRDefault="003E526D" w:rsidP="00654D1D">
      <w:pPr>
        <w:overflowPunct w:val="0"/>
        <w:autoSpaceDE w:val="0"/>
        <w:autoSpaceDN w:val="0"/>
        <w:adjustRightInd w:val="0"/>
        <w:spacing w:before="240"/>
        <w:ind w:left="1134" w:right="1325"/>
        <w:jc w:val="both"/>
        <w:textAlignment w:val="baseline"/>
        <w:rPr>
          <w:rFonts w:ascii="ITC Avant Garde" w:hAnsi="ITC Avant Garde" w:cs="Arial"/>
          <w:sz w:val="16"/>
          <w:szCs w:val="16"/>
        </w:rPr>
      </w:pPr>
      <w:r w:rsidRPr="00654D1D">
        <w:rPr>
          <w:rFonts w:ascii="ITC Avant Garde" w:hAnsi="ITC Avant Garde" w:cs="Arial"/>
          <w:b/>
          <w:sz w:val="16"/>
          <w:szCs w:val="16"/>
        </w:rPr>
        <w:t xml:space="preserve">‘NOVENA. </w:t>
      </w:r>
      <w:r w:rsidRPr="00654D1D">
        <w:rPr>
          <w:rFonts w:ascii="ITC Avant Garde" w:hAnsi="ITC Avant Garde" w:cs="Arial"/>
          <w:sz w:val="16"/>
          <w:szCs w:val="16"/>
        </w:rPr>
        <w:t>En caso de que las partes no logren acordar dentro del término establecido por la Ley las condiciones de interconexión entre sus redes, incluyendo aquellas relativas a las tarifas por las diferentes funciones de interconexión que han sido establecidas por las presentes Reglas, la Comisión resolverá las condiciones que no hayan podido convenirse.</w:t>
      </w:r>
    </w:p>
    <w:p w14:paraId="414C3718" w14:textId="77777777" w:rsidR="00654D1D" w:rsidRPr="00654D1D" w:rsidRDefault="003E526D" w:rsidP="00654D1D">
      <w:pPr>
        <w:spacing w:before="240"/>
        <w:ind w:left="1134" w:right="1325"/>
        <w:jc w:val="both"/>
        <w:rPr>
          <w:rFonts w:ascii="ITC Avant Garde" w:hAnsi="ITC Avant Garde" w:cs="Arial"/>
          <w:sz w:val="16"/>
          <w:szCs w:val="16"/>
        </w:rPr>
      </w:pPr>
      <w:r w:rsidRPr="00654D1D">
        <w:rPr>
          <w:rFonts w:ascii="ITC Avant Garde" w:hAnsi="ITC Avant Garde" w:cs="Arial"/>
          <w:sz w:val="16"/>
          <w:szCs w:val="16"/>
        </w:rPr>
        <w:t>En tal caso y tratándose de tarifas por llevar a cabo la función de terminación conmutada entre redes autorizadas para prestar el servicio local fijo,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bases internacionalmente reconocidas, de tal forma que se promueva una sana competencia entre los prestadores del servicio local, a efecto de que éste se preste con mejores precios, diversidad y calidad en beneficio de los usuarios.’</w:t>
      </w:r>
    </w:p>
    <w:p w14:paraId="70CDB766" w14:textId="77777777" w:rsidR="00654D1D" w:rsidRPr="00654D1D" w:rsidRDefault="003E526D" w:rsidP="00654D1D">
      <w:pPr>
        <w:spacing w:before="240"/>
        <w:ind w:left="993" w:right="758"/>
        <w:jc w:val="both"/>
        <w:rPr>
          <w:rFonts w:ascii="ITC Avant Garde" w:hAnsi="ITC Avant Garde" w:cs="Arial"/>
          <w:sz w:val="18"/>
          <w:szCs w:val="18"/>
        </w:rPr>
      </w:pPr>
      <w:r w:rsidRPr="00654D1D">
        <w:rPr>
          <w:rFonts w:ascii="ITC Avant Garde" w:hAnsi="ITC Avant Garde" w:cs="Arial"/>
          <w:sz w:val="18"/>
          <w:szCs w:val="18"/>
        </w:rPr>
        <w:t>De igual forma, la Regla 53 de las RSLD, dispone que:</w:t>
      </w:r>
    </w:p>
    <w:p w14:paraId="1F438736" w14:textId="77777777" w:rsidR="00654D1D" w:rsidRPr="00654D1D" w:rsidRDefault="003E526D" w:rsidP="00654D1D">
      <w:pPr>
        <w:overflowPunct w:val="0"/>
        <w:autoSpaceDE w:val="0"/>
        <w:autoSpaceDN w:val="0"/>
        <w:adjustRightInd w:val="0"/>
        <w:spacing w:before="240"/>
        <w:ind w:left="1134" w:right="1325"/>
        <w:jc w:val="both"/>
        <w:textAlignment w:val="baseline"/>
        <w:rPr>
          <w:rFonts w:ascii="ITC Avant Garde" w:hAnsi="ITC Avant Garde" w:cs="Arial"/>
          <w:sz w:val="16"/>
          <w:szCs w:val="16"/>
        </w:rPr>
      </w:pPr>
      <w:r w:rsidRPr="00654D1D">
        <w:rPr>
          <w:rFonts w:ascii="ITC Avant Garde" w:hAnsi="ITC Avant Garde" w:cs="Arial"/>
          <w:b/>
          <w:sz w:val="16"/>
          <w:szCs w:val="16"/>
        </w:rPr>
        <w:t xml:space="preserve">‘Regla 53. </w:t>
      </w:r>
      <w:r w:rsidRPr="00654D1D">
        <w:rPr>
          <w:rFonts w:ascii="ITC Avant Garde" w:hAnsi="ITC Avant Garde" w:cs="Arial"/>
          <w:sz w:val="16"/>
          <w:szCs w:val="16"/>
        </w:rPr>
        <w:t>En caso de que las partes no logren acordar dentro del término establecido por la Ley las condiciones de interconexión entre sus redes, incluyendo aquellas relativas a las tarifas por las diferentes funciones de interconexión que sean necesarias para la implantación de la modalidad “El que llama paga nacional”, la Comisión resolverá en términos del artículo 42 de la Ley las condiciones que no hayan podido convenirse.</w:t>
      </w:r>
    </w:p>
    <w:p w14:paraId="2B3E9C8D" w14:textId="77777777" w:rsidR="00654D1D" w:rsidRPr="00654D1D" w:rsidRDefault="003E526D" w:rsidP="00654D1D">
      <w:pPr>
        <w:overflowPunct w:val="0"/>
        <w:autoSpaceDE w:val="0"/>
        <w:autoSpaceDN w:val="0"/>
        <w:adjustRightInd w:val="0"/>
        <w:spacing w:before="240"/>
        <w:ind w:left="1134" w:right="1325"/>
        <w:jc w:val="both"/>
        <w:textAlignment w:val="baseline"/>
        <w:rPr>
          <w:rFonts w:ascii="ITC Avant Garde" w:hAnsi="ITC Avant Garde" w:cs="Arial"/>
          <w:sz w:val="16"/>
          <w:szCs w:val="16"/>
        </w:rPr>
      </w:pPr>
      <w:r w:rsidRPr="00654D1D">
        <w:rPr>
          <w:rFonts w:ascii="ITC Avant Garde" w:hAnsi="ITC Avant Garde" w:cs="Arial"/>
          <w:sz w:val="16"/>
          <w:szCs w:val="16"/>
        </w:rPr>
        <w:t xml:space="preserve">En tal caso y tratándose de tarifas relacionadas a la función de terminación de tráfico público conmutado en las redes autorizadas para prestar el servicio local móvil,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una metodología de costeo de redes de acuerdo a bases </w:t>
      </w:r>
      <w:r w:rsidRPr="00654D1D">
        <w:rPr>
          <w:rFonts w:ascii="ITC Avant Garde" w:hAnsi="ITC Avant Garde" w:cs="Arial"/>
          <w:sz w:val="16"/>
          <w:szCs w:val="16"/>
        </w:rPr>
        <w:lastRenderedPageBreak/>
        <w:t>internacionalmente reconocidas, la evolución de las referencias internacionales y el crecimiento y desarrollo de los mercados de telecomunicaciones en el país, de tal forma que se promueva una sana competencia entre los prestadores de servicios de telecomunicaciones, a efecto de que éstos se presten con mejores precios, diversidad y calidad en beneficio de los usuarios.’</w:t>
      </w:r>
    </w:p>
    <w:p w14:paraId="108B3EAE" w14:textId="77777777" w:rsidR="00654D1D" w:rsidRPr="00654D1D" w:rsidRDefault="003E526D" w:rsidP="00654D1D">
      <w:pPr>
        <w:spacing w:before="240"/>
        <w:ind w:left="993" w:right="758"/>
        <w:jc w:val="both"/>
        <w:rPr>
          <w:rFonts w:ascii="ITC Avant Garde" w:hAnsi="ITC Avant Garde" w:cs="Arial"/>
          <w:sz w:val="18"/>
          <w:szCs w:val="18"/>
        </w:rPr>
      </w:pPr>
      <w:r w:rsidRPr="00654D1D">
        <w:rPr>
          <w:rFonts w:ascii="ITC Avant Garde" w:hAnsi="ITC Avant Garde" w:cs="Arial"/>
          <w:sz w:val="18"/>
          <w:szCs w:val="18"/>
        </w:rPr>
        <w:t xml:space="preserve">Al amparo de la Regla Novena Transitoria de las </w:t>
      </w:r>
      <w:proofErr w:type="spellStart"/>
      <w:r w:rsidRPr="00654D1D">
        <w:rPr>
          <w:rFonts w:ascii="ITC Avant Garde" w:hAnsi="ITC Avant Garde" w:cs="Arial"/>
          <w:sz w:val="18"/>
          <w:szCs w:val="18"/>
        </w:rPr>
        <w:t>RdSL</w:t>
      </w:r>
      <w:proofErr w:type="spellEnd"/>
      <w:r w:rsidRPr="00654D1D">
        <w:rPr>
          <w:rFonts w:ascii="ITC Avant Garde" w:hAnsi="ITC Avant Garde" w:cs="Arial"/>
          <w:sz w:val="18"/>
          <w:szCs w:val="18"/>
        </w:rPr>
        <w:t xml:space="preserve"> y la Regla 53 de las RSLD, esta Comisión a efecto de determinar la tarifa de interconexión aplicable a partir del 1° de enero de 2011, que no pudieron convenir la Parte Tercero Perjudicada y Grupo Telefónica, deberá considerar los costos incrementales de largo plazo más los costos comunes utilizando una metodología que esté reconocida internacionalmente.</w:t>
      </w:r>
    </w:p>
    <w:p w14:paraId="4810B2B6" w14:textId="77777777" w:rsidR="00654D1D" w:rsidRPr="00654D1D" w:rsidRDefault="003E526D" w:rsidP="00654D1D">
      <w:pPr>
        <w:spacing w:before="240"/>
        <w:ind w:left="993" w:right="758"/>
        <w:jc w:val="both"/>
        <w:rPr>
          <w:rFonts w:ascii="ITC Avant Garde" w:hAnsi="ITC Avant Garde" w:cs="Arial"/>
          <w:sz w:val="18"/>
          <w:szCs w:val="18"/>
        </w:rPr>
      </w:pPr>
      <w:r w:rsidRPr="00654D1D">
        <w:rPr>
          <w:rFonts w:ascii="ITC Avant Garde" w:hAnsi="ITC Avant Garde" w:cs="Arial"/>
          <w:sz w:val="18"/>
          <w:szCs w:val="18"/>
        </w:rPr>
        <w:t>Sin perjuicio de que las autoridades administrativas deben resolver conforme a estricto derecho, el artículo 88 del CFPC, de aplicación supletoria, establece que la autoridad podrá invocar hechos notorios.</w:t>
      </w:r>
    </w:p>
    <w:p w14:paraId="21D96537" w14:textId="77777777" w:rsidR="00654D1D" w:rsidRPr="00654D1D" w:rsidRDefault="003E526D" w:rsidP="00654D1D">
      <w:pPr>
        <w:spacing w:before="240"/>
        <w:ind w:left="993" w:right="758"/>
        <w:jc w:val="both"/>
        <w:rPr>
          <w:rFonts w:ascii="ITC Avant Garde" w:hAnsi="ITC Avant Garde" w:cs="Arial"/>
          <w:sz w:val="18"/>
          <w:szCs w:val="18"/>
        </w:rPr>
      </w:pPr>
      <w:r w:rsidRPr="00654D1D">
        <w:rPr>
          <w:rFonts w:ascii="ITC Avant Garde" w:hAnsi="ITC Avant Garde" w:cs="Arial"/>
          <w:sz w:val="18"/>
          <w:szCs w:val="18"/>
        </w:rPr>
        <w:t>Es un hecho notorio respecto a la industria de las telecomunicaciones que en las situaciones en donde la competencia es ineficaz, los precios basados en costos son considerados como recomendables para alcanzar los objetivos de eficiencia y desarrollo del mercado. El enfoque de tarifas basadas en costos ha sido reconocido por la Organización Mundial de Comercio (en lo sucesivo, la “OMC”), para el caso de proveedores principales, por el Banco Mundial y por la Unión Internacional de Telecomunicaciones como el método más eficiente desde el punto de vista económico para fijar las tarifas de interconexión y, conjuntamente con la no discriminación y la transparencia como los principios básicos que deben regir en cualquier acuerdo de interconexión</w:t>
      </w:r>
    </w:p>
    <w:p w14:paraId="7EDA907A" w14:textId="77777777" w:rsidR="00654D1D" w:rsidRPr="00654D1D" w:rsidRDefault="003E526D" w:rsidP="00654D1D">
      <w:pPr>
        <w:spacing w:before="240"/>
        <w:ind w:left="993" w:right="758"/>
        <w:jc w:val="both"/>
        <w:rPr>
          <w:rFonts w:ascii="ITC Avant Garde" w:hAnsi="ITC Avant Garde" w:cs="Arial"/>
          <w:sz w:val="18"/>
          <w:szCs w:val="18"/>
        </w:rPr>
      </w:pPr>
      <w:r w:rsidRPr="00654D1D">
        <w:rPr>
          <w:rFonts w:ascii="ITC Avant Garde" w:hAnsi="ITC Avant Garde" w:cs="Arial"/>
          <w:sz w:val="18"/>
          <w:szCs w:val="18"/>
        </w:rPr>
        <w:t>Es importante señalar que las tarifas de interconexión por encima de costos constituyen una barrera de entrada a nuevas empresas como consecuencia del alto precio de la interconexión. Esto se debe a que una tarifa de interconexión superior a costos impacta desproporcionalmente los costos de operadores con redes de menor tamaño, como las redes de los operadores entrantes. El porcentaje de participación de llamadas fuera de la red de un operador pequeño es mayor que la de un operador grande, lo que hace que los costos promedios que enfrenta el operador pequeño sean mayores para proveer servicios a sus clientes, pues estos hacen un mayor número de llamadas fuera de la red y por ende hacen un mayor uso de los servicios de interconexión de otros operadores. Así, las tarifas de interconexión por encima de costos incrementan los costos promedio que enfrentan los operadores nuevos y de menor tamaño, que empiezan a ampliar su base de usuarios. Si las tarifas de interconexión están basadas en costos, no existe este efecto diferenciado sobre redes grandes y pequeñas.”</w:t>
      </w:r>
    </w:p>
    <w:p w14:paraId="020D47EE" w14:textId="77777777" w:rsidR="00654D1D" w:rsidRPr="00654D1D" w:rsidRDefault="003E526D" w:rsidP="00654D1D">
      <w:pPr>
        <w:spacing w:before="240"/>
        <w:ind w:left="567"/>
        <w:contextualSpacing/>
        <w:jc w:val="both"/>
        <w:rPr>
          <w:rFonts w:ascii="ITC Avant Garde" w:hAnsi="ITC Avant Garde" w:cs="Arial"/>
        </w:rPr>
      </w:pPr>
      <w:r w:rsidRPr="00654D1D">
        <w:rPr>
          <w:rFonts w:ascii="ITC Avant Garde" w:hAnsi="ITC Avant Garde" w:cs="Arial"/>
        </w:rPr>
        <w:t xml:space="preserve">De lo anterior, se desprende que las consideraciones de la Comisión respecto a que las tarifas de interconexión por encima de costos constituyen una barrera de entrada a nuevas empresas como consecuencia del alto precio de interconexión, están debidamente fundadas y motivadas, ya que contrario a lo que señala la Recurrente el hecho de que las tarifas de interconexión estén basadas en costos constituye una política que es neutral para el desarrollo de la competencia, en la medida que no se distorsiona el crecimiento eficiente del sector, ya que todos los </w:t>
      </w:r>
      <w:r w:rsidRPr="00654D1D">
        <w:rPr>
          <w:rFonts w:ascii="ITC Avant Garde" w:hAnsi="ITC Avant Garde" w:cs="Arial"/>
        </w:rPr>
        <w:lastRenderedPageBreak/>
        <w:t xml:space="preserve">participantes del mercado acceden a un elemento básico como lo es la interconexión, sin que ninguno obtenga ventajas extraordinarias en la prestación de dicho servicio. </w:t>
      </w:r>
    </w:p>
    <w:p w14:paraId="0968D365" w14:textId="77777777" w:rsidR="00654D1D" w:rsidRPr="00654D1D" w:rsidRDefault="003E526D" w:rsidP="00654D1D">
      <w:pPr>
        <w:numPr>
          <w:ilvl w:val="0"/>
          <w:numId w:val="34"/>
        </w:num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El argumento de la Recurrente resulta infundado, toda vez que la tarifa de interconexión es un insumo que se requiere dentro de la estructura de precios al usuario final de los servicios de telecomunicaciones, por lo cual una reducción en la tarifa de interconexión repercutirá evidentemente en una disminución de los precios finales al público en general.</w:t>
      </w:r>
    </w:p>
    <w:p w14:paraId="4B955A72"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Asimismo, la Comisión en la foja 29 de la Resolución recurrida consideró que:</w:t>
      </w:r>
    </w:p>
    <w:p w14:paraId="2917816C" w14:textId="77777777" w:rsidR="00654D1D" w:rsidRPr="00654D1D" w:rsidRDefault="003E526D" w:rsidP="00654D1D">
      <w:pPr>
        <w:spacing w:before="240"/>
        <w:ind w:left="1418" w:right="616"/>
        <w:jc w:val="both"/>
        <w:rPr>
          <w:rFonts w:ascii="ITC Avant Garde" w:eastAsia="Batang" w:hAnsi="ITC Avant Garde" w:cs="Arial"/>
          <w:iCs/>
          <w:sz w:val="18"/>
          <w:szCs w:val="18"/>
        </w:rPr>
      </w:pPr>
      <w:r w:rsidRPr="00654D1D">
        <w:rPr>
          <w:rFonts w:ascii="ITC Avant Garde" w:eastAsia="Batang" w:hAnsi="ITC Avant Garde" w:cs="Arial"/>
          <w:iCs/>
          <w:sz w:val="18"/>
          <w:szCs w:val="18"/>
        </w:rPr>
        <w:t>“Las resoluciones de tarifas de interconexión orientadas a costos eliminan las distorsiones tarifarias en el mercado de servicios móviles, y permite:</w:t>
      </w:r>
    </w:p>
    <w:p w14:paraId="4B602321" w14:textId="3BBBA78C" w:rsidR="003E526D" w:rsidRPr="00654D1D" w:rsidRDefault="003E526D" w:rsidP="00654D1D">
      <w:pPr>
        <w:numPr>
          <w:ilvl w:val="0"/>
          <w:numId w:val="39"/>
        </w:numPr>
        <w:spacing w:before="240"/>
        <w:ind w:left="1843" w:right="616"/>
        <w:jc w:val="both"/>
        <w:rPr>
          <w:rFonts w:ascii="ITC Avant Garde" w:eastAsia="Batang" w:hAnsi="ITC Avant Garde" w:cs="Arial"/>
          <w:iCs/>
          <w:sz w:val="18"/>
          <w:szCs w:val="18"/>
        </w:rPr>
      </w:pPr>
      <w:r w:rsidRPr="00654D1D">
        <w:rPr>
          <w:rFonts w:ascii="ITC Avant Garde" w:eastAsia="Batang" w:hAnsi="ITC Avant Garde" w:cs="Arial"/>
          <w:iCs/>
          <w:sz w:val="18"/>
          <w:szCs w:val="18"/>
        </w:rPr>
        <w:t>Manejar actuales condiciones de competencia, a través de una estructura de precios relativos finales más adecuada;</w:t>
      </w:r>
    </w:p>
    <w:p w14:paraId="206F7AE8" w14:textId="77777777" w:rsidR="00654D1D" w:rsidRPr="00654D1D" w:rsidRDefault="003E526D" w:rsidP="00654D1D">
      <w:pPr>
        <w:numPr>
          <w:ilvl w:val="0"/>
          <w:numId w:val="39"/>
        </w:numPr>
        <w:spacing w:before="240"/>
        <w:ind w:left="1843" w:right="616"/>
        <w:jc w:val="both"/>
        <w:rPr>
          <w:rFonts w:ascii="ITC Avant Garde" w:eastAsia="Batang" w:hAnsi="ITC Avant Garde" w:cs="Arial"/>
          <w:iCs/>
          <w:sz w:val="18"/>
          <w:szCs w:val="18"/>
        </w:rPr>
      </w:pPr>
      <w:r w:rsidRPr="00654D1D">
        <w:rPr>
          <w:rFonts w:ascii="ITC Avant Garde" w:eastAsia="Batang" w:hAnsi="ITC Avant Garde" w:cs="Arial"/>
          <w:iCs/>
          <w:sz w:val="18"/>
          <w:szCs w:val="18"/>
        </w:rPr>
        <w:t>Reduce costos de llamadas originadas en redes fijas.”</w:t>
      </w:r>
    </w:p>
    <w:p w14:paraId="5137EE52"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En este sentido, la Comisión fundó y motivó debidamente la Resolución recurrida, ya que contrario a lo manifestado por la Recurrente, la Comisión estableció las consideraciones respecto a que los usuarios finales obtienen beneficios de una reducción en las tarifas de interconexión, ya que si éstas se orientan a costos eliminan distorsiones tarifarias en el mercado de servicio móviles, y a su vez permite que los operadores compitan en condiciones equitativas al tener acceso a un insumo como es la tarifa de interconexión misma que se encuentra orientada a costos. Asimismo, se reducen los costos de llamadas originadas en redes fijas, lo anterior resulta lógico ya que una reducción en el precio del insumo como es la tarifa de interconexión repercute en el precio de los servicios finales que contratan los usuarios.</w:t>
      </w:r>
    </w:p>
    <w:p w14:paraId="51C1F405" w14:textId="77777777" w:rsidR="00654D1D" w:rsidRPr="00654D1D" w:rsidRDefault="003E526D" w:rsidP="00654D1D">
      <w:pPr>
        <w:numPr>
          <w:ilvl w:val="0"/>
          <w:numId w:val="34"/>
        </w:num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En lo que respecta a que la Comisión motiva el modelo estableciendo proyecciones que determinan tarifas hacia el futuro, y resulta que con el mismo la Comisión determina tarifas de periodos pasados, en específico para enero del 2011, se considera que el argumento de la Recurrente es inoperante, ya que como se desprende de la propia Resolución recurrida dentro de las condiciones no convenidas entre las partes fueron las siguientes:</w:t>
      </w:r>
    </w:p>
    <w:p w14:paraId="62BD61C1" w14:textId="77777777" w:rsidR="00654D1D" w:rsidRPr="00654D1D" w:rsidRDefault="003E526D" w:rsidP="00654D1D">
      <w:pPr>
        <w:numPr>
          <w:ilvl w:val="0"/>
          <w:numId w:val="40"/>
        </w:numPr>
        <w:spacing w:before="240"/>
        <w:ind w:left="1068"/>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Tarifa de interconexión por terminación móvil para las llamadas bajo la modalidad “el que llama paga” para los años 2011 al 2013.</w:t>
      </w:r>
    </w:p>
    <w:p w14:paraId="632F1935" w14:textId="77777777" w:rsidR="00654D1D" w:rsidRPr="00654D1D" w:rsidRDefault="003E526D" w:rsidP="00654D1D">
      <w:pPr>
        <w:numPr>
          <w:ilvl w:val="0"/>
          <w:numId w:val="40"/>
        </w:numPr>
        <w:spacing w:before="240"/>
        <w:ind w:left="1068"/>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lastRenderedPageBreak/>
        <w:t>Las contraprestaciones que se pagaran a Grupo Telefónica por la tarifa indicada en el numeral anterior, se determinarán con base en la duración real de las llamadas sin redondeo.</w:t>
      </w:r>
    </w:p>
    <w:p w14:paraId="568B6F3B" w14:textId="77777777" w:rsidR="00654D1D" w:rsidRPr="00654D1D" w:rsidRDefault="003E526D" w:rsidP="00654D1D">
      <w:pPr>
        <w:numPr>
          <w:ilvl w:val="0"/>
          <w:numId w:val="40"/>
        </w:numPr>
        <w:spacing w:before="240"/>
        <w:ind w:left="1068"/>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Tarifa de interconexión por terminación fija aplicable al 2011.</w:t>
      </w:r>
    </w:p>
    <w:p w14:paraId="622426A6" w14:textId="77777777" w:rsidR="00654D1D" w:rsidRPr="00654D1D" w:rsidRDefault="003E526D" w:rsidP="00654D1D">
      <w:pPr>
        <w:spacing w:before="240"/>
        <w:ind w:left="567"/>
        <w:jc w:val="both"/>
        <w:rPr>
          <w:rFonts w:ascii="ITC Avant Garde" w:eastAsia="Times New Roman" w:hAnsi="ITC Avant Garde" w:cs="Arial"/>
          <w:szCs w:val="20"/>
          <w:lang w:val="es-ES"/>
        </w:rPr>
      </w:pPr>
      <w:r w:rsidRPr="00654D1D">
        <w:rPr>
          <w:rFonts w:ascii="ITC Avant Garde" w:eastAsia="Times New Roman" w:hAnsi="ITC Avant Garde" w:cs="Arial"/>
          <w:lang w:val="es-ES" w:eastAsia="es-MX"/>
        </w:rPr>
        <w:t xml:space="preserve">De lo anterior se desprende que se plantearon como </w:t>
      </w:r>
      <w:r w:rsidRPr="00654D1D">
        <w:rPr>
          <w:rFonts w:ascii="ITC Avant Garde" w:eastAsia="Times New Roman" w:hAnsi="ITC Avant Garde" w:cs="Arial"/>
          <w:szCs w:val="20"/>
          <w:lang w:val="es-ES"/>
        </w:rPr>
        <w:t xml:space="preserve">condiciones de interconexión no convenidas con la Recurrente el nivel tarifario y el periodo de aplicación de las tarifas el cual corresponde de los años 2011 al 2013. </w:t>
      </w:r>
    </w:p>
    <w:p w14:paraId="2BDDED94"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szCs w:val="20"/>
          <w:lang w:val="es-ES"/>
        </w:rPr>
        <w:t>Por lo anterior, en términos de los artículos 9-A fracción X y 42 de la LFT, la extinta Comisión determinó el nivel de las tarifas de interconexión y su periodo de aplicación, ya que se trataron de condiciones de interconexión no convenidas entre las partes.</w:t>
      </w:r>
    </w:p>
    <w:p w14:paraId="42E3D13A"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Por tanto, independientemente que la extinta Comisión haya resuelto el desacuerdo de interconexión en el mes de julio de 2011, no significa que a partir de ahí debe de cobrarse la tarifa de interconexión, ya que el desacuerdo versa sobre el periodo comprendido desde el mes de enero de 2011.</w:t>
      </w:r>
    </w:p>
    <w:p w14:paraId="49437BF9" w14:textId="77777777" w:rsidR="00654D1D" w:rsidRPr="00654D1D" w:rsidRDefault="003E526D" w:rsidP="00654D1D">
      <w:pPr>
        <w:numPr>
          <w:ilvl w:val="0"/>
          <w:numId w:val="34"/>
        </w:num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En lo que respecta a lo señalado por la Recurrente en el sentido se consideró a un operador eficiente representativo, es decir, que el modelo no tiene fundamento en los costos de la Recurrente, sino en lo que incurre dicho operador “ficticio” por lo que no guarda proporción alguna con las características de los operadores existentes en el mercado mexicano, se considera que es improcedente el argumento de la Recurrente debido a que la propia SCJN señaló que la Comisión Federal de Telecomunicaciones (ahora instituto Federal de Telecomunicaciones) es el órgano regulador creado por el Estado Mexicano con ciertas características que por su naturaleza y por sus funciones goza de un amplio margen de discrecionalidad en el ejercicio de sus facultades sin que por ello pueda ejercerlas de manera arbitraria, sino que debe fundar y motivar razonablemente sus decisiones pues su actuación está sujeta a los requisitos previstos en el artículo 16 constitucional.</w:t>
      </w:r>
    </w:p>
    <w:p w14:paraId="0A8353DB" w14:textId="77777777" w:rsidR="00654D1D" w:rsidRPr="00654D1D" w:rsidRDefault="003E526D" w:rsidP="00654D1D">
      <w:pPr>
        <w:spacing w:before="240"/>
        <w:ind w:left="36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En tal virtud y en el ámbito de sus facultades discrecionales estaba plenamente facultada para utilizar un operador eficiente; para lo cual únicamente debía fundar y motivar debidamente su decisión. De este modo, la Resolución recurrida establece la debida motivación para que se considere a un operador eficiente o representativo, como se desprende de fojas 32 a 33 de la Resolución recurrida:  </w:t>
      </w:r>
    </w:p>
    <w:p w14:paraId="5E5CAB14" w14:textId="77777777" w:rsidR="00654D1D" w:rsidRPr="00654D1D" w:rsidRDefault="003E526D" w:rsidP="00654D1D">
      <w:pPr>
        <w:spacing w:before="240"/>
        <w:ind w:left="1134" w:right="281"/>
        <w:jc w:val="both"/>
        <w:rPr>
          <w:rFonts w:ascii="ITC Avant Garde" w:hAnsi="ITC Avant Garde" w:cs="Arial"/>
          <w:b/>
          <w:sz w:val="18"/>
          <w:szCs w:val="18"/>
        </w:rPr>
      </w:pPr>
      <w:r w:rsidRPr="00654D1D">
        <w:rPr>
          <w:rFonts w:ascii="ITC Avant Garde" w:hAnsi="ITC Avant Garde" w:cs="Arial"/>
          <w:sz w:val="18"/>
          <w:szCs w:val="18"/>
        </w:rPr>
        <w:t xml:space="preserve">“Es preciso señalar que es conveniente que la tarifa de interconexión cubra los costos en que incurre un operador eficiente por terminar las llamadas, y a la vez incluya un retorno al capital razonable por prestar este servicio. De lo contrario se podría desincentivar la </w:t>
      </w:r>
      <w:r w:rsidRPr="00654D1D">
        <w:rPr>
          <w:rFonts w:ascii="ITC Avant Garde" w:hAnsi="ITC Avant Garde" w:cs="Arial"/>
          <w:sz w:val="18"/>
          <w:szCs w:val="18"/>
        </w:rPr>
        <w:lastRenderedPageBreak/>
        <w:t xml:space="preserve">provisión de los servicios de interconexión. </w:t>
      </w:r>
      <w:r w:rsidRPr="00654D1D">
        <w:rPr>
          <w:rFonts w:ascii="ITC Avant Garde" w:hAnsi="ITC Avant Garde" w:cs="Arial"/>
          <w:b/>
          <w:sz w:val="18"/>
          <w:szCs w:val="18"/>
        </w:rPr>
        <w:t xml:space="preserve">Es importante que los costos recuperados sean los de un operador eficiente, pues en caso contrario, se permitiría que la ineficiencia del operador se traslade a otros operadores y en última instancia, a los usuarios.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 </w:t>
      </w:r>
    </w:p>
    <w:p w14:paraId="62825907" w14:textId="77777777" w:rsidR="00654D1D" w:rsidRPr="00654D1D" w:rsidRDefault="003E526D" w:rsidP="00654D1D">
      <w:pPr>
        <w:spacing w:before="240"/>
        <w:ind w:left="1134" w:right="281"/>
        <w:jc w:val="both"/>
        <w:rPr>
          <w:rFonts w:ascii="ITC Avant Garde" w:hAnsi="ITC Avant Garde" w:cs="Arial"/>
          <w:sz w:val="18"/>
          <w:szCs w:val="18"/>
        </w:rPr>
      </w:pPr>
      <w:r w:rsidRPr="00654D1D">
        <w:rPr>
          <w:rFonts w:ascii="ITC Avant Garde" w:hAnsi="ITC Avant Garde" w:cs="Arial"/>
          <w:sz w:val="18"/>
          <w:szCs w:val="18"/>
        </w:rPr>
        <w:t>Para el diseño de la red del operador eficiente, el modelo de costos utiliza un modelo ascendente (</w:t>
      </w:r>
      <w:proofErr w:type="spellStart"/>
      <w:r w:rsidRPr="00654D1D">
        <w:rPr>
          <w:rFonts w:ascii="ITC Avant Garde" w:hAnsi="ITC Avant Garde" w:cs="Arial"/>
          <w:sz w:val="18"/>
          <w:szCs w:val="18"/>
        </w:rPr>
        <w:t>Bottom</w:t>
      </w:r>
      <w:proofErr w:type="spellEnd"/>
      <w:r w:rsidRPr="00654D1D">
        <w:rPr>
          <w:rFonts w:ascii="ITC Avant Garde" w:hAnsi="ITC Avant Garde" w:cs="Arial"/>
          <w:sz w:val="18"/>
          <w:szCs w:val="18"/>
        </w:rPr>
        <w:t>-Up) o de tipo ingenieril que se construye a partir de información de demanda esperada en términos de usuarios y tráfico, a partir de los cuales se realiza el diseño de la  red que presta diversos servicios de telecomunicaciones, incluyendo los de interconexión. Los costos de esta red, los cuales son valorados a precios de mercado o costos corrientes, incluyen los costos de capital (inversiones) y los gastos de operación y mantenimiento que son asignados a cada uno de los servicios que se considera que provee la red.</w:t>
      </w:r>
    </w:p>
    <w:p w14:paraId="7C6418BC" w14:textId="77777777" w:rsidR="00654D1D" w:rsidRPr="00654D1D" w:rsidRDefault="003E526D" w:rsidP="00654D1D">
      <w:pPr>
        <w:spacing w:before="240"/>
        <w:ind w:left="1134" w:right="281"/>
        <w:jc w:val="both"/>
        <w:rPr>
          <w:rFonts w:ascii="ITC Avant Garde" w:hAnsi="ITC Avant Garde" w:cs="Arial"/>
          <w:sz w:val="18"/>
          <w:szCs w:val="18"/>
        </w:rPr>
      </w:pPr>
      <w:r w:rsidRPr="00654D1D">
        <w:rPr>
          <w:rFonts w:ascii="ITC Avant Garde" w:hAnsi="ITC Avant Garde" w:cs="Arial"/>
          <w:sz w:val="18"/>
          <w:szCs w:val="18"/>
        </w:rPr>
        <w:t xml:space="preserve">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654D1D">
        <w:rPr>
          <w:rFonts w:ascii="ITC Avant Garde" w:hAnsi="ITC Avant Garde" w:cs="Arial"/>
          <w:sz w:val="18"/>
          <w:szCs w:val="18"/>
        </w:rPr>
        <w:t>asignativa</w:t>
      </w:r>
      <w:proofErr w:type="spellEnd"/>
      <w:r w:rsidRPr="00654D1D">
        <w:rPr>
          <w:rFonts w:ascii="ITC Avant Garde" w:hAnsi="ITC Avant Garde" w:cs="Arial"/>
          <w:sz w:val="18"/>
          <w:szCs w:val="18"/>
        </w:rPr>
        <w:t>, en el sentido de que se establezcan los precios lo más cercanamente posible a los observados en un mercado competitivo, ya que es generalmente aceptado que estos precios son los que maximizan el bienestar social.</w:t>
      </w:r>
      <w:r w:rsidRPr="00654D1D">
        <w:rPr>
          <w:rFonts w:ascii="ITC Avant Garde" w:hAnsi="ITC Avant Garde" w:cs="Arial"/>
          <w:sz w:val="18"/>
          <w:szCs w:val="18"/>
          <w:vertAlign w:val="superscript"/>
        </w:rPr>
        <w:footnoteReference w:id="4"/>
      </w:r>
    </w:p>
    <w:p w14:paraId="0AAFF97F" w14:textId="77777777" w:rsidR="00654D1D" w:rsidRPr="00654D1D" w:rsidRDefault="003E526D" w:rsidP="00654D1D">
      <w:pPr>
        <w:spacing w:before="240"/>
        <w:ind w:left="1134" w:right="281"/>
        <w:jc w:val="both"/>
        <w:rPr>
          <w:rFonts w:ascii="ITC Avant Garde" w:hAnsi="ITC Avant Garde" w:cs="Arial"/>
          <w:sz w:val="18"/>
          <w:szCs w:val="18"/>
        </w:rPr>
      </w:pPr>
      <w:r w:rsidRPr="00654D1D">
        <w:rPr>
          <w:rFonts w:ascii="ITC Avant Garde" w:hAnsi="ITC Avant Garde" w:cs="Arial"/>
          <w:b/>
          <w:sz w:val="18"/>
          <w:szCs w:val="18"/>
        </w:rPr>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w:t>
      </w:r>
      <w:r w:rsidRPr="00654D1D">
        <w:rPr>
          <w:rFonts w:ascii="ITC Avant Garde" w:hAnsi="ITC Avant Garde" w:cs="Arial"/>
          <w:sz w:val="18"/>
          <w:szCs w:val="18"/>
        </w:rPr>
        <w:t xml:space="preserve"> En este contexto, el regulador debe propiciar que se consiga la eficiencia productiva en el sentido de otorgar los suficientes incentivos para la minimización de costos.</w:t>
      </w:r>
      <w:r w:rsidRPr="00654D1D">
        <w:rPr>
          <w:rFonts w:ascii="ITC Avant Garde" w:hAnsi="ITC Avant Garde" w:cs="Arial"/>
          <w:sz w:val="18"/>
          <w:szCs w:val="18"/>
          <w:vertAlign w:val="superscript"/>
        </w:rPr>
        <w:footnoteReference w:id="5"/>
      </w:r>
      <w:r w:rsidRPr="00654D1D">
        <w:rPr>
          <w:rFonts w:ascii="ITC Avant Garde" w:hAnsi="ITC Avant Garde" w:cs="Arial"/>
          <w:sz w:val="18"/>
          <w:szCs w:val="18"/>
          <w:vertAlign w:val="superscript"/>
        </w:rPr>
        <w:t>.</w:t>
      </w:r>
    </w:p>
    <w:p w14:paraId="420AE198" w14:textId="77777777" w:rsidR="00654D1D" w:rsidRPr="00654D1D" w:rsidRDefault="003E526D" w:rsidP="00654D1D">
      <w:pPr>
        <w:spacing w:before="240"/>
        <w:ind w:left="1134" w:right="281"/>
        <w:jc w:val="both"/>
        <w:rPr>
          <w:rFonts w:ascii="ITC Avant Garde" w:hAnsi="ITC Avant Garde" w:cs="Arial"/>
          <w:sz w:val="18"/>
          <w:szCs w:val="18"/>
        </w:rPr>
      </w:pPr>
      <w:r w:rsidRPr="00654D1D">
        <w:rPr>
          <w:rFonts w:ascii="ITC Avant Garde" w:hAnsi="ITC Avant Garde" w:cs="Arial"/>
          <w:b/>
          <w:sz w:val="18"/>
          <w:szCs w:val="18"/>
        </w:rPr>
        <w:t xml:space="preserve">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w:t>
      </w:r>
      <w:r w:rsidRPr="00654D1D">
        <w:rPr>
          <w:rFonts w:ascii="ITC Avant Garde" w:hAnsi="ITC Avant Garde" w:cs="Arial"/>
          <w:sz w:val="18"/>
          <w:szCs w:val="18"/>
        </w:rPr>
        <w:t xml:space="preserve">De utilizar los costos históricos o contables en el modelo de costos, la autoridad reguladora no incorporaría estas </w:t>
      </w:r>
      <w:r w:rsidRPr="00654D1D">
        <w:rPr>
          <w:rFonts w:ascii="ITC Avant Garde" w:hAnsi="ITC Avant Garde" w:cs="Arial"/>
          <w:sz w:val="18"/>
          <w:szCs w:val="18"/>
        </w:rPr>
        <w:lastRenderedPageBreak/>
        <w:t xml:space="preserve">reducciones en precios, por lo que sobrestimaría los costos corrientes del servicio de interconexión y, por tanto, omitiría la continua innovación que existe en el sector, en perjuicio de los consumidores.” </w:t>
      </w:r>
    </w:p>
    <w:p w14:paraId="030411D3" w14:textId="77777777" w:rsidR="00654D1D" w:rsidRPr="00654D1D" w:rsidRDefault="003E526D" w:rsidP="00654D1D">
      <w:pPr>
        <w:spacing w:before="240"/>
        <w:ind w:left="1134" w:right="281"/>
        <w:jc w:val="right"/>
        <w:rPr>
          <w:rFonts w:ascii="ITC Avant Garde" w:hAnsi="ITC Avant Garde" w:cs="Arial"/>
          <w:sz w:val="18"/>
          <w:szCs w:val="18"/>
        </w:rPr>
      </w:pPr>
      <w:r w:rsidRPr="00654D1D">
        <w:rPr>
          <w:rFonts w:ascii="ITC Avant Garde" w:hAnsi="ITC Avant Garde" w:cs="Arial"/>
          <w:sz w:val="18"/>
          <w:szCs w:val="18"/>
        </w:rPr>
        <w:t>[Énfasis añadido].</w:t>
      </w:r>
    </w:p>
    <w:p w14:paraId="19B1A236"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En este sentido, de considerar el argumento de la Recurrente en cuanto a considerar sus propios costos, daría lugar a prácticas que reducirían la transparencia en lo que respecta a los costos y precios de cada uno de los operadores que se encuentran en el mercado, se incrementa el riesgo y la complejidad en asegurar que se apliquen principios idénticos y consistentes en el caso de que la metodología se aplicara a modelos individuales para cada operador móvil, se incrementa y dificulta cumplir con el principio de eficiencia, razón por la cual considerando las mejores prácticas internacionales, se modela un operador representativo, donde las referencias internacionales muestran que para determinar el valor de las tarifas de interconexión se hace con base en un operador representativo y no con base en costear la red de cada uno de los operadores que participan en el mercado.</w:t>
      </w:r>
    </w:p>
    <w:p w14:paraId="39843C5A" w14:textId="77777777" w:rsidR="00654D1D" w:rsidRPr="00654D1D" w:rsidRDefault="003E526D" w:rsidP="00654D1D">
      <w:pPr>
        <w:spacing w:before="240"/>
        <w:ind w:left="567"/>
        <w:jc w:val="both"/>
        <w:rPr>
          <w:rFonts w:ascii="ITC Avant Garde" w:hAnsi="ITC Avant Garde" w:cs="Arial"/>
        </w:rPr>
      </w:pPr>
      <w:r w:rsidRPr="00654D1D">
        <w:rPr>
          <w:rFonts w:ascii="ITC Avant Garde" w:hAnsi="ITC Avant Garde" w:cs="Arial"/>
        </w:rPr>
        <w:t xml:space="preserve">Cabe señalar que un creciente número de países están adoptando modelos de costos tipo </w:t>
      </w:r>
      <w:proofErr w:type="spellStart"/>
      <w:r w:rsidRPr="00654D1D">
        <w:rPr>
          <w:rFonts w:ascii="ITC Avant Garde" w:hAnsi="ITC Avant Garde" w:cs="Arial"/>
        </w:rPr>
        <w:t>Bottom</w:t>
      </w:r>
      <w:proofErr w:type="spellEnd"/>
      <w:r w:rsidRPr="00654D1D">
        <w:rPr>
          <w:rFonts w:ascii="ITC Avant Garde" w:hAnsi="ITC Avant Garde" w:cs="Arial"/>
        </w:rPr>
        <w:t>-Up.</w:t>
      </w:r>
      <w:r w:rsidRPr="00654D1D">
        <w:rPr>
          <w:rFonts w:ascii="ITC Avant Garde" w:hAnsi="ITC Avant Garde" w:cs="Arial"/>
          <w:vertAlign w:val="superscript"/>
        </w:rPr>
        <w:footnoteReference w:id="6"/>
      </w:r>
      <w:r w:rsidRPr="00654D1D">
        <w:rPr>
          <w:rFonts w:ascii="ITC Avant Garde" w:hAnsi="ITC Avant Garde" w:cs="Arial"/>
        </w:rPr>
        <w:t xml:space="preserve"> Entre los países que ya utilizan este tipo de modelos se encuentran Corea, Israel, Australia, Nueva Zelanda, EE.UU., Colombia, Perú, Ecuador, Chile, Francia, Holanda, Hungría, Rumania, Eslovenia y Grecia. En tanto que los países que ya decidieron moverse de modelos híbridos a modelos </w:t>
      </w:r>
      <w:proofErr w:type="spellStart"/>
      <w:r w:rsidRPr="00654D1D">
        <w:rPr>
          <w:rFonts w:ascii="ITC Avant Garde" w:hAnsi="ITC Avant Garde" w:cs="Arial"/>
        </w:rPr>
        <w:t>Bottom</w:t>
      </w:r>
      <w:proofErr w:type="spellEnd"/>
      <w:r w:rsidRPr="00654D1D">
        <w:rPr>
          <w:rFonts w:ascii="ITC Avant Garde" w:hAnsi="ITC Avant Garde" w:cs="Arial"/>
        </w:rPr>
        <w:t>-Up son Bélgica, Dinamarca, Noruega, Suecia, Reino Unido, Bulgaria y República Checa.</w:t>
      </w:r>
    </w:p>
    <w:p w14:paraId="6AC665BB" w14:textId="77777777" w:rsidR="00654D1D" w:rsidRPr="00654D1D" w:rsidRDefault="003E526D" w:rsidP="00654D1D">
      <w:pPr>
        <w:spacing w:before="240"/>
        <w:ind w:left="567"/>
        <w:jc w:val="both"/>
        <w:rPr>
          <w:rFonts w:ascii="ITC Avant Garde" w:hAnsi="ITC Avant Garde" w:cs="Arial"/>
        </w:rPr>
      </w:pPr>
      <w:r w:rsidRPr="00654D1D">
        <w:rPr>
          <w:rFonts w:ascii="ITC Avant Garde" w:hAnsi="ITC Avant Garde" w:cs="Arial"/>
        </w:rPr>
        <w:t>Asimismo, la Unión Internacional de Telecomunicaciones</w:t>
      </w:r>
      <w:r w:rsidRPr="00654D1D">
        <w:rPr>
          <w:rFonts w:ascii="ITC Avant Garde" w:hAnsi="ITC Avant Garde" w:cs="Arial"/>
          <w:vertAlign w:val="superscript"/>
        </w:rPr>
        <w:footnoteReference w:id="7"/>
      </w:r>
      <w:r w:rsidRPr="00654D1D">
        <w:rPr>
          <w:rFonts w:ascii="ITC Avant Garde" w:hAnsi="ITC Avant Garde" w:cs="Arial"/>
        </w:rPr>
        <w:t xml:space="preserve"> realiza una encuesta entre los reguladores a nivel internacional que permite recabar información acerca de la regulación que se ha establecido para los servicios mayoristas y minoristas, de dicho estudio se puede observar que en 2009 el 56.1 por ciento de los países que respondieron las encuestas han adoptado los modelos </w:t>
      </w:r>
      <w:proofErr w:type="spellStart"/>
      <w:r w:rsidRPr="00654D1D">
        <w:rPr>
          <w:rFonts w:ascii="ITC Avant Garde" w:hAnsi="ITC Avant Garde" w:cs="Arial"/>
        </w:rPr>
        <w:t>Bottom</w:t>
      </w:r>
      <w:proofErr w:type="spellEnd"/>
      <w:r w:rsidRPr="00654D1D">
        <w:rPr>
          <w:rFonts w:ascii="ITC Avant Garde" w:hAnsi="ITC Avant Garde" w:cs="Arial"/>
        </w:rPr>
        <w:t>-Up como la metodología de estimación de costos de los servicios que se prestan entre concesionarios, sobre otras metodologías, incluyendo los modelos híbridos.</w:t>
      </w:r>
    </w:p>
    <w:p w14:paraId="36E925D8" w14:textId="77777777" w:rsidR="00654D1D" w:rsidRPr="00654D1D" w:rsidRDefault="003E526D" w:rsidP="00654D1D">
      <w:pPr>
        <w:spacing w:before="240"/>
        <w:ind w:left="567"/>
        <w:jc w:val="both"/>
        <w:rPr>
          <w:rFonts w:ascii="ITC Avant Garde" w:hAnsi="ITC Avant Garde" w:cs="Arial"/>
        </w:rPr>
      </w:pPr>
      <w:r w:rsidRPr="00654D1D">
        <w:rPr>
          <w:rFonts w:ascii="ITC Avant Garde" w:hAnsi="ITC Avant Garde" w:cs="Arial"/>
        </w:rPr>
        <w:lastRenderedPageBreak/>
        <w:t>La Comisión Europea recomendó, en mayo de 2009,</w:t>
      </w:r>
      <w:r w:rsidRPr="00654D1D">
        <w:rPr>
          <w:rFonts w:ascii="ITC Avant Garde" w:hAnsi="ITC Avant Garde" w:cs="Arial"/>
          <w:vertAlign w:val="superscript"/>
        </w:rPr>
        <w:footnoteReference w:id="8"/>
      </w:r>
      <w:r w:rsidRPr="00654D1D">
        <w:rPr>
          <w:rFonts w:ascii="ITC Avant Garde" w:hAnsi="ITC Avant Garde" w:cs="Arial"/>
        </w:rPr>
        <w:t xml:space="preserve"> la implementación de modelos ascendentes (</w:t>
      </w:r>
      <w:proofErr w:type="spellStart"/>
      <w:r w:rsidRPr="00654D1D">
        <w:rPr>
          <w:rFonts w:ascii="ITC Avant Garde" w:hAnsi="ITC Avant Garde" w:cs="Arial"/>
        </w:rPr>
        <w:t>Bottom</w:t>
      </w:r>
      <w:proofErr w:type="spellEnd"/>
      <w:r w:rsidRPr="00654D1D">
        <w:rPr>
          <w:rFonts w:ascii="ITC Avant Garde" w:hAnsi="ITC Avant Garde" w:cs="Arial"/>
        </w:rPr>
        <w:t>-Up) para la determinación de tarifas de interconexión por parte de las autoridades nacionales antes de diciembre de 2012, argumentando que:</w:t>
      </w:r>
    </w:p>
    <w:p w14:paraId="09B0A7D0" w14:textId="77777777" w:rsidR="00654D1D" w:rsidRPr="00654D1D" w:rsidRDefault="003E526D" w:rsidP="00654D1D">
      <w:pPr>
        <w:spacing w:before="240"/>
        <w:ind w:left="1418" w:right="531"/>
        <w:jc w:val="both"/>
        <w:rPr>
          <w:rFonts w:ascii="ITC Avant Garde" w:hAnsi="ITC Avant Garde" w:cs="Arial"/>
          <w:sz w:val="18"/>
          <w:szCs w:val="18"/>
        </w:rPr>
      </w:pPr>
      <w:r w:rsidRPr="00654D1D">
        <w:rPr>
          <w:rFonts w:ascii="ITC Avant Garde" w:hAnsi="ITC Avant Garde" w:cs="Arial"/>
          <w:sz w:val="18"/>
          <w:szCs w:val="18"/>
        </w:rPr>
        <w:t xml:space="preserve">“La aplicación de un modelo ascendente es coherente con el concepto de desarrollo de la red para un operador eficiente según el cual se construye un modelo económico/técnico de red eficiente utilizando los costes actuales. El modelo refleja la cantidad de equipo necesaria, más que la efectivamente proporcionada, y hace caso omiso de los costes heredados.”  </w:t>
      </w:r>
    </w:p>
    <w:p w14:paraId="1F35BADD" w14:textId="77777777" w:rsidR="00654D1D" w:rsidRPr="00654D1D" w:rsidRDefault="003E526D" w:rsidP="00654D1D">
      <w:pPr>
        <w:spacing w:before="240"/>
        <w:ind w:left="567"/>
        <w:jc w:val="both"/>
        <w:rPr>
          <w:rFonts w:ascii="ITC Avant Garde" w:hAnsi="ITC Avant Garde" w:cs="Arial"/>
        </w:rPr>
      </w:pPr>
      <w:r w:rsidRPr="00654D1D">
        <w:rPr>
          <w:rFonts w:ascii="ITC Avant Garde" w:hAnsi="ITC Avant Garde" w:cs="Arial"/>
        </w:rPr>
        <w:t xml:space="preserve">Es importante recalcar que el uso de un modelo Top-Down como lo propone la Recurrente en el sentido de utilizar su información, es decir, utilizar la información contable restaría transparencia a la decisión al no poderse hacer público el modelo, en cambio, el uso de un modelo </w:t>
      </w:r>
      <w:proofErr w:type="spellStart"/>
      <w:r w:rsidRPr="00654D1D">
        <w:rPr>
          <w:rFonts w:ascii="ITC Avant Garde" w:hAnsi="ITC Avant Garde" w:cs="Arial"/>
        </w:rPr>
        <w:t>Bottom</w:t>
      </w:r>
      <w:proofErr w:type="spellEnd"/>
      <w:r w:rsidRPr="00654D1D">
        <w:rPr>
          <w:rFonts w:ascii="ITC Avant Garde" w:hAnsi="ITC Avant Garde" w:cs="Arial"/>
        </w:rPr>
        <w:t xml:space="preserve">-Up que sea público y replicable por todos los concesionarios otorga certeza jurídica a todos los involucrados. </w:t>
      </w:r>
    </w:p>
    <w:p w14:paraId="3D46F41E" w14:textId="77777777" w:rsidR="00654D1D" w:rsidRPr="00654D1D" w:rsidRDefault="003E526D" w:rsidP="00654D1D">
      <w:pPr>
        <w:spacing w:before="240"/>
        <w:ind w:left="567"/>
        <w:jc w:val="both"/>
        <w:rPr>
          <w:rFonts w:ascii="ITC Avant Garde" w:hAnsi="ITC Avant Garde" w:cs="Arial"/>
        </w:rPr>
      </w:pPr>
      <w:r w:rsidRPr="00654D1D">
        <w:rPr>
          <w:rFonts w:ascii="ITC Avant Garde" w:hAnsi="ITC Avant Garde" w:cs="Arial"/>
        </w:rPr>
        <w:t xml:space="preserve">Aunado a lo anterior, es importante señalar que utilizar un Modelo </w:t>
      </w:r>
      <w:proofErr w:type="spellStart"/>
      <w:r w:rsidRPr="00654D1D">
        <w:rPr>
          <w:rFonts w:ascii="ITC Avant Garde" w:hAnsi="ITC Avant Garde" w:cs="Arial"/>
        </w:rPr>
        <w:t>Bottom</w:t>
      </w:r>
      <w:proofErr w:type="spellEnd"/>
      <w:r w:rsidRPr="00654D1D">
        <w:rPr>
          <w:rFonts w:ascii="ITC Avant Garde" w:hAnsi="ITC Avant Garde" w:cs="Arial"/>
        </w:rPr>
        <w:t xml:space="preserve">-up que diseña a un operador representativo permite en lo que respecta a la fecha de lanzamiento, ser establecida de forma consistente en el Modelo de Costos, ya que considera aspectos claves en el despliegue de las redes reales de los concesionarios que participan en el mercado, en lo que respecta a tecnología que utiliza el operador representativo, la tecnología utilizada se define de forma específica, tomando en consideración componentes relevantes de las redes existentes. En lo que respecta a la migración a tecnología moderna, utilizando el operador representativo, la evolución y migración de este operador puede definirse de forma específica, teniendo en cuenta las redes existentes. En lo que respecta a la eficiencia, estos aspectos pueden ser definidos, con un operador representativo, y en lo que respecta a la transparencia en la utilización del Modelo de Costos </w:t>
      </w:r>
      <w:proofErr w:type="spellStart"/>
      <w:r w:rsidRPr="00654D1D">
        <w:rPr>
          <w:rFonts w:ascii="ITC Avant Garde" w:hAnsi="ITC Avant Garde" w:cs="Arial"/>
        </w:rPr>
        <w:t>Bottom</w:t>
      </w:r>
      <w:proofErr w:type="spellEnd"/>
      <w:r w:rsidRPr="00654D1D">
        <w:rPr>
          <w:rFonts w:ascii="ITC Avant Garde" w:hAnsi="ITC Avant Garde" w:cs="Arial"/>
        </w:rPr>
        <w:t>-up, la transparencia aumenta debido a las semejanzas entre los operadores móviles, por lo que este enfoque es transparente y un buen reflejo de la realidad de los operadores.</w:t>
      </w:r>
    </w:p>
    <w:p w14:paraId="10035D74" w14:textId="77777777" w:rsidR="00654D1D" w:rsidRPr="00654D1D" w:rsidRDefault="003E526D" w:rsidP="00654D1D">
      <w:pPr>
        <w:numPr>
          <w:ilvl w:val="0"/>
          <w:numId w:val="34"/>
        </w:num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El argumento de la Recurrente es improcedente, toda vez que en la Resolución recurrida se establecieron con precisión los costos relacionados directa e indirectamente con el servicio de terminación móvil que se deben de considerar para determinar dicha tarifa de interconexión, como se desprende del desarrollo del modelo de costos que obra a fojas 31 a 66 de la Resolución recurrida.</w:t>
      </w:r>
    </w:p>
    <w:p w14:paraId="5F3D90E5"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lastRenderedPageBreak/>
        <w:t>Sin perjuicio de lo anterior, es importante señalar que la Recurrente no precisa cuáles son los costos que la Comisión descartó relacionados directa e indirectamente con el servicio de interconexión, por lo que el presente agravio se desecha por infundado, en virtud de que el mismo no puede considerarse como tal, toda vez que la Recurrente pierde noción de lo que debe entenderse por agravio, ya que al expresar cada uno de ellos la técnica jurídico-procesal que exige la ley es que el actor precise cuál es la parte de la sentencia que le causa un perjuicio, además de citar el precepto legal violado y explicar a través de razonamientos el concepto por el cual fue infringido; por lo que el agravio que carezca de esos requisitos debe desestimarse por injustificado; por tanto, el hecho de que la Recurrente manifieste que se omitieron señalar las razones de porqué se consideraron aquellos costos que son originados por la provisión de un incremento específico en el servicio de terminación de llamadas en redes de telefonía móvil, en nada violenta sus derechos.</w:t>
      </w:r>
    </w:p>
    <w:p w14:paraId="2791A410" w14:textId="77777777" w:rsidR="00654D1D" w:rsidRPr="00654D1D" w:rsidRDefault="003E526D" w:rsidP="00654D1D">
      <w:pPr>
        <w:numPr>
          <w:ilvl w:val="0"/>
          <w:numId w:val="34"/>
        </w:num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El argumento de la Recurrente es infundado, toda vez que en la Resolución recurrida se estableció con claridad el tipo de depreciación a utilizarse, como se presenta a continuación:</w:t>
      </w:r>
    </w:p>
    <w:p w14:paraId="21477B17" w14:textId="77777777" w:rsidR="00654D1D" w:rsidRPr="00654D1D" w:rsidRDefault="003E526D" w:rsidP="00654D1D">
      <w:pPr>
        <w:spacing w:before="240"/>
        <w:ind w:left="1134" w:right="281"/>
        <w:jc w:val="both"/>
        <w:rPr>
          <w:rFonts w:ascii="ITC Avant Garde" w:hAnsi="ITC Avant Garde" w:cs="Arial"/>
          <w:sz w:val="18"/>
          <w:szCs w:val="18"/>
        </w:rPr>
      </w:pPr>
      <w:r w:rsidRPr="00654D1D">
        <w:rPr>
          <w:rFonts w:ascii="ITC Avant Garde" w:hAnsi="ITC Avant Garde" w:cs="Arial"/>
          <w:sz w:val="18"/>
          <w:szCs w:val="18"/>
        </w:rPr>
        <w:t>“En el Modelo CITLP, para prorratear la inversión total a lo largo de la vida útil de los equipos, y así obtener el costo de capital anual (</w:t>
      </w:r>
      <w:proofErr w:type="spellStart"/>
      <w:r w:rsidRPr="00654D1D">
        <w:rPr>
          <w:rFonts w:ascii="ITC Avant Garde" w:hAnsi="ITC Avant Garde" w:cs="Arial"/>
          <w:sz w:val="18"/>
          <w:szCs w:val="18"/>
        </w:rPr>
        <w:t>capex</w:t>
      </w:r>
      <w:proofErr w:type="spellEnd"/>
      <w:r w:rsidRPr="00654D1D">
        <w:rPr>
          <w:rFonts w:ascii="ITC Avant Garde" w:hAnsi="ITC Avant Garde" w:cs="Arial"/>
          <w:sz w:val="18"/>
          <w:szCs w:val="18"/>
        </w:rPr>
        <w:t>) correspondiente, se consideró la aplicación de una depreciación económica por ser más apropiada que la contable.</w:t>
      </w:r>
      <w:r w:rsidRPr="00654D1D">
        <w:rPr>
          <w:rFonts w:ascii="ITC Avant Garde" w:hAnsi="ITC Avant Garde" w:cs="Arial"/>
          <w:sz w:val="18"/>
          <w:szCs w:val="18"/>
          <w:vertAlign w:val="superscript"/>
        </w:rPr>
        <w:footnoteReference w:id="9"/>
      </w:r>
      <w:r w:rsidRPr="00654D1D">
        <w:rPr>
          <w:rFonts w:ascii="ITC Avant Garde" w:hAnsi="ITC Avant Garde" w:cs="Arial"/>
          <w:sz w:val="18"/>
          <w:szCs w:val="18"/>
        </w:rPr>
        <w:t xml:space="preserve"> </w:t>
      </w:r>
    </w:p>
    <w:p w14:paraId="05031830" w14:textId="77777777" w:rsidR="00654D1D" w:rsidRPr="00654D1D" w:rsidRDefault="003E526D" w:rsidP="00654D1D">
      <w:pPr>
        <w:spacing w:before="240"/>
        <w:ind w:left="1134" w:right="281"/>
        <w:jc w:val="both"/>
        <w:rPr>
          <w:rFonts w:ascii="ITC Avant Garde" w:hAnsi="ITC Avant Garde" w:cs="Arial"/>
          <w:sz w:val="18"/>
          <w:szCs w:val="18"/>
        </w:rPr>
      </w:pPr>
      <w:r w:rsidRPr="00654D1D">
        <w:rPr>
          <w:rFonts w:ascii="ITC Avant Garde" w:hAnsi="ITC Avant Garde" w:cs="Arial"/>
          <w:sz w:val="18"/>
          <w:szCs w:val="18"/>
        </w:rPr>
        <w:t>El problema de emplear el método de depreciación contable consiste en que para su cálculo se utilizan los valores históricos o valores en libros de los activos, que se encuentran en los estados financieros de las empresas, los cuales se asientan a los valores que la empresa pagó por ellos sin importar cuánto valen en el mercado.</w:t>
      </w:r>
    </w:p>
    <w:p w14:paraId="05A6CBD7" w14:textId="77777777" w:rsidR="00654D1D" w:rsidRPr="00654D1D" w:rsidRDefault="003E526D" w:rsidP="00654D1D">
      <w:pPr>
        <w:spacing w:before="240"/>
        <w:ind w:left="1134" w:right="281"/>
        <w:jc w:val="both"/>
        <w:rPr>
          <w:rFonts w:ascii="ITC Avant Garde" w:hAnsi="ITC Avant Garde" w:cs="Arial"/>
          <w:sz w:val="18"/>
          <w:szCs w:val="18"/>
        </w:rPr>
      </w:pPr>
      <w:r w:rsidRPr="00654D1D">
        <w:rPr>
          <w:rFonts w:ascii="ITC Avant Garde" w:hAnsi="ITC Avant Garde" w:cs="Arial"/>
          <w:sz w:val="18"/>
          <w:szCs w:val="18"/>
        </w:rPr>
        <w:t>De esta forma, la utilización de la depreciación contable puede resultar en que el valor de un activo asentado en libros tenga poca relación con su valor real o su valor de reventa. Por ejemplo, un activo que fue objeto de una depreciación contable acelerada puede tener un valor en libros de cero, sugiriendo que el mismo debe ser reemplazado, cuando puede tener un valor considerable en el mercado; de la misma forma un activo puede tener un elevado valor en libros aun cuando es tecnológicamente obsoleto y tener un valor de mercado de cero.</w:t>
      </w:r>
    </w:p>
    <w:p w14:paraId="2C0300A2" w14:textId="77777777" w:rsidR="00654D1D" w:rsidRPr="00654D1D" w:rsidRDefault="003E526D" w:rsidP="00654D1D">
      <w:pPr>
        <w:spacing w:before="240"/>
        <w:ind w:left="1134" w:right="281"/>
        <w:jc w:val="both"/>
        <w:rPr>
          <w:rFonts w:ascii="ITC Avant Garde" w:hAnsi="ITC Avant Garde" w:cs="Arial"/>
          <w:sz w:val="18"/>
          <w:szCs w:val="18"/>
        </w:rPr>
      </w:pPr>
      <w:r w:rsidRPr="00654D1D">
        <w:rPr>
          <w:rFonts w:ascii="ITC Avant Garde" w:hAnsi="ITC Avant Garde" w:cs="Arial"/>
          <w:sz w:val="18"/>
          <w:szCs w:val="18"/>
        </w:rPr>
        <w:t xml:space="preserve">Por otro lado, la depreciación económica mide el cambio en el valor de mercado de un activo periodo a periodo, de tal forma que permite incorporar al modelo de costos los cambios en los precios de los insumos, los cuales son constantes en un sector tan dinámico como es el de las telecomunicaciones. Así, la depreciación económica permite que se </w:t>
      </w:r>
      <w:r w:rsidRPr="00654D1D">
        <w:rPr>
          <w:rFonts w:ascii="ITC Avant Garde" w:hAnsi="ITC Avant Garde" w:cs="Arial"/>
          <w:sz w:val="18"/>
          <w:szCs w:val="18"/>
        </w:rPr>
        <w:lastRenderedPageBreak/>
        <w:t xml:space="preserve">propicie una asignación eficiente de los recursos a cada uno de los periodos de la vida económica del activo. </w:t>
      </w:r>
    </w:p>
    <w:p w14:paraId="3D8B9152" w14:textId="77777777" w:rsidR="00654D1D" w:rsidRPr="00654D1D" w:rsidRDefault="003E526D" w:rsidP="00654D1D">
      <w:pPr>
        <w:spacing w:before="240"/>
        <w:ind w:left="1134" w:right="281"/>
        <w:jc w:val="both"/>
        <w:rPr>
          <w:rFonts w:ascii="ITC Avant Garde" w:hAnsi="ITC Avant Garde" w:cs="Arial"/>
          <w:sz w:val="18"/>
          <w:szCs w:val="18"/>
        </w:rPr>
      </w:pPr>
      <w:r w:rsidRPr="00654D1D">
        <w:rPr>
          <w:rFonts w:ascii="ITC Avant Garde" w:hAnsi="ITC Avant Garde" w:cs="Arial"/>
          <w:sz w:val="18"/>
          <w:szCs w:val="18"/>
        </w:rPr>
        <w:t>En consecuencia, de manera congruente con el establecimiento de tarifas por el servicio de terminación que se reflejarían en un mercado competitivo, en el desarrollo del Modelo CITLP se utilizó el método de depreciación económica.”</w:t>
      </w:r>
    </w:p>
    <w:p w14:paraId="3A59BF51" w14:textId="77777777" w:rsidR="00654D1D" w:rsidRPr="00654D1D" w:rsidRDefault="003E526D" w:rsidP="00654D1D">
      <w:pPr>
        <w:spacing w:before="240"/>
        <w:ind w:left="567"/>
        <w:jc w:val="both"/>
        <w:rPr>
          <w:rFonts w:ascii="ITC Avant Garde" w:eastAsia="Times New Roman" w:hAnsi="ITC Avant Garde" w:cs="Arial"/>
          <w:sz w:val="24"/>
          <w:szCs w:val="20"/>
          <w:lang w:val="es-ES" w:eastAsia="es-MX"/>
        </w:rPr>
      </w:pPr>
      <w:r w:rsidRPr="00654D1D">
        <w:rPr>
          <w:rFonts w:ascii="ITC Avant Garde" w:eastAsia="Times New Roman" w:hAnsi="ITC Avant Garde" w:cs="Arial"/>
          <w:lang w:val="es-ES" w:eastAsia="es-MX"/>
        </w:rPr>
        <w:t>Sin perjuicio de lo anterior, resulta del todo natural que un activo sea reemplazado al final de su vida útil, puesto que ya no es posible que pueda prestar las funciones para las cuales fue adquirido.</w:t>
      </w:r>
    </w:p>
    <w:p w14:paraId="3A0AFB35" w14:textId="77777777" w:rsidR="00654D1D" w:rsidRPr="00654D1D" w:rsidRDefault="003E526D" w:rsidP="00654D1D">
      <w:pPr>
        <w:numPr>
          <w:ilvl w:val="0"/>
          <w:numId w:val="34"/>
        </w:numPr>
        <w:spacing w:before="240"/>
        <w:ind w:left="567" w:hanging="35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El argumento de la Recurrente es infundado, ya que en el numeral 7) anterior se explicaron las consideraciones de la extinta Comisión para utilizar a un operador representativo. Asimismo, por lo que hace a la utilización de un operador representativo con el 25% de participación en el mercado, en la Resolución recurrida se establece que:</w:t>
      </w:r>
    </w:p>
    <w:p w14:paraId="787515FE" w14:textId="77777777" w:rsidR="00654D1D" w:rsidRPr="00654D1D" w:rsidRDefault="003E526D" w:rsidP="00654D1D">
      <w:pPr>
        <w:spacing w:before="240"/>
        <w:ind w:left="1134" w:right="281"/>
        <w:jc w:val="both"/>
        <w:rPr>
          <w:rFonts w:ascii="ITC Avant Garde" w:hAnsi="ITC Avant Garde" w:cs="Arial"/>
          <w:sz w:val="18"/>
          <w:szCs w:val="18"/>
        </w:rPr>
      </w:pPr>
      <w:r w:rsidRPr="00654D1D">
        <w:rPr>
          <w:rFonts w:ascii="ITC Avant Garde" w:hAnsi="ITC Avant Garde" w:cs="Arial"/>
          <w:sz w:val="18"/>
          <w:szCs w:val="18"/>
        </w:rPr>
        <w:t>“La utilización de modelos ascendentes (</w:t>
      </w:r>
      <w:proofErr w:type="spellStart"/>
      <w:r w:rsidRPr="00654D1D">
        <w:rPr>
          <w:rFonts w:ascii="ITC Avant Garde" w:hAnsi="ITC Avant Garde" w:cs="Arial"/>
          <w:sz w:val="18"/>
          <w:szCs w:val="18"/>
        </w:rPr>
        <w:t>Bottom</w:t>
      </w:r>
      <w:proofErr w:type="spellEnd"/>
      <w:r w:rsidRPr="00654D1D">
        <w:rPr>
          <w:rFonts w:ascii="ITC Avant Garde" w:hAnsi="ITC Avant Garde" w:cs="Arial"/>
          <w:sz w:val="18"/>
          <w:szCs w:val="18"/>
        </w:rPr>
        <w:t xml:space="preserve">-Up) permite diseñar una red de telecomunicaciones eficiente, con lo cual se calculan los costos de interconexión que se tendrían en un mercado competitivo. Por el contrario, los modelos descendentes (Top-Down) parten del diseño actual de las redes, por lo que suelen incluir ineficiencias, que de incluirse en la tarifa de interconexión, serían trasladadas a otros operadores, y ultimadamente a los usuarios. </w:t>
      </w:r>
    </w:p>
    <w:p w14:paraId="41F5D5FF" w14:textId="77777777" w:rsidR="00654D1D" w:rsidRPr="00654D1D" w:rsidRDefault="003E526D" w:rsidP="00654D1D">
      <w:pPr>
        <w:spacing w:before="240"/>
        <w:ind w:left="1134" w:right="281"/>
        <w:jc w:val="both"/>
        <w:rPr>
          <w:rFonts w:ascii="ITC Avant Garde" w:hAnsi="ITC Avant Garde" w:cs="Arial"/>
          <w:sz w:val="18"/>
          <w:szCs w:val="18"/>
        </w:rPr>
      </w:pPr>
      <w:r w:rsidRPr="00654D1D">
        <w:rPr>
          <w:rFonts w:ascii="ITC Avant Garde" w:hAnsi="ITC Avant Garde" w:cs="Arial"/>
          <w:sz w:val="18"/>
          <w:szCs w:val="18"/>
        </w:rPr>
        <w:t>En el Modelo CITLP se considera un mercado competitivo en el que participan 4 operadores con la misma participación de mercado, ofreciendo servicios de telefonía móvil, por lo que el operador representativo tiene una participación del 25% del mercado.</w:t>
      </w:r>
      <w:r w:rsidRPr="00654D1D">
        <w:rPr>
          <w:rFonts w:ascii="ITC Avant Garde" w:hAnsi="ITC Avant Garde" w:cs="Arial"/>
          <w:sz w:val="18"/>
          <w:szCs w:val="18"/>
          <w:vertAlign w:val="superscript"/>
        </w:rPr>
        <w:footnoteReference w:id="10"/>
      </w:r>
      <w:r w:rsidRPr="00654D1D">
        <w:rPr>
          <w:rFonts w:ascii="ITC Avant Garde" w:hAnsi="ITC Avant Garde" w:cs="Arial"/>
          <w:sz w:val="18"/>
          <w:szCs w:val="18"/>
        </w:rPr>
        <w:t xml:space="preserve"> El utilizar una participación de mercado del 25% para la determinación del costo de interconexión en la terminación de una llamada en la red móvil, es congruente con la recomendación de la Comunidad Europea</w:t>
      </w:r>
      <w:r w:rsidRPr="00654D1D">
        <w:rPr>
          <w:rFonts w:ascii="ITC Avant Garde" w:hAnsi="ITC Avant Garde" w:cs="Arial"/>
          <w:sz w:val="18"/>
          <w:szCs w:val="18"/>
          <w:vertAlign w:val="superscript"/>
        </w:rPr>
        <w:footnoteReference w:id="11"/>
      </w:r>
      <w:r w:rsidRPr="00654D1D">
        <w:rPr>
          <w:rFonts w:ascii="ITC Avant Garde" w:hAnsi="ITC Avant Garde" w:cs="Arial"/>
          <w:sz w:val="18"/>
          <w:szCs w:val="18"/>
        </w:rPr>
        <w:t xml:space="preserve">, y con los participantes en el mercado mexicano. Asimismo, este operador utiliza la tecnología GSM (Global </w:t>
      </w:r>
      <w:proofErr w:type="spellStart"/>
      <w:r w:rsidRPr="00654D1D">
        <w:rPr>
          <w:rFonts w:ascii="ITC Avant Garde" w:hAnsi="ITC Avant Garde" w:cs="Arial"/>
          <w:sz w:val="18"/>
          <w:szCs w:val="18"/>
        </w:rPr>
        <w:t>System</w:t>
      </w:r>
      <w:proofErr w:type="spellEnd"/>
      <w:r w:rsidRPr="00654D1D">
        <w:rPr>
          <w:rFonts w:ascii="ITC Avant Garde" w:hAnsi="ITC Avant Garde" w:cs="Arial"/>
          <w:sz w:val="18"/>
          <w:szCs w:val="18"/>
        </w:rPr>
        <w:t xml:space="preserve"> </w:t>
      </w:r>
      <w:proofErr w:type="spellStart"/>
      <w:r w:rsidRPr="00654D1D">
        <w:rPr>
          <w:rFonts w:ascii="ITC Avant Garde" w:hAnsi="ITC Avant Garde" w:cs="Arial"/>
          <w:sz w:val="18"/>
          <w:szCs w:val="18"/>
        </w:rPr>
        <w:t>for</w:t>
      </w:r>
      <w:proofErr w:type="spellEnd"/>
      <w:r w:rsidRPr="00654D1D">
        <w:rPr>
          <w:rFonts w:ascii="ITC Avant Garde" w:hAnsi="ITC Avant Garde" w:cs="Arial"/>
          <w:sz w:val="18"/>
          <w:szCs w:val="18"/>
        </w:rPr>
        <w:t xml:space="preserve"> Mobile </w:t>
      </w:r>
      <w:proofErr w:type="spellStart"/>
      <w:r w:rsidRPr="00654D1D">
        <w:rPr>
          <w:rFonts w:ascii="ITC Avant Garde" w:hAnsi="ITC Avant Garde" w:cs="Arial"/>
          <w:sz w:val="18"/>
          <w:szCs w:val="18"/>
        </w:rPr>
        <w:t>Communications</w:t>
      </w:r>
      <w:proofErr w:type="spellEnd"/>
      <w:r w:rsidRPr="00654D1D">
        <w:rPr>
          <w:rFonts w:ascii="ITC Avant Garde" w:hAnsi="ITC Avant Garde" w:cs="Arial"/>
          <w:sz w:val="18"/>
          <w:szCs w:val="18"/>
        </w:rPr>
        <w:t>) que es la tecnología predominantemente utilizada en México, por lo que no se puede considerar al Modelo CITLP totalmente prospectivo.</w:t>
      </w:r>
    </w:p>
    <w:p w14:paraId="4442C7A4" w14:textId="77777777" w:rsidR="00654D1D" w:rsidRPr="00654D1D" w:rsidRDefault="003E526D" w:rsidP="00654D1D">
      <w:pPr>
        <w:spacing w:before="240"/>
        <w:ind w:left="1134" w:right="281"/>
        <w:jc w:val="both"/>
        <w:rPr>
          <w:rFonts w:ascii="ITC Avant Garde" w:hAnsi="ITC Avant Garde" w:cs="Arial"/>
          <w:sz w:val="18"/>
          <w:szCs w:val="18"/>
        </w:rPr>
      </w:pPr>
      <w:r w:rsidRPr="00654D1D">
        <w:rPr>
          <w:rFonts w:ascii="ITC Avant Garde" w:hAnsi="ITC Avant Garde" w:cs="Arial"/>
          <w:sz w:val="18"/>
          <w:szCs w:val="18"/>
        </w:rPr>
        <w:t>Cabe señalar que la definición de una tarifa de terminación para el operador representativo, conduce a la determinación de una tarifa simétrica para todos los operadores de redes de telefonía móvil, lo cual es deseable dado que tarifas asimétricas presentan el problema de producir distorsiones en el mercado como son las prácticas de arbitraje para evitar el pago de interconexión (</w:t>
      </w:r>
      <w:proofErr w:type="spellStart"/>
      <w:r w:rsidRPr="00654D1D">
        <w:rPr>
          <w:rFonts w:ascii="ITC Avant Garde" w:hAnsi="ITC Avant Garde" w:cs="Arial"/>
          <w:sz w:val="18"/>
          <w:szCs w:val="18"/>
        </w:rPr>
        <w:t>by-pass</w:t>
      </w:r>
      <w:proofErr w:type="spellEnd"/>
      <w:r w:rsidRPr="00654D1D">
        <w:rPr>
          <w:rFonts w:ascii="ITC Avant Garde" w:hAnsi="ITC Avant Garde" w:cs="Arial"/>
          <w:sz w:val="18"/>
          <w:szCs w:val="18"/>
        </w:rPr>
        <w:t xml:space="preserve">), así como modelos de negocios que en vez de enfocarse a la oferta de servicios al usuario final se concentran en la generación de ingresos por interconexión. </w:t>
      </w:r>
    </w:p>
    <w:p w14:paraId="618231F8" w14:textId="77777777" w:rsidR="00654D1D" w:rsidRPr="00654D1D" w:rsidRDefault="003E526D" w:rsidP="00654D1D">
      <w:pPr>
        <w:spacing w:before="240"/>
        <w:ind w:left="1134" w:right="281"/>
        <w:jc w:val="both"/>
        <w:rPr>
          <w:rFonts w:ascii="ITC Avant Garde" w:hAnsi="ITC Avant Garde" w:cs="Arial"/>
          <w:sz w:val="18"/>
          <w:szCs w:val="18"/>
        </w:rPr>
      </w:pPr>
      <w:r w:rsidRPr="00654D1D">
        <w:rPr>
          <w:rFonts w:ascii="ITC Avant Garde" w:hAnsi="ITC Avant Garde" w:cs="Arial"/>
          <w:sz w:val="18"/>
          <w:szCs w:val="18"/>
        </w:rPr>
        <w:lastRenderedPageBreak/>
        <w:t>Al dimensionar la red del operador representativo, se utilizó información que refleja las condiciones bajo las cuales operan los operadores de telefonía móvil en México. Asimismo, se estimaron todos los elementos necesarios para satisfacer dicha demanda con la calidad de servicio especificada. Cabe señalar que la demanda toma en consideración tanto el número de subscriptores como la utilización de los servicios.”</w:t>
      </w:r>
    </w:p>
    <w:p w14:paraId="25BA4C6B"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De lo anterior queda claro que la extinta Comisión no vulneró la legislación aplicable al establecer un operador representativo que cuenta con el 25% de participación en el mercado, ya que como se ha demostrado la extinta Comisión motivó debidamente la Resolución recurrida al establecer las consideraciones por las cuales se utiliza un operador representativo y la razón de utilizar una participación de mercado del 25%.</w:t>
      </w:r>
    </w:p>
    <w:p w14:paraId="1B3AC1CD" w14:textId="77777777" w:rsidR="00654D1D" w:rsidRPr="00654D1D" w:rsidRDefault="003E526D" w:rsidP="00654D1D">
      <w:pPr>
        <w:numPr>
          <w:ilvl w:val="0"/>
          <w:numId w:val="34"/>
        </w:num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El argumento de la Recurrente es improcedente, toda vez que en la Resolución recurrida se estableció la debida motivación que da lugar a utilizar la tecnología GSM, en virtud de que se indicó que era la tecnología predominantemente utilizada en México al momento de elaborar el modelo de costos.</w:t>
      </w:r>
    </w:p>
    <w:p w14:paraId="2E4F0EBE"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Aunado a lo anterior es un hecho notorio de la industria de las telecomunicaciones que, al momento de elaborar el modelo de costos, la tecnología GSM:</w:t>
      </w:r>
    </w:p>
    <w:p w14:paraId="4327219A" w14:textId="77777777" w:rsidR="00654D1D" w:rsidRPr="00654D1D" w:rsidRDefault="003E526D" w:rsidP="00654D1D">
      <w:pPr>
        <w:numPr>
          <w:ilvl w:val="0"/>
          <w:numId w:val="41"/>
        </w:numPr>
        <w:suppressAutoHyphens/>
        <w:spacing w:before="240"/>
        <w:ind w:left="1068"/>
        <w:jc w:val="both"/>
        <w:rPr>
          <w:rFonts w:ascii="ITC Avant Garde" w:hAnsi="ITC Avant Garde" w:cs="Arial"/>
        </w:rPr>
      </w:pPr>
      <w:r w:rsidRPr="00654D1D">
        <w:rPr>
          <w:rFonts w:ascii="ITC Avant Garde" w:hAnsi="ITC Avant Garde" w:cs="Arial"/>
        </w:rPr>
        <w:t xml:space="preserve">Era una tecnología utilizada en las redes de los concesionarios móviles que proveen servicios de telecomunicaciones tanto en nuestro país como en otros, es decir, no se seleccionó una tecnología que se encuentre en fase de desarrollo o de prueba. </w:t>
      </w:r>
    </w:p>
    <w:p w14:paraId="060F0EA1" w14:textId="77777777" w:rsidR="00654D1D" w:rsidRPr="00654D1D" w:rsidRDefault="003E526D" w:rsidP="00654D1D">
      <w:pPr>
        <w:numPr>
          <w:ilvl w:val="0"/>
          <w:numId w:val="41"/>
        </w:numPr>
        <w:suppressAutoHyphens/>
        <w:spacing w:before="240"/>
        <w:ind w:left="1068"/>
        <w:jc w:val="both"/>
        <w:rPr>
          <w:rFonts w:ascii="ITC Avant Garde" w:hAnsi="ITC Avant Garde" w:cs="Arial"/>
        </w:rPr>
      </w:pPr>
      <w:r w:rsidRPr="00654D1D">
        <w:rPr>
          <w:rFonts w:ascii="ITC Avant Garde" w:hAnsi="ITC Avant Garde" w:cs="Arial"/>
        </w:rPr>
        <w:t>Era una tecnología que replicaba los costos y por lo tanto consideraba los equipos que se proveían en un mercado competitivo, es decir, no se empleó una tecnología propietaria que dependa de un solo proveedor.</w:t>
      </w:r>
    </w:p>
    <w:p w14:paraId="41262DBB" w14:textId="77777777" w:rsidR="00654D1D" w:rsidRPr="00654D1D" w:rsidRDefault="003E526D" w:rsidP="00654D1D">
      <w:pPr>
        <w:numPr>
          <w:ilvl w:val="0"/>
          <w:numId w:val="41"/>
        </w:numPr>
        <w:suppressAutoHyphens/>
        <w:spacing w:before="240"/>
        <w:ind w:left="1068"/>
        <w:jc w:val="both"/>
        <w:rPr>
          <w:rFonts w:ascii="ITC Avant Garde" w:hAnsi="ITC Avant Garde" w:cs="Arial"/>
        </w:rPr>
      </w:pPr>
      <w:r w:rsidRPr="00654D1D">
        <w:rPr>
          <w:rFonts w:ascii="ITC Avant Garde" w:hAnsi="ITC Avant Garde" w:cs="Arial"/>
        </w:rPr>
        <w:t>La tecnología utilizada permitía prestar como mínimo los servicios que ofrecen la mayoría de los concesionarios del servicio móvil, en este caso el servicio de voz, además, con ciertas adecuaciones en la red o en sus sistemas, esta tecnología permite a los concesionarios ofrecer nuevas aplicaciones y servicios, como es el caso de acceso de banda ancha a Internet, transmisión de datos, entre otros.</w:t>
      </w:r>
    </w:p>
    <w:p w14:paraId="7036794B" w14:textId="77777777" w:rsidR="00654D1D" w:rsidRPr="00654D1D" w:rsidRDefault="003E526D" w:rsidP="00654D1D">
      <w:pPr>
        <w:spacing w:before="240"/>
        <w:ind w:left="708"/>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En este caso fue la tecnología GSM, la cual era la tecnología predominantemente utilizada en México al momento de elaborar el modelo de costos.</w:t>
      </w:r>
    </w:p>
    <w:p w14:paraId="23034F52" w14:textId="77777777" w:rsidR="00654D1D" w:rsidRPr="00654D1D" w:rsidRDefault="003E526D" w:rsidP="00654D1D">
      <w:pPr>
        <w:numPr>
          <w:ilvl w:val="0"/>
          <w:numId w:val="34"/>
        </w:num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Es inoperante el argumento de la Recurrente, en virtud de que como ya se acreditó en párrafos anteriores, el modelo de costos utilizado por la Comisión es el método </w:t>
      </w:r>
      <w:r w:rsidRPr="00654D1D">
        <w:rPr>
          <w:rFonts w:ascii="ITC Avant Garde" w:eastAsia="Times New Roman" w:hAnsi="ITC Avant Garde" w:cs="Arial"/>
          <w:lang w:val="es-ES" w:eastAsia="es-MX"/>
        </w:rPr>
        <w:lastRenderedPageBreak/>
        <w:t>idóneo para calcular las tarifas de interconexión. Mientras que el hecho de que se determinen tarifas para el periodo de enero a julio de 2011, corresponde al hecho de que la Comisión determinó las condiciones de interconexión no convenidas entre las partes, las cuales consistieron en el nivel tarifario y el periodo de aplicación, a los cuales se abocó a resolver la extinta Comisión en términos de los artículos 9-A y 42 de la LFT.</w:t>
      </w:r>
    </w:p>
    <w:p w14:paraId="0E08B44D"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Asimismo la recurrente no señala las razones por las cuales un modelo de tipo </w:t>
      </w:r>
      <w:proofErr w:type="spellStart"/>
      <w:r w:rsidRPr="00654D1D">
        <w:rPr>
          <w:rFonts w:ascii="ITC Avant Garde" w:eastAsia="Times New Roman" w:hAnsi="ITC Avant Garde" w:cs="Arial"/>
          <w:lang w:val="es-ES" w:eastAsia="es-MX"/>
        </w:rPr>
        <w:t>Bottom</w:t>
      </w:r>
      <w:proofErr w:type="spellEnd"/>
      <w:r w:rsidRPr="00654D1D">
        <w:rPr>
          <w:rFonts w:ascii="ITC Avant Garde" w:eastAsia="Times New Roman" w:hAnsi="ITC Avant Garde" w:cs="Arial"/>
          <w:lang w:val="es-ES" w:eastAsia="es-MX"/>
        </w:rPr>
        <w:t>-Up no puede ser utilizado para determinar tarifas en el periodo solicitado.</w:t>
      </w:r>
    </w:p>
    <w:p w14:paraId="4C262E41" w14:textId="77777777" w:rsidR="00654D1D" w:rsidRPr="00654D1D" w:rsidRDefault="003E526D" w:rsidP="00654D1D">
      <w:pPr>
        <w:numPr>
          <w:ilvl w:val="0"/>
          <w:numId w:val="34"/>
        </w:num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Es infundado el argumento de la Recurrente, toda vez que la extinta Comisión tomó en consideración los precios de mercado a precios corrientes del modelo de costos del órgano regulador de Francia, y con ellos determinó los costos que se originarían para una empresa establecida que ostenta el 25 por ciento del mercado y que es eficiente es su operación. Como se señaló en la propia Resolución recurrida, la tarifa de interconexión por terminación de tráfico en la red móvil deberá de tomar en cuenta los precios corrientes derivado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1BF4870D" w14:textId="77777777" w:rsidR="00654D1D" w:rsidRPr="00654D1D" w:rsidRDefault="003E526D" w:rsidP="00654D1D">
      <w:pPr>
        <w:spacing w:before="240"/>
        <w:ind w:left="567"/>
        <w:contextualSpacing/>
        <w:jc w:val="both"/>
        <w:rPr>
          <w:rFonts w:ascii="ITC Avant Garde" w:hAnsi="ITC Avant Garde" w:cs="Arial"/>
        </w:rPr>
      </w:pPr>
      <w:r w:rsidRPr="00654D1D">
        <w:rPr>
          <w:rFonts w:ascii="ITC Avant Garde" w:hAnsi="ITC Avant Garde" w:cs="Arial"/>
        </w:rPr>
        <w:t>Asimismo, como se señaló en la propia resolución para la determinación de los costos de proveer el servicio, es necesario primeramente asignar e identificar aquellos costos que están directamente asociados a la prestación del servicio, es decir si existe un costo que es recuperado a través del usuario final o que no es necesario para la prestación del servicio este no deberá de ser incluido en el mismo, este el caso de aquellos costos originados por ejemplo por la publicidad y comercialización de servicios finales, asimismo como el servicio a costear es el servicio de terminación de voz en una red móvil, es necesario no incluir costos que estén directamente asociados a nuevos servicios o servicios distintos a los de voz, como sería el caso de transmisión de datos o acceso a internet o aplicaciones. Por lo cual, esta Comisión en su modelo identificó todos aquellos elementos necesarios para la prestación del servicio de voz en la cual el operador hipotético eficiente utilizará en su red la tecnología GSM.</w:t>
      </w:r>
    </w:p>
    <w:p w14:paraId="534B99D0" w14:textId="77777777" w:rsidR="00654D1D" w:rsidRPr="00654D1D" w:rsidRDefault="003E526D" w:rsidP="00654D1D">
      <w:pPr>
        <w:spacing w:before="240"/>
        <w:ind w:left="567"/>
        <w:contextualSpacing/>
        <w:jc w:val="both"/>
        <w:rPr>
          <w:rFonts w:ascii="ITC Avant Garde" w:hAnsi="ITC Avant Garde" w:cs="Arial"/>
        </w:rPr>
      </w:pPr>
      <w:r w:rsidRPr="00654D1D">
        <w:rPr>
          <w:rFonts w:ascii="ITC Avant Garde" w:hAnsi="ITC Avant Garde" w:cs="Arial"/>
        </w:rPr>
        <w:t xml:space="preserve">Como se mencionó en la Resolución recurrida el Modelo de Costos desarrollado por la Comisión es de un operador eficiente que toma en cuenta los costos de la red para la prestación del servicio de interconexión y que se consideran a costos </w:t>
      </w:r>
      <w:r w:rsidRPr="00654D1D">
        <w:rPr>
          <w:rFonts w:ascii="ITC Avant Garde" w:hAnsi="ITC Avant Garde" w:cs="Arial"/>
        </w:rPr>
        <w:lastRenderedPageBreak/>
        <w:t xml:space="preserve">corrientes o a precios de mercado. 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654D1D">
        <w:rPr>
          <w:rFonts w:ascii="ITC Avant Garde" w:hAnsi="ITC Avant Garde" w:cs="Arial"/>
        </w:rPr>
        <w:t>asignativa</w:t>
      </w:r>
      <w:proofErr w:type="spellEnd"/>
      <w:r w:rsidRPr="00654D1D">
        <w:rPr>
          <w:rFonts w:ascii="ITC Avant Garde" w:hAnsi="ITC Avant Garde" w:cs="Arial"/>
        </w:rPr>
        <w:t xml:space="preserve">, en el sentido de que se establezcan los precios lo más cercanamente posible a los observados en un mercado competitivo, ya que es generalmente aceptado que estos precios son los que maximizan el bienestar social. </w:t>
      </w:r>
    </w:p>
    <w:p w14:paraId="63AECA7B" w14:textId="77777777" w:rsidR="00654D1D" w:rsidRPr="00654D1D" w:rsidRDefault="003E526D" w:rsidP="00654D1D">
      <w:pPr>
        <w:spacing w:before="240"/>
        <w:ind w:left="567"/>
        <w:contextualSpacing/>
        <w:jc w:val="both"/>
        <w:rPr>
          <w:rFonts w:ascii="ITC Avant Garde" w:hAnsi="ITC Avant Garde" w:cs="Arial"/>
        </w:rPr>
      </w:pPr>
      <w:r w:rsidRPr="00654D1D">
        <w:rPr>
          <w:rFonts w:ascii="ITC Avant Garde" w:hAnsi="ITC Avant Garde" w:cs="Arial"/>
        </w:rPr>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 En este contexto, el regulador debe propiciar que se consiga la eficiencia productiva en el sentido de otorgar los suficientes incentivos para la minimización de costos. .</w:t>
      </w:r>
    </w:p>
    <w:p w14:paraId="21081748" w14:textId="77777777" w:rsidR="00654D1D" w:rsidRPr="00654D1D" w:rsidRDefault="003E526D" w:rsidP="00654D1D">
      <w:pPr>
        <w:spacing w:before="240"/>
        <w:ind w:left="567"/>
        <w:contextualSpacing/>
        <w:jc w:val="both"/>
        <w:rPr>
          <w:rFonts w:ascii="ITC Avant Garde" w:hAnsi="ITC Avant Garde" w:cs="Arial"/>
        </w:rPr>
      </w:pPr>
      <w:r w:rsidRPr="00654D1D">
        <w:rPr>
          <w:rFonts w:ascii="ITC Avant Garde" w:hAnsi="ITC Avant Garde" w:cs="Arial"/>
        </w:rPr>
        <w:t>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4B60238A" w14:textId="439AB46A" w:rsidR="003E526D" w:rsidRPr="00654D1D" w:rsidRDefault="003E526D" w:rsidP="00654D1D">
      <w:pPr>
        <w:spacing w:before="240"/>
        <w:ind w:left="567"/>
        <w:contextualSpacing/>
        <w:jc w:val="both"/>
        <w:rPr>
          <w:rFonts w:ascii="ITC Avant Garde" w:hAnsi="ITC Avant Garde" w:cs="Arial"/>
          <w:highlight w:val="green"/>
        </w:rPr>
      </w:pPr>
      <w:r w:rsidRPr="00654D1D">
        <w:rPr>
          <w:rFonts w:ascii="ITC Avant Garde" w:hAnsi="ITC Avant Garde" w:cs="Arial"/>
        </w:rPr>
        <w:t>Asimismo, no es relevante la inclusión de nuevos servicios en el modelo para la determinación de la tarifa de interconexión en 2011.</w:t>
      </w:r>
    </w:p>
    <w:p w14:paraId="05369AFD" w14:textId="77777777" w:rsidR="00654D1D" w:rsidRPr="00654D1D" w:rsidRDefault="003E526D" w:rsidP="00654D1D">
      <w:pPr>
        <w:numPr>
          <w:ilvl w:val="0"/>
          <w:numId w:val="34"/>
        </w:numPr>
        <w:spacing w:before="240"/>
        <w:ind w:left="567"/>
        <w:jc w:val="both"/>
        <w:rPr>
          <w:rFonts w:ascii="ITC Avant Garde" w:eastAsia="Times New Roman" w:hAnsi="ITC Avant Garde" w:cs="Arial"/>
          <w:sz w:val="24"/>
          <w:szCs w:val="20"/>
          <w:lang w:val="es-ES" w:eastAsia="es-MX"/>
        </w:rPr>
      </w:pPr>
      <w:r w:rsidRPr="00654D1D">
        <w:rPr>
          <w:rFonts w:ascii="ITC Avant Garde" w:eastAsia="Times New Roman" w:hAnsi="ITC Avant Garde" w:cs="Arial"/>
          <w:lang w:val="es-ES" w:eastAsia="es-MX"/>
        </w:rPr>
        <w:t>El argumento de la Recurrente resulta inoperante, toda vez que en la Resolución recurrida se estableció lo siguiente:</w:t>
      </w:r>
    </w:p>
    <w:p w14:paraId="4A94BAB6" w14:textId="77777777" w:rsidR="00654D1D" w:rsidRPr="00654D1D" w:rsidRDefault="003E526D" w:rsidP="00654D1D">
      <w:pPr>
        <w:spacing w:before="240"/>
        <w:ind w:left="1134" w:right="281"/>
        <w:jc w:val="both"/>
        <w:rPr>
          <w:rFonts w:ascii="ITC Avant Garde" w:hAnsi="ITC Avant Garde" w:cs="Arial"/>
          <w:sz w:val="18"/>
          <w:szCs w:val="18"/>
        </w:rPr>
      </w:pPr>
      <w:r w:rsidRPr="00654D1D">
        <w:rPr>
          <w:rFonts w:ascii="ITC Avant Garde" w:hAnsi="ITC Avant Garde" w:cs="Arial"/>
          <w:sz w:val="18"/>
          <w:szCs w:val="18"/>
        </w:rPr>
        <w:t>“A partir de la estimación de la inversión total, los costos operativos (</w:t>
      </w:r>
      <w:proofErr w:type="spellStart"/>
      <w:r w:rsidRPr="00654D1D">
        <w:rPr>
          <w:rFonts w:ascii="ITC Avant Garde" w:hAnsi="ITC Avant Garde" w:cs="Arial"/>
          <w:sz w:val="18"/>
          <w:szCs w:val="18"/>
        </w:rPr>
        <w:t>opex</w:t>
      </w:r>
      <w:proofErr w:type="spellEnd"/>
      <w:r w:rsidRPr="00654D1D">
        <w:rPr>
          <w:rFonts w:ascii="ITC Avant Garde" w:hAnsi="ITC Avant Garde" w:cs="Arial"/>
          <w:sz w:val="18"/>
          <w:szCs w:val="18"/>
        </w:rPr>
        <w:t xml:space="preserve">) se calculan como un porcentaje de este monto. Se consideró que los costos operativos equivalen al 15 por </w:t>
      </w:r>
      <w:r w:rsidRPr="00654D1D">
        <w:rPr>
          <w:rFonts w:ascii="ITC Avant Garde" w:hAnsi="ITC Avant Garde" w:cs="Arial"/>
          <w:sz w:val="18"/>
          <w:szCs w:val="18"/>
        </w:rPr>
        <w:lastRenderedPageBreak/>
        <w:t>ciento de la inversión total. Estos costos incluyen los asociados a los costos laborales, dentro de los cuales están incluidos los relacionados con el pago de la Participación de los Trabajadores en las Utilidades (PTU).”</w:t>
      </w:r>
    </w:p>
    <w:p w14:paraId="0D54AE40" w14:textId="77777777" w:rsidR="00654D1D" w:rsidRPr="00654D1D" w:rsidRDefault="003E526D" w:rsidP="00654D1D">
      <w:pPr>
        <w:spacing w:before="240"/>
        <w:ind w:left="567"/>
        <w:contextualSpacing/>
        <w:jc w:val="both"/>
        <w:rPr>
          <w:rFonts w:ascii="ITC Avant Garde" w:hAnsi="ITC Avant Garde" w:cs="Arial"/>
          <w:lang w:val="es-ES"/>
        </w:rPr>
      </w:pPr>
      <w:r w:rsidRPr="00654D1D">
        <w:rPr>
          <w:rFonts w:ascii="ITC Avant Garde" w:hAnsi="ITC Avant Garde" w:cs="Arial"/>
        </w:rPr>
        <w:t>Asimismo</w:t>
      </w:r>
      <w:r w:rsidRPr="00654D1D">
        <w:rPr>
          <w:rFonts w:ascii="ITC Avant Garde" w:hAnsi="ITC Avant Garde" w:cs="Arial"/>
          <w:lang w:val="es-ES"/>
        </w:rPr>
        <w:t>, se reitera que utilizar la situación real de la Recurrente no es factible, ya que se reduce la transparencia en costos y precios; incrementa el riesgo/complejidad en asegurar que se apliquen principios idénticos/consistentes si el método se aplicara a modelos individuales para cada concesionario móvil y aumenta la dificultad para asegurar cumplir con el principio de eficiencia.</w:t>
      </w:r>
    </w:p>
    <w:p w14:paraId="117A96DD" w14:textId="77777777" w:rsidR="00654D1D" w:rsidRPr="00654D1D" w:rsidRDefault="003E526D" w:rsidP="00654D1D">
      <w:pPr>
        <w:spacing w:before="240"/>
        <w:ind w:left="567"/>
        <w:contextualSpacing/>
        <w:jc w:val="both"/>
        <w:rPr>
          <w:rFonts w:ascii="ITC Avant Garde" w:hAnsi="ITC Avant Garde" w:cs="Arial"/>
          <w:lang w:val="es-ES"/>
        </w:rPr>
      </w:pPr>
      <w:r w:rsidRPr="00654D1D">
        <w:rPr>
          <w:rFonts w:ascii="ITC Avant Garde" w:hAnsi="ITC Avant Garde" w:cs="Arial"/>
          <w:lang w:val="es-ES"/>
        </w:rPr>
        <w:t>Asimismo, en la elaboración de modelos de costos es una práctica común expresar el OPEX como un porcentaje del CAPEX, ello en virtud de que en una situación de mercado, las actividades de operación y mantenimiento pueden contratarse con una empresa externa, usualmente a aquella que vende el equipo, por lo que es plenamente factible la estimación del OPEX como un porcentaje del CAPEX.</w:t>
      </w:r>
    </w:p>
    <w:p w14:paraId="6C3FF898" w14:textId="77777777" w:rsidR="00654D1D" w:rsidRPr="00654D1D" w:rsidRDefault="003E526D" w:rsidP="00654D1D">
      <w:pPr>
        <w:numPr>
          <w:ilvl w:val="0"/>
          <w:numId w:val="34"/>
        </w:num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El argumento de la Recurrente es inoperante ya que como se explicó en el numeral 10) anterior, la extinta Comisión estableció en la Resolución recurrida las consideraciones para utilizar a un operador representativo con una cuota de mercado de 25%.</w:t>
      </w:r>
    </w:p>
    <w:p w14:paraId="3E9F2225"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Por otro lado, el modelo de Costos realizado por la extinta Comisión toma en consideración un operador hipotético eficiente que ya se encuentra comercializando sus servicios, por lo tanto el establecer un periodo previo de adquisición y puesta en operación de la red es una decisión de modelado del órgano regulador, cuya inclusión o no, no invalida los resultados arrojados por el modelo de costos. </w:t>
      </w:r>
    </w:p>
    <w:p w14:paraId="705A842B"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Máxime que los resultados obtenidos por el modelo se encuentran de los rangos internacionales utilizados por otros órganos reguladores para 2011, como se muestra a continuación:</w:t>
      </w:r>
    </w:p>
    <w:p w14:paraId="5785C40F" w14:textId="77777777" w:rsidR="00654D1D" w:rsidRPr="00654D1D" w:rsidRDefault="00CF2578" w:rsidP="00654D1D">
      <w:pPr>
        <w:spacing w:before="240"/>
        <w:ind w:left="567"/>
        <w:jc w:val="center"/>
        <w:rPr>
          <w:rFonts w:ascii="ITC Avant Garde" w:eastAsia="Times New Roman" w:hAnsi="ITC Avant Garde" w:cs="Arial"/>
          <w:lang w:val="es-ES" w:eastAsia="es-MX"/>
        </w:rPr>
      </w:pPr>
      <w:r w:rsidRPr="00654D1D">
        <w:rPr>
          <w:rFonts w:ascii="ITC Avant Garde" w:eastAsia="Times New Roman" w:hAnsi="ITC Avant Garde" w:cs="Arial"/>
          <w:lang w:val="es-ES" w:eastAsia="es-MX"/>
        </w:rPr>
        <w:t>SIN TEXTO</w:t>
      </w:r>
    </w:p>
    <w:p w14:paraId="4B60239D" w14:textId="5B8D51BE" w:rsidR="003E526D" w:rsidRPr="00654D1D" w:rsidRDefault="003E526D" w:rsidP="00654D1D">
      <w:pPr>
        <w:spacing w:before="240"/>
        <w:ind w:left="567"/>
        <w:jc w:val="center"/>
        <w:rPr>
          <w:rFonts w:ascii="ITC Avant Garde" w:eastAsia="Times New Roman" w:hAnsi="ITC Avant Garde" w:cs="Arial"/>
          <w:lang w:val="es-ES" w:eastAsia="es-MX"/>
        </w:rPr>
      </w:pPr>
      <w:r w:rsidRPr="00654D1D">
        <w:rPr>
          <w:rFonts w:ascii="ITC Avant Garde" w:eastAsia="Times New Roman" w:hAnsi="ITC Avant Garde" w:cs="Arial"/>
          <w:lang w:val="es-ES" w:eastAsia="es-MX"/>
        </w:rPr>
        <w:t>CARGO PROMEDIO DE INTERCONEXIÓN POR TERMINACIÓN MÓVIL,</w:t>
      </w:r>
    </w:p>
    <w:p w14:paraId="4B60239E" w14:textId="77777777" w:rsidR="003E526D" w:rsidRPr="00654D1D" w:rsidRDefault="003E526D" w:rsidP="00654D1D">
      <w:pPr>
        <w:spacing w:before="240"/>
        <w:ind w:left="567"/>
        <w:jc w:val="center"/>
        <w:rPr>
          <w:rFonts w:ascii="ITC Avant Garde" w:eastAsia="Times New Roman" w:hAnsi="ITC Avant Garde" w:cs="Arial"/>
          <w:lang w:val="es-ES" w:eastAsia="es-MX"/>
        </w:rPr>
      </w:pPr>
      <w:r w:rsidRPr="00654D1D">
        <w:rPr>
          <w:rFonts w:ascii="ITC Avant Garde" w:eastAsia="Times New Roman" w:hAnsi="ITC Avant Garde" w:cs="Arial"/>
          <w:lang w:val="es-ES" w:eastAsia="es-MX"/>
        </w:rPr>
        <w:t>"EL QUE LLAMA PAGA"</w:t>
      </w:r>
    </w:p>
    <w:p w14:paraId="4B60239F" w14:textId="77777777" w:rsidR="003E526D" w:rsidRPr="00654D1D" w:rsidRDefault="003E526D" w:rsidP="00654D1D">
      <w:pPr>
        <w:spacing w:before="240"/>
        <w:ind w:left="567"/>
        <w:jc w:val="center"/>
        <w:rPr>
          <w:rFonts w:ascii="ITC Avant Garde" w:eastAsia="Times New Roman" w:hAnsi="ITC Avant Garde" w:cs="Arial"/>
          <w:lang w:val="es-ES" w:eastAsia="es-MX"/>
        </w:rPr>
      </w:pPr>
      <w:r w:rsidRPr="00654D1D">
        <w:rPr>
          <w:rFonts w:ascii="ITC Avant Garde" w:eastAsia="Times New Roman" w:hAnsi="ITC Avant Garde" w:cs="Arial"/>
          <w:lang w:val="es-ES" w:eastAsia="es-MX"/>
        </w:rPr>
        <w:t>(US CENTS PPP)</w:t>
      </w:r>
    </w:p>
    <w:p w14:paraId="4B6023A0" w14:textId="77777777" w:rsidR="003E526D" w:rsidRPr="00654D1D" w:rsidRDefault="003E526D" w:rsidP="00654D1D">
      <w:pPr>
        <w:spacing w:before="240"/>
        <w:ind w:left="567"/>
        <w:jc w:val="center"/>
        <w:rPr>
          <w:rFonts w:ascii="ITC Avant Garde" w:eastAsia="Times New Roman" w:hAnsi="ITC Avant Garde" w:cs="Arial"/>
          <w:lang w:val="es-ES" w:eastAsia="es-MX"/>
        </w:rPr>
      </w:pPr>
      <w:r w:rsidRPr="00654D1D">
        <w:rPr>
          <w:rFonts w:ascii="ITC Avant Garde" w:eastAsia="Times New Roman" w:hAnsi="ITC Avant Garde" w:cs="Arial"/>
          <w:lang w:eastAsia="es-MX"/>
        </w:rPr>
        <w:t>NOVIEMBRE 2011</w:t>
      </w:r>
    </w:p>
    <w:p w14:paraId="57702AFD"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Times New Roman" w:eastAsia="Times New Roman" w:hAnsi="Times New Roman" w:cs="Times New Roman"/>
          <w:noProof/>
          <w:sz w:val="24"/>
          <w:szCs w:val="20"/>
          <w:lang w:eastAsia="es-MX"/>
        </w:rPr>
        <w:lastRenderedPageBreak/>
        <w:drawing>
          <wp:inline distT="0" distB="0" distL="0" distR="0" wp14:anchorId="4B602894" wp14:editId="50C98214">
            <wp:extent cx="5612130" cy="3386425"/>
            <wp:effectExtent l="0" t="0" r="7620" b="5080"/>
            <wp:docPr id="1" name="Imagen 1" descr="La imagen corresponde a un gráfico que compara por país el cargo promedio de interconexión por terminación móvil." title="Cargo promedio de interconexión por terminación mó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386425"/>
                    </a:xfrm>
                    <a:prstGeom prst="rect">
                      <a:avLst/>
                    </a:prstGeom>
                    <a:noFill/>
                    <a:ln>
                      <a:noFill/>
                    </a:ln>
                  </pic:spPr>
                </pic:pic>
              </a:graphicData>
            </a:graphic>
          </wp:inline>
        </w:drawing>
      </w:r>
    </w:p>
    <w:p w14:paraId="4B6023A3" w14:textId="1CC54837" w:rsidR="003E526D" w:rsidRPr="00654D1D" w:rsidRDefault="003E526D" w:rsidP="00654D1D">
      <w:pPr>
        <w:spacing w:before="240"/>
        <w:ind w:left="567"/>
        <w:jc w:val="both"/>
        <w:rPr>
          <w:rFonts w:ascii="ITC Avant Garde" w:eastAsia="Times New Roman" w:hAnsi="ITC Avant Garde" w:cs="Arial"/>
          <w:sz w:val="18"/>
          <w:szCs w:val="18"/>
          <w:lang w:val="es-ES" w:eastAsia="es-MX"/>
        </w:rPr>
      </w:pPr>
      <w:r w:rsidRPr="00654D1D">
        <w:rPr>
          <w:rFonts w:ascii="ITC Avant Garde" w:eastAsia="Times New Roman" w:hAnsi="ITC Avant Garde" w:cs="Arial"/>
          <w:sz w:val="18"/>
          <w:szCs w:val="18"/>
          <w:lang w:val="es-ES" w:eastAsia="es-MX"/>
        </w:rPr>
        <w:t>*Tarifa en pesos: 0.3912 MXN</w:t>
      </w:r>
    </w:p>
    <w:p w14:paraId="534BB527" w14:textId="77777777" w:rsidR="00654D1D" w:rsidRPr="00654D1D" w:rsidRDefault="003E526D" w:rsidP="00654D1D">
      <w:pPr>
        <w:spacing w:before="240"/>
        <w:ind w:left="567"/>
        <w:jc w:val="both"/>
        <w:rPr>
          <w:rFonts w:ascii="ITC Avant Garde" w:eastAsia="Times New Roman" w:hAnsi="ITC Avant Garde" w:cs="Arial"/>
          <w:b/>
          <w:sz w:val="18"/>
          <w:szCs w:val="18"/>
          <w:lang w:eastAsia="es-MX"/>
        </w:rPr>
      </w:pPr>
      <w:r w:rsidRPr="00654D1D">
        <w:rPr>
          <w:rFonts w:ascii="ITC Avant Garde" w:eastAsia="Times New Roman" w:hAnsi="ITC Avant Garde" w:cs="Arial"/>
          <w:b/>
          <w:sz w:val="18"/>
          <w:szCs w:val="18"/>
          <w:lang w:eastAsia="es-MX"/>
        </w:rPr>
        <w:t xml:space="preserve">Fuente: OVUM, </w:t>
      </w:r>
      <w:proofErr w:type="spellStart"/>
      <w:r w:rsidRPr="00654D1D">
        <w:rPr>
          <w:rFonts w:ascii="ITC Avant Garde" w:eastAsia="Times New Roman" w:hAnsi="ITC Avant Garde" w:cs="Arial"/>
          <w:b/>
          <w:sz w:val="18"/>
          <w:szCs w:val="18"/>
          <w:lang w:eastAsia="es-MX"/>
        </w:rPr>
        <w:t>Europe</w:t>
      </w:r>
      <w:proofErr w:type="spellEnd"/>
      <w:r w:rsidRPr="00654D1D">
        <w:rPr>
          <w:rFonts w:ascii="ITC Avant Garde" w:eastAsia="Times New Roman" w:hAnsi="ITC Avant Garde" w:cs="Arial"/>
          <w:b/>
          <w:sz w:val="18"/>
          <w:szCs w:val="18"/>
          <w:lang w:eastAsia="es-MX"/>
        </w:rPr>
        <w:t xml:space="preserve"> &amp; American </w:t>
      </w:r>
      <w:proofErr w:type="spellStart"/>
      <w:r w:rsidRPr="00654D1D">
        <w:rPr>
          <w:rFonts w:ascii="ITC Avant Garde" w:eastAsia="Times New Roman" w:hAnsi="ITC Avant Garde" w:cs="Arial"/>
          <w:b/>
          <w:sz w:val="18"/>
          <w:szCs w:val="18"/>
          <w:lang w:eastAsia="es-MX"/>
        </w:rPr>
        <w:t>Interconnect</w:t>
      </w:r>
      <w:proofErr w:type="spellEnd"/>
      <w:r w:rsidRPr="00654D1D">
        <w:rPr>
          <w:rFonts w:ascii="ITC Avant Garde" w:eastAsia="Times New Roman" w:hAnsi="ITC Avant Garde" w:cs="Arial"/>
          <w:b/>
          <w:sz w:val="18"/>
          <w:szCs w:val="18"/>
          <w:lang w:eastAsia="es-MX"/>
        </w:rPr>
        <w:t xml:space="preserve"> </w:t>
      </w:r>
      <w:proofErr w:type="spellStart"/>
      <w:r w:rsidRPr="00654D1D">
        <w:rPr>
          <w:rFonts w:ascii="ITC Avant Garde" w:eastAsia="Times New Roman" w:hAnsi="ITC Avant Garde" w:cs="Arial"/>
          <w:b/>
          <w:sz w:val="18"/>
          <w:szCs w:val="18"/>
          <w:lang w:eastAsia="es-MX"/>
        </w:rPr>
        <w:t>Benchmnarks</w:t>
      </w:r>
      <w:proofErr w:type="spellEnd"/>
      <w:r w:rsidRPr="00654D1D">
        <w:rPr>
          <w:rFonts w:ascii="ITC Avant Garde" w:eastAsia="Times New Roman" w:hAnsi="ITC Avant Garde" w:cs="Arial"/>
          <w:b/>
          <w:sz w:val="18"/>
          <w:szCs w:val="18"/>
          <w:lang w:eastAsia="es-MX"/>
        </w:rPr>
        <w:t>: Q4 2011.</w:t>
      </w:r>
    </w:p>
    <w:p w14:paraId="304E5A02"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En la Resolución recurrida se describió el método de </w:t>
      </w:r>
      <w:proofErr w:type="spellStart"/>
      <w:r w:rsidRPr="00654D1D">
        <w:rPr>
          <w:rFonts w:ascii="ITC Avant Garde" w:eastAsia="Times New Roman" w:hAnsi="ITC Avant Garde" w:cs="Arial"/>
          <w:lang w:val="es-ES" w:eastAsia="es-MX"/>
        </w:rPr>
        <w:t>anualización</w:t>
      </w:r>
      <w:proofErr w:type="spellEnd"/>
      <w:r w:rsidRPr="00654D1D">
        <w:rPr>
          <w:rFonts w:ascii="ITC Avant Garde" w:eastAsia="Times New Roman" w:hAnsi="ITC Avant Garde" w:cs="Arial"/>
          <w:lang w:val="es-ES" w:eastAsia="es-MX"/>
        </w:rPr>
        <w:t xml:space="preserve"> utilizado en el modelo, así como las variables que fueron empleadas en su cálculo. Para obtener el costo de capital anual (</w:t>
      </w:r>
      <w:proofErr w:type="spellStart"/>
      <w:r w:rsidRPr="00654D1D">
        <w:rPr>
          <w:rFonts w:ascii="ITC Avant Garde" w:eastAsia="Times New Roman" w:hAnsi="ITC Avant Garde" w:cs="Arial"/>
          <w:lang w:val="es-ES" w:eastAsia="es-MX"/>
        </w:rPr>
        <w:t>capex</w:t>
      </w:r>
      <w:proofErr w:type="spellEnd"/>
      <w:r w:rsidRPr="00654D1D">
        <w:rPr>
          <w:rFonts w:ascii="ITC Avant Garde" w:eastAsia="Times New Roman" w:hAnsi="ITC Avant Garde" w:cs="Arial"/>
          <w:lang w:val="es-ES" w:eastAsia="es-MX"/>
        </w:rPr>
        <w:t xml:space="preserve"> anual) se empleó la metodología consistente en anualizar la inversión para cada elemento de la red, en el que se incorpora la depreciación económica de la red a través de anualidades ajustadas tanto por cambios en la demanda de los servicios como en el valor de los activos. Esta anualidad se obtiene de la siguiente ecuación:</w:t>
      </w:r>
    </w:p>
    <w:p w14:paraId="4AA730D6" w14:textId="301F51D9" w:rsidR="00654D1D" w:rsidRPr="00654D1D" w:rsidRDefault="00654D1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n-US" w:eastAsia="es-MX"/>
        </w:rPr>
        <w:object w:dxaOrig="3340" w:dyaOrig="720" w14:anchorId="4B602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a imagen corresponde a la fórmula de Inversión." style="width:165.9pt;height:36.85pt" o:ole="">
            <v:imagedata r:id="rId12" o:title=""/>
          </v:shape>
          <o:OLEObject Type="Embed" ProgID="Equation.3" ShapeID="_x0000_i1025" DrawAspect="Content" ObjectID="_1554027225" r:id="rId13"/>
        </w:object>
      </w:r>
      <w:r w:rsidR="003E526D" w:rsidRPr="00654D1D">
        <w:rPr>
          <w:rFonts w:ascii="ITC Avant Garde" w:eastAsia="Times New Roman" w:hAnsi="ITC Avant Garde" w:cs="Arial"/>
          <w:lang w:val="es-ES" w:eastAsia="es-MX"/>
        </w:rPr>
        <w:t xml:space="preserve"> , donde  </w:t>
      </w:r>
      <w:r w:rsidR="001173E7" w:rsidRPr="00654D1D">
        <w:rPr>
          <w:rFonts w:ascii="ITC Avant Garde" w:eastAsia="Times New Roman" w:hAnsi="ITC Avant Garde" w:cs="Arial"/>
          <w:lang w:val="en-US" w:eastAsia="es-MX"/>
        </w:rPr>
        <w:object w:dxaOrig="2240" w:dyaOrig="720" w14:anchorId="4B602897">
          <v:shape id="_x0000_i1026" type="#_x0000_t75" alt="La imagen corresponde a la continuación de la fórmula de Inversión." style="width:114.05pt;height:36.85pt" o:ole="">
            <v:imagedata r:id="rId14" o:title=""/>
          </v:shape>
          <o:OLEObject Type="Embed" ProgID="Equation.3" ShapeID="_x0000_i1026" DrawAspect="Content" ObjectID="_1554027226" r:id="rId15"/>
        </w:object>
      </w:r>
      <w:r w:rsidR="003E526D" w:rsidRPr="00654D1D">
        <w:rPr>
          <w:rFonts w:ascii="ITC Avant Garde" w:eastAsia="Times New Roman" w:hAnsi="ITC Avant Garde" w:cs="Arial"/>
          <w:lang w:val="es-ES" w:eastAsia="es-MX"/>
        </w:rPr>
        <w:t>ecuación (i)</w:t>
      </w:r>
    </w:p>
    <w:p w14:paraId="72A8220C" w14:textId="48DFBECA"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En donde, p corresponde a los cambios esperados en los precios de los elementos de red, g considera la utilización esperada del activo a lo largo de su vida útil; n son los años de vida útil del elemento, y r es la tasa de interés a la que se descuentan los costos incurridos en la inversión. </w:t>
      </w:r>
    </w:p>
    <w:p w14:paraId="26DBB494"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A mayor abundamiento y de manera ilustrativa se puede señalar que los modelos de costos presentados por las empresas móviles en el procedimiento llevado a </w:t>
      </w:r>
      <w:r w:rsidRPr="00654D1D">
        <w:rPr>
          <w:rFonts w:ascii="ITC Avant Garde" w:eastAsia="Times New Roman" w:hAnsi="ITC Avant Garde" w:cs="Arial"/>
          <w:lang w:val="es-ES" w:eastAsia="es-MX"/>
        </w:rPr>
        <w:lastRenderedPageBreak/>
        <w:t xml:space="preserve">cabo por el órgano regulador de las telecomunicaciones en Perú, se presentaron modelos de costos en los cuales no era necesario determinar la etapa de compra e instalación de la red y de la puesta de operación de la misma, si no que con base en la metodología de </w:t>
      </w:r>
      <w:proofErr w:type="spellStart"/>
      <w:r w:rsidRPr="00654D1D">
        <w:rPr>
          <w:rFonts w:ascii="ITC Avant Garde" w:eastAsia="Times New Roman" w:hAnsi="ITC Avant Garde" w:cs="Arial"/>
          <w:lang w:val="es-ES" w:eastAsia="es-MX"/>
        </w:rPr>
        <w:t>anualización</w:t>
      </w:r>
      <w:proofErr w:type="spellEnd"/>
      <w:r w:rsidRPr="00654D1D">
        <w:rPr>
          <w:rFonts w:ascii="ITC Avant Garde" w:eastAsia="Times New Roman" w:hAnsi="ITC Avant Garde" w:cs="Arial"/>
          <w:lang w:val="es-ES" w:eastAsia="es-MX"/>
        </w:rPr>
        <w:t xml:space="preserve"> se determinó primeramente la inversión necesaria y se calculó el factor anual de costos que se aplicaría para determinar los costos unitarios de proveer el servicio.</w:t>
      </w:r>
    </w:p>
    <w:p w14:paraId="29FEA57E" w14:textId="77777777" w:rsidR="00654D1D" w:rsidRPr="00654D1D" w:rsidRDefault="003E526D" w:rsidP="00654D1D">
      <w:pPr>
        <w:numPr>
          <w:ilvl w:val="0"/>
          <w:numId w:val="34"/>
        </w:num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El argumento de la Recurrente es improcedente por infundado, ya que como se señaló en la Resolución recurrida la tarifa de interconexión por terminación de tráfico en la red móvil deberá de tomar en cuenta los precios corrientes derivado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3F3C3410"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Es importante mencionar que los precios de los activos incorporados en el modelo de costos se consideran con un nivel suficiente de agregación que incluyen diversos conceptos como los señalados por la recurrente; y que al momento de la elaboración del modelo se realizó con base en la mejor información disponible.</w:t>
      </w:r>
    </w:p>
    <w:p w14:paraId="148AD3AF"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A mayor abundamiento, como se ha señalado en la propia resolución para la determinación de los costos de proveer el servicio, es necesario primeramente asignar e identificar aquellos costos que están directamente asociado a la prestación del servicio, es decir si existe un costo que es recuperado a través del usuario final o que no es necesario para la prestación del servicio este no deberá de ser incluido en el mismo, este el caso de aquellos costos originados por ejemplo por la publicidad y comercialización de servicios finales, asimismo como el servicio a costear es el servicio de terminación de voz en una red móvil, es necesario no incluir costos que estén directamente asociados a nuevos servicios o servicios distintos a los de voz, como sería el caso de transmisión de datos o acceso a internet o aplicaciones. Por lo cual, la extinta Comisión en su modelo identificó todos aquellos elementos necesarios para la prestación del servicio de voz en la cual el operador hipotético eficiente utilizará en su red la tecnología GSM.</w:t>
      </w:r>
    </w:p>
    <w:p w14:paraId="4C275CE2"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El Modelo de Costos desarrollado por la extinta Comisión es de un operador eficiente que toma en cuenta los costos de la red para la prestación del servicio de interconexión y que se consideran a costos corrientes o a precios de mercado. La razón por la que los costos de la red son valorados a costos corrientes es porque </w:t>
      </w:r>
      <w:r w:rsidRPr="00654D1D">
        <w:rPr>
          <w:rFonts w:ascii="ITC Avant Garde" w:eastAsia="Times New Roman" w:hAnsi="ITC Avant Garde" w:cs="Arial"/>
          <w:lang w:val="es-ES" w:eastAsia="es-MX"/>
        </w:rPr>
        <w:lastRenderedPageBreak/>
        <w:t xml:space="preserve">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654D1D">
        <w:rPr>
          <w:rFonts w:ascii="ITC Avant Garde" w:eastAsia="Times New Roman" w:hAnsi="ITC Avant Garde" w:cs="Arial"/>
          <w:lang w:val="es-ES" w:eastAsia="es-MX"/>
        </w:rPr>
        <w:t>asignativa</w:t>
      </w:r>
      <w:proofErr w:type="spellEnd"/>
      <w:r w:rsidRPr="00654D1D">
        <w:rPr>
          <w:rFonts w:ascii="ITC Avant Garde" w:eastAsia="Times New Roman" w:hAnsi="ITC Avant Garde" w:cs="Arial"/>
          <w:lang w:val="es-ES" w:eastAsia="es-MX"/>
        </w:rPr>
        <w:t>, en el sentido de que se establezcan los precios lo más cercanamente posible a los observados en un mercado competitivo, ya que es generalmente aceptado que estos precios son los que maximizan el bienestar social.</w:t>
      </w:r>
      <w:r w:rsidRPr="00654D1D">
        <w:rPr>
          <w:rFonts w:ascii="ITC Avant Garde" w:eastAsia="Times New Roman" w:hAnsi="ITC Avant Garde" w:cs="Arial"/>
          <w:vertAlign w:val="superscript"/>
          <w:lang w:val="es-ES" w:eastAsia="es-MX"/>
        </w:rPr>
        <w:footnoteReference w:id="12"/>
      </w:r>
    </w:p>
    <w:p w14:paraId="6A9C29E6" w14:textId="77777777" w:rsidR="00654D1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 En este contexto, el regulador debe propiciar que se consiga la eficiencia productiva en el sentido de otorgar los suficientes incentivos para la minimización de costos.</w:t>
      </w:r>
      <w:r w:rsidRPr="00654D1D">
        <w:rPr>
          <w:rFonts w:ascii="ITC Avant Garde" w:eastAsia="Times New Roman" w:hAnsi="ITC Avant Garde" w:cs="Arial"/>
          <w:vertAlign w:val="superscript"/>
          <w:lang w:val="es-ES" w:eastAsia="es-MX"/>
        </w:rPr>
        <w:footnoteReference w:id="13"/>
      </w:r>
    </w:p>
    <w:p w14:paraId="4B6023BB" w14:textId="1D23345A" w:rsidR="003E526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4B6023BC" w14:textId="77777777" w:rsidR="003E526D" w:rsidRPr="00654D1D" w:rsidRDefault="003E526D" w:rsidP="00654D1D">
      <w:p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 </w:t>
      </w:r>
    </w:p>
    <w:p w14:paraId="19DCD3B7" w14:textId="77777777" w:rsidR="00654D1D" w:rsidRPr="00654D1D" w:rsidRDefault="003E526D" w:rsidP="00654D1D">
      <w:pPr>
        <w:numPr>
          <w:ilvl w:val="0"/>
          <w:numId w:val="34"/>
        </w:num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El argumento de la Recurrente es improcedente, ya que como se ha mencionado a lo largo de la presente Resolución, el modelo de costos utilizado por la Comisión </w:t>
      </w:r>
      <w:r w:rsidRPr="00654D1D">
        <w:rPr>
          <w:rFonts w:ascii="ITC Avant Garde" w:eastAsia="Times New Roman" w:hAnsi="ITC Avant Garde" w:cs="Arial"/>
          <w:lang w:val="es-ES" w:eastAsia="es-MX"/>
        </w:rPr>
        <w:lastRenderedPageBreak/>
        <w:t>en la Resolución recurrida no se está costeando la red de la Recurrente, sino la red de un operador representativo.</w:t>
      </w:r>
    </w:p>
    <w:p w14:paraId="339273A1" w14:textId="77777777" w:rsidR="00654D1D" w:rsidRPr="00654D1D" w:rsidRDefault="003E526D" w:rsidP="00654D1D">
      <w:pPr>
        <w:spacing w:before="240"/>
        <w:ind w:left="567"/>
        <w:contextualSpacing/>
        <w:jc w:val="both"/>
        <w:rPr>
          <w:rFonts w:ascii="ITC Avant Garde" w:hAnsi="ITC Avant Garde" w:cs="Arial"/>
        </w:rPr>
      </w:pPr>
      <w:r w:rsidRPr="00654D1D">
        <w:rPr>
          <w:rFonts w:ascii="ITC Avant Garde" w:hAnsi="ITC Avant Garde" w:cs="Arial"/>
        </w:rPr>
        <w:t>En lo que respecta a lo señalado por la Recurrente en el sentido de que la Comisión consideró un valor de 8% erróneo para el parámetro “porcentaje de tráfico en hora pico”, ya que el porcentaje de tráfico en hora cargada que Grupo Telefónica soporta actualmente en su red es del orden de 10.4%, no le asiste la razón a la Recurrente, ya que como se ha mencionado a lo largo del presente documento, no se está costeando la red del Grupo Telefónica, sino la red de un operador hipotético eficiente, asimismo dicha empresa no presenta información que sustente su dicho, lo anterior es particularmente importante debido a que las redes se dimensionan con base en un promedio del tráfico en hora pico y no en el tráfico de un día en particular.</w:t>
      </w:r>
    </w:p>
    <w:p w14:paraId="5DD26D55" w14:textId="77777777" w:rsidR="00654D1D" w:rsidRPr="00654D1D" w:rsidRDefault="003E526D" w:rsidP="00654D1D">
      <w:pPr>
        <w:spacing w:before="240"/>
        <w:ind w:left="567"/>
        <w:contextualSpacing/>
        <w:jc w:val="both"/>
        <w:rPr>
          <w:rFonts w:ascii="ITC Avant Garde" w:hAnsi="ITC Avant Garde" w:cs="Arial"/>
        </w:rPr>
      </w:pPr>
      <w:r w:rsidRPr="00654D1D">
        <w:rPr>
          <w:rFonts w:ascii="ITC Avant Garde" w:hAnsi="ITC Avant Garde" w:cs="Arial"/>
        </w:rPr>
        <w:t>Ahora bien respecto al valor del 8% este valor fue determinado conforme a la información disponible con la que contaba la extinta Comisión entregada por los propios concesionarios en cumplimiento a sus títulos de concesión y de las obligaciones emanadas del marco jurídico vigente, así como de referencia internacional, el cual es acorde al tipo de operador que se está modelando como se observa a continuación. Telefónica del Perú en su modelo de costos estableció un porcentaje de tráfico en la hora pico de 7.37%</w:t>
      </w:r>
      <w:r w:rsidRPr="00654D1D">
        <w:rPr>
          <w:rFonts w:ascii="ITC Avant Garde" w:hAnsi="ITC Avant Garde" w:cs="Arial"/>
          <w:vertAlign w:val="superscript"/>
        </w:rPr>
        <w:footnoteReference w:id="14"/>
      </w:r>
      <w:r w:rsidRPr="00654D1D">
        <w:rPr>
          <w:rFonts w:ascii="ITC Avant Garde" w:hAnsi="ITC Avant Garde" w:cs="Arial"/>
        </w:rPr>
        <w:t>, el órgano regulador de las telecomunicaciones en Francia, ARCEP</w:t>
      </w:r>
      <w:r w:rsidRPr="00654D1D">
        <w:rPr>
          <w:rFonts w:ascii="ITC Avant Garde" w:hAnsi="ITC Avant Garde" w:cs="Arial"/>
          <w:vertAlign w:val="superscript"/>
        </w:rPr>
        <w:footnoteReference w:id="15"/>
      </w:r>
      <w:r w:rsidRPr="00654D1D">
        <w:rPr>
          <w:rFonts w:ascii="ITC Avant Garde" w:hAnsi="ITC Avant Garde" w:cs="Arial"/>
        </w:rPr>
        <w:t>, utilizó un factor de tráfico en hora pico de 8.1%, en el Reino Unido se utilizó un factor de 6.4% para 2011</w:t>
      </w:r>
      <w:r w:rsidRPr="00654D1D">
        <w:rPr>
          <w:rFonts w:ascii="ITC Avant Garde" w:hAnsi="ITC Avant Garde" w:cs="Arial"/>
          <w:vertAlign w:val="superscript"/>
        </w:rPr>
        <w:footnoteReference w:id="16"/>
      </w:r>
      <w:r w:rsidRPr="00654D1D">
        <w:rPr>
          <w:rFonts w:ascii="ITC Avant Garde" w:hAnsi="ITC Avant Garde" w:cs="Arial"/>
        </w:rPr>
        <w:t>.</w:t>
      </w:r>
    </w:p>
    <w:p w14:paraId="1BC0E578" w14:textId="77777777" w:rsidR="00654D1D" w:rsidRPr="00654D1D" w:rsidRDefault="003E526D" w:rsidP="00654D1D">
      <w:pPr>
        <w:numPr>
          <w:ilvl w:val="0"/>
          <w:numId w:val="34"/>
        </w:num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El argumento de la Recurrente es infundado, toda vez que al momento en que la extinta Comisión realizó el modelo no se contaba con la información del censo 2010, con lo cual se utilizó la mejor información disponible al momento de construir el modelo de costos.</w:t>
      </w:r>
    </w:p>
    <w:p w14:paraId="141B088A" w14:textId="77777777" w:rsidR="00654D1D" w:rsidRPr="00654D1D" w:rsidRDefault="003E526D" w:rsidP="00654D1D">
      <w:pPr>
        <w:numPr>
          <w:ilvl w:val="0"/>
          <w:numId w:val="34"/>
        </w:numPr>
        <w:spacing w:before="240"/>
        <w:ind w:left="567"/>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El argumento de la Recurrente es improcedente, ya que como se ha mencionado a lo largo del presente recurso, el modelo de costos utilizado por la extinta Comisión en la Resolución recurrida no se está costeando la red de la Recurrente, sino la red de un operador representativo.</w:t>
      </w:r>
    </w:p>
    <w:p w14:paraId="20CBB759" w14:textId="77777777" w:rsidR="00654D1D" w:rsidRPr="00654D1D" w:rsidRDefault="003E526D" w:rsidP="00654D1D">
      <w:pPr>
        <w:spacing w:before="240"/>
        <w:ind w:left="567"/>
        <w:contextualSpacing/>
        <w:jc w:val="both"/>
        <w:rPr>
          <w:rFonts w:ascii="ITC Avant Garde" w:hAnsi="ITC Avant Garde" w:cs="Arial"/>
        </w:rPr>
      </w:pPr>
      <w:r w:rsidRPr="00654D1D">
        <w:rPr>
          <w:rFonts w:ascii="ITC Avant Garde" w:hAnsi="ITC Avant Garde" w:cs="Arial"/>
        </w:rPr>
        <w:t xml:space="preserve">El modelo de costos de la Comisión determina los costos de un operador eficiente con una participación de mercado del 25%, con lo cual no se está determinando el costo de la Recurrente. </w:t>
      </w:r>
    </w:p>
    <w:p w14:paraId="7FF94B63" w14:textId="77777777" w:rsidR="00654D1D" w:rsidRPr="00654D1D" w:rsidRDefault="003E526D" w:rsidP="00654D1D">
      <w:pPr>
        <w:spacing w:before="240"/>
        <w:ind w:left="567"/>
        <w:contextualSpacing/>
        <w:jc w:val="both"/>
        <w:rPr>
          <w:rFonts w:ascii="ITC Avant Garde" w:hAnsi="ITC Avant Garde" w:cs="Arial"/>
        </w:rPr>
      </w:pPr>
      <w:r w:rsidRPr="00654D1D">
        <w:rPr>
          <w:rFonts w:ascii="ITC Avant Garde" w:hAnsi="ITC Avant Garde" w:cs="Arial"/>
        </w:rPr>
        <w:t xml:space="preserve">Por principio de cuentas, es preciso señalar que para determinar los </w:t>
      </w:r>
      <w:proofErr w:type="spellStart"/>
      <w:r w:rsidRPr="00654D1D">
        <w:rPr>
          <w:rFonts w:ascii="ITC Avant Garde" w:hAnsi="ITC Avant Garde" w:cs="Arial"/>
        </w:rPr>
        <w:t>erlangs</w:t>
      </w:r>
      <w:proofErr w:type="spellEnd"/>
      <w:r w:rsidRPr="00654D1D">
        <w:rPr>
          <w:rFonts w:ascii="ITC Avant Garde" w:hAnsi="ITC Avant Garde" w:cs="Arial"/>
        </w:rPr>
        <w:t xml:space="preserve"> promedio utilizados en el Modelo de Costos este se calcula tomando en consideración la capacidad espectral en término de TRX </w:t>
      </w:r>
      <w:r w:rsidR="00307BB6" w:rsidRPr="00654D1D">
        <w:rPr>
          <w:rFonts w:ascii="ITC Avant Garde" w:hAnsi="ITC Avant Garde" w:cs="Arial"/>
        </w:rPr>
        <w:t xml:space="preserve">transmisores o antenas </w:t>
      </w:r>
      <w:r w:rsidRPr="00654D1D">
        <w:rPr>
          <w:rFonts w:ascii="ITC Avant Garde" w:hAnsi="ITC Avant Garde" w:cs="Arial"/>
        </w:rPr>
        <w:t xml:space="preserve">de </w:t>
      </w:r>
      <w:r w:rsidRPr="00654D1D">
        <w:rPr>
          <w:rFonts w:ascii="ITC Avant Garde" w:hAnsi="ITC Avant Garde" w:cs="Arial"/>
        </w:rPr>
        <w:lastRenderedPageBreak/>
        <w:t xml:space="preserve">un sector en base a los canales de espectro disponibles y del factor de reutilización del espectro, y por otra parte la capacidad física en términos de TRX del sector. La capacidad del BTS será la mínima entre la capacidad espectral y la capacidad física. Una vez conocida la capacidad en términos de TRX del sector, se calcula su capacidad en términos de </w:t>
      </w:r>
      <w:proofErr w:type="spellStart"/>
      <w:r w:rsidRPr="00654D1D">
        <w:rPr>
          <w:rFonts w:ascii="ITC Avant Garde" w:hAnsi="ITC Avant Garde" w:cs="Arial"/>
        </w:rPr>
        <w:t>Erlangs</w:t>
      </w:r>
      <w:proofErr w:type="spellEnd"/>
      <w:r w:rsidRPr="00654D1D">
        <w:rPr>
          <w:rFonts w:ascii="ITC Avant Garde" w:hAnsi="ITC Avant Garde" w:cs="Arial"/>
        </w:rPr>
        <w:t xml:space="preserve"> en función de la probabilidad de bloqueo de radio (radio </w:t>
      </w:r>
      <w:proofErr w:type="spellStart"/>
      <w:r w:rsidRPr="00654D1D">
        <w:rPr>
          <w:rFonts w:ascii="ITC Avant Garde" w:hAnsi="ITC Avant Garde" w:cs="Arial"/>
        </w:rPr>
        <w:t>blocking</w:t>
      </w:r>
      <w:proofErr w:type="spellEnd"/>
      <w:r w:rsidRPr="00654D1D">
        <w:rPr>
          <w:rFonts w:ascii="ITC Avant Garde" w:hAnsi="ITC Avant Garde" w:cs="Arial"/>
        </w:rPr>
        <w:t xml:space="preserve"> </w:t>
      </w:r>
      <w:proofErr w:type="spellStart"/>
      <w:r w:rsidRPr="00654D1D">
        <w:rPr>
          <w:rFonts w:ascii="ITC Avant Garde" w:hAnsi="ITC Avant Garde" w:cs="Arial"/>
        </w:rPr>
        <w:t>probability</w:t>
      </w:r>
      <w:proofErr w:type="spellEnd"/>
      <w:r w:rsidRPr="00654D1D">
        <w:rPr>
          <w:rFonts w:ascii="ITC Avant Garde" w:hAnsi="ITC Avant Garde" w:cs="Arial"/>
        </w:rPr>
        <w:t xml:space="preserve">). </w:t>
      </w:r>
    </w:p>
    <w:p w14:paraId="0EB64AE9" w14:textId="77777777" w:rsidR="00654D1D" w:rsidRPr="00654D1D" w:rsidRDefault="003E526D" w:rsidP="00654D1D">
      <w:pPr>
        <w:spacing w:before="240"/>
        <w:ind w:left="567"/>
        <w:contextualSpacing/>
        <w:jc w:val="both"/>
        <w:rPr>
          <w:rFonts w:ascii="ITC Avant Garde" w:hAnsi="ITC Avant Garde" w:cs="Arial"/>
        </w:rPr>
      </w:pPr>
      <w:r w:rsidRPr="00654D1D">
        <w:rPr>
          <w:rFonts w:ascii="ITC Avant Garde" w:hAnsi="ITC Avant Garde" w:cs="Arial"/>
        </w:rPr>
        <w:t xml:space="preserve">Cabe mencionar que en términos de la capacidad de </w:t>
      </w:r>
      <w:proofErr w:type="spellStart"/>
      <w:r w:rsidRPr="00654D1D">
        <w:rPr>
          <w:rFonts w:ascii="ITC Avant Garde" w:hAnsi="ITC Avant Garde" w:cs="Arial"/>
        </w:rPr>
        <w:t>erlangs</w:t>
      </w:r>
      <w:proofErr w:type="spellEnd"/>
      <w:r w:rsidRPr="00654D1D">
        <w:rPr>
          <w:rFonts w:ascii="ITC Avant Garde" w:hAnsi="ITC Avant Garde" w:cs="Arial"/>
        </w:rPr>
        <w:t xml:space="preserve"> de TRX en el modelo francés en su consulta pública fue de 8.65 para una celda urbana independientemente de la banda de frecuencia utilizada. Sin embargo, cuando se realizaron las modificaciones al modelo, este parámetro cambio a 7.97</w:t>
      </w:r>
      <w:r w:rsidRPr="00654D1D">
        <w:rPr>
          <w:rFonts w:ascii="ITC Avant Garde" w:hAnsi="ITC Avant Garde" w:cs="Arial"/>
          <w:vertAlign w:val="superscript"/>
        </w:rPr>
        <w:footnoteReference w:id="17"/>
      </w:r>
      <w:r w:rsidRPr="00654D1D">
        <w:rPr>
          <w:rFonts w:ascii="ITC Avant Garde" w:hAnsi="ITC Avant Garde" w:cs="Arial"/>
        </w:rPr>
        <w:t xml:space="preserve">, en el caso del Modelo del órgano regulador de las telecomunicaciones del Reino Unido se puede observar un factor de 10.60 o de 6.40 dependiendo de la banda de frecuencia utilizada, con lo cual se puede observar que la capacidad de </w:t>
      </w:r>
      <w:proofErr w:type="spellStart"/>
      <w:r w:rsidRPr="00654D1D">
        <w:rPr>
          <w:rFonts w:ascii="ITC Avant Garde" w:hAnsi="ITC Avant Garde" w:cs="Arial"/>
        </w:rPr>
        <w:t>Erlangs</w:t>
      </w:r>
      <w:proofErr w:type="spellEnd"/>
      <w:r w:rsidRPr="00654D1D">
        <w:rPr>
          <w:rFonts w:ascii="ITC Avant Garde" w:hAnsi="ITC Avant Garde" w:cs="Arial"/>
        </w:rPr>
        <w:t xml:space="preserve"> es menor a lo que utilizó el órgano regulador de Francia y en el Reino Unido.</w:t>
      </w:r>
    </w:p>
    <w:p w14:paraId="659F4AE7" w14:textId="77777777" w:rsidR="00654D1D" w:rsidRPr="00654D1D" w:rsidRDefault="003E526D" w:rsidP="00654D1D">
      <w:pPr>
        <w:spacing w:before="240"/>
        <w:ind w:left="567"/>
        <w:contextualSpacing/>
        <w:rPr>
          <w:rFonts w:ascii="ITC Avant Garde" w:hAnsi="ITC Avant Garde" w:cs="Arial"/>
        </w:rPr>
      </w:pPr>
      <w:r w:rsidRPr="00654D1D">
        <w:rPr>
          <w:rFonts w:ascii="ITC Avant Garde" w:hAnsi="ITC Avant Garde" w:cs="Arial"/>
        </w:rPr>
        <w:t>En los modelos de costos se ha utilizado número de días anuales con hora pico de 250 días, lo cual es congruente con lo determinado por la extinta Comisión.</w:t>
      </w:r>
    </w:p>
    <w:p w14:paraId="26822E11" w14:textId="77777777" w:rsidR="00654D1D" w:rsidRPr="00654D1D" w:rsidRDefault="003E526D" w:rsidP="00654D1D">
      <w:pPr>
        <w:spacing w:before="240"/>
        <w:ind w:left="567"/>
        <w:contextualSpacing/>
        <w:jc w:val="both"/>
        <w:rPr>
          <w:rFonts w:ascii="ITC Avant Garde" w:hAnsi="ITC Avant Garde" w:cs="Arial"/>
        </w:rPr>
      </w:pPr>
      <w:r w:rsidRPr="00654D1D">
        <w:rPr>
          <w:rFonts w:ascii="ITC Avant Garde" w:hAnsi="ITC Avant Garde" w:cs="Arial"/>
        </w:rPr>
        <w:t>Asimismo, sobre los intentos de llamadas no corresponden al valor que se observa en la red de la Recurrente es preciso señalar que el Modelo de Costos toma en consideración un operador hipotético eficiente y no un operador en particular, además de que dicha empresa no presenta información que sustente su dicho. Por otro lado, en el Modelo de costos utilizado por el órgano regulador de las telecomunicaciones en Francia para establecer las tarifas de interconexión, se utilizó un relación de 1.02 como intentos de llamada, con lo cual se puede observar que el parámetro utilizado por la Comisión el cual es de 1.1, es consistente con lo utilizado en otro modelos de costos.</w:t>
      </w:r>
    </w:p>
    <w:p w14:paraId="6226A06F"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Por lo que hace al </w:t>
      </w:r>
      <w:r w:rsidRPr="00654D1D">
        <w:rPr>
          <w:rFonts w:ascii="ITC Avant Garde" w:eastAsia="Times New Roman" w:hAnsi="ITC Avant Garde" w:cs="Arial"/>
          <w:b/>
          <w:lang w:val="es-ES" w:eastAsia="es-MX"/>
        </w:rPr>
        <w:t>numeral II del Primer Agravio</w:t>
      </w:r>
      <w:r w:rsidRPr="00654D1D">
        <w:rPr>
          <w:rFonts w:ascii="ITC Avant Garde" w:eastAsia="Times New Roman" w:hAnsi="ITC Avant Garde" w:cs="Arial"/>
          <w:lang w:val="es-ES" w:eastAsia="es-MX"/>
        </w:rPr>
        <w:t xml:space="preserve">, denominado Modelo de Costos Incrementales de largo plazo, la Recurrente argumenta que el modelo de costos elaborado por la Comisión se basa en el modelo de costos elaborado por la Secretaría para resolver diversos desacuerdos de interconexión, el cual tuvo su génesis en dos estudios previos: i) el primero es el análisis del modelo de costos contratado por la Comisión en el año 2005 a la empresa de consultoría </w:t>
      </w:r>
      <w:proofErr w:type="spellStart"/>
      <w:r w:rsidRPr="00654D1D">
        <w:rPr>
          <w:rFonts w:ascii="ITC Avant Garde" w:eastAsia="Times New Roman" w:hAnsi="ITC Avant Garde" w:cs="Arial"/>
          <w:lang w:val="es-ES" w:eastAsia="es-MX"/>
        </w:rPr>
        <w:t>Analysys</w:t>
      </w:r>
      <w:proofErr w:type="spellEnd"/>
      <w:r w:rsidRPr="00654D1D">
        <w:rPr>
          <w:rFonts w:ascii="ITC Avant Garde" w:eastAsia="Times New Roman" w:hAnsi="ITC Avant Garde" w:cs="Arial"/>
          <w:lang w:val="es-ES" w:eastAsia="es-MX"/>
        </w:rPr>
        <w:t xml:space="preserve">, al que se le “actualizó” información y se introdujo el concepto de operador “representativo”, y ii) el segundo en la metodología desarrollada por </w:t>
      </w:r>
      <w:proofErr w:type="spellStart"/>
      <w:r w:rsidRPr="00654D1D">
        <w:rPr>
          <w:rFonts w:ascii="ITC Avant Garde" w:eastAsia="Times New Roman" w:hAnsi="ITC Avant Garde" w:cs="Arial"/>
          <w:lang w:val="es-ES" w:eastAsia="es-MX"/>
        </w:rPr>
        <w:t>Wik</w:t>
      </w:r>
      <w:proofErr w:type="spellEnd"/>
      <w:r w:rsidRPr="00654D1D">
        <w:rPr>
          <w:rFonts w:ascii="ITC Avant Garde" w:eastAsia="Times New Roman" w:hAnsi="ITC Avant Garde" w:cs="Arial"/>
          <w:lang w:val="es-ES" w:eastAsia="es-MX"/>
        </w:rPr>
        <w:t xml:space="preserve"> </w:t>
      </w:r>
      <w:proofErr w:type="spellStart"/>
      <w:r w:rsidRPr="00654D1D">
        <w:rPr>
          <w:rFonts w:ascii="ITC Avant Garde" w:eastAsia="Times New Roman" w:hAnsi="ITC Avant Garde" w:cs="Arial"/>
          <w:lang w:val="es-ES" w:eastAsia="es-MX"/>
        </w:rPr>
        <w:t>Consult</w:t>
      </w:r>
      <w:proofErr w:type="spellEnd"/>
      <w:r w:rsidRPr="00654D1D">
        <w:rPr>
          <w:rFonts w:ascii="ITC Avant Garde" w:eastAsia="Times New Roman" w:hAnsi="ITC Avant Garde" w:cs="Arial"/>
          <w:lang w:val="es-ES" w:eastAsia="es-MX"/>
        </w:rPr>
        <w:t xml:space="preserve">. </w:t>
      </w:r>
    </w:p>
    <w:p w14:paraId="4DD218D2"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Menciona la Recurrente que ni el estudio de </w:t>
      </w:r>
      <w:proofErr w:type="spellStart"/>
      <w:r w:rsidRPr="00654D1D">
        <w:rPr>
          <w:rFonts w:ascii="ITC Avant Garde" w:eastAsia="Times New Roman" w:hAnsi="ITC Avant Garde" w:cs="Arial"/>
          <w:lang w:val="es-ES" w:eastAsia="es-MX"/>
        </w:rPr>
        <w:t>Analysys</w:t>
      </w:r>
      <w:proofErr w:type="spellEnd"/>
      <w:r w:rsidRPr="00654D1D">
        <w:rPr>
          <w:rFonts w:ascii="ITC Avant Garde" w:eastAsia="Times New Roman" w:hAnsi="ITC Avant Garde" w:cs="Arial"/>
          <w:lang w:val="es-ES" w:eastAsia="es-MX"/>
        </w:rPr>
        <w:t xml:space="preserve">, ni el elaborado por </w:t>
      </w:r>
      <w:proofErr w:type="spellStart"/>
      <w:r w:rsidRPr="00654D1D">
        <w:rPr>
          <w:rFonts w:ascii="ITC Avant Garde" w:eastAsia="Times New Roman" w:hAnsi="ITC Avant Garde" w:cs="Arial"/>
          <w:lang w:val="es-ES" w:eastAsia="es-MX"/>
        </w:rPr>
        <w:t>Wik</w:t>
      </w:r>
      <w:proofErr w:type="spellEnd"/>
      <w:r w:rsidRPr="00654D1D">
        <w:rPr>
          <w:rFonts w:ascii="ITC Avant Garde" w:eastAsia="Times New Roman" w:hAnsi="ITC Avant Garde" w:cs="Arial"/>
          <w:lang w:val="es-ES" w:eastAsia="es-MX"/>
        </w:rPr>
        <w:t xml:space="preserve"> </w:t>
      </w:r>
      <w:proofErr w:type="spellStart"/>
      <w:r w:rsidRPr="00654D1D">
        <w:rPr>
          <w:rFonts w:ascii="ITC Avant Garde" w:eastAsia="Times New Roman" w:hAnsi="ITC Avant Garde" w:cs="Arial"/>
          <w:lang w:val="es-ES" w:eastAsia="es-MX"/>
        </w:rPr>
        <w:t>Consult</w:t>
      </w:r>
      <w:proofErr w:type="spellEnd"/>
      <w:r w:rsidRPr="00654D1D">
        <w:rPr>
          <w:rFonts w:ascii="ITC Avant Garde" w:eastAsia="Times New Roman" w:hAnsi="ITC Avant Garde" w:cs="Arial"/>
          <w:lang w:val="es-ES" w:eastAsia="es-MX"/>
        </w:rPr>
        <w:t xml:space="preserve"> le fueron proporcionados a fin de que pueda apreciar la veracidad y suficiencia de dicha metodología, limitándose a referenciar la página de Internet de dichas empresas. Indica que esa omisión por parte de la Comisión afecta sustancialmente su defensa en el </w:t>
      </w:r>
      <w:r w:rsidRPr="00654D1D">
        <w:rPr>
          <w:rFonts w:ascii="ITC Avant Garde" w:eastAsia="Times New Roman" w:hAnsi="ITC Avant Garde" w:cs="Arial"/>
          <w:lang w:val="es-ES" w:eastAsia="es-MX"/>
        </w:rPr>
        <w:lastRenderedPageBreak/>
        <w:t xml:space="preserve">desacuerdo de interconexión, por lo que trasciende tal vicio a la Resolución recurrida por estar la misma fundada en un documento diverso que no le fue entregado a la Recurrente dejándola en completo estado de indefensión. </w:t>
      </w:r>
    </w:p>
    <w:p w14:paraId="2C326398"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Al respecto, se considera que el argumento de la Recurrente es infundado, toda vez que en la Resolución recurrida se expuso tanto la metodología como el modelo de costos utilizado por la extinta Comisión para determinar las tarifas de interconexión. De ahí que la Recurrente se hizo conocedora del modelo de costos, tan es así que hace valer agravios en contra de aspectos concretos del modelo de costos.</w:t>
      </w:r>
    </w:p>
    <w:p w14:paraId="005A397E"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Respecto al </w:t>
      </w:r>
      <w:r w:rsidRPr="00654D1D">
        <w:rPr>
          <w:rFonts w:ascii="ITC Avant Garde" w:eastAsia="Times New Roman" w:hAnsi="ITC Avant Garde" w:cs="Arial"/>
          <w:b/>
          <w:lang w:val="es-ES" w:eastAsia="es-MX"/>
        </w:rPr>
        <w:t>numeral III del Primer Agravio</w:t>
      </w:r>
      <w:r w:rsidRPr="00654D1D">
        <w:rPr>
          <w:rFonts w:ascii="ITC Avant Garde" w:eastAsia="Times New Roman" w:hAnsi="ITC Avant Garde" w:cs="Arial"/>
          <w:lang w:val="es-ES" w:eastAsia="es-MX"/>
        </w:rPr>
        <w:t>, denominado Partes Integrantes del Modelo de Costos, la Recurrente hace una descripción de la primer parte del modelo de costos utilizado por la Comisión en la Resolución recurrida y menciona que la explicación del origen de los valores utilizados por la Comisión es insuficiente para justificar la veracidad de los mismos y contradictoria con otros parámetros, como indica a continuación.</w:t>
      </w:r>
    </w:p>
    <w:p w14:paraId="108AC010" w14:textId="77777777" w:rsidR="00654D1D" w:rsidRPr="00654D1D" w:rsidRDefault="003E526D" w:rsidP="00654D1D">
      <w:pPr>
        <w:numPr>
          <w:ilvl w:val="0"/>
          <w:numId w:val="42"/>
        </w:numPr>
        <w:spacing w:before="240"/>
        <w:contextualSpacing/>
        <w:jc w:val="both"/>
        <w:rPr>
          <w:rFonts w:ascii="ITC Avant Garde" w:eastAsia="Calibri" w:hAnsi="ITC Avant Garde" w:cs="Arial"/>
        </w:rPr>
      </w:pPr>
      <w:r w:rsidRPr="00654D1D">
        <w:rPr>
          <w:rFonts w:ascii="ITC Avant Garde" w:eastAsia="Calibri" w:hAnsi="ITC Avant Garde" w:cs="Arial"/>
        </w:rPr>
        <w:t>La Recurrente señala que los minutos de salida son estimados con base en proyecciones cuyos cálculos en el modelo de costos carecen de fundamentación y motivación por parte de la Comisión. Además, menciona la existencia de una contradicción entre las fuentes empleadas, entre el Anexo de la Resolución recurrida y la Tabla 2 del cuerpo de la propia Resolución recurrida.</w:t>
      </w:r>
    </w:p>
    <w:p w14:paraId="5BEEE70D"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Al respecto, esta autoridad revisora considera que no existe ninguna contradicción sobre la tabla 2 del cuerpo de la Resolución y el Anexo del Modelo, derivado de que primeramente en la Tabla 2 se señaló que se realizó una estimación por parte de la extinta Comisión con base en la información de una empresa y se realizaron proyecciones de crecimiento. Asimismo se señaló que el tráfico, es decir los minutos de salida fueron medido en tiempo real o segundo. Por lo anterior, la fuente fue la propia Comisión.</w:t>
      </w:r>
    </w:p>
    <w:p w14:paraId="0B9DCD55"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 xml:space="preserve">Asimismo, en el Anexo de Modelo se señaló que se realizaron estimaciones con base en los minutos reportados por </w:t>
      </w:r>
      <w:proofErr w:type="spellStart"/>
      <w:r w:rsidRPr="00654D1D">
        <w:rPr>
          <w:rFonts w:ascii="ITC Avant Garde" w:eastAsia="Calibri" w:hAnsi="ITC Avant Garde" w:cs="Arial"/>
        </w:rPr>
        <w:t>Merry</w:t>
      </w:r>
      <w:proofErr w:type="spellEnd"/>
      <w:r w:rsidRPr="00654D1D">
        <w:rPr>
          <w:rFonts w:ascii="ITC Avant Garde" w:eastAsia="Calibri" w:hAnsi="ITC Avant Garde" w:cs="Arial"/>
        </w:rPr>
        <w:t xml:space="preserve"> Lynch, Global Wireless </w:t>
      </w:r>
      <w:proofErr w:type="spellStart"/>
      <w:r w:rsidRPr="00654D1D">
        <w:rPr>
          <w:rFonts w:ascii="ITC Avant Garde" w:eastAsia="Calibri" w:hAnsi="ITC Avant Garde" w:cs="Arial"/>
        </w:rPr>
        <w:t>Matrix</w:t>
      </w:r>
      <w:proofErr w:type="spellEnd"/>
      <w:r w:rsidRPr="00654D1D">
        <w:rPr>
          <w:rFonts w:ascii="ITC Avant Garde" w:eastAsia="Calibri" w:hAnsi="ITC Avant Garde" w:cs="Arial"/>
        </w:rPr>
        <w:t xml:space="preserve">, pero que se debió realizar un ajuste considerando la relación minutos de salida y de entrada, posteriormente se ajustaron los datos para eliminar ajustes por redondeo y reflejar la duración de tiempo real. Por lo cual, la fuente de los datos fue la propia Comisión, quien fue la que estimó los minutos de salida y realizó los ajustes pertinentes. </w:t>
      </w:r>
    </w:p>
    <w:p w14:paraId="4A48AFF9" w14:textId="77777777" w:rsidR="00654D1D" w:rsidRPr="00654D1D" w:rsidRDefault="003E526D" w:rsidP="00654D1D">
      <w:pPr>
        <w:numPr>
          <w:ilvl w:val="0"/>
          <w:numId w:val="42"/>
        </w:numPr>
        <w:spacing w:before="240"/>
        <w:contextualSpacing/>
        <w:jc w:val="both"/>
        <w:rPr>
          <w:rFonts w:ascii="ITC Avant Garde" w:eastAsia="Calibri" w:hAnsi="ITC Avant Garde" w:cs="Arial"/>
        </w:rPr>
      </w:pPr>
      <w:r w:rsidRPr="00654D1D">
        <w:rPr>
          <w:rFonts w:ascii="ITC Avant Garde" w:eastAsia="Calibri" w:hAnsi="ITC Avant Garde" w:cs="Arial"/>
        </w:rPr>
        <w:t>No le parece claro la fuente utilizada por la Comisión para determinar la relación entre minutos de salida y minutos de entrada (con un valor de 93%).</w:t>
      </w:r>
    </w:p>
    <w:p w14:paraId="7E7DFF80"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Al respecto, es de manifestarse que este valor es un supuesto realizado por la extinta Comisión tomando en consideración la información presentada por las propias empresas sobre los minutos de entrada y salida.</w:t>
      </w:r>
    </w:p>
    <w:p w14:paraId="5089DE6B"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lastRenderedPageBreak/>
        <w:t>Asimismo, en relación al señalamiento de la quejosa sobre que no se encuentra evidencia de que se haya aplicado efectivamente un modelo “</w:t>
      </w:r>
      <w:proofErr w:type="spellStart"/>
      <w:r w:rsidRPr="00654D1D">
        <w:rPr>
          <w:rFonts w:ascii="ITC Avant Garde" w:eastAsia="Calibri" w:hAnsi="ITC Avant Garde" w:cs="Arial"/>
        </w:rPr>
        <w:t>Scorched</w:t>
      </w:r>
      <w:proofErr w:type="spellEnd"/>
      <w:r w:rsidRPr="00654D1D">
        <w:rPr>
          <w:rFonts w:ascii="ITC Avant Garde" w:eastAsia="Calibri" w:hAnsi="ITC Avant Garde" w:cs="Arial"/>
        </w:rPr>
        <w:t xml:space="preserve"> </w:t>
      </w:r>
      <w:proofErr w:type="spellStart"/>
      <w:r w:rsidRPr="00654D1D">
        <w:rPr>
          <w:rFonts w:ascii="ITC Avant Garde" w:eastAsia="Calibri" w:hAnsi="ITC Avant Garde" w:cs="Arial"/>
        </w:rPr>
        <w:t>Earth</w:t>
      </w:r>
      <w:proofErr w:type="spellEnd"/>
      <w:r w:rsidRPr="00654D1D">
        <w:rPr>
          <w:rFonts w:ascii="ITC Avant Garde" w:eastAsia="Calibri" w:hAnsi="ITC Avant Garde" w:cs="Arial"/>
        </w:rPr>
        <w:t xml:space="preserve">”, ni que se haya utilizado información sobre la topografía mexicana y la distribución poblacional que se observa en este mercado conforme a los Lineamientos publicados en el DOF el 12 de abril de 2012. En primer </w:t>
      </w:r>
      <w:r w:rsidR="005C74A1" w:rsidRPr="00654D1D">
        <w:rPr>
          <w:rFonts w:ascii="ITC Avant Garde" w:eastAsia="Calibri" w:hAnsi="ITC Avant Garde" w:cs="Arial"/>
        </w:rPr>
        <w:t xml:space="preserve">lugar </w:t>
      </w:r>
      <w:r w:rsidRPr="00654D1D">
        <w:rPr>
          <w:rFonts w:ascii="ITC Avant Garde" w:eastAsia="Calibri" w:hAnsi="ITC Avant Garde" w:cs="Arial"/>
        </w:rPr>
        <w:t>se precisa que la resolución reclamada no se fundamentó en los citados Lineamientos ya que el periodo de vigencia de estos discurrió del primero de enero de 2012 al 31 de diciembre de 2014.</w:t>
      </w:r>
    </w:p>
    <w:p w14:paraId="6526A1FC"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 xml:space="preserve">Asimismo, se señala que no obstante que dicha resolución no se sustenta en los Lineamientos, si se aplicó un enfoque </w:t>
      </w:r>
      <w:proofErr w:type="spellStart"/>
      <w:r w:rsidRPr="00654D1D">
        <w:rPr>
          <w:rFonts w:ascii="ITC Avant Garde" w:eastAsia="Calibri" w:hAnsi="ITC Avant Garde" w:cs="Arial"/>
        </w:rPr>
        <w:t>bottom</w:t>
      </w:r>
      <w:proofErr w:type="spellEnd"/>
      <w:r w:rsidRPr="00654D1D">
        <w:rPr>
          <w:rFonts w:ascii="ITC Avant Garde" w:eastAsia="Calibri" w:hAnsi="ITC Avant Garde" w:cs="Arial"/>
        </w:rPr>
        <w:t xml:space="preserve">-up y subsecuentemente un diseño </w:t>
      </w:r>
      <w:proofErr w:type="spellStart"/>
      <w:r w:rsidRPr="00654D1D">
        <w:rPr>
          <w:rFonts w:ascii="ITC Avant Garde" w:eastAsia="Calibri" w:hAnsi="ITC Avant Garde" w:cs="Arial"/>
        </w:rPr>
        <w:t>scorched</w:t>
      </w:r>
      <w:proofErr w:type="spellEnd"/>
      <w:r w:rsidRPr="00654D1D">
        <w:rPr>
          <w:rFonts w:ascii="ITC Avant Garde" w:eastAsia="Calibri" w:hAnsi="ITC Avant Garde" w:cs="Arial"/>
        </w:rPr>
        <w:t xml:space="preserve"> </w:t>
      </w:r>
      <w:proofErr w:type="spellStart"/>
      <w:r w:rsidRPr="00654D1D">
        <w:rPr>
          <w:rFonts w:ascii="ITC Avant Garde" w:eastAsia="Calibri" w:hAnsi="ITC Avant Garde" w:cs="Arial"/>
        </w:rPr>
        <w:t>earth</w:t>
      </w:r>
      <w:proofErr w:type="spellEnd"/>
      <w:r w:rsidRPr="00654D1D">
        <w:rPr>
          <w:rFonts w:ascii="ITC Avant Garde" w:eastAsia="Calibri" w:hAnsi="ITC Avant Garde" w:cs="Arial"/>
        </w:rPr>
        <w:t xml:space="preserve"> como se explica de manera amplia en la propia resolución.</w:t>
      </w:r>
    </w:p>
    <w:p w14:paraId="13ACC3B6"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Particularmente en lo que corresponde a la red móvil, de fojas 34 a 36 de la resolución recurrida se menciona lo siguiente:</w:t>
      </w:r>
    </w:p>
    <w:p w14:paraId="6457BC16" w14:textId="77777777" w:rsidR="00654D1D" w:rsidRPr="00654D1D" w:rsidRDefault="003E526D" w:rsidP="00654D1D">
      <w:pPr>
        <w:spacing w:before="240"/>
        <w:ind w:left="1134" w:right="900"/>
        <w:jc w:val="both"/>
        <w:rPr>
          <w:rFonts w:ascii="ITC Avant Garde" w:eastAsia="Calibri" w:hAnsi="ITC Avant Garde" w:cs="Arial"/>
          <w:sz w:val="16"/>
          <w:szCs w:val="16"/>
        </w:rPr>
      </w:pPr>
      <w:r w:rsidRPr="00654D1D">
        <w:rPr>
          <w:rFonts w:ascii="ITC Avant Garde" w:eastAsia="Calibri" w:hAnsi="ITC Avant Garde" w:cs="Arial"/>
          <w:sz w:val="16"/>
          <w:szCs w:val="16"/>
        </w:rPr>
        <w:t>“Al dimensionar la red del operador representativo, se utilizó información que refleja las condiciones bajo las cuales operan los operadores de telefonía móvil en México. Asimismo, se estimaron todos los elementos necesarios para satisfacer dicha demanda con la calidad de servicio especificada. Cabe señalar que la demanda toma en consideración tanto el número de subscriptores como la utilización de los servicios.</w:t>
      </w:r>
    </w:p>
    <w:p w14:paraId="2A3F12A5" w14:textId="77777777" w:rsidR="00654D1D" w:rsidRPr="00654D1D" w:rsidRDefault="003E526D" w:rsidP="00654D1D">
      <w:pPr>
        <w:spacing w:before="240"/>
        <w:ind w:left="1134" w:right="900"/>
        <w:jc w:val="both"/>
        <w:rPr>
          <w:rFonts w:ascii="ITC Avant Garde" w:eastAsia="Calibri" w:hAnsi="ITC Avant Garde" w:cs="Arial"/>
          <w:sz w:val="16"/>
          <w:szCs w:val="16"/>
        </w:rPr>
      </w:pPr>
      <w:r w:rsidRPr="00654D1D">
        <w:rPr>
          <w:rFonts w:ascii="ITC Avant Garde" w:eastAsia="Calibri" w:hAnsi="ITC Avant Garde" w:cs="Arial"/>
          <w:sz w:val="16"/>
          <w:szCs w:val="16"/>
        </w:rPr>
        <w:t>En el modelo de CITLP la demanda actual y su proyección se obtienen con información públicamente disponible de variables tales como población, niveles de penetración, características de uso, entre otras. En este caso, para definir el número de suscriptores de servicios de telefonía móvil, se utilizaron las proyecciones demográficas del Consejo Nacional de Población (CONAPO) y estimaciones de la penetración de los servicios de telecomunicaciones en la población.</w:t>
      </w:r>
    </w:p>
    <w:p w14:paraId="32D49176" w14:textId="77777777" w:rsidR="00654D1D" w:rsidRPr="00654D1D" w:rsidRDefault="003E526D" w:rsidP="00654D1D">
      <w:pPr>
        <w:spacing w:before="240"/>
        <w:ind w:left="1134" w:right="900"/>
        <w:jc w:val="both"/>
        <w:rPr>
          <w:rFonts w:ascii="ITC Avant Garde" w:eastAsia="Calibri" w:hAnsi="ITC Avant Garde" w:cs="Arial"/>
          <w:sz w:val="16"/>
          <w:szCs w:val="16"/>
        </w:rPr>
      </w:pPr>
      <w:r w:rsidRPr="00654D1D">
        <w:rPr>
          <w:rFonts w:ascii="ITC Avant Garde" w:eastAsia="Calibri" w:hAnsi="ITC Avant Garde" w:cs="Arial"/>
          <w:sz w:val="16"/>
          <w:szCs w:val="16"/>
        </w:rPr>
        <w:t>Las estimaciones de la penetración de dichos servicios se obtuvieron a través del ajuste de una curva de tipo logístico (denominada frecuentemente curva o función S), que es una función matemática comúnmente utilizada para estos fines, porque sirve para generar escenarios que reflejan posibilidades de crecimiento de población, o de difusión en diversos contextos, en este caso en las telecomunicaciones. Los parámetros que se requieren para especificar una Curva logística S son el nivel máximo que se estima alcanzará la variable bajo estudio (denominado nivel de saturación), la velocidad y la forma con que evoluciona el fenómeno que se pretende modelar. Los parámetros utilizados se muestran en la Tabla 1.</w:t>
      </w:r>
    </w:p>
    <w:p w14:paraId="047C1144" w14:textId="77777777" w:rsidR="00654D1D" w:rsidRPr="00654D1D" w:rsidRDefault="003E526D" w:rsidP="00654D1D">
      <w:pPr>
        <w:spacing w:before="240"/>
        <w:ind w:left="1134" w:right="900"/>
        <w:jc w:val="both"/>
        <w:rPr>
          <w:rFonts w:ascii="ITC Avant Garde" w:eastAsia="Calibri" w:hAnsi="ITC Avant Garde" w:cs="Arial"/>
          <w:sz w:val="16"/>
          <w:szCs w:val="16"/>
        </w:rPr>
      </w:pPr>
      <w:r w:rsidRPr="00654D1D">
        <w:rPr>
          <w:rFonts w:ascii="ITC Avant Garde" w:eastAsia="Calibri" w:hAnsi="ITC Avant Garde" w:cs="Arial"/>
          <w:sz w:val="16"/>
          <w:szCs w:val="16"/>
        </w:rPr>
        <w:t>[…]</w:t>
      </w:r>
    </w:p>
    <w:p w14:paraId="255281F6" w14:textId="77777777" w:rsidR="00654D1D" w:rsidRPr="00654D1D" w:rsidRDefault="003E526D" w:rsidP="00654D1D">
      <w:pPr>
        <w:spacing w:before="240"/>
        <w:ind w:left="1134" w:right="900"/>
        <w:jc w:val="both"/>
        <w:rPr>
          <w:rFonts w:ascii="ITC Avant Garde" w:eastAsia="Calibri" w:hAnsi="ITC Avant Garde" w:cs="Arial"/>
          <w:sz w:val="16"/>
          <w:szCs w:val="16"/>
        </w:rPr>
      </w:pPr>
      <w:r w:rsidRPr="00654D1D">
        <w:rPr>
          <w:rFonts w:ascii="ITC Avant Garde" w:eastAsia="Calibri" w:hAnsi="ITC Avant Garde" w:cs="Arial"/>
          <w:sz w:val="16"/>
          <w:szCs w:val="16"/>
        </w:rPr>
        <w:t>Con base en la estimación de población y de penetración se realizó la proyección del número de suscriptores a través del tiempo. Lo anterior, reviste suma importancia para la estimación de la demanda en el Modelo CITLP, debido a que, en conjunto con los estimados de números de llamadas y sus duraciones, se generan las estimaciones del tráfico que constituyen uno de los elementos críticos para dimensionar la red.</w:t>
      </w:r>
    </w:p>
    <w:p w14:paraId="5235F3BA" w14:textId="77777777" w:rsidR="00654D1D" w:rsidRPr="00654D1D" w:rsidRDefault="003E526D" w:rsidP="00654D1D">
      <w:pPr>
        <w:spacing w:before="240"/>
        <w:ind w:left="1134" w:right="900"/>
        <w:jc w:val="both"/>
        <w:rPr>
          <w:rFonts w:ascii="ITC Avant Garde" w:eastAsia="Calibri" w:hAnsi="ITC Avant Garde" w:cs="Arial"/>
          <w:sz w:val="16"/>
          <w:szCs w:val="16"/>
        </w:rPr>
      </w:pPr>
      <w:r w:rsidRPr="00654D1D">
        <w:rPr>
          <w:rFonts w:ascii="ITC Avant Garde" w:eastAsia="Calibri" w:hAnsi="ITC Avant Garde" w:cs="Arial"/>
          <w:sz w:val="16"/>
          <w:szCs w:val="16"/>
        </w:rPr>
        <w:t xml:space="preserve">Para calcular los minutos por usuarios a utilizase en el Modelo CITLP, se analizó la información entregada por los concesionarios a la Comisión, y la información pública que dichos concesionarios publican en sus informes anuales. Dentro del análisis se encontró que existe </w:t>
      </w:r>
      <w:r w:rsidRPr="00654D1D">
        <w:rPr>
          <w:rFonts w:ascii="ITC Avant Garde" w:eastAsia="Calibri" w:hAnsi="ITC Avant Garde" w:cs="Arial"/>
          <w:sz w:val="16"/>
          <w:szCs w:val="16"/>
        </w:rPr>
        <w:lastRenderedPageBreak/>
        <w:t>discrepancia entre ambas fuentes de información, lo anterior debido a que los minutos reportados a la Comisión son minutos facturados, por lo que esta información no contabiliza a los minutos que son incluidos a través de algunas promociones. Debido a ello, la Comisión decidió utilizar la información de un concesionario en particular.</w:t>
      </w:r>
    </w:p>
    <w:p w14:paraId="35B58490" w14:textId="77777777" w:rsidR="00654D1D" w:rsidRPr="00654D1D" w:rsidRDefault="003E526D" w:rsidP="00654D1D">
      <w:pPr>
        <w:spacing w:before="240"/>
        <w:ind w:left="1134" w:right="900"/>
        <w:jc w:val="both"/>
        <w:rPr>
          <w:rFonts w:ascii="ITC Avant Garde" w:eastAsia="Calibri" w:hAnsi="ITC Avant Garde" w:cs="Arial"/>
          <w:sz w:val="16"/>
          <w:szCs w:val="16"/>
        </w:rPr>
      </w:pPr>
      <w:r w:rsidRPr="00654D1D">
        <w:rPr>
          <w:rFonts w:ascii="ITC Avant Garde" w:eastAsia="Calibri" w:hAnsi="ITC Avant Garde" w:cs="Arial"/>
          <w:sz w:val="16"/>
          <w:szCs w:val="16"/>
        </w:rPr>
        <w:t>[…]</w:t>
      </w:r>
    </w:p>
    <w:p w14:paraId="3B491634" w14:textId="77777777" w:rsidR="00654D1D" w:rsidRPr="00654D1D" w:rsidRDefault="003E526D" w:rsidP="00654D1D">
      <w:pPr>
        <w:spacing w:before="240"/>
        <w:ind w:left="1134" w:right="900"/>
        <w:jc w:val="both"/>
        <w:rPr>
          <w:rFonts w:ascii="ITC Avant Garde" w:eastAsia="Calibri" w:hAnsi="ITC Avant Garde" w:cs="Arial"/>
          <w:sz w:val="16"/>
          <w:szCs w:val="16"/>
        </w:rPr>
      </w:pPr>
      <w:r w:rsidRPr="00654D1D">
        <w:rPr>
          <w:rFonts w:ascii="ITC Avant Garde" w:eastAsia="Calibri" w:hAnsi="ITC Avant Garde" w:cs="Arial"/>
          <w:sz w:val="16"/>
          <w:szCs w:val="16"/>
        </w:rPr>
        <w:t>La demanda se estimó con los siguientes pasos:</w:t>
      </w:r>
    </w:p>
    <w:p w14:paraId="4B6023F9" w14:textId="0FAB5784" w:rsidR="003E526D" w:rsidRPr="00654D1D" w:rsidRDefault="003E526D" w:rsidP="00654D1D">
      <w:pPr>
        <w:numPr>
          <w:ilvl w:val="0"/>
          <w:numId w:val="46"/>
        </w:numPr>
        <w:spacing w:before="240"/>
        <w:ind w:left="1134" w:right="900"/>
        <w:contextualSpacing/>
        <w:jc w:val="both"/>
        <w:rPr>
          <w:rFonts w:ascii="ITC Avant Garde" w:eastAsia="Calibri" w:hAnsi="ITC Avant Garde" w:cs="Arial"/>
          <w:sz w:val="16"/>
          <w:szCs w:val="16"/>
        </w:rPr>
      </w:pPr>
      <w:r w:rsidRPr="00654D1D">
        <w:rPr>
          <w:rFonts w:ascii="ITC Avant Garde" w:eastAsia="Calibri" w:hAnsi="ITC Avant Garde" w:cs="Arial"/>
          <w:sz w:val="16"/>
          <w:szCs w:val="16"/>
        </w:rPr>
        <w:t>A partir de las proyecciones de población y de penetración (Curva S) se estimó el número de suscriptores.</w:t>
      </w:r>
    </w:p>
    <w:p w14:paraId="4B6023FA" w14:textId="77777777" w:rsidR="003E526D" w:rsidRPr="00654D1D" w:rsidRDefault="003E526D" w:rsidP="00654D1D">
      <w:pPr>
        <w:numPr>
          <w:ilvl w:val="0"/>
          <w:numId w:val="46"/>
        </w:numPr>
        <w:spacing w:before="240"/>
        <w:ind w:left="1134" w:right="900" w:hanging="425"/>
        <w:contextualSpacing/>
        <w:jc w:val="both"/>
        <w:rPr>
          <w:rFonts w:ascii="ITC Avant Garde" w:eastAsia="Calibri" w:hAnsi="ITC Avant Garde" w:cs="Arial"/>
          <w:sz w:val="16"/>
          <w:szCs w:val="16"/>
        </w:rPr>
      </w:pPr>
      <w:r w:rsidRPr="00654D1D">
        <w:rPr>
          <w:rFonts w:ascii="ITC Avant Garde" w:eastAsia="Calibri" w:hAnsi="ITC Avant Garde" w:cs="Arial"/>
          <w:sz w:val="16"/>
          <w:szCs w:val="16"/>
        </w:rPr>
        <w:t>Para los suscriptores, se determinó el tráfico de servicios de telefonía con base en el promedio de minutos de entrada y de salida (Tabla 2).</w:t>
      </w:r>
    </w:p>
    <w:p w14:paraId="4B6023FB" w14:textId="77777777" w:rsidR="003E526D" w:rsidRPr="00654D1D" w:rsidRDefault="003E526D" w:rsidP="00654D1D">
      <w:pPr>
        <w:numPr>
          <w:ilvl w:val="0"/>
          <w:numId w:val="46"/>
        </w:numPr>
        <w:spacing w:before="240"/>
        <w:ind w:left="1134" w:right="900" w:hanging="425"/>
        <w:contextualSpacing/>
        <w:jc w:val="both"/>
        <w:rPr>
          <w:rFonts w:ascii="ITC Avant Garde" w:eastAsia="Calibri" w:hAnsi="ITC Avant Garde" w:cs="Arial"/>
          <w:sz w:val="16"/>
          <w:szCs w:val="16"/>
        </w:rPr>
      </w:pPr>
      <w:r w:rsidRPr="00654D1D">
        <w:rPr>
          <w:rFonts w:ascii="ITC Avant Garde" w:eastAsia="Calibri" w:hAnsi="ITC Avant Garde" w:cs="Arial"/>
          <w:sz w:val="16"/>
          <w:szCs w:val="16"/>
        </w:rPr>
        <w:t>Los minutos de entrada y de salida se dividieron entre aquéllos que son locales y de larga distancia (Tabla 2).</w:t>
      </w:r>
    </w:p>
    <w:p w14:paraId="4B6023FC" w14:textId="77777777" w:rsidR="003E526D" w:rsidRPr="00654D1D" w:rsidRDefault="003E526D" w:rsidP="00654D1D">
      <w:pPr>
        <w:numPr>
          <w:ilvl w:val="0"/>
          <w:numId w:val="46"/>
        </w:numPr>
        <w:spacing w:before="240"/>
        <w:ind w:left="1134" w:right="900" w:hanging="425"/>
        <w:contextualSpacing/>
        <w:jc w:val="both"/>
        <w:rPr>
          <w:rFonts w:ascii="ITC Avant Garde" w:eastAsia="Calibri" w:hAnsi="ITC Avant Garde" w:cs="Arial"/>
          <w:sz w:val="16"/>
          <w:szCs w:val="16"/>
        </w:rPr>
      </w:pPr>
      <w:r w:rsidRPr="00654D1D">
        <w:rPr>
          <w:rFonts w:ascii="ITC Avant Garde" w:eastAsia="Calibri" w:hAnsi="ITC Avant Garde" w:cs="Arial"/>
          <w:sz w:val="16"/>
          <w:szCs w:val="16"/>
        </w:rPr>
        <w:t>Los minutos de salida (locales y de larga distancia) se subdividieron en, terminados dentro de la misma red, '</w:t>
      </w:r>
      <w:proofErr w:type="spellStart"/>
      <w:r w:rsidRPr="00654D1D">
        <w:rPr>
          <w:rFonts w:ascii="ITC Avant Garde" w:eastAsia="Calibri" w:hAnsi="ITC Avant Garde" w:cs="Arial"/>
          <w:sz w:val="16"/>
          <w:szCs w:val="16"/>
        </w:rPr>
        <w:t>intrared</w:t>
      </w:r>
      <w:proofErr w:type="spellEnd"/>
      <w:r w:rsidRPr="00654D1D">
        <w:rPr>
          <w:rFonts w:ascii="ITC Avant Garde" w:eastAsia="Calibri" w:hAnsi="ITC Avant Garde" w:cs="Arial"/>
          <w:sz w:val="16"/>
          <w:szCs w:val="16"/>
        </w:rPr>
        <w:t>'; y terminados en otras redes, 'fuera de red' (Tabla 2).</w:t>
      </w:r>
    </w:p>
    <w:p w14:paraId="4B6023FD" w14:textId="77777777" w:rsidR="003E526D" w:rsidRPr="00654D1D" w:rsidRDefault="003E526D" w:rsidP="00654D1D">
      <w:pPr>
        <w:numPr>
          <w:ilvl w:val="0"/>
          <w:numId w:val="46"/>
        </w:numPr>
        <w:spacing w:before="240"/>
        <w:ind w:left="1134" w:right="900" w:hanging="425"/>
        <w:contextualSpacing/>
        <w:jc w:val="both"/>
        <w:rPr>
          <w:rFonts w:ascii="ITC Avant Garde" w:eastAsia="Calibri" w:hAnsi="ITC Avant Garde" w:cs="Arial"/>
          <w:sz w:val="16"/>
          <w:szCs w:val="16"/>
        </w:rPr>
      </w:pPr>
      <w:r w:rsidRPr="00654D1D">
        <w:rPr>
          <w:rFonts w:ascii="ITC Avant Garde" w:eastAsia="Calibri" w:hAnsi="ITC Avant Garde" w:cs="Arial"/>
          <w:sz w:val="16"/>
          <w:szCs w:val="16"/>
        </w:rPr>
        <w:t>Posteriormente, para determinar el número de llamadas se utilizaron los supuestos de duración promedio de llamada (Tabla 3).</w:t>
      </w:r>
    </w:p>
    <w:p w14:paraId="6F052191" w14:textId="77777777" w:rsidR="00654D1D" w:rsidRPr="00654D1D" w:rsidRDefault="003E526D" w:rsidP="00654D1D">
      <w:pPr>
        <w:numPr>
          <w:ilvl w:val="0"/>
          <w:numId w:val="46"/>
        </w:numPr>
        <w:spacing w:before="240"/>
        <w:ind w:left="1134" w:right="900" w:hanging="425"/>
        <w:contextualSpacing/>
        <w:jc w:val="both"/>
        <w:rPr>
          <w:rFonts w:ascii="ITC Avant Garde" w:eastAsia="Calibri" w:hAnsi="ITC Avant Garde" w:cs="Arial"/>
          <w:sz w:val="16"/>
          <w:szCs w:val="16"/>
        </w:rPr>
      </w:pPr>
      <w:r w:rsidRPr="00654D1D">
        <w:rPr>
          <w:rFonts w:ascii="ITC Avant Garde" w:eastAsia="Calibri" w:hAnsi="ITC Avant Garde" w:cs="Arial"/>
          <w:sz w:val="16"/>
          <w:szCs w:val="16"/>
        </w:rPr>
        <w:t>Con ello, se estimó la distribución de los distintos tipos de llamadas  terminadas en una red móvil: a) Llamada local desde un teléfono fijo a un teléfono móvil; b) Llamada de larga distancia desde un teléfono fijo a un teléfono móvil; e) Llamada local desde un teléfono móvil a un teléfono fijo o a un móvil; d) Llamada de larga distancia desde un teléfono móvil a un teléfono fijo o móvil; e) Llamada local desde un teléfono móvil a otro teléfono móvil de la misma red (</w:t>
      </w:r>
      <w:proofErr w:type="spellStart"/>
      <w:r w:rsidRPr="00654D1D">
        <w:rPr>
          <w:rFonts w:ascii="ITC Avant Garde" w:eastAsia="Calibri" w:hAnsi="ITC Avant Garde" w:cs="Arial"/>
          <w:sz w:val="16"/>
          <w:szCs w:val="16"/>
        </w:rPr>
        <w:t>intrared</w:t>
      </w:r>
      <w:proofErr w:type="spellEnd"/>
      <w:r w:rsidRPr="00654D1D">
        <w:rPr>
          <w:rFonts w:ascii="ITC Avant Garde" w:eastAsia="Calibri" w:hAnsi="ITC Avant Garde" w:cs="Arial"/>
          <w:sz w:val="16"/>
          <w:szCs w:val="16"/>
        </w:rPr>
        <w:t>); f) Llamada de larga distancia desde un teléfono móvil a otro teléfono móvil de la misma red (</w:t>
      </w:r>
      <w:proofErr w:type="spellStart"/>
      <w:r w:rsidRPr="00654D1D">
        <w:rPr>
          <w:rFonts w:ascii="ITC Avant Garde" w:eastAsia="Calibri" w:hAnsi="ITC Avant Garde" w:cs="Arial"/>
          <w:sz w:val="16"/>
          <w:szCs w:val="16"/>
        </w:rPr>
        <w:t>intrared</w:t>
      </w:r>
      <w:proofErr w:type="spellEnd"/>
      <w:r w:rsidRPr="00654D1D">
        <w:rPr>
          <w:rFonts w:ascii="ITC Avant Garde" w:eastAsia="Calibri" w:hAnsi="ITC Avant Garde" w:cs="Arial"/>
          <w:sz w:val="16"/>
          <w:szCs w:val="16"/>
        </w:rPr>
        <w:t>).</w:t>
      </w:r>
    </w:p>
    <w:p w14:paraId="2FE91A37" w14:textId="77777777" w:rsidR="00654D1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Para dimensionar la red del operador representativo en el Modelo CITLP se considera que las cantidades de elementos de red que el operador debe considerar para la operación eficiente de su red están en función de la demanda esperada del servicio.</w:t>
      </w:r>
    </w:p>
    <w:p w14:paraId="2AF662D2" w14:textId="77777777" w:rsidR="00654D1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La cobertura de la red comprende cada una de las 9 regiones celulares o PCS en las que se encuentra dividido el país. Para efecto de que el operador representativo sea un proveedor de servicios de telefonía móvil a nivel nacional. La cobertura de la red se dividió en zonas urbanas y semiurbanas del país, así como las zonas carreteras. La información para determinar la distribución de la red por tipo de cobertura demográfica se basa en el Censo de Población y Vivienda para 2005 elaborado por INEGI. Así, la red da cobertura al 90.55% de la población que se encuentra distribuida en el 30.97% de área geográfica del país. No obstante que las zonas rurales no fueron incluidas en el modelo, ello es consistente con la situación actual de un operador de tamaño medio.</w:t>
      </w:r>
    </w:p>
    <w:p w14:paraId="4E835B64" w14:textId="77777777" w:rsidR="00654D1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En este sentido, un elemento importante en el desarrollo del modelo es el diseño de la red, en el que los usuarios pueden acceder a los servicios de la red desde cualquier punto del área de cobertura donde sea técnicamente factible. Si un número suficiente de usuarios demandan el servicio en un determinado punto, entonces el concesionario proporcionará la cobertura en esa localización. En la medida en que se incrementa el número de localizaciones, la cobertura se extiende geográficamente</w:t>
      </w:r>
    </w:p>
    <w:p w14:paraId="1CD1F6F0" w14:textId="77777777" w:rsidR="00654D1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Asimismo, en el diseño de la red se aprecia que los usuarios tienen movilidad y por lo tanto, a medida que se incrementa el número de usuarios en una determinada localización y en una hora determinada, el concesionario deberá tomar en cuenta este hecho con el fin de determinar el número de elementos de red que son necesarios para la prestación de un servicio en esa área de cobertura y con un nivel de calidad aceptable.</w:t>
      </w:r>
    </w:p>
    <w:p w14:paraId="4B602408" w14:textId="2055F62E" w:rsidR="003E526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 xml:space="preserve">De esta forma el modelo reconoce que las principales variables que determinan el diseño y el número de elementos de la red móvil son el nivel de cobertura alcanzado por un concesionario, el número de </w:t>
      </w:r>
      <w:r w:rsidRPr="00654D1D">
        <w:rPr>
          <w:rFonts w:ascii="ITC Avant Garde" w:eastAsia="Calibri" w:hAnsi="ITC Avant Garde" w:cs="Arial"/>
          <w:sz w:val="16"/>
          <w:szCs w:val="16"/>
        </w:rPr>
        <w:lastRenderedPageBreak/>
        <w:t>usuarios a quienes proporciona el servicio y su localización, la cantidad de tráfico que es cursado en la red, y la calidad del servicio ofrecida a los usuarios.</w:t>
      </w:r>
    </w:p>
    <w:p w14:paraId="4B602409" w14:textId="77777777" w:rsidR="003E526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w:t>
      </w:r>
    </w:p>
    <w:p w14:paraId="66006B77"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Asimismo en lo referente a le red fija de foja a se señala lo siguiente:</w:t>
      </w:r>
    </w:p>
    <w:p w14:paraId="42140593" w14:textId="77777777" w:rsidR="00654D1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“El diseño de la red están besado en una empresa hipotética que presta servicios de voz y datos, y que por lo tanto debe de elegir aquella tecnología que permita en satisfacer la demanda de servicios de telecomunicaciones en el horizonte de tiempo considerado por el modelo. Como se ha señalado anteriormente, la demanda por servicios de datos y el número de usuarios de internet de banda ancha se han incrementado de manera significativa, por lo que la forma eficiente de proporcionar los servicios mencionados es por medio de una red que utiliza tecnologías modernas de conmutación y de transmisión basadas en el protocolo Ethernet; el cual además de tener costos menores de los de una red tradicional, se beneficia del uso compartido de activos para la prestación de servicios de voz y datos.</w:t>
      </w:r>
    </w:p>
    <w:p w14:paraId="0A1A947B" w14:textId="77777777" w:rsidR="00654D1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La arquitectura de la red perteneciente a la empresa hipotética, debe ser acorde a las características propias de la tecnología elegida, en el caso que nos ocupa la red a modelar debe estar basada en una plataforma centralizada en vez de en une estructura jerárquica, respecto a la conmutación de tráfico. La red hipotética consta de un conjunto de nodos centrales (</w:t>
      </w:r>
      <w:proofErr w:type="spellStart"/>
      <w:r w:rsidRPr="00654D1D">
        <w:rPr>
          <w:rFonts w:ascii="ITC Avant Garde" w:eastAsia="Calibri" w:hAnsi="ITC Avant Garde" w:cs="Arial"/>
          <w:sz w:val="16"/>
          <w:szCs w:val="16"/>
        </w:rPr>
        <w:t>core</w:t>
      </w:r>
      <w:proofErr w:type="spellEnd"/>
      <w:r w:rsidRPr="00654D1D">
        <w:rPr>
          <w:rFonts w:ascii="ITC Avant Garde" w:eastAsia="Calibri" w:hAnsi="ITC Avant Garde" w:cs="Arial"/>
          <w:sz w:val="16"/>
          <w:szCs w:val="16"/>
        </w:rPr>
        <w:t xml:space="preserve"> </w:t>
      </w:r>
      <w:proofErr w:type="spellStart"/>
      <w:r w:rsidRPr="00654D1D">
        <w:rPr>
          <w:rFonts w:ascii="ITC Avant Garde" w:eastAsia="Calibri" w:hAnsi="ITC Avant Garde" w:cs="Arial"/>
          <w:sz w:val="16"/>
          <w:szCs w:val="16"/>
        </w:rPr>
        <w:t>node</w:t>
      </w:r>
      <w:proofErr w:type="spellEnd"/>
      <w:r w:rsidRPr="00654D1D">
        <w:rPr>
          <w:rFonts w:ascii="ITC Avant Garde" w:eastAsia="Calibri" w:hAnsi="ITC Avant Garde" w:cs="Arial"/>
          <w:sz w:val="16"/>
          <w:szCs w:val="16"/>
        </w:rPr>
        <w:t>), los cuales realizan las funciones de inteligencia de la red, como es la identificación del destino del tráfico, la facturación, el acceso a la red de datos entre otras; cada nodo central se encuentra conectado a un conjunto de nodos regionales.</w:t>
      </w:r>
    </w:p>
    <w:p w14:paraId="10201298" w14:textId="77777777" w:rsidR="00654D1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En los nodos regionales se encuentra la infraestructura necesaria para intercambiar el tráfico terminado u originado en otras redes públicas de telecomunicaciones; los cuales tienen la capacidad de convertir las señales IP en TDM. Asimismo, los nodos regionales manejan el tráfico originado por los nodos de acceso, los cuales están jerarquizados en dos niveles: tos nodos de nivel 1 (</w:t>
      </w:r>
      <w:proofErr w:type="spellStart"/>
      <w:r w:rsidRPr="00654D1D">
        <w:rPr>
          <w:rFonts w:ascii="ITC Avant Garde" w:eastAsia="Calibri" w:hAnsi="ITC Avant Garde" w:cs="Arial"/>
          <w:sz w:val="16"/>
          <w:szCs w:val="16"/>
        </w:rPr>
        <w:t>tier</w:t>
      </w:r>
      <w:proofErr w:type="spellEnd"/>
      <w:r w:rsidRPr="00654D1D">
        <w:rPr>
          <w:rFonts w:ascii="ITC Avant Garde" w:eastAsia="Calibri" w:hAnsi="ITC Avant Garde" w:cs="Arial"/>
          <w:sz w:val="16"/>
          <w:szCs w:val="16"/>
        </w:rPr>
        <w:t xml:space="preserve"> 1) mismos que se conectan directamente a los nodos regionales, y los nodos de nivel 2 (</w:t>
      </w:r>
      <w:proofErr w:type="spellStart"/>
      <w:r w:rsidRPr="00654D1D">
        <w:rPr>
          <w:rFonts w:ascii="ITC Avant Garde" w:eastAsia="Calibri" w:hAnsi="ITC Avant Garde" w:cs="Arial"/>
          <w:sz w:val="16"/>
          <w:szCs w:val="16"/>
        </w:rPr>
        <w:t>tier</w:t>
      </w:r>
      <w:proofErr w:type="spellEnd"/>
      <w:r w:rsidRPr="00654D1D">
        <w:rPr>
          <w:rFonts w:ascii="ITC Avant Garde" w:eastAsia="Calibri" w:hAnsi="ITC Avant Garde" w:cs="Arial"/>
          <w:sz w:val="16"/>
          <w:szCs w:val="16"/>
        </w:rPr>
        <w:t xml:space="preserve"> 2) que se encuentran conectados a nodos de nivel 1.</w:t>
      </w:r>
    </w:p>
    <w:p w14:paraId="7FF24E95" w14:textId="77777777" w:rsidR="00654D1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Las líneas de los usuarios se conectan con la red de conmutación y transporte mediante un Nodo de Acceso Multiservicio (MSAN), en el cual se maneja el tráfico de voz y datos bajo el protocolo IP para transmitirlo hacia otros puntos de la red, ya sea para comunicarse con usuarios de la misma red o de otra red, o acceder a servicios prestados por las redes. Los MSAN se encuentran distribuidos en cada uno de los nodos de niveles 1 y 2, así como en los nodos  regionales. Para conectar los distintos nodos de la red se utiliza una combinación de topologías de anillo, así como de enlaces redundantes (</w:t>
      </w:r>
      <w:proofErr w:type="spellStart"/>
      <w:r w:rsidRPr="00654D1D">
        <w:rPr>
          <w:rFonts w:ascii="ITC Avant Garde" w:eastAsia="Calibri" w:hAnsi="ITC Avant Garde" w:cs="Arial"/>
          <w:sz w:val="16"/>
          <w:szCs w:val="16"/>
        </w:rPr>
        <w:t>resilient</w:t>
      </w:r>
      <w:proofErr w:type="spellEnd"/>
      <w:r w:rsidRPr="00654D1D">
        <w:rPr>
          <w:rFonts w:ascii="ITC Avant Garde" w:eastAsia="Calibri" w:hAnsi="ITC Avant Garde" w:cs="Arial"/>
          <w:sz w:val="16"/>
          <w:szCs w:val="16"/>
        </w:rPr>
        <w:t xml:space="preserve"> link).</w:t>
      </w:r>
    </w:p>
    <w:p w14:paraId="3F81791B" w14:textId="77777777" w:rsidR="00654D1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 xml:space="preserve">En cada uno de los nodos regionales y centrales existen </w:t>
      </w:r>
      <w:proofErr w:type="spellStart"/>
      <w:r w:rsidRPr="00654D1D">
        <w:rPr>
          <w:rFonts w:ascii="ITC Avant Garde" w:eastAsia="Calibri" w:hAnsi="ITC Avant Garde" w:cs="Arial"/>
          <w:sz w:val="16"/>
          <w:szCs w:val="16"/>
        </w:rPr>
        <w:t>switches</w:t>
      </w:r>
      <w:proofErr w:type="spellEnd"/>
      <w:r w:rsidRPr="00654D1D">
        <w:rPr>
          <w:rFonts w:ascii="ITC Avant Garde" w:eastAsia="Calibri" w:hAnsi="ITC Avant Garde" w:cs="Arial"/>
          <w:sz w:val="16"/>
          <w:szCs w:val="16"/>
        </w:rPr>
        <w:t xml:space="preserve"> Ethernet para agregar el tráfico y enrutadores para enviar el tráfico entre los nodos regionales y centrales. La red también incluye una arquitectura de transporte subyacente que consiste en una mezcla de Ethernet sobre Jerarquía Digital Sincrónica (SDH), soportada por plataformas de aprovisionamiento multiservicio (MSPP) y sistemas de </w:t>
      </w:r>
      <w:proofErr w:type="spellStart"/>
      <w:r w:rsidRPr="00654D1D">
        <w:rPr>
          <w:rFonts w:ascii="ITC Avant Garde" w:eastAsia="Calibri" w:hAnsi="ITC Avant Garde" w:cs="Arial"/>
          <w:sz w:val="16"/>
          <w:szCs w:val="16"/>
        </w:rPr>
        <w:t>Multiplexión</w:t>
      </w:r>
      <w:proofErr w:type="spellEnd"/>
      <w:r w:rsidRPr="00654D1D">
        <w:rPr>
          <w:rFonts w:ascii="ITC Avant Garde" w:eastAsia="Calibri" w:hAnsi="ITC Avant Garde" w:cs="Arial"/>
          <w:sz w:val="16"/>
          <w:szCs w:val="16"/>
        </w:rPr>
        <w:t xml:space="preserve"> por División de Onda (WDM).</w:t>
      </w:r>
    </w:p>
    <w:p w14:paraId="2E2F6DDD" w14:textId="77777777" w:rsidR="00654D1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w:t>
      </w:r>
    </w:p>
    <w:p w14:paraId="6519C383" w14:textId="77777777" w:rsidR="00654D1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Cuando se calcula el costo de interconexión por la terminación de tráfico de voz en un usuario, un punto clave es el número de elementos de red que son necesarios para prestar el servicio, el cual está relacionado con el punto donde es entregada la llamada por otro operador, es decir el punto de interconexión y el punto de la red en que se encuentre el usuario de destino.</w:t>
      </w:r>
    </w:p>
    <w:p w14:paraId="30C0D98F" w14:textId="77777777" w:rsidR="00654D1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lastRenderedPageBreak/>
        <w:t>[…]”</w:t>
      </w:r>
    </w:p>
    <w:p w14:paraId="187B2914"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Como se observa, a diferencia de los señalamientos de la quejosa el modelo de costos implementado en la resolución recurrida si tomó en cuenta la información sobre la topografía del territorio nacional, la distribución poblacional y todos los elementos necesarios para costear de manera adecuada los servicios modelados.</w:t>
      </w:r>
    </w:p>
    <w:p w14:paraId="04887FF0"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 xml:space="preserve">Finalmente es importante reiterar que el tipo de enfoque y metodología que se instrumente en los modelos de costos de servicios de telecomunicaciones, corresponde a una decisión de política regulatoria que entra dentro del ámbito de discrecionalidad del órgano regulador. </w:t>
      </w:r>
    </w:p>
    <w:p w14:paraId="48D11D85" w14:textId="77777777" w:rsidR="00654D1D" w:rsidRPr="00654D1D" w:rsidRDefault="003E526D" w:rsidP="00654D1D">
      <w:pPr>
        <w:numPr>
          <w:ilvl w:val="0"/>
          <w:numId w:val="42"/>
        </w:numPr>
        <w:spacing w:before="240"/>
        <w:contextualSpacing/>
        <w:jc w:val="both"/>
        <w:rPr>
          <w:rFonts w:ascii="ITC Avant Garde" w:eastAsia="Calibri" w:hAnsi="ITC Avant Garde" w:cs="Arial"/>
        </w:rPr>
      </w:pPr>
      <w:r w:rsidRPr="00654D1D">
        <w:rPr>
          <w:rFonts w:ascii="ITC Avant Garde" w:eastAsia="Calibri" w:hAnsi="ITC Avant Garde" w:cs="Arial"/>
        </w:rPr>
        <w:t>Señala que el modelo no especifica la estimación de llamadas “</w:t>
      </w:r>
      <w:proofErr w:type="spellStart"/>
      <w:r w:rsidRPr="00654D1D">
        <w:rPr>
          <w:rFonts w:ascii="ITC Avant Garde" w:eastAsia="Calibri" w:hAnsi="ITC Avant Garde" w:cs="Arial"/>
        </w:rPr>
        <w:t>intrared</w:t>
      </w:r>
      <w:proofErr w:type="spellEnd"/>
      <w:r w:rsidRPr="00654D1D">
        <w:rPr>
          <w:rFonts w:ascii="ITC Avant Garde" w:eastAsia="Calibri" w:hAnsi="ITC Avant Garde" w:cs="Arial"/>
        </w:rPr>
        <w:t>” (llamadas entre usuarios de la misma empresa); dicho fundamento es un supuesto de mercado de la OCDE, cuyo documento de origen no fue proporcionado. Lo anterior resulta en un estado de indefensión contra la estimación referida. Además, señala que la proporción estimada (47% para 2011) no corresponde al porcentaje observado por sus usuarios.</w:t>
      </w:r>
    </w:p>
    <w:p w14:paraId="04474896"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Al respecto, el argumento de la Recurrente es infundado toda vez que la extinta Comisión utilizó en todo momento la mejor información disponible; en este sentido, ante la carencia de información de las matrices de tráfico entre los diferentes concesionarios del mercado mexicano, y a efecto de no utilizar un dato arbitrario en el modelo, se utilizó la información de las canastas de consumo de la OCDE contenidas en el documento “REVISED OECD TELECOMMUNICATION PRICE COMPARISON METHODOLOGY, 2006”, las cuales son información pública y de amplio conocimiento para los actores de la industria de telecomunicaciones en México y a nivel internacional.</w:t>
      </w:r>
    </w:p>
    <w:p w14:paraId="66507F89"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Cabe señalar que dichas canastas son construidas con información de los países miembros de la OCDE y de operadores de telecomunicaciones, por lo que están sustentadas en datos reales.</w:t>
      </w:r>
    </w:p>
    <w:p w14:paraId="72B77744"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 xml:space="preserve">A manera de ilustrar la falta de información, se menciona el propio argumento de la recurrente, quien señala que dicho porcentaje de llamadas no corresponde al observado por sus usuarios, sin embargo, no proporciona la información correspondiente ni mucho menos la sustenta. </w:t>
      </w:r>
    </w:p>
    <w:p w14:paraId="30FCBC88" w14:textId="77777777" w:rsidR="00654D1D" w:rsidRPr="00654D1D" w:rsidRDefault="003E526D" w:rsidP="00654D1D">
      <w:pPr>
        <w:numPr>
          <w:ilvl w:val="0"/>
          <w:numId w:val="42"/>
        </w:numPr>
        <w:spacing w:before="240"/>
        <w:contextualSpacing/>
        <w:jc w:val="both"/>
        <w:rPr>
          <w:rFonts w:ascii="ITC Avant Garde" w:eastAsia="Calibri" w:hAnsi="ITC Avant Garde" w:cs="Arial"/>
        </w:rPr>
      </w:pPr>
      <w:r w:rsidRPr="00654D1D">
        <w:rPr>
          <w:rFonts w:ascii="ITC Avant Garde" w:eastAsia="Calibri" w:hAnsi="ITC Avant Garde" w:cs="Arial"/>
        </w:rPr>
        <w:t>Sobre el supuesto de la duración promedio de la llamada, la Recurrente menciona que la Comisión no proporcionó el documento soporte ni expuso las razones para encuadrar este en la realidad del mercado mexicano.</w:t>
      </w:r>
    </w:p>
    <w:p w14:paraId="32B3D543"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lastRenderedPageBreak/>
        <w:t>En términos generales, la Recurrente argumenta violaciones a los principios de adecuada fundamentación y motivación, en razón de que la Comisión, al elaborar el Modelo de Costos, no proporciona razones o motivos para emplear los valores que utiliza, cita fuentes de documentos que nunca le fueron proporcionados e incurre en contradicciones o emplea valores que no encuentran explicación alguna en el propio modelo de costos de la Resolución impugnada. Además, resulta violatorio del artículo 16 de la Constitución.</w:t>
      </w:r>
    </w:p>
    <w:p w14:paraId="5681C973"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Al respecto, nuevamente se señala que la extinta Comisión utilizó en todo momento la mejor información disponible; en este sentido, ante la carencia de información de la duración promedio de las llamadas entre los diferentes destinos de tráfico entre los concesionarios del mercado mexicano, de esta forma las duraciones promedio utilizadas en el modelo de costos se encuentran en línea con las utilizadas en las canastas de la OCDE, las cuales son información pública y de amplio conocimiento para los actores de la industria de telecomunicaciones en México y a nivel internacional.</w:t>
      </w:r>
    </w:p>
    <w:p w14:paraId="248C8242"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 xml:space="preserve">A manera de ilustrar la falta de información a que se enfrentó esta autoridad, se menciona el propio argumento de la Recurrente, quien cuestiona que la duración promedio utilizada corresponda al mercado mexicano, sin embargo, no sustenta sus dichos, de ahí que se consideren como improcedentes por infundados sus argumentos. </w:t>
      </w:r>
    </w:p>
    <w:p w14:paraId="399E9A17" w14:textId="77777777" w:rsidR="00654D1D" w:rsidRPr="00654D1D" w:rsidRDefault="003E526D" w:rsidP="00654D1D">
      <w:pPr>
        <w:numPr>
          <w:ilvl w:val="0"/>
          <w:numId w:val="42"/>
        </w:numPr>
        <w:spacing w:before="240"/>
        <w:contextualSpacing/>
        <w:jc w:val="both"/>
        <w:rPr>
          <w:rFonts w:ascii="ITC Avant Garde" w:eastAsia="Calibri" w:hAnsi="ITC Avant Garde" w:cs="Arial"/>
        </w:rPr>
      </w:pPr>
      <w:r w:rsidRPr="00654D1D">
        <w:rPr>
          <w:rFonts w:ascii="ITC Avant Garde" w:eastAsia="Calibri" w:hAnsi="ITC Avant Garde" w:cs="Arial"/>
        </w:rPr>
        <w:t>Menciona que el modelo estima el número de estaciones de base únicamente a partir de la información de tráfico, sin considerar variables geográficas o de distribución demográfica para alcanzar una cobertura determinada. Lo anterior implica una deficiencia técnica en la Resolución.</w:t>
      </w:r>
    </w:p>
    <w:p w14:paraId="13113D6A"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Sobre este particular, se considera que los usuarios móviles buscan que el prestador de servicios móviles cuente con cobertura de servicios en ciertas partes del territorio, en ese sentido, las empresas de telecomunicaciones comienzan el diseño de la red tomando en cuenta esta consideración, por lo que en las primeras etapas de desarrollo las empresas del servicio móvil buscan cubrir las principales ciudades y van ampliando su cobertura o poblaciones conforme aumentan usuarios y las necesidades de los mismos.</w:t>
      </w:r>
    </w:p>
    <w:p w14:paraId="6775A487"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Sin embargo, en las primeras etapas la infraestructura para cubrir cierto número de población o de territorio puede ser suficiente para satisfacer la demanda de servicios por parte de sus usuarios, pero conforme aumenta el número de usuarios o de tráfico es necesario instalar más infraestructura por lo cual el factor determinante en el diseño de la red no es el de cobertura si no el de capacidad de la red.</w:t>
      </w:r>
    </w:p>
    <w:p w14:paraId="54C447EC"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lastRenderedPageBreak/>
        <w:t>En este sentido, de conformidad con el número de equipos que arrojó el modelo de costos se puede observar que son suficientes para otorgar cobertura de servicios al 90.55% de la población que se encuentra distribuida en el 30.97% de área geográfica del país. No obstante que las zonas rurales no fueron incluidas en el modelo, ello es consistente con la situación de un operador de tamaño medio en el año 2011.</w:t>
      </w:r>
    </w:p>
    <w:p w14:paraId="14BC030A"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 xml:space="preserve">Asimismo, de la información con la que contaba la extinta Comisión entregada por los mismos concesionarios del servicio local móvil, sobre su infraestructura instalada y su cobertura de servicios permiten constatar que el número de </w:t>
      </w:r>
      <w:proofErr w:type="spellStart"/>
      <w:r w:rsidRPr="00654D1D">
        <w:rPr>
          <w:rFonts w:ascii="ITC Avant Garde" w:eastAsia="Calibri" w:hAnsi="ITC Avant Garde" w:cs="Arial"/>
        </w:rPr>
        <w:t>radiobases</w:t>
      </w:r>
      <w:proofErr w:type="spellEnd"/>
      <w:r w:rsidRPr="00654D1D">
        <w:rPr>
          <w:rFonts w:ascii="ITC Avant Garde" w:eastAsia="Calibri" w:hAnsi="ITC Avant Garde" w:cs="Arial"/>
        </w:rPr>
        <w:t xml:space="preserve"> necesarios determinadas por el modelo de costos es suficiente para dar servicios al 90.55% de la población y ofrecer el servicio al 25% de los usuarios.</w:t>
      </w:r>
    </w:p>
    <w:p w14:paraId="6177F99D"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 xml:space="preserve">Ahora bien, respecto del señalamiento de la quejosa sobre que carece de lógica que el Modelo de Costos este sustentado en los costos de una empresa que no existe en la realidad y sobre la supuesta doble definición de operador “eficiente” o “representativo” que menciona la recurrente, se menciona lo siguiente: </w:t>
      </w:r>
    </w:p>
    <w:p w14:paraId="401CB37E"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Los órganos reguladores de distintas regiones del mundo han considerado los siguientes tipos de concesionario para los modelos de costos que han implementado:</w:t>
      </w:r>
    </w:p>
    <w:p w14:paraId="4B60243E" w14:textId="52AFDF77" w:rsidR="003E526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w:t>
      </w:r>
      <w:r w:rsidRPr="00654D1D">
        <w:rPr>
          <w:rFonts w:ascii="ITC Avant Garde" w:eastAsia="Calibri" w:hAnsi="ITC Avant Garde" w:cs="Arial"/>
        </w:rPr>
        <w:tab/>
        <w:t>Concesionarios reales – se calculan los costos de todos los concesionarios que prestan servicios en el mercado.</w:t>
      </w:r>
    </w:p>
    <w:p w14:paraId="4B60243F" w14:textId="77777777" w:rsidR="003E526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w:t>
      </w:r>
      <w:r w:rsidRPr="00654D1D">
        <w:rPr>
          <w:rFonts w:ascii="ITC Avant Garde" w:eastAsia="Calibri" w:hAnsi="ITC Avant Garde" w:cs="Arial"/>
        </w:rPr>
        <w:tab/>
        <w:t>Concesionario promedio – se promedian los costos de todos los concesionarios que prestan servicios para el mercado móvil para definir un operador ‘típico’.</w:t>
      </w:r>
    </w:p>
    <w:p w14:paraId="4B602440" w14:textId="77777777" w:rsidR="003E526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w:t>
      </w:r>
      <w:r w:rsidRPr="00654D1D">
        <w:rPr>
          <w:rFonts w:ascii="ITC Avant Garde" w:eastAsia="Calibri" w:hAnsi="ITC Avant Garde" w:cs="Arial"/>
        </w:rPr>
        <w:tab/>
        <w:t>Concesionario hipotético– se define un concesionario con características similares a, o derivadas de, los concesionarios existentes en el mercado pero se ajustan ciertos aspectos hipotéticos como puede ser la fecha de entrada al mercado, la cuota de mercado, la tecnología utilizada el diseño de red, entre otros, y que alcanza la cuota de mercado antes del periodo regulatorio para el cual se calculan los costos.</w:t>
      </w:r>
    </w:p>
    <w:p w14:paraId="407B82EE"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w:t>
      </w:r>
      <w:r w:rsidRPr="00654D1D">
        <w:rPr>
          <w:rFonts w:ascii="ITC Avant Garde" w:eastAsia="Calibri" w:hAnsi="ITC Avant Garde" w:cs="Arial"/>
        </w:rPr>
        <w:tab/>
        <w:t>Nuevo entrante hipotético – se define un nuevo concesionario que entra al mercado, con una arquitectura de red moderna y que alcanza la cuota de mercado eficiente del operador representativo en un plazo determinado.</w:t>
      </w:r>
    </w:p>
    <w:p w14:paraId="7C96E967"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En este sentido, la experiencia internacional muestra que cuando se utiliza la información disponible de un operador real (costos históricos) como insumo para el modelo de costos se generan distorsiones que ocasionan que las tarifas de interconexión determinadas no sean eficientes, por las siguientes razones:</w:t>
      </w:r>
    </w:p>
    <w:p w14:paraId="4B602445" w14:textId="5D5AB9CE" w:rsidR="003E526D" w:rsidRPr="00654D1D" w:rsidRDefault="003E526D" w:rsidP="00654D1D">
      <w:pPr>
        <w:numPr>
          <w:ilvl w:val="0"/>
          <w:numId w:val="47"/>
        </w:numPr>
        <w:spacing w:before="240"/>
        <w:jc w:val="both"/>
        <w:rPr>
          <w:rFonts w:ascii="ITC Avant Garde" w:eastAsia="Calibri" w:hAnsi="ITC Avant Garde" w:cs="Arial"/>
        </w:rPr>
      </w:pPr>
      <w:r w:rsidRPr="00654D1D">
        <w:rPr>
          <w:rFonts w:ascii="ITC Avant Garde" w:eastAsia="Calibri" w:hAnsi="ITC Avant Garde" w:cs="Arial"/>
        </w:rPr>
        <w:lastRenderedPageBreak/>
        <w:t>Se reduce la transparencia en costos y precios.</w:t>
      </w:r>
    </w:p>
    <w:p w14:paraId="3D334F03" w14:textId="77777777" w:rsidR="00654D1D" w:rsidRPr="00654D1D" w:rsidRDefault="003E526D" w:rsidP="00654D1D">
      <w:pPr>
        <w:numPr>
          <w:ilvl w:val="0"/>
          <w:numId w:val="47"/>
        </w:numPr>
        <w:spacing w:before="240"/>
        <w:jc w:val="both"/>
        <w:rPr>
          <w:rFonts w:ascii="ITC Avant Garde" w:eastAsia="Calibri" w:hAnsi="ITC Avant Garde" w:cs="Arial"/>
        </w:rPr>
      </w:pPr>
      <w:r w:rsidRPr="00654D1D">
        <w:rPr>
          <w:rFonts w:ascii="ITC Avant Garde" w:eastAsia="Calibri" w:hAnsi="ITC Avant Garde" w:cs="Arial"/>
        </w:rPr>
        <w:t>Aumenta la dificultad para asegurar cumplir con el principio de eficiencia.</w:t>
      </w:r>
    </w:p>
    <w:p w14:paraId="4B602448" w14:textId="4484FEE4" w:rsidR="003E526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La transparencia en costos y precios disminuye, toda vez que gran parte de la información necesaria para construir el modelo provendría de la red del operador modelado. Al utilizar información completamente real de los concesionarios para el modelo el cálculo se torna complejo, ya que los costos reales de la red de los operadores son únicamente conocidos por dichos operadores, y forman parte de los secretos industriales que toda empresa resguarda a efecto de mantener su ventaja competitiva en el mercado.</w:t>
      </w:r>
    </w:p>
    <w:p w14:paraId="49C369CB"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Lo anterior no es un problema exclusivo de la industria de telecomunicaciones en México, si no que forma parte de la relación entre el órgano regulador y las empresas reguladas a lo largo de todo el mundo; basta mirar la literatura especializada en el tema la cual señala</w:t>
      </w:r>
      <w:r w:rsidRPr="00654D1D">
        <w:rPr>
          <w:rFonts w:ascii="ITC Avant Garde" w:eastAsia="Calibri" w:hAnsi="ITC Avant Garde" w:cs="Arial"/>
          <w:vertAlign w:val="superscript"/>
        </w:rPr>
        <w:footnoteReference w:id="18"/>
      </w:r>
      <w:r w:rsidRPr="00654D1D">
        <w:rPr>
          <w:rFonts w:ascii="ITC Avant Garde" w:eastAsia="Calibri" w:hAnsi="ITC Avant Garde" w:cs="Arial"/>
        </w:rPr>
        <w:t xml:space="preserve">: </w:t>
      </w:r>
    </w:p>
    <w:p w14:paraId="4B60244C" w14:textId="746B0C4A" w:rsidR="003E526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 xml:space="preserve">“No es sorprendente que el regulado posea más información que el regulador. Aun cuando el monopolista regulado es obligado por la ley a proveer información a los funcionarios del gobierno, es difícil para ellos comprobar su exactitud. Según la teoría de </w:t>
      </w:r>
      <w:proofErr w:type="spellStart"/>
      <w:r w:rsidRPr="00654D1D">
        <w:rPr>
          <w:rFonts w:ascii="ITC Avant Garde" w:eastAsia="Calibri" w:hAnsi="ITC Avant Garde" w:cs="Arial"/>
          <w:sz w:val="16"/>
          <w:szCs w:val="16"/>
        </w:rPr>
        <w:t>Akerlof</w:t>
      </w:r>
      <w:proofErr w:type="spellEnd"/>
      <w:r w:rsidRPr="00654D1D">
        <w:rPr>
          <w:rFonts w:ascii="ITC Avant Garde" w:eastAsia="Calibri" w:hAnsi="ITC Avant Garde" w:cs="Arial"/>
          <w:sz w:val="16"/>
          <w:szCs w:val="16"/>
        </w:rPr>
        <w:t xml:space="preserve">, la principal falla de mercado es la información oculta, mientras que en un mercado monopolizado el ocultamiento de información es sólo un aspecto. El monopolista, sabiendo que un regulador no sería capaz de verificar la exactitud de la información, puede manipular los datos a su favor. </w:t>
      </w:r>
    </w:p>
    <w:p w14:paraId="4B60244D" w14:textId="77777777" w:rsidR="003E526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w:t>
      </w:r>
    </w:p>
    <w:p w14:paraId="6D92BC93" w14:textId="77777777" w:rsidR="00654D1D" w:rsidRPr="00654D1D" w:rsidRDefault="003E526D" w:rsidP="00654D1D">
      <w:pPr>
        <w:spacing w:before="240"/>
        <w:ind w:left="567" w:right="900"/>
        <w:jc w:val="both"/>
        <w:rPr>
          <w:rFonts w:ascii="ITC Avant Garde" w:eastAsia="Calibri" w:hAnsi="ITC Avant Garde" w:cs="Arial"/>
          <w:sz w:val="16"/>
          <w:szCs w:val="16"/>
        </w:rPr>
      </w:pPr>
      <w:r w:rsidRPr="00654D1D">
        <w:rPr>
          <w:rFonts w:ascii="ITC Avant Garde" w:eastAsia="Calibri" w:hAnsi="ITC Avant Garde" w:cs="Arial"/>
          <w:sz w:val="16"/>
          <w:szCs w:val="16"/>
        </w:rPr>
        <w:t>En un mercado monopolizado, por lo tanto, el regulador se enfrenta a dos problemas: la información asimétrica y la información manipulada. El efecto en el mercado se continúa la dominación por el monopolista.”</w:t>
      </w:r>
    </w:p>
    <w:p w14:paraId="47571C2E"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En este sentido se observa que uno de los principales aspectos a los que se enfrentan los reguladores de telecomunicaciones de todo el mundo es la asimetría entre la información que posee la autoridad y la que poseen las empresas reguladas, así como los fuertes incentivos de la empresa regulada a entregar a la autoridad información manipulada.</w:t>
      </w:r>
    </w:p>
    <w:p w14:paraId="1878BF0B"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Por otro lado, el calcular tarifas de interconexión con información real de los operadores dificultaría cumplir con el principio de eficiencia, toda vez que reflejaría las ineficiencias históricas asociadas a la red modelada.</w:t>
      </w:r>
    </w:p>
    <w:p w14:paraId="6C6ACA7D"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lastRenderedPageBreak/>
        <w:t>En este sentido, el utilizar costos históricos o costos de los operadores reales provoca que se incluya en el cálculo de los costos ineficiencias derivadas de decisiones que no se tomarían por una empresa racional y eficiente que opera en un mercado competitivo.</w:t>
      </w:r>
    </w:p>
    <w:p w14:paraId="587EE0BF"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Lo anterior toma mayor relevancia en mercados con elevadas barreras de entrada, como el de las telecomunicaciones, toda vez que las empresas establecidas tienen la posibilidad de incurrir en ineficiencias por un periodo de tiempo considerable, ya que no enfrentan el riesgo latente de entrada de nuevos competidores al mercado.</w:t>
      </w:r>
    </w:p>
    <w:p w14:paraId="69E3632D"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Por consiguiente, el considerar los costos incurridos por un operador real no es acorde con el mandato a cargo de esta autoridad reguladora de garantizar la eficiente prestación de los servicios públicos de interés general de telecomunicaciones y para tales efectos, establecer condiciones de competencia efectiva en la prestación de dichos servicios.</w:t>
      </w:r>
    </w:p>
    <w:p w14:paraId="3F9A99F9"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Por lo tanto, este ente regulador considera que entre las distintas opciones de concesionarios que se pudiesen modelar para la determinación de tarifas de interconexión, la elección de un operador hipotético que se desenvuelve en un mercado competitivo, o lo que es lo mismo, un operador representativo eficiente, es la que otorga mayores beneficios, ya que permite determinar costos de interconexión que promueven un mayor nivel de competencia dentro del sector al tiempo que incentivan a los operadores participantes a elevar su eficiencia en busca de conseguir más clientes, competitividad y eficiencia que se refleja en una gama de productos superior, que cuentan con mayor calidad y que se comercializan con un menor precio, en beneficio de los usuarios finales esto es, otorga mayor bienestar social.</w:t>
      </w:r>
    </w:p>
    <w:p w14:paraId="291B35D3"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 xml:space="preserve">Asimismo, es importante resaltar que esta opción permite determinar un costo que tiene en cuenta las características técnicas y económicas reales de las redes de los principales operadores fijos del mercado mexicano. Esto se consigue mediante un proceso de calibración con los datos proporcionados por los propios operadores por medio del enfoque </w:t>
      </w:r>
      <w:proofErr w:type="spellStart"/>
      <w:r w:rsidRPr="00654D1D">
        <w:rPr>
          <w:rFonts w:ascii="ITC Avant Garde" w:eastAsia="Calibri" w:hAnsi="ITC Avant Garde" w:cs="Arial"/>
        </w:rPr>
        <w:t>scorched</w:t>
      </w:r>
      <w:proofErr w:type="spellEnd"/>
      <w:r w:rsidRPr="00654D1D">
        <w:rPr>
          <w:rFonts w:ascii="ITC Avant Garde" w:eastAsia="Calibri" w:hAnsi="ITC Avant Garde" w:cs="Arial"/>
        </w:rPr>
        <w:t xml:space="preserve"> </w:t>
      </w:r>
      <w:proofErr w:type="spellStart"/>
      <w:r w:rsidRPr="00654D1D">
        <w:rPr>
          <w:rFonts w:ascii="ITC Avant Garde" w:eastAsia="Calibri" w:hAnsi="ITC Avant Garde" w:cs="Arial"/>
        </w:rPr>
        <w:t>earth</w:t>
      </w:r>
      <w:proofErr w:type="spellEnd"/>
      <w:r w:rsidRPr="00654D1D">
        <w:rPr>
          <w:rFonts w:ascii="ITC Avant Garde" w:eastAsia="Calibri" w:hAnsi="ITC Avant Garde" w:cs="Arial"/>
        </w:rPr>
        <w:t>, por lo que las tarifas de interconexión resultantes son compatibles y representativos del mercado mexicano</w:t>
      </w:r>
    </w:p>
    <w:p w14:paraId="00B4F8AF"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En ese orden de ideas, se considera que la elección de un operador representativo eficiente permite la determinación de costos de acuerdo a condiciones de mercados competitivas al tiempo que la calibración de los resultados con información de los operadores actuales es acorde con la realidad del mercado nacional.</w:t>
      </w:r>
    </w:p>
    <w:p w14:paraId="1C84D5BD" w14:textId="0B095956" w:rsidR="00654D1D" w:rsidRPr="00654D1D" w:rsidRDefault="003E526D" w:rsidP="00654D1D">
      <w:pPr>
        <w:spacing w:before="240"/>
        <w:jc w:val="both"/>
        <w:rPr>
          <w:rFonts w:ascii="ITC Avant Garde" w:eastAsia="Calibri" w:hAnsi="ITC Avant Garde" w:cs="Arial"/>
        </w:rPr>
      </w:pPr>
      <w:r w:rsidRPr="00654D1D">
        <w:rPr>
          <w:rFonts w:ascii="ITC Avant Garde" w:eastAsia="Calibri" w:hAnsi="ITC Avant Garde" w:cs="Arial"/>
        </w:rPr>
        <w:lastRenderedPageBreak/>
        <w:t>Adicionalmente, la Recurrente también se refiere a los siguientes elementos del Modelo:</w:t>
      </w:r>
    </w:p>
    <w:p w14:paraId="71C6076D" w14:textId="77777777" w:rsidR="00654D1D" w:rsidRPr="00654D1D" w:rsidRDefault="003E526D" w:rsidP="00654D1D">
      <w:pPr>
        <w:numPr>
          <w:ilvl w:val="0"/>
          <w:numId w:val="42"/>
        </w:numPr>
        <w:spacing w:before="240"/>
        <w:contextualSpacing/>
        <w:jc w:val="both"/>
        <w:rPr>
          <w:rFonts w:ascii="ITC Avant Garde" w:eastAsia="Calibri" w:hAnsi="ITC Avant Garde" w:cs="Arial"/>
        </w:rPr>
      </w:pPr>
      <w:r w:rsidRPr="00654D1D">
        <w:rPr>
          <w:rFonts w:ascii="ITC Avant Garde" w:eastAsia="Calibri" w:hAnsi="ITC Avant Garde" w:cs="Arial"/>
          <w:u w:val="single"/>
        </w:rPr>
        <w:t>Enunciación de los conceptos de costos operativos tomados en consideración</w:t>
      </w:r>
      <w:r w:rsidRPr="00654D1D">
        <w:rPr>
          <w:rFonts w:ascii="ITC Avant Garde" w:eastAsia="Calibri" w:hAnsi="ITC Avant Garde" w:cs="Arial"/>
        </w:rPr>
        <w:t xml:space="preserve">. Menciona que en el Modelo de Costos nunca se presenta el desglose claro y detallado de cuáles son los elementos que integran los costos operativos (OPEX). Esto es, que no considera como parte del costo de interconexión un conjunto de activos o servicios que resultan necesarios para la provisión de servicios de interconexión (renta de inmuebles para implementar cada </w:t>
      </w:r>
      <w:proofErr w:type="spellStart"/>
      <w:r w:rsidRPr="00654D1D">
        <w:rPr>
          <w:rFonts w:ascii="ITC Avant Garde" w:eastAsia="Calibri" w:hAnsi="ITC Avant Garde" w:cs="Arial"/>
        </w:rPr>
        <w:t>radiobase</w:t>
      </w:r>
      <w:proofErr w:type="spellEnd"/>
      <w:r w:rsidRPr="00654D1D">
        <w:rPr>
          <w:rFonts w:ascii="ITC Avant Garde" w:eastAsia="Calibri" w:hAnsi="ITC Avant Garde" w:cs="Arial"/>
        </w:rPr>
        <w:t>, mantenimiento de equipos y programas de computación, costo de energía eléctrica y pago de costo de mano de obra).</w:t>
      </w:r>
    </w:p>
    <w:p w14:paraId="0E491F1F"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Sobre este particular, se considera que en la Resolución recurrida se presenta etapa por etapa como se determinó el monto de las inversiones totales, las cuales son resultado de una simple multiplicación del número de elementos o equipos de red necesarios para la prestación de servicios y el costo unitario de los mismo, ello de acuerdo con el valor de mercado</w:t>
      </w:r>
      <w:r w:rsidRPr="00654D1D">
        <w:rPr>
          <w:rFonts w:ascii="ITC Avant Garde" w:eastAsia="Calibri" w:hAnsi="ITC Avant Garde" w:cs="Arial"/>
          <w:vertAlign w:val="superscript"/>
        </w:rPr>
        <w:footnoteReference w:id="19"/>
      </w:r>
      <w:r w:rsidRPr="00654D1D">
        <w:rPr>
          <w:rFonts w:ascii="ITC Avant Garde" w:eastAsia="Calibri" w:hAnsi="ITC Avant Garde" w:cs="Arial"/>
          <w:vertAlign w:val="superscript"/>
        </w:rPr>
        <w:t xml:space="preserve"> </w:t>
      </w:r>
      <w:r w:rsidRPr="00654D1D">
        <w:rPr>
          <w:rFonts w:ascii="ITC Avant Garde" w:eastAsia="Calibri" w:hAnsi="ITC Avant Garde" w:cs="Arial"/>
        </w:rPr>
        <w:t>que hubieran tenido las cantidades estimadas de elementos de red necesarios para desplegar la red.</w:t>
      </w:r>
    </w:p>
    <w:p w14:paraId="55CA2ABD"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A partir de la estimación de la inversión total, los costos operativos (</w:t>
      </w:r>
      <w:proofErr w:type="spellStart"/>
      <w:r w:rsidRPr="00654D1D">
        <w:rPr>
          <w:rFonts w:ascii="ITC Avant Garde" w:eastAsia="Calibri" w:hAnsi="ITC Avant Garde" w:cs="Arial"/>
        </w:rPr>
        <w:t>opex</w:t>
      </w:r>
      <w:proofErr w:type="spellEnd"/>
      <w:r w:rsidRPr="00654D1D">
        <w:rPr>
          <w:rFonts w:ascii="ITC Avant Garde" w:eastAsia="Calibri" w:hAnsi="ITC Avant Garde" w:cs="Arial"/>
        </w:rPr>
        <w:t>) se calculan como un porcentaje de este monto. Se consideró que los costos operativos equivalen al 15 por ciento de la inversión total. Estos costos incluyen los asociados a los costos laborales, dentro de los cuales están incluidos los relacionados con el pago de la Participación de los Trabajadores en las Utilidades (PTU).</w:t>
      </w:r>
    </w:p>
    <w:p w14:paraId="0AD53998"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 xml:space="preserve">Cabe mencionar que se incluyó dentro de los </w:t>
      </w:r>
      <w:proofErr w:type="spellStart"/>
      <w:r w:rsidRPr="00654D1D">
        <w:rPr>
          <w:rFonts w:ascii="ITC Avant Garde" w:eastAsia="Calibri" w:hAnsi="ITC Avant Garde" w:cs="Arial"/>
        </w:rPr>
        <w:t>opex</w:t>
      </w:r>
      <w:proofErr w:type="spellEnd"/>
      <w:r w:rsidRPr="00654D1D">
        <w:rPr>
          <w:rFonts w:ascii="ITC Avant Garde" w:eastAsia="Calibri" w:hAnsi="ITC Avant Garde" w:cs="Arial"/>
        </w:rPr>
        <w:t xml:space="preserve"> el pago por derecho que de conformidad con la Ley Federal de Derechos del 2011, los concesionarios deben pagar por cada MHz, en la tabla 5 de la Resolución que a continuación se reproduce se observa los costos de operación anuales en dólares, estos costos de operación ya incluye la mano de obra para dar servicios y mantenimiento al mismo o para la operación de la red, todos aquellos costos de operación de la red, energía, seguridad, mantenimiento, entre otros.</w:t>
      </w:r>
    </w:p>
    <w:p w14:paraId="3012A0EA"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Cabe mencionar, que las mejores prácticas internacionales en la elaboración de modelos de costos utilizan como costos de operación y mantenimiento un porcentaje de la inversión total, esto es consistente con el cobro que realizan los mismos fabricantes de equipo cuando la empresa contrata el servicio de mantenimiento con los mismos fabricantes, es decir establecen un cargo anual de la inversión realizada.</w:t>
      </w:r>
    </w:p>
    <w:p w14:paraId="4B602471" w14:textId="310F3936" w:rsidR="003E526D" w:rsidRPr="00654D1D" w:rsidRDefault="003E526D" w:rsidP="00654D1D">
      <w:pPr>
        <w:spacing w:before="240"/>
        <w:jc w:val="center"/>
        <w:rPr>
          <w:rFonts w:ascii="ITC Avant Garde" w:eastAsia="Calibri" w:hAnsi="ITC Avant Garde" w:cs="Arial"/>
        </w:rPr>
      </w:pPr>
      <w:r w:rsidRPr="00654D1D">
        <w:rPr>
          <w:rFonts w:ascii="ITC Avant Garde" w:eastAsia="Calibri" w:hAnsi="ITC Avant Garde" w:cs="Arial"/>
        </w:rPr>
        <w:lastRenderedPageBreak/>
        <w:t>Tabla 5</w:t>
      </w:r>
    </w:p>
    <w:p w14:paraId="4B602472" w14:textId="77777777" w:rsidR="003E526D" w:rsidRPr="00654D1D" w:rsidRDefault="003E526D" w:rsidP="00654D1D">
      <w:pPr>
        <w:spacing w:before="240"/>
        <w:jc w:val="center"/>
        <w:rPr>
          <w:rFonts w:ascii="ITC Avant Garde" w:eastAsia="Calibri" w:hAnsi="ITC Avant Garde" w:cs="Arial"/>
        </w:rPr>
      </w:pPr>
      <w:r w:rsidRPr="00654D1D">
        <w:rPr>
          <w:rFonts w:ascii="ITC Avant Garde" w:eastAsia="Calibri" w:hAnsi="ITC Avant Garde" w:cs="Arial"/>
        </w:rPr>
        <w:t>Costo de Operación de la red 2011</w:t>
      </w:r>
    </w:p>
    <w:p w14:paraId="6A6AF575" w14:textId="77777777" w:rsidR="00654D1D" w:rsidRPr="00654D1D" w:rsidRDefault="003E526D" w:rsidP="00654D1D">
      <w:pPr>
        <w:spacing w:before="240"/>
        <w:rPr>
          <w:rFonts w:ascii="ITC Avant Garde" w:eastAsia="Calibri" w:hAnsi="ITC Avant Garde" w:cs="Arial"/>
        </w:rPr>
      </w:pPr>
      <w:r w:rsidRPr="00654D1D">
        <w:rPr>
          <w:rFonts w:ascii="ITC Avant Garde" w:eastAsia="Calibri" w:hAnsi="ITC Avant Garde" w:cs="Arial"/>
          <w:noProof/>
          <w:lang w:eastAsia="es-MX"/>
        </w:rPr>
        <w:drawing>
          <wp:inline distT="0" distB="0" distL="0" distR="0" wp14:anchorId="4B602898" wp14:editId="6803A927">
            <wp:extent cx="5969000" cy="2667000"/>
            <wp:effectExtent l="0" t="0" r="0" b="0"/>
            <wp:docPr id="2" name="Imagen 2" descr="La imagen corresponde a una tabla de 7 columnas que proporciona los elementos de red en el año 2011." title="Costo de Operación de la re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0" cy="2667000"/>
                    </a:xfrm>
                    <a:prstGeom prst="rect">
                      <a:avLst/>
                    </a:prstGeom>
                    <a:noFill/>
                    <a:ln>
                      <a:noFill/>
                    </a:ln>
                  </pic:spPr>
                </pic:pic>
              </a:graphicData>
            </a:graphic>
          </wp:inline>
        </w:drawing>
      </w:r>
    </w:p>
    <w:p w14:paraId="493A253E" w14:textId="77777777" w:rsidR="00654D1D" w:rsidRPr="00654D1D" w:rsidRDefault="003E526D" w:rsidP="00654D1D">
      <w:pPr>
        <w:numPr>
          <w:ilvl w:val="0"/>
          <w:numId w:val="42"/>
        </w:numPr>
        <w:spacing w:before="240"/>
        <w:contextualSpacing/>
        <w:jc w:val="both"/>
        <w:rPr>
          <w:rFonts w:ascii="ITC Avant Garde" w:eastAsia="Calibri" w:hAnsi="ITC Avant Garde" w:cs="Arial"/>
        </w:rPr>
      </w:pPr>
      <w:r w:rsidRPr="00654D1D">
        <w:rPr>
          <w:rFonts w:ascii="ITC Avant Garde" w:eastAsia="Calibri" w:hAnsi="ITC Avant Garde" w:cs="Arial"/>
          <w:u w:val="single"/>
        </w:rPr>
        <w:t xml:space="preserve">Redes 2G. </w:t>
      </w:r>
      <w:r w:rsidRPr="00654D1D">
        <w:rPr>
          <w:rFonts w:ascii="ITC Avant Garde" w:eastAsia="Calibri" w:hAnsi="ITC Avant Garde" w:cs="Arial"/>
        </w:rPr>
        <w:t xml:space="preserve">En relación al señalamiento de que únicamente se consideran las redes 2G, ya se ha mencionado anteriormente que ello se debió a una decisión de modelado, en donde se consideró que al momento de elaboración del modelo, era la tecnología más ampliamente utilizada en México. </w:t>
      </w:r>
    </w:p>
    <w:p w14:paraId="41BDEABC" w14:textId="77777777" w:rsidR="00654D1D" w:rsidRPr="00654D1D" w:rsidRDefault="003E526D" w:rsidP="00654D1D">
      <w:pPr>
        <w:spacing w:before="240"/>
        <w:ind w:left="360"/>
        <w:contextualSpacing/>
        <w:jc w:val="both"/>
        <w:rPr>
          <w:rFonts w:ascii="ITC Avant Garde" w:eastAsia="Calibri" w:hAnsi="ITC Avant Garde" w:cs="Arial"/>
        </w:rPr>
      </w:pPr>
      <w:r w:rsidRPr="00654D1D">
        <w:rPr>
          <w:rFonts w:ascii="ITC Avant Garde" w:eastAsia="Calibri" w:hAnsi="ITC Avant Garde" w:cs="Arial"/>
        </w:rPr>
        <w:t>Cabe mencionar que considerar la tecnología 3G no necesariamente hubiese implicado que se compensara con una remuneración más alta como lo pretende implicar la recurrente, ya que de la misma forma, al considerar el tráfico de datos, los elementos de red se distribuirían entre un tráfico mayor.</w:t>
      </w:r>
    </w:p>
    <w:p w14:paraId="78F2C170" w14:textId="77777777" w:rsidR="00654D1D" w:rsidRPr="00654D1D" w:rsidRDefault="003E526D" w:rsidP="00654D1D">
      <w:pPr>
        <w:numPr>
          <w:ilvl w:val="0"/>
          <w:numId w:val="42"/>
        </w:numPr>
        <w:spacing w:before="240"/>
        <w:contextualSpacing/>
        <w:jc w:val="both"/>
        <w:rPr>
          <w:rFonts w:ascii="ITC Avant Garde" w:eastAsia="Calibri" w:hAnsi="ITC Avant Garde" w:cs="Arial"/>
        </w:rPr>
      </w:pPr>
      <w:r w:rsidRPr="00654D1D">
        <w:rPr>
          <w:rFonts w:ascii="ITC Avant Garde" w:eastAsia="Calibri" w:hAnsi="ITC Avant Garde" w:cs="Arial"/>
          <w:u w:val="single"/>
        </w:rPr>
        <w:t>El valor del espectro</w:t>
      </w:r>
      <w:r w:rsidRPr="00654D1D">
        <w:rPr>
          <w:rFonts w:ascii="ITC Avant Garde" w:eastAsia="Calibri" w:hAnsi="ITC Avant Garde" w:cs="Arial"/>
        </w:rPr>
        <w:t>. Señala que la estimación del valor del espectro radioeléctrico es violatoria de los principios de debida fundamentación y motivación por tomar en consideración las contraprestaciones y derechos que esta ha pagado al Gobierno Federal por el espectro radioeléctrico que tiene concesionado. Utilizando la metodología de la Comisión, la Recurrente estiman un valor de US$ 450 MM, diferente al valor de US$355 MM señalado en la Resolución Impugnada.</w:t>
      </w:r>
    </w:p>
    <w:p w14:paraId="0BF2CE2B" w14:textId="77777777" w:rsidR="00654D1D" w:rsidRPr="00654D1D" w:rsidRDefault="003E526D" w:rsidP="00654D1D">
      <w:pPr>
        <w:spacing w:before="240"/>
        <w:ind w:left="357"/>
        <w:jc w:val="both"/>
        <w:rPr>
          <w:rFonts w:ascii="ITC Avant Garde" w:eastAsia="Calibri" w:hAnsi="ITC Avant Garde" w:cs="Arial"/>
        </w:rPr>
      </w:pPr>
      <w:r w:rsidRPr="00654D1D">
        <w:rPr>
          <w:rFonts w:ascii="ITC Avant Garde" w:eastAsia="Calibri" w:hAnsi="ITC Avant Garde" w:cs="Arial"/>
        </w:rPr>
        <w:t xml:space="preserve">Al respecto, en la Resolución recurrida se explica claramente cuáles fueron los elementos tomados en cuenta para determinar primeramente la cantidad de espectro con lo que contaban los operadores participantes en el mercado La cantidad de espectro considerada fue de 50 MHz en la banda 800 MHz y de 120 MHz en la banda 1.9 GHz o PCS. No se consideraron otras bandas de frecuencias porque están son utilizadas para desarrollar otras tecnologías y proveer servicios de datos y no únicamente de voz, que fue el supuesto que la Comisión consideró determinar los </w:t>
      </w:r>
      <w:r w:rsidRPr="00654D1D">
        <w:rPr>
          <w:rFonts w:ascii="ITC Avant Garde" w:eastAsia="Calibri" w:hAnsi="ITC Avant Garde" w:cs="Arial"/>
        </w:rPr>
        <w:lastRenderedPageBreak/>
        <w:t>costos de un operado hipotético eficiente que únicamente provee el servicio de voz y utiliza la tecnología GSM.</w:t>
      </w:r>
    </w:p>
    <w:p w14:paraId="1F9E4FD9" w14:textId="77777777" w:rsidR="00654D1D" w:rsidRPr="00654D1D" w:rsidRDefault="003E526D" w:rsidP="00654D1D">
      <w:pPr>
        <w:spacing w:before="240"/>
        <w:ind w:left="357"/>
        <w:jc w:val="both"/>
        <w:rPr>
          <w:rFonts w:ascii="ITC Avant Garde" w:eastAsia="Calibri" w:hAnsi="ITC Avant Garde" w:cs="Arial"/>
        </w:rPr>
      </w:pPr>
      <w:r w:rsidRPr="00654D1D">
        <w:rPr>
          <w:rFonts w:ascii="ITC Avant Garde" w:eastAsia="Calibri" w:hAnsi="ITC Avant Garde" w:cs="Arial"/>
        </w:rPr>
        <w:t>Asimismo para tomar en cuenta el valor del espectro, este fue calculado considerando que dicho operador utiliza de manera eficiente el espectro para el despliegue de una red GSM en las 9 Regiones en que se divide el país, por lo que se utilizó la información del costo del pago que realizaron los concesionarios que participaron en la Licitación No. 20, así como el monto pagado en la Región 8 de la Licitación No. 21, ajustando dicho valor por las diferencias en las valoraciones que realizaron por las bandas de frecuencias en las distintas licitaciones. Este monto ascendió a 355</w:t>
      </w:r>
      <w:proofErr w:type="gramStart"/>
      <w:r w:rsidRPr="00654D1D">
        <w:rPr>
          <w:rFonts w:ascii="ITC Avant Garde" w:eastAsia="Calibri" w:hAnsi="ITC Avant Garde" w:cs="Arial"/>
        </w:rPr>
        <w:t>,586,489</w:t>
      </w:r>
      <w:proofErr w:type="gramEnd"/>
      <w:r w:rsidRPr="00654D1D">
        <w:rPr>
          <w:rFonts w:ascii="ITC Avant Garde" w:eastAsia="Calibri" w:hAnsi="ITC Avant Garde" w:cs="Arial"/>
        </w:rPr>
        <w:t xml:space="preserve"> dólares de los Estados Unidos de América, el cual se considera como una inversión. </w:t>
      </w:r>
    </w:p>
    <w:p w14:paraId="59ED13E6"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Por otra parte, conforme a la Ley Federal de Derechos de 2011 los concesionarios de redes públicas de telecomunicaciones que hacen uso de ciertas bandas de frecuencias están obligados a pagar un derecho por el mismo, el cual está en función de los MHz, este pago se realiza anualmente, con lo cual es considerado como un costo que es parte de la operación.</w:t>
      </w:r>
    </w:p>
    <w:p w14:paraId="51D63CD8" w14:textId="77777777" w:rsidR="00654D1D" w:rsidRPr="00654D1D" w:rsidRDefault="003E526D" w:rsidP="00654D1D">
      <w:pPr>
        <w:spacing w:before="240"/>
        <w:ind w:left="360"/>
        <w:jc w:val="both"/>
        <w:rPr>
          <w:rFonts w:ascii="ITC Avant Garde" w:eastAsia="Calibri" w:hAnsi="ITC Avant Garde" w:cs="Arial"/>
          <w:u w:val="single"/>
        </w:rPr>
      </w:pPr>
      <w:r w:rsidRPr="00654D1D">
        <w:rPr>
          <w:rFonts w:ascii="ITC Avant Garde" w:eastAsia="Calibri" w:hAnsi="ITC Avant Garde" w:cs="Arial"/>
        </w:rPr>
        <w:t>Por lo anterior, no le asiste la razón a la Recurrente de que no se realizó una adecuada estimación del valor del espectro por parte de la extinta Comisión.</w:t>
      </w:r>
    </w:p>
    <w:p w14:paraId="60EC95A5" w14:textId="77777777" w:rsidR="00654D1D" w:rsidRPr="00654D1D" w:rsidRDefault="003E526D" w:rsidP="00654D1D">
      <w:pPr>
        <w:numPr>
          <w:ilvl w:val="0"/>
          <w:numId w:val="42"/>
        </w:numPr>
        <w:spacing w:before="240"/>
        <w:ind w:left="357"/>
        <w:contextualSpacing/>
        <w:jc w:val="both"/>
        <w:rPr>
          <w:rFonts w:ascii="ITC Avant Garde" w:eastAsia="Calibri" w:hAnsi="ITC Avant Garde" w:cs="Arial"/>
        </w:rPr>
      </w:pPr>
      <w:r w:rsidRPr="00654D1D">
        <w:rPr>
          <w:rFonts w:ascii="ITC Avant Garde" w:eastAsia="Calibri" w:hAnsi="ITC Avant Garde" w:cs="Arial"/>
          <w:u w:val="single"/>
        </w:rPr>
        <w:t>La Tasa de Retorno</w:t>
      </w:r>
      <w:r w:rsidRPr="00654D1D">
        <w:rPr>
          <w:rFonts w:ascii="ITC Avant Garde" w:eastAsia="Calibri" w:hAnsi="ITC Avant Garde" w:cs="Arial"/>
        </w:rPr>
        <w:t xml:space="preserve">. La Recurrente señala que la tasa denominada Costo Promedio de Capital Ponderado (WAAC, por sus siglas en inglés) adolece de múltiples vicios de adecuada motivación, es decir: no justifica por qué el cálculo del Costo de Capital Promedio Ponderado es la mejor forma de evaluar el rendimiento que tienen derecho a percibir; además, considera adecuado que la Comisión explique las razones para asignar valores a las variables: “Beta </w:t>
      </w:r>
      <w:proofErr w:type="spellStart"/>
      <w:r w:rsidRPr="00654D1D">
        <w:rPr>
          <w:rFonts w:ascii="ITC Avant Garde" w:eastAsia="Calibri" w:hAnsi="ITC Avant Garde" w:cs="Arial"/>
        </w:rPr>
        <w:t>desapalancada</w:t>
      </w:r>
      <w:proofErr w:type="spellEnd"/>
      <w:r w:rsidRPr="00654D1D">
        <w:rPr>
          <w:rFonts w:ascii="ITC Avant Garde" w:eastAsia="Calibri" w:hAnsi="ITC Avant Garde" w:cs="Arial"/>
        </w:rPr>
        <w:t xml:space="preserve"> de comparables”, la tasa de impuestos, la proporción deuda-capital de comparables, la prima de riesgo de mercado y el costo de la deuda.</w:t>
      </w:r>
    </w:p>
    <w:p w14:paraId="4B602485" w14:textId="22E90835" w:rsidR="003E526D" w:rsidRPr="00654D1D" w:rsidRDefault="003E526D" w:rsidP="00654D1D">
      <w:pPr>
        <w:spacing w:before="240"/>
        <w:ind w:left="357"/>
        <w:jc w:val="both"/>
        <w:rPr>
          <w:rFonts w:ascii="ITC Avant Garde" w:hAnsi="ITC Avant Garde" w:cs="Arial"/>
        </w:rPr>
      </w:pPr>
      <w:r w:rsidRPr="00654D1D">
        <w:rPr>
          <w:rFonts w:ascii="ITC Avant Garde" w:hAnsi="ITC Avant Garde" w:cs="Arial"/>
        </w:rPr>
        <w:t>Al respecto se señala que el Costo Promedio Ponderado de Capital (WACC, por sus siglas en inglés), es una metodología estándar y ampliamente utilizada a nivel internacional para la valuación de activos, así como para el cálculo del rendimiento requerido por una empresa por emprender un proyecto.</w:t>
      </w:r>
    </w:p>
    <w:p w14:paraId="7CB553AF" w14:textId="77777777" w:rsidR="00654D1D" w:rsidRPr="00654D1D" w:rsidRDefault="003E526D" w:rsidP="00654D1D">
      <w:pPr>
        <w:spacing w:before="240"/>
        <w:ind w:left="357"/>
        <w:jc w:val="both"/>
        <w:rPr>
          <w:rFonts w:ascii="ITC Avant Garde" w:hAnsi="ITC Avant Garde" w:cs="Arial"/>
        </w:rPr>
      </w:pPr>
      <w:r w:rsidRPr="00654D1D">
        <w:rPr>
          <w:rFonts w:ascii="ITC Avant Garde" w:hAnsi="ITC Avant Garde" w:cs="Arial"/>
        </w:rPr>
        <w:t>La WACC permite calcular el costo en que incurre una empresa por cada una de las diferentes formas de financiamiento que utiliza para financiar un proyecto, y de la misma forma reconoce que el costo de capital asociado a una inversión depende del riesgo de la misma.</w:t>
      </w:r>
    </w:p>
    <w:p w14:paraId="7FB68D59" w14:textId="1E0F168D" w:rsidR="00654D1D" w:rsidRPr="00654D1D" w:rsidRDefault="003E526D" w:rsidP="00654D1D">
      <w:pPr>
        <w:spacing w:before="240"/>
        <w:ind w:left="357"/>
        <w:jc w:val="both"/>
        <w:rPr>
          <w:rFonts w:ascii="ITC Avant Garde" w:hAnsi="ITC Avant Garde" w:cs="Arial"/>
        </w:rPr>
      </w:pPr>
      <w:r w:rsidRPr="00654D1D">
        <w:rPr>
          <w:rFonts w:ascii="ITC Avant Garde" w:hAnsi="ITC Avant Garde" w:cs="Arial"/>
        </w:rPr>
        <w:lastRenderedPageBreak/>
        <w:t>De esta forma, si bien existen otras formas de calcular el costo de capital, es preciso señalar que el Modelo de Valuación de Activos Financieros (CAPM por sus siglas en inglés) y la Teoría de Valuación por Arbitraje (APT, por sus siglas en inglés), son las más comúnmente aceptadas y utilizadas en el ámbito financiero, y ambas pueden ser representadas por la WACC.</w:t>
      </w:r>
    </w:p>
    <w:p w14:paraId="1B5772EE" w14:textId="77777777" w:rsidR="00654D1D" w:rsidRPr="00654D1D" w:rsidRDefault="003E526D" w:rsidP="00654D1D">
      <w:pPr>
        <w:spacing w:before="240"/>
        <w:ind w:left="357"/>
        <w:jc w:val="both"/>
        <w:rPr>
          <w:rFonts w:ascii="ITC Avant Garde" w:hAnsi="ITC Avant Garde" w:cs="Arial"/>
        </w:rPr>
      </w:pPr>
      <w:r w:rsidRPr="00654D1D">
        <w:rPr>
          <w:rFonts w:ascii="ITC Avant Garde" w:hAnsi="ITC Avant Garde" w:cs="Arial"/>
        </w:rPr>
        <w:t>En este sentido la fórmula utilizada para el cálculo de la WACC, así como el significado de cada uno de sus componentes forman parte de la teoría financiera, por lo que está más allá del alcance de la resolución su explicación.</w:t>
      </w:r>
    </w:p>
    <w:p w14:paraId="41EC8B1F" w14:textId="77777777" w:rsidR="00654D1D" w:rsidRPr="00654D1D" w:rsidRDefault="003E526D" w:rsidP="00654D1D">
      <w:pPr>
        <w:spacing w:before="240"/>
        <w:ind w:left="357"/>
        <w:jc w:val="both"/>
        <w:rPr>
          <w:rFonts w:ascii="ITC Avant Garde" w:hAnsi="ITC Avant Garde" w:cs="Arial"/>
        </w:rPr>
      </w:pPr>
      <w:r w:rsidRPr="00654D1D">
        <w:rPr>
          <w:rFonts w:ascii="ITC Avant Garde" w:hAnsi="ITC Avant Garde" w:cs="Arial"/>
        </w:rPr>
        <w:t xml:space="preserve">En relación al cálculo de los valores de cada una de las variables que componen la WACC, como son la beta </w:t>
      </w:r>
      <w:proofErr w:type="spellStart"/>
      <w:r w:rsidRPr="00654D1D">
        <w:rPr>
          <w:rFonts w:ascii="ITC Avant Garde" w:hAnsi="ITC Avant Garde" w:cs="Arial"/>
        </w:rPr>
        <w:t>desapalancada</w:t>
      </w:r>
      <w:proofErr w:type="spellEnd"/>
      <w:r w:rsidRPr="00654D1D">
        <w:rPr>
          <w:rFonts w:ascii="ITC Avant Garde" w:hAnsi="ITC Avant Garde" w:cs="Arial"/>
        </w:rPr>
        <w:t>, la proporción de deuda-capital, la tasa de impuestos, la prima de riesgo de mercado, entre otros; es preciso señalar que existen diversas formas de realizar su cálculo.</w:t>
      </w:r>
    </w:p>
    <w:p w14:paraId="247B5329" w14:textId="77777777" w:rsidR="00654D1D" w:rsidRPr="00654D1D" w:rsidRDefault="003E526D" w:rsidP="00654D1D">
      <w:pPr>
        <w:spacing w:before="240"/>
        <w:ind w:left="357"/>
        <w:jc w:val="both"/>
        <w:rPr>
          <w:rFonts w:ascii="ITC Avant Garde" w:hAnsi="ITC Avant Garde" w:cs="Arial"/>
        </w:rPr>
      </w:pPr>
      <w:r w:rsidRPr="00654D1D">
        <w:rPr>
          <w:rFonts w:ascii="ITC Avant Garde" w:hAnsi="ITC Avant Garde" w:cs="Arial"/>
        </w:rPr>
        <w:t>A manera de ejemplo, la tasa libre de riesgo puede ser calculada mediante los bonos del estado del gobierno local, o mediante los bonos del estado de otro país, adicionando el riesgo asociado al país en cuestión; de este modo en la Resolución se explica en todo momento las variables utilizadas, así como la fuente de los datos:</w:t>
      </w:r>
    </w:p>
    <w:p w14:paraId="5F3DA1B8" w14:textId="1EC86B6C" w:rsidR="00654D1D" w:rsidRPr="00654D1D" w:rsidRDefault="003E526D" w:rsidP="00654D1D">
      <w:pPr>
        <w:spacing w:before="240"/>
        <w:ind w:left="1069" w:right="566"/>
        <w:jc w:val="both"/>
        <w:rPr>
          <w:rFonts w:ascii="ITC Avant Garde" w:hAnsi="ITC Avant Garde" w:cs="Arial"/>
          <w:sz w:val="18"/>
          <w:szCs w:val="18"/>
        </w:rPr>
      </w:pPr>
      <w:r w:rsidRPr="00654D1D">
        <w:rPr>
          <w:rFonts w:ascii="ITC Avant Garde" w:hAnsi="ITC Avant Garde" w:cs="Arial"/>
          <w:sz w:val="18"/>
          <w:szCs w:val="18"/>
        </w:rPr>
        <w:t>“La tasa libre de riesgo de largo plazo corresponde a una de mercados internacionales. Los inversionistas en el sector de telecomunicaciones tienen acceso a este tipo de tasas, por ende se utilizó la tasa de bonos del Tesoro de Estados Unidos (</w:t>
      </w:r>
      <w:proofErr w:type="spellStart"/>
      <w:r w:rsidRPr="00654D1D">
        <w:rPr>
          <w:rFonts w:ascii="ITC Avant Garde" w:hAnsi="ITC Avant Garde" w:cs="Arial"/>
          <w:sz w:val="18"/>
          <w:szCs w:val="18"/>
        </w:rPr>
        <w:t>Treasury</w:t>
      </w:r>
      <w:proofErr w:type="spellEnd"/>
      <w:r w:rsidRPr="00654D1D">
        <w:rPr>
          <w:rFonts w:ascii="ITC Avant Garde" w:hAnsi="ITC Avant Garde" w:cs="Arial"/>
          <w:sz w:val="18"/>
          <w:szCs w:val="18"/>
        </w:rPr>
        <w:t xml:space="preserve"> bond </w:t>
      </w:r>
      <w:proofErr w:type="spellStart"/>
      <w:r w:rsidRPr="00654D1D">
        <w:rPr>
          <w:rFonts w:ascii="ITC Avant Garde" w:hAnsi="ITC Avant Garde" w:cs="Arial"/>
          <w:sz w:val="18"/>
          <w:szCs w:val="18"/>
        </w:rPr>
        <w:t>rate</w:t>
      </w:r>
      <w:proofErr w:type="spellEnd"/>
      <w:r w:rsidRPr="00654D1D">
        <w:rPr>
          <w:rFonts w:ascii="ITC Avant Garde" w:hAnsi="ITC Avant Garde" w:cs="Arial"/>
          <w:sz w:val="18"/>
          <w:szCs w:val="18"/>
        </w:rPr>
        <w:t>) a 20 años, promedio de 2007 (</w:t>
      </w:r>
      <w:r w:rsidRPr="00654D1D">
        <w:rPr>
          <w:rFonts w:ascii="ITC Avant Garde" w:hAnsi="ITC Avant Garde" w:cs="Arial"/>
          <w:sz w:val="18"/>
          <w:szCs w:val="18"/>
          <w:u w:val="single"/>
        </w:rPr>
        <w:t>http://research.stlouisfed.org/fred2/</w:t>
      </w:r>
      <w:proofErr w:type="spellStart"/>
      <w:r w:rsidRPr="00654D1D">
        <w:rPr>
          <w:rFonts w:ascii="ITC Avant Garde" w:hAnsi="ITC Avant Garde" w:cs="Arial"/>
          <w:sz w:val="18"/>
          <w:szCs w:val="18"/>
          <w:u w:val="single"/>
        </w:rPr>
        <w:t>categories</w:t>
      </w:r>
      <w:proofErr w:type="spellEnd"/>
      <w:r w:rsidRPr="00654D1D">
        <w:rPr>
          <w:rFonts w:ascii="ITC Avant Garde" w:hAnsi="ITC Avant Garde" w:cs="Arial"/>
          <w:sz w:val="18"/>
          <w:szCs w:val="18"/>
          <w:u w:val="single"/>
        </w:rPr>
        <w:t>/115</w:t>
      </w:r>
      <w:r w:rsidRPr="00654D1D">
        <w:rPr>
          <w:rFonts w:ascii="ITC Avant Garde" w:hAnsi="ITC Avant Garde" w:cs="Arial"/>
          <w:sz w:val="18"/>
          <w:szCs w:val="18"/>
        </w:rPr>
        <w:t>).”</w:t>
      </w:r>
    </w:p>
    <w:p w14:paraId="625D6ADE" w14:textId="77777777" w:rsidR="00654D1D" w:rsidRPr="00654D1D" w:rsidRDefault="003E526D" w:rsidP="00654D1D">
      <w:pPr>
        <w:spacing w:before="240"/>
        <w:ind w:left="1069" w:right="566"/>
        <w:jc w:val="both"/>
        <w:rPr>
          <w:rFonts w:ascii="ITC Avant Garde" w:hAnsi="ITC Avant Garde" w:cs="Arial"/>
          <w:sz w:val="18"/>
          <w:szCs w:val="18"/>
        </w:rPr>
      </w:pPr>
      <w:r w:rsidRPr="00654D1D">
        <w:rPr>
          <w:rFonts w:ascii="ITC Avant Garde" w:hAnsi="ITC Avant Garde" w:cs="Arial"/>
          <w:sz w:val="18"/>
          <w:szCs w:val="18"/>
        </w:rPr>
        <w:t>“La tasa de impuesto representa la tasa mínima que deberán pagar las empresas mexicanas a partir del año fiscal 2010, lo cual es consistente con el enfoque prospectivo del modelo de CILP.”</w:t>
      </w:r>
    </w:p>
    <w:p w14:paraId="215B0E9F" w14:textId="77777777" w:rsidR="00654D1D" w:rsidRPr="00654D1D" w:rsidRDefault="003E526D" w:rsidP="00654D1D">
      <w:pPr>
        <w:spacing w:before="240"/>
        <w:ind w:left="1069" w:right="566"/>
        <w:jc w:val="both"/>
        <w:rPr>
          <w:rFonts w:ascii="ITC Avant Garde" w:hAnsi="ITC Avant Garde" w:cs="Arial"/>
          <w:sz w:val="18"/>
          <w:szCs w:val="18"/>
        </w:rPr>
      </w:pPr>
      <w:r w:rsidRPr="00654D1D">
        <w:rPr>
          <w:rFonts w:ascii="ITC Avant Garde" w:hAnsi="ITC Avant Garde" w:cs="Arial"/>
          <w:sz w:val="18"/>
          <w:szCs w:val="18"/>
        </w:rPr>
        <w:t xml:space="preserve">“La prima por riesgo de mercado considera el riesgo país de México, 1.50%; y la tasa de riesgo de mercados internacionales, 4.91%, esta información es publicada por el Dr. </w:t>
      </w:r>
      <w:proofErr w:type="spellStart"/>
      <w:r w:rsidRPr="00654D1D">
        <w:rPr>
          <w:rFonts w:ascii="ITC Avant Garde" w:hAnsi="ITC Avant Garde" w:cs="Arial"/>
          <w:sz w:val="18"/>
          <w:szCs w:val="18"/>
        </w:rPr>
        <w:t>Aswath</w:t>
      </w:r>
      <w:proofErr w:type="spellEnd"/>
      <w:r w:rsidRPr="00654D1D">
        <w:rPr>
          <w:rFonts w:ascii="ITC Avant Garde" w:hAnsi="ITC Avant Garde" w:cs="Arial"/>
          <w:sz w:val="18"/>
          <w:szCs w:val="18"/>
        </w:rPr>
        <w:t xml:space="preserve"> </w:t>
      </w:r>
      <w:proofErr w:type="spellStart"/>
      <w:r w:rsidRPr="00654D1D">
        <w:rPr>
          <w:rFonts w:ascii="ITC Avant Garde" w:hAnsi="ITC Avant Garde" w:cs="Arial"/>
          <w:sz w:val="18"/>
          <w:szCs w:val="18"/>
        </w:rPr>
        <w:t>Damodaran</w:t>
      </w:r>
      <w:proofErr w:type="spellEnd"/>
      <w:r w:rsidRPr="00654D1D">
        <w:rPr>
          <w:rFonts w:ascii="ITC Avant Garde" w:hAnsi="ITC Avant Garde" w:cs="Arial"/>
          <w:sz w:val="18"/>
          <w:szCs w:val="18"/>
        </w:rPr>
        <w:t xml:space="preserve"> en http</w:t>
      </w:r>
      <w:proofErr w:type="gramStart"/>
      <w:r w:rsidRPr="00654D1D">
        <w:rPr>
          <w:rFonts w:ascii="ITC Avant Garde" w:hAnsi="ITC Avant Garde" w:cs="Arial"/>
          <w:sz w:val="18"/>
          <w:szCs w:val="18"/>
        </w:rPr>
        <w:t>:/</w:t>
      </w:r>
      <w:proofErr w:type="gramEnd"/>
      <w:r w:rsidRPr="00654D1D">
        <w:rPr>
          <w:rFonts w:ascii="ITC Avant Garde" w:hAnsi="ITC Avant Garde" w:cs="Arial"/>
          <w:sz w:val="18"/>
          <w:szCs w:val="18"/>
        </w:rPr>
        <w:t>/pages.stern.nyu.edu/~adamodar/, la cual es una referencia comúnmente empleada en este tipo de análisis.”</w:t>
      </w:r>
    </w:p>
    <w:p w14:paraId="4B602497" w14:textId="34D9C4AE" w:rsidR="003E526D" w:rsidRPr="00654D1D" w:rsidRDefault="003E526D" w:rsidP="00654D1D">
      <w:pPr>
        <w:spacing w:before="240"/>
        <w:ind w:left="357"/>
        <w:jc w:val="both"/>
        <w:rPr>
          <w:rFonts w:ascii="ITC Avant Garde" w:hAnsi="ITC Avant Garde" w:cs="Arial"/>
        </w:rPr>
      </w:pPr>
      <w:r w:rsidRPr="00654D1D">
        <w:rPr>
          <w:rFonts w:ascii="ITC Avant Garde" w:hAnsi="ITC Avant Garde" w:cs="Arial"/>
        </w:rPr>
        <w:t>De esta forma es importante señalar que la extinta Comisión adoptó en todo momento un enfoque conservador, puesto que asume un valor de la WACC de 15.52% el cual se encuentra dentro de los valores más altos a nivel internacional.</w:t>
      </w:r>
    </w:p>
    <w:p w14:paraId="12D72E7F" w14:textId="77777777" w:rsidR="00654D1D" w:rsidRDefault="003E526D" w:rsidP="00654D1D">
      <w:pPr>
        <w:spacing w:before="240"/>
        <w:ind w:left="357"/>
        <w:jc w:val="both"/>
        <w:rPr>
          <w:rFonts w:ascii="ITC Avant Garde" w:hAnsi="ITC Avant Garde" w:cs="Arial"/>
        </w:rPr>
        <w:sectPr w:rsidR="00654D1D" w:rsidSect="00A37EBA">
          <w:headerReference w:type="even" r:id="rId17"/>
          <w:footerReference w:type="default" r:id="rId18"/>
          <w:headerReference w:type="first" r:id="rId19"/>
          <w:pgSz w:w="12240" w:h="15840"/>
          <w:pgMar w:top="1985" w:right="1418" w:bottom="1418" w:left="1418" w:header="709" w:footer="709" w:gutter="0"/>
          <w:cols w:space="708"/>
          <w:docGrid w:linePitch="360"/>
        </w:sectPr>
      </w:pPr>
      <w:r w:rsidRPr="00654D1D">
        <w:rPr>
          <w:rFonts w:ascii="ITC Avant Garde" w:hAnsi="ITC Avant Garde" w:cs="Arial"/>
        </w:rPr>
        <w:t>A manera de ejemplo se presenta el siguiente cuadro en el que se señalan los distintos valores de la WACC utilizados por las distintas autoridades reguladoras de telecomunicaciones a nivel internacional, así como la WACC utilizada en la resolución</w:t>
      </w:r>
      <w:r w:rsidRPr="00654D1D">
        <w:rPr>
          <w:rFonts w:ascii="ITC Avant Garde" w:hAnsi="ITC Avant Garde" w:cs="Arial"/>
          <w:b/>
        </w:rPr>
        <w:t xml:space="preserve"> </w:t>
      </w:r>
      <w:r w:rsidRPr="00654D1D">
        <w:rPr>
          <w:rFonts w:ascii="ITC Avant Garde" w:hAnsi="ITC Avant Garde" w:cs="Arial"/>
        </w:rPr>
        <w:t>recurrida:</w:t>
      </w:r>
    </w:p>
    <w:p w14:paraId="3E454288" w14:textId="02162FC8" w:rsidR="00654D1D" w:rsidRPr="00654D1D" w:rsidRDefault="00654D1D" w:rsidP="00654D1D">
      <w:pPr>
        <w:spacing w:before="240"/>
        <w:ind w:left="357"/>
        <w:jc w:val="center"/>
        <w:rPr>
          <w:rFonts w:ascii="ITC Avant Garde" w:hAnsi="ITC Avant Garde" w:cs="Arial"/>
        </w:rPr>
      </w:pPr>
      <w:r w:rsidRPr="00654D1D">
        <w:rPr>
          <w:rFonts w:ascii="ITC Avant Garde" w:hAnsi="ITC Avant Garde" w:cs="Arial"/>
          <w:b/>
          <w:bCs/>
          <w:sz w:val="18"/>
          <w:szCs w:val="18"/>
        </w:rPr>
        <w:lastRenderedPageBreak/>
        <w:t>Comparativo internacional de Costo de Capital</w:t>
      </w:r>
    </w:p>
    <w:tbl>
      <w:tblPr>
        <w:tblStyle w:val="Tablaconcuadrcula1"/>
        <w:tblW w:w="0" w:type="auto"/>
        <w:jc w:val="center"/>
        <w:tblLook w:val="04A0" w:firstRow="1" w:lastRow="0" w:firstColumn="1" w:lastColumn="0" w:noHBand="0" w:noVBand="1"/>
        <w:tblCaption w:val="Comparativo internacional de Costo de Capital"/>
        <w:tblDescription w:val="En una tabla de 3 columnas, se proporciona comparativo de países respecto de la tasa nominal antes de impuesto y la decisión e la Autoridad Nacional Regulatoria. "/>
      </w:tblPr>
      <w:tblGrid>
        <w:gridCol w:w="1621"/>
        <w:gridCol w:w="1970"/>
        <w:gridCol w:w="5803"/>
      </w:tblGrid>
      <w:tr w:rsidR="003E526D" w:rsidRPr="00654D1D" w14:paraId="4B60249F" w14:textId="77777777" w:rsidTr="00654D1D">
        <w:trPr>
          <w:trHeight w:val="600"/>
          <w:tblHeader/>
          <w:jc w:val="center"/>
        </w:trPr>
        <w:tc>
          <w:tcPr>
            <w:tcW w:w="0" w:type="auto"/>
            <w:shd w:val="clear" w:color="auto" w:fill="A6A6A6" w:themeFill="background1" w:themeFillShade="A6"/>
            <w:noWrap/>
            <w:vAlign w:val="center"/>
            <w:hideMark/>
          </w:tcPr>
          <w:p w14:paraId="4B60249C" w14:textId="77777777" w:rsidR="003E526D" w:rsidRPr="00654D1D" w:rsidRDefault="003E526D" w:rsidP="00654D1D">
            <w:pPr>
              <w:ind w:left="360"/>
              <w:jc w:val="center"/>
              <w:rPr>
                <w:rFonts w:ascii="ITC Avant Garde" w:hAnsi="ITC Avant Garde" w:cs="Arial"/>
                <w:b/>
                <w:bCs/>
                <w:sz w:val="18"/>
                <w:szCs w:val="18"/>
              </w:rPr>
            </w:pPr>
            <w:r w:rsidRPr="00654D1D">
              <w:rPr>
                <w:rFonts w:ascii="ITC Avant Garde" w:hAnsi="ITC Avant Garde" w:cs="Arial"/>
                <w:b/>
                <w:bCs/>
                <w:sz w:val="18"/>
                <w:szCs w:val="18"/>
              </w:rPr>
              <w:t>País</w:t>
            </w:r>
          </w:p>
        </w:tc>
        <w:tc>
          <w:tcPr>
            <w:tcW w:w="1970" w:type="dxa"/>
            <w:shd w:val="clear" w:color="auto" w:fill="A6A6A6" w:themeFill="background1" w:themeFillShade="A6"/>
            <w:vAlign w:val="center"/>
            <w:hideMark/>
          </w:tcPr>
          <w:p w14:paraId="4B60249D" w14:textId="77777777" w:rsidR="003E526D" w:rsidRPr="00654D1D" w:rsidRDefault="003E526D" w:rsidP="00654D1D">
            <w:pPr>
              <w:ind w:left="28"/>
              <w:jc w:val="center"/>
              <w:rPr>
                <w:rFonts w:ascii="ITC Avant Garde" w:hAnsi="ITC Avant Garde" w:cs="Arial"/>
                <w:b/>
                <w:bCs/>
                <w:sz w:val="18"/>
                <w:szCs w:val="18"/>
              </w:rPr>
            </w:pPr>
            <w:r w:rsidRPr="00654D1D">
              <w:rPr>
                <w:rFonts w:ascii="ITC Avant Garde" w:hAnsi="ITC Avant Garde" w:cs="Arial"/>
                <w:b/>
                <w:bCs/>
                <w:sz w:val="18"/>
                <w:szCs w:val="18"/>
              </w:rPr>
              <w:t>Tasa nominal antes de impuesto (%)</w:t>
            </w:r>
          </w:p>
        </w:tc>
        <w:tc>
          <w:tcPr>
            <w:tcW w:w="5803" w:type="dxa"/>
            <w:shd w:val="clear" w:color="auto" w:fill="A6A6A6" w:themeFill="background1" w:themeFillShade="A6"/>
            <w:noWrap/>
            <w:vAlign w:val="center"/>
            <w:hideMark/>
          </w:tcPr>
          <w:p w14:paraId="4B60249E" w14:textId="77777777" w:rsidR="003E526D" w:rsidRPr="00654D1D" w:rsidRDefault="003E526D" w:rsidP="00654D1D">
            <w:pPr>
              <w:jc w:val="center"/>
              <w:rPr>
                <w:rFonts w:ascii="ITC Avant Garde" w:hAnsi="ITC Avant Garde" w:cs="Arial"/>
                <w:b/>
                <w:bCs/>
                <w:sz w:val="18"/>
                <w:szCs w:val="18"/>
              </w:rPr>
            </w:pPr>
            <w:r w:rsidRPr="00654D1D">
              <w:rPr>
                <w:rFonts w:ascii="ITC Avant Garde" w:hAnsi="ITC Avant Garde" w:cs="Arial"/>
                <w:b/>
                <w:bCs/>
                <w:sz w:val="18"/>
                <w:szCs w:val="18"/>
              </w:rPr>
              <w:t>Decisión de la Autoridad Nacional Regulatoria</w:t>
            </w:r>
          </w:p>
        </w:tc>
      </w:tr>
      <w:tr w:rsidR="003E526D" w:rsidRPr="00654D1D" w14:paraId="4B6024A3" w14:textId="77777777" w:rsidTr="00654D1D">
        <w:trPr>
          <w:trHeight w:val="480"/>
          <w:jc w:val="center"/>
        </w:trPr>
        <w:tc>
          <w:tcPr>
            <w:tcW w:w="0" w:type="auto"/>
            <w:noWrap/>
            <w:vAlign w:val="center"/>
            <w:hideMark/>
          </w:tcPr>
          <w:p w14:paraId="4B6024A0"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Bélgica</w:t>
            </w:r>
          </w:p>
        </w:tc>
        <w:tc>
          <w:tcPr>
            <w:tcW w:w="1970" w:type="dxa"/>
            <w:noWrap/>
            <w:vAlign w:val="center"/>
            <w:hideMark/>
          </w:tcPr>
          <w:p w14:paraId="4B6024A1"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10.05</w:t>
            </w:r>
          </w:p>
        </w:tc>
        <w:tc>
          <w:tcPr>
            <w:tcW w:w="5803" w:type="dxa"/>
            <w:hideMark/>
          </w:tcPr>
          <w:p w14:paraId="4B6024A2" w14:textId="77777777" w:rsidR="003E526D" w:rsidRPr="00654D1D" w:rsidRDefault="003E526D" w:rsidP="00654D1D">
            <w:pPr>
              <w:jc w:val="both"/>
              <w:rPr>
                <w:rFonts w:ascii="ITC Avant Garde" w:hAnsi="ITC Avant Garde" w:cs="Arial"/>
                <w:sz w:val="18"/>
                <w:szCs w:val="18"/>
              </w:rPr>
            </w:pPr>
            <w:r w:rsidRPr="00654D1D">
              <w:rPr>
                <w:rFonts w:ascii="ITC Avant Garde" w:hAnsi="ITC Avant Garde" w:cs="Arial"/>
                <w:sz w:val="18"/>
                <w:szCs w:val="18"/>
              </w:rPr>
              <w:t>Decisión de la BIPT, de 4 de mayo de 2010, sobre el costo de capital para operadores con poder sustancial en el mercado, 2010-2013.</w:t>
            </w:r>
          </w:p>
        </w:tc>
      </w:tr>
      <w:tr w:rsidR="003E526D" w:rsidRPr="00654D1D" w14:paraId="4B6024A7" w14:textId="77777777" w:rsidTr="00654D1D">
        <w:trPr>
          <w:trHeight w:val="720"/>
          <w:jc w:val="center"/>
        </w:trPr>
        <w:tc>
          <w:tcPr>
            <w:tcW w:w="0" w:type="auto"/>
            <w:noWrap/>
            <w:vAlign w:val="center"/>
            <w:hideMark/>
          </w:tcPr>
          <w:p w14:paraId="4B6024A4"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Dinamarca</w:t>
            </w:r>
          </w:p>
        </w:tc>
        <w:tc>
          <w:tcPr>
            <w:tcW w:w="1970" w:type="dxa"/>
            <w:noWrap/>
            <w:vAlign w:val="center"/>
            <w:hideMark/>
          </w:tcPr>
          <w:p w14:paraId="4B6024A5"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8.51</w:t>
            </w:r>
          </w:p>
        </w:tc>
        <w:tc>
          <w:tcPr>
            <w:tcW w:w="5803" w:type="dxa"/>
            <w:hideMark/>
          </w:tcPr>
          <w:p w14:paraId="4B6024A6" w14:textId="77777777" w:rsidR="003E526D" w:rsidRPr="00654D1D" w:rsidRDefault="003E526D" w:rsidP="00654D1D">
            <w:pPr>
              <w:jc w:val="both"/>
              <w:rPr>
                <w:rFonts w:ascii="ITC Avant Garde" w:hAnsi="ITC Avant Garde" w:cs="Arial"/>
                <w:sz w:val="18"/>
                <w:szCs w:val="18"/>
              </w:rPr>
            </w:pPr>
            <w:r w:rsidRPr="00654D1D">
              <w:rPr>
                <w:rFonts w:ascii="ITC Avant Garde" w:hAnsi="ITC Avant Garde" w:cs="Arial"/>
                <w:sz w:val="18"/>
                <w:szCs w:val="18"/>
              </w:rPr>
              <w:t>El 28 de octubre de 2010, NITA fijó un nivel máximo de tarifas de interconexión móvil y acordó el nivel de WACC para operadores con poder sustancial en el mercado, durante el año 2011.</w:t>
            </w:r>
          </w:p>
        </w:tc>
      </w:tr>
      <w:tr w:rsidR="003E526D" w:rsidRPr="00654D1D" w14:paraId="4B6024AB" w14:textId="77777777" w:rsidTr="00654D1D">
        <w:trPr>
          <w:trHeight w:val="285"/>
          <w:jc w:val="center"/>
        </w:trPr>
        <w:tc>
          <w:tcPr>
            <w:tcW w:w="0" w:type="auto"/>
            <w:noWrap/>
            <w:vAlign w:val="center"/>
            <w:hideMark/>
          </w:tcPr>
          <w:p w14:paraId="4B6024A8"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Finlandia</w:t>
            </w:r>
          </w:p>
        </w:tc>
        <w:tc>
          <w:tcPr>
            <w:tcW w:w="1970" w:type="dxa"/>
            <w:noWrap/>
            <w:vAlign w:val="center"/>
            <w:hideMark/>
          </w:tcPr>
          <w:p w14:paraId="4B6024A9"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12.42-14.20</w:t>
            </w:r>
          </w:p>
        </w:tc>
        <w:tc>
          <w:tcPr>
            <w:tcW w:w="5803" w:type="dxa"/>
            <w:hideMark/>
          </w:tcPr>
          <w:p w14:paraId="4B6024AA" w14:textId="77777777" w:rsidR="003E526D" w:rsidRPr="00654D1D" w:rsidRDefault="003E526D" w:rsidP="00654D1D">
            <w:pPr>
              <w:jc w:val="both"/>
              <w:rPr>
                <w:rFonts w:ascii="ITC Avant Garde" w:hAnsi="ITC Avant Garde" w:cs="Arial"/>
                <w:sz w:val="18"/>
                <w:szCs w:val="18"/>
              </w:rPr>
            </w:pPr>
            <w:r w:rsidRPr="00654D1D">
              <w:rPr>
                <w:rFonts w:ascii="ITC Avant Garde" w:hAnsi="ITC Avant Garde" w:cs="Arial"/>
                <w:sz w:val="18"/>
                <w:szCs w:val="18"/>
              </w:rPr>
              <w:t>Memorándum FICORA de 15 de marzo de 2011.</w:t>
            </w:r>
          </w:p>
        </w:tc>
      </w:tr>
      <w:tr w:rsidR="003E526D" w:rsidRPr="00654D1D" w14:paraId="4B6024AF" w14:textId="77777777" w:rsidTr="00654D1D">
        <w:trPr>
          <w:trHeight w:val="285"/>
          <w:jc w:val="center"/>
        </w:trPr>
        <w:tc>
          <w:tcPr>
            <w:tcW w:w="0" w:type="auto"/>
            <w:noWrap/>
            <w:vAlign w:val="center"/>
            <w:hideMark/>
          </w:tcPr>
          <w:p w14:paraId="4B6024AC"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Francia</w:t>
            </w:r>
          </w:p>
        </w:tc>
        <w:tc>
          <w:tcPr>
            <w:tcW w:w="1970" w:type="dxa"/>
            <w:noWrap/>
            <w:vAlign w:val="center"/>
            <w:hideMark/>
          </w:tcPr>
          <w:p w14:paraId="4B6024AD"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11.78</w:t>
            </w:r>
          </w:p>
        </w:tc>
        <w:tc>
          <w:tcPr>
            <w:tcW w:w="5803" w:type="dxa"/>
            <w:hideMark/>
          </w:tcPr>
          <w:p w14:paraId="4B6024AE" w14:textId="77777777" w:rsidR="003E526D" w:rsidRPr="00654D1D" w:rsidRDefault="003E526D" w:rsidP="00654D1D">
            <w:pPr>
              <w:jc w:val="both"/>
              <w:rPr>
                <w:rFonts w:ascii="ITC Avant Garde" w:hAnsi="ITC Avant Garde" w:cs="Arial"/>
                <w:sz w:val="18"/>
                <w:szCs w:val="18"/>
              </w:rPr>
            </w:pPr>
            <w:r w:rsidRPr="00654D1D">
              <w:rPr>
                <w:rFonts w:ascii="ITC Avant Garde" w:hAnsi="ITC Avant Garde" w:cs="Arial"/>
                <w:sz w:val="18"/>
                <w:szCs w:val="18"/>
              </w:rPr>
              <w:t>Decisión de ARCEP para el periodo 2010-2012, de fecha 21 de enero de 2010.</w:t>
            </w:r>
          </w:p>
        </w:tc>
      </w:tr>
      <w:tr w:rsidR="003E526D" w:rsidRPr="00654D1D" w14:paraId="4B6024B3" w14:textId="77777777" w:rsidTr="00654D1D">
        <w:trPr>
          <w:trHeight w:val="285"/>
          <w:jc w:val="center"/>
        </w:trPr>
        <w:tc>
          <w:tcPr>
            <w:tcW w:w="0" w:type="auto"/>
            <w:noWrap/>
            <w:vAlign w:val="center"/>
            <w:hideMark/>
          </w:tcPr>
          <w:p w14:paraId="4B6024B0"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Grecia</w:t>
            </w:r>
          </w:p>
        </w:tc>
        <w:tc>
          <w:tcPr>
            <w:tcW w:w="1970" w:type="dxa"/>
            <w:noWrap/>
            <w:vAlign w:val="center"/>
            <w:hideMark/>
          </w:tcPr>
          <w:p w14:paraId="4B6024B1"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14.81</w:t>
            </w:r>
          </w:p>
        </w:tc>
        <w:tc>
          <w:tcPr>
            <w:tcW w:w="5803" w:type="dxa"/>
            <w:hideMark/>
          </w:tcPr>
          <w:p w14:paraId="4B6024B2" w14:textId="77777777" w:rsidR="003E526D" w:rsidRPr="00654D1D" w:rsidRDefault="003E526D" w:rsidP="00654D1D">
            <w:pPr>
              <w:jc w:val="both"/>
              <w:rPr>
                <w:rFonts w:ascii="ITC Avant Garde" w:hAnsi="ITC Avant Garde" w:cs="Arial"/>
                <w:sz w:val="18"/>
                <w:szCs w:val="18"/>
              </w:rPr>
            </w:pPr>
            <w:r w:rsidRPr="00654D1D">
              <w:rPr>
                <w:rFonts w:ascii="ITC Avant Garde" w:hAnsi="ITC Avant Garde" w:cs="Arial"/>
                <w:sz w:val="18"/>
                <w:szCs w:val="18"/>
              </w:rPr>
              <w:t>Mencionado en la decisión preliminar de la EETT, M72007, de 4 de julio de 2008.</w:t>
            </w:r>
          </w:p>
        </w:tc>
      </w:tr>
      <w:tr w:rsidR="003E526D" w:rsidRPr="00654D1D" w14:paraId="4B6024B7" w14:textId="77777777" w:rsidTr="00654D1D">
        <w:trPr>
          <w:trHeight w:val="285"/>
          <w:jc w:val="center"/>
        </w:trPr>
        <w:tc>
          <w:tcPr>
            <w:tcW w:w="0" w:type="auto"/>
            <w:noWrap/>
            <w:vAlign w:val="center"/>
            <w:hideMark/>
          </w:tcPr>
          <w:p w14:paraId="4B6024B4"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Italia</w:t>
            </w:r>
          </w:p>
        </w:tc>
        <w:tc>
          <w:tcPr>
            <w:tcW w:w="1970" w:type="dxa"/>
            <w:noWrap/>
            <w:vAlign w:val="center"/>
            <w:hideMark/>
          </w:tcPr>
          <w:p w14:paraId="4B6024B5"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10.4</w:t>
            </w:r>
          </w:p>
        </w:tc>
        <w:tc>
          <w:tcPr>
            <w:tcW w:w="5803" w:type="dxa"/>
            <w:hideMark/>
          </w:tcPr>
          <w:p w14:paraId="4B6024B6" w14:textId="77777777" w:rsidR="003E526D" w:rsidRPr="00654D1D" w:rsidRDefault="003E526D" w:rsidP="00654D1D">
            <w:pPr>
              <w:jc w:val="both"/>
              <w:rPr>
                <w:rFonts w:ascii="ITC Avant Garde" w:hAnsi="ITC Avant Garde" w:cs="Arial"/>
                <w:sz w:val="18"/>
                <w:szCs w:val="18"/>
              </w:rPr>
            </w:pPr>
            <w:r w:rsidRPr="00654D1D">
              <w:rPr>
                <w:rFonts w:ascii="ITC Avant Garde" w:hAnsi="ITC Avant Garde" w:cs="Arial"/>
                <w:sz w:val="18"/>
                <w:szCs w:val="18"/>
              </w:rPr>
              <w:t>Decisión AGCOM 60/2011/CONS, de fecha 16 de mayo de 2011.</w:t>
            </w:r>
          </w:p>
        </w:tc>
      </w:tr>
      <w:tr w:rsidR="003E526D" w:rsidRPr="00654D1D" w14:paraId="4B6024BB" w14:textId="77777777" w:rsidTr="00654D1D">
        <w:trPr>
          <w:trHeight w:val="285"/>
          <w:jc w:val="center"/>
        </w:trPr>
        <w:tc>
          <w:tcPr>
            <w:tcW w:w="0" w:type="auto"/>
            <w:noWrap/>
            <w:vAlign w:val="center"/>
            <w:hideMark/>
          </w:tcPr>
          <w:p w14:paraId="4B6024B8"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México</w:t>
            </w:r>
          </w:p>
        </w:tc>
        <w:tc>
          <w:tcPr>
            <w:tcW w:w="1970" w:type="dxa"/>
            <w:noWrap/>
            <w:vAlign w:val="center"/>
            <w:hideMark/>
          </w:tcPr>
          <w:p w14:paraId="4B6024B9"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15.52</w:t>
            </w:r>
          </w:p>
        </w:tc>
        <w:tc>
          <w:tcPr>
            <w:tcW w:w="5803" w:type="dxa"/>
            <w:hideMark/>
          </w:tcPr>
          <w:p w14:paraId="4B6024BA" w14:textId="77777777" w:rsidR="003E526D" w:rsidRPr="00654D1D" w:rsidRDefault="003E526D" w:rsidP="00654D1D">
            <w:pPr>
              <w:jc w:val="both"/>
              <w:rPr>
                <w:rFonts w:ascii="ITC Avant Garde" w:hAnsi="ITC Avant Garde" w:cs="Arial"/>
                <w:sz w:val="18"/>
                <w:szCs w:val="18"/>
              </w:rPr>
            </w:pPr>
            <w:r w:rsidRPr="00654D1D">
              <w:rPr>
                <w:rFonts w:ascii="ITC Avant Garde" w:hAnsi="ITC Avant Garde" w:cs="Arial"/>
                <w:sz w:val="18"/>
                <w:szCs w:val="18"/>
              </w:rPr>
              <w:t>Resolución recurrida.</w:t>
            </w:r>
          </w:p>
        </w:tc>
      </w:tr>
      <w:tr w:rsidR="003E526D" w:rsidRPr="00654D1D" w14:paraId="4B6024BF" w14:textId="77777777" w:rsidTr="00654D1D">
        <w:trPr>
          <w:trHeight w:val="480"/>
          <w:jc w:val="center"/>
        </w:trPr>
        <w:tc>
          <w:tcPr>
            <w:tcW w:w="0" w:type="auto"/>
            <w:noWrap/>
            <w:vAlign w:val="center"/>
            <w:hideMark/>
          </w:tcPr>
          <w:p w14:paraId="4B6024BC"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Noruega</w:t>
            </w:r>
          </w:p>
        </w:tc>
        <w:tc>
          <w:tcPr>
            <w:tcW w:w="1970" w:type="dxa"/>
            <w:noWrap/>
            <w:vAlign w:val="center"/>
            <w:hideMark/>
          </w:tcPr>
          <w:p w14:paraId="4B6024BD"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13.5</w:t>
            </w:r>
          </w:p>
        </w:tc>
        <w:tc>
          <w:tcPr>
            <w:tcW w:w="5803" w:type="dxa"/>
            <w:hideMark/>
          </w:tcPr>
          <w:p w14:paraId="4B6024BE" w14:textId="77777777" w:rsidR="003E526D" w:rsidRPr="00654D1D" w:rsidRDefault="003E526D" w:rsidP="00654D1D">
            <w:pPr>
              <w:jc w:val="both"/>
              <w:rPr>
                <w:rFonts w:ascii="ITC Avant Garde" w:hAnsi="ITC Avant Garde" w:cs="Arial"/>
                <w:sz w:val="18"/>
                <w:szCs w:val="18"/>
              </w:rPr>
            </w:pPr>
            <w:r w:rsidRPr="00654D1D">
              <w:rPr>
                <w:rFonts w:ascii="ITC Avant Garde" w:hAnsi="ITC Avant Garde" w:cs="Arial"/>
                <w:sz w:val="18"/>
                <w:szCs w:val="18"/>
              </w:rPr>
              <w:t>Tasa válida para el año contable 2011. Decisión de la NPT de 14 de octubre de 2010.</w:t>
            </w:r>
          </w:p>
        </w:tc>
      </w:tr>
      <w:tr w:rsidR="003E526D" w:rsidRPr="00654D1D" w14:paraId="4B6024C3" w14:textId="77777777" w:rsidTr="00654D1D">
        <w:trPr>
          <w:trHeight w:val="285"/>
          <w:jc w:val="center"/>
        </w:trPr>
        <w:tc>
          <w:tcPr>
            <w:tcW w:w="0" w:type="auto"/>
            <w:noWrap/>
            <w:vAlign w:val="center"/>
            <w:hideMark/>
          </w:tcPr>
          <w:p w14:paraId="4B6024C0"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España</w:t>
            </w:r>
          </w:p>
        </w:tc>
        <w:tc>
          <w:tcPr>
            <w:tcW w:w="1970" w:type="dxa"/>
            <w:noWrap/>
            <w:vAlign w:val="center"/>
            <w:hideMark/>
          </w:tcPr>
          <w:p w14:paraId="4B6024C1"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11.23</w:t>
            </w:r>
          </w:p>
        </w:tc>
        <w:tc>
          <w:tcPr>
            <w:tcW w:w="5803" w:type="dxa"/>
            <w:hideMark/>
          </w:tcPr>
          <w:p w14:paraId="4B6024C2" w14:textId="77777777" w:rsidR="003E526D" w:rsidRPr="00654D1D" w:rsidRDefault="003E526D" w:rsidP="00654D1D">
            <w:pPr>
              <w:jc w:val="both"/>
              <w:rPr>
                <w:rFonts w:ascii="ITC Avant Garde" w:hAnsi="ITC Avant Garde" w:cs="Arial"/>
                <w:sz w:val="18"/>
                <w:szCs w:val="18"/>
              </w:rPr>
            </w:pPr>
            <w:r w:rsidRPr="00654D1D">
              <w:rPr>
                <w:rFonts w:ascii="ITC Avant Garde" w:hAnsi="ITC Avant Garde" w:cs="Arial"/>
                <w:sz w:val="18"/>
                <w:szCs w:val="18"/>
              </w:rPr>
              <w:t>CMT definió a Telefónica Móviles, el 29 de julio de 2010, para el periodo 2010.</w:t>
            </w:r>
          </w:p>
        </w:tc>
      </w:tr>
      <w:tr w:rsidR="00654D1D" w:rsidRPr="00654D1D" w14:paraId="4B6024C7" w14:textId="77777777" w:rsidTr="00654D1D">
        <w:trPr>
          <w:trHeight w:val="285"/>
          <w:jc w:val="center"/>
        </w:trPr>
        <w:tc>
          <w:tcPr>
            <w:tcW w:w="0" w:type="auto"/>
            <w:hideMark/>
          </w:tcPr>
          <w:p w14:paraId="4B6024C4" w14:textId="3C4B569A" w:rsidR="00654D1D" w:rsidRPr="00654D1D" w:rsidRDefault="00654D1D" w:rsidP="00654D1D">
            <w:pPr>
              <w:ind w:left="360"/>
              <w:jc w:val="center"/>
              <w:rPr>
                <w:rFonts w:ascii="ITC Avant Garde" w:hAnsi="ITC Avant Garde" w:cs="Arial"/>
                <w:sz w:val="18"/>
                <w:szCs w:val="18"/>
              </w:rPr>
            </w:pPr>
            <w:r w:rsidRPr="0049356E">
              <w:rPr>
                <w:rFonts w:ascii="ITC Avant Garde" w:hAnsi="ITC Avant Garde" w:cs="Arial"/>
                <w:sz w:val="18"/>
                <w:szCs w:val="18"/>
              </w:rPr>
              <w:t>España</w:t>
            </w:r>
          </w:p>
        </w:tc>
        <w:tc>
          <w:tcPr>
            <w:tcW w:w="1970" w:type="dxa"/>
            <w:noWrap/>
            <w:vAlign w:val="center"/>
            <w:hideMark/>
          </w:tcPr>
          <w:p w14:paraId="4B6024C5" w14:textId="77777777" w:rsidR="00654D1D" w:rsidRPr="00654D1D" w:rsidRDefault="00654D1D" w:rsidP="00654D1D">
            <w:pPr>
              <w:ind w:left="360"/>
              <w:jc w:val="center"/>
              <w:rPr>
                <w:rFonts w:ascii="ITC Avant Garde" w:hAnsi="ITC Avant Garde" w:cs="Arial"/>
                <w:sz w:val="18"/>
                <w:szCs w:val="18"/>
              </w:rPr>
            </w:pPr>
            <w:r w:rsidRPr="00654D1D">
              <w:rPr>
                <w:rFonts w:ascii="ITC Avant Garde" w:hAnsi="ITC Avant Garde" w:cs="Arial"/>
                <w:sz w:val="18"/>
                <w:szCs w:val="18"/>
              </w:rPr>
              <w:t>11.21</w:t>
            </w:r>
          </w:p>
        </w:tc>
        <w:tc>
          <w:tcPr>
            <w:tcW w:w="5803" w:type="dxa"/>
            <w:hideMark/>
          </w:tcPr>
          <w:p w14:paraId="4B6024C6" w14:textId="77777777" w:rsidR="00654D1D" w:rsidRPr="00654D1D" w:rsidRDefault="00654D1D" w:rsidP="00654D1D">
            <w:pPr>
              <w:jc w:val="both"/>
              <w:rPr>
                <w:rFonts w:ascii="ITC Avant Garde" w:hAnsi="ITC Avant Garde" w:cs="Arial"/>
                <w:sz w:val="18"/>
                <w:szCs w:val="18"/>
              </w:rPr>
            </w:pPr>
            <w:r w:rsidRPr="00654D1D">
              <w:rPr>
                <w:rFonts w:ascii="ITC Avant Garde" w:hAnsi="ITC Avant Garde" w:cs="Arial"/>
                <w:sz w:val="18"/>
                <w:szCs w:val="18"/>
              </w:rPr>
              <w:t>CMT definió a Vodafone, el 29 de julio de 2010, para el periodo 2010.</w:t>
            </w:r>
          </w:p>
        </w:tc>
      </w:tr>
      <w:tr w:rsidR="00654D1D" w:rsidRPr="00654D1D" w14:paraId="4B6024CB" w14:textId="77777777" w:rsidTr="00654D1D">
        <w:trPr>
          <w:trHeight w:val="285"/>
          <w:jc w:val="center"/>
        </w:trPr>
        <w:tc>
          <w:tcPr>
            <w:tcW w:w="0" w:type="auto"/>
            <w:hideMark/>
          </w:tcPr>
          <w:p w14:paraId="4B6024C8" w14:textId="3146384C" w:rsidR="00654D1D" w:rsidRPr="00654D1D" w:rsidRDefault="00654D1D" w:rsidP="00654D1D">
            <w:pPr>
              <w:ind w:left="360"/>
              <w:jc w:val="center"/>
              <w:rPr>
                <w:rFonts w:ascii="ITC Avant Garde" w:hAnsi="ITC Avant Garde" w:cs="Arial"/>
                <w:sz w:val="18"/>
                <w:szCs w:val="18"/>
              </w:rPr>
            </w:pPr>
            <w:r w:rsidRPr="0049356E">
              <w:rPr>
                <w:rFonts w:ascii="ITC Avant Garde" w:hAnsi="ITC Avant Garde" w:cs="Arial"/>
                <w:sz w:val="18"/>
                <w:szCs w:val="18"/>
              </w:rPr>
              <w:t>España</w:t>
            </w:r>
          </w:p>
        </w:tc>
        <w:tc>
          <w:tcPr>
            <w:tcW w:w="1970" w:type="dxa"/>
            <w:noWrap/>
            <w:vAlign w:val="center"/>
            <w:hideMark/>
          </w:tcPr>
          <w:p w14:paraId="4B6024C9" w14:textId="77777777" w:rsidR="00654D1D" w:rsidRPr="00654D1D" w:rsidRDefault="00654D1D" w:rsidP="00654D1D">
            <w:pPr>
              <w:ind w:left="360"/>
              <w:jc w:val="center"/>
              <w:rPr>
                <w:rFonts w:ascii="ITC Avant Garde" w:hAnsi="ITC Avant Garde" w:cs="Arial"/>
                <w:sz w:val="18"/>
                <w:szCs w:val="18"/>
              </w:rPr>
            </w:pPr>
            <w:r w:rsidRPr="00654D1D">
              <w:rPr>
                <w:rFonts w:ascii="ITC Avant Garde" w:hAnsi="ITC Avant Garde" w:cs="Arial"/>
                <w:sz w:val="18"/>
                <w:szCs w:val="18"/>
              </w:rPr>
              <w:t>10.17</w:t>
            </w:r>
          </w:p>
        </w:tc>
        <w:tc>
          <w:tcPr>
            <w:tcW w:w="5803" w:type="dxa"/>
            <w:hideMark/>
          </w:tcPr>
          <w:p w14:paraId="4B6024CA" w14:textId="77777777" w:rsidR="00654D1D" w:rsidRPr="00654D1D" w:rsidRDefault="00654D1D" w:rsidP="00654D1D">
            <w:pPr>
              <w:jc w:val="both"/>
              <w:rPr>
                <w:rFonts w:ascii="ITC Avant Garde" w:hAnsi="ITC Avant Garde" w:cs="Arial"/>
                <w:sz w:val="18"/>
                <w:szCs w:val="18"/>
              </w:rPr>
            </w:pPr>
            <w:r w:rsidRPr="00654D1D">
              <w:rPr>
                <w:rFonts w:ascii="ITC Avant Garde" w:hAnsi="ITC Avant Garde" w:cs="Arial"/>
                <w:sz w:val="18"/>
                <w:szCs w:val="18"/>
              </w:rPr>
              <w:t>CMT definió a France Telecom, el 29 de julio de 2010, para el periodo 2010.</w:t>
            </w:r>
          </w:p>
        </w:tc>
      </w:tr>
      <w:tr w:rsidR="003E526D" w:rsidRPr="00654D1D" w14:paraId="4B6024CF" w14:textId="77777777" w:rsidTr="00654D1D">
        <w:trPr>
          <w:trHeight w:val="720"/>
          <w:jc w:val="center"/>
        </w:trPr>
        <w:tc>
          <w:tcPr>
            <w:tcW w:w="0" w:type="auto"/>
            <w:noWrap/>
            <w:vAlign w:val="center"/>
            <w:hideMark/>
          </w:tcPr>
          <w:p w14:paraId="4B6024CC"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Suecia</w:t>
            </w:r>
          </w:p>
        </w:tc>
        <w:tc>
          <w:tcPr>
            <w:tcW w:w="1970" w:type="dxa"/>
            <w:noWrap/>
            <w:vAlign w:val="center"/>
            <w:hideMark/>
          </w:tcPr>
          <w:p w14:paraId="4B6024CD"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9.4</w:t>
            </w:r>
          </w:p>
        </w:tc>
        <w:tc>
          <w:tcPr>
            <w:tcW w:w="5803" w:type="dxa"/>
            <w:hideMark/>
          </w:tcPr>
          <w:p w14:paraId="4B6024CE" w14:textId="77777777" w:rsidR="003E526D" w:rsidRPr="00654D1D" w:rsidRDefault="003E526D" w:rsidP="00654D1D">
            <w:pPr>
              <w:jc w:val="both"/>
              <w:rPr>
                <w:rFonts w:ascii="ITC Avant Garde" w:hAnsi="ITC Avant Garde" w:cs="Arial"/>
                <w:sz w:val="18"/>
                <w:szCs w:val="18"/>
              </w:rPr>
            </w:pPr>
            <w:r w:rsidRPr="00654D1D">
              <w:rPr>
                <w:rFonts w:ascii="ITC Avant Garde" w:hAnsi="ITC Avant Garde" w:cs="Arial"/>
                <w:sz w:val="18"/>
                <w:szCs w:val="18"/>
              </w:rPr>
              <w:t>El 9 de febrero de 2011, PTS publicó la revisión a la WACC que será utilizada en el modelo LRIC de redes móviles. Esta nueva tasa se redujo del nivel fijado en 2008 (12.9%).</w:t>
            </w:r>
          </w:p>
        </w:tc>
      </w:tr>
      <w:tr w:rsidR="003E526D" w:rsidRPr="00654D1D" w14:paraId="4B6024D3" w14:textId="77777777" w:rsidTr="00654D1D">
        <w:trPr>
          <w:trHeight w:val="285"/>
          <w:jc w:val="center"/>
        </w:trPr>
        <w:tc>
          <w:tcPr>
            <w:tcW w:w="0" w:type="auto"/>
            <w:noWrap/>
            <w:vAlign w:val="center"/>
            <w:hideMark/>
          </w:tcPr>
          <w:p w14:paraId="4B6024D0"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Reino Unido</w:t>
            </w:r>
          </w:p>
        </w:tc>
        <w:tc>
          <w:tcPr>
            <w:tcW w:w="1970" w:type="dxa"/>
            <w:noWrap/>
            <w:vAlign w:val="center"/>
            <w:hideMark/>
          </w:tcPr>
          <w:p w14:paraId="4B6024D1" w14:textId="77777777" w:rsidR="003E526D" w:rsidRPr="00654D1D" w:rsidRDefault="003E526D" w:rsidP="00654D1D">
            <w:pPr>
              <w:ind w:left="360"/>
              <w:jc w:val="center"/>
              <w:rPr>
                <w:rFonts w:ascii="ITC Avant Garde" w:hAnsi="ITC Avant Garde" w:cs="Arial"/>
                <w:sz w:val="18"/>
                <w:szCs w:val="18"/>
              </w:rPr>
            </w:pPr>
            <w:r w:rsidRPr="00654D1D">
              <w:rPr>
                <w:rFonts w:ascii="ITC Avant Garde" w:hAnsi="ITC Avant Garde" w:cs="Arial"/>
                <w:sz w:val="18"/>
                <w:szCs w:val="18"/>
              </w:rPr>
              <w:t>8.9</w:t>
            </w:r>
          </w:p>
        </w:tc>
        <w:tc>
          <w:tcPr>
            <w:tcW w:w="5803" w:type="dxa"/>
            <w:hideMark/>
          </w:tcPr>
          <w:p w14:paraId="4B6024D2" w14:textId="77777777" w:rsidR="003E526D" w:rsidRPr="00654D1D" w:rsidRDefault="003E526D" w:rsidP="00654D1D">
            <w:pPr>
              <w:jc w:val="both"/>
              <w:rPr>
                <w:rFonts w:ascii="ITC Avant Garde" w:hAnsi="ITC Avant Garde" w:cs="Arial"/>
                <w:sz w:val="18"/>
                <w:szCs w:val="18"/>
              </w:rPr>
            </w:pPr>
            <w:r w:rsidRPr="00654D1D">
              <w:rPr>
                <w:rFonts w:ascii="ITC Avant Garde" w:hAnsi="ITC Avant Garde" w:cs="Arial"/>
                <w:sz w:val="18"/>
                <w:szCs w:val="18"/>
              </w:rPr>
              <w:t xml:space="preserve">Decisión de </w:t>
            </w:r>
            <w:proofErr w:type="spellStart"/>
            <w:r w:rsidRPr="00654D1D">
              <w:rPr>
                <w:rFonts w:ascii="ITC Avant Garde" w:hAnsi="ITC Avant Garde" w:cs="Arial"/>
                <w:sz w:val="18"/>
                <w:szCs w:val="18"/>
              </w:rPr>
              <w:t>Ofcom</w:t>
            </w:r>
            <w:proofErr w:type="spellEnd"/>
            <w:r w:rsidRPr="00654D1D">
              <w:rPr>
                <w:rFonts w:ascii="ITC Avant Garde" w:hAnsi="ITC Avant Garde" w:cs="Arial"/>
                <w:sz w:val="18"/>
                <w:szCs w:val="18"/>
              </w:rPr>
              <w:t xml:space="preserve"> de marzo de 2011.</w:t>
            </w:r>
          </w:p>
        </w:tc>
      </w:tr>
    </w:tbl>
    <w:p w14:paraId="492018EA" w14:textId="77777777" w:rsidR="00654D1D" w:rsidRDefault="00654D1D" w:rsidP="00654D1D">
      <w:pPr>
        <w:spacing w:before="240"/>
        <w:ind w:left="360"/>
        <w:jc w:val="both"/>
        <w:rPr>
          <w:rFonts w:ascii="ITC Avant Garde" w:hAnsi="ITC Avant Garde" w:cs="Arial"/>
          <w:sz w:val="18"/>
          <w:szCs w:val="18"/>
        </w:rPr>
      </w:pPr>
      <w:r w:rsidRPr="00654D1D">
        <w:rPr>
          <w:rFonts w:ascii="ITC Avant Garde" w:hAnsi="ITC Avant Garde" w:cs="Arial"/>
          <w:sz w:val="18"/>
          <w:szCs w:val="18"/>
        </w:rPr>
        <w:t xml:space="preserve">Fuente: </w:t>
      </w:r>
      <w:proofErr w:type="spellStart"/>
      <w:r w:rsidRPr="00654D1D">
        <w:rPr>
          <w:rFonts w:ascii="ITC Avant Garde" w:hAnsi="ITC Avant Garde" w:cs="Arial"/>
          <w:sz w:val="18"/>
          <w:szCs w:val="18"/>
        </w:rPr>
        <w:t>Cullen</w:t>
      </w:r>
      <w:proofErr w:type="spellEnd"/>
      <w:r w:rsidRPr="00654D1D">
        <w:rPr>
          <w:rFonts w:ascii="ITC Avant Garde" w:hAnsi="ITC Avant Garde" w:cs="Arial"/>
          <w:sz w:val="18"/>
          <w:szCs w:val="18"/>
        </w:rPr>
        <w:t xml:space="preserve"> International, Junio 2011.</w:t>
      </w:r>
    </w:p>
    <w:p w14:paraId="3FD157FA" w14:textId="6F68B727" w:rsidR="00654D1D" w:rsidRPr="00654D1D" w:rsidRDefault="003E526D" w:rsidP="00654D1D">
      <w:pPr>
        <w:spacing w:before="240"/>
        <w:ind w:left="360"/>
        <w:jc w:val="both"/>
        <w:rPr>
          <w:rFonts w:ascii="ITC Avant Garde" w:hAnsi="ITC Avant Garde" w:cs="Arial"/>
        </w:rPr>
      </w:pPr>
      <w:r w:rsidRPr="00654D1D">
        <w:rPr>
          <w:rFonts w:ascii="ITC Avant Garde" w:hAnsi="ITC Avant Garde" w:cs="Arial"/>
        </w:rPr>
        <w:t>Cabe señalar que el costo de capital de Telefónica Móviles utilizado por el órgano regulador de España en 2010 fue de 11.23%, notablemente inferior al utilizado en la resolución recurrida; este dato es importante en virtud de que dicha empresa se financia en los mercados internacionales, por lo que puede obtener fondos a un costo mucho menor del utilizado en el modelo de costos.</w:t>
      </w:r>
    </w:p>
    <w:p w14:paraId="734E03D3" w14:textId="77777777" w:rsidR="00654D1D" w:rsidRPr="00654D1D" w:rsidRDefault="003E526D" w:rsidP="00654D1D">
      <w:pPr>
        <w:spacing w:before="240"/>
        <w:ind w:left="360"/>
        <w:jc w:val="both"/>
        <w:rPr>
          <w:rFonts w:ascii="ITC Avant Garde" w:hAnsi="ITC Avant Garde" w:cs="Arial"/>
        </w:rPr>
      </w:pPr>
      <w:r w:rsidRPr="00654D1D">
        <w:rPr>
          <w:rFonts w:ascii="ITC Avant Garde" w:hAnsi="ITC Avant Garde" w:cs="Arial"/>
        </w:rPr>
        <w:t>Por tanto, la Resolución recurrida se encuentra debidamente fundada y motivada, de ahí que sean improcedentes por infundados los argumentos de la Recurrente.</w:t>
      </w:r>
    </w:p>
    <w:p w14:paraId="7729060F" w14:textId="77777777" w:rsidR="00654D1D" w:rsidRPr="00654D1D" w:rsidRDefault="003E526D" w:rsidP="00654D1D">
      <w:pPr>
        <w:numPr>
          <w:ilvl w:val="0"/>
          <w:numId w:val="42"/>
        </w:numPr>
        <w:spacing w:before="240"/>
        <w:ind w:left="357"/>
        <w:contextualSpacing/>
        <w:jc w:val="both"/>
        <w:rPr>
          <w:rFonts w:ascii="ITC Avant Garde" w:eastAsia="Calibri" w:hAnsi="ITC Avant Garde" w:cs="Arial"/>
        </w:rPr>
      </w:pPr>
      <w:r w:rsidRPr="00654D1D">
        <w:rPr>
          <w:rFonts w:ascii="ITC Avant Garde" w:eastAsia="Calibri" w:hAnsi="ITC Avant Garde" w:cs="Arial"/>
          <w:u w:val="single"/>
        </w:rPr>
        <w:t>La sustitución de los valores y el desglose de las fórmulas</w:t>
      </w:r>
      <w:r w:rsidRPr="00654D1D">
        <w:rPr>
          <w:rFonts w:ascii="ITC Avant Garde" w:eastAsia="Calibri" w:hAnsi="ITC Avant Garde" w:cs="Arial"/>
        </w:rPr>
        <w:t>. La Recurrente argumenta que dicho problema radica en que, por la complejidad de las fórmulas empleadas, es prácticamente imposible verificar los cálculos que se encuentran debidamente efectuados. Configura una violación más a la garantía de debida motivación de los actos de autoridad.</w:t>
      </w:r>
    </w:p>
    <w:p w14:paraId="043AA22D"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lastRenderedPageBreak/>
        <w:t>Al respecto, esta Autoridad revisora considera que los argumentos de la Recurrente resultan improcedentes en virtud de que la extinta Comisión hizo precisión de la metodología y aplicación de la información que utilizó para la determinación de las tarifas de interconexión señaladas en el Resolución Recurrida, incluyendo las fórmulas y modelos aplicados, por lo tanto es infundada e insuficiente la manifestación de la Recurrente al señalar que la Comisión la dejó en estado de incertidumbre jurídica porque no incluyó todas y cada una de las operaciones aritméticas referidas.</w:t>
      </w:r>
    </w:p>
    <w:p w14:paraId="4EDC215B"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A mayor abundamiento, a fojas 31 a 46 de la Resolución recurrida, mismas que para evitar repeticiones innecesarias se tienen aquí por reproducidas como si a la letra se insertasen, la extinta Comisión estableció las fórmulas y metodología utilizadas para los cálculos realizados conforme al Modelo CITLP para determinar la tarifa de interconexión para el 1 de enero de 2011 al 31 de diciembre de 2011 de $0.3912 pesos por minuto, considerando que dicha tarifa incluye el costo correspondiente a los puertos necesarios para la interconexión. Asimismo, la Comisión consideró que las funciones básicas que realiza la red pública de telecomunicaciones de un concesionario de servicio móvil para la terminación de una llamada consisten en la conmutación y la transmisión para efectos de cursarla y la señalización para establecerla, mantenerla y liberarla, dichas funciones son independientes de la infraestructura y componentes de la red pública de telecomunicaciones del concesionario que entrega el tráfico.</w:t>
      </w:r>
    </w:p>
    <w:p w14:paraId="72A2649E"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De igual forma, a foja 49 de la Resolución recurrida se encuentra el ANEXO DEL MODELO DE COSTOS INCREMENTALES TOTALES DE LARGO PLAZO en el cual se ilustran los procedimientos utilizados para realizar las estimaciones y cálculos, así como los parámetros y diagramas genéricos para cada uno de los procedimientos llevados a cabo en el cálculo de la demanda estimada y los elementos necesarios para dimensionar la red del operador representativo.</w:t>
      </w:r>
    </w:p>
    <w:p w14:paraId="695A94AF" w14:textId="6DF888BB" w:rsidR="00654D1D" w:rsidRPr="00654D1D" w:rsidRDefault="003E526D" w:rsidP="00654D1D">
      <w:pPr>
        <w:numPr>
          <w:ilvl w:val="0"/>
          <w:numId w:val="42"/>
        </w:numPr>
        <w:spacing w:before="240"/>
        <w:ind w:left="357"/>
        <w:contextualSpacing/>
        <w:jc w:val="both"/>
        <w:rPr>
          <w:rFonts w:ascii="ITC Avant Garde" w:eastAsia="Calibri" w:hAnsi="ITC Avant Garde" w:cs="Arial"/>
        </w:rPr>
      </w:pPr>
      <w:r w:rsidRPr="00654D1D">
        <w:rPr>
          <w:rFonts w:ascii="ITC Avant Garde" w:eastAsia="Calibri" w:hAnsi="ITC Avant Garde" w:cs="Arial"/>
          <w:u w:val="single"/>
        </w:rPr>
        <w:t>El tipo de cambio. La Comisión utilizó arbitrariamente un promedio del tipo de</w:t>
      </w:r>
      <w:r w:rsidRPr="00654D1D">
        <w:rPr>
          <w:rFonts w:ascii="ITC Avant Garde" w:eastAsia="Calibri" w:hAnsi="ITC Avant Garde" w:cs="Arial"/>
        </w:rPr>
        <w:t xml:space="preserve"> cambio para determinar la tarifa de interconexión, lo cual acusa una notoria indebida motivación.</w:t>
      </w:r>
    </w:p>
    <w:p w14:paraId="68DB5550" w14:textId="7777777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Al respecto se señala que se utilizó la mejor información disponible, por lo que se utilizaron los valores observados hasta marzo de 2011, y en adelante las expectativas del mercado, representadas mediante la “Encuesta sobre las expectativas de los especialistas en economía del sector privado: febrero 2011” que aplica el Banco de México; cabe señalar que la recurrente no señala cual pueda ser una mejor fuente de información, de ahí que sea improcedente por infundado su argumento.</w:t>
      </w:r>
    </w:p>
    <w:p w14:paraId="539BE04D" w14:textId="77777777" w:rsidR="00654D1D" w:rsidRPr="00654D1D" w:rsidRDefault="003E526D" w:rsidP="00654D1D">
      <w:pPr>
        <w:numPr>
          <w:ilvl w:val="0"/>
          <w:numId w:val="42"/>
        </w:numPr>
        <w:spacing w:before="240"/>
        <w:ind w:left="357"/>
        <w:contextualSpacing/>
        <w:jc w:val="both"/>
        <w:rPr>
          <w:rFonts w:ascii="ITC Avant Garde" w:eastAsia="Calibri" w:hAnsi="ITC Avant Garde" w:cs="Arial"/>
        </w:rPr>
      </w:pPr>
      <w:r w:rsidRPr="00654D1D">
        <w:rPr>
          <w:rFonts w:ascii="ITC Avant Garde" w:eastAsia="Calibri" w:hAnsi="ITC Avant Garde" w:cs="Arial"/>
        </w:rPr>
        <w:lastRenderedPageBreak/>
        <w:t>La Intensidad de Uso o “</w:t>
      </w:r>
      <w:proofErr w:type="spellStart"/>
      <w:r w:rsidRPr="00654D1D">
        <w:rPr>
          <w:rFonts w:ascii="ITC Avant Garde" w:eastAsia="Calibri" w:hAnsi="ITC Avant Garde" w:cs="Arial"/>
        </w:rPr>
        <w:t>Ruteamiento</w:t>
      </w:r>
      <w:proofErr w:type="spellEnd"/>
      <w:r w:rsidRPr="00654D1D">
        <w:rPr>
          <w:rFonts w:ascii="ITC Avant Garde" w:eastAsia="Calibri" w:hAnsi="ITC Avant Garde" w:cs="Arial"/>
        </w:rPr>
        <w:t>” de los Elementos de Red. Señala que la fijación del factor de intensidad de uso o “</w:t>
      </w:r>
      <w:proofErr w:type="spellStart"/>
      <w:r w:rsidRPr="00654D1D">
        <w:rPr>
          <w:rFonts w:ascii="ITC Avant Garde" w:eastAsia="Calibri" w:hAnsi="ITC Avant Garde" w:cs="Arial"/>
        </w:rPr>
        <w:t>ruteamiento</w:t>
      </w:r>
      <w:proofErr w:type="spellEnd"/>
      <w:r w:rsidRPr="00654D1D">
        <w:rPr>
          <w:rFonts w:ascii="ITC Avant Garde" w:eastAsia="Calibri" w:hAnsi="ITC Avant Garde" w:cs="Arial"/>
        </w:rPr>
        <w:t>” de la red (Tabla 8 del Modelo de Costos) son violatorios del principio de adecuada motivación, lo cual es violatorio del artículo 16 de la Constitución.</w:t>
      </w:r>
    </w:p>
    <w:p w14:paraId="014E8E85" w14:textId="4164D067" w:rsidR="00654D1D" w:rsidRPr="00654D1D" w:rsidRDefault="003E526D" w:rsidP="00654D1D">
      <w:pPr>
        <w:spacing w:before="240"/>
        <w:ind w:left="360"/>
        <w:jc w:val="both"/>
        <w:rPr>
          <w:rFonts w:ascii="ITC Avant Garde" w:eastAsia="Calibri" w:hAnsi="ITC Avant Garde" w:cs="Arial"/>
        </w:rPr>
      </w:pPr>
      <w:r w:rsidRPr="00654D1D">
        <w:rPr>
          <w:rFonts w:ascii="ITC Avant Garde" w:eastAsia="Calibri" w:hAnsi="ITC Avant Garde" w:cs="Arial"/>
        </w:rPr>
        <w:t>Al respecto, no le asiste la razón a la Recurrente debido a que se estableció claramente que significa el factor de uso es decir, se obtuvo lo que se denomina intensidad de uso de la red con base en los factores de enrutamiento de los servicios, y el cual solamente se puede observar que para realizar una llamada de fijo a móvil, que elementos en promedio utiliza con cierta intensidad. Asimismo, en la Resolución se incluyó una tabla con cada uno de los factores o intensidad de uso de los elementos de red por cada tipo de llamada.</w:t>
      </w:r>
    </w:p>
    <w:p w14:paraId="4B6024F7" w14:textId="0DE0BA0F" w:rsidR="003E526D" w:rsidRPr="00654D1D" w:rsidRDefault="003E526D" w:rsidP="00654D1D">
      <w:pPr>
        <w:spacing w:before="240"/>
        <w:jc w:val="center"/>
        <w:rPr>
          <w:rFonts w:ascii="ITC Avant Garde" w:eastAsia="Calibri" w:hAnsi="ITC Avant Garde" w:cs="Arial"/>
        </w:rPr>
      </w:pPr>
      <w:r w:rsidRPr="00654D1D">
        <w:rPr>
          <w:rFonts w:ascii="ITC Avant Garde" w:eastAsia="Calibri" w:hAnsi="ITC Avant Garde" w:cs="Arial"/>
        </w:rPr>
        <w:t>Tabla 8</w:t>
      </w:r>
    </w:p>
    <w:p w14:paraId="4B6024F8" w14:textId="77777777" w:rsidR="003E526D" w:rsidRPr="00654D1D" w:rsidRDefault="003E526D" w:rsidP="00654D1D">
      <w:pPr>
        <w:spacing w:before="240"/>
        <w:ind w:firstLine="708"/>
        <w:jc w:val="both"/>
        <w:rPr>
          <w:rFonts w:ascii="ITC Avant Garde" w:eastAsia="Calibri" w:hAnsi="ITC Avant Garde" w:cs="Arial"/>
        </w:rPr>
      </w:pPr>
      <w:r w:rsidRPr="00654D1D">
        <w:rPr>
          <w:rFonts w:ascii="ITC Avant Garde" w:eastAsia="Calibri" w:hAnsi="ITC Avant Garde" w:cs="Arial"/>
        </w:rPr>
        <w:t>Intensidad de uso (</w:t>
      </w:r>
      <w:proofErr w:type="spellStart"/>
      <w:r w:rsidRPr="00654D1D">
        <w:rPr>
          <w:rFonts w:ascii="ITC Avant Garde" w:eastAsia="Calibri" w:hAnsi="ITC Avant Garde" w:cs="Arial"/>
        </w:rPr>
        <w:t>ruteamiento</w:t>
      </w:r>
      <w:proofErr w:type="spellEnd"/>
      <w:r w:rsidRPr="00654D1D">
        <w:rPr>
          <w:rFonts w:ascii="ITC Avant Garde" w:eastAsia="Calibri" w:hAnsi="ITC Avant Garde" w:cs="Arial"/>
        </w:rPr>
        <w:t>) de los elementos de red por tipo de llamada.</w:t>
      </w:r>
    </w:p>
    <w:p w14:paraId="45A5D5F6" w14:textId="77777777" w:rsidR="00654D1D" w:rsidRPr="00654D1D" w:rsidRDefault="003E526D" w:rsidP="00654D1D">
      <w:pPr>
        <w:spacing w:before="240"/>
        <w:jc w:val="both"/>
        <w:rPr>
          <w:rFonts w:ascii="ITC Avant Garde" w:eastAsia="Calibri" w:hAnsi="ITC Avant Garde" w:cs="Arial"/>
        </w:rPr>
      </w:pPr>
      <w:r w:rsidRPr="00654D1D">
        <w:rPr>
          <w:rFonts w:ascii="ITC Avant Garde" w:eastAsia="Calibri" w:hAnsi="ITC Avant Garde" w:cs="Arial"/>
          <w:noProof/>
          <w:lang w:eastAsia="es-MX"/>
        </w:rPr>
        <w:drawing>
          <wp:inline distT="0" distB="0" distL="0" distR="0" wp14:anchorId="4B60289A" wp14:editId="5E86CC91">
            <wp:extent cx="6036945" cy="4191000"/>
            <wp:effectExtent l="0" t="0" r="1905" b="0"/>
            <wp:docPr id="3" name="Imagen 27" descr="La imagen corresponde a una tabla de 7 columnas en la que se muestran los elementos de red para distintos tipos de servicio." title="Intensidad de uso (ruteamiento) de los elementos de red por tipo de lla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6945" cy="4191000"/>
                    </a:xfrm>
                    <a:prstGeom prst="rect">
                      <a:avLst/>
                    </a:prstGeom>
                    <a:noFill/>
                    <a:ln>
                      <a:noFill/>
                    </a:ln>
                  </pic:spPr>
                </pic:pic>
              </a:graphicData>
            </a:graphic>
          </wp:inline>
        </w:drawing>
      </w:r>
    </w:p>
    <w:p w14:paraId="672DAAA1" w14:textId="77777777" w:rsidR="00654D1D" w:rsidRPr="00654D1D" w:rsidRDefault="003E526D" w:rsidP="00654D1D">
      <w:pPr>
        <w:numPr>
          <w:ilvl w:val="0"/>
          <w:numId w:val="42"/>
        </w:numPr>
        <w:spacing w:before="240"/>
        <w:ind w:left="357" w:hanging="357"/>
        <w:contextualSpacing/>
        <w:jc w:val="both"/>
        <w:rPr>
          <w:rFonts w:ascii="ITC Avant Garde" w:eastAsia="Calibri" w:hAnsi="ITC Avant Garde" w:cs="Arial"/>
        </w:rPr>
      </w:pPr>
      <w:r w:rsidRPr="00654D1D">
        <w:rPr>
          <w:rFonts w:ascii="ITC Avant Garde" w:eastAsia="Calibri" w:hAnsi="ITC Avant Garde" w:cs="Arial"/>
        </w:rPr>
        <w:t xml:space="preserve">La recurrente argumenta que el valor asignado a los costos comunes es incongruente y errático. Señala que es violatorio del artículo 16 de la Constitución porque la </w:t>
      </w:r>
      <w:r w:rsidRPr="00654D1D">
        <w:rPr>
          <w:rFonts w:ascii="ITC Avant Garde" w:eastAsia="Calibri" w:hAnsi="ITC Avant Garde" w:cs="Arial"/>
        </w:rPr>
        <w:lastRenderedPageBreak/>
        <w:t>determinación es arbitraria y con un valor gradual y decreciente, y la motivación para hacer la determinación del porcentaje de costos comunes, sin citar de donde provienen dichos costos, no ofrecen explicación de cómo este porcentaje es aplicable a la situación de los involucrados.</w:t>
      </w:r>
    </w:p>
    <w:p w14:paraId="069B9630" w14:textId="77777777" w:rsidR="00654D1D" w:rsidRPr="00654D1D" w:rsidRDefault="003E526D" w:rsidP="00654D1D">
      <w:pPr>
        <w:spacing w:before="240"/>
        <w:ind w:left="426"/>
        <w:jc w:val="both"/>
        <w:rPr>
          <w:rFonts w:ascii="ITC Avant Garde" w:eastAsia="Calibri" w:hAnsi="ITC Avant Garde" w:cs="Arial"/>
        </w:rPr>
      </w:pPr>
      <w:r w:rsidRPr="00654D1D">
        <w:rPr>
          <w:rFonts w:ascii="ITC Avant Garde" w:eastAsia="Calibri" w:hAnsi="ITC Avant Garde" w:cs="Arial"/>
        </w:rPr>
        <w:t>Con relación a lo anterior, se considera infundado el argumento de la Recurrente toda vez que primeramente en consistencia con los modelos de costos utilizados por los órganos reguladores, para determinar las tarifas de interconexión del Modelo CITLP, a estos costos totales por llamada se les incorporó un margen adicional que para la recuperación de los costos comunes de 10% el cual es consiste con lo aplicado por los órganos reguladores de las telecomunicaciones en Francia y Perú, con lo cual no le asiste la razón a la quejosa de que el valor se ajustó gradualmente y decreciente, siendo que únicamente se estableció un solo valor de 10%, asimismo se señaló que el mismo fue consistente con lo establecido por otros organismos internacionales.</w:t>
      </w:r>
    </w:p>
    <w:p w14:paraId="5D8A3848" w14:textId="77777777" w:rsidR="00654D1D" w:rsidRPr="00654D1D" w:rsidRDefault="003E526D" w:rsidP="00654D1D">
      <w:pPr>
        <w:spacing w:before="240"/>
        <w:jc w:val="both"/>
        <w:rPr>
          <w:rFonts w:ascii="ITC Avant Garde" w:eastAsia="Calibri" w:hAnsi="ITC Avant Garde" w:cs="Arial"/>
        </w:rPr>
      </w:pPr>
      <w:r w:rsidRPr="00654D1D">
        <w:rPr>
          <w:rFonts w:ascii="ITC Avant Garde" w:eastAsia="Calibri" w:hAnsi="ITC Avant Garde" w:cs="Arial"/>
        </w:rPr>
        <w:t>La Recurrente concluye que el modelo de costos de la Comisión es un instrumento arbitrario que parte de supuestos que no coinciden en forma alguna con la realidad y que utiliza variables cuyos valores fueron en ocasiones artificialmente señalados, que se contradicen con el sentido de la Resolución recurrida y que se sustentan en documentos diversos que nunca tuvo a la vista.</w:t>
      </w:r>
    </w:p>
    <w:p w14:paraId="6AB0BD6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Al respecto, los argumentos de la Recurrente resultan improcedentes, toda vez que como ya ha quedado acreditado en los párrafos anteriores, la Resolución recurrida se encuentra debidamente fundada y motivada en el sentido de que el modelo de costos utilizado por la extinta Comisión para determinar la tarifa de interconexión sometida a desacuerdo por las partes, está debidamente sustentado y fue desarrollado acorde a las mejores prácticas internacionales, por lo que los argumentos de la Recurrente resultan infundados.</w:t>
      </w:r>
    </w:p>
    <w:p w14:paraId="26954275" w14:textId="1DF8BE7F" w:rsidR="00654D1D" w:rsidRPr="00654D1D" w:rsidRDefault="003E526D" w:rsidP="00654D1D">
      <w:pPr>
        <w:numPr>
          <w:ilvl w:val="0"/>
          <w:numId w:val="20"/>
        </w:numPr>
        <w:spacing w:before="240" w:line="240" w:lineRule="auto"/>
        <w:contextualSpacing/>
        <w:jc w:val="both"/>
        <w:rPr>
          <w:rFonts w:ascii="ITC Avant Garde" w:hAnsi="ITC Avant Garde" w:cs="Arial"/>
        </w:rPr>
      </w:pPr>
      <w:r w:rsidRPr="00654D1D">
        <w:rPr>
          <w:rFonts w:ascii="ITC Avant Garde" w:hAnsi="ITC Avant Garde" w:cs="Arial"/>
        </w:rPr>
        <w:t xml:space="preserve">En relación con lo manifestado por la Recurrente en el </w:t>
      </w:r>
      <w:r w:rsidRPr="00654D1D">
        <w:rPr>
          <w:rFonts w:ascii="ITC Avant Garde" w:hAnsi="ITC Avant Garde" w:cs="Arial"/>
          <w:b/>
        </w:rPr>
        <w:t>SEGUNDO</w:t>
      </w:r>
      <w:r w:rsidRPr="00654D1D">
        <w:rPr>
          <w:rFonts w:ascii="ITC Avant Garde" w:hAnsi="ITC Avant Garde" w:cs="Arial"/>
        </w:rPr>
        <w:t xml:space="preserve"> agravio, en el que continúa controvirtiendo la debida motivación de la Resolución Recurrida y el Modelo de Costos </w:t>
      </w:r>
      <w:r w:rsidR="00307BB6" w:rsidRPr="00654D1D">
        <w:rPr>
          <w:rFonts w:ascii="ITC Avant Garde" w:hAnsi="ITC Avant Garde" w:cs="Arial"/>
        </w:rPr>
        <w:t xml:space="preserve">se debe decir que es </w:t>
      </w:r>
      <w:r w:rsidRPr="00654D1D">
        <w:rPr>
          <w:rFonts w:ascii="ITC Avant Garde" w:hAnsi="ITC Avant Garde" w:cs="Arial"/>
        </w:rPr>
        <w:t xml:space="preserve"> infundado, ya que para motivar la aplicación del modelo de costos en la Resolución Recurrida la Comisión no  </w:t>
      </w:r>
      <w:r w:rsidR="00307BB6" w:rsidRPr="00654D1D">
        <w:rPr>
          <w:rFonts w:ascii="ITC Avant Garde" w:hAnsi="ITC Avant Garde" w:cs="Arial"/>
        </w:rPr>
        <w:t xml:space="preserve">era necesario </w:t>
      </w:r>
      <w:r w:rsidRPr="00654D1D">
        <w:rPr>
          <w:rFonts w:ascii="ITC Avant Garde" w:hAnsi="ITC Avant Garde" w:cs="Arial"/>
        </w:rPr>
        <w:t>hacer referencia a las opiniones que invoca la Recurrente.</w:t>
      </w:r>
    </w:p>
    <w:p w14:paraId="31B477FD" w14:textId="77777777" w:rsidR="00654D1D" w:rsidRPr="00654D1D" w:rsidRDefault="003E526D" w:rsidP="00654D1D">
      <w:pPr>
        <w:spacing w:before="240" w:line="240" w:lineRule="auto"/>
        <w:jc w:val="both"/>
        <w:rPr>
          <w:rFonts w:ascii="ITC Avant Garde" w:hAnsi="ITC Avant Garde" w:cs="Arial"/>
        </w:rPr>
      </w:pPr>
      <w:r w:rsidRPr="00654D1D">
        <w:rPr>
          <w:rFonts w:ascii="ITC Avant Garde" w:hAnsi="ITC Avant Garde" w:cs="Arial"/>
        </w:rPr>
        <w:t>Lo anterior es así, ya que el marco normativo aplicable al caso no exige que se motive en opiniones de expertos la aplicación del modelo en los términos que apunta la Recurrente, en tanto que, como consta en la Resolución Recurrida, en la página 9, se motivó la aplicación del modelo de costos en los siguientes términos:</w:t>
      </w:r>
    </w:p>
    <w:p w14:paraId="4B602508" w14:textId="47235659" w:rsidR="003E526D" w:rsidRPr="00654D1D" w:rsidRDefault="003E526D" w:rsidP="00654D1D">
      <w:pPr>
        <w:spacing w:before="240" w:line="240" w:lineRule="auto"/>
        <w:ind w:left="567" w:right="616"/>
        <w:jc w:val="both"/>
        <w:rPr>
          <w:rFonts w:ascii="ITC Avant Garde" w:hAnsi="ITC Avant Garde" w:cs="Arial"/>
          <w:sz w:val="18"/>
          <w:szCs w:val="18"/>
        </w:rPr>
      </w:pPr>
      <w:r w:rsidRPr="00654D1D">
        <w:rPr>
          <w:rFonts w:ascii="ITC Avant Garde" w:hAnsi="ITC Avant Garde" w:cs="Arial"/>
          <w:sz w:val="18"/>
          <w:szCs w:val="18"/>
        </w:rPr>
        <w:t>“Por su parte, la Regla 53 de las Reglas del Servicio de Larga Distancia (en lo sucesivo, las “RSLD”) y la Regla Novena Transitoria de las Reglas del Servicio Local (en lo sucesivo, las “</w:t>
      </w:r>
      <w:proofErr w:type="spellStart"/>
      <w:r w:rsidRPr="00654D1D">
        <w:rPr>
          <w:rFonts w:ascii="ITC Avant Garde" w:hAnsi="ITC Avant Garde" w:cs="Arial"/>
          <w:sz w:val="18"/>
          <w:szCs w:val="18"/>
        </w:rPr>
        <w:t>RdSL</w:t>
      </w:r>
      <w:proofErr w:type="spellEnd"/>
      <w:r w:rsidRPr="00654D1D">
        <w:rPr>
          <w:rFonts w:ascii="ITC Avant Garde" w:hAnsi="ITC Avant Garde" w:cs="Arial"/>
          <w:sz w:val="18"/>
          <w:szCs w:val="18"/>
        </w:rPr>
        <w:t xml:space="preserve">”), </w:t>
      </w:r>
      <w:r w:rsidRPr="00654D1D">
        <w:rPr>
          <w:rFonts w:ascii="ITC Avant Garde" w:hAnsi="ITC Avant Garde" w:cs="Arial"/>
          <w:sz w:val="18"/>
          <w:szCs w:val="18"/>
        </w:rPr>
        <w:lastRenderedPageBreak/>
        <w:t>establecen que la Comisión resolverá las tarifas relacionadas a la función de terminación de tráfico público conmutado en las redes autorizadas para prestar el servicio local, analizando las posiciones y elementos aportados por las partes, sobre el establecimiento de tarifas que permitan recuperar el costo incremental promedio de largo plazo (en lo sucesivo, el “CIPLPS“) y los costos comunes atribuibles a dicha función que se determinan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0EB1B91A" w14:textId="77777777" w:rsidR="00654D1D" w:rsidRPr="00654D1D" w:rsidRDefault="003E526D" w:rsidP="00654D1D">
      <w:pPr>
        <w:spacing w:before="240" w:line="240" w:lineRule="auto"/>
        <w:jc w:val="both"/>
        <w:rPr>
          <w:rFonts w:ascii="ITC Avant Garde" w:hAnsi="ITC Avant Garde" w:cs="Arial"/>
        </w:rPr>
      </w:pPr>
      <w:r w:rsidRPr="00654D1D">
        <w:rPr>
          <w:rFonts w:ascii="ITC Avant Garde" w:hAnsi="ITC Avant Garde" w:cs="Arial"/>
        </w:rPr>
        <w:t xml:space="preserve">Asimismo, al analizar los argumentos de la Recurrente, en las fojas </w:t>
      </w:r>
      <w:r w:rsidRPr="00654D1D">
        <w:rPr>
          <w:rFonts w:ascii="ITC Avant Garde" w:hAnsi="ITC Avant Garde" w:cs="Arial"/>
          <w:b/>
        </w:rPr>
        <w:t xml:space="preserve">26-31 </w:t>
      </w:r>
      <w:r w:rsidRPr="00654D1D">
        <w:rPr>
          <w:rFonts w:ascii="ITC Avant Garde" w:hAnsi="ITC Avant Garde" w:cs="Arial"/>
        </w:rPr>
        <w:t>de la Resolución recurrida se consideró:</w:t>
      </w:r>
    </w:p>
    <w:p w14:paraId="2CC429F6" w14:textId="77777777" w:rsidR="00654D1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t xml:space="preserve">“Adicionalmente, la Regla Novena Transitoria de las </w:t>
      </w:r>
      <w:proofErr w:type="spellStart"/>
      <w:r w:rsidRPr="00654D1D">
        <w:rPr>
          <w:rFonts w:ascii="ITC Avant Garde" w:hAnsi="ITC Avant Garde" w:cs="Arial"/>
          <w:sz w:val="18"/>
          <w:szCs w:val="18"/>
        </w:rPr>
        <w:t>RdSL</w:t>
      </w:r>
      <w:proofErr w:type="spellEnd"/>
      <w:r w:rsidRPr="00654D1D">
        <w:rPr>
          <w:rFonts w:ascii="ITC Avant Garde" w:hAnsi="ITC Avant Garde" w:cs="Arial"/>
          <w:sz w:val="18"/>
          <w:szCs w:val="18"/>
        </w:rPr>
        <w:t>, prevé lo siguiente:</w:t>
      </w:r>
    </w:p>
    <w:p w14:paraId="4B60250E" w14:textId="5316CD05" w:rsidR="003E526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t>“NOVENA. En caso de que las partes no logren acordar dentro del término establecido por la Ley las condiciones de interconexión entre sus redes, incluyendo aquellas relativas a las tarifas por las diferentes funciones de interconexión que han sido establecidas por las presentes Reglas, la Comisión resolverá las condiciones que no hayan podido convenirse.</w:t>
      </w:r>
    </w:p>
    <w:p w14:paraId="686FDEC6" w14:textId="77777777" w:rsidR="00654D1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t>En tal caso y tratándose de tarifas por llevar a cabo la función de terminación conmutada entre redes autorizadas para prestar el servicio local fijo,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bases internacionalmente reconocidas, de tal forma que se promueva una</w:t>
      </w:r>
      <w:r w:rsidRPr="00654D1D">
        <w:t xml:space="preserve"> </w:t>
      </w:r>
      <w:r w:rsidRPr="00654D1D">
        <w:rPr>
          <w:rFonts w:ascii="ITC Avant Garde" w:hAnsi="ITC Avant Garde" w:cs="Arial"/>
          <w:sz w:val="18"/>
          <w:szCs w:val="18"/>
        </w:rPr>
        <w:t>sana competencia entre los prestadores del servicio local, a efecto de que éste se preste con mejores precios, diversidad y calidad en beneficio de los usuarios.</w:t>
      </w:r>
      <w:r w:rsidRPr="00654D1D">
        <w:t>”</w:t>
      </w:r>
    </w:p>
    <w:p w14:paraId="064EC59E" w14:textId="77777777" w:rsidR="00654D1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t>De igual forma, la Regla 53 de las RSLD, dispone que:</w:t>
      </w:r>
    </w:p>
    <w:p w14:paraId="719ECAAF" w14:textId="77777777" w:rsidR="00654D1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sz w:val="18"/>
          <w:szCs w:val="18"/>
        </w:rPr>
        <w:t>“Regla 53.</w:t>
      </w:r>
      <w:r w:rsidRPr="00654D1D">
        <w:t xml:space="preserve"> </w:t>
      </w:r>
      <w:r w:rsidRPr="00654D1D">
        <w:rPr>
          <w:rFonts w:ascii="ITC Avant Garde" w:hAnsi="ITC Avant Garde" w:cs="Arial"/>
          <w:sz w:val="18"/>
          <w:szCs w:val="18"/>
        </w:rPr>
        <w:t>En caso de que las partes no logren acordar dentro del término establecido por la Ley las condiciones de interconexión entre sus redes, incluyendo aquellas relativas a las tarifas por las diferentes funciones de interconexión que sean necesarias para la implantación de la modalidad "El que llama paga nacional”, la Comisión resolverá en términos del artículo 42 de la Ley las condiciones que no hayan podido convenirse.</w:t>
      </w:r>
    </w:p>
    <w:p w14:paraId="725B6B47" w14:textId="77777777" w:rsidR="00654D1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t>En tal caso y tratándose de tarifas relacionadas a la función de terminación de tráfico público conmutado en las redes autorizadas para prestar el servicio local móvil,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una metodología de costeo de redes de acuerdo a bases internacionalmente reconocidas, la evolución de las referencias internacionales y el crecimiento y desarrollo de los mercados de telecomunicaciones en el país, de tal forma que se promueva una sana competencia entre los prestadores de servicios de telecomunicaciones, a efecto de que éstos se presten con mejores precios, diversidad y calidad en beneficio de los usuarios.”</w:t>
      </w:r>
    </w:p>
    <w:p w14:paraId="102ED47E" w14:textId="77777777" w:rsidR="00654D1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lastRenderedPageBreak/>
        <w:t xml:space="preserve">Al amparo de la Regla Novena Transitoria de las </w:t>
      </w:r>
      <w:proofErr w:type="spellStart"/>
      <w:r w:rsidRPr="00654D1D">
        <w:rPr>
          <w:rFonts w:ascii="ITC Avant Garde" w:hAnsi="ITC Avant Garde" w:cs="Arial"/>
          <w:sz w:val="18"/>
          <w:szCs w:val="18"/>
        </w:rPr>
        <w:t>RdSL</w:t>
      </w:r>
      <w:proofErr w:type="spellEnd"/>
      <w:r w:rsidRPr="00654D1D">
        <w:rPr>
          <w:rFonts w:ascii="ITC Avant Garde" w:hAnsi="ITC Avant Garde" w:cs="Arial"/>
          <w:sz w:val="18"/>
          <w:szCs w:val="18"/>
        </w:rPr>
        <w:t xml:space="preserve"> y la Regla 53 de las RSLD, esta Comisión a efecto de determinar la tarifa de interconexión aplicable a partir del 1º de enero de 2011, que no pudieron convenir los Solicitantes y Grupo Telefónica, deberá considerar los costos incrementales de largo plazo más los costos comunes utilizando una metodología que esté reconocida internacionalmente.</w:t>
      </w:r>
    </w:p>
    <w:p w14:paraId="1A299016" w14:textId="77777777" w:rsidR="00654D1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t>Sin perjuicio de que las autoridades administrativas deben resolver conforme a estricto derecho, el artículo 88 del CFPC, de aplicación supletoria, establece que la autoridad podrá invocar hechos notorios, que sirven de apoyo a las anteriores consideraciones.</w:t>
      </w:r>
    </w:p>
    <w:p w14:paraId="7C949F6A" w14:textId="77777777" w:rsidR="00654D1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t xml:space="preserve">Es un hecho notorio respecto a la industria de las telecomunicaciones que en las situaciones en donde la competencia es ineficaz, los precios basados en costos son considerados como recomendables para alcanzar los objetivos de eficiencia y desarrollo del mercado. El enfoque de tarifas basadas en costos ha sido reconocido por la Organización Mundial de Comercio (en lo sucesivo, la "OMC”), para el caso de proveedores principales, por el Banco Mundial y por la Unión Internacional de Telecomunicaciones como el método más eficiente desde el punto de vista económico para fijar las tarifas de interconexión y, conjuntamente con la no discriminación y la </w:t>
      </w:r>
      <w:r w:rsidRPr="00654D1D">
        <w:rPr>
          <w:rFonts w:ascii="ITC Avant Garde" w:eastAsia="Arial" w:hAnsi="ITC Avant Garde" w:cs="Arial"/>
          <w:spacing w:val="2"/>
          <w:sz w:val="18"/>
          <w:szCs w:val="18"/>
        </w:rPr>
        <w:t>transparencia como los principios básicos que deben regir en cualquier acuerdo de i</w:t>
      </w:r>
      <w:r w:rsidRPr="00654D1D">
        <w:rPr>
          <w:rFonts w:ascii="ITC Avant Garde" w:hAnsi="ITC Avant Garde" w:cs="Arial"/>
          <w:sz w:val="18"/>
          <w:szCs w:val="18"/>
        </w:rPr>
        <w:t>nterconexión.</w:t>
      </w:r>
    </w:p>
    <w:p w14:paraId="67911C85" w14:textId="77777777" w:rsidR="00654D1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t>[…]</w:t>
      </w:r>
    </w:p>
    <w:p w14:paraId="4B60251F" w14:textId="6CB49A52" w:rsidR="003E526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t>Las resoluciones de tarifas de interconexión orientadas a costos eliminan las distorsiones tarifarias en el mercado de servidos móviles, y permite:</w:t>
      </w:r>
    </w:p>
    <w:p w14:paraId="4B602520" w14:textId="77777777" w:rsidR="003E526D" w:rsidRPr="00654D1D" w:rsidRDefault="003E526D" w:rsidP="00654D1D">
      <w:pPr>
        <w:widowControl w:val="0"/>
        <w:numPr>
          <w:ilvl w:val="0"/>
          <w:numId w:val="21"/>
        </w:numPr>
        <w:tabs>
          <w:tab w:val="left" w:pos="1890"/>
        </w:tabs>
        <w:spacing w:before="240"/>
        <w:ind w:left="709" w:right="618" w:hanging="142"/>
        <w:jc w:val="both"/>
        <w:rPr>
          <w:rFonts w:ascii="ITC Avant Garde" w:hAnsi="ITC Avant Garde" w:cs="Arial"/>
          <w:sz w:val="18"/>
          <w:szCs w:val="18"/>
        </w:rPr>
      </w:pPr>
      <w:r w:rsidRPr="00654D1D">
        <w:rPr>
          <w:rFonts w:ascii="ITC Avant Garde" w:hAnsi="ITC Avant Garde" w:cs="Arial"/>
          <w:sz w:val="18"/>
          <w:szCs w:val="18"/>
        </w:rPr>
        <w:t>Manejar actuales condiciones de competencia, a través de una estructura de precios relativos finales más adecuada;</w:t>
      </w:r>
    </w:p>
    <w:p w14:paraId="4B602521" w14:textId="77777777" w:rsidR="003E526D" w:rsidRPr="00654D1D" w:rsidRDefault="003E526D" w:rsidP="00654D1D">
      <w:pPr>
        <w:widowControl w:val="0"/>
        <w:numPr>
          <w:ilvl w:val="0"/>
          <w:numId w:val="21"/>
        </w:numPr>
        <w:tabs>
          <w:tab w:val="left" w:pos="1894"/>
        </w:tabs>
        <w:spacing w:before="240"/>
        <w:ind w:left="709" w:right="618" w:hanging="142"/>
        <w:jc w:val="both"/>
        <w:rPr>
          <w:rFonts w:ascii="ITC Avant Garde" w:hAnsi="ITC Avant Garde" w:cs="Arial"/>
          <w:sz w:val="18"/>
          <w:szCs w:val="18"/>
        </w:rPr>
      </w:pPr>
      <w:r w:rsidRPr="00654D1D">
        <w:rPr>
          <w:rFonts w:ascii="ITC Avant Garde" w:hAnsi="ITC Avant Garde" w:cs="Arial"/>
          <w:sz w:val="18"/>
          <w:szCs w:val="18"/>
        </w:rPr>
        <w:t>Reduce costos de llamadas originadas en redes fijas.</w:t>
      </w:r>
    </w:p>
    <w:p w14:paraId="4B602522" w14:textId="77777777" w:rsidR="003E526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t>De todo lo analizado con anterioridad, se determina que del marco jurídico mexicano, encontrando como primer fundamento lo establecido en el artículo 7 de la LFT, contempla que las tarifas de interconexión deben determinarse de manera indubitable conforme a costos, debiéndose desarrollar para tal efecto un modelo de costos que permita fijar de manera clara y precisa la forma en cómo habrán de ser determinadas las tarifas, teniendo la Comisión plena libertad para desarrollar dicho modelo, con fundamento en el artículo 42 de la LFT.</w:t>
      </w:r>
    </w:p>
    <w:p w14:paraId="2D265319" w14:textId="77777777" w:rsidR="00654D1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t>[…]</w:t>
      </w:r>
    </w:p>
    <w:p w14:paraId="4B602525" w14:textId="45000756" w:rsidR="003E526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t xml:space="preserve">De tal suerte, que esta Comisión procede a determinar la tarifa de interconexión del año 2011 conforme a costos, por lo que en cumplimiento a lo establecido en el artículo 7 de la </w:t>
      </w:r>
      <w:proofErr w:type="spellStart"/>
      <w:r w:rsidRPr="00654D1D">
        <w:rPr>
          <w:rFonts w:ascii="ITC Avant Garde" w:hAnsi="ITC Avant Garde" w:cs="Arial"/>
          <w:sz w:val="18"/>
          <w:szCs w:val="18"/>
        </w:rPr>
        <w:t>lFT</w:t>
      </w:r>
      <w:proofErr w:type="spellEnd"/>
      <w:r w:rsidRPr="00654D1D">
        <w:rPr>
          <w:rFonts w:ascii="ITC Avant Garde" w:hAnsi="ITC Avant Garde" w:cs="Arial"/>
          <w:sz w:val="18"/>
          <w:szCs w:val="18"/>
        </w:rPr>
        <w:t xml:space="preserve">, se considera que la manera más eficiente económicamente de determinar las tarifas de interconexión, lo constituye la aplicación de un Modelo de Costos Incrementales Totales de Largo Plazo (en lo sucesivo, el "Modelo </w:t>
      </w:r>
      <w:proofErr w:type="spellStart"/>
      <w:r w:rsidRPr="00654D1D">
        <w:rPr>
          <w:rFonts w:ascii="ITC Avant Garde" w:hAnsi="ITC Avant Garde" w:cs="Arial"/>
          <w:sz w:val="18"/>
          <w:szCs w:val="18"/>
        </w:rPr>
        <w:t>CITlP</w:t>
      </w:r>
      <w:proofErr w:type="spellEnd"/>
      <w:r w:rsidRPr="00654D1D">
        <w:rPr>
          <w:rFonts w:ascii="ITC Avant Garde" w:hAnsi="ITC Avant Garde" w:cs="Arial"/>
          <w:sz w:val="18"/>
          <w:szCs w:val="18"/>
        </w:rPr>
        <w:t>") y en el mismo, los costos utilizados deben ser aquellos derivados de una empresa eficiente como se describe a continuación.</w:t>
      </w:r>
    </w:p>
    <w:p w14:paraId="0F34744B" w14:textId="77777777" w:rsidR="00654D1D" w:rsidRPr="00654D1D" w:rsidRDefault="003E526D" w:rsidP="00654D1D">
      <w:pPr>
        <w:spacing w:before="240"/>
        <w:ind w:left="567" w:right="618"/>
        <w:jc w:val="both"/>
        <w:rPr>
          <w:rFonts w:ascii="ITC Avant Garde" w:eastAsia="Arial" w:hAnsi="ITC Avant Garde" w:cs="Arial"/>
          <w:bCs/>
          <w:sz w:val="18"/>
          <w:szCs w:val="18"/>
          <w:lang w:val="es-ES"/>
        </w:rPr>
      </w:pPr>
      <w:r w:rsidRPr="00654D1D">
        <w:rPr>
          <w:rFonts w:ascii="ITC Avant Garde" w:eastAsia="Arial" w:hAnsi="ITC Avant Garde" w:cs="Arial"/>
          <w:bCs/>
          <w:sz w:val="18"/>
          <w:szCs w:val="18"/>
          <w:lang w:val="es-ES"/>
        </w:rPr>
        <w:t>[…]</w:t>
      </w:r>
    </w:p>
    <w:p w14:paraId="37114616" w14:textId="77777777" w:rsidR="00654D1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lastRenderedPageBreak/>
        <w:t>La aplicación del Modelo CITLP para la determinación de tarifas de interconexión permite a la empresa recuperar no sólo los costos variables y fijos atribuibles al servicio de interconexión sino también las inversiones requeridas para la prestación de este servicio. Adicionalmente, el CITLP incluye un margen para recuperar parte de los costos comunes a los demás de servicios prestados por la organización que no pueden ser atribuidos de manera causal al servicio de interconexión.</w:t>
      </w:r>
    </w:p>
    <w:p w14:paraId="0AF47901" w14:textId="77777777" w:rsidR="00654D1D" w:rsidRPr="00654D1D" w:rsidRDefault="003E526D" w:rsidP="00654D1D">
      <w:pPr>
        <w:spacing w:before="240"/>
        <w:ind w:left="567" w:right="618"/>
        <w:jc w:val="both"/>
        <w:rPr>
          <w:rFonts w:ascii="ITC Avant Garde" w:hAnsi="ITC Avant Garde" w:cs="Arial"/>
          <w:sz w:val="18"/>
          <w:szCs w:val="18"/>
        </w:rPr>
      </w:pPr>
      <w:r w:rsidRPr="00654D1D">
        <w:rPr>
          <w:rFonts w:ascii="ITC Avant Garde" w:hAnsi="ITC Avant Garde" w:cs="Arial"/>
          <w:sz w:val="18"/>
          <w:szCs w:val="18"/>
        </w:rPr>
        <w:t>El CITLP es una metodología reconocida a nivel internacional para el cálculo de tarifas de interconexión y ha sido adoptada por la mayoría de los órganos reguladores…”</w:t>
      </w:r>
    </w:p>
    <w:p w14:paraId="3794C5E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De lo citado se advierte que, contrario a lo que aduce la Recurrente, en la Resolución Recurrida se motivó debidamente que el Modelo de Costos Incrementales Totales de Largo Plazo, es el modelo de costos reconocido internacionalmente por los órganos reguladores, al momento en que se emitió la Resolución Recurrida para el cálculo de tarifas de interconexión, así como que “El enfoque de tarifas basadas en costos ha sido reconocido por la Organización Mundial de Comercio (en lo sucesivo, la "OMC”), para el caso de proveedores principales, por el Banco Mundial y por la Unión Internacional de Telecomunicaciones como el método más eficiente desde el punto de vista económico para fijar las tarifas de interconexión…”.</w:t>
      </w:r>
    </w:p>
    <w:p w14:paraId="09B6E65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De acuerdo con lo anterior se considera infundado lo manifestado por la Recurrente en su Segundo agravio. </w:t>
      </w:r>
    </w:p>
    <w:p w14:paraId="20719B57" w14:textId="77777777"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TERCERO</w:t>
      </w:r>
      <w:r w:rsidRPr="00654D1D">
        <w:rPr>
          <w:rFonts w:ascii="ITC Avant Garde" w:hAnsi="ITC Avant Garde" w:cs="Arial"/>
        </w:rPr>
        <w:t>, en el que continúa invocando una indebida fundamentación y motivación de la Resolución Recurrida, ya que utiliza un "operador eficiente" en el Modelo de Costos, resulta infundado, pues se respetó lo dispuesto en el artículo 3, fracción V de la Ley Federal de Procedimiento Administrativo.</w:t>
      </w:r>
    </w:p>
    <w:p w14:paraId="42CE96A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Lo manifestado por la Recurrente resulta inoperante, puesto que la utilización del “operador eficiente” constituye un parámetro técnico utilizado por el órgano regulador para la determinación de condiciones de interconexión, y como tal al ser un parámetro de naturaleza meramente técnica no puede calificarse a su existencia o inexistencia real como un elemento que permita determinar que la Resolución Recurrida se encuentra indebidamente fundada y motivada, puesto que ni la Constitución ni la Ley de la materia fijan dichos parámetros técnicos, por lo que la consideración de los mismos así como su elección en la determinación de condiciones de interconexión no convenidas entre concesionarios, queda a la discrecionalidad del órgano regulador. </w:t>
      </w:r>
    </w:p>
    <w:p w14:paraId="0A11BAB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Al efecto, resulta aplicable la siguiente tesis que al efecto establece:</w:t>
      </w:r>
    </w:p>
    <w:p w14:paraId="4B602536" w14:textId="0A76C935"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Época: Décima Época </w:t>
      </w:r>
    </w:p>
    <w:p w14:paraId="4B602537" w14:textId="77777777"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Registro: 2011689 </w:t>
      </w:r>
    </w:p>
    <w:p w14:paraId="4B602538" w14:textId="77777777"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lastRenderedPageBreak/>
        <w:t xml:space="preserve">Instancia: Tribunales Colegiados de Circuito </w:t>
      </w:r>
    </w:p>
    <w:p w14:paraId="4B602539" w14:textId="77777777"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Tipo de Tesis: Aislada </w:t>
      </w:r>
    </w:p>
    <w:p w14:paraId="4B60253A" w14:textId="77777777"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Fuente: Semanario Judicial de la Federación </w:t>
      </w:r>
    </w:p>
    <w:p w14:paraId="4B60253B" w14:textId="77777777"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Publicación: viernes 20 de mayo de 2016 10:20 h </w:t>
      </w:r>
    </w:p>
    <w:p w14:paraId="4B60253C" w14:textId="77777777"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Materia(s): (Administrativa) </w:t>
      </w:r>
    </w:p>
    <w:p w14:paraId="59F6C4E1"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Tesis: I.2o.A.E.33 A (10a.) </w:t>
      </w:r>
    </w:p>
    <w:p w14:paraId="71891620"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TARIFAS DE INTERCONEXIÓN. SU DETERMINACIÓN QUEDA A LA DISCRECIONALIDAD DEL ÓRGANO REGULADOR.</w:t>
      </w:r>
    </w:p>
    <w:p w14:paraId="5707AE62"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En materia de interconexión, los artículos 25 y 28 de la Constitución Política de los Estados Unidos Mexicanos reconocen la rectoría del Estado y su potestad regulatoria, pero no establecen un diseño regulatorio particular, ni imponen lineamientos o límites específicos en materia de interconexión o tarifaria a la política regulatoria del Instituto Federal de Telecomunicaciones. Por su parte, los artículos 1, 2, 4, 7, 9-A, fracción X, 41, 44, 60 y 63 de la Ley Federal de Telecomunicaciones abrogada, no establecían reglas específicas para determinar la política tarifaria o en materia de interconexión, pues sólo preveían la facultad de la autoridad en telecomunicaciones, para establecer obligaciones específicas relacionadas con tarifas al concesionario que tuviera poder sustancial en cuanto al mercado, según la declaratoria que se emitiera por la autoridad competente. En este sentido, si ni la Constitución ni la ley indicada fijan los parámetros técnicos conforme a los cuales el órgano regulador debe fijar las tarifas de interconexión, debe entenderse que su elección queda a su discrecionalidad; de ahí que no pueda calificarse de inconstitucional o ilegal la decisión del regulador de adoptar la figura de un operador hipotético existente y de emplear modelos de costos para fijar dichas tarifas, pues esta decisión cae en el campo de su discrecionalidad y, en ese sentido, está sometida al escrutinio, aplicable a esta última, considerando, entre otros aspectos, la eficacia de los derechos fundamentales, la prohibición de arbitrariedad, la fundamentación y motivación, el principio de igualdad, la proporcionalidad y la razonabilidad.</w:t>
      </w:r>
    </w:p>
    <w:p w14:paraId="609E196E"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SEGUNDO TRIBUNAL COLEGIADO EN MATERIA ADMINISTRATIVA ESPECIALIZADO EN COMPETENCIA ECONÓMICA, RADIODIFUSIÓN Y TELECOMUNICACIONES, CON RESIDENCIA EN EL DISTRITO FEDERAL Y JURISDICCIÓN EN TODA LA REPÚBLICA.</w:t>
      </w:r>
    </w:p>
    <w:p w14:paraId="0FFBB31D"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Amparo en revisión 145/2015. 4 de febrero de 2016. Mayoría de votos. Disidente: Arturo </w:t>
      </w:r>
      <w:proofErr w:type="spellStart"/>
      <w:r w:rsidRPr="00654D1D">
        <w:rPr>
          <w:rFonts w:ascii="ITC Avant Garde" w:hAnsi="ITC Avant Garde" w:cs="Arial"/>
          <w:sz w:val="18"/>
          <w:szCs w:val="18"/>
        </w:rPr>
        <w:t>lturbe</w:t>
      </w:r>
      <w:proofErr w:type="spellEnd"/>
      <w:r w:rsidRPr="00654D1D">
        <w:rPr>
          <w:rFonts w:ascii="ITC Avant Garde" w:hAnsi="ITC Avant Garde" w:cs="Arial"/>
          <w:sz w:val="18"/>
          <w:szCs w:val="18"/>
        </w:rPr>
        <w:t xml:space="preserve"> Rivas. Ponente: Adriana Leticia Campuzano Gallegos. Secretario: Jorge Alberto Ramírez Hernández.</w:t>
      </w:r>
    </w:p>
    <w:p w14:paraId="6856A306"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Nota: Con motivo de la entrada en vigor del Acuerdo General del Pleno del Consejo de la Judicatura Federal por el que se cambia la denominación de Distrito Federal por Ciudad de México en todo su cuerpo normativo, la denominación actual del órgano emisor es la de Segundo Tribunal Colegiado de Circuito en Materia Administrativa Especializado en Competencia Económica, Radiodifusión y Telecomunicaciones, con residencia en la Ciudad de México y jurisdicción en toda la República.</w:t>
      </w:r>
    </w:p>
    <w:p w14:paraId="79C6A287"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lastRenderedPageBreak/>
        <w:t>Esta tesis se publicó el viernes 20 de mayo de 2016 a las 10:20 horas en el Semanario Judicial de la Federación.</w:t>
      </w:r>
    </w:p>
    <w:p w14:paraId="03D9167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este contexto la Resolución Recurrida en su página 32 y 33, señala la conveniencia de la figura del operador eficiente, señalando los elementos que se consideran con lo cual se cubre el requisito de escrutinio de prohibición de arbitrariedad, fundamentación y motivación, principio de igualdad, proporcionalidad y razonabilidad de la Resolución Recurrida, al efecto en la página 32 y 33 se señala en su parte conducente lo siguiente:</w:t>
      </w:r>
    </w:p>
    <w:p w14:paraId="31B54436" w14:textId="77777777" w:rsidR="00654D1D" w:rsidRPr="00654D1D" w:rsidRDefault="003E526D" w:rsidP="00654D1D">
      <w:pPr>
        <w:spacing w:before="240"/>
        <w:ind w:left="709" w:right="284"/>
        <w:jc w:val="both"/>
        <w:rPr>
          <w:rFonts w:ascii="ITC Avant Garde" w:hAnsi="ITC Avant Garde" w:cs="Arial"/>
          <w:b/>
          <w:sz w:val="18"/>
          <w:szCs w:val="18"/>
        </w:rPr>
      </w:pPr>
      <w:r w:rsidRPr="00654D1D">
        <w:rPr>
          <w:rFonts w:ascii="ITC Avant Garde" w:hAnsi="ITC Avant Garde" w:cs="Arial"/>
          <w:sz w:val="18"/>
          <w:szCs w:val="18"/>
        </w:rPr>
        <w:t xml:space="preserve">“Es preciso señalar que es conveniente que la tarifa de interconexión cubra los costos en que incurre un operador eficiente por terminar las llamadas, y a la vez incluya un retorno al capital razonable por prestar este servicio. De lo contrario se podría desincentivar la provisión de los servicios de interconexión. </w:t>
      </w:r>
      <w:r w:rsidRPr="00654D1D">
        <w:rPr>
          <w:rFonts w:ascii="ITC Avant Garde" w:hAnsi="ITC Avant Garde" w:cs="Arial"/>
          <w:b/>
          <w:sz w:val="18"/>
          <w:szCs w:val="18"/>
        </w:rPr>
        <w:t xml:space="preserve">Es importante que los costos recuperados sean los de un operador eficiente, pues en caso contrario, se permitiría que la ineficiencia del operador se traslade a otros operadores y en última instancia, a los usuarios.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 </w:t>
      </w:r>
    </w:p>
    <w:p w14:paraId="23CFADA3" w14:textId="77777777" w:rsidR="00654D1D" w:rsidRPr="00654D1D" w:rsidRDefault="003E526D" w:rsidP="00654D1D">
      <w:pPr>
        <w:spacing w:before="240"/>
        <w:ind w:left="709" w:right="284"/>
        <w:jc w:val="both"/>
        <w:rPr>
          <w:rFonts w:ascii="ITC Avant Garde" w:hAnsi="ITC Avant Garde" w:cs="Arial"/>
          <w:sz w:val="18"/>
          <w:szCs w:val="18"/>
        </w:rPr>
      </w:pPr>
      <w:r w:rsidRPr="00654D1D">
        <w:rPr>
          <w:rFonts w:ascii="ITC Avant Garde" w:hAnsi="ITC Avant Garde" w:cs="Arial"/>
          <w:sz w:val="18"/>
          <w:szCs w:val="18"/>
        </w:rPr>
        <w:t>Para el diseño de la red del operador eficiente, el modelo de costos utiliza un modelo ascendente (</w:t>
      </w:r>
      <w:proofErr w:type="spellStart"/>
      <w:r w:rsidRPr="00654D1D">
        <w:rPr>
          <w:rFonts w:ascii="ITC Avant Garde" w:hAnsi="ITC Avant Garde" w:cs="Arial"/>
          <w:sz w:val="18"/>
          <w:szCs w:val="18"/>
        </w:rPr>
        <w:t>Bottom</w:t>
      </w:r>
      <w:proofErr w:type="spellEnd"/>
      <w:r w:rsidRPr="00654D1D">
        <w:rPr>
          <w:rFonts w:ascii="ITC Avant Garde" w:hAnsi="ITC Avant Garde" w:cs="Arial"/>
          <w:sz w:val="18"/>
          <w:szCs w:val="18"/>
        </w:rPr>
        <w:t>-Up) o de tipo ingenieril que se construye a partir de información de demanda esperada en términos de usuarios y tráfico, a partir de los cuales se realiza el diseño de la  red que presta diversos servicios de telecomunicaciones, incluyendo los de interconexión. Los costos de esta red, los cuales son valorados a precios de mercado o costos corrientes, incluyen los costos de capital (inversiones) y los gastos de operación y mantenimiento que son asignados a cada uno de los servicios que se considera que provee la red.</w:t>
      </w:r>
    </w:p>
    <w:p w14:paraId="7E56EB07" w14:textId="77777777" w:rsidR="00654D1D" w:rsidRPr="00654D1D" w:rsidRDefault="003E526D" w:rsidP="00654D1D">
      <w:pPr>
        <w:spacing w:before="240"/>
        <w:ind w:left="709" w:right="284"/>
        <w:jc w:val="both"/>
        <w:rPr>
          <w:rFonts w:ascii="ITC Avant Garde" w:hAnsi="ITC Avant Garde" w:cs="Arial"/>
          <w:sz w:val="18"/>
          <w:szCs w:val="18"/>
        </w:rPr>
      </w:pPr>
      <w:r w:rsidRPr="00654D1D">
        <w:rPr>
          <w:rFonts w:ascii="ITC Avant Garde" w:hAnsi="ITC Avant Garde" w:cs="Arial"/>
          <w:sz w:val="18"/>
          <w:szCs w:val="18"/>
        </w:rPr>
        <w:t xml:space="preserve">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654D1D">
        <w:rPr>
          <w:rFonts w:ascii="ITC Avant Garde" w:hAnsi="ITC Avant Garde" w:cs="Arial"/>
          <w:sz w:val="18"/>
          <w:szCs w:val="18"/>
        </w:rPr>
        <w:t>asignativa</w:t>
      </w:r>
      <w:proofErr w:type="spellEnd"/>
      <w:r w:rsidRPr="00654D1D">
        <w:rPr>
          <w:rFonts w:ascii="ITC Avant Garde" w:hAnsi="ITC Avant Garde" w:cs="Arial"/>
          <w:sz w:val="18"/>
          <w:szCs w:val="18"/>
        </w:rPr>
        <w:t>, en el sentido de que se establezcan los precios lo más cercanamente posible a los observados en un mercado competitivo, ya que es generalmente aceptado que estos precios son los que maximizan el bienestar social.</w:t>
      </w:r>
      <w:r w:rsidRPr="00654D1D">
        <w:rPr>
          <w:rFonts w:ascii="ITC Avant Garde" w:hAnsi="ITC Avant Garde" w:cs="Arial"/>
          <w:sz w:val="18"/>
          <w:szCs w:val="18"/>
          <w:vertAlign w:val="superscript"/>
        </w:rPr>
        <w:footnoteReference w:id="20"/>
      </w:r>
    </w:p>
    <w:p w14:paraId="39F6F70C" w14:textId="77777777" w:rsidR="00654D1D" w:rsidRPr="00654D1D" w:rsidRDefault="003E526D" w:rsidP="00654D1D">
      <w:pPr>
        <w:spacing w:before="240"/>
        <w:ind w:left="708" w:right="281"/>
        <w:jc w:val="both"/>
        <w:rPr>
          <w:rFonts w:ascii="ITC Avant Garde" w:hAnsi="ITC Avant Garde" w:cs="Arial"/>
          <w:sz w:val="18"/>
          <w:szCs w:val="18"/>
        </w:rPr>
      </w:pPr>
      <w:r w:rsidRPr="00654D1D">
        <w:rPr>
          <w:rFonts w:ascii="ITC Avant Garde" w:hAnsi="ITC Avant Garde" w:cs="Arial"/>
          <w:b/>
          <w:sz w:val="18"/>
          <w:szCs w:val="18"/>
        </w:rPr>
        <w:t xml:space="preserve">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w:t>
      </w:r>
      <w:r w:rsidRPr="00654D1D">
        <w:rPr>
          <w:rFonts w:ascii="ITC Avant Garde" w:hAnsi="ITC Avant Garde" w:cs="Arial"/>
          <w:b/>
          <w:sz w:val="18"/>
          <w:szCs w:val="18"/>
        </w:rPr>
        <w:lastRenderedPageBreak/>
        <w:t>hacia adelante.</w:t>
      </w:r>
      <w:r w:rsidRPr="00654D1D">
        <w:rPr>
          <w:rFonts w:ascii="ITC Avant Garde" w:hAnsi="ITC Avant Garde" w:cs="Arial"/>
          <w:sz w:val="18"/>
          <w:szCs w:val="18"/>
        </w:rPr>
        <w:t xml:space="preserve"> En este contexto, el regulador debe propiciar que se consiga la eficiencia productiva en el sentido de otorgar los suficientes incentivos para la minimización de costos.</w:t>
      </w:r>
      <w:r w:rsidRPr="00654D1D">
        <w:rPr>
          <w:rFonts w:ascii="ITC Avant Garde" w:hAnsi="ITC Avant Garde" w:cs="Arial"/>
          <w:sz w:val="18"/>
          <w:szCs w:val="18"/>
          <w:vertAlign w:val="superscript"/>
        </w:rPr>
        <w:footnoteReference w:id="21"/>
      </w:r>
      <w:r w:rsidRPr="00654D1D">
        <w:rPr>
          <w:rFonts w:ascii="ITC Avant Garde" w:hAnsi="ITC Avant Garde" w:cs="Arial"/>
          <w:sz w:val="18"/>
          <w:szCs w:val="18"/>
          <w:vertAlign w:val="superscript"/>
        </w:rPr>
        <w:t>.</w:t>
      </w:r>
    </w:p>
    <w:p w14:paraId="3873BF8F" w14:textId="77777777" w:rsidR="00654D1D" w:rsidRPr="00654D1D" w:rsidRDefault="003E526D" w:rsidP="00654D1D">
      <w:pPr>
        <w:spacing w:before="240"/>
        <w:ind w:left="708" w:right="281"/>
        <w:jc w:val="both"/>
        <w:rPr>
          <w:rFonts w:ascii="ITC Avant Garde" w:hAnsi="ITC Avant Garde" w:cs="Arial"/>
          <w:sz w:val="18"/>
          <w:szCs w:val="18"/>
        </w:rPr>
      </w:pPr>
      <w:r w:rsidRPr="00654D1D">
        <w:rPr>
          <w:rFonts w:ascii="ITC Avant Garde" w:hAnsi="ITC Avant Garde" w:cs="Arial"/>
          <w:b/>
          <w:sz w:val="18"/>
          <w:szCs w:val="18"/>
        </w:rPr>
        <w:t xml:space="preserve">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w:t>
      </w:r>
      <w:r w:rsidRPr="00654D1D">
        <w:rPr>
          <w:rFonts w:ascii="ITC Avant Garde" w:hAnsi="ITC Avant Garde" w:cs="Arial"/>
          <w:sz w:val="18"/>
          <w:szCs w:val="18"/>
        </w:rPr>
        <w:t>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 [Énfasis añadido].</w:t>
      </w:r>
    </w:p>
    <w:p w14:paraId="5418840C"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En este sentido, de considerar el argumento de la Recurrente en cuanto a considerar sus propios costos, daría lugar a prácticas que reducirían la transparencia en lo que respecta a los costos y precios de cada uno de los operadores que se encuentran en el mercado, se incrementa el riesgo y la complejidad en asegurar que se apliquen principios idénticos y consistentes en el caso de que la metodología se aplicara a modelos individuales para cada operador móvil, se incrementa y dificulta cumplir con el principio de eficiencia, razón por la cual considerando las mejores prácticas internacionales, se modela un operador representativo, donde las referencias internacionales muestran que para determinar el valor de las tarifas de interconexión se hace con base en un operador representativo y no con base en costear la red de cada uno de los operadores que participan en el mercado.</w:t>
      </w:r>
    </w:p>
    <w:p w14:paraId="396DC05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Cabe señalar que un creciente número de países están adoptando modelos de costos tipo </w:t>
      </w:r>
      <w:proofErr w:type="spellStart"/>
      <w:r w:rsidRPr="00654D1D">
        <w:rPr>
          <w:rFonts w:ascii="ITC Avant Garde" w:hAnsi="ITC Avant Garde" w:cs="Arial"/>
        </w:rPr>
        <w:t>Bottom</w:t>
      </w:r>
      <w:proofErr w:type="spellEnd"/>
      <w:r w:rsidRPr="00654D1D">
        <w:rPr>
          <w:rFonts w:ascii="ITC Avant Garde" w:hAnsi="ITC Avant Garde" w:cs="Arial"/>
        </w:rPr>
        <w:t>-Up.</w:t>
      </w:r>
      <w:r w:rsidRPr="00654D1D">
        <w:rPr>
          <w:rFonts w:ascii="ITC Avant Garde" w:hAnsi="ITC Avant Garde" w:cs="Arial"/>
          <w:vertAlign w:val="superscript"/>
        </w:rPr>
        <w:footnoteReference w:id="22"/>
      </w:r>
      <w:r w:rsidRPr="00654D1D">
        <w:rPr>
          <w:rFonts w:ascii="ITC Avant Garde" w:hAnsi="ITC Avant Garde" w:cs="Arial"/>
        </w:rPr>
        <w:t xml:space="preserve"> Entre los países que ya utilizan este tipo de modelos se encuentran Corea, Israel, Australia, Nueva Zelanda, EE.UU., Colombia, Perú, Ecuador, Chile, Francia, Holanda, Hungría, Rumania, Eslovenia y Grecia. En tanto que los países que ya decidieron moverse de modelos híbridos a modelos </w:t>
      </w:r>
      <w:proofErr w:type="spellStart"/>
      <w:r w:rsidRPr="00654D1D">
        <w:rPr>
          <w:rFonts w:ascii="ITC Avant Garde" w:hAnsi="ITC Avant Garde" w:cs="Arial"/>
        </w:rPr>
        <w:t>Bottom</w:t>
      </w:r>
      <w:proofErr w:type="spellEnd"/>
      <w:r w:rsidRPr="00654D1D">
        <w:rPr>
          <w:rFonts w:ascii="ITC Avant Garde" w:hAnsi="ITC Avant Garde" w:cs="Arial"/>
        </w:rPr>
        <w:t>-Up son Bélgica, Dinamarca, Noruega, Suecia, Reino Unido, Bulgaria y República Checa.</w:t>
      </w:r>
    </w:p>
    <w:p w14:paraId="7DA632F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Asimismo, la Unión Internacional de Telecomunicaciones</w:t>
      </w:r>
      <w:r w:rsidRPr="00654D1D">
        <w:rPr>
          <w:rFonts w:ascii="ITC Avant Garde" w:hAnsi="ITC Avant Garde" w:cs="Arial"/>
          <w:vertAlign w:val="superscript"/>
        </w:rPr>
        <w:footnoteReference w:id="23"/>
      </w:r>
      <w:r w:rsidRPr="00654D1D">
        <w:rPr>
          <w:rFonts w:ascii="ITC Avant Garde" w:hAnsi="ITC Avant Garde" w:cs="Arial"/>
        </w:rPr>
        <w:t xml:space="preserve"> realiza una encuesta entre los reguladores a nivel internacional que permite recabar información acerca de la regulación que se ha establecido para los servicios mayoristas y minoristas, de dicho estudio se puede observar que en 2009 el 56.1 por ciento de los países que respondieron las encuestas han adoptado los modelos </w:t>
      </w:r>
      <w:proofErr w:type="spellStart"/>
      <w:r w:rsidRPr="00654D1D">
        <w:rPr>
          <w:rFonts w:ascii="ITC Avant Garde" w:hAnsi="ITC Avant Garde" w:cs="Arial"/>
        </w:rPr>
        <w:t>Bottom</w:t>
      </w:r>
      <w:proofErr w:type="spellEnd"/>
      <w:r w:rsidRPr="00654D1D">
        <w:rPr>
          <w:rFonts w:ascii="ITC Avant Garde" w:hAnsi="ITC Avant Garde" w:cs="Arial"/>
        </w:rPr>
        <w:t xml:space="preserve">-Up como la metodología de </w:t>
      </w:r>
      <w:r w:rsidRPr="00654D1D">
        <w:rPr>
          <w:rFonts w:ascii="ITC Avant Garde" w:hAnsi="ITC Avant Garde" w:cs="Arial"/>
        </w:rPr>
        <w:lastRenderedPageBreak/>
        <w:t>estimación de costos de los servicios que se prestan entre concesionarios, sobre otras metodologías, incluyendo los modelos híbridos.</w:t>
      </w:r>
    </w:p>
    <w:p w14:paraId="0BA61B8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Comisión Europea recomendó, en mayo de 2009,</w:t>
      </w:r>
      <w:r w:rsidRPr="00654D1D">
        <w:rPr>
          <w:rFonts w:ascii="ITC Avant Garde" w:hAnsi="ITC Avant Garde" w:cs="Arial"/>
          <w:vertAlign w:val="superscript"/>
        </w:rPr>
        <w:footnoteReference w:id="24"/>
      </w:r>
      <w:r w:rsidRPr="00654D1D">
        <w:rPr>
          <w:rFonts w:ascii="ITC Avant Garde" w:hAnsi="ITC Avant Garde" w:cs="Arial"/>
        </w:rPr>
        <w:t xml:space="preserve"> la implementación de modelos ascendentes (</w:t>
      </w:r>
      <w:proofErr w:type="spellStart"/>
      <w:r w:rsidRPr="00654D1D">
        <w:rPr>
          <w:rFonts w:ascii="ITC Avant Garde" w:hAnsi="ITC Avant Garde" w:cs="Arial"/>
        </w:rPr>
        <w:t>Bottom</w:t>
      </w:r>
      <w:proofErr w:type="spellEnd"/>
      <w:r w:rsidRPr="00654D1D">
        <w:rPr>
          <w:rFonts w:ascii="ITC Avant Garde" w:hAnsi="ITC Avant Garde" w:cs="Arial"/>
        </w:rPr>
        <w:t>-Up) para la determinación de tarifas de interconexión por parte de las autoridades nacionales antes de diciembre de 2012, argumentando que:</w:t>
      </w:r>
    </w:p>
    <w:p w14:paraId="4B60255F" w14:textId="6BFE08D7" w:rsidR="003E526D" w:rsidRPr="00654D1D" w:rsidRDefault="003E526D" w:rsidP="00654D1D">
      <w:pPr>
        <w:spacing w:before="240"/>
        <w:ind w:left="567" w:right="531"/>
        <w:jc w:val="both"/>
        <w:rPr>
          <w:rFonts w:ascii="ITC Avant Garde" w:hAnsi="ITC Avant Garde" w:cs="Arial"/>
          <w:sz w:val="18"/>
          <w:szCs w:val="18"/>
        </w:rPr>
      </w:pPr>
      <w:r w:rsidRPr="00654D1D">
        <w:rPr>
          <w:rFonts w:ascii="ITC Avant Garde" w:hAnsi="ITC Avant Garde" w:cs="Arial"/>
          <w:sz w:val="18"/>
          <w:szCs w:val="18"/>
        </w:rPr>
        <w:t xml:space="preserve">“La aplicación de un modelo ascendente es coherente con el concepto de desarrollo de la red para un operador eficiente según el cual se construye un modelo económico/técnico de red eficiente utilizando los costes actuales. El modelo refleja la cantidad de equipo necesaria, más que la efectivamente proporcionada, y hace caso omiso de los costes heredados.”  </w:t>
      </w:r>
    </w:p>
    <w:p w14:paraId="3577A4C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 importante recalcar que el uso de un modelo Top-Down como lo propone la Recurrente en el sentido de utilizar su información, es decir, utilizar la información contable restaría transparencia a la decisión al no poderse hacer público el modelo, en cambio, el uso de un modelo </w:t>
      </w:r>
      <w:proofErr w:type="spellStart"/>
      <w:r w:rsidRPr="00654D1D">
        <w:rPr>
          <w:rFonts w:ascii="ITC Avant Garde" w:hAnsi="ITC Avant Garde" w:cs="Arial"/>
        </w:rPr>
        <w:t>Bottom</w:t>
      </w:r>
      <w:proofErr w:type="spellEnd"/>
      <w:r w:rsidRPr="00654D1D">
        <w:rPr>
          <w:rFonts w:ascii="ITC Avant Garde" w:hAnsi="ITC Avant Garde" w:cs="Arial"/>
        </w:rPr>
        <w:t xml:space="preserve">-Up que sea público y replicable por todos los concesionarios otorga certeza jurídica a todos los involucrados. </w:t>
      </w:r>
    </w:p>
    <w:p w14:paraId="6E70B08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Aunado a lo anterior, es importante señalar que utilizar un Modelo </w:t>
      </w:r>
      <w:proofErr w:type="spellStart"/>
      <w:r w:rsidRPr="00654D1D">
        <w:rPr>
          <w:rFonts w:ascii="ITC Avant Garde" w:hAnsi="ITC Avant Garde" w:cs="Arial"/>
        </w:rPr>
        <w:t>Bottom</w:t>
      </w:r>
      <w:proofErr w:type="spellEnd"/>
      <w:r w:rsidRPr="00654D1D">
        <w:rPr>
          <w:rFonts w:ascii="ITC Avant Garde" w:hAnsi="ITC Avant Garde" w:cs="Arial"/>
        </w:rPr>
        <w:t xml:space="preserve">-up que diseña a un operador representativo permite en lo que respecta a la fecha de lanzamiento, ser establecida de forma consistente en el Modelo de Costos, ya que considera aspectos claves en el despliegue de las redes reales de los concesionarios que participan en el mercado, en lo que respecta a la tecnología que utiliza el operador representativo, la tecnología utilizada se define de forma específica, tomando en consideración componentes relevantes de las redes existentes. En lo que respecta a la migración a tecnología moderna, utilizando el operador representativo, la evolución y migración de este operador puede definirse de forma específica, teniendo en cuenta las redes existentes. En lo que respecta a la eficiencia, estos aspectos pueden ser definidos, con un operador representativo, y en lo que respecta a la transparencia en la utilización del Modelo de Costos </w:t>
      </w:r>
      <w:proofErr w:type="spellStart"/>
      <w:r w:rsidRPr="00654D1D">
        <w:rPr>
          <w:rFonts w:ascii="ITC Avant Garde" w:hAnsi="ITC Avant Garde" w:cs="Arial"/>
        </w:rPr>
        <w:t>Bottom</w:t>
      </w:r>
      <w:proofErr w:type="spellEnd"/>
      <w:r w:rsidRPr="00654D1D">
        <w:rPr>
          <w:rFonts w:ascii="ITC Avant Garde" w:hAnsi="ITC Avant Garde" w:cs="Arial"/>
        </w:rPr>
        <w:t>-up, la transparencia aumenta debido a las semejanzas entre los operadores móviles, por lo que este enfoque es transparente y un buen reflejo de la realidad de los operadores.</w:t>
      </w:r>
    </w:p>
    <w:p w14:paraId="10263977"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Asimismo, esta Autoridad revisora considera que los argumentos de la Recurrente resultan improcedentes en virtud de que la Recurrente incurre en un error, o en todo caso confusión, al considerar que los atributos “eficiente” y “representativo” son contradictorios, en virtud de que el término “representativo” se refiere exclusivamente a una característica de la demanda que el operador modelado enfrenta, a saber, su </w:t>
      </w:r>
      <w:r w:rsidRPr="00654D1D">
        <w:rPr>
          <w:rFonts w:ascii="ITC Avant Garde" w:eastAsia="Times New Roman" w:hAnsi="ITC Avant Garde" w:cs="Arial"/>
          <w:lang w:val="es-ES" w:eastAsia="es-MX"/>
        </w:rPr>
        <w:lastRenderedPageBreak/>
        <w:t>participación de mercado; mientras el término “eficiente” se refiere a la forma en la que el operador modelado satisface dicha demanda, expresando que dicha demanda debe ser satisfecha de forma que sea empleada la menor cantidad de recursos posible, dados los parámetros de calidad y cobertura tomados en cuenta.</w:t>
      </w:r>
    </w:p>
    <w:p w14:paraId="7F49504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lo expuesto en el párrafo anterior resulta perfectamente congruente calificar a un mismo operador modelado como “eficiente” y como “representativo”.</w:t>
      </w:r>
    </w:p>
    <w:p w14:paraId="736B95D0" w14:textId="195F7CF4"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CUARTO</w:t>
      </w:r>
      <w:r w:rsidRPr="00654D1D">
        <w:rPr>
          <w:rFonts w:ascii="ITC Avant Garde" w:hAnsi="ITC Avant Garde" w:cs="Arial"/>
        </w:rPr>
        <w:t>, en el que continúa invocando una indebida fundamentación y motivación de la Resolución Recurrida, ya que omite señalar las operaciones aritméticas para determinar la tarifa de interconexión, resulta infundado, pues se respetó lo dispuesto en el artículo 3, fracción V de la Ley Federal de Procedimiento Administrativo.</w:t>
      </w:r>
    </w:p>
    <w:p w14:paraId="3CAF93F4"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Al respecto, esta Autoridad revisora considera que los argumentos de la Recurrente resultan improcedentes en virtud de que la extinta Comisión hizo precisión de la metodología y aplicación de la información que utilizó para la determinación de las tarifas de interconexión señaladas en el Resolución Recurrida, incluyendo las fórmulas y modelos aplicados, por lo tanto es infundada e insuficiente la manifestación de la Recurrente al señalar que la Comisión la dejó en estado de incertidumbre jurídica porque no incluyó todas y cada una de las operaciones aritméticas referidas.</w:t>
      </w:r>
    </w:p>
    <w:p w14:paraId="42616DA4"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El detalle presentado por la extinta Comisión Federal de Telecomunicaciones </w:t>
      </w:r>
    </w:p>
    <w:p w14:paraId="654843A0"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A mayor abundamiento, a fojas 31 a 46 de la Resolución recurrida, mismas que para evitar repeticiones innecesarias se tienen aquí por reproducidas como si a la letra se insertasen, la Comisión estableció las fórmulas y metodología utilizadas para los cálculos realizados conforme al Modelo CITLP para determinar la tarifa de interconexión para el 1 de enero de 2011 al 31 de diciembre de 2011 de $0.3912 pesos por minuto, considerando que dicha tarifa incluye el costo correspondiente a los puertos necesarios para la interconexión. </w:t>
      </w:r>
    </w:p>
    <w:p w14:paraId="504DDB65"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Asimismo, la Comisión consideró que las funciones básicas que realiza la red pública de telecomunicaciones de un concesionario de servicio móvil para la terminación de una llamada consisten en la conmutación y la transmisión para efectos de cursarla y la señalización para establecerla, mantenerla y liberarla, dichas funciones son independientes de la infraestructura y componentes de la red pública de telecomunicaciones del concesionario que entrega el tráfico.</w:t>
      </w:r>
    </w:p>
    <w:p w14:paraId="0958688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De igual forma, a foja 49 de la Resolución recurrida se encuentra el ANEXO DEL MODELO DE COSTOS INCREMENTALES TOTALES DE LARGO PLAZO en el cual se ilustran los </w:t>
      </w:r>
      <w:r w:rsidRPr="00654D1D">
        <w:rPr>
          <w:rFonts w:ascii="ITC Avant Garde" w:hAnsi="ITC Avant Garde" w:cs="Arial"/>
        </w:rPr>
        <w:lastRenderedPageBreak/>
        <w:t>procedimientos utilizados para realizar las estimaciones y cálculos, así como los parámetros y diagramas genéricos para cada uno de los procedimientos llevados a cabo en el cálculo de la demanda estimada y los elementos necesarios para dimensionar la red del operador representativo.</w:t>
      </w:r>
    </w:p>
    <w:p w14:paraId="75D76442" w14:textId="77777777" w:rsidR="00654D1D" w:rsidRPr="00654D1D" w:rsidRDefault="003E526D" w:rsidP="00654D1D">
      <w:pPr>
        <w:numPr>
          <w:ilvl w:val="0"/>
          <w:numId w:val="20"/>
        </w:numPr>
        <w:spacing w:before="240" w:line="240" w:lineRule="auto"/>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QUINTO</w:t>
      </w:r>
      <w:r w:rsidRPr="00654D1D">
        <w:rPr>
          <w:rFonts w:ascii="ITC Avant Garde" w:hAnsi="ITC Avant Garde" w:cs="Arial"/>
        </w:rPr>
        <w:t>, en el que continúa invocando una indebida fundamentación y motivación de la Resolución Recurrida, ya que determina la medición del tráfico y el esquema de facturación de los servicios de interconexión aduciendo supuestos beneficios al público usuario final, violando el principio de libertad tarifaria en perjuicio de la Recurrente, resulta infundado, pues se respetó lo dispuesto en el artículo 3, fracción V de la Ley Federal de Procedimiento Administrativo.</w:t>
      </w:r>
    </w:p>
    <w:p w14:paraId="7E42590F"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Al respecto, esta Autoridad revisora considera que los argumentos de la Recurrente resultan infundados en virtud de que la Comisión en la Resolución impugnada estableció la debida motivación y fundamentación para determinar la medición del tráfico como se desprende de fojas 67 y 68 de la Resolución recurrida que establecen lo siguiente:</w:t>
      </w:r>
    </w:p>
    <w:p w14:paraId="37B6FDC3" w14:textId="77777777" w:rsidR="00654D1D" w:rsidRPr="00654D1D" w:rsidRDefault="003E526D" w:rsidP="00654D1D">
      <w:pPr>
        <w:spacing w:before="240"/>
        <w:ind w:left="426" w:right="281"/>
        <w:jc w:val="both"/>
        <w:rPr>
          <w:rFonts w:ascii="ITC Avant Garde" w:hAnsi="ITC Avant Garde" w:cs="Arial"/>
          <w:sz w:val="18"/>
          <w:szCs w:val="18"/>
        </w:rPr>
      </w:pPr>
      <w:r w:rsidRPr="00654D1D">
        <w:rPr>
          <w:rFonts w:ascii="ITC Avant Garde" w:hAnsi="ITC Avant Garde" w:cs="Arial"/>
          <w:sz w:val="18"/>
          <w:szCs w:val="18"/>
        </w:rPr>
        <w:t>“Ahora bien, respecto a la medición del tráfico, se considera que los costos determinados por el modelo CITLP están calculados con base en un pronóstico de uso real de la infraestructura de interconexión, por lo que las tarifas determinadas permiten a Grupo Telefónica recuperar los costos en los que incurren para la prestación del servicio de interconexión.</w:t>
      </w:r>
    </w:p>
    <w:p w14:paraId="538B28A1" w14:textId="77777777" w:rsidR="00654D1D" w:rsidRPr="00654D1D" w:rsidRDefault="003E526D" w:rsidP="00654D1D">
      <w:pPr>
        <w:spacing w:before="240"/>
        <w:ind w:left="426" w:right="281"/>
        <w:jc w:val="both"/>
        <w:rPr>
          <w:rFonts w:ascii="ITC Avant Garde" w:hAnsi="ITC Avant Garde" w:cs="Arial"/>
          <w:sz w:val="18"/>
          <w:szCs w:val="18"/>
        </w:rPr>
      </w:pPr>
      <w:r w:rsidRPr="00654D1D">
        <w:rPr>
          <w:rFonts w:ascii="ITC Avant Garde" w:hAnsi="ITC Avant Garde" w:cs="Arial"/>
          <w:sz w:val="18"/>
          <w:szCs w:val="18"/>
        </w:rPr>
        <w:t>En este sentido, es importante señalar que desde un punto de vista económico, resulta eficiente que un concesionario pague por el uso de la infraestructura en función de su utilización real. A juicio de esta Comisión, no sólo resulta económicamente eficiente para el caso de la provisión de servicios de interconexión entre concesionarios, sino que aplica, de igual forma, a la provisión de servicios de telecomunicaciones al usuario final. A mayor abundamiento, esta Comisión considera, de manera congruente con lo expresado sobre diversos aspectos relativos a la interconexión de redes a lo largo de la presente Resolución, que se deben adoptar medidas para eliminar los cargos para la provisión de servicios de telecomunicaciones en general que transparenten el cobro del servicio prestado y que, en el caso de la interconexión, dicha transparencia producto de una eventual modificación de los mecanismos de medición y tasación podría fomentar, inclusive, que aquellos costos o elementos que no son utilizados para la prestación del servicio no sean considerados dentro de la tarifa respectiva.</w:t>
      </w:r>
    </w:p>
    <w:p w14:paraId="25206EA5" w14:textId="77777777" w:rsidR="00654D1D" w:rsidRPr="00654D1D" w:rsidRDefault="003E526D" w:rsidP="00654D1D">
      <w:pPr>
        <w:spacing w:before="240"/>
        <w:ind w:left="426" w:right="281"/>
        <w:jc w:val="both"/>
        <w:rPr>
          <w:rFonts w:ascii="ITC Avant Garde" w:hAnsi="ITC Avant Garde" w:cs="Arial"/>
          <w:sz w:val="18"/>
          <w:szCs w:val="18"/>
        </w:rPr>
      </w:pPr>
      <w:r w:rsidRPr="00654D1D">
        <w:rPr>
          <w:rFonts w:ascii="ITC Avant Garde" w:hAnsi="ITC Avant Garde" w:cs="Arial"/>
          <w:sz w:val="18"/>
          <w:szCs w:val="18"/>
        </w:rPr>
        <w:t>En este sentido, el esquema de facturación por redondeo es ineficiente y genera un sobrepago por infraestructura no utilizada cuando económicamente resulta eficiente que los concesionarios paguen únicamente por la infraestructura utilizada por el servicio de que se trate.</w:t>
      </w:r>
    </w:p>
    <w:p w14:paraId="31EB7663" w14:textId="77777777" w:rsidR="00654D1D" w:rsidRPr="00654D1D" w:rsidRDefault="003E526D" w:rsidP="00654D1D">
      <w:pPr>
        <w:spacing w:before="240"/>
        <w:ind w:left="426" w:right="281"/>
        <w:jc w:val="both"/>
        <w:rPr>
          <w:rFonts w:ascii="ITC Avant Garde" w:hAnsi="ITC Avant Garde" w:cs="Arial"/>
          <w:sz w:val="18"/>
          <w:szCs w:val="18"/>
        </w:rPr>
      </w:pPr>
      <w:r w:rsidRPr="00654D1D">
        <w:rPr>
          <w:rFonts w:ascii="ITC Avant Garde" w:hAnsi="ITC Avant Garde" w:cs="Arial"/>
          <w:sz w:val="18"/>
          <w:szCs w:val="18"/>
        </w:rPr>
        <w:t xml:space="preserve">Por lo que, en cumplimiento del artículo 7 de la LFT, de la Regla Novena Transitoria de las </w:t>
      </w:r>
      <w:proofErr w:type="spellStart"/>
      <w:r w:rsidRPr="00654D1D">
        <w:rPr>
          <w:rFonts w:ascii="ITC Avant Garde" w:hAnsi="ITC Avant Garde" w:cs="Arial"/>
          <w:sz w:val="18"/>
          <w:szCs w:val="18"/>
        </w:rPr>
        <w:t>RdSL</w:t>
      </w:r>
      <w:proofErr w:type="spellEnd"/>
      <w:r w:rsidRPr="00654D1D">
        <w:rPr>
          <w:rFonts w:ascii="ITC Avant Garde" w:hAnsi="ITC Avant Garde" w:cs="Arial"/>
          <w:sz w:val="18"/>
          <w:szCs w:val="18"/>
        </w:rPr>
        <w:t xml:space="preserve"> y la Regla 53 de las RSLD, los concesionarios únicamente deberán pagar por la infraestructura utilizada y, que por consecuencia, se deberán pagar las tarifas de interconexión en base al tiempo real de uso de la infraestructura requerida para la prestación de dicho servicio. </w:t>
      </w:r>
    </w:p>
    <w:p w14:paraId="1EEA8F46" w14:textId="77777777" w:rsidR="00654D1D" w:rsidRPr="00654D1D" w:rsidRDefault="003E526D" w:rsidP="00654D1D">
      <w:pPr>
        <w:spacing w:before="240"/>
        <w:ind w:left="426" w:right="281"/>
        <w:jc w:val="both"/>
        <w:rPr>
          <w:rFonts w:ascii="ITC Avant Garde" w:hAnsi="ITC Avant Garde" w:cs="Arial"/>
          <w:sz w:val="18"/>
          <w:szCs w:val="18"/>
        </w:rPr>
      </w:pPr>
      <w:r w:rsidRPr="00654D1D">
        <w:rPr>
          <w:rFonts w:ascii="ITC Avant Garde" w:hAnsi="ITC Avant Garde" w:cs="Arial"/>
          <w:sz w:val="18"/>
          <w:szCs w:val="18"/>
        </w:rPr>
        <w:t xml:space="preserve">Aunado a lo anterior, no existe razón técnica alguna que impida que la terminación de llamadas provenientes de otro operador, recibidas en la red del operador móvil mediante enlaces de </w:t>
      </w:r>
      <w:r w:rsidRPr="00654D1D">
        <w:rPr>
          <w:rFonts w:ascii="ITC Avant Garde" w:hAnsi="ITC Avant Garde" w:cs="Arial"/>
          <w:sz w:val="18"/>
          <w:szCs w:val="18"/>
        </w:rPr>
        <w:lastRenderedPageBreak/>
        <w:t>interconexión, sea facturada de acuerdo con su duración real, máxime cuando las modificaciones en un sistema de facturación, para cobrar agregados de duraciones reales en lugar de agregados en duraciones completas al minuto superior no requiere de mayores inversiones.</w:t>
      </w:r>
    </w:p>
    <w:p w14:paraId="0884756B" w14:textId="77777777" w:rsidR="00654D1D" w:rsidRPr="00654D1D" w:rsidRDefault="003E526D" w:rsidP="00654D1D">
      <w:pPr>
        <w:spacing w:before="240"/>
        <w:ind w:left="426" w:right="281"/>
        <w:jc w:val="both"/>
        <w:rPr>
          <w:rFonts w:ascii="ITC Avant Garde" w:hAnsi="ITC Avant Garde" w:cs="Arial"/>
          <w:sz w:val="18"/>
          <w:szCs w:val="18"/>
        </w:rPr>
      </w:pPr>
      <w:r w:rsidRPr="00654D1D">
        <w:rPr>
          <w:rFonts w:ascii="ITC Avant Garde" w:hAnsi="ITC Avant Garde" w:cs="Arial"/>
          <w:sz w:val="18"/>
          <w:szCs w:val="18"/>
        </w:rPr>
        <w:t>Al ser la tarifa de interconexión cobrada por los concesionarios a sus usuarios, y ser la medición de ésta pactada en tiempo real, así deberá ser cobrada al usuario, sin permitir de forma alguna el cobro a minutos redondeados, ya que sería una práctica abusiva y no justificada en contra del usuario.</w:t>
      </w:r>
    </w:p>
    <w:p w14:paraId="0057340A" w14:textId="77777777" w:rsidR="00654D1D" w:rsidRPr="00654D1D" w:rsidRDefault="003E526D" w:rsidP="00654D1D">
      <w:pPr>
        <w:spacing w:before="240"/>
        <w:ind w:left="426" w:right="281"/>
        <w:jc w:val="both"/>
        <w:rPr>
          <w:rFonts w:ascii="ITC Avant Garde" w:hAnsi="ITC Avant Garde" w:cs="Arial"/>
          <w:bCs/>
          <w:sz w:val="18"/>
          <w:szCs w:val="18"/>
        </w:rPr>
      </w:pPr>
      <w:r w:rsidRPr="00654D1D">
        <w:rPr>
          <w:rFonts w:ascii="ITC Avant Garde" w:hAnsi="ITC Avant Garde" w:cs="Arial"/>
          <w:sz w:val="18"/>
          <w:szCs w:val="18"/>
        </w:rPr>
        <w:t>Por lo anterior, esta Comisión considera que, con fundamento en todas y cada una de las disposiciones mencionadas con anterioridad, en la aplicación de las tarifas de interconexión por servicios de terminación conmutada en usuarios móviles ya sea bajo la modalidad “el que llama paga nacional” o “el que llama paga local”, Grupo Telefónica deberá calcular la contraprestación que los solicitantes deberán pagarle, con base en la duración real de las llamadas, sin redondear al minuto, debiendo para tal efecto sumar la duración de todas las llamadas completadas en el período de facturación correspondiente, medidas en segundos, y multiplicar los minutos equivalentes a dicha suma, por la tarifa  correspondiente.”</w:t>
      </w:r>
    </w:p>
    <w:p w14:paraId="7C3A23C2"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Asimismo, el argumento de la Recurrente carece de sustento, toda vez que la consideración de la Comisión respecto a que “la tarifa de interconexión cobrada por los concesionarios a sus usuarios, y ser la medición de ésta pactada en tiempo real, así deberá ser cobrada al usuario, sin permitir de forma alguna el cobro a minutos redondeados, ya que sería una práctica abusiva y no justificada en contra del usuario”, resulta fundada en el hecho de que la tarifa de interconexión es un insumo en la estructura de precios que el concesionario oferta al público en general, en tal sentido, si la tarifa de interconexión es cobrada en segundo resulta lógico que dicha medición sea traslada a los usuarios finales de los servicios de telecomunicaciones a efecto de que tengan la oportunidad de que les sean cobrados los mismos con base en su duración real, es decir, en segundos.</w:t>
      </w:r>
    </w:p>
    <w:p w14:paraId="47678EB0"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Lo anterior, incluso ya estaba considerado en el párrafo segundo del artículo 60 de la Ley Federal de Telecomunicaciones que establece lo siguiente:</w:t>
      </w:r>
    </w:p>
    <w:p w14:paraId="3F2A8C4E" w14:textId="77777777" w:rsidR="00654D1D" w:rsidRPr="00654D1D" w:rsidRDefault="003E526D" w:rsidP="00654D1D">
      <w:pPr>
        <w:spacing w:before="240"/>
        <w:ind w:left="426" w:right="281"/>
        <w:jc w:val="both"/>
        <w:rPr>
          <w:rFonts w:ascii="ITC Avant Garde" w:hAnsi="ITC Avant Garde" w:cs="Arial"/>
          <w:sz w:val="18"/>
          <w:szCs w:val="18"/>
        </w:rPr>
      </w:pPr>
      <w:r w:rsidRPr="00654D1D">
        <w:rPr>
          <w:rFonts w:ascii="ITC Avant Garde" w:hAnsi="ITC Avant Garde" w:cs="Arial"/>
          <w:sz w:val="18"/>
          <w:szCs w:val="18"/>
        </w:rPr>
        <w:t>“En el caso de servicios de telecomunicaciones que se ofrecen al público consumidor con cargos por concepto de la duración de las comunicaciones, los concesionarios y permisionarios deberán incluir dentro de su oferta comercial planes y tarifas, el cobro por segundo, sin perjuicio de otros planes que se basen en el cobro por minuto, por evento, por capacidad o cualquier otra modalidad.”</w:t>
      </w:r>
    </w:p>
    <w:p w14:paraId="0B99F0E8" w14:textId="77777777" w:rsidR="00654D1D" w:rsidRPr="00654D1D" w:rsidRDefault="003E526D" w:rsidP="00654D1D">
      <w:pPr>
        <w:spacing w:before="240"/>
        <w:ind w:right="281"/>
        <w:jc w:val="both"/>
        <w:rPr>
          <w:rFonts w:ascii="ITC Avant Garde" w:hAnsi="ITC Avant Garde" w:cs="Arial"/>
        </w:rPr>
      </w:pPr>
      <w:r w:rsidRPr="00654D1D">
        <w:rPr>
          <w:rFonts w:ascii="ITC Avant Garde" w:hAnsi="ITC Avant Garde" w:cs="Arial"/>
        </w:rPr>
        <w:t xml:space="preserve">En este sentido, la Recurrente incluso ya ofrece y ofrecía planes tarifarios por segundo, como se desprende de la dirección electrónica: http://www.movistar.com.mx/movil-planes-por-segundo. </w:t>
      </w:r>
    </w:p>
    <w:p w14:paraId="573CA4E0" w14:textId="77777777" w:rsidR="00654D1D" w:rsidRPr="00654D1D" w:rsidRDefault="003E526D" w:rsidP="00654D1D">
      <w:pPr>
        <w:spacing w:before="240"/>
        <w:ind w:right="281"/>
        <w:jc w:val="both"/>
        <w:rPr>
          <w:rFonts w:ascii="ITC Avant Garde" w:hAnsi="ITC Avant Garde" w:cs="Arial"/>
        </w:rPr>
      </w:pPr>
      <w:r w:rsidRPr="00654D1D">
        <w:rPr>
          <w:rFonts w:ascii="ITC Avant Garde" w:hAnsi="ITC Avant Garde" w:cs="Arial"/>
        </w:rPr>
        <w:lastRenderedPageBreak/>
        <w:t>Por tanto la Resolución recurrida no le causa perjuicio a la Recurrente en virtud de que ya ofrece dichos planes tarifarios de conformidad con el artículo 60 de la LFT que prevé la libertad tarifaria, de ahí que su argumento resulte infundado.</w:t>
      </w:r>
    </w:p>
    <w:p w14:paraId="7EB87052" w14:textId="77777777"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SEXTO</w:t>
      </w:r>
      <w:r w:rsidRPr="00654D1D">
        <w:rPr>
          <w:rFonts w:ascii="ITC Avant Garde" w:hAnsi="ITC Avant Garde" w:cs="Arial"/>
        </w:rPr>
        <w:t>, en el que continúa invocando una indebida fundamentación y motivación de la Resolución Recurrida, invocando diversas supuestas deficiencias, resulta infundado, pues se respetó lo dispuesto en el artículo 3, fracción V de la Ley Federal de Procedimiento Administrativo.</w:t>
      </w:r>
    </w:p>
    <w:p w14:paraId="6E08D366"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Al respecto, esta Autoridad revisora considera que los argumentos de la Recurrente resultan improcedentes en virtud de que la Comisión a lo largo de las páginas 24 a 31 de la Resolución recurrida, mismas que para evitar repeticiones innecesarias se tienen aquí por reproducidas como si a la letra se insertasen, funda y motiva debidamente en la legislación nacional vigente y aplicable, es decir entre otros, en los artículos 7, fracciones II, y 41 de la LFT; la Regla Novena Transitoria de las </w:t>
      </w:r>
      <w:proofErr w:type="spellStart"/>
      <w:r w:rsidRPr="00654D1D">
        <w:rPr>
          <w:rFonts w:ascii="ITC Avant Garde" w:eastAsia="Times New Roman" w:hAnsi="ITC Avant Garde" w:cs="Arial"/>
          <w:lang w:val="es-ES" w:eastAsia="es-MX"/>
        </w:rPr>
        <w:t>RdSL</w:t>
      </w:r>
      <w:proofErr w:type="spellEnd"/>
      <w:r w:rsidRPr="00654D1D">
        <w:rPr>
          <w:rFonts w:ascii="ITC Avant Garde" w:eastAsia="Times New Roman" w:hAnsi="ITC Avant Garde" w:cs="Arial"/>
          <w:lang w:val="es-ES" w:eastAsia="es-MX"/>
        </w:rPr>
        <w:t xml:space="preserve"> y la Regla 53 de las RSLD el hecho de que las tarifas deben estar basadas en costos.</w:t>
      </w:r>
    </w:p>
    <w:p w14:paraId="7816BD47"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En este sentido, la extinta Comisión fundó el enfoque de las tarifas basadas en costos en la legislación nacional vigente y aplicable, la cual a su vez instruye que se debe emplear una metodología de costeo de acuerdo a bases internacionalmente reconocidas y es en ese tenor que la Comisión explicó que tanto la Organización Mundial de Comercio, el Banco Mundial y la Unión Internacional de Telecomunicaciones, consideran que el enfoque de tarifas basadas en costos, es el método más eficiente desde el punto de vista económico para fijar las tarifas de interconexión y, conjuntamente con la no discriminación y la transparencia como los principios básicos que deben regir en cualquier acuerdo de Interconexión. Adicionalmente, y con el fin de motivar la Resolución recurrida, la extinta Comisión apunta que son diversos los países cuyos reguladores han intervenido en los mercados de terminación de llamadas en las redes móviles e introducen diversos esquemas de regulación de precios, para fomentar la competencia entre los operadores móviles. Es por ello que en la página 29 de la Resolución recurrida, la Comisión categóricamente señala:</w:t>
      </w:r>
    </w:p>
    <w:p w14:paraId="081FE9D6" w14:textId="77777777" w:rsidR="00654D1D" w:rsidRPr="00654D1D" w:rsidRDefault="003E526D" w:rsidP="00654D1D">
      <w:pPr>
        <w:spacing w:before="240"/>
        <w:ind w:left="567"/>
        <w:jc w:val="both"/>
        <w:rPr>
          <w:rFonts w:ascii="ITC Avant Garde" w:eastAsia="Batang" w:hAnsi="ITC Avant Garde" w:cs="Arial"/>
          <w:iCs/>
          <w:sz w:val="18"/>
          <w:szCs w:val="18"/>
        </w:rPr>
      </w:pPr>
      <w:r w:rsidRPr="00654D1D">
        <w:rPr>
          <w:rFonts w:ascii="ITC Avant Garde" w:eastAsia="Batang" w:hAnsi="ITC Avant Garde" w:cs="Arial"/>
          <w:iCs/>
          <w:sz w:val="18"/>
          <w:szCs w:val="18"/>
        </w:rPr>
        <w:t>“Las resoluciones de tarifas de interconexión orientadas a costos eliminan las distorsiones tarifarias en el mercado de servicios móviles, y permite:</w:t>
      </w:r>
    </w:p>
    <w:p w14:paraId="4B60259A" w14:textId="1B683758" w:rsidR="003E526D" w:rsidRPr="00654D1D" w:rsidRDefault="003E526D" w:rsidP="00654D1D">
      <w:pPr>
        <w:numPr>
          <w:ilvl w:val="0"/>
          <w:numId w:val="31"/>
        </w:numPr>
        <w:spacing w:before="240"/>
        <w:ind w:right="20"/>
        <w:jc w:val="both"/>
        <w:rPr>
          <w:rFonts w:ascii="ITC Avant Garde" w:eastAsia="Batang" w:hAnsi="ITC Avant Garde" w:cs="Arial"/>
          <w:iCs/>
          <w:sz w:val="18"/>
          <w:szCs w:val="18"/>
        </w:rPr>
      </w:pPr>
      <w:r w:rsidRPr="00654D1D">
        <w:rPr>
          <w:rFonts w:ascii="ITC Avant Garde" w:eastAsia="Batang" w:hAnsi="ITC Avant Garde" w:cs="Arial"/>
          <w:iCs/>
          <w:sz w:val="18"/>
          <w:szCs w:val="18"/>
        </w:rPr>
        <w:t>Manejar actuales condiciones de competencia, a través de una estructura de precios relativos finales más adecuada;</w:t>
      </w:r>
    </w:p>
    <w:p w14:paraId="68F13DC3" w14:textId="77777777" w:rsidR="00654D1D" w:rsidRPr="00654D1D" w:rsidRDefault="003E526D" w:rsidP="00654D1D">
      <w:pPr>
        <w:numPr>
          <w:ilvl w:val="0"/>
          <w:numId w:val="31"/>
        </w:numPr>
        <w:spacing w:before="240"/>
        <w:ind w:right="20"/>
        <w:jc w:val="both"/>
        <w:rPr>
          <w:rFonts w:ascii="ITC Avant Garde" w:eastAsia="Batang" w:hAnsi="ITC Avant Garde" w:cs="Arial"/>
          <w:iCs/>
          <w:sz w:val="18"/>
          <w:szCs w:val="18"/>
        </w:rPr>
      </w:pPr>
      <w:r w:rsidRPr="00654D1D">
        <w:rPr>
          <w:rFonts w:ascii="ITC Avant Garde" w:eastAsia="Batang" w:hAnsi="ITC Avant Garde" w:cs="Arial"/>
          <w:iCs/>
          <w:sz w:val="18"/>
          <w:szCs w:val="18"/>
        </w:rPr>
        <w:t>Reduce costos de llamadas originadas en redes fijas.</w:t>
      </w:r>
    </w:p>
    <w:p w14:paraId="3B98A7DB" w14:textId="77777777" w:rsidR="00654D1D" w:rsidRPr="00654D1D" w:rsidRDefault="003E526D" w:rsidP="00654D1D">
      <w:pPr>
        <w:spacing w:before="240"/>
        <w:ind w:left="567"/>
        <w:jc w:val="both"/>
        <w:rPr>
          <w:rFonts w:ascii="ITC Avant Garde" w:hAnsi="ITC Avant Garde" w:cs="Arial"/>
          <w:sz w:val="18"/>
          <w:szCs w:val="18"/>
        </w:rPr>
      </w:pPr>
      <w:r w:rsidRPr="00654D1D">
        <w:rPr>
          <w:rFonts w:ascii="ITC Avant Garde" w:hAnsi="ITC Avant Garde" w:cs="Arial"/>
          <w:sz w:val="18"/>
          <w:szCs w:val="18"/>
        </w:rPr>
        <w:t xml:space="preserve">De todo lo analizado con anterioridad, se determina que del marco jurídico Mexicano, encontrando como primer fundamento lo establecido en el artículo 7 de la LFT, contempla que las tarifas de </w:t>
      </w:r>
      <w:r w:rsidRPr="00654D1D">
        <w:rPr>
          <w:rFonts w:ascii="ITC Avant Garde" w:hAnsi="ITC Avant Garde" w:cs="Arial"/>
          <w:sz w:val="18"/>
          <w:szCs w:val="18"/>
        </w:rPr>
        <w:lastRenderedPageBreak/>
        <w:t>interconexión deben determinarse de manera indubitable conforme a costos, debiéndose desarrollar para tal efecto un modelo de costos que permita fijar de manera clara y precisa la forma en cómo habrán de ser determinadas las tarifas, teniendo la Comisión plena libertad para desarrollar dicho modelo, con fundamento en el artículo 42 de la LFT.”</w:t>
      </w:r>
    </w:p>
    <w:p w14:paraId="593878DB"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Con relación al argumento de la Recurrente en el sentido de que la Comisión pretende motivar el modelo de costos únicamente señalando que el mismo se encuentra avalado por expertos internacionales y ha sido adoptado por la mayoría de los órganos reguladores sin sustentar dicha afirmación. Al respecto, esta Autoridad revisora considera que los argumentos de la Recurrente resultan improcedentes en virtud de que de conformidad con lo dispuesto en los artículos 7 fracción XII, 9-A y 42 de la LFT, en relación con el artículo 40 del Reglamento Interior de la Secretaría, la Comisión como órgano administrativo desconcentrado de la Secretaría encargado de regular, promover y supervisar el desarrollo eficiente y la cobertura social amplia de las telecomunicaciones y la radiodifusión en México, por mandato legal estaba facultada para resolver las condiciones de interconexión que no hayan sido convenidas entre las partes, así como para interpretar en la esfera administrativa, las disposiciones legales, reglamentarias y administrativas dentro de su ámbito de competencia por ser un órgano especializado en la materia.</w:t>
      </w:r>
    </w:p>
    <w:p w14:paraId="08904B65"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Resulta claro que el espíritu del legislador en el artículo 42 de la LFT, fue que la Comisión resolviera sobre cualquier condición que no hubieran podido convenir los concesionarios, sin imponerle ninguna restricción o limitante. Esto es, la Comisión podía o no recibir asesoría, resolver por sí o basándose en opiniones de expertos y en todos los casos la resolución será legal, toda vez que se encuentra colmada de la debida fundamentación y motivación.</w:t>
      </w:r>
    </w:p>
    <w:p w14:paraId="4A089687"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En este tenor, para la determinación de las tarifas de interconexión relacionadas con la función de terminación de tráfico público conmutado en las redes públicas de telecomunicaciones de servicio local móvil de la Recurrente para el 2011, la extinta Comisión consideró en la Resolución recurrida que los objetivos plasmados en los artículos 7 y 41 de la LFT establecen las bases para la fijación de las tarifas de interconexión con base a costos. Asimismo, las </w:t>
      </w:r>
      <w:proofErr w:type="spellStart"/>
      <w:r w:rsidRPr="00654D1D">
        <w:rPr>
          <w:rFonts w:ascii="ITC Avant Garde" w:eastAsia="Times New Roman" w:hAnsi="ITC Avant Garde" w:cs="Arial"/>
          <w:lang w:val="es-ES" w:eastAsia="es-MX"/>
        </w:rPr>
        <w:t>RdSL</w:t>
      </w:r>
      <w:proofErr w:type="spellEnd"/>
      <w:r w:rsidRPr="00654D1D">
        <w:rPr>
          <w:rFonts w:ascii="ITC Avant Garde" w:eastAsia="Times New Roman" w:hAnsi="ITC Avant Garde" w:cs="Arial"/>
          <w:lang w:val="es-ES" w:eastAsia="es-MX"/>
        </w:rPr>
        <w:t xml:space="preserve"> y las RSLD establecen los lineamientos que deberá seguir la autoridad para el establecimiento de dichas tarifas de interconexión en caso de un desacuerdo de interconexión al amparo del artículo 42 de la LFT, esto es, se deberán establecer para todos los casos tarifas que permitan recuperar los costos incrementales promedio de largo plazo del servicio y los costos comunes atribuibles a dicha función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w:t>
      </w:r>
      <w:r w:rsidRPr="00654D1D">
        <w:rPr>
          <w:rFonts w:ascii="ITC Avant Garde" w:eastAsia="Times New Roman" w:hAnsi="ITC Avant Garde" w:cs="Arial"/>
          <w:lang w:val="es-ES" w:eastAsia="es-MX"/>
        </w:rPr>
        <w:lastRenderedPageBreak/>
        <w:t>telecomunicaciones, a efectos de que estos se presten con mejores precios, diversidad y calidad en beneficio de los usuarios.</w:t>
      </w:r>
    </w:p>
    <w:p w14:paraId="416D10DA"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Por tal motivo, la Comisión utilizó un modelo de costos incrementales totales de largo plazo el cual es el método idóneo y la manera más eficiente económicamente de determinar las tarifas de interconexión y que como ya se demostrado en la presente Resolución es el método más utilizado por los órganos reguladores de otros países y recomendado por organismos internacionales para determinar tarifas de interconexión.</w:t>
      </w:r>
    </w:p>
    <w:p w14:paraId="0D574802"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Por lo que hace a lo manifestado por la Recurrente que a foja 33 de la Resolución recurrida que dentro el modelo de costos se manifiesta sin fundamento alguno que el hecho de utilizar una participación de mercado de 25% para la determinación del costo de interconexión en la terminación de una llamada en la red móvil, es congruente con los participantes del mercado mexicano, sin sustentar dicha afirmación.</w:t>
      </w:r>
    </w:p>
    <w:p w14:paraId="0034F0C8"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Al respecto, el argumento de la Recurrente es infundado, toda vez que la extinta Comisión claramente explicó y motivó el hecho de que se esté considerando una participación de mercado del 25% en diversas partes de la Resolución Recurrida. En este sentido, la Comisión abunda y plasma en la página 33 de la Resolución recurrida que internacionalmente se entiende por mercado competitivo en el caso de modelos de costos y que ello es congruente con la recomendación de la Comunidad Europea y con el número de participantes en el mercado mexicano.</w:t>
      </w:r>
    </w:p>
    <w:p w14:paraId="1B4893A5" w14:textId="77777777" w:rsidR="00654D1D" w:rsidRPr="00654D1D" w:rsidRDefault="003E526D" w:rsidP="00654D1D">
      <w:pPr>
        <w:spacing w:before="240"/>
        <w:ind w:left="567"/>
        <w:jc w:val="both"/>
        <w:rPr>
          <w:rFonts w:ascii="ITC Avant Garde" w:hAnsi="ITC Avant Garde" w:cs="Arial"/>
          <w:sz w:val="18"/>
          <w:szCs w:val="18"/>
        </w:rPr>
      </w:pPr>
      <w:r w:rsidRPr="00654D1D">
        <w:rPr>
          <w:rFonts w:ascii="ITC Avant Garde" w:hAnsi="ITC Avant Garde" w:cs="Arial"/>
          <w:sz w:val="18"/>
          <w:szCs w:val="18"/>
        </w:rPr>
        <w:t>“En el Modelo CITLP se considera un mercado competitivo en el que participan 4 operadores con la misma participación de mercado, ofreciendo servicios de telefonía móvil, por lo que el operador representativo tiene una participación del 25% del mercado.</w:t>
      </w:r>
      <w:r w:rsidRPr="00654D1D">
        <w:rPr>
          <w:rFonts w:ascii="ITC Avant Garde" w:hAnsi="ITC Avant Garde" w:cs="Arial"/>
          <w:sz w:val="18"/>
          <w:szCs w:val="18"/>
        </w:rPr>
        <w:footnoteReference w:id="25"/>
      </w:r>
      <w:r w:rsidRPr="00654D1D">
        <w:rPr>
          <w:rFonts w:ascii="ITC Avant Garde" w:hAnsi="ITC Avant Garde" w:cs="Arial"/>
          <w:sz w:val="18"/>
          <w:szCs w:val="18"/>
        </w:rPr>
        <w:t xml:space="preserve"> El utilizar una participación de mercado del 25% para la determinación del costo de interconexión en la terminación de una llamada en la red móvil, es congruente con la recomendación de la Comunidad Europea</w:t>
      </w:r>
      <w:r w:rsidRPr="00654D1D">
        <w:rPr>
          <w:rFonts w:ascii="ITC Avant Garde" w:hAnsi="ITC Avant Garde" w:cs="Arial"/>
          <w:sz w:val="18"/>
          <w:szCs w:val="18"/>
        </w:rPr>
        <w:footnoteReference w:id="26"/>
      </w:r>
      <w:r w:rsidRPr="00654D1D">
        <w:rPr>
          <w:rFonts w:ascii="ITC Avant Garde" w:hAnsi="ITC Avant Garde" w:cs="Arial"/>
          <w:sz w:val="18"/>
          <w:szCs w:val="18"/>
        </w:rPr>
        <w:t xml:space="preserve">, y con los participantes en el mercado mexicano. Asimismo, este operador utiliza la tecnología GSM (Global </w:t>
      </w:r>
      <w:proofErr w:type="spellStart"/>
      <w:r w:rsidRPr="00654D1D">
        <w:rPr>
          <w:rFonts w:ascii="ITC Avant Garde" w:hAnsi="ITC Avant Garde" w:cs="Arial"/>
          <w:sz w:val="18"/>
          <w:szCs w:val="18"/>
        </w:rPr>
        <w:t>System</w:t>
      </w:r>
      <w:proofErr w:type="spellEnd"/>
      <w:r w:rsidRPr="00654D1D">
        <w:rPr>
          <w:rFonts w:ascii="ITC Avant Garde" w:hAnsi="ITC Avant Garde" w:cs="Arial"/>
          <w:sz w:val="18"/>
          <w:szCs w:val="18"/>
        </w:rPr>
        <w:t xml:space="preserve"> </w:t>
      </w:r>
      <w:proofErr w:type="spellStart"/>
      <w:r w:rsidRPr="00654D1D">
        <w:rPr>
          <w:rFonts w:ascii="ITC Avant Garde" w:hAnsi="ITC Avant Garde" w:cs="Arial"/>
          <w:sz w:val="18"/>
          <w:szCs w:val="18"/>
        </w:rPr>
        <w:t>for</w:t>
      </w:r>
      <w:proofErr w:type="spellEnd"/>
      <w:r w:rsidRPr="00654D1D">
        <w:rPr>
          <w:rFonts w:ascii="ITC Avant Garde" w:hAnsi="ITC Avant Garde" w:cs="Arial"/>
          <w:sz w:val="18"/>
          <w:szCs w:val="18"/>
        </w:rPr>
        <w:t xml:space="preserve"> Mobile </w:t>
      </w:r>
      <w:proofErr w:type="spellStart"/>
      <w:r w:rsidRPr="00654D1D">
        <w:rPr>
          <w:rFonts w:ascii="ITC Avant Garde" w:hAnsi="ITC Avant Garde" w:cs="Arial"/>
          <w:sz w:val="18"/>
          <w:szCs w:val="18"/>
        </w:rPr>
        <w:t>Communications</w:t>
      </w:r>
      <w:proofErr w:type="spellEnd"/>
      <w:r w:rsidRPr="00654D1D">
        <w:rPr>
          <w:rFonts w:ascii="ITC Avant Garde" w:hAnsi="ITC Avant Garde" w:cs="Arial"/>
          <w:sz w:val="18"/>
          <w:szCs w:val="18"/>
        </w:rPr>
        <w:t>) que es la tecnología predominantemente utilizada en México, por lo que no se puede considerar al Modelo CITLP totalmente prospectivo.”</w:t>
      </w:r>
    </w:p>
    <w:p w14:paraId="332EE507" w14:textId="77777777" w:rsidR="00654D1D" w:rsidRPr="00654D1D" w:rsidRDefault="003E526D" w:rsidP="00654D1D">
      <w:pPr>
        <w:spacing w:before="240"/>
        <w:jc w:val="both"/>
        <w:rPr>
          <w:rFonts w:ascii="ITC Avant Garde" w:eastAsia="Times New Roman" w:hAnsi="ITC Avant Garde" w:cs="Arial"/>
          <w:highlight w:val="yellow"/>
          <w:lang w:val="es-ES" w:eastAsia="es-MX"/>
        </w:rPr>
      </w:pPr>
      <w:r w:rsidRPr="00654D1D">
        <w:rPr>
          <w:rFonts w:ascii="ITC Avant Garde" w:eastAsia="Times New Roman" w:hAnsi="ITC Avant Garde" w:cs="Arial"/>
          <w:lang w:val="es-ES" w:eastAsia="es-MX"/>
        </w:rPr>
        <w:t>Inclusive, la extinta Comisión abundando reporta en la nota de pie 3 de la Resolución Recurrida, pagina 33 de la misma, que los resultados del modelo no cambian sustancialmente aun cuando se modele un mercado con 3 o 5 participantes.</w:t>
      </w:r>
    </w:p>
    <w:p w14:paraId="26ADD91D" w14:textId="77777777" w:rsidR="00654D1D" w:rsidRPr="00654D1D" w:rsidRDefault="003E526D" w:rsidP="00654D1D">
      <w:pPr>
        <w:spacing w:before="240"/>
        <w:jc w:val="both"/>
        <w:rPr>
          <w:rFonts w:ascii="ITC Avant Garde" w:eastAsia="Calibri" w:hAnsi="ITC Avant Garde" w:cs="Arial"/>
        </w:rPr>
      </w:pPr>
      <w:r w:rsidRPr="00654D1D">
        <w:rPr>
          <w:rFonts w:ascii="ITC Avant Garde" w:eastAsia="Calibri" w:hAnsi="ITC Avant Garde" w:cs="Arial"/>
        </w:rPr>
        <w:t xml:space="preserve">Con relación a los argumentos de la Recurrente sobre el valor del espectro, se considera que en la Resolución recurrida se explica claramente cuáles fueron los elementos tomados en cuenta para determinar primeramente la cantidad de espectro con lo que contaban los operadores participantes en el mercado. La cantidad de espectro </w:t>
      </w:r>
      <w:r w:rsidRPr="00654D1D">
        <w:rPr>
          <w:rFonts w:ascii="ITC Avant Garde" w:eastAsia="Calibri" w:hAnsi="ITC Avant Garde" w:cs="Arial"/>
        </w:rPr>
        <w:lastRenderedPageBreak/>
        <w:t>considerada fue de 50 MHz en la banda 800 MHz y de 120 MHz en la banda 1.9 GHz o PCS. No se consideraron otras bandas de frecuencias porque están son utilizadas para desarrollar otras tecnologías y proveer servicios de datos y no únicamente de voz, que fue el supuesto que la Comisión consideró determinar los costos de un operado hipotético eficiente que únicamente provee el servicio de voz y utiliza la tecnología GSM.</w:t>
      </w:r>
    </w:p>
    <w:p w14:paraId="1C27634D" w14:textId="77777777" w:rsidR="00654D1D" w:rsidRPr="00654D1D" w:rsidRDefault="003E526D" w:rsidP="00654D1D">
      <w:pPr>
        <w:spacing w:before="240"/>
        <w:jc w:val="both"/>
        <w:rPr>
          <w:rFonts w:ascii="ITC Avant Garde" w:eastAsia="Calibri" w:hAnsi="ITC Avant Garde" w:cs="Arial"/>
        </w:rPr>
      </w:pPr>
      <w:r w:rsidRPr="00654D1D">
        <w:rPr>
          <w:rFonts w:ascii="ITC Avant Garde" w:eastAsia="Calibri" w:hAnsi="ITC Avant Garde" w:cs="Arial"/>
        </w:rPr>
        <w:t>Asimismo para tomar en cuenta el valor del espectro, este fue calculado considerando que dicho operador utiliza de manera eficiente el espectro para el despliegue de una red GSM en las 9 Regiones en que se divide el país, por lo que se utilizó la información del costo del pago que realizaron los concesionarios que participaron en la Licitación No. 20, así como el monto pagado en la Región 8 de la Licitación No. 21, ajustando dicho valor por las diferencias en las valoraciones que realizaron por las bandas de frecuencias en las distintas licitaciones. Este monto ascendió a 355</w:t>
      </w:r>
      <w:proofErr w:type="gramStart"/>
      <w:r w:rsidRPr="00654D1D">
        <w:rPr>
          <w:rFonts w:ascii="ITC Avant Garde" w:eastAsia="Calibri" w:hAnsi="ITC Avant Garde" w:cs="Arial"/>
        </w:rPr>
        <w:t>,586,489</w:t>
      </w:r>
      <w:proofErr w:type="gramEnd"/>
      <w:r w:rsidRPr="00654D1D">
        <w:rPr>
          <w:rFonts w:ascii="ITC Avant Garde" w:eastAsia="Calibri" w:hAnsi="ITC Avant Garde" w:cs="Arial"/>
        </w:rPr>
        <w:t xml:space="preserve"> dólares de los Estados Unidos de América, el cual se considera como una inversión. </w:t>
      </w:r>
    </w:p>
    <w:p w14:paraId="18992A78" w14:textId="77777777" w:rsidR="00654D1D" w:rsidRPr="00654D1D" w:rsidRDefault="003E526D" w:rsidP="00654D1D">
      <w:pPr>
        <w:spacing w:before="240"/>
        <w:jc w:val="both"/>
        <w:rPr>
          <w:rFonts w:ascii="ITC Avant Garde" w:eastAsia="Calibri" w:hAnsi="ITC Avant Garde" w:cs="Arial"/>
        </w:rPr>
      </w:pPr>
      <w:r w:rsidRPr="00654D1D">
        <w:rPr>
          <w:rFonts w:ascii="ITC Avant Garde" w:eastAsia="Calibri" w:hAnsi="ITC Avant Garde" w:cs="Arial"/>
        </w:rPr>
        <w:t>Por otra parte, conforme a la Ley Federal de Derechos de 2011 los concesionarios de redes públicas de telecomunicaciones que hacen uso de ciertas bandas de frecuencias están obligados a pagar un derecho por el mismo, el cual está en función de los MHz, este pago se realiza anualmente, con lo cual es considerado como un costo que es parte de la operación.</w:t>
      </w:r>
    </w:p>
    <w:p w14:paraId="3E8704CC" w14:textId="77777777" w:rsidR="00654D1D" w:rsidRPr="00654D1D" w:rsidRDefault="003E526D" w:rsidP="00654D1D">
      <w:pPr>
        <w:spacing w:before="240"/>
        <w:jc w:val="both"/>
        <w:rPr>
          <w:rFonts w:ascii="ITC Avant Garde" w:eastAsia="Calibri" w:hAnsi="ITC Avant Garde" w:cs="Arial"/>
          <w:u w:val="single"/>
        </w:rPr>
      </w:pPr>
      <w:r w:rsidRPr="00654D1D">
        <w:rPr>
          <w:rFonts w:ascii="ITC Avant Garde" w:eastAsia="Calibri" w:hAnsi="ITC Avant Garde" w:cs="Arial"/>
        </w:rPr>
        <w:t>Por lo anterior, no le asiste la razón a la Recurrente de que no se realizó una adecuada estimación del valor del espectro por parte de la extinta Comisión.</w:t>
      </w:r>
    </w:p>
    <w:p w14:paraId="2BF2146B" w14:textId="77777777" w:rsidR="00654D1D" w:rsidRPr="00654D1D" w:rsidRDefault="003E526D" w:rsidP="00654D1D">
      <w:pPr>
        <w:spacing w:before="240"/>
        <w:jc w:val="both"/>
        <w:rPr>
          <w:rFonts w:ascii="ITC Avant Garde" w:eastAsia="Calibri" w:hAnsi="ITC Avant Garde" w:cs="Arial"/>
        </w:rPr>
      </w:pPr>
      <w:r w:rsidRPr="00654D1D">
        <w:rPr>
          <w:rFonts w:ascii="ITC Avant Garde" w:eastAsia="Calibri" w:hAnsi="ITC Avant Garde" w:cs="Arial"/>
        </w:rPr>
        <w:t>Es infundado el argumento de la Recurrente respecto a la información considerada del Regulador Francés, toda vez que la Comisión tomó en consideración los precios mercado a precios corrientes del modelo de costos del órgano regulador de Francia, y con ellos determinó los costos que se originarían para una empresa establecida que ostenta el 25 por ciento del mercado y que es eficiente es su operación. Como se señaló en la propia Resolución recurrida, la tarifa de interconexión por terminación de tráfico en la red móvil deberá de tomar en cuenta los precios corrientes derivado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62FF71AF" w14:textId="77777777" w:rsidR="00654D1D" w:rsidRPr="00654D1D" w:rsidRDefault="003E526D" w:rsidP="00654D1D">
      <w:pPr>
        <w:spacing w:before="240"/>
        <w:jc w:val="both"/>
        <w:rPr>
          <w:rFonts w:ascii="ITC Avant Garde" w:eastAsia="Calibri" w:hAnsi="ITC Avant Garde" w:cs="Arial"/>
        </w:rPr>
      </w:pPr>
      <w:r w:rsidRPr="00654D1D">
        <w:rPr>
          <w:rFonts w:ascii="ITC Avant Garde" w:eastAsia="Calibri" w:hAnsi="ITC Avant Garde" w:cs="Arial"/>
        </w:rPr>
        <w:t xml:space="preserve">Asimismo, como se señaló en la propia resolución para la determinación de los costos de proveer el servicio, es necesario primeramente asignar e identificar aquellos costos que están directamente asociado a la prestación del servicio, es decir si existe un costo </w:t>
      </w:r>
      <w:r w:rsidRPr="00654D1D">
        <w:rPr>
          <w:rFonts w:ascii="ITC Avant Garde" w:eastAsia="Calibri" w:hAnsi="ITC Avant Garde" w:cs="Arial"/>
        </w:rPr>
        <w:lastRenderedPageBreak/>
        <w:t>que es recuperado a través del usuario final o que no es necesario para la prestación del servicio este no deberá de ser incluido en el mismo, este es el caso de aquellos costos originados por ejemplo por la publicidad y comercialización de servicios finales, asimismo como el servicio a costear es el servicio de terminación de voz en una red móvil, es necesario no incluir costos que estén directamente asociados a nuevos servicios o servicios distintos a los de voz, como sería el caso de transmisión de datos o acceso a internet o aplicaciones. Por lo cual, la extinta Comisión en su modelo identificó todos aquellos elementos necesarios para la prestación del servicio de voz en la cual el operador hipotético eficiente utilizará en su red la tecnología GSM.</w:t>
      </w:r>
    </w:p>
    <w:p w14:paraId="6A1F65F6" w14:textId="77777777" w:rsidR="00654D1D" w:rsidRPr="00654D1D" w:rsidRDefault="003E526D" w:rsidP="00654D1D">
      <w:pPr>
        <w:spacing w:before="240"/>
        <w:jc w:val="both"/>
        <w:rPr>
          <w:rFonts w:ascii="ITC Avant Garde" w:eastAsia="Calibri" w:hAnsi="ITC Avant Garde" w:cs="Arial"/>
        </w:rPr>
      </w:pPr>
      <w:r w:rsidRPr="00654D1D">
        <w:rPr>
          <w:rFonts w:ascii="ITC Avant Garde" w:eastAsia="Calibri" w:hAnsi="ITC Avant Garde" w:cs="Arial"/>
        </w:rPr>
        <w:t xml:space="preserve">Como se mencionó en la Resolución recurrida, el Modelo de Costos desarrollado por la Comisión es de un operador eficiente que toma en cuenta los costos de la red para la prestación del servicio de interconexión y que se consideran a costos corrientes o a precios de mercado. 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654D1D">
        <w:rPr>
          <w:rFonts w:ascii="ITC Avant Garde" w:eastAsia="Calibri" w:hAnsi="ITC Avant Garde" w:cs="Arial"/>
        </w:rPr>
        <w:t>asignativa</w:t>
      </w:r>
      <w:proofErr w:type="spellEnd"/>
      <w:r w:rsidRPr="00654D1D">
        <w:rPr>
          <w:rFonts w:ascii="ITC Avant Garde" w:eastAsia="Calibri" w:hAnsi="ITC Avant Garde" w:cs="Arial"/>
        </w:rPr>
        <w:t xml:space="preserve">, en el sentido de que se establezcan los precios lo más cercanamente posible a los observados en un mercado competitivo, ya que es generalmente aceptado que estos precios son los que maximizan el bienestar social. </w:t>
      </w:r>
    </w:p>
    <w:p w14:paraId="3D87913F" w14:textId="77777777" w:rsidR="00654D1D" w:rsidRPr="00654D1D" w:rsidRDefault="003E526D" w:rsidP="00654D1D">
      <w:pPr>
        <w:spacing w:before="240"/>
        <w:jc w:val="both"/>
        <w:rPr>
          <w:rFonts w:ascii="ITC Avant Garde" w:eastAsia="Calibri" w:hAnsi="ITC Avant Garde" w:cs="Arial"/>
        </w:rPr>
      </w:pPr>
      <w:r w:rsidRPr="00654D1D">
        <w:rPr>
          <w:rFonts w:ascii="ITC Avant Garde" w:eastAsia="Calibri" w:hAnsi="ITC Avant Garde" w:cs="Arial"/>
        </w:rPr>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 En este contexto, el regulador debe propiciar que se consiga la eficiencia productiva en el sentido de otorgar los suficientes incentivos para la minimización de costos.</w:t>
      </w:r>
    </w:p>
    <w:p w14:paraId="562E6711" w14:textId="77777777" w:rsidR="00654D1D" w:rsidRPr="00654D1D" w:rsidRDefault="003E526D" w:rsidP="00654D1D">
      <w:pPr>
        <w:spacing w:before="240"/>
        <w:jc w:val="both"/>
        <w:rPr>
          <w:rFonts w:ascii="ITC Avant Garde" w:hAnsi="ITC Avant Garde" w:cs="Arial"/>
        </w:rPr>
      </w:pPr>
      <w:r w:rsidRPr="00654D1D">
        <w:rPr>
          <w:rFonts w:ascii="ITC Avant Garde" w:eastAsia="Calibri" w:hAnsi="ITC Avant Garde" w:cs="Arial"/>
        </w:rPr>
        <w:t xml:space="preserve">La determinación de las tarifas de interconexión con base en los costos corrientes de una empresa eficiente es particularmente relevante en el sector telecomunicaciones en razón de que los precios de los insumos muestran una tendencia decreciente a través </w:t>
      </w:r>
      <w:r w:rsidRPr="00654D1D">
        <w:rPr>
          <w:rFonts w:ascii="ITC Avant Garde" w:eastAsia="Calibri" w:hAnsi="ITC Avant Garde" w:cs="Arial"/>
        </w:rPr>
        <w:lastRenderedPageBreak/>
        <w:t>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023CEA59" w14:textId="77777777"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SÉPTIMO</w:t>
      </w:r>
      <w:r w:rsidRPr="00654D1D">
        <w:rPr>
          <w:rFonts w:ascii="ITC Avant Garde" w:hAnsi="ITC Avant Garde" w:cs="Arial"/>
        </w:rPr>
        <w:t>, en el que continúa invocando una indebida fundamentación y motivación de la Resolución Recurrida, pues el Modelo de Costos no toma en cuenta la cobertura ni los minutos no facturados, resulta infundado, pues se respetó lo dispuesto en el artículo 3, fracción V de la Ley Federal de Procedimiento Administrativo.</w:t>
      </w:r>
    </w:p>
    <w:p w14:paraId="2153587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lo que hace a los argumentos sobre el tráfico utilizado en el modelo de costos, los mismos son en esencia idénticos a los señalados en los incisos </w:t>
      </w:r>
      <w:r w:rsidRPr="00654D1D">
        <w:rPr>
          <w:rFonts w:ascii="ITC Avant Garde" w:hAnsi="ITC Avant Garde" w:cs="Arial"/>
          <w:b/>
        </w:rPr>
        <w:t>a), b), c) y d) del numeral III del primer Agravio</w:t>
      </w:r>
      <w:r w:rsidRPr="00654D1D">
        <w:rPr>
          <w:rFonts w:ascii="ITC Avant Garde" w:hAnsi="ITC Avant Garde" w:cs="Arial"/>
        </w:rPr>
        <w:t>, por lo que en apego al principio de economía procesal a la que se debe sujetar el procedimiento administrativo se tiene aquí por reproducidas las respuesta del Instituto al respecto como si a la letra se insertasen.</w:t>
      </w:r>
    </w:p>
    <w:p w14:paraId="1F796E3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relación al módulo de cobertura, si bien el incluir un módulo de despliegue de red de cobertura está considerado mejores prácticas, la inclusión de este módulo en un modelo de un solo año no es un requisito fundamental siempre y cuando el número de </w:t>
      </w:r>
      <w:proofErr w:type="spellStart"/>
      <w:r w:rsidRPr="00654D1D">
        <w:rPr>
          <w:rFonts w:ascii="ITC Avant Garde" w:hAnsi="ITC Avant Garde" w:cs="Arial"/>
        </w:rPr>
        <w:t>radiobases</w:t>
      </w:r>
      <w:proofErr w:type="spellEnd"/>
      <w:r w:rsidRPr="00654D1D">
        <w:rPr>
          <w:rFonts w:ascii="ITC Avant Garde" w:hAnsi="ITC Avant Garde" w:cs="Arial"/>
        </w:rPr>
        <w:t xml:space="preserve"> y sitios del operador sea suficiente para cubrir el porcentaje de población necesaria y cursar el volumen de tráfico del operador con la calidad de servicio adecuada. Como vimos en el informe pericial, el número de </w:t>
      </w:r>
      <w:proofErr w:type="spellStart"/>
      <w:r w:rsidRPr="00654D1D">
        <w:rPr>
          <w:rFonts w:ascii="ITC Avant Garde" w:hAnsi="ITC Avant Garde" w:cs="Arial"/>
        </w:rPr>
        <w:t>radiobases</w:t>
      </w:r>
      <w:proofErr w:type="spellEnd"/>
      <w:r w:rsidRPr="00654D1D">
        <w:rPr>
          <w:rFonts w:ascii="ITC Avant Garde" w:hAnsi="ITC Avant Garde" w:cs="Arial"/>
        </w:rPr>
        <w:t xml:space="preserve"> incluido en el modelo 2011 es más que suficiente para cursar el tráfico del operador y es superior al número de </w:t>
      </w:r>
      <w:proofErr w:type="spellStart"/>
      <w:r w:rsidRPr="00654D1D">
        <w:rPr>
          <w:rFonts w:ascii="ITC Avant Garde" w:hAnsi="ITC Avant Garde" w:cs="Arial"/>
        </w:rPr>
        <w:t>radiobases</w:t>
      </w:r>
      <w:proofErr w:type="spellEnd"/>
      <w:r w:rsidRPr="00654D1D">
        <w:rPr>
          <w:rFonts w:ascii="ITC Avant Garde" w:hAnsi="ITC Avant Garde" w:cs="Arial"/>
        </w:rPr>
        <w:t xml:space="preserve"> que tenía desplegadas la recurrente ese mismo año.</w:t>
      </w:r>
    </w:p>
    <w:p w14:paraId="65432BF6" w14:textId="3A992050"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relación con el capítulo denominado AGRAVIOS, respecto de la segunda parte denominada </w:t>
      </w:r>
      <w:r w:rsidRPr="00654D1D">
        <w:rPr>
          <w:rFonts w:ascii="ITC Avant Garde" w:hAnsi="ITC Avant Garde" w:cs="Arial"/>
          <w:b/>
        </w:rPr>
        <w:t>AGRAVIOS GENERALES RESPECTO DEL RESOLUTIVO TERCERO DE LA RESOLUCIÓN IMPUGNADA</w:t>
      </w:r>
      <w:r w:rsidRPr="00654D1D">
        <w:rPr>
          <w:rFonts w:ascii="ITC Avant Garde" w:hAnsi="ITC Avant Garde" w:cs="Arial"/>
        </w:rPr>
        <w:t>, se entra a su estudio en los siguientes términos:</w:t>
      </w:r>
    </w:p>
    <w:p w14:paraId="1028031C" w14:textId="77777777"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OCTAVO</w:t>
      </w:r>
      <w:r w:rsidRPr="00654D1D">
        <w:rPr>
          <w:rFonts w:ascii="ITC Avant Garde" w:hAnsi="ITC Avant Garde" w:cs="Arial"/>
        </w:rPr>
        <w:t>, en el que invoca que no existe disposición jurídica que faculte a la Comisión para fijar a la Recurrente las tarifas de interconexión con base en costos, resulta infundado, pues se respetó lo dispuesto en el artículo 3, fracción V de la Ley Federal de Procedimiento Administrativo.</w:t>
      </w:r>
    </w:p>
    <w:p w14:paraId="6C97138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Contrario a lo que la Recurrente aduce, en la Resolución Recurrida se fundamentó debidamente que la Comisión podía fijar tarifas de interconexión con base en costos, en los siguientes términos:</w:t>
      </w:r>
    </w:p>
    <w:p w14:paraId="04639D6E"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lastRenderedPageBreak/>
        <w:t>“Por su parte, la Regla 53 de las Reglas del Servicio de Larga Distancia (en lo sucesivo, las “RSLD”) y la Reglas Novena Transitoria de las Reglas del Servicio Local (en lo sucesivo, las “</w:t>
      </w:r>
      <w:proofErr w:type="spellStart"/>
      <w:r w:rsidRPr="00654D1D">
        <w:rPr>
          <w:rFonts w:ascii="ITC Avant Garde" w:hAnsi="ITC Avant Garde" w:cs="Arial"/>
          <w:sz w:val="18"/>
          <w:szCs w:val="18"/>
        </w:rPr>
        <w:t>RdSL</w:t>
      </w:r>
      <w:proofErr w:type="spellEnd"/>
      <w:r w:rsidRPr="00654D1D">
        <w:rPr>
          <w:rFonts w:ascii="ITC Avant Garde" w:hAnsi="ITC Avant Garde" w:cs="Arial"/>
          <w:sz w:val="18"/>
          <w:szCs w:val="18"/>
        </w:rPr>
        <w:t>”), establecen que la Comisión resolverá las tarifas relacionadas a la función de terminación de tráfico público conmutado en las redes autorizadas para prestar el servicio local, analizando las posiciones y elementos aportados por las partes, sobre el establecimiento de tarifas que permitan recuperar el costo incremental promedio de largo plazo (en lo sucesivo, el “CIPLPS“) y los costos comunes atribuibles a dicha función que se determinan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4B6025D0" w14:textId="7AD62558"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Por otra parte, la Condición 2.1 de las Concesiones Celulares de Grupo Telefónica señala la obligación de prestar los servicios comprendidos en dichas concesiones en forma continua y eficiente, cumpliendo con los estándares de calidad y garantizando en todo momento la interoperabilidad e interconexión con otras redes públicas de telecomunicaciones, de conformidad con las disposiciones legales, reglamentarias y administrativas aplicables</w:t>
      </w:r>
    </w:p>
    <w:p w14:paraId="4B6025D1" w14:textId="77777777"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w:t>
      </w:r>
    </w:p>
    <w:p w14:paraId="6821C5C2"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Asimismo, la condición 2.2., de la Concesión de Pegaso establece que: (i) de conformidad con los artículos 41, 42 y 43 de la LFT, dicho concesionario deberá celebrar los convenios de interconexión con cualquier otro concesionario de red pública de telecomunicaciones que se lo solicite y (ii) de conformidad con las leyes, reglamentos, reglas, planes fundamentales y demás disposiciones administrativas de carácter general aplicables, deberá interconectar su red con otras redes autorizadas por la Secretaria que así lo soliciten, de manera no discriminatoria.</w:t>
      </w:r>
    </w:p>
    <w:p w14:paraId="5EE5D75F"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En virtud de lo anterior, se concluye que: (i) la interconexión es el mecanismo que materializa la interoperabilidad de las redes y de los servicios, esto es, que los usuarios de una de las redes públicas de telecomunicaciones puedan conectarse e intercambiar tráfico con los usuarios de la otra red pública de telecomunicaciones y viceversa; (ii) los concesionarios están obligados a interconectar sus redes y, a tal efecto, suscribir un convenio en un plazo no mayor de sesenta (60) días naturales contados a partir de que alguno de ellos lo solicite; (iii) en caso de desacuerdo entre las partes, la Comisión, a solicitud de éstas resolverá los términos, condiciones y tarifas de interconexión no convenidos, (iv) la obligatoriedad de la interconexión incluye el ofrecer de manera no discriminatoria aquellas funciones necesarias para llevar a cabo la interconexión, en las mismas condiciones y con cuando menos la misma calidad de servicio con que se presten a la propia operación, a las filiales y subsidiarias, y (v) los elementos que en términos de las RSLD y </w:t>
      </w:r>
      <w:proofErr w:type="spellStart"/>
      <w:r w:rsidRPr="00654D1D">
        <w:rPr>
          <w:rFonts w:ascii="ITC Avant Garde" w:hAnsi="ITC Avant Garde" w:cs="Arial"/>
          <w:sz w:val="18"/>
          <w:szCs w:val="18"/>
        </w:rPr>
        <w:t>RdSL</w:t>
      </w:r>
      <w:proofErr w:type="spellEnd"/>
      <w:r w:rsidRPr="00654D1D">
        <w:rPr>
          <w:rFonts w:ascii="ITC Avant Garde" w:hAnsi="ITC Avant Garde" w:cs="Arial"/>
          <w:sz w:val="18"/>
          <w:szCs w:val="18"/>
        </w:rPr>
        <w:t>, la Comisión debe considerar para determinar las tarifas de interconexión.”</w:t>
      </w:r>
    </w:p>
    <w:p w14:paraId="16BC007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De la cita realizada de la Resolución Recurrida, se advierte que conforme a las Reglas del Servicio de Larga Distancia y a las Reglas del Servicio Local, la Comisión estaba obligada a fijar tarifas de interconexión “… que permitan recuperar el costo incremental promedio de largo plazo (en lo sucesivo, el “CIPLPS“) y los costos comunes atribuibles a </w:t>
      </w:r>
      <w:r w:rsidRPr="00654D1D">
        <w:rPr>
          <w:rFonts w:ascii="ITC Avant Garde" w:hAnsi="ITC Avant Garde" w:cs="Arial"/>
        </w:rPr>
        <w:lastRenderedPageBreak/>
        <w:t>dicha función que se determinan utilizando una metodología de costeo de acuerdo a bases internacionalmente reconocidas, la evolución de las referencias internacionales y el crecimiento y desarrollo de los mercados de telecomunicaciones en el país…”, por lo que en la Resolución Recurrida se invocaron los fundamentos que justificaron la actuación de la Comisión.</w:t>
      </w:r>
    </w:p>
    <w:p w14:paraId="2C7FAC8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este sentido, si bien en la Ley Federal de Telecomunicaciones no se prevé la determinación de tarifas de interconexión con base en costos, es en disposiciones administradas emanadas de ella que se previó la definición de esas tarifas con base en costos.</w:t>
      </w:r>
    </w:p>
    <w:p w14:paraId="6E3E19D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Considerando lo anterior, resulta infundado que se haya pretendido asumir que la Recurrente perpetra prácticas monopólicas sean relativas o absolutas, ni que tenga poder sustancial en el mercado relevante, puesto que la actuación de la autoridad no se fundamentó en el artículo 63 de la Ley Federal de Telecomunicaciones, sino en las normas antes citadas, que se señaló en la Resolución Recurrida contienen “…los elementos que en términos de las RSLD y </w:t>
      </w:r>
      <w:proofErr w:type="spellStart"/>
      <w:r w:rsidRPr="00654D1D">
        <w:rPr>
          <w:rFonts w:ascii="ITC Avant Garde" w:hAnsi="ITC Avant Garde" w:cs="Arial"/>
        </w:rPr>
        <w:t>RdSL</w:t>
      </w:r>
      <w:proofErr w:type="spellEnd"/>
      <w:r w:rsidRPr="00654D1D">
        <w:rPr>
          <w:rFonts w:ascii="ITC Avant Garde" w:hAnsi="ITC Avant Garde" w:cs="Arial"/>
        </w:rPr>
        <w:t>, la Comisión debe considerar para determinar las tarifas de interconexión.”</w:t>
      </w:r>
    </w:p>
    <w:p w14:paraId="5DBF7FD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el mismo orden de ideas, de las referidas Reglas del Servicio de Larga Distancia y de las Reglas del Servicio Local, se advierte que la Comisión determinará las tarifas de interconexión “… utilizando una metodología de costeo de acuerdo a bases internacionalmente reconocidas…”, por lo que las referencias realizadas en la Resolución Recurrida en relación con el reconocimiento y uso internacional tanto por organismos internacionales, como por órganos reguladores de otros países, al Modelo de Costos Incrementales Totales de Largo Plazo, que fue el empleado por la Comisión, son suficientes para colmar la exigencia de las Reglas con base en las cuales se utilizó dicho modelo de costos para definir las tarifas de interconexión en cuestión.</w:t>
      </w:r>
    </w:p>
    <w:p w14:paraId="13326A6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Cabe reiterar, que contrario a lo que aduce la Recurrente, en el marco jurídico mexicano, específicamente en la Regla 53 de las Reglas del Servicio de Larga Distancia se establece la utilización del modelo de costos para fijar las tarifas de interconexión de un operador, tenga o no poder sustancial en el mercado relevante. </w:t>
      </w:r>
    </w:p>
    <w:p w14:paraId="0064ECB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De lo anterior, resultan inoperantes los argumentos que la Recurrente desarrolla en torno al artículo 63 de la Ley Federal de Telecomunicaciones, pues dicho precepto no fue el fundamento para que la Comisión fijara las tarifas de interconexión previstas en la Resolución Recurrida con base en costos, mediante el empleo del Modelo de Costos Incrementales Totales de Largo Plazo, el cual como se ha reiterado en esta resolución, era el reconocido internacionalmente como el idóneo para definir tarifas de interconexión aplicables en el año 2011, sino que se utilizó dicho modelo de costos </w:t>
      </w:r>
      <w:r w:rsidRPr="00654D1D">
        <w:rPr>
          <w:rFonts w:ascii="ITC Avant Garde" w:hAnsi="ITC Avant Garde" w:cs="Arial"/>
        </w:rPr>
        <w:lastRenderedPageBreak/>
        <w:t xml:space="preserve">atendiendo a lo previsto en las Reglas del Servicio Local y la Reglas del Servicio de Larga Distancia invocadas en la Resolución Recurrida, y citadas con anterioridad en esta resolución.  </w:t>
      </w:r>
    </w:p>
    <w:p w14:paraId="5F2969C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Sin perjuicio de lo anterior, también resulta infundado lo manifestado por la Recurrente en relación con el artículo 63 de la Ley Federal de Telecomunicaciones, ya que dicho precepto si establece una obligación tanto para el agente económico dominante, como para la autoridad, de que las tarifas por servicios sean fijadas considerando por lo menos la recuperación del costo incremental promedio de largo plazo, de forma que el dominante no fije tarifas por debajo de costos, afectando la sana competencia, pues al ser el dominante no habrá competidor que pueda ofrecer tarifas más bajas y continuar operando en el largo plazo, atendiendo al concepto mismo del “costo incremental promedio de largo plazo”.</w:t>
      </w:r>
    </w:p>
    <w:p w14:paraId="1B6084F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Así, esa disposición legal no prevé un derecho para el agente dominante, sino una obligación de no ofrecer tarifas por debajo del costo incremental promedio de largo plazo, por lo que los argumentos de la Recurrente al partir de una interpretación indebida del artículo 63 de la Ley invocada, el que además no fue aplicado en la Resolución Recurrida, son infundados e inoperantes.</w:t>
      </w:r>
    </w:p>
    <w:p w14:paraId="438B5E1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Ahora bien, respecto de lo manifestado por la Recurrente en el sentido que en la Resolución Recurrida se pretende darle infundadamente a la Recurrente el carácter de un operador con poder sustancial en el mercado, al basar el modelo en un operador "eficiente" que mantiene el control del 25% del mercado relevante, cuando que en la realidad la Recurrente ostenta una cuota de accesos en el mercado del orden del 21%, es infundado, ya que el modelo de costos desarrollado acude a un operador hipotético, tal y como que quedado expuesto en esta resolución, por lo que las manifestaciones de la Recurrente son infundadas.</w:t>
      </w:r>
    </w:p>
    <w:p w14:paraId="4B6025E8" w14:textId="60DAC383" w:rsidR="003E526D" w:rsidRPr="00654D1D" w:rsidRDefault="003E526D" w:rsidP="00654D1D">
      <w:pPr>
        <w:tabs>
          <w:tab w:val="left" w:pos="0"/>
        </w:tabs>
        <w:spacing w:before="240"/>
        <w:jc w:val="both"/>
        <w:rPr>
          <w:rFonts w:ascii="ITC Avant Garde" w:eastAsia="Times New Roman" w:hAnsi="ITC Avant Garde" w:cs="Arial"/>
          <w:lang w:val="es-ES_tradnl" w:eastAsia="es-MX"/>
        </w:rPr>
      </w:pPr>
      <w:r w:rsidRPr="00654D1D">
        <w:rPr>
          <w:rFonts w:ascii="ITC Avant Garde" w:eastAsia="Times New Roman" w:hAnsi="ITC Avant Garde" w:cs="Arial"/>
          <w:lang w:val="es-ES_tradnl" w:eastAsia="es-MX"/>
        </w:rPr>
        <w:t>Ahora bien, por cuanto a que con el cálculo de las tarifas de interconexión en base a costos esta Comisión incumple con lo establecido en el artículo 7 de la LFT, en específico lo referente a continuar con la promoción de la cobertura social a que está obligada la Recurrente en términos de la Ley y de su Título de Concesión, resultan en meras suposiciones los argumentos de la Recurrente que se desestiman por infundadas, ya que su viabilidad financiera no depende únicamente de las tarifas de interconexión.</w:t>
      </w:r>
    </w:p>
    <w:p w14:paraId="130E0230" w14:textId="77777777" w:rsidR="00654D1D" w:rsidRPr="00654D1D" w:rsidRDefault="003E526D" w:rsidP="00654D1D">
      <w:pPr>
        <w:tabs>
          <w:tab w:val="left" w:pos="0"/>
        </w:tabs>
        <w:spacing w:before="240"/>
        <w:jc w:val="both"/>
        <w:rPr>
          <w:rFonts w:ascii="ITC Avant Garde" w:eastAsia="Times New Roman" w:hAnsi="ITC Avant Garde" w:cs="Arial"/>
          <w:lang w:val="es-ES_tradnl" w:eastAsia="es-MX"/>
        </w:rPr>
      </w:pPr>
      <w:r w:rsidRPr="00654D1D">
        <w:rPr>
          <w:rFonts w:ascii="ITC Avant Garde" w:eastAsia="Times New Roman" w:hAnsi="ITC Avant Garde" w:cs="Arial"/>
          <w:lang w:val="es-ES_tradnl" w:eastAsia="es-MX"/>
        </w:rPr>
        <w:t xml:space="preserve">Ahora bien, la forma de determinar las tarifas en nada transgrede lo que establece el artículo 7 de la LFT, pues los objetivos que dicho artículo consagra, sí fueron tomados en cuenta por esta Comisión al emitirse la Resolución recurrida, precisamente el método de costeo en este momento, permite fomentar una sana competencia entre los </w:t>
      </w:r>
      <w:r w:rsidRPr="00654D1D">
        <w:rPr>
          <w:rFonts w:ascii="ITC Avant Garde" w:eastAsia="Times New Roman" w:hAnsi="ITC Avant Garde" w:cs="Arial"/>
          <w:lang w:val="es-ES_tradnl" w:eastAsia="es-MX"/>
        </w:rPr>
        <w:lastRenderedPageBreak/>
        <w:t>concesionarios, así como permitir un desarrollo eficiente en las telecomunicaciones, siendo que con ello se promueve una adecuada cobertura social.</w:t>
      </w:r>
    </w:p>
    <w:p w14:paraId="32001A11" w14:textId="77777777" w:rsidR="00654D1D" w:rsidRPr="00654D1D" w:rsidRDefault="003E526D" w:rsidP="00654D1D">
      <w:pPr>
        <w:tabs>
          <w:tab w:val="left" w:pos="0"/>
        </w:tabs>
        <w:spacing w:before="240"/>
        <w:jc w:val="both"/>
        <w:rPr>
          <w:rFonts w:ascii="ITC Avant Garde" w:eastAsia="Times New Roman" w:hAnsi="ITC Avant Garde" w:cs="Arial"/>
          <w:lang w:val="es-ES_tradnl" w:eastAsia="es-MX"/>
        </w:rPr>
      </w:pPr>
      <w:r w:rsidRPr="00654D1D">
        <w:rPr>
          <w:rFonts w:ascii="ITC Avant Garde" w:eastAsia="Times New Roman" w:hAnsi="ITC Avant Garde" w:cs="Arial"/>
          <w:lang w:val="es-ES_tradnl" w:eastAsia="es-MX"/>
        </w:rPr>
        <w:t>En efecto, como puede apreciarse de la redacción de la Recurrente, son meras suposiciones que se desestiman por infundadas, ya que sólo se enfocan a determinar que el método de costeo para determinar las tarifas de interconexión afecta al desarrollo de una cobertura social, más sin embargo nunca manifiesta o indica con qué método si se beneficia dicho desarrollo, además de que nunca prueba el impedimento para el desarrollo de la cobertura social.</w:t>
      </w:r>
    </w:p>
    <w:p w14:paraId="73328D1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Respecto de los argumentos que la Recurrente expone en relación con el principio de libertad tarifaria en el sector de las telecomunicaciones, tenemos que de acuerdo con el principio de libertad tarifaria, los concesionarios de redes públicas de telecomunicaciones pueden convenir voluntariamente las tarifas correspondientes a los servicios de interconexión, con la posibilidad de que el órgano regulador intervenga, ante el eventual desacuerdo entre las partes, y en este último caso, es que la Comisión contaba con límites a su actuación, definidos en las Reglas del Servicio Local y las Reglas del Servicio de Larga Distancia, conforme a los que debía definir “…el establecimiento de tarifas que permitan recuperar el costo incremental promedio de largo plazo (en lo sucesivo, el “CIPLPS“) y los costos comunes atribuibles a dicha función que se determinan utilizando una metodología de costeo de acuerdo a bases internacionalmente reconocidas…”</w:t>
      </w:r>
    </w:p>
    <w:p w14:paraId="49107411" w14:textId="77777777" w:rsidR="00654D1D" w:rsidRPr="00654D1D" w:rsidRDefault="003E526D" w:rsidP="00654D1D">
      <w:pPr>
        <w:spacing w:before="240"/>
        <w:ind w:right="23"/>
        <w:jc w:val="both"/>
        <w:rPr>
          <w:rFonts w:ascii="ITC Avant Garde" w:hAnsi="ITC Avant Garde" w:cs="Arial"/>
        </w:rPr>
      </w:pPr>
      <w:r w:rsidRPr="00654D1D">
        <w:rPr>
          <w:rFonts w:ascii="ITC Avant Garde" w:hAnsi="ITC Avant Garde" w:cs="Arial"/>
        </w:rPr>
        <w:t>Por cuanto a que con las tarifas fijadas en costos no es posible que la Recurrente pueda continuar prestando los servicios de interconexión en condiciones satisfactorias de calidad, competitividad, seguridad y permanencia ya que no le es posible recuperar siquiera las inversiones de capital, es de manifestarse que no le asiste la razón ya que se trata de meras suposiciones sin sustento alguno, por lo que las mismas resultan infundadas.</w:t>
      </w:r>
    </w:p>
    <w:p w14:paraId="46A3A0C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otra parte, respecto de lo manifestado por la Recurrente en el sentido que la Resolución Recurrida se desprende que la Comisión aplica principios derivados del Plan de Interconexión pretendiendo fundar su resolución, es infundado.</w:t>
      </w:r>
    </w:p>
    <w:p w14:paraId="7A446ED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Lo anterior, ya que la consideración a que la Recurrente pretende aludir es del tenor literal siguiente:</w:t>
      </w:r>
    </w:p>
    <w:p w14:paraId="5C63F101"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“En este tenor, para la determinación de las tarifas de interconexión relacionadas con la función de terminación de tráfico público conmutado en las redes públicas de telecomunicaciones de servicio local móvil de Grupo Telefónica, esta Comisión considera que los objetivos plasmados en el artículo 7 de la LFT establecen las bases para la fijación de las tarifas de interconexión con base a costos. Asimismo, las </w:t>
      </w:r>
      <w:proofErr w:type="spellStart"/>
      <w:r w:rsidRPr="00654D1D">
        <w:rPr>
          <w:rFonts w:ascii="ITC Avant Garde" w:hAnsi="ITC Avant Garde" w:cs="Arial"/>
          <w:sz w:val="18"/>
          <w:szCs w:val="18"/>
        </w:rPr>
        <w:t>RdSL</w:t>
      </w:r>
      <w:proofErr w:type="spellEnd"/>
      <w:r w:rsidRPr="00654D1D">
        <w:rPr>
          <w:rFonts w:ascii="ITC Avant Garde" w:hAnsi="ITC Avant Garde" w:cs="Arial"/>
          <w:sz w:val="18"/>
          <w:szCs w:val="18"/>
        </w:rPr>
        <w:t xml:space="preserve"> y las RSLD establecen claramente </w:t>
      </w:r>
      <w:r w:rsidRPr="00654D1D">
        <w:rPr>
          <w:rFonts w:ascii="ITC Avant Garde" w:hAnsi="ITC Avant Garde" w:cs="Arial"/>
          <w:sz w:val="18"/>
          <w:szCs w:val="18"/>
        </w:rPr>
        <w:lastRenderedPageBreak/>
        <w:t>los lineamientos que deberá seguir la autoridad para el establecimiento de dichas tarifas de interconexión en caso de un desacuerdo de interconexión al amparo del artículo 42 de la LFT, esto es, se deberán establecer para todos los casos tarifas que permitan recuperar los CIPLPS y los costos comunes atribuibles a dicha función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7EDF794F"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En este sentido de la interpretación y aplicación de los artículos 7 y 41 de la LFT, se desprende que la Comisión deberá seguir la metodología indicada en el párrafo anterior.</w:t>
      </w:r>
    </w:p>
    <w:p w14:paraId="045C9347"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Al efecto, el artículo 7 de la LFT establece lo siguiente:</w:t>
      </w:r>
    </w:p>
    <w:p w14:paraId="5D3BFD05"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w:t>
      </w:r>
    </w:p>
    <w:p w14:paraId="3641A699"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Asimismo, el artículo 41 de la LFT establece lo siguiente:</w:t>
      </w:r>
    </w:p>
    <w:p w14:paraId="3174E545"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w:t>
      </w:r>
    </w:p>
    <w:p w14:paraId="5F52E170"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42430E2A"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Según se desprende de los preceptos arriba citados, el desarrollo eficiente de las telecomunicaciones y el fomento de una sana competencia entre los prestadores de servicios de telecomunicaciones, son dos principios esenciales, entre otros, que deben regir el actuar administrativo de la Comisión.</w:t>
      </w:r>
    </w:p>
    <w:p w14:paraId="40C453AC"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Como se desprende de los articulas 7 fracciones II y III, 9-A fracción I y 41 de la LFT, así como de la fracción II, del artículo 9 del Reglamento Interior de la Comisión, esta última está obligada a promover el desarrollo eficiente de las telecomunicaciones fomentando una sana competencia entre los prestadores de servicios de telecomunicaciones, para que dichos servicios se presten con mejores precios, diversidad y calidad en beneficio de todos los que los usamos. La Comisión debe, como órgano regulador técnico, en términos de la fracción II del artículo citado, promover y vigilar la eficiente interconexión de los diferentes equipos y redes de telecomunicación y para tal efecto puede, en términos de la fracción III del precepto citado, expedir las disposiciones administrativas para cumplir tal encomienda, ya sea vía acto administrativo de carácter particular o general, en términos del artículo 4º de la LFPA.”</w:t>
      </w:r>
    </w:p>
    <w:p w14:paraId="699BABDC" w14:textId="43E0DB04" w:rsidR="00654D1D" w:rsidRPr="00654D1D" w:rsidRDefault="003E526D" w:rsidP="00654D1D">
      <w:pPr>
        <w:spacing w:before="240"/>
        <w:jc w:val="both"/>
        <w:rPr>
          <w:rFonts w:ascii="ITC Avant Garde" w:hAnsi="ITC Avant Garde" w:cs="Arial"/>
        </w:rPr>
      </w:pPr>
      <w:r w:rsidRPr="00654D1D">
        <w:rPr>
          <w:rFonts w:ascii="ITC Avant Garde" w:hAnsi="ITC Avant Garde" w:cs="Arial"/>
        </w:rPr>
        <w:t>De la cita realizada, no se desprende que en la Resolución Recurrida se haya invocado ni aplicado el Plan de Interconexión, respecto de cuya aplicación la Recurrente tiene una sentencia de amparo a su favor, sino que únicamente se hace alusión genérica a los objetivos y principios que la Ley Federal de Telecomunicaciones establecía para los planes técnicos fundamentales, por lo que su argumento es infundado.</w:t>
      </w:r>
    </w:p>
    <w:p w14:paraId="39B9C78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Asimismo, resulta infundado e inoperante el argumento de la Recurrente en que sostiene que la fijación de tarifas de interconexión con base en costos no tiene fundamento en diversas normas invocadas en la Resolución Recurrida.</w:t>
      </w:r>
    </w:p>
    <w:p w14:paraId="7F02B74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efecto, de la revisión de la Resolución Recurrida se advierte que los artículos 7, 41 y 42 de la Ley Federal de Telecomunicaciones fueron invocados en tanto que el primero de ellos establece los objetivos de la misma Ley, y los últimos regulan fundamentalmente la interconexión. </w:t>
      </w:r>
    </w:p>
    <w:p w14:paraId="51E306B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su parte, si bien es cierto que la Regla Novena Transitoria de las Reglas del Servicio Local se refiere a “tarifas por llevar a cabo la función de terminación conmutada entre redes autorizadas para prestar el servicio local fijo”, esto es, alude a la clase de servicios autorizados en las concesiones, resultando que los títulos de concesión de la Recurrente y de una de las tercero perjudicadas son títulos de concesión para instalar, operar y explotar una red pública de telecomunicaciones para prestar el servicio de acceso inalámbrico fijo o móvil, por lo que resulta aplicable la Regla invocada, contrario a lo que invoca la Recurrente.</w:t>
      </w:r>
    </w:p>
    <w:p w14:paraId="7F82A7F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cuanto a lo manifestado respecto de la Regla 53 de las Reglas de Larga Distancia, de la lectura de la misma y de la revisión integral de las Reglas de Larga Distancia, </w:t>
      </w:r>
      <w:r w:rsidRPr="00654D1D">
        <w:rPr>
          <w:rFonts w:ascii="ITC Avant Garde" w:hAnsi="ITC Avant Garde" w:cs="Arial"/>
          <w:b/>
        </w:rPr>
        <w:t>no se advierte que sea aplicable exclusivamente</w:t>
      </w:r>
      <w:r w:rsidRPr="00654D1D">
        <w:rPr>
          <w:rFonts w:ascii="ITC Avant Garde" w:hAnsi="ITC Avant Garde" w:cs="Arial"/>
        </w:rPr>
        <w:t xml:space="preserve"> en tratándose de operadores con poder sustancial en el mercado relevante, contrario a lo que aduce la Recurrente.</w:t>
      </w:r>
    </w:p>
    <w:p w14:paraId="3BBE36B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Respecto de lo manifestado por la Recurrente en cuanto a la inaplicabilidad del Plan Técnico Fundamental de Interconexión, como se ha establecido en líneas precedentes, la referencia de la Resolución Recurrida se realizó respecto de los objetivos y principios de los planes técnicos fundamentales en general, y no en particular respecto del Plan Técnico Fundamental de Interconexión que fue respecto del cual se concedió el amparo a la Recurrente, por lo que sus manifestaciones son inoperantes.</w:t>
      </w:r>
    </w:p>
    <w:p w14:paraId="1CB5237A" w14:textId="243F0059" w:rsidR="00654D1D" w:rsidRPr="00654D1D" w:rsidRDefault="003E526D" w:rsidP="00654D1D">
      <w:pPr>
        <w:spacing w:before="240"/>
        <w:jc w:val="both"/>
        <w:rPr>
          <w:rFonts w:ascii="ITC Avant Garde" w:hAnsi="ITC Avant Garde" w:cs="Arial"/>
        </w:rPr>
      </w:pPr>
      <w:r w:rsidRPr="00654D1D">
        <w:rPr>
          <w:rFonts w:ascii="ITC Avant Garde" w:hAnsi="ITC Avant Garde" w:cs="Arial"/>
        </w:rPr>
        <w:t>Lo anterior, sin perjuicio que la Recurrente, no precisa qué principio concreto del Plan Técnico Fundamental de Interconexión considera le fue aplicado en la Resolución Recurrida, para acreditar una indebida aplicación de dicho plan, por lo que al no demostrar que efectivamente le fue aplicado el plan invocado ni alguno de sus principios, sus argumentos devienen inoperantes.</w:t>
      </w:r>
    </w:p>
    <w:p w14:paraId="726A5A8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lo que se refiere a las referencias internacionales que se realizan en la Resolución Recurrida, bien se han invocado las opiniones de organismos internacionales, o la postura adoptada por órganos reguladores de otros países, no se realizan como si se tratara de cuerpos normativos aplicables en México, sino para demostrar cuáles son las bases internacionalmente reconocidas, conforme a uno de los elementos exigidos por </w:t>
      </w:r>
      <w:r w:rsidRPr="00654D1D">
        <w:rPr>
          <w:rFonts w:ascii="ITC Avant Garde" w:hAnsi="ITC Avant Garde" w:cs="Arial"/>
        </w:rPr>
        <w:lastRenderedPageBreak/>
        <w:t>las Reglas multicitadas para elegir la metodología de costos aplicable. En consecuencia, lo argumentado por la Recurrente es infundado.</w:t>
      </w:r>
    </w:p>
    <w:p w14:paraId="4807A7B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relación con lo manifestado por la Recurrente en el sentido que no existe a la fecha determinación definitiva y firme de poder sustancial en el mercado relevante en contra de la Recurrente, es inoperante, ya que como se ha expuesto en líneas precedentes no se aplicó el artículo 63 de la Ley Federal de Telecomunicaciones a la Recurrente, y las interpretaciones de la Recurrente respecto de dicho precepto son indebidas.</w:t>
      </w:r>
    </w:p>
    <w:p w14:paraId="68D7D6E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lo que se refiere a que se debió utilizar el artículo 95 del Reglamento de Telecomunicaciones, es infundado, ya que existen normas posteriores y emanadas de la Ley Federal de Telecomunicaciones, como son las Reglas del Servicio Local y las Reglas de Larga Distancia, que prevén los elementos que debían considerarse para determinar tarifas de interconexión por la autoridad.</w:t>
      </w:r>
    </w:p>
    <w:p w14:paraId="4614DC2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lo que se refiere a la ausencia de declaración de poder sustancial respecto de la Recurrente, por parte de la Comisión Federal de Telecomunicaciones, máxime que la aplicabilidad del modelo de costos se encuentra supeditado a la detentación de un poder sustancial en el mercado relevante en términos del artículo 63 de la Ley Federal de Telecomunicaciones, dicho argumento es infundado.</w:t>
      </w:r>
    </w:p>
    <w:p w14:paraId="4B60261E" w14:textId="3B5BA6A5" w:rsidR="003E526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Lo anterior, al reiterarse que la Resolución recurrida hace referencia a la Regla 53 de las Reglas de Larga Distancia, y en ese sentido no puede señalarse una aplicación del artículo 63 invocado por la Recurrente, aunado al hecho de que la Regla 53 de las Reglas de Larga Distancia, de la lectura de la misma y de la revisión integral de las Reglas de Larga Distancia, </w:t>
      </w:r>
      <w:r w:rsidRPr="00654D1D">
        <w:rPr>
          <w:rFonts w:ascii="ITC Avant Garde" w:hAnsi="ITC Avant Garde" w:cs="Arial"/>
          <w:b/>
        </w:rPr>
        <w:t>no se advierte que sea aplicable exclusivamente</w:t>
      </w:r>
      <w:r w:rsidRPr="00654D1D">
        <w:rPr>
          <w:rFonts w:ascii="ITC Avant Garde" w:hAnsi="ITC Avant Garde" w:cs="Arial"/>
        </w:rPr>
        <w:t xml:space="preserve"> en tratándose de operadores con poder sustancial en el mercado relevante, contrario a lo que aduce la Recurrente, por lo que su argumento se torna en infundado.</w:t>
      </w:r>
    </w:p>
    <w:p w14:paraId="5481751B" w14:textId="77777777"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NOVENO</w:t>
      </w:r>
      <w:r w:rsidRPr="00654D1D">
        <w:rPr>
          <w:rFonts w:ascii="ITC Avant Garde" w:hAnsi="ITC Avant Garde" w:cs="Arial"/>
        </w:rPr>
        <w:t>, en el que invoca que la Resolución Recurrida no fija una justa retribución y restringe la libertad de trabajo, por lo que está viciada de una indebida motivación al no acatar lo dispuesto por el artículo 5 de la Constitución en relación con el artículo 3, fracción V, de la Ley Federal de Procedimiento Administrativo, es infundado.</w:t>
      </w:r>
    </w:p>
    <w:p w14:paraId="4B602623" w14:textId="294EF107" w:rsidR="003E526D" w:rsidRPr="00654D1D" w:rsidRDefault="003E526D" w:rsidP="00654D1D">
      <w:pPr>
        <w:spacing w:before="240"/>
        <w:jc w:val="both"/>
        <w:rPr>
          <w:rFonts w:ascii="ITC Avant Garde" w:eastAsia="Calibri" w:hAnsi="ITC Avant Garde" w:cs="Arial"/>
        </w:rPr>
      </w:pPr>
      <w:r w:rsidRPr="00654D1D">
        <w:rPr>
          <w:rFonts w:ascii="ITC Avant Garde" w:eastAsia="Calibri" w:hAnsi="ITC Avant Garde" w:cs="Arial"/>
        </w:rPr>
        <w:t xml:space="preserve">Los argumentos de la Recurrente resultan infundados, si tenemos que la libertad de comercio y la libertad contractual, reconocida en el artículo 5 Constitucional, han sido interpretadas, entre otros, en los siguientes criterios: </w:t>
      </w:r>
    </w:p>
    <w:p w14:paraId="4B602624" w14:textId="77777777" w:rsidR="003E526D" w:rsidRPr="00654D1D" w:rsidRDefault="003E526D" w:rsidP="00654D1D">
      <w:pPr>
        <w:spacing w:before="240"/>
        <w:ind w:left="567" w:right="612"/>
        <w:jc w:val="both"/>
        <w:rPr>
          <w:rFonts w:ascii="ITC Avant Garde" w:eastAsia="Calibri" w:hAnsi="ITC Avant Garde" w:cs="Arial"/>
          <w:sz w:val="18"/>
          <w:szCs w:val="18"/>
        </w:rPr>
      </w:pPr>
      <w:r w:rsidRPr="00654D1D">
        <w:rPr>
          <w:rFonts w:ascii="ITC Avant Garde" w:eastAsia="Calibri" w:hAnsi="ITC Avant Garde" w:cs="Arial"/>
          <w:sz w:val="18"/>
          <w:szCs w:val="18"/>
        </w:rPr>
        <w:t xml:space="preserve">Época: Novena Época </w:t>
      </w:r>
    </w:p>
    <w:p w14:paraId="4B602625" w14:textId="77777777" w:rsidR="003E526D" w:rsidRPr="00654D1D" w:rsidRDefault="003E526D" w:rsidP="00654D1D">
      <w:pPr>
        <w:spacing w:before="240"/>
        <w:ind w:left="567" w:right="612"/>
        <w:jc w:val="both"/>
        <w:rPr>
          <w:rFonts w:ascii="ITC Avant Garde" w:eastAsia="Calibri" w:hAnsi="ITC Avant Garde" w:cs="Arial"/>
          <w:sz w:val="18"/>
          <w:szCs w:val="18"/>
        </w:rPr>
      </w:pPr>
      <w:r w:rsidRPr="00654D1D">
        <w:rPr>
          <w:rFonts w:ascii="ITC Avant Garde" w:eastAsia="Calibri" w:hAnsi="ITC Avant Garde" w:cs="Arial"/>
          <w:sz w:val="18"/>
          <w:szCs w:val="18"/>
        </w:rPr>
        <w:lastRenderedPageBreak/>
        <w:t xml:space="preserve">Registro: 191691 </w:t>
      </w:r>
    </w:p>
    <w:p w14:paraId="4B602626" w14:textId="77777777" w:rsidR="003E526D" w:rsidRPr="00654D1D" w:rsidRDefault="003E526D" w:rsidP="00654D1D">
      <w:pPr>
        <w:spacing w:before="240"/>
        <w:ind w:left="567" w:right="612"/>
        <w:jc w:val="both"/>
        <w:rPr>
          <w:rFonts w:ascii="ITC Avant Garde" w:eastAsia="Calibri" w:hAnsi="ITC Avant Garde" w:cs="Arial"/>
          <w:sz w:val="18"/>
          <w:szCs w:val="18"/>
        </w:rPr>
      </w:pPr>
      <w:r w:rsidRPr="00654D1D">
        <w:rPr>
          <w:rFonts w:ascii="ITC Avant Garde" w:eastAsia="Calibri" w:hAnsi="ITC Avant Garde" w:cs="Arial"/>
          <w:sz w:val="18"/>
          <w:szCs w:val="18"/>
        </w:rPr>
        <w:t xml:space="preserve">Instancia: Pleno </w:t>
      </w:r>
    </w:p>
    <w:p w14:paraId="4B602627" w14:textId="77777777" w:rsidR="003E526D" w:rsidRPr="00654D1D" w:rsidRDefault="003E526D" w:rsidP="00654D1D">
      <w:pPr>
        <w:spacing w:before="240"/>
        <w:ind w:left="567" w:right="612"/>
        <w:jc w:val="both"/>
        <w:rPr>
          <w:rFonts w:ascii="ITC Avant Garde" w:eastAsia="Calibri" w:hAnsi="ITC Avant Garde" w:cs="Arial"/>
          <w:sz w:val="18"/>
          <w:szCs w:val="18"/>
        </w:rPr>
      </w:pPr>
      <w:r w:rsidRPr="00654D1D">
        <w:rPr>
          <w:rFonts w:ascii="ITC Avant Garde" w:eastAsia="Calibri" w:hAnsi="ITC Avant Garde" w:cs="Arial"/>
          <w:sz w:val="18"/>
          <w:szCs w:val="18"/>
        </w:rPr>
        <w:t xml:space="preserve">Tipo de Tesis: Aislada </w:t>
      </w:r>
    </w:p>
    <w:p w14:paraId="4B602628" w14:textId="77777777" w:rsidR="003E526D" w:rsidRPr="00654D1D" w:rsidRDefault="003E526D" w:rsidP="00654D1D">
      <w:pPr>
        <w:spacing w:before="240"/>
        <w:ind w:left="567" w:right="612"/>
        <w:jc w:val="both"/>
        <w:rPr>
          <w:rFonts w:ascii="ITC Avant Garde" w:eastAsia="Calibri" w:hAnsi="ITC Avant Garde" w:cs="Arial"/>
          <w:sz w:val="18"/>
          <w:szCs w:val="18"/>
        </w:rPr>
      </w:pPr>
      <w:r w:rsidRPr="00654D1D">
        <w:rPr>
          <w:rFonts w:ascii="ITC Avant Garde" w:eastAsia="Calibri" w:hAnsi="ITC Avant Garde" w:cs="Arial"/>
          <w:sz w:val="18"/>
          <w:szCs w:val="18"/>
        </w:rPr>
        <w:t xml:space="preserve">Fuente: Semanario Judicial de la Federación y su Gaceta </w:t>
      </w:r>
    </w:p>
    <w:p w14:paraId="4B602629" w14:textId="77777777" w:rsidR="003E526D" w:rsidRPr="00654D1D" w:rsidRDefault="003E526D" w:rsidP="00654D1D">
      <w:pPr>
        <w:spacing w:before="240"/>
        <w:ind w:left="567" w:right="612"/>
        <w:jc w:val="both"/>
        <w:rPr>
          <w:rFonts w:ascii="ITC Avant Garde" w:eastAsia="Calibri" w:hAnsi="ITC Avant Garde" w:cs="Arial"/>
          <w:sz w:val="18"/>
          <w:szCs w:val="18"/>
        </w:rPr>
      </w:pPr>
      <w:r w:rsidRPr="00654D1D">
        <w:rPr>
          <w:rFonts w:ascii="ITC Avant Garde" w:eastAsia="Calibri" w:hAnsi="ITC Avant Garde" w:cs="Arial"/>
          <w:sz w:val="18"/>
          <w:szCs w:val="18"/>
        </w:rPr>
        <w:t xml:space="preserve">Tomo XI, Junio de 2000 </w:t>
      </w:r>
    </w:p>
    <w:p w14:paraId="4B60262A" w14:textId="77777777" w:rsidR="003E526D" w:rsidRPr="00654D1D" w:rsidRDefault="003E526D" w:rsidP="00654D1D">
      <w:pPr>
        <w:spacing w:before="240"/>
        <w:ind w:left="567" w:right="612"/>
        <w:jc w:val="both"/>
        <w:rPr>
          <w:rFonts w:ascii="ITC Avant Garde" w:eastAsia="Calibri" w:hAnsi="ITC Avant Garde" w:cs="Arial"/>
          <w:sz w:val="18"/>
          <w:szCs w:val="18"/>
        </w:rPr>
      </w:pPr>
      <w:r w:rsidRPr="00654D1D">
        <w:rPr>
          <w:rFonts w:ascii="ITC Avant Garde" w:eastAsia="Calibri" w:hAnsi="ITC Avant Garde" w:cs="Arial"/>
          <w:sz w:val="18"/>
          <w:szCs w:val="18"/>
        </w:rPr>
        <w:t xml:space="preserve">Materia(s): Constitucional </w:t>
      </w:r>
    </w:p>
    <w:p w14:paraId="4B60262B" w14:textId="77777777" w:rsidR="003E526D" w:rsidRPr="00654D1D" w:rsidRDefault="003E526D" w:rsidP="00654D1D">
      <w:pPr>
        <w:spacing w:before="240"/>
        <w:ind w:left="567" w:right="612"/>
        <w:jc w:val="both"/>
        <w:rPr>
          <w:rFonts w:ascii="ITC Avant Garde" w:eastAsia="Calibri" w:hAnsi="ITC Avant Garde" w:cs="Arial"/>
          <w:sz w:val="18"/>
          <w:szCs w:val="18"/>
        </w:rPr>
      </w:pPr>
      <w:r w:rsidRPr="00654D1D">
        <w:rPr>
          <w:rFonts w:ascii="ITC Avant Garde" w:eastAsia="Calibri" w:hAnsi="ITC Avant Garde" w:cs="Arial"/>
          <w:sz w:val="18"/>
          <w:szCs w:val="18"/>
        </w:rPr>
        <w:t xml:space="preserve">Tesis: P. LXXXVIII/2000 </w:t>
      </w:r>
    </w:p>
    <w:p w14:paraId="2A19024E" w14:textId="77777777" w:rsidR="00654D1D" w:rsidRPr="00654D1D" w:rsidRDefault="003E526D" w:rsidP="00654D1D">
      <w:pPr>
        <w:spacing w:before="240"/>
        <w:ind w:left="567" w:right="612"/>
        <w:jc w:val="both"/>
        <w:rPr>
          <w:rFonts w:ascii="ITC Avant Garde" w:eastAsia="Calibri" w:hAnsi="ITC Avant Garde" w:cs="Arial"/>
          <w:sz w:val="18"/>
          <w:szCs w:val="18"/>
        </w:rPr>
      </w:pPr>
      <w:r w:rsidRPr="00654D1D">
        <w:rPr>
          <w:rFonts w:ascii="ITC Avant Garde" w:eastAsia="Calibri" w:hAnsi="ITC Avant Garde" w:cs="Arial"/>
          <w:sz w:val="18"/>
          <w:szCs w:val="18"/>
        </w:rPr>
        <w:t xml:space="preserve">Página: 28 </w:t>
      </w:r>
    </w:p>
    <w:p w14:paraId="19234932" w14:textId="77777777" w:rsidR="00654D1D" w:rsidRPr="00654D1D" w:rsidRDefault="003E526D" w:rsidP="00654D1D">
      <w:pPr>
        <w:spacing w:before="240"/>
        <w:ind w:left="567" w:right="615"/>
        <w:jc w:val="both"/>
        <w:rPr>
          <w:rFonts w:ascii="ITC Avant Garde" w:eastAsia="Calibri" w:hAnsi="ITC Avant Garde" w:cs="Arial"/>
          <w:sz w:val="18"/>
          <w:szCs w:val="18"/>
        </w:rPr>
      </w:pPr>
      <w:r w:rsidRPr="00654D1D">
        <w:rPr>
          <w:rFonts w:ascii="ITC Avant Garde" w:eastAsia="Calibri" w:hAnsi="ITC Avant Garde" w:cs="Arial"/>
          <w:b/>
          <w:sz w:val="18"/>
          <w:szCs w:val="18"/>
        </w:rPr>
        <w:t>LIBERTAD DE COMERCIO. ALCANCES DE LO DISPUESTO EN EL ARTÍCULO 5o. DE LA CONSTITUCIÓN FEDERAL.</w:t>
      </w:r>
      <w:r w:rsidRPr="00654D1D">
        <w:rPr>
          <w:rFonts w:ascii="ITC Avant Garde" w:eastAsia="Calibri" w:hAnsi="ITC Avant Garde" w:cs="Arial"/>
          <w:sz w:val="18"/>
          <w:szCs w:val="18"/>
        </w:rPr>
        <w:t xml:space="preserve"> De la interpretación que esta Suprema Corte de Justicia de la Nación ha establecido sobre el artículo 5o. de la Constitución Política de los Estados Unidos Mexicanos, se desprende que, por un lado, la garantía de libre comercio no es absoluta, irrestricta e ilimitada, sino que requiere que la actividad que realice el gobernado sea lícita, es decir, que esté permitida por la ley; y, por el otro, que el propio precepto establece que su ejercicio sólo puede limitarse en dos supuestos: por determinación judicial, cuando se lesionen los derechos de tercero, o bien, por resolución gubernativa en los casos específicos que marque la ley, siempre y cuando se ofendan los derechos de la sociedad. Lo anterior implica que la garantía en cuestión será exigible en aquellos casos en que la actividad, aunque lícita, no afecte el interés público, entendido éste como el imperativo que subyace frente al derecho de los gobernados en lo individual que se traduce en la convivencia y bienestar social. En ese sentido, cuando a través de una resolución gubernativa se limite el ejercicio de la citada garantía, se requiere, necesariamente, que el ordenamiento que la restringe contenga un principio de razón legítima que sustente el interés de la sociedad y que tienda a proteger sus derechos.</w:t>
      </w:r>
    </w:p>
    <w:p w14:paraId="32FE305F" w14:textId="77777777" w:rsidR="00654D1D" w:rsidRPr="00654D1D" w:rsidRDefault="003E526D" w:rsidP="00654D1D">
      <w:pPr>
        <w:spacing w:before="240"/>
        <w:ind w:left="567" w:right="612"/>
        <w:jc w:val="both"/>
        <w:rPr>
          <w:rFonts w:ascii="ITC Avant Garde" w:eastAsia="Calibri" w:hAnsi="ITC Avant Garde" w:cs="Arial"/>
          <w:sz w:val="18"/>
          <w:szCs w:val="18"/>
        </w:rPr>
      </w:pPr>
      <w:r w:rsidRPr="00654D1D">
        <w:rPr>
          <w:rFonts w:ascii="ITC Avant Garde" w:eastAsia="Calibri" w:hAnsi="ITC Avant Garde" w:cs="Arial"/>
          <w:sz w:val="18"/>
          <w:szCs w:val="18"/>
        </w:rPr>
        <w:t xml:space="preserve">Amparo en revisión 2352/97. </w:t>
      </w:r>
      <w:proofErr w:type="spellStart"/>
      <w:r w:rsidRPr="00654D1D">
        <w:rPr>
          <w:rFonts w:ascii="ITC Avant Garde" w:eastAsia="Calibri" w:hAnsi="ITC Avant Garde" w:cs="Arial"/>
          <w:sz w:val="18"/>
          <w:szCs w:val="18"/>
        </w:rPr>
        <w:t>United</w:t>
      </w:r>
      <w:proofErr w:type="spellEnd"/>
      <w:r w:rsidRPr="00654D1D">
        <w:rPr>
          <w:rFonts w:ascii="ITC Avant Garde" w:eastAsia="Calibri" w:hAnsi="ITC Avant Garde" w:cs="Arial"/>
          <w:sz w:val="18"/>
          <w:szCs w:val="18"/>
        </w:rPr>
        <w:t xml:space="preserve"> International </w:t>
      </w:r>
      <w:proofErr w:type="spellStart"/>
      <w:r w:rsidRPr="00654D1D">
        <w:rPr>
          <w:rFonts w:ascii="ITC Avant Garde" w:eastAsia="Calibri" w:hAnsi="ITC Avant Garde" w:cs="Arial"/>
          <w:sz w:val="18"/>
          <w:szCs w:val="18"/>
        </w:rPr>
        <w:t>Pictures</w:t>
      </w:r>
      <w:proofErr w:type="spellEnd"/>
      <w:r w:rsidRPr="00654D1D">
        <w:rPr>
          <w:rFonts w:ascii="ITC Avant Garde" w:eastAsia="Calibri" w:hAnsi="ITC Avant Garde" w:cs="Arial"/>
          <w:sz w:val="18"/>
          <w:szCs w:val="18"/>
        </w:rPr>
        <w:t xml:space="preserve">, S. de R.L. 6 de marzo de 2000. Mayoría de ocho votos. Disidentes: Presidente Genaro David Góngora Pimentel, José Vicente </w:t>
      </w:r>
      <w:proofErr w:type="spellStart"/>
      <w:r w:rsidRPr="00654D1D">
        <w:rPr>
          <w:rFonts w:ascii="ITC Avant Garde" w:eastAsia="Calibri" w:hAnsi="ITC Avant Garde" w:cs="Arial"/>
          <w:sz w:val="18"/>
          <w:szCs w:val="18"/>
        </w:rPr>
        <w:t>Aguinaco</w:t>
      </w:r>
      <w:proofErr w:type="spellEnd"/>
      <w:r w:rsidRPr="00654D1D">
        <w:rPr>
          <w:rFonts w:ascii="ITC Avant Garde" w:eastAsia="Calibri" w:hAnsi="ITC Avant Garde" w:cs="Arial"/>
          <w:sz w:val="18"/>
          <w:szCs w:val="18"/>
        </w:rPr>
        <w:t xml:space="preserve"> Alemán y Olga Sánchez Cordero de García Villegas. Ponente: Sergio Salvador Aguirre Anguiano. Secretario: Eduardo Ferrer Mac </w:t>
      </w:r>
      <w:proofErr w:type="spellStart"/>
      <w:r w:rsidRPr="00654D1D">
        <w:rPr>
          <w:rFonts w:ascii="ITC Avant Garde" w:eastAsia="Calibri" w:hAnsi="ITC Avant Garde" w:cs="Arial"/>
          <w:sz w:val="18"/>
          <w:szCs w:val="18"/>
        </w:rPr>
        <w:t>Gregor</w:t>
      </w:r>
      <w:proofErr w:type="spellEnd"/>
      <w:r w:rsidRPr="00654D1D">
        <w:rPr>
          <w:rFonts w:ascii="ITC Avant Garde" w:eastAsia="Calibri" w:hAnsi="ITC Avant Garde" w:cs="Arial"/>
          <w:sz w:val="18"/>
          <w:szCs w:val="18"/>
        </w:rPr>
        <w:t xml:space="preserve"> </w:t>
      </w:r>
      <w:proofErr w:type="spellStart"/>
      <w:r w:rsidRPr="00654D1D">
        <w:rPr>
          <w:rFonts w:ascii="ITC Avant Garde" w:eastAsia="Calibri" w:hAnsi="ITC Avant Garde" w:cs="Arial"/>
          <w:sz w:val="18"/>
          <w:szCs w:val="18"/>
        </w:rPr>
        <w:t>Poisot</w:t>
      </w:r>
      <w:proofErr w:type="spellEnd"/>
      <w:r w:rsidRPr="00654D1D">
        <w:rPr>
          <w:rFonts w:ascii="ITC Avant Garde" w:eastAsia="Calibri" w:hAnsi="ITC Avant Garde" w:cs="Arial"/>
          <w:sz w:val="18"/>
          <w:szCs w:val="18"/>
        </w:rPr>
        <w:t>.</w:t>
      </w:r>
    </w:p>
    <w:p w14:paraId="7839AA67" w14:textId="77777777" w:rsidR="00654D1D" w:rsidRPr="00654D1D" w:rsidRDefault="003E526D" w:rsidP="00654D1D">
      <w:pPr>
        <w:spacing w:before="240"/>
        <w:ind w:left="567" w:right="612"/>
        <w:jc w:val="both"/>
        <w:rPr>
          <w:rFonts w:ascii="ITC Avant Garde" w:eastAsia="Calibri" w:hAnsi="ITC Avant Garde" w:cs="Arial"/>
          <w:sz w:val="18"/>
          <w:szCs w:val="18"/>
        </w:rPr>
      </w:pPr>
      <w:r w:rsidRPr="00654D1D">
        <w:rPr>
          <w:rFonts w:ascii="ITC Avant Garde" w:eastAsia="Calibri" w:hAnsi="ITC Avant Garde" w:cs="Arial"/>
          <w:sz w:val="18"/>
          <w:szCs w:val="18"/>
        </w:rPr>
        <w:t xml:space="preserve">Amparo en revisión 222/98. </w:t>
      </w:r>
      <w:proofErr w:type="spellStart"/>
      <w:r w:rsidRPr="00654D1D">
        <w:rPr>
          <w:rFonts w:ascii="ITC Avant Garde" w:eastAsia="Calibri" w:hAnsi="ITC Avant Garde" w:cs="Arial"/>
          <w:sz w:val="18"/>
          <w:szCs w:val="18"/>
        </w:rPr>
        <w:t>Twentieth</w:t>
      </w:r>
      <w:proofErr w:type="spellEnd"/>
      <w:r w:rsidRPr="00654D1D">
        <w:rPr>
          <w:rFonts w:ascii="ITC Avant Garde" w:eastAsia="Calibri" w:hAnsi="ITC Avant Garde" w:cs="Arial"/>
          <w:sz w:val="18"/>
          <w:szCs w:val="18"/>
        </w:rPr>
        <w:t xml:space="preserve"> Century Fox Film de México, S.A. 6 de marzo de 2000. Mayoría de ocho votos. Disidentes: Presidente Genaro David Góngora Pimentel, José Vicente </w:t>
      </w:r>
      <w:proofErr w:type="spellStart"/>
      <w:r w:rsidRPr="00654D1D">
        <w:rPr>
          <w:rFonts w:ascii="ITC Avant Garde" w:eastAsia="Calibri" w:hAnsi="ITC Avant Garde" w:cs="Arial"/>
          <w:sz w:val="18"/>
          <w:szCs w:val="18"/>
        </w:rPr>
        <w:t>Aguinaco</w:t>
      </w:r>
      <w:proofErr w:type="spellEnd"/>
      <w:r w:rsidRPr="00654D1D">
        <w:rPr>
          <w:rFonts w:ascii="ITC Avant Garde" w:eastAsia="Calibri" w:hAnsi="ITC Avant Garde" w:cs="Arial"/>
          <w:sz w:val="18"/>
          <w:szCs w:val="18"/>
        </w:rPr>
        <w:t xml:space="preserve"> Alemán y Olga Sánchez Cordero de García Villegas. Ponente: Guillermo I. Ortiz </w:t>
      </w:r>
      <w:proofErr w:type="spellStart"/>
      <w:r w:rsidRPr="00654D1D">
        <w:rPr>
          <w:rFonts w:ascii="ITC Avant Garde" w:eastAsia="Calibri" w:hAnsi="ITC Avant Garde" w:cs="Arial"/>
          <w:sz w:val="18"/>
          <w:szCs w:val="18"/>
        </w:rPr>
        <w:t>Mayagoitia</w:t>
      </w:r>
      <w:proofErr w:type="spellEnd"/>
      <w:r w:rsidRPr="00654D1D">
        <w:rPr>
          <w:rFonts w:ascii="ITC Avant Garde" w:eastAsia="Calibri" w:hAnsi="ITC Avant Garde" w:cs="Arial"/>
          <w:sz w:val="18"/>
          <w:szCs w:val="18"/>
        </w:rPr>
        <w:t>. Secretario: Alfredo E. Báez López.</w:t>
      </w:r>
    </w:p>
    <w:p w14:paraId="7C0EA33F" w14:textId="77777777" w:rsidR="00654D1D" w:rsidRPr="00654D1D" w:rsidRDefault="003E526D" w:rsidP="00654D1D">
      <w:pPr>
        <w:spacing w:before="240"/>
        <w:ind w:left="567" w:right="612"/>
        <w:jc w:val="both"/>
        <w:rPr>
          <w:rFonts w:ascii="ITC Avant Garde" w:eastAsia="Calibri" w:hAnsi="ITC Avant Garde" w:cs="Arial"/>
          <w:sz w:val="18"/>
          <w:szCs w:val="18"/>
        </w:rPr>
      </w:pPr>
      <w:r w:rsidRPr="00654D1D">
        <w:rPr>
          <w:rFonts w:ascii="ITC Avant Garde" w:eastAsia="Calibri" w:hAnsi="ITC Avant Garde" w:cs="Arial"/>
          <w:sz w:val="18"/>
          <w:szCs w:val="18"/>
        </w:rPr>
        <w:t xml:space="preserve">Amparo en revisión 2231/98. Buena Vista Columbia </w:t>
      </w:r>
      <w:proofErr w:type="spellStart"/>
      <w:r w:rsidRPr="00654D1D">
        <w:rPr>
          <w:rFonts w:ascii="ITC Avant Garde" w:eastAsia="Calibri" w:hAnsi="ITC Avant Garde" w:cs="Arial"/>
          <w:sz w:val="18"/>
          <w:szCs w:val="18"/>
        </w:rPr>
        <w:t>Tristar</w:t>
      </w:r>
      <w:proofErr w:type="spellEnd"/>
      <w:r w:rsidRPr="00654D1D">
        <w:rPr>
          <w:rFonts w:ascii="ITC Avant Garde" w:eastAsia="Calibri" w:hAnsi="ITC Avant Garde" w:cs="Arial"/>
          <w:sz w:val="18"/>
          <w:szCs w:val="18"/>
        </w:rPr>
        <w:t xml:space="preserve"> Films de México, S. de R.L. de C.V. 6 de marzo de 2000. Mayoría de ocho votos. Disidentes: Presidente Genaro David Góngora Pimentel, José Vicente </w:t>
      </w:r>
      <w:proofErr w:type="spellStart"/>
      <w:r w:rsidRPr="00654D1D">
        <w:rPr>
          <w:rFonts w:ascii="ITC Avant Garde" w:eastAsia="Calibri" w:hAnsi="ITC Avant Garde" w:cs="Arial"/>
          <w:sz w:val="18"/>
          <w:szCs w:val="18"/>
        </w:rPr>
        <w:t>Aguinaco</w:t>
      </w:r>
      <w:proofErr w:type="spellEnd"/>
      <w:r w:rsidRPr="00654D1D">
        <w:rPr>
          <w:rFonts w:ascii="ITC Avant Garde" w:eastAsia="Calibri" w:hAnsi="ITC Avant Garde" w:cs="Arial"/>
          <w:sz w:val="18"/>
          <w:szCs w:val="18"/>
        </w:rPr>
        <w:t xml:space="preserve"> Alemán y Olga Sánchez Cordero de García Villegas. Ponente: Guillermo I. Ortiz </w:t>
      </w:r>
      <w:proofErr w:type="spellStart"/>
      <w:r w:rsidRPr="00654D1D">
        <w:rPr>
          <w:rFonts w:ascii="ITC Avant Garde" w:eastAsia="Calibri" w:hAnsi="ITC Avant Garde" w:cs="Arial"/>
          <w:sz w:val="18"/>
          <w:szCs w:val="18"/>
        </w:rPr>
        <w:t>Mayagoitia</w:t>
      </w:r>
      <w:proofErr w:type="spellEnd"/>
      <w:r w:rsidRPr="00654D1D">
        <w:rPr>
          <w:rFonts w:ascii="ITC Avant Garde" w:eastAsia="Calibri" w:hAnsi="ITC Avant Garde" w:cs="Arial"/>
          <w:sz w:val="18"/>
          <w:szCs w:val="18"/>
        </w:rPr>
        <w:t>. Secretario: Alfredo E. Báez López.</w:t>
      </w:r>
    </w:p>
    <w:p w14:paraId="16E9CD87" w14:textId="77777777" w:rsidR="00654D1D" w:rsidRPr="00654D1D" w:rsidRDefault="003E526D" w:rsidP="00654D1D">
      <w:pPr>
        <w:spacing w:before="240"/>
        <w:ind w:left="567" w:right="612"/>
        <w:jc w:val="both"/>
        <w:rPr>
          <w:rFonts w:ascii="ITC Avant Garde" w:eastAsia="Calibri" w:hAnsi="ITC Avant Garde" w:cs="Arial"/>
          <w:sz w:val="18"/>
          <w:szCs w:val="18"/>
        </w:rPr>
      </w:pPr>
      <w:r w:rsidRPr="00654D1D">
        <w:rPr>
          <w:rFonts w:ascii="ITC Avant Garde" w:eastAsia="Calibri" w:hAnsi="ITC Avant Garde" w:cs="Arial"/>
          <w:sz w:val="18"/>
          <w:szCs w:val="18"/>
        </w:rPr>
        <w:t xml:space="preserve">El Tribunal Pleno, en su sesión privada celebrada hoy veintinueve de mayo en curso, aprobó, con el número LXXXVIII/2000, la tesis aislada que antecede; y determinó que la votación es </w:t>
      </w:r>
      <w:r w:rsidRPr="00654D1D">
        <w:rPr>
          <w:rFonts w:ascii="ITC Avant Garde" w:eastAsia="Calibri" w:hAnsi="ITC Avant Garde" w:cs="Arial"/>
          <w:sz w:val="18"/>
          <w:szCs w:val="18"/>
        </w:rPr>
        <w:lastRenderedPageBreak/>
        <w:t>idónea para integrar tesis jurisprudencial. México, Distrito Federal, a veintinueve de mayo de dos mil.</w:t>
      </w:r>
    </w:p>
    <w:p w14:paraId="653F5788" w14:textId="77777777" w:rsidR="00654D1D" w:rsidRPr="00654D1D" w:rsidRDefault="003E526D" w:rsidP="00654D1D">
      <w:pPr>
        <w:spacing w:before="240"/>
        <w:jc w:val="both"/>
        <w:rPr>
          <w:rFonts w:ascii="ITC Avant Garde" w:eastAsia="Calibri" w:hAnsi="ITC Avant Garde" w:cs="Arial"/>
        </w:rPr>
      </w:pPr>
      <w:r w:rsidRPr="00654D1D">
        <w:rPr>
          <w:rFonts w:ascii="ITC Avant Garde" w:eastAsia="Calibri" w:hAnsi="ITC Avant Garde" w:cs="Arial"/>
        </w:rPr>
        <w:t>En consecuencia las libertades aludidas no son irrestrictas, menos aun tratándose de servicios públicos concesionados, al preverse restricciones se concluye que se trata de limitación más no privación, a la libertad contractual y a la libertad de comercio de la Recurrente se encuentra prevista desde la Constitución, por lo que no se vulnera el artículo 5 Constitucional en perjuicio de la Recurrente.</w:t>
      </w:r>
    </w:p>
    <w:p w14:paraId="1239C588" w14:textId="77777777" w:rsidR="00654D1D" w:rsidRPr="00654D1D" w:rsidRDefault="003E526D" w:rsidP="00654D1D">
      <w:pPr>
        <w:spacing w:before="240"/>
        <w:jc w:val="both"/>
        <w:rPr>
          <w:rFonts w:ascii="ITC Avant Garde" w:hAnsi="ITC Avant Garde" w:cs="Arial"/>
          <w:bCs/>
        </w:rPr>
      </w:pPr>
      <w:r w:rsidRPr="00654D1D">
        <w:rPr>
          <w:rFonts w:ascii="ITC Avant Garde" w:hAnsi="ITC Avant Garde" w:cs="Arial"/>
          <w:bCs/>
        </w:rPr>
        <w:t>Asimismo, cabe hacer notar que la Recurrente en su carácter de concesionario, siendo el acto jurídico de la concesión un acto administrativo por medio del cual se permite a los particulares el uso, explotación y goce de los bienes de dominio público o la prestación de un servicio público, acto administrativo que habilita al particular para la asunción de una actividad propia del estado o la explotación de un bien de dominio público, bajo determinadas condiciones y directrices a las que se encuentra sujeto necesariamente el concesionario derivado del acto mismo de la concesión, por lo que en caso de no ceñirse a los lineamientos y condiciones impuestos se encuentra ante una causal de revocación del títulos de concesión.</w:t>
      </w:r>
    </w:p>
    <w:p w14:paraId="530E1D35" w14:textId="77777777" w:rsidR="00654D1D" w:rsidRPr="00654D1D" w:rsidRDefault="003E526D" w:rsidP="00654D1D">
      <w:pPr>
        <w:spacing w:before="240"/>
        <w:jc w:val="both"/>
        <w:rPr>
          <w:rFonts w:ascii="ITC Avant Garde" w:hAnsi="ITC Avant Garde" w:cs="Arial"/>
          <w:bCs/>
        </w:rPr>
      </w:pPr>
      <w:r w:rsidRPr="00654D1D">
        <w:rPr>
          <w:rFonts w:ascii="ITC Avant Garde" w:hAnsi="ITC Avant Garde" w:cs="Arial"/>
          <w:bCs/>
        </w:rPr>
        <w:t>En México la concesión no implica el condicionamiento de derechos subjetivos, sino la cesión a los particulares de ciertos bienes de dominio de la nación para su explotación por parte de particulares, o bien la cesión de servicios públicos propios del Estado, pero que no son de naturaleza exclusiva en cuanto a su prestación y tutoría.</w:t>
      </w:r>
    </w:p>
    <w:p w14:paraId="4ED030C6" w14:textId="77777777" w:rsidR="00654D1D" w:rsidRPr="00654D1D" w:rsidRDefault="003E526D" w:rsidP="00654D1D">
      <w:pPr>
        <w:spacing w:before="240"/>
        <w:jc w:val="both"/>
        <w:rPr>
          <w:rFonts w:ascii="ITC Avant Garde" w:hAnsi="ITC Avant Garde" w:cs="Arial"/>
          <w:bCs/>
        </w:rPr>
      </w:pPr>
      <w:r w:rsidRPr="00654D1D">
        <w:rPr>
          <w:rFonts w:ascii="ITC Avant Garde" w:hAnsi="ITC Avant Garde" w:cs="Arial"/>
          <w:bCs/>
        </w:rPr>
        <w:t>En ese sentido se pueden distinguir la concesión de bienes del dominio de la nación y la concesión de servicios públicos aunque también existen concesiones mixtas es decir que implican la cesión de bienes de dominio de la nación y al mismo tiempo la prestación de servicios propios del Estado, pero no de manera exclusiva.</w:t>
      </w:r>
    </w:p>
    <w:p w14:paraId="307C5E8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bCs/>
        </w:rPr>
        <w:t>En ese orden de ideas, en el caso concreto la regulación de la interconexión de redes y la consecuente facultad de la entonces Comisión Federal de Telecomunicaciones para determinar condiciones de interconexión no convenidas entre los concesionarios para la interconexión de sus redes públicas de telecomunicaciones, constituye una serie de condicionamientos y lineamientos que en su caso deberán adoptarse por la parte Recurrente, en su calidad de concesionario, a fin de que evite cualquier afectación a la interconexión de redes en perjuicio de los usuarios de dichas redes.</w:t>
      </w:r>
    </w:p>
    <w:p w14:paraId="3F7C48C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Al respecto resulta aplicable la siguiente tesis jurisprudencial, que dispone:</w:t>
      </w:r>
    </w:p>
    <w:p w14:paraId="4B602644" w14:textId="2E4245CB" w:rsidR="003E526D" w:rsidRPr="00654D1D" w:rsidRDefault="003E526D" w:rsidP="00654D1D">
      <w:pPr>
        <w:spacing w:before="240"/>
        <w:ind w:left="1080" w:right="944"/>
        <w:jc w:val="both"/>
        <w:rPr>
          <w:rFonts w:ascii="ITC Avant Garde" w:hAnsi="ITC Avant Garde" w:cs="Arial"/>
          <w:sz w:val="18"/>
          <w:szCs w:val="18"/>
        </w:rPr>
      </w:pPr>
      <w:r w:rsidRPr="00654D1D">
        <w:rPr>
          <w:rFonts w:ascii="ITC Avant Garde" w:hAnsi="ITC Avant Garde" w:cs="Arial"/>
          <w:sz w:val="18"/>
          <w:szCs w:val="18"/>
        </w:rPr>
        <w:t>Registro No. 170843</w:t>
      </w:r>
    </w:p>
    <w:p w14:paraId="4B602645" w14:textId="77777777" w:rsidR="003E526D" w:rsidRPr="00654D1D" w:rsidRDefault="003E526D" w:rsidP="00654D1D">
      <w:pPr>
        <w:spacing w:before="240"/>
        <w:ind w:left="1080" w:right="944"/>
        <w:jc w:val="both"/>
        <w:rPr>
          <w:rFonts w:ascii="ITC Avant Garde" w:hAnsi="ITC Avant Garde" w:cs="Arial"/>
          <w:sz w:val="18"/>
          <w:szCs w:val="18"/>
        </w:rPr>
      </w:pPr>
      <w:r w:rsidRPr="00654D1D">
        <w:rPr>
          <w:rFonts w:ascii="ITC Avant Garde" w:hAnsi="ITC Avant Garde" w:cs="Arial"/>
          <w:sz w:val="18"/>
          <w:szCs w:val="18"/>
        </w:rPr>
        <w:t xml:space="preserve">Localización: </w:t>
      </w:r>
    </w:p>
    <w:p w14:paraId="4B602646" w14:textId="77777777" w:rsidR="003E526D" w:rsidRPr="00654D1D" w:rsidRDefault="003E526D" w:rsidP="00654D1D">
      <w:pPr>
        <w:spacing w:before="240"/>
        <w:ind w:left="1080" w:right="944"/>
        <w:jc w:val="both"/>
        <w:rPr>
          <w:rFonts w:ascii="ITC Avant Garde" w:hAnsi="ITC Avant Garde" w:cs="Arial"/>
          <w:sz w:val="18"/>
          <w:szCs w:val="18"/>
        </w:rPr>
      </w:pPr>
      <w:r w:rsidRPr="00654D1D">
        <w:rPr>
          <w:rFonts w:ascii="ITC Avant Garde" w:hAnsi="ITC Avant Garde" w:cs="Arial"/>
          <w:sz w:val="18"/>
          <w:szCs w:val="18"/>
        </w:rPr>
        <w:lastRenderedPageBreak/>
        <w:t>Novena Época</w:t>
      </w:r>
    </w:p>
    <w:p w14:paraId="4B602647" w14:textId="77777777" w:rsidR="003E526D" w:rsidRPr="00654D1D" w:rsidRDefault="003E526D" w:rsidP="00654D1D">
      <w:pPr>
        <w:spacing w:before="240"/>
        <w:ind w:left="1080" w:right="944"/>
        <w:jc w:val="both"/>
        <w:rPr>
          <w:rFonts w:ascii="ITC Avant Garde" w:hAnsi="ITC Avant Garde" w:cs="Arial"/>
          <w:sz w:val="18"/>
          <w:szCs w:val="18"/>
        </w:rPr>
      </w:pPr>
      <w:r w:rsidRPr="00654D1D">
        <w:rPr>
          <w:rFonts w:ascii="ITC Avant Garde" w:hAnsi="ITC Avant Garde" w:cs="Arial"/>
          <w:sz w:val="18"/>
          <w:szCs w:val="18"/>
        </w:rPr>
        <w:t>Instancia: Pleno</w:t>
      </w:r>
    </w:p>
    <w:p w14:paraId="4B602648" w14:textId="77777777" w:rsidR="003E526D" w:rsidRPr="00654D1D" w:rsidRDefault="003E526D" w:rsidP="00654D1D">
      <w:pPr>
        <w:spacing w:before="240"/>
        <w:ind w:left="1080" w:right="944"/>
        <w:jc w:val="both"/>
        <w:rPr>
          <w:rFonts w:ascii="ITC Avant Garde" w:hAnsi="ITC Avant Garde" w:cs="Arial"/>
          <w:sz w:val="18"/>
          <w:szCs w:val="18"/>
        </w:rPr>
      </w:pPr>
      <w:r w:rsidRPr="00654D1D">
        <w:rPr>
          <w:rFonts w:ascii="ITC Avant Garde" w:hAnsi="ITC Avant Garde" w:cs="Arial"/>
          <w:sz w:val="18"/>
          <w:szCs w:val="18"/>
        </w:rPr>
        <w:t>Fuente: Semanario Judicial de la Federación y su Gaceta XXVI, Diciembre de 2007</w:t>
      </w:r>
    </w:p>
    <w:p w14:paraId="4B602649" w14:textId="77777777" w:rsidR="003E526D" w:rsidRPr="00654D1D" w:rsidRDefault="003E526D" w:rsidP="00654D1D">
      <w:pPr>
        <w:spacing w:before="240"/>
        <w:ind w:left="1080" w:right="944"/>
        <w:jc w:val="both"/>
        <w:rPr>
          <w:rFonts w:ascii="ITC Avant Garde" w:hAnsi="ITC Avant Garde" w:cs="Arial"/>
          <w:sz w:val="18"/>
          <w:szCs w:val="18"/>
        </w:rPr>
      </w:pPr>
      <w:r w:rsidRPr="00654D1D">
        <w:rPr>
          <w:rFonts w:ascii="ITC Avant Garde" w:hAnsi="ITC Avant Garde" w:cs="Arial"/>
          <w:sz w:val="18"/>
          <w:szCs w:val="18"/>
        </w:rPr>
        <w:t>Página: 960</w:t>
      </w:r>
    </w:p>
    <w:p w14:paraId="4B60264A" w14:textId="77777777" w:rsidR="003E526D" w:rsidRPr="00654D1D" w:rsidRDefault="003E526D" w:rsidP="00654D1D">
      <w:pPr>
        <w:spacing w:before="240"/>
        <w:ind w:left="1080" w:right="944"/>
        <w:jc w:val="both"/>
        <w:rPr>
          <w:rFonts w:ascii="ITC Avant Garde" w:hAnsi="ITC Avant Garde" w:cs="Arial"/>
          <w:sz w:val="18"/>
          <w:szCs w:val="18"/>
        </w:rPr>
      </w:pPr>
      <w:r w:rsidRPr="00654D1D">
        <w:rPr>
          <w:rFonts w:ascii="ITC Avant Garde" w:hAnsi="ITC Avant Garde" w:cs="Arial"/>
          <w:sz w:val="18"/>
          <w:szCs w:val="18"/>
        </w:rPr>
        <w:t>Tesis: P</w:t>
      </w:r>
      <w:proofErr w:type="gramStart"/>
      <w:r w:rsidRPr="00654D1D">
        <w:rPr>
          <w:rFonts w:ascii="ITC Avant Garde" w:hAnsi="ITC Avant Garde" w:cs="Arial"/>
          <w:sz w:val="18"/>
          <w:szCs w:val="18"/>
        </w:rPr>
        <w:t>./</w:t>
      </w:r>
      <w:proofErr w:type="gramEnd"/>
      <w:r w:rsidRPr="00654D1D">
        <w:rPr>
          <w:rFonts w:ascii="ITC Avant Garde" w:hAnsi="ITC Avant Garde" w:cs="Arial"/>
          <w:sz w:val="18"/>
          <w:szCs w:val="18"/>
        </w:rPr>
        <w:t>J. 50/2007</w:t>
      </w:r>
    </w:p>
    <w:p w14:paraId="3FAF2AC4" w14:textId="77777777" w:rsidR="00654D1D" w:rsidRPr="00654D1D" w:rsidRDefault="003E526D" w:rsidP="00654D1D">
      <w:pPr>
        <w:spacing w:before="240"/>
        <w:ind w:left="1080" w:right="944"/>
        <w:jc w:val="both"/>
        <w:rPr>
          <w:rFonts w:ascii="ITC Avant Garde" w:hAnsi="ITC Avant Garde" w:cs="Arial"/>
          <w:sz w:val="18"/>
          <w:szCs w:val="18"/>
        </w:rPr>
      </w:pPr>
      <w:r w:rsidRPr="00654D1D">
        <w:rPr>
          <w:rFonts w:ascii="ITC Avant Garde" w:hAnsi="ITC Avant Garde" w:cs="Arial"/>
          <w:sz w:val="18"/>
          <w:szCs w:val="18"/>
        </w:rPr>
        <w:t>Jurisprudencia</w:t>
      </w:r>
      <w:r w:rsidRPr="00654D1D">
        <w:rPr>
          <w:rFonts w:ascii="ITC Avant Garde" w:hAnsi="ITC Avant Garde" w:cs="Arial"/>
          <w:sz w:val="18"/>
          <w:szCs w:val="18"/>
        </w:rPr>
        <w:br/>
        <w:t>Materia(s): Constitucional, Administrativa</w:t>
      </w:r>
    </w:p>
    <w:p w14:paraId="65D28D43" w14:textId="77777777" w:rsidR="00654D1D" w:rsidRPr="00654D1D" w:rsidRDefault="003E526D" w:rsidP="00654D1D">
      <w:pPr>
        <w:spacing w:before="240"/>
        <w:ind w:left="1080" w:right="944"/>
        <w:jc w:val="both"/>
        <w:rPr>
          <w:rFonts w:ascii="ITC Avant Garde" w:hAnsi="ITC Avant Garde" w:cs="Arial"/>
          <w:b/>
          <w:sz w:val="18"/>
          <w:szCs w:val="18"/>
        </w:rPr>
      </w:pPr>
      <w:r w:rsidRPr="00654D1D">
        <w:rPr>
          <w:rFonts w:ascii="ITC Avant Garde" w:hAnsi="ITC Avant Garde" w:cs="Arial"/>
          <w:b/>
          <w:sz w:val="18"/>
          <w:szCs w:val="18"/>
        </w:rPr>
        <w:t>“COMISIÓN FEDERAL DE TELECOMUNICACIONES. EL ARTÍCULO 9º.-A, FRACCIÓN XI, DE LA LEY FEDERAL DE TELECOMUNICACIONES, QUE PREVÉ SUS FACULTADES DISCRECIONALES PARA ESTABLECER OBLIGACIONES ESPECÍFICAS RELACIONADAS CON TARIFAS, CALIDAD DE SERVICIO E INFORMACIÓN A CIERTOS CONCESIONARIOS, NO VIOLA EL PRINCIPIO DE LEGALIDAD</w:t>
      </w:r>
      <w:r w:rsidRPr="00654D1D">
        <w:rPr>
          <w:rFonts w:ascii="ITC Avant Garde" w:hAnsi="ITC Avant Garde" w:cs="Arial"/>
          <w:sz w:val="18"/>
          <w:szCs w:val="18"/>
        </w:rPr>
        <w:t>. El mencionado principio, contenido en el artículo 16 de la Constitución Política de los Estados Unidos Mexicanos, establece que las autoridades sólo pueden actuar cuando la ley se los permite, en la forma y términos determinados por ésta. Ahora bien, las facultades discrecionales de la autoridad administrativa pueden estar expresamente señaladas en la ley, o bien, encontrarse implícitamente contenidas en el marco regulatorio que la rige, caracterizándose aquéllas por la libertad de apreciación que se otorga a la autoridad para actuar o abstenerse de hacerlo, con el propósito de lograr la finalidad que la ley señale. Esto es, la autoridad podrá elegir el tiempo y circunstancias en que aplica la ley, sin que ello suponga una autorización legislativa para una actuación arbitraria, pues sus actos estarán siempre acotados por los lineamientos que la ley establece y sujetos a los requisitos constitucionales de fundamentación y motivación. En tal virtud, el artículo 9o.-A, fracción XI, de la Ley Federal de Telecomunicaciones, que prevé la facultad discrecional de la Comisión Federal de Telecomunicaciones para establecer obligaciones específicas relacionadas con tarifas, calidad de servicio e información, no viola el mencionado principio de legalidad, pues dicha facultad se entiende acotada por la norma misma, que limita la materia respecto de la cual ésta se concede, esto es, tarifas, calidad de servicio e información, impidiendo con ello que los concesionarios queden en estado de incertidumbre respecto a los aspectos sobre los que se podrán imponer las obligaciones específicas.”</w:t>
      </w:r>
    </w:p>
    <w:p w14:paraId="72554079" w14:textId="77777777" w:rsidR="00654D1D" w:rsidRPr="00654D1D" w:rsidRDefault="003E526D" w:rsidP="00654D1D">
      <w:pPr>
        <w:spacing w:before="240"/>
        <w:ind w:left="1080" w:right="944"/>
        <w:jc w:val="both"/>
        <w:rPr>
          <w:rFonts w:ascii="ITC Avant Garde" w:hAnsi="ITC Avant Garde" w:cs="Arial"/>
          <w:sz w:val="18"/>
          <w:szCs w:val="18"/>
        </w:rPr>
      </w:pPr>
      <w:r w:rsidRPr="00654D1D">
        <w:rPr>
          <w:rFonts w:ascii="ITC Avant Garde" w:hAnsi="ITC Avant Garde" w:cs="Arial"/>
          <w:sz w:val="18"/>
          <w:szCs w:val="18"/>
        </w:rPr>
        <w:t>Acción de inconstitucionalidad 26/2006. Senadores integrantes de la Quincuagésima Novena Legislatura del Congreso de la Unión. 7 de junio de 2007. Unanimidad de nueve votos. Ausente: José de Jesús Gudiño Pelayo. Impedido: José Ramón Cossío Díaz. Ponente: Sergio Salvador Aguirre Anguiano. Secretarias: Andrea Zambrana Castañeda, Lourdes Ferrer Mac-</w:t>
      </w:r>
      <w:proofErr w:type="spellStart"/>
      <w:r w:rsidRPr="00654D1D">
        <w:rPr>
          <w:rFonts w:ascii="ITC Avant Garde" w:hAnsi="ITC Avant Garde" w:cs="Arial"/>
          <w:sz w:val="18"/>
          <w:szCs w:val="18"/>
        </w:rPr>
        <w:t>Gregor</w:t>
      </w:r>
      <w:proofErr w:type="spellEnd"/>
      <w:r w:rsidRPr="00654D1D">
        <w:rPr>
          <w:rFonts w:ascii="ITC Avant Garde" w:hAnsi="ITC Avant Garde" w:cs="Arial"/>
          <w:sz w:val="18"/>
          <w:szCs w:val="18"/>
        </w:rPr>
        <w:t xml:space="preserve"> </w:t>
      </w:r>
      <w:proofErr w:type="spellStart"/>
      <w:r w:rsidRPr="00654D1D">
        <w:rPr>
          <w:rFonts w:ascii="ITC Avant Garde" w:hAnsi="ITC Avant Garde" w:cs="Arial"/>
          <w:sz w:val="18"/>
          <w:szCs w:val="18"/>
        </w:rPr>
        <w:t>Poisot</w:t>
      </w:r>
      <w:proofErr w:type="spellEnd"/>
      <w:r w:rsidRPr="00654D1D">
        <w:rPr>
          <w:rFonts w:ascii="ITC Avant Garde" w:hAnsi="ITC Avant Garde" w:cs="Arial"/>
          <w:sz w:val="18"/>
          <w:szCs w:val="18"/>
        </w:rPr>
        <w:t xml:space="preserve"> y María Estela Ferrer Mac </w:t>
      </w:r>
      <w:proofErr w:type="spellStart"/>
      <w:r w:rsidRPr="00654D1D">
        <w:rPr>
          <w:rFonts w:ascii="ITC Avant Garde" w:hAnsi="ITC Avant Garde" w:cs="Arial"/>
          <w:sz w:val="18"/>
          <w:szCs w:val="18"/>
        </w:rPr>
        <w:t>Gregor</w:t>
      </w:r>
      <w:proofErr w:type="spellEnd"/>
      <w:r w:rsidRPr="00654D1D">
        <w:rPr>
          <w:rFonts w:ascii="ITC Avant Garde" w:hAnsi="ITC Avant Garde" w:cs="Arial"/>
          <w:sz w:val="18"/>
          <w:szCs w:val="18"/>
        </w:rPr>
        <w:t xml:space="preserve"> </w:t>
      </w:r>
      <w:proofErr w:type="spellStart"/>
      <w:r w:rsidRPr="00654D1D">
        <w:rPr>
          <w:rFonts w:ascii="ITC Avant Garde" w:hAnsi="ITC Avant Garde" w:cs="Arial"/>
          <w:sz w:val="18"/>
          <w:szCs w:val="18"/>
        </w:rPr>
        <w:t>Poisot</w:t>
      </w:r>
      <w:proofErr w:type="spellEnd"/>
      <w:r w:rsidRPr="00654D1D">
        <w:rPr>
          <w:rFonts w:ascii="ITC Avant Garde" w:hAnsi="ITC Avant Garde" w:cs="Arial"/>
          <w:sz w:val="18"/>
          <w:szCs w:val="18"/>
        </w:rPr>
        <w:t xml:space="preserve"> El Tribunal Pleno, el quince de octubre en curso, aprobó, con el número 50/2007, la tesis jurisprudencial que antecede. México, Distrito Federal, a quince de octubre de dos mil siete.</w:t>
      </w:r>
    </w:p>
    <w:p w14:paraId="4B602651" w14:textId="59822F16" w:rsidR="003E526D" w:rsidRPr="00654D1D" w:rsidRDefault="003E526D" w:rsidP="00654D1D">
      <w:pPr>
        <w:spacing w:before="240"/>
        <w:ind w:left="1080" w:right="944"/>
        <w:jc w:val="both"/>
        <w:rPr>
          <w:rFonts w:ascii="ITC Avant Garde" w:hAnsi="ITC Avant Garde" w:cs="Arial"/>
          <w:sz w:val="18"/>
          <w:szCs w:val="18"/>
        </w:rPr>
      </w:pPr>
      <w:r w:rsidRPr="00654D1D">
        <w:rPr>
          <w:rFonts w:ascii="ITC Avant Garde" w:hAnsi="ITC Avant Garde" w:cs="Arial"/>
          <w:sz w:val="18"/>
          <w:szCs w:val="18"/>
        </w:rPr>
        <w:t xml:space="preserve">Ejecutoria: </w:t>
      </w:r>
    </w:p>
    <w:p w14:paraId="4B602652" w14:textId="77777777" w:rsidR="003E526D" w:rsidRPr="00654D1D" w:rsidRDefault="003E526D" w:rsidP="00654D1D">
      <w:pPr>
        <w:spacing w:before="240"/>
        <w:ind w:left="1080" w:right="944"/>
        <w:jc w:val="both"/>
        <w:rPr>
          <w:rFonts w:ascii="ITC Avant Garde" w:hAnsi="ITC Avant Garde" w:cs="Arial"/>
          <w:sz w:val="18"/>
          <w:szCs w:val="18"/>
        </w:rPr>
      </w:pPr>
      <w:r w:rsidRPr="00654D1D">
        <w:rPr>
          <w:rFonts w:ascii="ITC Avant Garde" w:hAnsi="ITC Avant Garde" w:cs="Arial"/>
          <w:sz w:val="18"/>
          <w:szCs w:val="18"/>
        </w:rPr>
        <w:lastRenderedPageBreak/>
        <w:t xml:space="preserve">1.- Registro No. </w:t>
      </w:r>
      <w:hyperlink r:id="rId21" w:history="1">
        <w:r w:rsidRPr="00654D1D">
          <w:rPr>
            <w:rFonts w:ascii="ITC Avant Garde" w:hAnsi="ITC Avant Garde" w:cs="Arial"/>
            <w:sz w:val="18"/>
            <w:szCs w:val="18"/>
          </w:rPr>
          <w:t>20382</w:t>
        </w:r>
      </w:hyperlink>
    </w:p>
    <w:p w14:paraId="4B602653" w14:textId="77777777" w:rsidR="003E526D" w:rsidRPr="00654D1D" w:rsidRDefault="003E526D" w:rsidP="00654D1D">
      <w:pPr>
        <w:spacing w:before="240"/>
        <w:ind w:left="1080" w:right="944"/>
        <w:jc w:val="both"/>
        <w:rPr>
          <w:rFonts w:ascii="ITC Avant Garde" w:hAnsi="ITC Avant Garde" w:cs="Arial"/>
          <w:sz w:val="18"/>
          <w:szCs w:val="18"/>
        </w:rPr>
      </w:pPr>
      <w:r w:rsidRPr="00654D1D">
        <w:rPr>
          <w:rFonts w:ascii="ITC Avant Garde" w:hAnsi="ITC Avant Garde" w:cs="Arial"/>
          <w:sz w:val="18"/>
          <w:szCs w:val="18"/>
        </w:rPr>
        <w:t>Asunto: ACCIÓN DE INCONSTITUCIONALIDAD 26/2006.</w:t>
      </w:r>
    </w:p>
    <w:p w14:paraId="4B602654" w14:textId="77777777" w:rsidR="003E526D" w:rsidRPr="00654D1D" w:rsidRDefault="003E526D" w:rsidP="00654D1D">
      <w:pPr>
        <w:spacing w:before="240"/>
        <w:ind w:left="1080" w:right="764"/>
        <w:jc w:val="both"/>
        <w:rPr>
          <w:rFonts w:ascii="ITC Avant Garde" w:hAnsi="ITC Avant Garde" w:cs="Arial"/>
          <w:sz w:val="18"/>
          <w:szCs w:val="18"/>
        </w:rPr>
      </w:pPr>
      <w:proofErr w:type="spellStart"/>
      <w:r w:rsidRPr="00654D1D">
        <w:rPr>
          <w:rFonts w:ascii="ITC Avant Garde" w:hAnsi="ITC Avant Garde" w:cs="Arial"/>
          <w:sz w:val="18"/>
          <w:szCs w:val="18"/>
        </w:rPr>
        <w:t>Promovente</w:t>
      </w:r>
      <w:proofErr w:type="spellEnd"/>
      <w:r w:rsidRPr="00654D1D">
        <w:rPr>
          <w:rFonts w:ascii="ITC Avant Garde" w:hAnsi="ITC Avant Garde" w:cs="Arial"/>
          <w:sz w:val="18"/>
          <w:szCs w:val="18"/>
        </w:rPr>
        <w:t>: SENADORES INTEGRANTES DE LA QUINCUAGÉSIMA NOVENA LEGISLATURA DEL CONGRESO DE LA UNIÓN.</w:t>
      </w:r>
    </w:p>
    <w:p w14:paraId="05AC9DF7" w14:textId="77777777" w:rsidR="00654D1D" w:rsidRPr="00654D1D" w:rsidRDefault="003E526D" w:rsidP="00654D1D">
      <w:pPr>
        <w:spacing w:before="240"/>
        <w:ind w:left="1080" w:right="764"/>
        <w:jc w:val="both"/>
        <w:rPr>
          <w:rFonts w:ascii="ITC Avant Garde" w:hAnsi="ITC Avant Garde" w:cs="Arial"/>
          <w:sz w:val="18"/>
          <w:szCs w:val="18"/>
        </w:rPr>
      </w:pPr>
      <w:r w:rsidRPr="00654D1D">
        <w:rPr>
          <w:rFonts w:ascii="ITC Avant Garde" w:hAnsi="ITC Avant Garde" w:cs="Arial"/>
          <w:sz w:val="18"/>
          <w:szCs w:val="18"/>
        </w:rPr>
        <w:t>Localización: 9a. Época; Pleno; S.J.F. y su Gaceta; XXVI, Septiembre de 2007; Pág. 1623.</w:t>
      </w:r>
    </w:p>
    <w:p w14:paraId="62FB373A" w14:textId="77777777" w:rsidR="00654D1D" w:rsidRPr="00654D1D" w:rsidRDefault="003E526D" w:rsidP="00654D1D">
      <w:pPr>
        <w:spacing w:before="240"/>
        <w:jc w:val="both"/>
        <w:rPr>
          <w:rFonts w:ascii="ITC Avant Garde" w:eastAsia="Times New Roman" w:hAnsi="ITC Avant Garde" w:cs="Arial"/>
          <w:bCs/>
          <w:lang w:val="es-ES" w:eastAsia="es-MX"/>
        </w:rPr>
      </w:pPr>
      <w:r w:rsidRPr="00654D1D">
        <w:rPr>
          <w:rFonts w:ascii="ITC Avant Garde" w:eastAsia="Times New Roman" w:hAnsi="ITC Avant Garde" w:cs="Arial"/>
          <w:bCs/>
          <w:lang w:val="es-ES" w:eastAsia="es-MX"/>
        </w:rPr>
        <w:t>En la especie estamos ante una facultad discrecional que otorga el propio ordenamiento jurídico, al respecto resulta ilustrativa la siguiente tesis que a la letra dispone:</w:t>
      </w:r>
    </w:p>
    <w:p w14:paraId="614034CD" w14:textId="77777777" w:rsidR="00654D1D" w:rsidRPr="00654D1D" w:rsidRDefault="003E526D" w:rsidP="00654D1D">
      <w:pPr>
        <w:autoSpaceDE w:val="0"/>
        <w:autoSpaceDN w:val="0"/>
        <w:adjustRightInd w:val="0"/>
        <w:spacing w:before="240"/>
        <w:ind w:left="1080" w:right="764"/>
        <w:jc w:val="both"/>
        <w:rPr>
          <w:rFonts w:ascii="ITC Avant Garde" w:hAnsi="ITC Avant Garde" w:cs="Arial"/>
          <w:sz w:val="18"/>
          <w:szCs w:val="18"/>
        </w:rPr>
      </w:pPr>
      <w:r w:rsidRPr="00654D1D">
        <w:rPr>
          <w:rFonts w:ascii="ITC Avant Garde" w:hAnsi="ITC Avant Garde" w:cs="Arial"/>
          <w:b/>
          <w:bCs/>
          <w:sz w:val="18"/>
          <w:szCs w:val="18"/>
        </w:rPr>
        <w:t xml:space="preserve">“FACULTADES DISCRECIONALES Y REGLADAS. DIFERENCIAS.- </w:t>
      </w:r>
      <w:r w:rsidRPr="00654D1D">
        <w:rPr>
          <w:rFonts w:ascii="ITC Avant Garde" w:hAnsi="ITC Avant Garde" w:cs="Arial"/>
          <w:b/>
          <w:sz w:val="18"/>
          <w:szCs w:val="18"/>
        </w:rPr>
        <w:t>Para determinar si la autoridad goza de facultades discrecionales o regladas debe atenderse al contenido de la norma legal que las confiere.</w:t>
      </w:r>
      <w:r w:rsidRPr="00654D1D">
        <w:rPr>
          <w:rFonts w:ascii="ITC Avant Garde" w:hAnsi="ITC Avant Garde" w:cs="Arial"/>
          <w:sz w:val="18"/>
          <w:szCs w:val="18"/>
        </w:rPr>
        <w:t xml:space="preserve"> Si ésta prevé una hipótesis de hecho ante la cual la autoridad puede aplicar o no la consecuencia de derecho prevista en la misma, según su prudente arbitrio, debe afirmarse que la autoridad goza de facultades discrecionales. Empero, cuando la autoridad se encuentra vinculada por el dispositivo de la ley a actuar en cierto sentido sin que exista la posibilidad de determinar libremente el contenido de su posible actuación, debe concluirse que la autoridad no goza de facultades discrecionales sino regladas.</w:t>
      </w:r>
    </w:p>
    <w:p w14:paraId="4B60265B" w14:textId="5A82A6A7" w:rsidR="003E526D" w:rsidRPr="00654D1D" w:rsidRDefault="003E526D" w:rsidP="00654D1D">
      <w:pPr>
        <w:autoSpaceDE w:val="0"/>
        <w:autoSpaceDN w:val="0"/>
        <w:adjustRightInd w:val="0"/>
        <w:spacing w:before="240"/>
        <w:ind w:left="1080" w:right="764"/>
        <w:jc w:val="both"/>
        <w:rPr>
          <w:rFonts w:ascii="ITC Avant Garde" w:hAnsi="ITC Avant Garde" w:cs="Arial"/>
          <w:sz w:val="18"/>
          <w:szCs w:val="18"/>
        </w:rPr>
      </w:pPr>
      <w:r w:rsidRPr="00654D1D">
        <w:rPr>
          <w:rFonts w:ascii="ITC Avant Garde" w:hAnsi="ITC Avant Garde" w:cs="Arial"/>
          <w:sz w:val="18"/>
          <w:szCs w:val="18"/>
        </w:rPr>
        <w:t xml:space="preserve">SEGUNDO TRIBUNAL COLEGIADO DEL DÉCIMO CUARTO CIRCUITO. </w:t>
      </w:r>
    </w:p>
    <w:p w14:paraId="4B60265C" w14:textId="77777777" w:rsidR="003E526D" w:rsidRPr="00654D1D" w:rsidRDefault="003E526D" w:rsidP="00654D1D">
      <w:pPr>
        <w:autoSpaceDE w:val="0"/>
        <w:autoSpaceDN w:val="0"/>
        <w:adjustRightInd w:val="0"/>
        <w:spacing w:before="240"/>
        <w:ind w:left="1080" w:right="764"/>
        <w:jc w:val="both"/>
        <w:rPr>
          <w:rFonts w:ascii="ITC Avant Garde" w:hAnsi="ITC Avant Garde" w:cs="Arial"/>
          <w:sz w:val="18"/>
          <w:szCs w:val="18"/>
        </w:rPr>
      </w:pPr>
      <w:r w:rsidRPr="00654D1D">
        <w:rPr>
          <w:rFonts w:ascii="ITC Avant Garde" w:hAnsi="ITC Avant Garde" w:cs="Arial"/>
          <w:sz w:val="18"/>
          <w:szCs w:val="18"/>
        </w:rPr>
        <w:t xml:space="preserve">XIV.2o.44 K </w:t>
      </w:r>
    </w:p>
    <w:p w14:paraId="7FA7C9C2" w14:textId="77777777" w:rsidR="00654D1D" w:rsidRPr="00654D1D" w:rsidRDefault="003E526D" w:rsidP="00654D1D">
      <w:pPr>
        <w:autoSpaceDE w:val="0"/>
        <w:autoSpaceDN w:val="0"/>
        <w:adjustRightInd w:val="0"/>
        <w:spacing w:before="240"/>
        <w:ind w:left="1080" w:right="764"/>
        <w:jc w:val="both"/>
        <w:rPr>
          <w:rFonts w:ascii="ITC Avant Garde" w:hAnsi="ITC Avant Garde" w:cs="Arial"/>
          <w:sz w:val="18"/>
          <w:szCs w:val="18"/>
        </w:rPr>
      </w:pPr>
      <w:r w:rsidRPr="00654D1D">
        <w:rPr>
          <w:rFonts w:ascii="ITC Avant Garde" w:hAnsi="ITC Avant Garde" w:cs="Arial"/>
          <w:sz w:val="18"/>
          <w:szCs w:val="18"/>
        </w:rPr>
        <w:t xml:space="preserve">Amparo directo 191/2002. Joaquín Pacheco Medina. 31 de mayo de 2002. Unanimidad de votos. Ponente: Alfonso Gabriel García Lanz, secretario de tribunal autorizado por la Comisión de Carrera Judicial del Consejo de la Judicatura Federal para desempeñar las funciones de Magistrado. Secretaria: Leticia Evelyn Córdova Ceballos. </w:t>
      </w:r>
    </w:p>
    <w:p w14:paraId="467A1FC6" w14:textId="77777777" w:rsidR="00654D1D" w:rsidRPr="00654D1D" w:rsidRDefault="003E526D" w:rsidP="00654D1D">
      <w:pPr>
        <w:spacing w:before="240"/>
        <w:ind w:left="1080" w:right="764"/>
        <w:jc w:val="both"/>
        <w:rPr>
          <w:rFonts w:ascii="ITC Avant Garde" w:hAnsi="ITC Avant Garde" w:cs="Arial"/>
          <w:b/>
          <w:bCs/>
          <w:sz w:val="18"/>
          <w:szCs w:val="18"/>
        </w:rPr>
      </w:pPr>
      <w:r w:rsidRPr="00654D1D">
        <w:rPr>
          <w:rFonts w:ascii="ITC Avant Garde" w:hAnsi="ITC Avant Garde" w:cs="Arial"/>
          <w:b/>
          <w:bCs/>
          <w:sz w:val="18"/>
          <w:szCs w:val="18"/>
        </w:rPr>
        <w:t xml:space="preserve">Instancia: </w:t>
      </w:r>
      <w:r w:rsidRPr="00654D1D">
        <w:rPr>
          <w:rFonts w:ascii="ITC Avant Garde" w:hAnsi="ITC Avant Garde" w:cs="Arial"/>
          <w:sz w:val="18"/>
          <w:szCs w:val="18"/>
        </w:rPr>
        <w:t xml:space="preserve">Tribunales Colegiados de Circuito. </w:t>
      </w:r>
      <w:r w:rsidRPr="00654D1D">
        <w:rPr>
          <w:rFonts w:ascii="ITC Avant Garde" w:hAnsi="ITC Avant Garde" w:cs="Arial"/>
          <w:b/>
          <w:bCs/>
          <w:sz w:val="18"/>
          <w:szCs w:val="18"/>
        </w:rPr>
        <w:t xml:space="preserve">Fuente: </w:t>
      </w:r>
      <w:r w:rsidRPr="00654D1D">
        <w:rPr>
          <w:rFonts w:ascii="ITC Avant Garde" w:hAnsi="ITC Avant Garde" w:cs="Arial"/>
          <w:sz w:val="18"/>
          <w:szCs w:val="18"/>
        </w:rPr>
        <w:t xml:space="preserve">Semanario Judicial de la Federación y su Gaceta, Novena Época. Tomo XVII, Febrero de 2003. Pág. 1063. </w:t>
      </w:r>
      <w:r w:rsidRPr="00654D1D">
        <w:rPr>
          <w:rFonts w:ascii="ITC Avant Garde" w:hAnsi="ITC Avant Garde" w:cs="Arial"/>
          <w:b/>
          <w:bCs/>
          <w:sz w:val="18"/>
          <w:szCs w:val="18"/>
        </w:rPr>
        <w:t>Tesis Aislada.”</w:t>
      </w:r>
    </w:p>
    <w:p w14:paraId="66CCFA02"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bCs/>
          <w:lang w:val="es-ES" w:eastAsia="es-MX"/>
        </w:rPr>
        <w:t>Ahora bien, la utilización de una facultad discrecional por parte de la autoridad administrativa al afectar la esfera jurídica del gobernado para que no se torne arbitraria, debe observar ciertos requisitos que son los siguientes, que se invoquen las circunstancias concretas al caso en estudio, que se razone</w:t>
      </w:r>
      <w:r w:rsidRPr="00654D1D">
        <w:rPr>
          <w:rFonts w:ascii="ITC Avant Garde" w:eastAsia="Times New Roman" w:hAnsi="ITC Avant Garde" w:cs="Arial"/>
          <w:lang w:val="es-ES" w:eastAsia="es-MX"/>
        </w:rPr>
        <w:t xml:space="preserve"> adecuadamente su determinación, apreciar debidamente los hechos pertinentes y no violar las reglas de la lógica. En tal, como en la especie sucedió, la Resolución recurrida, se encuentra apegada a dichos principios, pues en la especie se consideró adecuadamente los puntos sometidos a resolución y de manera razonada determinó las condiciones no convenidas entre la parte Recurrente y las tercero perjudicadas, observando en todo momento los principios de promover un desarrollo eficiente de las telecomunicaciones, fomentar una sana </w:t>
      </w:r>
      <w:r w:rsidRPr="00654D1D">
        <w:rPr>
          <w:rFonts w:ascii="ITC Avant Garde" w:eastAsia="Times New Roman" w:hAnsi="ITC Avant Garde" w:cs="Arial"/>
          <w:lang w:val="es-ES" w:eastAsia="es-MX"/>
        </w:rPr>
        <w:lastRenderedPageBreak/>
        <w:t>competencia entre los diferentes prestadores de servicios de telecomunicaciones a fin de que éstos se presten con mejores precios, diversidad y calidad en beneficio de los usuarios, y promover una adecuada cobertura social, por lo que consideró con base en la lógica y la experiencia determinar las tarifas no convenidas por los concesionarios.</w:t>
      </w:r>
    </w:p>
    <w:p w14:paraId="755A3579"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Derivado de lo expuesto, se desprende lo infundado e inoperante de los argumentos expuestos por la parte Recurrente.</w:t>
      </w:r>
    </w:p>
    <w:p w14:paraId="5A4965C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cuanto a que la extinta Comisión con la Resolución recurrida restringió a la Recurrente a recibir una justa retribución, en virtud de que determina tarifas de interconexión que no toma en consideración el costo real de brindar el servicio de interconexión, toda vez que modela las mismas con base en parámetros que no se adecuan a la realidad de la Recurrente.</w:t>
      </w:r>
    </w:p>
    <w:p w14:paraId="157D9D7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Al respecto, esta Autoridad revisora reitera que el artículo 42 de la LFT a la letra señala:</w:t>
      </w:r>
    </w:p>
    <w:p w14:paraId="5E4EFE75"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b/>
          <w:sz w:val="18"/>
          <w:szCs w:val="18"/>
        </w:rPr>
        <w:t>“Artículo 42</w:t>
      </w:r>
      <w:r w:rsidRPr="00654D1D">
        <w:rPr>
          <w:rFonts w:ascii="ITC Avant Garde" w:hAnsi="ITC Avant Garde" w:cs="Arial"/>
          <w:sz w:val="18"/>
          <w:szCs w:val="18"/>
        </w:rPr>
        <w:t>. Los concesionarios de redes públicas de telecomunicaciones deberán interconectar sus redes, y a tal efecto suscribirán un convenio en un plazo no mayor de 60 días naturales contados a partir de que alguno de ellos lo solicite. Transcurrido dicho plazo sin que las partes hayan celebrado el convenio, o antes si así lo solicitan ambas partes, la Secretaría, dentro de los 60 días naturales siguientes, resolverá sobre las condiciones que no hayan podido convenirse.</w:t>
      </w:r>
    </w:p>
    <w:p w14:paraId="5788A62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este punto es preciso resaltar que, el solo hecho de que un concesionario no pueda acordar con la Recurrente las tarifas de interconexión, significa que cada uno tiene diferentes percepciones acerca de cuáles son los “costos reales de proveer los servicios”; es decir un operador que provee servicios de telecomunicaciones y que tiene un conocimiento de los costos de equipos y despliegue de red no considera razonable la propuesta de tarifas de la Recurrente. </w:t>
      </w:r>
    </w:p>
    <w:p w14:paraId="28DDBAC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autoridad al ser la encargada de resolver sobre las condiciones no convenidas, en este caso sobre la tarifa de interconexión, debe considerar elementos de convicción que le permitan determinar una tarifa de interconexión que permita al operador recuperar los costos de provisión del servicio.</w:t>
      </w:r>
    </w:p>
    <w:p w14:paraId="75657CF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Sin embargo, lo anterior no significa de manera alguna que se deba de pagar a la Recurrente las tarifas que dicha empresa reclama bajo el argumento de que representa los costos en los que incurre, ya que de ser así carecería de sentido la facultad otorgada a la autoridad para determinar las condiciones que no hubiesen podido ser convenidas, ya que su resolución estaría limitada a obligar al operador a pagar lo reclamado por la Recurrente, sin poder considerar elemento adicional alguno.  </w:t>
      </w:r>
    </w:p>
    <w:p w14:paraId="666C618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Es así que la LFT no se dispone la forma en que deben ser calculadas las tarifas de interconexión, sin embargo la autoridad debe implementar las medidas que sean necesarias para lograr los objetivos de la ley, máxime que para ello la autoridad reguladora debe promover y vigilar la eficiente interconexión de las redes públicas de telecomunicaciones. </w:t>
      </w:r>
    </w:p>
    <w:p w14:paraId="4BCF587B"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este punto es necesario realizar unas precisiones sobre lo que la Recurrente considera que es el costo en el que incurre.</w:t>
      </w:r>
    </w:p>
    <w:p w14:paraId="5C2E83A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principio se comenta que los costos reales de la red de la Recurrente son únicamente conocidos por la Recurrente, ya que forman parte de los secretos industriales que toda empresa resguarda a efecto de mantener su ventaja competitiva en el mercado. </w:t>
      </w:r>
    </w:p>
    <w:p w14:paraId="72D8A25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Lo anterior no es un problema exclusivo de la industria de telecomunicaciones en México, sino que forma parte de la relación entre el órgano regulador y las empresas reguladas a lo largo de todo el mundo; basta mirar la literatura especializada en el tema la cual señala</w:t>
      </w:r>
      <w:r w:rsidRPr="00654D1D">
        <w:rPr>
          <w:rFonts w:ascii="ITC Avant Garde" w:hAnsi="ITC Avant Garde" w:cs="Arial"/>
        </w:rPr>
        <w:footnoteReference w:id="27"/>
      </w:r>
      <w:r w:rsidRPr="00654D1D">
        <w:rPr>
          <w:rFonts w:ascii="ITC Avant Garde" w:hAnsi="ITC Avant Garde" w:cs="Arial"/>
        </w:rPr>
        <w:t>:</w:t>
      </w:r>
    </w:p>
    <w:p w14:paraId="4E1DA61D"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“No es sorprendente que el regulado posea más información que el regulador. Aun cuando el monopolista regulado es obligado por la ley a proveer información a los funcionarios del gobierno, es difícil para ellos comprobar su exactitud. Según la teoría de </w:t>
      </w:r>
      <w:proofErr w:type="spellStart"/>
      <w:r w:rsidRPr="00654D1D">
        <w:rPr>
          <w:rFonts w:ascii="ITC Avant Garde" w:hAnsi="ITC Avant Garde" w:cs="Arial"/>
          <w:sz w:val="18"/>
          <w:szCs w:val="18"/>
        </w:rPr>
        <w:t>Akerlof</w:t>
      </w:r>
      <w:proofErr w:type="spellEnd"/>
      <w:r w:rsidRPr="00654D1D">
        <w:rPr>
          <w:rFonts w:ascii="ITC Avant Garde" w:hAnsi="ITC Avant Garde" w:cs="Arial"/>
          <w:sz w:val="18"/>
          <w:szCs w:val="18"/>
        </w:rPr>
        <w:t xml:space="preserve">, la principal falla de mercado es la información oculta, mientras que en un mercado monopolizado el ocultamiento de información es sólo un aspecto. El monopolista, sabiendo que un regulador no sería capaz de verificar la exactitud de la información, puede manipular los datos a su favor. </w:t>
      </w:r>
    </w:p>
    <w:p w14:paraId="111A2EDC"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w:t>
      </w:r>
    </w:p>
    <w:p w14:paraId="571A8665"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En un mercado monopolizado, por lo tanto, el regulador se enfrenta a dos problemas: la información asimétrica y la información manipulada. El efecto en el mercado se continúa la dominación por el monopolista.”</w:t>
      </w:r>
    </w:p>
    <w:p w14:paraId="11DECDC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este sentido se observa que uno de los principales aspectos a los que se enfrentan los reguladores de telecomunicaciones de todo el mundo es la asimetría entre la información que posee la autoridad y la que poseen las empresas reguladas, así como los fuertes incentivos de la empresa regulada a entregar a la autoridad información manipulada.</w:t>
      </w:r>
    </w:p>
    <w:p w14:paraId="324C0DE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Es así que la Recurrente no señala cuáles son los supuestos costos en los que incurre, ni mucho menos respalda su dicho con documentación debidamente auditada, replicable y verificable que permita aportar elementos de convicción.</w:t>
      </w:r>
    </w:p>
    <w:p w14:paraId="560F287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este contexto, la LFT reconoce que las partes pueden tener posturas incompatibles en la negociación de las condiciones de interconexión, particularmente sobre las contraprestaciones por los servicios de interconexión prestados entre las partes, caso en el que se establece la facultad de la autoridad reguladora para establecer las condiciones no convenidas en beneficio de los usuarios de servicios de telecomunicaciones y del desarrollo del sector. </w:t>
      </w:r>
    </w:p>
    <w:p w14:paraId="23857B3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De esta forma, el órgano regulador necesita utilizar elementos de convicción que le permitan determinar las tarifas aplicables a los servicios de interconexión materia de un desacuerdo; es así que una mejor práctica internacional es la utilización de modelos de costos mismos que han sido utilizados por los distintos órganos reguladores como una herramienta confiable para la determinación de las tarifas de interconexión.</w:t>
      </w:r>
    </w:p>
    <w:p w14:paraId="1CA7299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lo tanto se puede señalar que los modelos de costos son una herramienta ampliamente utilizada por los reguladores a nivel internacional, que permite solventar el problema de asimetrías de información con la empresa regulada al permitir realizar una estimación razonable de los costos incurridos en la provisión del servicio de interconexión, al mismo tiempo que son auditables y son transparentes. </w:t>
      </w:r>
    </w:p>
    <w:p w14:paraId="53A9A17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Al mismo tiempo es importante reiterar que en la determinación de las tarifas de interconexión, el órgano regulador debe promover el desarrollo de una competencia equitativa en el mercado de las telecomunicaciones.</w:t>
      </w:r>
    </w:p>
    <w:p w14:paraId="01F88D7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 así que las mejores prácticas internacionales en el establecimiento de las tarifas de interconexión, señalan que el cálculo de las mismas se debe realizar simulando los precios que se establecerían en un mercado competitivo, en virtud de que ello permite enviar las señales correctas al mercado, en el sentido de que los concesionarios realicen esfuerzos por minimizar costos, y permite el establecimiento de condiciones equitativas de competencia.</w:t>
      </w:r>
    </w:p>
    <w:p w14:paraId="16200A8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lo que uno de los resultados que se observan en los mercados en competencia es que los precios de los bienes y/o servicios convergen a los costos; con lo cual existe consenso en el ámbito internacional en el sentido de que las tarifas de interconexión se deben de orientar a los costos de producción</w:t>
      </w:r>
      <w:r w:rsidRPr="00654D1D">
        <w:rPr>
          <w:rFonts w:ascii="ITC Avant Garde" w:eastAsia="Courier New" w:hAnsi="ITC Avant Garde" w:cs="Arial"/>
          <w:lang w:eastAsia="es-ES"/>
        </w:rPr>
        <w:footnoteReference w:id="28"/>
      </w:r>
      <w:r w:rsidRPr="00654D1D">
        <w:rPr>
          <w:rFonts w:ascii="ITC Avant Garde" w:hAnsi="ITC Avant Garde" w:cs="Arial"/>
        </w:rPr>
        <w:t xml:space="preserve">. Asimismo, en un entorno de competencia efectiva se asegura que los concesionarios obtengan una rentabilidad </w:t>
      </w:r>
      <w:r w:rsidRPr="00654D1D">
        <w:rPr>
          <w:rFonts w:ascii="ITC Avant Garde" w:hAnsi="ITC Avant Garde" w:cs="Arial"/>
        </w:rPr>
        <w:lastRenderedPageBreak/>
        <w:t>razonable sobre el capital invertido en el largo plazo, es decir, durante un periodo discreto de tiempo.</w:t>
      </w:r>
    </w:p>
    <w:p w14:paraId="642F0C2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La determinación de una tarifa de terminación, con base en la red de un operador eficiente, envía las señales correctas al mercado al otorgar incentivos a los concesionarios para minimizar costos; de lo contrario se distorsionan las señales de precios y los operadores de alto costo trasladarán sus ineficiencias a los consumidores. Además, podría proporcionar a un concesionario una ventaja injustificada a la hora de competir contra otros concesionarios en el servicio al usuario final.  </w:t>
      </w:r>
    </w:p>
    <w:p w14:paraId="7A6C77E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el contrario, al utilizar la red de un operador hipotético eficiente en la determinación de la tarifa de interconexión, los operadores tienen incentivos para reducir costos al tratar de obtener ganancias con relación a la tarifa establecida por la regulación; es importante mencionar que las reducciones en las tarifas de interconexión se trasladan al usuario final en la forma de menores precios por sus servicios finales.</w:t>
      </w:r>
    </w:p>
    <w:p w14:paraId="42C96E8A" w14:textId="1085DC98" w:rsidR="00654D1D" w:rsidRPr="00654D1D" w:rsidRDefault="003E526D" w:rsidP="00654D1D">
      <w:pPr>
        <w:autoSpaceDE w:val="0"/>
        <w:autoSpaceDN w:val="0"/>
        <w:adjustRightInd w:val="0"/>
        <w:spacing w:before="240"/>
        <w:jc w:val="both"/>
        <w:rPr>
          <w:rFonts w:ascii="ITC Avant Garde" w:hAnsi="ITC Avant Garde" w:cs="Arial"/>
          <w:lang w:eastAsia="es-MX"/>
        </w:rPr>
      </w:pPr>
      <w:r w:rsidRPr="00654D1D">
        <w:rPr>
          <w:rFonts w:ascii="ITC Avant Garde" w:hAnsi="ITC Avant Garde" w:cs="Arial"/>
        </w:rPr>
        <w:t xml:space="preserve">Considerando lo anterior, la extinta Comisión determinó en la Resolución recurrida que </w:t>
      </w:r>
      <w:r w:rsidRPr="00654D1D">
        <w:rPr>
          <w:rFonts w:ascii="ITC Avant Garde" w:hAnsi="ITC Avant Garde" w:cs="Arial"/>
          <w:lang w:eastAsia="es-MX"/>
        </w:rPr>
        <w:t xml:space="preserve">es conveniente que la tarifa de interconexión cubra los costos en que incurre un operador eficiente por terminar las llamadas, </w:t>
      </w:r>
      <w:r w:rsidRPr="00654D1D">
        <w:rPr>
          <w:rFonts w:ascii="ITC Avant Garde" w:hAnsi="ITC Avant Garde" w:cs="Arial"/>
          <w:iCs/>
          <w:lang w:eastAsia="es-MX"/>
        </w:rPr>
        <w:t xml:space="preserve">y </w:t>
      </w:r>
      <w:r w:rsidRPr="00654D1D">
        <w:rPr>
          <w:rFonts w:ascii="ITC Avant Garde" w:hAnsi="ITC Avant Garde" w:cs="Arial"/>
          <w:lang w:eastAsia="es-MX"/>
        </w:rPr>
        <w:t>a la vez incluya un retorno al capital razonable por prestar este servicio. De lo contrario se podría desincentivar la provisión de los servicios de interconexión. Es importante que los costos recuperados sean los de un operador eficiente, pues en caso contrario, se permitiría que la ineficiencia del operador se traslade a otros operadores y en última Instancia, a los usuarios.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w:t>
      </w:r>
    </w:p>
    <w:p w14:paraId="297CA2FC" w14:textId="77777777" w:rsidR="00654D1D" w:rsidRPr="00654D1D" w:rsidRDefault="003E526D" w:rsidP="00654D1D">
      <w:pPr>
        <w:spacing w:before="240"/>
        <w:jc w:val="both"/>
        <w:rPr>
          <w:rFonts w:ascii="ITC Avant Garde" w:hAnsi="ITC Avant Garde" w:cs="Arial"/>
          <w:lang w:eastAsia="es-MX"/>
        </w:rPr>
      </w:pPr>
      <w:r w:rsidRPr="00654D1D">
        <w:rPr>
          <w:rFonts w:ascii="ITC Avant Garde" w:hAnsi="ITC Avant Garde" w:cs="Arial"/>
          <w:lang w:eastAsia="es-MX"/>
        </w:rPr>
        <w:t xml:space="preserve">Asimismo, para determinar los costos de operadores reales es necesario contar con un gran desglose de información en el cual es previsible que exista una reticencia de los concesionarios de proporcionar información del precio de los activos, de que se utilice y se divulgue su información, lo cual conllevaría a que el modelo carezca de transparencia, y por ende credibilidad, lo que particularmente haría difícil o inclusive imposible la verificación del modelo por terceros y a una serie de cuestionamientos sobre la calidad de los resultados del modelo. </w:t>
      </w:r>
    </w:p>
    <w:p w14:paraId="6FC6F63C" w14:textId="77777777" w:rsidR="00654D1D" w:rsidRPr="00654D1D" w:rsidRDefault="003E526D" w:rsidP="00654D1D">
      <w:pPr>
        <w:spacing w:before="240"/>
        <w:jc w:val="both"/>
        <w:rPr>
          <w:rFonts w:ascii="ITC Avant Garde" w:hAnsi="ITC Avant Garde" w:cs="Arial"/>
          <w:lang w:eastAsia="es-MX"/>
        </w:rPr>
      </w:pPr>
      <w:r w:rsidRPr="00654D1D">
        <w:rPr>
          <w:rFonts w:ascii="ITC Avant Garde" w:hAnsi="ITC Avant Garde" w:cs="Arial"/>
          <w:lang w:eastAsia="es-MX"/>
        </w:rPr>
        <w:t xml:space="preserve">Por otra parte, los operadores tienen incentivos para establecer elevadas tarifas de terminación de llamadas ya que ello ocasiona que se incrementen los costos de sus competidores; y con ello se establezcan altos cargos para los clientes de los operadores de la competencia. En este sentido, cuando un operador reduce los costos de </w:t>
      </w:r>
      <w:r w:rsidRPr="00654D1D">
        <w:rPr>
          <w:rFonts w:ascii="ITC Avant Garde" w:hAnsi="ITC Avant Garde" w:cs="Arial"/>
          <w:lang w:eastAsia="es-MX"/>
        </w:rPr>
        <w:lastRenderedPageBreak/>
        <w:t>terminación de llamadas en su red debido a una operación más eficiente, quien se beneficia es el operador que adquiere un insumo a un precio menor y no así la empresa que ha reducido los costos de terminación. Por lo tanto el operador menos eficiente obtiene las ganancias de una ventaja competitiva. Este problema se solucionaría si se establecieran las tarifas por terminación con base en un operador representativo eficiente.</w:t>
      </w:r>
    </w:p>
    <w:p w14:paraId="65B5E7C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lang w:eastAsia="es-MX"/>
        </w:rPr>
        <w:t>Por consiguiente, el considerar los costos incurridos por un operador real, como lo pretende la Recurrente, no es acorde con el fomento de una sana competencia consagrado en el artículo 7 de la LFT ni con las mejores prácticas internacionales, por lo que lo argumentado por la Recurrente deviene de infundado.</w:t>
      </w:r>
    </w:p>
    <w:p w14:paraId="530CBBC5" w14:textId="77777777"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 xml:space="preserve">DÉCIMO </w:t>
      </w:r>
      <w:r w:rsidRPr="00654D1D">
        <w:rPr>
          <w:rFonts w:ascii="ITC Avant Garde" w:hAnsi="ITC Avant Garde" w:cs="Arial"/>
        </w:rPr>
        <w:t>en el que invoca que la Resolución Recurrida viola el principio de retroactividad al fijar tarifas para un periodo ya pasado, por lo que está viciada de una indebida motivación y, por lo tanto, viola el artículo 3, fracción V, de la Ley Federal de Procedimiento Administrativo, es infundado.</w:t>
      </w:r>
    </w:p>
    <w:p w14:paraId="620DAFF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el caso que nos ocupa si bien la Resolución Recurrida se dictó con fecha 6 de julio de 2011, y determina tarifas de interconexión del 1 de enero al 31 de diciembre de 2011, ello no implica como pretende la Recurrente que dicho acto sea retroactivo.</w:t>
      </w:r>
    </w:p>
    <w:p w14:paraId="704336A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este sentido, se considera necesario acudir al siguiente criterio relativo a la retroactividad: </w:t>
      </w:r>
    </w:p>
    <w:p w14:paraId="4B6026A2" w14:textId="4223BE2A" w:rsidR="003E526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 xml:space="preserve">Novena Época </w:t>
      </w:r>
    </w:p>
    <w:p w14:paraId="4B6026A3" w14:textId="77777777" w:rsidR="003E526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 xml:space="preserve">Instancia: Segunda Sala </w:t>
      </w:r>
    </w:p>
    <w:p w14:paraId="4B6026A4" w14:textId="77777777" w:rsidR="003E526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 xml:space="preserve">Fuente: Semanario Judicial de la Federación y su Gaceta </w:t>
      </w:r>
    </w:p>
    <w:p w14:paraId="4B6026A5" w14:textId="77777777" w:rsidR="003E526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 xml:space="preserve">Tomo: XIII, Junio de 2001 </w:t>
      </w:r>
    </w:p>
    <w:p w14:paraId="4B6026A6" w14:textId="77777777" w:rsidR="003E526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 xml:space="preserve">Tesis: 2a. LXXXVIII/2001 </w:t>
      </w:r>
    </w:p>
    <w:p w14:paraId="4B6026A7" w14:textId="77777777" w:rsidR="003E526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 xml:space="preserve">Página: 306 </w:t>
      </w:r>
    </w:p>
    <w:p w14:paraId="4B6026A8" w14:textId="77777777" w:rsidR="003E526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 xml:space="preserve">Materia: Constitucional </w:t>
      </w:r>
    </w:p>
    <w:p w14:paraId="0C658BAB" w14:textId="77777777" w:rsidR="00654D1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Tesis aislada.</w:t>
      </w:r>
    </w:p>
    <w:p w14:paraId="11E31BF0" w14:textId="77777777" w:rsidR="00654D1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b/>
          <w:snapToGrid w:val="0"/>
          <w:sz w:val="18"/>
          <w:szCs w:val="18"/>
          <w:lang w:eastAsia="es-ES"/>
        </w:rPr>
        <w:t>IRRETROACTIVIDAD DE LAS LEYES. NO SE VIOLA ESA GARANTÍA CONSTITUCIONAL CUANDO LAS LEYES O ACTOS CONCRETOS DE APLICACIÓN SÓLO AFECTAN SIMPLES EXPECTATIVAS DE DERECHO, Y NO DERECHOS ADQUIRIDOS.</w:t>
      </w:r>
      <w:r w:rsidRPr="00654D1D">
        <w:rPr>
          <w:rFonts w:ascii="ITC Avant Garde" w:eastAsia="Times New Roman" w:hAnsi="ITC Avant Garde" w:cs="Arial"/>
          <w:snapToGrid w:val="0"/>
          <w:sz w:val="18"/>
          <w:szCs w:val="18"/>
          <w:lang w:eastAsia="es-ES"/>
        </w:rPr>
        <w:t xml:space="preserve">   Conforme a la interpretación que la Suprema Corte de Justicia de la Nación ha hecho del artículo 14 de la Constitución Política de los Estados Unidos Mexicanos en cuanto al tema de la irretroactividad desfavorable que se prohíbe, se </w:t>
      </w:r>
      <w:r w:rsidRPr="00654D1D">
        <w:rPr>
          <w:rFonts w:ascii="ITC Avant Garde" w:eastAsia="Times New Roman" w:hAnsi="ITC Avant Garde" w:cs="Arial"/>
          <w:snapToGrid w:val="0"/>
          <w:sz w:val="18"/>
          <w:szCs w:val="18"/>
          <w:lang w:eastAsia="es-ES"/>
        </w:rPr>
        <w:lastRenderedPageBreak/>
        <w:t>desprende que ésta se entiende referida tanto al legislador, por cuanto a la expedición de las leyes, como a la autoridad que las aplica a un caso determinado, ya que la primera puede imprimir retroactividad, al modificar o afectar derechos adquiridos con anterioridad y la segunda, al aplicarlo, produciéndose en ambos casos el efecto prohibido por el Constituyente. Ahora bien, el derecho adquirido es aquel que ha entrado al patrimonio del individuo, a su dominio o a su haber jurídico, o bien, es aquel que implica la introducción de un bien, una facultad o un provecho al patrimonio de una persona o haber jurídico; en cambio, la expectativa de derecho es una pretensión o esperanza de que se realice una situación determinada que va a generar con posterioridad un derecho; es decir, mientras que el derecho adquirido constituye una realidad, la expectativa de derecho corresponde al futuro. En estas condiciones, se concluye que si una ley o un acto concreto de aplicación no afectan derechos adquiridos sino simples expectativas de derecho no violan la garantía de irretroactividad de las leyes prevista en el precepto constitucional citado.</w:t>
      </w:r>
    </w:p>
    <w:p w14:paraId="0FDF257A" w14:textId="77777777" w:rsidR="00654D1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 xml:space="preserve">Amparo en revisión 607/2000. Héctor Adalberto García Noriega. 11 de mayo de 2001. Unanimidad de cuatro votos. Ausente: José Vicente </w:t>
      </w:r>
      <w:proofErr w:type="spellStart"/>
      <w:r w:rsidRPr="00654D1D">
        <w:rPr>
          <w:rFonts w:ascii="ITC Avant Garde" w:eastAsia="Times New Roman" w:hAnsi="ITC Avant Garde" w:cs="Arial"/>
          <w:snapToGrid w:val="0"/>
          <w:sz w:val="18"/>
          <w:szCs w:val="18"/>
          <w:lang w:eastAsia="es-ES"/>
        </w:rPr>
        <w:t>Aguinaco</w:t>
      </w:r>
      <w:proofErr w:type="spellEnd"/>
      <w:r w:rsidRPr="00654D1D">
        <w:rPr>
          <w:rFonts w:ascii="ITC Avant Garde" w:eastAsia="Times New Roman" w:hAnsi="ITC Avant Garde" w:cs="Arial"/>
          <w:snapToGrid w:val="0"/>
          <w:sz w:val="18"/>
          <w:szCs w:val="18"/>
          <w:lang w:eastAsia="es-ES"/>
        </w:rPr>
        <w:t xml:space="preserve"> Alemán. Ponente: Mariano Azuela </w:t>
      </w:r>
      <w:proofErr w:type="spellStart"/>
      <w:r w:rsidRPr="00654D1D">
        <w:rPr>
          <w:rFonts w:ascii="ITC Avant Garde" w:eastAsia="Times New Roman" w:hAnsi="ITC Avant Garde" w:cs="Arial"/>
          <w:snapToGrid w:val="0"/>
          <w:sz w:val="18"/>
          <w:szCs w:val="18"/>
          <w:lang w:eastAsia="es-ES"/>
        </w:rPr>
        <w:t>Güitrón</w:t>
      </w:r>
      <w:proofErr w:type="spellEnd"/>
      <w:r w:rsidRPr="00654D1D">
        <w:rPr>
          <w:rFonts w:ascii="ITC Avant Garde" w:eastAsia="Times New Roman" w:hAnsi="ITC Avant Garde" w:cs="Arial"/>
          <w:snapToGrid w:val="0"/>
          <w:sz w:val="18"/>
          <w:szCs w:val="18"/>
          <w:lang w:eastAsia="es-ES"/>
        </w:rPr>
        <w:t>. Secretaria: Lourdes Minerva Cifuentes Bazán. Véase: Semanario Judicial de la Federación, Sexta Época, Volumen CXXXVI, Primera Parte, página 80, tesis de rubro: "RETROACTIVIDAD, TEORÍAS DE LA.".</w:t>
      </w:r>
    </w:p>
    <w:p w14:paraId="5F39340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el caso concreto, a efecto de que pudiera considerarse que la Resolución Recurrida es retroactiva, tendría que existir una afectación a un derecho adquirido de la Recurrente, lo que no se actualiza.</w:t>
      </w:r>
    </w:p>
    <w:p w14:paraId="34D71DE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este sentido, en la Resolución Recurrida se analizó la existencia de un derecho adquirido en los siguientes términos:</w:t>
      </w:r>
    </w:p>
    <w:p w14:paraId="4B6026B3" w14:textId="308D392C"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“Al respecto, esta Comisión como ya se mencionó, está facultada en términos de lo dispuesto por los artículos 9-A fracción X y 42 de la LFT, para determinar las condiciones que, en materia de interconexión, no hayan podido convenirse entre los concesionarios de redes públicas de telecomunicaciones interesados. En este sentido, el artículo 9 fracción VIII del Reglamento Interno vigente de la Comisión es consistente con la facultad anteriormente señalada, al establecer que corresponde al Pleno de dicho órgano el ejercicio de la atribución relativa a la resolución de condiciones de interconexión que no hayan podido convenirse entre los concesionarios de las redes públicas de telecomunicaciones de que se trate.</w:t>
      </w:r>
    </w:p>
    <w:p w14:paraId="7E1D968D"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Es así, que para que esta Comisión pueda ejercer la facultad consagrada en la segunda parte del artículo 9-A fracción X de la LFT, en relación con lo establecido por el artículo 42 de la LFT, sólo requiere la acreditación de un presupuesto esencial, como lo es, la existencia de condiciones no convenidas en materia de interconexión entre concesionarios de redes públicas de telecomunicaciones, de tal suerte que, de acreditarse este presupuesto, puede materializarse la hipótesis normativa consagrada en dicho precepto y, por lo tanto, la Comisión queda facultada para ejercer las atribuciones establecidas en la legislación de la materia.</w:t>
      </w:r>
    </w:p>
    <w:p w14:paraId="4BB5C920"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Por lo anterior, es menester de esta Comisión analizar lo establecido por las partes en el Convenio Cablevisión- Grupo Telefónica y en 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Grupo Telefónica.</w:t>
      </w:r>
    </w:p>
    <w:p w14:paraId="2BA15A5D"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lastRenderedPageBreak/>
        <w:t>En este sentido, la cláusula Cuarta en el numeral 4.1.2 del Convenio de Cablevisión –Grupo Telefónica, prevé expresamente lo siguiente:</w:t>
      </w:r>
    </w:p>
    <w:p w14:paraId="71E93C8C"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iCs/>
          <w:sz w:val="18"/>
          <w:szCs w:val="18"/>
        </w:rPr>
        <w:t>"</w:t>
      </w:r>
      <w:r w:rsidRPr="00654D1D">
        <w:rPr>
          <w:rFonts w:ascii="ITC Avant Garde" w:hAnsi="ITC Avant Garde" w:cs="Arial"/>
          <w:b/>
          <w:iCs/>
          <w:sz w:val="18"/>
          <w:szCs w:val="18"/>
        </w:rPr>
        <w:t xml:space="preserve">4.1.2. </w:t>
      </w:r>
      <w:r w:rsidRPr="00654D1D">
        <w:rPr>
          <w:rFonts w:ascii="ITC Avant Garde" w:hAnsi="ITC Avant Garde" w:cs="Arial"/>
          <w:b/>
          <w:sz w:val="18"/>
          <w:szCs w:val="18"/>
          <w:u w:val="single"/>
        </w:rPr>
        <w:t>Vigencia.</w:t>
      </w:r>
      <w:r w:rsidRPr="00654D1D">
        <w:rPr>
          <w:rFonts w:ascii="ITC Avant Garde" w:hAnsi="ITC Avant Garde" w:cs="Arial"/>
          <w:sz w:val="18"/>
          <w:szCs w:val="18"/>
        </w:rPr>
        <w:t xml:space="preserve"> No obstante lo anterior, en el supuesto que durante la vigencia del presente Convenio, cualquiera de dichas contraprestaciones dejase de estar en vigor, ya sea por efecto de un acuerdo adoptado entre las partes o por una Resolución Firme y, en tanto las nuevas contraprestaciones que sustituyan a las anteriores no hubiesen sido legalmente determinadas, las contraprestaciones que las partes deberán pagarse en su caso entre sí, en forma temporal, en los términos del presente Convenio, por los Servicios de Interconexión CABLEVISIÓN/PEGASO PCS, serán Iguales a aquellas que para cada uno de los Servicios de Interconexión CABLEVISIÓN/PEGASO PCS,  correspondientes hubiesen estado en vigor el día inmediato anterior a la fecha en que las contraprestaciones dejasen de estar en vigor y que fueren correlativamente aplicables en los términos en que las partes las hubieren convenido, actualizadas, en el caso de contraprestaciones aplicables a los Servicios Conmutados de Interconexión Directa o Indirecta, y a los Servicios de Tránsito Local, en función del transcurso del tiempo y de los cambios de previos en el país, para lo cual se aplicará el factor de actualización a que se refiere el inciso 4.1.5. </w:t>
      </w:r>
      <w:proofErr w:type="gramStart"/>
      <w:r w:rsidRPr="00654D1D">
        <w:rPr>
          <w:rFonts w:ascii="ITC Avant Garde" w:hAnsi="ITC Avant Garde" w:cs="Arial"/>
          <w:sz w:val="18"/>
          <w:szCs w:val="18"/>
        </w:rPr>
        <w:t>siguiente</w:t>
      </w:r>
      <w:proofErr w:type="gramEnd"/>
      <w:r w:rsidRPr="00654D1D">
        <w:rPr>
          <w:rFonts w:ascii="ITC Avant Garde" w:hAnsi="ITC Avant Garde" w:cs="Arial"/>
          <w:sz w:val="18"/>
          <w:szCs w:val="18"/>
        </w:rPr>
        <w:t xml:space="preserve"> [... ]"</w:t>
      </w:r>
    </w:p>
    <w:p w14:paraId="673AE0CD"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Asimismo, en el numeral 17.2 de la Cláusula Décimo Séptima del Convenio Cablevisión- Grupo Telefónica, establece expresamente lo siguiente:</w:t>
      </w:r>
    </w:p>
    <w:p w14:paraId="4B6026BE" w14:textId="1BC4C80A" w:rsidR="003E526D" w:rsidRPr="00654D1D" w:rsidRDefault="003E526D" w:rsidP="00654D1D">
      <w:pPr>
        <w:spacing w:before="240"/>
        <w:ind w:left="567" w:right="616"/>
        <w:jc w:val="both"/>
        <w:rPr>
          <w:rFonts w:ascii="ITC Avant Garde" w:hAnsi="ITC Avant Garde" w:cs="Arial"/>
          <w:b/>
          <w:sz w:val="18"/>
          <w:szCs w:val="18"/>
          <w:u w:val="single"/>
        </w:rPr>
      </w:pPr>
      <w:r w:rsidRPr="00654D1D">
        <w:rPr>
          <w:rFonts w:ascii="ITC Avant Garde" w:hAnsi="ITC Avant Garde" w:cs="Arial"/>
          <w:b/>
          <w:sz w:val="18"/>
          <w:szCs w:val="18"/>
        </w:rPr>
        <w:t>"17.2 APLICACIÓN CONTINUA</w:t>
      </w:r>
      <w:r w:rsidRPr="00654D1D">
        <w:rPr>
          <w:rFonts w:ascii="ITC Avant Garde" w:hAnsi="ITC Avant Garde" w:cs="Arial"/>
          <w:sz w:val="18"/>
          <w:szCs w:val="18"/>
        </w:rPr>
        <w:t xml:space="preserve">. Sin embargo, si al concluir el plazo inicial del presente Convenio, que vence el 31 de diciembre de 2010, las partes continúan contando con una Red Pública de Telecomunicaciones y con la concesión correspondiente de la Secretaría, no obstante haber terminado el presente Convenio por haber vencido su plazo, sus términos y condiciones continuarán aplicándose, incluyendo las contraprestaciones que hubiesen estado en vigor hasta el día inmediato anterior a la fecha en que se hubiese extinguido el presente Convenio, actualizadas, tratándose de contraprestaciones aplicables a Servicios Conmutados de Interconexión CABLEVISIÓN/PEGASO PCS, y Servicios de Tránsito Local, por el transcurso del tiempo y con motivo de los cambios de precios en el país, para lo cual se aplicará el factor de actualización a que se refiere el </w:t>
      </w:r>
      <w:proofErr w:type="spellStart"/>
      <w:r w:rsidRPr="00654D1D">
        <w:rPr>
          <w:rFonts w:ascii="ITC Avant Garde" w:hAnsi="ITC Avant Garde" w:cs="Arial"/>
          <w:sz w:val="18"/>
          <w:szCs w:val="18"/>
        </w:rPr>
        <w:t>subinciso</w:t>
      </w:r>
      <w:proofErr w:type="spellEnd"/>
      <w:r w:rsidRPr="00654D1D">
        <w:rPr>
          <w:rFonts w:ascii="ITC Avant Garde" w:hAnsi="ITC Avant Garde" w:cs="Arial"/>
          <w:sz w:val="18"/>
          <w:szCs w:val="18"/>
        </w:rPr>
        <w:t xml:space="preserve"> 4.1.5 de la cláusula Cuarta anterior, pues tratándose de cualesquiera Servicios No Conmutados de Interconexión CABLEVISIÓN/PEGASO PCS se aplicarán las tarifas vigentes al tiempo en que se lleve a cabo la prestación de los servicios de que se trate, debidamente registradas ante la Comisión. </w:t>
      </w:r>
      <w:r w:rsidRPr="00654D1D">
        <w:rPr>
          <w:rFonts w:ascii="ITC Avant Garde" w:hAnsi="ITC Avant Garde" w:cs="Arial"/>
          <w:b/>
          <w:sz w:val="18"/>
          <w:szCs w:val="18"/>
          <w:u w:val="single"/>
        </w:rPr>
        <w:t>Dichas contraprestaciones continuarán aplicándose hasta que conforme lo previsto por el Artículo 42 de la Ley las partes celebren un nuevo convenio para continuar con la Interconexión entre sus redes.</w:t>
      </w:r>
    </w:p>
    <w:p w14:paraId="1999B18D" w14:textId="77777777" w:rsidR="00654D1D" w:rsidRPr="00654D1D" w:rsidRDefault="003E526D" w:rsidP="00654D1D">
      <w:pPr>
        <w:spacing w:before="240"/>
        <w:ind w:left="567" w:right="616"/>
        <w:jc w:val="both"/>
        <w:rPr>
          <w:rFonts w:ascii="ITC Avant Garde" w:hAnsi="ITC Avant Garde" w:cs="Arial"/>
          <w:b/>
          <w:sz w:val="18"/>
          <w:szCs w:val="18"/>
          <w:u w:val="single"/>
        </w:rPr>
      </w:pPr>
      <w:r w:rsidRPr="00654D1D">
        <w:rPr>
          <w:rFonts w:ascii="ITC Avant Garde" w:hAnsi="ITC Avant Garde" w:cs="Arial"/>
          <w:b/>
          <w:sz w:val="18"/>
          <w:szCs w:val="18"/>
          <w:u w:val="single"/>
        </w:rPr>
        <w:t>[. .. ]" [Énfasis añadido].</w:t>
      </w:r>
    </w:p>
    <w:p w14:paraId="1EC9649A"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Por otro lado, y respecto al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la cláusula 4.1.2. </w:t>
      </w:r>
      <w:proofErr w:type="gramStart"/>
      <w:r w:rsidRPr="00654D1D">
        <w:rPr>
          <w:rFonts w:ascii="ITC Avant Garde" w:hAnsi="ITC Avant Garde" w:cs="Arial"/>
          <w:sz w:val="18"/>
          <w:szCs w:val="18"/>
        </w:rPr>
        <w:t>establece</w:t>
      </w:r>
      <w:proofErr w:type="gramEnd"/>
      <w:r w:rsidRPr="00654D1D">
        <w:rPr>
          <w:rFonts w:ascii="ITC Avant Garde" w:hAnsi="ITC Avant Garde" w:cs="Arial"/>
          <w:sz w:val="18"/>
          <w:szCs w:val="18"/>
        </w:rPr>
        <w:t xml:space="preserve"> lo siguiente:</w:t>
      </w:r>
    </w:p>
    <w:p w14:paraId="424E39B8"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"4.1.2 Vigencia.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substituyan a las anteriores no hubiesen sido legalmente determinadas, las contraprestaciones que las Partes deberán pagarse en su caso entre sí en forma temporal, serán de conformidad con los términos del presente Convenio, por los Servicios de Interconexión Indirecta y/o Servicios de Tránsito Local correspondientes </w:t>
      </w:r>
      <w:r w:rsidRPr="00654D1D">
        <w:rPr>
          <w:rFonts w:ascii="ITC Avant Garde" w:hAnsi="ITC Avant Garde" w:cs="Arial"/>
          <w:sz w:val="18"/>
          <w:szCs w:val="18"/>
        </w:rPr>
        <w:lastRenderedPageBreak/>
        <w:t>hubiesen estado en vigor el día inmediato anterior a la fecha en que las contraprestaciones dejen de estar en vigor y que fueren correlativamente aplicables en los términos en que las Partes las hubieren convenido, actualizadas en función del transcurso del tiempo y de los cambios de precios en el país, para lo cual se aplicará el factor de actualización a que se refiere el inciso 4. 1. 5 siguiente. [. . .]"</w:t>
      </w:r>
    </w:p>
    <w:p w14:paraId="4F3E69AB"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Asimismo, en el numeral 15.2 de la cláusula Décimo Quinta del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-Grupo Telefónica, establece expresamente lo siguiente:</w:t>
      </w:r>
    </w:p>
    <w:p w14:paraId="51A129C9" w14:textId="77777777" w:rsidR="00654D1D" w:rsidRPr="00654D1D" w:rsidRDefault="003E526D" w:rsidP="00654D1D">
      <w:pPr>
        <w:spacing w:before="240"/>
        <w:ind w:left="567" w:right="616"/>
        <w:jc w:val="both"/>
        <w:rPr>
          <w:rFonts w:ascii="ITC Avant Garde" w:hAnsi="ITC Avant Garde" w:cs="Arial"/>
          <w:b/>
          <w:sz w:val="18"/>
          <w:szCs w:val="18"/>
          <w:u w:val="single"/>
        </w:rPr>
      </w:pPr>
      <w:r w:rsidRPr="00654D1D">
        <w:rPr>
          <w:rFonts w:ascii="ITC Avant Garde" w:hAnsi="ITC Avant Garde" w:cs="Arial"/>
          <w:sz w:val="18"/>
          <w:szCs w:val="18"/>
        </w:rPr>
        <w:t xml:space="preserve">"15.2 </w:t>
      </w:r>
      <w:r w:rsidRPr="00654D1D">
        <w:rPr>
          <w:rFonts w:ascii="ITC Avant Garde" w:hAnsi="ITC Avant Garde" w:cs="Arial"/>
          <w:b/>
          <w:sz w:val="18"/>
          <w:szCs w:val="18"/>
          <w:u w:val="single"/>
        </w:rPr>
        <w:t>APLICACIÓN CONTINUA</w:t>
      </w:r>
      <w:r w:rsidRPr="00654D1D">
        <w:rPr>
          <w:rFonts w:ascii="ITC Avant Garde" w:hAnsi="ITC Avant Garde" w:cs="Arial"/>
          <w:sz w:val="18"/>
          <w:szCs w:val="18"/>
        </w:rPr>
        <w:t xml:space="preserve">. Sin embargo, si al concluir el plazo inicial del presente Convenio, </w:t>
      </w:r>
      <w:r w:rsidRPr="00654D1D">
        <w:rPr>
          <w:rFonts w:ascii="ITC Avant Garde" w:hAnsi="ITC Avant Garde" w:cs="Arial"/>
          <w:b/>
          <w:sz w:val="18"/>
          <w:szCs w:val="18"/>
        </w:rPr>
        <w:t>que vence el 31 de diciembre de 2005</w:t>
      </w:r>
      <w:r w:rsidRPr="00654D1D">
        <w:rPr>
          <w:rFonts w:ascii="ITC Avant Garde" w:hAnsi="ITC Avant Garde" w:cs="Arial"/>
          <w:sz w:val="18"/>
          <w:szCs w:val="18"/>
        </w:rPr>
        <w:t xml:space="preserve">, las partes Continúan contando con una Red Pública de. Telecomunicaciones y con la concesión correspondiente de la Secretaria, no obstante haber terminado el presente Convenio por haber vencido su plazo, sus términos y condiciones continuarán aplicándose, incluyendo las contraprestaciones que hubiesen estado en vigor hasta el día inmediato anterior a la fecha en que se hubiese extinguido el presente Convenio. actualizadas, tratándose de contraprestaciones aplicables a Servicios de Interconexión Indirecta y Servicios de Tránsito Local, por el transcurso del tiempo y con motivo de los cambios de precios en el país, para lo que se aplicará el factor de actualización a que se refiere el </w:t>
      </w:r>
      <w:proofErr w:type="spellStart"/>
      <w:r w:rsidRPr="00654D1D">
        <w:rPr>
          <w:rFonts w:ascii="ITC Avant Garde" w:hAnsi="ITC Avant Garde" w:cs="Arial"/>
          <w:sz w:val="18"/>
          <w:szCs w:val="18"/>
        </w:rPr>
        <w:t>subinciso</w:t>
      </w:r>
      <w:proofErr w:type="spellEnd"/>
      <w:r w:rsidRPr="00654D1D">
        <w:rPr>
          <w:rFonts w:ascii="ITC Avant Garde" w:hAnsi="ITC Avant Garde" w:cs="Arial"/>
          <w:sz w:val="18"/>
          <w:szCs w:val="18"/>
        </w:rPr>
        <w:t xml:space="preserve"> 4.1.5 de la Cláusula Cuarta anterior. </w:t>
      </w:r>
      <w:r w:rsidRPr="00654D1D">
        <w:rPr>
          <w:rFonts w:ascii="ITC Avant Garde" w:hAnsi="ITC Avant Garde" w:cs="Arial"/>
          <w:b/>
          <w:sz w:val="18"/>
          <w:szCs w:val="18"/>
          <w:u w:val="single"/>
        </w:rPr>
        <w:t xml:space="preserve">Dichas contraprestaciones continuarán aplicándose hasta que conforme a lo previsto por el Artículo 42 de la Ley, las Partes celebren un nuevo convenio para </w:t>
      </w:r>
      <w:proofErr w:type="spellStart"/>
      <w:r w:rsidRPr="00654D1D">
        <w:rPr>
          <w:rFonts w:ascii="ITC Avant Garde" w:hAnsi="ITC Avant Garde" w:cs="Arial"/>
          <w:b/>
          <w:sz w:val="18"/>
          <w:szCs w:val="18"/>
          <w:u w:val="single"/>
        </w:rPr>
        <w:t>contnuar</w:t>
      </w:r>
      <w:proofErr w:type="spellEnd"/>
      <w:r w:rsidRPr="00654D1D">
        <w:rPr>
          <w:rFonts w:ascii="ITC Avant Garde" w:hAnsi="ITC Avant Garde" w:cs="Arial"/>
          <w:b/>
          <w:sz w:val="18"/>
          <w:szCs w:val="18"/>
          <w:u w:val="single"/>
        </w:rPr>
        <w:t xml:space="preserve"> con la interconexión indirecta de sus redes. […] [Énfasis añadido].</w:t>
      </w:r>
    </w:p>
    <w:p w14:paraId="0819C80D"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Como se desprende de lo anterior, las partes pactaron expresamente que el Convenio Cablevisión – Grupo Telefónica se extinguirá el 31 de diciembre de 2010 y 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el 31 de diciembre de 2005. Sin embargo, también pactaron que al actualizarse la condición prevista en los numerales 15.2 y 17.2 de las cláusulas </w:t>
      </w:r>
      <w:proofErr w:type="spellStart"/>
      <w:r w:rsidRPr="00654D1D">
        <w:rPr>
          <w:rFonts w:ascii="ITC Avant Garde" w:hAnsi="ITC Avant Garde" w:cs="Arial"/>
          <w:sz w:val="18"/>
          <w:szCs w:val="18"/>
        </w:rPr>
        <w:t>Décimoquinta</w:t>
      </w:r>
      <w:proofErr w:type="spellEnd"/>
      <w:r w:rsidRPr="00654D1D">
        <w:rPr>
          <w:rFonts w:ascii="ITC Avant Garde" w:hAnsi="ITC Avant Garde" w:cs="Arial"/>
          <w:sz w:val="18"/>
          <w:szCs w:val="18"/>
        </w:rPr>
        <w:t xml:space="preserve"> y Décimo Séptima del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y del Convenio Cablevisión – Grupo Telefónica, respectivamente, en el sentido que si al concluir el plazo inicial de aplicación de dicho instrumento si las partes continuaban siendo titulares de su red pública de telecomunicaciones concesionada por la Secretaria, las partes continuarían aplicando los términos y condiciones pactados en sus convenios.</w:t>
      </w:r>
    </w:p>
    <w:p w14:paraId="36E8839C"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No obstante lo anterior, también se estableció claramente en 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y en el Convenio Cablevisión – Grupo Telefónica, que las partes podrían acudir ante la Comisión para resolver cualquier desacuerdo de interconexión en términos del artículo 42 de la </w:t>
      </w:r>
      <w:proofErr w:type="spellStart"/>
      <w:r w:rsidRPr="00654D1D">
        <w:rPr>
          <w:rFonts w:ascii="ITC Avant Garde" w:hAnsi="ITC Avant Garde" w:cs="Arial"/>
          <w:sz w:val="18"/>
          <w:szCs w:val="18"/>
        </w:rPr>
        <w:t>lFT</w:t>
      </w:r>
      <w:proofErr w:type="spellEnd"/>
      <w:r w:rsidRPr="00654D1D">
        <w:rPr>
          <w:rFonts w:ascii="ITC Avant Garde" w:hAnsi="ITC Avant Garde" w:cs="Arial"/>
          <w:sz w:val="18"/>
          <w:szCs w:val="18"/>
        </w:rPr>
        <w:t>, es decir, las partes expresamente dejaron a salvo su derecho de solicitar la intervención de la autoridad en caso de que no pudieran llegar a un acuerdo respecto de los términos y condiciones de la interconexión entre sus redes. Lo anterior, resulta lógico ya que asumir lo contrario sería tanto como obligar a las partes a quedar sujetas a términos y condiciones inamovibles que en un sector tan dinámico y competitivo como el de las telecomunicaciones puede resultar arcaico y anticompetitivo para el sector.</w:t>
      </w:r>
    </w:p>
    <w:p w14:paraId="56E6E5E5"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Tan es así, que en los numerales 15.2 y 17.2 de las cláusulas </w:t>
      </w:r>
      <w:proofErr w:type="spellStart"/>
      <w:r w:rsidRPr="00654D1D">
        <w:rPr>
          <w:rFonts w:ascii="ITC Avant Garde" w:hAnsi="ITC Avant Garde" w:cs="Arial"/>
          <w:sz w:val="18"/>
          <w:szCs w:val="18"/>
        </w:rPr>
        <w:t>Décimoquinta</w:t>
      </w:r>
      <w:proofErr w:type="spellEnd"/>
      <w:r w:rsidRPr="00654D1D">
        <w:rPr>
          <w:rFonts w:ascii="ITC Avant Garde" w:hAnsi="ITC Avant Garde" w:cs="Arial"/>
          <w:sz w:val="18"/>
          <w:szCs w:val="18"/>
        </w:rPr>
        <w:t xml:space="preserve"> y Décimo Séptima del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y del Convenio Cablevisión – Grupo Telefónica, respectivamente, se establece expresamente que para la celebración de los nuevos convenios las partes pueden utilizar el procedimiento contenido en el artículo 42 de la LFT, esto es, que de no llegar a un acuerdo en la celebración de los nuevos convenios, dentro de un plazo de 60 (sesenta) días contados a partir de que alguna de ellas lo solicite, la autoridad </w:t>
      </w:r>
      <w:r w:rsidRPr="00654D1D">
        <w:rPr>
          <w:rFonts w:ascii="ITC Avant Garde" w:hAnsi="ITC Avant Garde" w:cs="Arial"/>
          <w:sz w:val="18"/>
          <w:szCs w:val="18"/>
        </w:rPr>
        <w:lastRenderedPageBreak/>
        <w:t>competente, en la especie, la Comisión, a solicitud de cualquiera de las partes resolverá sobre las condiciones que no hayan podido convenir.</w:t>
      </w:r>
    </w:p>
    <w:p w14:paraId="0A5A8028"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En este orden de ideas, no resulta fundado y en consecuencia atendible lo señalado por Grupo Telefónica respecto a que no se actualiza la hipótesis normativa contenida en el artículo 42 de la LFT, en el sentido de que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y Cablevisión tienen convenios vigentes, debido a que como ya quedó estipulado, en los numerales 15.2 y 17.2 de las cláusulas Decimoquinta y Décimo Séptima del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y del Convenio Cablevisión – Grupo Telefónica, respectivamente, se establece que al concluir el plazo inicial de dichos convenios las partes podrían celebrar nuevos convenios siguiendo el procedimiento previsto en el </w:t>
      </w:r>
      <w:proofErr w:type="spellStart"/>
      <w:r w:rsidRPr="00654D1D">
        <w:rPr>
          <w:rFonts w:ascii="ITC Avant Garde" w:hAnsi="ITC Avant Garde" w:cs="Arial"/>
          <w:sz w:val="18"/>
          <w:szCs w:val="18"/>
        </w:rPr>
        <w:t>supracitado</w:t>
      </w:r>
      <w:proofErr w:type="spellEnd"/>
      <w:r w:rsidRPr="00654D1D">
        <w:rPr>
          <w:rFonts w:ascii="ITC Avant Garde" w:hAnsi="ITC Avant Garde" w:cs="Arial"/>
          <w:sz w:val="18"/>
          <w:szCs w:val="18"/>
        </w:rPr>
        <w:t xml:space="preserve"> artículo 42.  Es decir, vencido el plazo de éste podrían las partes proponer nuevos términos y condiciones para la celebración de nuevos convenios.</w:t>
      </w:r>
    </w:p>
    <w:p w14:paraId="2AD1F161"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Por tanto, si bien en su momento operé el acuerdo para la aplicación continua de los términos, condiciones y contraprestaciones de los multicitados convenios, éstos tuvieron como vigencia la condición de la celebración de nuevos convenios de interconexión conforme al procedimiento establecido en el artículo 42 de la LFT. De ahí que resulte inaplicable la cláusula 4.1.2 del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y el Convenio Cablevisión – Grupo Telefónica, toda vez que la aplicación continua de los términos y condiciones de dichos convenios, terminaría en el caso de que conforme a lo previsto por el artículo 42 de la LFT las partes celebren un nuevo convenio, para lo cual se sujetarían al procedimiento "Contenido en dicho precepto legal.</w:t>
      </w:r>
    </w:p>
    <w:p w14:paraId="70B489BB"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En este tenor, la solicitud formulada por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y Cablevisión a Grupo Telefónica, para acordar, entre otros temas, la tarifa de interconexión fijo-móvil, así como otras condiciones técnicas y operativas aplicables a la interconexión entre las redes públicas de telecomunicaciones, consistieron en peticiones para acordar un nuevo convenio de interconexión y una vez transcurrido el plazo de 60 (sesenta) días establecido para tal efecto en la legislación aplicable, sin que las partes llegaran a un acuerdo, es que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y Cablevisión solicitaron la intervención de esta autoridad resolver las condiciones que no acordaron para la interconexión de sus redes.</w:t>
      </w:r>
    </w:p>
    <w:p w14:paraId="4B6026D5" w14:textId="5325EAFB"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Por otra parte, es importante señalar que las partes en 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y el Convenio Cablevisión – Grupo Telefónica reconocen expresamente la facultad que tiene la autoridad para resolver las condiciones de interconexión conforme a lo establecido en el artículo 42 de la LFT, al haber estipulado en los numerales 15.2. </w:t>
      </w:r>
      <w:proofErr w:type="gramStart"/>
      <w:r w:rsidRPr="00654D1D">
        <w:rPr>
          <w:rFonts w:ascii="ITC Avant Garde" w:hAnsi="ITC Avant Garde" w:cs="Arial"/>
          <w:sz w:val="18"/>
          <w:szCs w:val="18"/>
        </w:rPr>
        <w:t>y</w:t>
      </w:r>
      <w:proofErr w:type="gramEnd"/>
      <w:r w:rsidRPr="00654D1D">
        <w:rPr>
          <w:rFonts w:ascii="ITC Avant Garde" w:hAnsi="ITC Avant Garde" w:cs="Arial"/>
          <w:sz w:val="18"/>
          <w:szCs w:val="18"/>
        </w:rPr>
        <w:t xml:space="preserve"> 17.2, que la vigencia en la aplicación continua de los términos, condiciones y contraprestaciones está sujeta a la condición de la celebración de nuevos convenios conforme al procedimiento previsto en el precepto legal en cita.</w:t>
      </w:r>
    </w:p>
    <w:p w14:paraId="09B13E48"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En este sentido y dado el análisis efectuado, se desprende que los supuestos requeridos por el artículo 42 de la LFT se materializaron yes así que la Comisión tiene facultades para Intervenir y resolver las condiciones de interconexión planteadas por los Solicitantes. Lo anterior, en concordancia con lo pactado por las partes en el numeral 15.2 y 17.2 de las cláusulas </w:t>
      </w:r>
      <w:proofErr w:type="spellStart"/>
      <w:r w:rsidRPr="00654D1D">
        <w:rPr>
          <w:rFonts w:ascii="ITC Avant Garde" w:hAnsi="ITC Avant Garde" w:cs="Arial"/>
          <w:sz w:val="18"/>
          <w:szCs w:val="18"/>
        </w:rPr>
        <w:t>Décimoquinta</w:t>
      </w:r>
      <w:proofErr w:type="spellEnd"/>
      <w:r w:rsidRPr="00654D1D">
        <w:rPr>
          <w:rFonts w:ascii="ITC Avant Garde" w:hAnsi="ITC Avant Garde" w:cs="Arial"/>
          <w:sz w:val="18"/>
          <w:szCs w:val="18"/>
        </w:rPr>
        <w:t xml:space="preserve"> y Décimo Séptima del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y del Convenio Cablevisión – Grupo Telefónica en el sentido de que los referidos concesionarios continuarían aplicando los términos, condiciones y contraprestaciones hasta que conforme a lo previsto por el artículo 42 de la LFT, las partes celebren un nuevo convenio para continuar con la interconexión de sus redes.</w:t>
      </w:r>
    </w:p>
    <w:p w14:paraId="287E8BC6"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lastRenderedPageBreak/>
        <w:t>Sin perjuicio de lo anterior, es importante señalar que los artículos 9-A fracción X y 42 de la LFT facultan lisa y llanamente a la autoridad para determinar las condiciones de interconexión que no hayan podido convenir dos o más concesionarios, cuando éstas no han sido pactadas expresamente en algún convenio, o se refieren como en el caso que nos ocupa a un periodo diferente al convenido.</w:t>
      </w:r>
    </w:p>
    <w:p w14:paraId="359CD384"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Una interpretación distinta equivaldría a sostener, contrario al espíritu de la LFT, que cualquier concesionario tendría sólo una oportunidad de solicitar a otro determinado concesionario la interconexión de sus respectivas redes públicas de telecomunicaciones y en dicha oportunidad agotar cualquier esquema de interconexión o todo tipo de tráfico que desee o pueda intercambiar para proveer a sus usuarios el más amplio espectro de servicios que les permita comunicarse con los usuarios de la otra red pública de telecomunicaciones, o bien, establecer nuevas tarifas de interconexión.</w:t>
      </w:r>
    </w:p>
    <w:p w14:paraId="4B6026DD" w14:textId="19C4FFFA"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De ahí que resulten improcedentes por infundados los argumentos de Grupo Telefónica en cuanto a que ya existen condiciones y tarifas acordadas y vigentes, por lo que al haberse solicitado a Grupo Telefónica por parte de los Solicitantes con fechas 24 y 30 de septiembre de 2010, las negociaciones de las tarifas de la interconexión entre sus redes aplicables a partir del 1º de enero de 2011, sin que a la fecha de emisión de la presente Resolución dichos concesionarios hubieren acordado las referidas tarifas, esta Comisión de conformidad con los artículos 9-A fracción X y 42 de la LFT, se aboca a resolver sobre aquellos puntos de desacuerdo sometidos a su consideración.</w:t>
      </w:r>
    </w:p>
    <w:p w14:paraId="1A0B2E79"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En efecto, de la revisión al Convenio Cablevisión- Grupo Telefónica las partes pactaron expresamente las tarifas de interconexión por servicios de terminación fija y móvil aplicables hasta el 31 de diciembre de 2010. Asimismo, en 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la vigencia de las tarifas de interconexión por servicios de terminación móvil fue pactada hasta el 31 de diciembre de 2005.” </w:t>
      </w:r>
    </w:p>
    <w:p w14:paraId="1197516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 el caso que la Recurrente no controvierte las consideraciones citadas, que llevaron a la Comisión a determinar que no existían tarifas previamente convenidas entre las partes del desacuerdo, para el periodo del 1º de enero al 31 de diciembre de 2011, así como que no existían derechos adquiridos que fueran afectados con la determinación de tarifas para el periodo invocado.</w:t>
      </w:r>
    </w:p>
    <w:p w14:paraId="6F27217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Lo anterior, sin perjuicio que los argumentos expuestos en el correlativo son inoperantes al no controvertir las consideraciones citadas, en tanto que constituyen reiteraciones de lo argumentado en el procedimiento del que emana la Resolución, y que fueron estudiados en los términos transcritos.</w:t>
      </w:r>
    </w:p>
    <w:p w14:paraId="6C6A828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Resulta infundado lo manifestado por la Recurrente en el sentido que existe una falta de congruencia interna, ya que no existe contradicción alguna pues la obligación de cumplir lo previsto en la Resolución Recurrida comienza a partir del día siguiente al que surta efectos la notificación del acto, y derivado de que resolvió el desacuerdo respecto </w:t>
      </w:r>
      <w:r w:rsidRPr="00654D1D">
        <w:rPr>
          <w:rFonts w:ascii="ITC Avant Garde" w:hAnsi="ITC Avant Garde" w:cs="Arial"/>
        </w:rPr>
        <w:lastRenderedPageBreak/>
        <w:t>de tarifas aplicables al periodo del 1º de enero al 31 de diciembre de 2011, las tarifas determinadas en la Resolución Recurrida serán aplicables para aquel periodo.</w:t>
      </w:r>
    </w:p>
    <w:p w14:paraId="0DDEE89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Respecto del argumento en que la Recurrente menciona que la ley no establece la posibilidad de tomar como punto de partida temporal para la fijación de las tarifas de interconexión los tres momentos que enuncia, es inoperante, ya que en la Resolución no se hace alusión a ninguno de dichos momentos.</w:t>
      </w:r>
    </w:p>
    <w:p w14:paraId="1A94A8A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 inoperante e infundado lo manifestado por la Recurrente en el sentido que le causa un perjuicio la retroactividad de la Resolución Recurrida, ya que refiere que se le podría privar de ingresos legítimamente obtenidos, haciendo referencia  a una mera posibilidad, no a un perjuicio real y actual. </w:t>
      </w:r>
    </w:p>
    <w:p w14:paraId="4B6026EA" w14:textId="3B8C909D" w:rsidR="003E526D" w:rsidRPr="00654D1D" w:rsidRDefault="003E526D" w:rsidP="00654D1D">
      <w:pPr>
        <w:spacing w:before="240"/>
        <w:jc w:val="both"/>
        <w:rPr>
          <w:rFonts w:ascii="ITC Avant Garde" w:hAnsi="ITC Avant Garde" w:cs="Arial"/>
        </w:rPr>
      </w:pPr>
      <w:r w:rsidRPr="00654D1D">
        <w:rPr>
          <w:rFonts w:ascii="ITC Avant Garde" w:hAnsi="ITC Avant Garde" w:cs="Arial"/>
        </w:rPr>
        <w:t>Asimismo, es infundado que tendría que modificar sus finanzas y contabilidad hacia el pasado para acomodar, en su caso, el correspondiente impacto en sus declaraciones fiscales. Lo anterior, es infundado ya que la contabilidad e ingresos recibidos en el periodo del 1º de enero al 31 de diciembre de 2011, permanece intocada, y en todo caso, los ajustes que deban operar a partir del cumplimiento de la Resolución Recurrida deberán reflejarse en los registros contables de la Recurrente a partir de que tengan lugar de manera real y efectiva dichas devoluciones, compensaciones o ajustes.</w:t>
      </w:r>
    </w:p>
    <w:p w14:paraId="4B6026EB" w14:textId="77777777" w:rsidR="003E526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 </w:t>
      </w:r>
    </w:p>
    <w:p w14:paraId="70074CC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último, respecto del argumento en que la Recurrente sostiene que la Comisión no está facultada para fijar una determinada tarifa de interconexión aplicable a períodos o fechas en los cuales se encontraba surtiendo plenos efectos una diversa tarifa pactada voluntariamente de conformidad con lo establecido en las cláusulas denominadas de "Aplicación Continua" y "Vigencia", contenidas en los convenios de interconexión que la Recurrente celebró con las tercero perjudicadas, dichos argumentos son infundados en los términos de la cita realizada en párrafos precedentes de la parte de la Resolución en que se analizaron dichos argumentos, al mismo tiempo que son inoperantes en tanto que no controvierten lo considerado en la Resolución Recurrida sobre el particular.  </w:t>
      </w:r>
    </w:p>
    <w:p w14:paraId="59C64B22" w14:textId="77777777"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DÉCIMO PRIMERO</w:t>
      </w:r>
      <w:r w:rsidRPr="00654D1D">
        <w:rPr>
          <w:rFonts w:ascii="ITC Avant Garde" w:hAnsi="ITC Avant Garde" w:cs="Arial"/>
        </w:rPr>
        <w:t>, en el que invoca que la Resolución Recurrida contraviene el principio de congruencia procesal con motivo de la interpretación y aplicación de Principios derivados del Plan Técnico Fundamental de Interconexión e Interoperabilidad, contenido en el artículo 3, fracciones V y XVI, de la Ley Federal de Procedimiento Administrativo, es infundado.</w:t>
      </w:r>
    </w:p>
    <w:p w14:paraId="721090E9" w14:textId="1FFD0C48"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Lo manifestado por la Recurrente es infundado, ya que como ha quedado expuesto en la presente resolución, al estudiar el OCTAVO agravio que hizo valer la Recurrente, en la Resolución Recurrida no se invocó ni aplicó el Plan de Interconexión, respecto de cuya aplicación la Recurrente tiene una sentencia de amparo a su favor, sino que únicamente se hizo alusión genérica a los objetivos y principios que la Ley Federal de Telecomunicaciones establecía para los planes técnicos fundamentales.</w:t>
      </w:r>
    </w:p>
    <w:p w14:paraId="4E01F24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Inclusive la Recurrente si bien afirma que se le aplicaron los principios previstos en el Plan de Interconexión, no realiza precisión alguna respecto de qué principio le fue aplicado, en qué parte de la Resolución Recurrida, y en qué términos para que esta autoridad cuente con los elementos mínimos que le permitan estudiar dicho agravio, por lo que sus argumentos son además inoperantes por insuficientes.</w:t>
      </w:r>
    </w:p>
    <w:p w14:paraId="2A9DC3CF" w14:textId="77777777"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DÉCIMO SEGUNDO</w:t>
      </w:r>
      <w:r w:rsidRPr="00654D1D">
        <w:rPr>
          <w:rFonts w:ascii="ITC Avant Garde" w:hAnsi="ITC Avant Garde" w:cs="Arial"/>
        </w:rPr>
        <w:t>, en el que invoca que la Resolución Recurrida transgrede en perjuicio de la Recurrente la garantía de debida fundamentación y motivación en relación con el cálculo del tiempo de las llamadas, es infundado.</w:t>
      </w:r>
    </w:p>
    <w:p w14:paraId="695AAA6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Lo manifestado por la Recurrente, no controvierte la totalidad de lo considerado en la Resolución sobre el particular, en los siguientes términos:</w:t>
      </w:r>
    </w:p>
    <w:p w14:paraId="131B8CF8" w14:textId="77777777" w:rsidR="00654D1D" w:rsidRPr="00654D1D" w:rsidRDefault="003E526D" w:rsidP="00654D1D">
      <w:pPr>
        <w:tabs>
          <w:tab w:val="left" w:pos="0"/>
        </w:tabs>
        <w:spacing w:before="240"/>
        <w:jc w:val="both"/>
        <w:rPr>
          <w:rFonts w:ascii="ITC Avant Garde" w:eastAsia="Times New Roman" w:hAnsi="ITC Avant Garde" w:cs="Arial"/>
          <w:lang w:val="es-ES_tradnl" w:eastAsia="es-MX"/>
        </w:rPr>
      </w:pPr>
      <w:r w:rsidRPr="00654D1D">
        <w:rPr>
          <w:rFonts w:ascii="ITC Avant Garde" w:eastAsia="Times New Roman" w:hAnsi="ITC Avant Garde" w:cs="Arial"/>
          <w:lang w:val="es-ES_tradnl" w:eastAsia="es-MX"/>
        </w:rPr>
        <w:t>Al respecto, esta Autoridad revisora manifiesta que no le asiste la razón a la Recurrente, ello en virtud de que en la Resolución Recurrida, el Pleno de la Comisión motivó debidamente su actuar en relación al criterio para medir y tasar la interconexión por servicios móviles. En efecto a foja 68 de la Resolución Recurrida, la Comisión argumento lo siguiente:</w:t>
      </w:r>
    </w:p>
    <w:p w14:paraId="2DAC0BFB" w14:textId="77777777" w:rsidR="00654D1D" w:rsidRPr="00654D1D" w:rsidRDefault="003E526D" w:rsidP="00654D1D">
      <w:pPr>
        <w:spacing w:before="240"/>
        <w:ind w:left="708" w:right="423"/>
        <w:jc w:val="both"/>
        <w:rPr>
          <w:rFonts w:ascii="ITC Avant Garde" w:hAnsi="ITC Avant Garde" w:cs="Arial"/>
        </w:rPr>
      </w:pPr>
      <w:r w:rsidRPr="00654D1D">
        <w:rPr>
          <w:rFonts w:ascii="ITC Avant Garde" w:hAnsi="ITC Avant Garde" w:cs="Arial"/>
        </w:rPr>
        <w:t>“[…]</w:t>
      </w:r>
    </w:p>
    <w:p w14:paraId="0C9194C4" w14:textId="77777777" w:rsidR="00654D1D" w:rsidRPr="00654D1D" w:rsidRDefault="003E526D" w:rsidP="00654D1D">
      <w:pPr>
        <w:spacing w:before="240"/>
        <w:ind w:left="708" w:right="423"/>
        <w:jc w:val="both"/>
        <w:rPr>
          <w:rFonts w:ascii="ITC Avant Garde" w:hAnsi="ITC Avant Garde" w:cs="Arial"/>
        </w:rPr>
      </w:pPr>
      <w:r w:rsidRPr="00654D1D">
        <w:rPr>
          <w:rFonts w:ascii="ITC Avant Garde" w:hAnsi="ITC Avant Garde" w:cs="Arial"/>
        </w:rPr>
        <w:t>Ahora bien, respecto a la medición del tráfico, se considera que los costos determinados por el Modelo CITLP están calculados con base en un pronóstico del uso real de la infraestructura de interconexión, por lo que las tarifas determinadas permiten a Grupo Telefónica recuperar los costos en los que incurre para la prestación del servicio de interconexión.</w:t>
      </w:r>
    </w:p>
    <w:p w14:paraId="7ABB5941" w14:textId="77777777" w:rsidR="00654D1D" w:rsidRPr="00654D1D" w:rsidRDefault="003E526D" w:rsidP="00654D1D">
      <w:pPr>
        <w:spacing w:before="240"/>
        <w:ind w:left="708" w:right="423"/>
        <w:jc w:val="both"/>
        <w:rPr>
          <w:rFonts w:ascii="ITC Avant Garde" w:hAnsi="ITC Avant Garde" w:cs="Arial"/>
        </w:rPr>
      </w:pPr>
      <w:r w:rsidRPr="00654D1D">
        <w:rPr>
          <w:rFonts w:ascii="ITC Avant Garde" w:hAnsi="ITC Avant Garde" w:cs="Arial"/>
        </w:rPr>
        <w:t xml:space="preserve">En este sentido, es importante señalar que desde un punto de vista económico, resulta eficiente que un concesionario pague por el uso de la infraestructura en función de su utilización real. A juicio de esta Comisión, no sólo resulta económicamente eficiente para el caso de la provisión de servicios de interconexión entre concesionarios, sino que aplica, de igual forma, a la provisión de servicios de telecomunicaciones al usuario final. A </w:t>
      </w:r>
      <w:r w:rsidRPr="00654D1D">
        <w:rPr>
          <w:rFonts w:ascii="ITC Avant Garde" w:hAnsi="ITC Avant Garde" w:cs="Arial"/>
        </w:rPr>
        <w:lastRenderedPageBreak/>
        <w:t>mayor abundamiento, esta Comisión considera, de manera congruente con lo expresado sobre diversos aspectos relativos a la interconexión de redes a lo largo de la presente Resolución, que se deben adoptar medidas para eliminar los cargos para la provisión de servicios de telecomunicaciones en general que transparenten el cobro del servicio prestado y que, en el caso de la interconexión, dicha transparencia producto de una eventual modificación de los mecanismos de medición y tasación podría fomentar, inclusive, que aquellos costos o elementos que no son utilizados para la prestación del servicio no sean considerados dentro de la tarifa respectiva.</w:t>
      </w:r>
    </w:p>
    <w:p w14:paraId="64D529EB" w14:textId="77777777" w:rsidR="00654D1D" w:rsidRPr="00654D1D" w:rsidRDefault="003E526D" w:rsidP="00654D1D">
      <w:pPr>
        <w:spacing w:before="240"/>
        <w:ind w:left="708" w:right="423"/>
        <w:jc w:val="both"/>
        <w:rPr>
          <w:rFonts w:ascii="ITC Avant Garde" w:hAnsi="ITC Avant Garde" w:cs="Arial"/>
        </w:rPr>
      </w:pPr>
      <w:r w:rsidRPr="00654D1D">
        <w:rPr>
          <w:rFonts w:ascii="ITC Avant Garde" w:hAnsi="ITC Avant Garde" w:cs="Arial"/>
        </w:rPr>
        <w:t>En este sentido, el esquema de facturación por redondeo es ineficiente y genera un sobrepago por infraestructura no utilizada cuando económicamente resulta eficiente que los concesionarios paguen únicamente por la infraestructura utilizada por el servicio de que se trate.</w:t>
      </w:r>
    </w:p>
    <w:p w14:paraId="42A753AA" w14:textId="77777777" w:rsidR="00654D1D" w:rsidRPr="00654D1D" w:rsidRDefault="003E526D" w:rsidP="00654D1D">
      <w:pPr>
        <w:spacing w:before="240"/>
        <w:ind w:left="708" w:right="423"/>
        <w:jc w:val="both"/>
        <w:rPr>
          <w:rFonts w:ascii="ITC Avant Garde" w:hAnsi="ITC Avant Garde" w:cs="Arial"/>
        </w:rPr>
      </w:pPr>
      <w:r w:rsidRPr="00654D1D">
        <w:rPr>
          <w:rFonts w:ascii="ITC Avant Garde" w:hAnsi="ITC Avant Garde" w:cs="Arial"/>
        </w:rPr>
        <w:t xml:space="preserve">Por lo que, en cumplimiento del artículo 7 de la LFT, de la Regla Novena Transitoria de las </w:t>
      </w:r>
      <w:proofErr w:type="spellStart"/>
      <w:r w:rsidRPr="00654D1D">
        <w:rPr>
          <w:rFonts w:ascii="ITC Avant Garde" w:hAnsi="ITC Avant Garde" w:cs="Arial"/>
        </w:rPr>
        <w:t>RdSL</w:t>
      </w:r>
      <w:proofErr w:type="spellEnd"/>
      <w:r w:rsidRPr="00654D1D">
        <w:rPr>
          <w:rFonts w:ascii="ITC Avant Garde" w:hAnsi="ITC Avant Garde" w:cs="Arial"/>
        </w:rPr>
        <w:t xml:space="preserve"> y la Regla 53 de las RSLD, los concesionarios únicamente deberán pagar por la infraestructura utilizada y, que por consecuencia, se deberán pagar las tarifas de interconexión en base al tiempo real de uso de la infraestructura requerida para la prestación de dicho servicio.</w:t>
      </w:r>
    </w:p>
    <w:p w14:paraId="70CD0AFD" w14:textId="77777777" w:rsidR="00654D1D" w:rsidRPr="00654D1D" w:rsidRDefault="003E526D" w:rsidP="00654D1D">
      <w:pPr>
        <w:spacing w:before="240"/>
        <w:ind w:left="708" w:right="423"/>
        <w:jc w:val="both"/>
        <w:rPr>
          <w:rFonts w:ascii="ITC Avant Garde" w:hAnsi="ITC Avant Garde" w:cs="Arial"/>
        </w:rPr>
      </w:pPr>
      <w:r w:rsidRPr="00654D1D">
        <w:rPr>
          <w:rFonts w:ascii="ITC Avant Garde" w:hAnsi="ITC Avant Garde" w:cs="Arial"/>
        </w:rPr>
        <w:t>Aunado a lo anterior, no existe razón técnica alguna que impida que la terminación de llamadas provenientes de otro operador, recibidas en la red del operador móvil mediante enlaces de interconexión, sea facturada de acuerdo con su duración real, máxime cuando las modificaciones en un sistema de facturación, para cobrar agregados de duraciones reales en lugar de agregados en duraciones completas al minuto superior no requiere de mayores inversiones.</w:t>
      </w:r>
    </w:p>
    <w:p w14:paraId="6F04D063" w14:textId="77777777" w:rsidR="00654D1D" w:rsidRPr="00654D1D" w:rsidRDefault="003E526D" w:rsidP="00654D1D">
      <w:pPr>
        <w:spacing w:before="240"/>
        <w:ind w:left="708" w:right="423"/>
        <w:jc w:val="both"/>
        <w:rPr>
          <w:rFonts w:ascii="ITC Avant Garde" w:hAnsi="ITC Avant Garde" w:cs="Arial"/>
        </w:rPr>
      </w:pPr>
      <w:r w:rsidRPr="00654D1D">
        <w:rPr>
          <w:rFonts w:ascii="ITC Avant Garde" w:hAnsi="ITC Avant Garde" w:cs="Arial"/>
        </w:rPr>
        <w:t>Al ser la tarifa de interconexión cobrada por los concesionarios a sus usuarios, y ser la medición de ésta pactada en tiempo real, así deberá ser cobrada al usuario, sin permitir de forma alguna el cobro a minutos redondeados, ya que sería una práctica abusiva y no justificada en contra del usuario.</w:t>
      </w:r>
    </w:p>
    <w:p w14:paraId="7A0FA232" w14:textId="77777777" w:rsidR="00654D1D" w:rsidRPr="00654D1D" w:rsidRDefault="003E526D" w:rsidP="00654D1D">
      <w:pPr>
        <w:spacing w:before="240"/>
        <w:ind w:left="708" w:right="423"/>
        <w:jc w:val="both"/>
        <w:rPr>
          <w:rFonts w:ascii="ITC Avant Garde" w:hAnsi="ITC Avant Garde" w:cs="Arial"/>
        </w:rPr>
      </w:pPr>
      <w:r w:rsidRPr="00654D1D">
        <w:rPr>
          <w:rFonts w:ascii="ITC Avant Garde" w:hAnsi="ITC Avant Garde" w:cs="Arial"/>
        </w:rPr>
        <w:t xml:space="preserve">Por lo anterior, esta Comisión considera que, con fundamento en todas y cada una de las disposiciones mencionadas con anterioridad, en la aplicación de las tarifas de interconexión por servicios de terminación conmutada en usuarios móviles ya sea bajo la modalidad “el que llama paga nacional” o “el que llama paga”, Grupo Telefónica deberá calcular la contraprestación que los Solicitantes deberán pagarle, con base en la duración real de las llamadas, sin redondear al minuto, debiendo para tal </w:t>
      </w:r>
      <w:r w:rsidRPr="00654D1D">
        <w:rPr>
          <w:rFonts w:ascii="ITC Avant Garde" w:hAnsi="ITC Avant Garde" w:cs="Arial"/>
        </w:rPr>
        <w:lastRenderedPageBreak/>
        <w:t>efecto sumar la duración de todas las llamadas completadas en el período de facturación correspondiente, medidas en segundos, y multiplicar los minutos equivalentes a dicha suma, por la tarifa  correspondiente.</w:t>
      </w:r>
    </w:p>
    <w:p w14:paraId="3A4389EE" w14:textId="77777777" w:rsidR="00654D1D" w:rsidRPr="00654D1D" w:rsidRDefault="003E526D" w:rsidP="00654D1D">
      <w:pPr>
        <w:spacing w:before="240"/>
        <w:ind w:left="708" w:right="423"/>
        <w:jc w:val="both"/>
        <w:rPr>
          <w:rFonts w:ascii="ITC Avant Garde" w:hAnsi="ITC Avant Garde" w:cs="Arial"/>
          <w:bCs/>
        </w:rPr>
      </w:pPr>
      <w:r w:rsidRPr="00654D1D">
        <w:rPr>
          <w:rFonts w:ascii="ITC Avant Garde" w:hAnsi="ITC Avant Garde" w:cs="Arial"/>
        </w:rPr>
        <w:t>[…]”</w:t>
      </w:r>
    </w:p>
    <w:p w14:paraId="7F51199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De lo anterior se desprende que la Resolución recurrida se encuentra determinada y fundada conforme a derecho, dado que con el cálculo con base en un pronóstico del uso real de la infraestructura de interconexión, los concesionarios pueden recuperar los costos en los que incurren para la prestación del servicio de interconexión. </w:t>
      </w:r>
    </w:p>
    <w:p w14:paraId="4DAC5AF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Asimismo, desde un punto de vista económico, resulta eficiente que un concesionario de redes públicas pague por el uso sólo de la infraestructura en función de su utilización real, además de que no existe motivo, razón o circunstancia técnica alguna que impida que la terminación de llamadas provenientes de otro operador, recibidas en la red del operador móvil mediante enlaces de interconexión, sea facturada de acuerdo con su duración real, máxime cuando las modificaciones en un sistema de facturación, para cobrar agregados de duraciones reales en lugar de agregados en duraciones completas al minuto superior no requiere de mayores inversiones. </w:t>
      </w:r>
    </w:p>
    <w:p w14:paraId="4B94EC5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 importante señalar que la Suprema Corte de Justicia de la Nación al resolver los amparos en revisión 426/2010 y 318/2011, indicó que la política pública adoptada por la Comisión en su momento de medir el tráfico de llamadas por redondeo en lugar de segundos, fue debidamente fundada y motivada al señalar en su momento que para mantener los beneficios que derivarán del ajuste gradual de la tarifa de interconexión, la modificación en la medición del tráfico en segundos debía hacerse gradualmente por ser un factor importante en la cuantificación de las contraprestaciones recibidas por los concesionarios móviles.</w:t>
      </w:r>
    </w:p>
    <w:p w14:paraId="337E959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Agrega la Suprema Corte de Justicia de la Nación que cuando la Comisión, reconociendo que la finalidad última era hacer la medición de tráfico por segundo, indicó que en una política de reducción gradual de tarifas de interconexión para no afectar al mercado inclusive, para no crear una distorsión con otras empresas que estaban pagándolo de esa forma, se hizo gradualmente en esos años, para que finalmente se haga la medición por segundo. </w:t>
      </w:r>
    </w:p>
    <w:p w14:paraId="2174AF8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Por tanto, la Resolución recurrida se encuentra debidamente fundada y motivada en la determinación de la medición de tráfico en segundos. Asimismo, en las consideraciones de esta Autoridad respecto a los primeros agravios del presente recurso de revisión se indicó la debida motivación relacionada con los cálculos llevados a cabo en el modelo </w:t>
      </w:r>
      <w:r w:rsidRPr="00654D1D">
        <w:rPr>
          <w:rFonts w:ascii="ITC Avant Garde" w:hAnsi="ITC Avant Garde" w:cs="Arial"/>
        </w:rPr>
        <w:lastRenderedPageBreak/>
        <w:t>de costos para determinar las tarifas de interconexión, por tanto resultan improcedentes los argumentos esgrimidos por la Recurrente.</w:t>
      </w:r>
    </w:p>
    <w:p w14:paraId="4E0BC43F" w14:textId="77777777"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DÉCIMO TERCERO</w:t>
      </w:r>
      <w:r w:rsidRPr="00654D1D">
        <w:rPr>
          <w:rFonts w:ascii="ITC Avant Garde" w:hAnsi="ITC Avant Garde" w:cs="Arial"/>
        </w:rPr>
        <w:t>, en el que invoca que en la elaboración del Modelo de Costos se violó la Ley Federal de Procedimiento Administrativo, pues no fue objeto del proceso de mejora regulatoria ni se publicó debidamente en el DOF, contraviniendo lo dispuesto en los artículos 69 y demás relativos de la Ley Federal de Procedimiento Administrativo, es infundado.</w:t>
      </w:r>
    </w:p>
    <w:p w14:paraId="75340B7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Lo manifestado por la Recurrente es infundado, ya que si bien es cierto que el modelo de costos CITLP es una metodología como se reconoce en la Resolución Recurrida, no se emitió acto alguno en que se determinara que dicha metodología sería  de aplicación general, por lo que no se actualizan los supuestos del artículo 4 de la Ley Federal de Procedimiento Administrativo.</w:t>
      </w:r>
    </w:p>
    <w:p w14:paraId="36E387B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Esto es, el artículo 4 de la Ley Federal de Procedimiento Administrativo prevé que los actos administrativo de carácter general, entre otros las metodologías deberán publicarse en el DOF para que produzcan efectos jurídicos, y conforme al Título Tercero A de la misma Ley, se observará el procedimiento de mejora regulatoria previo a la referida publicación.</w:t>
      </w:r>
    </w:p>
    <w:p w14:paraId="130BA7B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el caso, el modelo de costos CITLP empleado para la emisión de la Resolución Recurrida no fue publicado en el Diario Oficial de la Federación, ya que el Pleno de la Comisión Federal de Telecomunicaciones ni siquiera emitió un acto administrativo, menos aún de carácter general en que determinara la observancia general de dicho modelo de costos, sino que para la emisión de la Resolución Recurrida determinó utilizar dicho modelo, atendiendo a lo previsto en las Reglas multicitadas.</w:t>
      </w:r>
    </w:p>
    <w:p w14:paraId="702C70A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Como consecuencia de lo anterior, es infundado que el Modelo de Costos incumple con la obligación establecida por los artículos 4, 69-A y demás relativos de la Ley Federal de Procedimiento Administrativo, pues la Comisión Federal de Telecomunicaciones no emitió un acto administrativo de carácter general en que  se aprobara dicho modelo de costos, ni se ordenó su observancia general.</w:t>
      </w:r>
    </w:p>
    <w:p w14:paraId="1CDE54E9" w14:textId="77777777"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DÉCIMO CUARTO</w:t>
      </w:r>
      <w:r w:rsidRPr="00654D1D">
        <w:rPr>
          <w:rFonts w:ascii="ITC Avant Garde" w:hAnsi="ITC Avant Garde" w:cs="Arial"/>
        </w:rPr>
        <w:t>, en el que invoca que la Resolución Recurrida resulta ilegal, dado el vicio de incongruencia externa que adolece, pues con el modelo de costos que utiliza, determina tarifas de interconexión diversas para varios operadores, violando con ello los requisitos de debida fundamentación y motivación previstos en el artículo 3 de la Ley Federal de Procedimiento Administrativo, es infundado.</w:t>
      </w:r>
    </w:p>
    <w:p w14:paraId="0A73ADC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La Resolución P/EXT/201010/492 correspondió a un procedimiento diverso del relacionado a la resolución recurrida, por lo que no es procedente entrar a su análisis en el presente recurso. </w:t>
      </w:r>
    </w:p>
    <w:p w14:paraId="5F94555B" w14:textId="77777777"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DÉCIMO QUINTO</w:t>
      </w:r>
      <w:r w:rsidRPr="00654D1D">
        <w:rPr>
          <w:rFonts w:ascii="ITC Avant Garde" w:hAnsi="ITC Avant Garde" w:cs="Arial"/>
        </w:rPr>
        <w:t>, en el que invoca que la Comisión se encontraba impedida para determinar tarifas de interconexión en el desacuerdo concluido en la Resolución, en virtud de que está rigiendo lo convenido en la cláusula de aplicación continua y vigencia, es infundado.</w:t>
      </w:r>
    </w:p>
    <w:p w14:paraId="5F3F664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Lo manifestado por la Recurrente es infundado, ya que como ha quedado expuesto en la presente resolución, al estudiar el agravio DÉCIMO que hizo valer la Recurrente, en la Resolución Recurrida se analizaron e interpretaron las cláusulas los numerales 4.1.2. </w:t>
      </w:r>
      <w:proofErr w:type="gramStart"/>
      <w:r w:rsidRPr="00654D1D">
        <w:rPr>
          <w:rFonts w:ascii="ITC Avant Garde" w:hAnsi="ITC Avant Garde" w:cs="Arial"/>
        </w:rPr>
        <w:t>y</w:t>
      </w:r>
      <w:proofErr w:type="gramEnd"/>
      <w:r w:rsidRPr="00654D1D">
        <w:rPr>
          <w:rFonts w:ascii="ITC Avant Garde" w:hAnsi="ITC Avant Garde" w:cs="Arial"/>
        </w:rPr>
        <w:t xml:space="preserve"> 17.2, así como 15.2 y 17.2 (de los convenios celebrados entre la Recurrente y las Tercero Perjudicadas), y se determinó que dichos pactos no impedían la actualización de los presupuestos previstos por el artículo 42 de la Ley Federal de Telecomunicaciones.</w:t>
      </w:r>
    </w:p>
    <w:p w14:paraId="4B602728" w14:textId="589B775F" w:rsidR="003E526D" w:rsidRPr="00654D1D" w:rsidRDefault="003E526D" w:rsidP="00654D1D">
      <w:pPr>
        <w:spacing w:before="240"/>
        <w:jc w:val="both"/>
        <w:rPr>
          <w:rFonts w:ascii="ITC Avant Garde" w:hAnsi="ITC Avant Garde" w:cs="Arial"/>
        </w:rPr>
      </w:pPr>
      <w:r w:rsidRPr="00654D1D">
        <w:rPr>
          <w:rFonts w:ascii="ITC Avant Garde" w:hAnsi="ITC Avant Garde" w:cs="Arial"/>
        </w:rPr>
        <w:t>Asimismo, lo manifestado por la Recurrente es inoperante, puesto que no combate las consideraciones vertidas en la Resolución Recurrida sobre el particular, las que han quedado transcritas en la presente resolución al estudiar el agravio DÉCIMO que hizo valer la Recurrente.</w:t>
      </w:r>
    </w:p>
    <w:p w14:paraId="007E460A" w14:textId="77777777" w:rsidR="00654D1D" w:rsidRPr="00654D1D" w:rsidRDefault="003E526D" w:rsidP="00654D1D">
      <w:pPr>
        <w:numPr>
          <w:ilvl w:val="0"/>
          <w:numId w:val="20"/>
        </w:numPr>
        <w:spacing w:before="240"/>
        <w:contextualSpacing/>
        <w:jc w:val="both"/>
        <w:rPr>
          <w:rFonts w:ascii="ITC Avant Garde" w:hAnsi="ITC Avant Garde" w:cs="Arial"/>
          <w:b/>
        </w:rPr>
      </w:pPr>
      <w:r w:rsidRPr="00654D1D">
        <w:rPr>
          <w:rFonts w:ascii="ITC Avant Garde" w:hAnsi="ITC Avant Garde" w:cs="Arial"/>
          <w:b/>
        </w:rPr>
        <w:t>En con lo manifestado por la Recurrente en el agravio DÉCIMO SEXTO, en el que invoca que la Resolución Recurrida carece de fundamentación y es objeto de una deficiente motivación, al declarar que la tarifa de facturación y cobranza no es materia del desacuerdo de interconexión en virtud de que dicha tarifa forma parte de la tarifa que se cobra al usuario final, es infundado.</w:t>
      </w:r>
    </w:p>
    <w:p w14:paraId="5E4BA720"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Los argumentos de la Recurrente son infundados, ya que en la Resolución Recurrida se </w:t>
      </w:r>
      <w:r w:rsidRPr="00654D1D">
        <w:rPr>
          <w:rFonts w:ascii="ITC Avant Garde" w:hAnsi="ITC Avant Garde" w:cs="Arial"/>
          <w:b/>
        </w:rPr>
        <w:t>fundamentó y motivó</w:t>
      </w:r>
      <w:r w:rsidRPr="00654D1D">
        <w:rPr>
          <w:rFonts w:ascii="ITC Avant Garde" w:hAnsi="ITC Avant Garde" w:cs="Arial"/>
        </w:rPr>
        <w:t xml:space="preserve"> la determinación respecto de que la tarifa de facturación y cobranza no es materia del desacuerdo de interconexión en los siguientes términos:</w:t>
      </w:r>
    </w:p>
    <w:p w14:paraId="0C33C151" w14:textId="77777777" w:rsidR="00654D1D" w:rsidRPr="00654D1D" w:rsidRDefault="003E526D" w:rsidP="00654D1D">
      <w:pPr>
        <w:autoSpaceDE w:val="0"/>
        <w:autoSpaceDN w:val="0"/>
        <w:adjustRightInd w:val="0"/>
        <w:spacing w:before="240"/>
        <w:ind w:left="851" w:right="851"/>
        <w:jc w:val="both"/>
        <w:rPr>
          <w:rFonts w:ascii="ITC Avant Garde" w:hAnsi="ITC Avant Garde" w:cs="Helvetica"/>
          <w:sz w:val="18"/>
          <w:szCs w:val="18"/>
          <w:lang w:eastAsia="es-MX"/>
        </w:rPr>
      </w:pPr>
      <w:r w:rsidRPr="00654D1D">
        <w:rPr>
          <w:rFonts w:ascii="ITC Avant Garde" w:hAnsi="ITC Avant Garde" w:cs="Helvetica"/>
          <w:sz w:val="18"/>
          <w:szCs w:val="18"/>
          <w:lang w:eastAsia="es-MX"/>
        </w:rPr>
        <w:t>“</w:t>
      </w:r>
      <w:r w:rsidR="002D6EF2" w:rsidRPr="00654D1D">
        <w:rPr>
          <w:rFonts w:ascii="ITC Avant Garde" w:hAnsi="ITC Avant Garde" w:cs="Helvetica"/>
          <w:sz w:val="18"/>
          <w:szCs w:val="18"/>
          <w:lang w:eastAsia="es-MX"/>
        </w:rPr>
        <w:t>Al respecto, la Comisión sostiene que atento a lo dispuesto por los articules 9-A, fracción X, 42 y 43 de la LFT, está facultada para resolver con autonomía plena las condiciones de interconexión no convenidas entre concesionarios, conforme al marco jurídico aplicable.</w:t>
      </w:r>
    </w:p>
    <w:p w14:paraId="6E6E9BB0" w14:textId="77777777" w:rsidR="00654D1D" w:rsidRPr="00654D1D" w:rsidRDefault="002D6EF2" w:rsidP="00654D1D">
      <w:pPr>
        <w:autoSpaceDE w:val="0"/>
        <w:autoSpaceDN w:val="0"/>
        <w:adjustRightInd w:val="0"/>
        <w:spacing w:before="240"/>
        <w:ind w:left="851" w:right="851"/>
        <w:jc w:val="both"/>
        <w:rPr>
          <w:rFonts w:ascii="ITC Avant Garde" w:hAnsi="ITC Avant Garde" w:cs="Helvetica"/>
          <w:sz w:val="18"/>
          <w:szCs w:val="18"/>
          <w:lang w:eastAsia="es-MX"/>
        </w:rPr>
      </w:pPr>
      <w:r w:rsidRPr="00654D1D">
        <w:rPr>
          <w:rFonts w:ascii="ITC Avant Garde" w:hAnsi="ITC Avant Garde" w:cs="Helvetica"/>
          <w:sz w:val="18"/>
          <w:szCs w:val="18"/>
          <w:lang w:eastAsia="es-MX"/>
        </w:rPr>
        <w:t>En este sentido, en el considerando Quinto se establecieron las condiciones de interconexión no convenidas por las partes, materia del procedimiento en que se actúa.</w:t>
      </w:r>
    </w:p>
    <w:p w14:paraId="50DBA15D" w14:textId="77777777" w:rsidR="00654D1D" w:rsidRPr="00654D1D" w:rsidRDefault="002D6EF2" w:rsidP="00654D1D">
      <w:pPr>
        <w:autoSpaceDE w:val="0"/>
        <w:autoSpaceDN w:val="0"/>
        <w:adjustRightInd w:val="0"/>
        <w:spacing w:before="240"/>
        <w:ind w:left="851" w:right="851"/>
        <w:jc w:val="both"/>
        <w:rPr>
          <w:rFonts w:ascii="ITC Avant Garde" w:hAnsi="ITC Avant Garde" w:cs="Helvetica"/>
          <w:sz w:val="18"/>
          <w:szCs w:val="18"/>
          <w:lang w:eastAsia="es-MX"/>
        </w:rPr>
      </w:pPr>
      <w:r w:rsidRPr="00654D1D">
        <w:rPr>
          <w:rFonts w:ascii="ITC Avant Garde" w:hAnsi="ITC Avant Garde" w:cs="Helvetica"/>
          <w:sz w:val="18"/>
          <w:szCs w:val="18"/>
          <w:lang w:eastAsia="es-MX"/>
        </w:rPr>
        <w:t xml:space="preserve">De ahí que resulten improcedentes por infundados los argumentos de Grupo Telefónica en el sentido de que la Comisión ha venido resolviendo desacuerdos de Interconexión revocando sus propias determinaciones y a vincular el presente procedimiento con resoluciones previas, toda vez que en el caso que nos ocupa la Comisión determinará los términos, condiciones y tarifas de interconexión no convenidas entre los Solicitantes y </w:t>
      </w:r>
      <w:r w:rsidRPr="00654D1D">
        <w:rPr>
          <w:rFonts w:ascii="ITC Avant Garde" w:hAnsi="ITC Avant Garde" w:cs="Helvetica"/>
          <w:sz w:val="18"/>
          <w:szCs w:val="18"/>
          <w:lang w:eastAsia="es-MX"/>
        </w:rPr>
        <w:lastRenderedPageBreak/>
        <w:t>Grupo Telefónica que serán aplicables a partir del 1º  de enero de 2011, de conformidad con el marco jurídico aplicable, utilizando al efecto un modelo de costos, con lo cual se otorgará certeza jurídica a las partes.</w:t>
      </w:r>
    </w:p>
    <w:p w14:paraId="2D692C4B" w14:textId="77777777" w:rsidR="00654D1D" w:rsidRPr="00654D1D" w:rsidRDefault="002D6EF2" w:rsidP="00654D1D">
      <w:pPr>
        <w:autoSpaceDE w:val="0"/>
        <w:autoSpaceDN w:val="0"/>
        <w:adjustRightInd w:val="0"/>
        <w:spacing w:before="240"/>
        <w:ind w:left="851" w:right="851"/>
        <w:jc w:val="both"/>
        <w:rPr>
          <w:rFonts w:ascii="ITC Avant Garde" w:hAnsi="ITC Avant Garde" w:cs="Helvetica"/>
          <w:sz w:val="18"/>
          <w:szCs w:val="18"/>
          <w:lang w:eastAsia="es-MX"/>
        </w:rPr>
      </w:pPr>
      <w:r w:rsidRPr="00654D1D">
        <w:rPr>
          <w:rFonts w:ascii="ITC Avant Garde" w:hAnsi="ITC Avant Garde" w:cs="Helvetica"/>
          <w:sz w:val="18"/>
          <w:szCs w:val="18"/>
          <w:lang w:eastAsia="es-MX"/>
        </w:rPr>
        <w:t>Respecto al argumento de Grupo Telefónica en el sentido de que la Comisión ha venido resolviendo desacuerdos de interconexión sin considerar su obligación de brindar certidumbre jurídica de largo plazo a los participantes en el mercado, el Pleno de esta Comisión no estima necesario entrar al estudio de dicho alegato dado que en el presente Procedimiento se están resolviendo solamente las condiciones de interconexión no convenidas entre los Solicitantes y Grupo Telefónica y tal argumento en nada abona el ánimo de convicción de ésta Comisión.</w:t>
      </w:r>
    </w:p>
    <w:p w14:paraId="238CCFBB" w14:textId="77777777" w:rsidR="00654D1D" w:rsidRPr="00654D1D" w:rsidRDefault="002D6EF2" w:rsidP="00654D1D">
      <w:pPr>
        <w:autoSpaceDE w:val="0"/>
        <w:autoSpaceDN w:val="0"/>
        <w:adjustRightInd w:val="0"/>
        <w:spacing w:before="240"/>
        <w:ind w:left="851" w:right="851"/>
        <w:jc w:val="both"/>
        <w:rPr>
          <w:rFonts w:ascii="ITC Avant Garde" w:hAnsi="ITC Avant Garde" w:cs="Helvetica"/>
          <w:sz w:val="18"/>
          <w:szCs w:val="18"/>
          <w:lang w:eastAsia="es-MX"/>
        </w:rPr>
      </w:pPr>
      <w:r w:rsidRPr="00654D1D">
        <w:rPr>
          <w:rFonts w:ascii="ITC Avant Garde" w:hAnsi="ITC Avant Garde" w:cs="Helvetica"/>
          <w:sz w:val="18"/>
          <w:szCs w:val="18"/>
          <w:lang w:eastAsia="es-MX"/>
        </w:rPr>
        <w:t>En este sentido, es importante señalar que cada procedimiento para dirimir controversias en materia de interconexión debe ser atendido con sus propias particularidades, por lo que las condiciones no convenidas entre las partes que se analizan en la presente Resolución, no se emiten al amparo de ninguna de las resoluciones comentadas por Grupo Telefónica.</w:t>
      </w:r>
    </w:p>
    <w:p w14:paraId="581D7782" w14:textId="77777777" w:rsidR="00654D1D" w:rsidRPr="00654D1D" w:rsidRDefault="002D6EF2" w:rsidP="00654D1D">
      <w:pPr>
        <w:autoSpaceDE w:val="0"/>
        <w:autoSpaceDN w:val="0"/>
        <w:adjustRightInd w:val="0"/>
        <w:spacing w:before="240"/>
        <w:ind w:left="851" w:right="851"/>
        <w:jc w:val="both"/>
        <w:rPr>
          <w:rFonts w:ascii="ITC Avant Garde" w:hAnsi="ITC Avant Garde" w:cs="Helvetica"/>
          <w:sz w:val="18"/>
          <w:szCs w:val="18"/>
          <w:lang w:eastAsia="es-MX"/>
        </w:rPr>
      </w:pPr>
      <w:r w:rsidRPr="00654D1D">
        <w:rPr>
          <w:rFonts w:ascii="ITC Avant Garde" w:hAnsi="ITC Avant Garde" w:cs="Helvetica"/>
          <w:sz w:val="18"/>
          <w:szCs w:val="18"/>
          <w:lang w:eastAsia="es-MX"/>
        </w:rPr>
        <w:t>Asimismo, la presente Resolución no invoca como fundamento el artículo 63 de la LFT, por lo que resultan inoperantes los argumentos de Grupo Telefónica.</w:t>
      </w:r>
    </w:p>
    <w:p w14:paraId="7C94A065" w14:textId="77777777" w:rsidR="00654D1D" w:rsidRPr="00654D1D" w:rsidRDefault="002D6EF2" w:rsidP="00654D1D">
      <w:pPr>
        <w:autoSpaceDE w:val="0"/>
        <w:autoSpaceDN w:val="0"/>
        <w:adjustRightInd w:val="0"/>
        <w:spacing w:before="240"/>
        <w:ind w:left="851" w:right="851"/>
        <w:jc w:val="both"/>
        <w:rPr>
          <w:rFonts w:ascii="ITC Avant Garde" w:hAnsi="ITC Avant Garde" w:cs="Helvetica"/>
          <w:sz w:val="18"/>
          <w:szCs w:val="18"/>
          <w:lang w:eastAsia="es-MX"/>
        </w:rPr>
      </w:pPr>
      <w:r w:rsidRPr="00654D1D">
        <w:rPr>
          <w:rFonts w:ascii="ITC Avant Garde" w:hAnsi="ITC Avant Garde" w:cs="Helvetica"/>
          <w:sz w:val="18"/>
          <w:szCs w:val="18"/>
          <w:lang w:eastAsia="es-MX"/>
        </w:rPr>
        <w:t>Con relación al argumento del sobreprecio aplicado por los Solicitantes a sus usuarios finales, esta Comisión sostiene que, con fundamento en los articulas 42, 60 y 63 de la LFT, únicamente pueden ser materia del procedimiento administrativo en que se actúa, las condiciones de interconexión no convenidas entre las partes, tal y como sucede con las tarifas de interconexión planteadas por los Solicitantes. No siendo materia del presente desacuerdo la determinación de las tarifas aplicables por concepto de facturación y cobranza, ya que éstas forman parte de la tarifa que cobra el concesionario al usuario final, de ahí que se regulen bajo el principio de libertad tarifaría, ante lo cual esta Comisión carece de facultades para su determinación.</w:t>
      </w:r>
    </w:p>
    <w:p w14:paraId="0B3CA8D7" w14:textId="77777777" w:rsidR="00654D1D" w:rsidRPr="00654D1D" w:rsidRDefault="002D6EF2" w:rsidP="00654D1D">
      <w:pPr>
        <w:autoSpaceDE w:val="0"/>
        <w:autoSpaceDN w:val="0"/>
        <w:adjustRightInd w:val="0"/>
        <w:spacing w:before="240"/>
        <w:ind w:left="851" w:right="851"/>
        <w:jc w:val="both"/>
        <w:rPr>
          <w:rFonts w:ascii="ITC Avant Garde" w:hAnsi="ITC Avant Garde" w:cs="Helvetica"/>
          <w:sz w:val="18"/>
          <w:szCs w:val="18"/>
          <w:lang w:eastAsia="es-MX"/>
        </w:rPr>
      </w:pPr>
      <w:r w:rsidRPr="00654D1D">
        <w:rPr>
          <w:rFonts w:ascii="ITC Avant Garde" w:hAnsi="ITC Avant Garde" w:cs="Helvetica"/>
          <w:sz w:val="18"/>
          <w:szCs w:val="18"/>
          <w:lang w:eastAsia="es-MX"/>
        </w:rPr>
        <w:t>Por lo que hace al argumento expuesto por Grupo Telefónica relativo a que, a fin de que se fomente una sana competencia, la Comisión previamente a regular a cualquier otro concesionario, debe regular al operador que ostente poder sustancial en los diversos mercados en que se divide el sector telecomunicaciones o a que considere las declaratorias con poder sustancial, el Pleno de la Comisión considera inoperantes dichos argumentos, toda vez que el objetivo plasmado en el artículo 7 de la LFT, no fija limitación alguna para regular a todos los operadores del sector, derivado de lo cual este órgano desconcentrado tiene facultades plenas para atender el presente procedimiento en atención a la facultad que le consagran los articulas 9-A fracción X y 42 de la LFT, y a través del cual logra fortalecer la sana competencia a que alude Grupo Telefónica.”</w:t>
      </w:r>
    </w:p>
    <w:p w14:paraId="184EE92F" w14:textId="77777777" w:rsidR="00654D1D" w:rsidRPr="00654D1D" w:rsidRDefault="003E526D" w:rsidP="00654D1D">
      <w:pPr>
        <w:autoSpaceDE w:val="0"/>
        <w:autoSpaceDN w:val="0"/>
        <w:adjustRightInd w:val="0"/>
        <w:spacing w:before="240"/>
        <w:ind w:left="851" w:right="851"/>
        <w:jc w:val="both"/>
        <w:rPr>
          <w:rFonts w:ascii="ITC Avant Garde" w:hAnsi="ITC Avant Garde" w:cs="Helvetica"/>
          <w:sz w:val="18"/>
          <w:szCs w:val="18"/>
          <w:lang w:eastAsia="es-MX"/>
        </w:rPr>
      </w:pPr>
      <w:r w:rsidRPr="00654D1D">
        <w:rPr>
          <w:rFonts w:ascii="ITC Avant Garde" w:hAnsi="ITC Avant Garde" w:cs="Helvetica"/>
          <w:sz w:val="18"/>
          <w:szCs w:val="18"/>
          <w:lang w:eastAsia="es-MX"/>
        </w:rPr>
        <w:t xml:space="preserve">Con relación al argumento del sobreprecio aplicado por los Solicitantes a sus usuarios finales, esta Comisión sostiene que, con fundamento en los articulas 42, 60 y 63 de la LFT, únicamente pueden ser materia del procedimiento administrativo en que se actúa, las condiciones de interconexión no convenidas entre las partes, tal y como sucede con las tarifas de interconexión planteadas por los Solicitantes. No siendo materia del presente desacuerdo la determinación de las tarifas aplicables por concepto de facturación y cobranza, ya que éstas forman parte de la tarifa que cobra el concesionario al usuario </w:t>
      </w:r>
      <w:r w:rsidRPr="00654D1D">
        <w:rPr>
          <w:rFonts w:ascii="ITC Avant Garde" w:hAnsi="ITC Avant Garde" w:cs="Helvetica"/>
          <w:sz w:val="18"/>
          <w:szCs w:val="18"/>
          <w:lang w:eastAsia="es-MX"/>
        </w:rPr>
        <w:lastRenderedPageBreak/>
        <w:t>final, de ahí que se regulen bajo el principio de libertad tarifaría, ante lo cual esta Comisión carece de facultades para su determinación.”</w:t>
      </w:r>
    </w:p>
    <w:p w14:paraId="0E5F2B31" w14:textId="77777777" w:rsidR="00654D1D" w:rsidRPr="00654D1D" w:rsidRDefault="003E526D" w:rsidP="00654D1D">
      <w:pPr>
        <w:spacing w:before="240"/>
        <w:jc w:val="both"/>
        <w:rPr>
          <w:rFonts w:ascii="ITC Avant Garde" w:hAnsi="ITC Avant Garde"/>
        </w:rPr>
      </w:pPr>
      <w:r w:rsidRPr="00654D1D">
        <w:rPr>
          <w:rFonts w:ascii="ITC Avant Garde" w:hAnsi="ITC Avant Garde"/>
        </w:rPr>
        <w:t xml:space="preserve">En este sentido, la Comisión fundó y motivó debidamente su determinación, toda vez que las tarifas aplicables por concepto de facturación y cobranza son establecidas por el concesionario fijo que determina el precio al público de conformidad con el principio de libertad tarifaria, de ahí que incluso dichas tarifas al usuario final sean sometidas para registro de esta Comisión en términos del artículo 60 de la LFT. </w:t>
      </w:r>
    </w:p>
    <w:p w14:paraId="0BD53354" w14:textId="77777777" w:rsidR="00654D1D" w:rsidRPr="00654D1D" w:rsidRDefault="003E526D" w:rsidP="00654D1D">
      <w:pPr>
        <w:spacing w:before="240"/>
        <w:jc w:val="both"/>
        <w:rPr>
          <w:rFonts w:ascii="ITC Avant Garde" w:eastAsia="Times New Roman" w:hAnsi="ITC Avant Garde" w:cs="Courier New"/>
          <w:lang w:val="es-ES" w:eastAsia="es-ES"/>
        </w:rPr>
      </w:pPr>
      <w:r w:rsidRPr="00654D1D">
        <w:rPr>
          <w:rFonts w:ascii="ITC Avant Garde" w:eastAsia="Times New Roman" w:hAnsi="ITC Avant Garde" w:cs="Courier New"/>
          <w:lang w:val="es-ES" w:eastAsia="es-ES"/>
        </w:rPr>
        <w:t>Lo anterior, se corrobora con el hecho de que mediante registro con número de folio 8886 de fecha 16 de noviembre de 2011, se inscribió en el Registro de Telecomunicaciones de la propia Comisión las tarifas aplicadas por Teléfonos de México, S.A.B. de C.V. respecto de las tarifas al público para llamadas bajo la modalidad “el que llama paga”. De ahí que resulte infundado el argumento hecho valer por la Recurrente.</w:t>
      </w:r>
    </w:p>
    <w:p w14:paraId="7574CD37" w14:textId="77777777" w:rsidR="00654D1D" w:rsidRPr="00654D1D" w:rsidRDefault="003E526D" w:rsidP="00654D1D">
      <w:pPr>
        <w:numPr>
          <w:ilvl w:val="0"/>
          <w:numId w:val="20"/>
        </w:numPr>
        <w:spacing w:before="240"/>
        <w:contextualSpacing/>
        <w:jc w:val="both"/>
        <w:rPr>
          <w:rFonts w:ascii="ITC Avant Garde" w:hAnsi="ITC Avant Garde" w:cs="Arial"/>
          <w:b/>
        </w:rPr>
      </w:pPr>
      <w:r w:rsidRPr="00654D1D">
        <w:rPr>
          <w:rFonts w:ascii="ITC Avant Garde" w:hAnsi="ITC Avant Garde" w:cs="Arial"/>
          <w:b/>
        </w:rPr>
        <w:t>En relación con lo manifestado por la Recurrente en el agravio DÉCIMO SÉPTIMO, en el que invoca que la Comisión debe resolver debidamente la objeción de documentos hecha valer por la Recurrente en el inicio del procedimiento y tomarla en consideración al momento de valorar las pruebas ofrecidas por las partes, es inoperante.</w:t>
      </w:r>
    </w:p>
    <w:p w14:paraId="7D10BA3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Lo argumentado por la Recurrente en el agravio en estudio es inoperante, ya que no precisa de manera concreta y puntual en qué forma sus objeciones de documentos hubieran variado el sentido de la Resolución Recurrida, por lo que sus manifestaciones son inoperantes por insuficientes. </w:t>
      </w:r>
    </w:p>
    <w:p w14:paraId="6EBA9B7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Siendo aplicables por analogía los siguientes criterios emitidos por el Poder Judicial de la Federación, que al efecto señalan:</w:t>
      </w:r>
    </w:p>
    <w:p w14:paraId="4B60274A" w14:textId="05C4ECBC" w:rsidR="003E526D" w:rsidRPr="00654D1D" w:rsidRDefault="003E526D" w:rsidP="00654D1D">
      <w:pPr>
        <w:spacing w:before="240"/>
        <w:ind w:left="357" w:right="357"/>
        <w:rPr>
          <w:rFonts w:ascii="ITC Avant Garde" w:eastAsia="Times New Roman" w:hAnsi="ITC Avant Garde" w:cs="Times New Roman"/>
          <w:snapToGrid w:val="0"/>
          <w:sz w:val="18"/>
          <w:szCs w:val="18"/>
          <w:lang w:eastAsia="es-ES"/>
        </w:rPr>
      </w:pPr>
      <w:r w:rsidRPr="00654D1D">
        <w:rPr>
          <w:rFonts w:ascii="ITC Avant Garde" w:eastAsia="Times New Roman" w:hAnsi="ITC Avant Garde" w:cs="Times New Roman"/>
          <w:snapToGrid w:val="0"/>
          <w:sz w:val="18"/>
          <w:szCs w:val="18"/>
          <w:lang w:eastAsia="es-ES"/>
        </w:rPr>
        <w:t>Época: Octava.</w:t>
      </w:r>
    </w:p>
    <w:p w14:paraId="68FA61EB" w14:textId="77777777" w:rsidR="00654D1D" w:rsidRPr="00654D1D" w:rsidRDefault="003E526D" w:rsidP="00654D1D">
      <w:pPr>
        <w:spacing w:before="240"/>
        <w:ind w:left="357" w:right="357"/>
        <w:rPr>
          <w:rFonts w:ascii="ITC Avant Garde" w:eastAsia="Times New Roman" w:hAnsi="ITC Avant Garde" w:cs="Times New Roman"/>
          <w:snapToGrid w:val="0"/>
          <w:sz w:val="18"/>
          <w:szCs w:val="18"/>
          <w:lang w:eastAsia="es-ES"/>
        </w:rPr>
      </w:pPr>
      <w:r w:rsidRPr="00654D1D">
        <w:rPr>
          <w:rFonts w:ascii="ITC Avant Garde" w:eastAsia="Times New Roman" w:hAnsi="ITC Avant Garde" w:cs="Times New Roman"/>
          <w:snapToGrid w:val="0"/>
          <w:sz w:val="18"/>
          <w:szCs w:val="18"/>
          <w:lang w:eastAsia="es-ES"/>
        </w:rPr>
        <w:t>Instancia: Tribunales Colegiados de Circuito</w:t>
      </w:r>
      <w:r w:rsidRPr="00654D1D">
        <w:rPr>
          <w:rFonts w:ascii="ITC Avant Garde" w:eastAsia="Times New Roman" w:hAnsi="ITC Avant Garde" w:cs="Times New Roman"/>
          <w:snapToGrid w:val="0"/>
          <w:sz w:val="18"/>
          <w:szCs w:val="18"/>
          <w:lang w:eastAsia="es-ES"/>
        </w:rPr>
        <w:br/>
        <w:t>Fuente: Semanario Judicial de la Federación</w:t>
      </w:r>
      <w:r w:rsidRPr="00654D1D">
        <w:rPr>
          <w:rFonts w:ascii="ITC Avant Garde" w:eastAsia="Times New Roman" w:hAnsi="ITC Avant Garde" w:cs="Times New Roman"/>
          <w:snapToGrid w:val="0"/>
          <w:sz w:val="18"/>
          <w:szCs w:val="18"/>
          <w:lang w:eastAsia="es-ES"/>
        </w:rPr>
        <w:br/>
        <w:t>Parte: XI-Mayo</w:t>
      </w:r>
      <w:r w:rsidRPr="00654D1D">
        <w:rPr>
          <w:rFonts w:ascii="ITC Avant Garde" w:eastAsia="Times New Roman" w:hAnsi="ITC Avant Garde" w:cs="Times New Roman"/>
          <w:snapToGrid w:val="0"/>
          <w:sz w:val="18"/>
          <w:szCs w:val="18"/>
          <w:lang w:eastAsia="es-ES"/>
        </w:rPr>
        <w:br/>
        <w:t>Página: 285</w:t>
      </w:r>
    </w:p>
    <w:p w14:paraId="49239BA7" w14:textId="77777777" w:rsidR="00654D1D" w:rsidRPr="00654D1D" w:rsidRDefault="003E526D" w:rsidP="00654D1D">
      <w:pPr>
        <w:spacing w:before="240"/>
        <w:ind w:left="357" w:right="357"/>
        <w:jc w:val="both"/>
        <w:rPr>
          <w:rFonts w:ascii="ITC Avant Garde" w:eastAsia="Times New Roman" w:hAnsi="ITC Avant Garde" w:cs="Times New Roman"/>
          <w:snapToGrid w:val="0"/>
          <w:sz w:val="18"/>
          <w:szCs w:val="18"/>
          <w:lang w:eastAsia="es-ES"/>
        </w:rPr>
      </w:pPr>
      <w:r w:rsidRPr="00654D1D">
        <w:rPr>
          <w:rFonts w:ascii="ITC Avant Garde" w:eastAsia="Times New Roman" w:hAnsi="ITC Avant Garde" w:cs="Times New Roman"/>
          <w:b/>
          <w:snapToGrid w:val="0"/>
          <w:sz w:val="18"/>
          <w:szCs w:val="18"/>
          <w:lang w:eastAsia="es-ES"/>
        </w:rPr>
        <w:t>AGRAVIOS INSUFICIENTES, REVISION FISCAL</w:t>
      </w:r>
      <w:r w:rsidRPr="00654D1D">
        <w:rPr>
          <w:rFonts w:ascii="ITC Avant Garde" w:eastAsia="Times New Roman" w:hAnsi="ITC Avant Garde" w:cs="Times New Roman"/>
          <w:snapToGrid w:val="0"/>
          <w:sz w:val="18"/>
          <w:szCs w:val="18"/>
          <w:lang w:eastAsia="es-ES"/>
        </w:rPr>
        <w:t>.</w:t>
      </w:r>
      <w:r w:rsidRPr="00654D1D">
        <w:rPr>
          <w:rFonts w:ascii="ITC Avant Garde" w:eastAsia="Times New Roman" w:hAnsi="ITC Avant Garde" w:cs="Times New Roman"/>
          <w:snapToGrid w:val="0"/>
          <w:sz w:val="18"/>
          <w:szCs w:val="18"/>
          <w:lang w:eastAsia="es-ES"/>
        </w:rPr>
        <w:tab/>
        <w:t>No pueden considerarse como agravios las afirmaciones genéricas de que: La sentencia es infundada, no examina la resolución recurrida, la demanda o su contestación no atienden al resultado de algunas de las pruebas; u otras semejantes, si no se precisan las razones por las que así se considera ya que tales argumentaciones tan genéricas no demuestran la ilegalidad de la sentencia, ni atacan los fundamentos y razones en que se sustenta. SEGUNDO TRIBUNAL COLEGIADO DEL SEGUNDO CIRCUITO.</w:t>
      </w:r>
    </w:p>
    <w:p w14:paraId="7169CCB3" w14:textId="77777777" w:rsidR="00654D1D" w:rsidRPr="00654D1D" w:rsidRDefault="003E526D" w:rsidP="00654D1D">
      <w:pPr>
        <w:spacing w:before="240"/>
        <w:ind w:left="357" w:right="357"/>
        <w:jc w:val="both"/>
        <w:rPr>
          <w:rFonts w:ascii="ITC Avant Garde" w:eastAsia="Times New Roman" w:hAnsi="ITC Avant Garde" w:cs="Times New Roman"/>
          <w:snapToGrid w:val="0"/>
          <w:sz w:val="18"/>
          <w:szCs w:val="18"/>
          <w:lang w:eastAsia="es-ES"/>
        </w:rPr>
      </w:pPr>
      <w:r w:rsidRPr="00654D1D">
        <w:rPr>
          <w:rFonts w:ascii="ITC Avant Garde" w:eastAsia="Times New Roman" w:hAnsi="ITC Avant Garde" w:cs="Times New Roman"/>
          <w:snapToGrid w:val="0"/>
          <w:sz w:val="18"/>
          <w:szCs w:val="18"/>
          <w:lang w:eastAsia="es-ES"/>
        </w:rPr>
        <w:t xml:space="preserve">Revisión fiscal 8/93. McGraw Hill Interamericana de México, S. A. de C.V. 17 de marzo de 1993. Unanimidad de votos. Ponente: Raúl Solís </w:t>
      </w:r>
      <w:proofErr w:type="spellStart"/>
      <w:r w:rsidRPr="00654D1D">
        <w:rPr>
          <w:rFonts w:ascii="ITC Avant Garde" w:eastAsia="Times New Roman" w:hAnsi="ITC Avant Garde" w:cs="Times New Roman"/>
          <w:snapToGrid w:val="0"/>
          <w:sz w:val="18"/>
          <w:szCs w:val="18"/>
          <w:lang w:eastAsia="es-ES"/>
        </w:rPr>
        <w:t>Solís</w:t>
      </w:r>
      <w:proofErr w:type="spellEnd"/>
      <w:r w:rsidRPr="00654D1D">
        <w:rPr>
          <w:rFonts w:ascii="ITC Avant Garde" w:eastAsia="Times New Roman" w:hAnsi="ITC Avant Garde" w:cs="Times New Roman"/>
          <w:snapToGrid w:val="0"/>
          <w:sz w:val="18"/>
          <w:szCs w:val="18"/>
          <w:lang w:eastAsia="es-ES"/>
        </w:rPr>
        <w:t>. Secretario: Pablo Rabanal Arroyo.</w:t>
      </w:r>
    </w:p>
    <w:p w14:paraId="4B602751" w14:textId="76172816" w:rsidR="003E526D" w:rsidRPr="00654D1D" w:rsidRDefault="003E526D" w:rsidP="00654D1D">
      <w:pPr>
        <w:spacing w:before="240"/>
        <w:ind w:left="357" w:right="357"/>
        <w:rPr>
          <w:rFonts w:ascii="ITC Avant Garde" w:eastAsia="Times New Roman" w:hAnsi="ITC Avant Garde" w:cs="Times New Roman"/>
          <w:snapToGrid w:val="0"/>
          <w:sz w:val="18"/>
          <w:szCs w:val="18"/>
          <w:lang w:eastAsia="es-ES"/>
        </w:rPr>
      </w:pPr>
      <w:r w:rsidRPr="00654D1D">
        <w:rPr>
          <w:rFonts w:ascii="ITC Avant Garde" w:eastAsia="Times New Roman" w:hAnsi="ITC Avant Garde" w:cs="Times New Roman"/>
          <w:snapToGrid w:val="0"/>
          <w:sz w:val="18"/>
          <w:szCs w:val="18"/>
          <w:lang w:eastAsia="es-ES"/>
        </w:rPr>
        <w:lastRenderedPageBreak/>
        <w:t>Época: Séptima.</w:t>
      </w:r>
    </w:p>
    <w:p w14:paraId="3B649503" w14:textId="77777777" w:rsidR="00654D1D" w:rsidRPr="00654D1D" w:rsidRDefault="003E526D" w:rsidP="00654D1D">
      <w:pPr>
        <w:spacing w:before="240"/>
        <w:ind w:left="357" w:right="357"/>
        <w:rPr>
          <w:rFonts w:ascii="ITC Avant Garde" w:eastAsia="Times New Roman" w:hAnsi="ITC Avant Garde" w:cs="Times New Roman"/>
          <w:snapToGrid w:val="0"/>
          <w:sz w:val="18"/>
          <w:szCs w:val="18"/>
          <w:lang w:eastAsia="es-ES"/>
        </w:rPr>
      </w:pPr>
      <w:r w:rsidRPr="00654D1D">
        <w:rPr>
          <w:rFonts w:ascii="ITC Avant Garde" w:eastAsia="Times New Roman" w:hAnsi="ITC Avant Garde" w:cs="Times New Roman"/>
          <w:snapToGrid w:val="0"/>
          <w:sz w:val="18"/>
          <w:szCs w:val="18"/>
          <w:lang w:eastAsia="es-ES"/>
        </w:rPr>
        <w:t>Instancia: Segunda Sala</w:t>
      </w:r>
      <w:r w:rsidRPr="00654D1D">
        <w:rPr>
          <w:rFonts w:ascii="ITC Avant Garde" w:eastAsia="Times New Roman" w:hAnsi="ITC Avant Garde" w:cs="Times New Roman"/>
          <w:snapToGrid w:val="0"/>
          <w:sz w:val="18"/>
          <w:szCs w:val="18"/>
          <w:lang w:eastAsia="es-ES"/>
        </w:rPr>
        <w:br/>
        <w:t>Fuente: Semanario Judicial de la Federación</w:t>
      </w:r>
      <w:r w:rsidRPr="00654D1D">
        <w:rPr>
          <w:rFonts w:ascii="ITC Avant Garde" w:eastAsia="Times New Roman" w:hAnsi="ITC Avant Garde" w:cs="Times New Roman"/>
          <w:snapToGrid w:val="0"/>
          <w:sz w:val="18"/>
          <w:szCs w:val="18"/>
          <w:lang w:eastAsia="es-ES"/>
        </w:rPr>
        <w:br/>
        <w:t>Parte: 12 Tercera Parte</w:t>
      </w:r>
      <w:r w:rsidRPr="00654D1D">
        <w:rPr>
          <w:rFonts w:ascii="ITC Avant Garde" w:eastAsia="Times New Roman" w:hAnsi="ITC Avant Garde" w:cs="Times New Roman"/>
          <w:snapToGrid w:val="0"/>
          <w:sz w:val="18"/>
          <w:szCs w:val="18"/>
          <w:lang w:eastAsia="es-ES"/>
        </w:rPr>
        <w:br/>
        <w:t>Página: 70</w:t>
      </w:r>
    </w:p>
    <w:p w14:paraId="761959B6" w14:textId="77777777" w:rsidR="00654D1D" w:rsidRPr="00654D1D" w:rsidRDefault="003E526D" w:rsidP="00654D1D">
      <w:pPr>
        <w:spacing w:before="240"/>
        <w:ind w:left="357" w:right="357"/>
        <w:jc w:val="both"/>
        <w:rPr>
          <w:rFonts w:ascii="ITC Avant Garde" w:eastAsia="Times New Roman" w:hAnsi="ITC Avant Garde" w:cs="Times New Roman"/>
          <w:snapToGrid w:val="0"/>
          <w:sz w:val="18"/>
          <w:szCs w:val="18"/>
          <w:lang w:eastAsia="es-ES"/>
        </w:rPr>
      </w:pPr>
      <w:r w:rsidRPr="00654D1D">
        <w:rPr>
          <w:rFonts w:ascii="ITC Avant Garde" w:eastAsia="Times New Roman" w:hAnsi="ITC Avant Garde" w:cs="Times New Roman"/>
          <w:b/>
          <w:snapToGrid w:val="0"/>
          <w:sz w:val="18"/>
          <w:szCs w:val="18"/>
          <w:lang w:eastAsia="es-ES"/>
        </w:rPr>
        <w:t>AGRAVIOS INSUFICIENTES</w:t>
      </w:r>
      <w:r w:rsidRPr="00654D1D">
        <w:rPr>
          <w:rFonts w:ascii="ITC Avant Garde" w:eastAsia="Times New Roman" w:hAnsi="ITC Avant Garde" w:cs="Times New Roman"/>
          <w:snapToGrid w:val="0"/>
          <w:sz w:val="18"/>
          <w:szCs w:val="18"/>
          <w:lang w:eastAsia="es-ES"/>
        </w:rPr>
        <w:t>. Cuando en los agravios aducidos por la recurrente no se precisan argumentos tendientes a demostrar la ilegalidad de la sentencia, ni se atacan los fundamentos legales y consideraciones en que se sustenta el sentido del fallo, se impone confirmarlo en sus términos por la insuficiencia de los propios agravios.</w:t>
      </w:r>
    </w:p>
    <w:p w14:paraId="4AE86877" w14:textId="77777777" w:rsidR="00654D1D" w:rsidRPr="00654D1D" w:rsidRDefault="003E526D" w:rsidP="00654D1D">
      <w:pPr>
        <w:spacing w:before="240"/>
        <w:ind w:left="357" w:right="357"/>
        <w:jc w:val="both"/>
        <w:rPr>
          <w:rFonts w:ascii="ITC Avant Garde" w:eastAsia="Times New Roman" w:hAnsi="ITC Avant Garde" w:cs="Times New Roman"/>
          <w:snapToGrid w:val="0"/>
          <w:sz w:val="18"/>
          <w:szCs w:val="18"/>
          <w:lang w:eastAsia="es-ES"/>
        </w:rPr>
      </w:pPr>
      <w:r w:rsidRPr="00654D1D">
        <w:rPr>
          <w:rFonts w:ascii="ITC Avant Garde" w:eastAsia="Times New Roman" w:hAnsi="ITC Avant Garde" w:cs="Times New Roman"/>
          <w:snapToGrid w:val="0"/>
          <w:sz w:val="18"/>
          <w:szCs w:val="18"/>
          <w:lang w:eastAsia="es-ES"/>
        </w:rPr>
        <w:t xml:space="preserve">Volumen 1, pág. 131. </w:t>
      </w:r>
    </w:p>
    <w:p w14:paraId="0308C157" w14:textId="77777777" w:rsidR="00654D1D" w:rsidRPr="00654D1D" w:rsidRDefault="003E526D" w:rsidP="00654D1D">
      <w:pPr>
        <w:spacing w:before="240"/>
        <w:ind w:left="357" w:right="357"/>
        <w:jc w:val="both"/>
        <w:rPr>
          <w:rFonts w:ascii="ITC Avant Garde" w:eastAsia="Times New Roman" w:hAnsi="ITC Avant Garde" w:cs="Times New Roman"/>
          <w:snapToGrid w:val="0"/>
          <w:sz w:val="18"/>
          <w:szCs w:val="18"/>
          <w:lang w:eastAsia="es-ES"/>
        </w:rPr>
      </w:pPr>
      <w:r w:rsidRPr="00654D1D">
        <w:rPr>
          <w:rFonts w:ascii="ITC Avant Garde" w:eastAsia="Times New Roman" w:hAnsi="ITC Avant Garde" w:cs="Times New Roman"/>
          <w:snapToGrid w:val="0"/>
          <w:sz w:val="18"/>
          <w:szCs w:val="18"/>
          <w:lang w:eastAsia="es-ES"/>
        </w:rPr>
        <w:t xml:space="preserve">Amparo en revisión 7798/67. Comisariado Ejidal del Poblado "El Chauz", Municipio de </w:t>
      </w:r>
      <w:proofErr w:type="spellStart"/>
      <w:r w:rsidRPr="00654D1D">
        <w:rPr>
          <w:rFonts w:ascii="ITC Avant Garde" w:eastAsia="Times New Roman" w:hAnsi="ITC Avant Garde" w:cs="Times New Roman"/>
          <w:snapToGrid w:val="0"/>
          <w:sz w:val="18"/>
          <w:szCs w:val="18"/>
          <w:lang w:eastAsia="es-ES"/>
        </w:rPr>
        <w:t>Huacana</w:t>
      </w:r>
      <w:proofErr w:type="spellEnd"/>
      <w:r w:rsidRPr="00654D1D">
        <w:rPr>
          <w:rFonts w:ascii="ITC Avant Garde" w:eastAsia="Times New Roman" w:hAnsi="ITC Avant Garde" w:cs="Times New Roman"/>
          <w:snapToGrid w:val="0"/>
          <w:sz w:val="18"/>
          <w:szCs w:val="18"/>
          <w:lang w:eastAsia="es-ES"/>
        </w:rPr>
        <w:t xml:space="preserve">, Michoacán. 17 de enero de 1969. Unanimidad de 4 votos. Ponente: Pedro Guerrero Martínez. Volumen 4, pág. 141. </w:t>
      </w:r>
    </w:p>
    <w:p w14:paraId="4B60275A" w14:textId="50FC8861" w:rsidR="003E526D" w:rsidRPr="00654D1D" w:rsidRDefault="003E526D" w:rsidP="00654D1D">
      <w:pPr>
        <w:spacing w:before="240"/>
        <w:ind w:left="357" w:right="357"/>
        <w:jc w:val="both"/>
        <w:rPr>
          <w:rFonts w:ascii="ITC Avant Garde" w:eastAsia="Times New Roman" w:hAnsi="ITC Avant Garde" w:cs="Times New Roman"/>
          <w:snapToGrid w:val="0"/>
          <w:sz w:val="18"/>
          <w:szCs w:val="18"/>
          <w:lang w:eastAsia="es-ES"/>
        </w:rPr>
      </w:pPr>
      <w:r w:rsidRPr="00654D1D">
        <w:rPr>
          <w:rFonts w:ascii="ITC Avant Garde" w:eastAsia="Times New Roman" w:hAnsi="ITC Avant Garde" w:cs="Times New Roman"/>
          <w:snapToGrid w:val="0"/>
          <w:sz w:val="18"/>
          <w:szCs w:val="18"/>
          <w:lang w:eastAsia="es-ES"/>
        </w:rPr>
        <w:t xml:space="preserve">Amparo en revisión 1259/68. Raúl Chavira Flores. 14 de abril de 1969. 5 votos. Ponente: José Rivera Pérez Campos. Volumen 4, pág. 141. </w:t>
      </w:r>
    </w:p>
    <w:p w14:paraId="1DD3FDCC" w14:textId="77777777" w:rsidR="00654D1D" w:rsidRPr="00654D1D" w:rsidRDefault="003E526D" w:rsidP="00654D1D">
      <w:pPr>
        <w:spacing w:before="240"/>
        <w:ind w:left="357" w:right="357"/>
        <w:jc w:val="both"/>
        <w:rPr>
          <w:rFonts w:ascii="ITC Avant Garde" w:eastAsia="Times New Roman" w:hAnsi="ITC Avant Garde" w:cs="Times New Roman"/>
          <w:snapToGrid w:val="0"/>
          <w:sz w:val="18"/>
          <w:szCs w:val="18"/>
          <w:lang w:eastAsia="es-ES"/>
        </w:rPr>
      </w:pPr>
      <w:r w:rsidRPr="00654D1D">
        <w:rPr>
          <w:rFonts w:ascii="ITC Avant Garde" w:eastAsia="Times New Roman" w:hAnsi="ITC Avant Garde" w:cs="Times New Roman"/>
          <w:snapToGrid w:val="0"/>
          <w:sz w:val="18"/>
          <w:szCs w:val="18"/>
          <w:lang w:eastAsia="es-ES"/>
        </w:rPr>
        <w:t xml:space="preserve">Amparo en revisión 8742/67. Laureano Treviño </w:t>
      </w:r>
      <w:proofErr w:type="spellStart"/>
      <w:r w:rsidRPr="00654D1D">
        <w:rPr>
          <w:rFonts w:ascii="ITC Avant Garde" w:eastAsia="Times New Roman" w:hAnsi="ITC Avant Garde" w:cs="Times New Roman"/>
          <w:snapToGrid w:val="0"/>
          <w:sz w:val="18"/>
          <w:szCs w:val="18"/>
          <w:lang w:eastAsia="es-ES"/>
        </w:rPr>
        <w:t>Treviño</w:t>
      </w:r>
      <w:proofErr w:type="spellEnd"/>
      <w:r w:rsidRPr="00654D1D">
        <w:rPr>
          <w:rFonts w:ascii="ITC Avant Garde" w:eastAsia="Times New Roman" w:hAnsi="ITC Avant Garde" w:cs="Times New Roman"/>
          <w:snapToGrid w:val="0"/>
          <w:sz w:val="18"/>
          <w:szCs w:val="18"/>
          <w:lang w:eastAsia="es-ES"/>
        </w:rPr>
        <w:t xml:space="preserve">. 14 de abril de 1969. 5 votos. Ponente: José Rivera Pérez Campos. Volumen 6, pág. 79. Amparo en revisión 6472/68. Esther Ceballos </w:t>
      </w:r>
      <w:proofErr w:type="spellStart"/>
      <w:r w:rsidRPr="00654D1D">
        <w:rPr>
          <w:rFonts w:ascii="ITC Avant Garde" w:eastAsia="Times New Roman" w:hAnsi="ITC Avant Garde" w:cs="Times New Roman"/>
          <w:snapToGrid w:val="0"/>
          <w:sz w:val="18"/>
          <w:szCs w:val="18"/>
          <w:lang w:eastAsia="es-ES"/>
        </w:rPr>
        <w:t>vda.</w:t>
      </w:r>
      <w:proofErr w:type="spellEnd"/>
      <w:r w:rsidRPr="00654D1D">
        <w:rPr>
          <w:rFonts w:ascii="ITC Avant Garde" w:eastAsia="Times New Roman" w:hAnsi="ITC Avant Garde" w:cs="Times New Roman"/>
          <w:snapToGrid w:val="0"/>
          <w:sz w:val="18"/>
          <w:szCs w:val="18"/>
          <w:lang w:eastAsia="es-ES"/>
        </w:rPr>
        <w:t xml:space="preserve"> de Buenrostro y </w:t>
      </w:r>
      <w:proofErr w:type="spellStart"/>
      <w:r w:rsidRPr="00654D1D">
        <w:rPr>
          <w:rFonts w:ascii="ITC Avant Garde" w:eastAsia="Times New Roman" w:hAnsi="ITC Avant Garde" w:cs="Times New Roman"/>
          <w:snapToGrid w:val="0"/>
          <w:sz w:val="18"/>
          <w:szCs w:val="18"/>
          <w:lang w:eastAsia="es-ES"/>
        </w:rPr>
        <w:t>coags</w:t>
      </w:r>
      <w:proofErr w:type="spellEnd"/>
      <w:r w:rsidRPr="00654D1D">
        <w:rPr>
          <w:rFonts w:ascii="ITC Avant Garde" w:eastAsia="Times New Roman" w:hAnsi="ITC Avant Garde" w:cs="Times New Roman"/>
          <w:snapToGrid w:val="0"/>
          <w:sz w:val="18"/>
          <w:szCs w:val="18"/>
          <w:lang w:eastAsia="es-ES"/>
        </w:rPr>
        <w:t xml:space="preserve">. 26 de junio de 1969. 5 votos. Ponente: Jorge </w:t>
      </w:r>
      <w:proofErr w:type="spellStart"/>
      <w:r w:rsidRPr="00654D1D">
        <w:rPr>
          <w:rFonts w:ascii="ITC Avant Garde" w:eastAsia="Times New Roman" w:hAnsi="ITC Avant Garde" w:cs="Times New Roman"/>
          <w:snapToGrid w:val="0"/>
          <w:sz w:val="18"/>
          <w:szCs w:val="18"/>
          <w:lang w:eastAsia="es-ES"/>
        </w:rPr>
        <w:t>Iñárritu</w:t>
      </w:r>
      <w:proofErr w:type="spellEnd"/>
      <w:r w:rsidRPr="00654D1D">
        <w:rPr>
          <w:rFonts w:ascii="ITC Avant Garde" w:eastAsia="Times New Roman" w:hAnsi="ITC Avant Garde" w:cs="Times New Roman"/>
          <w:snapToGrid w:val="0"/>
          <w:sz w:val="18"/>
          <w:szCs w:val="18"/>
          <w:lang w:eastAsia="es-ES"/>
        </w:rPr>
        <w:t xml:space="preserve">. Volumen 7 pág. 56. </w:t>
      </w:r>
    </w:p>
    <w:p w14:paraId="167C125A" w14:textId="77777777" w:rsidR="00654D1D" w:rsidRPr="00654D1D" w:rsidRDefault="003E526D" w:rsidP="00654D1D">
      <w:pPr>
        <w:spacing w:before="240"/>
        <w:ind w:left="357" w:right="357"/>
        <w:jc w:val="both"/>
        <w:rPr>
          <w:rFonts w:ascii="ITC Avant Garde" w:eastAsia="Times New Roman" w:hAnsi="ITC Avant Garde" w:cs="Times New Roman"/>
          <w:snapToGrid w:val="0"/>
          <w:sz w:val="18"/>
          <w:szCs w:val="18"/>
          <w:lang w:eastAsia="es-ES"/>
        </w:rPr>
      </w:pPr>
      <w:r w:rsidRPr="00654D1D">
        <w:rPr>
          <w:rFonts w:ascii="ITC Avant Garde" w:eastAsia="Times New Roman" w:hAnsi="ITC Avant Garde" w:cs="Times New Roman"/>
          <w:snapToGrid w:val="0"/>
          <w:sz w:val="18"/>
          <w:szCs w:val="18"/>
          <w:lang w:eastAsia="es-ES"/>
        </w:rPr>
        <w:t xml:space="preserve">Amparo en revisión 7532/68. Comisariado Ejidal del Poblado de San Miguel </w:t>
      </w:r>
      <w:proofErr w:type="spellStart"/>
      <w:r w:rsidRPr="00654D1D">
        <w:rPr>
          <w:rFonts w:ascii="ITC Avant Garde" w:eastAsia="Times New Roman" w:hAnsi="ITC Avant Garde" w:cs="Times New Roman"/>
          <w:snapToGrid w:val="0"/>
          <w:sz w:val="18"/>
          <w:szCs w:val="18"/>
          <w:lang w:eastAsia="es-ES"/>
        </w:rPr>
        <w:t>Eménguaro</w:t>
      </w:r>
      <w:proofErr w:type="spellEnd"/>
      <w:r w:rsidRPr="00654D1D">
        <w:rPr>
          <w:rFonts w:ascii="ITC Avant Garde" w:eastAsia="Times New Roman" w:hAnsi="ITC Avant Garde" w:cs="Times New Roman"/>
          <w:snapToGrid w:val="0"/>
          <w:sz w:val="18"/>
          <w:szCs w:val="18"/>
          <w:lang w:eastAsia="es-ES"/>
        </w:rPr>
        <w:t xml:space="preserve">, </w:t>
      </w:r>
      <w:proofErr w:type="spellStart"/>
      <w:r w:rsidRPr="00654D1D">
        <w:rPr>
          <w:rFonts w:ascii="ITC Avant Garde" w:eastAsia="Times New Roman" w:hAnsi="ITC Avant Garde" w:cs="Times New Roman"/>
          <w:snapToGrid w:val="0"/>
          <w:sz w:val="18"/>
          <w:szCs w:val="18"/>
          <w:lang w:eastAsia="es-ES"/>
        </w:rPr>
        <w:t>Mpio</w:t>
      </w:r>
      <w:proofErr w:type="spellEnd"/>
      <w:r w:rsidRPr="00654D1D">
        <w:rPr>
          <w:rFonts w:ascii="ITC Avant Garde" w:eastAsia="Times New Roman" w:hAnsi="ITC Avant Garde" w:cs="Times New Roman"/>
          <w:snapToGrid w:val="0"/>
          <w:sz w:val="18"/>
          <w:szCs w:val="18"/>
          <w:lang w:eastAsia="es-ES"/>
        </w:rPr>
        <w:t xml:space="preserve">. </w:t>
      </w:r>
      <w:proofErr w:type="gramStart"/>
      <w:r w:rsidRPr="00654D1D">
        <w:rPr>
          <w:rFonts w:ascii="ITC Avant Garde" w:eastAsia="Times New Roman" w:hAnsi="ITC Avant Garde" w:cs="Times New Roman"/>
          <w:snapToGrid w:val="0"/>
          <w:sz w:val="18"/>
          <w:szCs w:val="18"/>
          <w:lang w:eastAsia="es-ES"/>
        </w:rPr>
        <w:t>de</w:t>
      </w:r>
      <w:proofErr w:type="gramEnd"/>
      <w:r w:rsidRPr="00654D1D">
        <w:rPr>
          <w:rFonts w:ascii="ITC Avant Garde" w:eastAsia="Times New Roman" w:hAnsi="ITC Avant Garde" w:cs="Times New Roman"/>
          <w:snapToGrid w:val="0"/>
          <w:sz w:val="18"/>
          <w:szCs w:val="18"/>
          <w:lang w:eastAsia="es-ES"/>
        </w:rPr>
        <w:t xml:space="preserve"> Salvatierra, </w:t>
      </w:r>
      <w:proofErr w:type="spellStart"/>
      <w:r w:rsidRPr="00654D1D">
        <w:rPr>
          <w:rFonts w:ascii="ITC Avant Garde" w:eastAsia="Times New Roman" w:hAnsi="ITC Avant Garde" w:cs="Times New Roman"/>
          <w:snapToGrid w:val="0"/>
          <w:sz w:val="18"/>
          <w:szCs w:val="18"/>
          <w:lang w:eastAsia="es-ES"/>
        </w:rPr>
        <w:t>Gto</w:t>
      </w:r>
      <w:proofErr w:type="spellEnd"/>
      <w:r w:rsidRPr="00654D1D">
        <w:rPr>
          <w:rFonts w:ascii="ITC Avant Garde" w:eastAsia="Times New Roman" w:hAnsi="ITC Avant Garde" w:cs="Times New Roman"/>
          <w:snapToGrid w:val="0"/>
          <w:sz w:val="18"/>
          <w:szCs w:val="18"/>
          <w:lang w:eastAsia="es-ES"/>
        </w:rPr>
        <w:t xml:space="preserve">. 31 de julio de 1969. 5 votos. Ponente: Pedro Guerrero Martínez. NOTA: Esta tesis también aparece en: Séptima </w:t>
      </w:r>
      <w:proofErr w:type="spellStart"/>
      <w:r w:rsidRPr="00654D1D">
        <w:rPr>
          <w:rFonts w:ascii="ITC Avant Garde" w:eastAsia="Times New Roman" w:hAnsi="ITC Avant Garde" w:cs="Times New Roman"/>
          <w:snapToGrid w:val="0"/>
          <w:sz w:val="18"/>
          <w:szCs w:val="18"/>
          <w:lang w:eastAsia="es-ES"/>
        </w:rPr>
        <w:t>Epoca</w:t>
      </w:r>
      <w:proofErr w:type="spellEnd"/>
      <w:r w:rsidRPr="00654D1D">
        <w:rPr>
          <w:rFonts w:ascii="ITC Avant Garde" w:eastAsia="Times New Roman" w:hAnsi="ITC Avant Garde" w:cs="Times New Roman"/>
          <w:snapToGrid w:val="0"/>
          <w:sz w:val="18"/>
          <w:szCs w:val="18"/>
          <w:lang w:eastAsia="es-ES"/>
        </w:rPr>
        <w:t xml:space="preserve">, Tercera Parte: Volumen 14, pág. 21. </w:t>
      </w:r>
    </w:p>
    <w:p w14:paraId="052BBE81" w14:textId="77777777" w:rsidR="00654D1D" w:rsidRPr="00654D1D" w:rsidRDefault="003E526D" w:rsidP="00654D1D">
      <w:pPr>
        <w:spacing w:before="240"/>
        <w:ind w:left="357" w:right="357"/>
        <w:jc w:val="both"/>
        <w:rPr>
          <w:rFonts w:ascii="ITC Avant Garde" w:eastAsia="Times New Roman" w:hAnsi="ITC Avant Garde" w:cs="Times New Roman"/>
          <w:snapToGrid w:val="0"/>
          <w:sz w:val="18"/>
          <w:szCs w:val="18"/>
          <w:lang w:eastAsia="es-ES"/>
        </w:rPr>
      </w:pPr>
      <w:r w:rsidRPr="00654D1D">
        <w:rPr>
          <w:rFonts w:ascii="ITC Avant Garde" w:eastAsia="Times New Roman" w:hAnsi="ITC Avant Garde" w:cs="Times New Roman"/>
          <w:snapToGrid w:val="0"/>
          <w:sz w:val="18"/>
          <w:szCs w:val="18"/>
          <w:lang w:eastAsia="es-ES"/>
        </w:rPr>
        <w:t xml:space="preserve">Amparo en revisión 3475/69. Isidoro López Medina y </w:t>
      </w:r>
      <w:proofErr w:type="spellStart"/>
      <w:r w:rsidRPr="00654D1D">
        <w:rPr>
          <w:rFonts w:ascii="ITC Avant Garde" w:eastAsia="Times New Roman" w:hAnsi="ITC Avant Garde" w:cs="Times New Roman"/>
          <w:snapToGrid w:val="0"/>
          <w:sz w:val="18"/>
          <w:szCs w:val="18"/>
          <w:lang w:eastAsia="es-ES"/>
        </w:rPr>
        <w:t>coags</w:t>
      </w:r>
      <w:proofErr w:type="spellEnd"/>
      <w:r w:rsidRPr="00654D1D">
        <w:rPr>
          <w:rFonts w:ascii="ITC Avant Garde" w:eastAsia="Times New Roman" w:hAnsi="ITC Avant Garde" w:cs="Times New Roman"/>
          <w:snapToGrid w:val="0"/>
          <w:sz w:val="18"/>
          <w:szCs w:val="18"/>
          <w:lang w:eastAsia="es-ES"/>
        </w:rPr>
        <w:t xml:space="preserve">. 16 de febrero de 1970. Unanimidad de 4 votos. Ponente: Carlos del Río Rodríguez. Volumen 14, pág. 21. Amparo en revisión 1111/68. Comisariado ejidal del Poblado de San Isidro, </w:t>
      </w:r>
      <w:proofErr w:type="spellStart"/>
      <w:r w:rsidRPr="00654D1D">
        <w:rPr>
          <w:rFonts w:ascii="ITC Avant Garde" w:eastAsia="Times New Roman" w:hAnsi="ITC Avant Garde" w:cs="Times New Roman"/>
          <w:snapToGrid w:val="0"/>
          <w:sz w:val="18"/>
          <w:szCs w:val="18"/>
          <w:lang w:eastAsia="es-ES"/>
        </w:rPr>
        <w:t>Coeneo</w:t>
      </w:r>
      <w:proofErr w:type="spellEnd"/>
      <w:r w:rsidRPr="00654D1D">
        <w:rPr>
          <w:rFonts w:ascii="ITC Avant Garde" w:eastAsia="Times New Roman" w:hAnsi="ITC Avant Garde" w:cs="Times New Roman"/>
          <w:snapToGrid w:val="0"/>
          <w:sz w:val="18"/>
          <w:szCs w:val="18"/>
          <w:lang w:eastAsia="es-ES"/>
        </w:rPr>
        <w:t xml:space="preserve">, Estado de Michoacán. 20 de marzo de 1970. 5 votos Volumen 14, pág. 21. Amparo en revisión 1432/67. J. Paz Alejandro Moreno y acumulados. 27 de febrero de 1970. Volumen 13, pág. 41. </w:t>
      </w:r>
    </w:p>
    <w:p w14:paraId="559059FF" w14:textId="77777777" w:rsidR="00654D1D" w:rsidRPr="00654D1D" w:rsidRDefault="003E526D" w:rsidP="00654D1D">
      <w:pPr>
        <w:spacing w:before="240"/>
        <w:ind w:left="357" w:right="357"/>
        <w:jc w:val="both"/>
        <w:rPr>
          <w:rFonts w:ascii="ITC Avant Garde" w:eastAsia="Times New Roman" w:hAnsi="ITC Avant Garde" w:cs="Times New Roman"/>
          <w:snapToGrid w:val="0"/>
          <w:sz w:val="18"/>
          <w:szCs w:val="18"/>
          <w:lang w:eastAsia="es-ES"/>
        </w:rPr>
      </w:pPr>
      <w:r w:rsidRPr="00654D1D">
        <w:rPr>
          <w:rFonts w:ascii="ITC Avant Garde" w:eastAsia="Times New Roman" w:hAnsi="ITC Avant Garde" w:cs="Times New Roman"/>
          <w:snapToGrid w:val="0"/>
          <w:sz w:val="18"/>
          <w:szCs w:val="18"/>
          <w:lang w:eastAsia="es-ES"/>
        </w:rPr>
        <w:t xml:space="preserve">Amparo en revisión 46/69. Ferretería y similares, S. A. 8 de enero de 1970. Mayoría de 4 votos. Ponente: Pedro Guerrero Martínez. Volumen 13, pág. 41. Amparo en revisión 4005/69. Martha </w:t>
      </w:r>
      <w:proofErr w:type="spellStart"/>
      <w:r w:rsidRPr="00654D1D">
        <w:rPr>
          <w:rFonts w:ascii="ITC Avant Garde" w:eastAsia="Times New Roman" w:hAnsi="ITC Avant Garde" w:cs="Times New Roman"/>
          <w:snapToGrid w:val="0"/>
          <w:sz w:val="18"/>
          <w:szCs w:val="18"/>
          <w:lang w:eastAsia="es-ES"/>
        </w:rPr>
        <w:t>Eloisa</w:t>
      </w:r>
      <w:proofErr w:type="spellEnd"/>
      <w:r w:rsidRPr="00654D1D">
        <w:rPr>
          <w:rFonts w:ascii="ITC Avant Garde" w:eastAsia="Times New Roman" w:hAnsi="ITC Avant Garde" w:cs="Times New Roman"/>
          <w:snapToGrid w:val="0"/>
          <w:sz w:val="18"/>
          <w:szCs w:val="18"/>
          <w:lang w:eastAsia="es-ES"/>
        </w:rPr>
        <w:t xml:space="preserve"> Navarro de </w:t>
      </w:r>
      <w:proofErr w:type="spellStart"/>
      <w:r w:rsidRPr="00654D1D">
        <w:rPr>
          <w:rFonts w:ascii="ITC Avant Garde" w:eastAsia="Times New Roman" w:hAnsi="ITC Avant Garde" w:cs="Times New Roman"/>
          <w:snapToGrid w:val="0"/>
          <w:sz w:val="18"/>
          <w:szCs w:val="18"/>
          <w:lang w:eastAsia="es-ES"/>
        </w:rPr>
        <w:t>Lazano</w:t>
      </w:r>
      <w:proofErr w:type="spellEnd"/>
      <w:r w:rsidRPr="00654D1D">
        <w:rPr>
          <w:rFonts w:ascii="ITC Avant Garde" w:eastAsia="Times New Roman" w:hAnsi="ITC Avant Garde" w:cs="Times New Roman"/>
          <w:snapToGrid w:val="0"/>
          <w:sz w:val="18"/>
          <w:szCs w:val="18"/>
          <w:lang w:eastAsia="es-ES"/>
        </w:rPr>
        <w:t xml:space="preserve">. 30 de enero de 1970. Unanimidad de 4 votos. Volumen 10, pág. 30. Amparo en revisión 2804/69. Poblado de "La Cañada", municipio de Villa del Carbón, Estado de México. 9 de octubre de 1969. 5 votos. Ponente: Jorge </w:t>
      </w:r>
      <w:proofErr w:type="spellStart"/>
      <w:r w:rsidRPr="00654D1D">
        <w:rPr>
          <w:rFonts w:ascii="ITC Avant Garde" w:eastAsia="Times New Roman" w:hAnsi="ITC Avant Garde" w:cs="Times New Roman"/>
          <w:snapToGrid w:val="0"/>
          <w:sz w:val="18"/>
          <w:szCs w:val="18"/>
          <w:lang w:eastAsia="es-ES"/>
        </w:rPr>
        <w:t>Iñárritu</w:t>
      </w:r>
      <w:proofErr w:type="spellEnd"/>
      <w:r w:rsidRPr="00654D1D">
        <w:rPr>
          <w:rFonts w:ascii="ITC Avant Garde" w:eastAsia="Times New Roman" w:hAnsi="ITC Avant Garde" w:cs="Times New Roman"/>
          <w:snapToGrid w:val="0"/>
          <w:sz w:val="18"/>
          <w:szCs w:val="18"/>
          <w:lang w:eastAsia="es-ES"/>
        </w:rPr>
        <w:t>. Apéndice 1917-1985, Octava Parte, Común al Pleno y las Salas, tesis 40, pág. 65.</w:t>
      </w:r>
    </w:p>
    <w:p w14:paraId="3BDC9F8A" w14:textId="77777777" w:rsidR="00654D1D" w:rsidRPr="00654D1D" w:rsidRDefault="003E526D" w:rsidP="00654D1D">
      <w:pPr>
        <w:numPr>
          <w:ilvl w:val="0"/>
          <w:numId w:val="20"/>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DÉCIMO OCTAVO,</w:t>
      </w:r>
      <w:r w:rsidRPr="00654D1D">
        <w:rPr>
          <w:rFonts w:ascii="ITC Avant Garde" w:hAnsi="ITC Avant Garde" w:cs="Arial"/>
        </w:rPr>
        <w:t xml:space="preserve"> en el que invoca que la Comisión carece de facultades para emitir determinaciones que afecten directa o indirectamente la existencia, validez, vigencia o exigibilidad de las condiciones de interconexión previamente convenidas entre la Recurrente y Cablevisión, es infundado.</w:t>
      </w:r>
    </w:p>
    <w:p w14:paraId="726ACB1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Lo argumentado por la Recurrente en el agravio en estudio es infundado, ya que constituye una reiteración de los agravios DÉCIMO y DÉCIMO SEXTO, y que han sido estudiados en la presente resolución.</w:t>
      </w:r>
    </w:p>
    <w:p w14:paraId="1F484F9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ese orden de ideas, como se desprende de la Resolución Recurrida, ésta no contraviene condiciones de interconexión que tuvieran previamente convenidas las partes, ni implica la violación de lo dispuesto por el artículo 42 de la Ley Federal de Telecomunicaciones, puesto que como se determinó en la Resolución Recurrida: </w:t>
      </w:r>
    </w:p>
    <w:p w14:paraId="4B60276A" w14:textId="05FEE949"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Como se desprende de lo anterior, las partes pactaron expresamente que el Convenio Cablevisión – Grupo Telefónica se extinguirá el 31 de diciembre de 2010 y 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el 31 de diciembre de 2005. Sin embargo, también pactaron que al actualizarse la condición prevista en los numerales 15.2 y 17.2 de las cláusulas </w:t>
      </w:r>
      <w:proofErr w:type="spellStart"/>
      <w:r w:rsidRPr="00654D1D">
        <w:rPr>
          <w:rFonts w:ascii="ITC Avant Garde" w:hAnsi="ITC Avant Garde" w:cs="Arial"/>
          <w:sz w:val="18"/>
          <w:szCs w:val="18"/>
        </w:rPr>
        <w:t>Décimoquinta</w:t>
      </w:r>
      <w:proofErr w:type="spellEnd"/>
      <w:r w:rsidRPr="00654D1D">
        <w:rPr>
          <w:rFonts w:ascii="ITC Avant Garde" w:hAnsi="ITC Avant Garde" w:cs="Arial"/>
          <w:sz w:val="18"/>
          <w:szCs w:val="18"/>
        </w:rPr>
        <w:t xml:space="preserve"> y Décimo Séptima del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y del Convenio Cablevisión – Grupo Telefónica, respectivamente, en el sentido que si al concluir el plazo inicial de aplicación de dicho instrumento si las partes continuaban siendo titulares de su red pública de telecomunicaciones concesionada por la Secretaria, las partes continuarían aplicando los términos y condiciones pactados en sus convenios.</w:t>
      </w:r>
    </w:p>
    <w:p w14:paraId="1CEF8678"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No obstante lo anterior, también se estableció claramente en 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y en el Convenio Cablevisión – Grupo Telefónica, que las partes podrían acudir ante la Comisión para resolver cualquier desacuerdo de interconexión en términos del artículo 42 de la </w:t>
      </w:r>
      <w:proofErr w:type="spellStart"/>
      <w:r w:rsidRPr="00654D1D">
        <w:rPr>
          <w:rFonts w:ascii="ITC Avant Garde" w:hAnsi="ITC Avant Garde" w:cs="Arial"/>
          <w:sz w:val="18"/>
          <w:szCs w:val="18"/>
        </w:rPr>
        <w:t>lFT</w:t>
      </w:r>
      <w:proofErr w:type="spellEnd"/>
      <w:r w:rsidRPr="00654D1D">
        <w:rPr>
          <w:rFonts w:ascii="ITC Avant Garde" w:hAnsi="ITC Avant Garde" w:cs="Arial"/>
          <w:sz w:val="18"/>
          <w:szCs w:val="18"/>
        </w:rPr>
        <w:t>, es decir, las partes expresamente dejaron a salvo su derecho de solicitar la intervención de la autoridad en caso de que no pudieran llegar a un acuerdo respecto de los términos y condiciones de la interconexión entre sus redes. Lo anterior, resulta lógico ya que asumir lo contrario sería tanto como obligar a las partes a quedar sujetas a términos y condiciones inamovibles que en un sector tan dinámico y competitivo como el de las telecomunicaciones puede resultar arcaico y anticompetitivo para el sector.</w:t>
      </w:r>
    </w:p>
    <w:p w14:paraId="0E60885B"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Tan es así, que en los numerales 15.2 y 17.2 de las cláusulas </w:t>
      </w:r>
      <w:proofErr w:type="spellStart"/>
      <w:r w:rsidRPr="00654D1D">
        <w:rPr>
          <w:rFonts w:ascii="ITC Avant Garde" w:hAnsi="ITC Avant Garde" w:cs="Arial"/>
          <w:sz w:val="18"/>
          <w:szCs w:val="18"/>
        </w:rPr>
        <w:t>Décimoquinta</w:t>
      </w:r>
      <w:proofErr w:type="spellEnd"/>
      <w:r w:rsidRPr="00654D1D">
        <w:rPr>
          <w:rFonts w:ascii="ITC Avant Garde" w:hAnsi="ITC Avant Garde" w:cs="Arial"/>
          <w:sz w:val="18"/>
          <w:szCs w:val="18"/>
        </w:rPr>
        <w:t xml:space="preserve"> y Décimo Séptima del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y del Convenio Cablevisión – Grupo Telefónica, respectivamente, se establece expresamente que para la celebración de los nuevos convenios las partes pueden utilizar el procedimiento contenido en el artículo 42 de la LFT, esto es, que de no llegar a un acuerdo en la celebración de los nuevos convenios, dentro de un plazo de 60 (sesenta) días contados a partir de que alguna de ellas lo solicite, la autoridad competente, en la especie, la Comisión, a solicitud de cualquiera de las partes resolverá sobre las condiciones que no hayan podido convenir.</w:t>
      </w:r>
    </w:p>
    <w:p w14:paraId="64CE66BD"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En este orden de ideas, no resulta fundado y en consecuencia atendible lo señalado por Grupo Telefónica respecto a que no se actualiza la hipótesis normativa contenida en el artículo 42 de la LFT, en el sentido de que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y Cablevisión tienen convenios vigentes, debido a que como ya quedó estipulado, en los numerales 15.2 y 17.2 de las cláusulas Decimoquinta y Décimo Séptima del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y del Convenio Cablevisión – Grupo Telefónica, respectivamente, se establece que al concluir el plazo inicial de dichos convenios las partes podrían celebrar nuevos convenios siguiendo el procedimiento previsto en el </w:t>
      </w:r>
      <w:proofErr w:type="spellStart"/>
      <w:r w:rsidRPr="00654D1D">
        <w:rPr>
          <w:rFonts w:ascii="ITC Avant Garde" w:hAnsi="ITC Avant Garde" w:cs="Arial"/>
          <w:sz w:val="18"/>
          <w:szCs w:val="18"/>
        </w:rPr>
        <w:t>supracitado</w:t>
      </w:r>
      <w:proofErr w:type="spellEnd"/>
      <w:r w:rsidRPr="00654D1D">
        <w:rPr>
          <w:rFonts w:ascii="ITC Avant Garde" w:hAnsi="ITC Avant Garde" w:cs="Arial"/>
          <w:sz w:val="18"/>
          <w:szCs w:val="18"/>
        </w:rPr>
        <w:t xml:space="preserve"> artículo 42.  Es decir, vencido el plazo de éste podrían las partes proponer nuevos términos y condiciones para la celebración de nuevos convenios.</w:t>
      </w:r>
    </w:p>
    <w:p w14:paraId="39ADD301"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lastRenderedPageBreak/>
        <w:t xml:space="preserve">Por tanto, si bien en su momento operé el acuerdo para la aplicación continua de los términos, condiciones y contraprestaciones de los multicitados convenios, éstos tuvieron como vigencia la condición de la celebración de nuevos convenios de interconexión conforme al procedimiento establecido en el artículo 42 de la LFT. De ahí que resulte inaplicable la cláusula 4.1.2 del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y el Convenio Cablevisión – Grupo Telefónica, toda vez que la aplicación continua de los términos y condiciones de dichos convenios, terminaría en el caso de que conforme a lo previsto por el artículo 42 de la LFT las partes celebren un nuevo convenio, para lo cual se sujetarían al procedimiento "Contenido en dicho precepto legal.</w:t>
      </w:r>
    </w:p>
    <w:p w14:paraId="68A1E0F7"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En este tenor, la solicitud formulada por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y Cablevisión a Grupo Telefónica, para acordar, entre otros temas, la tarifa de interconexión fijo-móvil, así como otras condiciones técnicas y operativas aplicables a la interconexión entre las redes públicas de telecomunicaciones, consistieron en peticiones para acordar un nuevo convenio de interconexión y una vez transcurrido el plazo de 60 (sesenta) días establecido para tal efecto en la legislación aplicable, sin que las partes llegaran a un acuerdo, es que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y Cablevisión solicitaron la intervención de esta autoridad resolver las condiciones que no acordaron para la interconexión de sus redes.</w:t>
      </w:r>
    </w:p>
    <w:p w14:paraId="2F7519F5"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Por otra parte, es importante señalar que las partes en 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y el Convenio Cablevisión – Grupo Telefónica reconocen expresamente la facultad que tiene la autoridad para resolver las condiciones de interconexión conforme a lo establecido en el artículo 42 de la LFT, al haber estipulado en los numerales 15.2. </w:t>
      </w:r>
      <w:proofErr w:type="gramStart"/>
      <w:r w:rsidRPr="00654D1D">
        <w:rPr>
          <w:rFonts w:ascii="ITC Avant Garde" w:hAnsi="ITC Avant Garde" w:cs="Arial"/>
          <w:sz w:val="18"/>
          <w:szCs w:val="18"/>
        </w:rPr>
        <w:t>y</w:t>
      </w:r>
      <w:proofErr w:type="gramEnd"/>
      <w:r w:rsidRPr="00654D1D">
        <w:rPr>
          <w:rFonts w:ascii="ITC Avant Garde" w:hAnsi="ITC Avant Garde" w:cs="Arial"/>
          <w:sz w:val="18"/>
          <w:szCs w:val="18"/>
        </w:rPr>
        <w:t xml:space="preserve"> 17.2, que la vigencia en la aplicación continua de los términos, condiciones y contraprestaciones está sujeta a la condición de la celebración de nuevos convenios conforme al procedimiento previsto en el precepto legal en cita.</w:t>
      </w:r>
    </w:p>
    <w:p w14:paraId="34AC4460"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En este sentido y dado el análisis efectuado, se desprende que los supuestos requeridos por el artículo 42 de la LFT se materializaron yes así que la Comisión tiene facultades para Intervenir y resolver las condiciones de interconexión planteadas por los Solicitantes. Lo anterior, en concordancia con lo pactado por las partes en el numeral 15.2 y 17.2 de las cláusulas </w:t>
      </w:r>
      <w:proofErr w:type="spellStart"/>
      <w:r w:rsidRPr="00654D1D">
        <w:rPr>
          <w:rFonts w:ascii="ITC Avant Garde" w:hAnsi="ITC Avant Garde" w:cs="Arial"/>
          <w:sz w:val="18"/>
          <w:szCs w:val="18"/>
        </w:rPr>
        <w:t>Décimoquinta</w:t>
      </w:r>
      <w:proofErr w:type="spellEnd"/>
      <w:r w:rsidRPr="00654D1D">
        <w:rPr>
          <w:rFonts w:ascii="ITC Avant Garde" w:hAnsi="ITC Avant Garde" w:cs="Arial"/>
          <w:sz w:val="18"/>
          <w:szCs w:val="18"/>
        </w:rPr>
        <w:t xml:space="preserve"> y Décimo Séptima del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y del Convenio Cablevisión – Grupo Telefónica en el sentido de que los referidos concesionarios continuarían aplicando los términos, condiciones y contraprestaciones hasta que conforme a lo previsto por el artículo 42 de la LFT, las partes celebren un nuevo convenio para continuar con la interconexión de sus redes.</w:t>
      </w:r>
    </w:p>
    <w:p w14:paraId="428A63C0"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Sin perjuicio de lo anterior, es importante señalar que los artículos 9-A fracción X y 42 de la LFT facultan lisa y llanamente a la autoridad para determinar las condiciones de interconexión que no hayan podido convenir dos o más concesionarios, cuando éstas no han sido pactadas expresamente en algún convenio, o se refieren como en el caso que nos ocupa a un periodo diferente al convenido.</w:t>
      </w:r>
    </w:p>
    <w:p w14:paraId="6D30954F"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Una interpretación distinta equivaldría a sostener, contrario al espíritu de la LFT, que cualquier concesionario tendría sólo una oportunidad de solicitar a otro determinado concesionario la interconexión de sus respectivas redes públicas de telecomunicaciones y en dicha oportunidad agotar cualquier esquema de interconexión o todo tipo de tráfico que desee o pueda intercambiar para proveer a sus usuarios el más amplio espectro de servicios que les </w:t>
      </w:r>
      <w:r w:rsidRPr="00654D1D">
        <w:rPr>
          <w:rFonts w:ascii="ITC Avant Garde" w:hAnsi="ITC Avant Garde" w:cs="Arial"/>
          <w:sz w:val="18"/>
          <w:szCs w:val="18"/>
        </w:rPr>
        <w:lastRenderedPageBreak/>
        <w:t>permita comunicarse con los usuarios de la otra red pública de telecomunicaciones, o bien, establecer nuevas tarifas de interconexión.</w:t>
      </w:r>
    </w:p>
    <w:p w14:paraId="4B60277E" w14:textId="522193D1"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De ahí que resulten improcedentes por infundados los argumentos de Grupo Telefónica en cuanto a que ya existen condiciones y tarifas acordadas y vigentes, por lo que al haberse solicitado a Grupo Telefónica por parte de los Solicitantes con fechas 24 y 30 de septiembre de 2010, las negociaciones de las tarifas de la interconexión entre sus redes aplicables a partir del 1º de enero de 2011, sin que a la fecha de emisión de la presente Resolución dichos concesionarios hubieren acordado las referidas tarifas, esta Comisión de conformidad con los artículos 9-A fracción X y 42 de la LFT, se aboca a resolver sobre aquellos puntos de desacuerdo sometidos a su consideración.</w:t>
      </w:r>
    </w:p>
    <w:p w14:paraId="4B60277F" w14:textId="77777777"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En efecto, de la revisión al Convenio Cablevisión- Grupo Telefónica las partes pactaron expresamente las tarifas de interconexión por servicios de terminación fija y móvil aplicables hasta el 31 de diciembre de 2010. </w:t>
      </w:r>
    </w:p>
    <w:p w14:paraId="66E88D0C"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Asimismo, en el Convenio </w:t>
      </w:r>
      <w:proofErr w:type="spellStart"/>
      <w:r w:rsidRPr="00654D1D">
        <w:rPr>
          <w:rFonts w:ascii="ITC Avant Garde" w:hAnsi="ITC Avant Garde" w:cs="Arial"/>
          <w:sz w:val="18"/>
          <w:szCs w:val="18"/>
        </w:rPr>
        <w:t>Bestphone</w:t>
      </w:r>
      <w:proofErr w:type="spellEnd"/>
      <w:r w:rsidRPr="00654D1D">
        <w:rPr>
          <w:rFonts w:ascii="ITC Avant Garde" w:hAnsi="ITC Avant Garde" w:cs="Arial"/>
          <w:sz w:val="18"/>
          <w:szCs w:val="18"/>
        </w:rPr>
        <w:t xml:space="preserve"> – Grupo Telefónica la vigencia de las tarifas de interconexión por servicios de terminación móvil fue pactada hasta el 31 de diciembre de 2005.” </w:t>
      </w:r>
    </w:p>
    <w:p w14:paraId="4BE8772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lo que se refiere al argumento de la Recurrente que aduce que se pactó que las nuevas tarifas que en su caso se establezcan, para ser aplicadas y/o pagadas entre sí, deberán contenerse en una "resolución administrativa o judicial”, y pretende negar la actualización de ese supuesto, resulta que la Resolución Recurrida si constituye una resolución administrativa, aunque la misma haya sido impugnada.</w:t>
      </w:r>
    </w:p>
    <w:p w14:paraId="18B289D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relación con el capítulo denominado AGRAVIOS RESPECTO CON EL RESOLUTIVO QUINTO DE LA RESOLUCIÓN IMPUGNADA, se entra a su estudio en los siguientes términos:</w:t>
      </w:r>
    </w:p>
    <w:p w14:paraId="1ABE3629" w14:textId="77777777" w:rsidR="00654D1D" w:rsidRPr="00654D1D" w:rsidRDefault="003E526D" w:rsidP="00654D1D">
      <w:pPr>
        <w:numPr>
          <w:ilvl w:val="0"/>
          <w:numId w:val="28"/>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DÉCIMO NOVENO</w:t>
      </w:r>
      <w:r w:rsidRPr="00654D1D">
        <w:rPr>
          <w:rFonts w:ascii="ITC Avant Garde" w:hAnsi="ITC Avant Garde" w:cs="Arial"/>
        </w:rPr>
        <w:t>, en el que invoca que no existe disposición jurídica que faculte a la Comisión para fijar la recurrente las tarifas de interconexión con base en costos.</w:t>
      </w:r>
    </w:p>
    <w:p w14:paraId="74034EA3"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Lo manifestado por la Recurrente en el agravio en estudio es infundado, si se tiene en consideración el fundamento legal que otorga facultades a la hoy extinta Comisión Federal de Telecomunicaciones, para determinar las condiciones que, en materia de interconexión, no hayan podido convenirse entre los concesionarios de redes públicas de telecomunicaciones; asimismo, el argumento hecho valer es inoperante, ya que no controvierte las consideraciones específicas de la Resolución Recurrida que se citan a continuación:</w:t>
      </w:r>
    </w:p>
    <w:p w14:paraId="3F3CCFC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Al efecto, cabe señalar que el artículo 9-A de la Ley Federal de Telecomunicaciones al efecto dispone:</w:t>
      </w:r>
    </w:p>
    <w:p w14:paraId="27AF2B84"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sz w:val="18"/>
          <w:szCs w:val="18"/>
          <w:lang w:val="es-ES_tradnl" w:eastAsia="es-MX"/>
        </w:rPr>
        <w:lastRenderedPageBreak/>
        <w:t>“Artículo 9-A.</w:t>
      </w:r>
      <w:r w:rsidRPr="00654D1D">
        <w:rPr>
          <w:rFonts w:ascii="ITC Avant Garde" w:eastAsia="Times New Roman" w:hAnsi="ITC Avant Garde" w:cs="Arial"/>
          <w:sz w:val="18"/>
          <w:szCs w:val="18"/>
          <w:lang w:val="es-ES_tradnl" w:eastAsia="es-MX"/>
        </w:rPr>
        <w:t xml:space="preserve"> La Comisión Federal de Telecomunicaciones es el órgano administrativo desconcentrado de la Secretaría, con autonomía técnica, operativa, de gasto y de gestión, encargado de regular, promover y supervisar el desarrollo eficiente y la cobertura social amplia de las telecomunicaciones y la radiodifusión en México, y tendrá autonomía plena para dictar sus resoluciones. Para el logro de estos objetivos, corresponde a la citada Comisión el ejercicio de las siguientes atribuciones:</w:t>
      </w:r>
    </w:p>
    <w:p w14:paraId="5A090D66"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I. </w:t>
      </w:r>
      <w:r w:rsidRPr="00654D1D">
        <w:rPr>
          <w:rFonts w:ascii="ITC Avant Garde" w:eastAsia="Times New Roman" w:hAnsi="ITC Avant Garde" w:cs="Arial"/>
          <w:sz w:val="18"/>
          <w:szCs w:val="18"/>
          <w:lang w:val="es-ES_tradnl" w:eastAsia="es-MX"/>
        </w:rPr>
        <w:t>Expedir disposiciones administrativas, elaborar y administrar los planes técnicos fundamentales y expedir las normas oficiales mexicanas en materia de telecomunicaciones;</w:t>
      </w:r>
    </w:p>
    <w:p w14:paraId="333EDC57"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II. </w:t>
      </w:r>
      <w:r w:rsidRPr="00654D1D">
        <w:rPr>
          <w:rFonts w:ascii="ITC Avant Garde" w:eastAsia="Times New Roman" w:hAnsi="ITC Avant Garde" w:cs="Arial"/>
          <w:sz w:val="18"/>
          <w:szCs w:val="18"/>
          <w:lang w:val="es-ES_tradnl" w:eastAsia="es-MX"/>
        </w:rPr>
        <w:t>Realizar estudios e investigaciones en materia de telecomunicaciones, así como elaborar anteproyectos de adecuación, modificación y actualización de las disposiciones legales y reglamentarias que resulten pertinentes;</w:t>
      </w:r>
    </w:p>
    <w:p w14:paraId="12350EA7"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III. </w:t>
      </w:r>
      <w:r w:rsidRPr="00654D1D">
        <w:rPr>
          <w:rFonts w:ascii="ITC Avant Garde" w:eastAsia="Times New Roman" w:hAnsi="ITC Avant Garde" w:cs="Arial"/>
          <w:sz w:val="18"/>
          <w:szCs w:val="18"/>
          <w:lang w:val="es-ES_tradnl" w:eastAsia="es-MX"/>
        </w:rPr>
        <w:t>Promover, en coordinación con las dependencias y entidades competentes, así como con las instituciones académicas y los particulares, el desarrollo de las actividades encaminadas a la formación de recursos humanos en materia de telecomunicaciones, así como el desarrollo tecnológico en el sector;</w:t>
      </w:r>
    </w:p>
    <w:p w14:paraId="7AC58895"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IV. </w:t>
      </w:r>
      <w:r w:rsidRPr="00654D1D">
        <w:rPr>
          <w:rFonts w:ascii="ITC Avant Garde" w:eastAsia="Times New Roman" w:hAnsi="ITC Avant Garde" w:cs="Arial"/>
          <w:sz w:val="18"/>
          <w:szCs w:val="18"/>
          <w:lang w:val="es-ES_tradnl" w:eastAsia="es-MX"/>
        </w:rPr>
        <w:t>Opinar respecto de las solicitudes para el otorgamiento, modificación, prórroga y cesión de concesiones y permisos en materia de telecomunicaciones, así como de su revocación;</w:t>
      </w:r>
    </w:p>
    <w:p w14:paraId="69372B6B"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V. </w:t>
      </w:r>
      <w:r w:rsidRPr="00654D1D">
        <w:rPr>
          <w:rFonts w:ascii="ITC Avant Garde" w:eastAsia="Times New Roman" w:hAnsi="ITC Avant Garde" w:cs="Arial"/>
          <w:sz w:val="18"/>
          <w:szCs w:val="18"/>
          <w:lang w:val="es-ES_tradnl" w:eastAsia="es-MX"/>
        </w:rPr>
        <w:t>Someter a la aprobación de la Secretaría, el programa sobre bandas de frecuencias del espectro radioeléctrico para usos determinados, con sus correspondientes modalidades de uso y coberturas geográficas que serán materia de licitación pública; así como coordinar los procesos de licitación correspondientes;</w:t>
      </w:r>
    </w:p>
    <w:p w14:paraId="2CABF8FC"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VI. </w:t>
      </w:r>
      <w:r w:rsidRPr="00654D1D">
        <w:rPr>
          <w:rFonts w:ascii="ITC Avant Garde" w:eastAsia="Times New Roman" w:hAnsi="ITC Avant Garde" w:cs="Arial"/>
          <w:sz w:val="18"/>
          <w:szCs w:val="18"/>
          <w:lang w:val="es-ES_tradnl" w:eastAsia="es-MX"/>
        </w:rPr>
        <w:t>Coordinar los procesos de licitación para ocupar y explotar posiciones orbítales geoestacionarias y órbitas satelitales asignadas al país, con sus respectivas bandas de frecuencias y derechos de emisión y recepción de señales;</w:t>
      </w:r>
    </w:p>
    <w:p w14:paraId="104C4FC1"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VII. </w:t>
      </w:r>
      <w:r w:rsidRPr="00654D1D">
        <w:rPr>
          <w:rFonts w:ascii="ITC Avant Garde" w:eastAsia="Times New Roman" w:hAnsi="ITC Avant Garde" w:cs="Arial"/>
          <w:sz w:val="18"/>
          <w:szCs w:val="18"/>
          <w:lang w:val="es-ES_tradnl" w:eastAsia="es-MX"/>
        </w:rPr>
        <w:t>Establecer los procedimientos para la adecuada homologación de equipos, así como otorgar la certificación correspondiente o autorizar a terceros para que emitan dicha certificación, y acreditar peritos y unidades de verificación en materia de telecomunicaciones;</w:t>
      </w:r>
    </w:p>
    <w:p w14:paraId="3980E362"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VIII. </w:t>
      </w:r>
      <w:r w:rsidRPr="00654D1D">
        <w:rPr>
          <w:rFonts w:ascii="ITC Avant Garde" w:eastAsia="Times New Roman" w:hAnsi="ITC Avant Garde" w:cs="Arial"/>
          <w:sz w:val="18"/>
          <w:szCs w:val="18"/>
          <w:lang w:val="es-ES_tradnl" w:eastAsia="es-MX"/>
        </w:rPr>
        <w:t>Administrar el espectro radioeléctrico y promover su uso eficiente, y elaborar y mantener actualizado el Cuadro Nacional de Atribución de Frecuencias;</w:t>
      </w:r>
    </w:p>
    <w:p w14:paraId="336935CE"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IX. </w:t>
      </w:r>
      <w:r w:rsidRPr="00654D1D">
        <w:rPr>
          <w:rFonts w:ascii="ITC Avant Garde" w:eastAsia="Times New Roman" w:hAnsi="ITC Avant Garde" w:cs="Arial"/>
          <w:sz w:val="18"/>
          <w:szCs w:val="18"/>
          <w:lang w:val="es-ES_tradnl" w:eastAsia="es-MX"/>
        </w:rPr>
        <w:t>Llevar el registro de telecomunicaciones previsto en el Capítulo VI de la Ley Federal de Telecomunicaciones;</w:t>
      </w:r>
    </w:p>
    <w:p w14:paraId="093174C3"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X. </w:t>
      </w:r>
      <w:r w:rsidRPr="00654D1D">
        <w:rPr>
          <w:rFonts w:ascii="ITC Avant Garde" w:eastAsia="Times New Roman" w:hAnsi="ITC Avant Garde" w:cs="Arial"/>
          <w:sz w:val="18"/>
          <w:szCs w:val="18"/>
          <w:lang w:val="es-ES_tradnl" w:eastAsia="es-MX"/>
        </w:rPr>
        <w:t xml:space="preserve">Promover y vigilar la eficiente interconexión de los equipos y redes públicas de telecomunicaciones, incluyendo la que se realice con redes extranjeras, y </w:t>
      </w:r>
      <w:r w:rsidRPr="00654D1D">
        <w:rPr>
          <w:rFonts w:ascii="ITC Avant Garde" w:eastAsia="Times New Roman" w:hAnsi="ITC Avant Garde" w:cs="Arial"/>
          <w:b/>
          <w:sz w:val="18"/>
          <w:szCs w:val="18"/>
          <w:u w:val="single"/>
          <w:lang w:val="es-ES_tradnl" w:eastAsia="es-MX"/>
        </w:rPr>
        <w:t>determinar las condiciones que, en materia de interconexión, no hayan podido convenirse entre los concesionarios de redes públicas de telecomunicaciones</w:t>
      </w:r>
      <w:r w:rsidRPr="00654D1D">
        <w:rPr>
          <w:rFonts w:ascii="ITC Avant Garde" w:eastAsia="Times New Roman" w:hAnsi="ITC Avant Garde" w:cs="Arial"/>
          <w:sz w:val="18"/>
          <w:szCs w:val="18"/>
          <w:lang w:val="es-ES_tradnl" w:eastAsia="es-MX"/>
        </w:rPr>
        <w:t>;</w:t>
      </w:r>
    </w:p>
    <w:p w14:paraId="7680BFDD"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XI. </w:t>
      </w:r>
      <w:r w:rsidRPr="00654D1D">
        <w:rPr>
          <w:rFonts w:ascii="ITC Avant Garde" w:eastAsia="Times New Roman" w:hAnsi="ITC Avant Garde" w:cs="Arial"/>
          <w:sz w:val="18"/>
          <w:szCs w:val="18"/>
          <w:lang w:val="es-ES_tradnl" w:eastAsia="es-MX"/>
        </w:rPr>
        <w:t xml:space="preserve">Registrar las tarifas de los servicios de telecomunicaciones, y establecer obligaciones específicas, relacionadas con tarifas, calidad de servicio e información incorporando criterios sociales y estándares internacionales, a los concesionarios de redes públicas de </w:t>
      </w:r>
      <w:r w:rsidRPr="00654D1D">
        <w:rPr>
          <w:rFonts w:ascii="ITC Avant Garde" w:eastAsia="Times New Roman" w:hAnsi="ITC Avant Garde" w:cs="Arial"/>
          <w:sz w:val="18"/>
          <w:szCs w:val="18"/>
          <w:lang w:val="es-ES_tradnl" w:eastAsia="es-MX"/>
        </w:rPr>
        <w:lastRenderedPageBreak/>
        <w:t>telecomunicaciones que tengan poder sustancial en el mercado relevante, de conformidad con la Ley Federal de Competencia Económica;</w:t>
      </w:r>
    </w:p>
    <w:p w14:paraId="6DB7FB5B"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XII. </w:t>
      </w:r>
      <w:r w:rsidRPr="00654D1D">
        <w:rPr>
          <w:rFonts w:ascii="ITC Avant Garde" w:eastAsia="Times New Roman" w:hAnsi="ITC Avant Garde" w:cs="Arial"/>
          <w:sz w:val="18"/>
          <w:szCs w:val="18"/>
          <w:lang w:val="es-ES_tradnl" w:eastAsia="es-MX"/>
        </w:rPr>
        <w:t>Recibir el pago por concepto de derechos, productos o aprovechamientos, que procedan en materia de telecomunicaciones, conforme a las disposiciones legales aplicables;</w:t>
      </w:r>
    </w:p>
    <w:p w14:paraId="26B6464B"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XIII. </w:t>
      </w:r>
      <w:r w:rsidRPr="00654D1D">
        <w:rPr>
          <w:rFonts w:ascii="ITC Avant Garde" w:eastAsia="Times New Roman" w:hAnsi="ITC Avant Garde" w:cs="Arial"/>
          <w:sz w:val="18"/>
          <w:szCs w:val="18"/>
          <w:lang w:val="es-ES_tradnl" w:eastAsia="es-MX"/>
        </w:rPr>
        <w:t>Vigilar la debida observancia a lo dispuesto en los títulos de concesión y permisos otorgados en la materia, y ejercer las facultades de supervisión y verificación, a fin de asegurar que la prestación de los servicios de telecomunicaciones se realice con apego a las disposiciones legales, reglamentarias y administrativas aplicables;</w:t>
      </w:r>
    </w:p>
    <w:p w14:paraId="33E9327D"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XIV. </w:t>
      </w:r>
      <w:r w:rsidRPr="00654D1D">
        <w:rPr>
          <w:rFonts w:ascii="ITC Avant Garde" w:eastAsia="Times New Roman" w:hAnsi="ITC Avant Garde" w:cs="Arial"/>
          <w:sz w:val="18"/>
          <w:szCs w:val="18"/>
          <w:lang w:val="es-ES_tradnl" w:eastAsia="es-MX"/>
        </w:rPr>
        <w:t>Intervenir en asuntos internacionales en el ámbito de su competencia;</w:t>
      </w:r>
    </w:p>
    <w:p w14:paraId="5E373CDD"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XV. </w:t>
      </w:r>
      <w:r w:rsidRPr="00654D1D">
        <w:rPr>
          <w:rFonts w:ascii="ITC Avant Garde" w:eastAsia="Times New Roman" w:hAnsi="ITC Avant Garde" w:cs="Arial"/>
          <w:sz w:val="18"/>
          <w:szCs w:val="18"/>
          <w:lang w:val="es-ES_tradnl" w:eastAsia="es-MX"/>
        </w:rPr>
        <w:t>Proponer al titular de la Secretaría de Comunicaciones y Transportes la imposición de sanciones por infracciones a las disposiciones legales, reglamentarias y administrativas aplicables;</w:t>
      </w:r>
    </w:p>
    <w:p w14:paraId="5297ED49"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XVI. </w:t>
      </w:r>
      <w:r w:rsidRPr="00654D1D">
        <w:rPr>
          <w:rFonts w:ascii="ITC Avant Garde" w:eastAsia="Times New Roman" w:hAnsi="ITC Avant Garde" w:cs="Arial"/>
          <w:sz w:val="18"/>
          <w:szCs w:val="18"/>
          <w:u w:val="single"/>
          <w:lang w:val="es-ES_tradnl" w:eastAsia="es-MX"/>
        </w:rPr>
        <w:t>De manera exclusiva</w:t>
      </w:r>
      <w:r w:rsidRPr="00654D1D">
        <w:rPr>
          <w:rFonts w:ascii="ITC Avant Garde" w:eastAsia="Times New Roman" w:hAnsi="ITC Avant Garde" w:cs="Arial"/>
          <w:sz w:val="18"/>
          <w:szCs w:val="18"/>
          <w:lang w:val="es-ES_tradnl" w:eastAsia="es-MX"/>
        </w:rPr>
        <w:t>, las facultades que en materia de radio y televisión le confieren a la Secretaría de Comunicaciones y Transportes la Ley Federal de Radio y Televisión, los tratados y acuerdos internacionales, las demás leyes, reglamentos y cualesquiera otras disposiciones administrativas aplicables, y</w:t>
      </w:r>
    </w:p>
    <w:p w14:paraId="54C5C683"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b/>
          <w:bCs/>
          <w:sz w:val="18"/>
          <w:szCs w:val="18"/>
          <w:lang w:val="es-ES_tradnl" w:eastAsia="es-MX"/>
        </w:rPr>
        <w:t xml:space="preserve">XVII. </w:t>
      </w:r>
      <w:r w:rsidRPr="00654D1D">
        <w:rPr>
          <w:rFonts w:ascii="ITC Avant Garde" w:eastAsia="Times New Roman" w:hAnsi="ITC Avant Garde" w:cs="Arial"/>
          <w:sz w:val="18"/>
          <w:szCs w:val="18"/>
          <w:lang w:val="es-ES_tradnl" w:eastAsia="es-MX"/>
        </w:rPr>
        <w:t>Las demás que le confieran otras leyes, reglamentos y demás disposiciones aplicables.</w:t>
      </w:r>
    </w:p>
    <w:p w14:paraId="136920BB" w14:textId="77777777" w:rsidR="00654D1D" w:rsidRPr="00654D1D" w:rsidRDefault="003E526D" w:rsidP="00654D1D">
      <w:pPr>
        <w:spacing w:before="240"/>
        <w:ind w:left="567" w:right="616"/>
        <w:jc w:val="both"/>
        <w:rPr>
          <w:rFonts w:ascii="ITC Avant Garde" w:eastAsia="Times New Roman" w:hAnsi="ITC Avant Garde" w:cs="Arial"/>
          <w:sz w:val="18"/>
          <w:szCs w:val="18"/>
          <w:lang w:val="es-ES_tradnl" w:eastAsia="es-MX"/>
        </w:rPr>
      </w:pPr>
      <w:r w:rsidRPr="00654D1D">
        <w:rPr>
          <w:rFonts w:ascii="ITC Avant Garde" w:eastAsia="Times New Roman" w:hAnsi="ITC Avant Garde" w:cs="Arial"/>
          <w:sz w:val="18"/>
          <w:szCs w:val="18"/>
          <w:lang w:val="es-ES_tradnl" w:eastAsia="es-MX"/>
        </w:rPr>
        <w:t>Para los fines de la presente Ley, al órgano desconcentrado a que se refiere este artículo se le podrá denominar también como la Comisión.”</w:t>
      </w:r>
    </w:p>
    <w:p w14:paraId="428A14A6"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Del precepto citado se desprende claramente la facultad de la Comisión para determinar condiciones de interconexión que no hayan podido convenirse entre concesionarios de redes públicas de telecomunicaciones, ello sin que sea necesario que se establezcan en la ley, los métodos o aspectos técnicos, de cómo es que se van a determinar dichas condiciones por parte de la Comisión en caso de desacuerdo entre los concesionarios, toda vez que, la Comisión en el carácter que le revestía de Órgano administrativo desconcentrado especializado en Telecomunicaciones, contaba con elementos por medio de los cuales determinar las condiciones de interconexión no convenidas.</w:t>
      </w:r>
    </w:p>
    <w:p w14:paraId="2A7CDB0A" w14:textId="77777777" w:rsidR="00654D1D" w:rsidRPr="00654D1D" w:rsidRDefault="003E526D" w:rsidP="00654D1D">
      <w:pPr>
        <w:autoSpaceDE w:val="0"/>
        <w:autoSpaceDN w:val="0"/>
        <w:adjustRightInd w:val="0"/>
        <w:spacing w:before="240"/>
        <w:jc w:val="both"/>
        <w:rPr>
          <w:rFonts w:ascii="ITC Avant Garde" w:hAnsi="ITC Avant Garde" w:cs="Arial"/>
        </w:rPr>
      </w:pPr>
      <w:r w:rsidRPr="00654D1D">
        <w:rPr>
          <w:rFonts w:ascii="ITC Avant Garde" w:hAnsi="ITC Avant Garde" w:cs="Arial"/>
        </w:rPr>
        <w:t xml:space="preserve">En ese sentido, resulta pertinente señalar que de conformidad con lo dispuesto por el artículo 9-A fracción I, de la Ley Federal de Telecomunicaciones, la Comisión tenía facultad para emitir disposiciones administrativas a fin de regular las telecomunicaciones, por lo que resulta inoperante lo señalado por la parte Recurrente en el sentido de que forzosamente en la ley debía señalarse que las tarifas de interconexión que determinara la Comisión debían basarse en costos, pues ello no es la finalidad de un ordenamiento legal, ya que en el caso concreto las disposiciones administrativas de carácter técnico son las que prevén en su caso la determinación de </w:t>
      </w:r>
      <w:r w:rsidRPr="00654D1D">
        <w:rPr>
          <w:rFonts w:ascii="ITC Avant Garde" w:hAnsi="ITC Avant Garde" w:cs="Arial"/>
        </w:rPr>
        <w:lastRenderedPageBreak/>
        <w:t>tarifas con base a costos, como lo establecen la Regla 53 de las Reglas del Servicio de Larga Distancia y la Regla Novena Transitoria de las Reglas del Servicio Local, que establecen que la Comisión resolverá las tarifas relacionadas a la función de terminación de tráfico público conmutado en las redes autorizadas para prestar el servicio local, analizando las posiciones y elementos aportados por las partes, sobre el establecimiento de tarifas que permitan recuperar el costo incremental promedio de largo plazo y los costos comunes atribuibles a dicha función que se determinan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7E7624CF" w14:textId="77777777" w:rsidR="00654D1D" w:rsidRPr="00654D1D" w:rsidRDefault="003E526D" w:rsidP="00654D1D">
      <w:pPr>
        <w:spacing w:before="240"/>
        <w:ind w:right="40"/>
        <w:jc w:val="both"/>
        <w:rPr>
          <w:rFonts w:ascii="ITC Avant Garde" w:hAnsi="ITC Avant Garde" w:cs="Arial"/>
        </w:rPr>
      </w:pPr>
      <w:r w:rsidRPr="00654D1D">
        <w:rPr>
          <w:rFonts w:ascii="ITC Avant Garde" w:hAnsi="ITC Avant Garde" w:cs="Arial"/>
        </w:rPr>
        <w:t>Lo anterior se corrobora, con lo señalado en el Considerando Primero de la Resolución reclamada, que al efecto establece lo siguiente:</w:t>
      </w:r>
    </w:p>
    <w:p w14:paraId="5FF80FB7" w14:textId="77777777" w:rsidR="00654D1D" w:rsidRPr="00654D1D" w:rsidRDefault="003E526D" w:rsidP="00654D1D">
      <w:pPr>
        <w:autoSpaceDE w:val="0"/>
        <w:autoSpaceDN w:val="0"/>
        <w:adjustRightInd w:val="0"/>
        <w:spacing w:before="240"/>
        <w:ind w:left="567" w:right="616"/>
        <w:jc w:val="both"/>
        <w:rPr>
          <w:rFonts w:ascii="ITC Avant Garde" w:hAnsi="ITC Avant Garde" w:cs="Arial"/>
          <w:sz w:val="18"/>
          <w:szCs w:val="18"/>
        </w:rPr>
      </w:pPr>
      <w:r w:rsidRPr="00654D1D">
        <w:rPr>
          <w:rFonts w:ascii="ITC Avant Garde" w:hAnsi="ITC Avant Garde" w:cs="Arial"/>
          <w:sz w:val="18"/>
          <w:szCs w:val="18"/>
        </w:rPr>
        <w:t>“PRIMERO.- Competencia. Que de conformidad con los artículos 17 y 36 de la Ley Orgánica de la Administración Pública Federal y 9-A de la Ley Federal de Telecomunicaciones (en lo sucesivo, la "LFT"), en relación con los artículos 2 fracción XXX y 40 del Reglamento Interior de la Secretaría de Comunicaciones y Transportes, la Comisión es un órgano administrativo desconcentrado de la Secretaría con autonomía técnica, operativa, de gasto y de gestión, encargado de regular, promover y supervisar el desarrollo eficiente y la cobertura social amplia de las telecomunicaciones y la radiodifusión en México, con autonomía Plena para el dictado de sus resoluciones.</w:t>
      </w:r>
    </w:p>
    <w:p w14:paraId="23E94E73" w14:textId="77777777" w:rsidR="00654D1D" w:rsidRPr="00654D1D" w:rsidRDefault="003E526D" w:rsidP="00654D1D">
      <w:pPr>
        <w:autoSpaceDE w:val="0"/>
        <w:autoSpaceDN w:val="0"/>
        <w:adjustRightInd w:val="0"/>
        <w:spacing w:before="240"/>
        <w:ind w:left="567" w:right="616"/>
        <w:jc w:val="both"/>
        <w:rPr>
          <w:rFonts w:ascii="ITC Avant Garde" w:hAnsi="ITC Avant Garde" w:cs="Arial"/>
          <w:sz w:val="18"/>
          <w:szCs w:val="18"/>
        </w:rPr>
      </w:pPr>
      <w:r w:rsidRPr="00654D1D">
        <w:rPr>
          <w:rFonts w:ascii="ITC Avant Garde" w:hAnsi="ITC Avant Garde" w:cs="Arial"/>
          <w:sz w:val="18"/>
          <w:szCs w:val="18"/>
        </w:rPr>
        <w:t>Que de conformidad con los artículos 7 fracción 11, 9-A fracciones 1 y X y 9-B de la LFT, 9 fracción VIII del Reglamento Interno de la Comisión Federal de Telecomunicaciones, el Pleno de la Comisión como órgano de gobierno de la misma, está facultado para expedir disposiciones administrativas, para promover y vigilar la eficiente interconexión de los equipos y redes públicas de telecomunicaciones, así como determinar las condiciones que en materia de interconexión no hayan podido convenirse entre los concesionarios de redes públicas de telecomunicaciones, por lo tanto, cuenta con facultades suficientes para emitir la presente Resolución.”</w:t>
      </w:r>
    </w:p>
    <w:p w14:paraId="0D704F8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Contrario a lo que la Recurrente aduce, en la Resolución Recurrida se fundamentó debidamente que la Comisión podía fijar tarifas de interconexión con base en costos, en los siguientes términos:</w:t>
      </w:r>
    </w:p>
    <w:p w14:paraId="4A7D7A50"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“Por su parte, la Regla 53 de las Reglas del Servicio de Larga Distancia (en lo sucesivo, las “RSLD”) y la Reglas Novena Transitoria de las Reglas del Servicio Local (en lo sucesivo, las “</w:t>
      </w:r>
      <w:proofErr w:type="spellStart"/>
      <w:r w:rsidRPr="00654D1D">
        <w:rPr>
          <w:rFonts w:ascii="ITC Avant Garde" w:hAnsi="ITC Avant Garde" w:cs="Arial"/>
          <w:sz w:val="18"/>
          <w:szCs w:val="18"/>
        </w:rPr>
        <w:t>RdSL</w:t>
      </w:r>
      <w:proofErr w:type="spellEnd"/>
      <w:r w:rsidRPr="00654D1D">
        <w:rPr>
          <w:rFonts w:ascii="ITC Avant Garde" w:hAnsi="ITC Avant Garde" w:cs="Arial"/>
          <w:sz w:val="18"/>
          <w:szCs w:val="18"/>
        </w:rPr>
        <w:t xml:space="preserve">”), establecen que la Comisión resolverá las tarifas relacionadas a la función de terminación de tráfico público conmutado en las redes autorizadas para prestar el servicio local, analizando las posiciones y elementos aportados por las partes, sobre el establecimiento de tarifas que permitan recuperar el costo incremental promedio de largo plazo (en lo sucesivo, el “CIPLPS“) y los costos comunes atribuibles a dicha función que se determinan </w:t>
      </w:r>
      <w:r w:rsidRPr="00654D1D">
        <w:rPr>
          <w:rFonts w:ascii="ITC Avant Garde" w:hAnsi="ITC Avant Garde" w:cs="Arial"/>
          <w:sz w:val="18"/>
          <w:szCs w:val="18"/>
        </w:rPr>
        <w:lastRenderedPageBreak/>
        <w:t>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4B6027C0" w14:textId="28A7DAB1"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Por otra parte, la Condición 2.1 de las Concesiones Celulares de Grupo Telefónica señala la obligación de prestar los servicios comprendidos en dichas concesiones en forma continua y eficiente, cumpliendo con los estándares de calidad y garantizando en todo momento la interoperabilidad e interconexión con otras redes públicas de telecomunicaciones, de conformidad con las disposiciones legales, reglamentarias y administrativas aplicables.</w:t>
      </w:r>
    </w:p>
    <w:p w14:paraId="48B555E9"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Asimismo, la condición 2.2. de la Concesión de Pegaso establece que: (i) de conformidad con los artículos 41, 42 y 43 de la LFT, dicho concesionario deberá celebrar los convenios de interconexión con cualquier otro concesionario de red pública de telecomunicaciones que se lo solicite y (ii) de conformidad con las leyes, reglamentos, reglas, planes fundamentales y demás disposiciones administrativas de carácter general aplicables, deberá interconectar su red con otras redes autorizadas por la Secretaría que así lo soliciten, de manera no discriminatoria.</w:t>
      </w:r>
    </w:p>
    <w:p w14:paraId="715992BF"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En virtud de lo anterior, se concluye que: (i) la interconexión es el mecanismo que materializa la interoperabilidad de las redes y de los servicios, esto es, que los usuarios de una de las redes públicas de telecomunicaciones puedan conectarse e intercambiar tráfico con los usuarios de la otra red pública de telecomunicaciones y viceversa; (ii) los concesionarios están obligados a interconectar sus redes y, a tal efecto, suscribir un convenio en un plazo no mayor de sesenta (60) días naturales contados a partir de que alguno de ellos lo solicite; (iii) en caso de desacuerdo entre las partes, la Comisión, a solicitud de éstas resolverá los términos, condiciones y tarifas de interconexión no convenidos, (iv) la obligatoriedad de la interconexión incluye el ofrecer de manera no discriminatoria aquellas funciones necesarias para llevar a cabo la interconexión, en las mismas condiciones y con cuando menos la misma calidad de servicio con que se presten a la propia operación, a las filiales y subsidiarias, y (v) los elementos que en términos de las RSLD y </w:t>
      </w:r>
      <w:proofErr w:type="spellStart"/>
      <w:r w:rsidRPr="00654D1D">
        <w:rPr>
          <w:rFonts w:ascii="ITC Avant Garde" w:hAnsi="ITC Avant Garde" w:cs="Arial"/>
          <w:sz w:val="18"/>
          <w:szCs w:val="18"/>
        </w:rPr>
        <w:t>RdSL</w:t>
      </w:r>
      <w:proofErr w:type="spellEnd"/>
      <w:r w:rsidRPr="00654D1D">
        <w:rPr>
          <w:rFonts w:ascii="ITC Avant Garde" w:hAnsi="ITC Avant Garde" w:cs="Arial"/>
          <w:sz w:val="18"/>
          <w:szCs w:val="18"/>
        </w:rPr>
        <w:t>, la Comisión debe considerar para determinar las tarifas de interconexión.”</w:t>
      </w:r>
    </w:p>
    <w:p w14:paraId="31C3BC9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De la cita realizada de la Resolución Recurrida, se advierte que conforme a las Reglas del Servicio de Larga Distancia y a las Reglas del Servicio Local, la Comisión estaba obligada a fijar tarifas de interconexión “… que permitan recuperar el costo incremental promedio de largo plazo (en lo sucesivo, el “CIPLPS“) y los costos comunes atribuibles a dicha función que se determinan utilizando una metodología de costeo de acuerdo a bases internacionalmente reconocidas, la evolución de las referencias internacionales y el crecimiento y desarrollo de los mercados de telecomunicaciones en el país…”, por lo que en la Resolución Recurrida se invocaron los fundamentos que justificaron la actuación de la Comisión.</w:t>
      </w:r>
    </w:p>
    <w:p w14:paraId="1303537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este sentido, si bien en la Ley Federal de Telecomunicaciones no se prevé la determinación de tarifas de interconexión con base en costos, es en disposiciones </w:t>
      </w:r>
      <w:r w:rsidRPr="00654D1D">
        <w:rPr>
          <w:rFonts w:ascii="ITC Avant Garde" w:hAnsi="ITC Avant Garde" w:cs="Arial"/>
        </w:rPr>
        <w:lastRenderedPageBreak/>
        <w:t>administradas emanadas de ella que se previó la definición de esas tarifas con base en costos.</w:t>
      </w:r>
    </w:p>
    <w:p w14:paraId="3A7AF1E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Considerando lo anterior, resulta infundado que se haya pretendido asumir que la Recurrente perpetra prácticas monopólicas sean relativas o absolutas, ni que tenga poder sustancial en el mercado relevante, puesto que la actuación de la autoridad no se fundamentó en el artículo 63 de la Ley Federal de Telecomunicaciones, sino en las normas antes citadas, que se señaló en la Resolución Recurrida contienen “…los elementos que en términos de las RSLD y </w:t>
      </w:r>
      <w:proofErr w:type="spellStart"/>
      <w:r w:rsidRPr="00654D1D">
        <w:rPr>
          <w:rFonts w:ascii="ITC Avant Garde" w:hAnsi="ITC Avant Garde" w:cs="Arial"/>
        </w:rPr>
        <w:t>RdSL</w:t>
      </w:r>
      <w:proofErr w:type="spellEnd"/>
      <w:r w:rsidRPr="00654D1D">
        <w:rPr>
          <w:rFonts w:ascii="ITC Avant Garde" w:hAnsi="ITC Avant Garde" w:cs="Arial"/>
        </w:rPr>
        <w:t>, la Comisión debe considerar para determinar las tarifas de interconexión.”</w:t>
      </w:r>
    </w:p>
    <w:p w14:paraId="25304B6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En el mismo orden de ideas, de las referidas Reglas del Servicio de Larga Distancia y de las Reglas del Servicio Local, se advierte que la Comisión determinará las tarifas de interconexión “… utilizando una metodología de costeo de acuerdo a bases internacionalmente reconocidas…”, por lo que las referencias realizadas en la Resolución Recurrida en relación con el reconocimiento y uso internacional tanto por organismos internacionales, como por órganos reguladores de otros países, al Modelo de Costos Incrementales Totales de Largo Plazo, que fue el empleado por la Comisión, son suficientes para colmar la exigencia de las Reglas con base en las cuales se utilizó dicho modelo de costos para definir las tarifas de interconexión en cuestión.</w:t>
      </w:r>
    </w:p>
    <w:p w14:paraId="78268A8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Cabe reiterar, que contrario a lo que aduce la Recurrente, en el marco jurídico mexicano, específicamente en la Regla 53 de las Reglas del Servicio de Larga Distancia se establece la utilización del modelo de costos para fijar las tarifas de interconexión de un operador, tenga o no poder sustancial en el mercado relevante. </w:t>
      </w:r>
    </w:p>
    <w:p w14:paraId="0314D2F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De lo anterior, resultan inoperantes los argumentos que la Recurrente desarrolla en torno al artículo 63 de la Ley Federal de Telecomunicaciones, pues dicho precepto no fue el fundamento para que la Comisión fijara las tarifas de interconexión previstas en la Resolución Recurrida con base en costos, mediante el empleo del Modelo de Costos Incrementales Totales de Largo Plazo, el cual como se ha reiterado en esta resolución, era el reconocido internacionalmente como el idóneo para definir tarifas de interconexión aplicables en el año 2011, sino que se utilizó dicho modelo de costos atendiendo a lo previsto en las Reglas del Servicio Local y la Reglas del Servicio de Larga Distancia invocadas en la Resolución Recurrida, y citadas con anterioridad en esta resolución.  </w:t>
      </w:r>
    </w:p>
    <w:p w14:paraId="68438A0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Sin perjuicio de lo anterior, también resulta infundado lo manifestado por la Recurrente en relación con el artículo 63 de la Ley Federal de Telecomunicaciones, ya que dicho precepto si establece una obligación tanto para el agente económico dominante, como para la autoridad, de que las tarifas por servicios sean fijadas considerando por lo </w:t>
      </w:r>
      <w:r w:rsidRPr="00654D1D">
        <w:rPr>
          <w:rFonts w:ascii="ITC Avant Garde" w:hAnsi="ITC Avant Garde" w:cs="Arial"/>
        </w:rPr>
        <w:lastRenderedPageBreak/>
        <w:t>menos la recuperación del costo incremental promedio de largo plazo, de forma que el dominante no fije tarifas por debajo de costos, afectando la sana competencia, pues al ser el dominante no habrá competidor que pueda ofrecer tarifas más bajas y continuar operando en el largo plazo, atendiendo al concepto mismo del “costo incremental promedio de largo plazo”.</w:t>
      </w:r>
    </w:p>
    <w:p w14:paraId="28F4514F"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Así, esa disposición legal no prevé un derecho para el agente dominante, sino una obligación de no ofrecer tarifas por debajo del costo incremental promedio de largo plazo, por lo que los argumentos de la Recurrente al partir de una interpretación indebida del artículo 63 de la Ley invocada, el que además no fue aplicado en la Resolución Recurrida, son infundados e inoperantes.</w:t>
      </w:r>
    </w:p>
    <w:p w14:paraId="12D48B94"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Asimismo, resulta infundado e inoperante el argumento de la Recurrente en que sostiene que la fijación de tarifas de interconexión con base en costos no tiene fundamento en diversas normas invocadas en la Resolución Recurrida.</w:t>
      </w:r>
    </w:p>
    <w:p w14:paraId="0FB01948"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efecto, de la revisión de la Resolución Recurrida se advierte que los artículos 7, 41 y 42 de la Ley Federal de Telecomunicaciones fueron invocados en tanto que el primero de ellos establece los objetivos de la misma Ley, y los últimos regulan fundamentalmente la interconexión. </w:t>
      </w:r>
    </w:p>
    <w:p w14:paraId="69DD238E"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Por su parte, si bien es cierto que la Regla Novena Transitoria de las Reglas del Servicio Local se refiere a “tarifas por llevar a cabo la función de terminación conmutada entre redes autorizadas para prestar el servicio local fijo”, esto es, alude a la clase de servicios autorizados en las concesiones, resultando que los títulos de concesión de la Recurrente y de una de las tercero perjudicadas son títulos de concesión para instalar, operar y explotar una red pública de telecomunicaciones para prestar el servicio de acceso inalámbrico fijo o móvil, por lo que resulta aplicable la regla invocada, contrario a lo que invoca la Recurrente.</w:t>
      </w:r>
    </w:p>
    <w:p w14:paraId="28D3BB7C"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cuanto a lo manifestado respecto de la Regla 53 de las Reglas de Larga Distancia, de la lectura de la misma y de la revisión integral de las Reglas de Larga Distancia, </w:t>
      </w:r>
      <w:r w:rsidRPr="00654D1D">
        <w:rPr>
          <w:rFonts w:ascii="ITC Avant Garde" w:hAnsi="ITC Avant Garde" w:cs="Arial"/>
          <w:b/>
        </w:rPr>
        <w:t>no se advierte que sea aplicable exclusivamente</w:t>
      </w:r>
      <w:r w:rsidRPr="00654D1D">
        <w:rPr>
          <w:rFonts w:ascii="ITC Avant Garde" w:hAnsi="ITC Avant Garde" w:cs="Arial"/>
        </w:rPr>
        <w:t xml:space="preserve"> en tratándose de operadores con poder sustancial en el mercado relevante, contrario a lo que aduce la Recurrente.</w:t>
      </w:r>
    </w:p>
    <w:p w14:paraId="03E742E4" w14:textId="77777777" w:rsidR="00654D1D" w:rsidRPr="00654D1D" w:rsidRDefault="003E526D" w:rsidP="00654D1D">
      <w:pPr>
        <w:spacing w:before="240"/>
        <w:ind w:right="40"/>
        <w:rPr>
          <w:rFonts w:ascii="ITC Avant Garde" w:hAnsi="ITC Avant Garde" w:cs="Arial"/>
        </w:rPr>
      </w:pPr>
      <w:r w:rsidRPr="00654D1D">
        <w:rPr>
          <w:rFonts w:ascii="ITC Avant Garde" w:hAnsi="ITC Avant Garde" w:cs="Arial"/>
        </w:rPr>
        <w:t>Por lo anterior, resultan infundados e inoperantes los argumentos hechos valer por la parte Recurrente en el agravio que se analiza.</w:t>
      </w:r>
    </w:p>
    <w:p w14:paraId="4B6027DF" w14:textId="5DCC5BB6" w:rsidR="003E526D" w:rsidRPr="00654D1D" w:rsidRDefault="003E526D" w:rsidP="00654D1D">
      <w:pPr>
        <w:numPr>
          <w:ilvl w:val="0"/>
          <w:numId w:val="28"/>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VIGÉSIMO</w:t>
      </w:r>
      <w:r w:rsidRPr="00654D1D">
        <w:rPr>
          <w:rFonts w:ascii="ITC Avant Garde" w:hAnsi="ITC Avant Garde" w:cs="Arial"/>
        </w:rPr>
        <w:t xml:space="preserve">, en el que invoca que La utilización del “operador eficiente” en el Modelo de Costos implica una indebida fundamentación y motivación de la Resolución, </w:t>
      </w:r>
      <w:r w:rsidRPr="00654D1D">
        <w:rPr>
          <w:rFonts w:ascii="ITC Avant Garde" w:hAnsi="ITC Avant Garde" w:cs="Arial"/>
        </w:rPr>
        <w:lastRenderedPageBreak/>
        <w:t>contraviniendo lo dispuesto en el artículo 3, fracción V, de la Ley Federal de Procedimiento Administrativo.</w:t>
      </w:r>
    </w:p>
    <w:p w14:paraId="7AF85326"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La determinación e implementación del modelo de costos empleado por esa autoridad con base en un supuesto “operador eficiente” que no existe en la realidad, implica la violación del artículo 3, fracción V, de la Ley Federal de Procedimiento Administrativo.</w:t>
      </w:r>
    </w:p>
    <w:p w14:paraId="72DB13E4" w14:textId="59FDDC46"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Todo el Modelo de Costos se encuentra sustentado en la existencia de una empresa que no existe en realidad. Siendo que lo que tenía que hacer esa autoridad era calcular la tarifa de interconexión entre las hoy Tercero Perjudicadas y mis Representadas, carece de toda lógica al emplear los supuestos costos en los que incurre dicho operador inexistente para fijar esta tarifa.  Esa Comisión proporciona dos definiciones distintas de lo que es un operador “eficiente” o un operador “representativo”, lo cual vuelve a toda la Resolución Impugnada incongruente desde el punto de vista interno y, por lo tanto la vicia de indebida fundamentación y motivación.</w:t>
      </w:r>
    </w:p>
    <w:p w14:paraId="149B6312"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Lo manifestado por la Recurrente resulta inoperante, puesto que la utilización del “operador eficiente” constituye un parámetro técnico utilizado por el órgano regulador para la determinación de condiciones de interconexión, y como tal al ser un parámetro de naturaleza meramente técnica no puede calificarse a su existencia o inexistencia real como un elemento que permita determinar que la Resolución Recurrida se encuentra indebidamente fundada y motivada, puesto que ni la Constitución ni la Ley de la materia fijas dichos parámetros técnicos, por lo que la consideración de los mimos así como su elección en la determinación de condiciones de interconexión no convenidas entre concesionarios, queda a la discrecionalidad del órgano regulador. </w:t>
      </w:r>
    </w:p>
    <w:p w14:paraId="7E56B7CD"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Al efecto, resulta aplicable la siguiente tesis que al efecto establece:</w:t>
      </w:r>
    </w:p>
    <w:p w14:paraId="4B6027E9" w14:textId="28346D6D"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Época: Décima Época </w:t>
      </w:r>
    </w:p>
    <w:p w14:paraId="4B6027EA" w14:textId="77777777"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Registro: 2011689 </w:t>
      </w:r>
    </w:p>
    <w:p w14:paraId="4B6027EB" w14:textId="77777777"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Instancia: Tribunales Colegiados de Circuito </w:t>
      </w:r>
    </w:p>
    <w:p w14:paraId="4B6027EC" w14:textId="77777777"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Tipo de Tesis: Aislada </w:t>
      </w:r>
    </w:p>
    <w:p w14:paraId="4B6027ED" w14:textId="77777777"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Fuente: Semanario Judicial de la Federación </w:t>
      </w:r>
    </w:p>
    <w:p w14:paraId="4B6027EE" w14:textId="77777777"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Publicación: viernes 20 de mayo de 2016 10:20 h </w:t>
      </w:r>
    </w:p>
    <w:p w14:paraId="4B6027EF" w14:textId="77777777"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Materia(s): (Administrativa) </w:t>
      </w:r>
    </w:p>
    <w:p w14:paraId="3472C916"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Tesis: I.2o.A.E.33 A (10a.) </w:t>
      </w:r>
    </w:p>
    <w:p w14:paraId="36583E38"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b/>
          <w:sz w:val="18"/>
          <w:szCs w:val="18"/>
        </w:rPr>
        <w:lastRenderedPageBreak/>
        <w:t>TARIFAS DE INTERCONEXIÓN. SU DETERMINACIÓN QUEDA A LA DISCRECIONALIDAD DEL ÓRGANO REGULADOR</w:t>
      </w:r>
      <w:r w:rsidRPr="00654D1D">
        <w:rPr>
          <w:rFonts w:ascii="ITC Avant Garde" w:hAnsi="ITC Avant Garde" w:cs="Arial"/>
          <w:sz w:val="18"/>
          <w:szCs w:val="18"/>
        </w:rPr>
        <w:t>.</w:t>
      </w:r>
    </w:p>
    <w:p w14:paraId="2B58F8E5"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En materia de interconexión, los artículos 25 y 28 de la Constitución Política de los Estados Unidos Mexicanos reconocen la rectoría del Estado y su potestad regulatoria, pero no establecen un diseño regulatorio particular, ni imponen lineamientos o límites específicos en materia de interconexión o tarifaria a la política regulatoria del Instituto Federal de Telecomunicaciones. Por su parte, los artículos 1, 2, 4, 7, 9-A, fracción X, 41, 44, 60 y 63 de la Ley Federal de Telecomunicaciones abrogada, no establecían reglas específicas para determinar la política tarifaria o en materia de interconexión, pues sólo preveían la facultad de la autoridad en telecomunicaciones, para establecer obligaciones específicas relacionadas con tarifas al concesionario que tuviera poder sustancial en cuanto al mercado, según la declaratoria que se emitiera por la autoridad competente. En este sentido, si ni la Constitución ni la ley indicada fijan los parámetros técnicos conforme a los cuales el órgano regulador debe fijar las tarifas de interconexión, debe entenderse que su elección queda a su discrecionalidad; de ahí que no pueda calificarse de inconstitucional o ilegal la decisión del regulador de adoptar la figura de un operador hipotético existente y de emplear modelos de costos para fijar dichas tarifas, pues esta decisión cae en el campo de su discrecionalidad y, en ese sentido, está sometida al escrutinio, aplicable a esta última, considerando, entre otros aspectos, la eficacia de los derechos fundamentales, la prohibición de arbitrariedad, la fundamentación y motivación, el principio de igualdad, la proporcionalidad y la razonabilidad.</w:t>
      </w:r>
    </w:p>
    <w:p w14:paraId="3A20EB9D"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SEGUNDO TRIBUNAL COLEGIADO EN MATERIA ADMINISTRATIVA ESPECIALIZADO EN COMPETENCIA ECONÓMICA, RADIODIFUSIÓN Y TELECOMUNICACIONES, CON RESIDENCIA EN EL DISTRITO FEDERAL Y JURISDICCIÓN EN TODA LA REPÚBLICA.</w:t>
      </w:r>
    </w:p>
    <w:p w14:paraId="25C2F19E"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Amparo en revisión 145/2015. 4 de febrero de 2016. Mayoría de votos. Disidente: Arturo </w:t>
      </w:r>
      <w:proofErr w:type="spellStart"/>
      <w:r w:rsidRPr="00654D1D">
        <w:rPr>
          <w:rFonts w:ascii="ITC Avant Garde" w:hAnsi="ITC Avant Garde" w:cs="Arial"/>
          <w:sz w:val="18"/>
          <w:szCs w:val="18"/>
        </w:rPr>
        <w:t>lturbe</w:t>
      </w:r>
      <w:proofErr w:type="spellEnd"/>
      <w:r w:rsidRPr="00654D1D">
        <w:rPr>
          <w:rFonts w:ascii="ITC Avant Garde" w:hAnsi="ITC Avant Garde" w:cs="Arial"/>
          <w:sz w:val="18"/>
          <w:szCs w:val="18"/>
        </w:rPr>
        <w:t xml:space="preserve"> Rivas. Ponente: Adriana Leticia Campuzano Gallegos. Secretario: Jorge Alberto Ramírez Hernández.</w:t>
      </w:r>
    </w:p>
    <w:p w14:paraId="3EB87B03" w14:textId="77777777" w:rsidR="00654D1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Nota: Con motivo de la entrada en vigor del Acuerdo General del Pleno del Consejo de la Judicatura Federal por el que se cambia la denominación de Distrito Federal por Ciudad de México en todo su cuerpo normativo, la denominación actual del órgano emisor es la de Segundo Tribunal Colegiado de Circuito en Materia Administrativa Especializado en Competencia Económica, Radiodifusión y Telecomunicaciones, con residencia en la Ciudad de México y jurisdicción en toda la República.</w:t>
      </w:r>
    </w:p>
    <w:p w14:paraId="4B6027FC" w14:textId="42BBEE79" w:rsidR="003E526D" w:rsidRPr="00654D1D" w:rsidRDefault="003E526D" w:rsidP="00654D1D">
      <w:pPr>
        <w:spacing w:before="240"/>
        <w:ind w:left="567" w:right="616"/>
        <w:jc w:val="both"/>
        <w:rPr>
          <w:rFonts w:ascii="ITC Avant Garde" w:hAnsi="ITC Avant Garde" w:cs="Arial"/>
          <w:sz w:val="18"/>
          <w:szCs w:val="18"/>
        </w:rPr>
      </w:pPr>
      <w:r w:rsidRPr="00654D1D">
        <w:rPr>
          <w:rFonts w:ascii="ITC Avant Garde" w:hAnsi="ITC Avant Garde" w:cs="Arial"/>
          <w:sz w:val="18"/>
          <w:szCs w:val="18"/>
        </w:rPr>
        <w:t>Esta tesis se publicó el viernes 20 de mayo de 2016 a las 10:20 horas en el Semanario Judicial de la Federación.</w:t>
      </w:r>
    </w:p>
    <w:p w14:paraId="1FB26299"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 </w:t>
      </w:r>
    </w:p>
    <w:p w14:paraId="7979C4A1"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En este contexto la Resolución Recurrida en su página 32, señala la conveniencia de la figura del operador eficiente, señalando los elementos que considera para su consideración con lo cual se cubre el requisito de escrutinio de prohibición de arbitrariedad, fundamentación y motivación, principio de igualdad, proporcionalidad y </w:t>
      </w:r>
      <w:r w:rsidRPr="00654D1D">
        <w:rPr>
          <w:rFonts w:ascii="ITC Avant Garde" w:hAnsi="ITC Avant Garde" w:cs="Arial"/>
        </w:rPr>
        <w:lastRenderedPageBreak/>
        <w:t>razonabilidad de la Resolución Recurrida, al efecto en la página 32 se señala en su parte conducente lo siguiente:</w:t>
      </w:r>
    </w:p>
    <w:p w14:paraId="7A40383D" w14:textId="77777777" w:rsidR="00654D1D" w:rsidRPr="00654D1D" w:rsidRDefault="003E526D" w:rsidP="00654D1D">
      <w:pPr>
        <w:autoSpaceDE w:val="0"/>
        <w:autoSpaceDN w:val="0"/>
        <w:adjustRightInd w:val="0"/>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“Es preciso señalar que es conveniente que la tarifa de interconexión cubra los costos en que incurre un operador eficiente por terminar las llamadas, </w:t>
      </w:r>
      <w:r w:rsidRPr="00654D1D">
        <w:rPr>
          <w:rFonts w:ascii="ITC Avant Garde" w:hAnsi="ITC Avant Garde" w:cs="Arial"/>
          <w:iCs/>
          <w:sz w:val="18"/>
          <w:szCs w:val="18"/>
        </w:rPr>
        <w:t xml:space="preserve">y </w:t>
      </w:r>
      <w:r w:rsidRPr="00654D1D">
        <w:rPr>
          <w:rFonts w:ascii="ITC Avant Garde" w:hAnsi="ITC Avant Garde" w:cs="Arial"/>
          <w:sz w:val="18"/>
          <w:szCs w:val="18"/>
        </w:rPr>
        <w:t xml:space="preserve">a la vez incluya un retorno al capital razonable por prestar este servicio. De lo contrario se podría desincentivar la provisión de los servicios de interconexión. Es importante que los costos recuperados sean los de un operador eficiente, pues en caso contrario, se permitirla que la ineficiencia del operador se traslade a otros operadores </w:t>
      </w:r>
      <w:r w:rsidRPr="00654D1D">
        <w:rPr>
          <w:rFonts w:ascii="ITC Avant Garde" w:hAnsi="ITC Avant Garde" w:cs="Arial"/>
          <w:iCs/>
          <w:sz w:val="18"/>
          <w:szCs w:val="18"/>
        </w:rPr>
        <w:t xml:space="preserve">y </w:t>
      </w:r>
      <w:r w:rsidRPr="00654D1D">
        <w:rPr>
          <w:rFonts w:ascii="ITC Avant Garde" w:hAnsi="ITC Avant Garde" w:cs="Arial"/>
          <w:sz w:val="18"/>
          <w:szCs w:val="18"/>
        </w:rPr>
        <w:t>en última Instancia, a los usuarios.</w:t>
      </w:r>
    </w:p>
    <w:p w14:paraId="66E348BE" w14:textId="77777777" w:rsidR="00654D1D" w:rsidRPr="00654D1D" w:rsidRDefault="003E526D" w:rsidP="00654D1D">
      <w:pPr>
        <w:autoSpaceDE w:val="0"/>
        <w:autoSpaceDN w:val="0"/>
        <w:adjustRightInd w:val="0"/>
        <w:spacing w:before="240"/>
        <w:ind w:left="567" w:right="616"/>
        <w:jc w:val="both"/>
        <w:rPr>
          <w:rFonts w:ascii="ITC Avant Garde" w:hAnsi="ITC Avant Garde" w:cs="Arial"/>
          <w:sz w:val="18"/>
          <w:szCs w:val="18"/>
        </w:rPr>
      </w:pPr>
      <w:r w:rsidRPr="00654D1D">
        <w:rPr>
          <w:rFonts w:ascii="ITC Avant Garde" w:hAnsi="ITC Avant Garde" w:cs="Arial"/>
          <w:sz w:val="18"/>
          <w:szCs w:val="18"/>
        </w:rPr>
        <w:t>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w:t>
      </w:r>
    </w:p>
    <w:p w14:paraId="6BBB36A1" w14:textId="77777777" w:rsidR="00654D1D" w:rsidRPr="00654D1D" w:rsidRDefault="003E526D" w:rsidP="00654D1D">
      <w:pPr>
        <w:autoSpaceDE w:val="0"/>
        <w:autoSpaceDN w:val="0"/>
        <w:adjustRightInd w:val="0"/>
        <w:spacing w:before="240"/>
        <w:ind w:left="567" w:right="616"/>
        <w:jc w:val="both"/>
        <w:rPr>
          <w:rFonts w:ascii="ITC Avant Garde" w:hAnsi="ITC Avant Garde" w:cs="Arial"/>
          <w:sz w:val="18"/>
          <w:szCs w:val="18"/>
        </w:rPr>
      </w:pPr>
      <w:r w:rsidRPr="00654D1D">
        <w:rPr>
          <w:rFonts w:ascii="ITC Avant Garde" w:hAnsi="ITC Avant Garde" w:cs="Arial"/>
          <w:sz w:val="18"/>
          <w:szCs w:val="18"/>
        </w:rPr>
        <w:t>Para el diseño de la red del operador eficiente, el modelo de costos utiliza un modelo ascendente (</w:t>
      </w:r>
      <w:proofErr w:type="spellStart"/>
      <w:r w:rsidRPr="00654D1D">
        <w:rPr>
          <w:rFonts w:ascii="ITC Avant Garde" w:hAnsi="ITC Avant Garde" w:cs="Arial"/>
          <w:sz w:val="18"/>
          <w:szCs w:val="18"/>
        </w:rPr>
        <w:t>Bottom</w:t>
      </w:r>
      <w:proofErr w:type="spellEnd"/>
      <w:r w:rsidRPr="00654D1D">
        <w:rPr>
          <w:rFonts w:ascii="ITC Avant Garde" w:hAnsi="ITC Avant Garde" w:cs="Arial"/>
          <w:sz w:val="18"/>
          <w:szCs w:val="18"/>
        </w:rPr>
        <w:t xml:space="preserve">-Up) o de tipo ingenieril que se construye a partir de información de demanda esperada en términos de usuarios </w:t>
      </w:r>
      <w:r w:rsidRPr="00654D1D">
        <w:rPr>
          <w:rFonts w:ascii="ITC Avant Garde" w:hAnsi="ITC Avant Garde" w:cs="Arial"/>
          <w:iCs/>
          <w:sz w:val="18"/>
          <w:szCs w:val="18"/>
        </w:rPr>
        <w:t xml:space="preserve">y </w:t>
      </w:r>
      <w:r w:rsidRPr="00654D1D">
        <w:rPr>
          <w:rFonts w:ascii="ITC Avant Garde" w:hAnsi="ITC Avant Garde" w:cs="Arial"/>
          <w:sz w:val="18"/>
          <w:szCs w:val="18"/>
        </w:rPr>
        <w:t xml:space="preserve">tráfico, a partir de los cuales se realiza el diseño de la red que presta diversos servicios de telecomunicaciones, incluyendo los de interconexión. Los costos de esta red, los cuales son valorados a precios de mercado o costos corrientes, incluyen los costos de capital (inversiones) </w:t>
      </w:r>
      <w:r w:rsidRPr="00654D1D">
        <w:rPr>
          <w:rFonts w:ascii="ITC Avant Garde" w:hAnsi="ITC Avant Garde" w:cs="Arial"/>
          <w:iCs/>
          <w:sz w:val="18"/>
          <w:szCs w:val="18"/>
        </w:rPr>
        <w:t xml:space="preserve">y </w:t>
      </w:r>
      <w:r w:rsidRPr="00654D1D">
        <w:rPr>
          <w:rFonts w:ascii="ITC Avant Garde" w:hAnsi="ITC Avant Garde" w:cs="Arial"/>
          <w:sz w:val="18"/>
          <w:szCs w:val="18"/>
        </w:rPr>
        <w:t xml:space="preserve">los gastos de operación </w:t>
      </w:r>
      <w:r w:rsidRPr="00654D1D">
        <w:rPr>
          <w:rFonts w:ascii="ITC Avant Garde" w:hAnsi="ITC Avant Garde" w:cs="Arial"/>
          <w:iCs/>
          <w:sz w:val="18"/>
          <w:szCs w:val="18"/>
        </w:rPr>
        <w:t xml:space="preserve">y </w:t>
      </w:r>
      <w:r w:rsidRPr="00654D1D">
        <w:rPr>
          <w:rFonts w:ascii="ITC Avant Garde" w:hAnsi="ITC Avant Garde" w:cs="Arial"/>
          <w:sz w:val="18"/>
          <w:szCs w:val="18"/>
        </w:rPr>
        <w:t>mantenimiento que son asignados a cada uno de los servicios que se considera que provee la red.</w:t>
      </w:r>
    </w:p>
    <w:p w14:paraId="08360006" w14:textId="77777777" w:rsidR="00654D1D" w:rsidRPr="00654D1D" w:rsidRDefault="003E526D" w:rsidP="00654D1D">
      <w:pPr>
        <w:autoSpaceDE w:val="0"/>
        <w:autoSpaceDN w:val="0"/>
        <w:adjustRightInd w:val="0"/>
        <w:spacing w:before="240"/>
        <w:ind w:left="567" w:right="616"/>
        <w:jc w:val="both"/>
        <w:rPr>
          <w:rFonts w:ascii="ITC Avant Garde" w:hAnsi="ITC Avant Garde" w:cs="Arial"/>
          <w:sz w:val="18"/>
          <w:szCs w:val="18"/>
        </w:rPr>
      </w:pPr>
      <w:r w:rsidRPr="00654D1D">
        <w:rPr>
          <w:rFonts w:ascii="ITC Avant Garde" w:hAnsi="ITC Avant Garde" w:cs="Arial"/>
          <w:sz w:val="18"/>
          <w:szCs w:val="18"/>
        </w:rPr>
        <w:t xml:space="preserve">La razón por la que los costos de la red son valorados a costos corrientes es porque en un mercado competitivo, las empresas son compensadas exclusivamente por estos costos, </w:t>
      </w:r>
      <w:r w:rsidRPr="00654D1D">
        <w:rPr>
          <w:rFonts w:ascii="ITC Avant Garde" w:hAnsi="ITC Avant Garde" w:cs="Arial"/>
          <w:iCs/>
          <w:sz w:val="18"/>
          <w:szCs w:val="18"/>
        </w:rPr>
        <w:t xml:space="preserve">y </w:t>
      </w:r>
      <w:r w:rsidRPr="00654D1D">
        <w:rPr>
          <w:rFonts w:ascii="ITC Avant Garde" w:hAnsi="ITC Avant Garde" w:cs="Arial"/>
          <w:sz w:val="18"/>
          <w:szCs w:val="18"/>
        </w:rPr>
        <w:t xml:space="preserve">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al perder clientes. Es decir, el mercado actuaría como mecanismo para alinear el precio de los servicios a sus costos corrientes. Es así que para impulsar el desarrollo del sector el regulador debe propiciar la eficiencia </w:t>
      </w:r>
      <w:proofErr w:type="spellStart"/>
      <w:r w:rsidRPr="00654D1D">
        <w:rPr>
          <w:rFonts w:ascii="ITC Avant Garde" w:hAnsi="ITC Avant Garde" w:cs="Arial"/>
          <w:sz w:val="18"/>
          <w:szCs w:val="18"/>
        </w:rPr>
        <w:t>asignativa</w:t>
      </w:r>
      <w:proofErr w:type="spellEnd"/>
      <w:r w:rsidRPr="00654D1D">
        <w:rPr>
          <w:rFonts w:ascii="ITC Avant Garde" w:hAnsi="ITC Avant Garde" w:cs="Arial"/>
          <w:sz w:val="18"/>
          <w:szCs w:val="18"/>
        </w:rPr>
        <w:t xml:space="preserve">, en el sentido de que se establezcan los precios lo más cercanamente posible a los observados en un mercado competitivo, </w:t>
      </w:r>
      <w:r w:rsidRPr="00654D1D">
        <w:rPr>
          <w:rFonts w:ascii="ITC Avant Garde" w:hAnsi="ITC Avant Garde" w:cs="Arial"/>
          <w:iCs/>
          <w:sz w:val="18"/>
          <w:szCs w:val="18"/>
        </w:rPr>
        <w:t xml:space="preserve">ya </w:t>
      </w:r>
      <w:r w:rsidRPr="00654D1D">
        <w:rPr>
          <w:rFonts w:ascii="ITC Avant Garde" w:hAnsi="ITC Avant Garde" w:cs="Arial"/>
          <w:sz w:val="18"/>
          <w:szCs w:val="18"/>
        </w:rPr>
        <w:t>que es generalmente aceptado que estos precios son los que maximizan el bienestar social.1”</w:t>
      </w:r>
    </w:p>
    <w:p w14:paraId="4B602808" w14:textId="239AE453" w:rsidR="003E526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En este sentido, de considerar el argumento de la Recurrente en cuanto a considerar sus propios costos, daría lugar a prácticas que reducirían la transparencia en lo que respecta a los costos y precios de cada uno de los operadores que se encuentran en el mercado, se incrementa el riesgo y la complejidad en asegurar que se apliquen principios idénticos y consistentes en el caso de que la metodología se aplicara a modelos individuales para cada operador móvil, se incrementa y dificulta cumplir con el principio de eficiencia, razón por la cual considerando las mejores prácticas internacionales, se modela un operador representativo, donde las referencias internacionales muestran que para determinar el valor de las tarifas de interconexión se </w:t>
      </w:r>
      <w:r w:rsidRPr="00654D1D">
        <w:rPr>
          <w:rFonts w:ascii="ITC Avant Garde" w:eastAsia="Times New Roman" w:hAnsi="ITC Avant Garde" w:cs="Arial"/>
          <w:lang w:val="es-ES" w:eastAsia="es-MX"/>
        </w:rPr>
        <w:lastRenderedPageBreak/>
        <w:t>hace con base en un operador representativo y no con base en costear la red de cada uno de los operadores que participan en el mercado.</w:t>
      </w:r>
    </w:p>
    <w:p w14:paraId="4B602809" w14:textId="77777777" w:rsidR="003E526D" w:rsidRPr="00654D1D" w:rsidRDefault="003E526D" w:rsidP="00654D1D">
      <w:pPr>
        <w:tabs>
          <w:tab w:val="left" w:pos="2568"/>
        </w:tabs>
        <w:spacing w:before="240"/>
        <w:jc w:val="both"/>
        <w:rPr>
          <w:rFonts w:ascii="ITC Avant Garde" w:hAnsi="ITC Avant Garde" w:cs="Arial"/>
        </w:rPr>
      </w:pPr>
      <w:r w:rsidRPr="00654D1D">
        <w:rPr>
          <w:rFonts w:ascii="ITC Avant Garde" w:hAnsi="ITC Avant Garde" w:cs="Arial"/>
        </w:rPr>
        <w:tab/>
      </w:r>
    </w:p>
    <w:p w14:paraId="44F32B0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Cabe señalar que un creciente número de países están adoptando modelos de costos tipo </w:t>
      </w:r>
      <w:proofErr w:type="spellStart"/>
      <w:r w:rsidRPr="00654D1D">
        <w:rPr>
          <w:rFonts w:ascii="ITC Avant Garde" w:hAnsi="ITC Avant Garde" w:cs="Arial"/>
        </w:rPr>
        <w:t>Bottom</w:t>
      </w:r>
      <w:proofErr w:type="spellEnd"/>
      <w:r w:rsidRPr="00654D1D">
        <w:rPr>
          <w:rFonts w:ascii="ITC Avant Garde" w:hAnsi="ITC Avant Garde" w:cs="Arial"/>
        </w:rPr>
        <w:t>-Up.</w:t>
      </w:r>
      <w:r w:rsidRPr="00654D1D">
        <w:rPr>
          <w:rFonts w:ascii="ITC Avant Garde" w:hAnsi="ITC Avant Garde" w:cs="Arial"/>
          <w:vertAlign w:val="superscript"/>
        </w:rPr>
        <w:footnoteReference w:id="29"/>
      </w:r>
      <w:r w:rsidRPr="00654D1D">
        <w:rPr>
          <w:rFonts w:ascii="ITC Avant Garde" w:hAnsi="ITC Avant Garde" w:cs="Arial"/>
        </w:rPr>
        <w:t xml:space="preserve"> Entre los países que ya utilizan este tipo de modelos se encuentran Corea, Israel, Australia, Nueva Zelanda, EE.UU., Colombia, Perú, Ecuador, Chile, Francia, Holanda, Hungría, Rumania, Eslovenia y Grecia. En tanto que los países que ya decidieron moverse de modelos híbridos a modelos </w:t>
      </w:r>
      <w:proofErr w:type="spellStart"/>
      <w:r w:rsidRPr="00654D1D">
        <w:rPr>
          <w:rFonts w:ascii="ITC Avant Garde" w:hAnsi="ITC Avant Garde" w:cs="Arial"/>
        </w:rPr>
        <w:t>Bottom</w:t>
      </w:r>
      <w:proofErr w:type="spellEnd"/>
      <w:r w:rsidRPr="00654D1D">
        <w:rPr>
          <w:rFonts w:ascii="ITC Avant Garde" w:hAnsi="ITC Avant Garde" w:cs="Arial"/>
        </w:rPr>
        <w:t>-Up son Bélgica, Dinamarca, Noruega, Suecia, Reino Unido, Bulgaria y República Checa.</w:t>
      </w:r>
    </w:p>
    <w:p w14:paraId="6399BDC6" w14:textId="1AAB9EAE" w:rsidR="00654D1D" w:rsidRPr="00654D1D" w:rsidRDefault="003E526D" w:rsidP="00654D1D">
      <w:pPr>
        <w:spacing w:before="240"/>
        <w:jc w:val="both"/>
        <w:rPr>
          <w:rFonts w:ascii="ITC Avant Garde" w:hAnsi="ITC Avant Garde" w:cs="Arial"/>
        </w:rPr>
      </w:pPr>
      <w:r w:rsidRPr="00654D1D">
        <w:rPr>
          <w:rFonts w:ascii="ITC Avant Garde" w:hAnsi="ITC Avant Garde" w:cs="Arial"/>
        </w:rPr>
        <w:t>Asimismo, la Unión Internacional de Telecomunicaciones</w:t>
      </w:r>
      <w:r w:rsidRPr="00654D1D">
        <w:rPr>
          <w:rFonts w:ascii="ITC Avant Garde" w:hAnsi="ITC Avant Garde" w:cs="Arial"/>
          <w:vertAlign w:val="superscript"/>
        </w:rPr>
        <w:footnoteReference w:id="30"/>
      </w:r>
      <w:r w:rsidRPr="00654D1D">
        <w:rPr>
          <w:rFonts w:ascii="ITC Avant Garde" w:hAnsi="ITC Avant Garde" w:cs="Arial"/>
        </w:rPr>
        <w:t xml:space="preserve"> realiza una encuesta entre los reguladores a nivel internacional que permite recabar información acerca de la regulación que se ha establecido para los servicios mayoristas y minoristas, de dicho estudio se puede observar que en 2009 el 56.1 por ciento de los países que respondieron las encuestas han adoptado los modelos </w:t>
      </w:r>
      <w:proofErr w:type="spellStart"/>
      <w:r w:rsidRPr="00654D1D">
        <w:rPr>
          <w:rFonts w:ascii="ITC Avant Garde" w:hAnsi="ITC Avant Garde" w:cs="Arial"/>
        </w:rPr>
        <w:t>Bottom</w:t>
      </w:r>
      <w:proofErr w:type="spellEnd"/>
      <w:r w:rsidRPr="00654D1D">
        <w:rPr>
          <w:rFonts w:ascii="ITC Avant Garde" w:hAnsi="ITC Avant Garde" w:cs="Arial"/>
        </w:rPr>
        <w:t>-Up como la metodología de estimación de costos de los servicios que se prestan entre concesionarios, sobre otras metodologías, incluyendo los modelos híbridos.</w:t>
      </w:r>
    </w:p>
    <w:p w14:paraId="01EF1DDA"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La Comisión Europea recomendó, en mayo de 2009,</w:t>
      </w:r>
      <w:r w:rsidRPr="00654D1D">
        <w:rPr>
          <w:rFonts w:ascii="ITC Avant Garde" w:hAnsi="ITC Avant Garde" w:cs="Arial"/>
          <w:vertAlign w:val="superscript"/>
        </w:rPr>
        <w:footnoteReference w:id="31"/>
      </w:r>
      <w:r w:rsidRPr="00654D1D">
        <w:rPr>
          <w:rFonts w:ascii="ITC Avant Garde" w:hAnsi="ITC Avant Garde" w:cs="Arial"/>
        </w:rPr>
        <w:t xml:space="preserve"> la implementación de modelos ascendentes (</w:t>
      </w:r>
      <w:proofErr w:type="spellStart"/>
      <w:r w:rsidRPr="00654D1D">
        <w:rPr>
          <w:rFonts w:ascii="ITC Avant Garde" w:hAnsi="ITC Avant Garde" w:cs="Arial"/>
        </w:rPr>
        <w:t>Bottom</w:t>
      </w:r>
      <w:proofErr w:type="spellEnd"/>
      <w:r w:rsidRPr="00654D1D">
        <w:rPr>
          <w:rFonts w:ascii="ITC Avant Garde" w:hAnsi="ITC Avant Garde" w:cs="Arial"/>
        </w:rPr>
        <w:t>-Up) para la determinación de tarifas de interconexión por parte de las autoridades nacionales antes de diciembre de 2012, argumentando que:</w:t>
      </w:r>
    </w:p>
    <w:p w14:paraId="67EA5594" w14:textId="77777777" w:rsidR="00654D1D" w:rsidRPr="00654D1D" w:rsidRDefault="003E526D" w:rsidP="00654D1D">
      <w:pPr>
        <w:spacing w:before="240"/>
        <w:ind w:left="567" w:right="531"/>
        <w:jc w:val="both"/>
        <w:rPr>
          <w:rFonts w:ascii="ITC Avant Garde" w:hAnsi="ITC Avant Garde" w:cs="Arial"/>
          <w:sz w:val="18"/>
          <w:szCs w:val="18"/>
        </w:rPr>
      </w:pPr>
      <w:r w:rsidRPr="00654D1D">
        <w:rPr>
          <w:rFonts w:ascii="ITC Avant Garde" w:hAnsi="ITC Avant Garde" w:cs="Arial"/>
          <w:sz w:val="18"/>
          <w:szCs w:val="18"/>
        </w:rPr>
        <w:t xml:space="preserve">“La aplicación de un modelo ascendente es coherente con el concepto de desarrollo de la red para un operador eficiente según el cual se construye un modelo económico/técnico de red eficiente utilizando los costes actuales. El modelo refleja la cantidad de equipo necesaria, más que la efectivamente proporcionada, y hace caso omiso de los costes heredados.”  </w:t>
      </w:r>
    </w:p>
    <w:p w14:paraId="4E037977"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t xml:space="preserve">Es importante recalcar que el uso de un modelo Top-Down como lo propone la Recurrente en el sentido de utilizar su información, es decir, utilizar la información contable restaría transparencia a la decisión al no poderse hacer público el modelo, en cambio, el uso de un modelo </w:t>
      </w:r>
      <w:proofErr w:type="spellStart"/>
      <w:r w:rsidRPr="00654D1D">
        <w:rPr>
          <w:rFonts w:ascii="ITC Avant Garde" w:hAnsi="ITC Avant Garde" w:cs="Arial"/>
        </w:rPr>
        <w:t>Bottom</w:t>
      </w:r>
      <w:proofErr w:type="spellEnd"/>
      <w:r w:rsidRPr="00654D1D">
        <w:rPr>
          <w:rFonts w:ascii="ITC Avant Garde" w:hAnsi="ITC Avant Garde" w:cs="Arial"/>
        </w:rPr>
        <w:t xml:space="preserve">-Up que sea público y replicable por todos los concesionarios otorga certeza jurídica a todos los involucrados. </w:t>
      </w:r>
    </w:p>
    <w:p w14:paraId="1E041845" w14:textId="77777777" w:rsidR="00654D1D" w:rsidRPr="00654D1D" w:rsidRDefault="003E526D" w:rsidP="00654D1D">
      <w:pPr>
        <w:spacing w:before="240"/>
        <w:jc w:val="both"/>
        <w:rPr>
          <w:rFonts w:ascii="ITC Avant Garde" w:hAnsi="ITC Avant Garde" w:cs="Arial"/>
        </w:rPr>
      </w:pPr>
      <w:r w:rsidRPr="00654D1D">
        <w:rPr>
          <w:rFonts w:ascii="ITC Avant Garde" w:hAnsi="ITC Avant Garde" w:cs="Arial"/>
        </w:rPr>
        <w:lastRenderedPageBreak/>
        <w:t xml:space="preserve">Aunado a lo anterior, es importante señalar que utilizar un Modelo </w:t>
      </w:r>
      <w:proofErr w:type="spellStart"/>
      <w:r w:rsidRPr="00654D1D">
        <w:rPr>
          <w:rFonts w:ascii="ITC Avant Garde" w:hAnsi="ITC Avant Garde" w:cs="Arial"/>
        </w:rPr>
        <w:t>Bottom</w:t>
      </w:r>
      <w:proofErr w:type="spellEnd"/>
      <w:r w:rsidRPr="00654D1D">
        <w:rPr>
          <w:rFonts w:ascii="ITC Avant Garde" w:hAnsi="ITC Avant Garde" w:cs="Arial"/>
        </w:rPr>
        <w:t xml:space="preserve">-up que diseña a un operador representativo permite en lo que respecta a la fecha de lanzamiento, ser establecida de forma consistente en el Modelo de Costos, ya que considera aspectos claves en el despliegue de las redes reales de los concesionarios que participan en el mercado, en lo que respecta a tecnología que utiliza el operador representativo, la tecnología utilizada se define de forma específica, tomando en consideración componentes relevantes de las redes existentes. En lo que respecta a la migración a tecnología moderna, utilizando el operador representativo, la evolución y migración de este operador puede definirse de forma específica, teniendo en cuenta las redes existentes. En lo que respecta a la eficiencia, estos aspectos pueden ser definidos, con un operador representativo, y en lo que respecta a la transparencia en la utilización del Modelo de Costos </w:t>
      </w:r>
      <w:proofErr w:type="spellStart"/>
      <w:r w:rsidRPr="00654D1D">
        <w:rPr>
          <w:rFonts w:ascii="ITC Avant Garde" w:hAnsi="ITC Avant Garde" w:cs="Arial"/>
        </w:rPr>
        <w:t>Bottom</w:t>
      </w:r>
      <w:proofErr w:type="spellEnd"/>
      <w:r w:rsidRPr="00654D1D">
        <w:rPr>
          <w:rFonts w:ascii="ITC Avant Garde" w:hAnsi="ITC Avant Garde" w:cs="Arial"/>
        </w:rPr>
        <w:t>-up, la transparencia aumenta debido a las semejanzas entre los operadores móviles, por lo que este enfoque es transparente y un buen reflejo de la realidad de los operadores.</w:t>
      </w:r>
    </w:p>
    <w:p w14:paraId="5F8BC1E7"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Asimismo, esta Autoridad revisora considera que los argumentos de la Recurrente resultan improcedentes en virtud de que la Recurrente incurre en un error, o en todo caso confusión, al considerar que los atributos “eficiente” y “representativo” son incongruentes, en virtud de que el término “representativo” se refiere exclusivamente a una característica de la demanda que el operador modelado enfrenta, a saber, su participación de mercado; mientras el término “eficiente” se refiere a la forma en la que el operador modelado satisface dicha demanda, expresando que dicha demanda debe ser satisfecha de forma que sea empleada la menor cantidad de recursos posible, dados los parámetros de calidad y cobertura tomados en cuenta.</w:t>
      </w:r>
    </w:p>
    <w:p w14:paraId="7D057160" w14:textId="1E23D414"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Por lo expuesto en el párrafo anterior resulta perfectamente congruente calificar a un mismo operador modelado como “eficiente” y como “representativo”.</w:t>
      </w:r>
    </w:p>
    <w:p w14:paraId="7DE6A95C" w14:textId="77777777" w:rsidR="00654D1D" w:rsidRPr="00654D1D" w:rsidRDefault="003E526D" w:rsidP="00654D1D">
      <w:pPr>
        <w:numPr>
          <w:ilvl w:val="0"/>
          <w:numId w:val="28"/>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VIGÉSIMO PRIMERO</w:t>
      </w:r>
      <w:r w:rsidRPr="00654D1D">
        <w:rPr>
          <w:rFonts w:ascii="ITC Avant Garde" w:hAnsi="ITC Avant Garde" w:cs="Arial"/>
        </w:rPr>
        <w:t>, en el que invoca que la Comisión omite señalar las operaciones aritméticas para determinar la tarifa de interconexión, por lo que se viola lo dispuesto en la fracción V del artículo 3 de la Ley Federal de Procedimiento Administrativo.</w:t>
      </w:r>
    </w:p>
    <w:p w14:paraId="3D2EEFC3"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En el modelo de costos mediante el cual se determina la tarifa de interconexión contenida en el resolutivo tercero, esa Comisión no refiere de manera puntual la justificación de las operaciones matemáticas efectuadas, así como el mecanismo utilizado en las mismas.</w:t>
      </w:r>
    </w:p>
    <w:p w14:paraId="3A484BCC"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lastRenderedPageBreak/>
        <w:t>Lo anterior, no otorga seguridad jurídica alguna a mis Representadas respecto de los resultados a los que arriba esa Comisión, situación que se repite en todos y cada uno de los componentes del Modelo de Costos.</w:t>
      </w:r>
    </w:p>
    <w:p w14:paraId="52C239EE" w14:textId="4CB0EB86"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 xml:space="preserve">Los argumentos expuestos por la parte Recurrente resultan inoperantes al constituir una reiteración casi literal de los argumentos esgrimidos en el Cuarto Agravio del recurso interpuesto, por lo que a fin de evitar reiteraciones innecesarias, se solicita que los argumentos hechos valer respecto de dicho agravio, se tengan por reproducidos como si a la letra se insertasen. </w:t>
      </w:r>
    </w:p>
    <w:p w14:paraId="00BC17D2" w14:textId="77777777" w:rsidR="00654D1D" w:rsidRPr="00654D1D" w:rsidRDefault="003E526D" w:rsidP="00654D1D">
      <w:pPr>
        <w:numPr>
          <w:ilvl w:val="0"/>
          <w:numId w:val="28"/>
        </w:numPr>
        <w:spacing w:before="240"/>
        <w:contextualSpacing/>
        <w:jc w:val="both"/>
        <w:rPr>
          <w:rFonts w:ascii="ITC Avant Garde" w:hAnsi="ITC Avant Garde" w:cs="Arial"/>
        </w:rPr>
      </w:pPr>
      <w:r w:rsidRPr="00654D1D">
        <w:rPr>
          <w:rFonts w:ascii="ITC Avant Garde" w:hAnsi="ITC Avant Garde" w:cs="Arial"/>
        </w:rPr>
        <w:t xml:space="preserve">En relación con lo manifestado por la Recurrente en el agravio </w:t>
      </w:r>
      <w:r w:rsidRPr="00654D1D">
        <w:rPr>
          <w:rFonts w:ascii="ITC Avant Garde" w:hAnsi="ITC Avant Garde" w:cs="Arial"/>
          <w:b/>
        </w:rPr>
        <w:t>VIGÉSIMO SEGUNDO,</w:t>
      </w:r>
      <w:r w:rsidRPr="00654D1D">
        <w:rPr>
          <w:rFonts w:ascii="ITC Avant Garde" w:hAnsi="ITC Avant Garde" w:cs="Arial"/>
        </w:rPr>
        <w:t xml:space="preserve"> en el que invoca  que en la Resolución Impugnada se utilizan argumentos vagos e imprecisos, por lo que está indebidamente motivada y viola el artículo 3, fracción V de la Ley Federal de Procedimiento Administrativo.</w:t>
      </w:r>
    </w:p>
    <w:p w14:paraId="1F38D8CB"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lang w:val="es-ES" w:eastAsia="es-ES"/>
        </w:rPr>
        <w:t xml:space="preserve">Los argumentos expuestos por la parte Recurrente resultan inoperantes al constituir una reiteración casi literal de los argumentos esgrimidos en el Sexto Agravio del recurso interpuesto, por lo que a fin de evitar reiteraciones innecesarias, se solicita que los argumentos hechos valer respecto de dicho agravio, se tengan por reproducidos como si a la letra se insertasen. </w:t>
      </w:r>
    </w:p>
    <w:p w14:paraId="04EEA650" w14:textId="77777777" w:rsidR="00654D1D" w:rsidRPr="00654D1D" w:rsidRDefault="003E526D" w:rsidP="00654D1D">
      <w:pPr>
        <w:spacing w:before="240"/>
        <w:jc w:val="both"/>
        <w:rPr>
          <w:rFonts w:ascii="ITC Avant Garde" w:eastAsia="Times New Roman" w:hAnsi="ITC Avant Garde" w:cs="Arial"/>
          <w:lang w:eastAsia="es-ES"/>
        </w:rPr>
      </w:pPr>
      <w:r w:rsidRPr="00654D1D">
        <w:rPr>
          <w:rFonts w:ascii="ITC Avant Garde" w:eastAsia="Times New Roman" w:hAnsi="ITC Avant Garde" w:cs="Arial"/>
          <w:b/>
          <w:lang w:val="es-ES" w:eastAsia="es-ES"/>
        </w:rPr>
        <w:t>DÉCIM</w:t>
      </w:r>
      <w:r w:rsidRPr="00654D1D">
        <w:rPr>
          <w:rFonts w:ascii="ITC Avant Garde" w:eastAsia="Times New Roman" w:hAnsi="ITC Avant Garde" w:cs="Arial"/>
          <w:b/>
          <w:lang w:eastAsia="es-ES"/>
        </w:rPr>
        <w:t xml:space="preserve">O PRIMERO.- </w:t>
      </w:r>
      <w:r w:rsidRPr="00654D1D">
        <w:rPr>
          <w:rFonts w:ascii="ITC Avant Garde" w:eastAsia="Times New Roman" w:hAnsi="ITC Avant Garde" w:cs="Arial"/>
          <w:lang w:eastAsia="es-ES"/>
        </w:rPr>
        <w:t xml:space="preserve">Que en relación con los escritos presentados por las Tercero Perjudicadas el </w:t>
      </w:r>
      <w:r w:rsidRPr="00654D1D">
        <w:rPr>
          <w:rFonts w:ascii="ITC Avant Garde" w:eastAsia="Times New Roman" w:hAnsi="ITC Avant Garde" w:cs="Arial"/>
          <w:b/>
          <w:lang w:eastAsia="es-ES"/>
        </w:rPr>
        <w:t>doce de septiembre de dos mil once</w:t>
      </w:r>
      <w:r w:rsidRPr="00654D1D">
        <w:rPr>
          <w:rFonts w:ascii="ITC Avant Garde" w:eastAsia="Times New Roman" w:hAnsi="ITC Avant Garde" w:cs="Arial"/>
          <w:lang w:eastAsia="es-ES"/>
        </w:rPr>
        <w:t>, por el que desahogaron la vista que les fue concedida con el recurso de revisión interpuesto por la Recurrente, se entra a su estudio en los siguientes términos:</w:t>
      </w:r>
    </w:p>
    <w:p w14:paraId="060E127C" w14:textId="77777777" w:rsidR="00654D1D" w:rsidRPr="00654D1D" w:rsidRDefault="003E526D" w:rsidP="00654D1D">
      <w:pPr>
        <w:spacing w:before="240"/>
        <w:jc w:val="both"/>
        <w:rPr>
          <w:rFonts w:ascii="ITC Avant Garde" w:eastAsia="Times New Roman" w:hAnsi="ITC Avant Garde" w:cs="Arial"/>
          <w:lang w:eastAsia="es-MX"/>
        </w:rPr>
      </w:pPr>
      <w:r w:rsidRPr="00654D1D">
        <w:rPr>
          <w:rFonts w:ascii="ITC Avant Garde" w:eastAsia="Times New Roman" w:hAnsi="ITC Avant Garde" w:cs="Arial"/>
          <w:lang w:eastAsia="es-MX"/>
        </w:rPr>
        <w:t>Las Tercero Perjudicadas hacen valer diversos argumentos en su escrito de desahogo de vista mediante la expresión de sus alegatos, por medio de los cuales señalan diversos puntos en relación a lo infundado e inoperante de las manifestaciones hechas valer en cada uno de los agravios señalados por la Recurrente, a fin de acreditar su oposición al Recurso de Revisión interpuesto por la Recurrente.</w:t>
      </w:r>
    </w:p>
    <w:p w14:paraId="29BB506D" w14:textId="77777777" w:rsidR="00654D1D" w:rsidRPr="00654D1D" w:rsidRDefault="003E526D" w:rsidP="00654D1D">
      <w:pPr>
        <w:spacing w:before="240"/>
        <w:jc w:val="both"/>
        <w:rPr>
          <w:rFonts w:ascii="ITC Avant Garde" w:eastAsia="Times New Roman" w:hAnsi="ITC Avant Garde" w:cs="Arial"/>
          <w:lang w:eastAsia="es-MX"/>
        </w:rPr>
      </w:pPr>
      <w:r w:rsidRPr="00654D1D">
        <w:rPr>
          <w:rFonts w:ascii="ITC Avant Garde" w:eastAsia="Times New Roman" w:hAnsi="ITC Avant Garde" w:cs="Arial"/>
          <w:lang w:eastAsia="es-MX"/>
        </w:rPr>
        <w:t xml:space="preserve">En ese orden de ideas, y de conformidad con lo dispuesto por el artículo 344 del Código Federal de Procedimientos Civiles de aplicación supletoria a la Ley Federal de Procedimiento Administrativo, de conformidad con lo dispuesto por el artículo  2º de dicho ordenamiento, se tienen en consideración los Alegatos presentados por las Tercero Perjudicadas hechos valer como oposición al Recurso de Revisión interpuesto por la Recurrente, y toda vez que ni la Ley Federal de Procedimiento Administrativo ni el Código Federal de Procedimientos Civiles prevén la figura procesal de oposición al Recurso interpuesto por la Recurrente; todas y cada una de las manifestaciones contenidas en los escritos presentados por las Tercero Perjudicadas en sus escritos </w:t>
      </w:r>
      <w:r w:rsidRPr="00654D1D">
        <w:rPr>
          <w:rFonts w:ascii="ITC Avant Garde" w:eastAsia="Times New Roman" w:hAnsi="ITC Avant Garde" w:cs="Arial"/>
          <w:lang w:eastAsia="es-MX"/>
        </w:rPr>
        <w:lastRenderedPageBreak/>
        <w:t xml:space="preserve">presentados el día </w:t>
      </w:r>
      <w:r w:rsidRPr="00654D1D">
        <w:rPr>
          <w:rFonts w:ascii="ITC Avant Garde" w:eastAsia="Times New Roman" w:hAnsi="ITC Avant Garde" w:cs="Arial"/>
          <w:b/>
          <w:lang w:eastAsia="es-MX"/>
        </w:rPr>
        <w:t>doce de septiembre de dos mil once</w:t>
      </w:r>
      <w:r w:rsidRPr="00654D1D">
        <w:rPr>
          <w:rFonts w:ascii="ITC Avant Garde" w:eastAsia="Times New Roman" w:hAnsi="ITC Avant Garde" w:cs="Arial"/>
          <w:lang w:eastAsia="es-MX"/>
        </w:rPr>
        <w:t xml:space="preserve">, se consideran en su carácter de Alegatos a fin de salvaguardar su garantía de audiencia, siendo que dichos argumentos vertidos en los escritos de referencia han sido considerados y valorados por esta autoridad al dar contestación a los agravios planteados por la Recurrente, tal como consta en el Considerando </w:t>
      </w:r>
      <w:r w:rsidRPr="00654D1D">
        <w:rPr>
          <w:rFonts w:ascii="ITC Avant Garde" w:eastAsia="Times New Roman" w:hAnsi="ITC Avant Garde" w:cs="Arial"/>
          <w:b/>
          <w:lang w:eastAsia="es-MX"/>
        </w:rPr>
        <w:t>DÉCIMO</w:t>
      </w:r>
      <w:r w:rsidRPr="00654D1D">
        <w:rPr>
          <w:rFonts w:ascii="ITC Avant Garde" w:eastAsia="Times New Roman" w:hAnsi="ITC Avant Garde" w:cs="Arial"/>
          <w:lang w:eastAsia="es-MX"/>
        </w:rPr>
        <w:t xml:space="preserve"> de la presente resolución, por lo que todos y cada uno de los argumentos hechos valer por las Tercero Perjudicadas se ha considerado para dictar la presente Resolución.</w:t>
      </w:r>
    </w:p>
    <w:p w14:paraId="05B155EF"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b/>
          <w:lang w:val="es-ES" w:eastAsia="es-ES"/>
        </w:rPr>
        <w:t xml:space="preserve">DÉCIMO SEGUNDO.- </w:t>
      </w:r>
      <w:r w:rsidRPr="00654D1D">
        <w:rPr>
          <w:rFonts w:ascii="ITC Avant Garde" w:eastAsia="Times New Roman" w:hAnsi="ITC Avant Garde" w:cs="Arial"/>
          <w:lang w:val="es-ES" w:eastAsia="es-ES"/>
        </w:rPr>
        <w:t>Que derivado de lo expuesto en el considerando DÉCIMO, los argumentos expresados como agravios por la Recurrente, son inoperantes, infundados e insuficientes toda vez que no desvirtúan la legalidad de la Resolución Recurrida, puesto que no hace valer razonamientos suficientes que ataquen el contenido de la resolución en comento, toda vez que con los mismos pretende tergiversar el contenido de los preceptos invocados, sin que sus argumentos demuestren la ilegalidad de lo expresado en la Resolución Recurrida, lo anterior conforme la siguiente tesis jurisprudencial emitida por el Poder Judicial de la Federación:</w:t>
      </w:r>
    </w:p>
    <w:p w14:paraId="4B602839" w14:textId="12093134" w:rsidR="003E526D" w:rsidRPr="00654D1D" w:rsidRDefault="003E526D" w:rsidP="00654D1D">
      <w:pPr>
        <w:spacing w:before="240"/>
        <w:ind w:left="567" w:right="616"/>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 xml:space="preserve">Octava Época, </w:t>
      </w:r>
    </w:p>
    <w:p w14:paraId="4B60283A" w14:textId="77777777" w:rsidR="003E526D" w:rsidRPr="00654D1D" w:rsidRDefault="003E526D" w:rsidP="00654D1D">
      <w:pPr>
        <w:spacing w:before="240"/>
        <w:ind w:left="567" w:right="616"/>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Instancia: Tribunales Colegiados de Circuito</w:t>
      </w:r>
      <w:r w:rsidRPr="00654D1D">
        <w:rPr>
          <w:rFonts w:ascii="ITC Avant Garde" w:eastAsia="Times New Roman" w:hAnsi="ITC Avant Garde" w:cs="Arial"/>
          <w:snapToGrid w:val="0"/>
          <w:sz w:val="18"/>
          <w:szCs w:val="18"/>
          <w:lang w:eastAsia="es-ES"/>
        </w:rPr>
        <w:br/>
        <w:t xml:space="preserve">Fuente: Gaceta del Semanario Judicial de la Federación, </w:t>
      </w:r>
    </w:p>
    <w:p w14:paraId="4B60283B" w14:textId="77777777" w:rsidR="003E526D" w:rsidRPr="00654D1D" w:rsidRDefault="003E526D" w:rsidP="00654D1D">
      <w:pPr>
        <w:spacing w:before="240"/>
        <w:ind w:left="567" w:right="616"/>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 xml:space="preserve">Tomo: 85, </w:t>
      </w:r>
    </w:p>
    <w:p w14:paraId="4B60283C" w14:textId="77777777" w:rsidR="003E526D" w:rsidRPr="00654D1D" w:rsidRDefault="003E526D" w:rsidP="00654D1D">
      <w:pPr>
        <w:spacing w:before="240"/>
        <w:ind w:left="567" w:right="616"/>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 xml:space="preserve">Enero de 1995, </w:t>
      </w:r>
    </w:p>
    <w:p w14:paraId="4B60283D" w14:textId="77777777" w:rsidR="003E526D" w:rsidRPr="00654D1D" w:rsidRDefault="003E526D" w:rsidP="00654D1D">
      <w:pPr>
        <w:spacing w:before="240"/>
        <w:ind w:left="567" w:right="616"/>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 xml:space="preserve">Tesis: XIX.2º. J/5, Página: 95. </w:t>
      </w:r>
    </w:p>
    <w:p w14:paraId="4B60283E" w14:textId="77777777" w:rsidR="003E526D" w:rsidRPr="00654D1D" w:rsidRDefault="003E526D" w:rsidP="00654D1D">
      <w:pPr>
        <w:spacing w:before="240"/>
        <w:ind w:left="567" w:right="616"/>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 xml:space="preserve">Genealogía: Apéndice 1917-1995, Tomo VI, Segunda Parte, </w:t>
      </w:r>
    </w:p>
    <w:p w14:paraId="4AE2D459" w14:textId="77777777" w:rsidR="00654D1D" w:rsidRPr="00654D1D" w:rsidRDefault="003E526D" w:rsidP="00654D1D">
      <w:pPr>
        <w:spacing w:before="240"/>
        <w:ind w:left="567" w:right="616"/>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Tesis, 595, pág. 395.</w:t>
      </w:r>
    </w:p>
    <w:p w14:paraId="43E35E36" w14:textId="77777777" w:rsidR="00654D1D" w:rsidRPr="00654D1D" w:rsidRDefault="003E526D" w:rsidP="00654D1D">
      <w:pPr>
        <w:spacing w:before="240"/>
        <w:ind w:left="567" w:right="616"/>
        <w:jc w:val="both"/>
        <w:rPr>
          <w:rFonts w:ascii="ITC Avant Garde" w:eastAsia="Times New Roman" w:hAnsi="ITC Avant Garde" w:cs="Arial"/>
          <w:b/>
          <w:snapToGrid w:val="0"/>
          <w:sz w:val="18"/>
          <w:szCs w:val="18"/>
          <w:lang w:eastAsia="es-ES"/>
        </w:rPr>
      </w:pPr>
      <w:r w:rsidRPr="00654D1D">
        <w:rPr>
          <w:rFonts w:ascii="ITC Avant Garde" w:eastAsia="Times New Roman" w:hAnsi="ITC Avant Garde" w:cs="Arial"/>
          <w:b/>
          <w:snapToGrid w:val="0"/>
          <w:sz w:val="18"/>
          <w:szCs w:val="18"/>
          <w:lang w:eastAsia="es-ES"/>
        </w:rPr>
        <w:t xml:space="preserve">“AGRAVIOS INOPERANTES. EN EL RECURSO DE REVISIÓN. </w:t>
      </w:r>
      <w:r w:rsidRPr="00654D1D">
        <w:rPr>
          <w:rFonts w:ascii="ITC Avant Garde" w:eastAsia="Times New Roman" w:hAnsi="ITC Avant Garde" w:cs="Arial"/>
          <w:snapToGrid w:val="0"/>
          <w:sz w:val="18"/>
          <w:szCs w:val="18"/>
          <w:lang w:eastAsia="es-ES"/>
        </w:rPr>
        <w:t>Son inoperantes los agravios cuando en éstos no se formula objeción alguna contra los lineamientos que rigen el fallo recurrido, o bien, cuando son varias las consideraciones en que se sustenta la sentencia impugnada y en los agravios sólo se combaten algunas de ellas, resultando ineficaces para conducir a su revocación o modificación, tomando en cuenta que, para ese efecto, deben destruirse todos los argumentos del Juez de Distrito sobre los que descansa el sentido del fallo.</w:t>
      </w:r>
      <w:r w:rsidRPr="00654D1D">
        <w:rPr>
          <w:rFonts w:ascii="ITC Avant Garde" w:eastAsia="Times New Roman" w:hAnsi="ITC Avant Garde" w:cs="Arial"/>
          <w:b/>
          <w:snapToGrid w:val="0"/>
          <w:sz w:val="18"/>
          <w:szCs w:val="18"/>
          <w:lang w:eastAsia="es-ES"/>
        </w:rPr>
        <w:t>”</w:t>
      </w:r>
    </w:p>
    <w:p w14:paraId="57EF463F" w14:textId="77777777" w:rsidR="00654D1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SEGUNDO TRIBUNAL COLEGIADO DEL DÉCIMO NOVENO CIRCUITO.</w:t>
      </w:r>
    </w:p>
    <w:p w14:paraId="4B602845" w14:textId="04A20D92" w:rsidR="003E526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b/>
          <w:snapToGrid w:val="0"/>
          <w:sz w:val="18"/>
          <w:szCs w:val="18"/>
          <w:lang w:eastAsia="es-ES"/>
        </w:rPr>
        <w:t>Amparo en revisión</w:t>
      </w:r>
      <w:r w:rsidRPr="00654D1D">
        <w:rPr>
          <w:rFonts w:ascii="ITC Avant Garde" w:eastAsia="Times New Roman" w:hAnsi="ITC Avant Garde" w:cs="Arial"/>
          <w:snapToGrid w:val="0"/>
          <w:sz w:val="18"/>
          <w:szCs w:val="18"/>
          <w:lang w:eastAsia="es-ES"/>
        </w:rPr>
        <w:t xml:space="preserve"> 100/94. María Reyna Rodríguez Reyes. 15 de junio de 1994. Unanimidad de votos. </w:t>
      </w:r>
    </w:p>
    <w:p w14:paraId="2DC0BE1F" w14:textId="77777777" w:rsidR="00654D1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Ponente: Roberto Terrazas Salgado. Secretario: Sergio Arturo López Servín.</w:t>
      </w:r>
    </w:p>
    <w:p w14:paraId="4B602848" w14:textId="1166BF2C" w:rsidR="003E526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b/>
          <w:snapToGrid w:val="0"/>
          <w:sz w:val="18"/>
          <w:szCs w:val="18"/>
          <w:lang w:eastAsia="es-ES"/>
        </w:rPr>
        <w:lastRenderedPageBreak/>
        <w:t>Recurso de revisión</w:t>
      </w:r>
      <w:r w:rsidRPr="00654D1D">
        <w:rPr>
          <w:rFonts w:ascii="ITC Avant Garde" w:eastAsia="Times New Roman" w:hAnsi="ITC Avant Garde" w:cs="Arial"/>
          <w:snapToGrid w:val="0"/>
          <w:sz w:val="18"/>
          <w:szCs w:val="18"/>
          <w:lang w:eastAsia="es-ES"/>
        </w:rPr>
        <w:t xml:space="preserve"> 138/94. Antonio Hernández Teno. 15 de junio de 1994. Unanimidad de votos. </w:t>
      </w:r>
    </w:p>
    <w:p w14:paraId="027118AD" w14:textId="77777777" w:rsidR="00654D1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Ponente: Lucio Antonio Castillo González. Secretario: Carlos Alberto Caballero Dorantes.</w:t>
      </w:r>
    </w:p>
    <w:p w14:paraId="4B60284B" w14:textId="564A7B82" w:rsidR="003E526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b/>
          <w:snapToGrid w:val="0"/>
          <w:sz w:val="18"/>
          <w:szCs w:val="18"/>
          <w:lang w:eastAsia="es-ES"/>
        </w:rPr>
        <w:t>Amparo en revisión</w:t>
      </w:r>
      <w:r w:rsidRPr="00654D1D">
        <w:rPr>
          <w:rFonts w:ascii="ITC Avant Garde" w:eastAsia="Times New Roman" w:hAnsi="ITC Avant Garde" w:cs="Arial"/>
          <w:snapToGrid w:val="0"/>
          <w:sz w:val="18"/>
          <w:szCs w:val="18"/>
          <w:lang w:eastAsia="es-ES"/>
        </w:rPr>
        <w:t xml:space="preserve"> 114/94. Víctor Manuel Cardín Durand. 15 de junio de 1994. </w:t>
      </w:r>
      <w:proofErr w:type="spellStart"/>
      <w:r w:rsidRPr="00654D1D">
        <w:rPr>
          <w:rFonts w:ascii="ITC Avant Garde" w:eastAsia="Times New Roman" w:hAnsi="ITC Avant Garde" w:cs="Arial"/>
          <w:snapToGrid w:val="0"/>
          <w:sz w:val="18"/>
          <w:szCs w:val="18"/>
          <w:lang w:eastAsia="es-ES"/>
        </w:rPr>
        <w:t>Uinanimidad</w:t>
      </w:r>
      <w:proofErr w:type="spellEnd"/>
      <w:r w:rsidRPr="00654D1D">
        <w:rPr>
          <w:rFonts w:ascii="ITC Avant Garde" w:eastAsia="Times New Roman" w:hAnsi="ITC Avant Garde" w:cs="Arial"/>
          <w:snapToGrid w:val="0"/>
          <w:sz w:val="18"/>
          <w:szCs w:val="18"/>
          <w:lang w:eastAsia="es-ES"/>
        </w:rPr>
        <w:t xml:space="preserve"> de votos.</w:t>
      </w:r>
    </w:p>
    <w:p w14:paraId="03E40B29" w14:textId="77777777" w:rsidR="00654D1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Ponente: Lucio Antonio Castillo González. Secretario Arturo Ortegón Garza.</w:t>
      </w:r>
    </w:p>
    <w:p w14:paraId="4B60284E" w14:textId="47CC4E48" w:rsidR="003E526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b/>
          <w:snapToGrid w:val="0"/>
          <w:sz w:val="18"/>
          <w:szCs w:val="18"/>
          <w:lang w:eastAsia="es-ES"/>
        </w:rPr>
        <w:t>Amparo en revisión</w:t>
      </w:r>
      <w:r w:rsidRPr="00654D1D">
        <w:rPr>
          <w:rFonts w:ascii="ITC Avant Garde" w:eastAsia="Times New Roman" w:hAnsi="ITC Avant Garde" w:cs="Arial"/>
          <w:snapToGrid w:val="0"/>
          <w:sz w:val="18"/>
          <w:szCs w:val="18"/>
          <w:lang w:eastAsia="es-ES"/>
        </w:rPr>
        <w:t xml:space="preserve"> 63/94. </w:t>
      </w:r>
      <w:proofErr w:type="spellStart"/>
      <w:r w:rsidRPr="00654D1D">
        <w:rPr>
          <w:rFonts w:ascii="ITC Avant Garde" w:eastAsia="Times New Roman" w:hAnsi="ITC Avant Garde" w:cs="Arial"/>
          <w:snapToGrid w:val="0"/>
          <w:sz w:val="18"/>
          <w:szCs w:val="18"/>
          <w:lang w:val="pt-BR" w:eastAsia="es-ES"/>
        </w:rPr>
        <w:t>Aurelio</w:t>
      </w:r>
      <w:proofErr w:type="spellEnd"/>
      <w:r w:rsidRPr="00654D1D">
        <w:rPr>
          <w:rFonts w:ascii="ITC Avant Garde" w:eastAsia="Times New Roman" w:hAnsi="ITC Avant Garde" w:cs="Arial"/>
          <w:snapToGrid w:val="0"/>
          <w:sz w:val="18"/>
          <w:szCs w:val="18"/>
          <w:lang w:val="pt-BR" w:eastAsia="es-ES"/>
        </w:rPr>
        <w:t xml:space="preserve"> Santiago Torres. 31 de agosto de 1994. </w:t>
      </w:r>
      <w:r w:rsidRPr="00654D1D">
        <w:rPr>
          <w:rFonts w:ascii="ITC Avant Garde" w:eastAsia="Times New Roman" w:hAnsi="ITC Avant Garde" w:cs="Arial"/>
          <w:snapToGrid w:val="0"/>
          <w:sz w:val="18"/>
          <w:szCs w:val="18"/>
          <w:lang w:eastAsia="es-ES"/>
        </w:rPr>
        <w:t>Unanimidad de votos.</w:t>
      </w:r>
    </w:p>
    <w:p w14:paraId="5C154A59" w14:textId="77777777" w:rsidR="00654D1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Ponente: Guadalupe Méndez Hernández. Secretario: Marco Antonio Cepeda Anaya.</w:t>
      </w:r>
    </w:p>
    <w:p w14:paraId="4B602851" w14:textId="5E8CD6B2" w:rsidR="003E526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b/>
          <w:snapToGrid w:val="0"/>
          <w:sz w:val="18"/>
          <w:szCs w:val="18"/>
          <w:lang w:eastAsia="es-ES"/>
        </w:rPr>
        <w:t>Amparo en revisión</w:t>
      </w:r>
      <w:r w:rsidRPr="00654D1D">
        <w:rPr>
          <w:rFonts w:ascii="ITC Avant Garde" w:eastAsia="Times New Roman" w:hAnsi="ITC Avant Garde" w:cs="Arial"/>
          <w:snapToGrid w:val="0"/>
          <w:sz w:val="18"/>
          <w:szCs w:val="18"/>
          <w:lang w:eastAsia="es-ES"/>
        </w:rPr>
        <w:t xml:space="preserve"> 272/94. Autobuses de Oriente A.D.O., S.A. de C.V. 26 de octubre de 1994. Unanimidad de votos. </w:t>
      </w:r>
    </w:p>
    <w:p w14:paraId="10CDD6A2" w14:textId="77777777" w:rsidR="00654D1D" w:rsidRPr="00654D1D" w:rsidRDefault="003E526D" w:rsidP="00654D1D">
      <w:pPr>
        <w:spacing w:before="240"/>
        <w:ind w:left="567" w:right="616"/>
        <w:jc w:val="both"/>
        <w:rPr>
          <w:rFonts w:ascii="ITC Avant Garde" w:eastAsia="Times New Roman" w:hAnsi="ITC Avant Garde" w:cs="Arial"/>
          <w:snapToGrid w:val="0"/>
          <w:sz w:val="18"/>
          <w:szCs w:val="18"/>
          <w:lang w:eastAsia="es-ES"/>
        </w:rPr>
      </w:pPr>
      <w:r w:rsidRPr="00654D1D">
        <w:rPr>
          <w:rFonts w:ascii="ITC Avant Garde" w:eastAsia="Times New Roman" w:hAnsi="ITC Avant Garde" w:cs="Arial"/>
          <w:snapToGrid w:val="0"/>
          <w:sz w:val="18"/>
          <w:szCs w:val="18"/>
          <w:lang w:eastAsia="es-ES"/>
        </w:rPr>
        <w:t xml:space="preserve">Ponente: Guadalupe Hernández. Secretario: Miguel Angel Pena Martínez. </w:t>
      </w:r>
    </w:p>
    <w:p w14:paraId="00977244" w14:textId="77777777" w:rsidR="00654D1D" w:rsidRPr="00654D1D" w:rsidRDefault="003E526D"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Consecuentemente, debido a lo infundado e inoperante de los argumentos hechos valer por la Recurrente, al no haberse demostrado la ilegalidad de la Resolución Recurrida, resulta procedente confirmar la validez de la misma.</w:t>
      </w:r>
    </w:p>
    <w:p w14:paraId="4B602857" w14:textId="7F3A7495" w:rsidR="008D1D69" w:rsidRPr="00654D1D" w:rsidRDefault="00C356BE"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b/>
          <w:lang w:val="es-ES" w:eastAsia="es-MX"/>
        </w:rPr>
        <w:t xml:space="preserve">DÉCIMO TERCERO. </w:t>
      </w:r>
      <w:r w:rsidR="008D1D69" w:rsidRPr="00654D1D">
        <w:rPr>
          <w:rFonts w:ascii="ITC Avant Garde" w:eastAsia="Times New Roman" w:hAnsi="ITC Avant Garde" w:cs="Arial"/>
          <w:lang w:val="es-ES" w:eastAsia="es-MX"/>
        </w:rPr>
        <w:t>Las Tercero Perjudicadas formularon sus alegatos mismos que fueron presentados con fecha 31 de enero de 2017, por medio de los cuales reiteran las manifestaciones hechas valer mediante escrito de 12 de septiembre de 2011, y señalan diversos argumentos relativos a la legalidad de la Resolución Recurrida.</w:t>
      </w:r>
    </w:p>
    <w:p w14:paraId="54E714E4" w14:textId="77777777" w:rsidR="00654D1D" w:rsidRPr="00654D1D" w:rsidRDefault="008D1D69"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 </w:t>
      </w:r>
    </w:p>
    <w:p w14:paraId="2CC20736" w14:textId="77777777" w:rsidR="00654D1D" w:rsidRPr="00654D1D" w:rsidRDefault="008D1D69"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En ese orden de ideas, y de conformidad con lo dispuesto por el artículo 344 del Código Federal de Procedimientos Civiles de aplicación supletoria a la Ley Federal de Procedimiento Administrativo, de conformidad con lo dispuesto por el artículo  2º de dicho ordenamiento, se tienen en consideración los Alegatos presentados por las Tercero Perjudicadas hechos valer, por lo cual todas y cada una de las manifestaciones contenidas en el escrito presentado por las Tercero Perjudicadas el día treinta y uno de enero de dos mil diecisiete, se consideran en su carácter de Alegatos a fin de salvaguardar su garantía de audiencia, siendo que dichos argumentos vertidos en los escritos de referencia han sido considerados y valorados por esta autoridad al dar contestación a los agravios planteados por la Recurrente, tal como consta en el Considerando DÉCIMO de la presente resolución, por lo que todos y cada uno de los argumentos hechos valer por las Tercero Perjudicadas se ha considerado para dictar la presente Resolución.</w:t>
      </w:r>
    </w:p>
    <w:p w14:paraId="29F406D3" w14:textId="77777777" w:rsidR="00654D1D" w:rsidRPr="00654D1D" w:rsidRDefault="008D1D69"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lastRenderedPageBreak/>
        <w:t>Asimismo, las Recurrentes formularon sus alegatos mismos que fueron presentados con fecha 2 de febrero de 2017, en ese orden de ideas, y de conformidad con lo dispuesto por el artículo 344 del Código Federal de Procedimientos Civiles de aplicación supletoria a la Ley Federal de Procedimiento Administrativo, de conformidad con lo dispuesto por el artículo  2º de dicho ordenamiento, se tienen en consideración los Alegatos presentados por la parte Recurrente hechos valer, al constituir en esencia una reiteración de los argumentos contenidos en los agravios expuestos en el escrito de interposición del recurso de revisión, por lo cual, todas y cada una de las manifestaciones se consideran en su carácter de Alegatos a fin de salvaguardar su garantía de audiencia, siendo que dichos argumentos vertidos en el escrito de referencia han sido considerados y valorados por esta autoridad al dar contestación a los agravios planteados por la parte  Recurrente, tal como consta en el Considerando DÉCIMO de la presente resolución, por lo que todos y cada uno de los argumentos hechos valer por las Recurrentes se han considerado para dictar la presente Resolución.</w:t>
      </w:r>
    </w:p>
    <w:p w14:paraId="246380E0" w14:textId="77777777" w:rsidR="00654D1D" w:rsidRPr="00654D1D" w:rsidRDefault="008D1D69"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En ese orden de ideas, el apartado Primero del escrito de Alegatos constituye una reiteración de los argumentos vertidos en el Agravio Primero del escrito de interposición del recurso; el apartado Segundo corresponde a los argumentos del Agravio Tercero; el apartado Tercero corresponde a los argumentos del Agravio Cuarto; el apartado Cuarto corresponde a los argumentos del Agravio Quinto; el apartado Quinto corresponde a los argumentos del Agravio Sexto; el apartado Sexto corresponde a los argumentos del Agravio Séptimo; el apartado Séptimo corresponde a los argumentos del Agravio Octavo; el apartado Octavo corresponde a los argumentos del Agravio Noveno; el apartado Noveno corresponde a los argumentos del Agravio Décimo;  el apartado Décimo corresponde a los argumentos del Agravio Décimo Primero; el apartado Décimo Primero corresponde a los argumentos del Agravio Décimo Segundo; el apartado Décimo Segundo corresponde a los argumentos del Agravio Décimo Cuarto; el apartado Décimo Tercero corresponde a los argumentos del Agravio Décimo Sexto; el apartado Décimo Cuarto corresponde a los argumentos del Agravio Décimo Séptimo y; el apartado Décimo Quinto hace valer la reiteración de los agravios esgrimidos por la parte Recurrente en el escrito por el cual se interpuso el recurso de revisión de fecha 8 de septiembre de 2011.  </w:t>
      </w:r>
    </w:p>
    <w:p w14:paraId="613ACACA" w14:textId="77777777" w:rsidR="00654D1D" w:rsidRPr="00654D1D" w:rsidRDefault="008D1D69"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lang w:val="es-ES" w:eastAsia="es-MX"/>
        </w:rPr>
        <w:t xml:space="preserve">Por lo anterior, y toda vez que los argumentos vertidos en el escrito de Alegatos presentado por la parte Recurrente constituyen en esencia la reiteración de los argumentos contenidos en los Agravios del escrito de interposición del recurso de revisión antes referidos, a fin de evitar la reiteración de los argumentos expuestos por esta autoridad, en los que se desvirtuaron las consideraciones de las Recurrentes por inoperantes e infundadas se solicita que se tengan por reproducidos como si a la letra </w:t>
      </w:r>
      <w:r w:rsidRPr="00654D1D">
        <w:rPr>
          <w:rFonts w:ascii="ITC Avant Garde" w:eastAsia="Times New Roman" w:hAnsi="ITC Avant Garde" w:cs="Arial"/>
          <w:lang w:val="es-ES" w:eastAsia="es-MX"/>
        </w:rPr>
        <w:lastRenderedPageBreak/>
        <w:t>se insertasen, de lo que se desprende que todos y cada uno de los argumentos hechos valer por las Recurrentes se han considerado para dictar la presente Resolución.</w:t>
      </w:r>
    </w:p>
    <w:p w14:paraId="544B1D63" w14:textId="77777777" w:rsidR="00654D1D" w:rsidRPr="00654D1D" w:rsidRDefault="008D1D69" w:rsidP="00654D1D">
      <w:pPr>
        <w:spacing w:before="240"/>
        <w:jc w:val="both"/>
        <w:rPr>
          <w:rFonts w:ascii="ITC Avant Garde" w:eastAsia="Times New Roman" w:hAnsi="ITC Avant Garde" w:cs="Arial"/>
          <w:b/>
          <w:lang w:val="es-ES" w:eastAsia="es-MX"/>
        </w:rPr>
      </w:pPr>
      <w:r w:rsidRPr="00654D1D">
        <w:rPr>
          <w:rFonts w:ascii="ITC Avant Garde" w:eastAsia="Times New Roman" w:hAnsi="ITC Avant Garde" w:cs="Arial"/>
          <w:lang w:val="es-ES" w:eastAsia="es-MX"/>
        </w:rPr>
        <w:t xml:space="preserve">Por lo expuesto y de conformidad con los RESULTANDOS Y CONSIDERANDOS precedentes, y con fundamento en los artículos 28, párrafo décimo quinto de la Constitución Política de los Estados Unidos Mexicanos, Séptimo Transitorio del “Decreto por el que se reforman y adicionan diversas disposiciones de los artículos 6o., 7o., 27, 28, 73, 78, 94 y 105 de la Constitución Política de los Estados Unidos Mexicanos, en materia de telecomunicaciones”, publicado en el DOF el 11 de junio de 2013; Sexto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DOF el 14 de julio de 2014; 1, 7, 15, fracciones X y LXIII, 16, 17, fracción I de la Ley Federal de Telecomunicaciones y Radiodifusión; 83, 86, 91 fracción II, y 92 de la Ley Federal de Procedimiento Administrativo; 8, fracción II y </w:t>
      </w:r>
      <w:r w:rsidR="00226A79" w:rsidRPr="00654D1D">
        <w:rPr>
          <w:rFonts w:ascii="ITC Avant Garde" w:eastAsia="Times New Roman" w:hAnsi="ITC Avant Garde" w:cs="Arial"/>
          <w:lang w:val="es-ES" w:eastAsia="es-MX"/>
        </w:rPr>
        <w:t xml:space="preserve">9-A y </w:t>
      </w:r>
      <w:r w:rsidRPr="00654D1D">
        <w:rPr>
          <w:rFonts w:ascii="ITC Avant Garde" w:eastAsia="Times New Roman" w:hAnsi="ITC Avant Garde" w:cs="Arial"/>
          <w:lang w:val="es-ES" w:eastAsia="es-MX"/>
        </w:rPr>
        <w:t>42 de la Ley Federal de Telecomunicaciones; 1°, 2°, fracción X, 4°, fracción I, 7, 8, y 9 del Estatuto Orgánico del Instituto Federal de Telecomunicaciones vigente, es de resolver y se:</w:t>
      </w:r>
    </w:p>
    <w:p w14:paraId="76B9CDC5" w14:textId="27827EE7" w:rsidR="00654D1D" w:rsidRPr="00654D1D" w:rsidRDefault="003E526D" w:rsidP="00654D1D">
      <w:pPr>
        <w:keepNext/>
        <w:spacing w:before="240"/>
        <w:jc w:val="center"/>
        <w:outlineLvl w:val="1"/>
        <w:rPr>
          <w:rFonts w:ascii="ITC Avant Garde" w:eastAsia="Times New Roman" w:hAnsi="ITC Avant Garde" w:cs="Arial"/>
          <w:b/>
          <w:lang w:val="es-ES" w:eastAsia="es-MX"/>
        </w:rPr>
      </w:pPr>
      <w:r w:rsidRPr="00654D1D">
        <w:rPr>
          <w:rFonts w:ascii="ITC Avant Garde" w:eastAsia="Times New Roman" w:hAnsi="ITC Avant Garde" w:cs="Arial"/>
          <w:b/>
          <w:lang w:val="es-ES" w:eastAsia="es-MX"/>
        </w:rPr>
        <w:t>RESUELVE</w:t>
      </w:r>
    </w:p>
    <w:p w14:paraId="4B60286D" w14:textId="48BC313D" w:rsidR="008D1D69" w:rsidRPr="00654D1D" w:rsidRDefault="00226A79" w:rsidP="00654D1D">
      <w:pPr>
        <w:spacing w:before="240"/>
        <w:jc w:val="both"/>
        <w:rPr>
          <w:rFonts w:ascii="ITC Avant Garde" w:eastAsia="Times New Roman" w:hAnsi="ITC Avant Garde" w:cs="Arial"/>
          <w:lang w:val="es-ES" w:eastAsia="es-MX"/>
        </w:rPr>
      </w:pPr>
      <w:r w:rsidRPr="00654D1D">
        <w:rPr>
          <w:rFonts w:ascii="ITC Avant Garde" w:eastAsia="Times New Roman" w:hAnsi="ITC Avant Garde" w:cs="Arial"/>
          <w:b/>
          <w:lang w:val="es-ES" w:eastAsia="es-MX"/>
        </w:rPr>
        <w:t xml:space="preserve">PRIMERO.- </w:t>
      </w:r>
      <w:r w:rsidRPr="00654D1D">
        <w:rPr>
          <w:rFonts w:ascii="ITC Avant Garde" w:eastAsia="Times New Roman" w:hAnsi="ITC Avant Garde" w:cs="Arial"/>
          <w:lang w:val="es-ES" w:eastAsia="es-MX"/>
        </w:rPr>
        <w:t>Se tiene por  interpuesto el recurso de revisión presentado el quince de agosto de dos mil once, por el C. Oliverio de la Garza Ugarte, en su carácter de apoderado de la Recurrente, en contra de la resolución emitida por el Pleno de la Comisión Federal de Telecomunicaciones mediante acuerdo P/060711/257 de fecha 6 de julio de 2011acto especificado en el Resultando número 2, de la presente resolución.</w:t>
      </w:r>
    </w:p>
    <w:p w14:paraId="1DC13DE8" w14:textId="77777777" w:rsidR="00654D1D" w:rsidRPr="00654D1D" w:rsidRDefault="003E526D" w:rsidP="00654D1D">
      <w:pPr>
        <w:spacing w:before="240"/>
        <w:jc w:val="both"/>
        <w:rPr>
          <w:rFonts w:ascii="ITC Avant Garde" w:eastAsia="Times New Roman" w:hAnsi="ITC Avant Garde" w:cs="Arial"/>
          <w:b/>
          <w:lang w:val="es-ES" w:eastAsia="es-MX"/>
        </w:rPr>
      </w:pPr>
      <w:r w:rsidRPr="00654D1D">
        <w:rPr>
          <w:rFonts w:ascii="ITC Avant Garde" w:eastAsia="Times New Roman" w:hAnsi="ITC Avant Garde" w:cs="Arial"/>
          <w:b/>
          <w:lang w:val="es-ES" w:eastAsia="es-MX"/>
        </w:rPr>
        <w:t>SEGUNDO.-</w:t>
      </w:r>
      <w:r w:rsidRPr="00654D1D">
        <w:rPr>
          <w:rFonts w:ascii="ITC Avant Garde" w:eastAsia="Times New Roman" w:hAnsi="ITC Avant Garde" w:cs="Arial"/>
          <w:lang w:val="es-ES" w:eastAsia="es-MX"/>
        </w:rPr>
        <w:t xml:space="preserve"> De conformidad con el Considerando Décimo, se confirma la Resolución a que se refiere el resolutivo inmediato anterior, en términos del artículo 91, fracción II, de la Ley Federal de Procedimiento Administrativo. </w:t>
      </w:r>
    </w:p>
    <w:p w14:paraId="62C88445" w14:textId="77777777" w:rsidR="00654D1D" w:rsidRPr="00654D1D" w:rsidRDefault="003E526D" w:rsidP="00654D1D">
      <w:pPr>
        <w:spacing w:before="240"/>
        <w:jc w:val="both"/>
        <w:rPr>
          <w:rFonts w:ascii="ITC Avant Garde" w:eastAsia="Times New Roman" w:hAnsi="ITC Avant Garde" w:cs="Arial"/>
          <w:lang w:val="es-ES" w:eastAsia="es-ES"/>
        </w:rPr>
      </w:pPr>
      <w:r w:rsidRPr="00654D1D">
        <w:rPr>
          <w:rFonts w:ascii="ITC Avant Garde" w:eastAsia="Times New Roman" w:hAnsi="ITC Avant Garde" w:cs="Arial"/>
          <w:b/>
          <w:lang w:val="es-ES" w:eastAsia="es-ES"/>
        </w:rPr>
        <w:t xml:space="preserve">TERCERO.- </w:t>
      </w:r>
      <w:r w:rsidRPr="00654D1D">
        <w:rPr>
          <w:rFonts w:ascii="ITC Avant Garde" w:eastAsia="Times New Roman" w:hAnsi="ITC Avant Garde" w:cs="Arial"/>
          <w:lang w:val="es-ES" w:eastAsia="es-ES"/>
        </w:rPr>
        <w:t xml:space="preserve">Notifíquese personalmente. </w:t>
      </w:r>
    </w:p>
    <w:p w14:paraId="71507F5C" w14:textId="77777777" w:rsidR="00654D1D" w:rsidRPr="00654D1D" w:rsidRDefault="0031745F" w:rsidP="00654D1D">
      <w:pPr>
        <w:pStyle w:val="Prrafodelista"/>
        <w:spacing w:before="240" w:line="240" w:lineRule="auto"/>
        <w:ind w:left="0"/>
        <w:jc w:val="both"/>
        <w:rPr>
          <w:rFonts w:ascii="ITC Avant Garde" w:hAnsi="ITC Avant Garde"/>
          <w:sz w:val="14"/>
          <w:szCs w:val="14"/>
        </w:rPr>
      </w:pPr>
      <w:r w:rsidRPr="00654D1D">
        <w:rPr>
          <w:rFonts w:ascii="ITC Avant Garde" w:hAnsi="ITC Avant Garde"/>
          <w:sz w:val="14"/>
          <w:szCs w:val="14"/>
        </w:rPr>
        <w:t xml:space="preserve">La presente Resolución fue aprobada por el Pleno del Instituto Federal de Telecomunicaciones en su XII Sesión Ordinaria celebrada el 22 de marzo de 2017, </w:t>
      </w:r>
      <w:r w:rsidRPr="00654D1D">
        <w:rPr>
          <w:rFonts w:ascii="ITC Avant Garde" w:hAnsi="ITC Avant Garde"/>
          <w:bCs/>
          <w:sz w:val="14"/>
          <w:szCs w:val="14"/>
        </w:rPr>
        <w:t>por unanimidad</w:t>
      </w:r>
      <w:r w:rsidRPr="00654D1D">
        <w:rPr>
          <w:rFonts w:ascii="ITC Avant Garde" w:hAnsi="ITC Avant Garde"/>
          <w:sz w:val="14"/>
          <w:szCs w:val="14"/>
        </w:rPr>
        <w:t xml:space="preserve"> de votos de los Comisionados Gabriel Oswaldo Contreras Saldívar, Adriana Sofía </w:t>
      </w:r>
      <w:proofErr w:type="spellStart"/>
      <w:r w:rsidRPr="00654D1D">
        <w:rPr>
          <w:rFonts w:ascii="ITC Avant Garde" w:hAnsi="ITC Avant Garde"/>
          <w:sz w:val="14"/>
          <w:szCs w:val="14"/>
        </w:rPr>
        <w:t>Labardini</w:t>
      </w:r>
      <w:proofErr w:type="spellEnd"/>
      <w:r w:rsidRPr="00654D1D">
        <w:rPr>
          <w:rFonts w:ascii="ITC Avant Garde" w:hAnsi="ITC Avant Garde"/>
          <w:sz w:val="14"/>
          <w:szCs w:val="14"/>
        </w:rPr>
        <w:t xml:space="preserve"> </w:t>
      </w:r>
      <w:proofErr w:type="spellStart"/>
      <w:r w:rsidRPr="00654D1D">
        <w:rPr>
          <w:rFonts w:ascii="ITC Avant Garde" w:hAnsi="ITC Avant Garde"/>
          <w:sz w:val="14"/>
          <w:szCs w:val="14"/>
        </w:rPr>
        <w:t>Inzunza</w:t>
      </w:r>
      <w:proofErr w:type="spellEnd"/>
      <w:r w:rsidRPr="00654D1D">
        <w:rPr>
          <w:rFonts w:ascii="ITC Avant Garde" w:hAnsi="ITC Avant Garde"/>
          <w:sz w:val="14"/>
          <w:szCs w:val="14"/>
        </w:rPr>
        <w:t xml:space="preserve">, María Elena </w:t>
      </w:r>
      <w:proofErr w:type="spellStart"/>
      <w:r w:rsidRPr="00654D1D">
        <w:rPr>
          <w:rFonts w:ascii="ITC Avant Garde" w:hAnsi="ITC Avant Garde"/>
          <w:sz w:val="14"/>
          <w:szCs w:val="14"/>
        </w:rPr>
        <w:t>Estavillo</w:t>
      </w:r>
      <w:proofErr w:type="spellEnd"/>
      <w:r w:rsidRPr="00654D1D">
        <w:rPr>
          <w:rFonts w:ascii="ITC Avant Garde" w:hAnsi="ITC Avant Garde"/>
          <w:sz w:val="14"/>
          <w:szCs w:val="14"/>
        </w:rPr>
        <w:t xml:space="preserve"> Flores, Mario Germán </w:t>
      </w:r>
      <w:proofErr w:type="spellStart"/>
      <w:r w:rsidRPr="00654D1D">
        <w:rPr>
          <w:rFonts w:ascii="ITC Avant Garde" w:hAnsi="ITC Avant Garde"/>
          <w:sz w:val="14"/>
          <w:szCs w:val="14"/>
        </w:rPr>
        <w:t>Fromow</w:t>
      </w:r>
      <w:proofErr w:type="spellEnd"/>
      <w:r w:rsidRPr="00654D1D">
        <w:rPr>
          <w:rFonts w:ascii="ITC Avant Garde" w:hAnsi="ITC Avant Garde"/>
          <w:sz w:val="14"/>
          <w:szCs w:val="14"/>
        </w:rPr>
        <w:t xml:space="preserve"> Rangel, Adolfo Cuevas Teja y Javier Juárez Mojica;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P/IFT/220317/146.</w:t>
      </w:r>
    </w:p>
    <w:p w14:paraId="4B602873" w14:textId="5C16EF1A" w:rsidR="003E526D" w:rsidRPr="00654D1D" w:rsidRDefault="0031745F" w:rsidP="00654D1D">
      <w:pPr>
        <w:pStyle w:val="N1IFT"/>
        <w:spacing w:before="240" w:line="240" w:lineRule="auto"/>
        <w:rPr>
          <w:b w:val="0"/>
          <w:bCs w:val="0"/>
          <w:sz w:val="14"/>
          <w:szCs w:val="14"/>
          <w:lang w:val="es-ES"/>
        </w:rPr>
      </w:pPr>
      <w:r w:rsidRPr="00654D1D">
        <w:rPr>
          <w:b w:val="0"/>
          <w:bCs w:val="0"/>
          <w:sz w:val="14"/>
          <w:szCs w:val="14"/>
          <w:lang w:val="es-ES"/>
        </w:rPr>
        <w:t xml:space="preserve">La Comisionada Adriana Sofía </w:t>
      </w:r>
      <w:proofErr w:type="spellStart"/>
      <w:r w:rsidRPr="00654D1D">
        <w:rPr>
          <w:b w:val="0"/>
          <w:bCs w:val="0"/>
          <w:sz w:val="14"/>
          <w:szCs w:val="14"/>
          <w:lang w:val="es-ES"/>
        </w:rPr>
        <w:t>Labardini</w:t>
      </w:r>
      <w:proofErr w:type="spellEnd"/>
      <w:r w:rsidRPr="00654D1D">
        <w:rPr>
          <w:b w:val="0"/>
          <w:bCs w:val="0"/>
          <w:sz w:val="14"/>
          <w:szCs w:val="14"/>
          <w:lang w:val="es-ES"/>
        </w:rPr>
        <w:t xml:space="preserve"> </w:t>
      </w:r>
      <w:proofErr w:type="spellStart"/>
      <w:r w:rsidRPr="00654D1D">
        <w:rPr>
          <w:b w:val="0"/>
          <w:bCs w:val="0"/>
          <w:sz w:val="14"/>
          <w:szCs w:val="14"/>
          <w:lang w:val="es-ES"/>
        </w:rPr>
        <w:t>Inzunza</w:t>
      </w:r>
      <w:proofErr w:type="spellEnd"/>
      <w:r w:rsidRPr="00654D1D">
        <w:rPr>
          <w:b w:val="0"/>
          <w:bCs w:val="0"/>
          <w:sz w:val="14"/>
          <w:szCs w:val="14"/>
          <w:lang w:val="es-ES"/>
        </w:rPr>
        <w:t xml:space="preserve">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sectPr w:rsidR="003E526D" w:rsidRPr="00654D1D" w:rsidSect="00A37EBA">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31626" w14:textId="77777777" w:rsidR="007D47EF" w:rsidRDefault="007D47EF" w:rsidP="00406DF7">
      <w:pPr>
        <w:spacing w:after="0" w:line="240" w:lineRule="auto"/>
      </w:pPr>
      <w:r>
        <w:separator/>
      </w:r>
    </w:p>
  </w:endnote>
  <w:endnote w:type="continuationSeparator" w:id="0">
    <w:p w14:paraId="09C4D334" w14:textId="77777777" w:rsidR="007D47EF" w:rsidRDefault="007D47EF" w:rsidP="00406DF7">
      <w:pPr>
        <w:spacing w:after="0" w:line="240" w:lineRule="auto"/>
      </w:pPr>
      <w:r>
        <w:continuationSeparator/>
      </w:r>
    </w:p>
  </w:endnote>
  <w:endnote w:type="continuationNotice" w:id="1">
    <w:p w14:paraId="655A8FC4" w14:textId="77777777" w:rsidR="007D47EF" w:rsidRDefault="007D47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Arial"/>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99273"/>
      <w:docPartObj>
        <w:docPartGallery w:val="Page Numbers (Bottom of Page)"/>
        <w:docPartUnique/>
      </w:docPartObj>
    </w:sdtPr>
    <w:sdtContent>
      <w:p w14:paraId="4B6028A4" w14:textId="0989DFE9" w:rsidR="001173E7" w:rsidRDefault="001173E7" w:rsidP="00654D1D">
        <w:pPr>
          <w:pStyle w:val="Piedepgina"/>
          <w:jc w:val="right"/>
        </w:pPr>
        <w:r>
          <w:fldChar w:fldCharType="begin"/>
        </w:r>
        <w:r>
          <w:instrText>PAGE   \* MERGEFORMAT</w:instrText>
        </w:r>
        <w:r>
          <w:fldChar w:fldCharType="separate"/>
        </w:r>
        <w:r w:rsidR="00DF0ED0" w:rsidRPr="00DF0ED0">
          <w:rPr>
            <w:noProof/>
            <w:lang w:val="es-ES"/>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92BC0" w14:textId="77777777" w:rsidR="007D47EF" w:rsidRDefault="007D47EF" w:rsidP="00406DF7">
      <w:pPr>
        <w:spacing w:after="0" w:line="240" w:lineRule="auto"/>
      </w:pPr>
      <w:r>
        <w:separator/>
      </w:r>
    </w:p>
  </w:footnote>
  <w:footnote w:type="continuationSeparator" w:id="0">
    <w:p w14:paraId="09A790E7" w14:textId="77777777" w:rsidR="007D47EF" w:rsidRDefault="007D47EF" w:rsidP="00406DF7">
      <w:pPr>
        <w:spacing w:after="0" w:line="240" w:lineRule="auto"/>
      </w:pPr>
      <w:r>
        <w:continuationSeparator/>
      </w:r>
    </w:p>
  </w:footnote>
  <w:footnote w:type="continuationNotice" w:id="1">
    <w:p w14:paraId="392FE883" w14:textId="77777777" w:rsidR="007D47EF" w:rsidRDefault="007D47EF">
      <w:pPr>
        <w:spacing w:after="0" w:line="240" w:lineRule="auto"/>
      </w:pPr>
    </w:p>
  </w:footnote>
  <w:footnote w:id="2">
    <w:p w14:paraId="4B6028AA" w14:textId="77777777" w:rsidR="001173E7" w:rsidRPr="007924AB" w:rsidRDefault="001173E7" w:rsidP="003E526D">
      <w:pPr>
        <w:tabs>
          <w:tab w:val="left" w:pos="159"/>
        </w:tabs>
        <w:spacing w:after="0" w:line="240" w:lineRule="auto"/>
        <w:ind w:left="23" w:right="301"/>
        <w:jc w:val="both"/>
        <w:rPr>
          <w:rFonts w:ascii="Arial Narrow" w:hAnsi="Arial Narrow" w:cs="Arial"/>
          <w:sz w:val="14"/>
          <w:szCs w:val="14"/>
          <w:lang w:val="en-US"/>
        </w:rPr>
      </w:pPr>
      <w:r>
        <w:rPr>
          <w:rFonts w:ascii="Arial" w:hAnsi="Arial" w:cs="Arial"/>
          <w:sz w:val="16"/>
          <w:szCs w:val="16"/>
          <w:vertAlign w:val="superscript"/>
        </w:rPr>
        <w:footnoteRef/>
      </w:r>
      <w:r>
        <w:rPr>
          <w:rFonts w:ascii="Arial" w:hAnsi="Arial" w:cs="Arial"/>
          <w:sz w:val="16"/>
          <w:szCs w:val="16"/>
          <w:lang w:val="en-US"/>
        </w:rPr>
        <w:tab/>
        <w:t>"</w:t>
      </w:r>
      <w:r w:rsidRPr="007924AB">
        <w:rPr>
          <w:rFonts w:ascii="Arial Narrow" w:hAnsi="Arial Narrow" w:cs="Arial"/>
          <w:sz w:val="14"/>
          <w:szCs w:val="14"/>
          <w:lang w:val="en-US"/>
        </w:rPr>
        <w:t>The economic and the empirical evidence indicate that drastic reductions of MTRs are likely to reduce the welfare of European customers. In addition, relying on the US experience as support of regulatory policies that, in practice, lead to below cost MTRs is not advisable. Analysis of usage patterns shows that only European heavy users would benefit from such an approach".</w:t>
      </w:r>
    </w:p>
    <w:p w14:paraId="4B6028AB" w14:textId="5C26666E" w:rsidR="001173E7" w:rsidRPr="007924AB" w:rsidRDefault="001173E7" w:rsidP="003E526D">
      <w:pPr>
        <w:spacing w:after="0" w:line="240" w:lineRule="auto"/>
        <w:ind w:left="23" w:right="301"/>
        <w:jc w:val="both"/>
        <w:rPr>
          <w:rFonts w:ascii="Arial Narrow" w:hAnsi="Arial Narrow"/>
          <w:sz w:val="14"/>
          <w:szCs w:val="14"/>
          <w:lang w:val="es-ES"/>
        </w:rPr>
      </w:pPr>
      <w:r w:rsidRPr="007924AB">
        <w:rPr>
          <w:rFonts w:ascii="Arial Narrow" w:hAnsi="Arial Narrow" w:cs="Arial"/>
          <w:sz w:val="14"/>
          <w:szCs w:val="14"/>
          <w:lang w:val="en-US"/>
        </w:rPr>
        <w:t xml:space="preserve">FRONTIER ECONOMICS, </w:t>
      </w:r>
      <w:r w:rsidRPr="007924AB">
        <w:rPr>
          <w:rStyle w:val="NotaalpieCursiva"/>
          <w:rFonts w:ascii="Arial Narrow" w:hAnsi="Arial Narrow" w:cs="Arial"/>
          <w:sz w:val="14"/>
          <w:szCs w:val="14"/>
          <w:lang w:val="en-US"/>
        </w:rPr>
        <w:t>Assessing the impact of lowering mobile termination rates,</w:t>
      </w:r>
      <w:r w:rsidRPr="007924AB">
        <w:rPr>
          <w:rFonts w:ascii="Arial Narrow" w:hAnsi="Arial Narrow" w:cs="Arial"/>
          <w:sz w:val="14"/>
          <w:szCs w:val="14"/>
          <w:lang w:val="en-US"/>
        </w:rPr>
        <w:t xml:space="preserve"> Julio 2008, p. 12. </w:t>
      </w:r>
      <w:r w:rsidRPr="007924AB">
        <w:rPr>
          <w:rFonts w:ascii="Arial Narrow" w:hAnsi="Arial Narrow" w:cs="Arial"/>
          <w:sz w:val="14"/>
          <w:szCs w:val="14"/>
          <w:lang w:val="es-ES"/>
        </w:rPr>
        <w:t xml:space="preserve">En: </w:t>
      </w:r>
      <w:r w:rsidRPr="00654D1D">
        <w:rPr>
          <w:rFonts w:ascii="Arial Narrow" w:hAnsi="Arial Narrow" w:cs="Arial"/>
          <w:sz w:val="14"/>
          <w:szCs w:val="14"/>
        </w:rPr>
        <w:t>http://www.frontier</w:t>
      </w:r>
      <w:r w:rsidRPr="007924AB">
        <w:rPr>
          <w:rFonts w:ascii="Arial Narrow" w:hAnsi="Arial Narrow" w:cs="Arial"/>
          <w:sz w:val="14"/>
          <w:szCs w:val="14"/>
          <w:lang w:val="es-ES"/>
        </w:rPr>
        <w:t>economics.com/Jibrary/publications/Frontier%20publication_MTRimpact.pdf</w:t>
      </w:r>
    </w:p>
  </w:footnote>
  <w:footnote w:id="3">
    <w:p w14:paraId="4B6028AC" w14:textId="77777777" w:rsidR="001173E7" w:rsidRPr="007924AB" w:rsidRDefault="001173E7" w:rsidP="003E526D">
      <w:pPr>
        <w:pStyle w:val="Textonotapie"/>
        <w:rPr>
          <w:rFonts w:ascii="Arial Narrow" w:hAnsi="Arial Narrow" w:cs="Arial"/>
          <w:sz w:val="14"/>
          <w:szCs w:val="14"/>
        </w:rPr>
      </w:pPr>
      <w:r w:rsidRPr="007924AB">
        <w:rPr>
          <w:rStyle w:val="Refdenotaalpie"/>
          <w:rFonts w:ascii="Arial Narrow" w:hAnsi="Arial Narrow"/>
          <w:sz w:val="14"/>
          <w:szCs w:val="14"/>
        </w:rPr>
        <w:footnoteRef/>
      </w:r>
      <w:r w:rsidRPr="007924AB">
        <w:rPr>
          <w:rFonts w:ascii="Arial Narrow" w:hAnsi="Arial Narrow"/>
          <w:sz w:val="14"/>
          <w:szCs w:val="14"/>
        </w:rPr>
        <w:t xml:space="preserve"> </w:t>
      </w:r>
      <w:r w:rsidRPr="007924AB">
        <w:rPr>
          <w:rFonts w:ascii="Arial Narrow" w:hAnsi="Arial Narrow" w:cs="Arial"/>
          <w:sz w:val="14"/>
          <w:szCs w:val="14"/>
        </w:rPr>
        <w:t>UIT y Banco Mundial (2000), Manual de Reglamentación de las telecomunicaciones.</w:t>
      </w:r>
    </w:p>
    <w:p w14:paraId="4B6028AD" w14:textId="77777777" w:rsidR="001173E7" w:rsidRPr="007924AB" w:rsidRDefault="001173E7" w:rsidP="003E526D">
      <w:pPr>
        <w:pStyle w:val="Textonotapie"/>
        <w:rPr>
          <w:rFonts w:ascii="Arial Narrow" w:hAnsi="Arial Narrow"/>
          <w:sz w:val="14"/>
          <w:szCs w:val="14"/>
        </w:rPr>
      </w:pPr>
    </w:p>
  </w:footnote>
  <w:footnote w:id="4">
    <w:p w14:paraId="4B6028AE" w14:textId="77777777" w:rsidR="001173E7" w:rsidRPr="007924AB" w:rsidRDefault="001173E7" w:rsidP="003E526D">
      <w:pPr>
        <w:pStyle w:val="Textonotapie"/>
        <w:jc w:val="both"/>
        <w:rPr>
          <w:rFonts w:ascii="Arial" w:hAnsi="Arial" w:cs="Arial"/>
          <w:sz w:val="14"/>
          <w:szCs w:val="14"/>
          <w:lang w:val="en-US"/>
        </w:rPr>
      </w:pPr>
      <w:r>
        <w:rPr>
          <w:rStyle w:val="Refdenotaalpie"/>
        </w:rPr>
        <w:footnoteRef/>
      </w:r>
      <w:r w:rsidRPr="0039035B">
        <w:rPr>
          <w:lang w:val="en-US"/>
        </w:rPr>
        <w:t xml:space="preserve"> </w:t>
      </w:r>
      <w:r w:rsidRPr="007924AB">
        <w:rPr>
          <w:rFonts w:ascii="Arial" w:hAnsi="Arial" w:cs="Arial"/>
          <w:sz w:val="14"/>
          <w:szCs w:val="14"/>
          <w:lang w:val="en-US"/>
        </w:rPr>
        <w:t xml:space="preserve">Armstrong, Mark, Cowan S. y Vickers J (1994). </w:t>
      </w:r>
      <w:r w:rsidRPr="007924AB">
        <w:rPr>
          <w:rFonts w:ascii="Arial" w:hAnsi="Arial" w:cs="Arial"/>
          <w:i/>
          <w:sz w:val="14"/>
          <w:szCs w:val="14"/>
          <w:lang w:val="en-US"/>
        </w:rPr>
        <w:t xml:space="preserve">Regulatory reform: economic </w:t>
      </w:r>
      <w:proofErr w:type="spellStart"/>
      <w:r w:rsidRPr="007924AB">
        <w:rPr>
          <w:rFonts w:ascii="Arial" w:hAnsi="Arial" w:cs="Arial"/>
          <w:i/>
          <w:sz w:val="14"/>
          <w:szCs w:val="14"/>
          <w:lang w:val="en-US"/>
        </w:rPr>
        <w:t>analisys</w:t>
      </w:r>
      <w:proofErr w:type="spellEnd"/>
      <w:r w:rsidRPr="007924AB">
        <w:rPr>
          <w:rFonts w:ascii="Arial" w:hAnsi="Arial" w:cs="Arial"/>
          <w:i/>
          <w:sz w:val="14"/>
          <w:szCs w:val="14"/>
          <w:lang w:val="en-US"/>
        </w:rPr>
        <w:t xml:space="preserve"> and British experience</w:t>
      </w:r>
      <w:r w:rsidRPr="007924AB">
        <w:rPr>
          <w:rFonts w:ascii="Arial" w:hAnsi="Arial" w:cs="Arial"/>
          <w:sz w:val="14"/>
          <w:szCs w:val="14"/>
          <w:lang w:val="en-US"/>
        </w:rPr>
        <w:t>. Massachusetts Institute of Technology.</w:t>
      </w:r>
    </w:p>
  </w:footnote>
  <w:footnote w:id="5">
    <w:p w14:paraId="4B6028AF" w14:textId="77777777" w:rsidR="001173E7" w:rsidRPr="007924AB" w:rsidRDefault="001173E7" w:rsidP="003E526D">
      <w:pPr>
        <w:pStyle w:val="Textonotapie"/>
        <w:rPr>
          <w:rFonts w:ascii="Arial" w:hAnsi="Arial" w:cs="Arial"/>
          <w:sz w:val="14"/>
          <w:szCs w:val="14"/>
          <w:lang w:val="en-US"/>
        </w:rPr>
      </w:pPr>
      <w:r w:rsidRPr="007924AB">
        <w:rPr>
          <w:rStyle w:val="Refdenotaalpie"/>
          <w:rFonts w:ascii="Arial" w:hAnsi="Arial" w:cs="Arial"/>
          <w:sz w:val="14"/>
          <w:szCs w:val="14"/>
        </w:rPr>
        <w:footnoteRef/>
      </w:r>
      <w:r w:rsidRPr="007924AB">
        <w:rPr>
          <w:rFonts w:ascii="Arial" w:hAnsi="Arial" w:cs="Arial"/>
          <w:sz w:val="14"/>
          <w:szCs w:val="14"/>
          <w:lang w:val="en-US"/>
        </w:rPr>
        <w:t xml:space="preserve"> Ibid.</w:t>
      </w:r>
    </w:p>
  </w:footnote>
  <w:footnote w:id="6">
    <w:p w14:paraId="4B6028B0" w14:textId="77777777" w:rsidR="001173E7" w:rsidRPr="007924AB" w:rsidRDefault="001173E7" w:rsidP="003E526D">
      <w:pPr>
        <w:pStyle w:val="Textonotapie"/>
        <w:jc w:val="both"/>
        <w:rPr>
          <w:rFonts w:ascii="Arial Narrow" w:hAnsi="Arial Narrow" w:cs="Arial"/>
          <w:sz w:val="14"/>
          <w:szCs w:val="14"/>
          <w:lang w:val="en-US"/>
        </w:rPr>
      </w:pPr>
      <w:r w:rsidRPr="00F83852">
        <w:rPr>
          <w:rStyle w:val="Refdenotaalpie"/>
          <w:sz w:val="18"/>
          <w:szCs w:val="18"/>
        </w:rPr>
        <w:footnoteRef/>
      </w:r>
      <w:r w:rsidRPr="00F83852">
        <w:rPr>
          <w:rFonts w:ascii="Arial" w:hAnsi="Arial" w:cs="Arial"/>
          <w:sz w:val="18"/>
          <w:szCs w:val="18"/>
          <w:lang w:val="en-US"/>
        </w:rPr>
        <w:t xml:space="preserve"> </w:t>
      </w:r>
      <w:r w:rsidRPr="007924AB">
        <w:rPr>
          <w:rFonts w:ascii="Arial Narrow" w:hAnsi="Arial Narrow" w:cs="Arial"/>
          <w:bCs/>
          <w:iCs/>
          <w:sz w:val="14"/>
          <w:szCs w:val="14"/>
          <w:lang w:val="en-US"/>
        </w:rPr>
        <w:t xml:space="preserve">Fuente: </w:t>
      </w:r>
      <w:proofErr w:type="spellStart"/>
      <w:r w:rsidRPr="007924AB">
        <w:rPr>
          <w:rFonts w:ascii="Arial Narrow" w:hAnsi="Arial Narrow" w:cs="Arial"/>
          <w:sz w:val="14"/>
          <w:szCs w:val="14"/>
          <w:lang w:val="en-US"/>
        </w:rPr>
        <w:t>Suecia</w:t>
      </w:r>
      <w:proofErr w:type="spellEnd"/>
      <w:r w:rsidRPr="007924AB">
        <w:rPr>
          <w:rFonts w:ascii="Arial Narrow" w:hAnsi="Arial Narrow" w:cs="Arial"/>
          <w:sz w:val="14"/>
          <w:szCs w:val="14"/>
          <w:lang w:val="en-US"/>
        </w:rPr>
        <w:t>: http://w</w:t>
      </w:r>
      <w:hyperlink r:id="rId1" w:history="1">
        <w:r w:rsidRPr="007924AB">
          <w:rPr>
            <w:rFonts w:ascii="Arial Narrow" w:hAnsi="Arial Narrow" w:cs="Arial"/>
            <w:sz w:val="14"/>
            <w:szCs w:val="14"/>
            <w:lang w:val="en-US"/>
          </w:rPr>
          <w:t>ww.pts.se/upload/</w:t>
        </w:r>
      </w:hyperlink>
      <w:hyperlink r:id="rId2" w:history="1">
        <w:r w:rsidRPr="007924AB">
          <w:rPr>
            <w:rFonts w:ascii="Arial Narrow" w:hAnsi="Arial Narrow" w:cs="Arial"/>
            <w:sz w:val="14"/>
            <w:szCs w:val="14"/>
            <w:lang w:val="en-US"/>
          </w:rPr>
          <w:t>Ovrigt</w:t>
        </w:r>
      </w:hyperlink>
      <w:hyperlink r:id="rId3" w:history="1">
        <w:r w:rsidRPr="007924AB">
          <w:rPr>
            <w:rFonts w:ascii="Arial Narrow" w:hAnsi="Arial Narrow" w:cs="Arial"/>
            <w:sz w:val="14"/>
            <w:szCs w:val="14"/>
            <w:lang w:val="en-US"/>
          </w:rPr>
          <w:t>/Tele/</w:t>
        </w:r>
      </w:hyperlink>
      <w:hyperlink r:id="rId4" w:history="1">
        <w:r w:rsidRPr="007924AB">
          <w:rPr>
            <w:rFonts w:ascii="Arial Narrow" w:hAnsi="Arial Narrow" w:cs="Arial"/>
            <w:sz w:val="14"/>
            <w:szCs w:val="14"/>
            <w:lang w:val="en-US"/>
          </w:rPr>
          <w:t>Bransch</w:t>
        </w:r>
      </w:hyperlink>
      <w:hyperlink r:id="rId5" w:history="1">
        <w:r w:rsidRPr="007924AB">
          <w:rPr>
            <w:rFonts w:ascii="Arial Narrow" w:hAnsi="Arial Narrow" w:cs="Arial"/>
            <w:sz w:val="14"/>
            <w:szCs w:val="14"/>
            <w:lang w:val="en-US"/>
          </w:rPr>
          <w:t>/Kalkylarbete%20mobilnät/Model-   documentation-for-PTS-080602.pdf</w:t>
        </w:r>
      </w:hyperlink>
      <w:r w:rsidRPr="007924AB">
        <w:rPr>
          <w:rFonts w:ascii="Arial Narrow" w:hAnsi="Arial Narrow" w:cs="Arial"/>
          <w:sz w:val="14"/>
          <w:szCs w:val="14"/>
          <w:lang w:val="en-US"/>
        </w:rPr>
        <w:t xml:space="preserve">; </w:t>
      </w:r>
      <w:proofErr w:type="spellStart"/>
      <w:r w:rsidRPr="007924AB">
        <w:rPr>
          <w:rFonts w:ascii="Arial Narrow" w:hAnsi="Arial Narrow" w:cs="Arial"/>
          <w:sz w:val="14"/>
          <w:szCs w:val="14"/>
          <w:lang w:val="en-US"/>
        </w:rPr>
        <w:t>Reino</w:t>
      </w:r>
      <w:proofErr w:type="spellEnd"/>
      <w:r w:rsidRPr="007924AB">
        <w:rPr>
          <w:rFonts w:ascii="Arial Narrow" w:hAnsi="Arial Narrow" w:cs="Arial"/>
          <w:bCs/>
          <w:iCs/>
          <w:sz w:val="14"/>
          <w:szCs w:val="14"/>
          <w:lang w:val="en-US"/>
        </w:rPr>
        <w:t xml:space="preserve"> </w:t>
      </w:r>
      <w:proofErr w:type="spellStart"/>
      <w:r w:rsidRPr="007924AB">
        <w:rPr>
          <w:rFonts w:ascii="Arial Narrow" w:hAnsi="Arial Narrow" w:cs="Arial"/>
          <w:bCs/>
          <w:iCs/>
          <w:sz w:val="14"/>
          <w:szCs w:val="14"/>
          <w:lang w:val="en-US"/>
        </w:rPr>
        <w:t>Unido</w:t>
      </w:r>
      <w:proofErr w:type="spellEnd"/>
      <w:r w:rsidRPr="007924AB">
        <w:rPr>
          <w:rFonts w:ascii="Arial Narrow" w:hAnsi="Arial Narrow" w:cs="Arial"/>
          <w:bCs/>
          <w:iCs/>
          <w:sz w:val="14"/>
          <w:szCs w:val="14"/>
          <w:lang w:val="en-US"/>
        </w:rPr>
        <w:t>:</w:t>
      </w:r>
      <w:r w:rsidRPr="007924AB">
        <w:rPr>
          <w:rFonts w:ascii="Arial Narrow" w:hAnsi="Arial Narrow" w:cs="Arial"/>
          <w:sz w:val="14"/>
          <w:szCs w:val="14"/>
          <w:lang w:val="en-US"/>
        </w:rPr>
        <w:t xml:space="preserve"> </w:t>
      </w:r>
      <w:proofErr w:type="spellStart"/>
      <w:r w:rsidRPr="007924AB">
        <w:rPr>
          <w:rFonts w:ascii="Arial Narrow" w:hAnsi="Arial Narrow" w:cs="Arial"/>
          <w:sz w:val="14"/>
          <w:szCs w:val="14"/>
          <w:lang w:val="en-US"/>
        </w:rPr>
        <w:t>Ofcom</w:t>
      </w:r>
      <w:proofErr w:type="spellEnd"/>
      <w:r w:rsidRPr="007924AB">
        <w:rPr>
          <w:rFonts w:ascii="Arial Narrow" w:hAnsi="Arial Narrow" w:cs="Arial"/>
          <w:sz w:val="14"/>
          <w:szCs w:val="14"/>
          <w:lang w:val="en-US"/>
        </w:rPr>
        <w:t xml:space="preserve">, “Mobile Call Termination”, November 2006; </w:t>
      </w:r>
      <w:r w:rsidRPr="007924AB">
        <w:rPr>
          <w:rFonts w:ascii="Arial Narrow" w:hAnsi="Arial Narrow" w:cs="Arial"/>
          <w:bCs/>
          <w:iCs/>
          <w:sz w:val="14"/>
          <w:szCs w:val="14"/>
          <w:lang w:val="en-US"/>
        </w:rPr>
        <w:t>Australia:</w:t>
      </w:r>
      <w:r w:rsidRPr="007924AB">
        <w:rPr>
          <w:rFonts w:ascii="Arial Narrow" w:hAnsi="Arial Narrow" w:cs="Arial"/>
          <w:sz w:val="14"/>
          <w:szCs w:val="14"/>
          <w:lang w:val="en-US"/>
        </w:rPr>
        <w:t xml:space="preserve"> </w:t>
      </w:r>
      <w:proofErr w:type="spellStart"/>
      <w:r w:rsidRPr="007924AB">
        <w:rPr>
          <w:rFonts w:ascii="Arial Narrow" w:hAnsi="Arial Narrow" w:cs="Arial"/>
          <w:sz w:val="14"/>
          <w:szCs w:val="14"/>
          <w:lang w:val="en-US"/>
        </w:rPr>
        <w:t>Wik</w:t>
      </w:r>
      <w:proofErr w:type="spellEnd"/>
      <w:r w:rsidRPr="007924AB">
        <w:rPr>
          <w:rFonts w:ascii="Arial Narrow" w:hAnsi="Arial Narrow" w:cs="Arial"/>
          <w:sz w:val="14"/>
          <w:szCs w:val="14"/>
          <w:lang w:val="en-US"/>
        </w:rPr>
        <w:t xml:space="preserve">-Consult, “Mobile Termination Cost Model for Australia”, Report for the Australian Competition and Consumer Commission”. </w:t>
      </w:r>
      <w:proofErr w:type="spellStart"/>
      <w:r w:rsidRPr="007924AB">
        <w:rPr>
          <w:rFonts w:ascii="Arial Narrow" w:hAnsi="Arial Narrow" w:cs="Arial"/>
          <w:sz w:val="14"/>
          <w:szCs w:val="14"/>
          <w:lang w:val="en-US"/>
        </w:rPr>
        <w:t>Enero</w:t>
      </w:r>
      <w:proofErr w:type="spellEnd"/>
      <w:r w:rsidRPr="007924AB">
        <w:rPr>
          <w:rFonts w:ascii="Arial Narrow" w:hAnsi="Arial Narrow" w:cs="Arial"/>
          <w:sz w:val="14"/>
          <w:szCs w:val="14"/>
          <w:lang w:val="en-US"/>
        </w:rPr>
        <w:t xml:space="preserve"> 2007; </w:t>
      </w:r>
      <w:r w:rsidRPr="007924AB">
        <w:rPr>
          <w:rFonts w:ascii="Arial Narrow" w:hAnsi="Arial Narrow" w:cs="Arial"/>
          <w:bCs/>
          <w:iCs/>
          <w:sz w:val="14"/>
          <w:szCs w:val="14"/>
          <w:lang w:val="en-US"/>
        </w:rPr>
        <w:t>Israel:</w:t>
      </w:r>
      <w:r w:rsidRPr="007924AB">
        <w:rPr>
          <w:rFonts w:ascii="Arial Narrow" w:hAnsi="Arial Narrow" w:cs="Arial"/>
          <w:sz w:val="14"/>
          <w:szCs w:val="14"/>
          <w:lang w:val="en-US"/>
        </w:rPr>
        <w:t xml:space="preserve"> </w:t>
      </w:r>
      <w:proofErr w:type="spellStart"/>
      <w:r w:rsidRPr="007924AB">
        <w:rPr>
          <w:rFonts w:ascii="Arial Narrow" w:hAnsi="Arial Narrow" w:cs="Arial"/>
          <w:sz w:val="14"/>
          <w:szCs w:val="14"/>
          <w:lang w:val="en-US"/>
        </w:rPr>
        <w:t>Analysys</w:t>
      </w:r>
      <w:proofErr w:type="spellEnd"/>
      <w:r w:rsidRPr="007924AB">
        <w:rPr>
          <w:rFonts w:ascii="Arial Narrow" w:hAnsi="Arial Narrow" w:cs="Arial"/>
          <w:sz w:val="14"/>
          <w:szCs w:val="14"/>
          <w:lang w:val="en-US"/>
        </w:rPr>
        <w:t xml:space="preserve">, “A study of mobile termination charges”, Report for the Israel Ministry of Communications and Ministry of Finance, Julio 2004.; </w:t>
      </w:r>
      <w:proofErr w:type="spellStart"/>
      <w:r w:rsidRPr="007924AB">
        <w:rPr>
          <w:rFonts w:ascii="Arial Narrow" w:hAnsi="Arial Narrow" w:cs="Arial"/>
          <w:bCs/>
          <w:iCs/>
          <w:sz w:val="14"/>
          <w:szCs w:val="14"/>
          <w:lang w:val="en-US"/>
        </w:rPr>
        <w:t>Perú</w:t>
      </w:r>
      <w:proofErr w:type="spellEnd"/>
      <w:r w:rsidRPr="007924AB">
        <w:rPr>
          <w:rFonts w:ascii="Arial Narrow" w:hAnsi="Arial Narrow" w:cs="Arial"/>
          <w:sz w:val="14"/>
          <w:szCs w:val="14"/>
          <w:lang w:val="en-US"/>
        </w:rPr>
        <w:t xml:space="preserve">: </w:t>
      </w:r>
      <w:proofErr w:type="spellStart"/>
      <w:r w:rsidRPr="007924AB">
        <w:rPr>
          <w:rFonts w:ascii="Arial Narrow" w:hAnsi="Arial Narrow" w:cs="Arial"/>
          <w:sz w:val="14"/>
          <w:szCs w:val="14"/>
          <w:lang w:val="en-US"/>
        </w:rPr>
        <w:t>Wik</w:t>
      </w:r>
      <w:proofErr w:type="spellEnd"/>
      <w:r w:rsidRPr="007924AB">
        <w:rPr>
          <w:rFonts w:ascii="Arial Narrow" w:hAnsi="Arial Narrow" w:cs="Arial"/>
          <w:sz w:val="14"/>
          <w:szCs w:val="14"/>
          <w:lang w:val="en-US"/>
        </w:rPr>
        <w:t xml:space="preserve">-Consult, “Analysis of Cost Studies presented by Mobile Network Operators”, Submitted to OSIPITEL, Mayo 2005; </w:t>
      </w:r>
      <w:r w:rsidRPr="007924AB">
        <w:rPr>
          <w:rFonts w:ascii="Arial Narrow" w:hAnsi="Arial Narrow" w:cs="Arial"/>
          <w:bCs/>
          <w:iCs/>
          <w:sz w:val="14"/>
          <w:szCs w:val="14"/>
          <w:lang w:val="en-US"/>
        </w:rPr>
        <w:t>Colombia</w:t>
      </w:r>
      <w:r w:rsidRPr="007924AB">
        <w:rPr>
          <w:rFonts w:ascii="Arial Narrow" w:hAnsi="Arial Narrow" w:cs="Arial"/>
          <w:sz w:val="14"/>
          <w:szCs w:val="14"/>
          <w:lang w:val="en-US"/>
        </w:rPr>
        <w:t xml:space="preserve">: CRT, </w:t>
      </w:r>
      <w:proofErr w:type="spellStart"/>
      <w:r w:rsidRPr="007924AB">
        <w:rPr>
          <w:rFonts w:ascii="Arial Narrow" w:hAnsi="Arial Narrow" w:cs="Arial"/>
          <w:sz w:val="14"/>
          <w:szCs w:val="14"/>
          <w:lang w:val="en-US"/>
        </w:rPr>
        <w:t>Políticas</w:t>
      </w:r>
      <w:proofErr w:type="spellEnd"/>
      <w:r w:rsidRPr="007924AB">
        <w:rPr>
          <w:rFonts w:ascii="Arial Narrow" w:hAnsi="Arial Narrow" w:cs="Arial"/>
          <w:sz w:val="14"/>
          <w:szCs w:val="14"/>
          <w:lang w:val="en-US"/>
        </w:rPr>
        <w:t xml:space="preserve"> </w:t>
      </w:r>
      <w:proofErr w:type="spellStart"/>
      <w:r w:rsidRPr="007924AB">
        <w:rPr>
          <w:rFonts w:ascii="Arial Narrow" w:hAnsi="Arial Narrow" w:cs="Arial"/>
          <w:sz w:val="14"/>
          <w:szCs w:val="14"/>
          <w:lang w:val="en-US"/>
        </w:rPr>
        <w:t>Generales</w:t>
      </w:r>
      <w:proofErr w:type="spellEnd"/>
      <w:r w:rsidRPr="007924AB">
        <w:rPr>
          <w:rFonts w:ascii="Arial Narrow" w:hAnsi="Arial Narrow" w:cs="Arial"/>
          <w:sz w:val="14"/>
          <w:szCs w:val="14"/>
          <w:lang w:val="en-US"/>
        </w:rPr>
        <w:t xml:space="preserve"> y </w:t>
      </w:r>
      <w:proofErr w:type="spellStart"/>
      <w:r w:rsidRPr="007924AB">
        <w:rPr>
          <w:rFonts w:ascii="Arial Narrow" w:hAnsi="Arial Narrow" w:cs="Arial"/>
          <w:sz w:val="14"/>
          <w:szCs w:val="14"/>
          <w:lang w:val="en-US"/>
        </w:rPr>
        <w:t>Estrategias</w:t>
      </w:r>
      <w:proofErr w:type="spellEnd"/>
      <w:r w:rsidRPr="007924AB">
        <w:rPr>
          <w:rFonts w:ascii="Arial Narrow" w:hAnsi="Arial Narrow" w:cs="Arial"/>
          <w:sz w:val="14"/>
          <w:szCs w:val="14"/>
          <w:lang w:val="en-US"/>
        </w:rPr>
        <w:t xml:space="preserve"> para </w:t>
      </w:r>
      <w:proofErr w:type="spellStart"/>
      <w:r w:rsidRPr="007924AB">
        <w:rPr>
          <w:rFonts w:ascii="Arial Narrow" w:hAnsi="Arial Narrow" w:cs="Arial"/>
          <w:sz w:val="14"/>
          <w:szCs w:val="14"/>
          <w:lang w:val="en-US"/>
        </w:rPr>
        <w:t>Establecer</w:t>
      </w:r>
      <w:proofErr w:type="spellEnd"/>
      <w:r w:rsidRPr="007924AB">
        <w:rPr>
          <w:rFonts w:ascii="Arial Narrow" w:hAnsi="Arial Narrow" w:cs="Arial"/>
          <w:sz w:val="14"/>
          <w:szCs w:val="14"/>
          <w:lang w:val="en-US"/>
        </w:rPr>
        <w:t xml:space="preserve"> un </w:t>
      </w:r>
      <w:proofErr w:type="spellStart"/>
      <w:r w:rsidRPr="007924AB">
        <w:rPr>
          <w:rFonts w:ascii="Arial Narrow" w:hAnsi="Arial Narrow" w:cs="Arial"/>
          <w:sz w:val="14"/>
          <w:szCs w:val="14"/>
          <w:lang w:val="en-US"/>
        </w:rPr>
        <w:t>Régimen</w:t>
      </w:r>
      <w:proofErr w:type="spellEnd"/>
      <w:r w:rsidRPr="007924AB">
        <w:rPr>
          <w:rFonts w:ascii="Arial Narrow" w:hAnsi="Arial Narrow" w:cs="Arial"/>
          <w:sz w:val="14"/>
          <w:szCs w:val="14"/>
          <w:lang w:val="en-US"/>
        </w:rPr>
        <w:t xml:space="preserve"> </w:t>
      </w:r>
      <w:proofErr w:type="spellStart"/>
      <w:r w:rsidRPr="007924AB">
        <w:rPr>
          <w:rFonts w:ascii="Arial Narrow" w:hAnsi="Arial Narrow" w:cs="Arial"/>
          <w:sz w:val="14"/>
          <w:szCs w:val="14"/>
          <w:lang w:val="en-US"/>
        </w:rPr>
        <w:t>Unificado</w:t>
      </w:r>
      <w:proofErr w:type="spellEnd"/>
      <w:r w:rsidRPr="007924AB">
        <w:rPr>
          <w:rFonts w:ascii="Arial Narrow" w:hAnsi="Arial Narrow" w:cs="Arial"/>
          <w:sz w:val="14"/>
          <w:szCs w:val="14"/>
          <w:lang w:val="en-US"/>
        </w:rPr>
        <w:t xml:space="preserve"> de </w:t>
      </w:r>
      <w:proofErr w:type="spellStart"/>
      <w:r w:rsidRPr="007924AB">
        <w:rPr>
          <w:rFonts w:ascii="Arial Narrow" w:hAnsi="Arial Narrow" w:cs="Arial"/>
          <w:sz w:val="14"/>
          <w:szCs w:val="14"/>
          <w:lang w:val="en-US"/>
        </w:rPr>
        <w:t>Interconexión</w:t>
      </w:r>
      <w:proofErr w:type="spellEnd"/>
      <w:r w:rsidRPr="007924AB">
        <w:rPr>
          <w:rFonts w:ascii="Arial Narrow" w:hAnsi="Arial Narrow" w:cs="Arial"/>
          <w:sz w:val="14"/>
          <w:szCs w:val="14"/>
          <w:lang w:val="en-US"/>
        </w:rPr>
        <w:t xml:space="preserve"> (RUDI), Julio 2000; Cullen International “Mobile termination rates: moving toward pure LRIC?”</w:t>
      </w:r>
    </w:p>
  </w:footnote>
  <w:footnote w:id="7">
    <w:p w14:paraId="4B6028B1" w14:textId="77777777" w:rsidR="001173E7" w:rsidRPr="007924AB" w:rsidRDefault="001173E7" w:rsidP="003E526D">
      <w:pPr>
        <w:pStyle w:val="Textonotapie"/>
        <w:spacing w:before="60"/>
        <w:jc w:val="both"/>
        <w:rPr>
          <w:rFonts w:ascii="Arial Narrow" w:hAnsi="Arial Narrow" w:cs="Arial"/>
          <w:sz w:val="14"/>
          <w:szCs w:val="14"/>
        </w:rPr>
      </w:pPr>
      <w:r w:rsidRPr="007924AB">
        <w:rPr>
          <w:rStyle w:val="Refdenotaalpie"/>
          <w:rFonts w:ascii="Arial Narrow" w:hAnsi="Arial Narrow"/>
          <w:sz w:val="14"/>
          <w:szCs w:val="14"/>
        </w:rPr>
        <w:footnoteRef/>
      </w:r>
      <w:r w:rsidRPr="007924AB">
        <w:rPr>
          <w:rFonts w:ascii="Arial Narrow" w:hAnsi="Arial Narrow" w:cs="Arial"/>
          <w:sz w:val="14"/>
          <w:szCs w:val="14"/>
        </w:rPr>
        <w:t xml:space="preserve"> UIT página web: http://www.itu.int/ITU-D/ICTEYE/Reports.aspx.</w:t>
      </w:r>
    </w:p>
  </w:footnote>
  <w:footnote w:id="8">
    <w:p w14:paraId="4B6028B2" w14:textId="77777777" w:rsidR="001173E7" w:rsidRPr="007924AB" w:rsidRDefault="001173E7" w:rsidP="003E526D">
      <w:pPr>
        <w:pStyle w:val="Textonotapie"/>
        <w:spacing w:before="60"/>
        <w:jc w:val="both"/>
        <w:rPr>
          <w:rFonts w:ascii="Arial" w:hAnsi="Arial" w:cs="Arial"/>
          <w:sz w:val="14"/>
          <w:szCs w:val="14"/>
          <w:lang w:val="en-US"/>
        </w:rPr>
      </w:pPr>
      <w:r w:rsidRPr="000A1323">
        <w:rPr>
          <w:rStyle w:val="Refdenotaalpie"/>
          <w:sz w:val="18"/>
          <w:szCs w:val="18"/>
        </w:rPr>
        <w:footnoteRef/>
      </w:r>
      <w:r w:rsidRPr="000A1323">
        <w:rPr>
          <w:rFonts w:ascii="Arial" w:hAnsi="Arial" w:cs="Arial"/>
          <w:sz w:val="18"/>
          <w:szCs w:val="18"/>
          <w:lang w:val="en-US"/>
        </w:rPr>
        <w:t xml:space="preserve"> </w:t>
      </w:r>
      <w:r w:rsidRPr="007924AB">
        <w:rPr>
          <w:rFonts w:ascii="Arial" w:hAnsi="Arial" w:cs="Arial"/>
          <w:sz w:val="14"/>
          <w:szCs w:val="14"/>
          <w:lang w:val="en-US"/>
        </w:rPr>
        <w:t>EUROPEAN COMMISSION (2009a), “Commission Recommendation on the Regulatory Treatment of Fixed and Mobile Termination Rates in the EU”, European Commission, Brussels.</w:t>
      </w:r>
    </w:p>
    <w:p w14:paraId="4B6028B3" w14:textId="77777777" w:rsidR="001173E7" w:rsidRPr="007924AB" w:rsidRDefault="001173E7" w:rsidP="003E526D">
      <w:pPr>
        <w:pStyle w:val="Textonotapie"/>
        <w:rPr>
          <w:rFonts w:ascii="Arial" w:hAnsi="Arial" w:cs="Arial"/>
          <w:sz w:val="14"/>
          <w:szCs w:val="14"/>
          <w:lang w:val="en-US"/>
        </w:rPr>
      </w:pPr>
    </w:p>
  </w:footnote>
  <w:footnote w:id="9">
    <w:p w14:paraId="4B6028B4" w14:textId="77777777" w:rsidR="001173E7" w:rsidRPr="007924AB" w:rsidRDefault="001173E7" w:rsidP="003E526D">
      <w:pPr>
        <w:pStyle w:val="Textonotapie"/>
        <w:jc w:val="both"/>
        <w:rPr>
          <w:rFonts w:ascii="Arial" w:hAnsi="Arial" w:cs="Arial"/>
          <w:color w:val="000000"/>
          <w:sz w:val="14"/>
          <w:szCs w:val="14"/>
        </w:rPr>
      </w:pPr>
      <w:r w:rsidRPr="007924AB">
        <w:rPr>
          <w:rStyle w:val="Refdenotaalpie"/>
          <w:rFonts w:ascii="Arial" w:hAnsi="Arial" w:cs="Arial"/>
          <w:sz w:val="14"/>
          <w:szCs w:val="14"/>
        </w:rPr>
        <w:footnoteRef/>
      </w:r>
      <w:r w:rsidRPr="007924AB">
        <w:rPr>
          <w:rFonts w:ascii="Arial" w:hAnsi="Arial" w:cs="Arial"/>
          <w:color w:val="000000"/>
          <w:sz w:val="14"/>
          <w:szCs w:val="14"/>
        </w:rPr>
        <w:t xml:space="preserve"> </w:t>
      </w:r>
      <w:r w:rsidRPr="007924AB">
        <w:rPr>
          <w:rFonts w:ascii="Arial" w:hAnsi="Arial" w:cs="Arial"/>
          <w:sz w:val="14"/>
          <w:szCs w:val="14"/>
        </w:rPr>
        <w:t>Cabe destacar que la utilización de una depreciación contable (por ejemplo lineal, en el que se divide el monto de la inversión entre el número de años de vida útil) no refleja la realidad sobre la evolución de los activos de una red de telecomunicaciones y asigna un costo constante a lo largo de la vida útil de los activos.</w:t>
      </w:r>
    </w:p>
  </w:footnote>
  <w:footnote w:id="10">
    <w:p w14:paraId="4B6028B5" w14:textId="77777777" w:rsidR="001173E7" w:rsidRPr="007924AB" w:rsidRDefault="001173E7" w:rsidP="003E526D">
      <w:pPr>
        <w:pStyle w:val="Textonotapie"/>
        <w:jc w:val="both"/>
        <w:rPr>
          <w:sz w:val="14"/>
          <w:szCs w:val="14"/>
        </w:rPr>
      </w:pPr>
      <w:r>
        <w:rPr>
          <w:rStyle w:val="Refdenotaalpie"/>
        </w:rPr>
        <w:footnoteRef/>
      </w:r>
      <w:r w:rsidRPr="00534CF7">
        <w:t xml:space="preserve"> </w:t>
      </w:r>
      <w:r w:rsidRPr="007924AB">
        <w:rPr>
          <w:rFonts w:ascii="Arial" w:hAnsi="Arial" w:cs="Arial"/>
          <w:sz w:val="14"/>
          <w:szCs w:val="14"/>
        </w:rPr>
        <w:t>Los resultados del modelo no cambian sustancialmente aun cuando se modele un mercado con 3 o 5 participantes.</w:t>
      </w:r>
    </w:p>
  </w:footnote>
  <w:footnote w:id="11">
    <w:p w14:paraId="4B6028B6" w14:textId="77777777" w:rsidR="001173E7" w:rsidRPr="007924AB" w:rsidRDefault="001173E7" w:rsidP="003E526D">
      <w:pPr>
        <w:pStyle w:val="Textonotapie"/>
        <w:jc w:val="both"/>
        <w:rPr>
          <w:sz w:val="14"/>
          <w:szCs w:val="14"/>
        </w:rPr>
      </w:pPr>
      <w:r w:rsidRPr="007924AB">
        <w:rPr>
          <w:rStyle w:val="Refdenotaalpie"/>
          <w:sz w:val="14"/>
          <w:szCs w:val="14"/>
        </w:rPr>
        <w:footnoteRef/>
      </w:r>
      <w:r w:rsidRPr="007924AB">
        <w:rPr>
          <w:sz w:val="14"/>
          <w:szCs w:val="14"/>
        </w:rPr>
        <w:t xml:space="preserve"> </w:t>
      </w:r>
      <w:r w:rsidRPr="007924AB">
        <w:rPr>
          <w:rFonts w:ascii="Arial" w:hAnsi="Arial" w:cs="Arial"/>
          <w:sz w:val="14"/>
          <w:szCs w:val="14"/>
        </w:rPr>
        <w:t>Recomendación (2009/396/CE) de la Comisión de las Comunidades Europeas, “Sobre el tratamiento normativo de las tarifas de terminación de la telefonía fija y móvil en la UE. 7 de mayo de 2009.</w:t>
      </w:r>
    </w:p>
  </w:footnote>
  <w:footnote w:id="12">
    <w:p w14:paraId="4B6028B7" w14:textId="77777777" w:rsidR="001173E7" w:rsidRPr="00B879F5" w:rsidRDefault="001173E7" w:rsidP="003E526D">
      <w:pPr>
        <w:pStyle w:val="Textonotapie"/>
        <w:rPr>
          <w:sz w:val="14"/>
          <w:szCs w:val="14"/>
          <w:lang w:val="en-US"/>
        </w:rPr>
      </w:pPr>
      <w:r>
        <w:rPr>
          <w:rStyle w:val="Refdenotaalpie"/>
        </w:rPr>
        <w:footnoteRef/>
      </w:r>
      <w:r w:rsidRPr="0086650D">
        <w:rPr>
          <w:lang w:val="en-US"/>
        </w:rPr>
        <w:t xml:space="preserve"> </w:t>
      </w:r>
      <w:r w:rsidRPr="00B879F5">
        <w:rPr>
          <w:rFonts w:ascii="Arial" w:hAnsi="Arial" w:cs="Arial"/>
          <w:color w:val="222222"/>
          <w:sz w:val="14"/>
          <w:szCs w:val="14"/>
          <w:shd w:val="clear" w:color="auto" w:fill="FFFFFF"/>
          <w:lang w:val="en-US"/>
        </w:rPr>
        <w:t>Armstrong, Mark, Cowan S. y Vickers J (1994).</w:t>
      </w:r>
      <w:r w:rsidRPr="00B879F5">
        <w:rPr>
          <w:rStyle w:val="apple-converted-space"/>
          <w:rFonts w:ascii="Arial" w:eastAsia="Candara" w:hAnsi="Arial" w:cs="Arial"/>
          <w:color w:val="222222"/>
          <w:sz w:val="14"/>
          <w:szCs w:val="14"/>
          <w:lang w:val="en-US"/>
        </w:rPr>
        <w:t> </w:t>
      </w:r>
      <w:r w:rsidRPr="00B879F5">
        <w:rPr>
          <w:rFonts w:ascii="Arial" w:hAnsi="Arial" w:cs="Arial"/>
          <w:i/>
          <w:iCs/>
          <w:color w:val="222222"/>
          <w:sz w:val="14"/>
          <w:szCs w:val="14"/>
          <w:shd w:val="clear" w:color="auto" w:fill="FFFFFF"/>
          <w:lang w:val="en-US"/>
        </w:rPr>
        <w:t xml:space="preserve">Regulatory reform: economic </w:t>
      </w:r>
      <w:proofErr w:type="spellStart"/>
      <w:r w:rsidRPr="00B879F5">
        <w:rPr>
          <w:rFonts w:ascii="Arial" w:hAnsi="Arial" w:cs="Arial"/>
          <w:i/>
          <w:iCs/>
          <w:color w:val="222222"/>
          <w:sz w:val="14"/>
          <w:szCs w:val="14"/>
          <w:shd w:val="clear" w:color="auto" w:fill="FFFFFF"/>
          <w:lang w:val="en-US"/>
        </w:rPr>
        <w:t>analisys</w:t>
      </w:r>
      <w:proofErr w:type="spellEnd"/>
      <w:r w:rsidRPr="00B879F5">
        <w:rPr>
          <w:rFonts w:ascii="Arial" w:hAnsi="Arial" w:cs="Arial"/>
          <w:i/>
          <w:iCs/>
          <w:color w:val="222222"/>
          <w:sz w:val="14"/>
          <w:szCs w:val="14"/>
          <w:shd w:val="clear" w:color="auto" w:fill="FFFFFF"/>
          <w:lang w:val="en-US"/>
        </w:rPr>
        <w:t xml:space="preserve"> and British experience</w:t>
      </w:r>
      <w:r w:rsidRPr="00B879F5">
        <w:rPr>
          <w:rFonts w:ascii="Arial" w:hAnsi="Arial" w:cs="Arial"/>
          <w:color w:val="222222"/>
          <w:sz w:val="14"/>
          <w:szCs w:val="14"/>
          <w:shd w:val="clear" w:color="auto" w:fill="FFFFFF"/>
          <w:lang w:val="en-US"/>
        </w:rPr>
        <w:t>. Massachusetts Institute of Technology.</w:t>
      </w:r>
    </w:p>
  </w:footnote>
  <w:footnote w:id="13">
    <w:p w14:paraId="4B6028B8" w14:textId="77777777" w:rsidR="001173E7" w:rsidRPr="00B879F5" w:rsidRDefault="001173E7" w:rsidP="003E526D">
      <w:pPr>
        <w:pStyle w:val="Textonotapie"/>
        <w:rPr>
          <w:rFonts w:ascii="Arial" w:hAnsi="Arial" w:cs="Arial"/>
          <w:sz w:val="14"/>
          <w:szCs w:val="14"/>
          <w:lang w:val="en-US"/>
        </w:rPr>
      </w:pPr>
      <w:r w:rsidRPr="00B879F5">
        <w:rPr>
          <w:rStyle w:val="Refdenotaalpie"/>
          <w:rFonts w:ascii="Arial" w:hAnsi="Arial" w:cs="Arial"/>
          <w:sz w:val="14"/>
          <w:szCs w:val="14"/>
        </w:rPr>
        <w:footnoteRef/>
      </w:r>
      <w:r w:rsidRPr="00B879F5">
        <w:rPr>
          <w:rFonts w:ascii="Arial" w:hAnsi="Arial" w:cs="Arial"/>
          <w:sz w:val="14"/>
          <w:szCs w:val="14"/>
          <w:lang w:val="en-US"/>
        </w:rPr>
        <w:t xml:space="preserve"> </w:t>
      </w:r>
      <w:r w:rsidRPr="00B879F5">
        <w:rPr>
          <w:rFonts w:ascii="Arial" w:hAnsi="Arial" w:cs="Arial"/>
          <w:color w:val="222222"/>
          <w:sz w:val="14"/>
          <w:szCs w:val="14"/>
          <w:shd w:val="clear" w:color="auto" w:fill="FFFFFF"/>
          <w:lang w:val="en-US"/>
        </w:rPr>
        <w:t>Ibid.</w:t>
      </w:r>
    </w:p>
  </w:footnote>
  <w:footnote w:id="14">
    <w:p w14:paraId="4B6028B9" w14:textId="77777777" w:rsidR="001173E7" w:rsidRPr="007924AB" w:rsidRDefault="001173E7" w:rsidP="003E526D">
      <w:pPr>
        <w:pStyle w:val="Textonotapie"/>
        <w:rPr>
          <w:rFonts w:ascii="Arial Narrow" w:hAnsi="Arial Narrow" w:cs="Arial"/>
          <w:sz w:val="14"/>
          <w:szCs w:val="14"/>
          <w:lang w:val="en-US"/>
        </w:rPr>
      </w:pPr>
      <w:r w:rsidRPr="007924AB">
        <w:rPr>
          <w:rStyle w:val="Refdenotaalpie"/>
          <w:rFonts w:ascii="Arial Narrow" w:hAnsi="Arial Narrow"/>
          <w:sz w:val="14"/>
          <w:szCs w:val="14"/>
        </w:rPr>
        <w:footnoteRef/>
      </w:r>
      <w:r w:rsidRPr="007924AB">
        <w:rPr>
          <w:rFonts w:ascii="Arial Narrow" w:hAnsi="Arial Narrow"/>
          <w:sz w:val="14"/>
          <w:szCs w:val="14"/>
          <w:lang w:val="en-US"/>
        </w:rPr>
        <w:t xml:space="preserve"> </w:t>
      </w:r>
      <w:proofErr w:type="spellStart"/>
      <w:r w:rsidRPr="007924AB">
        <w:rPr>
          <w:rFonts w:ascii="Arial Narrow" w:hAnsi="Arial Narrow" w:cs="Arial"/>
          <w:sz w:val="14"/>
          <w:szCs w:val="14"/>
          <w:lang w:val="en-US"/>
        </w:rPr>
        <w:t>Informe</w:t>
      </w:r>
      <w:proofErr w:type="spellEnd"/>
      <w:r w:rsidRPr="007924AB">
        <w:rPr>
          <w:rFonts w:ascii="Arial Narrow" w:hAnsi="Arial Narrow" w:cs="Arial"/>
          <w:sz w:val="14"/>
          <w:szCs w:val="14"/>
          <w:lang w:val="en-US"/>
        </w:rPr>
        <w:t xml:space="preserve"> No 168- GPR/2010 http://www.osiptel.gob.pe/WebSiteAjax/WebFormGeneral/normas_regulaciones/wfrm_regulacionesdetalles.aspx?CodInfo=287&amp;CodSub=402</w:t>
      </w:r>
    </w:p>
  </w:footnote>
  <w:footnote w:id="15">
    <w:p w14:paraId="4B6028BA" w14:textId="77777777" w:rsidR="001173E7" w:rsidRPr="007924AB" w:rsidRDefault="001173E7" w:rsidP="003E526D">
      <w:pPr>
        <w:pStyle w:val="Textonotapie"/>
        <w:rPr>
          <w:rFonts w:ascii="Arial Narrow" w:hAnsi="Arial Narrow" w:cs="Arial"/>
          <w:sz w:val="14"/>
          <w:szCs w:val="14"/>
          <w:lang w:val="en-US"/>
        </w:rPr>
      </w:pPr>
      <w:r w:rsidRPr="007924AB">
        <w:rPr>
          <w:rStyle w:val="Refdenotaalpie"/>
          <w:rFonts w:ascii="Arial Narrow" w:hAnsi="Arial Narrow" w:cs="Arial"/>
          <w:sz w:val="14"/>
          <w:szCs w:val="14"/>
        </w:rPr>
        <w:footnoteRef/>
      </w:r>
      <w:r w:rsidRPr="007924AB">
        <w:rPr>
          <w:rFonts w:ascii="Arial Narrow" w:hAnsi="Arial Narrow" w:cs="Arial"/>
          <w:sz w:val="14"/>
          <w:szCs w:val="14"/>
          <w:lang w:val="en-US"/>
        </w:rPr>
        <w:t xml:space="preserve"> http://www.arcep.fr/index.php?id=11811</w:t>
      </w:r>
    </w:p>
  </w:footnote>
  <w:footnote w:id="16">
    <w:p w14:paraId="4B6028BB" w14:textId="77777777" w:rsidR="001173E7" w:rsidRPr="007924AB" w:rsidRDefault="001173E7" w:rsidP="003E526D">
      <w:pPr>
        <w:pStyle w:val="Textonotapie"/>
        <w:rPr>
          <w:rFonts w:ascii="Arial Narrow" w:hAnsi="Arial Narrow" w:cs="Arial"/>
          <w:sz w:val="14"/>
          <w:szCs w:val="14"/>
          <w:lang w:val="en-US"/>
        </w:rPr>
      </w:pPr>
      <w:r w:rsidRPr="007924AB">
        <w:rPr>
          <w:rStyle w:val="Refdenotaalpie"/>
          <w:rFonts w:ascii="Arial Narrow" w:hAnsi="Arial Narrow" w:cs="Arial"/>
          <w:sz w:val="14"/>
          <w:szCs w:val="14"/>
        </w:rPr>
        <w:footnoteRef/>
      </w:r>
      <w:r w:rsidRPr="007924AB">
        <w:rPr>
          <w:rFonts w:ascii="Arial Narrow" w:hAnsi="Arial Narrow" w:cs="Arial"/>
          <w:sz w:val="14"/>
          <w:szCs w:val="14"/>
          <w:lang w:val="en-US"/>
        </w:rPr>
        <w:t xml:space="preserve"> http://www.ofcom.org.uk/static/wmvct-model/model-2011.html</w:t>
      </w:r>
    </w:p>
  </w:footnote>
  <w:footnote w:id="17">
    <w:p w14:paraId="4B6028BC" w14:textId="77777777" w:rsidR="001173E7" w:rsidRPr="00B879F5" w:rsidRDefault="001173E7" w:rsidP="003E526D">
      <w:pPr>
        <w:pStyle w:val="Textonotapie"/>
        <w:rPr>
          <w:rFonts w:ascii="Arial" w:hAnsi="Arial" w:cs="Arial"/>
          <w:sz w:val="14"/>
          <w:szCs w:val="14"/>
          <w:lang w:val="en-US"/>
        </w:rPr>
      </w:pPr>
      <w:r w:rsidRPr="00B879F5">
        <w:rPr>
          <w:rStyle w:val="Refdenotaalpie"/>
          <w:rFonts w:ascii="Arial" w:hAnsi="Arial" w:cs="Arial"/>
          <w:sz w:val="14"/>
          <w:szCs w:val="14"/>
        </w:rPr>
        <w:footnoteRef/>
      </w:r>
      <w:r w:rsidRPr="00B879F5">
        <w:rPr>
          <w:rFonts w:ascii="Arial" w:hAnsi="Arial" w:cs="Arial"/>
          <w:sz w:val="14"/>
          <w:szCs w:val="14"/>
          <w:lang w:val="en-US"/>
        </w:rPr>
        <w:t xml:space="preserve"> http://www.arcep.fr/index.php?id=11811</w:t>
      </w:r>
    </w:p>
  </w:footnote>
  <w:footnote w:id="18">
    <w:p w14:paraId="4B6028BD" w14:textId="77777777" w:rsidR="001173E7" w:rsidRPr="00B879F5" w:rsidRDefault="001173E7" w:rsidP="003E526D">
      <w:pPr>
        <w:spacing w:line="240" w:lineRule="auto"/>
        <w:jc w:val="both"/>
        <w:rPr>
          <w:rFonts w:ascii="Arial" w:hAnsi="Arial" w:cs="Arial"/>
          <w:color w:val="000000"/>
          <w:sz w:val="14"/>
          <w:szCs w:val="14"/>
          <w:lang w:val="en-US"/>
        </w:rPr>
      </w:pPr>
      <w:r>
        <w:rPr>
          <w:rFonts w:ascii="ITC Avant Garde" w:hAnsi="ITC Avant Garde"/>
          <w:color w:val="000000"/>
          <w:sz w:val="16"/>
          <w:szCs w:val="16"/>
          <w:vertAlign w:val="superscript"/>
        </w:rPr>
        <w:footnoteRef/>
      </w:r>
      <w:r>
        <w:rPr>
          <w:rFonts w:ascii="ITC Avant Garde" w:hAnsi="ITC Avant Garde"/>
          <w:color w:val="000000"/>
          <w:sz w:val="16"/>
          <w:szCs w:val="16"/>
          <w:lang w:val="en-US"/>
        </w:rPr>
        <w:t xml:space="preserve"> </w:t>
      </w:r>
      <w:proofErr w:type="spellStart"/>
      <w:r w:rsidRPr="00B879F5">
        <w:rPr>
          <w:rFonts w:ascii="Arial" w:hAnsi="Arial" w:cs="Arial"/>
          <w:color w:val="000000"/>
          <w:sz w:val="14"/>
          <w:szCs w:val="14"/>
          <w:lang w:val="en-US"/>
        </w:rPr>
        <w:t>García</w:t>
      </w:r>
      <w:proofErr w:type="spellEnd"/>
      <w:r w:rsidRPr="00B879F5">
        <w:rPr>
          <w:rFonts w:ascii="Arial" w:hAnsi="Arial" w:cs="Arial"/>
          <w:color w:val="000000"/>
          <w:sz w:val="14"/>
          <w:szCs w:val="14"/>
          <w:lang w:val="en-US"/>
        </w:rPr>
        <w:t xml:space="preserve"> Murillo Martha y Pick James B. Interconnection Regulation: Explaining Dominance by the Incumbent in Mexico, COMMUNICATIONS &amp; STRATEGIES no. 53.</w:t>
      </w:r>
    </w:p>
    <w:p w14:paraId="4B6028BE" w14:textId="77777777" w:rsidR="001173E7" w:rsidRDefault="001173E7" w:rsidP="003E526D">
      <w:pPr>
        <w:rPr>
          <w:rFonts w:ascii="ITC Avant Garde" w:hAnsi="ITC Avant Garde"/>
          <w:sz w:val="16"/>
          <w:szCs w:val="16"/>
          <w:lang w:val="en-US"/>
        </w:rPr>
      </w:pPr>
    </w:p>
  </w:footnote>
  <w:footnote w:id="19">
    <w:p w14:paraId="4B6028BF" w14:textId="77777777" w:rsidR="001173E7" w:rsidRPr="00B879F5" w:rsidRDefault="001173E7" w:rsidP="003E526D">
      <w:pPr>
        <w:tabs>
          <w:tab w:val="left" w:pos="720"/>
        </w:tabs>
        <w:autoSpaceDE w:val="0"/>
        <w:autoSpaceDN w:val="0"/>
        <w:adjustRightInd w:val="0"/>
        <w:ind w:left="352" w:right="18" w:hanging="180"/>
        <w:rPr>
          <w:rFonts w:ascii="Arial" w:hAnsi="Arial" w:cs="Arial"/>
          <w:color w:val="0066CC"/>
          <w:sz w:val="14"/>
          <w:szCs w:val="14"/>
          <w:u w:val="single"/>
          <w:lang w:val="en-US"/>
        </w:rPr>
      </w:pPr>
      <w:r w:rsidRPr="00B879F5">
        <w:rPr>
          <w:rStyle w:val="Refdenotaalpie"/>
          <w:rFonts w:ascii="Arial" w:hAnsi="Arial" w:cs="Arial"/>
          <w:sz w:val="14"/>
          <w:szCs w:val="14"/>
        </w:rPr>
        <w:footnoteRef/>
      </w:r>
      <w:r w:rsidRPr="00B879F5">
        <w:rPr>
          <w:rFonts w:ascii="Arial" w:hAnsi="Arial" w:cs="Arial"/>
          <w:sz w:val="14"/>
          <w:szCs w:val="14"/>
        </w:rPr>
        <w:t xml:space="preserve"> La información del precio de los elementos de la red se obtuvo de la información pública del Órgano Regulador de las Telecomunicaciones de Francia (ARCEP). </w:t>
      </w:r>
      <w:r w:rsidRPr="00B879F5">
        <w:rPr>
          <w:rFonts w:ascii="Arial" w:hAnsi="Arial" w:cs="Arial"/>
          <w:sz w:val="14"/>
          <w:szCs w:val="14"/>
          <w:lang w:val="en-US"/>
        </w:rPr>
        <w:t>(</w:t>
      </w:r>
      <w:r w:rsidRPr="00B879F5">
        <w:rPr>
          <w:rFonts w:ascii="Arial" w:hAnsi="Arial" w:cs="Arial"/>
          <w:color w:val="0066CC"/>
          <w:sz w:val="14"/>
          <w:szCs w:val="14"/>
          <w:u w:val="single"/>
          <w:lang w:val="en-US"/>
        </w:rPr>
        <w:t>http://www.arcep.fr/index.php?id=8080&amp;L=1).</w:t>
      </w:r>
    </w:p>
    <w:p w14:paraId="4B6028C0" w14:textId="77777777" w:rsidR="001173E7" w:rsidRPr="00881E40" w:rsidRDefault="001173E7" w:rsidP="003E526D">
      <w:pPr>
        <w:pStyle w:val="Textonotapie"/>
        <w:jc w:val="both"/>
        <w:rPr>
          <w:lang w:val="en-US"/>
        </w:rPr>
      </w:pPr>
    </w:p>
  </w:footnote>
  <w:footnote w:id="20">
    <w:p w14:paraId="4B6028C1" w14:textId="77777777" w:rsidR="001173E7" w:rsidRPr="00B879F5" w:rsidRDefault="001173E7" w:rsidP="003E526D">
      <w:pPr>
        <w:pStyle w:val="Textonotapie"/>
        <w:jc w:val="both"/>
        <w:rPr>
          <w:rFonts w:ascii="Arial" w:hAnsi="Arial" w:cs="Arial"/>
          <w:sz w:val="14"/>
          <w:szCs w:val="14"/>
          <w:lang w:val="en-US"/>
        </w:rPr>
      </w:pPr>
      <w:r w:rsidRPr="00B879F5">
        <w:rPr>
          <w:rStyle w:val="Refdenotaalpie"/>
          <w:rFonts w:ascii="Arial" w:hAnsi="Arial" w:cs="Arial"/>
          <w:sz w:val="14"/>
          <w:szCs w:val="14"/>
        </w:rPr>
        <w:footnoteRef/>
      </w:r>
      <w:r w:rsidRPr="00B879F5">
        <w:rPr>
          <w:rFonts w:ascii="Arial" w:hAnsi="Arial" w:cs="Arial"/>
          <w:sz w:val="14"/>
          <w:szCs w:val="14"/>
          <w:lang w:val="en-US"/>
        </w:rPr>
        <w:t xml:space="preserve"> Armstrong, Mark, Cowan S. y Vickers J (1994). </w:t>
      </w:r>
      <w:r w:rsidRPr="00B879F5">
        <w:rPr>
          <w:rFonts w:ascii="Arial" w:hAnsi="Arial" w:cs="Arial"/>
          <w:i/>
          <w:sz w:val="14"/>
          <w:szCs w:val="14"/>
          <w:lang w:val="en-US"/>
        </w:rPr>
        <w:t xml:space="preserve">Regulatory reform: economic </w:t>
      </w:r>
      <w:proofErr w:type="spellStart"/>
      <w:r w:rsidRPr="00B879F5">
        <w:rPr>
          <w:rFonts w:ascii="Arial" w:hAnsi="Arial" w:cs="Arial"/>
          <w:i/>
          <w:sz w:val="14"/>
          <w:szCs w:val="14"/>
          <w:lang w:val="en-US"/>
        </w:rPr>
        <w:t>analisys</w:t>
      </w:r>
      <w:proofErr w:type="spellEnd"/>
      <w:r w:rsidRPr="00B879F5">
        <w:rPr>
          <w:rFonts w:ascii="Arial" w:hAnsi="Arial" w:cs="Arial"/>
          <w:i/>
          <w:sz w:val="14"/>
          <w:szCs w:val="14"/>
          <w:lang w:val="en-US"/>
        </w:rPr>
        <w:t xml:space="preserve"> and British experience</w:t>
      </w:r>
      <w:r w:rsidRPr="00B879F5">
        <w:rPr>
          <w:rFonts w:ascii="Arial" w:hAnsi="Arial" w:cs="Arial"/>
          <w:sz w:val="14"/>
          <w:szCs w:val="14"/>
          <w:lang w:val="en-US"/>
        </w:rPr>
        <w:t>. Massachusetts Institute of Technology.</w:t>
      </w:r>
    </w:p>
  </w:footnote>
  <w:footnote w:id="21">
    <w:p w14:paraId="4B6028C2" w14:textId="77777777" w:rsidR="001173E7" w:rsidRPr="00B879F5" w:rsidRDefault="001173E7" w:rsidP="003E526D">
      <w:pPr>
        <w:pStyle w:val="Textonotapie"/>
        <w:rPr>
          <w:rFonts w:ascii="Arial" w:hAnsi="Arial" w:cs="Arial"/>
          <w:sz w:val="14"/>
          <w:szCs w:val="14"/>
          <w:lang w:val="en-US"/>
        </w:rPr>
      </w:pPr>
      <w:r w:rsidRPr="00B879F5">
        <w:rPr>
          <w:rStyle w:val="Refdenotaalpie"/>
          <w:rFonts w:ascii="Arial" w:hAnsi="Arial" w:cs="Arial"/>
          <w:sz w:val="14"/>
          <w:szCs w:val="14"/>
        </w:rPr>
        <w:footnoteRef/>
      </w:r>
      <w:r w:rsidRPr="00B879F5">
        <w:rPr>
          <w:rFonts w:ascii="Arial" w:hAnsi="Arial" w:cs="Arial"/>
          <w:sz w:val="14"/>
          <w:szCs w:val="14"/>
          <w:lang w:val="en-US"/>
        </w:rPr>
        <w:t xml:space="preserve"> Ibid.</w:t>
      </w:r>
    </w:p>
  </w:footnote>
  <w:footnote w:id="22">
    <w:p w14:paraId="4B6028C3" w14:textId="77777777" w:rsidR="001173E7" w:rsidRPr="00B879F5" w:rsidRDefault="001173E7" w:rsidP="003E526D">
      <w:pPr>
        <w:pStyle w:val="Textonotapie"/>
        <w:jc w:val="both"/>
        <w:rPr>
          <w:rFonts w:ascii="Arial" w:hAnsi="Arial" w:cs="Arial"/>
          <w:sz w:val="14"/>
          <w:szCs w:val="14"/>
          <w:lang w:val="en-US"/>
        </w:rPr>
      </w:pPr>
      <w:r w:rsidRPr="00F83852">
        <w:rPr>
          <w:rStyle w:val="Refdenotaalpie"/>
          <w:sz w:val="18"/>
          <w:szCs w:val="18"/>
        </w:rPr>
        <w:footnoteRef/>
      </w:r>
      <w:r w:rsidRPr="00F83852">
        <w:rPr>
          <w:rFonts w:ascii="Arial" w:hAnsi="Arial" w:cs="Arial"/>
          <w:sz w:val="18"/>
          <w:szCs w:val="18"/>
          <w:lang w:val="en-US"/>
        </w:rPr>
        <w:t xml:space="preserve"> </w:t>
      </w:r>
      <w:r w:rsidRPr="00B879F5">
        <w:rPr>
          <w:rFonts w:ascii="Arial" w:hAnsi="Arial" w:cs="Arial"/>
          <w:bCs/>
          <w:iCs/>
          <w:sz w:val="14"/>
          <w:szCs w:val="14"/>
          <w:lang w:val="en-US"/>
        </w:rPr>
        <w:t xml:space="preserve">Fuente: </w:t>
      </w:r>
      <w:proofErr w:type="spellStart"/>
      <w:r w:rsidRPr="00B879F5">
        <w:rPr>
          <w:rFonts w:ascii="Arial" w:hAnsi="Arial" w:cs="Arial"/>
          <w:sz w:val="14"/>
          <w:szCs w:val="14"/>
          <w:lang w:val="en-US"/>
        </w:rPr>
        <w:t>Suecia</w:t>
      </w:r>
      <w:proofErr w:type="spellEnd"/>
      <w:r w:rsidRPr="00B879F5">
        <w:rPr>
          <w:rFonts w:ascii="Arial" w:hAnsi="Arial" w:cs="Arial"/>
          <w:sz w:val="14"/>
          <w:szCs w:val="14"/>
          <w:lang w:val="en-US"/>
        </w:rPr>
        <w:t>: http://w</w:t>
      </w:r>
      <w:hyperlink r:id="rId6" w:history="1">
        <w:r w:rsidRPr="00B879F5">
          <w:rPr>
            <w:rFonts w:ascii="Arial" w:hAnsi="Arial" w:cs="Arial"/>
            <w:sz w:val="14"/>
            <w:szCs w:val="14"/>
            <w:lang w:val="en-US"/>
          </w:rPr>
          <w:t>ww.pts.se/upload/</w:t>
        </w:r>
      </w:hyperlink>
      <w:hyperlink r:id="rId7" w:history="1">
        <w:r w:rsidRPr="00B879F5">
          <w:rPr>
            <w:rFonts w:ascii="Arial" w:hAnsi="Arial" w:cs="Arial"/>
            <w:sz w:val="14"/>
            <w:szCs w:val="14"/>
            <w:lang w:val="en-US"/>
          </w:rPr>
          <w:t>Ovrigt</w:t>
        </w:r>
      </w:hyperlink>
      <w:hyperlink r:id="rId8" w:history="1">
        <w:r w:rsidRPr="00B879F5">
          <w:rPr>
            <w:rFonts w:ascii="Arial" w:hAnsi="Arial" w:cs="Arial"/>
            <w:sz w:val="14"/>
            <w:szCs w:val="14"/>
            <w:lang w:val="en-US"/>
          </w:rPr>
          <w:t>/Tele/</w:t>
        </w:r>
      </w:hyperlink>
      <w:hyperlink r:id="rId9" w:history="1">
        <w:r w:rsidRPr="00B879F5">
          <w:rPr>
            <w:rFonts w:ascii="Arial" w:hAnsi="Arial" w:cs="Arial"/>
            <w:sz w:val="14"/>
            <w:szCs w:val="14"/>
            <w:lang w:val="en-US"/>
          </w:rPr>
          <w:t>Bransch</w:t>
        </w:r>
      </w:hyperlink>
      <w:hyperlink r:id="rId10" w:history="1">
        <w:r w:rsidRPr="00B879F5">
          <w:rPr>
            <w:rFonts w:ascii="Arial" w:hAnsi="Arial" w:cs="Arial"/>
            <w:sz w:val="14"/>
            <w:szCs w:val="14"/>
            <w:lang w:val="en-US"/>
          </w:rPr>
          <w:t>/Kalkylarbete%20mobilnät/Model-   documentation-for-PTS-080602.pdf</w:t>
        </w:r>
      </w:hyperlink>
      <w:r w:rsidRPr="00B879F5">
        <w:rPr>
          <w:rFonts w:ascii="Arial" w:hAnsi="Arial" w:cs="Arial"/>
          <w:sz w:val="14"/>
          <w:szCs w:val="14"/>
          <w:lang w:val="en-US"/>
        </w:rPr>
        <w:t xml:space="preserve">; </w:t>
      </w:r>
      <w:proofErr w:type="spellStart"/>
      <w:r w:rsidRPr="00B879F5">
        <w:rPr>
          <w:rFonts w:ascii="Arial" w:hAnsi="Arial" w:cs="Arial"/>
          <w:sz w:val="14"/>
          <w:szCs w:val="14"/>
          <w:lang w:val="en-US"/>
        </w:rPr>
        <w:t>Reino</w:t>
      </w:r>
      <w:proofErr w:type="spellEnd"/>
      <w:r w:rsidRPr="00B879F5">
        <w:rPr>
          <w:rFonts w:ascii="Arial" w:hAnsi="Arial" w:cs="Arial"/>
          <w:bCs/>
          <w:iCs/>
          <w:sz w:val="14"/>
          <w:szCs w:val="14"/>
          <w:lang w:val="en-US"/>
        </w:rPr>
        <w:t xml:space="preserve"> </w:t>
      </w:r>
      <w:proofErr w:type="spellStart"/>
      <w:r w:rsidRPr="00B879F5">
        <w:rPr>
          <w:rFonts w:ascii="Arial" w:hAnsi="Arial" w:cs="Arial"/>
          <w:bCs/>
          <w:iCs/>
          <w:sz w:val="14"/>
          <w:szCs w:val="14"/>
          <w:lang w:val="en-US"/>
        </w:rPr>
        <w:t>Unido</w:t>
      </w:r>
      <w:proofErr w:type="spellEnd"/>
      <w:r w:rsidRPr="00B879F5">
        <w:rPr>
          <w:rFonts w:ascii="Arial" w:hAnsi="Arial" w:cs="Arial"/>
          <w:bCs/>
          <w:iCs/>
          <w:sz w:val="14"/>
          <w:szCs w:val="14"/>
          <w:lang w:val="en-US"/>
        </w:rPr>
        <w:t>:</w:t>
      </w:r>
      <w:r w:rsidRPr="00B879F5">
        <w:rPr>
          <w:rFonts w:ascii="Arial" w:hAnsi="Arial" w:cs="Arial"/>
          <w:sz w:val="14"/>
          <w:szCs w:val="14"/>
          <w:lang w:val="en-US"/>
        </w:rPr>
        <w:t xml:space="preserve"> </w:t>
      </w:r>
      <w:proofErr w:type="spellStart"/>
      <w:r w:rsidRPr="00B879F5">
        <w:rPr>
          <w:rFonts w:ascii="Arial" w:hAnsi="Arial" w:cs="Arial"/>
          <w:sz w:val="14"/>
          <w:szCs w:val="14"/>
          <w:lang w:val="en-US"/>
        </w:rPr>
        <w:t>Ofcom</w:t>
      </w:r>
      <w:proofErr w:type="spellEnd"/>
      <w:r w:rsidRPr="00B879F5">
        <w:rPr>
          <w:rFonts w:ascii="Arial" w:hAnsi="Arial" w:cs="Arial"/>
          <w:sz w:val="14"/>
          <w:szCs w:val="14"/>
          <w:lang w:val="en-US"/>
        </w:rPr>
        <w:t xml:space="preserve">, “Mobile Call Termination”, November 2006; </w:t>
      </w:r>
      <w:r w:rsidRPr="00B879F5">
        <w:rPr>
          <w:rFonts w:ascii="Arial" w:hAnsi="Arial" w:cs="Arial"/>
          <w:bCs/>
          <w:iCs/>
          <w:sz w:val="14"/>
          <w:szCs w:val="14"/>
          <w:lang w:val="en-US"/>
        </w:rPr>
        <w:t>Australia:</w:t>
      </w:r>
      <w:r w:rsidRPr="00B879F5">
        <w:rPr>
          <w:rFonts w:ascii="Arial" w:hAnsi="Arial" w:cs="Arial"/>
          <w:sz w:val="14"/>
          <w:szCs w:val="14"/>
          <w:lang w:val="en-US"/>
        </w:rPr>
        <w:t xml:space="preserve"> </w:t>
      </w:r>
      <w:proofErr w:type="spellStart"/>
      <w:r w:rsidRPr="00B879F5">
        <w:rPr>
          <w:rFonts w:ascii="Arial" w:hAnsi="Arial" w:cs="Arial"/>
          <w:sz w:val="14"/>
          <w:szCs w:val="14"/>
          <w:lang w:val="en-US"/>
        </w:rPr>
        <w:t>Wik</w:t>
      </w:r>
      <w:proofErr w:type="spellEnd"/>
      <w:r w:rsidRPr="00B879F5">
        <w:rPr>
          <w:rFonts w:ascii="Arial" w:hAnsi="Arial" w:cs="Arial"/>
          <w:sz w:val="14"/>
          <w:szCs w:val="14"/>
          <w:lang w:val="en-US"/>
        </w:rPr>
        <w:t xml:space="preserve">-Consult, “Mobile Termination Cost Model for Australia”, Report for the Australian Competition and Consumer Commission”. </w:t>
      </w:r>
      <w:proofErr w:type="spellStart"/>
      <w:r w:rsidRPr="00B879F5">
        <w:rPr>
          <w:rFonts w:ascii="Arial" w:hAnsi="Arial" w:cs="Arial"/>
          <w:sz w:val="14"/>
          <w:szCs w:val="14"/>
          <w:lang w:val="en-US"/>
        </w:rPr>
        <w:t>Enero</w:t>
      </w:r>
      <w:proofErr w:type="spellEnd"/>
      <w:r w:rsidRPr="00B879F5">
        <w:rPr>
          <w:rFonts w:ascii="Arial" w:hAnsi="Arial" w:cs="Arial"/>
          <w:sz w:val="14"/>
          <w:szCs w:val="14"/>
          <w:lang w:val="en-US"/>
        </w:rPr>
        <w:t xml:space="preserve"> 2007; </w:t>
      </w:r>
      <w:r w:rsidRPr="00B879F5">
        <w:rPr>
          <w:rFonts w:ascii="Arial" w:hAnsi="Arial" w:cs="Arial"/>
          <w:bCs/>
          <w:iCs/>
          <w:sz w:val="14"/>
          <w:szCs w:val="14"/>
          <w:lang w:val="en-US"/>
        </w:rPr>
        <w:t>Israel:</w:t>
      </w:r>
      <w:r w:rsidRPr="00B879F5">
        <w:rPr>
          <w:rFonts w:ascii="Arial" w:hAnsi="Arial" w:cs="Arial"/>
          <w:sz w:val="14"/>
          <w:szCs w:val="14"/>
          <w:lang w:val="en-US"/>
        </w:rPr>
        <w:t xml:space="preserve"> </w:t>
      </w:r>
      <w:proofErr w:type="spellStart"/>
      <w:r w:rsidRPr="00B879F5">
        <w:rPr>
          <w:rFonts w:ascii="Arial" w:hAnsi="Arial" w:cs="Arial"/>
          <w:sz w:val="14"/>
          <w:szCs w:val="14"/>
          <w:lang w:val="en-US"/>
        </w:rPr>
        <w:t>Analysys</w:t>
      </w:r>
      <w:proofErr w:type="spellEnd"/>
      <w:r w:rsidRPr="00B879F5">
        <w:rPr>
          <w:rFonts w:ascii="Arial" w:hAnsi="Arial" w:cs="Arial"/>
          <w:sz w:val="14"/>
          <w:szCs w:val="14"/>
          <w:lang w:val="en-US"/>
        </w:rPr>
        <w:t xml:space="preserve">, “A study of mobile termination charges”, Report for the Israel Ministry of Communications and Ministry of Finance, Julio 2004.; </w:t>
      </w:r>
      <w:proofErr w:type="spellStart"/>
      <w:r w:rsidRPr="00B879F5">
        <w:rPr>
          <w:rFonts w:ascii="Arial" w:hAnsi="Arial" w:cs="Arial"/>
          <w:bCs/>
          <w:iCs/>
          <w:sz w:val="14"/>
          <w:szCs w:val="14"/>
          <w:lang w:val="en-US"/>
        </w:rPr>
        <w:t>Perú</w:t>
      </w:r>
      <w:proofErr w:type="spellEnd"/>
      <w:r w:rsidRPr="00B879F5">
        <w:rPr>
          <w:rFonts w:ascii="Arial" w:hAnsi="Arial" w:cs="Arial"/>
          <w:sz w:val="14"/>
          <w:szCs w:val="14"/>
          <w:lang w:val="en-US"/>
        </w:rPr>
        <w:t xml:space="preserve">: </w:t>
      </w:r>
      <w:proofErr w:type="spellStart"/>
      <w:r w:rsidRPr="00B879F5">
        <w:rPr>
          <w:rFonts w:ascii="Arial" w:hAnsi="Arial" w:cs="Arial"/>
          <w:sz w:val="14"/>
          <w:szCs w:val="14"/>
          <w:lang w:val="en-US"/>
        </w:rPr>
        <w:t>Wik</w:t>
      </w:r>
      <w:proofErr w:type="spellEnd"/>
      <w:r w:rsidRPr="00B879F5">
        <w:rPr>
          <w:rFonts w:ascii="Arial" w:hAnsi="Arial" w:cs="Arial"/>
          <w:sz w:val="14"/>
          <w:szCs w:val="14"/>
          <w:lang w:val="en-US"/>
        </w:rPr>
        <w:t xml:space="preserve">-Consult, “Analysis of Cost Studies presented by Mobile Network Operators”, Submitted to OSIPITEL, Mayo 2005; </w:t>
      </w:r>
      <w:r w:rsidRPr="00B879F5">
        <w:rPr>
          <w:rFonts w:ascii="Arial" w:hAnsi="Arial" w:cs="Arial"/>
          <w:bCs/>
          <w:iCs/>
          <w:sz w:val="14"/>
          <w:szCs w:val="14"/>
          <w:lang w:val="en-US"/>
        </w:rPr>
        <w:t>Colombia</w:t>
      </w:r>
      <w:r w:rsidRPr="00B879F5">
        <w:rPr>
          <w:rFonts w:ascii="Arial" w:hAnsi="Arial" w:cs="Arial"/>
          <w:sz w:val="14"/>
          <w:szCs w:val="14"/>
          <w:lang w:val="en-US"/>
        </w:rPr>
        <w:t xml:space="preserve">: CRT, </w:t>
      </w:r>
      <w:proofErr w:type="spellStart"/>
      <w:r w:rsidRPr="00B879F5">
        <w:rPr>
          <w:rFonts w:ascii="Arial" w:hAnsi="Arial" w:cs="Arial"/>
          <w:sz w:val="14"/>
          <w:szCs w:val="14"/>
          <w:lang w:val="en-US"/>
        </w:rPr>
        <w:t>Políticas</w:t>
      </w:r>
      <w:proofErr w:type="spellEnd"/>
      <w:r w:rsidRPr="00B879F5">
        <w:rPr>
          <w:rFonts w:ascii="Arial" w:hAnsi="Arial" w:cs="Arial"/>
          <w:sz w:val="14"/>
          <w:szCs w:val="14"/>
          <w:lang w:val="en-US"/>
        </w:rPr>
        <w:t xml:space="preserve"> </w:t>
      </w:r>
      <w:proofErr w:type="spellStart"/>
      <w:r w:rsidRPr="00B879F5">
        <w:rPr>
          <w:rFonts w:ascii="Arial" w:hAnsi="Arial" w:cs="Arial"/>
          <w:sz w:val="14"/>
          <w:szCs w:val="14"/>
          <w:lang w:val="en-US"/>
        </w:rPr>
        <w:t>Generales</w:t>
      </w:r>
      <w:proofErr w:type="spellEnd"/>
      <w:r w:rsidRPr="00B879F5">
        <w:rPr>
          <w:rFonts w:ascii="Arial" w:hAnsi="Arial" w:cs="Arial"/>
          <w:sz w:val="14"/>
          <w:szCs w:val="14"/>
          <w:lang w:val="en-US"/>
        </w:rPr>
        <w:t xml:space="preserve"> y </w:t>
      </w:r>
      <w:proofErr w:type="spellStart"/>
      <w:r w:rsidRPr="00B879F5">
        <w:rPr>
          <w:rFonts w:ascii="Arial" w:hAnsi="Arial" w:cs="Arial"/>
          <w:sz w:val="14"/>
          <w:szCs w:val="14"/>
          <w:lang w:val="en-US"/>
        </w:rPr>
        <w:t>Estrategias</w:t>
      </w:r>
      <w:proofErr w:type="spellEnd"/>
      <w:r w:rsidRPr="00B879F5">
        <w:rPr>
          <w:rFonts w:ascii="Arial" w:hAnsi="Arial" w:cs="Arial"/>
          <w:sz w:val="14"/>
          <w:szCs w:val="14"/>
          <w:lang w:val="en-US"/>
        </w:rPr>
        <w:t xml:space="preserve"> para </w:t>
      </w:r>
      <w:proofErr w:type="spellStart"/>
      <w:r w:rsidRPr="00B879F5">
        <w:rPr>
          <w:rFonts w:ascii="Arial" w:hAnsi="Arial" w:cs="Arial"/>
          <w:sz w:val="14"/>
          <w:szCs w:val="14"/>
          <w:lang w:val="en-US"/>
        </w:rPr>
        <w:t>Establecer</w:t>
      </w:r>
      <w:proofErr w:type="spellEnd"/>
      <w:r w:rsidRPr="00B879F5">
        <w:rPr>
          <w:rFonts w:ascii="Arial" w:hAnsi="Arial" w:cs="Arial"/>
          <w:sz w:val="14"/>
          <w:szCs w:val="14"/>
          <w:lang w:val="en-US"/>
        </w:rPr>
        <w:t xml:space="preserve"> un </w:t>
      </w:r>
      <w:proofErr w:type="spellStart"/>
      <w:r w:rsidRPr="00B879F5">
        <w:rPr>
          <w:rFonts w:ascii="Arial" w:hAnsi="Arial" w:cs="Arial"/>
          <w:sz w:val="14"/>
          <w:szCs w:val="14"/>
          <w:lang w:val="en-US"/>
        </w:rPr>
        <w:t>Régimen</w:t>
      </w:r>
      <w:proofErr w:type="spellEnd"/>
      <w:r w:rsidRPr="00B879F5">
        <w:rPr>
          <w:rFonts w:ascii="Arial" w:hAnsi="Arial" w:cs="Arial"/>
          <w:sz w:val="14"/>
          <w:szCs w:val="14"/>
          <w:lang w:val="en-US"/>
        </w:rPr>
        <w:t xml:space="preserve"> </w:t>
      </w:r>
      <w:proofErr w:type="spellStart"/>
      <w:r w:rsidRPr="00B879F5">
        <w:rPr>
          <w:rFonts w:ascii="Arial" w:hAnsi="Arial" w:cs="Arial"/>
          <w:sz w:val="14"/>
          <w:szCs w:val="14"/>
          <w:lang w:val="en-US"/>
        </w:rPr>
        <w:t>Unificado</w:t>
      </w:r>
      <w:proofErr w:type="spellEnd"/>
      <w:r w:rsidRPr="00B879F5">
        <w:rPr>
          <w:rFonts w:ascii="Arial" w:hAnsi="Arial" w:cs="Arial"/>
          <w:sz w:val="14"/>
          <w:szCs w:val="14"/>
          <w:lang w:val="en-US"/>
        </w:rPr>
        <w:t xml:space="preserve"> de </w:t>
      </w:r>
      <w:proofErr w:type="spellStart"/>
      <w:r w:rsidRPr="00B879F5">
        <w:rPr>
          <w:rFonts w:ascii="Arial" w:hAnsi="Arial" w:cs="Arial"/>
          <w:sz w:val="14"/>
          <w:szCs w:val="14"/>
          <w:lang w:val="en-US"/>
        </w:rPr>
        <w:t>Interconexión</w:t>
      </w:r>
      <w:proofErr w:type="spellEnd"/>
      <w:r w:rsidRPr="00B879F5">
        <w:rPr>
          <w:rFonts w:ascii="Arial" w:hAnsi="Arial" w:cs="Arial"/>
          <w:sz w:val="14"/>
          <w:szCs w:val="14"/>
          <w:lang w:val="en-US"/>
        </w:rPr>
        <w:t xml:space="preserve"> (RUDI), Julio 2000; Cullen International “Mobile termination rates: moving toward pure LRIC?”</w:t>
      </w:r>
    </w:p>
  </w:footnote>
  <w:footnote w:id="23">
    <w:p w14:paraId="4B6028C4" w14:textId="77777777" w:rsidR="001173E7" w:rsidRPr="00B879F5" w:rsidRDefault="001173E7" w:rsidP="003E526D">
      <w:pPr>
        <w:pStyle w:val="Textonotapie"/>
        <w:spacing w:before="60"/>
        <w:jc w:val="both"/>
        <w:rPr>
          <w:rFonts w:ascii="Arial" w:hAnsi="Arial" w:cs="Arial"/>
          <w:sz w:val="14"/>
          <w:szCs w:val="14"/>
        </w:rPr>
      </w:pPr>
      <w:r w:rsidRPr="00B879F5">
        <w:rPr>
          <w:rStyle w:val="Refdenotaalpie"/>
          <w:rFonts w:ascii="Arial" w:hAnsi="Arial" w:cs="Arial"/>
          <w:sz w:val="14"/>
          <w:szCs w:val="14"/>
        </w:rPr>
        <w:footnoteRef/>
      </w:r>
      <w:r w:rsidRPr="00B879F5">
        <w:rPr>
          <w:rFonts w:ascii="Arial" w:hAnsi="Arial" w:cs="Arial"/>
          <w:sz w:val="14"/>
          <w:szCs w:val="14"/>
        </w:rPr>
        <w:t xml:space="preserve"> UIT página web: http://www.itu.int/ITU-D/ICTEYE/Reports.aspx.</w:t>
      </w:r>
    </w:p>
  </w:footnote>
  <w:footnote w:id="24">
    <w:p w14:paraId="4B6028C5" w14:textId="77777777" w:rsidR="001173E7" w:rsidRPr="00B879F5" w:rsidRDefault="001173E7" w:rsidP="003E526D">
      <w:pPr>
        <w:pStyle w:val="Textonotapie"/>
        <w:spacing w:before="60"/>
        <w:jc w:val="both"/>
        <w:rPr>
          <w:rFonts w:ascii="Arial" w:hAnsi="Arial" w:cs="Arial"/>
          <w:sz w:val="14"/>
          <w:szCs w:val="14"/>
          <w:lang w:val="en-US"/>
        </w:rPr>
      </w:pPr>
      <w:r w:rsidRPr="000A1323">
        <w:rPr>
          <w:rStyle w:val="Refdenotaalpie"/>
          <w:sz w:val="18"/>
          <w:szCs w:val="18"/>
        </w:rPr>
        <w:footnoteRef/>
      </w:r>
      <w:r w:rsidRPr="000A1323">
        <w:rPr>
          <w:rFonts w:ascii="Arial" w:hAnsi="Arial" w:cs="Arial"/>
          <w:sz w:val="18"/>
          <w:szCs w:val="18"/>
          <w:lang w:val="en-US"/>
        </w:rPr>
        <w:t xml:space="preserve"> </w:t>
      </w:r>
      <w:r w:rsidRPr="00B879F5">
        <w:rPr>
          <w:rFonts w:ascii="Arial" w:hAnsi="Arial" w:cs="Arial"/>
          <w:sz w:val="14"/>
          <w:szCs w:val="14"/>
          <w:lang w:val="en-US"/>
        </w:rPr>
        <w:t>EUROPEAN COMMISSION (2009a), “Commission Recommendation on the Regulatory Treatment of Fixed and Mobile Termination Rates in the EU”, European Commission, Brussels.</w:t>
      </w:r>
    </w:p>
    <w:p w14:paraId="4B6028C6" w14:textId="77777777" w:rsidR="001173E7" w:rsidRPr="001B1408" w:rsidRDefault="001173E7" w:rsidP="003E526D">
      <w:pPr>
        <w:pStyle w:val="Textonotapie"/>
        <w:rPr>
          <w:rFonts w:ascii="Arial" w:hAnsi="Arial" w:cs="Arial"/>
          <w:lang w:val="en-US"/>
        </w:rPr>
      </w:pPr>
    </w:p>
  </w:footnote>
  <w:footnote w:id="25">
    <w:p w14:paraId="4B6028C7" w14:textId="77777777" w:rsidR="001173E7" w:rsidRPr="00B879F5" w:rsidRDefault="001173E7" w:rsidP="003E526D">
      <w:pPr>
        <w:pStyle w:val="Textonotapie"/>
        <w:jc w:val="both"/>
        <w:rPr>
          <w:rFonts w:ascii="Arial" w:hAnsi="Arial" w:cs="Arial"/>
          <w:sz w:val="14"/>
          <w:szCs w:val="14"/>
        </w:rPr>
      </w:pPr>
      <w:r w:rsidRPr="00B879F5">
        <w:rPr>
          <w:rStyle w:val="Refdenotaalpie"/>
          <w:rFonts w:ascii="Arial" w:hAnsi="Arial" w:cs="Arial"/>
          <w:sz w:val="14"/>
          <w:szCs w:val="14"/>
        </w:rPr>
        <w:footnoteRef/>
      </w:r>
      <w:r w:rsidRPr="00B879F5">
        <w:rPr>
          <w:rFonts w:ascii="Arial" w:hAnsi="Arial" w:cs="Arial"/>
          <w:sz w:val="14"/>
          <w:szCs w:val="14"/>
        </w:rPr>
        <w:t xml:space="preserve"> Los resultados del modelo no cambian sustancialmente  </w:t>
      </w:r>
      <w:proofErr w:type="spellStart"/>
      <w:r w:rsidRPr="00B879F5">
        <w:rPr>
          <w:rFonts w:ascii="Arial" w:hAnsi="Arial" w:cs="Arial"/>
          <w:sz w:val="14"/>
          <w:szCs w:val="14"/>
        </w:rPr>
        <w:t>aún</w:t>
      </w:r>
      <w:proofErr w:type="spellEnd"/>
      <w:r w:rsidRPr="00B879F5">
        <w:rPr>
          <w:rFonts w:ascii="Arial" w:hAnsi="Arial" w:cs="Arial"/>
          <w:sz w:val="14"/>
          <w:szCs w:val="14"/>
        </w:rPr>
        <w:t xml:space="preserve"> cuando se modele un mercado con 3 o 5 participantes.</w:t>
      </w:r>
    </w:p>
  </w:footnote>
  <w:footnote w:id="26">
    <w:p w14:paraId="4B6028C8" w14:textId="77777777" w:rsidR="001173E7" w:rsidRPr="00B879F5" w:rsidRDefault="001173E7" w:rsidP="003E526D">
      <w:pPr>
        <w:pStyle w:val="Textonotapie"/>
        <w:jc w:val="both"/>
        <w:rPr>
          <w:rFonts w:ascii="Arial" w:hAnsi="Arial" w:cs="Arial"/>
          <w:sz w:val="14"/>
          <w:szCs w:val="14"/>
        </w:rPr>
      </w:pPr>
      <w:r w:rsidRPr="00B879F5">
        <w:rPr>
          <w:rStyle w:val="Refdenotaalpie"/>
          <w:rFonts w:ascii="Arial" w:hAnsi="Arial" w:cs="Arial"/>
          <w:sz w:val="14"/>
          <w:szCs w:val="14"/>
        </w:rPr>
        <w:footnoteRef/>
      </w:r>
      <w:r w:rsidRPr="00B879F5">
        <w:rPr>
          <w:rFonts w:ascii="Arial" w:hAnsi="Arial" w:cs="Arial"/>
          <w:sz w:val="14"/>
          <w:szCs w:val="14"/>
        </w:rPr>
        <w:t xml:space="preserve"> Recomendación (2009/396/CE) de la Comisión de las Comunidades Europeas, “Sobre el tratamiento normativo de las tarifas de terminación de la telefonía fija y móvil en la UE. 7 de mayo de 2009.</w:t>
      </w:r>
    </w:p>
  </w:footnote>
  <w:footnote w:id="27">
    <w:p w14:paraId="4B6028C9" w14:textId="77777777" w:rsidR="001173E7" w:rsidRPr="00B879F5" w:rsidRDefault="001173E7" w:rsidP="003E526D">
      <w:pPr>
        <w:pStyle w:val="Textonotapie"/>
        <w:jc w:val="both"/>
        <w:rPr>
          <w:rFonts w:ascii="Arial" w:hAnsi="Arial" w:cs="Arial"/>
          <w:sz w:val="14"/>
          <w:szCs w:val="14"/>
          <w:lang w:val="en-US"/>
        </w:rPr>
      </w:pPr>
      <w:r w:rsidRPr="00B656F8">
        <w:rPr>
          <w:rFonts w:ascii="ITC Avant Garde" w:hAnsi="ITC Avant Garde" w:cs="Arial"/>
          <w:sz w:val="16"/>
          <w:szCs w:val="16"/>
        </w:rPr>
        <w:footnoteRef/>
      </w:r>
      <w:r w:rsidRPr="004B4472">
        <w:rPr>
          <w:rFonts w:ascii="ITC Avant Garde" w:hAnsi="ITC Avant Garde" w:cs="Arial"/>
          <w:sz w:val="16"/>
          <w:szCs w:val="16"/>
          <w:lang w:val="en-US"/>
        </w:rPr>
        <w:t xml:space="preserve"> </w:t>
      </w:r>
      <w:proofErr w:type="spellStart"/>
      <w:r w:rsidRPr="00B879F5">
        <w:rPr>
          <w:rFonts w:ascii="Arial" w:hAnsi="Arial" w:cs="Arial"/>
          <w:sz w:val="14"/>
          <w:szCs w:val="14"/>
          <w:lang w:val="en-US"/>
        </w:rPr>
        <w:t>García</w:t>
      </w:r>
      <w:proofErr w:type="spellEnd"/>
      <w:r w:rsidRPr="00B879F5">
        <w:rPr>
          <w:rFonts w:ascii="Arial" w:hAnsi="Arial" w:cs="Arial"/>
          <w:sz w:val="14"/>
          <w:szCs w:val="14"/>
          <w:lang w:val="en-US"/>
        </w:rPr>
        <w:t xml:space="preserve"> Murillo Martha y Pick James B. Interconnection Regulation: Explaining Dominance by the Incumbent in Mexico, COMMUNICATIONS &amp; STRATEGIES no. 53.</w:t>
      </w:r>
    </w:p>
    <w:p w14:paraId="4B6028CA" w14:textId="77777777" w:rsidR="001173E7" w:rsidRPr="0060414C" w:rsidRDefault="001173E7" w:rsidP="003E526D">
      <w:pPr>
        <w:pStyle w:val="Textonotapie"/>
        <w:rPr>
          <w:lang w:val="en-US"/>
        </w:rPr>
      </w:pPr>
    </w:p>
  </w:footnote>
  <w:footnote w:id="28">
    <w:p w14:paraId="4B6028CB" w14:textId="77777777" w:rsidR="001173E7" w:rsidRPr="00B656F8" w:rsidRDefault="001173E7" w:rsidP="003E526D">
      <w:pPr>
        <w:pStyle w:val="Textonotapie"/>
        <w:rPr>
          <w:rFonts w:ascii="ITC Avant Garde" w:hAnsi="ITC Avant Garde" w:cs="Arial"/>
          <w:sz w:val="16"/>
          <w:szCs w:val="16"/>
        </w:rPr>
      </w:pPr>
      <w:r w:rsidRPr="00B656F8">
        <w:rPr>
          <w:rFonts w:ascii="ITC Avant Garde" w:hAnsi="ITC Avant Garde" w:cs="Arial"/>
          <w:sz w:val="16"/>
          <w:szCs w:val="16"/>
        </w:rPr>
        <w:footnoteRef/>
      </w:r>
      <w:r w:rsidRPr="00B656F8">
        <w:rPr>
          <w:rFonts w:ascii="ITC Avant Garde" w:hAnsi="ITC Avant Garde" w:cs="Arial"/>
          <w:sz w:val="16"/>
          <w:szCs w:val="16"/>
        </w:rPr>
        <w:t xml:space="preserve"> </w:t>
      </w:r>
      <w:r w:rsidRPr="00B879F5">
        <w:rPr>
          <w:rFonts w:ascii="Arial" w:hAnsi="Arial" w:cs="Arial"/>
          <w:sz w:val="14"/>
          <w:szCs w:val="14"/>
        </w:rPr>
        <w:t>Banco Mundial (2000), Manual de Reglamentación de las telecomunicaciones.</w:t>
      </w:r>
    </w:p>
  </w:footnote>
  <w:footnote w:id="29">
    <w:p w14:paraId="4B6028CC" w14:textId="77777777" w:rsidR="001173E7" w:rsidRPr="00DC4A9F" w:rsidRDefault="001173E7" w:rsidP="003E526D">
      <w:pPr>
        <w:pStyle w:val="Textonotapie"/>
        <w:jc w:val="both"/>
        <w:rPr>
          <w:rFonts w:ascii="Arial" w:hAnsi="Arial" w:cs="Arial"/>
          <w:sz w:val="14"/>
          <w:szCs w:val="14"/>
          <w:lang w:val="en-US"/>
        </w:rPr>
      </w:pPr>
      <w:r w:rsidRPr="00F83852">
        <w:rPr>
          <w:rStyle w:val="Refdenotaalpie"/>
          <w:sz w:val="18"/>
          <w:szCs w:val="18"/>
        </w:rPr>
        <w:footnoteRef/>
      </w:r>
      <w:r w:rsidRPr="00F83852">
        <w:rPr>
          <w:rFonts w:ascii="Arial" w:hAnsi="Arial" w:cs="Arial"/>
          <w:sz w:val="18"/>
          <w:szCs w:val="18"/>
          <w:lang w:val="en-US"/>
        </w:rPr>
        <w:t xml:space="preserve"> </w:t>
      </w:r>
      <w:r w:rsidRPr="00DC4A9F">
        <w:rPr>
          <w:rFonts w:ascii="Arial" w:hAnsi="Arial" w:cs="Arial"/>
          <w:bCs/>
          <w:iCs/>
          <w:sz w:val="14"/>
          <w:szCs w:val="14"/>
          <w:lang w:val="en-US"/>
        </w:rPr>
        <w:t xml:space="preserve">Fuente: </w:t>
      </w:r>
      <w:proofErr w:type="spellStart"/>
      <w:r w:rsidRPr="00DC4A9F">
        <w:rPr>
          <w:rFonts w:ascii="Arial" w:hAnsi="Arial" w:cs="Arial"/>
          <w:sz w:val="14"/>
          <w:szCs w:val="14"/>
          <w:lang w:val="en-US"/>
        </w:rPr>
        <w:t>Suecia</w:t>
      </w:r>
      <w:proofErr w:type="spellEnd"/>
      <w:r w:rsidRPr="00DC4A9F">
        <w:rPr>
          <w:rFonts w:ascii="Arial" w:hAnsi="Arial" w:cs="Arial"/>
          <w:sz w:val="14"/>
          <w:szCs w:val="14"/>
          <w:lang w:val="en-US"/>
        </w:rPr>
        <w:t>: http://w</w:t>
      </w:r>
      <w:hyperlink r:id="rId11" w:history="1">
        <w:r w:rsidRPr="00DC4A9F">
          <w:rPr>
            <w:rFonts w:ascii="Arial" w:hAnsi="Arial" w:cs="Arial"/>
            <w:sz w:val="14"/>
            <w:szCs w:val="14"/>
            <w:lang w:val="en-US"/>
          </w:rPr>
          <w:t>ww.pts.se/upload/</w:t>
        </w:r>
      </w:hyperlink>
      <w:hyperlink r:id="rId12" w:history="1">
        <w:r w:rsidRPr="00DC4A9F">
          <w:rPr>
            <w:rFonts w:ascii="Arial" w:hAnsi="Arial" w:cs="Arial"/>
            <w:sz w:val="14"/>
            <w:szCs w:val="14"/>
            <w:lang w:val="en-US"/>
          </w:rPr>
          <w:t>Ovrigt</w:t>
        </w:r>
      </w:hyperlink>
      <w:hyperlink r:id="rId13" w:history="1">
        <w:r w:rsidRPr="00DC4A9F">
          <w:rPr>
            <w:rFonts w:ascii="Arial" w:hAnsi="Arial" w:cs="Arial"/>
            <w:sz w:val="14"/>
            <w:szCs w:val="14"/>
            <w:lang w:val="en-US"/>
          </w:rPr>
          <w:t>/Tele/</w:t>
        </w:r>
      </w:hyperlink>
      <w:hyperlink r:id="rId14" w:history="1">
        <w:r w:rsidRPr="00DC4A9F">
          <w:rPr>
            <w:rFonts w:ascii="Arial" w:hAnsi="Arial" w:cs="Arial"/>
            <w:sz w:val="14"/>
            <w:szCs w:val="14"/>
            <w:lang w:val="en-US"/>
          </w:rPr>
          <w:t>Bransch</w:t>
        </w:r>
      </w:hyperlink>
      <w:hyperlink r:id="rId15" w:history="1">
        <w:r w:rsidRPr="00DC4A9F">
          <w:rPr>
            <w:rFonts w:ascii="Arial" w:hAnsi="Arial" w:cs="Arial"/>
            <w:sz w:val="14"/>
            <w:szCs w:val="14"/>
            <w:lang w:val="en-US"/>
          </w:rPr>
          <w:t>/Kalkylarbete%20mobilnät/Model-   documentation-for-PTS-080602.pdf</w:t>
        </w:r>
      </w:hyperlink>
      <w:r w:rsidRPr="00DC4A9F">
        <w:rPr>
          <w:rFonts w:ascii="Arial" w:hAnsi="Arial" w:cs="Arial"/>
          <w:sz w:val="14"/>
          <w:szCs w:val="14"/>
          <w:lang w:val="en-US"/>
        </w:rPr>
        <w:t xml:space="preserve">; </w:t>
      </w:r>
      <w:proofErr w:type="spellStart"/>
      <w:r w:rsidRPr="00DC4A9F">
        <w:rPr>
          <w:rFonts w:ascii="Arial" w:hAnsi="Arial" w:cs="Arial"/>
          <w:sz w:val="14"/>
          <w:szCs w:val="14"/>
          <w:lang w:val="en-US"/>
        </w:rPr>
        <w:t>Reino</w:t>
      </w:r>
      <w:proofErr w:type="spellEnd"/>
      <w:r w:rsidRPr="00DC4A9F">
        <w:rPr>
          <w:rFonts w:ascii="Arial" w:hAnsi="Arial" w:cs="Arial"/>
          <w:bCs/>
          <w:iCs/>
          <w:sz w:val="14"/>
          <w:szCs w:val="14"/>
          <w:lang w:val="en-US"/>
        </w:rPr>
        <w:t xml:space="preserve"> </w:t>
      </w:r>
      <w:proofErr w:type="spellStart"/>
      <w:r w:rsidRPr="00DC4A9F">
        <w:rPr>
          <w:rFonts w:ascii="Arial" w:hAnsi="Arial" w:cs="Arial"/>
          <w:bCs/>
          <w:iCs/>
          <w:sz w:val="14"/>
          <w:szCs w:val="14"/>
          <w:lang w:val="en-US"/>
        </w:rPr>
        <w:t>Unido</w:t>
      </w:r>
      <w:proofErr w:type="spellEnd"/>
      <w:r w:rsidRPr="00DC4A9F">
        <w:rPr>
          <w:rFonts w:ascii="Arial" w:hAnsi="Arial" w:cs="Arial"/>
          <w:bCs/>
          <w:iCs/>
          <w:sz w:val="14"/>
          <w:szCs w:val="14"/>
          <w:lang w:val="en-US"/>
        </w:rPr>
        <w:t>:</w:t>
      </w:r>
      <w:r w:rsidRPr="00DC4A9F">
        <w:rPr>
          <w:rFonts w:ascii="Arial" w:hAnsi="Arial" w:cs="Arial"/>
          <w:sz w:val="14"/>
          <w:szCs w:val="14"/>
          <w:lang w:val="en-US"/>
        </w:rPr>
        <w:t xml:space="preserve"> </w:t>
      </w:r>
      <w:proofErr w:type="spellStart"/>
      <w:r w:rsidRPr="00DC4A9F">
        <w:rPr>
          <w:rFonts w:ascii="Arial" w:hAnsi="Arial" w:cs="Arial"/>
          <w:sz w:val="14"/>
          <w:szCs w:val="14"/>
          <w:lang w:val="en-US"/>
        </w:rPr>
        <w:t>Ofcom</w:t>
      </w:r>
      <w:proofErr w:type="spellEnd"/>
      <w:r w:rsidRPr="00DC4A9F">
        <w:rPr>
          <w:rFonts w:ascii="Arial" w:hAnsi="Arial" w:cs="Arial"/>
          <w:sz w:val="14"/>
          <w:szCs w:val="14"/>
          <w:lang w:val="en-US"/>
        </w:rPr>
        <w:t xml:space="preserve">, “Mobile Call Termination”, November 2006; </w:t>
      </w:r>
      <w:r w:rsidRPr="00DC4A9F">
        <w:rPr>
          <w:rFonts w:ascii="Arial" w:hAnsi="Arial" w:cs="Arial"/>
          <w:bCs/>
          <w:iCs/>
          <w:sz w:val="14"/>
          <w:szCs w:val="14"/>
          <w:lang w:val="en-US"/>
        </w:rPr>
        <w:t>Australia:</w:t>
      </w:r>
      <w:r w:rsidRPr="00DC4A9F">
        <w:rPr>
          <w:rFonts w:ascii="Arial" w:hAnsi="Arial" w:cs="Arial"/>
          <w:sz w:val="14"/>
          <w:szCs w:val="14"/>
          <w:lang w:val="en-US"/>
        </w:rPr>
        <w:t xml:space="preserve"> </w:t>
      </w:r>
      <w:proofErr w:type="spellStart"/>
      <w:r w:rsidRPr="00DC4A9F">
        <w:rPr>
          <w:rFonts w:ascii="Arial" w:hAnsi="Arial" w:cs="Arial"/>
          <w:sz w:val="14"/>
          <w:szCs w:val="14"/>
          <w:lang w:val="en-US"/>
        </w:rPr>
        <w:t>Wik</w:t>
      </w:r>
      <w:proofErr w:type="spellEnd"/>
      <w:r w:rsidRPr="00DC4A9F">
        <w:rPr>
          <w:rFonts w:ascii="Arial" w:hAnsi="Arial" w:cs="Arial"/>
          <w:sz w:val="14"/>
          <w:szCs w:val="14"/>
          <w:lang w:val="en-US"/>
        </w:rPr>
        <w:t xml:space="preserve">-Consult, “Mobile Termination Cost Model for Australia”, Report for the Australian Competition and Consumer Commission”. </w:t>
      </w:r>
      <w:proofErr w:type="spellStart"/>
      <w:r w:rsidRPr="00DC4A9F">
        <w:rPr>
          <w:rFonts w:ascii="Arial" w:hAnsi="Arial" w:cs="Arial"/>
          <w:sz w:val="14"/>
          <w:szCs w:val="14"/>
          <w:lang w:val="en-US"/>
        </w:rPr>
        <w:t>Enero</w:t>
      </w:r>
      <w:proofErr w:type="spellEnd"/>
      <w:r w:rsidRPr="00DC4A9F">
        <w:rPr>
          <w:rFonts w:ascii="Arial" w:hAnsi="Arial" w:cs="Arial"/>
          <w:sz w:val="14"/>
          <w:szCs w:val="14"/>
          <w:lang w:val="en-US"/>
        </w:rPr>
        <w:t xml:space="preserve"> 2007; </w:t>
      </w:r>
      <w:r w:rsidRPr="00DC4A9F">
        <w:rPr>
          <w:rFonts w:ascii="Arial" w:hAnsi="Arial" w:cs="Arial"/>
          <w:bCs/>
          <w:iCs/>
          <w:sz w:val="14"/>
          <w:szCs w:val="14"/>
          <w:lang w:val="en-US"/>
        </w:rPr>
        <w:t>Israel:</w:t>
      </w:r>
      <w:r w:rsidRPr="00DC4A9F">
        <w:rPr>
          <w:rFonts w:ascii="Arial" w:hAnsi="Arial" w:cs="Arial"/>
          <w:sz w:val="14"/>
          <w:szCs w:val="14"/>
          <w:lang w:val="en-US"/>
        </w:rPr>
        <w:t xml:space="preserve"> </w:t>
      </w:r>
      <w:proofErr w:type="spellStart"/>
      <w:r w:rsidRPr="00DC4A9F">
        <w:rPr>
          <w:rFonts w:ascii="Arial" w:hAnsi="Arial" w:cs="Arial"/>
          <w:sz w:val="14"/>
          <w:szCs w:val="14"/>
          <w:lang w:val="en-US"/>
        </w:rPr>
        <w:t>Analysys</w:t>
      </w:r>
      <w:proofErr w:type="spellEnd"/>
      <w:r w:rsidRPr="00DC4A9F">
        <w:rPr>
          <w:rFonts w:ascii="Arial" w:hAnsi="Arial" w:cs="Arial"/>
          <w:sz w:val="14"/>
          <w:szCs w:val="14"/>
          <w:lang w:val="en-US"/>
        </w:rPr>
        <w:t xml:space="preserve">, “A study of mobile termination charges”, Report for the Israel Ministry of Communications and Ministry of Finance, Julio 2004.; </w:t>
      </w:r>
      <w:proofErr w:type="spellStart"/>
      <w:r w:rsidRPr="00DC4A9F">
        <w:rPr>
          <w:rFonts w:ascii="Arial" w:hAnsi="Arial" w:cs="Arial"/>
          <w:bCs/>
          <w:iCs/>
          <w:sz w:val="14"/>
          <w:szCs w:val="14"/>
          <w:lang w:val="en-US"/>
        </w:rPr>
        <w:t>Perú</w:t>
      </w:r>
      <w:proofErr w:type="spellEnd"/>
      <w:r w:rsidRPr="00DC4A9F">
        <w:rPr>
          <w:rFonts w:ascii="Arial" w:hAnsi="Arial" w:cs="Arial"/>
          <w:sz w:val="14"/>
          <w:szCs w:val="14"/>
          <w:lang w:val="en-US"/>
        </w:rPr>
        <w:t xml:space="preserve">: </w:t>
      </w:r>
      <w:proofErr w:type="spellStart"/>
      <w:r w:rsidRPr="00DC4A9F">
        <w:rPr>
          <w:rFonts w:ascii="Arial" w:hAnsi="Arial" w:cs="Arial"/>
          <w:sz w:val="14"/>
          <w:szCs w:val="14"/>
          <w:lang w:val="en-US"/>
        </w:rPr>
        <w:t>Wik</w:t>
      </w:r>
      <w:proofErr w:type="spellEnd"/>
      <w:r w:rsidRPr="00DC4A9F">
        <w:rPr>
          <w:rFonts w:ascii="Arial" w:hAnsi="Arial" w:cs="Arial"/>
          <w:sz w:val="14"/>
          <w:szCs w:val="14"/>
          <w:lang w:val="en-US"/>
        </w:rPr>
        <w:t xml:space="preserve">-Consult, “Analysis of Cost Studies presented by Mobile Network Operators”, Submitted to OSIPITEL, Mayo 2005; </w:t>
      </w:r>
      <w:r w:rsidRPr="00DC4A9F">
        <w:rPr>
          <w:rFonts w:ascii="Arial" w:hAnsi="Arial" w:cs="Arial"/>
          <w:bCs/>
          <w:iCs/>
          <w:sz w:val="14"/>
          <w:szCs w:val="14"/>
          <w:lang w:val="en-US"/>
        </w:rPr>
        <w:t>Colombia</w:t>
      </w:r>
      <w:r w:rsidRPr="00DC4A9F">
        <w:rPr>
          <w:rFonts w:ascii="Arial" w:hAnsi="Arial" w:cs="Arial"/>
          <w:sz w:val="14"/>
          <w:szCs w:val="14"/>
          <w:lang w:val="en-US"/>
        </w:rPr>
        <w:t xml:space="preserve">: CRT, </w:t>
      </w:r>
      <w:proofErr w:type="spellStart"/>
      <w:r w:rsidRPr="00DC4A9F">
        <w:rPr>
          <w:rFonts w:ascii="Arial" w:hAnsi="Arial" w:cs="Arial"/>
          <w:sz w:val="14"/>
          <w:szCs w:val="14"/>
          <w:lang w:val="en-US"/>
        </w:rPr>
        <w:t>Políticas</w:t>
      </w:r>
      <w:proofErr w:type="spellEnd"/>
      <w:r w:rsidRPr="00DC4A9F">
        <w:rPr>
          <w:rFonts w:ascii="Arial" w:hAnsi="Arial" w:cs="Arial"/>
          <w:sz w:val="14"/>
          <w:szCs w:val="14"/>
          <w:lang w:val="en-US"/>
        </w:rPr>
        <w:t xml:space="preserve"> </w:t>
      </w:r>
      <w:proofErr w:type="spellStart"/>
      <w:r w:rsidRPr="00DC4A9F">
        <w:rPr>
          <w:rFonts w:ascii="Arial" w:hAnsi="Arial" w:cs="Arial"/>
          <w:sz w:val="14"/>
          <w:szCs w:val="14"/>
          <w:lang w:val="en-US"/>
        </w:rPr>
        <w:t>Generales</w:t>
      </w:r>
      <w:proofErr w:type="spellEnd"/>
      <w:r w:rsidRPr="00DC4A9F">
        <w:rPr>
          <w:rFonts w:ascii="Arial" w:hAnsi="Arial" w:cs="Arial"/>
          <w:sz w:val="14"/>
          <w:szCs w:val="14"/>
          <w:lang w:val="en-US"/>
        </w:rPr>
        <w:t xml:space="preserve"> y </w:t>
      </w:r>
      <w:proofErr w:type="spellStart"/>
      <w:r w:rsidRPr="00DC4A9F">
        <w:rPr>
          <w:rFonts w:ascii="Arial" w:hAnsi="Arial" w:cs="Arial"/>
          <w:sz w:val="14"/>
          <w:szCs w:val="14"/>
          <w:lang w:val="en-US"/>
        </w:rPr>
        <w:t>Estrategias</w:t>
      </w:r>
      <w:proofErr w:type="spellEnd"/>
      <w:r w:rsidRPr="00DC4A9F">
        <w:rPr>
          <w:rFonts w:ascii="Arial" w:hAnsi="Arial" w:cs="Arial"/>
          <w:sz w:val="14"/>
          <w:szCs w:val="14"/>
          <w:lang w:val="en-US"/>
        </w:rPr>
        <w:t xml:space="preserve"> para </w:t>
      </w:r>
      <w:proofErr w:type="spellStart"/>
      <w:r w:rsidRPr="00DC4A9F">
        <w:rPr>
          <w:rFonts w:ascii="Arial" w:hAnsi="Arial" w:cs="Arial"/>
          <w:sz w:val="14"/>
          <w:szCs w:val="14"/>
          <w:lang w:val="en-US"/>
        </w:rPr>
        <w:t>Establecer</w:t>
      </w:r>
      <w:proofErr w:type="spellEnd"/>
      <w:r w:rsidRPr="00DC4A9F">
        <w:rPr>
          <w:rFonts w:ascii="Arial" w:hAnsi="Arial" w:cs="Arial"/>
          <w:sz w:val="14"/>
          <w:szCs w:val="14"/>
          <w:lang w:val="en-US"/>
        </w:rPr>
        <w:t xml:space="preserve"> un </w:t>
      </w:r>
      <w:proofErr w:type="spellStart"/>
      <w:r w:rsidRPr="00DC4A9F">
        <w:rPr>
          <w:rFonts w:ascii="Arial" w:hAnsi="Arial" w:cs="Arial"/>
          <w:sz w:val="14"/>
          <w:szCs w:val="14"/>
          <w:lang w:val="en-US"/>
        </w:rPr>
        <w:t>Régimen</w:t>
      </w:r>
      <w:proofErr w:type="spellEnd"/>
      <w:r w:rsidRPr="00DC4A9F">
        <w:rPr>
          <w:rFonts w:ascii="Arial" w:hAnsi="Arial" w:cs="Arial"/>
          <w:sz w:val="14"/>
          <w:szCs w:val="14"/>
          <w:lang w:val="en-US"/>
        </w:rPr>
        <w:t xml:space="preserve"> </w:t>
      </w:r>
      <w:proofErr w:type="spellStart"/>
      <w:r w:rsidRPr="00DC4A9F">
        <w:rPr>
          <w:rFonts w:ascii="Arial" w:hAnsi="Arial" w:cs="Arial"/>
          <w:sz w:val="14"/>
          <w:szCs w:val="14"/>
          <w:lang w:val="en-US"/>
        </w:rPr>
        <w:t>Unificado</w:t>
      </w:r>
      <w:proofErr w:type="spellEnd"/>
      <w:r w:rsidRPr="00DC4A9F">
        <w:rPr>
          <w:rFonts w:ascii="Arial" w:hAnsi="Arial" w:cs="Arial"/>
          <w:sz w:val="14"/>
          <w:szCs w:val="14"/>
          <w:lang w:val="en-US"/>
        </w:rPr>
        <w:t xml:space="preserve"> de </w:t>
      </w:r>
      <w:proofErr w:type="spellStart"/>
      <w:r w:rsidRPr="00DC4A9F">
        <w:rPr>
          <w:rFonts w:ascii="Arial" w:hAnsi="Arial" w:cs="Arial"/>
          <w:sz w:val="14"/>
          <w:szCs w:val="14"/>
          <w:lang w:val="en-US"/>
        </w:rPr>
        <w:t>Interconexión</w:t>
      </w:r>
      <w:proofErr w:type="spellEnd"/>
      <w:r w:rsidRPr="00DC4A9F">
        <w:rPr>
          <w:rFonts w:ascii="Arial" w:hAnsi="Arial" w:cs="Arial"/>
          <w:sz w:val="14"/>
          <w:szCs w:val="14"/>
          <w:lang w:val="en-US"/>
        </w:rPr>
        <w:t xml:space="preserve"> (RUDI), Julio 2000; Cullen International “Mobile termination rates: moving toward pure LRIC?”</w:t>
      </w:r>
    </w:p>
  </w:footnote>
  <w:footnote w:id="30">
    <w:p w14:paraId="4B6028CD" w14:textId="77777777" w:rsidR="001173E7" w:rsidRPr="00DC4A9F" w:rsidRDefault="001173E7" w:rsidP="003E526D">
      <w:pPr>
        <w:pStyle w:val="Textonotapie"/>
        <w:spacing w:before="60"/>
        <w:jc w:val="both"/>
        <w:rPr>
          <w:rFonts w:ascii="Arial" w:hAnsi="Arial" w:cs="Arial"/>
          <w:sz w:val="14"/>
          <w:szCs w:val="14"/>
        </w:rPr>
      </w:pPr>
      <w:r w:rsidRPr="00DC4A9F">
        <w:rPr>
          <w:rStyle w:val="Refdenotaalpie"/>
          <w:rFonts w:ascii="Arial" w:hAnsi="Arial" w:cs="Arial"/>
          <w:sz w:val="14"/>
          <w:szCs w:val="14"/>
        </w:rPr>
        <w:footnoteRef/>
      </w:r>
      <w:r w:rsidRPr="00DC4A9F">
        <w:rPr>
          <w:rFonts w:ascii="Arial" w:hAnsi="Arial" w:cs="Arial"/>
          <w:sz w:val="14"/>
          <w:szCs w:val="14"/>
        </w:rPr>
        <w:t xml:space="preserve"> UIT página web: http://www.itu.int/ITU-D/ICTEYE/Reports.aspx.</w:t>
      </w:r>
    </w:p>
  </w:footnote>
  <w:footnote w:id="31">
    <w:p w14:paraId="4B6028CE" w14:textId="77777777" w:rsidR="001173E7" w:rsidRPr="00DC4A9F" w:rsidRDefault="001173E7" w:rsidP="003E526D">
      <w:pPr>
        <w:pStyle w:val="Textonotapie"/>
        <w:spacing w:before="60"/>
        <w:jc w:val="both"/>
        <w:rPr>
          <w:rFonts w:ascii="Arial" w:hAnsi="Arial" w:cs="Arial"/>
          <w:sz w:val="14"/>
          <w:szCs w:val="14"/>
          <w:lang w:val="en-US"/>
        </w:rPr>
      </w:pPr>
      <w:r w:rsidRPr="000A1323">
        <w:rPr>
          <w:rStyle w:val="Refdenotaalpie"/>
          <w:sz w:val="18"/>
          <w:szCs w:val="18"/>
        </w:rPr>
        <w:footnoteRef/>
      </w:r>
      <w:r w:rsidRPr="000A1323">
        <w:rPr>
          <w:rFonts w:ascii="Arial" w:hAnsi="Arial" w:cs="Arial"/>
          <w:sz w:val="18"/>
          <w:szCs w:val="18"/>
          <w:lang w:val="en-US"/>
        </w:rPr>
        <w:t xml:space="preserve"> </w:t>
      </w:r>
      <w:r w:rsidRPr="00DC4A9F">
        <w:rPr>
          <w:rFonts w:ascii="Arial" w:hAnsi="Arial" w:cs="Arial"/>
          <w:sz w:val="14"/>
          <w:szCs w:val="14"/>
          <w:lang w:val="en-US"/>
        </w:rPr>
        <w:t>EUROPEAN COMMISSION (2009a), “Commission Recommendation on the Regulatory Treatment of Fixed and Mobile Termination Rates in the EU”, European Commission, Brussels.</w:t>
      </w:r>
    </w:p>
    <w:p w14:paraId="4B6028CF" w14:textId="77777777" w:rsidR="001173E7" w:rsidRPr="001B1408" w:rsidRDefault="001173E7" w:rsidP="003E526D">
      <w:pPr>
        <w:pStyle w:val="Textonotapie"/>
        <w:rPr>
          <w:rFonts w:ascii="Arial" w:hAnsi="Arial" w:cs="Arial"/>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028A0" w14:textId="77777777" w:rsidR="001173E7" w:rsidRDefault="001173E7">
    <w:pPr>
      <w:pStyle w:val="Encabezado"/>
    </w:pPr>
    <w:r>
      <w:rPr>
        <w:noProof/>
        <w:lang w:eastAsia="es-MX"/>
      </w:rPr>
      <w:pict w14:anchorId="4B602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887907" o:spid="_x0000_s2071" type="#_x0000_t75" style="position:absolute;margin-left:0;margin-top:0;width:612pt;height:11in;z-index:-251658239;mso-position-horizontal:center;mso-position-horizontal-relative:margin;mso-position-vertical:center;mso-position-vertical-relative:margin" o:allowincell="f">
          <v:imagedata r:id="rId1" o:title="Constitución2_bost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028A5" w14:textId="77777777" w:rsidR="001173E7" w:rsidRDefault="001173E7">
    <w:pPr>
      <w:pStyle w:val="Encabezado"/>
    </w:pPr>
    <w:r>
      <w:rPr>
        <w:noProof/>
        <w:lang w:eastAsia="es-MX"/>
      </w:rPr>
      <w:pict w14:anchorId="4B602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887906" o:spid="_x0000_s2070" type="#_x0000_t75" style="position:absolute;margin-left:0;margin-top:0;width:612pt;height:11in;z-index:-251658240;mso-position-horizontal:center;mso-position-horizontal-relative:margin;mso-position-vertical:center;mso-position-vertical-relative:margin" o:allowincell="f">
          <v:imagedata r:id="rId1" o:title="Constitución2_bost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782C"/>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C364A2"/>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0C66D90"/>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9E5B3B"/>
    <w:multiLevelType w:val="hybridMultilevel"/>
    <w:tmpl w:val="4B242D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750B1"/>
    <w:multiLevelType w:val="hybridMultilevel"/>
    <w:tmpl w:val="BBECFCA6"/>
    <w:lvl w:ilvl="0" w:tplc="F6581138">
      <w:start w:val="1"/>
      <w:numFmt w:val="decimal"/>
      <w:lvlText w:val="%1)"/>
      <w:lvlJc w:val="left"/>
      <w:pPr>
        <w:ind w:left="360" w:hanging="360"/>
      </w:pPr>
      <w:rPr>
        <w:rFonts w:hint="default"/>
        <w:i w:val="0"/>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9897F31"/>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F4C1563"/>
    <w:multiLevelType w:val="multilevel"/>
    <w:tmpl w:val="576E6A18"/>
    <w:lvl w:ilvl="0">
      <w:start w:val="12"/>
      <w:numFmt w:val="upperRoman"/>
      <w:lvlText w:val="%1."/>
      <w:lvlJc w:val="left"/>
      <w:rPr>
        <w:rFonts w:ascii="Arial" w:eastAsia="Arial" w:hAnsi="Arial" w:cs="Arial"/>
        <w:b/>
        <w:bCs/>
        <w:i/>
        <w:iCs/>
        <w:smallCaps w:val="0"/>
        <w:strike w:val="0"/>
        <w:color w:val="000000"/>
        <w:spacing w:val="0"/>
        <w:w w:val="100"/>
        <w:position w:val="0"/>
        <w:sz w:val="21"/>
        <w:szCs w:val="21"/>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560E14"/>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0083FB7"/>
    <w:multiLevelType w:val="hybridMultilevel"/>
    <w:tmpl w:val="E4960F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32561C"/>
    <w:multiLevelType w:val="hybridMultilevel"/>
    <w:tmpl w:val="B46C4960"/>
    <w:lvl w:ilvl="0" w:tplc="7B560F56">
      <w:start w:val="1"/>
      <w:numFmt w:val="bullet"/>
      <w:lvlText w:val=""/>
      <w:lvlJc w:val="left"/>
      <w:pPr>
        <w:ind w:left="1068" w:hanging="360"/>
      </w:pPr>
      <w:rPr>
        <w:rFonts w:ascii="Symbol" w:hAnsi="Symbol" w:hint="default"/>
        <w:lang w:val="es-MX"/>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12311633"/>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84470"/>
    <w:multiLevelType w:val="hybridMultilevel"/>
    <w:tmpl w:val="67B293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B7514BB"/>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F426436"/>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08D6FCE"/>
    <w:multiLevelType w:val="multilevel"/>
    <w:tmpl w:val="E28C979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4A467FA"/>
    <w:multiLevelType w:val="hybridMultilevel"/>
    <w:tmpl w:val="6BFACE0C"/>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2A07153E"/>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A7E4DFD"/>
    <w:multiLevelType w:val="hybridMultilevel"/>
    <w:tmpl w:val="2CF28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17F02"/>
    <w:multiLevelType w:val="hybridMultilevel"/>
    <w:tmpl w:val="906274C4"/>
    <w:lvl w:ilvl="0" w:tplc="E6DAD7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201510"/>
    <w:multiLevelType w:val="hybridMultilevel"/>
    <w:tmpl w:val="416C38DE"/>
    <w:lvl w:ilvl="0" w:tplc="261C72E6">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B13640"/>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47A7894"/>
    <w:multiLevelType w:val="multilevel"/>
    <w:tmpl w:val="4168BF38"/>
    <w:lvl w:ilvl="0">
      <w:start w:val="1"/>
      <w:numFmt w:val="bullet"/>
      <w:lvlText w:val="V"/>
      <w:lvlJc w:val="left"/>
      <w:rPr>
        <w:rFonts w:ascii="Arial" w:eastAsia="Arial" w:hAnsi="Arial" w:cs="Arial"/>
        <w:b w:val="0"/>
        <w:bCs w:val="0"/>
        <w:i w:val="0"/>
        <w:iCs w:val="0"/>
        <w:smallCaps w:val="0"/>
        <w:strike w:val="0"/>
        <w:color w:val="000000"/>
        <w:spacing w:val="0"/>
        <w:w w:val="100"/>
        <w:position w:val="0"/>
        <w:sz w:val="21"/>
        <w:szCs w:val="21"/>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521762E"/>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687225E"/>
    <w:multiLevelType w:val="hybridMultilevel"/>
    <w:tmpl w:val="5F9A02C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378A766A"/>
    <w:multiLevelType w:val="hybridMultilevel"/>
    <w:tmpl w:val="422A914E"/>
    <w:lvl w:ilvl="0" w:tplc="0C0A001B">
      <w:start w:val="1"/>
      <w:numFmt w:val="low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3D076FAB"/>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E836806"/>
    <w:multiLevelType w:val="hybridMultilevel"/>
    <w:tmpl w:val="6BFACE0C"/>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15:restartNumberingAfterBreak="0">
    <w:nsid w:val="40D32D22"/>
    <w:multiLevelType w:val="multilevel"/>
    <w:tmpl w:val="452ABB72"/>
    <w:lvl w:ilvl="0">
      <w:start w:val="2"/>
      <w:numFmt w:val="upperRoman"/>
      <w:lvlText w:val="%1."/>
      <w:lvlJc w:val="left"/>
      <w:rPr>
        <w:rFonts w:ascii="Arial" w:eastAsia="Arial" w:hAnsi="Arial" w:cs="Arial"/>
        <w:b w:val="0"/>
        <w:bCs w:val="0"/>
        <w:i/>
        <w:iCs/>
        <w:smallCaps w:val="0"/>
        <w:strike w:val="0"/>
        <w:color w:val="000000"/>
        <w:spacing w:val="0"/>
        <w:w w:val="100"/>
        <w:position w:val="0"/>
        <w:sz w:val="21"/>
        <w:szCs w:val="21"/>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14D64AA"/>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5BF040F"/>
    <w:multiLevelType w:val="multilevel"/>
    <w:tmpl w:val="B91A8E30"/>
    <w:lvl w:ilvl="0">
      <w:start w:val="1"/>
      <w:numFmt w:val="bullet"/>
      <w:lvlText w:val="*"/>
      <w:lvlJc w:val="left"/>
      <w:rPr>
        <w:rFonts w:ascii="Arial" w:eastAsia="Arial" w:hAnsi="Arial" w:cs="Arial"/>
        <w:b w:val="0"/>
        <w:bCs w:val="0"/>
        <w:i/>
        <w:iCs/>
        <w:smallCaps w:val="0"/>
        <w:strike w:val="0"/>
        <w:color w:val="000000"/>
        <w:spacing w:val="0"/>
        <w:w w:val="100"/>
        <w:position w:val="0"/>
        <w:sz w:val="21"/>
        <w:szCs w:val="21"/>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BCC139B"/>
    <w:multiLevelType w:val="multilevel"/>
    <w:tmpl w:val="36862BAE"/>
    <w:lvl w:ilvl="0">
      <w:start w:val="1"/>
      <w:numFmt w:val="lowerLetter"/>
      <w:lvlText w:val="%1)"/>
      <w:lvlJc w:val="left"/>
      <w:rPr>
        <w:rFonts w:ascii="ITC Avant Garde" w:eastAsia="Arial" w:hAnsi="ITC Avant Garde" w:cs="Arial" w:hint="default"/>
        <w:b w:val="0"/>
        <w:bCs w:val="0"/>
        <w:i/>
        <w:iCs w:val="0"/>
        <w:smallCaps w:val="0"/>
        <w:strike w:val="0"/>
        <w:color w:val="000000"/>
        <w:spacing w:val="0"/>
        <w:w w:val="100"/>
        <w:position w:val="0"/>
        <w:sz w:val="18"/>
        <w:szCs w:val="18"/>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C0937EC"/>
    <w:multiLevelType w:val="hybridMultilevel"/>
    <w:tmpl w:val="6BFACE0C"/>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2" w15:restartNumberingAfterBreak="0">
    <w:nsid w:val="4FA537FA"/>
    <w:multiLevelType w:val="hybridMultilevel"/>
    <w:tmpl w:val="990CE61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518402DF"/>
    <w:multiLevelType w:val="hybridMultilevel"/>
    <w:tmpl w:val="A49691D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57E233F7"/>
    <w:multiLevelType w:val="multilevel"/>
    <w:tmpl w:val="76E825A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1"/>
        <w:szCs w:val="21"/>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1472E10"/>
    <w:multiLevelType w:val="multilevel"/>
    <w:tmpl w:val="A32E9FA4"/>
    <w:lvl w:ilvl="0">
      <w:start w:val="5"/>
      <w:numFmt w:val="upperRoman"/>
      <w:lvlText w:val="%1,"/>
      <w:lvlJc w:val="left"/>
      <w:rPr>
        <w:rFonts w:ascii="Arial" w:eastAsia="Arial" w:hAnsi="Arial" w:cs="Arial"/>
        <w:b w:val="0"/>
        <w:bCs w:val="0"/>
        <w:i w:val="0"/>
        <w:iCs w:val="0"/>
        <w:smallCaps w:val="0"/>
        <w:strike w:val="0"/>
        <w:color w:val="000000"/>
        <w:spacing w:val="0"/>
        <w:w w:val="100"/>
        <w:position w:val="0"/>
        <w:sz w:val="21"/>
        <w:szCs w:val="21"/>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4753ADC"/>
    <w:multiLevelType w:val="hybridMultilevel"/>
    <w:tmpl w:val="B2DAC330"/>
    <w:lvl w:ilvl="0" w:tplc="0C0A001B">
      <w:start w:val="1"/>
      <w:numFmt w:val="lowerRoman"/>
      <w:lvlText w:val="%1."/>
      <w:lvlJc w:val="righ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7" w15:restartNumberingAfterBreak="0">
    <w:nsid w:val="68054C93"/>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AB736E0"/>
    <w:multiLevelType w:val="hybridMultilevel"/>
    <w:tmpl w:val="CF7EC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D71A4D"/>
    <w:multiLevelType w:val="hybridMultilevel"/>
    <w:tmpl w:val="A9EA23A2"/>
    <w:lvl w:ilvl="0" w:tplc="08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74AF3538"/>
    <w:multiLevelType w:val="hybridMultilevel"/>
    <w:tmpl w:val="C876DB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A4041F"/>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D3074FA"/>
    <w:multiLevelType w:val="hybridMultilevel"/>
    <w:tmpl w:val="F8322F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AA6104"/>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0"/>
  </w:num>
  <w:num w:numId="2">
    <w:abstractNumId w:val="16"/>
  </w:num>
  <w:num w:numId="3">
    <w:abstractNumId w:val="30"/>
  </w:num>
  <w:num w:numId="4">
    <w:abstractNumId w:val="34"/>
  </w:num>
  <w:num w:numId="5">
    <w:abstractNumId w:val="6"/>
  </w:num>
  <w:num w:numId="6">
    <w:abstractNumId w:val="27"/>
  </w:num>
  <w:num w:numId="7">
    <w:abstractNumId w:val="21"/>
  </w:num>
  <w:num w:numId="8">
    <w:abstractNumId w:val="29"/>
  </w:num>
  <w:num w:numId="9">
    <w:abstractNumId w:val="35"/>
  </w:num>
  <w:num w:numId="10">
    <w:abstractNumId w:val="37"/>
  </w:num>
  <w:num w:numId="11">
    <w:abstractNumId w:val="25"/>
  </w:num>
  <w:num w:numId="12">
    <w:abstractNumId w:val="0"/>
  </w:num>
  <w:num w:numId="13">
    <w:abstractNumId w:val="10"/>
  </w:num>
  <w:num w:numId="14">
    <w:abstractNumId w:val="43"/>
  </w:num>
  <w:num w:numId="15">
    <w:abstractNumId w:val="12"/>
  </w:num>
  <w:num w:numId="16">
    <w:abstractNumId w:val="14"/>
  </w:num>
  <w:num w:numId="17">
    <w:abstractNumId w:val="7"/>
  </w:num>
  <w:num w:numId="18">
    <w:abstractNumId w:val="20"/>
  </w:num>
  <w:num w:numId="19">
    <w:abstractNumId w:val="28"/>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lvlOverride w:ilvl="2"/>
    <w:lvlOverride w:ilvl="3"/>
    <w:lvlOverride w:ilvl="4"/>
    <w:lvlOverride w:ilvl="5"/>
    <w:lvlOverride w:ilvl="6"/>
    <w:lvlOverride w:ilvl="7"/>
    <w:lvlOverride w:ilvl="8"/>
  </w:num>
  <w:num w:numId="22">
    <w:abstractNumId w:val="27"/>
    <w:lvlOverride w:ilvl="0">
      <w:startOverride w:val="2"/>
    </w:lvlOverride>
    <w:lvlOverride w:ilvl="1"/>
    <w:lvlOverride w:ilvl="2"/>
    <w:lvlOverride w:ilvl="3"/>
    <w:lvlOverride w:ilvl="4"/>
    <w:lvlOverride w:ilvl="5"/>
    <w:lvlOverride w:ilvl="6"/>
    <w:lvlOverride w:ilvl="7"/>
    <w:lvlOverride w:ilvl="8"/>
  </w:num>
  <w:num w:numId="23">
    <w:abstractNumId w:val="41"/>
  </w:num>
  <w:num w:numId="24">
    <w:abstractNumId w:val="1"/>
  </w:num>
  <w:num w:numId="25">
    <w:abstractNumId w:val="2"/>
  </w:num>
  <w:num w:numId="26">
    <w:abstractNumId w:val="5"/>
  </w:num>
  <w:num w:numId="27">
    <w:abstractNumId w:val="22"/>
  </w:num>
  <w:num w:numId="28">
    <w:abstractNumId w:val="13"/>
  </w:num>
  <w:num w:numId="29">
    <w:abstractNumId w:val="42"/>
  </w:num>
  <w:num w:numId="30">
    <w:abstractNumId w:val="3"/>
  </w:num>
  <w:num w:numId="31">
    <w:abstractNumId w:val="31"/>
  </w:num>
  <w:num w:numId="32">
    <w:abstractNumId w:val="9"/>
  </w:num>
  <w:num w:numId="33">
    <w:abstractNumId w:val="15"/>
  </w:num>
  <w:num w:numId="34">
    <w:abstractNumId w:val="4"/>
  </w:num>
  <w:num w:numId="35">
    <w:abstractNumId w:val="38"/>
  </w:num>
  <w:num w:numId="36">
    <w:abstractNumId w:val="17"/>
  </w:num>
  <w:num w:numId="37">
    <w:abstractNumId w:val="36"/>
  </w:num>
  <w:num w:numId="38">
    <w:abstractNumId w:val="33"/>
  </w:num>
  <w:num w:numId="39">
    <w:abstractNumId w:val="26"/>
  </w:num>
  <w:num w:numId="40">
    <w:abstractNumId w:val="8"/>
  </w:num>
  <w:num w:numId="41">
    <w:abstractNumId w:val="11"/>
  </w:num>
  <w:num w:numId="42">
    <w:abstractNumId w:val="32"/>
  </w:num>
  <w:num w:numId="43">
    <w:abstractNumId w:val="39"/>
  </w:num>
  <w:num w:numId="44">
    <w:abstractNumId w:val="18"/>
  </w:num>
  <w:num w:numId="45">
    <w:abstractNumId w:val="19"/>
  </w:num>
  <w:num w:numId="46">
    <w:abstractNumId w:val="24"/>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7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F7"/>
    <w:rsid w:val="000134D0"/>
    <w:rsid w:val="0004020C"/>
    <w:rsid w:val="00040E45"/>
    <w:rsid w:val="00044A7D"/>
    <w:rsid w:val="00053DE2"/>
    <w:rsid w:val="000A1045"/>
    <w:rsid w:val="000A22DC"/>
    <w:rsid w:val="000B6A4E"/>
    <w:rsid w:val="000C2C1D"/>
    <w:rsid w:val="000D58C3"/>
    <w:rsid w:val="000D7AB2"/>
    <w:rsid w:val="000E470B"/>
    <w:rsid w:val="00114B04"/>
    <w:rsid w:val="001173E7"/>
    <w:rsid w:val="001319A2"/>
    <w:rsid w:val="00147C4E"/>
    <w:rsid w:val="00162D15"/>
    <w:rsid w:val="00166CE3"/>
    <w:rsid w:val="0018735F"/>
    <w:rsid w:val="00197D24"/>
    <w:rsid w:val="001A4F8E"/>
    <w:rsid w:val="001B3EFA"/>
    <w:rsid w:val="001C1C34"/>
    <w:rsid w:val="002072F0"/>
    <w:rsid w:val="002101A8"/>
    <w:rsid w:val="00226A79"/>
    <w:rsid w:val="00253D34"/>
    <w:rsid w:val="00260FDE"/>
    <w:rsid w:val="00281B8D"/>
    <w:rsid w:val="00286791"/>
    <w:rsid w:val="002C08B7"/>
    <w:rsid w:val="002C763F"/>
    <w:rsid w:val="002D469A"/>
    <w:rsid w:val="002D6EF2"/>
    <w:rsid w:val="002E01DB"/>
    <w:rsid w:val="002E6ED4"/>
    <w:rsid w:val="002F135E"/>
    <w:rsid w:val="003068C6"/>
    <w:rsid w:val="00307BB6"/>
    <w:rsid w:val="0031745F"/>
    <w:rsid w:val="00324E19"/>
    <w:rsid w:val="003A5B84"/>
    <w:rsid w:val="003D3296"/>
    <w:rsid w:val="003E526D"/>
    <w:rsid w:val="00406DF7"/>
    <w:rsid w:val="00456BAF"/>
    <w:rsid w:val="00461C0F"/>
    <w:rsid w:val="004654F6"/>
    <w:rsid w:val="004D0667"/>
    <w:rsid w:val="004D3295"/>
    <w:rsid w:val="0051578F"/>
    <w:rsid w:val="0052417C"/>
    <w:rsid w:val="00552F8C"/>
    <w:rsid w:val="00563DA7"/>
    <w:rsid w:val="0058053B"/>
    <w:rsid w:val="005A649F"/>
    <w:rsid w:val="005B5282"/>
    <w:rsid w:val="005C74A1"/>
    <w:rsid w:val="0060737C"/>
    <w:rsid w:val="00633F98"/>
    <w:rsid w:val="006515E4"/>
    <w:rsid w:val="00654D1D"/>
    <w:rsid w:val="006655F5"/>
    <w:rsid w:val="00670BE0"/>
    <w:rsid w:val="006B4A5E"/>
    <w:rsid w:val="006D377A"/>
    <w:rsid w:val="006F57C5"/>
    <w:rsid w:val="007024C6"/>
    <w:rsid w:val="00722A1C"/>
    <w:rsid w:val="00784D62"/>
    <w:rsid w:val="007924AB"/>
    <w:rsid w:val="00793CDD"/>
    <w:rsid w:val="007963D2"/>
    <w:rsid w:val="007B615C"/>
    <w:rsid w:val="007D47EF"/>
    <w:rsid w:val="00820FB0"/>
    <w:rsid w:val="008473D4"/>
    <w:rsid w:val="00856328"/>
    <w:rsid w:val="008A15D9"/>
    <w:rsid w:val="008A4722"/>
    <w:rsid w:val="008B08BA"/>
    <w:rsid w:val="008D1D69"/>
    <w:rsid w:val="008D3559"/>
    <w:rsid w:val="008D6399"/>
    <w:rsid w:val="008F30CF"/>
    <w:rsid w:val="008F704A"/>
    <w:rsid w:val="00975BE8"/>
    <w:rsid w:val="00982459"/>
    <w:rsid w:val="0099194A"/>
    <w:rsid w:val="009A4EB7"/>
    <w:rsid w:val="009D53CD"/>
    <w:rsid w:val="009D6567"/>
    <w:rsid w:val="00A02D10"/>
    <w:rsid w:val="00A12EC9"/>
    <w:rsid w:val="00A37EBA"/>
    <w:rsid w:val="00A37F46"/>
    <w:rsid w:val="00A4656A"/>
    <w:rsid w:val="00A569C5"/>
    <w:rsid w:val="00A72149"/>
    <w:rsid w:val="00A736BF"/>
    <w:rsid w:val="00A768D6"/>
    <w:rsid w:val="00A77393"/>
    <w:rsid w:val="00B032EC"/>
    <w:rsid w:val="00B10C35"/>
    <w:rsid w:val="00B1380D"/>
    <w:rsid w:val="00B328EC"/>
    <w:rsid w:val="00B41BAF"/>
    <w:rsid w:val="00B54BEC"/>
    <w:rsid w:val="00B569A5"/>
    <w:rsid w:val="00B77822"/>
    <w:rsid w:val="00B879F5"/>
    <w:rsid w:val="00BB1A67"/>
    <w:rsid w:val="00BB203B"/>
    <w:rsid w:val="00BB22C6"/>
    <w:rsid w:val="00BC5634"/>
    <w:rsid w:val="00BD5018"/>
    <w:rsid w:val="00BF63DD"/>
    <w:rsid w:val="00C356BE"/>
    <w:rsid w:val="00C9455B"/>
    <w:rsid w:val="00CC18FC"/>
    <w:rsid w:val="00CC42D3"/>
    <w:rsid w:val="00CF2578"/>
    <w:rsid w:val="00D145A0"/>
    <w:rsid w:val="00D30595"/>
    <w:rsid w:val="00D7502A"/>
    <w:rsid w:val="00DC4A9F"/>
    <w:rsid w:val="00DD1537"/>
    <w:rsid w:val="00DE09C3"/>
    <w:rsid w:val="00DF0ED0"/>
    <w:rsid w:val="00DF71AB"/>
    <w:rsid w:val="00E02CC7"/>
    <w:rsid w:val="00E4784F"/>
    <w:rsid w:val="00E61EFA"/>
    <w:rsid w:val="00E6594E"/>
    <w:rsid w:val="00E85B07"/>
    <w:rsid w:val="00E86D02"/>
    <w:rsid w:val="00EA448F"/>
    <w:rsid w:val="00EA650E"/>
    <w:rsid w:val="00EE7C64"/>
    <w:rsid w:val="00F14AF0"/>
    <w:rsid w:val="00F46EFC"/>
    <w:rsid w:val="00F529E4"/>
    <w:rsid w:val="00F5316D"/>
    <w:rsid w:val="00F54E8C"/>
    <w:rsid w:val="00F62F3E"/>
    <w:rsid w:val="00F7416D"/>
    <w:rsid w:val="00F81B83"/>
    <w:rsid w:val="00F97A53"/>
    <w:rsid w:val="00FA0D74"/>
    <w:rsid w:val="00FB0A2B"/>
    <w:rsid w:val="00FB433A"/>
    <w:rsid w:val="00FC696A"/>
    <w:rsid w:val="00FD0219"/>
    <w:rsid w:val="00FD47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72"/>
    <o:shapelayout v:ext="edit">
      <o:idmap v:ext="edit" data="1"/>
    </o:shapelayout>
  </w:shapeDefaults>
  <w:decimalSymbol w:val="."/>
  <w:listSeparator w:val=","/>
  <w14:docId w14:val="4B601CEE"/>
  <w15:docId w15:val="{CDE2B490-0B6D-4A25-9DD0-764969005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54D1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3E526D"/>
    <w:pPr>
      <w:keepNext/>
      <w:spacing w:after="0" w:line="240" w:lineRule="auto"/>
      <w:jc w:val="center"/>
      <w:outlineLvl w:val="1"/>
    </w:pPr>
    <w:rPr>
      <w:rFonts w:ascii="Times New Roman" w:eastAsia="Times New Roman" w:hAnsi="Times New Roman" w:cs="Times New Roman"/>
      <w:b/>
      <w:sz w:val="24"/>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D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DF7"/>
  </w:style>
  <w:style w:type="paragraph" w:styleId="Piedepgina">
    <w:name w:val="footer"/>
    <w:basedOn w:val="Normal"/>
    <w:link w:val="PiedepginaCar"/>
    <w:uiPriority w:val="99"/>
    <w:unhideWhenUsed/>
    <w:rsid w:val="00406D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DF7"/>
  </w:style>
  <w:style w:type="paragraph" w:styleId="Textonotapie">
    <w:name w:val="footnote text"/>
    <w:aliases w:val="Footnote Text Char Char Char,Footnote Text Char Char Char Char Char Char Char,Footnote Text Char Char Char Char Char Char Char Char Char,Footnote Text Char Char Char Char Char,Footnote Text2 Char Char,ALTS FOOTNOTE,Footnote Text Char,fn"/>
    <w:basedOn w:val="Normal"/>
    <w:link w:val="TextonotapieCar"/>
    <w:unhideWhenUsed/>
    <w:qFormat/>
    <w:rsid w:val="00BD5018"/>
    <w:pPr>
      <w:spacing w:after="0" w:line="240" w:lineRule="auto"/>
    </w:pPr>
    <w:rPr>
      <w:sz w:val="20"/>
      <w:szCs w:val="20"/>
    </w:rPr>
  </w:style>
  <w:style w:type="character" w:customStyle="1" w:styleId="TextonotapieCar">
    <w:name w:val="Texto nota pie Car"/>
    <w:aliases w:val="Footnote Text Char Char Char Car,Footnote Text Char Char Char Char Char Char Char Car,Footnote Text Char Char Char Char Char Char Char Char Char Car,Footnote Text Char Char Char Char Char Car,Footnote Text2 Char Char Car,fn Car"/>
    <w:basedOn w:val="Fuentedeprrafopredeter"/>
    <w:link w:val="Textonotapie"/>
    <w:rsid w:val="00BD5018"/>
    <w:rPr>
      <w:sz w:val="20"/>
      <w:szCs w:val="20"/>
    </w:rPr>
  </w:style>
  <w:style w:type="character" w:styleId="Refdenotaalpie">
    <w:name w:val="footnote reference"/>
    <w:aliases w:val="Ref,de nota al pie,(NECG) Footnote Reference,o,fr,Style 3,Appel note de bas de p,Style 12,Style 124,Ref. de nota al pie 2,Footnote Reference Superscript,Style 6"/>
    <w:basedOn w:val="Fuentedeprrafopredeter"/>
    <w:unhideWhenUsed/>
    <w:qFormat/>
    <w:rsid w:val="00BD5018"/>
    <w:rPr>
      <w:vertAlign w:val="superscript"/>
    </w:rPr>
  </w:style>
  <w:style w:type="character" w:customStyle="1" w:styleId="Ttulo2Car">
    <w:name w:val="Título 2 Car"/>
    <w:basedOn w:val="Fuentedeprrafopredeter"/>
    <w:link w:val="Ttulo2"/>
    <w:uiPriority w:val="9"/>
    <w:rsid w:val="003E526D"/>
    <w:rPr>
      <w:rFonts w:ascii="Times New Roman" w:eastAsia="Times New Roman" w:hAnsi="Times New Roman" w:cs="Times New Roman"/>
      <w:b/>
      <w:sz w:val="24"/>
      <w:szCs w:val="20"/>
      <w:lang w:eastAsia="es-MX"/>
    </w:rPr>
  </w:style>
  <w:style w:type="numbering" w:customStyle="1" w:styleId="Sinlista1">
    <w:name w:val="Sin lista1"/>
    <w:next w:val="Sinlista"/>
    <w:uiPriority w:val="99"/>
    <w:semiHidden/>
    <w:unhideWhenUsed/>
    <w:rsid w:val="003E526D"/>
  </w:style>
  <w:style w:type="paragraph" w:styleId="Prrafodelista">
    <w:name w:val="List Paragraph"/>
    <w:basedOn w:val="Normal"/>
    <w:link w:val="PrrafodelistaCar"/>
    <w:uiPriority w:val="34"/>
    <w:qFormat/>
    <w:rsid w:val="003E526D"/>
    <w:pPr>
      <w:ind w:left="720"/>
      <w:contextualSpacing/>
    </w:pPr>
  </w:style>
  <w:style w:type="character" w:customStyle="1" w:styleId="PrrafodelistaCar">
    <w:name w:val="Párrafo de lista Car"/>
    <w:link w:val="Prrafodelista"/>
    <w:uiPriority w:val="34"/>
    <w:rsid w:val="003E526D"/>
  </w:style>
  <w:style w:type="paragraph" w:styleId="Textoindependiente">
    <w:name w:val="Body Text"/>
    <w:basedOn w:val="Normal"/>
    <w:link w:val="TextoindependienteCar"/>
    <w:semiHidden/>
    <w:rsid w:val="003E526D"/>
    <w:pPr>
      <w:spacing w:after="0" w:line="240" w:lineRule="auto"/>
      <w:jc w:val="both"/>
    </w:pPr>
    <w:rPr>
      <w:rFonts w:ascii="Times New Roman" w:eastAsia="Times New Roman" w:hAnsi="Times New Roman" w:cs="Times New Roman"/>
      <w:sz w:val="24"/>
      <w:szCs w:val="20"/>
      <w:lang w:val="es-ES" w:eastAsia="es-MX"/>
    </w:rPr>
  </w:style>
  <w:style w:type="character" w:customStyle="1" w:styleId="TextoindependienteCar">
    <w:name w:val="Texto independiente Car"/>
    <w:basedOn w:val="Fuentedeprrafopredeter"/>
    <w:link w:val="Textoindependiente"/>
    <w:semiHidden/>
    <w:rsid w:val="003E526D"/>
    <w:rPr>
      <w:rFonts w:ascii="Times New Roman" w:eastAsia="Times New Roman" w:hAnsi="Times New Roman" w:cs="Times New Roman"/>
      <w:sz w:val="24"/>
      <w:szCs w:val="20"/>
      <w:lang w:val="es-ES" w:eastAsia="es-MX"/>
    </w:rPr>
  </w:style>
  <w:style w:type="paragraph" w:styleId="Sinespaciado">
    <w:name w:val="No Spacing"/>
    <w:uiPriority w:val="1"/>
    <w:qFormat/>
    <w:rsid w:val="003E526D"/>
    <w:pPr>
      <w:spacing w:after="0" w:line="240" w:lineRule="auto"/>
    </w:pPr>
    <w:rPr>
      <w:rFonts w:ascii="Calibri" w:eastAsia="Calibri" w:hAnsi="Calibri" w:cs="Times New Roman"/>
    </w:rPr>
  </w:style>
  <w:style w:type="paragraph" w:customStyle="1" w:styleId="Estilo">
    <w:name w:val="Estilo"/>
    <w:basedOn w:val="Sinespaciado"/>
    <w:link w:val="EstiloCar"/>
    <w:qFormat/>
    <w:rsid w:val="003E526D"/>
    <w:pPr>
      <w:jc w:val="both"/>
    </w:pPr>
    <w:rPr>
      <w:rFonts w:ascii="Arial" w:eastAsiaTheme="minorHAnsi" w:hAnsi="Arial" w:cstheme="minorBidi"/>
      <w:sz w:val="24"/>
    </w:rPr>
  </w:style>
  <w:style w:type="character" w:customStyle="1" w:styleId="EstiloCar">
    <w:name w:val="Estilo Car"/>
    <w:basedOn w:val="Fuentedeprrafopredeter"/>
    <w:link w:val="Estilo"/>
    <w:rsid w:val="003E526D"/>
    <w:rPr>
      <w:rFonts w:ascii="Arial" w:hAnsi="Arial"/>
      <w:sz w:val="24"/>
    </w:rPr>
  </w:style>
  <w:style w:type="character" w:customStyle="1" w:styleId="FontStyle22">
    <w:name w:val="Font Style22"/>
    <w:basedOn w:val="Fuentedeprrafopredeter"/>
    <w:rsid w:val="003E526D"/>
    <w:rPr>
      <w:rFonts w:ascii="Arial" w:hAnsi="Arial" w:cs="Arial"/>
      <w:sz w:val="20"/>
      <w:szCs w:val="20"/>
    </w:rPr>
  </w:style>
  <w:style w:type="paragraph" w:styleId="Textosinformato">
    <w:name w:val="Plain Text"/>
    <w:basedOn w:val="Normal"/>
    <w:link w:val="TextosinformatoCar"/>
    <w:rsid w:val="003E526D"/>
    <w:pPr>
      <w:spacing w:after="0" w:line="240" w:lineRule="auto"/>
    </w:pPr>
    <w:rPr>
      <w:rFonts w:ascii="Courier New" w:eastAsia="Times New Roman" w:hAnsi="Courier New" w:cs="Courier New"/>
      <w:sz w:val="24"/>
      <w:szCs w:val="24"/>
      <w:lang w:val="es-ES" w:eastAsia="es-ES"/>
    </w:rPr>
  </w:style>
  <w:style w:type="character" w:customStyle="1" w:styleId="TextosinformatoCar">
    <w:name w:val="Texto sin formato Car"/>
    <w:basedOn w:val="Fuentedeprrafopredeter"/>
    <w:link w:val="Textosinformato"/>
    <w:rsid w:val="003E526D"/>
    <w:rPr>
      <w:rFonts w:ascii="Courier New" w:eastAsia="Times New Roman" w:hAnsi="Courier New" w:cs="Courier New"/>
      <w:sz w:val="24"/>
      <w:szCs w:val="24"/>
      <w:lang w:val="es-ES" w:eastAsia="es-ES"/>
    </w:rPr>
  </w:style>
  <w:style w:type="paragraph" w:customStyle="1" w:styleId="Blockquote">
    <w:name w:val="Blockquote"/>
    <w:basedOn w:val="Normal"/>
    <w:rsid w:val="003E526D"/>
    <w:pPr>
      <w:spacing w:before="100" w:after="100" w:line="240" w:lineRule="auto"/>
      <w:ind w:left="360" w:right="360"/>
    </w:pPr>
    <w:rPr>
      <w:rFonts w:ascii="Times New Roman" w:eastAsia="Times New Roman" w:hAnsi="Times New Roman" w:cs="Times New Roman"/>
      <w:snapToGrid w:val="0"/>
      <w:sz w:val="24"/>
      <w:szCs w:val="20"/>
      <w:lang w:eastAsia="es-ES"/>
    </w:rPr>
  </w:style>
  <w:style w:type="character" w:styleId="Hipervnculo">
    <w:name w:val="Hyperlink"/>
    <w:basedOn w:val="Fuentedeprrafopredeter"/>
    <w:rsid w:val="003E526D"/>
    <w:rPr>
      <w:color w:val="0066CC"/>
      <w:u w:val="single"/>
    </w:rPr>
  </w:style>
  <w:style w:type="character" w:customStyle="1" w:styleId="Notaalpie">
    <w:name w:val="Nota al pie_"/>
    <w:basedOn w:val="Fuentedeprrafopredeter"/>
    <w:rsid w:val="003E526D"/>
    <w:rPr>
      <w:rFonts w:ascii="Verdana" w:eastAsia="Verdana" w:hAnsi="Verdana" w:cs="Verdana"/>
      <w:b w:val="0"/>
      <w:bCs w:val="0"/>
      <w:i w:val="0"/>
      <w:iCs w:val="0"/>
      <w:smallCaps w:val="0"/>
      <w:strike w:val="0"/>
      <w:spacing w:val="-10"/>
      <w:sz w:val="19"/>
      <w:szCs w:val="19"/>
      <w:u w:val="none"/>
    </w:rPr>
  </w:style>
  <w:style w:type="character" w:customStyle="1" w:styleId="NotaalpieCursiva">
    <w:name w:val="Nota al pie + Cursiva"/>
    <w:aliases w:val="Espaciado -1 pto,Cuerpo del texto + 11.5 pto,Cursiva,Título #1 + 11.5 pto,Cuerpo del texto + MingLiU,4.5 pto,Escala 250%,Cuerpo del texto (7) + Cursiva,Título #2 + 11.5 pto,Cuerpo del texto + Georgia,11.5 pto"/>
    <w:basedOn w:val="Notaalpie"/>
    <w:rsid w:val="003E526D"/>
    <w:rPr>
      <w:rFonts w:ascii="Verdana" w:eastAsia="Verdana" w:hAnsi="Verdana" w:cs="Verdana"/>
      <w:b w:val="0"/>
      <w:bCs w:val="0"/>
      <w:i/>
      <w:iCs/>
      <w:smallCaps w:val="0"/>
      <w:strike w:val="0"/>
      <w:color w:val="000000"/>
      <w:spacing w:val="-20"/>
      <w:w w:val="100"/>
      <w:position w:val="0"/>
      <w:sz w:val="19"/>
      <w:szCs w:val="19"/>
      <w:u w:val="none"/>
      <w:lang w:val="es-ES"/>
    </w:rPr>
  </w:style>
  <w:style w:type="character" w:customStyle="1" w:styleId="Notaalpie2">
    <w:name w:val="Nota al pie (2)_"/>
    <w:basedOn w:val="Fuentedeprrafopredeter"/>
    <w:rsid w:val="003E526D"/>
    <w:rPr>
      <w:rFonts w:ascii="Times New Roman" w:eastAsia="Times New Roman" w:hAnsi="Times New Roman" w:cs="Times New Roman"/>
      <w:b w:val="0"/>
      <w:bCs w:val="0"/>
      <w:i w:val="0"/>
      <w:iCs w:val="0"/>
      <w:smallCaps w:val="0"/>
      <w:strike w:val="0"/>
      <w:sz w:val="18"/>
      <w:szCs w:val="18"/>
      <w:u w:val="none"/>
    </w:rPr>
  </w:style>
  <w:style w:type="character" w:customStyle="1" w:styleId="Notaalpie20">
    <w:name w:val="Nota al pie (2)"/>
    <w:basedOn w:val="Notaalpie2"/>
    <w:rsid w:val="003E526D"/>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s-ES"/>
    </w:rPr>
  </w:style>
  <w:style w:type="character" w:customStyle="1" w:styleId="Notaalpie2Cursiva">
    <w:name w:val="Nota al pie (2) + Cursiva"/>
    <w:basedOn w:val="Notaalpie2"/>
    <w:rsid w:val="003E526D"/>
    <w:rPr>
      <w:rFonts w:ascii="Times New Roman" w:eastAsia="Times New Roman" w:hAnsi="Times New Roman" w:cs="Times New Roman"/>
      <w:b w:val="0"/>
      <w:bCs w:val="0"/>
      <w:i/>
      <w:iCs/>
      <w:smallCaps w:val="0"/>
      <w:strike w:val="0"/>
      <w:color w:val="000000"/>
      <w:spacing w:val="0"/>
      <w:w w:val="100"/>
      <w:position w:val="0"/>
      <w:sz w:val="18"/>
      <w:szCs w:val="18"/>
      <w:u w:val="single"/>
      <w:lang w:val="es-ES"/>
    </w:rPr>
  </w:style>
  <w:style w:type="character" w:customStyle="1" w:styleId="Notaalpie3">
    <w:name w:val="Nota al pie (3)_"/>
    <w:basedOn w:val="Fuentedeprrafopredeter"/>
    <w:link w:val="Notaalpie30"/>
    <w:rsid w:val="003E526D"/>
    <w:rPr>
      <w:rFonts w:eastAsia="Arial" w:cs="Arial"/>
      <w:i/>
      <w:iCs/>
      <w:sz w:val="18"/>
      <w:szCs w:val="18"/>
      <w:shd w:val="clear" w:color="auto" w:fill="FFFFFF"/>
    </w:rPr>
  </w:style>
  <w:style w:type="paragraph" w:customStyle="1" w:styleId="Notaalpie30">
    <w:name w:val="Nota al pie (3)"/>
    <w:basedOn w:val="Normal"/>
    <w:link w:val="Notaalpie3"/>
    <w:rsid w:val="003E526D"/>
    <w:pPr>
      <w:widowControl w:val="0"/>
      <w:shd w:val="clear" w:color="auto" w:fill="FFFFFF"/>
      <w:spacing w:after="0" w:line="221" w:lineRule="exact"/>
    </w:pPr>
    <w:rPr>
      <w:rFonts w:eastAsia="Arial" w:cs="Arial"/>
      <w:i/>
      <w:iCs/>
      <w:sz w:val="18"/>
      <w:szCs w:val="18"/>
    </w:rPr>
  </w:style>
  <w:style w:type="character" w:customStyle="1" w:styleId="Notaalpie3TimesNewRoman">
    <w:name w:val="Nota al pie (3) + Times New Roman"/>
    <w:aliases w:val="Sin cursiva,Nota al pie (4) + Times New Roman,9 pto,Espaciado 0 pto,Nota al pie (4) + Sin cursiva,Nota al pie (5) + Negrita,Nota al pie + 7.5 pto,Nota al pie (7) + Franklin Gothic Demi,Cuerpo del texto + Negrita,Negrita"/>
    <w:basedOn w:val="Notaalpie3"/>
    <w:rsid w:val="003E526D"/>
    <w:rPr>
      <w:rFonts w:ascii="Times New Roman" w:eastAsia="Times New Roman" w:hAnsi="Times New Roman" w:cs="Times New Roman"/>
      <w:i/>
      <w:iCs/>
      <w:color w:val="000000"/>
      <w:spacing w:val="0"/>
      <w:w w:val="100"/>
      <w:position w:val="0"/>
      <w:sz w:val="18"/>
      <w:szCs w:val="18"/>
      <w:shd w:val="clear" w:color="auto" w:fill="FFFFFF"/>
      <w:lang w:val="es-ES"/>
    </w:rPr>
  </w:style>
  <w:style w:type="character" w:customStyle="1" w:styleId="Notaalpie3Sincursiva">
    <w:name w:val="Nota al pie (3) + Sin cursiva"/>
    <w:basedOn w:val="Notaalpie3"/>
    <w:rsid w:val="003E526D"/>
    <w:rPr>
      <w:rFonts w:eastAsia="Arial" w:cs="Arial"/>
      <w:i/>
      <w:iCs/>
      <w:color w:val="000000"/>
      <w:spacing w:val="0"/>
      <w:w w:val="100"/>
      <w:position w:val="0"/>
      <w:sz w:val="18"/>
      <w:szCs w:val="18"/>
      <w:shd w:val="clear" w:color="auto" w:fill="FFFFFF"/>
    </w:rPr>
  </w:style>
  <w:style w:type="character" w:customStyle="1" w:styleId="Notaalpie4">
    <w:name w:val="Nota al pie (4)_"/>
    <w:basedOn w:val="Fuentedeprrafopredeter"/>
    <w:link w:val="Notaalpie40"/>
    <w:rsid w:val="003E526D"/>
    <w:rPr>
      <w:rFonts w:ascii="Verdana" w:eastAsia="Verdana" w:hAnsi="Verdana" w:cs="Verdana"/>
      <w:i/>
      <w:iCs/>
      <w:spacing w:val="-20"/>
      <w:sz w:val="19"/>
      <w:szCs w:val="19"/>
      <w:shd w:val="clear" w:color="auto" w:fill="FFFFFF"/>
    </w:rPr>
  </w:style>
  <w:style w:type="paragraph" w:customStyle="1" w:styleId="Notaalpie40">
    <w:name w:val="Nota al pie (4)"/>
    <w:basedOn w:val="Normal"/>
    <w:link w:val="Notaalpie4"/>
    <w:rsid w:val="003E526D"/>
    <w:pPr>
      <w:widowControl w:val="0"/>
      <w:shd w:val="clear" w:color="auto" w:fill="FFFFFF"/>
      <w:spacing w:after="0" w:line="240" w:lineRule="exact"/>
      <w:jc w:val="both"/>
    </w:pPr>
    <w:rPr>
      <w:rFonts w:ascii="Verdana" w:eastAsia="Verdana" w:hAnsi="Verdana" w:cs="Verdana"/>
      <w:i/>
      <w:iCs/>
      <w:spacing w:val="-20"/>
      <w:sz w:val="19"/>
      <w:szCs w:val="19"/>
    </w:rPr>
  </w:style>
  <w:style w:type="character" w:customStyle="1" w:styleId="Notaalpie5">
    <w:name w:val="Nota al pie (5)_"/>
    <w:basedOn w:val="Fuentedeprrafopredeter"/>
    <w:rsid w:val="003E526D"/>
    <w:rPr>
      <w:rFonts w:ascii="Verdana" w:eastAsia="Verdana" w:hAnsi="Verdana" w:cs="Verdana"/>
      <w:b w:val="0"/>
      <w:bCs w:val="0"/>
      <w:i w:val="0"/>
      <w:iCs w:val="0"/>
      <w:smallCaps w:val="0"/>
      <w:strike w:val="0"/>
      <w:spacing w:val="-10"/>
      <w:sz w:val="22"/>
      <w:szCs w:val="22"/>
      <w:u w:val="none"/>
    </w:rPr>
  </w:style>
  <w:style w:type="character" w:customStyle="1" w:styleId="Notaalpie6">
    <w:name w:val="Nota al pie (6)_"/>
    <w:basedOn w:val="Fuentedeprrafopredeter"/>
    <w:rsid w:val="003E526D"/>
    <w:rPr>
      <w:rFonts w:ascii="Franklin Gothic Demi" w:eastAsia="Franklin Gothic Demi" w:hAnsi="Franklin Gothic Demi" w:cs="Franklin Gothic Demi"/>
      <w:b w:val="0"/>
      <w:bCs w:val="0"/>
      <w:i w:val="0"/>
      <w:iCs w:val="0"/>
      <w:smallCaps w:val="0"/>
      <w:strike w:val="0"/>
      <w:sz w:val="20"/>
      <w:szCs w:val="20"/>
      <w:u w:val="none"/>
    </w:rPr>
  </w:style>
  <w:style w:type="character" w:customStyle="1" w:styleId="Notaalpie60">
    <w:name w:val="Nota al pie (6)"/>
    <w:basedOn w:val="Notaalpie6"/>
    <w:rsid w:val="003E526D"/>
    <w:rPr>
      <w:rFonts w:ascii="Franklin Gothic Demi" w:eastAsia="Franklin Gothic Demi" w:hAnsi="Franklin Gothic Demi" w:cs="Franklin Gothic Demi"/>
      <w:b w:val="0"/>
      <w:bCs w:val="0"/>
      <w:i w:val="0"/>
      <w:iCs w:val="0"/>
      <w:smallCaps w:val="0"/>
      <w:strike w:val="0"/>
      <w:color w:val="000000"/>
      <w:spacing w:val="0"/>
      <w:w w:val="100"/>
      <w:position w:val="0"/>
      <w:sz w:val="20"/>
      <w:szCs w:val="20"/>
      <w:u w:val="none"/>
      <w:lang w:val="es-ES"/>
    </w:rPr>
  </w:style>
  <w:style w:type="character" w:customStyle="1" w:styleId="Notaalpie0">
    <w:name w:val="Nota al pie"/>
    <w:basedOn w:val="Notaalpie"/>
    <w:rsid w:val="003E526D"/>
    <w:rPr>
      <w:rFonts w:ascii="Verdana" w:eastAsia="Verdana" w:hAnsi="Verdana" w:cs="Verdana"/>
      <w:b w:val="0"/>
      <w:bCs w:val="0"/>
      <w:i w:val="0"/>
      <w:iCs w:val="0"/>
      <w:smallCaps w:val="0"/>
      <w:strike w:val="0"/>
      <w:color w:val="000000"/>
      <w:spacing w:val="-10"/>
      <w:w w:val="100"/>
      <w:position w:val="0"/>
      <w:sz w:val="19"/>
      <w:szCs w:val="19"/>
      <w:u w:val="none"/>
      <w:lang w:val="es-ES"/>
    </w:rPr>
  </w:style>
  <w:style w:type="character" w:customStyle="1" w:styleId="Notaalpie7">
    <w:name w:val="Nota al pie (7)_"/>
    <w:basedOn w:val="Fuentedeprrafopredeter"/>
    <w:link w:val="Notaalpie70"/>
    <w:rsid w:val="003E526D"/>
    <w:rPr>
      <w:rFonts w:ascii="Candara" w:eastAsia="Candara" w:hAnsi="Candara" w:cs="Candara"/>
      <w:sz w:val="19"/>
      <w:szCs w:val="19"/>
      <w:shd w:val="clear" w:color="auto" w:fill="FFFFFF"/>
    </w:rPr>
  </w:style>
  <w:style w:type="paragraph" w:customStyle="1" w:styleId="Notaalpie70">
    <w:name w:val="Nota al pie (7)"/>
    <w:basedOn w:val="Normal"/>
    <w:link w:val="Notaalpie7"/>
    <w:rsid w:val="003E526D"/>
    <w:pPr>
      <w:widowControl w:val="0"/>
      <w:shd w:val="clear" w:color="auto" w:fill="FFFFFF"/>
      <w:spacing w:after="480" w:line="0" w:lineRule="atLeast"/>
    </w:pPr>
    <w:rPr>
      <w:rFonts w:ascii="Candara" w:eastAsia="Candara" w:hAnsi="Candara" w:cs="Candara"/>
      <w:sz w:val="19"/>
      <w:szCs w:val="19"/>
    </w:rPr>
  </w:style>
  <w:style w:type="character" w:customStyle="1" w:styleId="Notaalpie50">
    <w:name w:val="Nota al pie (5)"/>
    <w:basedOn w:val="Notaalpie5"/>
    <w:rsid w:val="003E526D"/>
    <w:rPr>
      <w:rFonts w:ascii="Verdana" w:eastAsia="Verdana" w:hAnsi="Verdana" w:cs="Verdana"/>
      <w:b w:val="0"/>
      <w:bCs w:val="0"/>
      <w:i w:val="0"/>
      <w:iCs w:val="0"/>
      <w:smallCaps w:val="0"/>
      <w:strike w:val="0"/>
      <w:color w:val="000000"/>
      <w:spacing w:val="-10"/>
      <w:w w:val="100"/>
      <w:position w:val="0"/>
      <w:sz w:val="22"/>
      <w:szCs w:val="22"/>
      <w:u w:val="none"/>
      <w:lang w:val="es-ES"/>
    </w:rPr>
  </w:style>
  <w:style w:type="character" w:customStyle="1" w:styleId="Cuerpodeltexto">
    <w:name w:val="Cuerpo del texto_"/>
    <w:basedOn w:val="Fuentedeprrafopredeter"/>
    <w:rsid w:val="003E526D"/>
    <w:rPr>
      <w:rFonts w:ascii="Verdana" w:eastAsia="Verdana" w:hAnsi="Verdana" w:cs="Verdana"/>
      <w:b w:val="0"/>
      <w:bCs w:val="0"/>
      <w:i w:val="0"/>
      <w:iCs w:val="0"/>
      <w:smallCaps w:val="0"/>
      <w:strike w:val="0"/>
      <w:spacing w:val="-10"/>
      <w:sz w:val="22"/>
      <w:szCs w:val="22"/>
      <w:u w:val="none"/>
    </w:rPr>
  </w:style>
  <w:style w:type="character" w:customStyle="1" w:styleId="CuerpodeltextoEspaciado-1pto">
    <w:name w:val="Cuerpo del texto + Espaciado -1 pto"/>
    <w:basedOn w:val="Cuerpodeltexto"/>
    <w:rsid w:val="003E526D"/>
    <w:rPr>
      <w:rFonts w:ascii="Verdana" w:eastAsia="Verdana" w:hAnsi="Verdana" w:cs="Verdana"/>
      <w:b w:val="0"/>
      <w:bCs w:val="0"/>
      <w:i w:val="0"/>
      <w:iCs w:val="0"/>
      <w:smallCaps w:val="0"/>
      <w:strike w:val="0"/>
      <w:color w:val="000000"/>
      <w:spacing w:val="-30"/>
      <w:w w:val="100"/>
      <w:position w:val="0"/>
      <w:sz w:val="22"/>
      <w:szCs w:val="22"/>
      <w:u w:val="none"/>
      <w:lang w:val="es-ES"/>
    </w:rPr>
  </w:style>
  <w:style w:type="character" w:customStyle="1" w:styleId="Cuerpodeltexto2">
    <w:name w:val="Cuerpo del texto (2)_"/>
    <w:basedOn w:val="Fuentedeprrafopredeter"/>
    <w:link w:val="Cuerpodeltexto20"/>
    <w:rsid w:val="003E526D"/>
    <w:rPr>
      <w:rFonts w:eastAsia="Arial" w:cs="Arial"/>
      <w:b/>
      <w:bCs/>
      <w:sz w:val="10"/>
      <w:szCs w:val="10"/>
      <w:shd w:val="clear" w:color="auto" w:fill="FFFFFF"/>
    </w:rPr>
  </w:style>
  <w:style w:type="paragraph" w:customStyle="1" w:styleId="Cuerpodeltexto20">
    <w:name w:val="Cuerpo del texto (2)"/>
    <w:basedOn w:val="Normal"/>
    <w:link w:val="Cuerpodeltexto2"/>
    <w:rsid w:val="003E526D"/>
    <w:pPr>
      <w:widowControl w:val="0"/>
      <w:shd w:val="clear" w:color="auto" w:fill="FFFFFF"/>
      <w:spacing w:after="120" w:line="0" w:lineRule="atLeast"/>
    </w:pPr>
    <w:rPr>
      <w:rFonts w:eastAsia="Arial" w:cs="Arial"/>
      <w:b/>
      <w:bCs/>
      <w:sz w:val="10"/>
      <w:szCs w:val="10"/>
    </w:rPr>
  </w:style>
  <w:style w:type="character" w:customStyle="1" w:styleId="Cuerpodeltexto3">
    <w:name w:val="Cuerpo del texto (3)_"/>
    <w:basedOn w:val="Fuentedeprrafopredeter"/>
    <w:link w:val="Cuerpodeltexto30"/>
    <w:rsid w:val="003E526D"/>
    <w:rPr>
      <w:rFonts w:eastAsia="Arial" w:cs="Arial"/>
      <w:b/>
      <w:bCs/>
      <w:sz w:val="18"/>
      <w:szCs w:val="18"/>
      <w:shd w:val="clear" w:color="auto" w:fill="FFFFFF"/>
    </w:rPr>
  </w:style>
  <w:style w:type="paragraph" w:customStyle="1" w:styleId="Cuerpodeltexto30">
    <w:name w:val="Cuerpo del texto (3)"/>
    <w:basedOn w:val="Normal"/>
    <w:link w:val="Cuerpodeltexto3"/>
    <w:rsid w:val="003E526D"/>
    <w:pPr>
      <w:widowControl w:val="0"/>
      <w:shd w:val="clear" w:color="auto" w:fill="FFFFFF"/>
      <w:spacing w:before="120" w:after="0" w:line="0" w:lineRule="atLeast"/>
    </w:pPr>
    <w:rPr>
      <w:rFonts w:eastAsia="Arial" w:cs="Arial"/>
      <w:b/>
      <w:bCs/>
      <w:sz w:val="18"/>
      <w:szCs w:val="18"/>
    </w:rPr>
  </w:style>
  <w:style w:type="character" w:customStyle="1" w:styleId="Cuerpodeltexto4">
    <w:name w:val="Cuerpo del texto (4)_"/>
    <w:basedOn w:val="Fuentedeprrafopredeter"/>
    <w:rsid w:val="003E526D"/>
    <w:rPr>
      <w:rFonts w:ascii="Verdana" w:eastAsia="Verdana" w:hAnsi="Verdana" w:cs="Verdana"/>
      <w:b/>
      <w:bCs/>
      <w:i w:val="0"/>
      <w:iCs w:val="0"/>
      <w:smallCaps w:val="0"/>
      <w:strike w:val="0"/>
      <w:sz w:val="22"/>
      <w:szCs w:val="22"/>
      <w:u w:val="none"/>
    </w:rPr>
  </w:style>
  <w:style w:type="character" w:customStyle="1" w:styleId="Cuerpodeltexto0">
    <w:name w:val="Cuerpo del texto"/>
    <w:basedOn w:val="Cuerpodeltexto"/>
    <w:rsid w:val="003E526D"/>
    <w:rPr>
      <w:rFonts w:ascii="Verdana" w:eastAsia="Verdana" w:hAnsi="Verdana" w:cs="Verdana"/>
      <w:b w:val="0"/>
      <w:bCs w:val="0"/>
      <w:i w:val="0"/>
      <w:iCs w:val="0"/>
      <w:smallCaps w:val="0"/>
      <w:strike w:val="0"/>
      <w:color w:val="000000"/>
      <w:spacing w:val="-10"/>
      <w:w w:val="100"/>
      <w:position w:val="0"/>
      <w:sz w:val="22"/>
      <w:szCs w:val="22"/>
      <w:u w:val="single"/>
      <w:lang w:val="es-ES"/>
    </w:rPr>
  </w:style>
  <w:style w:type="character" w:customStyle="1" w:styleId="Ttulo10">
    <w:name w:val="Título #1_"/>
    <w:basedOn w:val="Fuentedeprrafopredeter"/>
    <w:rsid w:val="003E526D"/>
    <w:rPr>
      <w:rFonts w:ascii="Verdana" w:eastAsia="Verdana" w:hAnsi="Verdana" w:cs="Verdana"/>
      <w:b/>
      <w:bCs/>
      <w:i w:val="0"/>
      <w:iCs w:val="0"/>
      <w:smallCaps w:val="0"/>
      <w:strike w:val="0"/>
      <w:sz w:val="22"/>
      <w:szCs w:val="22"/>
      <w:u w:val="none"/>
    </w:rPr>
  </w:style>
  <w:style w:type="character" w:customStyle="1" w:styleId="Ttulo11">
    <w:name w:val="Título #1"/>
    <w:basedOn w:val="Ttulo10"/>
    <w:rsid w:val="003E526D"/>
    <w:rPr>
      <w:rFonts w:ascii="Verdana" w:eastAsia="Verdana" w:hAnsi="Verdana" w:cs="Verdana"/>
      <w:b/>
      <w:bCs/>
      <w:i w:val="0"/>
      <w:iCs w:val="0"/>
      <w:smallCaps w:val="0"/>
      <w:strike w:val="0"/>
      <w:color w:val="000000"/>
      <w:spacing w:val="0"/>
      <w:w w:val="100"/>
      <w:position w:val="0"/>
      <w:sz w:val="22"/>
      <w:szCs w:val="22"/>
      <w:u w:val="single"/>
      <w:lang w:val="es-ES"/>
    </w:rPr>
  </w:style>
  <w:style w:type="character" w:customStyle="1" w:styleId="Cuerpodeltexto40">
    <w:name w:val="Cuerpo del texto (4)"/>
    <w:basedOn w:val="Cuerpodeltexto4"/>
    <w:rsid w:val="003E526D"/>
    <w:rPr>
      <w:rFonts w:ascii="Verdana" w:eastAsia="Verdana" w:hAnsi="Verdana" w:cs="Verdana"/>
      <w:b/>
      <w:bCs/>
      <w:i w:val="0"/>
      <w:iCs w:val="0"/>
      <w:smallCaps w:val="0"/>
      <w:strike w:val="0"/>
      <w:color w:val="000000"/>
      <w:spacing w:val="0"/>
      <w:w w:val="100"/>
      <w:position w:val="0"/>
      <w:sz w:val="22"/>
      <w:szCs w:val="22"/>
      <w:u w:val="single"/>
      <w:lang w:val="es-ES"/>
    </w:rPr>
  </w:style>
  <w:style w:type="character" w:customStyle="1" w:styleId="Cuerpodeltexto5">
    <w:name w:val="Cuerpo del texto (5)_"/>
    <w:basedOn w:val="Fuentedeprrafopredeter"/>
    <w:rsid w:val="003E526D"/>
    <w:rPr>
      <w:rFonts w:ascii="Verdana" w:eastAsia="Verdana" w:hAnsi="Verdana" w:cs="Verdana"/>
      <w:b w:val="0"/>
      <w:bCs w:val="0"/>
      <w:i/>
      <w:iCs/>
      <w:smallCaps w:val="0"/>
      <w:strike w:val="0"/>
      <w:spacing w:val="-20"/>
      <w:sz w:val="23"/>
      <w:szCs w:val="23"/>
      <w:u w:val="none"/>
    </w:rPr>
  </w:style>
  <w:style w:type="character" w:customStyle="1" w:styleId="Cuerpodeltexto6">
    <w:name w:val="Cuerpo del texto (6)_"/>
    <w:basedOn w:val="Fuentedeprrafopredeter"/>
    <w:link w:val="Cuerpodeltexto60"/>
    <w:rsid w:val="003E526D"/>
    <w:rPr>
      <w:rFonts w:ascii="Verdana" w:eastAsia="Verdana" w:hAnsi="Verdana" w:cs="Verdana"/>
      <w:i/>
      <w:iCs/>
      <w:spacing w:val="-20"/>
      <w:sz w:val="19"/>
      <w:szCs w:val="19"/>
      <w:shd w:val="clear" w:color="auto" w:fill="FFFFFF"/>
    </w:rPr>
  </w:style>
  <w:style w:type="paragraph" w:customStyle="1" w:styleId="Cuerpodeltexto60">
    <w:name w:val="Cuerpo del texto (6)"/>
    <w:basedOn w:val="Normal"/>
    <w:link w:val="Cuerpodeltexto6"/>
    <w:rsid w:val="003E526D"/>
    <w:pPr>
      <w:widowControl w:val="0"/>
      <w:shd w:val="clear" w:color="auto" w:fill="FFFFFF"/>
      <w:spacing w:before="240" w:after="240" w:line="240" w:lineRule="exact"/>
      <w:jc w:val="both"/>
    </w:pPr>
    <w:rPr>
      <w:rFonts w:ascii="Verdana" w:eastAsia="Verdana" w:hAnsi="Verdana" w:cs="Verdana"/>
      <w:i/>
      <w:iCs/>
      <w:spacing w:val="-20"/>
      <w:sz w:val="19"/>
      <w:szCs w:val="19"/>
    </w:rPr>
  </w:style>
  <w:style w:type="character" w:customStyle="1" w:styleId="Cuerpodeltexto6Espaciado0pto">
    <w:name w:val="Cuerpo del texto (6) + Espaciado 0 pto"/>
    <w:basedOn w:val="Cuerpodeltexto6"/>
    <w:rsid w:val="003E526D"/>
    <w:rPr>
      <w:rFonts w:ascii="Verdana" w:eastAsia="Verdana" w:hAnsi="Verdana" w:cs="Verdana"/>
      <w:i/>
      <w:iCs/>
      <w:color w:val="000000"/>
      <w:spacing w:val="0"/>
      <w:w w:val="100"/>
      <w:position w:val="0"/>
      <w:sz w:val="19"/>
      <w:szCs w:val="19"/>
      <w:shd w:val="clear" w:color="auto" w:fill="FFFFFF"/>
      <w:lang w:val="es-ES"/>
    </w:rPr>
  </w:style>
  <w:style w:type="character" w:customStyle="1" w:styleId="Encabezamientoopiedepgina">
    <w:name w:val="Encabezamiento o pie de página_"/>
    <w:basedOn w:val="Fuentedeprrafopredeter"/>
    <w:rsid w:val="003E526D"/>
    <w:rPr>
      <w:rFonts w:ascii="Verdana" w:eastAsia="Verdana" w:hAnsi="Verdana" w:cs="Verdana"/>
      <w:b w:val="0"/>
      <w:bCs w:val="0"/>
      <w:i w:val="0"/>
      <w:iCs w:val="0"/>
      <w:smallCaps w:val="0"/>
      <w:strike w:val="0"/>
      <w:spacing w:val="-10"/>
      <w:sz w:val="19"/>
      <w:szCs w:val="19"/>
      <w:u w:val="none"/>
    </w:rPr>
  </w:style>
  <w:style w:type="character" w:customStyle="1" w:styleId="Cuerpodeltexto7">
    <w:name w:val="Cuerpo del texto (7)_"/>
    <w:basedOn w:val="Fuentedeprrafopredeter"/>
    <w:rsid w:val="003E526D"/>
    <w:rPr>
      <w:rFonts w:ascii="Verdana" w:eastAsia="Verdana" w:hAnsi="Verdana" w:cs="Verdana"/>
      <w:b w:val="0"/>
      <w:bCs w:val="0"/>
      <w:i w:val="0"/>
      <w:iCs w:val="0"/>
      <w:smallCaps w:val="0"/>
      <w:strike w:val="0"/>
      <w:spacing w:val="-10"/>
      <w:sz w:val="19"/>
      <w:szCs w:val="19"/>
      <w:u w:val="none"/>
    </w:rPr>
  </w:style>
  <w:style w:type="character" w:customStyle="1" w:styleId="Cuerpodeltexto70">
    <w:name w:val="Cuerpo del texto (7)"/>
    <w:basedOn w:val="Cuerpodeltexto7"/>
    <w:rsid w:val="003E526D"/>
    <w:rPr>
      <w:rFonts w:ascii="Verdana" w:eastAsia="Verdana" w:hAnsi="Verdana" w:cs="Verdana"/>
      <w:b w:val="0"/>
      <w:bCs w:val="0"/>
      <w:i w:val="0"/>
      <w:iCs w:val="0"/>
      <w:smallCaps w:val="0"/>
      <w:strike w:val="0"/>
      <w:color w:val="000000"/>
      <w:spacing w:val="-10"/>
      <w:w w:val="100"/>
      <w:position w:val="0"/>
      <w:sz w:val="19"/>
      <w:szCs w:val="19"/>
      <w:u w:val="single"/>
      <w:lang w:val="es-ES"/>
    </w:rPr>
  </w:style>
  <w:style w:type="character" w:customStyle="1" w:styleId="Cuerpodeltexto8">
    <w:name w:val="Cuerpo del texto (8)_"/>
    <w:basedOn w:val="Fuentedeprrafopredeter"/>
    <w:rsid w:val="003E526D"/>
    <w:rPr>
      <w:rFonts w:ascii="Verdana" w:eastAsia="Verdana" w:hAnsi="Verdana" w:cs="Verdana"/>
      <w:b/>
      <w:bCs/>
      <w:i w:val="0"/>
      <w:iCs w:val="0"/>
      <w:smallCaps w:val="0"/>
      <w:strike w:val="0"/>
      <w:sz w:val="19"/>
      <w:szCs w:val="19"/>
      <w:u w:val="none"/>
    </w:rPr>
  </w:style>
  <w:style w:type="character" w:customStyle="1" w:styleId="Cuerpodeltexto80">
    <w:name w:val="Cuerpo del texto (8)"/>
    <w:basedOn w:val="Cuerpodeltexto8"/>
    <w:rsid w:val="003E526D"/>
    <w:rPr>
      <w:rFonts w:ascii="Verdana" w:eastAsia="Verdana" w:hAnsi="Verdana" w:cs="Verdana"/>
      <w:b/>
      <w:bCs/>
      <w:i w:val="0"/>
      <w:iCs w:val="0"/>
      <w:smallCaps w:val="0"/>
      <w:strike w:val="0"/>
      <w:color w:val="000000"/>
      <w:spacing w:val="0"/>
      <w:w w:val="100"/>
      <w:position w:val="0"/>
      <w:sz w:val="19"/>
      <w:szCs w:val="19"/>
      <w:u w:val="single"/>
      <w:lang w:val="es-ES"/>
    </w:rPr>
  </w:style>
  <w:style w:type="character" w:customStyle="1" w:styleId="Cuerpodeltexto50">
    <w:name w:val="Cuerpo del texto (5)"/>
    <w:basedOn w:val="Cuerpodeltexto5"/>
    <w:rsid w:val="003E526D"/>
    <w:rPr>
      <w:rFonts w:ascii="Verdana" w:eastAsia="Verdana" w:hAnsi="Verdana" w:cs="Verdana"/>
      <w:b w:val="0"/>
      <w:bCs w:val="0"/>
      <w:i/>
      <w:iCs/>
      <w:smallCaps w:val="0"/>
      <w:strike w:val="0"/>
      <w:color w:val="000000"/>
      <w:spacing w:val="-20"/>
      <w:w w:val="100"/>
      <w:position w:val="0"/>
      <w:sz w:val="23"/>
      <w:szCs w:val="23"/>
      <w:u w:val="single"/>
      <w:lang w:val="es-ES"/>
    </w:rPr>
  </w:style>
  <w:style w:type="character" w:customStyle="1" w:styleId="Cuerpodeltexto5Versales">
    <w:name w:val="Cuerpo del texto (5) + Versales"/>
    <w:basedOn w:val="Cuerpodeltexto5"/>
    <w:rsid w:val="003E526D"/>
    <w:rPr>
      <w:rFonts w:ascii="Verdana" w:eastAsia="Verdana" w:hAnsi="Verdana" w:cs="Verdana"/>
      <w:b w:val="0"/>
      <w:bCs w:val="0"/>
      <w:i/>
      <w:iCs/>
      <w:smallCaps/>
      <w:strike w:val="0"/>
      <w:color w:val="000000"/>
      <w:spacing w:val="-20"/>
      <w:w w:val="100"/>
      <w:position w:val="0"/>
      <w:sz w:val="23"/>
      <w:szCs w:val="23"/>
      <w:u w:val="single"/>
      <w:lang w:val="es-ES"/>
    </w:rPr>
  </w:style>
  <w:style w:type="character" w:customStyle="1" w:styleId="Cuerpodeltexto5Negrita">
    <w:name w:val="Cuerpo del texto (5) + Negrita"/>
    <w:basedOn w:val="Cuerpodeltexto5"/>
    <w:rsid w:val="003E526D"/>
    <w:rPr>
      <w:rFonts w:ascii="Verdana" w:eastAsia="Verdana" w:hAnsi="Verdana" w:cs="Verdana"/>
      <w:b/>
      <w:bCs/>
      <w:i/>
      <w:iCs/>
      <w:smallCaps w:val="0"/>
      <w:strike w:val="0"/>
      <w:color w:val="000000"/>
      <w:spacing w:val="-20"/>
      <w:w w:val="100"/>
      <w:position w:val="0"/>
      <w:sz w:val="23"/>
      <w:szCs w:val="23"/>
      <w:u w:val="none"/>
      <w:lang w:val="es-ES"/>
    </w:rPr>
  </w:style>
  <w:style w:type="character" w:customStyle="1" w:styleId="Cuerpodeltexto11Exact">
    <w:name w:val="Cuerpo del texto (11) Exact"/>
    <w:basedOn w:val="Fuentedeprrafopredeter"/>
    <w:link w:val="Cuerpodeltexto11"/>
    <w:rsid w:val="003E526D"/>
    <w:rPr>
      <w:rFonts w:eastAsia="Arial" w:cs="Arial"/>
      <w:spacing w:val="-3"/>
      <w:w w:val="250"/>
      <w:sz w:val="8"/>
      <w:szCs w:val="8"/>
      <w:shd w:val="clear" w:color="auto" w:fill="FFFFFF"/>
    </w:rPr>
  </w:style>
  <w:style w:type="paragraph" w:customStyle="1" w:styleId="Cuerpodeltexto11">
    <w:name w:val="Cuerpo del texto (11)"/>
    <w:basedOn w:val="Normal"/>
    <w:link w:val="Cuerpodeltexto11Exact"/>
    <w:rsid w:val="003E526D"/>
    <w:pPr>
      <w:widowControl w:val="0"/>
      <w:shd w:val="clear" w:color="auto" w:fill="FFFFFF"/>
      <w:spacing w:after="0" w:line="106" w:lineRule="exact"/>
      <w:jc w:val="both"/>
    </w:pPr>
    <w:rPr>
      <w:rFonts w:eastAsia="Arial" w:cs="Arial"/>
      <w:spacing w:val="-3"/>
      <w:w w:val="250"/>
      <w:sz w:val="8"/>
      <w:szCs w:val="8"/>
    </w:rPr>
  </w:style>
  <w:style w:type="character" w:customStyle="1" w:styleId="Cuerpodeltexto9">
    <w:name w:val="Cuerpo del texto (9)_"/>
    <w:basedOn w:val="Fuentedeprrafopredeter"/>
    <w:link w:val="Cuerpodeltexto90"/>
    <w:rsid w:val="003E526D"/>
    <w:rPr>
      <w:rFonts w:ascii="MingLiU" w:eastAsia="MingLiU" w:hAnsi="MingLiU" w:cs="MingLiU"/>
      <w:w w:val="250"/>
      <w:sz w:val="9"/>
      <w:szCs w:val="9"/>
      <w:shd w:val="clear" w:color="auto" w:fill="FFFFFF"/>
    </w:rPr>
  </w:style>
  <w:style w:type="paragraph" w:customStyle="1" w:styleId="Cuerpodeltexto90">
    <w:name w:val="Cuerpo del texto (9)"/>
    <w:basedOn w:val="Normal"/>
    <w:link w:val="Cuerpodeltexto9"/>
    <w:rsid w:val="003E526D"/>
    <w:pPr>
      <w:widowControl w:val="0"/>
      <w:shd w:val="clear" w:color="auto" w:fill="FFFFFF"/>
      <w:spacing w:after="0" w:line="283" w:lineRule="exact"/>
      <w:jc w:val="both"/>
    </w:pPr>
    <w:rPr>
      <w:rFonts w:ascii="MingLiU" w:eastAsia="MingLiU" w:hAnsi="MingLiU" w:cs="MingLiU"/>
      <w:w w:val="250"/>
      <w:sz w:val="9"/>
      <w:szCs w:val="9"/>
    </w:rPr>
  </w:style>
  <w:style w:type="character" w:customStyle="1" w:styleId="Cuerpodeltexto10">
    <w:name w:val="Cuerpo del texto (10)_"/>
    <w:basedOn w:val="Fuentedeprrafopredeter"/>
    <w:link w:val="Cuerpodeltexto100"/>
    <w:rsid w:val="003E526D"/>
    <w:rPr>
      <w:rFonts w:eastAsia="Arial" w:cs="Arial"/>
      <w:spacing w:val="20"/>
      <w:sz w:val="9"/>
      <w:szCs w:val="9"/>
      <w:shd w:val="clear" w:color="auto" w:fill="FFFFFF"/>
    </w:rPr>
  </w:style>
  <w:style w:type="paragraph" w:customStyle="1" w:styleId="Cuerpodeltexto100">
    <w:name w:val="Cuerpo del texto (10)"/>
    <w:basedOn w:val="Normal"/>
    <w:link w:val="Cuerpodeltexto10"/>
    <w:rsid w:val="003E526D"/>
    <w:pPr>
      <w:widowControl w:val="0"/>
      <w:shd w:val="clear" w:color="auto" w:fill="FFFFFF"/>
      <w:spacing w:after="0" w:line="283" w:lineRule="exact"/>
      <w:jc w:val="both"/>
    </w:pPr>
    <w:rPr>
      <w:rFonts w:eastAsia="Arial" w:cs="Arial"/>
      <w:spacing w:val="20"/>
      <w:sz w:val="9"/>
      <w:szCs w:val="9"/>
    </w:rPr>
  </w:style>
  <w:style w:type="character" w:customStyle="1" w:styleId="Encabezamientoopiedepgina0">
    <w:name w:val="Encabezamiento o pie de página"/>
    <w:basedOn w:val="Encabezamientoopiedepgina"/>
    <w:rsid w:val="003E526D"/>
    <w:rPr>
      <w:rFonts w:ascii="Verdana" w:eastAsia="Verdana" w:hAnsi="Verdana" w:cs="Verdana"/>
      <w:b w:val="0"/>
      <w:bCs w:val="0"/>
      <w:i w:val="0"/>
      <w:iCs w:val="0"/>
      <w:smallCaps w:val="0"/>
      <w:strike w:val="0"/>
      <w:color w:val="000000"/>
      <w:spacing w:val="-10"/>
      <w:w w:val="100"/>
      <w:position w:val="0"/>
      <w:sz w:val="19"/>
      <w:szCs w:val="19"/>
      <w:u w:val="none"/>
      <w:lang w:val="es-ES"/>
    </w:rPr>
  </w:style>
  <w:style w:type="character" w:customStyle="1" w:styleId="Cuerpodeltexto4Exact">
    <w:name w:val="Cuerpo del texto (4) Exact"/>
    <w:basedOn w:val="Fuentedeprrafopredeter"/>
    <w:rsid w:val="003E526D"/>
    <w:rPr>
      <w:rFonts w:ascii="Verdana" w:eastAsia="Verdana" w:hAnsi="Verdana" w:cs="Verdana"/>
      <w:b/>
      <w:bCs/>
      <w:i w:val="0"/>
      <w:iCs w:val="0"/>
      <w:smallCaps w:val="0"/>
      <w:strike w:val="0"/>
      <w:spacing w:val="-3"/>
      <w:sz w:val="20"/>
      <w:szCs w:val="20"/>
      <w:u w:val="none"/>
    </w:rPr>
  </w:style>
  <w:style w:type="character" w:customStyle="1" w:styleId="Cuerpodeltexto12Exact">
    <w:name w:val="Cuerpo del texto (12) Exact"/>
    <w:basedOn w:val="Fuentedeprrafopredeter"/>
    <w:link w:val="Cuerpodeltexto12"/>
    <w:rsid w:val="003E526D"/>
    <w:rPr>
      <w:rFonts w:ascii="Century Schoolbook" w:eastAsia="Century Schoolbook" w:hAnsi="Century Schoolbook" w:cs="Century Schoolbook"/>
      <w:b/>
      <w:bCs/>
      <w:sz w:val="80"/>
      <w:szCs w:val="80"/>
      <w:shd w:val="clear" w:color="auto" w:fill="FFFFFF"/>
    </w:rPr>
  </w:style>
  <w:style w:type="paragraph" w:customStyle="1" w:styleId="Cuerpodeltexto12">
    <w:name w:val="Cuerpo del texto (12)"/>
    <w:basedOn w:val="Normal"/>
    <w:link w:val="Cuerpodeltexto12Exact"/>
    <w:rsid w:val="003E526D"/>
    <w:pPr>
      <w:widowControl w:val="0"/>
      <w:shd w:val="clear" w:color="auto" w:fill="FFFFFF"/>
      <w:spacing w:after="0" w:line="0" w:lineRule="atLeast"/>
    </w:pPr>
    <w:rPr>
      <w:rFonts w:ascii="Century Schoolbook" w:eastAsia="Century Schoolbook" w:hAnsi="Century Schoolbook" w:cs="Century Schoolbook"/>
      <w:b/>
      <w:bCs/>
      <w:sz w:val="80"/>
      <w:szCs w:val="80"/>
    </w:rPr>
  </w:style>
  <w:style w:type="character" w:customStyle="1" w:styleId="Cuerpodeltexto13Exact">
    <w:name w:val="Cuerpo del texto (13) Exact"/>
    <w:basedOn w:val="Fuentedeprrafopredeter"/>
    <w:link w:val="Cuerpodeltexto13"/>
    <w:rsid w:val="003E526D"/>
    <w:rPr>
      <w:rFonts w:ascii="Verdana" w:eastAsia="Verdana" w:hAnsi="Verdana" w:cs="Verdana"/>
      <w:b/>
      <w:bCs/>
      <w:w w:val="60"/>
      <w:sz w:val="18"/>
      <w:szCs w:val="18"/>
      <w:shd w:val="clear" w:color="auto" w:fill="FFFFFF"/>
    </w:rPr>
  </w:style>
  <w:style w:type="paragraph" w:customStyle="1" w:styleId="Cuerpodeltexto13">
    <w:name w:val="Cuerpo del texto (13)"/>
    <w:basedOn w:val="Normal"/>
    <w:link w:val="Cuerpodeltexto13Exact"/>
    <w:rsid w:val="003E526D"/>
    <w:pPr>
      <w:widowControl w:val="0"/>
      <w:shd w:val="clear" w:color="auto" w:fill="FFFFFF"/>
      <w:spacing w:after="0" w:line="0" w:lineRule="atLeast"/>
    </w:pPr>
    <w:rPr>
      <w:rFonts w:ascii="Verdana" w:eastAsia="Verdana" w:hAnsi="Verdana" w:cs="Verdana"/>
      <w:b/>
      <w:bCs/>
      <w:w w:val="60"/>
      <w:sz w:val="18"/>
      <w:szCs w:val="18"/>
    </w:rPr>
  </w:style>
  <w:style w:type="character" w:customStyle="1" w:styleId="Cuerpodeltexto14Exact">
    <w:name w:val="Cuerpo del texto (14) Exact"/>
    <w:basedOn w:val="Fuentedeprrafopredeter"/>
    <w:link w:val="Cuerpodeltexto14"/>
    <w:rsid w:val="003E526D"/>
    <w:rPr>
      <w:rFonts w:eastAsia="Arial" w:cs="Arial"/>
      <w:spacing w:val="2"/>
      <w:w w:val="66"/>
      <w:sz w:val="18"/>
      <w:szCs w:val="18"/>
      <w:shd w:val="clear" w:color="auto" w:fill="FFFFFF"/>
    </w:rPr>
  </w:style>
  <w:style w:type="paragraph" w:customStyle="1" w:styleId="Cuerpodeltexto14">
    <w:name w:val="Cuerpo del texto (14)"/>
    <w:basedOn w:val="Normal"/>
    <w:link w:val="Cuerpodeltexto14Exact"/>
    <w:rsid w:val="003E526D"/>
    <w:pPr>
      <w:widowControl w:val="0"/>
      <w:shd w:val="clear" w:color="auto" w:fill="FFFFFF"/>
      <w:spacing w:after="0" w:line="274" w:lineRule="exact"/>
      <w:ind w:hanging="560"/>
      <w:jc w:val="both"/>
    </w:pPr>
    <w:rPr>
      <w:rFonts w:eastAsia="Arial" w:cs="Arial"/>
      <w:spacing w:val="2"/>
      <w:w w:val="66"/>
      <w:sz w:val="18"/>
      <w:szCs w:val="18"/>
    </w:rPr>
  </w:style>
  <w:style w:type="character" w:customStyle="1" w:styleId="Tabladecontenidos2Exact">
    <w:name w:val="Tabla de contenidos (2) Exact"/>
    <w:basedOn w:val="Fuentedeprrafopredeter"/>
    <w:link w:val="Tabladecontenidos2"/>
    <w:rsid w:val="003E526D"/>
    <w:rPr>
      <w:rFonts w:eastAsia="Arial" w:cs="Arial"/>
      <w:spacing w:val="2"/>
      <w:w w:val="66"/>
      <w:sz w:val="18"/>
      <w:szCs w:val="18"/>
      <w:shd w:val="clear" w:color="auto" w:fill="FFFFFF"/>
    </w:rPr>
  </w:style>
  <w:style w:type="paragraph" w:customStyle="1" w:styleId="Tabladecontenidos2">
    <w:name w:val="Tabla de contenidos (2)"/>
    <w:basedOn w:val="Normal"/>
    <w:link w:val="Tabladecontenidos2Exact"/>
    <w:rsid w:val="003E526D"/>
    <w:pPr>
      <w:widowControl w:val="0"/>
      <w:shd w:val="clear" w:color="auto" w:fill="FFFFFF"/>
      <w:spacing w:after="0" w:line="274" w:lineRule="exact"/>
      <w:jc w:val="both"/>
    </w:pPr>
    <w:rPr>
      <w:rFonts w:eastAsia="Arial" w:cs="Arial"/>
      <w:spacing w:val="2"/>
      <w:w w:val="66"/>
      <w:sz w:val="18"/>
      <w:szCs w:val="18"/>
    </w:rPr>
  </w:style>
  <w:style w:type="character" w:customStyle="1" w:styleId="Tabladecontenidos">
    <w:name w:val="Tabla de contenidos_"/>
    <w:basedOn w:val="Fuentedeprrafopredeter"/>
    <w:link w:val="Tabladecontenidos0"/>
    <w:rsid w:val="003E526D"/>
    <w:rPr>
      <w:rFonts w:eastAsia="Arial" w:cs="Arial"/>
      <w:w w:val="50"/>
      <w:sz w:val="23"/>
      <w:szCs w:val="23"/>
      <w:shd w:val="clear" w:color="auto" w:fill="FFFFFF"/>
    </w:rPr>
  </w:style>
  <w:style w:type="paragraph" w:customStyle="1" w:styleId="Tabladecontenidos0">
    <w:name w:val="Tabla de contenidos"/>
    <w:basedOn w:val="Normal"/>
    <w:link w:val="Tabladecontenidos"/>
    <w:rsid w:val="003E526D"/>
    <w:pPr>
      <w:widowControl w:val="0"/>
      <w:shd w:val="clear" w:color="auto" w:fill="FFFFFF"/>
      <w:spacing w:after="0" w:line="322" w:lineRule="exact"/>
      <w:ind w:firstLine="740"/>
      <w:jc w:val="both"/>
    </w:pPr>
    <w:rPr>
      <w:rFonts w:eastAsia="Arial" w:cs="Arial"/>
      <w:w w:val="50"/>
      <w:sz w:val="23"/>
      <w:szCs w:val="23"/>
    </w:rPr>
  </w:style>
  <w:style w:type="character" w:customStyle="1" w:styleId="Cuerpodeltexto95pto">
    <w:name w:val="Cuerpo del texto + 9.5 pto"/>
    <w:basedOn w:val="Cuerpodeltexto"/>
    <w:rsid w:val="003E526D"/>
    <w:rPr>
      <w:rFonts w:ascii="Verdana" w:eastAsia="Verdana" w:hAnsi="Verdana" w:cs="Verdana"/>
      <w:b w:val="0"/>
      <w:bCs w:val="0"/>
      <w:i w:val="0"/>
      <w:iCs w:val="0"/>
      <w:smallCaps w:val="0"/>
      <w:strike w:val="0"/>
      <w:color w:val="000000"/>
      <w:spacing w:val="-10"/>
      <w:w w:val="100"/>
      <w:position w:val="0"/>
      <w:sz w:val="19"/>
      <w:szCs w:val="19"/>
      <w:u w:val="none"/>
      <w:lang w:val="es-ES"/>
    </w:rPr>
  </w:style>
  <w:style w:type="character" w:customStyle="1" w:styleId="Cuerpodeltexto15">
    <w:name w:val="Cuerpo del texto (15)_"/>
    <w:basedOn w:val="Fuentedeprrafopredeter"/>
    <w:link w:val="Cuerpodeltexto150"/>
    <w:rsid w:val="003E526D"/>
    <w:rPr>
      <w:rFonts w:ascii="Verdana" w:eastAsia="Verdana" w:hAnsi="Verdana" w:cs="Verdana"/>
      <w:b/>
      <w:bCs/>
      <w:i/>
      <w:iCs/>
      <w:spacing w:val="-20"/>
      <w:sz w:val="23"/>
      <w:szCs w:val="23"/>
      <w:shd w:val="clear" w:color="auto" w:fill="FFFFFF"/>
    </w:rPr>
  </w:style>
  <w:style w:type="paragraph" w:customStyle="1" w:styleId="Cuerpodeltexto150">
    <w:name w:val="Cuerpo del texto (15)"/>
    <w:basedOn w:val="Normal"/>
    <w:link w:val="Cuerpodeltexto15"/>
    <w:rsid w:val="003E526D"/>
    <w:pPr>
      <w:widowControl w:val="0"/>
      <w:shd w:val="clear" w:color="auto" w:fill="FFFFFF"/>
      <w:spacing w:after="180" w:line="288" w:lineRule="exact"/>
      <w:jc w:val="both"/>
    </w:pPr>
    <w:rPr>
      <w:rFonts w:ascii="Verdana" w:eastAsia="Verdana" w:hAnsi="Verdana" w:cs="Verdana"/>
      <w:b/>
      <w:bCs/>
      <w:i/>
      <w:iCs/>
      <w:spacing w:val="-20"/>
      <w:sz w:val="23"/>
      <w:szCs w:val="23"/>
    </w:rPr>
  </w:style>
  <w:style w:type="character" w:customStyle="1" w:styleId="Cuerpodeltexto15Sinnegrita">
    <w:name w:val="Cuerpo del texto (15) + Sin negrita"/>
    <w:basedOn w:val="Cuerpodeltexto15"/>
    <w:rsid w:val="003E526D"/>
    <w:rPr>
      <w:rFonts w:ascii="Verdana" w:eastAsia="Verdana" w:hAnsi="Verdana" w:cs="Verdana"/>
      <w:b/>
      <w:bCs/>
      <w:i/>
      <w:iCs/>
      <w:color w:val="000000"/>
      <w:spacing w:val="-20"/>
      <w:w w:val="100"/>
      <w:position w:val="0"/>
      <w:sz w:val="23"/>
      <w:szCs w:val="23"/>
      <w:shd w:val="clear" w:color="auto" w:fill="FFFFFF"/>
      <w:lang w:val="es-ES"/>
    </w:rPr>
  </w:style>
  <w:style w:type="character" w:customStyle="1" w:styleId="Ttulo20">
    <w:name w:val="Título #2_"/>
    <w:basedOn w:val="Fuentedeprrafopredeter"/>
    <w:link w:val="Ttulo21"/>
    <w:rsid w:val="003E526D"/>
    <w:rPr>
      <w:rFonts w:ascii="Verdana" w:eastAsia="Verdana" w:hAnsi="Verdana" w:cs="Verdana"/>
      <w:b/>
      <w:bCs/>
      <w:shd w:val="clear" w:color="auto" w:fill="FFFFFF"/>
    </w:rPr>
  </w:style>
  <w:style w:type="paragraph" w:customStyle="1" w:styleId="Ttulo21">
    <w:name w:val="Título #2"/>
    <w:basedOn w:val="Normal"/>
    <w:link w:val="Ttulo20"/>
    <w:rsid w:val="003E526D"/>
    <w:pPr>
      <w:widowControl w:val="0"/>
      <w:shd w:val="clear" w:color="auto" w:fill="FFFFFF"/>
      <w:spacing w:before="180" w:after="300" w:line="0" w:lineRule="atLeast"/>
      <w:ind w:hanging="360"/>
      <w:jc w:val="right"/>
      <w:outlineLvl w:val="1"/>
    </w:pPr>
    <w:rPr>
      <w:rFonts w:ascii="Verdana" w:eastAsia="Verdana" w:hAnsi="Verdana" w:cs="Verdana"/>
      <w:b/>
      <w:bCs/>
    </w:rPr>
  </w:style>
  <w:style w:type="character" w:customStyle="1" w:styleId="Cuerpodeltexto16">
    <w:name w:val="Cuerpo del texto (16)_"/>
    <w:basedOn w:val="Fuentedeprrafopredeter"/>
    <w:link w:val="Cuerpodeltexto160"/>
    <w:rsid w:val="003E526D"/>
    <w:rPr>
      <w:rFonts w:ascii="Franklin Gothic Demi" w:eastAsia="Franklin Gothic Demi" w:hAnsi="Franklin Gothic Demi" w:cs="Franklin Gothic Demi"/>
      <w:sz w:val="20"/>
      <w:szCs w:val="20"/>
      <w:shd w:val="clear" w:color="auto" w:fill="FFFFFF"/>
    </w:rPr>
  </w:style>
  <w:style w:type="paragraph" w:customStyle="1" w:styleId="Cuerpodeltexto160">
    <w:name w:val="Cuerpo del texto (16)"/>
    <w:basedOn w:val="Normal"/>
    <w:link w:val="Cuerpodeltexto16"/>
    <w:rsid w:val="003E526D"/>
    <w:pPr>
      <w:widowControl w:val="0"/>
      <w:shd w:val="clear" w:color="auto" w:fill="FFFFFF"/>
      <w:spacing w:after="600" w:line="269" w:lineRule="exact"/>
      <w:jc w:val="both"/>
    </w:pPr>
    <w:rPr>
      <w:rFonts w:ascii="Franklin Gothic Demi" w:eastAsia="Franklin Gothic Demi" w:hAnsi="Franklin Gothic Demi" w:cs="Franklin Gothic Demi"/>
      <w:sz w:val="20"/>
      <w:szCs w:val="20"/>
    </w:rPr>
  </w:style>
  <w:style w:type="character" w:customStyle="1" w:styleId="Cuerpodeltexto17">
    <w:name w:val="Cuerpo del texto (17)_"/>
    <w:basedOn w:val="Fuentedeprrafopredeter"/>
    <w:link w:val="Cuerpodeltexto170"/>
    <w:rsid w:val="003E526D"/>
    <w:rPr>
      <w:rFonts w:ascii="Times New Roman" w:eastAsia="Times New Roman" w:hAnsi="Times New Roman" w:cs="Times New Roman"/>
      <w:sz w:val="18"/>
      <w:szCs w:val="18"/>
      <w:shd w:val="clear" w:color="auto" w:fill="FFFFFF"/>
    </w:rPr>
  </w:style>
  <w:style w:type="paragraph" w:customStyle="1" w:styleId="Cuerpodeltexto170">
    <w:name w:val="Cuerpo del texto (17)"/>
    <w:basedOn w:val="Normal"/>
    <w:link w:val="Cuerpodeltexto17"/>
    <w:rsid w:val="003E526D"/>
    <w:pPr>
      <w:widowControl w:val="0"/>
      <w:shd w:val="clear" w:color="auto" w:fill="FFFFFF"/>
      <w:spacing w:after="300" w:line="254" w:lineRule="exact"/>
    </w:pPr>
    <w:rPr>
      <w:rFonts w:ascii="Times New Roman" w:eastAsia="Times New Roman" w:hAnsi="Times New Roman" w:cs="Times New Roman"/>
      <w:sz w:val="18"/>
      <w:szCs w:val="18"/>
    </w:rPr>
  </w:style>
  <w:style w:type="character" w:customStyle="1" w:styleId="Cuerpodeltexto18">
    <w:name w:val="Cuerpo del texto (18)_"/>
    <w:basedOn w:val="Fuentedeprrafopredeter"/>
    <w:link w:val="Cuerpodeltexto180"/>
    <w:rsid w:val="003E526D"/>
    <w:rPr>
      <w:rFonts w:ascii="Verdana" w:eastAsia="Verdana" w:hAnsi="Verdana" w:cs="Verdana"/>
      <w:i/>
      <w:iCs/>
      <w:spacing w:val="-40"/>
      <w:shd w:val="clear" w:color="auto" w:fill="FFFFFF"/>
    </w:rPr>
  </w:style>
  <w:style w:type="paragraph" w:customStyle="1" w:styleId="Cuerpodeltexto180">
    <w:name w:val="Cuerpo del texto (18)"/>
    <w:basedOn w:val="Normal"/>
    <w:link w:val="Cuerpodeltexto18"/>
    <w:rsid w:val="003E526D"/>
    <w:pPr>
      <w:widowControl w:val="0"/>
      <w:shd w:val="clear" w:color="auto" w:fill="FFFFFF"/>
      <w:spacing w:before="120" w:after="120" w:line="0" w:lineRule="atLeast"/>
      <w:jc w:val="both"/>
    </w:pPr>
    <w:rPr>
      <w:rFonts w:ascii="Verdana" w:eastAsia="Verdana" w:hAnsi="Verdana" w:cs="Verdana"/>
      <w:i/>
      <w:iCs/>
      <w:spacing w:val="-40"/>
    </w:rPr>
  </w:style>
  <w:style w:type="character" w:customStyle="1" w:styleId="Cuerpodeltexto875pto">
    <w:name w:val="Cuerpo del texto (8) + 7.5 pto"/>
    <w:aliases w:val="Sin negrita"/>
    <w:basedOn w:val="Cuerpodeltexto8"/>
    <w:rsid w:val="003E526D"/>
    <w:rPr>
      <w:rFonts w:ascii="Verdana" w:eastAsia="Verdana" w:hAnsi="Verdana" w:cs="Verdana"/>
      <w:b/>
      <w:bCs/>
      <w:i w:val="0"/>
      <w:iCs w:val="0"/>
      <w:smallCaps w:val="0"/>
      <w:strike w:val="0"/>
      <w:color w:val="000000"/>
      <w:spacing w:val="0"/>
      <w:w w:val="100"/>
      <w:position w:val="0"/>
      <w:sz w:val="15"/>
      <w:szCs w:val="15"/>
      <w:u w:val="single"/>
      <w:lang w:val="es-ES"/>
    </w:rPr>
  </w:style>
  <w:style w:type="character" w:customStyle="1" w:styleId="Tabladecontenidos3">
    <w:name w:val="Tabla de contenidos (3)_"/>
    <w:basedOn w:val="Fuentedeprrafopredeter"/>
    <w:link w:val="Tabladecontenidos30"/>
    <w:rsid w:val="003E526D"/>
    <w:rPr>
      <w:rFonts w:ascii="Verdana" w:eastAsia="Verdana" w:hAnsi="Verdana" w:cs="Verdana"/>
      <w:spacing w:val="-10"/>
      <w:sz w:val="19"/>
      <w:szCs w:val="19"/>
      <w:shd w:val="clear" w:color="auto" w:fill="FFFFFF"/>
    </w:rPr>
  </w:style>
  <w:style w:type="paragraph" w:customStyle="1" w:styleId="Tabladecontenidos30">
    <w:name w:val="Tabla de contenidos (3)"/>
    <w:basedOn w:val="Normal"/>
    <w:link w:val="Tabladecontenidos3"/>
    <w:rsid w:val="003E526D"/>
    <w:pPr>
      <w:widowControl w:val="0"/>
      <w:shd w:val="clear" w:color="auto" w:fill="FFFFFF"/>
      <w:spacing w:before="300" w:after="420" w:line="0" w:lineRule="atLeast"/>
    </w:pPr>
    <w:rPr>
      <w:rFonts w:ascii="Verdana" w:eastAsia="Verdana" w:hAnsi="Verdana" w:cs="Verdana"/>
      <w:spacing w:val="-10"/>
      <w:sz w:val="19"/>
      <w:szCs w:val="19"/>
    </w:rPr>
  </w:style>
  <w:style w:type="character" w:customStyle="1" w:styleId="Cuerpodeltexto19">
    <w:name w:val="Cuerpo del texto (19)_"/>
    <w:basedOn w:val="Fuentedeprrafopredeter"/>
    <w:link w:val="Cuerpodeltexto190"/>
    <w:rsid w:val="003E526D"/>
    <w:rPr>
      <w:rFonts w:ascii="Arial Narrow" w:eastAsia="Arial Narrow" w:hAnsi="Arial Narrow" w:cs="Arial Narrow"/>
      <w:b/>
      <w:bCs/>
      <w:sz w:val="25"/>
      <w:szCs w:val="25"/>
      <w:shd w:val="clear" w:color="auto" w:fill="FFFFFF"/>
    </w:rPr>
  </w:style>
  <w:style w:type="paragraph" w:customStyle="1" w:styleId="Cuerpodeltexto190">
    <w:name w:val="Cuerpo del texto (19)"/>
    <w:basedOn w:val="Normal"/>
    <w:link w:val="Cuerpodeltexto19"/>
    <w:rsid w:val="003E526D"/>
    <w:pPr>
      <w:widowControl w:val="0"/>
      <w:shd w:val="clear" w:color="auto" w:fill="FFFFFF"/>
      <w:spacing w:after="0" w:line="0" w:lineRule="atLeast"/>
    </w:pPr>
    <w:rPr>
      <w:rFonts w:ascii="Arial Narrow" w:eastAsia="Arial Narrow" w:hAnsi="Arial Narrow" w:cs="Arial Narrow"/>
      <w:b/>
      <w:bCs/>
      <w:sz w:val="25"/>
      <w:szCs w:val="25"/>
    </w:rPr>
  </w:style>
  <w:style w:type="character" w:customStyle="1" w:styleId="Encabezamientoopiedepgina11pto">
    <w:name w:val="Encabezamiento o pie de página + 11 pto"/>
    <w:basedOn w:val="Encabezamientoopiedepgina"/>
    <w:rsid w:val="003E526D"/>
    <w:rPr>
      <w:rFonts w:ascii="Verdana" w:eastAsia="Verdana" w:hAnsi="Verdana" w:cs="Verdana"/>
      <w:b w:val="0"/>
      <w:bCs w:val="0"/>
      <w:i w:val="0"/>
      <w:iCs w:val="0"/>
      <w:smallCaps w:val="0"/>
      <w:strike w:val="0"/>
      <w:color w:val="000000"/>
      <w:spacing w:val="-10"/>
      <w:w w:val="100"/>
      <w:position w:val="0"/>
      <w:sz w:val="22"/>
      <w:szCs w:val="22"/>
      <w:u w:val="none"/>
      <w:lang w:val="es-ES"/>
    </w:rPr>
  </w:style>
  <w:style w:type="character" w:customStyle="1" w:styleId="Cuerpodeltexto200">
    <w:name w:val="Cuerpo del texto (20)_"/>
    <w:basedOn w:val="Fuentedeprrafopredeter"/>
    <w:link w:val="Cuerpodeltexto201"/>
    <w:rsid w:val="003E526D"/>
    <w:rPr>
      <w:rFonts w:eastAsia="Arial" w:cs="Arial"/>
      <w:spacing w:val="10"/>
      <w:w w:val="50"/>
      <w:sz w:val="23"/>
      <w:szCs w:val="23"/>
      <w:shd w:val="clear" w:color="auto" w:fill="FFFFFF"/>
    </w:rPr>
  </w:style>
  <w:style w:type="paragraph" w:customStyle="1" w:styleId="Cuerpodeltexto201">
    <w:name w:val="Cuerpo del texto (20)"/>
    <w:basedOn w:val="Normal"/>
    <w:link w:val="Cuerpodeltexto200"/>
    <w:rsid w:val="003E526D"/>
    <w:pPr>
      <w:widowControl w:val="0"/>
      <w:shd w:val="clear" w:color="auto" w:fill="FFFFFF"/>
      <w:spacing w:after="0" w:line="710" w:lineRule="exact"/>
    </w:pPr>
    <w:rPr>
      <w:rFonts w:eastAsia="Arial" w:cs="Arial"/>
      <w:spacing w:val="10"/>
      <w:w w:val="50"/>
      <w:sz w:val="23"/>
      <w:szCs w:val="23"/>
    </w:rPr>
  </w:style>
  <w:style w:type="character" w:customStyle="1" w:styleId="Cuerpodeltexto21">
    <w:name w:val="Cuerpo del texto (21)_"/>
    <w:basedOn w:val="Fuentedeprrafopredeter"/>
    <w:link w:val="Cuerpodeltexto210"/>
    <w:rsid w:val="003E526D"/>
    <w:rPr>
      <w:rFonts w:ascii="Arial Narrow" w:eastAsia="Arial Narrow" w:hAnsi="Arial Narrow" w:cs="Arial Narrow"/>
      <w:b/>
      <w:bCs/>
      <w:sz w:val="45"/>
      <w:szCs w:val="45"/>
      <w:shd w:val="clear" w:color="auto" w:fill="FFFFFF"/>
    </w:rPr>
  </w:style>
  <w:style w:type="paragraph" w:customStyle="1" w:styleId="Cuerpodeltexto210">
    <w:name w:val="Cuerpo del texto (21)"/>
    <w:basedOn w:val="Normal"/>
    <w:link w:val="Cuerpodeltexto21"/>
    <w:rsid w:val="003E526D"/>
    <w:pPr>
      <w:widowControl w:val="0"/>
      <w:shd w:val="clear" w:color="auto" w:fill="FFFFFF"/>
      <w:spacing w:after="0" w:line="187" w:lineRule="exact"/>
    </w:pPr>
    <w:rPr>
      <w:rFonts w:ascii="Arial Narrow" w:eastAsia="Arial Narrow" w:hAnsi="Arial Narrow" w:cs="Arial Narrow"/>
      <w:b/>
      <w:bCs/>
      <w:sz w:val="45"/>
      <w:szCs w:val="45"/>
    </w:rPr>
  </w:style>
  <w:style w:type="character" w:customStyle="1" w:styleId="Cuerpodeltexto22">
    <w:name w:val="Cuerpo del texto (22)_"/>
    <w:basedOn w:val="Fuentedeprrafopredeter"/>
    <w:link w:val="Cuerpodeltexto220"/>
    <w:rsid w:val="003E526D"/>
    <w:rPr>
      <w:rFonts w:eastAsia="Arial" w:cs="Arial"/>
      <w:sz w:val="21"/>
      <w:szCs w:val="21"/>
      <w:shd w:val="clear" w:color="auto" w:fill="FFFFFF"/>
    </w:rPr>
  </w:style>
  <w:style w:type="paragraph" w:customStyle="1" w:styleId="Cuerpodeltexto220">
    <w:name w:val="Cuerpo del texto (22)"/>
    <w:basedOn w:val="Normal"/>
    <w:link w:val="Cuerpodeltexto22"/>
    <w:rsid w:val="003E526D"/>
    <w:pPr>
      <w:widowControl w:val="0"/>
      <w:shd w:val="clear" w:color="auto" w:fill="FFFFFF"/>
      <w:spacing w:before="1680" w:after="0" w:line="0" w:lineRule="atLeast"/>
    </w:pPr>
    <w:rPr>
      <w:rFonts w:eastAsia="Arial" w:cs="Arial"/>
      <w:sz w:val="21"/>
      <w:szCs w:val="21"/>
    </w:rPr>
  </w:style>
  <w:style w:type="character" w:customStyle="1" w:styleId="Cuerpodeltexto23Exact">
    <w:name w:val="Cuerpo del texto (23) Exact"/>
    <w:basedOn w:val="Fuentedeprrafopredeter"/>
    <w:link w:val="Cuerpodeltexto23"/>
    <w:rsid w:val="003E526D"/>
    <w:rPr>
      <w:rFonts w:ascii="Verdana" w:eastAsia="Verdana" w:hAnsi="Verdana" w:cs="Verdana"/>
      <w:spacing w:val="-36"/>
      <w:sz w:val="20"/>
      <w:szCs w:val="20"/>
      <w:shd w:val="clear" w:color="auto" w:fill="FFFFFF"/>
    </w:rPr>
  </w:style>
  <w:style w:type="paragraph" w:customStyle="1" w:styleId="Cuerpodeltexto23">
    <w:name w:val="Cuerpo del texto (23)"/>
    <w:basedOn w:val="Normal"/>
    <w:link w:val="Cuerpodeltexto23Exact"/>
    <w:rsid w:val="003E526D"/>
    <w:pPr>
      <w:widowControl w:val="0"/>
      <w:shd w:val="clear" w:color="auto" w:fill="FFFFFF"/>
      <w:spacing w:after="60" w:line="0" w:lineRule="atLeast"/>
      <w:jc w:val="right"/>
    </w:pPr>
    <w:rPr>
      <w:rFonts w:ascii="Verdana" w:eastAsia="Verdana" w:hAnsi="Verdana" w:cs="Verdana"/>
      <w:spacing w:val="-36"/>
      <w:sz w:val="20"/>
      <w:szCs w:val="20"/>
    </w:rPr>
  </w:style>
  <w:style w:type="character" w:customStyle="1" w:styleId="Cuerpodeltexto23FranklinGothicDemi">
    <w:name w:val="Cuerpo del texto (23) + Franklin Gothic Demi"/>
    <w:aliases w:val="19 pto,Espaciado 0 pto Exact"/>
    <w:basedOn w:val="Cuerpodeltexto23Exact"/>
    <w:rsid w:val="003E526D"/>
    <w:rPr>
      <w:rFonts w:ascii="Franklin Gothic Demi" w:eastAsia="Franklin Gothic Demi" w:hAnsi="Franklin Gothic Demi" w:cs="Franklin Gothic Demi"/>
      <w:color w:val="000000"/>
      <w:spacing w:val="0"/>
      <w:w w:val="100"/>
      <w:position w:val="0"/>
      <w:sz w:val="38"/>
      <w:szCs w:val="38"/>
      <w:shd w:val="clear" w:color="auto" w:fill="FFFFFF"/>
      <w:lang w:val="es-ES"/>
    </w:rPr>
  </w:style>
  <w:style w:type="character" w:customStyle="1" w:styleId="Cuerpodeltexto24Exact">
    <w:name w:val="Cuerpo del texto (24) Exact"/>
    <w:basedOn w:val="Fuentedeprrafopredeter"/>
    <w:link w:val="Cuerpodeltexto24"/>
    <w:rsid w:val="003E526D"/>
    <w:rPr>
      <w:rFonts w:ascii="Times New Roman" w:eastAsia="Times New Roman" w:hAnsi="Times New Roman" w:cs="Times New Roman"/>
      <w:sz w:val="15"/>
      <w:szCs w:val="15"/>
      <w:shd w:val="clear" w:color="auto" w:fill="FFFFFF"/>
    </w:rPr>
  </w:style>
  <w:style w:type="paragraph" w:customStyle="1" w:styleId="Cuerpodeltexto24">
    <w:name w:val="Cuerpo del texto (24)"/>
    <w:basedOn w:val="Normal"/>
    <w:link w:val="Cuerpodeltexto24Exact"/>
    <w:rsid w:val="003E526D"/>
    <w:pPr>
      <w:widowControl w:val="0"/>
      <w:shd w:val="clear" w:color="auto" w:fill="FFFFFF"/>
      <w:spacing w:before="60" w:after="0" w:line="0" w:lineRule="atLeast"/>
      <w:jc w:val="right"/>
    </w:pPr>
    <w:rPr>
      <w:rFonts w:ascii="Times New Roman" w:eastAsia="Times New Roman" w:hAnsi="Times New Roman" w:cs="Times New Roman"/>
      <w:sz w:val="15"/>
      <w:szCs w:val="15"/>
    </w:rPr>
  </w:style>
  <w:style w:type="character" w:customStyle="1" w:styleId="Cuerpodeltexto24ArialNarrow">
    <w:name w:val="Cuerpo del texto (24) + Arial Narrow"/>
    <w:aliases w:val="7 pto,Cursiva Exact"/>
    <w:basedOn w:val="Cuerpodeltexto24Exact"/>
    <w:rsid w:val="003E526D"/>
    <w:rPr>
      <w:rFonts w:ascii="Arial Narrow" w:eastAsia="Arial Narrow" w:hAnsi="Arial Narrow" w:cs="Arial Narrow"/>
      <w:i/>
      <w:iCs/>
      <w:color w:val="000000"/>
      <w:spacing w:val="0"/>
      <w:w w:val="100"/>
      <w:position w:val="0"/>
      <w:sz w:val="14"/>
      <w:szCs w:val="14"/>
      <w:shd w:val="clear" w:color="auto" w:fill="FFFFFF"/>
    </w:rPr>
  </w:style>
  <w:style w:type="character" w:customStyle="1" w:styleId="Cuerpodeltexto8Exact">
    <w:name w:val="Cuerpo del texto (8) Exact"/>
    <w:basedOn w:val="Fuentedeprrafopredeter"/>
    <w:rsid w:val="003E526D"/>
    <w:rPr>
      <w:rFonts w:ascii="Verdana" w:eastAsia="Verdana" w:hAnsi="Verdana" w:cs="Verdana"/>
      <w:b/>
      <w:bCs/>
      <w:i w:val="0"/>
      <w:iCs w:val="0"/>
      <w:smallCaps w:val="0"/>
      <w:strike w:val="0"/>
      <w:spacing w:val="-4"/>
      <w:sz w:val="17"/>
      <w:szCs w:val="17"/>
      <w:u w:val="none"/>
    </w:rPr>
  </w:style>
  <w:style w:type="character" w:customStyle="1" w:styleId="Ttulo12">
    <w:name w:val="Título #1 (2)_"/>
    <w:basedOn w:val="Fuentedeprrafopredeter"/>
    <w:link w:val="Ttulo120"/>
    <w:rsid w:val="003E526D"/>
    <w:rPr>
      <w:rFonts w:ascii="Arial Narrow" w:eastAsia="Arial Narrow" w:hAnsi="Arial Narrow" w:cs="Arial Narrow"/>
      <w:sz w:val="42"/>
      <w:szCs w:val="42"/>
      <w:shd w:val="clear" w:color="auto" w:fill="FFFFFF"/>
    </w:rPr>
  </w:style>
  <w:style w:type="paragraph" w:customStyle="1" w:styleId="Ttulo120">
    <w:name w:val="Título #1 (2)"/>
    <w:basedOn w:val="Normal"/>
    <w:link w:val="Ttulo12"/>
    <w:rsid w:val="003E526D"/>
    <w:pPr>
      <w:widowControl w:val="0"/>
      <w:shd w:val="clear" w:color="auto" w:fill="FFFFFF"/>
      <w:spacing w:after="180" w:line="0" w:lineRule="atLeast"/>
      <w:outlineLvl w:val="0"/>
    </w:pPr>
    <w:rPr>
      <w:rFonts w:ascii="Arial Narrow" w:eastAsia="Arial Narrow" w:hAnsi="Arial Narrow" w:cs="Arial Narrow"/>
      <w:sz w:val="42"/>
      <w:szCs w:val="42"/>
    </w:rPr>
  </w:style>
  <w:style w:type="character" w:customStyle="1" w:styleId="Cuerpodeltexto10pto">
    <w:name w:val="Cuerpo del texto + 10 pto"/>
    <w:aliases w:val="Espaciado -2 pto"/>
    <w:basedOn w:val="Cuerpodeltexto"/>
    <w:rsid w:val="003E526D"/>
    <w:rPr>
      <w:rFonts w:ascii="Verdana" w:eastAsia="Verdana" w:hAnsi="Verdana" w:cs="Verdana"/>
      <w:b w:val="0"/>
      <w:bCs w:val="0"/>
      <w:i w:val="0"/>
      <w:iCs w:val="0"/>
      <w:smallCaps w:val="0"/>
      <w:strike w:val="0"/>
      <w:color w:val="000000"/>
      <w:spacing w:val="-40"/>
      <w:w w:val="100"/>
      <w:position w:val="0"/>
      <w:sz w:val="20"/>
      <w:szCs w:val="20"/>
      <w:u w:val="none"/>
      <w:lang w:val="es-ES"/>
    </w:rPr>
  </w:style>
  <w:style w:type="character" w:customStyle="1" w:styleId="Leyendadelatabla">
    <w:name w:val="Leyenda de la tabla_"/>
    <w:basedOn w:val="Fuentedeprrafopredeter"/>
    <w:link w:val="Leyendadelatabla0"/>
    <w:rsid w:val="003E526D"/>
    <w:rPr>
      <w:rFonts w:ascii="Verdana" w:eastAsia="Verdana" w:hAnsi="Verdana" w:cs="Verdana"/>
      <w:spacing w:val="-10"/>
      <w:sz w:val="19"/>
      <w:szCs w:val="19"/>
      <w:shd w:val="clear" w:color="auto" w:fill="FFFFFF"/>
    </w:rPr>
  </w:style>
  <w:style w:type="paragraph" w:customStyle="1" w:styleId="Leyendadelatabla0">
    <w:name w:val="Leyenda de la tabla"/>
    <w:basedOn w:val="Normal"/>
    <w:link w:val="Leyendadelatabla"/>
    <w:rsid w:val="003E526D"/>
    <w:pPr>
      <w:widowControl w:val="0"/>
      <w:shd w:val="clear" w:color="auto" w:fill="FFFFFF"/>
      <w:spacing w:after="0" w:line="0" w:lineRule="atLeast"/>
    </w:pPr>
    <w:rPr>
      <w:rFonts w:ascii="Verdana" w:eastAsia="Verdana" w:hAnsi="Verdana" w:cs="Verdana"/>
      <w:spacing w:val="-10"/>
      <w:sz w:val="19"/>
      <w:szCs w:val="19"/>
    </w:rPr>
  </w:style>
  <w:style w:type="character" w:customStyle="1" w:styleId="Cuerpodeltexto25">
    <w:name w:val="Cuerpo del texto (25)_"/>
    <w:basedOn w:val="Fuentedeprrafopredeter"/>
    <w:link w:val="Cuerpodeltexto250"/>
    <w:rsid w:val="003E526D"/>
    <w:rPr>
      <w:rFonts w:ascii="Verdana" w:eastAsia="Verdana" w:hAnsi="Verdana" w:cs="Verdana"/>
      <w:sz w:val="14"/>
      <w:szCs w:val="14"/>
      <w:shd w:val="clear" w:color="auto" w:fill="FFFFFF"/>
    </w:rPr>
  </w:style>
  <w:style w:type="paragraph" w:customStyle="1" w:styleId="Cuerpodeltexto250">
    <w:name w:val="Cuerpo del texto (25)"/>
    <w:basedOn w:val="Normal"/>
    <w:link w:val="Cuerpodeltexto25"/>
    <w:rsid w:val="003E526D"/>
    <w:pPr>
      <w:widowControl w:val="0"/>
      <w:shd w:val="clear" w:color="auto" w:fill="FFFFFF"/>
      <w:spacing w:before="660" w:after="0" w:line="211" w:lineRule="exact"/>
    </w:pPr>
    <w:rPr>
      <w:rFonts w:ascii="Verdana" w:eastAsia="Verdana" w:hAnsi="Verdana" w:cs="Verdana"/>
      <w:sz w:val="14"/>
      <w:szCs w:val="14"/>
    </w:rPr>
  </w:style>
  <w:style w:type="character" w:customStyle="1" w:styleId="Cuerpodeltexto26">
    <w:name w:val="Cuerpo del texto (26)_"/>
    <w:basedOn w:val="Fuentedeprrafopredeter"/>
    <w:link w:val="Cuerpodeltexto260"/>
    <w:rsid w:val="003E526D"/>
    <w:rPr>
      <w:rFonts w:ascii="Times New Roman" w:eastAsia="Times New Roman" w:hAnsi="Times New Roman" w:cs="Times New Roman"/>
      <w:spacing w:val="10"/>
      <w:sz w:val="15"/>
      <w:szCs w:val="15"/>
      <w:shd w:val="clear" w:color="auto" w:fill="FFFFFF"/>
    </w:rPr>
  </w:style>
  <w:style w:type="paragraph" w:customStyle="1" w:styleId="Cuerpodeltexto260">
    <w:name w:val="Cuerpo del texto (26)"/>
    <w:basedOn w:val="Normal"/>
    <w:link w:val="Cuerpodeltexto26"/>
    <w:rsid w:val="003E526D"/>
    <w:pPr>
      <w:widowControl w:val="0"/>
      <w:shd w:val="clear" w:color="auto" w:fill="FFFFFF"/>
      <w:spacing w:before="180" w:after="300" w:line="0" w:lineRule="atLeast"/>
      <w:ind w:firstLine="740"/>
      <w:jc w:val="both"/>
    </w:pPr>
    <w:rPr>
      <w:rFonts w:ascii="Times New Roman" w:eastAsia="Times New Roman" w:hAnsi="Times New Roman" w:cs="Times New Roman"/>
      <w:spacing w:val="10"/>
      <w:sz w:val="15"/>
      <w:szCs w:val="15"/>
    </w:rPr>
  </w:style>
  <w:style w:type="character" w:customStyle="1" w:styleId="Cuerpodeltexto27">
    <w:name w:val="Cuerpo del texto (27)_"/>
    <w:basedOn w:val="Fuentedeprrafopredeter"/>
    <w:link w:val="Cuerpodeltexto270"/>
    <w:rsid w:val="003E526D"/>
    <w:rPr>
      <w:rFonts w:ascii="Comic Sans MS" w:eastAsia="Comic Sans MS" w:hAnsi="Comic Sans MS" w:cs="Comic Sans MS"/>
      <w:sz w:val="16"/>
      <w:szCs w:val="16"/>
      <w:shd w:val="clear" w:color="auto" w:fill="FFFFFF"/>
    </w:rPr>
  </w:style>
  <w:style w:type="paragraph" w:customStyle="1" w:styleId="Cuerpodeltexto270">
    <w:name w:val="Cuerpo del texto (27)"/>
    <w:basedOn w:val="Normal"/>
    <w:link w:val="Cuerpodeltexto27"/>
    <w:rsid w:val="003E526D"/>
    <w:pPr>
      <w:widowControl w:val="0"/>
      <w:shd w:val="clear" w:color="auto" w:fill="FFFFFF"/>
      <w:spacing w:before="180" w:after="300" w:line="0" w:lineRule="atLeast"/>
      <w:jc w:val="both"/>
    </w:pPr>
    <w:rPr>
      <w:rFonts w:ascii="Comic Sans MS" w:eastAsia="Comic Sans MS" w:hAnsi="Comic Sans MS" w:cs="Comic Sans MS"/>
      <w:sz w:val="16"/>
      <w:szCs w:val="16"/>
    </w:rPr>
  </w:style>
  <w:style w:type="character" w:customStyle="1" w:styleId="Cuerpodeltexto28">
    <w:name w:val="Cuerpo del texto (28)_"/>
    <w:basedOn w:val="Fuentedeprrafopredeter"/>
    <w:link w:val="Cuerpodeltexto280"/>
    <w:rsid w:val="003E526D"/>
    <w:rPr>
      <w:rFonts w:ascii="Verdana" w:eastAsia="Verdana" w:hAnsi="Verdana" w:cs="Verdana"/>
      <w:b/>
      <w:bCs/>
      <w:sz w:val="19"/>
      <w:szCs w:val="19"/>
      <w:shd w:val="clear" w:color="auto" w:fill="FFFFFF"/>
    </w:rPr>
  </w:style>
  <w:style w:type="paragraph" w:customStyle="1" w:styleId="Cuerpodeltexto280">
    <w:name w:val="Cuerpo del texto (28)"/>
    <w:basedOn w:val="Normal"/>
    <w:link w:val="Cuerpodeltexto28"/>
    <w:rsid w:val="003E526D"/>
    <w:pPr>
      <w:widowControl w:val="0"/>
      <w:shd w:val="clear" w:color="auto" w:fill="FFFFFF"/>
      <w:spacing w:before="180" w:after="0" w:line="240" w:lineRule="exact"/>
      <w:ind w:firstLine="720"/>
      <w:jc w:val="both"/>
    </w:pPr>
    <w:rPr>
      <w:rFonts w:ascii="Verdana" w:eastAsia="Verdana" w:hAnsi="Verdana" w:cs="Verdana"/>
      <w:b/>
      <w:bCs/>
      <w:sz w:val="19"/>
      <w:szCs w:val="19"/>
    </w:rPr>
  </w:style>
  <w:style w:type="character" w:customStyle="1" w:styleId="Cuerpodeltexto29">
    <w:name w:val="Cuerpo del texto (29)_"/>
    <w:basedOn w:val="Fuentedeprrafopredeter"/>
    <w:link w:val="Cuerpodeltexto290"/>
    <w:rsid w:val="003E526D"/>
    <w:rPr>
      <w:rFonts w:ascii="Comic Sans MS" w:eastAsia="Comic Sans MS" w:hAnsi="Comic Sans MS" w:cs="Comic Sans MS"/>
      <w:b/>
      <w:bCs/>
      <w:sz w:val="12"/>
      <w:szCs w:val="12"/>
      <w:shd w:val="clear" w:color="auto" w:fill="FFFFFF"/>
    </w:rPr>
  </w:style>
  <w:style w:type="paragraph" w:customStyle="1" w:styleId="Cuerpodeltexto290">
    <w:name w:val="Cuerpo del texto (29)"/>
    <w:basedOn w:val="Normal"/>
    <w:link w:val="Cuerpodeltexto29"/>
    <w:rsid w:val="003E526D"/>
    <w:pPr>
      <w:widowControl w:val="0"/>
      <w:shd w:val="clear" w:color="auto" w:fill="FFFFFF"/>
      <w:spacing w:after="0" w:line="360" w:lineRule="exact"/>
      <w:ind w:firstLine="700"/>
      <w:jc w:val="both"/>
    </w:pPr>
    <w:rPr>
      <w:rFonts w:ascii="Comic Sans MS" w:eastAsia="Comic Sans MS" w:hAnsi="Comic Sans MS" w:cs="Comic Sans MS"/>
      <w:b/>
      <w:bCs/>
      <w:sz w:val="12"/>
      <w:szCs w:val="12"/>
    </w:rPr>
  </w:style>
  <w:style w:type="character" w:customStyle="1" w:styleId="Cuerpodeltexto300">
    <w:name w:val="Cuerpo del texto (30)_"/>
    <w:basedOn w:val="Fuentedeprrafopredeter"/>
    <w:link w:val="Cuerpodeltexto301"/>
    <w:rsid w:val="003E526D"/>
    <w:rPr>
      <w:rFonts w:ascii="Verdana" w:eastAsia="Verdana" w:hAnsi="Verdana" w:cs="Verdana"/>
      <w:sz w:val="10"/>
      <w:szCs w:val="10"/>
      <w:shd w:val="clear" w:color="auto" w:fill="FFFFFF"/>
    </w:rPr>
  </w:style>
  <w:style w:type="paragraph" w:customStyle="1" w:styleId="Cuerpodeltexto301">
    <w:name w:val="Cuerpo del texto (30)"/>
    <w:basedOn w:val="Normal"/>
    <w:link w:val="Cuerpodeltexto300"/>
    <w:rsid w:val="003E526D"/>
    <w:pPr>
      <w:widowControl w:val="0"/>
      <w:shd w:val="clear" w:color="auto" w:fill="FFFFFF"/>
      <w:spacing w:before="180" w:after="360" w:line="0" w:lineRule="atLeast"/>
      <w:jc w:val="both"/>
    </w:pPr>
    <w:rPr>
      <w:rFonts w:ascii="Verdana" w:eastAsia="Verdana" w:hAnsi="Verdana" w:cs="Verdana"/>
      <w:sz w:val="10"/>
      <w:szCs w:val="10"/>
    </w:rPr>
  </w:style>
  <w:style w:type="character" w:customStyle="1" w:styleId="CuerpodeltextoExact">
    <w:name w:val="Cuerpo del texto Exact"/>
    <w:basedOn w:val="Fuentedeprrafopredeter"/>
    <w:rsid w:val="003E526D"/>
    <w:rPr>
      <w:rFonts w:ascii="Arial" w:eastAsia="Arial" w:hAnsi="Arial" w:cs="Arial"/>
      <w:b w:val="0"/>
      <w:bCs w:val="0"/>
      <w:i w:val="0"/>
      <w:iCs w:val="0"/>
      <w:smallCaps w:val="0"/>
      <w:strike w:val="0"/>
      <w:spacing w:val="2"/>
      <w:sz w:val="20"/>
      <w:szCs w:val="20"/>
      <w:u w:val="none"/>
    </w:rPr>
  </w:style>
  <w:style w:type="character" w:customStyle="1" w:styleId="Cuerpodeltexto6Negrita">
    <w:name w:val="Cuerpo del texto (6) + Negrita"/>
    <w:aliases w:val="Escala 150%,Espaciado 1 pto"/>
    <w:basedOn w:val="Cuerpodeltexto6"/>
    <w:rsid w:val="003E526D"/>
    <w:rPr>
      <w:rFonts w:ascii="Arial" w:eastAsia="Arial" w:hAnsi="Arial" w:cs="Arial"/>
      <w:b/>
      <w:bCs/>
      <w:i/>
      <w:iCs/>
      <w:smallCaps w:val="0"/>
      <w:strike w:val="0"/>
      <w:color w:val="000000"/>
      <w:spacing w:val="0"/>
      <w:w w:val="100"/>
      <w:position w:val="0"/>
      <w:sz w:val="21"/>
      <w:szCs w:val="21"/>
      <w:u w:val="none"/>
      <w:shd w:val="clear" w:color="auto" w:fill="FFFFFF"/>
      <w:lang w:val="es-ES"/>
    </w:rPr>
  </w:style>
  <w:style w:type="character" w:customStyle="1" w:styleId="Cuerpodeltexto6Sincursiva">
    <w:name w:val="Cuerpo del texto (6) + Sin cursiva"/>
    <w:basedOn w:val="Cuerpodeltexto6"/>
    <w:rsid w:val="003E526D"/>
    <w:rPr>
      <w:rFonts w:ascii="Arial" w:eastAsia="Arial" w:hAnsi="Arial" w:cs="Arial"/>
      <w:b w:val="0"/>
      <w:bCs w:val="0"/>
      <w:i/>
      <w:iCs/>
      <w:smallCaps w:val="0"/>
      <w:strike w:val="0"/>
      <w:color w:val="000000"/>
      <w:spacing w:val="0"/>
      <w:w w:val="100"/>
      <w:position w:val="0"/>
      <w:sz w:val="21"/>
      <w:szCs w:val="21"/>
      <w:u w:val="none"/>
      <w:shd w:val="clear" w:color="auto" w:fill="FFFFFF"/>
      <w:lang w:val="es-ES"/>
    </w:rPr>
  </w:style>
  <w:style w:type="character" w:customStyle="1" w:styleId="Ttulo4">
    <w:name w:val="Título #4_"/>
    <w:basedOn w:val="Fuentedeprrafopredeter"/>
    <w:link w:val="Ttulo40"/>
    <w:rsid w:val="003E526D"/>
    <w:rPr>
      <w:rFonts w:eastAsia="Arial" w:cs="Arial"/>
      <w:b/>
      <w:bCs/>
      <w:sz w:val="21"/>
      <w:szCs w:val="21"/>
      <w:shd w:val="clear" w:color="auto" w:fill="FFFFFF"/>
    </w:rPr>
  </w:style>
  <w:style w:type="paragraph" w:customStyle="1" w:styleId="Ttulo40">
    <w:name w:val="Título #4"/>
    <w:basedOn w:val="Normal"/>
    <w:link w:val="Ttulo4"/>
    <w:rsid w:val="003E526D"/>
    <w:pPr>
      <w:widowControl w:val="0"/>
      <w:shd w:val="clear" w:color="auto" w:fill="FFFFFF"/>
      <w:spacing w:before="660" w:after="0" w:line="264" w:lineRule="exact"/>
      <w:ind w:hanging="560"/>
      <w:jc w:val="both"/>
      <w:outlineLvl w:val="3"/>
    </w:pPr>
    <w:rPr>
      <w:rFonts w:eastAsia="Arial" w:cs="Arial"/>
      <w:b/>
      <w:bCs/>
      <w:sz w:val="21"/>
      <w:szCs w:val="21"/>
    </w:rPr>
  </w:style>
  <w:style w:type="paragraph" w:styleId="NormalWeb">
    <w:name w:val="Normal (Web)"/>
    <w:basedOn w:val="Normal"/>
    <w:rsid w:val="003E526D"/>
    <w:pPr>
      <w:spacing w:before="100" w:beforeAutospacing="1" w:after="100" w:afterAutospacing="1" w:line="240" w:lineRule="auto"/>
    </w:pPr>
    <w:rPr>
      <w:rFonts w:ascii="Arial" w:eastAsia="Times New Roman" w:hAnsi="Arial" w:cs="Times New Roman"/>
      <w:sz w:val="24"/>
      <w:szCs w:val="24"/>
      <w:lang w:eastAsia="es-MX"/>
    </w:rPr>
  </w:style>
  <w:style w:type="character" w:customStyle="1" w:styleId="CuerpodeltextoCursiva">
    <w:name w:val="Cuerpo del texto + Cursiva"/>
    <w:basedOn w:val="Cuerpodeltexto"/>
    <w:rsid w:val="003E526D"/>
    <w:rPr>
      <w:rFonts w:ascii="Arial" w:eastAsia="Arial" w:hAnsi="Arial" w:cs="Arial"/>
      <w:b w:val="0"/>
      <w:bCs w:val="0"/>
      <w:i/>
      <w:iCs/>
      <w:smallCaps w:val="0"/>
      <w:strike w:val="0"/>
      <w:color w:val="000000"/>
      <w:spacing w:val="0"/>
      <w:w w:val="100"/>
      <w:position w:val="0"/>
      <w:sz w:val="21"/>
      <w:szCs w:val="21"/>
      <w:u w:val="none"/>
      <w:lang w:val="es-ES"/>
    </w:rPr>
  </w:style>
  <w:style w:type="character" w:customStyle="1" w:styleId="Cuerpodeltexto49">
    <w:name w:val="Cuerpo del texto (49)_"/>
    <w:basedOn w:val="Fuentedeprrafopredeter"/>
    <w:rsid w:val="003E526D"/>
    <w:rPr>
      <w:rFonts w:ascii="Arial" w:eastAsia="Arial" w:hAnsi="Arial" w:cs="Arial"/>
      <w:b/>
      <w:bCs/>
      <w:i/>
      <w:iCs/>
      <w:smallCaps w:val="0"/>
      <w:strike w:val="0"/>
      <w:sz w:val="21"/>
      <w:szCs w:val="21"/>
      <w:u w:val="none"/>
    </w:rPr>
  </w:style>
  <w:style w:type="character" w:customStyle="1" w:styleId="Cuerpodeltexto490">
    <w:name w:val="Cuerpo del texto (49)"/>
    <w:basedOn w:val="Cuerpodeltexto49"/>
    <w:rsid w:val="003E526D"/>
    <w:rPr>
      <w:rFonts w:ascii="Arial" w:eastAsia="Arial" w:hAnsi="Arial" w:cs="Arial"/>
      <w:b/>
      <w:bCs/>
      <w:i/>
      <w:iCs/>
      <w:smallCaps w:val="0"/>
      <w:strike w:val="0"/>
      <w:color w:val="000000"/>
      <w:spacing w:val="0"/>
      <w:w w:val="100"/>
      <w:position w:val="0"/>
      <w:sz w:val="21"/>
      <w:szCs w:val="21"/>
      <w:u w:val="single"/>
      <w:lang w:val="es-ES"/>
    </w:rPr>
  </w:style>
  <w:style w:type="paragraph" w:customStyle="1" w:styleId="texto">
    <w:name w:val="texto"/>
    <w:basedOn w:val="Normal"/>
    <w:rsid w:val="003E526D"/>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3E526D"/>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styleId="Textodebloque">
    <w:name w:val="Block Text"/>
    <w:basedOn w:val="Normal"/>
    <w:rsid w:val="003E526D"/>
    <w:pPr>
      <w:spacing w:after="0" w:line="240" w:lineRule="auto"/>
      <w:ind w:left="1134" w:right="565" w:hanging="567"/>
      <w:jc w:val="both"/>
    </w:pPr>
    <w:rPr>
      <w:rFonts w:ascii="Arial" w:eastAsia="Times New Roman" w:hAnsi="Arial" w:cs="Times New Roman"/>
      <w:szCs w:val="20"/>
      <w:lang w:val="es-ES" w:eastAsia="es-ES"/>
    </w:rPr>
  </w:style>
  <w:style w:type="paragraph" w:styleId="Textodeglobo">
    <w:name w:val="Balloon Text"/>
    <w:basedOn w:val="Normal"/>
    <w:link w:val="TextodegloboCar"/>
    <w:uiPriority w:val="99"/>
    <w:semiHidden/>
    <w:unhideWhenUsed/>
    <w:rsid w:val="003E52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526D"/>
    <w:rPr>
      <w:rFonts w:ascii="Segoe UI" w:hAnsi="Segoe UI" w:cs="Segoe UI"/>
      <w:sz w:val="18"/>
      <w:szCs w:val="18"/>
    </w:rPr>
  </w:style>
  <w:style w:type="character" w:customStyle="1" w:styleId="apple-converted-space">
    <w:name w:val="apple-converted-space"/>
    <w:basedOn w:val="Fuentedeprrafopredeter"/>
    <w:rsid w:val="003E526D"/>
  </w:style>
  <w:style w:type="character" w:styleId="Refdecomentario">
    <w:name w:val="annotation reference"/>
    <w:basedOn w:val="Fuentedeprrafopredeter"/>
    <w:uiPriority w:val="99"/>
    <w:semiHidden/>
    <w:unhideWhenUsed/>
    <w:rsid w:val="003E526D"/>
    <w:rPr>
      <w:sz w:val="16"/>
      <w:szCs w:val="16"/>
    </w:rPr>
  </w:style>
  <w:style w:type="paragraph" w:styleId="Textocomentario">
    <w:name w:val="annotation text"/>
    <w:basedOn w:val="Normal"/>
    <w:link w:val="TextocomentarioCar"/>
    <w:uiPriority w:val="99"/>
    <w:semiHidden/>
    <w:unhideWhenUsed/>
    <w:rsid w:val="003E526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526D"/>
    <w:rPr>
      <w:sz w:val="20"/>
      <w:szCs w:val="20"/>
    </w:rPr>
  </w:style>
  <w:style w:type="paragraph" w:styleId="Asuntodelcomentario">
    <w:name w:val="annotation subject"/>
    <w:basedOn w:val="Textocomentario"/>
    <w:next w:val="Textocomentario"/>
    <w:link w:val="AsuntodelcomentarioCar"/>
    <w:uiPriority w:val="99"/>
    <w:semiHidden/>
    <w:unhideWhenUsed/>
    <w:rsid w:val="003E526D"/>
    <w:rPr>
      <w:b/>
      <w:bCs/>
    </w:rPr>
  </w:style>
  <w:style w:type="character" w:customStyle="1" w:styleId="AsuntodelcomentarioCar">
    <w:name w:val="Asunto del comentario Car"/>
    <w:basedOn w:val="TextocomentarioCar"/>
    <w:link w:val="Asuntodelcomentario"/>
    <w:uiPriority w:val="99"/>
    <w:semiHidden/>
    <w:rsid w:val="003E526D"/>
    <w:rPr>
      <w:b/>
      <w:bCs/>
      <w:sz w:val="20"/>
      <w:szCs w:val="20"/>
    </w:rPr>
  </w:style>
  <w:style w:type="paragraph" w:styleId="Revisin">
    <w:name w:val="Revision"/>
    <w:hidden/>
    <w:uiPriority w:val="99"/>
    <w:semiHidden/>
    <w:rsid w:val="003E526D"/>
    <w:pPr>
      <w:spacing w:after="0" w:line="240" w:lineRule="auto"/>
    </w:pPr>
  </w:style>
  <w:style w:type="table" w:customStyle="1" w:styleId="Tablaconcuadrcula1">
    <w:name w:val="Tabla con cuadrícula1"/>
    <w:basedOn w:val="Tablanormal"/>
    <w:next w:val="Tablaconcuadrcula"/>
    <w:uiPriority w:val="39"/>
    <w:rsid w:val="001B3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1B3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1IFTCar">
    <w:name w:val="N1 IFT Car"/>
    <w:basedOn w:val="Fuentedeprrafopredeter"/>
    <w:link w:val="N1IFT"/>
    <w:locked/>
    <w:rsid w:val="0031745F"/>
    <w:rPr>
      <w:rFonts w:ascii="ITC Avant Garde" w:hAnsi="ITC Avant Garde"/>
      <w:b/>
      <w:bCs/>
      <w:color w:val="000000"/>
      <w:lang w:eastAsia="es-ES"/>
    </w:rPr>
  </w:style>
  <w:style w:type="paragraph" w:customStyle="1" w:styleId="N1IFT">
    <w:name w:val="N1 IFT"/>
    <w:basedOn w:val="Normal"/>
    <w:link w:val="N1IFTCar"/>
    <w:rsid w:val="0031745F"/>
    <w:pPr>
      <w:jc w:val="both"/>
    </w:pPr>
    <w:rPr>
      <w:rFonts w:ascii="ITC Avant Garde" w:hAnsi="ITC Avant Garde"/>
      <w:b/>
      <w:bCs/>
      <w:color w:val="000000"/>
      <w:lang w:eastAsia="es-ES"/>
    </w:rPr>
  </w:style>
  <w:style w:type="character" w:customStyle="1" w:styleId="Ttulo1Car">
    <w:name w:val="Título 1 Car"/>
    <w:basedOn w:val="Fuentedeprrafopredeter"/>
    <w:link w:val="Ttulo1"/>
    <w:uiPriority w:val="9"/>
    <w:rsid w:val="00654D1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2.scjn.gob.mx/ius2006/UnaEj.asp?nEjecutoria=20382&amp;Tpo=2" TargetMode="Externa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ts.se/upload/Ovrigt/Tele/Bransch/Kalkylarbete%20mobiln&#228;t/Model-%20%20%20documentation-for-PTS-080602.pdf" TargetMode="External"/><Relationship Id="rId13" Type="http://schemas.openxmlformats.org/officeDocument/2006/relationships/hyperlink" Target="http://www.pts.se/upload/Ovrigt/Tele/Bransch/Kalkylarbete%20mobiln&#228;t/Model-%20%20%20documentation-for-PTS-080602.pdf" TargetMode="External"/><Relationship Id="rId3" Type="http://schemas.openxmlformats.org/officeDocument/2006/relationships/hyperlink" Target="http://www.pts.se/upload/Ovrigt/Tele/Bransch/Kalkylarbete%20mobiln&#228;t/Model-%20%20%20documentation-for-PTS-080602.pdf" TargetMode="External"/><Relationship Id="rId7" Type="http://schemas.openxmlformats.org/officeDocument/2006/relationships/hyperlink" Target="http://www.pts.se/upload/Ovrigt/Tele/Bransch/Kalkylarbete%20mobiln&#228;t/Model-%20%20%20documentation-for-PTS-080602.pdf" TargetMode="External"/><Relationship Id="rId12" Type="http://schemas.openxmlformats.org/officeDocument/2006/relationships/hyperlink" Target="http://www.pts.se/upload/Ovrigt/Tele/Bransch/Kalkylarbete%20mobiln&#228;t/Model-%20%20%20documentation-for-PTS-080602.pdf" TargetMode="External"/><Relationship Id="rId2" Type="http://schemas.openxmlformats.org/officeDocument/2006/relationships/hyperlink" Target="http://www.pts.se/upload/Ovrigt/Tele/Bransch/Kalkylarbete%20mobiln&#228;t/Model-%20%20%20documentation-for-PTS-080602.pdf" TargetMode="External"/><Relationship Id="rId1" Type="http://schemas.openxmlformats.org/officeDocument/2006/relationships/hyperlink" Target="http://www.pts.se/upload/Ovrigt/Tele/Bransch/Kalkylarbete%20mobiln&#228;t/Model-%20%20%20documentation-for-PTS-080602.pdf" TargetMode="External"/><Relationship Id="rId6" Type="http://schemas.openxmlformats.org/officeDocument/2006/relationships/hyperlink" Target="http://www.pts.se/upload/Ovrigt/Tele/Bransch/Kalkylarbete%20mobiln&#228;t/Model-%20%20%20documentation-for-PTS-080602.pdf" TargetMode="External"/><Relationship Id="rId11" Type="http://schemas.openxmlformats.org/officeDocument/2006/relationships/hyperlink" Target="http://www.pts.se/upload/Ovrigt/Tele/Bransch/Kalkylarbete%20mobiln&#228;t/Model-%20%20%20documentation-for-PTS-080602.pdf" TargetMode="External"/><Relationship Id="rId5" Type="http://schemas.openxmlformats.org/officeDocument/2006/relationships/hyperlink" Target="http://www.pts.se/upload/Ovrigt/Tele/Bransch/Kalkylarbete%20mobiln&#228;t/Model-%20%20%20documentation-for-PTS-080602.pdf" TargetMode="External"/><Relationship Id="rId15" Type="http://schemas.openxmlformats.org/officeDocument/2006/relationships/hyperlink" Target="http://www.pts.se/upload/Ovrigt/Tele/Bransch/Kalkylarbete%20mobiln&#228;t/Model-%20%20%20documentation-for-PTS-080602.pdf" TargetMode="External"/><Relationship Id="rId10" Type="http://schemas.openxmlformats.org/officeDocument/2006/relationships/hyperlink" Target="http://www.pts.se/upload/Ovrigt/Tele/Bransch/Kalkylarbete%20mobiln&#228;t/Model-%20%20%20documentation-for-PTS-080602.pdf" TargetMode="External"/><Relationship Id="rId4" Type="http://schemas.openxmlformats.org/officeDocument/2006/relationships/hyperlink" Target="http://www.pts.se/upload/Ovrigt/Tele/Bransch/Kalkylarbete%20mobiln&#228;t/Model-%20%20%20documentation-for-PTS-080602.pdf" TargetMode="External"/><Relationship Id="rId9" Type="http://schemas.openxmlformats.org/officeDocument/2006/relationships/hyperlink" Target="http://www.pts.se/upload/Ovrigt/Tele/Bransch/Kalkylarbete%20mobiln&#228;t/Model-%20%20%20documentation-for-PTS-080602.pdf" TargetMode="External"/><Relationship Id="rId14" Type="http://schemas.openxmlformats.org/officeDocument/2006/relationships/hyperlink" Target="http://www.pts.se/upload/Ovrigt/Tele/Bransch/Kalkylarbete%20mobiln&#228;t/Model-%20%20%20documentation-for-PTS-08060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af3b5cbbff4b821cee4b5d9a2093ab72">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8ED8E-6635-45AB-8B22-36CD46849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692D1D2-3155-498B-82D9-3519D44B2F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C6BAE7-27F3-49A5-BBD1-85B735B39AAD}">
  <ds:schemaRefs>
    <ds:schemaRef ds:uri="http://schemas.microsoft.com/sharepoint/v3/contenttype/forms"/>
  </ds:schemaRefs>
</ds:datastoreItem>
</file>

<file path=customXml/itemProps4.xml><?xml version="1.0" encoding="utf-8"?>
<ds:datastoreItem xmlns:ds="http://schemas.openxmlformats.org/officeDocument/2006/customXml" ds:itemID="{E997DEF1-7132-43B6-8451-CDB605313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88266</Words>
  <Characters>485464</Characters>
  <Application>Microsoft Office Word</Application>
  <DocSecurity>0</DocSecurity>
  <Lines>4045</Lines>
  <Paragraphs>1145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 Alejandro Patiño Ascencio</dc:creator>
  <cp:lastModifiedBy>Maria del Consuelo Gonzalez Moreno</cp:lastModifiedBy>
  <cp:revision>9</cp:revision>
  <cp:lastPrinted>2017-03-27T16:50:00Z</cp:lastPrinted>
  <dcterms:created xsi:type="dcterms:W3CDTF">2017-03-22T15:22:00Z</dcterms:created>
  <dcterms:modified xsi:type="dcterms:W3CDTF">2017-04-18T18:27:00Z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