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0D7EF" w14:textId="77777777" w:rsidR="00B42019" w:rsidRPr="00B42019" w:rsidRDefault="005E08F3" w:rsidP="00B42019">
      <w:pPr>
        <w:pStyle w:val="Ttulo1"/>
        <w:keepLines/>
        <w:spacing w:before="240" w:after="240"/>
        <w:jc w:val="both"/>
        <w:rPr>
          <w:rFonts w:ascii="ITC Avant Garde" w:eastAsiaTheme="majorEastAsia" w:hAnsi="ITC Avant Garde" w:cstheme="majorBidi"/>
          <w:color w:val="000000" w:themeColor="text1"/>
          <w:szCs w:val="22"/>
          <w:lang w:eastAsia="es-MX"/>
        </w:rPr>
      </w:pPr>
      <w:r w:rsidRPr="00B42019">
        <w:rPr>
          <w:rFonts w:ascii="ITC Avant Garde" w:eastAsiaTheme="majorEastAsia" w:hAnsi="ITC Avant Garde" w:cstheme="majorBidi"/>
          <w:color w:val="000000" w:themeColor="text1"/>
          <w:szCs w:val="22"/>
          <w:lang w:eastAsia="es-MX"/>
        </w:rPr>
        <w:t>RESOLUCIÓN MEDIANTE LA CUAL EL PLENO DEL INSTITUTO FEDERAL DE TELECOMUNICACIONES DETERMINA LAS CONDICIONES NO CONVENIDAS DEL SERVICIO MAYORISTA DE</w:t>
      </w:r>
      <w:r w:rsidR="00ED2883" w:rsidRPr="00B42019">
        <w:rPr>
          <w:rFonts w:ascii="ITC Avant Garde" w:eastAsiaTheme="majorEastAsia" w:hAnsi="ITC Avant Garde" w:cstheme="majorBidi"/>
          <w:color w:val="000000" w:themeColor="text1"/>
          <w:szCs w:val="22"/>
          <w:lang w:eastAsia="es-MX"/>
        </w:rPr>
        <w:t xml:space="preserve"> ARRENDAMIENTO DE</w:t>
      </w:r>
      <w:r w:rsidRPr="00B42019">
        <w:rPr>
          <w:rFonts w:ascii="ITC Avant Garde" w:eastAsiaTheme="majorEastAsia" w:hAnsi="ITC Avant Garde" w:cstheme="majorBidi"/>
          <w:color w:val="000000" w:themeColor="text1"/>
          <w:szCs w:val="22"/>
          <w:lang w:eastAsia="es-MX"/>
        </w:rPr>
        <w:t xml:space="preserve"> ENLACES DEDICADOS ENTRE</w:t>
      </w:r>
      <w:r w:rsidR="00E81018" w:rsidRPr="00B42019">
        <w:rPr>
          <w:rFonts w:ascii="ITC Avant Garde" w:eastAsiaTheme="majorEastAsia" w:hAnsi="ITC Avant Garde" w:cstheme="majorBidi"/>
          <w:color w:val="000000" w:themeColor="text1"/>
          <w:szCs w:val="22"/>
          <w:lang w:eastAsia="es-MX"/>
        </w:rPr>
        <w:t xml:space="preserve"> </w:t>
      </w:r>
      <w:r w:rsidR="00F80FC0" w:rsidRPr="00B42019">
        <w:rPr>
          <w:rFonts w:ascii="ITC Avant Garde" w:eastAsiaTheme="majorEastAsia" w:hAnsi="ITC Avant Garde" w:cstheme="majorBidi"/>
          <w:color w:val="000000" w:themeColor="text1"/>
          <w:szCs w:val="22"/>
          <w:lang w:eastAsia="es-MX"/>
        </w:rPr>
        <w:t xml:space="preserve">LAS EMPRESAS </w:t>
      </w:r>
      <w:r w:rsidR="00E81018" w:rsidRPr="00B42019">
        <w:rPr>
          <w:rFonts w:ascii="ITC Avant Garde" w:eastAsiaTheme="majorEastAsia" w:hAnsi="ITC Avant Garde" w:cstheme="majorBidi"/>
          <w:color w:val="000000" w:themeColor="text1"/>
          <w:szCs w:val="22"/>
          <w:lang w:eastAsia="es-MX"/>
        </w:rPr>
        <w:t xml:space="preserve">BESTPHONE, S.A. DE C.V., OPERBES S.A. DE C.V., CABLEMÁS TELECOMUNICACIONES, S.A. DE C.V., CABLE Y COMUNICACIÓN DE CAMPECHE, S.A. DE C.V., CABLEVISIÓN RED, S.A. DE C.V. Y MÉXICO RED DE TELECOMUNICACIONES, S. DE R.L. DE C.V. </w:t>
      </w:r>
      <w:r w:rsidRPr="00B42019">
        <w:rPr>
          <w:rFonts w:ascii="ITC Avant Garde" w:eastAsiaTheme="majorEastAsia" w:hAnsi="ITC Avant Garde" w:cstheme="majorBidi"/>
          <w:color w:val="000000" w:themeColor="text1"/>
          <w:szCs w:val="22"/>
          <w:lang w:eastAsia="es-MX"/>
        </w:rPr>
        <w:t xml:space="preserve">Y </w:t>
      </w:r>
      <w:r w:rsidR="002E65F8" w:rsidRPr="00B42019">
        <w:rPr>
          <w:rFonts w:ascii="ITC Avant Garde" w:eastAsiaTheme="majorEastAsia" w:hAnsi="ITC Avant Garde" w:cstheme="majorBidi"/>
          <w:color w:val="000000" w:themeColor="text1"/>
          <w:szCs w:val="22"/>
          <w:lang w:eastAsia="es-MX"/>
        </w:rPr>
        <w:t xml:space="preserve">LAS EMPRESAS </w:t>
      </w:r>
      <w:r w:rsidRPr="00B42019">
        <w:rPr>
          <w:rFonts w:ascii="ITC Avant Garde" w:eastAsiaTheme="majorEastAsia" w:hAnsi="ITC Avant Garde" w:cstheme="majorBidi"/>
          <w:color w:val="000000" w:themeColor="text1"/>
          <w:szCs w:val="22"/>
          <w:lang w:eastAsia="es-MX"/>
        </w:rPr>
        <w:t xml:space="preserve">TELÉFONOS DE MÉXICO, S.A.B. DE C.V. Y TELÉFONOS DEL NOROESTE, S.A. DE C.V. </w:t>
      </w:r>
      <w:r w:rsidR="00E47CFA" w:rsidRPr="00B42019">
        <w:rPr>
          <w:rFonts w:ascii="ITC Avant Garde" w:eastAsiaTheme="majorEastAsia" w:hAnsi="ITC Avant Garde" w:cstheme="majorBidi"/>
          <w:color w:val="000000" w:themeColor="text1"/>
          <w:szCs w:val="22"/>
          <w:lang w:eastAsia="es-MX"/>
        </w:rPr>
        <w:t xml:space="preserve">APLICABLES </w:t>
      </w:r>
      <w:r w:rsidR="007B1C84" w:rsidRPr="00B42019">
        <w:rPr>
          <w:rFonts w:ascii="ITC Avant Garde" w:eastAsiaTheme="majorEastAsia" w:hAnsi="ITC Avant Garde" w:cstheme="majorBidi"/>
          <w:color w:val="000000" w:themeColor="text1"/>
          <w:szCs w:val="22"/>
          <w:lang w:eastAsia="es-MX"/>
        </w:rPr>
        <w:t xml:space="preserve">DEL </w:t>
      </w:r>
      <w:r w:rsidR="009862AF" w:rsidRPr="00B42019">
        <w:rPr>
          <w:rFonts w:ascii="ITC Avant Garde" w:eastAsiaTheme="majorEastAsia" w:hAnsi="ITC Avant Garde" w:cstheme="majorBidi"/>
          <w:color w:val="000000" w:themeColor="text1"/>
          <w:szCs w:val="22"/>
          <w:lang w:eastAsia="es-MX"/>
        </w:rPr>
        <w:t>19 DE AGOSTO</w:t>
      </w:r>
      <w:r w:rsidR="007226A8" w:rsidRPr="00B42019">
        <w:rPr>
          <w:rFonts w:ascii="ITC Avant Garde" w:eastAsiaTheme="majorEastAsia" w:hAnsi="ITC Avant Garde" w:cstheme="majorBidi"/>
          <w:color w:val="000000" w:themeColor="text1"/>
          <w:szCs w:val="22"/>
          <w:lang w:eastAsia="es-MX"/>
        </w:rPr>
        <w:t xml:space="preserve"> </w:t>
      </w:r>
      <w:r w:rsidR="00C150E8" w:rsidRPr="00B42019">
        <w:rPr>
          <w:rFonts w:ascii="ITC Avant Garde" w:eastAsiaTheme="majorEastAsia" w:hAnsi="ITC Avant Garde" w:cstheme="majorBidi"/>
          <w:color w:val="000000" w:themeColor="text1"/>
          <w:szCs w:val="22"/>
          <w:lang w:eastAsia="es-MX"/>
        </w:rPr>
        <w:t xml:space="preserve">DE 2016 </w:t>
      </w:r>
      <w:r w:rsidR="007B1C84" w:rsidRPr="00B42019">
        <w:rPr>
          <w:rFonts w:ascii="ITC Avant Garde" w:eastAsiaTheme="majorEastAsia" w:hAnsi="ITC Avant Garde" w:cstheme="majorBidi"/>
          <w:color w:val="000000" w:themeColor="text1"/>
          <w:szCs w:val="22"/>
          <w:lang w:eastAsia="es-MX"/>
        </w:rPr>
        <w:t>AL 31 DE DICIEMBRE DE 201</w:t>
      </w:r>
      <w:r w:rsidR="00C150E8" w:rsidRPr="00B42019">
        <w:rPr>
          <w:rFonts w:ascii="ITC Avant Garde" w:eastAsiaTheme="majorEastAsia" w:hAnsi="ITC Avant Garde" w:cstheme="majorBidi"/>
          <w:color w:val="000000" w:themeColor="text1"/>
          <w:szCs w:val="22"/>
          <w:lang w:eastAsia="es-MX"/>
        </w:rPr>
        <w:t>7</w:t>
      </w:r>
      <w:r w:rsidR="007B1C84" w:rsidRPr="00B42019">
        <w:rPr>
          <w:rFonts w:ascii="ITC Avant Garde" w:eastAsiaTheme="majorEastAsia" w:hAnsi="ITC Avant Garde" w:cstheme="majorBidi"/>
          <w:color w:val="000000" w:themeColor="text1"/>
          <w:szCs w:val="22"/>
          <w:lang w:eastAsia="es-MX"/>
        </w:rPr>
        <w:t>.</w:t>
      </w:r>
    </w:p>
    <w:p w14:paraId="486F9A0F" w14:textId="382D5C75" w:rsidR="00B42019" w:rsidRPr="00B42019" w:rsidRDefault="00C25F00" w:rsidP="00B42019">
      <w:pPr>
        <w:pStyle w:val="Ttulo2"/>
        <w:keepLines/>
        <w:spacing w:before="40" w:after="240" w:line="276" w:lineRule="auto"/>
        <w:jc w:val="center"/>
        <w:rPr>
          <w:rFonts w:ascii="ITC Avant Garde" w:eastAsiaTheme="majorEastAsia" w:hAnsi="ITC Avant Garde" w:cstheme="majorBidi"/>
          <w:color w:val="000000" w:themeColor="text1"/>
          <w:szCs w:val="22"/>
        </w:rPr>
      </w:pPr>
      <w:r w:rsidRPr="00B42019">
        <w:rPr>
          <w:rFonts w:ascii="ITC Avant Garde" w:eastAsiaTheme="majorEastAsia" w:hAnsi="ITC Avant Garde" w:cstheme="majorBidi"/>
          <w:color w:val="000000" w:themeColor="text1"/>
          <w:szCs w:val="22"/>
        </w:rPr>
        <w:t>ANTECEDENTES</w:t>
      </w:r>
    </w:p>
    <w:p w14:paraId="58793D98" w14:textId="77777777" w:rsidR="00B42019" w:rsidRDefault="002B3554" w:rsidP="00B42019">
      <w:pPr>
        <w:pStyle w:val="Prrafodelista"/>
        <w:widowControl w:val="0"/>
        <w:numPr>
          <w:ilvl w:val="0"/>
          <w:numId w:val="31"/>
        </w:numPr>
        <w:spacing w:before="240" w:after="160" w:line="276" w:lineRule="auto"/>
        <w:ind w:left="709" w:hanging="425"/>
        <w:rPr>
          <w:rFonts w:ascii="ITC Avant Garde" w:hAnsi="ITC Avant Garde"/>
          <w:bCs/>
        </w:rPr>
      </w:pPr>
      <w:r w:rsidRPr="00FD7BCF">
        <w:rPr>
          <w:rFonts w:ascii="ITC Avant Garde" w:hAnsi="ITC Avant Garde"/>
          <w:b/>
          <w:bCs/>
          <w:szCs w:val="22"/>
        </w:rPr>
        <w:t>Concesiones</w:t>
      </w:r>
      <w:r w:rsidR="006876E0" w:rsidRPr="00FD7BCF">
        <w:rPr>
          <w:rFonts w:ascii="ITC Avant Garde" w:hAnsi="ITC Avant Garde"/>
          <w:b/>
          <w:bCs/>
          <w:szCs w:val="22"/>
        </w:rPr>
        <w:t xml:space="preserve"> de </w:t>
      </w:r>
      <w:proofErr w:type="spellStart"/>
      <w:r w:rsidRPr="00FD7BCF">
        <w:rPr>
          <w:rFonts w:ascii="ITC Avant Garde" w:hAnsi="ITC Avant Garde" w:cs="Arial"/>
          <w:b/>
          <w:bCs/>
          <w:szCs w:val="22"/>
        </w:rPr>
        <w:t>Bestphone</w:t>
      </w:r>
      <w:proofErr w:type="spellEnd"/>
      <w:r w:rsidRPr="00FD7BCF">
        <w:rPr>
          <w:rFonts w:ascii="ITC Avant Garde" w:hAnsi="ITC Avant Garde" w:cs="Arial"/>
          <w:b/>
          <w:bCs/>
          <w:szCs w:val="22"/>
        </w:rPr>
        <w:t xml:space="preserve">, S.A. de C.V., </w:t>
      </w:r>
      <w:proofErr w:type="spellStart"/>
      <w:r w:rsidRPr="00FD7BCF">
        <w:rPr>
          <w:rFonts w:ascii="ITC Avant Garde" w:hAnsi="ITC Avant Garde" w:cs="Arial"/>
          <w:b/>
          <w:bCs/>
          <w:szCs w:val="22"/>
        </w:rPr>
        <w:t>Operbes</w:t>
      </w:r>
      <w:proofErr w:type="spellEnd"/>
      <w:r w:rsidRPr="00FD7BCF">
        <w:rPr>
          <w:rFonts w:ascii="ITC Avant Garde" w:hAnsi="ITC Avant Garde" w:cs="Arial"/>
          <w:b/>
          <w:bCs/>
          <w:szCs w:val="22"/>
        </w:rPr>
        <w:t xml:space="preserve"> S.A. de C.V., </w:t>
      </w:r>
      <w:proofErr w:type="spellStart"/>
      <w:r w:rsidRPr="00FD7BCF">
        <w:rPr>
          <w:rFonts w:ascii="ITC Avant Garde" w:hAnsi="ITC Avant Garde" w:cs="Arial"/>
          <w:b/>
          <w:bCs/>
          <w:szCs w:val="22"/>
        </w:rPr>
        <w:t>Cablemás</w:t>
      </w:r>
      <w:proofErr w:type="spellEnd"/>
      <w:r w:rsidRPr="00FD7BCF">
        <w:rPr>
          <w:rFonts w:ascii="ITC Avant Garde" w:hAnsi="ITC Avant Garde" w:cs="Arial"/>
          <w:b/>
          <w:bCs/>
          <w:szCs w:val="22"/>
        </w:rPr>
        <w:t xml:space="preserve"> Telecomunicaciones, S.A. de C.V., Cable y Comunicación de Campeche, S.A. de C.V. y Cablevisión Red, S.A. de C.V. </w:t>
      </w:r>
      <w:r w:rsidR="006876E0" w:rsidRPr="00FD7BCF">
        <w:rPr>
          <w:rFonts w:ascii="ITC Avant Garde" w:hAnsi="ITC Avant Garde"/>
          <w:b/>
          <w:bCs/>
          <w:szCs w:val="22"/>
        </w:rPr>
        <w:t>(en lo sucesivo,</w:t>
      </w:r>
      <w:r w:rsidRPr="00FD7BCF">
        <w:rPr>
          <w:rFonts w:ascii="ITC Avant Garde" w:hAnsi="ITC Avant Garde"/>
          <w:b/>
          <w:bCs/>
          <w:szCs w:val="22"/>
        </w:rPr>
        <w:t xml:space="preserve"> conjuntamente, “Grupo Televisa</w:t>
      </w:r>
      <w:r w:rsidR="006876E0" w:rsidRPr="00FD7BCF">
        <w:rPr>
          <w:rFonts w:ascii="ITC Avant Garde" w:hAnsi="ITC Avant Garde"/>
          <w:b/>
          <w:bCs/>
          <w:szCs w:val="22"/>
        </w:rPr>
        <w:t>”),</w:t>
      </w:r>
      <w:r w:rsidR="006876E0" w:rsidRPr="00FD7BCF">
        <w:rPr>
          <w:rFonts w:ascii="ITC Avant Garde" w:hAnsi="ITC Avant Garde"/>
          <w:bCs/>
        </w:rPr>
        <w:t xml:space="preserve"> </w:t>
      </w:r>
      <w:r w:rsidR="00402936" w:rsidRPr="00FD7BCF">
        <w:rPr>
          <w:rFonts w:ascii="ITC Avant Garde" w:hAnsi="ITC Avant Garde" w:cs="Arial"/>
          <w:bCs/>
        </w:rPr>
        <w:t>s</w:t>
      </w:r>
      <w:r w:rsidR="00895A65" w:rsidRPr="00FD7BCF">
        <w:rPr>
          <w:rFonts w:ascii="ITC Avant Garde" w:hAnsi="ITC Avant Garde" w:cs="Arial"/>
          <w:bCs/>
        </w:rPr>
        <w:t>on</w:t>
      </w:r>
      <w:r w:rsidR="00402936" w:rsidRPr="00FD7BCF">
        <w:rPr>
          <w:rFonts w:ascii="ITC Avant Garde" w:hAnsi="ITC Avant Garde" w:cs="Arial"/>
          <w:bCs/>
        </w:rPr>
        <w:t xml:space="preserve"> </w:t>
      </w:r>
      <w:r w:rsidR="009661F6" w:rsidRPr="00FD7BCF">
        <w:rPr>
          <w:rFonts w:ascii="ITC Avant Garde" w:hAnsi="ITC Avant Garde" w:cs="Arial"/>
          <w:bCs/>
        </w:rPr>
        <w:t>operadores</w:t>
      </w:r>
      <w:r w:rsidR="00895A65" w:rsidRPr="00FD7BCF">
        <w:rPr>
          <w:rFonts w:ascii="ITC Avant Garde" w:hAnsi="ITC Avant Garde" w:cs="Arial"/>
          <w:bCs/>
        </w:rPr>
        <w:t xml:space="preserve"> </w:t>
      </w:r>
      <w:r w:rsidR="00402936" w:rsidRPr="00FD7BCF">
        <w:rPr>
          <w:rFonts w:ascii="ITC Avant Garde" w:hAnsi="ITC Avant Garde" w:cs="Arial"/>
          <w:bCs/>
        </w:rPr>
        <w:t>que cuenta</w:t>
      </w:r>
      <w:r w:rsidR="00895A65" w:rsidRPr="00FD7BCF">
        <w:rPr>
          <w:rFonts w:ascii="ITC Avant Garde" w:hAnsi="ITC Avant Garde" w:cs="Arial"/>
          <w:bCs/>
        </w:rPr>
        <w:t>n</w:t>
      </w:r>
      <w:r w:rsidR="00402936" w:rsidRPr="00FD7BCF">
        <w:rPr>
          <w:rFonts w:ascii="ITC Avant Garde" w:hAnsi="ITC Avant Garde" w:cs="Arial"/>
          <w:bCs/>
        </w:rPr>
        <w:t xml:space="preserve"> </w:t>
      </w:r>
      <w:r w:rsidR="009661F6" w:rsidRPr="00FD7BCF">
        <w:rPr>
          <w:rFonts w:ascii="ITC Avant Garde" w:hAnsi="ITC Avant Garde" w:cs="Arial"/>
          <w:bCs/>
        </w:rPr>
        <w:t>con una concesión para instalar, operar y explotar una red pública de telecomunicaciones al amparo de los títulos de concesión otorgados conforme a la legislación aplicable e inscritos en el Registro Público de Concesiones del Instituto Federal de Telecomunicaciones (en los sucesivo, el “Instituto”).</w:t>
      </w:r>
    </w:p>
    <w:p w14:paraId="41424388" w14:textId="77777777" w:rsidR="00B42019" w:rsidRDefault="00960191" w:rsidP="00B42019">
      <w:pPr>
        <w:pStyle w:val="Prrafodelista"/>
        <w:widowControl w:val="0"/>
        <w:numPr>
          <w:ilvl w:val="0"/>
          <w:numId w:val="31"/>
        </w:numPr>
        <w:spacing w:before="240" w:after="160" w:line="276" w:lineRule="auto"/>
        <w:ind w:left="709" w:hanging="425"/>
        <w:rPr>
          <w:rFonts w:ascii="ITC Avant Garde" w:hAnsi="ITC Avant Garde"/>
          <w:b/>
          <w:bCs/>
        </w:rPr>
      </w:pPr>
      <w:r w:rsidRPr="00FD7BCF">
        <w:rPr>
          <w:rFonts w:ascii="ITC Avant Garde" w:hAnsi="ITC Avant Garde"/>
          <w:b/>
          <w:bCs/>
        </w:rPr>
        <w:t>Concesión de</w:t>
      </w:r>
      <w:r w:rsidR="002B3554" w:rsidRPr="00FD7BCF">
        <w:rPr>
          <w:rFonts w:ascii="ITC Avant Garde" w:hAnsi="ITC Avant Garde"/>
          <w:b/>
          <w:bCs/>
        </w:rPr>
        <w:t xml:space="preserve"> </w:t>
      </w:r>
      <w:r w:rsidR="002B3554" w:rsidRPr="00FD7BCF">
        <w:rPr>
          <w:rFonts w:ascii="ITC Avant Garde" w:hAnsi="ITC Avant Garde" w:cs="Arial"/>
          <w:b/>
          <w:bCs/>
        </w:rPr>
        <w:t>México Red de Telecomunicaciones, S. de R.L. de C.V</w:t>
      </w:r>
      <w:r w:rsidRPr="00FD7BCF">
        <w:rPr>
          <w:rFonts w:ascii="ITC Avant Garde" w:hAnsi="ITC Avant Garde"/>
          <w:b/>
          <w:bCs/>
        </w:rPr>
        <w:t xml:space="preserve"> </w:t>
      </w:r>
      <w:r w:rsidR="002B3554" w:rsidRPr="00FD7BCF">
        <w:rPr>
          <w:rFonts w:ascii="ITC Avant Garde" w:hAnsi="ITC Avant Garde" w:cs="Arial"/>
          <w:b/>
          <w:bCs/>
        </w:rPr>
        <w:t>(en lo sucesivo, “México Red”</w:t>
      </w:r>
      <w:r w:rsidR="00402936" w:rsidRPr="00FD7BCF">
        <w:rPr>
          <w:rFonts w:ascii="ITC Avant Garde" w:hAnsi="ITC Avant Garde" w:cs="Arial"/>
          <w:b/>
          <w:bCs/>
        </w:rPr>
        <w:t xml:space="preserve">), </w:t>
      </w:r>
      <w:r w:rsidR="009661F6" w:rsidRPr="00FD7BCF">
        <w:rPr>
          <w:rFonts w:ascii="ITC Avant Garde" w:hAnsi="ITC Avant Garde" w:cs="Arial"/>
          <w:bCs/>
        </w:rPr>
        <w:t>es un operador que cuenta con una concesión para instalar, operar y explotar una red pública de telecomunicaciones al amparo de los títulos de concesión otorgados conforme a la legislación aplicable e inscritos en el Registro Público de Concesiones del Instituto.</w:t>
      </w:r>
    </w:p>
    <w:p w14:paraId="07493084" w14:textId="77777777" w:rsidR="00B42019" w:rsidRDefault="00D8151D" w:rsidP="00B42019">
      <w:pPr>
        <w:pStyle w:val="Prrafodelista"/>
        <w:widowControl w:val="0"/>
        <w:numPr>
          <w:ilvl w:val="0"/>
          <w:numId w:val="31"/>
        </w:numPr>
        <w:spacing w:before="240" w:after="160" w:line="276" w:lineRule="auto"/>
        <w:ind w:left="709" w:hanging="425"/>
        <w:rPr>
          <w:rFonts w:ascii="ITC Avant Garde" w:hAnsi="ITC Avant Garde" w:cs="Arial"/>
          <w:b/>
          <w:bCs/>
        </w:rPr>
      </w:pPr>
      <w:r w:rsidRPr="00FD7BCF">
        <w:rPr>
          <w:rFonts w:ascii="ITC Avant Garde" w:hAnsi="ITC Avant Garde"/>
          <w:b/>
          <w:bCs/>
        </w:rPr>
        <w:t xml:space="preserve">Concesión de Teléfonos de México, S.A.B. de C.V. </w:t>
      </w:r>
      <w:r w:rsidRPr="00FD7BCF">
        <w:rPr>
          <w:rFonts w:ascii="ITC Avant Garde" w:hAnsi="ITC Avant Garde" w:cs="Arial"/>
          <w:b/>
          <w:bCs/>
        </w:rPr>
        <w:t xml:space="preserve">(en lo sucesivo, “Telmex), </w:t>
      </w:r>
      <w:r w:rsidRPr="00FD7BCF">
        <w:rPr>
          <w:rFonts w:ascii="ITC Avant Garde" w:hAnsi="ITC Avant Garde" w:cs="Arial"/>
          <w:bCs/>
        </w:rPr>
        <w:t>es un operador  que cuenta con una concesión para construir, operar y explotar una red de servicio telefónico público al amparo del título de concesión otorgado conforme a la legislación aplicable e inscrito en el Registro Público de Concesiones del Instituto.</w:t>
      </w:r>
    </w:p>
    <w:p w14:paraId="26EA79F9" w14:textId="77777777" w:rsidR="00B42019" w:rsidRDefault="00D8151D" w:rsidP="00B42019">
      <w:pPr>
        <w:pStyle w:val="Prrafodelista"/>
        <w:widowControl w:val="0"/>
        <w:numPr>
          <w:ilvl w:val="0"/>
          <w:numId w:val="31"/>
        </w:numPr>
        <w:spacing w:before="240" w:after="160" w:line="276" w:lineRule="auto"/>
        <w:ind w:left="709" w:hanging="425"/>
        <w:rPr>
          <w:rFonts w:ascii="ITC Avant Garde" w:hAnsi="ITC Avant Garde" w:cs="Arial"/>
          <w:b/>
          <w:bCs/>
        </w:rPr>
      </w:pPr>
      <w:r w:rsidRPr="00FD7BCF">
        <w:rPr>
          <w:rFonts w:ascii="ITC Avant Garde" w:hAnsi="ITC Avant Garde"/>
          <w:b/>
          <w:bCs/>
        </w:rPr>
        <w:t xml:space="preserve">Concesión de Teléfonos del Noroeste, S.A. de C.V. </w:t>
      </w:r>
      <w:r w:rsidRPr="00FD7BCF">
        <w:rPr>
          <w:rFonts w:ascii="ITC Avant Garde" w:hAnsi="ITC Avant Garde"/>
          <w:b/>
        </w:rPr>
        <w:t>(en lo sucesivo, “</w:t>
      </w:r>
      <w:proofErr w:type="spellStart"/>
      <w:r w:rsidRPr="00FD7BCF">
        <w:rPr>
          <w:rFonts w:ascii="ITC Avant Garde" w:hAnsi="ITC Avant Garde"/>
          <w:b/>
        </w:rPr>
        <w:t>Telnor</w:t>
      </w:r>
      <w:proofErr w:type="spellEnd"/>
      <w:r w:rsidRPr="00FD7BCF">
        <w:rPr>
          <w:rFonts w:ascii="ITC Avant Garde" w:hAnsi="ITC Avant Garde"/>
          <w:b/>
        </w:rPr>
        <w:t>”),</w:t>
      </w:r>
      <w:r w:rsidRPr="00FD7BCF">
        <w:rPr>
          <w:rFonts w:ascii="ITC Avant Garde" w:hAnsi="ITC Avant Garde"/>
        </w:rPr>
        <w:t xml:space="preserve"> </w:t>
      </w:r>
      <w:r w:rsidRPr="00FD7BCF">
        <w:rPr>
          <w:rFonts w:ascii="ITC Avant Garde" w:hAnsi="ITC Avant Garde" w:cs="Arial"/>
          <w:bCs/>
        </w:rPr>
        <w:t>es un operador  que cuenta con una concesión para construir, operar y explotar una red de servicio telefónico público al amparo del título de concesión otorgado conforme a la legislación aplicable e inscrito en el Registro Público de Concesiones del Instituto.</w:t>
      </w:r>
    </w:p>
    <w:p w14:paraId="0C4FF558" w14:textId="35A8C716" w:rsidR="00B42019" w:rsidRDefault="00C76455" w:rsidP="00B42019">
      <w:pPr>
        <w:pStyle w:val="Prrafodelista"/>
        <w:widowControl w:val="0"/>
        <w:numPr>
          <w:ilvl w:val="0"/>
          <w:numId w:val="31"/>
        </w:numPr>
        <w:spacing w:before="240" w:after="160" w:line="276" w:lineRule="auto"/>
        <w:ind w:left="709" w:hanging="425"/>
        <w:rPr>
          <w:rFonts w:ascii="ITC Avant Garde" w:hAnsi="ITC Avant Garde"/>
          <w:bCs/>
        </w:rPr>
      </w:pPr>
      <w:r w:rsidRPr="00FD7BCF">
        <w:rPr>
          <w:rFonts w:ascii="ITC Avant Garde" w:hAnsi="ITC Avant Garde"/>
          <w:b/>
          <w:bCs/>
        </w:rPr>
        <w:t xml:space="preserve">Decreto de Reforma Constitucional. </w:t>
      </w:r>
      <w:r w:rsidRPr="00FD7BCF">
        <w:rPr>
          <w:rFonts w:ascii="ITC Avant Garde" w:hAnsi="ITC Avant Garde"/>
          <w:bCs/>
        </w:rPr>
        <w:t>El 11 de junio de 2013, se publicó en el  D</w:t>
      </w:r>
      <w:r w:rsidR="00C150E8" w:rsidRPr="00FD7BCF">
        <w:rPr>
          <w:rFonts w:ascii="ITC Avant Garde" w:hAnsi="ITC Avant Garde"/>
          <w:bCs/>
        </w:rPr>
        <w:t xml:space="preserve">iario </w:t>
      </w:r>
      <w:r w:rsidR="003C5C93" w:rsidRPr="00FD7BCF">
        <w:rPr>
          <w:rFonts w:ascii="ITC Avant Garde" w:hAnsi="ITC Avant Garde"/>
          <w:bCs/>
        </w:rPr>
        <w:t>Oficial</w:t>
      </w:r>
      <w:r w:rsidR="00C150E8" w:rsidRPr="00FD7BCF">
        <w:rPr>
          <w:rFonts w:ascii="ITC Avant Garde" w:hAnsi="ITC Avant Garde"/>
          <w:bCs/>
        </w:rPr>
        <w:t xml:space="preserve"> de la </w:t>
      </w:r>
      <w:r w:rsidRPr="00FD7BCF">
        <w:rPr>
          <w:rFonts w:ascii="ITC Avant Garde" w:hAnsi="ITC Avant Garde"/>
          <w:bCs/>
        </w:rPr>
        <w:t>F</w:t>
      </w:r>
      <w:r w:rsidR="00C150E8" w:rsidRPr="00FD7BCF">
        <w:rPr>
          <w:rFonts w:ascii="ITC Avant Garde" w:hAnsi="ITC Avant Garde"/>
          <w:bCs/>
        </w:rPr>
        <w:t>ederación (en lo sucesivo, el “DOF”)</w:t>
      </w:r>
      <w:r w:rsidRPr="00FD7BCF">
        <w:rPr>
          <w:rFonts w:ascii="ITC Avant Garde" w:hAnsi="ITC Avant Garde"/>
          <w:bCs/>
        </w:rPr>
        <w:t xml:space="preserve"> el “</w:t>
      </w:r>
      <w:r w:rsidRPr="00FD7BCF">
        <w:rPr>
          <w:rFonts w:ascii="ITC Avant Garde" w:hAnsi="ITC Avant Garde"/>
          <w:bCs/>
          <w:i/>
        </w:rPr>
        <w:t xml:space="preserve">DECRETO por el que se reforman y adicionan diversas disposiciones de los artículos 6o., 7o., 27, 28, 73, 78, </w:t>
      </w:r>
      <w:r w:rsidRPr="00FD7BCF">
        <w:rPr>
          <w:rFonts w:ascii="ITC Avant Garde" w:hAnsi="ITC Avant Garde"/>
          <w:bCs/>
          <w:i/>
        </w:rPr>
        <w:lastRenderedPageBreak/>
        <w:t>94 y 105 de la Constitución Política de los Estados Unidos Mexicanos, en materia de telecomunicaciones</w:t>
      </w:r>
      <w:r w:rsidRPr="00FD7BCF">
        <w:rPr>
          <w:rFonts w:ascii="ITC Avant Garde" w:hAnsi="ITC Avant Garde"/>
          <w:bCs/>
        </w:rPr>
        <w:t>” (en lo sucesivo, el “Decreto”),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46A0D4F3" w14:textId="77777777" w:rsidR="00B42019" w:rsidRDefault="005E1EE9" w:rsidP="00B42019">
      <w:pPr>
        <w:pStyle w:val="Prrafodelista"/>
        <w:widowControl w:val="0"/>
        <w:numPr>
          <w:ilvl w:val="0"/>
          <w:numId w:val="31"/>
        </w:numPr>
        <w:spacing w:before="240" w:after="160" w:line="276" w:lineRule="auto"/>
        <w:ind w:left="709" w:hanging="425"/>
        <w:rPr>
          <w:rFonts w:ascii="ITC Avant Garde" w:hAnsi="ITC Avant Garde"/>
          <w:bCs/>
        </w:rPr>
      </w:pPr>
      <w:r w:rsidRPr="00FD7BCF">
        <w:rPr>
          <w:rFonts w:ascii="ITC Avant Garde" w:hAnsi="ITC Avant Garde"/>
          <w:b/>
          <w:bCs/>
        </w:rPr>
        <w:t>Determinación del Agente Económico Preponderante</w:t>
      </w:r>
      <w:r w:rsidRPr="00FD7BCF">
        <w:rPr>
          <w:rFonts w:ascii="ITC Avant Garde" w:hAnsi="ITC Avant Garde"/>
          <w:bCs/>
        </w:rPr>
        <w:t>. El 6 de marzo de 2014 el Pleno del Instituto, en su V Sesión Extraordinaria aprobó la “</w:t>
      </w:r>
      <w:r w:rsidRPr="00FD7BCF">
        <w:rPr>
          <w:rFonts w:ascii="ITC Avant Garde" w:hAnsi="ITC Avant Garde"/>
          <w:bCs/>
          <w:i/>
        </w:rPr>
        <w:t>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w:t>
      </w:r>
      <w:r w:rsidRPr="00FD7BCF">
        <w:rPr>
          <w:rFonts w:ascii="ITC Avant Garde" w:hAnsi="ITC Avant Garde"/>
          <w:bCs/>
        </w:rPr>
        <w:t>”, aprobada mediante Acuerdo P/IFT/EXT/060314/76 (en lo sucesivo, la “Resolución del AEP”).</w:t>
      </w:r>
    </w:p>
    <w:p w14:paraId="5EADDBC5" w14:textId="77777777" w:rsidR="00B42019" w:rsidRDefault="005E1EE9" w:rsidP="00B42019">
      <w:pPr>
        <w:pStyle w:val="Prrafodelista"/>
        <w:spacing w:before="240" w:after="160" w:line="276" w:lineRule="auto"/>
        <w:ind w:left="709" w:hanging="1"/>
        <w:rPr>
          <w:rFonts w:ascii="ITC Avant Garde" w:hAnsi="ITC Avant Garde"/>
          <w:bCs/>
        </w:rPr>
      </w:pPr>
      <w:r w:rsidRPr="00FD7BCF">
        <w:rPr>
          <w:rFonts w:ascii="ITC Avant Garde" w:hAnsi="ITC Avant Garde"/>
          <w:bCs/>
        </w:rPr>
        <w:t>Dentro del Acuerdo P/IFT/EXT/060314/76 como anexo 2 el Pleno del Instituto aprobó las “</w:t>
      </w:r>
      <w:r w:rsidRPr="00FD7BCF">
        <w:rPr>
          <w:rFonts w:ascii="ITC Avant Garde" w:hAnsi="ITC Avant Garde"/>
          <w:bCs/>
          <w:i/>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Pr="00FD7BCF">
        <w:rPr>
          <w:rFonts w:ascii="ITC Avant Garde" w:hAnsi="ITC Avant Garde"/>
          <w:bCs/>
        </w:rPr>
        <w:t>” (en lo sucesivo, las “Medidas Fijas”).</w:t>
      </w:r>
    </w:p>
    <w:p w14:paraId="70968739" w14:textId="0C561D47" w:rsidR="00B42019" w:rsidRDefault="00887416" w:rsidP="00B42019">
      <w:pPr>
        <w:pStyle w:val="Prrafodelista"/>
        <w:widowControl w:val="0"/>
        <w:numPr>
          <w:ilvl w:val="0"/>
          <w:numId w:val="31"/>
        </w:numPr>
        <w:spacing w:before="240" w:after="160" w:line="276" w:lineRule="auto"/>
        <w:ind w:left="709" w:hanging="425"/>
        <w:rPr>
          <w:rFonts w:ascii="ITC Avant Garde" w:hAnsi="ITC Avant Garde"/>
          <w:bCs/>
        </w:rPr>
      </w:pPr>
      <w:r w:rsidRPr="00FD7BCF">
        <w:rPr>
          <w:rFonts w:ascii="ITC Avant Garde" w:hAnsi="ITC Avant Garde"/>
          <w:b/>
          <w:bCs/>
        </w:rPr>
        <w:t>Publicación de la Ley Federal de Telecomunicaciones y Radiodifusión</w:t>
      </w:r>
      <w:r w:rsidRPr="00FD7BCF">
        <w:rPr>
          <w:rFonts w:ascii="ITC Avant Garde" w:hAnsi="ITC Avant Garde"/>
          <w:bCs/>
        </w:rPr>
        <w:t>. El 14 de julio de 2014, se publicó en el DOF el “</w:t>
      </w:r>
      <w:r w:rsidRPr="00FD7BCF">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D7BCF">
        <w:rPr>
          <w:rFonts w:ascii="ITC Avant Garde" w:hAnsi="ITC Avant Garde"/>
          <w:bCs/>
        </w:rPr>
        <w:t xml:space="preserve">” (en lo sucesivo, el “Decreto de Ley”), entrando en vigor la Ley Federal de Telecomunicaciones y </w:t>
      </w:r>
      <w:r w:rsidRPr="00FD7BCF">
        <w:rPr>
          <w:rFonts w:ascii="ITC Avant Garde" w:hAnsi="ITC Avant Garde"/>
          <w:bCs/>
        </w:rPr>
        <w:lastRenderedPageBreak/>
        <w:t>Radiodifusión (en lo sucesivo, la “</w:t>
      </w:r>
      <w:proofErr w:type="spellStart"/>
      <w:r w:rsidRPr="00FD7BCF">
        <w:rPr>
          <w:rFonts w:ascii="ITC Avant Garde" w:hAnsi="ITC Avant Garde"/>
          <w:bCs/>
        </w:rPr>
        <w:t>LFTyR</w:t>
      </w:r>
      <w:proofErr w:type="spellEnd"/>
      <w:r w:rsidRPr="00FD7BCF">
        <w:rPr>
          <w:rFonts w:ascii="ITC Avant Garde" w:hAnsi="ITC Avant Garde"/>
          <w:bCs/>
        </w:rPr>
        <w:t>”) el 13 de agosto del 2014, de conformidad a lo establecido en el artículo Primero Transitorio del citado Decreto de Ley.</w:t>
      </w:r>
    </w:p>
    <w:p w14:paraId="200766F9" w14:textId="77777777" w:rsidR="00B42019" w:rsidRDefault="009F2DED" w:rsidP="00B42019">
      <w:pPr>
        <w:pStyle w:val="Prrafodelista"/>
        <w:widowControl w:val="0"/>
        <w:numPr>
          <w:ilvl w:val="0"/>
          <w:numId w:val="31"/>
        </w:numPr>
        <w:spacing w:before="240" w:after="160" w:line="276" w:lineRule="auto"/>
        <w:ind w:left="709" w:hanging="425"/>
        <w:rPr>
          <w:rFonts w:ascii="ITC Avant Garde" w:hAnsi="ITC Avant Garde"/>
          <w:bCs/>
        </w:rPr>
      </w:pPr>
      <w:bookmarkStart w:id="0" w:name="antecedente6"/>
      <w:r w:rsidRPr="00FD7BCF">
        <w:rPr>
          <w:rFonts w:ascii="ITC Avant Garde" w:hAnsi="ITC Avant Garde"/>
          <w:b/>
          <w:bCs/>
        </w:rPr>
        <w:t xml:space="preserve">Publicación del Estatuto Orgánico del Instituto Federal de Telecomunicaciones. </w:t>
      </w:r>
      <w:r w:rsidRPr="00FD7BCF">
        <w:rPr>
          <w:rFonts w:ascii="ITC Avant Garde" w:hAnsi="ITC Avant Garde"/>
          <w:bCs/>
        </w:rPr>
        <w:t>El 4 de septiembre de 2014 se publicó en el DOF el “</w:t>
      </w:r>
      <w:r w:rsidRPr="00FD7BCF">
        <w:rPr>
          <w:rFonts w:ascii="ITC Avant Garde" w:hAnsi="ITC Avant Garde"/>
          <w:bCs/>
          <w:i/>
        </w:rPr>
        <w:t>ESTATUTO Orgánico del Instituto Federal de Telecomunicaciones</w:t>
      </w:r>
      <w:r w:rsidRPr="00FD7BCF">
        <w:rPr>
          <w:rFonts w:ascii="ITC Avant Garde" w:hAnsi="ITC Avant Garde"/>
          <w:bCs/>
        </w:rPr>
        <w:t>” (en lo sucesivo, el “Estatuto”), mismo que entró en vigor el 26 de septiembre de 2014 y fue mod</w:t>
      </w:r>
      <w:r w:rsidR="00C150E8" w:rsidRPr="00FD7BCF">
        <w:rPr>
          <w:rFonts w:ascii="ITC Avant Garde" w:hAnsi="ITC Avant Garde"/>
          <w:bCs/>
        </w:rPr>
        <w:t>ificado por última vez el 17 de octubre de 2016</w:t>
      </w:r>
      <w:r w:rsidRPr="00FD7BCF">
        <w:rPr>
          <w:rFonts w:ascii="ITC Avant Garde" w:hAnsi="ITC Avant Garde"/>
          <w:bCs/>
        </w:rPr>
        <w:t>.</w:t>
      </w:r>
      <w:bookmarkEnd w:id="0"/>
    </w:p>
    <w:p w14:paraId="2257880E" w14:textId="77777777" w:rsidR="00B42019" w:rsidRDefault="003C5C93" w:rsidP="00B42019">
      <w:pPr>
        <w:pStyle w:val="Prrafodelista"/>
        <w:widowControl w:val="0"/>
        <w:numPr>
          <w:ilvl w:val="0"/>
          <w:numId w:val="31"/>
        </w:numPr>
        <w:spacing w:before="240" w:after="160" w:line="276" w:lineRule="auto"/>
        <w:ind w:left="709" w:hanging="425"/>
        <w:rPr>
          <w:rFonts w:ascii="ITC Avant Garde" w:hAnsi="ITC Avant Garde" w:cs="Arial"/>
          <w:bCs/>
          <w:i/>
        </w:rPr>
      </w:pPr>
      <w:r w:rsidRPr="00FD7BCF">
        <w:rPr>
          <w:rFonts w:ascii="ITC Avant Garde" w:hAnsi="ITC Avant Garde"/>
          <w:b/>
          <w:bCs/>
        </w:rPr>
        <w:t>Ofertas</w:t>
      </w:r>
      <w:r w:rsidR="009F2DED" w:rsidRPr="00FD7BCF">
        <w:rPr>
          <w:rFonts w:ascii="ITC Avant Garde" w:hAnsi="ITC Avant Garde"/>
          <w:b/>
          <w:bCs/>
        </w:rPr>
        <w:t xml:space="preserve"> de Referencia. </w:t>
      </w:r>
      <w:r w:rsidR="009F2DED" w:rsidRPr="00FD7BCF">
        <w:rPr>
          <w:rFonts w:ascii="ITC Avant Garde" w:hAnsi="ITC Avant Garde"/>
          <w:bCs/>
        </w:rPr>
        <w:t xml:space="preserve">El </w:t>
      </w:r>
      <w:r w:rsidR="00592D0F" w:rsidRPr="00FD7BCF">
        <w:rPr>
          <w:rFonts w:ascii="ITC Avant Garde" w:hAnsi="ITC Avant Garde"/>
          <w:bCs/>
        </w:rPr>
        <w:t>24</w:t>
      </w:r>
      <w:r w:rsidR="009F2DED" w:rsidRPr="00FD7BCF">
        <w:rPr>
          <w:rFonts w:ascii="ITC Avant Garde" w:hAnsi="ITC Avant Garde"/>
          <w:bCs/>
        </w:rPr>
        <w:t xml:space="preserve"> de noviembre de 201</w:t>
      </w:r>
      <w:r w:rsidR="00592D0F" w:rsidRPr="00FD7BCF">
        <w:rPr>
          <w:rFonts w:ascii="ITC Avant Garde" w:hAnsi="ITC Avant Garde"/>
          <w:bCs/>
        </w:rPr>
        <w:t>5</w:t>
      </w:r>
      <w:r w:rsidR="009F2DED" w:rsidRPr="00FD7BCF">
        <w:rPr>
          <w:rFonts w:ascii="ITC Avant Garde" w:hAnsi="ITC Avant Garde"/>
          <w:bCs/>
        </w:rPr>
        <w:t xml:space="preserve">, el Pleno del Instituto en su </w:t>
      </w:r>
      <w:r w:rsidR="00592D0F" w:rsidRPr="00FD7BCF">
        <w:rPr>
          <w:rFonts w:ascii="ITC Avant Garde" w:hAnsi="ITC Avant Garde"/>
          <w:bCs/>
        </w:rPr>
        <w:t>XLVI</w:t>
      </w:r>
      <w:r w:rsidR="009F2DED" w:rsidRPr="00FD7BCF">
        <w:rPr>
          <w:rFonts w:ascii="ITC Avant Garde" w:hAnsi="ITC Avant Garde"/>
          <w:bCs/>
        </w:rPr>
        <w:t xml:space="preserve"> Sesión </w:t>
      </w:r>
      <w:r w:rsidRPr="00FD7BCF">
        <w:rPr>
          <w:rFonts w:ascii="ITC Avant Garde" w:hAnsi="ITC Avant Garde"/>
          <w:bCs/>
        </w:rPr>
        <w:t>Extraordinaria</w:t>
      </w:r>
      <w:r w:rsidR="009F2DED" w:rsidRPr="00FD7BCF">
        <w:rPr>
          <w:rFonts w:ascii="ITC Avant Garde" w:hAnsi="ITC Avant Garde"/>
          <w:bCs/>
        </w:rPr>
        <w:t xml:space="preserve"> mediante Acuerdo</w:t>
      </w:r>
      <w:r w:rsidR="00A01BA3" w:rsidRPr="00FD7BCF">
        <w:rPr>
          <w:rFonts w:ascii="ITC Avant Garde" w:hAnsi="ITC Avant Garde"/>
          <w:bCs/>
        </w:rPr>
        <w:t xml:space="preserve">s </w:t>
      </w:r>
      <w:r w:rsidR="009F2DED" w:rsidRPr="00FD7BCF">
        <w:rPr>
          <w:rFonts w:ascii="ITC Avant Garde" w:hAnsi="ITC Avant Garde"/>
          <w:bCs/>
        </w:rPr>
        <w:t xml:space="preserve"> P/IFT/</w:t>
      </w:r>
      <w:r w:rsidR="00151154" w:rsidRPr="00FD7BCF">
        <w:rPr>
          <w:rFonts w:ascii="ITC Avant Garde" w:hAnsi="ITC Avant Garde"/>
          <w:bCs/>
        </w:rPr>
        <w:t>EXT/241115/169 y</w:t>
      </w:r>
      <w:r w:rsidR="00592D0F" w:rsidRPr="00FD7BCF">
        <w:rPr>
          <w:rFonts w:ascii="ITC Avant Garde" w:hAnsi="ITC Avant Garde"/>
          <w:bCs/>
        </w:rPr>
        <w:t xml:space="preserve"> P/IFT/EXT/241115/170</w:t>
      </w:r>
      <w:r w:rsidR="009F2DED" w:rsidRPr="00FD7BCF">
        <w:rPr>
          <w:rFonts w:ascii="ITC Avant Garde" w:hAnsi="ITC Avant Garde"/>
          <w:bCs/>
        </w:rPr>
        <w:t xml:space="preserve">, aprobó </w:t>
      </w:r>
      <w:r w:rsidR="009F2DED" w:rsidRPr="00FD7BCF">
        <w:rPr>
          <w:rFonts w:ascii="ITC Avant Garde" w:hAnsi="ITC Avant Garde"/>
          <w:bCs/>
          <w:i/>
        </w:rPr>
        <w:t>la</w:t>
      </w:r>
      <w:r w:rsidR="00592D0F" w:rsidRPr="00FD7BCF">
        <w:rPr>
          <w:rFonts w:ascii="ITC Avant Garde" w:hAnsi="ITC Avant Garde"/>
          <w:bCs/>
          <w:i/>
        </w:rPr>
        <w:t>s</w:t>
      </w:r>
      <w:r w:rsidR="009F2DED" w:rsidRPr="00FD7BCF">
        <w:rPr>
          <w:rFonts w:ascii="ITC Avant Garde" w:hAnsi="ITC Avant Garde"/>
          <w:bCs/>
          <w:i/>
        </w:rPr>
        <w:t xml:space="preserve"> </w:t>
      </w:r>
      <w:r w:rsidR="003370BC" w:rsidRPr="00FD7BCF">
        <w:rPr>
          <w:rFonts w:ascii="ITC Avant Garde" w:hAnsi="ITC Avant Garde" w:cs="Arial"/>
          <w:b/>
          <w:bCs/>
          <w:i/>
        </w:rPr>
        <w:t>“</w:t>
      </w:r>
      <w:r w:rsidR="003370BC" w:rsidRPr="00FD7BCF">
        <w:rPr>
          <w:rFonts w:ascii="ITC Avant Garde" w:hAnsi="ITC Avant Garde" w:cs="Arial"/>
          <w:bCs/>
          <w:i/>
        </w:rPr>
        <w:t>RESOLUCIÓN MEDIANTE LA CUAL EL PLENO DEL INSTITUTO FEDERAL DE TELECOMUNICACIONES MODIFICA Y AUTORIZA AL AGENTE ECONÓMICO PREPONDERANTE LOS TÉRMINOS Y CONDICIONES DE LA OFERTA DE REFERENCIA PARA LA PRESTACIÓN DEL SERVICIO MAYORISTA DE ARRENDAMIENTO DE ENLACES DEDICADOS LOCALES, ENTRE LOCALIDADES Y DE LARGA DISTANCIA INTERNAGIONAL PARA CONCESIONARIOS DE REDES PÚBLICAS DE TELECOMUNICACIONES PRESENTADA POR TELÉFONOS DE MÉXICO, S.A.B. DE C.V., APLICABLE DEL 1 DE ENERO DE 2016 AL 31 DE DICIEMBRE DE 2017” y “RESOLUCIÓN MEDIANTE LA CUAL EL PLENO DEL INSTITUTO FEDERAL DE TELECOMUNICACIONES MODIFICA Y AUTORIZA AL AGENTE ECONÓMICO PREPONDERANTE LOS TÉRMINOS Y CONDICIONES DE LA OFERTA DE REFERENCIA PARA LA PRESTACIÓN DEL SERVICIO MAYORISTA DE ARRENDAMIENTO DE ENLACES DEDICADOS LOCALES, ENTRE LOCALIDADES Y DE LARGA DISTANCIA INTERNAGIONAL PARA CONCESIONARIOS DE REDES PÚBLICAS DE TELECOMUNICACIONES PRESENTADA POR TELÉFONOS D</w:t>
      </w:r>
      <w:r w:rsidR="003B3DFE" w:rsidRPr="00FD7BCF">
        <w:rPr>
          <w:rFonts w:ascii="ITC Avant Garde" w:hAnsi="ITC Avant Garde" w:cs="Arial"/>
          <w:bCs/>
          <w:i/>
        </w:rPr>
        <w:t>E</w:t>
      </w:r>
      <w:r w:rsidR="003370BC" w:rsidRPr="00FD7BCF">
        <w:rPr>
          <w:rFonts w:ascii="ITC Avant Garde" w:hAnsi="ITC Avant Garde" w:cs="Arial"/>
          <w:bCs/>
          <w:i/>
        </w:rPr>
        <w:t>L NOROESTE, S.A. DE C.V., APLICABLE DEL 1 DE ENERO DE 2016 AL 31 DE DICIEMBRE DE 2017”</w:t>
      </w:r>
      <w:r w:rsidR="00D8151D" w:rsidRPr="00FD7BCF">
        <w:rPr>
          <w:rFonts w:ascii="ITC Avant Garde" w:hAnsi="ITC Avant Garde" w:cs="Arial"/>
          <w:bCs/>
          <w:i/>
        </w:rPr>
        <w:t xml:space="preserve"> </w:t>
      </w:r>
      <w:r w:rsidR="00D8151D" w:rsidRPr="00FD7BCF">
        <w:rPr>
          <w:rFonts w:ascii="ITC Avant Garde" w:hAnsi="ITC Avant Garde" w:cs="Arial"/>
          <w:bCs/>
        </w:rPr>
        <w:t>(en lo sucesivo, las “Ofertas de Referencia”).</w:t>
      </w:r>
    </w:p>
    <w:p w14:paraId="3136DB1D" w14:textId="77777777" w:rsidR="00B42019" w:rsidRDefault="00452B16" w:rsidP="00B42019">
      <w:pPr>
        <w:pStyle w:val="Prrafodelista"/>
        <w:widowControl w:val="0"/>
        <w:numPr>
          <w:ilvl w:val="0"/>
          <w:numId w:val="31"/>
        </w:numPr>
        <w:spacing w:before="240" w:after="160" w:line="276" w:lineRule="auto"/>
        <w:ind w:left="709" w:hanging="425"/>
        <w:rPr>
          <w:rFonts w:ascii="ITC Avant Garde" w:hAnsi="ITC Avant Garde"/>
          <w:bCs/>
        </w:rPr>
      </w:pPr>
      <w:r w:rsidRPr="00FD7BCF">
        <w:rPr>
          <w:rFonts w:ascii="ITC Avant Garde" w:hAnsi="ITC Avant Garde"/>
          <w:b/>
          <w:bCs/>
        </w:rPr>
        <w:t>Procedimiento de resolución de condiciones no convenidas</w:t>
      </w:r>
      <w:r w:rsidR="00E81018" w:rsidRPr="00FD7BCF">
        <w:rPr>
          <w:rFonts w:ascii="ITC Avant Garde" w:hAnsi="ITC Avant Garde"/>
          <w:bCs/>
        </w:rPr>
        <w:t xml:space="preserve">. El </w:t>
      </w:r>
      <w:r w:rsidR="00C150E8" w:rsidRPr="00FD7BCF">
        <w:rPr>
          <w:rFonts w:ascii="ITC Avant Garde" w:hAnsi="ITC Avant Garde"/>
          <w:bCs/>
        </w:rPr>
        <w:t xml:space="preserve">15 y </w:t>
      </w:r>
      <w:r w:rsidR="00E81018" w:rsidRPr="00FD7BCF">
        <w:rPr>
          <w:rFonts w:ascii="ITC Avant Garde" w:hAnsi="ITC Avant Garde"/>
          <w:bCs/>
        </w:rPr>
        <w:t>16 de junio de 2016</w:t>
      </w:r>
      <w:r w:rsidR="009F2DED" w:rsidRPr="00FD7BCF">
        <w:rPr>
          <w:rFonts w:ascii="ITC Avant Garde" w:hAnsi="ITC Avant Garde"/>
          <w:bCs/>
        </w:rPr>
        <w:t xml:space="preserve">, </w:t>
      </w:r>
      <w:r w:rsidR="00E81018" w:rsidRPr="00FD7BCF">
        <w:rPr>
          <w:rFonts w:ascii="ITC Avant Garde" w:hAnsi="ITC Avant Garde"/>
          <w:bCs/>
        </w:rPr>
        <w:t xml:space="preserve">los </w:t>
      </w:r>
      <w:r w:rsidR="003B3DFE" w:rsidRPr="00FD7BCF">
        <w:rPr>
          <w:rFonts w:ascii="ITC Avant Garde" w:hAnsi="ITC Avant Garde"/>
          <w:bCs/>
        </w:rPr>
        <w:t>representantes</w:t>
      </w:r>
      <w:r w:rsidR="00E81018" w:rsidRPr="00FD7BCF">
        <w:rPr>
          <w:rFonts w:ascii="ITC Avant Garde" w:hAnsi="ITC Avant Garde"/>
          <w:bCs/>
        </w:rPr>
        <w:t xml:space="preserve"> </w:t>
      </w:r>
      <w:r w:rsidR="009F2DED" w:rsidRPr="00FD7BCF">
        <w:rPr>
          <w:rFonts w:ascii="ITC Avant Garde" w:hAnsi="ITC Avant Garde"/>
          <w:bCs/>
        </w:rPr>
        <w:t>legal</w:t>
      </w:r>
      <w:r w:rsidR="00E81018" w:rsidRPr="00FD7BCF">
        <w:rPr>
          <w:rFonts w:ascii="ITC Avant Garde" w:hAnsi="ITC Avant Garde"/>
          <w:bCs/>
        </w:rPr>
        <w:t>es</w:t>
      </w:r>
      <w:r w:rsidR="009F2DED" w:rsidRPr="00FD7BCF">
        <w:rPr>
          <w:rFonts w:ascii="ITC Avant Garde" w:hAnsi="ITC Avant Garde"/>
          <w:bCs/>
        </w:rPr>
        <w:t xml:space="preserve"> de </w:t>
      </w:r>
      <w:r w:rsidR="00E81018" w:rsidRPr="00FD7BCF">
        <w:rPr>
          <w:rFonts w:ascii="ITC Avant Garde" w:hAnsi="ITC Avant Garde"/>
          <w:bCs/>
        </w:rPr>
        <w:t>Grupo Televisa y México Red presentaron</w:t>
      </w:r>
      <w:r w:rsidR="009F2DED" w:rsidRPr="00FD7BCF">
        <w:rPr>
          <w:rFonts w:ascii="ITC Avant Garde" w:hAnsi="ITC Avant Garde"/>
          <w:bCs/>
        </w:rPr>
        <w:t xml:space="preserve"> ante el Instituto, e</w:t>
      </w:r>
      <w:r w:rsidR="002B3554" w:rsidRPr="00FD7BCF">
        <w:rPr>
          <w:rFonts w:ascii="ITC Avant Garde" w:hAnsi="ITC Avant Garde"/>
          <w:bCs/>
        </w:rPr>
        <w:t>scrito</w:t>
      </w:r>
      <w:r w:rsidR="00C150E8" w:rsidRPr="00FD7BCF">
        <w:rPr>
          <w:rFonts w:ascii="ITC Avant Garde" w:hAnsi="ITC Avant Garde"/>
          <w:bCs/>
        </w:rPr>
        <w:t>s</w:t>
      </w:r>
      <w:r w:rsidR="002B3554" w:rsidRPr="00FD7BCF">
        <w:rPr>
          <w:rFonts w:ascii="ITC Avant Garde" w:hAnsi="ITC Avant Garde"/>
          <w:bCs/>
        </w:rPr>
        <w:t xml:space="preserve"> mediante </w:t>
      </w:r>
      <w:r w:rsidR="00C150E8" w:rsidRPr="00FD7BCF">
        <w:rPr>
          <w:rFonts w:ascii="ITC Avant Garde" w:hAnsi="ITC Avant Garde"/>
          <w:bCs/>
        </w:rPr>
        <w:t>los</w:t>
      </w:r>
      <w:r w:rsidR="002B3554" w:rsidRPr="00FD7BCF">
        <w:rPr>
          <w:rFonts w:ascii="ITC Avant Garde" w:hAnsi="ITC Avant Garde"/>
          <w:bCs/>
        </w:rPr>
        <w:t xml:space="preserve"> cual</w:t>
      </w:r>
      <w:r w:rsidR="00C150E8" w:rsidRPr="00FD7BCF">
        <w:rPr>
          <w:rFonts w:ascii="ITC Avant Garde" w:hAnsi="ITC Avant Garde"/>
          <w:bCs/>
        </w:rPr>
        <w:t>es</w:t>
      </w:r>
      <w:r w:rsidR="002B3554" w:rsidRPr="00FD7BCF">
        <w:rPr>
          <w:rFonts w:ascii="ITC Avant Garde" w:hAnsi="ITC Avant Garde"/>
          <w:bCs/>
        </w:rPr>
        <w:t xml:space="preserve"> solicitaron</w:t>
      </w:r>
      <w:r w:rsidR="009F2DED" w:rsidRPr="00FD7BCF">
        <w:rPr>
          <w:rFonts w:ascii="ITC Avant Garde" w:hAnsi="ITC Avant Garde"/>
          <w:bCs/>
        </w:rPr>
        <w:t xml:space="preserve"> su intervención para resolver los términos y condiciones que no pud</w:t>
      </w:r>
      <w:r w:rsidR="0012397B" w:rsidRPr="00FD7BCF">
        <w:rPr>
          <w:rFonts w:ascii="ITC Avant Garde" w:hAnsi="ITC Avant Garde"/>
          <w:bCs/>
        </w:rPr>
        <w:t>ieron</w:t>
      </w:r>
      <w:r w:rsidR="009F2DED" w:rsidRPr="00FD7BCF">
        <w:rPr>
          <w:rFonts w:ascii="ITC Avant Garde" w:hAnsi="ITC Avant Garde"/>
          <w:bCs/>
        </w:rPr>
        <w:t xml:space="preserve"> convenir con Telmex</w:t>
      </w:r>
      <w:r w:rsidR="00C50620" w:rsidRPr="00FD7BCF">
        <w:rPr>
          <w:rFonts w:ascii="ITC Avant Garde" w:hAnsi="ITC Avant Garde"/>
          <w:bCs/>
        </w:rPr>
        <w:t xml:space="preserve"> y </w:t>
      </w:r>
      <w:proofErr w:type="spellStart"/>
      <w:r w:rsidR="00C50620" w:rsidRPr="00FD7BCF">
        <w:rPr>
          <w:rFonts w:ascii="ITC Avant Garde" w:hAnsi="ITC Avant Garde"/>
          <w:bCs/>
        </w:rPr>
        <w:t>Telnor</w:t>
      </w:r>
      <w:proofErr w:type="spellEnd"/>
      <w:r w:rsidR="009F2DED" w:rsidRPr="00FD7BCF">
        <w:rPr>
          <w:rFonts w:ascii="ITC Avant Garde" w:hAnsi="ITC Avant Garde"/>
          <w:bCs/>
        </w:rPr>
        <w:t xml:space="preserve"> para la prestación del </w:t>
      </w:r>
      <w:r w:rsidR="00C5296A" w:rsidRPr="00FD7BCF">
        <w:rPr>
          <w:rFonts w:ascii="ITC Avant Garde" w:hAnsi="ITC Avant Garde"/>
          <w:bCs/>
        </w:rPr>
        <w:t>Servicio Mayorista de Arrendamiento de Enlaces Dedicados</w:t>
      </w:r>
      <w:r w:rsidR="009F2DED" w:rsidRPr="00FD7BCF">
        <w:rPr>
          <w:rFonts w:ascii="ITC Avant Garde" w:hAnsi="ITC Avant Garde"/>
          <w:bCs/>
        </w:rPr>
        <w:t xml:space="preserve"> (en lo sucesivo, la</w:t>
      </w:r>
      <w:r w:rsidR="00C95F4D" w:rsidRPr="00FD7BCF">
        <w:rPr>
          <w:rFonts w:ascii="ITC Avant Garde" w:hAnsi="ITC Avant Garde"/>
          <w:bCs/>
        </w:rPr>
        <w:t>s</w:t>
      </w:r>
      <w:r w:rsidR="009F2DED" w:rsidRPr="00FD7BCF">
        <w:rPr>
          <w:rFonts w:ascii="ITC Avant Garde" w:hAnsi="ITC Avant Garde"/>
          <w:bCs/>
        </w:rPr>
        <w:t xml:space="preserve"> “Solicitud</w:t>
      </w:r>
      <w:r w:rsidR="00C95F4D" w:rsidRPr="00FD7BCF">
        <w:rPr>
          <w:rFonts w:ascii="ITC Avant Garde" w:hAnsi="ITC Avant Garde"/>
          <w:bCs/>
        </w:rPr>
        <w:t>es</w:t>
      </w:r>
      <w:r w:rsidR="009F2DED" w:rsidRPr="00FD7BCF">
        <w:rPr>
          <w:rFonts w:ascii="ITC Avant Garde" w:hAnsi="ITC Avant Garde"/>
          <w:bCs/>
        </w:rPr>
        <w:t xml:space="preserve"> de Resolución”).</w:t>
      </w:r>
    </w:p>
    <w:p w14:paraId="046DC9BC" w14:textId="77777777" w:rsidR="00B42019" w:rsidRDefault="00452B16" w:rsidP="00B42019">
      <w:pPr>
        <w:spacing w:before="240" w:line="276" w:lineRule="auto"/>
        <w:ind w:left="567"/>
        <w:jc w:val="both"/>
        <w:rPr>
          <w:rFonts w:ascii="ITC Avant Garde" w:eastAsia="Times New Roman" w:hAnsi="ITC Avant Garde"/>
          <w:bCs/>
          <w:lang w:val="es-ES" w:eastAsia="es-ES"/>
        </w:rPr>
      </w:pPr>
      <w:r w:rsidRPr="00FD7BCF">
        <w:rPr>
          <w:rFonts w:ascii="ITC Avant Garde" w:eastAsia="Times New Roman" w:hAnsi="ITC Avant Garde"/>
          <w:bCs/>
          <w:lang w:val="es-ES" w:eastAsia="es-ES"/>
        </w:rPr>
        <w:t>La</w:t>
      </w:r>
      <w:r w:rsidR="002B3554" w:rsidRPr="00FD7BCF">
        <w:rPr>
          <w:rFonts w:ascii="ITC Avant Garde" w:eastAsia="Times New Roman" w:hAnsi="ITC Avant Garde"/>
          <w:bCs/>
          <w:lang w:val="es-ES" w:eastAsia="es-ES"/>
        </w:rPr>
        <w:t xml:space="preserve">s Solicitudes de Resolución se admitieron a trámite, asignándoles </w:t>
      </w:r>
      <w:r w:rsidRPr="00FD7BCF">
        <w:rPr>
          <w:rFonts w:ascii="ITC Avant Garde" w:eastAsia="Times New Roman" w:hAnsi="ITC Avant Garde"/>
          <w:bCs/>
          <w:lang w:val="es-ES" w:eastAsia="es-ES"/>
        </w:rPr>
        <w:t>l</w:t>
      </w:r>
      <w:r w:rsidR="002B3554" w:rsidRPr="00FD7BCF">
        <w:rPr>
          <w:rFonts w:ascii="ITC Avant Garde" w:eastAsia="Times New Roman" w:hAnsi="ITC Avant Garde"/>
          <w:bCs/>
          <w:lang w:val="es-ES" w:eastAsia="es-ES"/>
        </w:rPr>
        <w:t>os</w:t>
      </w:r>
      <w:r w:rsidRPr="00FD7BCF">
        <w:rPr>
          <w:rFonts w:ascii="ITC Avant Garde" w:eastAsia="Times New Roman" w:hAnsi="ITC Avant Garde"/>
          <w:bCs/>
          <w:lang w:val="es-ES" w:eastAsia="es-ES"/>
        </w:rPr>
        <w:t xml:space="preserve"> número</w:t>
      </w:r>
      <w:r w:rsidR="002B3554" w:rsidRPr="00FD7BCF">
        <w:rPr>
          <w:rFonts w:ascii="ITC Avant Garde" w:eastAsia="Times New Roman" w:hAnsi="ITC Avant Garde"/>
          <w:bCs/>
          <w:lang w:val="es-ES" w:eastAsia="es-ES"/>
        </w:rPr>
        <w:t>s</w:t>
      </w:r>
      <w:r w:rsidRPr="00FD7BCF">
        <w:rPr>
          <w:rFonts w:ascii="ITC Avant Garde" w:eastAsia="Times New Roman" w:hAnsi="ITC Avant Garde"/>
          <w:bCs/>
          <w:lang w:val="es-ES" w:eastAsia="es-ES"/>
        </w:rPr>
        <w:t xml:space="preserve"> de expediente</w:t>
      </w:r>
      <w:r w:rsidR="002B3554" w:rsidRPr="00FD7BCF">
        <w:rPr>
          <w:rFonts w:ascii="ITC Avant Garde" w:eastAsia="Times New Roman" w:hAnsi="ITC Avant Garde"/>
          <w:bCs/>
          <w:lang w:val="es-ES" w:eastAsia="es-ES"/>
        </w:rPr>
        <w:t xml:space="preserve">s IFT/221/UPR/DG-RIRST/001.150616/ED </w:t>
      </w:r>
      <w:r w:rsidR="0012397B" w:rsidRPr="00FD7BCF">
        <w:rPr>
          <w:rFonts w:ascii="ITC Avant Garde" w:eastAsia="Times New Roman" w:hAnsi="ITC Avant Garde"/>
          <w:bCs/>
          <w:lang w:val="es-ES" w:eastAsia="es-ES"/>
        </w:rPr>
        <w:t>e</w:t>
      </w:r>
      <w:r w:rsidR="002B3554" w:rsidRPr="00FD7BCF">
        <w:rPr>
          <w:rFonts w:ascii="ITC Avant Garde" w:eastAsia="Times New Roman" w:hAnsi="ITC Avant Garde"/>
          <w:bCs/>
          <w:lang w:val="es-ES" w:eastAsia="es-ES"/>
        </w:rPr>
        <w:t xml:space="preserve"> </w:t>
      </w:r>
      <w:r w:rsidRPr="00FD7BCF">
        <w:rPr>
          <w:rFonts w:ascii="ITC Avant Garde" w:eastAsia="Times New Roman" w:hAnsi="ITC Avant Garde"/>
          <w:bCs/>
          <w:lang w:val="es-ES" w:eastAsia="es-ES"/>
        </w:rPr>
        <w:t>IFT/221/UPR/DG-RIRST/002.</w:t>
      </w:r>
      <w:r w:rsidR="002B3554" w:rsidRPr="00FD7BCF">
        <w:rPr>
          <w:rFonts w:ascii="ITC Avant Garde" w:eastAsia="Times New Roman" w:hAnsi="ITC Avant Garde"/>
          <w:bCs/>
          <w:lang w:val="es-ES" w:eastAsia="es-ES"/>
        </w:rPr>
        <w:t>160616</w:t>
      </w:r>
      <w:r w:rsidRPr="00FD7BCF">
        <w:rPr>
          <w:rFonts w:ascii="ITC Avant Garde" w:eastAsia="Times New Roman" w:hAnsi="ITC Avant Garde"/>
          <w:bCs/>
          <w:lang w:val="es-ES" w:eastAsia="es-ES"/>
        </w:rPr>
        <w:t>/ED</w:t>
      </w:r>
      <w:r w:rsidR="002B21D6" w:rsidRPr="00FD7BCF">
        <w:rPr>
          <w:rFonts w:ascii="ITC Avant Garde" w:eastAsia="Times New Roman" w:hAnsi="ITC Avant Garde"/>
          <w:bCs/>
          <w:lang w:val="es-ES" w:eastAsia="es-ES"/>
        </w:rPr>
        <w:t>.</w:t>
      </w:r>
      <w:r w:rsidR="002B3554" w:rsidRPr="00FD7BCF">
        <w:rPr>
          <w:rFonts w:ascii="ITC Avant Garde" w:eastAsia="Times New Roman" w:hAnsi="ITC Avant Garde"/>
          <w:bCs/>
          <w:lang w:val="es-ES" w:eastAsia="es-ES"/>
        </w:rPr>
        <w:t xml:space="preserve"> </w:t>
      </w:r>
      <w:r w:rsidRPr="00FD7BCF">
        <w:rPr>
          <w:rFonts w:ascii="ITC Avant Garde" w:eastAsia="Times New Roman" w:hAnsi="ITC Avant Garde"/>
          <w:bCs/>
          <w:lang w:val="es-ES" w:eastAsia="es-ES"/>
        </w:rPr>
        <w:t xml:space="preserve">El procedimiento fue sustanciado en todas y cada una de sus etapas en estricto apego a lo establecido en la Ley Federal de Procedimiento Administrativo (en lo sucesivo, la “LFPA”). Lo cual se encuentra plenamente </w:t>
      </w:r>
      <w:r w:rsidRPr="00FD7BCF">
        <w:rPr>
          <w:rFonts w:ascii="ITC Avant Garde" w:eastAsia="Times New Roman" w:hAnsi="ITC Avant Garde"/>
          <w:bCs/>
          <w:lang w:val="es-ES" w:eastAsia="es-ES"/>
        </w:rPr>
        <w:lastRenderedPageBreak/>
        <w:t>documentado en las constancias que integran el expediente administrativo en comento, mismo que ha estado en todo momento a disposición de las partes, las cuales tienen pleno conocimiento de su contenido.</w:t>
      </w:r>
    </w:p>
    <w:p w14:paraId="09256C90" w14:textId="77777777" w:rsidR="00B42019" w:rsidRDefault="00F161F1" w:rsidP="00B42019">
      <w:pPr>
        <w:spacing w:before="240" w:line="276" w:lineRule="auto"/>
        <w:ind w:left="567"/>
        <w:jc w:val="both"/>
        <w:rPr>
          <w:rFonts w:ascii="ITC Avant Garde" w:eastAsia="Times New Roman" w:hAnsi="ITC Avant Garde"/>
          <w:lang w:val="es-ES" w:eastAsia="es-ES"/>
        </w:rPr>
      </w:pPr>
      <w:r w:rsidRPr="00FD7BCF">
        <w:rPr>
          <w:rFonts w:ascii="ITC Avant Garde" w:eastAsia="Times New Roman" w:hAnsi="ITC Avant Garde"/>
          <w:bCs/>
          <w:lang w:val="es-ES" w:eastAsia="es-ES"/>
        </w:rPr>
        <w:t xml:space="preserve">Es así que con fecha 6 de diciembre de 2016, </w:t>
      </w:r>
      <w:r w:rsidRPr="00FD7BCF">
        <w:rPr>
          <w:rFonts w:ascii="ITC Avant Garde" w:eastAsia="Times New Roman" w:hAnsi="ITC Avant Garde"/>
          <w:lang w:val="es-ES" w:eastAsia="es-ES"/>
        </w:rPr>
        <w:t xml:space="preserve">el Instituto notificó a las partes, que toda vez que los procedimientos iniciados de manera independiente por Grupo Televisa y México Red con Telmex y </w:t>
      </w:r>
      <w:proofErr w:type="spellStart"/>
      <w:r w:rsidRPr="00FD7BCF">
        <w:rPr>
          <w:rFonts w:ascii="ITC Avant Garde" w:eastAsia="Times New Roman" w:hAnsi="ITC Avant Garde"/>
          <w:lang w:val="es-ES" w:eastAsia="es-ES"/>
        </w:rPr>
        <w:t>Telnor</w:t>
      </w:r>
      <w:proofErr w:type="spellEnd"/>
      <w:r w:rsidRPr="00FD7BCF">
        <w:rPr>
          <w:rFonts w:ascii="ITC Avant Garde" w:eastAsia="Times New Roman" w:hAnsi="ITC Avant Garde"/>
          <w:lang w:val="es-ES" w:eastAsia="es-ES"/>
        </w:rPr>
        <w:t xml:space="preserve">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w:t>
      </w:r>
      <w:proofErr w:type="spellStart"/>
      <w:r w:rsidRPr="00FD7BCF">
        <w:rPr>
          <w:rFonts w:ascii="ITC Avant Garde" w:eastAsia="Times New Roman" w:hAnsi="ITC Avant Garde"/>
          <w:lang w:val="es-ES" w:eastAsia="es-ES"/>
        </w:rPr>
        <w:t>LFTyR</w:t>
      </w:r>
      <w:proofErr w:type="spellEnd"/>
      <w:r w:rsidRPr="00FD7BCF">
        <w:rPr>
          <w:rFonts w:ascii="ITC Avant Garde" w:eastAsia="Times New Roman" w:hAnsi="ITC Avant Garde"/>
          <w:lang w:val="es-ES" w:eastAsia="es-ES"/>
        </w:rPr>
        <w:t xml:space="preserve">, y siendo legalmente factible, se ordenaba la acumulación del más nuevo al más antiguo tal como lo dispone el artículo 72 del CFPC, por tanto al procedimiento administrativo iniciado por Grupo Televisa en contra de Telmex y </w:t>
      </w:r>
      <w:proofErr w:type="spellStart"/>
      <w:r w:rsidRPr="00FD7BCF">
        <w:rPr>
          <w:rFonts w:ascii="ITC Avant Garde" w:eastAsia="Times New Roman" w:hAnsi="ITC Avant Garde"/>
          <w:lang w:val="es-ES" w:eastAsia="es-ES"/>
        </w:rPr>
        <w:t>Telnor</w:t>
      </w:r>
      <w:proofErr w:type="spellEnd"/>
      <w:r w:rsidRPr="00FD7BCF">
        <w:rPr>
          <w:rFonts w:ascii="ITC Avant Garde" w:eastAsia="Times New Roman" w:hAnsi="ITC Avant Garde"/>
          <w:lang w:val="es-ES" w:eastAsia="es-ES"/>
        </w:rPr>
        <w:t xml:space="preserve">, identificado con el número de expediente </w:t>
      </w:r>
      <w:r w:rsidRPr="00FD7BCF">
        <w:rPr>
          <w:rFonts w:ascii="ITC Avant Garde" w:eastAsia="Times New Roman" w:hAnsi="ITC Avant Garde"/>
          <w:bCs/>
          <w:lang w:val="es-ES" w:eastAsia="es-ES"/>
        </w:rPr>
        <w:t>IFT/221/UPR/DG-RIRST/001.150616/ED,</w:t>
      </w:r>
      <w:r w:rsidRPr="00FD7BCF">
        <w:rPr>
          <w:rFonts w:ascii="ITC Avant Garde" w:eastAsia="Times New Roman" w:hAnsi="ITC Avant Garde"/>
          <w:b/>
          <w:bCs/>
          <w:lang w:val="es-ES" w:eastAsia="es-ES"/>
        </w:rPr>
        <w:t xml:space="preserve"> </w:t>
      </w:r>
      <w:r w:rsidRPr="00FD7BCF">
        <w:rPr>
          <w:rFonts w:ascii="ITC Avant Garde" w:eastAsia="Times New Roman" w:hAnsi="ITC Avant Garde"/>
          <w:bCs/>
          <w:lang w:val="es-ES" w:eastAsia="es-ES"/>
        </w:rPr>
        <w:t xml:space="preserve">se acumuló el procedimiento administrativo iniciados por México Red en contra de Telmex y </w:t>
      </w:r>
      <w:proofErr w:type="spellStart"/>
      <w:r w:rsidRPr="00FD7BCF">
        <w:rPr>
          <w:rFonts w:ascii="ITC Avant Garde" w:eastAsia="Times New Roman" w:hAnsi="ITC Avant Garde"/>
          <w:bCs/>
          <w:lang w:val="es-ES" w:eastAsia="es-ES"/>
        </w:rPr>
        <w:t>Telnor</w:t>
      </w:r>
      <w:proofErr w:type="spellEnd"/>
      <w:r w:rsidRPr="00FD7BCF">
        <w:rPr>
          <w:rFonts w:ascii="ITC Avant Garde" w:eastAsia="Times New Roman" w:hAnsi="ITC Avant Garde"/>
          <w:bCs/>
          <w:lang w:val="es-ES" w:eastAsia="es-ES"/>
        </w:rPr>
        <w:t xml:space="preserve"> con número de expediente</w:t>
      </w:r>
      <w:r w:rsidRPr="00FD7BCF">
        <w:rPr>
          <w:rFonts w:ascii="ITC Avant Garde" w:eastAsia="Times New Roman" w:hAnsi="ITC Avant Garde"/>
          <w:b/>
          <w:bCs/>
          <w:lang w:val="es-ES" w:eastAsia="es-ES"/>
        </w:rPr>
        <w:t xml:space="preserve"> </w:t>
      </w:r>
      <w:r w:rsidRPr="00FD7BCF">
        <w:rPr>
          <w:rFonts w:ascii="ITC Avant Garde" w:eastAsia="Times New Roman" w:hAnsi="ITC Avant Garde"/>
          <w:bCs/>
          <w:lang w:val="es-ES" w:eastAsia="es-ES"/>
        </w:rPr>
        <w:t xml:space="preserve">IFT/221/UPR/DG-RIRST/002.160616/ED. Asimismo, se les notificó </w:t>
      </w:r>
      <w:r w:rsidRPr="00FD7BCF">
        <w:rPr>
          <w:rFonts w:ascii="ITC Avant Garde" w:eastAsia="Times New Roman" w:hAnsi="ITC Avant Garde"/>
          <w:lang w:val="es-ES" w:eastAsia="es-ES"/>
        </w:rPr>
        <w:t>que el procedimiento guardaba estado para que el Pleno del Instituto dictase la resolución correspondiente.</w:t>
      </w:r>
    </w:p>
    <w:p w14:paraId="3EEFC8DF" w14:textId="77777777" w:rsidR="00B42019" w:rsidRDefault="0095073F" w:rsidP="00B42019">
      <w:pPr>
        <w:widowControl w:val="0"/>
        <w:spacing w:before="240" w:line="276" w:lineRule="auto"/>
        <w:jc w:val="both"/>
        <w:rPr>
          <w:rFonts w:ascii="ITC Avant Garde" w:eastAsia="Times New Roman" w:hAnsi="ITC Avant Garde"/>
          <w:lang w:eastAsia="es-ES"/>
        </w:rPr>
      </w:pPr>
      <w:r w:rsidRPr="00FD7BCF">
        <w:rPr>
          <w:rFonts w:ascii="ITC Avant Garde" w:eastAsia="Times New Roman" w:hAnsi="ITC Avant Garde"/>
          <w:lang w:eastAsia="es-ES"/>
        </w:rPr>
        <w:t>En virtud de los referidos Antecedentes, y</w:t>
      </w:r>
    </w:p>
    <w:p w14:paraId="00CCA6B6" w14:textId="77777777" w:rsidR="00B42019" w:rsidRPr="00B42019" w:rsidRDefault="00F15A38" w:rsidP="00B42019">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1" w:name="HipótesisNormativa"/>
      <w:r w:rsidRPr="00B42019">
        <w:rPr>
          <w:rFonts w:ascii="ITC Avant Garde" w:eastAsiaTheme="majorEastAsia" w:hAnsi="ITC Avant Garde" w:cstheme="majorBidi"/>
          <w:color w:val="000000" w:themeColor="text1"/>
          <w:szCs w:val="22"/>
        </w:rPr>
        <w:t>CONSIDERANDO</w:t>
      </w:r>
    </w:p>
    <w:p w14:paraId="75E1A629" w14:textId="77777777" w:rsidR="00B42019" w:rsidRDefault="00263D02" w:rsidP="00B42019">
      <w:pPr>
        <w:pStyle w:val="Textoindependiente"/>
        <w:spacing w:before="240" w:after="160" w:line="276" w:lineRule="auto"/>
        <w:rPr>
          <w:rFonts w:ascii="ITC Avant Garde" w:hAnsi="ITC Avant Garde" w:cs="Arial"/>
          <w:bCs/>
          <w:lang w:val="es-ES"/>
        </w:rPr>
      </w:pPr>
      <w:bookmarkStart w:id="2" w:name="primero"/>
      <w:r w:rsidRPr="00FD7BCF">
        <w:rPr>
          <w:rFonts w:ascii="ITC Avant Garde" w:hAnsi="ITC Avant Garde" w:cs="Arial"/>
          <w:b/>
          <w:bCs/>
          <w:lang w:val="es-ES"/>
        </w:rPr>
        <w:t xml:space="preserve">PRIMERO.- Competencia del Instituto. </w:t>
      </w:r>
      <w:r w:rsidRPr="00FD7BCF">
        <w:rPr>
          <w:rFonts w:ascii="ITC Avant Garde" w:hAnsi="ITC Avant Garde" w:cs="Arial"/>
          <w:bCs/>
          <w:lang w:val="es-ES"/>
        </w:rPr>
        <w:t>De conformidad con los artíc</w:t>
      </w:r>
      <w:r w:rsidR="00423CD8" w:rsidRPr="00FD7BCF">
        <w:rPr>
          <w:rFonts w:ascii="ITC Avant Garde" w:hAnsi="ITC Avant Garde" w:cs="Arial"/>
          <w:bCs/>
          <w:lang w:val="es-ES"/>
        </w:rPr>
        <w:t>ulos 6, apartado B fracción II y</w:t>
      </w:r>
      <w:r w:rsidRPr="00FD7BCF">
        <w:rPr>
          <w:rFonts w:ascii="ITC Avant Garde" w:hAnsi="ITC Avant Garde" w:cs="Arial"/>
          <w:bCs/>
          <w:lang w:val="es-ES"/>
        </w:rPr>
        <w:t xml:space="preserve"> 28, párrafos décimo quinto y décimo sexto de la Constitución y 7 de la </w:t>
      </w:r>
      <w:proofErr w:type="spellStart"/>
      <w:r w:rsidRPr="00FD7BCF">
        <w:rPr>
          <w:rFonts w:ascii="ITC Avant Garde" w:hAnsi="ITC Avant Garde" w:cs="Arial"/>
          <w:bCs/>
          <w:lang w:val="es-ES"/>
        </w:rPr>
        <w:t>LFTyR</w:t>
      </w:r>
      <w:proofErr w:type="spellEnd"/>
      <w:r w:rsidRPr="00FD7BCF">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FD7BCF">
        <w:rPr>
          <w:rFonts w:ascii="ITC Avant Garde" w:hAnsi="ITC Avant Garde" w:cs="Arial"/>
          <w:bCs/>
          <w:lang w:val="es-ES"/>
        </w:rPr>
        <w:t>LFTyR</w:t>
      </w:r>
      <w:proofErr w:type="spellEnd"/>
      <w:r w:rsidRPr="00FD7BCF">
        <w:rPr>
          <w:rFonts w:ascii="ITC Avant Garde" w:hAnsi="ITC Avant Garde" w:cs="Arial"/>
          <w:bCs/>
          <w:lang w:val="es-ES"/>
        </w:rPr>
        <w:t xml:space="preserve"> y demás disposiciones aplicables. </w:t>
      </w:r>
    </w:p>
    <w:p w14:paraId="46D22820" w14:textId="77777777" w:rsidR="00B42019" w:rsidRDefault="00263D02" w:rsidP="00B42019">
      <w:pPr>
        <w:pStyle w:val="Textoindependiente"/>
        <w:spacing w:before="240" w:after="160" w:line="276" w:lineRule="auto"/>
        <w:rPr>
          <w:rFonts w:ascii="ITC Avant Garde" w:hAnsi="ITC Avant Garde" w:cs="Arial"/>
          <w:bCs/>
          <w:lang w:val="es-ES"/>
        </w:rPr>
      </w:pPr>
      <w:r w:rsidRPr="00FD7BCF">
        <w:rPr>
          <w:rFonts w:ascii="ITC Avant Garde" w:hAnsi="ITC Avant Garde" w:cs="Arial"/>
          <w:bCs/>
          <w:lang w:val="es-ES"/>
        </w:rPr>
        <w:t>Con fundamento en los artículos</w:t>
      </w:r>
      <w:r w:rsidR="00882D44" w:rsidRPr="00FD7BCF">
        <w:rPr>
          <w:rFonts w:ascii="ITC Avant Garde" w:hAnsi="ITC Avant Garde" w:cs="Arial"/>
          <w:bCs/>
          <w:lang w:val="es-ES"/>
        </w:rPr>
        <w:t xml:space="preserve"> 6,</w:t>
      </w:r>
      <w:r w:rsidR="00072479" w:rsidRPr="00FD7BCF">
        <w:rPr>
          <w:rFonts w:ascii="ITC Avant Garde" w:hAnsi="ITC Avant Garde" w:cs="Arial"/>
          <w:bCs/>
          <w:lang w:val="es-ES"/>
        </w:rPr>
        <w:t xml:space="preserve"> fracción IV y último párrafo,</w:t>
      </w:r>
      <w:r w:rsidRPr="00FD7BCF">
        <w:rPr>
          <w:rFonts w:ascii="ITC Avant Garde" w:hAnsi="ITC Avant Garde" w:cs="Arial"/>
          <w:bCs/>
          <w:lang w:val="es-ES"/>
        </w:rPr>
        <w:t xml:space="preserve"> 7, 15, fracción </w:t>
      </w:r>
      <w:r w:rsidR="0016433D" w:rsidRPr="00FD7BCF">
        <w:rPr>
          <w:rFonts w:ascii="ITC Avant Garde" w:hAnsi="ITC Avant Garde" w:cs="Arial"/>
          <w:bCs/>
          <w:lang w:val="es-ES"/>
        </w:rPr>
        <w:t>XIII</w:t>
      </w:r>
      <w:r w:rsidR="00452B16" w:rsidRPr="00FD7BCF">
        <w:rPr>
          <w:rFonts w:ascii="ITC Avant Garde" w:hAnsi="ITC Avant Garde" w:cs="Arial"/>
          <w:bCs/>
          <w:lang w:val="es-ES"/>
        </w:rPr>
        <w:t>,</w:t>
      </w:r>
      <w:r w:rsidRPr="00FD7BCF">
        <w:rPr>
          <w:rFonts w:ascii="ITC Avant Garde" w:hAnsi="ITC Avant Garde" w:cs="Arial"/>
          <w:bCs/>
          <w:lang w:val="es-ES"/>
        </w:rPr>
        <w:t xml:space="preserve"> 17, fracción I de la </w:t>
      </w:r>
      <w:proofErr w:type="spellStart"/>
      <w:r w:rsidRPr="00FD7BCF">
        <w:rPr>
          <w:rFonts w:ascii="ITC Avant Garde" w:hAnsi="ITC Avant Garde" w:cs="Arial"/>
          <w:bCs/>
          <w:lang w:val="es-ES"/>
        </w:rPr>
        <w:t>LFTyR</w:t>
      </w:r>
      <w:proofErr w:type="spellEnd"/>
      <w:r w:rsidRPr="00FD7BCF">
        <w:rPr>
          <w:rFonts w:ascii="ITC Avant Garde" w:hAnsi="ITC Avant Garde" w:cs="Arial"/>
          <w:bCs/>
          <w:lang w:val="es-ES"/>
        </w:rPr>
        <w:t xml:space="preserve">, el Pleno del Instituto está facultado, de manera exclusiva e indelegable, para resolver y establecer </w:t>
      </w:r>
      <w:r w:rsidR="009A2A0D" w:rsidRPr="00FD7BCF">
        <w:rPr>
          <w:rFonts w:ascii="ITC Avant Garde" w:hAnsi="ITC Avant Garde" w:cs="Arial"/>
          <w:bCs/>
          <w:lang w:val="es-ES"/>
        </w:rPr>
        <w:t xml:space="preserve">términos, condiciones y tarifas </w:t>
      </w:r>
      <w:r w:rsidRPr="00FD7BCF">
        <w:rPr>
          <w:rFonts w:ascii="ITC Avant Garde" w:hAnsi="ITC Avant Garde" w:cs="Arial"/>
          <w:bCs/>
          <w:lang w:val="es-ES"/>
        </w:rPr>
        <w:t>que no hayan podido convenir los concesionarios respecto de sus redes públicas de telecomunicaciones, una vez que se solicite su intervención.</w:t>
      </w:r>
    </w:p>
    <w:p w14:paraId="27DFD34E" w14:textId="77777777" w:rsidR="00B42019" w:rsidRDefault="00263D02" w:rsidP="00B42019">
      <w:pPr>
        <w:pStyle w:val="Textoindependiente"/>
        <w:spacing w:before="240" w:after="160" w:line="276" w:lineRule="auto"/>
        <w:rPr>
          <w:rFonts w:ascii="ITC Avant Garde" w:hAnsi="ITC Avant Garde" w:cs="Arial"/>
          <w:bCs/>
          <w:lang w:val="es-ES"/>
        </w:rPr>
      </w:pPr>
      <w:r w:rsidRPr="00FD7BCF">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FD7BCF">
        <w:rPr>
          <w:rFonts w:ascii="ITC Avant Garde" w:hAnsi="ITC Avant Garde" w:cs="Arial"/>
          <w:bCs/>
          <w:lang w:val="es-ES"/>
        </w:rPr>
        <w:t>o</w:t>
      </w:r>
      <w:r w:rsidRPr="00FD7BCF">
        <w:rPr>
          <w:rFonts w:ascii="ITC Avant Garde" w:hAnsi="ITC Avant Garde" w:cs="Arial"/>
          <w:bCs/>
          <w:lang w:val="es-ES"/>
        </w:rPr>
        <w:t xml:space="preserve">s </w:t>
      </w:r>
      <w:r w:rsidR="00423CD8" w:rsidRPr="00FD7BCF">
        <w:rPr>
          <w:rFonts w:ascii="ITC Avant Garde" w:hAnsi="ITC Avant Garde" w:cs="Arial"/>
          <w:bCs/>
          <w:lang w:val="es-ES"/>
        </w:rPr>
        <w:t xml:space="preserve">términos, condiciones y </w:t>
      </w:r>
      <w:r w:rsidRPr="00FD7BCF">
        <w:rPr>
          <w:rFonts w:ascii="ITC Avant Garde" w:hAnsi="ITC Avant Garde" w:cs="Arial"/>
          <w:bCs/>
          <w:lang w:val="es-ES"/>
        </w:rPr>
        <w:t>tarifas</w:t>
      </w:r>
      <w:r w:rsidR="00A646C5" w:rsidRPr="00FD7BCF">
        <w:rPr>
          <w:rFonts w:ascii="ITC Avant Garde" w:hAnsi="ITC Avant Garde" w:cs="Arial"/>
          <w:bCs/>
          <w:lang w:val="es-ES"/>
        </w:rPr>
        <w:t xml:space="preserve"> para el servicio mayorista de arrendamiento de Enlaces Dedicados </w:t>
      </w:r>
      <w:r w:rsidRPr="00FD7BCF">
        <w:rPr>
          <w:rFonts w:ascii="ITC Avant Garde" w:hAnsi="ITC Avant Garde" w:cs="Arial"/>
          <w:bCs/>
          <w:lang w:val="es-ES"/>
        </w:rPr>
        <w:lastRenderedPageBreak/>
        <w:t>no convenidas entre los concesionarios de redes públicas de telecomunicaciones, que forman parte en el presente procedimiento.</w:t>
      </w:r>
    </w:p>
    <w:p w14:paraId="0CD31883" w14:textId="77777777" w:rsidR="00B42019" w:rsidRDefault="00263D02" w:rsidP="00B42019">
      <w:pPr>
        <w:spacing w:before="240" w:line="276" w:lineRule="auto"/>
        <w:jc w:val="both"/>
        <w:rPr>
          <w:rFonts w:ascii="ITC Avant Garde" w:eastAsia="Times New Roman" w:hAnsi="ITC Avant Garde" w:cs="Arial"/>
          <w:iCs/>
        </w:rPr>
      </w:pPr>
      <w:r w:rsidRPr="00FD7BCF">
        <w:rPr>
          <w:rFonts w:ascii="ITC Avant Garde" w:hAnsi="ITC Avant Garde" w:cs="Arial"/>
          <w:b/>
        </w:rPr>
        <w:t xml:space="preserve">SEGUNDO.- </w:t>
      </w:r>
      <w:r w:rsidR="007D5B0C" w:rsidRPr="00FD7BCF">
        <w:rPr>
          <w:rFonts w:ascii="ITC Avant Garde" w:eastAsia="Times New Roman" w:hAnsi="ITC Avant Garde"/>
          <w:b/>
          <w:bCs/>
        </w:rPr>
        <w:t>Medidas</w:t>
      </w:r>
      <w:r w:rsidR="00720D51" w:rsidRPr="00FD7BCF">
        <w:rPr>
          <w:rFonts w:ascii="ITC Avant Garde" w:eastAsia="Times New Roman" w:hAnsi="ITC Avant Garde"/>
          <w:b/>
          <w:bCs/>
        </w:rPr>
        <w:t xml:space="preserve"> Fijas</w:t>
      </w:r>
      <w:r w:rsidR="007D5B0C" w:rsidRPr="00FD7BCF">
        <w:rPr>
          <w:rFonts w:ascii="ITC Avant Garde" w:eastAsia="Times New Roman" w:hAnsi="ITC Avant Garde"/>
          <w:b/>
          <w:bCs/>
        </w:rPr>
        <w:t>.</w:t>
      </w:r>
      <w:r w:rsidR="007D5B0C" w:rsidRPr="00FD7BCF">
        <w:rPr>
          <w:rFonts w:ascii="ITC Avant Garde" w:hAnsi="ITC Avant Garde"/>
          <w:b/>
        </w:rPr>
        <w:t xml:space="preserve"> </w:t>
      </w:r>
      <w:r w:rsidR="007D5B0C" w:rsidRPr="00FD7BCF">
        <w:rPr>
          <w:rFonts w:ascii="ITC Avant Garde" w:eastAsia="Times New Roman" w:hAnsi="ITC Avant Garde" w:cs="Arial"/>
          <w:iCs/>
        </w:rPr>
        <w:t>Las empresas de telecomunicaciones demandan el servicio de arrendamiento de enlaces dedicados a efecto de poder conectar elementos de su infraestructura de telecomunicaciones en aquellas rutas en las cuales no cuentan con medios de transmisión para proporcionar sus servicios o para proporcionar servicios al usuario final, así como para proveer el servicio en los casos en que no se cuente con capacidad en una determinada ruta o ciudad para la creación de una red privada; en estos casos la calidad de servicio también resulta fundamental puesto que una falla o degradación de la misma se traslada a la prestación de otros servicios de telecomunicaciones.</w:t>
      </w:r>
    </w:p>
    <w:p w14:paraId="17323C36" w14:textId="77777777" w:rsidR="00B42019" w:rsidRDefault="007D5B0C" w:rsidP="00B42019">
      <w:pPr>
        <w:spacing w:before="240" w:line="276" w:lineRule="auto"/>
        <w:jc w:val="both"/>
        <w:rPr>
          <w:rFonts w:ascii="ITC Avant Garde" w:eastAsia="Times New Roman" w:hAnsi="ITC Avant Garde" w:cs="Arial"/>
          <w:iCs/>
        </w:rPr>
      </w:pPr>
      <w:r w:rsidRPr="00FD7BCF">
        <w:rPr>
          <w:rFonts w:ascii="ITC Avant Garde" w:eastAsia="Times New Roman" w:hAnsi="ITC Avant Garde" w:cs="Arial"/>
          <w:iCs/>
        </w:rPr>
        <w:t>Es así que Telmex</w:t>
      </w:r>
      <w:r w:rsidR="0071496E" w:rsidRPr="00FD7BCF">
        <w:rPr>
          <w:rFonts w:ascii="ITC Avant Garde" w:eastAsia="Times New Roman" w:hAnsi="ITC Avant Garde" w:cs="Arial"/>
          <w:iCs/>
        </w:rPr>
        <w:t xml:space="preserve"> </w:t>
      </w:r>
      <w:r w:rsidR="00ED6311" w:rsidRPr="00FD7BCF">
        <w:rPr>
          <w:rFonts w:ascii="ITC Avant Garde" w:eastAsia="Times New Roman" w:hAnsi="ITC Avant Garde" w:cs="Arial"/>
          <w:iCs/>
        </w:rPr>
        <w:t xml:space="preserve">y </w:t>
      </w:r>
      <w:proofErr w:type="spellStart"/>
      <w:r w:rsidR="00ED6311" w:rsidRPr="00FD7BCF">
        <w:rPr>
          <w:rFonts w:ascii="ITC Avant Garde" w:eastAsia="Times New Roman" w:hAnsi="ITC Avant Garde" w:cs="Arial"/>
          <w:iCs/>
        </w:rPr>
        <w:t>Telnor</w:t>
      </w:r>
      <w:proofErr w:type="spellEnd"/>
      <w:r w:rsidRPr="00FD7BCF">
        <w:rPr>
          <w:rFonts w:ascii="ITC Avant Garde" w:eastAsia="Times New Roman" w:hAnsi="ITC Avant Garde" w:cs="Arial"/>
          <w:iCs/>
        </w:rPr>
        <w:t xml:space="preserve"> cuentan con la red de mayor capilaridad en el país, tanto en transporte de tráfico entre ciudades como al interior de una misma ciudad, con lo cual son las empresas que permitirían a otras empresas complementar sus redes públicas de telecomunicaciones.</w:t>
      </w:r>
    </w:p>
    <w:p w14:paraId="17AE4EB4" w14:textId="77777777" w:rsidR="00B42019" w:rsidRDefault="007D5B0C" w:rsidP="00B42019">
      <w:pPr>
        <w:spacing w:before="240" w:line="276" w:lineRule="auto"/>
        <w:jc w:val="both"/>
        <w:rPr>
          <w:rFonts w:ascii="ITC Avant Garde" w:eastAsia="Times New Roman" w:hAnsi="ITC Avant Garde" w:cs="Arial"/>
          <w:iCs/>
        </w:rPr>
      </w:pPr>
      <w:r w:rsidRPr="00FD7BCF">
        <w:rPr>
          <w:rFonts w:ascii="ITC Avant Garde" w:eastAsia="Times New Roman" w:hAnsi="ITC Avant Garde" w:cs="Arial"/>
          <w:iCs/>
        </w:rPr>
        <w:t>Una de las dificultades que han enfrentado estos operadores para posicionarse en la prestación de otros servicios de telecomunicaciones es la falta de acceso a una red de transporte a precios competitivos, que les permita conectar sus redes de acceso y que pueda ser viable adicionar servicios a sus planes de negocios.</w:t>
      </w:r>
    </w:p>
    <w:p w14:paraId="59BE2036" w14:textId="77777777" w:rsidR="00B42019" w:rsidRDefault="007D5B0C" w:rsidP="00B42019">
      <w:pPr>
        <w:spacing w:before="240" w:line="276" w:lineRule="auto"/>
        <w:jc w:val="both"/>
        <w:rPr>
          <w:rFonts w:ascii="ITC Avant Garde" w:eastAsia="Times New Roman" w:hAnsi="ITC Avant Garde" w:cs="Arial"/>
          <w:iCs/>
        </w:rPr>
      </w:pPr>
      <w:r w:rsidRPr="00FD7BCF">
        <w:rPr>
          <w:rFonts w:ascii="ITC Avant Garde" w:eastAsia="Times New Roman" w:hAnsi="ITC Avant Garde" w:cs="Arial"/>
          <w:iCs/>
        </w:rPr>
        <w:t>Por lo anterior, es que el Instituto consideró n</w:t>
      </w:r>
      <w:r w:rsidR="00ED6311" w:rsidRPr="00FD7BCF">
        <w:rPr>
          <w:rFonts w:ascii="ITC Avant Garde" w:eastAsia="Times New Roman" w:hAnsi="ITC Avant Garde" w:cs="Arial"/>
          <w:iCs/>
        </w:rPr>
        <w:t>ecesario el establecimiento de M</w:t>
      </w:r>
      <w:r w:rsidRPr="00FD7BCF">
        <w:rPr>
          <w:rFonts w:ascii="ITC Avant Garde" w:eastAsia="Times New Roman" w:hAnsi="ITC Avant Garde" w:cs="Arial"/>
          <w:iCs/>
        </w:rPr>
        <w:t>edidas que obligaran al</w:t>
      </w:r>
      <w:r w:rsidR="00ED6311" w:rsidRPr="00FD7BCF">
        <w:rPr>
          <w:rFonts w:ascii="ITC Avant Garde" w:eastAsia="Times New Roman" w:hAnsi="ITC Avant Garde" w:cs="Arial"/>
          <w:iCs/>
        </w:rPr>
        <w:t xml:space="preserve"> Agente Económico Preponderante (en lo sucesivo, el “</w:t>
      </w:r>
      <w:r w:rsidRPr="00FD7BCF">
        <w:rPr>
          <w:rFonts w:ascii="ITC Avant Garde" w:eastAsia="Times New Roman" w:hAnsi="ITC Avant Garde" w:cs="Arial"/>
          <w:iCs/>
        </w:rPr>
        <w:t>AEP</w:t>
      </w:r>
      <w:r w:rsidR="00ED6311" w:rsidRPr="00FD7BCF">
        <w:rPr>
          <w:rFonts w:ascii="ITC Avant Garde" w:eastAsia="Times New Roman" w:hAnsi="ITC Avant Garde" w:cs="Arial"/>
          <w:iCs/>
        </w:rPr>
        <w:t>”)</w:t>
      </w:r>
      <w:r w:rsidRPr="00FD7BCF">
        <w:rPr>
          <w:rFonts w:ascii="ITC Avant Garde" w:eastAsia="Times New Roman" w:hAnsi="ITC Avant Garde" w:cs="Arial"/>
          <w:iCs/>
        </w:rPr>
        <w:t xml:space="preserve"> a ofrecer el </w:t>
      </w:r>
      <w:r w:rsidR="00C5296A" w:rsidRPr="00FD7BCF">
        <w:rPr>
          <w:rFonts w:ascii="ITC Avant Garde" w:eastAsia="Times New Roman" w:hAnsi="ITC Avant Garde" w:cs="Arial"/>
          <w:iCs/>
        </w:rPr>
        <w:t>Servicio Mayorista de Arrendamiento de Enlaces Dedicados</w:t>
      </w:r>
      <w:r w:rsidRPr="00FD7BCF">
        <w:rPr>
          <w:rFonts w:ascii="ITC Avant Garde" w:eastAsia="Times New Roman" w:hAnsi="ITC Avant Garde" w:cs="Arial"/>
          <w:iCs/>
        </w:rPr>
        <w:t xml:space="preserve"> en condiciones no discriminatorias y a precios que permitieran la entrada eficiente de otros operadores a la prestación de servicios de telecomunicaciones y que se garantizara el contar con niveles de calidad adecuados.</w:t>
      </w:r>
    </w:p>
    <w:p w14:paraId="418F455E" w14:textId="77777777" w:rsidR="00B42019" w:rsidRDefault="007D5B0C" w:rsidP="00B42019">
      <w:pPr>
        <w:spacing w:before="240" w:line="276" w:lineRule="auto"/>
        <w:jc w:val="both"/>
        <w:rPr>
          <w:rFonts w:ascii="ITC Avant Garde" w:eastAsia="Times New Roman" w:hAnsi="ITC Avant Garde" w:cs="Arial"/>
          <w:iCs/>
        </w:rPr>
      </w:pPr>
      <w:r w:rsidRPr="00FD7BCF">
        <w:rPr>
          <w:rFonts w:ascii="ITC Avant Garde" w:eastAsia="Times New Roman" w:hAnsi="ITC Avant Garde" w:cs="Arial"/>
          <w:iCs/>
        </w:rPr>
        <w:t xml:space="preserve">En este contexto, el </w:t>
      </w:r>
      <w:r w:rsidR="00C5296A" w:rsidRPr="00FD7BCF">
        <w:rPr>
          <w:rFonts w:ascii="ITC Avant Garde" w:eastAsia="Times New Roman" w:hAnsi="ITC Avant Garde" w:cs="Arial"/>
          <w:iCs/>
        </w:rPr>
        <w:t>Servicio Mayorista de Arrendamiento de Enlaces Dedicados</w:t>
      </w:r>
      <w:r w:rsidRPr="00FD7BCF">
        <w:rPr>
          <w:rFonts w:ascii="ITC Avant Garde" w:eastAsia="Times New Roman" w:hAnsi="ITC Avant Garde" w:cs="Arial"/>
          <w:iCs/>
        </w:rPr>
        <w:t xml:space="preserve"> es crucial para el desarrollo de la competencia, en el sentido de que es un insumo utilizado por el resto de los competidores para complementar sus propias redes de telecomunicaciones.</w:t>
      </w:r>
    </w:p>
    <w:p w14:paraId="2AECDDBA" w14:textId="77777777" w:rsidR="00B42019" w:rsidRDefault="007D5B0C" w:rsidP="00B42019">
      <w:pPr>
        <w:spacing w:before="240" w:line="276" w:lineRule="auto"/>
        <w:jc w:val="both"/>
        <w:rPr>
          <w:rFonts w:ascii="ITC Avant Garde" w:eastAsia="Times New Roman" w:hAnsi="ITC Avant Garde" w:cs="Arial"/>
          <w:iCs/>
        </w:rPr>
      </w:pPr>
      <w:r w:rsidRPr="00FD7BCF">
        <w:rPr>
          <w:rFonts w:ascii="ITC Avant Garde" w:eastAsia="Times New Roman" w:hAnsi="ITC Avant Garde" w:cs="Arial"/>
          <w:iCs/>
        </w:rPr>
        <w:t xml:space="preserve">En este sentido, al ser un elemento fundamental de las redes de telecomunicaciones, fue necesario establecer la obligación a cargo del AEP de prestar los </w:t>
      </w:r>
      <w:r w:rsidR="00C5296A" w:rsidRPr="00FD7BCF">
        <w:rPr>
          <w:rFonts w:ascii="ITC Avant Garde" w:eastAsia="Times New Roman" w:hAnsi="ITC Avant Garde" w:cs="Arial"/>
          <w:iCs/>
        </w:rPr>
        <w:t>Servicios Mayoristas de Arrendamiento de Enlaces Dedicados</w:t>
      </w:r>
      <w:r w:rsidRPr="00FD7BCF">
        <w:rPr>
          <w:rFonts w:ascii="ITC Avant Garde" w:eastAsia="Times New Roman" w:hAnsi="ITC Avant Garde" w:cs="Arial"/>
          <w:iCs/>
        </w:rPr>
        <w:t>, y que el mismo se realice bajo condiciones competitivas</w:t>
      </w:r>
      <w:r w:rsidR="00ED6311" w:rsidRPr="00FD7BCF">
        <w:rPr>
          <w:rFonts w:ascii="ITC Avant Garde" w:eastAsia="Times New Roman" w:hAnsi="ITC Avant Garde" w:cs="Arial"/>
          <w:iCs/>
        </w:rPr>
        <w:t>,</w:t>
      </w:r>
      <w:r w:rsidRPr="00FD7BCF">
        <w:rPr>
          <w:rFonts w:ascii="ITC Avant Garde" w:eastAsia="Times New Roman" w:hAnsi="ITC Avant Garde" w:cs="Arial"/>
          <w:iCs/>
        </w:rPr>
        <w:t xml:space="preserve"> facilitando que los proveedores alternativos desplieguen con mayor celeridad su infraestructura propia, al evitar incurrir en elevados costos hundidos para conectar puntos de presencia para los cuales no se han generado las suficientes </w:t>
      </w:r>
      <w:r w:rsidRPr="00FD7BCF">
        <w:rPr>
          <w:rFonts w:ascii="ITC Avant Garde" w:eastAsia="Times New Roman" w:hAnsi="ITC Avant Garde" w:cs="Arial"/>
          <w:iCs/>
        </w:rPr>
        <w:lastRenderedPageBreak/>
        <w:t>economías de densidad que les permitan la recuperación de la inversión de una manera rentable. Lo anterior, en los casos en que los concesionarios se encuentren interesados en desplegar su propia infraestructura y que les sea técnicamente viable.</w:t>
      </w:r>
    </w:p>
    <w:p w14:paraId="76C03302" w14:textId="77777777" w:rsidR="00B42019" w:rsidRDefault="00C5296A" w:rsidP="00B42019">
      <w:pPr>
        <w:pStyle w:val="IFTnormal"/>
        <w:spacing w:before="240" w:line="276" w:lineRule="auto"/>
        <w:ind w:left="0"/>
        <w:rPr>
          <w:rFonts w:cs="Arial"/>
        </w:rPr>
      </w:pPr>
      <w:r w:rsidRPr="00FD7BCF">
        <w:rPr>
          <w:lang w:val="es-MX"/>
        </w:rPr>
        <w:t xml:space="preserve">Ahora bien, la Medida </w:t>
      </w:r>
      <w:r w:rsidR="00930672" w:rsidRPr="00FD7BCF">
        <w:rPr>
          <w:lang w:val="es-MX"/>
        </w:rPr>
        <w:t>Decimotercera de las Medidas Fijas establece que e</w:t>
      </w:r>
      <w:r w:rsidR="00930672" w:rsidRPr="00FD7BCF">
        <w:rPr>
          <w:rFonts w:cs="Arial"/>
          <w:bCs/>
          <w:lang w:val="es-ES_tradnl" w:eastAsia="es-ES"/>
        </w:rPr>
        <w:t xml:space="preserve">l AEP deberá prestar a los Concesionarios Solicitantes, el Servicio Mayorista de Arrendamiento de Enlaces Dedicados. Por su parte, la Medida </w:t>
      </w:r>
      <w:r w:rsidRPr="00FD7BCF">
        <w:rPr>
          <w:lang w:val="es-MX"/>
        </w:rPr>
        <w:t xml:space="preserve">Trigésima Séptima de las Medidas Fijas </w:t>
      </w:r>
      <w:r w:rsidR="00930672" w:rsidRPr="00FD7BCF">
        <w:rPr>
          <w:lang w:val="es-MX"/>
        </w:rPr>
        <w:t xml:space="preserve">señala que el AEP y el Concesionario Solicitante </w:t>
      </w:r>
      <w:r w:rsidR="008051EC" w:rsidRPr="00FD7BCF">
        <w:rPr>
          <w:lang w:val="es-MX"/>
        </w:rPr>
        <w:t xml:space="preserve">tienen la libertad de negociar las tarifas </w:t>
      </w:r>
      <w:r w:rsidR="00930672" w:rsidRPr="00FD7BCF">
        <w:rPr>
          <w:lang w:val="es-MX"/>
        </w:rPr>
        <w:t>aplicables a los Servicios Mayoristas de Arrendamiento de Enlaces Dedicados</w:t>
      </w:r>
      <w:r w:rsidR="000F05FA" w:rsidRPr="00FD7BCF">
        <w:rPr>
          <w:lang w:val="es-MX"/>
        </w:rPr>
        <w:t>, y a tal efecto, suscribir un convenio en un plazo no mayor a sesenta días naturales contados a partir de</w:t>
      </w:r>
      <w:r w:rsidR="00A601BC" w:rsidRPr="00FD7BCF">
        <w:rPr>
          <w:lang w:val="es-MX"/>
        </w:rPr>
        <w:t>l inicio de negociaciones</w:t>
      </w:r>
      <w:r w:rsidR="008051EC" w:rsidRPr="00FD7BCF">
        <w:rPr>
          <w:lang w:val="es-MX"/>
        </w:rPr>
        <w:t xml:space="preserve">, </w:t>
      </w:r>
      <w:r w:rsidR="00A601BC" w:rsidRPr="00FD7BCF">
        <w:rPr>
          <w:lang w:val="es-MX"/>
        </w:rPr>
        <w:t xml:space="preserve">sin embargo, de no convenir, </w:t>
      </w:r>
      <w:r w:rsidR="00A601BC" w:rsidRPr="00FD7BCF">
        <w:rPr>
          <w:rFonts w:cs="Arial"/>
        </w:rPr>
        <w:t>podrán solicitar la intervención del Instit</w:t>
      </w:r>
      <w:r w:rsidR="008051EC" w:rsidRPr="00FD7BCF">
        <w:rPr>
          <w:rFonts w:cs="Arial"/>
        </w:rPr>
        <w:t>uto para que éste determine la</w:t>
      </w:r>
      <w:r w:rsidR="00A601BC" w:rsidRPr="00FD7BCF">
        <w:rPr>
          <w:rFonts w:cs="Arial"/>
        </w:rPr>
        <w:t xml:space="preserve"> tarifas no convenidas.</w:t>
      </w:r>
    </w:p>
    <w:p w14:paraId="1718AC01" w14:textId="77777777" w:rsidR="00B42019" w:rsidRDefault="00A601BC" w:rsidP="00B42019">
      <w:pPr>
        <w:pStyle w:val="Textoindependiente"/>
        <w:spacing w:before="240" w:after="160" w:line="276" w:lineRule="auto"/>
        <w:rPr>
          <w:rFonts w:ascii="ITC Avant Garde" w:hAnsi="ITC Avant Garde" w:cs="Arial"/>
          <w:szCs w:val="22"/>
        </w:rPr>
      </w:pPr>
      <w:r w:rsidRPr="00FD7BCF">
        <w:rPr>
          <w:rFonts w:ascii="ITC Avant Garde" w:hAnsi="ITC Avant Garde" w:cs="Arial"/>
        </w:rPr>
        <w:t>En virtud de lo anterior, se indica que: (i) el AEP está obligado a prestar a los concesionarios solicitantes, los Servicios Mayoristas de Arrendamiento de Enlaces Dedicados</w:t>
      </w:r>
      <w:r w:rsidR="008051EC" w:rsidRPr="00FD7BCF">
        <w:rPr>
          <w:rFonts w:ascii="ITC Avant Garde" w:hAnsi="ITC Avant Garde" w:cs="Arial"/>
        </w:rPr>
        <w:t xml:space="preserve">; ii) </w:t>
      </w:r>
      <w:r w:rsidR="00CF1849" w:rsidRPr="00FD7BCF">
        <w:rPr>
          <w:rFonts w:ascii="ITC Avant Garde" w:hAnsi="ITC Avant Garde" w:cs="Arial"/>
        </w:rPr>
        <w:t>las tarifas se negociaran libremente entre el AEP y el Concesionario Solicitante</w:t>
      </w:r>
      <w:r w:rsidRPr="00FD7BCF">
        <w:rPr>
          <w:rFonts w:ascii="ITC Avant Garde" w:hAnsi="ITC Avant Garde" w:cs="Arial"/>
        </w:rPr>
        <w:t xml:space="preserve"> y, a tal efecto, suscribir un convenio en un plazo no mayor de sesenta (60) días naturales contados a partir de se lo soliciten; (ii) transcurridos los sesenta (60) días naturales sin que las partes hayan llegado a un acuerdo, a petición de parte, o antes si así lo solicitan ambas partes, el Instituto determinará los términos y condiciones no convenidos sometidas a su competencia</w:t>
      </w:r>
      <w:r w:rsidRPr="00FD7BCF">
        <w:rPr>
          <w:rFonts w:ascii="ITC Avant Garde" w:hAnsi="ITC Avant Garde" w:cs="Arial"/>
          <w:szCs w:val="22"/>
        </w:rPr>
        <w:t>.</w:t>
      </w:r>
    </w:p>
    <w:p w14:paraId="07236B5B" w14:textId="77777777" w:rsidR="00B42019" w:rsidRDefault="00BE4625" w:rsidP="00B42019">
      <w:pPr>
        <w:pStyle w:val="Textoindependiente"/>
        <w:spacing w:before="240" w:after="160" w:line="276" w:lineRule="auto"/>
        <w:rPr>
          <w:rFonts w:ascii="ITC Avant Garde" w:hAnsi="ITC Avant Garde" w:cs="Arial"/>
          <w:spacing w:val="-2"/>
          <w:szCs w:val="22"/>
          <w:lang w:val="es-ES"/>
        </w:rPr>
      </w:pPr>
      <w:r w:rsidRPr="00FD7BCF">
        <w:rPr>
          <w:rFonts w:ascii="ITC Avant Garde" w:hAnsi="ITC Avant Garde" w:cs="Arial"/>
          <w:spacing w:val="-2"/>
          <w:szCs w:val="22"/>
        </w:rPr>
        <w:t xml:space="preserve">En consecuencia, en autos está acreditado que Telmex y </w:t>
      </w:r>
      <w:proofErr w:type="spellStart"/>
      <w:r w:rsidRPr="00FD7BCF">
        <w:rPr>
          <w:rFonts w:ascii="ITC Avant Garde" w:hAnsi="ITC Avant Garde" w:cs="Arial"/>
          <w:spacing w:val="-2"/>
          <w:szCs w:val="22"/>
        </w:rPr>
        <w:t>Telnor</w:t>
      </w:r>
      <w:proofErr w:type="spellEnd"/>
      <w:r w:rsidRPr="00FD7BCF">
        <w:rPr>
          <w:rFonts w:ascii="ITC Avant Garde" w:hAnsi="ITC Avant Garde" w:cs="Arial"/>
          <w:spacing w:val="-2"/>
          <w:szCs w:val="22"/>
        </w:rPr>
        <w:t xml:space="preserve"> son integrantes del Grupo de Interés Económico declarado como Agente Económico Preponderante en el sector telecomunicaciones y </w:t>
      </w:r>
      <w:r w:rsidR="004C0124" w:rsidRPr="00FD7BCF">
        <w:rPr>
          <w:rFonts w:ascii="ITC Avant Garde" w:hAnsi="ITC Avant Garde" w:cs="Arial"/>
          <w:bCs/>
          <w:snapToGrid w:val="0"/>
        </w:rPr>
        <w:t xml:space="preserve">Grupo Televisa y México Red </w:t>
      </w:r>
      <w:r w:rsidRPr="00FD7BCF">
        <w:rPr>
          <w:rFonts w:ascii="ITC Avant Garde" w:hAnsi="ITC Avant Garde" w:cs="Arial"/>
          <w:spacing w:val="-2"/>
          <w:szCs w:val="22"/>
        </w:rPr>
        <w:t>tiene</w:t>
      </w:r>
      <w:r w:rsidR="004C0124" w:rsidRPr="00FD7BCF">
        <w:rPr>
          <w:rFonts w:ascii="ITC Avant Garde" w:hAnsi="ITC Avant Garde" w:cs="Arial"/>
          <w:spacing w:val="-2"/>
          <w:szCs w:val="22"/>
        </w:rPr>
        <w:t>n</w:t>
      </w:r>
      <w:r w:rsidRPr="00FD7BCF">
        <w:rPr>
          <w:rFonts w:ascii="ITC Avant Garde" w:hAnsi="ITC Avant Garde" w:cs="Arial"/>
          <w:spacing w:val="-2"/>
          <w:szCs w:val="22"/>
        </w:rPr>
        <w:t xml:space="preserve"> el carácter de concesionario</w:t>
      </w:r>
      <w:r w:rsidR="002F3705" w:rsidRPr="00FD7BCF">
        <w:rPr>
          <w:rFonts w:ascii="ITC Avant Garde" w:hAnsi="ITC Avant Garde" w:cs="Arial"/>
          <w:spacing w:val="-2"/>
          <w:szCs w:val="22"/>
        </w:rPr>
        <w:t>s</w:t>
      </w:r>
      <w:r w:rsidRPr="00FD7BCF">
        <w:rPr>
          <w:rFonts w:ascii="ITC Avant Garde" w:hAnsi="ITC Avant Garde" w:cs="Arial"/>
          <w:spacing w:val="-2"/>
          <w:szCs w:val="22"/>
        </w:rPr>
        <w:t xml:space="preserve"> que opera</w:t>
      </w:r>
      <w:r w:rsidR="002F3705" w:rsidRPr="00FD7BCF">
        <w:rPr>
          <w:rFonts w:ascii="ITC Avant Garde" w:hAnsi="ITC Avant Garde" w:cs="Arial"/>
          <w:spacing w:val="-2"/>
          <w:szCs w:val="22"/>
        </w:rPr>
        <w:t>n</w:t>
      </w:r>
      <w:r w:rsidRPr="00FD7BCF">
        <w:rPr>
          <w:rFonts w:ascii="ITC Avant Garde" w:hAnsi="ITC Avant Garde" w:cs="Arial"/>
          <w:spacing w:val="-2"/>
          <w:szCs w:val="22"/>
        </w:rPr>
        <w:t xml:space="preserve"> una red</w:t>
      </w:r>
      <w:r w:rsidR="00151154" w:rsidRPr="00FD7BCF">
        <w:rPr>
          <w:rFonts w:ascii="ITC Avant Garde" w:hAnsi="ITC Avant Garde" w:cs="Arial"/>
          <w:spacing w:val="-2"/>
          <w:szCs w:val="22"/>
        </w:rPr>
        <w:t xml:space="preserve"> pública de telecomunicaciones,</w:t>
      </w:r>
      <w:r w:rsidR="00B50424" w:rsidRPr="00FD7BCF">
        <w:rPr>
          <w:rFonts w:ascii="ITC Avant Garde" w:hAnsi="ITC Avant Garde" w:cs="Arial"/>
          <w:spacing w:val="-2"/>
          <w:szCs w:val="22"/>
        </w:rPr>
        <w:t xml:space="preserve"> </w:t>
      </w:r>
      <w:r w:rsidRPr="00FD7BCF">
        <w:rPr>
          <w:rFonts w:ascii="ITC Avant Garde" w:hAnsi="ITC Avant Garde" w:cs="Arial"/>
          <w:spacing w:val="-2"/>
          <w:szCs w:val="22"/>
        </w:rPr>
        <w:t xml:space="preserve">asimismo que </w:t>
      </w:r>
      <w:r w:rsidR="004C0124" w:rsidRPr="00FD7BCF">
        <w:rPr>
          <w:rFonts w:ascii="ITC Avant Garde" w:hAnsi="ITC Avant Garde" w:cs="Arial"/>
          <w:spacing w:val="-2"/>
          <w:szCs w:val="22"/>
        </w:rPr>
        <w:t>Grupo Televisa y México Red requi</w:t>
      </w:r>
      <w:r w:rsidR="003B3DFE" w:rsidRPr="00FD7BCF">
        <w:rPr>
          <w:rFonts w:ascii="ITC Avant Garde" w:hAnsi="ITC Avant Garde" w:cs="Arial"/>
          <w:spacing w:val="-2"/>
          <w:szCs w:val="22"/>
        </w:rPr>
        <w:t>ri</w:t>
      </w:r>
      <w:r w:rsidR="004C0124" w:rsidRPr="00FD7BCF">
        <w:rPr>
          <w:rFonts w:ascii="ITC Avant Garde" w:hAnsi="ITC Avant Garde" w:cs="Arial"/>
          <w:spacing w:val="-2"/>
          <w:szCs w:val="22"/>
        </w:rPr>
        <w:t>eron</w:t>
      </w:r>
      <w:r w:rsidRPr="00FD7BCF">
        <w:rPr>
          <w:rFonts w:ascii="ITC Avant Garde" w:hAnsi="ITC Avant Garde" w:cs="Arial"/>
          <w:spacing w:val="-2"/>
          <w:szCs w:val="22"/>
        </w:rPr>
        <w:t xml:space="preserve"> a Telmex y </w:t>
      </w:r>
      <w:proofErr w:type="spellStart"/>
      <w:r w:rsidRPr="00FD7BCF">
        <w:rPr>
          <w:rFonts w:ascii="ITC Avant Garde" w:hAnsi="ITC Avant Garde" w:cs="Arial"/>
          <w:spacing w:val="-2"/>
          <w:szCs w:val="22"/>
        </w:rPr>
        <w:t>Telnor</w:t>
      </w:r>
      <w:proofErr w:type="spellEnd"/>
      <w:r w:rsidRPr="00FD7BCF">
        <w:rPr>
          <w:rFonts w:ascii="ITC Avant Garde" w:hAnsi="ITC Avant Garde" w:cs="Arial"/>
          <w:spacing w:val="-2"/>
          <w:szCs w:val="22"/>
        </w:rPr>
        <w:t xml:space="preserve"> el inicio de negociaciones para convenir los términos, condiciones y tarifas de los Servicios Mayoristas de Arrendamiento de Enlaces Dedicados</w:t>
      </w:r>
      <w:r w:rsidR="00B50424" w:rsidRPr="00FD7BCF">
        <w:rPr>
          <w:rFonts w:ascii="ITC Avant Garde" w:hAnsi="ITC Avant Garde" w:cs="Arial"/>
          <w:spacing w:val="-2"/>
          <w:szCs w:val="22"/>
        </w:rPr>
        <w:t xml:space="preserve"> aplicables del 1 de enero</w:t>
      </w:r>
      <w:r w:rsidR="004C0124" w:rsidRPr="00FD7BCF">
        <w:rPr>
          <w:rFonts w:ascii="ITC Avant Garde" w:hAnsi="ITC Avant Garde" w:cs="Arial"/>
          <w:spacing w:val="-2"/>
          <w:szCs w:val="22"/>
        </w:rPr>
        <w:t xml:space="preserve"> de 2016 al 31 de diciembre de 2017</w:t>
      </w:r>
      <w:r w:rsidRPr="00FD7BCF">
        <w:rPr>
          <w:rFonts w:ascii="ITC Avant Garde" w:hAnsi="ITC Avant Garde" w:cs="Arial"/>
          <w:spacing w:val="-2"/>
          <w:szCs w:val="22"/>
        </w:rPr>
        <w:t xml:space="preserve">, </w:t>
      </w:r>
      <w:r w:rsidR="00151154" w:rsidRPr="00FD7BCF">
        <w:rPr>
          <w:rFonts w:ascii="ITC Avant Garde" w:hAnsi="ITC Avant Garde" w:cs="Arial"/>
          <w:spacing w:val="-2"/>
          <w:szCs w:val="22"/>
        </w:rPr>
        <w:t>y que dichos concesiona</w:t>
      </w:r>
      <w:r w:rsidR="0012397B" w:rsidRPr="00FD7BCF">
        <w:rPr>
          <w:rFonts w:ascii="ITC Avant Garde" w:hAnsi="ITC Avant Garde" w:cs="Arial"/>
          <w:spacing w:val="-2"/>
          <w:szCs w:val="22"/>
        </w:rPr>
        <w:t xml:space="preserve">rios han </w:t>
      </w:r>
      <w:r w:rsidR="003B3DFE" w:rsidRPr="00FD7BCF">
        <w:rPr>
          <w:rFonts w:ascii="ITC Avant Garde" w:hAnsi="ITC Avant Garde" w:cs="Arial"/>
          <w:spacing w:val="-2"/>
          <w:szCs w:val="22"/>
        </w:rPr>
        <w:t>solicitado</w:t>
      </w:r>
      <w:r w:rsidR="0012397B" w:rsidRPr="00FD7BCF">
        <w:rPr>
          <w:rFonts w:ascii="ITC Avant Garde" w:hAnsi="ITC Avant Garde" w:cs="Arial"/>
          <w:spacing w:val="-2"/>
          <w:szCs w:val="22"/>
        </w:rPr>
        <w:t xml:space="preserve"> al Instituto su intervención para </w:t>
      </w:r>
      <w:r w:rsidR="003B3DFE" w:rsidRPr="00FD7BCF">
        <w:rPr>
          <w:rFonts w:ascii="ITC Avant Garde" w:hAnsi="ITC Avant Garde" w:cs="Arial"/>
          <w:spacing w:val="-2"/>
          <w:szCs w:val="22"/>
        </w:rPr>
        <w:t>determinar</w:t>
      </w:r>
      <w:r w:rsidR="0012397B" w:rsidRPr="00FD7BCF">
        <w:rPr>
          <w:rFonts w:ascii="ITC Avant Garde" w:hAnsi="ITC Avant Garde" w:cs="Arial"/>
          <w:spacing w:val="-2"/>
          <w:szCs w:val="22"/>
        </w:rPr>
        <w:t xml:space="preserve"> los términos, condiciones y tarifas que no pudieron convenir, por lo </w:t>
      </w:r>
      <w:r w:rsidRPr="00FD7BCF">
        <w:rPr>
          <w:rFonts w:ascii="ITC Avant Garde" w:hAnsi="ITC Avant Garde" w:cs="Arial"/>
          <w:spacing w:val="-2"/>
          <w:szCs w:val="22"/>
        </w:rPr>
        <w:t xml:space="preserve">que se cumple con todos los supuestos normativos que establece </w:t>
      </w:r>
      <w:r w:rsidR="00145F17" w:rsidRPr="00FD7BCF">
        <w:rPr>
          <w:rFonts w:ascii="ITC Avant Garde" w:hAnsi="ITC Avant Garde" w:cs="Arial"/>
          <w:spacing w:val="-2"/>
          <w:szCs w:val="22"/>
        </w:rPr>
        <w:t>la Medida Trigésima Séptima de las Medidas Fijas según</w:t>
      </w:r>
      <w:r w:rsidRPr="00FD7BCF">
        <w:rPr>
          <w:rFonts w:ascii="ITC Avant Garde" w:hAnsi="ITC Avant Garde" w:cs="Arial"/>
          <w:spacing w:val="-2"/>
          <w:szCs w:val="22"/>
        </w:rPr>
        <w:t xml:space="preserve"> se desprende de los Antecedentes I, II</w:t>
      </w:r>
      <w:r w:rsidR="00B50424" w:rsidRPr="00FD7BCF">
        <w:rPr>
          <w:rFonts w:ascii="ITC Avant Garde" w:hAnsi="ITC Avant Garde" w:cs="Arial"/>
          <w:spacing w:val="-2"/>
          <w:szCs w:val="22"/>
        </w:rPr>
        <w:t>, III,</w:t>
      </w:r>
      <w:r w:rsidR="00FC05B7" w:rsidRPr="00FD7BCF">
        <w:rPr>
          <w:rFonts w:ascii="ITC Avant Garde" w:hAnsi="ITC Avant Garde" w:cs="Arial"/>
          <w:spacing w:val="-2"/>
          <w:szCs w:val="22"/>
        </w:rPr>
        <w:t xml:space="preserve"> IV</w:t>
      </w:r>
      <w:r w:rsidR="00B50424" w:rsidRPr="00FD7BCF">
        <w:rPr>
          <w:rFonts w:ascii="ITC Avant Garde" w:hAnsi="ITC Avant Garde" w:cs="Arial"/>
          <w:spacing w:val="-2"/>
          <w:szCs w:val="22"/>
        </w:rPr>
        <w:t xml:space="preserve"> </w:t>
      </w:r>
      <w:r w:rsidR="0012397B" w:rsidRPr="00FD7BCF">
        <w:rPr>
          <w:rFonts w:ascii="ITC Avant Garde" w:hAnsi="ITC Avant Garde" w:cs="Arial"/>
          <w:spacing w:val="-2"/>
          <w:szCs w:val="22"/>
        </w:rPr>
        <w:t xml:space="preserve">y </w:t>
      </w:r>
      <w:r w:rsidR="00B50424" w:rsidRPr="00FD7BCF">
        <w:rPr>
          <w:rFonts w:ascii="ITC Avant Garde" w:hAnsi="ITC Avant Garde" w:cs="Arial"/>
          <w:spacing w:val="-2"/>
          <w:szCs w:val="22"/>
        </w:rPr>
        <w:t xml:space="preserve">X </w:t>
      </w:r>
      <w:r w:rsidRPr="00FD7BCF">
        <w:rPr>
          <w:rFonts w:ascii="ITC Avant Garde" w:hAnsi="ITC Avant Garde" w:cs="Arial"/>
          <w:spacing w:val="-2"/>
          <w:szCs w:val="22"/>
        </w:rPr>
        <w:t>de la presente Resolución.</w:t>
      </w:r>
    </w:p>
    <w:p w14:paraId="719B0212" w14:textId="77777777" w:rsidR="00B42019" w:rsidRDefault="00BE4625" w:rsidP="00B42019">
      <w:pPr>
        <w:pStyle w:val="Textoindependiente"/>
        <w:spacing w:before="240" w:after="160" w:line="276" w:lineRule="auto"/>
        <w:rPr>
          <w:rFonts w:ascii="ITC Avant Garde" w:hAnsi="ITC Avant Garde" w:cs="Arial"/>
          <w:szCs w:val="22"/>
        </w:rPr>
      </w:pPr>
      <w:r w:rsidRPr="00FD7BCF">
        <w:rPr>
          <w:rFonts w:ascii="ITC Avant Garde" w:hAnsi="ITC Avant Garde" w:cs="Arial"/>
          <w:szCs w:val="22"/>
        </w:rPr>
        <w:t xml:space="preserve">Por ello, conforme </w:t>
      </w:r>
      <w:r w:rsidR="00145F17" w:rsidRPr="00FD7BCF">
        <w:rPr>
          <w:rFonts w:ascii="ITC Avant Garde" w:hAnsi="ITC Avant Garde" w:cs="Arial"/>
          <w:szCs w:val="22"/>
        </w:rPr>
        <w:t>a la</w:t>
      </w:r>
      <w:r w:rsidR="00145F17" w:rsidRPr="00FD7BCF">
        <w:rPr>
          <w:rFonts w:ascii="ITC Avant Garde" w:hAnsi="ITC Avant Garde" w:cs="Arial"/>
          <w:spacing w:val="-2"/>
          <w:szCs w:val="22"/>
        </w:rPr>
        <w:t xml:space="preserve"> Medida Trigésima Séptima de las Medidas Fijas, </w:t>
      </w:r>
      <w:r w:rsidR="00145F17" w:rsidRPr="00FD7BCF">
        <w:rPr>
          <w:rFonts w:ascii="ITC Avant Garde" w:hAnsi="ITC Avant Garde" w:cs="Arial"/>
          <w:szCs w:val="22"/>
        </w:rPr>
        <w:t xml:space="preserve">Telmex y </w:t>
      </w:r>
      <w:proofErr w:type="spellStart"/>
      <w:r w:rsidR="00145F17" w:rsidRPr="00FD7BCF">
        <w:rPr>
          <w:rFonts w:ascii="ITC Avant Garde" w:hAnsi="ITC Avant Garde" w:cs="Arial"/>
          <w:szCs w:val="22"/>
        </w:rPr>
        <w:t>Telnor</w:t>
      </w:r>
      <w:proofErr w:type="spellEnd"/>
      <w:r w:rsidRPr="00FD7BCF">
        <w:rPr>
          <w:rFonts w:ascii="ITC Avant Garde" w:hAnsi="ITC Avant Garde" w:cs="Arial"/>
          <w:szCs w:val="22"/>
        </w:rPr>
        <w:t xml:space="preserve"> </w:t>
      </w:r>
      <w:r w:rsidR="00145F17" w:rsidRPr="00FD7BCF">
        <w:rPr>
          <w:rFonts w:ascii="ITC Avant Garde" w:hAnsi="ITC Avant Garde" w:cs="Arial"/>
          <w:szCs w:val="22"/>
        </w:rPr>
        <w:t xml:space="preserve">están obligados a prestar el Servicio Mayorista de Arrendamiento de Enlaces Dedicados a los concesionarios que se lo soliciten, </w:t>
      </w:r>
      <w:r w:rsidRPr="00FD7BCF">
        <w:rPr>
          <w:rFonts w:ascii="ITC Avant Garde" w:hAnsi="ITC Avant Garde" w:cs="Arial"/>
          <w:szCs w:val="22"/>
        </w:rPr>
        <w:t>formalizando en todo caso, la suscripción del convenio respectivo que estipule los términos, condiciones y tarifas aplicables.</w:t>
      </w:r>
    </w:p>
    <w:p w14:paraId="619AB342" w14:textId="77777777" w:rsidR="00B42019" w:rsidRDefault="0003088B" w:rsidP="00B42019">
      <w:pPr>
        <w:spacing w:before="240" w:line="276" w:lineRule="auto"/>
        <w:jc w:val="both"/>
        <w:rPr>
          <w:rFonts w:ascii="ITC Avant Garde" w:hAnsi="ITC Avant Garde"/>
        </w:rPr>
      </w:pPr>
      <w:r w:rsidRPr="00FD7BCF">
        <w:rPr>
          <w:rFonts w:ascii="ITC Avant Garde" w:eastAsia="Times New Roman" w:hAnsi="ITC Avant Garde"/>
          <w:b/>
          <w:lang w:eastAsia="es-ES"/>
        </w:rPr>
        <w:t>TERCERO</w:t>
      </w:r>
      <w:r w:rsidR="001C0560" w:rsidRPr="00FD7BCF">
        <w:rPr>
          <w:rFonts w:ascii="ITC Avant Garde" w:eastAsia="Times New Roman" w:hAnsi="ITC Avant Garde"/>
          <w:b/>
          <w:lang w:eastAsia="es-ES"/>
        </w:rPr>
        <w:t>.- Valoración de pruebas</w:t>
      </w:r>
      <w:r w:rsidR="00766317" w:rsidRPr="00FD7BCF">
        <w:rPr>
          <w:rFonts w:ascii="ITC Avant Garde" w:eastAsia="Times New Roman" w:hAnsi="ITC Avant Garde"/>
          <w:b/>
          <w:lang w:eastAsia="es-ES"/>
        </w:rPr>
        <w:t xml:space="preserve"> ofrecidas por las partes</w:t>
      </w:r>
      <w:r w:rsidR="001C0560" w:rsidRPr="00FD7BCF">
        <w:rPr>
          <w:rFonts w:ascii="ITC Avant Garde" w:eastAsia="Times New Roman" w:hAnsi="ITC Avant Garde"/>
          <w:b/>
          <w:lang w:eastAsia="es-ES"/>
        </w:rPr>
        <w:t xml:space="preserve">. </w:t>
      </w:r>
      <w:r w:rsidR="001C0560" w:rsidRPr="00FD7BCF">
        <w:rPr>
          <w:rFonts w:ascii="ITC Avant Garde" w:hAnsi="ITC Avant Garde"/>
        </w:rPr>
        <w:t>En términos generales</w:t>
      </w:r>
      <w:r w:rsidR="00396689" w:rsidRPr="00FD7BCF">
        <w:rPr>
          <w:rFonts w:ascii="ITC Avant Garde" w:hAnsi="ITC Avant Garde"/>
        </w:rPr>
        <w:t>,</w:t>
      </w:r>
      <w:r w:rsidR="001C0560" w:rsidRPr="00FD7BCF">
        <w:rPr>
          <w:rFonts w:ascii="ITC Avant Garde" w:hAnsi="ITC Avant Garde"/>
        </w:rPr>
        <w:t xml:space="preserve"> la prueba es el medio de demostración de la realidad de un hecho o de la existencia de </w:t>
      </w:r>
      <w:r w:rsidR="001C0560" w:rsidRPr="00FD7BCF">
        <w:rPr>
          <w:rFonts w:ascii="ITC Avant Garde" w:hAnsi="ITC Avant Garde"/>
        </w:rPr>
        <w:lastRenderedPageBreak/>
        <w:t>un acto. Es así que dentro del procedimiento de mérito, la prueba cumple la</w:t>
      </w:r>
      <w:r w:rsidR="00396689" w:rsidRPr="00FD7BCF">
        <w:rPr>
          <w:rFonts w:ascii="ITC Avant Garde" w:hAnsi="ITC Avant Garde"/>
        </w:rPr>
        <w:t>s</w:t>
      </w:r>
      <w:r w:rsidR="001C0560" w:rsidRPr="00FD7BCF">
        <w:rPr>
          <w:rFonts w:ascii="ITC Avant Garde" w:hAnsi="ITC Avant Garde"/>
        </w:rPr>
        <w:t xml:space="preserve"> siguiente</w:t>
      </w:r>
      <w:r w:rsidR="00396689" w:rsidRPr="00FD7BCF">
        <w:rPr>
          <w:rFonts w:ascii="ITC Avant Garde" w:hAnsi="ITC Avant Garde"/>
        </w:rPr>
        <w:t>s</w:t>
      </w:r>
      <w:r w:rsidR="001C0560" w:rsidRPr="00FD7BCF">
        <w:rPr>
          <w:rFonts w:ascii="ITC Avant Garde" w:hAnsi="ITC Avant Garde"/>
        </w:rPr>
        <w:t xml:space="preserve"> funci</w:t>
      </w:r>
      <w:r w:rsidR="00396689" w:rsidRPr="00FD7BCF">
        <w:rPr>
          <w:rFonts w:ascii="ITC Avant Garde" w:hAnsi="ITC Avant Garde"/>
        </w:rPr>
        <w:t>o</w:t>
      </w:r>
      <w:r w:rsidR="001C0560" w:rsidRPr="00FD7BCF">
        <w:rPr>
          <w:rFonts w:ascii="ITC Avant Garde" w:hAnsi="ITC Avant Garde"/>
        </w:rPr>
        <w:t>n</w:t>
      </w:r>
      <w:r w:rsidR="00396689" w:rsidRPr="00FD7BCF">
        <w:rPr>
          <w:rFonts w:ascii="ITC Avant Garde" w:hAnsi="ITC Avant Garde"/>
        </w:rPr>
        <w:t>es</w:t>
      </w:r>
      <w:r w:rsidR="001C0560" w:rsidRPr="00FD7BCF">
        <w:rPr>
          <w:rFonts w:ascii="ITC Avant Garde" w:hAnsi="ITC Avant Garde"/>
        </w:rPr>
        <w:t>: i) fija los hechos materia del desacuerdo, y ii) genera certeza acerca de las afirmaciones y alegaciones de los concesionarios sujetos del desacuerdo.</w:t>
      </w:r>
    </w:p>
    <w:p w14:paraId="38CF6F73" w14:textId="77777777" w:rsidR="00B42019" w:rsidRDefault="00396689" w:rsidP="00B42019">
      <w:pPr>
        <w:spacing w:before="240" w:line="276" w:lineRule="auto"/>
        <w:jc w:val="both"/>
        <w:rPr>
          <w:rFonts w:ascii="ITC Avant Garde" w:hAnsi="ITC Avant Garde" w:cs="Arial"/>
        </w:rPr>
      </w:pPr>
      <w:r w:rsidRPr="00FD7BCF">
        <w:rPr>
          <w:rFonts w:ascii="ITC Avant Garde" w:hAnsi="ITC Avant Garde" w:cs="Arial"/>
        </w:rPr>
        <w:t xml:space="preserve">Por su parte la </w:t>
      </w:r>
      <w:r w:rsidR="00DC42BB" w:rsidRPr="00FD7BCF">
        <w:rPr>
          <w:rFonts w:ascii="ITC Avant Garde" w:hAnsi="ITC Avant Garde" w:cs="Arial"/>
        </w:rPr>
        <w:t>LFPA</w:t>
      </w:r>
      <w:r w:rsidR="00766317" w:rsidRPr="00FD7BCF">
        <w:rPr>
          <w:rFonts w:ascii="ITC Avant Garde" w:hAnsi="ITC Avant Garde" w:cs="Arial"/>
        </w:rPr>
        <w:t>,</w:t>
      </w:r>
      <w:r w:rsidRPr="00FD7BCF">
        <w:rPr>
          <w:rFonts w:ascii="ITC Avant Garde" w:hAnsi="ITC Avant Garde" w:cs="Arial"/>
        </w:rPr>
        <w:t xml:space="preserve"> y el </w:t>
      </w:r>
      <w:r w:rsidR="0003088B" w:rsidRPr="00FD7BCF">
        <w:rPr>
          <w:rFonts w:ascii="ITC Avant Garde" w:hAnsi="ITC Avant Garde" w:cs="Arial"/>
        </w:rPr>
        <w:t>CFPC</w:t>
      </w:r>
      <w:r w:rsidRPr="00FD7BCF">
        <w:rPr>
          <w:rFonts w:ascii="ITC Avant Garde" w:hAnsi="ITC Avant Garde" w:cs="Arial"/>
        </w:rPr>
        <w:t xml:space="preserve">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7E461874" w14:textId="77777777" w:rsidR="00B42019" w:rsidRDefault="00F82F9A" w:rsidP="00B42019">
      <w:pPr>
        <w:spacing w:before="240" w:line="276" w:lineRule="auto"/>
        <w:jc w:val="both"/>
        <w:rPr>
          <w:rFonts w:ascii="ITC Avant Garde" w:hAnsi="ITC Avant Garde" w:cs="Arial"/>
        </w:rPr>
      </w:pPr>
      <w:r w:rsidRPr="00FD7BCF">
        <w:rPr>
          <w:rFonts w:ascii="ITC Avant Garde" w:hAnsi="ITC Avant Garde" w:cs="Arial"/>
        </w:rPr>
        <w:t>En tal sentido el Instituto valora las pruebas aportadas por las partes en los siguientes términos:</w:t>
      </w:r>
    </w:p>
    <w:p w14:paraId="43931DC0" w14:textId="77777777" w:rsidR="00B42019" w:rsidRDefault="003C5C93" w:rsidP="00B42019">
      <w:pPr>
        <w:spacing w:before="240" w:line="276" w:lineRule="auto"/>
        <w:jc w:val="both"/>
        <w:rPr>
          <w:rFonts w:ascii="ITC Avant Garde" w:hAnsi="ITC Avant Garde" w:cs="Arial"/>
          <w:b/>
        </w:rPr>
      </w:pPr>
      <w:r w:rsidRPr="00FD7BCF">
        <w:rPr>
          <w:rFonts w:ascii="ITC Avant Garde" w:hAnsi="ITC Avant Garde" w:cs="Arial"/>
          <w:b/>
        </w:rPr>
        <w:t>3</w:t>
      </w:r>
      <w:r w:rsidR="00DC42BB" w:rsidRPr="00FD7BCF">
        <w:rPr>
          <w:rFonts w:ascii="ITC Avant Garde" w:hAnsi="ITC Avant Garde" w:cs="Arial"/>
          <w:b/>
        </w:rPr>
        <w:t xml:space="preserve">.1 </w:t>
      </w:r>
      <w:r w:rsidR="001153C2" w:rsidRPr="00FD7BCF">
        <w:rPr>
          <w:rFonts w:ascii="ITC Avant Garde" w:hAnsi="ITC Avant Garde" w:cs="Arial"/>
          <w:b/>
        </w:rPr>
        <w:t xml:space="preserve">Pruebas ofrecidas por </w:t>
      </w:r>
      <w:r w:rsidR="007A265A" w:rsidRPr="00FD7BCF">
        <w:rPr>
          <w:rFonts w:ascii="ITC Avant Garde" w:hAnsi="ITC Avant Garde" w:cs="Arial"/>
          <w:b/>
        </w:rPr>
        <w:t xml:space="preserve">Grupo Televisa </w:t>
      </w:r>
    </w:p>
    <w:p w14:paraId="729C337C" w14:textId="77777777" w:rsidR="00B42019" w:rsidRDefault="0027294B" w:rsidP="00B42019">
      <w:pPr>
        <w:pStyle w:val="Prrafodelista"/>
        <w:widowControl w:val="0"/>
        <w:numPr>
          <w:ilvl w:val="0"/>
          <w:numId w:val="17"/>
        </w:numPr>
        <w:tabs>
          <w:tab w:val="left" w:pos="720"/>
        </w:tabs>
        <w:spacing w:before="240" w:after="160" w:line="276" w:lineRule="auto"/>
        <w:rPr>
          <w:rFonts w:ascii="ITC Avant Garde" w:hAnsi="ITC Avant Garde"/>
        </w:rPr>
      </w:pPr>
      <w:r w:rsidRPr="00FD7BCF">
        <w:rPr>
          <w:rFonts w:ascii="ITC Avant Garde" w:hAnsi="ITC Avant Garde" w:cs="Arial"/>
        </w:rPr>
        <w:t xml:space="preserve">Respecto a la Documental </w:t>
      </w:r>
      <w:r w:rsidR="00BD02E1" w:rsidRPr="00FD7BCF">
        <w:rPr>
          <w:rFonts w:ascii="ITC Avant Garde" w:hAnsi="ITC Avant Garde" w:cs="Arial"/>
        </w:rPr>
        <w:t>pública</w:t>
      </w:r>
      <w:r w:rsidRPr="00FD7BCF">
        <w:rPr>
          <w:rFonts w:ascii="ITC Avant Garde" w:hAnsi="ITC Avant Garde" w:cs="Arial"/>
        </w:rPr>
        <w:t>, consistente en</w:t>
      </w:r>
      <w:r w:rsidR="006933E7" w:rsidRPr="00FD7BCF">
        <w:rPr>
          <w:rFonts w:ascii="ITC Avant Garde" w:hAnsi="ITC Avant Garde" w:cs="Arial"/>
        </w:rPr>
        <w:t xml:space="preserve"> el instrumento notarial </w:t>
      </w:r>
      <w:r w:rsidR="003B3DFE" w:rsidRPr="00FD7BCF">
        <w:rPr>
          <w:rFonts w:ascii="ITC Avant Garde" w:hAnsi="ITC Avant Garde" w:cs="Arial"/>
        </w:rPr>
        <w:t>número</w:t>
      </w:r>
      <w:r w:rsidR="006933E7" w:rsidRPr="00FD7BCF">
        <w:rPr>
          <w:rFonts w:ascii="ITC Avant Garde" w:hAnsi="ITC Avant Garde" w:cs="Arial"/>
        </w:rPr>
        <w:t xml:space="preserve"> 73, 402 que contiene</w:t>
      </w:r>
      <w:r w:rsidRPr="00FD7BCF">
        <w:rPr>
          <w:rFonts w:ascii="ITC Avant Garde" w:hAnsi="ITC Avant Garde" w:cs="Arial"/>
        </w:rPr>
        <w:t xml:space="preserve"> </w:t>
      </w:r>
      <w:r w:rsidR="009D7B22" w:rsidRPr="00FD7BCF">
        <w:rPr>
          <w:rFonts w:ascii="ITC Avant Garde" w:hAnsi="ITC Avant Garde" w:cs="Arial"/>
        </w:rPr>
        <w:t xml:space="preserve">la </w:t>
      </w:r>
      <w:r w:rsidRPr="00FD7BCF">
        <w:rPr>
          <w:rFonts w:ascii="ITC Avant Garde" w:hAnsi="ITC Avant Garde" w:cs="Arial"/>
        </w:rPr>
        <w:t xml:space="preserve">solicitud formal de inicio de negociaciones para convenir las condiciones tarifarias de los servicios mayoristas de Enlaces Dedicados para el periodo de </w:t>
      </w:r>
      <w:r w:rsidR="009D7B22" w:rsidRPr="00FD7BCF">
        <w:rPr>
          <w:rFonts w:ascii="ITC Avant Garde" w:hAnsi="ITC Avant Garde" w:cs="Arial"/>
        </w:rPr>
        <w:t xml:space="preserve">del 01 de enero de </w:t>
      </w:r>
      <w:r w:rsidRPr="00FD7BCF">
        <w:rPr>
          <w:rFonts w:ascii="ITC Avant Garde" w:hAnsi="ITC Avant Garde" w:cs="Arial"/>
        </w:rPr>
        <w:t>2016</w:t>
      </w:r>
      <w:r w:rsidR="009D7B22" w:rsidRPr="00FD7BCF">
        <w:rPr>
          <w:rFonts w:ascii="ITC Avant Garde" w:hAnsi="ITC Avant Garde" w:cs="Arial"/>
        </w:rPr>
        <w:t xml:space="preserve"> al 31 de diciembre de 2017</w:t>
      </w:r>
      <w:r w:rsidRPr="00FD7BCF">
        <w:rPr>
          <w:rFonts w:ascii="ITC Avant Garde" w:hAnsi="ITC Avant Garde" w:cs="Arial"/>
        </w:rPr>
        <w:t xml:space="preserve">, notificada a Telmex </w:t>
      </w:r>
      <w:r w:rsidR="009D7B22" w:rsidRPr="00FD7BCF">
        <w:rPr>
          <w:rFonts w:ascii="ITC Avant Garde" w:hAnsi="ITC Avant Garde" w:cs="Arial"/>
        </w:rPr>
        <w:t>el 29</w:t>
      </w:r>
      <w:r w:rsidRPr="00FD7BCF">
        <w:rPr>
          <w:rFonts w:ascii="ITC Avant Garde" w:hAnsi="ITC Avant Garde" w:cs="Arial"/>
        </w:rPr>
        <w:t xml:space="preserve"> de </w:t>
      </w:r>
      <w:r w:rsidR="009D7B22" w:rsidRPr="00FD7BCF">
        <w:rPr>
          <w:rFonts w:ascii="ITC Avant Garde" w:hAnsi="ITC Avant Garde" w:cs="Arial"/>
        </w:rPr>
        <w:t>enero de 2016</w:t>
      </w:r>
      <w:r w:rsidRPr="00FD7BCF">
        <w:rPr>
          <w:rFonts w:ascii="ITC Avant Garde" w:hAnsi="ITC Avant Garde" w:cs="Arial"/>
        </w:rPr>
        <w:t xml:space="preserve">, </w:t>
      </w:r>
      <w:r w:rsidRPr="00FD7BCF">
        <w:rPr>
          <w:rFonts w:ascii="ITC Avant Garde" w:hAnsi="ITC Avant Garde"/>
        </w:rPr>
        <w:t>se le otorga valor probatorio</w:t>
      </w:r>
      <w:r w:rsidRPr="00FD7BCF">
        <w:rPr>
          <w:rFonts w:ascii="ITC Avant Garde" w:hAnsi="ITC Avant Garde" w:cs="Arial"/>
        </w:rPr>
        <w:t xml:space="preserve"> en términos de los artículos 197 y </w:t>
      </w:r>
      <w:r w:rsidR="00BD02E1" w:rsidRPr="00FD7BCF">
        <w:rPr>
          <w:rFonts w:ascii="ITC Avant Garde" w:hAnsi="ITC Avant Garde" w:cs="Arial"/>
        </w:rPr>
        <w:t xml:space="preserve">202 </w:t>
      </w:r>
      <w:r w:rsidRPr="00FD7BCF">
        <w:rPr>
          <w:rFonts w:ascii="ITC Avant Garde" w:hAnsi="ITC Avant Garde" w:cs="Arial"/>
        </w:rPr>
        <w:t xml:space="preserve">del CFPC, </w:t>
      </w:r>
      <w:r w:rsidRPr="00FD7BCF">
        <w:rPr>
          <w:rFonts w:ascii="ITC Avant Garde" w:hAnsi="ITC Avant Garde"/>
        </w:rPr>
        <w:t>al hacer prueba plena de los hechos legalmente afirmados consistente en el inicio de negociaciones tendientes a convenir tarifas para el periodo del 1 de enero</w:t>
      </w:r>
      <w:r w:rsidR="008A755C" w:rsidRPr="00FD7BCF">
        <w:rPr>
          <w:rFonts w:ascii="ITC Avant Garde" w:hAnsi="ITC Avant Garde"/>
        </w:rPr>
        <w:t xml:space="preserve"> </w:t>
      </w:r>
      <w:r w:rsidR="009D7B22" w:rsidRPr="00FD7BCF">
        <w:rPr>
          <w:rFonts w:ascii="ITC Avant Garde" w:hAnsi="ITC Avant Garde"/>
        </w:rPr>
        <w:t>de 2016 al 31 de diciembre de 2017</w:t>
      </w:r>
      <w:r w:rsidRPr="00FD7BCF">
        <w:rPr>
          <w:rFonts w:ascii="ITC Avant Garde" w:hAnsi="ITC Avant Garde"/>
        </w:rPr>
        <w:t xml:space="preserve">, por lo que este Instituto considera que la petición de </w:t>
      </w:r>
      <w:r w:rsidR="009D7B22" w:rsidRPr="00FD7BCF">
        <w:rPr>
          <w:rFonts w:ascii="ITC Avant Garde" w:hAnsi="ITC Avant Garde"/>
        </w:rPr>
        <w:t xml:space="preserve">Grupo Televisa </w:t>
      </w:r>
      <w:r w:rsidRPr="00FD7BCF">
        <w:rPr>
          <w:rFonts w:ascii="ITC Avant Garde" w:hAnsi="ITC Avant Garde"/>
        </w:rPr>
        <w:t>se encuentra debidamente acreditada</w:t>
      </w:r>
      <w:r w:rsidR="009D7B22" w:rsidRPr="00FD7BCF">
        <w:rPr>
          <w:rFonts w:ascii="ITC Avant Garde" w:hAnsi="ITC Avant Garde"/>
        </w:rPr>
        <w:t>.</w:t>
      </w:r>
    </w:p>
    <w:p w14:paraId="7F60675C" w14:textId="77777777" w:rsidR="00B42019" w:rsidRDefault="006933E7" w:rsidP="00B42019">
      <w:pPr>
        <w:pStyle w:val="Prrafodelista"/>
        <w:widowControl w:val="0"/>
        <w:numPr>
          <w:ilvl w:val="0"/>
          <w:numId w:val="17"/>
        </w:numPr>
        <w:tabs>
          <w:tab w:val="left" w:pos="720"/>
        </w:tabs>
        <w:spacing w:before="240" w:after="160" w:line="276" w:lineRule="auto"/>
        <w:rPr>
          <w:rFonts w:ascii="ITC Avant Garde" w:hAnsi="ITC Avant Garde"/>
        </w:rPr>
      </w:pPr>
      <w:r w:rsidRPr="00FD7BCF">
        <w:rPr>
          <w:rFonts w:ascii="ITC Avant Garde" w:hAnsi="ITC Avant Garde" w:cs="Arial"/>
        </w:rPr>
        <w:t xml:space="preserve">Respecto a la Documental </w:t>
      </w:r>
      <w:r w:rsidR="00BD02E1" w:rsidRPr="00FD7BCF">
        <w:rPr>
          <w:rFonts w:ascii="ITC Avant Garde" w:hAnsi="ITC Avant Garde" w:cs="Arial"/>
        </w:rPr>
        <w:t>pública</w:t>
      </w:r>
      <w:r w:rsidRPr="00FD7BCF">
        <w:rPr>
          <w:rFonts w:ascii="ITC Avant Garde" w:hAnsi="ITC Avant Garde" w:cs="Arial"/>
        </w:rPr>
        <w:t xml:space="preserve">, consistente en el instrumento notarial </w:t>
      </w:r>
      <w:r w:rsidR="003C5C93" w:rsidRPr="00FD7BCF">
        <w:rPr>
          <w:rFonts w:ascii="ITC Avant Garde" w:hAnsi="ITC Avant Garde" w:cs="Arial"/>
        </w:rPr>
        <w:t>número</w:t>
      </w:r>
      <w:r w:rsidRPr="00FD7BCF">
        <w:rPr>
          <w:rFonts w:ascii="ITC Avant Garde" w:hAnsi="ITC Avant Garde" w:cs="Arial"/>
        </w:rPr>
        <w:t xml:space="preserve"> 73, 403 que contiene la solicitud formal de inicio de negociaciones para convenir las condiciones tarifarias de los servicios mayoristas de Enlaces Dedicados para el periodo de del 01 de enero de 2016 al 31 de diciembre de 2017, notificada a </w:t>
      </w:r>
      <w:proofErr w:type="spellStart"/>
      <w:r w:rsidRPr="00FD7BCF">
        <w:rPr>
          <w:rFonts w:ascii="ITC Avant Garde" w:hAnsi="ITC Avant Garde" w:cs="Arial"/>
        </w:rPr>
        <w:t>Telnor</w:t>
      </w:r>
      <w:proofErr w:type="spellEnd"/>
      <w:r w:rsidRPr="00FD7BCF">
        <w:rPr>
          <w:rFonts w:ascii="ITC Avant Garde" w:hAnsi="ITC Avant Garde" w:cs="Arial"/>
        </w:rPr>
        <w:t xml:space="preserve"> el 29 de enero de 2016, </w:t>
      </w:r>
      <w:r w:rsidRPr="00FD7BCF">
        <w:rPr>
          <w:rFonts w:ascii="ITC Avant Garde" w:hAnsi="ITC Avant Garde"/>
        </w:rPr>
        <w:t>se le otorga valor probatorio</w:t>
      </w:r>
      <w:r w:rsidRPr="00FD7BCF">
        <w:rPr>
          <w:rFonts w:ascii="ITC Avant Garde" w:hAnsi="ITC Avant Garde" w:cs="Arial"/>
        </w:rPr>
        <w:t xml:space="preserve"> en términos de los artículos 197 y </w:t>
      </w:r>
      <w:r w:rsidR="00BD02E1" w:rsidRPr="00FD7BCF">
        <w:rPr>
          <w:rFonts w:ascii="ITC Avant Garde" w:hAnsi="ITC Avant Garde" w:cs="Arial"/>
        </w:rPr>
        <w:t xml:space="preserve">202 </w:t>
      </w:r>
      <w:r w:rsidRPr="00FD7BCF">
        <w:rPr>
          <w:rFonts w:ascii="ITC Avant Garde" w:hAnsi="ITC Avant Garde" w:cs="Arial"/>
        </w:rPr>
        <w:t xml:space="preserve">del CFPC, </w:t>
      </w:r>
      <w:r w:rsidRPr="00FD7BCF">
        <w:rPr>
          <w:rFonts w:ascii="ITC Avant Garde" w:hAnsi="ITC Avant Garde"/>
        </w:rPr>
        <w:t>al hacer prueba plena de los hechos legalmente afirmados consistente en el  inicio de negociaciones tendientes a convenir tarifas para el periodo del 1 de enero</w:t>
      </w:r>
      <w:r w:rsidR="008A755C" w:rsidRPr="00FD7BCF">
        <w:rPr>
          <w:rFonts w:ascii="ITC Avant Garde" w:hAnsi="ITC Avant Garde"/>
        </w:rPr>
        <w:t xml:space="preserve"> </w:t>
      </w:r>
      <w:r w:rsidRPr="00FD7BCF">
        <w:rPr>
          <w:rFonts w:ascii="ITC Avant Garde" w:hAnsi="ITC Avant Garde"/>
        </w:rPr>
        <w:t>de 2016 al 31 de diciembre de 2017, por lo que este Instituto considera que la petición de Grupo Televisa se encuentra debidamente acreditada.</w:t>
      </w:r>
    </w:p>
    <w:p w14:paraId="722495E4" w14:textId="77777777" w:rsidR="00B42019" w:rsidRDefault="00083CEC" w:rsidP="00B42019">
      <w:pPr>
        <w:pStyle w:val="Piedepgina"/>
        <w:widowControl w:val="0"/>
        <w:numPr>
          <w:ilvl w:val="0"/>
          <w:numId w:val="17"/>
        </w:numPr>
        <w:tabs>
          <w:tab w:val="left" w:pos="720"/>
        </w:tabs>
        <w:spacing w:before="240" w:after="160" w:line="276" w:lineRule="auto"/>
        <w:jc w:val="both"/>
        <w:rPr>
          <w:rFonts w:ascii="ITC Avant Garde" w:eastAsia="Times New Roman" w:hAnsi="ITC Avant Garde"/>
          <w:lang w:eastAsia="es-ES"/>
        </w:rPr>
      </w:pPr>
      <w:r w:rsidRPr="00FD7BCF">
        <w:rPr>
          <w:rFonts w:ascii="ITC Avant Garde" w:hAnsi="ITC Avant Garde" w:cs="Arial"/>
        </w:rPr>
        <w:t xml:space="preserve">En relación con </w:t>
      </w:r>
      <w:r w:rsidR="00472289" w:rsidRPr="00FD7BCF">
        <w:rPr>
          <w:rFonts w:ascii="ITC Avant Garde" w:hAnsi="ITC Avant Garde" w:cs="Arial"/>
        </w:rPr>
        <w:t xml:space="preserve">la </w:t>
      </w:r>
      <w:proofErr w:type="spellStart"/>
      <w:r w:rsidR="001153C2" w:rsidRPr="00FD7BCF">
        <w:rPr>
          <w:rFonts w:ascii="ITC Avant Garde" w:hAnsi="ITC Avant Garde" w:cs="Arial"/>
        </w:rPr>
        <w:t>Presuncional</w:t>
      </w:r>
      <w:proofErr w:type="spellEnd"/>
      <w:r w:rsidR="001153C2" w:rsidRPr="00FD7BCF">
        <w:rPr>
          <w:rFonts w:ascii="ITC Avant Garde" w:hAnsi="ITC Avant Garde" w:cs="Arial"/>
        </w:rPr>
        <w:t>, en su doble aspecto, legal y humana, ofrecida como prueba, se le da valor probatorio en términos del artículo 218 del CFPC al ser ésta la consecuencia lógica y natural de hechos conocidos y probados al momento de hacer la deducción respectiva.</w:t>
      </w:r>
    </w:p>
    <w:p w14:paraId="45DF9101" w14:textId="77777777" w:rsidR="00B42019" w:rsidRDefault="00472289" w:rsidP="00B42019">
      <w:pPr>
        <w:pStyle w:val="Piedepgina"/>
        <w:widowControl w:val="0"/>
        <w:numPr>
          <w:ilvl w:val="0"/>
          <w:numId w:val="17"/>
        </w:numPr>
        <w:tabs>
          <w:tab w:val="left" w:pos="720"/>
        </w:tabs>
        <w:spacing w:before="240" w:after="160" w:line="276" w:lineRule="auto"/>
        <w:jc w:val="both"/>
        <w:rPr>
          <w:rFonts w:ascii="ITC Avant Garde" w:hAnsi="ITC Avant Garde" w:cs="Arial"/>
        </w:rPr>
      </w:pPr>
      <w:r w:rsidRPr="00FD7BCF">
        <w:rPr>
          <w:rFonts w:ascii="ITC Avant Garde" w:hAnsi="ITC Avant Garde" w:cs="Arial"/>
        </w:rPr>
        <w:lastRenderedPageBreak/>
        <w:t xml:space="preserve">Respecto a la </w:t>
      </w:r>
      <w:r w:rsidR="001153C2" w:rsidRPr="00FD7BCF">
        <w:rPr>
          <w:rFonts w:ascii="ITC Avant Garde" w:hAnsi="ITC Avant Garde" w:cs="Arial"/>
        </w:rPr>
        <w:t>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74443977" w14:textId="77777777" w:rsidR="00B42019" w:rsidRDefault="003A784E" w:rsidP="00B42019">
      <w:pPr>
        <w:spacing w:before="240" w:line="276" w:lineRule="auto"/>
        <w:rPr>
          <w:rFonts w:ascii="ITC Avant Garde" w:hAnsi="ITC Avant Garde"/>
          <w:b/>
        </w:rPr>
      </w:pPr>
      <w:r w:rsidRPr="00FD7BCF">
        <w:rPr>
          <w:rFonts w:ascii="ITC Avant Garde" w:hAnsi="ITC Avant Garde"/>
          <w:b/>
        </w:rPr>
        <w:t>3</w:t>
      </w:r>
      <w:r w:rsidR="004C0124" w:rsidRPr="00FD7BCF">
        <w:rPr>
          <w:rFonts w:ascii="ITC Avant Garde" w:hAnsi="ITC Avant Garde"/>
          <w:b/>
        </w:rPr>
        <w:t>.2 Pruebas ofrecidas por México Red</w:t>
      </w:r>
    </w:p>
    <w:p w14:paraId="380D50A4" w14:textId="77777777" w:rsidR="00B42019" w:rsidRDefault="004C0124" w:rsidP="00B42019">
      <w:pPr>
        <w:pStyle w:val="Prrafodelista"/>
        <w:widowControl w:val="0"/>
        <w:numPr>
          <w:ilvl w:val="0"/>
          <w:numId w:val="29"/>
        </w:numPr>
        <w:tabs>
          <w:tab w:val="left" w:pos="720"/>
        </w:tabs>
        <w:spacing w:before="240" w:after="160" w:line="276" w:lineRule="auto"/>
        <w:rPr>
          <w:rFonts w:ascii="ITC Avant Garde" w:hAnsi="ITC Avant Garde"/>
        </w:rPr>
      </w:pPr>
      <w:r w:rsidRPr="00FD7BCF">
        <w:rPr>
          <w:rFonts w:ascii="ITC Avant Garde" w:hAnsi="ITC Avant Garde" w:cs="Arial"/>
        </w:rPr>
        <w:t xml:space="preserve">Respecto a la Documental </w:t>
      </w:r>
      <w:r w:rsidR="00BD02E1" w:rsidRPr="00FD7BCF">
        <w:rPr>
          <w:rFonts w:ascii="ITC Avant Garde" w:hAnsi="ITC Avant Garde" w:cs="Arial"/>
        </w:rPr>
        <w:t>pública</w:t>
      </w:r>
      <w:r w:rsidRPr="00FD7BCF">
        <w:rPr>
          <w:rFonts w:ascii="ITC Avant Garde" w:hAnsi="ITC Avant Garde" w:cs="Arial"/>
        </w:rPr>
        <w:t xml:space="preserve">, consistente en el instrumento notarial </w:t>
      </w:r>
      <w:r w:rsidR="003C5C93" w:rsidRPr="00FD7BCF">
        <w:rPr>
          <w:rFonts w:ascii="ITC Avant Garde" w:hAnsi="ITC Avant Garde" w:cs="Arial"/>
        </w:rPr>
        <w:t>número</w:t>
      </w:r>
      <w:r w:rsidRPr="00FD7BCF">
        <w:rPr>
          <w:rFonts w:ascii="ITC Avant Garde" w:hAnsi="ITC Avant Garde" w:cs="Arial"/>
        </w:rPr>
        <w:t xml:space="preserve"> 73, 400 que contiene la solicitud formal de inicio de negociaciones para convenir las condiciones tarifarias de los servicios mayoristas de Enlaces Dedicados para el periodo de del 01 de enero de 2016 al 31 de diciembre de 2017, notificada a Telmex el 29 de enero de 2016, </w:t>
      </w:r>
      <w:r w:rsidRPr="00FD7BCF">
        <w:rPr>
          <w:rFonts w:ascii="ITC Avant Garde" w:hAnsi="ITC Avant Garde"/>
        </w:rPr>
        <w:t>se le otorga valor probatorio</w:t>
      </w:r>
      <w:r w:rsidRPr="00FD7BCF">
        <w:rPr>
          <w:rFonts w:ascii="ITC Avant Garde" w:hAnsi="ITC Avant Garde" w:cs="Arial"/>
        </w:rPr>
        <w:t xml:space="preserve"> en términos de los artículos 197 y </w:t>
      </w:r>
      <w:r w:rsidR="00BD02E1" w:rsidRPr="00FD7BCF">
        <w:rPr>
          <w:rFonts w:ascii="ITC Avant Garde" w:hAnsi="ITC Avant Garde" w:cs="Arial"/>
        </w:rPr>
        <w:t xml:space="preserve">202 </w:t>
      </w:r>
      <w:r w:rsidRPr="00FD7BCF">
        <w:rPr>
          <w:rFonts w:ascii="ITC Avant Garde" w:hAnsi="ITC Avant Garde" w:cs="Arial"/>
        </w:rPr>
        <w:t xml:space="preserve">del CFPC, </w:t>
      </w:r>
      <w:r w:rsidRPr="00FD7BCF">
        <w:rPr>
          <w:rFonts w:ascii="ITC Avant Garde" w:hAnsi="ITC Avant Garde"/>
        </w:rPr>
        <w:t xml:space="preserve">al hacer prueba plena de los hechos legalmente afirmados consistente en el inicio de negociaciones tendientes a convenir tarifas para el periodo del 1 de </w:t>
      </w:r>
      <w:r w:rsidR="003C5C93" w:rsidRPr="00FD7BCF">
        <w:rPr>
          <w:rFonts w:ascii="ITC Avant Garde" w:hAnsi="ITC Avant Garde"/>
        </w:rPr>
        <w:t>enero del</w:t>
      </w:r>
      <w:r w:rsidRPr="00FD7BCF">
        <w:rPr>
          <w:rFonts w:ascii="ITC Avant Garde" w:hAnsi="ITC Avant Garde"/>
        </w:rPr>
        <w:t xml:space="preserve"> 2016 al 31 de diciembre de 2017, por lo que este Instituto considera que la petición de México Red se encuentra debidamente acreditada.</w:t>
      </w:r>
    </w:p>
    <w:p w14:paraId="0A731A0D" w14:textId="77777777" w:rsidR="00B42019" w:rsidRDefault="004C0124" w:rsidP="00B42019">
      <w:pPr>
        <w:pStyle w:val="Prrafodelista"/>
        <w:widowControl w:val="0"/>
        <w:numPr>
          <w:ilvl w:val="0"/>
          <w:numId w:val="29"/>
        </w:numPr>
        <w:tabs>
          <w:tab w:val="left" w:pos="720"/>
        </w:tabs>
        <w:spacing w:before="240" w:after="160" w:line="276" w:lineRule="auto"/>
        <w:rPr>
          <w:rFonts w:ascii="ITC Avant Garde" w:hAnsi="ITC Avant Garde"/>
        </w:rPr>
      </w:pPr>
      <w:r w:rsidRPr="00FD7BCF">
        <w:rPr>
          <w:rFonts w:ascii="ITC Avant Garde" w:hAnsi="ITC Avant Garde" w:cs="Arial"/>
        </w:rPr>
        <w:t xml:space="preserve">Respecto a la Documental </w:t>
      </w:r>
      <w:r w:rsidR="00BD02E1" w:rsidRPr="00FD7BCF">
        <w:rPr>
          <w:rFonts w:ascii="ITC Avant Garde" w:hAnsi="ITC Avant Garde" w:cs="Arial"/>
        </w:rPr>
        <w:t>pública</w:t>
      </w:r>
      <w:r w:rsidRPr="00FD7BCF">
        <w:rPr>
          <w:rFonts w:ascii="ITC Avant Garde" w:hAnsi="ITC Avant Garde" w:cs="Arial"/>
        </w:rPr>
        <w:t>, consistente en el instrumento notarial n</w:t>
      </w:r>
      <w:r w:rsidR="0035126E" w:rsidRPr="00FD7BCF">
        <w:rPr>
          <w:rFonts w:ascii="ITC Avant Garde" w:hAnsi="ITC Avant Garde" w:cs="Arial"/>
        </w:rPr>
        <w:t>ú</w:t>
      </w:r>
      <w:r w:rsidRPr="00FD7BCF">
        <w:rPr>
          <w:rFonts w:ascii="ITC Avant Garde" w:hAnsi="ITC Avant Garde" w:cs="Arial"/>
        </w:rPr>
        <w:t xml:space="preserve">mero 73, 401 que contiene la solicitud formal de inicio de negociaciones para convenir las condiciones tarifarias de los servicios mayoristas de Enlaces Dedicados para el periodo de del 01 de enero de 2016 al 31 de diciembre de 2017, notificada a </w:t>
      </w:r>
      <w:proofErr w:type="spellStart"/>
      <w:r w:rsidRPr="00FD7BCF">
        <w:rPr>
          <w:rFonts w:ascii="ITC Avant Garde" w:hAnsi="ITC Avant Garde" w:cs="Arial"/>
        </w:rPr>
        <w:t>Telnor</w:t>
      </w:r>
      <w:proofErr w:type="spellEnd"/>
      <w:r w:rsidRPr="00FD7BCF">
        <w:rPr>
          <w:rFonts w:ascii="ITC Avant Garde" w:hAnsi="ITC Avant Garde" w:cs="Arial"/>
        </w:rPr>
        <w:t xml:space="preserve"> el 29 de enero de 2016, </w:t>
      </w:r>
      <w:r w:rsidRPr="00FD7BCF">
        <w:rPr>
          <w:rFonts w:ascii="ITC Avant Garde" w:hAnsi="ITC Avant Garde"/>
        </w:rPr>
        <w:t>se le otorga valor probatorio</w:t>
      </w:r>
      <w:r w:rsidRPr="00FD7BCF">
        <w:rPr>
          <w:rFonts w:ascii="ITC Avant Garde" w:hAnsi="ITC Avant Garde" w:cs="Arial"/>
        </w:rPr>
        <w:t xml:space="preserve"> en términos de los artículos 197 y </w:t>
      </w:r>
      <w:r w:rsidR="00BD02E1" w:rsidRPr="00FD7BCF">
        <w:rPr>
          <w:rFonts w:ascii="ITC Avant Garde" w:hAnsi="ITC Avant Garde" w:cs="Arial"/>
        </w:rPr>
        <w:t xml:space="preserve">202 </w:t>
      </w:r>
      <w:r w:rsidRPr="00FD7BCF">
        <w:rPr>
          <w:rFonts w:ascii="ITC Avant Garde" w:hAnsi="ITC Avant Garde" w:cs="Arial"/>
        </w:rPr>
        <w:t xml:space="preserve">del CFPC, </w:t>
      </w:r>
      <w:r w:rsidRPr="00FD7BCF">
        <w:rPr>
          <w:rFonts w:ascii="ITC Avant Garde" w:hAnsi="ITC Avant Garde"/>
        </w:rPr>
        <w:t xml:space="preserve">al hacer prueba plena de los hechos legalmente afirmados consistente en el  inicio de negociaciones tendientes a convenir tarifas para el periodo del 1 de </w:t>
      </w:r>
      <w:r w:rsidR="003C5C93" w:rsidRPr="00FD7BCF">
        <w:rPr>
          <w:rFonts w:ascii="ITC Avant Garde" w:hAnsi="ITC Avant Garde"/>
        </w:rPr>
        <w:t>enero del</w:t>
      </w:r>
      <w:r w:rsidRPr="00FD7BCF">
        <w:rPr>
          <w:rFonts w:ascii="ITC Avant Garde" w:hAnsi="ITC Avant Garde"/>
        </w:rPr>
        <w:t xml:space="preserve"> 2016 al 31 de diciembre de 2017, por lo que este Instituto considera que la petición de México Red se encuentra debidamente acreditada.</w:t>
      </w:r>
    </w:p>
    <w:p w14:paraId="2EC4C369" w14:textId="77777777" w:rsidR="00B42019" w:rsidRDefault="004C0124" w:rsidP="00B42019">
      <w:pPr>
        <w:pStyle w:val="Piedepgina"/>
        <w:widowControl w:val="0"/>
        <w:numPr>
          <w:ilvl w:val="0"/>
          <w:numId w:val="29"/>
        </w:numPr>
        <w:tabs>
          <w:tab w:val="left" w:pos="720"/>
        </w:tabs>
        <w:spacing w:before="240" w:after="160" w:line="276" w:lineRule="auto"/>
        <w:jc w:val="both"/>
        <w:rPr>
          <w:rFonts w:ascii="ITC Avant Garde" w:eastAsia="Times New Roman" w:hAnsi="ITC Avant Garde"/>
          <w:lang w:eastAsia="es-ES"/>
        </w:rPr>
      </w:pPr>
      <w:r w:rsidRPr="00FD7BCF">
        <w:rPr>
          <w:rFonts w:ascii="ITC Avant Garde" w:hAnsi="ITC Avant Garde" w:cs="Arial"/>
        </w:rPr>
        <w:t xml:space="preserve">En relación con  la </w:t>
      </w:r>
      <w:proofErr w:type="spellStart"/>
      <w:r w:rsidRPr="00FD7BCF">
        <w:rPr>
          <w:rFonts w:ascii="ITC Avant Garde" w:hAnsi="ITC Avant Garde" w:cs="Arial"/>
        </w:rPr>
        <w:t>Presuncional</w:t>
      </w:r>
      <w:proofErr w:type="spellEnd"/>
      <w:r w:rsidRPr="00FD7BCF">
        <w:rPr>
          <w:rFonts w:ascii="ITC Avant Garde" w:hAnsi="ITC Avant Garde" w:cs="Arial"/>
        </w:rPr>
        <w:t>, en su doble aspecto, legal y humana, ofrecida como prueba, se le da valor probatorio en términos del artículo 218 del CFPC al ser ésta la consecuencia lógica y natural de hechos conocidos y probados al momento de hacer la deducción respectiva.</w:t>
      </w:r>
    </w:p>
    <w:p w14:paraId="5EE6C29C" w14:textId="77777777" w:rsidR="00B42019" w:rsidRDefault="004C0124" w:rsidP="00B42019">
      <w:pPr>
        <w:pStyle w:val="Piedepgina"/>
        <w:widowControl w:val="0"/>
        <w:numPr>
          <w:ilvl w:val="0"/>
          <w:numId w:val="29"/>
        </w:numPr>
        <w:tabs>
          <w:tab w:val="left" w:pos="720"/>
        </w:tabs>
        <w:spacing w:before="240" w:after="160" w:line="276" w:lineRule="auto"/>
        <w:jc w:val="both"/>
        <w:rPr>
          <w:rFonts w:ascii="ITC Avant Garde" w:hAnsi="ITC Avant Garde" w:cs="Arial"/>
        </w:rPr>
      </w:pPr>
      <w:r w:rsidRPr="00FD7BCF">
        <w:rPr>
          <w:rFonts w:ascii="ITC Avant Garde" w:hAnsi="ITC Avant Garde" w:cs="Arial"/>
        </w:rPr>
        <w:t>Respecto a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471693F8" w14:textId="4ED5107F" w:rsidR="00B42019" w:rsidRDefault="003A784E" w:rsidP="00B42019">
      <w:pPr>
        <w:spacing w:before="240" w:line="276" w:lineRule="auto"/>
        <w:rPr>
          <w:rFonts w:ascii="ITC Avant Garde" w:hAnsi="ITC Avant Garde"/>
          <w:b/>
        </w:rPr>
      </w:pPr>
      <w:r w:rsidRPr="00FD7BCF">
        <w:rPr>
          <w:rFonts w:ascii="ITC Avant Garde" w:hAnsi="ITC Avant Garde"/>
          <w:b/>
        </w:rPr>
        <w:t>3</w:t>
      </w:r>
      <w:r w:rsidR="004C0124" w:rsidRPr="00FD7BCF">
        <w:rPr>
          <w:rFonts w:ascii="ITC Avant Garde" w:hAnsi="ITC Avant Garde"/>
          <w:b/>
        </w:rPr>
        <w:t>.3</w:t>
      </w:r>
      <w:r w:rsidR="00DC42BB" w:rsidRPr="00FD7BCF">
        <w:rPr>
          <w:rFonts w:ascii="ITC Avant Garde" w:hAnsi="ITC Avant Garde"/>
          <w:b/>
        </w:rPr>
        <w:t xml:space="preserve"> </w:t>
      </w:r>
      <w:r w:rsidR="00D90535" w:rsidRPr="00FD7BCF">
        <w:rPr>
          <w:rFonts w:ascii="ITC Avant Garde" w:hAnsi="ITC Avant Garde"/>
          <w:b/>
        </w:rPr>
        <w:t xml:space="preserve">Pruebas ofrecidas por </w:t>
      </w:r>
      <w:r w:rsidR="007A265A" w:rsidRPr="00FD7BCF">
        <w:rPr>
          <w:rFonts w:ascii="ITC Avant Garde" w:hAnsi="ITC Avant Garde"/>
          <w:b/>
        </w:rPr>
        <w:t xml:space="preserve">Telmex y </w:t>
      </w:r>
      <w:proofErr w:type="spellStart"/>
      <w:r w:rsidR="007A265A" w:rsidRPr="00FD7BCF">
        <w:rPr>
          <w:rFonts w:ascii="ITC Avant Garde" w:hAnsi="ITC Avant Garde"/>
          <w:b/>
        </w:rPr>
        <w:t>Telnor</w:t>
      </w:r>
      <w:proofErr w:type="spellEnd"/>
    </w:p>
    <w:p w14:paraId="1102A504" w14:textId="77777777" w:rsidR="00B42019" w:rsidRDefault="00C76455" w:rsidP="00B42019">
      <w:pPr>
        <w:pStyle w:val="Prrafodelista"/>
        <w:widowControl w:val="0"/>
        <w:numPr>
          <w:ilvl w:val="0"/>
          <w:numId w:val="18"/>
        </w:numPr>
        <w:tabs>
          <w:tab w:val="left" w:pos="720"/>
        </w:tabs>
        <w:spacing w:before="240" w:after="160" w:line="276" w:lineRule="auto"/>
        <w:rPr>
          <w:rFonts w:ascii="ITC Avant Garde" w:hAnsi="ITC Avant Garde"/>
        </w:rPr>
      </w:pPr>
      <w:r w:rsidRPr="00FD7BCF">
        <w:rPr>
          <w:rFonts w:ascii="ITC Avant Garde" w:hAnsi="ITC Avant Garde"/>
        </w:rPr>
        <w:lastRenderedPageBreak/>
        <w:t xml:space="preserve">Con relación a la publicación de Ofertas de Referencia para el Servicio Mayorista de Arrendamiento de Enlaces Dedicados del Telmex y </w:t>
      </w:r>
      <w:proofErr w:type="spellStart"/>
      <w:r w:rsidRPr="00FD7BCF">
        <w:rPr>
          <w:rFonts w:ascii="ITC Avant Garde" w:hAnsi="ITC Avant Garde"/>
        </w:rPr>
        <w:t>Telnor</w:t>
      </w:r>
      <w:proofErr w:type="spellEnd"/>
      <w:r w:rsidRPr="00FD7BCF">
        <w:rPr>
          <w:rFonts w:ascii="ITC Avant Garde" w:hAnsi="ITC Avant Garde"/>
        </w:rPr>
        <w:t xml:space="preserve">, mismas que se encuentran disponibles en sus sitios de internet, este Instituto le da valor probatorio en términos de lo establecido en los artículos 197, </w:t>
      </w:r>
      <w:r w:rsidR="00BD02E1" w:rsidRPr="00FD7BCF">
        <w:rPr>
          <w:rFonts w:ascii="ITC Avant Garde" w:hAnsi="ITC Avant Garde"/>
        </w:rPr>
        <w:t xml:space="preserve">203 </w:t>
      </w:r>
      <w:r w:rsidRPr="00FD7BCF">
        <w:rPr>
          <w:rFonts w:ascii="ITC Avant Garde" w:hAnsi="ITC Avant Garde"/>
        </w:rPr>
        <w:t>y 210-A del CFPC</w:t>
      </w:r>
      <w:r w:rsidR="003C5C93" w:rsidRPr="00FD7BCF">
        <w:rPr>
          <w:rFonts w:ascii="ITC Avant Garde" w:hAnsi="ITC Avant Garde"/>
        </w:rPr>
        <w:t>,</w:t>
      </w:r>
      <w:r w:rsidRPr="00FD7BCF">
        <w:rPr>
          <w:rFonts w:ascii="ITC Avant Garde" w:hAnsi="ITC Avant Garde"/>
        </w:rPr>
        <w:t xml:space="preserve"> al hacer prueba plena de los hechos legalmente afirmados consistente en que el Pleno del Instituto aprobó las Ofertas de Referencia publicadas por Telmex y </w:t>
      </w:r>
      <w:proofErr w:type="spellStart"/>
      <w:r w:rsidRPr="00FD7BCF">
        <w:rPr>
          <w:rFonts w:ascii="ITC Avant Garde" w:hAnsi="ITC Avant Garde"/>
        </w:rPr>
        <w:t>Telnor</w:t>
      </w:r>
      <w:proofErr w:type="spellEnd"/>
      <w:r w:rsidRPr="00FD7BCF">
        <w:rPr>
          <w:rFonts w:ascii="ITC Avant Garde" w:hAnsi="ITC Avant Garde"/>
        </w:rPr>
        <w:t>.</w:t>
      </w:r>
    </w:p>
    <w:p w14:paraId="5498C975" w14:textId="77777777" w:rsidR="00B42019" w:rsidRDefault="00C76455" w:rsidP="00B42019">
      <w:pPr>
        <w:pStyle w:val="Piedepgina"/>
        <w:widowControl w:val="0"/>
        <w:numPr>
          <w:ilvl w:val="0"/>
          <w:numId w:val="18"/>
        </w:numPr>
        <w:tabs>
          <w:tab w:val="left" w:pos="720"/>
        </w:tabs>
        <w:spacing w:before="240" w:after="160" w:line="276" w:lineRule="auto"/>
        <w:jc w:val="both"/>
        <w:rPr>
          <w:rFonts w:ascii="ITC Avant Garde" w:eastAsia="Times New Roman" w:hAnsi="ITC Avant Garde"/>
          <w:lang w:eastAsia="es-ES"/>
        </w:rPr>
      </w:pPr>
      <w:r w:rsidRPr="00FD7BCF">
        <w:rPr>
          <w:rFonts w:ascii="ITC Avant Garde" w:hAnsi="ITC Avant Garde" w:cs="Arial"/>
        </w:rPr>
        <w:t xml:space="preserve">En relación con la </w:t>
      </w:r>
      <w:proofErr w:type="spellStart"/>
      <w:r w:rsidRPr="00FD7BCF">
        <w:rPr>
          <w:rFonts w:ascii="ITC Avant Garde" w:hAnsi="ITC Avant Garde" w:cs="Arial"/>
        </w:rPr>
        <w:t>Presuncional</w:t>
      </w:r>
      <w:proofErr w:type="spellEnd"/>
      <w:r w:rsidRPr="00FD7BCF">
        <w:rPr>
          <w:rFonts w:ascii="ITC Avant Garde" w:hAnsi="ITC Avant Garde" w:cs="Arial"/>
        </w:rPr>
        <w:t>, en su doble aspecto, legal y humana, ofrecida como prueba, se le da valor probatorio en términos del artículo 218 del CFPC al ser ésta la consecuencia lógica y natural de hechos conocidos y probados al momento de hacer la deducción respectiva.</w:t>
      </w:r>
    </w:p>
    <w:p w14:paraId="270A6CA4" w14:textId="77777777" w:rsidR="00B42019" w:rsidRDefault="00C76455" w:rsidP="00B42019">
      <w:pPr>
        <w:pStyle w:val="Piedepgina"/>
        <w:widowControl w:val="0"/>
        <w:numPr>
          <w:ilvl w:val="0"/>
          <w:numId w:val="18"/>
        </w:numPr>
        <w:tabs>
          <w:tab w:val="left" w:pos="720"/>
        </w:tabs>
        <w:spacing w:before="240" w:after="160" w:line="276" w:lineRule="auto"/>
        <w:jc w:val="both"/>
        <w:rPr>
          <w:rFonts w:ascii="ITC Avant Garde" w:hAnsi="ITC Avant Garde" w:cs="Arial"/>
        </w:rPr>
      </w:pPr>
      <w:r w:rsidRPr="00FD7BCF">
        <w:rPr>
          <w:rFonts w:ascii="ITC Avant Garde" w:hAnsi="ITC Avant Garde" w:cs="Arial"/>
        </w:rPr>
        <w:t>Respecto a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75A43DF1" w14:textId="04756759" w:rsidR="00310FBA" w:rsidRPr="00FD7BCF" w:rsidRDefault="00F82F9A" w:rsidP="00B42019">
      <w:pPr>
        <w:pStyle w:val="Piedepgina"/>
        <w:widowControl w:val="0"/>
        <w:numPr>
          <w:ilvl w:val="0"/>
          <w:numId w:val="18"/>
        </w:numPr>
        <w:tabs>
          <w:tab w:val="left" w:pos="720"/>
        </w:tabs>
        <w:spacing w:before="240" w:after="160" w:line="276" w:lineRule="auto"/>
        <w:jc w:val="both"/>
        <w:rPr>
          <w:rFonts w:ascii="ITC Avant Garde" w:eastAsia="Times New Roman" w:hAnsi="ITC Avant Garde"/>
          <w:lang w:eastAsia="es-ES"/>
        </w:rPr>
      </w:pPr>
      <w:r w:rsidRPr="00FD7BCF">
        <w:rPr>
          <w:rFonts w:ascii="ITC Avant Garde" w:hAnsi="ITC Avant Garde" w:cs="Arial"/>
        </w:rPr>
        <w:t>Respecto de la prueba pericial en materia de economía ofrecida por</w:t>
      </w:r>
      <w:r w:rsidR="00C76455" w:rsidRPr="00FD7BCF">
        <w:rPr>
          <w:rFonts w:ascii="ITC Avant Garde" w:hAnsi="ITC Avant Garde" w:cs="Arial"/>
        </w:rPr>
        <w:t xml:space="preserve"> Telmex y </w:t>
      </w:r>
      <w:proofErr w:type="spellStart"/>
      <w:r w:rsidR="00C76455" w:rsidRPr="00FD7BCF">
        <w:rPr>
          <w:rFonts w:ascii="ITC Avant Garde" w:hAnsi="ITC Avant Garde" w:cs="Arial"/>
        </w:rPr>
        <w:t>Telnor</w:t>
      </w:r>
      <w:proofErr w:type="spellEnd"/>
      <w:r w:rsidRPr="00FD7BCF">
        <w:rPr>
          <w:rFonts w:ascii="ITC Avant Garde" w:hAnsi="ITC Avant Garde" w:cs="Arial"/>
        </w:rPr>
        <w:t xml:space="preserve">, </w:t>
      </w:r>
      <w:r w:rsidR="00493D19" w:rsidRPr="00FD7BCF">
        <w:rPr>
          <w:rFonts w:ascii="ITC Avant Garde" w:hAnsi="ITC Avant Garde"/>
        </w:rPr>
        <w:t>este Instituto valora la mis</w:t>
      </w:r>
      <w:r w:rsidR="00950401" w:rsidRPr="00FD7BCF">
        <w:rPr>
          <w:rFonts w:ascii="ITC Avant Garde" w:hAnsi="ITC Avant Garde"/>
        </w:rPr>
        <w:t>ma en términos del artículo 211</w:t>
      </w:r>
      <w:r w:rsidR="00493D19" w:rsidRPr="00FD7BCF">
        <w:rPr>
          <w:rFonts w:ascii="ITC Avant Garde" w:hAnsi="ITC Avant Garde"/>
        </w:rPr>
        <w:t xml:space="preserve"> del CFPC</w:t>
      </w:r>
      <w:r w:rsidR="00950401" w:rsidRPr="00FD7BCF">
        <w:rPr>
          <w:rFonts w:ascii="ITC Avant Garde" w:hAnsi="ITC Avant Garde"/>
        </w:rPr>
        <w:t xml:space="preserve">, </w:t>
      </w:r>
      <w:r w:rsidR="001153C2" w:rsidRPr="00FD7BCF">
        <w:rPr>
          <w:rFonts w:ascii="ITC Avant Garde" w:eastAsia="Times New Roman" w:hAnsi="ITC Avant Garde"/>
          <w:lang w:eastAsia="es-ES"/>
        </w:rPr>
        <w:t xml:space="preserve">en los siguientes términos: </w:t>
      </w:r>
    </w:p>
    <w:p w14:paraId="72BD0051" w14:textId="77777777" w:rsidR="00B42019" w:rsidRDefault="00C20FF9"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 xml:space="preserve">Preguntas en materia económica propuestas por Telmex y </w:t>
      </w:r>
      <w:proofErr w:type="spellStart"/>
      <w:r w:rsidRPr="00FD7BCF">
        <w:rPr>
          <w:rFonts w:ascii="ITC Avant Garde" w:hAnsi="ITC Avant Garde" w:cs="Arial"/>
          <w:b/>
          <w:lang w:val="es-ES"/>
        </w:rPr>
        <w:t>Telnor</w:t>
      </w:r>
      <w:proofErr w:type="spellEnd"/>
      <w:r w:rsidRPr="00FD7BCF">
        <w:rPr>
          <w:rFonts w:ascii="ITC Avant Garde" w:hAnsi="ITC Avant Garde" w:cs="Arial"/>
          <w:b/>
          <w:lang w:val="es-ES"/>
        </w:rPr>
        <w:t>.</w:t>
      </w:r>
    </w:p>
    <w:p w14:paraId="4BC1418C" w14:textId="77777777" w:rsidR="00B42019" w:rsidRDefault="00C20FF9"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Pregunta 1. Se solicitó que los peritos señalen si la oferta de referencia para la prestación del servicio mayorista de arrendamiento de enlaces dedicados locales y de larga distancia internacional permite la libre negociación entre las partes.</w:t>
      </w:r>
    </w:p>
    <w:p w14:paraId="24BC3984"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El perito designado por 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xml:space="preserve"> menciona que en la Oferta de Referencia se incluye un Convenio en el que se establece (cláusula segunda) que se acordarán mutuamente las </w:t>
      </w:r>
      <w:r w:rsidR="0096434E" w:rsidRPr="00FD7BCF">
        <w:rPr>
          <w:rFonts w:ascii="ITC Avant Garde" w:hAnsi="ITC Avant Garde" w:cs="Arial"/>
          <w:lang w:val="es-ES"/>
        </w:rPr>
        <w:t>t</w:t>
      </w:r>
      <w:r w:rsidRPr="00FD7BCF">
        <w:rPr>
          <w:rFonts w:ascii="ITC Avant Garde" w:hAnsi="ITC Avant Garde" w:cs="Arial"/>
          <w:lang w:val="es-ES"/>
        </w:rPr>
        <w:t xml:space="preserve">arifas aplicables a los servicios de enlaces dedicados. Por tanto, el perito concluye que la negociación entre las partes se permite libremente </w:t>
      </w:r>
      <w:r w:rsidR="0010275D" w:rsidRPr="00FD7BCF">
        <w:rPr>
          <w:rFonts w:ascii="ITC Avant Garde" w:hAnsi="ITC Avant Garde" w:cs="Arial"/>
          <w:lang w:val="es-ES"/>
        </w:rPr>
        <w:t xml:space="preserve">sujeta </w:t>
      </w:r>
      <w:r w:rsidRPr="00FD7BCF">
        <w:rPr>
          <w:rFonts w:ascii="ITC Avant Garde" w:hAnsi="ITC Avant Garde" w:cs="Arial"/>
          <w:lang w:val="es-ES"/>
        </w:rPr>
        <w:t>a los aspectos qu</w:t>
      </w:r>
      <w:r w:rsidR="002C5487" w:rsidRPr="00FD7BCF">
        <w:rPr>
          <w:rFonts w:ascii="ITC Avant Garde" w:hAnsi="ITC Avant Garde" w:cs="Arial"/>
          <w:lang w:val="es-ES"/>
        </w:rPr>
        <w:t xml:space="preserve">e no hayan sido establecidos ex </w:t>
      </w:r>
      <w:r w:rsidRPr="00FD7BCF">
        <w:rPr>
          <w:rFonts w:ascii="ITC Avant Garde" w:hAnsi="ITC Avant Garde" w:cs="Arial"/>
          <w:lang w:val="es-ES"/>
        </w:rPr>
        <w:t xml:space="preserve">ante por la autoridad reguladora y que el resultado de la negociación se sujeta a un orden de prelación respecto a lo que se indique en la </w:t>
      </w:r>
      <w:proofErr w:type="spellStart"/>
      <w:r w:rsidR="0096434E" w:rsidRPr="00FD7BCF">
        <w:rPr>
          <w:rFonts w:ascii="ITC Avant Garde" w:hAnsi="ITC Avant Garde" w:cs="Arial"/>
          <w:lang w:val="es-ES"/>
        </w:rPr>
        <w:t>LFTyR</w:t>
      </w:r>
      <w:proofErr w:type="spellEnd"/>
      <w:r w:rsidR="0096434E" w:rsidRPr="00FD7BCF">
        <w:rPr>
          <w:rFonts w:ascii="ITC Avant Garde" w:hAnsi="ITC Avant Garde" w:cs="Arial"/>
          <w:lang w:val="es-ES"/>
        </w:rPr>
        <w:t xml:space="preserve"> y a las Medidas de P</w:t>
      </w:r>
      <w:r w:rsidRPr="00FD7BCF">
        <w:rPr>
          <w:rFonts w:ascii="ITC Avant Garde" w:hAnsi="ITC Avant Garde" w:cs="Arial"/>
          <w:lang w:val="es-ES"/>
        </w:rPr>
        <w:t>r</w:t>
      </w:r>
      <w:r w:rsidR="002C5487" w:rsidRPr="00FD7BCF">
        <w:rPr>
          <w:rFonts w:ascii="ITC Avant Garde" w:hAnsi="ITC Avant Garde" w:cs="Arial"/>
          <w:lang w:val="es-ES"/>
        </w:rPr>
        <w:t xml:space="preserve">eponderancia impuestas a 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xml:space="preserve"> así como a otros ordenamientos aplicables a los aspectos mínimos técnicos de interconexión y al contenido de los propios</w:t>
      </w:r>
      <w:r w:rsidR="002C5487" w:rsidRPr="00FD7BCF">
        <w:rPr>
          <w:rFonts w:ascii="ITC Avant Garde" w:hAnsi="ITC Avant Garde" w:cs="Arial"/>
          <w:lang w:val="es-ES"/>
        </w:rPr>
        <w:t xml:space="preserve"> Títulos de Concesión de 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w:t>
      </w:r>
    </w:p>
    <w:p w14:paraId="2236E204"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El perito de Grupo Televisa</w:t>
      </w:r>
      <w:r w:rsidR="002C5487" w:rsidRPr="00FD7BCF">
        <w:rPr>
          <w:rFonts w:ascii="ITC Avant Garde" w:hAnsi="ITC Avant Garde" w:cs="Arial"/>
          <w:lang w:val="es-ES"/>
        </w:rPr>
        <w:t xml:space="preserve"> y México Red</w:t>
      </w:r>
      <w:r w:rsidRPr="00FD7BCF">
        <w:rPr>
          <w:rFonts w:ascii="ITC Avant Garde" w:hAnsi="ITC Avant Garde" w:cs="Arial"/>
          <w:lang w:val="es-ES"/>
        </w:rPr>
        <w:t xml:space="preserve"> señala que un primer aspecto que se debe tener en cuenta es que la citada Oferta de Referencia forma parte de un marco legal más amplio, y que si bien la Oferta de Referencia para la prestación del servicio mayorista de arrendamiento de enlaces dedicados no contempla la libre negociación, </w:t>
      </w:r>
      <w:r w:rsidRPr="00FD7BCF">
        <w:rPr>
          <w:rFonts w:ascii="ITC Avant Garde" w:hAnsi="ITC Avant Garde" w:cs="Arial"/>
          <w:lang w:val="es-ES"/>
        </w:rPr>
        <w:lastRenderedPageBreak/>
        <w:t>si lo hace el marco legal del cual emana (Medida Trigésimo Séptima de las Medidas Fijas), esquema de negociación y en su caso intervención reguladora que tiene un simple pero robusto sustento en la teoría económica.</w:t>
      </w:r>
    </w:p>
    <w:p w14:paraId="6AED8B39" w14:textId="77777777" w:rsidR="00B42019" w:rsidRDefault="002C5487" w:rsidP="00B42019">
      <w:pPr>
        <w:spacing w:before="240" w:line="276" w:lineRule="auto"/>
        <w:jc w:val="both"/>
        <w:rPr>
          <w:rFonts w:ascii="ITC Avant Garde" w:hAnsi="ITC Avant Garde" w:cs="Arial"/>
          <w:u w:val="single"/>
          <w:lang w:val="es-ES"/>
        </w:rPr>
      </w:pPr>
      <w:r w:rsidRPr="00FD7BCF">
        <w:rPr>
          <w:rFonts w:ascii="ITC Avant Garde" w:hAnsi="ITC Avant Garde" w:cs="Arial"/>
          <w:u w:val="single"/>
          <w:lang w:val="es-ES"/>
        </w:rPr>
        <w:t>Consideraciones del Instituto</w:t>
      </w:r>
    </w:p>
    <w:p w14:paraId="29AF0EB6" w14:textId="77777777" w:rsidR="00B42019" w:rsidRDefault="00F12E73" w:rsidP="00B42019">
      <w:pPr>
        <w:spacing w:before="240" w:line="276" w:lineRule="auto"/>
        <w:jc w:val="both"/>
        <w:rPr>
          <w:rFonts w:ascii="ITC Avant Garde" w:hAnsi="ITC Avant Garde" w:cs="Arial"/>
          <w:lang w:val="es-ES"/>
        </w:rPr>
      </w:pPr>
      <w:r w:rsidRPr="00FD7BCF">
        <w:rPr>
          <w:rFonts w:ascii="ITC Avant Garde" w:hAnsi="ITC Avant Garde"/>
        </w:rPr>
        <w:t>Este Instituto señala que la pregunta no versa sobre temas económicos materia del peritaje; no obstante</w:t>
      </w:r>
      <w:r w:rsidRPr="00FD7BCF">
        <w:rPr>
          <w:rFonts w:ascii="ITC Avant Garde" w:hAnsi="ITC Avant Garde" w:cs="Arial"/>
          <w:lang w:val="es-ES"/>
        </w:rPr>
        <w:t xml:space="preserve"> </w:t>
      </w:r>
      <w:r w:rsidR="00C20FF9" w:rsidRPr="00FD7BCF">
        <w:rPr>
          <w:rFonts w:ascii="ITC Avant Garde" w:hAnsi="ITC Avant Garde" w:cs="Arial"/>
          <w:lang w:val="es-ES"/>
        </w:rPr>
        <w:t>concuerda con las respuesta</w:t>
      </w:r>
      <w:r w:rsidR="00A67822" w:rsidRPr="00FD7BCF">
        <w:rPr>
          <w:rFonts w:ascii="ITC Avant Garde" w:hAnsi="ITC Avant Garde" w:cs="Arial"/>
          <w:lang w:val="es-ES"/>
        </w:rPr>
        <w:t xml:space="preserve"> de </w:t>
      </w:r>
      <w:r w:rsidR="00C20FF9" w:rsidRPr="00FD7BCF">
        <w:rPr>
          <w:rFonts w:ascii="ITC Avant Garde" w:hAnsi="ITC Avant Garde" w:cs="Arial"/>
          <w:lang w:val="es-ES"/>
        </w:rPr>
        <w:t xml:space="preserve">ambos peritos respecto de que </w:t>
      </w:r>
      <w:r w:rsidR="00462F99" w:rsidRPr="00FD7BCF">
        <w:rPr>
          <w:rFonts w:ascii="ITC Avant Garde" w:hAnsi="ITC Avant Garde" w:cs="Arial"/>
          <w:lang w:val="es-ES"/>
        </w:rPr>
        <w:t>de conformidad con l</w:t>
      </w:r>
      <w:r w:rsidR="00303648" w:rsidRPr="00FD7BCF">
        <w:rPr>
          <w:rFonts w:ascii="ITC Avant Garde" w:hAnsi="ITC Avant Garde" w:cs="Arial"/>
          <w:lang w:val="es-ES"/>
        </w:rPr>
        <w:t xml:space="preserve">a medida Trigésima Séptima de </w:t>
      </w:r>
      <w:r w:rsidR="00462F99" w:rsidRPr="00FD7BCF">
        <w:rPr>
          <w:rFonts w:ascii="ITC Avant Garde" w:hAnsi="ITC Avant Garde" w:cs="Arial"/>
          <w:lang w:val="es-ES"/>
        </w:rPr>
        <w:t>las Medidas Fijas</w:t>
      </w:r>
      <w:r w:rsidR="00C20FF9" w:rsidRPr="00FD7BCF">
        <w:rPr>
          <w:rFonts w:ascii="ITC Avant Garde" w:hAnsi="ITC Avant Garde" w:cs="Arial"/>
          <w:lang w:val="es-ES"/>
        </w:rPr>
        <w:t xml:space="preserve"> </w:t>
      </w:r>
      <w:r w:rsidR="00462F99" w:rsidRPr="00FD7BCF">
        <w:rPr>
          <w:rFonts w:ascii="ITC Avant Garde" w:hAnsi="ITC Avant Garde" w:cs="Arial"/>
          <w:lang w:val="es-ES"/>
        </w:rPr>
        <w:t xml:space="preserve">y </w:t>
      </w:r>
      <w:r w:rsidR="00C20FF9" w:rsidRPr="00FD7BCF">
        <w:rPr>
          <w:rFonts w:ascii="ITC Avant Garde" w:hAnsi="ITC Avant Garde" w:cs="Arial"/>
          <w:lang w:val="es-ES"/>
        </w:rPr>
        <w:t>en lo que respecta a las tarifas del servicio de arrendamiento de enlaces dedicados,</w:t>
      </w:r>
      <w:r w:rsidR="00462F99" w:rsidRPr="00FD7BCF">
        <w:rPr>
          <w:rFonts w:ascii="ITC Avant Garde" w:hAnsi="ITC Avant Garde" w:cs="Arial"/>
          <w:lang w:val="es-ES"/>
        </w:rPr>
        <w:t xml:space="preserve"> se</w:t>
      </w:r>
      <w:r w:rsidR="00C20FF9" w:rsidRPr="00FD7BCF">
        <w:rPr>
          <w:rFonts w:ascii="ITC Avant Garde" w:hAnsi="ITC Avant Garde" w:cs="Arial"/>
          <w:lang w:val="es-ES"/>
        </w:rPr>
        <w:t xml:space="preserve"> privilegia la libre negociación entre las partes, ya que sólo en caso de desacuerdo esta autoridad reguladora intervendrá para determinar las tarifas no convenidas mediante una metodología de costos evitados.</w:t>
      </w:r>
    </w:p>
    <w:p w14:paraId="55637DFB" w14:textId="77777777" w:rsidR="00B42019" w:rsidRDefault="00C20FF9"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Pregunta 2. Se solicitó a los peritos que digan si la negociación entre las partes en materia de condiciones y términos aplicables garantiza una tarificación eficiente de los servic</w:t>
      </w:r>
      <w:r w:rsidR="00327D59" w:rsidRPr="00FD7BCF">
        <w:rPr>
          <w:rFonts w:ascii="ITC Avant Garde" w:hAnsi="ITC Avant Garde" w:cs="Arial"/>
          <w:b/>
          <w:lang w:val="es-ES"/>
        </w:rPr>
        <w:t>ios mayoristas incluidos en la Oferta de R</w:t>
      </w:r>
      <w:r w:rsidRPr="00FD7BCF">
        <w:rPr>
          <w:rFonts w:ascii="ITC Avant Garde" w:hAnsi="ITC Avant Garde" w:cs="Arial"/>
          <w:b/>
          <w:lang w:val="es-ES"/>
        </w:rPr>
        <w:t>eferencia.</w:t>
      </w:r>
    </w:p>
    <w:p w14:paraId="3A9B818D"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El perito de Telmex</w:t>
      </w:r>
      <w:r w:rsidR="002C5487" w:rsidRPr="00FD7BCF">
        <w:rPr>
          <w:rFonts w:ascii="ITC Avant Garde" w:hAnsi="ITC Avant Garde" w:cs="Arial"/>
          <w:lang w:val="es-ES"/>
        </w:rPr>
        <w:t xml:space="preserve">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xml:space="preserve"> señala que el mayor beneficio social se obtiene por medio de la negociación entre las partes, que es el fundamento de la formación eficiente de los precios en un mercado.</w:t>
      </w:r>
    </w:p>
    <w:p w14:paraId="1340CC83"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Menciona que un proceso de libre negociación es eficiente, dado que por un lado la mínima disposición de un operador para aceptar las condiciones y términos tarifarios estará determinada por el monto suficiente para cubrir sus costos incrementales totales de proveer el servicio, mientras que por otra parte, la máxima disposición a pagar refleja el valor privado y social de tal servicio. Tal condición de convergencia entre el máximo dispuesto a pagar con el mínimo dispuesto a aceptar es la condición que garantiza  que el precio será al menos igual al costo de proveer el servicio y lo suficiente para que se continúe incentivando la producción del mismo en el mercado.</w:t>
      </w:r>
    </w:p>
    <w:p w14:paraId="6DE50872" w14:textId="77777777" w:rsidR="00B42019" w:rsidRDefault="00327D59" w:rsidP="00B42019">
      <w:pPr>
        <w:spacing w:before="240" w:line="276" w:lineRule="auto"/>
        <w:jc w:val="both"/>
        <w:rPr>
          <w:rFonts w:ascii="ITC Avant Garde" w:hAnsi="ITC Avant Garde" w:cs="Arial"/>
          <w:lang w:val="es-ES"/>
        </w:rPr>
      </w:pPr>
      <w:r w:rsidRPr="00FD7BCF">
        <w:rPr>
          <w:rFonts w:ascii="ITC Avant Garde" w:hAnsi="ITC Avant Garde" w:cs="Arial"/>
          <w:lang w:val="es-ES"/>
        </w:rPr>
        <w:t>El perito continú</w:t>
      </w:r>
      <w:r w:rsidR="00C20FF9" w:rsidRPr="00FD7BCF">
        <w:rPr>
          <w:rFonts w:ascii="ITC Avant Garde" w:hAnsi="ITC Avant Garde" w:cs="Arial"/>
          <w:lang w:val="es-ES"/>
        </w:rPr>
        <w:t>a apuntando que una tarifa que es resultado de un acuerdo entre operadores, y extensivo a todos aquellos dispuestos a aceptar tales términos y condiciones cuando el servicio y sus condiciones son idénticas, constituye una solución de mercado sin necesidad de una intervención regulatoria que adicionalmente, no conforma un trato discriminatorio dado que las tarifas serían iguales para todos los operadores.</w:t>
      </w:r>
    </w:p>
    <w:p w14:paraId="408D0EF1"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Agrega que la multiplicidad de oferentes y la factibilidad de </w:t>
      </w:r>
      <w:r w:rsidR="003C5C93" w:rsidRPr="00FD7BCF">
        <w:rPr>
          <w:rFonts w:ascii="ITC Avant Garde" w:hAnsi="ITC Avant Garde" w:cs="Arial"/>
          <w:lang w:val="es-ES"/>
        </w:rPr>
        <w:t>auto suministro</w:t>
      </w:r>
      <w:r w:rsidRPr="00FD7BCF">
        <w:rPr>
          <w:rFonts w:ascii="ITC Avant Garde" w:hAnsi="ITC Avant Garde" w:cs="Arial"/>
          <w:lang w:val="es-ES"/>
        </w:rPr>
        <w:t xml:space="preserve"> por parte de cada concesionario solicitante hacen que, ante un servicio con varios parámetros de diferenciación, no exista poder de mercado tanto por el lado de la oferta como por </w:t>
      </w:r>
      <w:r w:rsidRPr="00FD7BCF">
        <w:rPr>
          <w:rFonts w:ascii="ITC Avant Garde" w:hAnsi="ITC Avant Garde" w:cs="Arial"/>
          <w:lang w:val="es-ES"/>
        </w:rPr>
        <w:lastRenderedPageBreak/>
        <w:t>el lado de la demanda. Por lo que en su opinión, la negociación entre las partes en materia de condiciones y términos aplicables garantiza un tarificación eficiente de los servicios mayorista de enlaces dedicados.</w:t>
      </w:r>
    </w:p>
    <w:p w14:paraId="06ED0CC0"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Por su parte el perito designado por Grupo Televisa</w:t>
      </w:r>
      <w:r w:rsidR="002C5487" w:rsidRPr="00FD7BCF">
        <w:rPr>
          <w:rFonts w:ascii="ITC Avant Garde" w:hAnsi="ITC Avant Garde" w:cs="Arial"/>
          <w:lang w:val="es-ES"/>
        </w:rPr>
        <w:t xml:space="preserve"> y México Red</w:t>
      </w:r>
      <w:r w:rsidRPr="00FD7BCF">
        <w:rPr>
          <w:rFonts w:ascii="ITC Avant Garde" w:hAnsi="ITC Avant Garde" w:cs="Arial"/>
          <w:lang w:val="es-ES"/>
        </w:rPr>
        <w:t xml:space="preserve"> señala que en mercados donde la competencia es efectiva los operadores podrían establecer acuerdos para compartir infraestructura y hasta desarrollarla sin la intervención regulatoria ya que ningún operador está en capacidad de ejercer poder de mercado. Asimismo, señala que en mercados donde alguno de los operadores cuenta con poder de mercado, son necesarios lineamientos que eviten que dicho operador se niegue a compartir dicha infraestructura o lo haga en condiciones desventajosas para aquellos que no lo tienen.</w:t>
      </w:r>
    </w:p>
    <w:p w14:paraId="08251797"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Menciona el perito que este último es el caso del mercado mexicano de telecomunicaciones, por lo que es prácticamente imposible que la libre negociación entre las partes resulte en una tarificación eficiente, por lo que es necesaria la intervención del ente regulador para evitar que Telmex ejerza su poder de mercado.</w:t>
      </w:r>
    </w:p>
    <w:p w14:paraId="24E028CC" w14:textId="77777777" w:rsidR="00B42019" w:rsidRDefault="002C5487" w:rsidP="00B42019">
      <w:pPr>
        <w:spacing w:before="240" w:line="276" w:lineRule="auto"/>
        <w:jc w:val="both"/>
        <w:rPr>
          <w:rFonts w:ascii="ITC Avant Garde" w:hAnsi="ITC Avant Garde" w:cs="Arial"/>
          <w:u w:val="single"/>
          <w:lang w:val="es-ES"/>
        </w:rPr>
      </w:pPr>
      <w:r w:rsidRPr="00FD7BCF">
        <w:rPr>
          <w:rFonts w:ascii="ITC Avant Garde" w:hAnsi="ITC Avant Garde" w:cs="Arial"/>
          <w:u w:val="single"/>
          <w:lang w:val="es-ES"/>
        </w:rPr>
        <w:t>Consideraciones del Instituto</w:t>
      </w:r>
    </w:p>
    <w:p w14:paraId="2FA684E8"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Este Instituto </w:t>
      </w:r>
      <w:r w:rsidR="00462F99" w:rsidRPr="00FD7BCF">
        <w:rPr>
          <w:rFonts w:ascii="ITC Avant Garde" w:hAnsi="ITC Avant Garde" w:cs="Arial"/>
          <w:lang w:val="es-ES"/>
        </w:rPr>
        <w:t xml:space="preserve">considera que en el mercado se pueden presentar las situaciones señaladas por ambos peritos, esto es puede suceder que los precios de reserva de cada una de las partes propicien un acuerdo entre los concesionarios, o bien que se difiera acerca de </w:t>
      </w:r>
      <w:r w:rsidR="0041550A" w:rsidRPr="00FD7BCF">
        <w:rPr>
          <w:rFonts w:ascii="ITC Avant Garde" w:hAnsi="ITC Avant Garde" w:cs="Arial"/>
          <w:lang w:val="es-ES"/>
        </w:rPr>
        <w:t>cuál</w:t>
      </w:r>
      <w:r w:rsidR="00462F99" w:rsidRPr="00FD7BCF">
        <w:rPr>
          <w:rFonts w:ascii="ITC Avant Garde" w:hAnsi="ITC Avant Garde" w:cs="Arial"/>
          <w:lang w:val="es-ES"/>
        </w:rPr>
        <w:t xml:space="preserve"> debe ser la tarifa aplicable.</w:t>
      </w:r>
    </w:p>
    <w:p w14:paraId="60B60FEF" w14:textId="77777777" w:rsidR="00B42019" w:rsidRDefault="00462F99"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En este último caso </w:t>
      </w:r>
      <w:r w:rsidR="00C20FF9" w:rsidRPr="00FD7BCF">
        <w:rPr>
          <w:rFonts w:ascii="ITC Avant Garde" w:hAnsi="ITC Avant Garde" w:cs="Arial"/>
          <w:lang w:val="es-ES"/>
        </w:rPr>
        <w:t>se hace necesaria la intervención del ente regulador para garantizar que la provisión de dicho servicio sea eficiente y equitativa.</w:t>
      </w:r>
    </w:p>
    <w:p w14:paraId="40A9F6AF" w14:textId="77777777" w:rsidR="00B42019" w:rsidRDefault="00C20FF9"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Pregunta 3. Se solicitó a los peritos digan si tiene jus</w:t>
      </w:r>
      <w:r w:rsidR="00C50B30" w:rsidRPr="00FD7BCF">
        <w:rPr>
          <w:rFonts w:ascii="ITC Avant Garde" w:hAnsi="ITC Avant Garde" w:cs="Arial"/>
          <w:b/>
          <w:lang w:val="es-ES"/>
        </w:rPr>
        <w:t>tificación económica el que la Oferta de R</w:t>
      </w:r>
      <w:r w:rsidRPr="00FD7BCF">
        <w:rPr>
          <w:rFonts w:ascii="ITC Avant Garde" w:hAnsi="ITC Avant Garde" w:cs="Arial"/>
          <w:b/>
          <w:lang w:val="es-ES"/>
        </w:rPr>
        <w:t>eferencia en comento no establezca tarifas predeterminadas aplicables a todos los casos de solicitud de enlaces dedicados.</w:t>
      </w:r>
    </w:p>
    <w:p w14:paraId="10CEAE8F"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Menciona el perito de 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xml:space="preserve"> que la ausencia de tarifas predeterminadas aplicables a todos los tipos de enlaces dedicados que listan en el Anexo “A” Tarifas de los Servicios, que se incluye en el Convenio que a su vez forma parte de la Oferta de Referencia, obedece a que tales servicios a su vez, tienen diversas dimensiones ya que no son servicios perfectamente estandarizados ya que cada concesionario solicitante tiene requerimientos diferentes que implican diversos costos, por lo que dada la </w:t>
      </w:r>
      <w:proofErr w:type="spellStart"/>
      <w:r w:rsidRPr="00FD7BCF">
        <w:rPr>
          <w:rFonts w:ascii="ITC Avant Garde" w:hAnsi="ITC Avant Garde" w:cs="Arial"/>
          <w:lang w:val="es-ES"/>
        </w:rPr>
        <w:t>diferenciabilidad</w:t>
      </w:r>
      <w:proofErr w:type="spellEnd"/>
      <w:r w:rsidRPr="00FD7BCF">
        <w:rPr>
          <w:rFonts w:ascii="ITC Avant Garde" w:hAnsi="ITC Avant Garde" w:cs="Arial"/>
          <w:lang w:val="es-ES"/>
        </w:rPr>
        <w:t xml:space="preserve"> potencial, no es posible que se fijen tarifas ex ante (gasto de instalación y renta).</w:t>
      </w:r>
    </w:p>
    <w:p w14:paraId="25225FDF"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lastRenderedPageBreak/>
        <w:t>Refiere el perito de las solicitantes que no existe justificación económica, toda vez que la inexistencia de tarifas en la Oferta de Referencia favorece claramente el ejercicio de poder de mercado del AEP, por lo que en su perspectiva es necesario que la Oferta de Referencia en comento contenga las tarifas de los servicios que incluye o en su defecto, sea el IFT quien resuelva el desacuerdo de tarifas correspondiente.</w:t>
      </w:r>
    </w:p>
    <w:p w14:paraId="3ED56EAA" w14:textId="77777777" w:rsidR="00B42019" w:rsidRDefault="002C5487" w:rsidP="00B42019">
      <w:pPr>
        <w:spacing w:before="240" w:line="276" w:lineRule="auto"/>
        <w:jc w:val="both"/>
        <w:rPr>
          <w:rFonts w:ascii="ITC Avant Garde" w:hAnsi="ITC Avant Garde" w:cs="Arial"/>
          <w:u w:val="single"/>
          <w:lang w:val="es-ES"/>
        </w:rPr>
      </w:pPr>
      <w:r w:rsidRPr="00FD7BCF">
        <w:rPr>
          <w:rFonts w:ascii="ITC Avant Garde" w:hAnsi="ITC Avant Garde" w:cs="Arial"/>
          <w:u w:val="single"/>
          <w:lang w:val="es-ES"/>
        </w:rPr>
        <w:t>Consideraciones del Instituto</w:t>
      </w:r>
    </w:p>
    <w:p w14:paraId="41C7A7D7" w14:textId="32C4B160" w:rsidR="00C20FF9" w:rsidRPr="00FD7BCF" w:rsidRDefault="009F25F6" w:rsidP="00B42019">
      <w:pPr>
        <w:spacing w:before="240" w:line="276" w:lineRule="auto"/>
        <w:jc w:val="both"/>
        <w:rPr>
          <w:rFonts w:ascii="ITC Avant Garde" w:hAnsi="ITC Avant Garde" w:cs="Arial"/>
          <w:lang w:val="es-ES"/>
        </w:rPr>
      </w:pPr>
      <w:r w:rsidRPr="00FD7BCF">
        <w:rPr>
          <w:rFonts w:ascii="ITC Avant Garde" w:hAnsi="ITC Avant Garde" w:cs="Arial"/>
          <w:lang w:val="es-ES"/>
        </w:rPr>
        <w:t>Para e</w:t>
      </w:r>
      <w:r w:rsidR="00C20FF9" w:rsidRPr="00FD7BCF">
        <w:rPr>
          <w:rFonts w:ascii="ITC Avant Garde" w:hAnsi="ITC Avant Garde" w:cs="Arial"/>
          <w:lang w:val="es-ES"/>
        </w:rPr>
        <w:t xml:space="preserve">sta autoridad reguladora no genera convicción las respuestas de los peritos ya que </w:t>
      </w:r>
      <w:r w:rsidR="00AB2BEC" w:rsidRPr="00FD7BCF">
        <w:rPr>
          <w:rFonts w:ascii="ITC Avant Garde" w:hAnsi="ITC Avant Garde" w:cs="Arial"/>
          <w:lang w:val="es-ES"/>
        </w:rPr>
        <w:t>el presente procedimiento no versa sobre la determinación ex</w:t>
      </w:r>
      <w:r w:rsidR="0010275D" w:rsidRPr="00FD7BCF">
        <w:rPr>
          <w:rFonts w:ascii="ITC Avant Garde" w:hAnsi="ITC Avant Garde" w:cs="Arial"/>
          <w:lang w:val="es-ES"/>
        </w:rPr>
        <w:t xml:space="preserve"> </w:t>
      </w:r>
      <w:r w:rsidR="00AB2BEC" w:rsidRPr="00FD7BCF">
        <w:rPr>
          <w:rFonts w:ascii="ITC Avant Garde" w:hAnsi="ITC Avant Garde" w:cs="Arial"/>
          <w:lang w:val="es-ES"/>
        </w:rPr>
        <w:t xml:space="preserve">ante de las tarifas aplicables a los servicios de la oferta, sino únicamente al cumplimiento de la medida Trigésima Séptima de las Medidas Fijas, por lo que las respuestas proporcionadas por los peritos en nada abonan a la resolución del asunto. </w:t>
      </w:r>
    </w:p>
    <w:p w14:paraId="23677608" w14:textId="77777777" w:rsidR="00B42019" w:rsidRDefault="00C20FF9"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Pregunta 4. Se solicitó a los peritos señalaran si por las características propias de los diferentes tipos de enlaces dedicados, la sola comparación entre tarifas y descuentos entre usuarios finales y los concesionarios solicitantes es suficiente para afirmar la existencia de precios mayoristas menores a los precios minoristas.</w:t>
      </w:r>
    </w:p>
    <w:p w14:paraId="38A2A9E5"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El Perito determinado por el AEP manifiesta que la sola comparación entre tarifas y descuentos aplicados entre diferentes concesionarios por un mismo servicio denominado genéricamente, no constituye evidencia suficiente para afirmar que los precios mayoristas son menores a los precios de servicios minoristas. Agrega que los descuentos aplicables sobre una tarifa de un servicio genérico es la modalidad de cómo se ajusta la renta mensual a los costos transitorios o permanente que genera el servicio que se provee a un concesionario solicitante determinado en el curso de la vigencia del Convenio.</w:t>
      </w:r>
    </w:p>
    <w:p w14:paraId="1E62335C" w14:textId="77777777" w:rsidR="00B42019" w:rsidRDefault="009F25F6" w:rsidP="00B42019">
      <w:pPr>
        <w:spacing w:before="240" w:line="276" w:lineRule="auto"/>
        <w:jc w:val="both"/>
        <w:rPr>
          <w:rFonts w:ascii="ITC Avant Garde" w:hAnsi="ITC Avant Garde" w:cs="Arial"/>
          <w:lang w:val="es-ES"/>
        </w:rPr>
      </w:pPr>
      <w:r w:rsidRPr="00FD7BCF">
        <w:rPr>
          <w:rFonts w:ascii="ITC Avant Garde" w:hAnsi="ITC Avant Garde" w:cs="Arial"/>
          <w:lang w:val="es-ES"/>
        </w:rPr>
        <w:t>Continúa señalando</w:t>
      </w:r>
      <w:r w:rsidR="00C20FF9" w:rsidRPr="00FD7BCF">
        <w:rPr>
          <w:rFonts w:ascii="ITC Avant Garde" w:hAnsi="ITC Avant Garde" w:cs="Arial"/>
          <w:lang w:val="es-ES"/>
        </w:rPr>
        <w:t xml:space="preserve"> que los descuentos aplicados obedecen a diferentes criterios como descuentos por concentración y descuentos por velocidad. Asimismo, señala que los descuentos por volumen no sólo reflejan economías de escala en la producción o eficiencias técnicas, sino que además reflejan reducción en el riego del proveedor con un cliente específico y por lo tanto no pueden resultar en precios que son menores a los costos que incluyen el precio por riesgo comercial de la relación contractual con un determinado cliente.</w:t>
      </w:r>
    </w:p>
    <w:p w14:paraId="4D27BB7F"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Por otro lado, el perito de Grupo Televisa</w:t>
      </w:r>
      <w:r w:rsidR="002C5487" w:rsidRPr="00FD7BCF">
        <w:rPr>
          <w:rFonts w:ascii="ITC Avant Garde" w:hAnsi="ITC Avant Garde" w:cs="Arial"/>
          <w:lang w:val="es-ES"/>
        </w:rPr>
        <w:t xml:space="preserve"> y México Red</w:t>
      </w:r>
      <w:r w:rsidRPr="00FD7BCF">
        <w:rPr>
          <w:rFonts w:ascii="ITC Avant Garde" w:hAnsi="ITC Avant Garde" w:cs="Arial"/>
          <w:lang w:val="es-ES"/>
        </w:rPr>
        <w:t xml:space="preserve"> manifiesta que en definitiva si es posible señalar que la sola comparación entre tarifas y descuentos entre usuarios finales y los concesionarios solicitantes es suficiente para realizar una comparación adecuada entre los precios mayoristas y los precios minoristas. El perito menciona que es de esperarse que los precios mayoristas sean menores que los minoristas de lo contrario se </w:t>
      </w:r>
      <w:r w:rsidRPr="00FD7BCF">
        <w:rPr>
          <w:rFonts w:ascii="ITC Avant Garde" w:hAnsi="ITC Avant Garde" w:cs="Arial"/>
          <w:lang w:val="es-ES"/>
        </w:rPr>
        <w:lastRenderedPageBreak/>
        <w:t>estaría incurriendo en una práctica anticompetitiva de estrechamiento de márgenes. Asimismo, considera que con base en el es</w:t>
      </w:r>
      <w:r w:rsidR="009F25F6" w:rsidRPr="00FD7BCF">
        <w:rPr>
          <w:rFonts w:ascii="ITC Avant Garde" w:hAnsi="ITC Avant Garde" w:cs="Arial"/>
          <w:lang w:val="es-ES"/>
        </w:rPr>
        <w:t xml:space="preserve">crito de contestación de 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dichos concesionarios mezclan indebidamente los mercados minorista y mayorista exponiendo que un cliente minorista puede obtener precios menores que uno mayorista si su volumen de compra es mayor y por ende se le aplica un mayor descuento, con lo cual en su opinión se elimina la virtudes de una regulación asimétrica dejando sin posibilidades de una competencia real y efectiva al resto de los concesionarios.</w:t>
      </w:r>
    </w:p>
    <w:p w14:paraId="2230F8AE"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El perito señala que en todo caso al concesionario solicitante (mayorista) se le deben aplicar los descuentos otorgados al cliente minorista y considerar otros descuentos por costos evitados, esto es, los descuentos deben estar disponibles para todos los concesionarios de forma transparente y no discriminatoria para evitar un estrechamiento de márgenes.</w:t>
      </w:r>
    </w:p>
    <w:p w14:paraId="4467B25D" w14:textId="77777777" w:rsidR="00B42019" w:rsidRDefault="002C5487" w:rsidP="00B42019">
      <w:pPr>
        <w:spacing w:before="240" w:line="276" w:lineRule="auto"/>
        <w:jc w:val="both"/>
        <w:rPr>
          <w:rFonts w:ascii="ITC Avant Garde" w:hAnsi="ITC Avant Garde" w:cs="Arial"/>
          <w:u w:val="single"/>
          <w:lang w:val="es-ES"/>
        </w:rPr>
      </w:pPr>
      <w:r w:rsidRPr="00FD7BCF">
        <w:rPr>
          <w:rFonts w:ascii="ITC Avant Garde" w:hAnsi="ITC Avant Garde" w:cs="Arial"/>
          <w:u w:val="single"/>
          <w:lang w:val="es-ES"/>
        </w:rPr>
        <w:t>Consideraciones del Instituto</w:t>
      </w:r>
    </w:p>
    <w:p w14:paraId="7FD54F6E" w14:textId="77777777" w:rsidR="00B42019" w:rsidRDefault="00EC787C" w:rsidP="00B42019">
      <w:pPr>
        <w:spacing w:before="240" w:line="276" w:lineRule="auto"/>
        <w:jc w:val="both"/>
        <w:rPr>
          <w:rFonts w:ascii="ITC Avant Garde" w:hAnsi="ITC Avant Garde" w:cs="Arial"/>
          <w:lang w:val="es-ES"/>
        </w:rPr>
      </w:pPr>
      <w:r w:rsidRPr="00FD7BCF">
        <w:rPr>
          <w:rFonts w:ascii="ITC Avant Garde" w:hAnsi="ITC Avant Garde" w:cs="Arial"/>
          <w:lang w:val="es-ES"/>
        </w:rPr>
        <w:t>Desde un punto de vista teórico est</w:t>
      </w:r>
      <w:r w:rsidR="000017B7" w:rsidRPr="00FD7BCF">
        <w:rPr>
          <w:rFonts w:ascii="ITC Avant Garde" w:hAnsi="ITC Avant Garde" w:cs="Arial"/>
          <w:lang w:val="es-ES"/>
        </w:rPr>
        <w:t>e</w:t>
      </w:r>
      <w:r w:rsidRPr="00FD7BCF">
        <w:rPr>
          <w:rFonts w:ascii="ITC Avant Garde" w:hAnsi="ITC Avant Garde" w:cs="Arial"/>
          <w:lang w:val="es-ES"/>
        </w:rPr>
        <w:t xml:space="preserve"> Instituto coincide con el perito de Grupo Televisa y México Red en el sentido de que una comparación entre </w:t>
      </w:r>
      <w:r w:rsidR="008C5231" w:rsidRPr="00FD7BCF">
        <w:rPr>
          <w:rFonts w:ascii="ITC Avant Garde" w:hAnsi="ITC Avant Garde" w:cs="Arial"/>
          <w:lang w:val="es-ES"/>
        </w:rPr>
        <w:t>usuarios</w:t>
      </w:r>
      <w:r w:rsidRPr="00FD7BCF">
        <w:rPr>
          <w:rFonts w:ascii="ITC Avant Garde" w:hAnsi="ITC Avant Garde" w:cs="Arial"/>
          <w:lang w:val="es-ES"/>
        </w:rPr>
        <w:t xml:space="preserve"> finales y concesionarios </w:t>
      </w:r>
      <w:r w:rsidR="008C5231" w:rsidRPr="00FD7BCF">
        <w:rPr>
          <w:rFonts w:ascii="ITC Avant Garde" w:hAnsi="ITC Avant Garde" w:cs="Arial"/>
          <w:lang w:val="es-ES"/>
        </w:rPr>
        <w:t>solicitantes</w:t>
      </w:r>
      <w:r w:rsidRPr="00FD7BCF">
        <w:rPr>
          <w:rFonts w:ascii="ITC Avant Garde" w:hAnsi="ITC Avant Garde" w:cs="Arial"/>
          <w:lang w:val="es-ES"/>
        </w:rPr>
        <w:t xml:space="preserve"> sería suficiente para observar si existe venta a precios diferenciados entre el mercado final y el mercado intermedio; no obstante, también se valora la respuesta del perito de Telmex en el sentido de que los descuentos de Telmex obedecen a diversos criterios, como descuentos de concentración, velocidad, etc., por lo que en la práctica es </w:t>
      </w:r>
      <w:r w:rsidR="000017B7" w:rsidRPr="00FD7BCF">
        <w:rPr>
          <w:rFonts w:ascii="ITC Avant Garde" w:hAnsi="ITC Avant Garde" w:cs="Arial"/>
          <w:lang w:val="es-ES"/>
        </w:rPr>
        <w:t xml:space="preserve">demasiado </w:t>
      </w:r>
      <w:r w:rsidRPr="00FD7BCF">
        <w:rPr>
          <w:rFonts w:ascii="ITC Avant Garde" w:hAnsi="ITC Avant Garde" w:cs="Arial"/>
          <w:lang w:val="es-ES"/>
        </w:rPr>
        <w:t xml:space="preserve">complicado </w:t>
      </w:r>
      <w:r w:rsidR="000017B7" w:rsidRPr="00FD7BCF">
        <w:rPr>
          <w:rFonts w:ascii="ITC Avant Garde" w:hAnsi="ITC Avant Garde" w:cs="Arial"/>
          <w:lang w:val="es-ES"/>
        </w:rPr>
        <w:t>llevar a cabo dichas comparaciones.</w:t>
      </w:r>
    </w:p>
    <w:p w14:paraId="211EA313" w14:textId="77777777" w:rsidR="00B42019" w:rsidRDefault="00C20FF9"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 xml:space="preserve">Pregunta 5. Se solicitó a los peritos señalaran si por las características propias de los diferentes tipos de enlaces dedicados, la sola comparación entre tarifas y descuentos entre usuarios finales y los concesionarios solicitantes es suficiente para afirmar que </w:t>
      </w:r>
      <w:r w:rsidR="002C5487" w:rsidRPr="00FD7BCF">
        <w:rPr>
          <w:rFonts w:ascii="ITC Avant Garde" w:hAnsi="ITC Avant Garde" w:cs="Arial"/>
          <w:b/>
          <w:lang w:val="es-ES"/>
        </w:rPr>
        <w:t xml:space="preserve">los precios mayorista de Telmex y </w:t>
      </w:r>
      <w:proofErr w:type="spellStart"/>
      <w:r w:rsidRPr="00FD7BCF">
        <w:rPr>
          <w:rFonts w:ascii="ITC Avant Garde" w:hAnsi="ITC Avant Garde" w:cs="Arial"/>
          <w:b/>
          <w:lang w:val="es-ES"/>
        </w:rPr>
        <w:t>Telnor</w:t>
      </w:r>
      <w:proofErr w:type="spellEnd"/>
      <w:r w:rsidRPr="00FD7BCF">
        <w:rPr>
          <w:rFonts w:ascii="ITC Avant Garde" w:hAnsi="ITC Avant Garde" w:cs="Arial"/>
          <w:b/>
          <w:lang w:val="es-ES"/>
        </w:rPr>
        <w:t xml:space="preserve"> son superiores a sus costos o que se está incurriendo en un subsidio cruzado entre servicios.</w:t>
      </w:r>
    </w:p>
    <w:p w14:paraId="7D63B596" w14:textId="77777777" w:rsidR="00B42019" w:rsidRDefault="002C5487"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Refiere el perito de Telmex y </w:t>
      </w:r>
      <w:proofErr w:type="spellStart"/>
      <w:r w:rsidR="00C20FF9" w:rsidRPr="00FD7BCF">
        <w:rPr>
          <w:rFonts w:ascii="ITC Avant Garde" w:hAnsi="ITC Avant Garde" w:cs="Arial"/>
          <w:lang w:val="es-ES"/>
        </w:rPr>
        <w:t>Telnor</w:t>
      </w:r>
      <w:proofErr w:type="spellEnd"/>
      <w:r w:rsidR="00C20FF9" w:rsidRPr="00FD7BCF">
        <w:rPr>
          <w:rFonts w:ascii="ITC Avant Garde" w:hAnsi="ITC Avant Garde" w:cs="Arial"/>
          <w:lang w:val="es-ES"/>
        </w:rPr>
        <w:t xml:space="preserve"> que la sola comparación entre tarifas y descuentos aplicados entre diferentes concesionarios por un mismo servicio denominado genéricamente, no constituye evidencia suficiente para afirmar que los precios mayoristas son superiores a los costos o que se incurre en un subsidio cruzado. Agrega que los descuentos aplicables sobre una tarifa de un servicio genérico es la modalidad de cómo se ajusta la renta mensual a los costos transitorios o permanente que genera el servicio que se provee a un concesionario solicitante determinado en el curso de la vigencia del Convenio.</w:t>
      </w:r>
    </w:p>
    <w:p w14:paraId="52FA70E6"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El perito de Grupo Televisa</w:t>
      </w:r>
      <w:r w:rsidR="002C5487" w:rsidRPr="00FD7BCF">
        <w:rPr>
          <w:rFonts w:ascii="ITC Avant Garde" w:hAnsi="ITC Avant Garde" w:cs="Arial"/>
          <w:lang w:val="es-ES"/>
        </w:rPr>
        <w:t xml:space="preserve"> y México Red</w:t>
      </w:r>
      <w:r w:rsidRPr="00FD7BCF">
        <w:rPr>
          <w:rFonts w:ascii="ITC Avant Garde" w:hAnsi="ITC Avant Garde" w:cs="Arial"/>
          <w:lang w:val="es-ES"/>
        </w:rPr>
        <w:t xml:space="preserve"> reitera que lo que se esperaría es que los precios mayoristas sean mayores a los costos de </w:t>
      </w:r>
      <w:r w:rsidR="002C5487" w:rsidRPr="00FD7BCF">
        <w:rPr>
          <w:rFonts w:ascii="ITC Avant Garde" w:hAnsi="ITC Avant Garde" w:cs="Arial"/>
          <w:lang w:val="es-ES"/>
        </w:rPr>
        <w:t xml:space="preserve">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xml:space="preserve"> para permitir a los concesionarios </w:t>
      </w:r>
      <w:r w:rsidRPr="00FD7BCF">
        <w:rPr>
          <w:rFonts w:ascii="ITC Avant Garde" w:hAnsi="ITC Avant Garde" w:cs="Arial"/>
          <w:lang w:val="es-ES"/>
        </w:rPr>
        <w:lastRenderedPageBreak/>
        <w:t xml:space="preserve">que utilizan los servicios estar en la posibilidad de replicar sus ofertas. Agrega que la situación crítica en el presente caso es el hecho de que los precios minoristas estén por debajo de los mayoristas y que 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xml:space="preserve"> pretendan confundir a la autoridad argumentando que los mercados mayoristas y minoristas deben ser tratados en términos regulatorios como un mismo mercado.</w:t>
      </w:r>
    </w:p>
    <w:p w14:paraId="1FB22E30" w14:textId="77777777" w:rsidR="00B42019" w:rsidRDefault="002C5487" w:rsidP="00B42019">
      <w:pPr>
        <w:spacing w:before="240" w:line="276" w:lineRule="auto"/>
        <w:jc w:val="both"/>
        <w:rPr>
          <w:rFonts w:ascii="ITC Avant Garde" w:hAnsi="ITC Avant Garde" w:cs="Arial"/>
          <w:u w:val="single"/>
          <w:lang w:val="es-ES"/>
        </w:rPr>
      </w:pPr>
      <w:r w:rsidRPr="00FD7BCF">
        <w:rPr>
          <w:rFonts w:ascii="ITC Avant Garde" w:hAnsi="ITC Avant Garde" w:cs="Arial"/>
          <w:u w:val="single"/>
          <w:lang w:val="es-ES"/>
        </w:rPr>
        <w:t>Consideraciones del Instituto</w:t>
      </w:r>
    </w:p>
    <w:p w14:paraId="2A902178" w14:textId="77777777" w:rsidR="00B42019" w:rsidRDefault="00D74F2B" w:rsidP="00B42019">
      <w:pPr>
        <w:spacing w:before="240" w:line="276" w:lineRule="auto"/>
        <w:jc w:val="both"/>
        <w:rPr>
          <w:rFonts w:ascii="ITC Avant Garde" w:hAnsi="ITC Avant Garde" w:cs="Arial"/>
          <w:lang w:val="es-ES"/>
        </w:rPr>
      </w:pPr>
      <w:r w:rsidRPr="00FD7BCF">
        <w:rPr>
          <w:rFonts w:ascii="ITC Avant Garde" w:hAnsi="ITC Avant Garde" w:cs="Arial"/>
          <w:lang w:val="es-ES"/>
        </w:rPr>
        <w:t>Desde un punto de vista teórico este Instituto coincide con el perito de Grupo Televisa y México Red en el sentido de que los precios de los servicios mayoristas deben permitir replicar las ofertas del AEP a efecto de permitir el desarrollo de una sana competencia;   no obstante, también se valora la respuesta del perito de Telmex en el sentido de que los descuentos de Telmex obedecen a diversos criterios, como descuentos de concentración, velocidad, etc., por lo que en la práctica es demasiado complicado llevar a cabo dichas comparaciones.</w:t>
      </w:r>
    </w:p>
    <w:p w14:paraId="784B2276" w14:textId="77777777" w:rsidR="00B42019" w:rsidRDefault="00C20FF9"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 xml:space="preserve">Pregunta 6. Se solicitó a los peritos señalar si el concepto de “operador eficiente” se incluye en el conjunto de datos del modelo de costos evitados que el </w:t>
      </w:r>
      <w:r w:rsidR="00D76D25" w:rsidRPr="00FD7BCF">
        <w:rPr>
          <w:rFonts w:ascii="ITC Avant Garde" w:hAnsi="ITC Avant Garde" w:cs="Arial"/>
          <w:b/>
          <w:lang w:val="es-ES"/>
        </w:rPr>
        <w:t>Instituto</w:t>
      </w:r>
      <w:r w:rsidRPr="00FD7BCF">
        <w:rPr>
          <w:rFonts w:ascii="ITC Avant Garde" w:hAnsi="ITC Avant Garde" w:cs="Arial"/>
          <w:b/>
          <w:lang w:val="es-ES"/>
        </w:rPr>
        <w:t xml:space="preserve"> sometió a consulta pública en octubre de 2015.</w:t>
      </w:r>
    </w:p>
    <w:p w14:paraId="4DE4B6AA"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Expone el perito de 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xml:space="preserve"> que en el modelo de costos aplicable a enlaces dedicados, sujeto a consulta pública en octubre de 2015, aplica un modelo de costos evitados, el cual no hace referencia o incorpora parámetros de costos derivados de un hipotético “operador eficiente”. Añade que la metodología “</w:t>
      </w:r>
      <w:proofErr w:type="spellStart"/>
      <w:r w:rsidRPr="00FD7BCF">
        <w:rPr>
          <w:rFonts w:ascii="ITC Avant Garde" w:hAnsi="ITC Avant Garde" w:cs="Arial"/>
          <w:i/>
          <w:lang w:val="es-ES"/>
        </w:rPr>
        <w:t>retail</w:t>
      </w:r>
      <w:proofErr w:type="spellEnd"/>
      <w:r w:rsidRPr="00FD7BCF">
        <w:rPr>
          <w:rFonts w:ascii="ITC Avant Garde" w:hAnsi="ITC Avant Garde" w:cs="Arial"/>
          <w:i/>
          <w:lang w:val="es-ES"/>
        </w:rPr>
        <w:t xml:space="preserve"> </w:t>
      </w:r>
      <w:proofErr w:type="spellStart"/>
      <w:r w:rsidRPr="00FD7BCF">
        <w:rPr>
          <w:rFonts w:ascii="ITC Avant Garde" w:hAnsi="ITC Avant Garde" w:cs="Arial"/>
          <w:i/>
          <w:lang w:val="es-ES"/>
        </w:rPr>
        <w:t>minus</w:t>
      </w:r>
      <w:proofErr w:type="spellEnd"/>
      <w:r w:rsidRPr="00FD7BCF">
        <w:rPr>
          <w:rFonts w:ascii="ITC Avant Garde" w:hAnsi="ITC Avant Garde" w:cs="Arial"/>
          <w:lang w:val="es-ES"/>
        </w:rPr>
        <w:t>” procura promover la eficiencia productiva de los operadores cuando el proveedor está conformado verticalmente entre servicios mayoristas y minoristas o a usuarios finales. Menciona que el modelo establece una tarificación al mayorista con base en las tarifas minoristas (observados más no hipotéticos, producto de un modelo de operador eficiente) menos los costos evitados, definidos como los costos en que no se incurre al no requerir de las operaciones asociadas a la comercialización al menudeo.</w:t>
      </w:r>
    </w:p>
    <w:p w14:paraId="739DDFE9"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Por su parte el perito de Grupo Televisa</w:t>
      </w:r>
      <w:r w:rsidR="00A1025B" w:rsidRPr="00FD7BCF">
        <w:rPr>
          <w:rFonts w:ascii="ITC Avant Garde" w:hAnsi="ITC Avant Garde" w:cs="Arial"/>
          <w:lang w:val="es-ES"/>
        </w:rPr>
        <w:t xml:space="preserve"> y México Red</w:t>
      </w:r>
      <w:r w:rsidRPr="00FD7BCF">
        <w:rPr>
          <w:rFonts w:ascii="ITC Avant Garde" w:hAnsi="ITC Avant Garde" w:cs="Arial"/>
          <w:lang w:val="es-ES"/>
        </w:rPr>
        <w:t xml:space="preserve"> señala que el concepto de operador eficiente no fue incluido en el conjunto de fuentes de datos del modelo de costos evitados que el I</w:t>
      </w:r>
      <w:r w:rsidR="00D76D25" w:rsidRPr="00FD7BCF">
        <w:rPr>
          <w:rFonts w:ascii="ITC Avant Garde" w:hAnsi="ITC Avant Garde" w:cs="Arial"/>
          <w:lang w:val="es-ES"/>
        </w:rPr>
        <w:t>nstituto</w:t>
      </w:r>
      <w:r w:rsidRPr="00FD7BCF">
        <w:rPr>
          <w:rFonts w:ascii="ITC Avant Garde" w:hAnsi="ITC Avant Garde" w:cs="Arial"/>
          <w:lang w:val="es-ES"/>
        </w:rPr>
        <w:t xml:space="preserve"> sometió a consulta pública y que dicha carencia es uno de los principales problemas que enfrentan los concesionarios solicitantes, ya que los costos evitados que el Instituto modelo son los que el AEP le proporcion</w:t>
      </w:r>
      <w:r w:rsidR="00D76D25" w:rsidRPr="00FD7BCF">
        <w:rPr>
          <w:rFonts w:ascii="ITC Avant Garde" w:hAnsi="ITC Avant Garde" w:cs="Arial"/>
          <w:lang w:val="es-ES"/>
        </w:rPr>
        <w:t>ó</w:t>
      </w:r>
      <w:r w:rsidRPr="00FD7BCF">
        <w:rPr>
          <w:rFonts w:ascii="ITC Avant Garde" w:hAnsi="ITC Avant Garde" w:cs="Arial"/>
          <w:lang w:val="es-ES"/>
        </w:rPr>
        <w:t>, y dadas sus dimensiones no pueden compararse con el resto de los operadores. Concluye mencionando que los costos evitados que debieron utilizarse eran los de un operador eficiente ya sea hipotético o bien comparable a algunos operadores en el mercado.</w:t>
      </w:r>
    </w:p>
    <w:p w14:paraId="49FA5CD8" w14:textId="77777777" w:rsidR="00B42019" w:rsidRDefault="00A1025B" w:rsidP="00B42019">
      <w:pPr>
        <w:spacing w:before="240" w:line="276" w:lineRule="auto"/>
        <w:jc w:val="both"/>
        <w:rPr>
          <w:rFonts w:ascii="ITC Avant Garde" w:hAnsi="ITC Avant Garde" w:cs="Arial"/>
          <w:u w:val="single"/>
          <w:lang w:val="es-ES"/>
        </w:rPr>
      </w:pPr>
      <w:r w:rsidRPr="00FD7BCF">
        <w:rPr>
          <w:rFonts w:ascii="ITC Avant Garde" w:hAnsi="ITC Avant Garde" w:cs="Arial"/>
          <w:u w:val="single"/>
          <w:lang w:val="es-ES"/>
        </w:rPr>
        <w:t>Consideraciones del Instituto</w:t>
      </w:r>
    </w:p>
    <w:p w14:paraId="3EFE2BC3"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lastRenderedPageBreak/>
        <w:t xml:space="preserve">Este Instituto </w:t>
      </w:r>
      <w:r w:rsidR="00E2040D" w:rsidRPr="00FD7BCF">
        <w:rPr>
          <w:rFonts w:ascii="ITC Avant Garde" w:hAnsi="ITC Avant Garde" w:cs="Arial"/>
          <w:lang w:val="es-ES"/>
        </w:rPr>
        <w:t xml:space="preserve">considera que son improcedentes las respuestas de ambos peritos, toda vez que el modelo utilizado en la presente resolución es diverso del sometido a consulta pública, por lo que </w:t>
      </w:r>
      <w:r w:rsidR="004033C0" w:rsidRPr="00FD7BCF">
        <w:rPr>
          <w:rFonts w:ascii="ITC Avant Garde" w:hAnsi="ITC Avant Garde" w:cs="Arial"/>
          <w:lang w:val="es-ES"/>
        </w:rPr>
        <w:t xml:space="preserve">a nada abona el análisis de las mismas. </w:t>
      </w:r>
      <w:r w:rsidR="00E2040D" w:rsidRPr="00FD7BCF">
        <w:rPr>
          <w:rFonts w:ascii="ITC Avant Garde" w:hAnsi="ITC Avant Garde" w:cs="Arial"/>
          <w:lang w:val="es-ES"/>
        </w:rPr>
        <w:t xml:space="preserve"> </w:t>
      </w:r>
    </w:p>
    <w:p w14:paraId="6719E103" w14:textId="77777777" w:rsidR="00B42019" w:rsidRDefault="00C20FF9"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Pregunta 7. Se solicitó a los peritos señalaran si el tipo de servicios que exhibe Grupo Televisa</w:t>
      </w:r>
      <w:r w:rsidR="00A1025B" w:rsidRPr="00FD7BCF">
        <w:rPr>
          <w:rFonts w:ascii="ITC Avant Garde" w:hAnsi="ITC Avant Garde" w:cs="Arial"/>
          <w:b/>
          <w:lang w:val="es-ES"/>
        </w:rPr>
        <w:t xml:space="preserve"> y México Red</w:t>
      </w:r>
      <w:r w:rsidRPr="00FD7BCF">
        <w:rPr>
          <w:rFonts w:ascii="ITC Avant Garde" w:hAnsi="ITC Avant Garde" w:cs="Arial"/>
          <w:b/>
          <w:lang w:val="es-ES"/>
        </w:rPr>
        <w:t xml:space="preserve"> como de un supuesto usuario final corresponde al perfil de un usuario de servicios finales de telecomunicaciones o a un usuario mayorista o concesionario de una red de telecomunicaciones.</w:t>
      </w:r>
    </w:p>
    <w:p w14:paraId="58EEFC46"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El perito del AEP señala que las facturas que supuestamente son exhibidas, corresponden a un “cliente final de líneas dedicadas” por lo que no precisa si se trata de un concesionario de redes públicas de telecomunicaciones para uso comercial, para uso público, para uso privado o incluso para uso social. El perito agrega que el servicio mayorista de enlaces dedicados está destinado para los concesionarios de uso comercial y además es un servicio final utilizado para la prestación de otros bienes y servicios en el caso de los concesionarios de uso público, privado y social. Por lo que concluye que las facturas exhibidas por Grupo Televisa no significan evidencia para inferir diferencias entre pecios mayoristas y precios minoristas.</w:t>
      </w:r>
    </w:p>
    <w:p w14:paraId="3350A70A"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El perito de </w:t>
      </w:r>
      <w:r w:rsidR="007F62FB" w:rsidRPr="00FD7BCF">
        <w:rPr>
          <w:rFonts w:ascii="ITC Avant Garde" w:hAnsi="ITC Avant Garde" w:cs="Arial"/>
          <w:lang w:val="es-ES"/>
        </w:rPr>
        <w:t>Grupo Televisa y México Red</w:t>
      </w:r>
      <w:r w:rsidRPr="00FD7BCF">
        <w:rPr>
          <w:rFonts w:ascii="ITC Avant Garde" w:hAnsi="ITC Avant Garde" w:cs="Arial"/>
          <w:lang w:val="es-ES"/>
        </w:rPr>
        <w:t xml:space="preserve"> menciona que el caso analizado como claramente se señala en el documento de </w:t>
      </w:r>
      <w:r w:rsidR="007F62FB" w:rsidRPr="00FD7BCF">
        <w:rPr>
          <w:rFonts w:ascii="ITC Avant Garde" w:hAnsi="ITC Avant Garde" w:cs="Arial"/>
          <w:lang w:val="es-ES"/>
        </w:rPr>
        <w:t>d</w:t>
      </w:r>
      <w:r w:rsidRPr="00FD7BCF">
        <w:rPr>
          <w:rFonts w:ascii="ITC Avant Garde" w:hAnsi="ITC Avant Garde" w:cs="Arial"/>
          <w:lang w:val="es-ES"/>
        </w:rPr>
        <w:t>esacuerdo corresponde a un usuario final.</w:t>
      </w:r>
    </w:p>
    <w:p w14:paraId="7C1E6AAC" w14:textId="77777777" w:rsidR="00B42019" w:rsidRDefault="00A1025B" w:rsidP="00B42019">
      <w:pPr>
        <w:spacing w:before="240" w:line="276" w:lineRule="auto"/>
        <w:jc w:val="both"/>
        <w:rPr>
          <w:rFonts w:ascii="ITC Avant Garde" w:hAnsi="ITC Avant Garde" w:cs="Arial"/>
          <w:u w:val="single"/>
          <w:lang w:val="es-ES"/>
        </w:rPr>
      </w:pPr>
      <w:r w:rsidRPr="00FD7BCF">
        <w:rPr>
          <w:rFonts w:ascii="ITC Avant Garde" w:hAnsi="ITC Avant Garde" w:cs="Arial"/>
          <w:u w:val="single"/>
          <w:lang w:val="es-ES"/>
        </w:rPr>
        <w:t>Consideraciones del Instituto</w:t>
      </w:r>
    </w:p>
    <w:p w14:paraId="3856F32A" w14:textId="77777777" w:rsidR="00B42019" w:rsidRDefault="00321DB2" w:rsidP="00B42019">
      <w:pPr>
        <w:spacing w:before="240" w:line="276" w:lineRule="auto"/>
        <w:jc w:val="both"/>
        <w:rPr>
          <w:rFonts w:ascii="ITC Avant Garde" w:hAnsi="ITC Avant Garde" w:cs="Arial"/>
          <w:lang w:val="es-ES"/>
        </w:rPr>
      </w:pPr>
      <w:r w:rsidRPr="00FD7BCF">
        <w:rPr>
          <w:rFonts w:ascii="ITC Avant Garde" w:hAnsi="ITC Avant Garde" w:cs="Arial"/>
          <w:lang w:val="es-ES"/>
        </w:rPr>
        <w:t>Este Instituto da cuenta de las respuestas otorgadas por</w:t>
      </w:r>
      <w:r w:rsidR="003F411B" w:rsidRPr="00FD7BCF">
        <w:rPr>
          <w:rFonts w:ascii="ITC Avant Garde" w:hAnsi="ITC Avant Garde" w:cs="Arial"/>
          <w:lang w:val="es-ES"/>
        </w:rPr>
        <w:t xml:space="preserve"> ambos peritos</w:t>
      </w:r>
      <w:r w:rsidRPr="00FD7BCF">
        <w:rPr>
          <w:rFonts w:ascii="ITC Avant Garde" w:hAnsi="ITC Avant Garde" w:cs="Arial"/>
          <w:lang w:val="es-ES"/>
        </w:rPr>
        <w:t xml:space="preserve"> sin embargo</w:t>
      </w:r>
      <w:r w:rsidR="003F411B" w:rsidRPr="00FD7BCF">
        <w:rPr>
          <w:rFonts w:ascii="ITC Avant Garde" w:hAnsi="ITC Avant Garde" w:cs="Arial"/>
          <w:lang w:val="es-ES"/>
        </w:rPr>
        <w:t>,</w:t>
      </w:r>
      <w:r w:rsidRPr="00FD7BCF">
        <w:rPr>
          <w:rFonts w:ascii="ITC Avant Garde" w:hAnsi="ITC Avant Garde" w:cs="Arial"/>
          <w:lang w:val="es-ES"/>
        </w:rPr>
        <w:t xml:space="preserve"> con base en la información que obra en el expediente no es preciso determinar quién es el cliente a quien se le emitió la factura y por ende, el tipo de usuario del que se trata</w:t>
      </w:r>
      <w:r w:rsidR="009424F0" w:rsidRPr="00FD7BCF">
        <w:rPr>
          <w:rFonts w:ascii="ITC Avant Garde" w:hAnsi="ITC Avant Garde" w:cs="Arial"/>
          <w:lang w:val="es-ES"/>
        </w:rPr>
        <w:t>. A</w:t>
      </w:r>
      <w:r w:rsidRPr="00FD7BCF">
        <w:rPr>
          <w:rFonts w:ascii="ITC Avant Garde" w:hAnsi="ITC Avant Garde" w:cs="Arial"/>
          <w:lang w:val="es-ES"/>
        </w:rPr>
        <w:t xml:space="preserve">simismo se señala que dicha información no es relevante en el presente procedimiento toda vez que el Instituto cuenta con un modelo de costos en el que se toman en cuenta todos los elementos necesarios (incluyendo los descuentos pertinentes y una metodología de costos evitados) para determinar las tarifas </w:t>
      </w:r>
      <w:r w:rsidR="009424F0" w:rsidRPr="00FD7BCF">
        <w:rPr>
          <w:rFonts w:ascii="ITC Avant Garde" w:hAnsi="ITC Avant Garde" w:cs="Arial"/>
          <w:lang w:val="es-ES"/>
        </w:rPr>
        <w:t>en el presente procedimiento.</w:t>
      </w:r>
    </w:p>
    <w:p w14:paraId="0273F52A" w14:textId="77777777" w:rsidR="00B42019" w:rsidRDefault="00C20FF9"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Preguntas en materia económica propuestas por Grupo Televisa y México Red</w:t>
      </w:r>
    </w:p>
    <w:p w14:paraId="168762C9" w14:textId="77777777" w:rsidR="00B42019" w:rsidRDefault="00C20FF9"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 xml:space="preserve">Pregunta 1. Se solicitó a los peritos que de acuerdo a sus conocimientos del mercado de arrendamiento de enlaces dedicados locales, entre localidades, y de larga distancia internacional, si el volumen comercializado es la principal fuente de descuentos que Telmex aplica a sus clientes. Si su respuesta es negativa, indique </w:t>
      </w:r>
      <w:r w:rsidR="00F44A38" w:rsidRPr="00FD7BCF">
        <w:rPr>
          <w:rFonts w:ascii="ITC Avant Garde" w:hAnsi="ITC Avant Garde" w:cs="Arial"/>
          <w:b/>
          <w:lang w:val="es-ES"/>
        </w:rPr>
        <w:t xml:space="preserve">qué </w:t>
      </w:r>
      <w:r w:rsidRPr="00FD7BCF">
        <w:rPr>
          <w:rFonts w:ascii="ITC Avant Garde" w:hAnsi="ITC Avant Garde" w:cs="Arial"/>
          <w:b/>
          <w:lang w:val="es-ES"/>
        </w:rPr>
        <w:t>otras fuentes de descuento, aplica Telmex sus clientes. En ambos casos favor de proporcionar la fuente de dicha información.</w:t>
      </w:r>
    </w:p>
    <w:p w14:paraId="17072FBC"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lastRenderedPageBreak/>
        <w:t xml:space="preserve">El perito de 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xml:space="preserve"> indica que son dos los tipos de descuentos que Telmex</w:t>
      </w:r>
      <w:r w:rsidR="00A1025B" w:rsidRPr="00FD7BCF">
        <w:rPr>
          <w:rFonts w:ascii="ITC Avant Garde" w:hAnsi="ITC Avant Garde" w:cs="Arial"/>
          <w:lang w:val="es-ES"/>
        </w:rPr>
        <w:t xml:space="preserve"> y </w:t>
      </w:r>
      <w:proofErr w:type="spellStart"/>
      <w:r w:rsidR="00A1025B" w:rsidRPr="00FD7BCF">
        <w:rPr>
          <w:rFonts w:ascii="ITC Avant Garde" w:hAnsi="ITC Avant Garde" w:cs="Arial"/>
          <w:lang w:val="es-ES"/>
        </w:rPr>
        <w:t>Telnor</w:t>
      </w:r>
      <w:proofErr w:type="spellEnd"/>
      <w:r w:rsidRPr="00FD7BCF">
        <w:rPr>
          <w:rFonts w:ascii="ITC Avant Garde" w:hAnsi="ITC Avant Garde" w:cs="Arial"/>
          <w:lang w:val="es-ES"/>
        </w:rPr>
        <w:t xml:space="preserve"> tiene registrados ante el </w:t>
      </w:r>
      <w:r w:rsidR="00E3444E" w:rsidRPr="00FD7BCF">
        <w:rPr>
          <w:rFonts w:ascii="ITC Avant Garde" w:hAnsi="ITC Avant Garde" w:cs="Arial"/>
          <w:lang w:val="es-ES"/>
        </w:rPr>
        <w:t>Instituto</w:t>
      </w:r>
      <w:r w:rsidRPr="00FD7BCF">
        <w:rPr>
          <w:rFonts w:ascii="ITC Avant Garde" w:hAnsi="ITC Avant Garde" w:cs="Arial"/>
          <w:lang w:val="es-ES"/>
        </w:rPr>
        <w:t>, descuentos por concentración y descuentos por velocidad.</w:t>
      </w:r>
    </w:p>
    <w:p w14:paraId="7D1B4B9B"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Refiere el perito que no es posible decir que tipo de descuento es el principal dado que ambos no son excluyentes entre sí, por lo que un mismo concesionario puede obtener descuentos de ambos tipos o de uno solo tipo dependiendo </w:t>
      </w:r>
      <w:r w:rsidR="00E42FF2" w:rsidRPr="00FD7BCF">
        <w:rPr>
          <w:rFonts w:ascii="ITC Avant Garde" w:hAnsi="ITC Avant Garde" w:cs="Arial"/>
          <w:lang w:val="es-ES"/>
        </w:rPr>
        <w:t>d</w:t>
      </w:r>
      <w:r w:rsidRPr="00FD7BCF">
        <w:rPr>
          <w:rFonts w:ascii="ITC Avant Garde" w:hAnsi="ITC Avant Garde" w:cs="Arial"/>
          <w:lang w:val="es-ES"/>
        </w:rPr>
        <w:t xml:space="preserve">el caso. Aclara el perito que los descuentos que </w:t>
      </w:r>
      <w:proofErr w:type="gramStart"/>
      <w:r w:rsidRPr="00FD7BCF">
        <w:rPr>
          <w:rFonts w:ascii="ITC Avant Garde" w:hAnsi="ITC Avant Garde" w:cs="Arial"/>
          <w:lang w:val="es-ES"/>
        </w:rPr>
        <w:t>aplica</w:t>
      </w:r>
      <w:proofErr w:type="gramEnd"/>
      <w:r w:rsidRPr="00FD7BCF">
        <w:rPr>
          <w:rFonts w:ascii="ITC Avant Garde" w:hAnsi="ITC Avant Garde" w:cs="Arial"/>
          <w:lang w:val="es-ES"/>
        </w:rPr>
        <w:t xml:space="preserve"> Telmex</w:t>
      </w:r>
      <w:r w:rsidR="00A1025B" w:rsidRPr="00FD7BCF">
        <w:rPr>
          <w:rFonts w:ascii="ITC Avant Garde" w:hAnsi="ITC Avant Garde" w:cs="Arial"/>
          <w:lang w:val="es-ES"/>
        </w:rPr>
        <w:t xml:space="preserve"> y </w:t>
      </w:r>
      <w:proofErr w:type="spellStart"/>
      <w:r w:rsidR="00A1025B" w:rsidRPr="00FD7BCF">
        <w:rPr>
          <w:rFonts w:ascii="ITC Avant Garde" w:hAnsi="ITC Avant Garde" w:cs="Arial"/>
          <w:lang w:val="es-ES"/>
        </w:rPr>
        <w:t>Telnor</w:t>
      </w:r>
      <w:proofErr w:type="spellEnd"/>
      <w:r w:rsidRPr="00FD7BCF">
        <w:rPr>
          <w:rFonts w:ascii="ITC Avant Garde" w:hAnsi="ITC Avant Garde" w:cs="Arial"/>
          <w:lang w:val="es-ES"/>
        </w:rPr>
        <w:t xml:space="preserve"> a sus clientes son explícitamente información confidencial por lo que carece de acceso a los antes mencionados.</w:t>
      </w:r>
    </w:p>
    <w:p w14:paraId="2F86F355"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El perito de Grupo Televisa y México Red menciona que las principales fuentes de descuento en el mercado de enlaces son los descuentos por volumen y los descuentos por gastos de instalación, no obstante, refiere que en el es</w:t>
      </w:r>
      <w:r w:rsidR="00096122" w:rsidRPr="00FD7BCF">
        <w:rPr>
          <w:rFonts w:ascii="ITC Avant Garde" w:hAnsi="ITC Avant Garde" w:cs="Arial"/>
          <w:lang w:val="es-ES"/>
        </w:rPr>
        <w:t xml:space="preserve">crito de contestación de 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xml:space="preserve"> se indica que los descuentos dependen en gran medida del volumen que se le compre y de otras características como rutas específicas, ancho de banda y descuentos por concentración, los cuales no se encuentran contemplados en la Oferta de Referencia, por lo que considera que el Instituto debe tomar en cuenta también los descuentos mencionados para evitar conductas discriminatorias.</w:t>
      </w:r>
    </w:p>
    <w:p w14:paraId="7E2AD7FD" w14:textId="77777777" w:rsidR="00B42019" w:rsidRDefault="00A1025B" w:rsidP="00B42019">
      <w:pPr>
        <w:spacing w:before="240" w:line="276" w:lineRule="auto"/>
        <w:jc w:val="both"/>
        <w:rPr>
          <w:rFonts w:ascii="ITC Avant Garde" w:hAnsi="ITC Avant Garde" w:cs="Arial"/>
          <w:u w:val="single"/>
          <w:lang w:val="es-ES"/>
        </w:rPr>
      </w:pPr>
      <w:r w:rsidRPr="00FD7BCF">
        <w:rPr>
          <w:rFonts w:ascii="ITC Avant Garde" w:hAnsi="ITC Avant Garde" w:cs="Arial"/>
          <w:u w:val="single"/>
          <w:lang w:val="es-ES"/>
        </w:rPr>
        <w:t>Consideraciones del Instituto</w:t>
      </w:r>
    </w:p>
    <w:p w14:paraId="22E0EFC6" w14:textId="77777777" w:rsidR="00B42019" w:rsidRDefault="00B4338C" w:rsidP="00B42019">
      <w:pPr>
        <w:pStyle w:val="Textocomentario"/>
        <w:spacing w:before="240" w:after="160" w:line="276" w:lineRule="auto"/>
        <w:jc w:val="both"/>
        <w:rPr>
          <w:rFonts w:ascii="ITC Avant Garde" w:hAnsi="ITC Avant Garde"/>
          <w:sz w:val="22"/>
          <w:szCs w:val="22"/>
        </w:rPr>
      </w:pPr>
      <w:r w:rsidRPr="00FD7BCF">
        <w:rPr>
          <w:rFonts w:ascii="ITC Avant Garde" w:hAnsi="ITC Avant Garde"/>
          <w:sz w:val="22"/>
          <w:szCs w:val="22"/>
        </w:rPr>
        <w:t xml:space="preserve">De la respuesta dada por el perito de Telmex, la pericial no aporta un dato técnico confiable. Máxime que al haber sido Telmex el oferente de la pericial no proporcionó a su perito información a efecto de determinar </w:t>
      </w:r>
      <w:proofErr w:type="gramStart"/>
      <w:r w:rsidRPr="00FD7BCF">
        <w:rPr>
          <w:rFonts w:ascii="ITC Avant Garde" w:hAnsi="ITC Avant Garde"/>
          <w:sz w:val="22"/>
          <w:szCs w:val="22"/>
        </w:rPr>
        <w:t>si  el</w:t>
      </w:r>
      <w:proofErr w:type="gramEnd"/>
      <w:r w:rsidRPr="00FD7BCF">
        <w:rPr>
          <w:rFonts w:ascii="ITC Avant Garde" w:hAnsi="ITC Avant Garde"/>
          <w:sz w:val="22"/>
          <w:szCs w:val="22"/>
        </w:rPr>
        <w:t xml:space="preserve"> volumen comercializado es la principal fuente de descuentos, por lo al no expresar esa información no se toma en consideración la respuesta de su perito.</w:t>
      </w:r>
    </w:p>
    <w:p w14:paraId="080E2CEE" w14:textId="77777777" w:rsidR="00B42019" w:rsidRDefault="00B4338C" w:rsidP="00B42019">
      <w:pPr>
        <w:spacing w:before="240" w:line="276" w:lineRule="auto"/>
        <w:jc w:val="both"/>
        <w:rPr>
          <w:rFonts w:ascii="ITC Avant Garde" w:hAnsi="ITC Avant Garde" w:cs="Arial"/>
          <w:lang w:val="es-ES"/>
        </w:rPr>
      </w:pPr>
      <w:r w:rsidRPr="00FD7BCF">
        <w:rPr>
          <w:rFonts w:ascii="ITC Avant Garde" w:hAnsi="ITC Avant Garde" w:cs="Arial"/>
          <w:lang w:val="es-ES"/>
        </w:rPr>
        <w:t>Asimismo, d</w:t>
      </w:r>
      <w:r w:rsidR="00E42FF2" w:rsidRPr="00FD7BCF">
        <w:rPr>
          <w:rFonts w:ascii="ITC Avant Garde" w:hAnsi="ITC Avant Garde" w:cs="Arial"/>
          <w:lang w:val="es-ES"/>
        </w:rPr>
        <w:t xml:space="preserve">el análisis de </w:t>
      </w:r>
      <w:r w:rsidR="00C20FF9" w:rsidRPr="00FD7BCF">
        <w:rPr>
          <w:rFonts w:ascii="ITC Avant Garde" w:hAnsi="ITC Avant Garde" w:cs="Arial"/>
          <w:lang w:val="es-ES"/>
        </w:rPr>
        <w:t>la respuesta del perito de Grupo Televisa</w:t>
      </w:r>
      <w:r w:rsidR="00A1025B" w:rsidRPr="00FD7BCF">
        <w:rPr>
          <w:rFonts w:ascii="ITC Avant Garde" w:hAnsi="ITC Avant Garde" w:cs="Arial"/>
          <w:lang w:val="es-ES"/>
        </w:rPr>
        <w:t xml:space="preserve"> y México Red</w:t>
      </w:r>
      <w:r w:rsidR="00E42FF2" w:rsidRPr="00FD7BCF">
        <w:rPr>
          <w:rFonts w:ascii="ITC Avant Garde" w:hAnsi="ITC Avant Garde" w:cs="Arial"/>
          <w:lang w:val="es-ES"/>
        </w:rPr>
        <w:t xml:space="preserve"> este Instituto concluye que</w:t>
      </w:r>
      <w:r w:rsidR="00C20FF9" w:rsidRPr="00FD7BCF">
        <w:rPr>
          <w:rFonts w:ascii="ITC Avant Garde" w:hAnsi="ITC Avant Garde" w:cs="Arial"/>
          <w:lang w:val="es-ES"/>
        </w:rPr>
        <w:t xml:space="preserve"> el AEP incorpora una compleja estructura de descuentos para los servicios de enlaces dedicados que ofrece a los usuarios. Adicionalmente, no se observa una estructura tarifaria claramente delimitada entre los servicios minoristas y los servicios mayoristas.</w:t>
      </w:r>
      <w:r w:rsidR="00C20FF9" w:rsidRPr="00FD7BCF">
        <w:t xml:space="preserve"> </w:t>
      </w:r>
    </w:p>
    <w:p w14:paraId="487D6EBA" w14:textId="77777777" w:rsidR="00B42019" w:rsidRDefault="00C20FF9"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Pregunta 2. Se solicitó a los peritos indica</w:t>
      </w:r>
      <w:r w:rsidR="00096122" w:rsidRPr="00FD7BCF">
        <w:rPr>
          <w:rFonts w:ascii="ITC Avant Garde" w:hAnsi="ITC Avant Garde" w:cs="Arial"/>
          <w:b/>
          <w:lang w:val="es-ES"/>
        </w:rPr>
        <w:t>r en qué lugar de la Oferta de R</w:t>
      </w:r>
      <w:r w:rsidRPr="00FD7BCF">
        <w:rPr>
          <w:rFonts w:ascii="ITC Avant Garde" w:hAnsi="ITC Avant Garde" w:cs="Arial"/>
          <w:b/>
          <w:lang w:val="es-ES"/>
        </w:rPr>
        <w:t>eferencia para la prestación del servicio mayorista de arrendamiento de enlaces dedicados locales, entre localidades, y de larga distancia internacional para concesionarios de redes públicas de telecomunicaciones, de su Convenio o Anexos, incluyendo por supuesto el referente a las tarifas, se indican:</w:t>
      </w:r>
    </w:p>
    <w:p w14:paraId="17D7CCEC" w14:textId="22DE62B5" w:rsidR="00C20FF9" w:rsidRPr="00FD7BCF" w:rsidRDefault="00C20FF9" w:rsidP="00B42019">
      <w:pPr>
        <w:pStyle w:val="Prrafodelista"/>
        <w:numPr>
          <w:ilvl w:val="0"/>
          <w:numId w:val="28"/>
        </w:numPr>
        <w:spacing w:before="240" w:after="160" w:line="276" w:lineRule="auto"/>
        <w:rPr>
          <w:rFonts w:ascii="ITC Avant Garde" w:hAnsi="ITC Avant Garde" w:cs="Arial"/>
          <w:b/>
          <w:lang w:val="es-ES"/>
        </w:rPr>
      </w:pPr>
      <w:r w:rsidRPr="00FD7BCF">
        <w:rPr>
          <w:rFonts w:ascii="ITC Avant Garde" w:hAnsi="ITC Avant Garde" w:cs="Arial"/>
          <w:b/>
          <w:lang w:val="es-ES"/>
        </w:rPr>
        <w:t>Los descuentos que Telmex aplica a sus clientes por o en rutas específicas.</w:t>
      </w:r>
    </w:p>
    <w:p w14:paraId="4CDD2EDC" w14:textId="77777777" w:rsidR="00C20FF9" w:rsidRPr="00FD7BCF" w:rsidRDefault="00C20FF9" w:rsidP="00B42019">
      <w:pPr>
        <w:pStyle w:val="Prrafodelista"/>
        <w:numPr>
          <w:ilvl w:val="0"/>
          <w:numId w:val="28"/>
        </w:numPr>
        <w:spacing w:before="240" w:after="160" w:line="276" w:lineRule="auto"/>
        <w:rPr>
          <w:rFonts w:ascii="ITC Avant Garde" w:hAnsi="ITC Avant Garde" w:cs="Arial"/>
          <w:b/>
          <w:lang w:val="es-ES"/>
        </w:rPr>
      </w:pPr>
      <w:r w:rsidRPr="00FD7BCF">
        <w:rPr>
          <w:rFonts w:ascii="ITC Avant Garde" w:hAnsi="ITC Avant Garde" w:cs="Arial"/>
          <w:b/>
          <w:lang w:val="es-ES"/>
        </w:rPr>
        <w:lastRenderedPageBreak/>
        <w:t>Los descuentos que Telmex aplica por ancho de banda.</w:t>
      </w:r>
    </w:p>
    <w:p w14:paraId="1D792504" w14:textId="77777777" w:rsidR="00B42019" w:rsidRDefault="00C20FF9" w:rsidP="00B42019">
      <w:pPr>
        <w:pStyle w:val="Prrafodelista"/>
        <w:numPr>
          <w:ilvl w:val="0"/>
          <w:numId w:val="28"/>
        </w:numPr>
        <w:spacing w:before="240" w:after="160" w:line="276" w:lineRule="auto"/>
        <w:rPr>
          <w:rFonts w:ascii="ITC Avant Garde" w:hAnsi="ITC Avant Garde" w:cs="Arial"/>
          <w:b/>
          <w:lang w:val="es-ES"/>
        </w:rPr>
      </w:pPr>
      <w:r w:rsidRPr="00FD7BCF">
        <w:rPr>
          <w:rFonts w:ascii="ITC Avant Garde" w:hAnsi="ITC Avant Garde" w:cs="Arial"/>
          <w:b/>
          <w:lang w:val="es-ES"/>
        </w:rPr>
        <w:t>Los descuentos que Telmex aplica a sus clientes por concentración de servicios.</w:t>
      </w:r>
    </w:p>
    <w:p w14:paraId="171E0C40"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Manifiesta el perito de </w:t>
      </w:r>
      <w:r w:rsidR="00096122" w:rsidRPr="00FD7BCF">
        <w:rPr>
          <w:rFonts w:ascii="ITC Avant Garde" w:hAnsi="ITC Avant Garde" w:cs="Arial"/>
          <w:lang w:val="es-ES"/>
        </w:rPr>
        <w:t xml:space="preserve">Telmex y </w:t>
      </w:r>
      <w:proofErr w:type="spellStart"/>
      <w:r w:rsidR="00096122" w:rsidRPr="00FD7BCF">
        <w:rPr>
          <w:rFonts w:ascii="ITC Avant Garde" w:hAnsi="ITC Avant Garde" w:cs="Arial"/>
          <w:lang w:val="es-ES"/>
        </w:rPr>
        <w:t>Telnor</w:t>
      </w:r>
      <w:proofErr w:type="spellEnd"/>
      <w:r w:rsidRPr="00FD7BCF">
        <w:rPr>
          <w:rFonts w:ascii="ITC Avant Garde" w:hAnsi="ITC Avant Garde" w:cs="Arial"/>
          <w:lang w:val="es-ES"/>
        </w:rPr>
        <w:t xml:space="preserve"> que los descuentos a ser aplicados a los servicios de enlaces dedicados, locales, entre localidades y de larga distancia internacional dependen de las características técnicas del servicio a ser proporcionado así como de las características del servicio que cada concesionario requiere por lo que sería ineficiente establecer en la Oferta de Referencia todos los descuentos posibles a ser aplicados y por tanto sería equivalente a que no hubiera ninguna flexibilidad en la negociación entre las partes. Por tanto, el perito refiere que los descuentos son definidos en su momento, tomando como base los requerimientos de cada solicitante.</w:t>
      </w:r>
    </w:p>
    <w:p w14:paraId="0A18A61A"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Menciona el perito de Grupo Televisa </w:t>
      </w:r>
      <w:r w:rsidR="002C5487" w:rsidRPr="00FD7BCF">
        <w:rPr>
          <w:rFonts w:ascii="ITC Avant Garde" w:hAnsi="ITC Avant Garde" w:cs="Arial"/>
          <w:lang w:val="es-ES"/>
        </w:rPr>
        <w:t xml:space="preserve">y México Red </w:t>
      </w:r>
      <w:r w:rsidRPr="00FD7BCF">
        <w:rPr>
          <w:rFonts w:ascii="ITC Avant Garde" w:hAnsi="ITC Avant Garde" w:cs="Arial"/>
          <w:lang w:val="es-ES"/>
        </w:rPr>
        <w:t xml:space="preserve">que ni en la Oferta de Referencia ni en los convenios firmados por Telmex con </w:t>
      </w:r>
      <w:proofErr w:type="spellStart"/>
      <w:r w:rsidRPr="00FD7BCF">
        <w:rPr>
          <w:rFonts w:ascii="ITC Avant Garde" w:hAnsi="ITC Avant Garde" w:cs="Arial"/>
          <w:lang w:val="es-ES"/>
        </w:rPr>
        <w:t>Avantel</w:t>
      </w:r>
      <w:proofErr w:type="spellEnd"/>
      <w:r w:rsidRPr="00FD7BCF">
        <w:rPr>
          <w:rFonts w:ascii="ITC Avant Garde" w:hAnsi="ITC Avant Garde" w:cs="Arial"/>
          <w:lang w:val="es-ES"/>
        </w:rPr>
        <w:t xml:space="preserve">, </w:t>
      </w:r>
      <w:proofErr w:type="spellStart"/>
      <w:r w:rsidRPr="00FD7BCF">
        <w:rPr>
          <w:rFonts w:ascii="ITC Avant Garde" w:hAnsi="ITC Avant Garde" w:cs="Arial"/>
          <w:lang w:val="es-ES"/>
        </w:rPr>
        <w:t>Maxcom</w:t>
      </w:r>
      <w:proofErr w:type="spellEnd"/>
      <w:r w:rsidRPr="00FD7BCF">
        <w:rPr>
          <w:rFonts w:ascii="ITC Avant Garde" w:hAnsi="ITC Avant Garde" w:cs="Arial"/>
          <w:lang w:val="es-ES"/>
        </w:rPr>
        <w:t xml:space="preserve"> y Axtel en el 2015 se hace mención de los </w:t>
      </w:r>
      <w:r w:rsidR="002C5487" w:rsidRPr="00FD7BCF">
        <w:rPr>
          <w:rFonts w:ascii="ITC Avant Garde" w:hAnsi="ITC Avant Garde" w:cs="Arial"/>
          <w:lang w:val="es-ES"/>
        </w:rPr>
        <w:t xml:space="preserve">descuentos aplicados por 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xml:space="preserve"> por conceptos como rutas específicas, ancho de banda o concentración de servicios.</w:t>
      </w:r>
    </w:p>
    <w:p w14:paraId="5EDE125B" w14:textId="77777777" w:rsidR="00B42019" w:rsidRDefault="00A1025B" w:rsidP="00B42019">
      <w:pPr>
        <w:spacing w:before="240" w:line="276" w:lineRule="auto"/>
        <w:jc w:val="both"/>
        <w:rPr>
          <w:rFonts w:ascii="ITC Avant Garde" w:hAnsi="ITC Avant Garde" w:cs="Arial"/>
          <w:u w:val="single"/>
          <w:lang w:val="es-ES"/>
        </w:rPr>
      </w:pPr>
      <w:r w:rsidRPr="00FD7BCF">
        <w:rPr>
          <w:rFonts w:ascii="ITC Avant Garde" w:hAnsi="ITC Avant Garde" w:cs="Arial"/>
          <w:u w:val="single"/>
          <w:lang w:val="es-ES"/>
        </w:rPr>
        <w:t>Consideraciones del Instituto</w:t>
      </w:r>
    </w:p>
    <w:p w14:paraId="421B5D5D"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Este Instituto</w:t>
      </w:r>
      <w:r w:rsidR="00FD5430" w:rsidRPr="00FD7BCF">
        <w:rPr>
          <w:rFonts w:ascii="ITC Avant Garde" w:hAnsi="ITC Avant Garde" w:cs="Arial"/>
          <w:lang w:val="es-ES"/>
        </w:rPr>
        <w:t xml:space="preserve"> señala</w:t>
      </w:r>
      <w:r w:rsidR="003274C0" w:rsidRPr="00FD7BCF">
        <w:rPr>
          <w:rFonts w:ascii="ITC Avant Garde" w:hAnsi="ITC Avant Garde" w:cs="Arial"/>
          <w:lang w:val="es-ES"/>
        </w:rPr>
        <w:t xml:space="preserve">, que tal como lo manifiestan los peritos, </w:t>
      </w:r>
      <w:r w:rsidR="00FD5430" w:rsidRPr="00FD7BCF">
        <w:rPr>
          <w:rFonts w:ascii="ITC Avant Garde" w:hAnsi="ITC Avant Garde" w:cs="Arial"/>
          <w:lang w:val="es-ES"/>
        </w:rPr>
        <w:t xml:space="preserve">las tarifas aplicables al servicio mayorista de </w:t>
      </w:r>
      <w:r w:rsidR="0041550A" w:rsidRPr="00FD7BCF">
        <w:rPr>
          <w:rFonts w:ascii="ITC Avant Garde" w:hAnsi="ITC Avant Garde" w:cs="Arial"/>
          <w:lang w:val="es-ES"/>
        </w:rPr>
        <w:t>arrendamiento</w:t>
      </w:r>
      <w:r w:rsidR="00FD5430" w:rsidRPr="00FD7BCF">
        <w:rPr>
          <w:rFonts w:ascii="ITC Avant Garde" w:hAnsi="ITC Avant Garde" w:cs="Arial"/>
          <w:lang w:val="es-ES"/>
        </w:rPr>
        <w:t xml:space="preserve"> de enlaces dedicados</w:t>
      </w:r>
      <w:r w:rsidR="003274C0" w:rsidRPr="00FD7BCF">
        <w:rPr>
          <w:rFonts w:ascii="ITC Avant Garde" w:hAnsi="ITC Avant Garde" w:cs="Arial"/>
          <w:lang w:val="es-ES"/>
        </w:rPr>
        <w:t xml:space="preserve"> no se encuentran establecidas en las Ofertas de Referencia, toda vez que las mismas</w:t>
      </w:r>
      <w:r w:rsidR="00FD5430" w:rsidRPr="00FD7BCF">
        <w:rPr>
          <w:rFonts w:ascii="ITC Avant Garde" w:hAnsi="ITC Avant Garde" w:cs="Arial"/>
          <w:lang w:val="es-ES"/>
        </w:rPr>
        <w:t xml:space="preserve"> sujeta</w:t>
      </w:r>
      <w:r w:rsidR="003274C0" w:rsidRPr="00FD7BCF">
        <w:rPr>
          <w:rFonts w:ascii="ITC Avant Garde" w:hAnsi="ITC Avant Garde" w:cs="Arial"/>
          <w:lang w:val="es-ES"/>
        </w:rPr>
        <w:t>n</w:t>
      </w:r>
      <w:r w:rsidR="00FD5430" w:rsidRPr="00FD7BCF">
        <w:rPr>
          <w:rFonts w:ascii="ITC Avant Garde" w:hAnsi="ITC Avant Garde" w:cs="Arial"/>
          <w:lang w:val="es-ES"/>
        </w:rPr>
        <w:t xml:space="preserve"> a lo establecido en la medida Trigésima Séptima de las Medidas Fijas, es decir, las mismas deberán ser negociadas entre las partes y en caso de desacuerdo serán determinadas por el Instituto. </w:t>
      </w:r>
      <w:r w:rsidRPr="00FD7BCF">
        <w:rPr>
          <w:rFonts w:ascii="ITC Avant Garde" w:hAnsi="ITC Avant Garde" w:cs="Arial"/>
          <w:lang w:val="es-ES"/>
        </w:rPr>
        <w:t xml:space="preserve"> </w:t>
      </w:r>
    </w:p>
    <w:p w14:paraId="6900B6A5" w14:textId="77777777" w:rsidR="00B42019" w:rsidRDefault="00C20FF9"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 xml:space="preserve">Pregunta 3. Se solicitó a los peritos que digan si las economías de escala que Telmex </w:t>
      </w:r>
      <w:r w:rsidR="00A1025B" w:rsidRPr="00FD7BCF">
        <w:rPr>
          <w:rFonts w:ascii="ITC Avant Garde" w:hAnsi="ITC Avant Garde" w:cs="Arial"/>
          <w:b/>
          <w:lang w:val="es-ES"/>
        </w:rPr>
        <w:t xml:space="preserve">y </w:t>
      </w:r>
      <w:proofErr w:type="spellStart"/>
      <w:r w:rsidR="00A1025B" w:rsidRPr="00FD7BCF">
        <w:rPr>
          <w:rFonts w:ascii="ITC Avant Garde" w:hAnsi="ITC Avant Garde" w:cs="Arial"/>
          <w:b/>
          <w:lang w:val="es-ES"/>
        </w:rPr>
        <w:t>Telnor</w:t>
      </w:r>
      <w:proofErr w:type="spellEnd"/>
      <w:r w:rsidR="00A1025B" w:rsidRPr="00FD7BCF">
        <w:rPr>
          <w:rFonts w:ascii="ITC Avant Garde" w:hAnsi="ITC Avant Garde" w:cs="Arial"/>
          <w:b/>
          <w:lang w:val="es-ES"/>
        </w:rPr>
        <w:t xml:space="preserve"> </w:t>
      </w:r>
      <w:r w:rsidRPr="00FD7BCF">
        <w:rPr>
          <w:rFonts w:ascii="ITC Avant Garde" w:hAnsi="ITC Avant Garde" w:cs="Arial"/>
          <w:b/>
          <w:lang w:val="es-ES"/>
        </w:rPr>
        <w:t>puede lograr en el mercado de arrendamiento de enlaces dedicados locales, entre localidades, y de larga distancia internacional pueden ser replicadas actualmente por algún otro operador en el mercado.</w:t>
      </w:r>
    </w:p>
    <w:p w14:paraId="4F228539" w14:textId="77777777" w:rsidR="00B42019" w:rsidRDefault="002C5487"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Señala el perito de Telmex y </w:t>
      </w:r>
      <w:proofErr w:type="spellStart"/>
      <w:r w:rsidR="00C20FF9" w:rsidRPr="00FD7BCF">
        <w:rPr>
          <w:rFonts w:ascii="ITC Avant Garde" w:hAnsi="ITC Avant Garde" w:cs="Arial"/>
          <w:lang w:val="es-ES"/>
        </w:rPr>
        <w:t>Telnor</w:t>
      </w:r>
      <w:proofErr w:type="spellEnd"/>
      <w:r w:rsidR="00C20FF9" w:rsidRPr="00FD7BCF">
        <w:rPr>
          <w:rFonts w:ascii="ITC Avant Garde" w:hAnsi="ITC Avant Garde" w:cs="Arial"/>
          <w:lang w:val="es-ES"/>
        </w:rPr>
        <w:t xml:space="preserve"> que los enlaces dedicados locales, entre localidades y de larga distancia internacional pueden ser replicados por cualquier otro operador el mercado toda vez que son replicables tecnológicamente a costos y estos pueden ser semejantes o menores a aquellos en que incurre Telmex en su oferta de mercado. Asimismo, afirma que las economías de escala es una característica de la función de costos y no del tipo de usuario o exclusiva de un determinado concesionario, demostración de lo anterior es la concurrencia de varios concesionarios en el mercado de enlaces dedicados, por lo que en su opinión las economías de escala que se pueden </w:t>
      </w:r>
      <w:r w:rsidR="00C20FF9" w:rsidRPr="00FD7BCF">
        <w:rPr>
          <w:rFonts w:ascii="ITC Avant Garde" w:hAnsi="ITC Avant Garde" w:cs="Arial"/>
          <w:lang w:val="es-ES"/>
        </w:rPr>
        <w:lastRenderedPageBreak/>
        <w:t>lograr en el mercado de arrendamiento de enlaces dedicados pueden ser replicadas por otros concesionarios.</w:t>
      </w:r>
    </w:p>
    <w:p w14:paraId="77BFD0E4" w14:textId="77777777" w:rsidR="00B42019" w:rsidRDefault="00C20FF9" w:rsidP="00B42019">
      <w:pPr>
        <w:spacing w:before="240" w:line="276" w:lineRule="auto"/>
        <w:jc w:val="both"/>
        <w:rPr>
          <w:rFonts w:ascii="ITC Avant Garde" w:hAnsi="ITC Avant Garde" w:cs="Arial"/>
          <w:lang w:val="es-ES"/>
        </w:rPr>
      </w:pPr>
      <w:r w:rsidRPr="00FD7BCF">
        <w:rPr>
          <w:rFonts w:ascii="ITC Avant Garde" w:hAnsi="ITC Avant Garde" w:cs="Arial"/>
          <w:lang w:val="es-ES"/>
        </w:rPr>
        <w:t>El perito de Grupo Televisa</w:t>
      </w:r>
      <w:r w:rsidR="002C5487" w:rsidRPr="00FD7BCF">
        <w:rPr>
          <w:rFonts w:ascii="ITC Avant Garde" w:hAnsi="ITC Avant Garde" w:cs="Arial"/>
          <w:lang w:val="es-ES"/>
        </w:rPr>
        <w:t xml:space="preserve"> y México Red</w:t>
      </w:r>
      <w:r w:rsidRPr="00FD7BCF">
        <w:rPr>
          <w:rFonts w:ascii="ITC Avant Garde" w:hAnsi="ITC Avant Garde" w:cs="Arial"/>
          <w:lang w:val="es-ES"/>
        </w:rPr>
        <w:t xml:space="preserve"> aprecia que el problema no es la diversidad de oferta de los servicios, sino de la cobertura de las empresas que ingresaron al mer</w:t>
      </w:r>
      <w:r w:rsidR="00210625" w:rsidRPr="00FD7BCF">
        <w:rPr>
          <w:rFonts w:ascii="ITC Avant Garde" w:hAnsi="ITC Avant Garde" w:cs="Arial"/>
          <w:lang w:val="es-ES"/>
        </w:rPr>
        <w:t xml:space="preserve">cado con posterioridad a 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toda vez que son los únicos proveedores de enlaces dedicados con cobertura nacional, por lo que no existe en el país un operador que pueda lograr economías de escala similares. Por lo que es necesario que los operadores entrantes tengan acceso</w:t>
      </w:r>
      <w:r w:rsidR="00210625" w:rsidRPr="00FD7BCF">
        <w:rPr>
          <w:rFonts w:ascii="ITC Avant Garde" w:hAnsi="ITC Avant Garde" w:cs="Arial"/>
          <w:lang w:val="es-ES"/>
        </w:rPr>
        <w:t xml:space="preserve"> a la infraestructura de 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xml:space="preserve"> a precios razonables, con calidad de servicio y entrega dentro de los plazos oportunos.</w:t>
      </w:r>
    </w:p>
    <w:p w14:paraId="4C7B0223" w14:textId="77777777" w:rsidR="00B42019" w:rsidRDefault="00A1025B" w:rsidP="00B42019">
      <w:pPr>
        <w:spacing w:before="240" w:line="276" w:lineRule="auto"/>
        <w:jc w:val="both"/>
        <w:rPr>
          <w:rFonts w:ascii="ITC Avant Garde" w:hAnsi="ITC Avant Garde" w:cs="Arial"/>
          <w:u w:val="single"/>
          <w:lang w:val="es-ES"/>
        </w:rPr>
      </w:pPr>
      <w:r w:rsidRPr="00FD7BCF">
        <w:rPr>
          <w:rFonts w:ascii="ITC Avant Garde" w:hAnsi="ITC Avant Garde" w:cs="Arial"/>
          <w:u w:val="single"/>
          <w:lang w:val="es-ES"/>
        </w:rPr>
        <w:t>Consideraciones del Instituto</w:t>
      </w:r>
    </w:p>
    <w:p w14:paraId="7C7B75EF" w14:textId="77777777" w:rsidR="00B42019" w:rsidRDefault="008B23C1" w:rsidP="00B42019">
      <w:pPr>
        <w:spacing w:before="240" w:line="276" w:lineRule="auto"/>
        <w:jc w:val="both"/>
        <w:rPr>
          <w:rFonts w:ascii="ITC Avant Garde" w:hAnsi="ITC Avant Garde" w:cs="Arial"/>
          <w:lang w:val="es-ES"/>
        </w:rPr>
      </w:pPr>
      <w:r w:rsidRPr="00FD7BCF">
        <w:rPr>
          <w:rFonts w:ascii="ITC Avant Garde" w:hAnsi="ITC Avant Garde" w:cs="Arial"/>
          <w:lang w:val="es-ES"/>
        </w:rPr>
        <w:t>No obstante que ningún perito es preciso en su respuesta, e</w:t>
      </w:r>
      <w:r w:rsidR="00C20FF9" w:rsidRPr="00FD7BCF">
        <w:rPr>
          <w:rFonts w:ascii="ITC Avant Garde" w:hAnsi="ITC Avant Garde" w:cs="Arial"/>
          <w:lang w:val="es-ES"/>
        </w:rPr>
        <w:t xml:space="preserve">ste Instituto coincide con la respuesta del perito de Grupo Televisa </w:t>
      </w:r>
      <w:r w:rsidR="00A1025B" w:rsidRPr="00FD7BCF">
        <w:rPr>
          <w:rFonts w:ascii="ITC Avant Garde" w:hAnsi="ITC Avant Garde" w:cs="Arial"/>
          <w:lang w:val="es-ES"/>
        </w:rPr>
        <w:t xml:space="preserve">y México Red </w:t>
      </w:r>
      <w:r w:rsidR="00C20FF9" w:rsidRPr="00FD7BCF">
        <w:rPr>
          <w:rFonts w:ascii="ITC Avant Garde" w:hAnsi="ITC Avant Garde" w:cs="Arial"/>
          <w:lang w:val="es-ES"/>
        </w:rPr>
        <w:t>en el sentido de que es altamente probable que el operador histórico que ostenta la red más grande de país tenga ventajas en cuanto a costos se refiere, derivadas del aprovechamiento de sus economías de escala.</w:t>
      </w:r>
    </w:p>
    <w:p w14:paraId="67AF8D42" w14:textId="77777777" w:rsidR="00B42019" w:rsidRDefault="00C20FF9" w:rsidP="00B42019">
      <w:pPr>
        <w:spacing w:before="240" w:line="276" w:lineRule="auto"/>
        <w:jc w:val="both"/>
        <w:rPr>
          <w:rFonts w:ascii="ITC Avant Garde" w:eastAsia="Times New Roman" w:hAnsi="ITC Avant Garde"/>
          <w:lang w:eastAsia="es-ES"/>
        </w:rPr>
      </w:pPr>
      <w:r w:rsidRPr="00FD7BCF">
        <w:rPr>
          <w:rFonts w:ascii="ITC Avant Garde" w:hAnsi="ITC Avant Garde" w:cs="Arial"/>
          <w:b/>
          <w:lang w:val="es-ES"/>
        </w:rPr>
        <w:t>Pregunta 4</w:t>
      </w:r>
      <w:r w:rsidRPr="00FD7BCF">
        <w:rPr>
          <w:rFonts w:ascii="ITC Avant Garde" w:hAnsi="ITC Avant Garde" w:cs="Arial"/>
          <w:lang w:val="es-ES"/>
        </w:rPr>
        <w:t xml:space="preserve">. </w:t>
      </w:r>
      <w:r w:rsidRPr="00FD7BCF">
        <w:rPr>
          <w:rFonts w:ascii="ITC Avant Garde" w:hAnsi="ITC Avant Garde" w:cs="Arial"/>
          <w:b/>
          <w:lang w:val="es-ES"/>
        </w:rPr>
        <w:t>Que el perito diga si la diferenciación entre un usuario final de telecomunicaciones, un usuario mayorista y un concesionario de telecomunicaciones tiene un impacto real en los precios y descuentos que Telmex</w:t>
      </w:r>
      <w:r w:rsidR="00FB4FD4" w:rsidRPr="00FD7BCF">
        <w:rPr>
          <w:rFonts w:ascii="ITC Avant Garde" w:hAnsi="ITC Avant Garde" w:cs="Arial"/>
          <w:b/>
          <w:lang w:val="es-ES"/>
        </w:rPr>
        <w:t xml:space="preserve"> y </w:t>
      </w:r>
      <w:proofErr w:type="spellStart"/>
      <w:r w:rsidR="00FB4FD4" w:rsidRPr="00FD7BCF">
        <w:rPr>
          <w:rFonts w:ascii="ITC Avant Garde" w:hAnsi="ITC Avant Garde" w:cs="Arial"/>
          <w:b/>
          <w:lang w:val="es-ES"/>
        </w:rPr>
        <w:t>Telnor</w:t>
      </w:r>
      <w:proofErr w:type="spellEnd"/>
      <w:r w:rsidR="00681FAA" w:rsidRPr="00FD7BCF">
        <w:rPr>
          <w:rFonts w:ascii="ITC Avant Garde" w:hAnsi="ITC Avant Garde" w:cs="Arial"/>
          <w:b/>
          <w:lang w:val="es-ES"/>
        </w:rPr>
        <w:t xml:space="preserve"> </w:t>
      </w:r>
      <w:r w:rsidRPr="00FD7BCF">
        <w:rPr>
          <w:rFonts w:ascii="ITC Avant Garde" w:hAnsi="ITC Avant Garde" w:cs="Arial"/>
          <w:b/>
          <w:lang w:val="es-ES"/>
        </w:rPr>
        <w:t>ofrece a sus clientes en la prestación del servicio mayorista de arrendamiento de enlaces dedicados locales, entre localidades, y de larga distancia internacional.</w:t>
      </w:r>
    </w:p>
    <w:p w14:paraId="0A7115D5" w14:textId="77777777" w:rsidR="00B42019" w:rsidRDefault="00C20FF9" w:rsidP="00B42019">
      <w:pPr>
        <w:pStyle w:val="Piedepgina"/>
        <w:widowControl w:val="0"/>
        <w:tabs>
          <w:tab w:val="left" w:pos="720"/>
        </w:tabs>
        <w:spacing w:before="240" w:after="160" w:line="276" w:lineRule="auto"/>
        <w:jc w:val="both"/>
        <w:rPr>
          <w:rFonts w:ascii="ITC Avant Garde" w:eastAsia="Times New Roman" w:hAnsi="ITC Avant Garde"/>
          <w:lang w:eastAsia="es-ES"/>
        </w:rPr>
      </w:pPr>
      <w:r w:rsidRPr="00FD7BCF">
        <w:rPr>
          <w:rFonts w:ascii="ITC Avant Garde" w:eastAsia="Times New Roman" w:hAnsi="ITC Avant Garde"/>
          <w:lang w:eastAsia="es-ES"/>
        </w:rPr>
        <w:t>El perito de las solicitadas, señala que la diferencia es entre un usuario final y un usuario mayorista o concesionario de red pública de telecomunicaciones, toda vez que el concesionario utiliza los enlaces dedicados como insumo para ofrecer servicios minoristas de telecomunicaciones o al usuario final.</w:t>
      </w:r>
    </w:p>
    <w:p w14:paraId="755AD822" w14:textId="77777777" w:rsidR="00B42019" w:rsidRDefault="00C20FF9" w:rsidP="00B42019">
      <w:pPr>
        <w:pStyle w:val="Piedepgina"/>
        <w:widowControl w:val="0"/>
        <w:tabs>
          <w:tab w:val="left" w:pos="720"/>
        </w:tabs>
        <w:spacing w:before="240" w:after="160" w:line="276" w:lineRule="auto"/>
        <w:jc w:val="both"/>
        <w:rPr>
          <w:rFonts w:ascii="ITC Avant Garde" w:eastAsia="Times New Roman" w:hAnsi="ITC Avant Garde"/>
          <w:lang w:eastAsia="es-ES"/>
        </w:rPr>
      </w:pPr>
      <w:r w:rsidRPr="00FD7BCF">
        <w:rPr>
          <w:rFonts w:ascii="ITC Avant Garde" w:eastAsia="Times New Roman" w:hAnsi="ITC Avant Garde"/>
          <w:lang w:eastAsia="es-ES"/>
        </w:rPr>
        <w:t>Abunda el perito mencionando que la diferenciación en tarifas se da porque Telmex</w:t>
      </w:r>
      <w:r w:rsidR="00FB4FD4" w:rsidRPr="00FD7BCF">
        <w:rPr>
          <w:rFonts w:ascii="ITC Avant Garde" w:eastAsia="Times New Roman" w:hAnsi="ITC Avant Garde"/>
          <w:lang w:eastAsia="es-ES"/>
        </w:rPr>
        <w:t xml:space="preserve"> y </w:t>
      </w:r>
      <w:proofErr w:type="spellStart"/>
      <w:r w:rsidR="00FB4FD4" w:rsidRPr="00FD7BCF">
        <w:rPr>
          <w:rFonts w:ascii="ITC Avant Garde" w:eastAsia="Times New Roman" w:hAnsi="ITC Avant Garde"/>
          <w:lang w:eastAsia="es-ES"/>
        </w:rPr>
        <w:t>Telnor</w:t>
      </w:r>
      <w:proofErr w:type="spellEnd"/>
      <w:r w:rsidRPr="00FD7BCF">
        <w:rPr>
          <w:rFonts w:ascii="ITC Avant Garde" w:eastAsia="Times New Roman" w:hAnsi="ITC Avant Garde"/>
          <w:lang w:eastAsia="es-ES"/>
        </w:rPr>
        <w:t xml:space="preserve"> está sujeto a una regulación con base en un modelo de costos evitados que necesariamente genera precios por servicios mayorista que son menores a los precios de sus servicios finales, toda vez que a partir de los precios por servicios finales se aplica un descuento estimado que considera los costos evitados en la etapa de comercialización en el mercado minorista.</w:t>
      </w:r>
    </w:p>
    <w:p w14:paraId="79EBB920" w14:textId="77777777" w:rsidR="00B42019" w:rsidRDefault="00C20FF9" w:rsidP="00B42019">
      <w:pPr>
        <w:pStyle w:val="Piedepgina"/>
        <w:widowControl w:val="0"/>
        <w:tabs>
          <w:tab w:val="left" w:pos="720"/>
        </w:tabs>
        <w:spacing w:before="240" w:after="160" w:line="276" w:lineRule="auto"/>
        <w:jc w:val="both"/>
        <w:rPr>
          <w:rFonts w:ascii="ITC Avant Garde" w:eastAsia="Times New Roman" w:hAnsi="ITC Avant Garde"/>
          <w:lang w:eastAsia="es-ES"/>
        </w:rPr>
      </w:pPr>
      <w:r w:rsidRPr="00FD7BCF">
        <w:rPr>
          <w:rFonts w:ascii="ITC Avant Garde" w:eastAsia="Times New Roman" w:hAnsi="ITC Avant Garde"/>
          <w:lang w:eastAsia="es-ES"/>
        </w:rPr>
        <w:t>Por su parte, el perito de Grupo Televisa</w:t>
      </w:r>
      <w:r w:rsidR="00FB4FD4" w:rsidRPr="00FD7BCF">
        <w:rPr>
          <w:rFonts w:ascii="ITC Avant Garde" w:eastAsia="Times New Roman" w:hAnsi="ITC Avant Garde"/>
          <w:lang w:eastAsia="es-ES"/>
        </w:rPr>
        <w:t xml:space="preserve"> y México Red</w:t>
      </w:r>
      <w:r w:rsidRPr="00FD7BCF">
        <w:rPr>
          <w:rFonts w:ascii="ITC Avant Garde" w:eastAsia="Times New Roman" w:hAnsi="ITC Avant Garde"/>
          <w:lang w:eastAsia="es-ES"/>
        </w:rPr>
        <w:t xml:space="preserve"> refiere que sólo hay dos tipos de consumidores, los usuarios finales ya sean residenciales o empresariales y los usuarios mayoristas que son los concesi</w:t>
      </w:r>
      <w:r w:rsidR="00210625" w:rsidRPr="00FD7BCF">
        <w:rPr>
          <w:rFonts w:ascii="ITC Avant Garde" w:eastAsia="Times New Roman" w:hAnsi="ITC Avant Garde"/>
          <w:lang w:eastAsia="es-ES"/>
        </w:rPr>
        <w:t xml:space="preserve">onarios que compiten con Telmex y </w:t>
      </w:r>
      <w:proofErr w:type="spellStart"/>
      <w:r w:rsidRPr="00FD7BCF">
        <w:rPr>
          <w:rFonts w:ascii="ITC Avant Garde" w:eastAsia="Times New Roman" w:hAnsi="ITC Avant Garde"/>
          <w:lang w:eastAsia="es-ES"/>
        </w:rPr>
        <w:t>Telnor</w:t>
      </w:r>
      <w:proofErr w:type="spellEnd"/>
      <w:r w:rsidRPr="00FD7BCF">
        <w:rPr>
          <w:rFonts w:ascii="ITC Avant Garde" w:eastAsia="Times New Roman" w:hAnsi="ITC Avant Garde"/>
          <w:lang w:eastAsia="es-ES"/>
        </w:rPr>
        <w:t>. Agrega qu</w:t>
      </w:r>
      <w:r w:rsidR="00210625" w:rsidRPr="00FD7BCF">
        <w:rPr>
          <w:rFonts w:ascii="ITC Avant Garde" w:eastAsia="Times New Roman" w:hAnsi="ITC Avant Garde"/>
          <w:lang w:eastAsia="es-ES"/>
        </w:rPr>
        <w:t xml:space="preserve">e en la contestación de Telmex y </w:t>
      </w:r>
      <w:proofErr w:type="spellStart"/>
      <w:r w:rsidRPr="00FD7BCF">
        <w:rPr>
          <w:rFonts w:ascii="ITC Avant Garde" w:eastAsia="Times New Roman" w:hAnsi="ITC Avant Garde"/>
          <w:lang w:eastAsia="es-ES"/>
        </w:rPr>
        <w:t>Telnor</w:t>
      </w:r>
      <w:proofErr w:type="spellEnd"/>
      <w:r w:rsidRPr="00FD7BCF">
        <w:rPr>
          <w:rFonts w:ascii="ITC Avant Garde" w:eastAsia="Times New Roman" w:hAnsi="ITC Avant Garde"/>
          <w:lang w:eastAsia="es-ES"/>
        </w:rPr>
        <w:t xml:space="preserve"> al </w:t>
      </w:r>
      <w:r w:rsidR="00210625" w:rsidRPr="00FD7BCF">
        <w:rPr>
          <w:rFonts w:ascii="ITC Avant Garde" w:eastAsia="Times New Roman" w:hAnsi="ITC Avant Garde"/>
          <w:lang w:eastAsia="es-ES"/>
        </w:rPr>
        <w:t>A</w:t>
      </w:r>
      <w:r w:rsidRPr="00FD7BCF">
        <w:rPr>
          <w:rFonts w:ascii="ITC Avant Garde" w:eastAsia="Times New Roman" w:hAnsi="ITC Avant Garde"/>
          <w:lang w:eastAsia="es-ES"/>
        </w:rPr>
        <w:t xml:space="preserve">cuerdo P/IFT/060716/373 </w:t>
      </w:r>
      <w:r w:rsidR="00210625" w:rsidRPr="00FD7BCF">
        <w:rPr>
          <w:rFonts w:ascii="ITC Avant Garde" w:eastAsia="Times New Roman" w:hAnsi="ITC Avant Garde"/>
          <w:lang w:eastAsia="es-ES"/>
        </w:rPr>
        <w:t xml:space="preserve">señalan </w:t>
      </w:r>
      <w:r w:rsidRPr="00FD7BCF">
        <w:rPr>
          <w:rFonts w:ascii="ITC Avant Garde" w:eastAsia="Times New Roman" w:hAnsi="ITC Avant Garde"/>
          <w:lang w:eastAsia="es-ES"/>
        </w:rPr>
        <w:t xml:space="preserve">que el </w:t>
      </w:r>
      <w:r w:rsidRPr="00FD7BCF">
        <w:rPr>
          <w:rFonts w:ascii="ITC Avant Garde" w:eastAsia="Times New Roman" w:hAnsi="ITC Avant Garde"/>
          <w:lang w:eastAsia="es-ES"/>
        </w:rPr>
        <w:lastRenderedPageBreak/>
        <w:t>arrendamiento de enlaces está relacionado con la inversión y la operación del servicio y con el tipo de cliente, por lo que concluye que la diferenciación entre un usuario final de telecomunicaciones, un usuario mayorista y un concesionario de telecomunicaciones no tiene un impacto real en los precios y descuentos.</w:t>
      </w:r>
    </w:p>
    <w:p w14:paraId="5D60377C" w14:textId="77777777" w:rsidR="00B42019" w:rsidRDefault="00FB4FD4" w:rsidP="00B42019">
      <w:pPr>
        <w:spacing w:before="240" w:line="276" w:lineRule="auto"/>
        <w:jc w:val="both"/>
        <w:rPr>
          <w:rFonts w:ascii="ITC Avant Garde" w:hAnsi="ITC Avant Garde" w:cs="Arial"/>
          <w:u w:val="single"/>
          <w:lang w:val="es-ES"/>
        </w:rPr>
      </w:pPr>
      <w:r w:rsidRPr="00FD7BCF">
        <w:rPr>
          <w:rFonts w:ascii="ITC Avant Garde" w:hAnsi="ITC Avant Garde" w:cs="Arial"/>
          <w:u w:val="single"/>
          <w:lang w:val="es-ES"/>
        </w:rPr>
        <w:t>Consideraciones del Instituto</w:t>
      </w:r>
    </w:p>
    <w:p w14:paraId="01702283" w14:textId="77777777" w:rsidR="00B42019" w:rsidRDefault="00C20FF9" w:rsidP="00B42019">
      <w:pPr>
        <w:pStyle w:val="Piedepgina"/>
        <w:widowControl w:val="0"/>
        <w:tabs>
          <w:tab w:val="left" w:pos="720"/>
        </w:tabs>
        <w:spacing w:before="240" w:after="160" w:line="276" w:lineRule="auto"/>
        <w:jc w:val="both"/>
        <w:rPr>
          <w:rFonts w:ascii="ITC Avant Garde" w:eastAsia="Times New Roman" w:hAnsi="ITC Avant Garde"/>
          <w:lang w:eastAsia="es-ES"/>
        </w:rPr>
      </w:pPr>
      <w:r w:rsidRPr="00FD7BCF">
        <w:rPr>
          <w:rFonts w:ascii="ITC Avant Garde" w:eastAsia="Times New Roman" w:hAnsi="ITC Avant Garde"/>
          <w:lang w:eastAsia="es-ES"/>
        </w:rPr>
        <w:t xml:space="preserve">Este Instituto coincide con </w:t>
      </w:r>
      <w:r w:rsidR="00E60483" w:rsidRPr="00FD7BCF">
        <w:rPr>
          <w:rFonts w:ascii="ITC Avant Garde" w:eastAsia="Times New Roman" w:hAnsi="ITC Avant Garde"/>
          <w:lang w:eastAsia="es-ES"/>
        </w:rPr>
        <w:t xml:space="preserve">la respuesta de los dos peritos, en el sentido de que el servicio se ofrece a usuarios finales que operan en los segmentos residenciales o empresariales, </w:t>
      </w:r>
      <w:r w:rsidR="0025201A" w:rsidRPr="00FD7BCF">
        <w:rPr>
          <w:rFonts w:ascii="ITC Avant Garde" w:eastAsia="Times New Roman" w:hAnsi="ITC Avant Garde"/>
          <w:lang w:eastAsia="es-ES"/>
        </w:rPr>
        <w:t xml:space="preserve">así como a usuarios mayoristas los cuales son concesionarios de red pública de telecomunicaciones; y que en este último caso </w:t>
      </w:r>
      <w:r w:rsidRPr="00FD7BCF">
        <w:rPr>
          <w:rFonts w:ascii="ITC Avant Garde" w:eastAsia="Times New Roman" w:hAnsi="ITC Avant Garde"/>
          <w:lang w:eastAsia="es-ES"/>
        </w:rPr>
        <w:t>el AEP está obligado a cumplir una regulación asimétrica que incluye la determinación de tarifas por medio de una metodología de costos evitados.</w:t>
      </w:r>
    </w:p>
    <w:p w14:paraId="0B34C97B" w14:textId="77777777" w:rsidR="00B42019" w:rsidRDefault="00210625" w:rsidP="00B42019">
      <w:pPr>
        <w:pStyle w:val="Piedepgina"/>
        <w:widowControl w:val="0"/>
        <w:tabs>
          <w:tab w:val="left" w:pos="720"/>
        </w:tabs>
        <w:spacing w:before="240" w:after="160" w:line="276" w:lineRule="auto"/>
        <w:jc w:val="both"/>
        <w:rPr>
          <w:rFonts w:ascii="ITC Avant Garde" w:hAnsi="ITC Avant Garde" w:cs="Arial"/>
        </w:rPr>
      </w:pPr>
      <w:r w:rsidRPr="00FD7BCF">
        <w:rPr>
          <w:rFonts w:ascii="ITC Avant Garde" w:eastAsia="Times New Roman" w:hAnsi="ITC Avant Garde"/>
          <w:b/>
          <w:lang w:eastAsia="es-ES"/>
        </w:rPr>
        <w:t>CUARTO</w:t>
      </w:r>
      <w:r w:rsidR="00A26A23" w:rsidRPr="00FD7BCF">
        <w:rPr>
          <w:rFonts w:ascii="ITC Avant Garde" w:eastAsia="Times New Roman" w:hAnsi="ITC Avant Garde"/>
          <w:b/>
          <w:lang w:eastAsia="es-ES"/>
        </w:rPr>
        <w:t>.- Condiciones no convenidas sujetas a resolución</w:t>
      </w:r>
      <w:r w:rsidR="00A26A23" w:rsidRPr="00FD7BCF">
        <w:rPr>
          <w:rFonts w:ascii="ITC Avant Garde" w:eastAsia="Times New Roman" w:hAnsi="ITC Avant Garde"/>
          <w:lang w:eastAsia="es-ES"/>
        </w:rPr>
        <w:t xml:space="preserve">.- </w:t>
      </w:r>
      <w:r w:rsidR="00A26A23" w:rsidRPr="00FD7BCF">
        <w:rPr>
          <w:rFonts w:ascii="ITC Avant Garde" w:hAnsi="ITC Avant Garde"/>
        </w:rPr>
        <w:t>En</w:t>
      </w:r>
      <w:r w:rsidR="00AC4400" w:rsidRPr="00FD7BCF">
        <w:rPr>
          <w:rFonts w:ascii="ITC Avant Garde" w:hAnsi="ITC Avant Garde"/>
        </w:rPr>
        <w:t xml:space="preserve"> </w:t>
      </w:r>
      <w:r w:rsidR="00A26A23" w:rsidRPr="00FD7BCF">
        <w:rPr>
          <w:rFonts w:ascii="ITC Avant Garde" w:hAnsi="ITC Avant Garde"/>
        </w:rPr>
        <w:t>l</w:t>
      </w:r>
      <w:r w:rsidR="00C95F4D" w:rsidRPr="00FD7BCF">
        <w:rPr>
          <w:rFonts w:ascii="ITC Avant Garde" w:hAnsi="ITC Avant Garde"/>
        </w:rPr>
        <w:t>a</w:t>
      </w:r>
      <w:r w:rsidR="00AC4400" w:rsidRPr="00FD7BCF">
        <w:rPr>
          <w:rFonts w:ascii="ITC Avant Garde" w:hAnsi="ITC Avant Garde"/>
        </w:rPr>
        <w:t>s</w:t>
      </w:r>
      <w:r w:rsidR="00A26A23" w:rsidRPr="00FD7BCF">
        <w:rPr>
          <w:rFonts w:ascii="ITC Avant Garde" w:hAnsi="ITC Avant Garde"/>
        </w:rPr>
        <w:t xml:space="preserve"> </w:t>
      </w:r>
      <w:r w:rsidR="00C95F4D" w:rsidRPr="00FD7BCF">
        <w:rPr>
          <w:rFonts w:ascii="ITC Avant Garde" w:hAnsi="ITC Avant Garde"/>
        </w:rPr>
        <w:t>Solicitudes de Resolución</w:t>
      </w:r>
      <w:r w:rsidR="00A26A23" w:rsidRPr="00FD7BCF">
        <w:rPr>
          <w:rFonts w:ascii="ITC Avant Garde" w:hAnsi="ITC Avant Garde"/>
        </w:rPr>
        <w:t>,</w:t>
      </w:r>
      <w:r w:rsidR="00A26A23" w:rsidRPr="00FD7BCF">
        <w:rPr>
          <w:rFonts w:ascii="ITC Avant Garde" w:hAnsi="ITC Avant Garde"/>
          <w:b/>
        </w:rPr>
        <w:t xml:space="preserve"> </w:t>
      </w:r>
      <w:r w:rsidR="00AC4400" w:rsidRPr="00FD7BCF">
        <w:rPr>
          <w:rFonts w:ascii="ITC Avant Garde" w:hAnsi="ITC Avant Garde"/>
          <w:bCs/>
          <w:lang w:val="es-ES" w:eastAsia="es-ES"/>
        </w:rPr>
        <w:t xml:space="preserve">Grupo Televisa y México Red </w:t>
      </w:r>
      <w:r w:rsidR="00A26A23" w:rsidRPr="00FD7BCF">
        <w:rPr>
          <w:rFonts w:ascii="ITC Avant Garde" w:eastAsia="Times New Roman" w:hAnsi="ITC Avant Garde"/>
          <w:lang w:eastAsia="es-ES"/>
        </w:rPr>
        <w:t>plantea</w:t>
      </w:r>
      <w:r w:rsidR="00292DFE" w:rsidRPr="00FD7BCF">
        <w:rPr>
          <w:rFonts w:ascii="ITC Avant Garde" w:eastAsia="Times New Roman" w:hAnsi="ITC Avant Garde"/>
          <w:lang w:eastAsia="es-ES"/>
        </w:rPr>
        <w:t>n</w:t>
      </w:r>
      <w:r w:rsidR="00A26A23" w:rsidRPr="00FD7BCF">
        <w:rPr>
          <w:rFonts w:ascii="ITC Avant Garde" w:eastAsia="Times New Roman" w:hAnsi="ITC Avant Garde"/>
          <w:lang w:eastAsia="es-ES"/>
        </w:rPr>
        <w:t xml:space="preserve"> las siguientes condiciones, términos y tarifas del servicio mayorista de enlaces dedicados que no pudo convenir con Telmex</w:t>
      </w:r>
      <w:r w:rsidR="00A8579C" w:rsidRPr="00FD7BCF">
        <w:rPr>
          <w:rFonts w:ascii="ITC Avant Garde" w:eastAsia="Times New Roman" w:hAnsi="ITC Avant Garde"/>
          <w:lang w:eastAsia="es-ES"/>
        </w:rPr>
        <w:t xml:space="preserve"> y </w:t>
      </w:r>
      <w:proofErr w:type="spellStart"/>
      <w:r w:rsidR="00A8579C" w:rsidRPr="00FD7BCF">
        <w:rPr>
          <w:rFonts w:ascii="ITC Avant Garde" w:eastAsia="Times New Roman" w:hAnsi="ITC Avant Garde"/>
          <w:lang w:eastAsia="es-ES"/>
        </w:rPr>
        <w:t>Telnor</w:t>
      </w:r>
      <w:proofErr w:type="spellEnd"/>
      <w:r w:rsidR="00F96839" w:rsidRPr="00FD7BCF">
        <w:rPr>
          <w:rFonts w:ascii="ITC Avant Garde" w:eastAsia="Times New Roman" w:hAnsi="ITC Avant Garde"/>
          <w:lang w:eastAsia="es-ES"/>
        </w:rPr>
        <w:t>, aplicables a partir del 1 de enero de 2016 y hasta el 31 de diciembre de 2017</w:t>
      </w:r>
      <w:r w:rsidR="00A26A23" w:rsidRPr="00FD7BCF">
        <w:rPr>
          <w:rFonts w:ascii="ITC Avant Garde" w:eastAsia="Times New Roman" w:hAnsi="ITC Avant Garde"/>
          <w:lang w:eastAsia="es-ES"/>
        </w:rPr>
        <w:t>:</w:t>
      </w:r>
    </w:p>
    <w:p w14:paraId="513696B4" w14:textId="77777777" w:rsidR="00B42019" w:rsidRDefault="005F6460" w:rsidP="00B42019">
      <w:pPr>
        <w:pStyle w:val="Prrafodelista"/>
        <w:widowControl w:val="0"/>
        <w:numPr>
          <w:ilvl w:val="0"/>
          <w:numId w:val="14"/>
        </w:numPr>
        <w:tabs>
          <w:tab w:val="left" w:pos="720"/>
        </w:tabs>
        <w:spacing w:before="240" w:after="160" w:line="276" w:lineRule="auto"/>
        <w:rPr>
          <w:rFonts w:ascii="ITC Avant Garde" w:hAnsi="ITC Avant Garde" w:cs="Arial"/>
        </w:rPr>
      </w:pPr>
      <w:r w:rsidRPr="00FD7BCF">
        <w:rPr>
          <w:rFonts w:ascii="ITC Avant Garde" w:hAnsi="ITC Avant Garde"/>
        </w:rPr>
        <w:t>La</w:t>
      </w:r>
      <w:r w:rsidR="00B1605D" w:rsidRPr="00FD7BCF">
        <w:rPr>
          <w:rFonts w:ascii="ITC Avant Garde" w:hAnsi="ITC Avant Garde"/>
        </w:rPr>
        <w:t xml:space="preserve"> obligac</w:t>
      </w:r>
      <w:r w:rsidR="002E7A2F" w:rsidRPr="00FD7BCF">
        <w:rPr>
          <w:rFonts w:ascii="ITC Avant Garde" w:hAnsi="ITC Avant Garde"/>
        </w:rPr>
        <w:t xml:space="preserve">ión de suscribir la Oferta de Referencia de Arrendamiento de Enlaces dedicados de Telmex y </w:t>
      </w:r>
      <w:proofErr w:type="spellStart"/>
      <w:r w:rsidR="002E7A2F" w:rsidRPr="00FD7BCF">
        <w:rPr>
          <w:rFonts w:ascii="ITC Avant Garde" w:hAnsi="ITC Avant Garde"/>
        </w:rPr>
        <w:t>Telnor</w:t>
      </w:r>
      <w:proofErr w:type="spellEnd"/>
      <w:r w:rsidR="002E7A2F" w:rsidRPr="00FD7BCF">
        <w:rPr>
          <w:rFonts w:ascii="ITC Avant Garde" w:hAnsi="ITC Avant Garde"/>
        </w:rPr>
        <w:t>.</w:t>
      </w:r>
    </w:p>
    <w:p w14:paraId="5C456F6F" w14:textId="77777777" w:rsidR="00B42019" w:rsidRDefault="002E7A2F" w:rsidP="00B42019">
      <w:pPr>
        <w:pStyle w:val="Prrafodelista"/>
        <w:widowControl w:val="0"/>
        <w:numPr>
          <w:ilvl w:val="0"/>
          <w:numId w:val="14"/>
        </w:numPr>
        <w:tabs>
          <w:tab w:val="left" w:pos="720"/>
        </w:tabs>
        <w:spacing w:before="240" w:after="160" w:line="276" w:lineRule="auto"/>
        <w:rPr>
          <w:rFonts w:ascii="ITC Avant Garde" w:hAnsi="ITC Avant Garde" w:cs="Arial"/>
        </w:rPr>
      </w:pPr>
      <w:r w:rsidRPr="00FD7BCF">
        <w:rPr>
          <w:rFonts w:ascii="ITC Avant Garde" w:hAnsi="ITC Avant Garde" w:cs="Arial"/>
        </w:rPr>
        <w:t xml:space="preserve">Las tarifas de gastos de instalación y renta mensual para enlaces locales, en sus </w:t>
      </w:r>
      <w:r w:rsidR="003C5C93" w:rsidRPr="00FD7BCF">
        <w:rPr>
          <w:rFonts w:ascii="ITC Avant Garde" w:hAnsi="ITC Avant Garde" w:cs="Arial"/>
        </w:rPr>
        <w:t>modalidades SDH</w:t>
      </w:r>
      <w:r w:rsidRPr="00FD7BCF">
        <w:rPr>
          <w:rFonts w:ascii="ITC Avant Garde" w:hAnsi="ITC Avant Garde" w:cs="Arial"/>
        </w:rPr>
        <w:t xml:space="preserve"> y Ethernet en cualquiera de sus capacidades ofertadas. </w:t>
      </w:r>
    </w:p>
    <w:p w14:paraId="5F994289" w14:textId="77777777" w:rsidR="00B42019" w:rsidRDefault="002E7A2F" w:rsidP="00B42019">
      <w:pPr>
        <w:pStyle w:val="Prrafodelista"/>
        <w:widowControl w:val="0"/>
        <w:numPr>
          <w:ilvl w:val="0"/>
          <w:numId w:val="14"/>
        </w:numPr>
        <w:tabs>
          <w:tab w:val="left" w:pos="720"/>
        </w:tabs>
        <w:spacing w:before="240" w:after="160" w:line="276" w:lineRule="auto"/>
        <w:rPr>
          <w:rFonts w:ascii="ITC Avant Garde" w:hAnsi="ITC Avant Garde" w:cs="Arial"/>
        </w:rPr>
      </w:pPr>
      <w:r w:rsidRPr="00FD7BCF">
        <w:rPr>
          <w:rFonts w:ascii="ITC Avant Garde" w:hAnsi="ITC Avant Garde" w:cs="Arial"/>
        </w:rPr>
        <w:t xml:space="preserve">Las tarifas de gastos de </w:t>
      </w:r>
      <w:r w:rsidR="003C5C93" w:rsidRPr="00FD7BCF">
        <w:rPr>
          <w:rFonts w:ascii="ITC Avant Garde" w:hAnsi="ITC Avant Garde" w:cs="Arial"/>
        </w:rPr>
        <w:t>instalación y</w:t>
      </w:r>
      <w:r w:rsidRPr="00FD7BCF">
        <w:rPr>
          <w:rFonts w:ascii="ITC Avant Garde" w:hAnsi="ITC Avant Garde" w:cs="Arial"/>
        </w:rPr>
        <w:t xml:space="preserve"> renta mensual para enlaces entre localidades, en sus modalidades SDH y Ethernet en cualquiera de sus capacidades </w:t>
      </w:r>
      <w:r w:rsidR="003C5C93" w:rsidRPr="00FD7BCF">
        <w:rPr>
          <w:rFonts w:ascii="ITC Avant Garde" w:hAnsi="ITC Avant Garde" w:cs="Arial"/>
        </w:rPr>
        <w:t>ofertadas</w:t>
      </w:r>
      <w:r w:rsidRPr="00FD7BCF">
        <w:rPr>
          <w:rFonts w:ascii="ITC Avant Garde" w:hAnsi="ITC Avant Garde" w:cs="Arial"/>
        </w:rPr>
        <w:t xml:space="preserve">. </w:t>
      </w:r>
    </w:p>
    <w:p w14:paraId="5F5CEE76" w14:textId="77777777" w:rsidR="00B42019" w:rsidRDefault="002E7A2F" w:rsidP="00B42019">
      <w:pPr>
        <w:pStyle w:val="Prrafodelista"/>
        <w:widowControl w:val="0"/>
        <w:numPr>
          <w:ilvl w:val="0"/>
          <w:numId w:val="14"/>
        </w:numPr>
        <w:tabs>
          <w:tab w:val="left" w:pos="720"/>
        </w:tabs>
        <w:spacing w:before="240" w:after="160" w:line="276" w:lineRule="auto"/>
        <w:rPr>
          <w:rFonts w:ascii="ITC Avant Garde" w:hAnsi="ITC Avant Garde" w:cs="Arial"/>
        </w:rPr>
      </w:pPr>
      <w:r w:rsidRPr="00FD7BCF">
        <w:rPr>
          <w:rFonts w:ascii="ITC Avant Garde" w:hAnsi="ITC Avant Garde" w:cs="Arial"/>
        </w:rPr>
        <w:t xml:space="preserve">Las tarifas de gastos de </w:t>
      </w:r>
      <w:r w:rsidR="003C5C93" w:rsidRPr="00FD7BCF">
        <w:rPr>
          <w:rFonts w:ascii="ITC Avant Garde" w:hAnsi="ITC Avant Garde" w:cs="Arial"/>
        </w:rPr>
        <w:t>instalación y</w:t>
      </w:r>
      <w:r w:rsidRPr="00FD7BCF">
        <w:rPr>
          <w:rFonts w:ascii="ITC Avant Garde" w:hAnsi="ITC Avant Garde" w:cs="Arial"/>
        </w:rPr>
        <w:t xml:space="preserve"> renta mensual para enlaces dedicados de larga distancia internacional, en sus modalidades SDH y Ethernet en cualquiera de sus capacidades </w:t>
      </w:r>
      <w:r w:rsidR="003C5C93" w:rsidRPr="00FD7BCF">
        <w:rPr>
          <w:rFonts w:ascii="ITC Avant Garde" w:hAnsi="ITC Avant Garde" w:cs="Arial"/>
        </w:rPr>
        <w:t>ofertadas</w:t>
      </w:r>
      <w:r w:rsidRPr="00FD7BCF">
        <w:rPr>
          <w:rFonts w:ascii="ITC Avant Garde" w:hAnsi="ITC Avant Garde" w:cs="Arial"/>
        </w:rPr>
        <w:t xml:space="preserve">. </w:t>
      </w:r>
    </w:p>
    <w:p w14:paraId="0CDCA341" w14:textId="77777777" w:rsidR="00B42019" w:rsidRDefault="002E7A2F" w:rsidP="00B42019">
      <w:pPr>
        <w:pStyle w:val="Prrafodelista"/>
        <w:widowControl w:val="0"/>
        <w:numPr>
          <w:ilvl w:val="0"/>
          <w:numId w:val="14"/>
        </w:numPr>
        <w:tabs>
          <w:tab w:val="left" w:pos="720"/>
        </w:tabs>
        <w:spacing w:before="240" w:after="160" w:line="276" w:lineRule="auto"/>
        <w:rPr>
          <w:rFonts w:ascii="ITC Avant Garde" w:hAnsi="ITC Avant Garde" w:cs="Arial"/>
        </w:rPr>
      </w:pPr>
      <w:r w:rsidRPr="00FD7BCF">
        <w:rPr>
          <w:rFonts w:ascii="ITC Avant Garde" w:hAnsi="ITC Avant Garde" w:cs="Arial"/>
        </w:rPr>
        <w:t xml:space="preserve">Las condiciones aplicables a las tarifas de gastos de instalación y renta mensual de los enlaces mencionados en los incisos anteriores. </w:t>
      </w:r>
    </w:p>
    <w:p w14:paraId="62E37CC4" w14:textId="77777777" w:rsidR="00B42019" w:rsidRDefault="00CF496D" w:rsidP="00B42019">
      <w:pPr>
        <w:spacing w:before="240" w:line="276" w:lineRule="auto"/>
        <w:jc w:val="both"/>
        <w:rPr>
          <w:rFonts w:ascii="ITC Avant Garde" w:eastAsia="Times New Roman" w:hAnsi="ITC Avant Garde"/>
        </w:rPr>
      </w:pPr>
      <w:r w:rsidRPr="00FD7BCF">
        <w:rPr>
          <w:rFonts w:ascii="ITC Avant Garde" w:eastAsia="Times New Roman" w:hAnsi="ITC Avant Garde"/>
        </w:rPr>
        <w:t xml:space="preserve">Por su parte, </w:t>
      </w:r>
      <w:r w:rsidRPr="00FD7BCF">
        <w:rPr>
          <w:rFonts w:ascii="ITC Avant Garde" w:hAnsi="ITC Avant Garde"/>
        </w:rPr>
        <w:t xml:space="preserve">Telmex y </w:t>
      </w:r>
      <w:proofErr w:type="spellStart"/>
      <w:r w:rsidRPr="00FD7BCF">
        <w:rPr>
          <w:rFonts w:ascii="ITC Avant Garde" w:hAnsi="ITC Avant Garde"/>
        </w:rPr>
        <w:t>Telnor</w:t>
      </w:r>
      <w:proofErr w:type="spellEnd"/>
      <w:r w:rsidRPr="00FD7BCF">
        <w:rPr>
          <w:rFonts w:ascii="ITC Avant Garde" w:eastAsia="Times New Roman" w:hAnsi="ITC Avant Garde"/>
        </w:rPr>
        <w:t xml:space="preserve"> en los escritos presentados en el procedimiento en que se actúa, formularon manifestaciones respecto a la improcedencia tanto de las Solicitudes de Resolución, como del presente procedimiento administrativo. Además de que se manifestaron en desacuerdo con las propuestas de Grupo Televisa y México Red. </w:t>
      </w:r>
    </w:p>
    <w:p w14:paraId="5ACF73F9" w14:textId="77777777" w:rsidR="00B42019" w:rsidRDefault="00195DB8" w:rsidP="00B42019">
      <w:pPr>
        <w:spacing w:before="240" w:line="276" w:lineRule="auto"/>
        <w:jc w:val="both"/>
        <w:rPr>
          <w:rFonts w:ascii="ITC Avant Garde" w:eastAsia="Times New Roman" w:hAnsi="ITC Avant Garde"/>
        </w:rPr>
      </w:pPr>
      <w:r w:rsidRPr="00FD7BCF">
        <w:rPr>
          <w:rFonts w:ascii="ITC Avant Garde" w:eastAsia="Times New Roman" w:hAnsi="ITC Avant Garde"/>
        </w:rPr>
        <w:lastRenderedPageBreak/>
        <w:t>Con</w:t>
      </w:r>
      <w:r w:rsidR="00DB05A9" w:rsidRPr="00FD7BCF">
        <w:rPr>
          <w:rFonts w:ascii="ITC Avant Garde" w:eastAsia="Times New Roman" w:hAnsi="ITC Avant Garde"/>
        </w:rPr>
        <w:t xml:space="preserve"> relación </w:t>
      </w:r>
      <w:r w:rsidRPr="00FD7BCF">
        <w:rPr>
          <w:rFonts w:ascii="ITC Avant Garde" w:eastAsia="Times New Roman" w:hAnsi="ITC Avant Garde"/>
        </w:rPr>
        <w:t>a</w:t>
      </w:r>
      <w:r w:rsidR="00DB05A9" w:rsidRPr="00FD7BCF">
        <w:rPr>
          <w:rFonts w:ascii="ITC Avant Garde" w:eastAsia="Times New Roman" w:hAnsi="ITC Avant Garde"/>
        </w:rPr>
        <w:t xml:space="preserve"> lo anterior, es preciso señalar que </w:t>
      </w:r>
      <w:r w:rsidRPr="00FD7BCF">
        <w:rPr>
          <w:rFonts w:ascii="ITC Avant Garde" w:eastAsia="Times New Roman" w:hAnsi="ITC Avant Garde"/>
        </w:rPr>
        <w:t>la Medida Cuadragésima Tercera</w:t>
      </w:r>
      <w:r w:rsidR="00743AF1" w:rsidRPr="00FD7BCF">
        <w:rPr>
          <w:rFonts w:ascii="ITC Avant Garde" w:eastAsia="Times New Roman" w:hAnsi="ITC Avant Garde"/>
        </w:rPr>
        <w:t xml:space="preserve"> y Sexagésima</w:t>
      </w:r>
      <w:r w:rsidRPr="00FD7BCF">
        <w:rPr>
          <w:rFonts w:ascii="ITC Avant Garde" w:eastAsia="Times New Roman" w:hAnsi="ITC Avant Garde"/>
        </w:rPr>
        <w:t xml:space="preserve"> de las Medidas Fijas establece</w:t>
      </w:r>
      <w:r w:rsidR="00743AF1" w:rsidRPr="00FD7BCF">
        <w:rPr>
          <w:rFonts w:ascii="ITC Avant Garde" w:eastAsia="Times New Roman" w:hAnsi="ITC Avant Garde"/>
        </w:rPr>
        <w:t>n</w:t>
      </w:r>
      <w:r w:rsidRPr="00FD7BCF">
        <w:rPr>
          <w:rFonts w:ascii="ITC Avant Garde" w:eastAsia="Times New Roman" w:hAnsi="ITC Avant Garde"/>
        </w:rPr>
        <w:t xml:space="preserve"> a la letra lo siguiente:</w:t>
      </w:r>
    </w:p>
    <w:p w14:paraId="34F04D42" w14:textId="77777777" w:rsidR="00B42019" w:rsidRDefault="00195DB8" w:rsidP="00B42019">
      <w:pPr>
        <w:adjustRightInd w:val="0"/>
        <w:spacing w:before="240" w:line="276" w:lineRule="auto"/>
        <w:ind w:left="567" w:right="615"/>
        <w:jc w:val="both"/>
        <w:rPr>
          <w:rFonts w:ascii="ITC Avant Garde" w:eastAsia="Times New Roman" w:hAnsi="ITC Avant Garde" w:cs="Arial"/>
          <w:bCs/>
          <w:i/>
          <w:sz w:val="18"/>
          <w:szCs w:val="18"/>
          <w:lang w:val="es-ES_tradnl" w:eastAsia="es-ES"/>
        </w:rPr>
      </w:pPr>
      <w:r w:rsidRPr="00FD7BCF">
        <w:rPr>
          <w:rFonts w:ascii="ITC Avant Garde" w:eastAsia="Times New Roman" w:hAnsi="ITC Avant Garde" w:cs="Arial"/>
          <w:b/>
          <w:bCs/>
          <w:i/>
          <w:sz w:val="18"/>
          <w:szCs w:val="18"/>
          <w:lang w:val="es-ES_tradnl" w:eastAsia="es-ES"/>
        </w:rPr>
        <w:t>“CUADRAGÉSIMA TERCERA.- El Agente Económico Preponderante deberá suscribir un Convenio para la prestación del Servicio Mayorista de Arrendamiento de Enlaces Dedicados</w:t>
      </w:r>
      <w:r w:rsidRPr="00FD7BCF">
        <w:rPr>
          <w:rFonts w:ascii="ITC Avant Garde" w:eastAsia="Times New Roman" w:hAnsi="ITC Avant Garde" w:cs="Arial"/>
          <w:bCs/>
          <w:i/>
          <w:sz w:val="18"/>
          <w:szCs w:val="18"/>
          <w:lang w:val="es-ES_tradnl" w:eastAsia="es-ES"/>
        </w:rPr>
        <w:t xml:space="preserve">, así como un Convenio de Uso Compartido de Infraestructura, previamente a la prestación de los servicios, </w:t>
      </w:r>
      <w:r w:rsidRPr="00FD7BCF">
        <w:rPr>
          <w:rFonts w:ascii="ITC Avant Garde" w:eastAsia="Times New Roman" w:hAnsi="ITC Avant Garde" w:cs="Arial"/>
          <w:b/>
          <w:bCs/>
          <w:i/>
          <w:sz w:val="18"/>
          <w:szCs w:val="18"/>
          <w:lang w:val="es-ES_tradnl" w:eastAsia="es-ES"/>
        </w:rPr>
        <w:t>dentro de los quince días siguientes a los que le sea presentada la solicitud</w:t>
      </w:r>
      <w:r w:rsidRPr="00FD7BCF">
        <w:rPr>
          <w:rFonts w:ascii="ITC Avant Garde" w:eastAsia="Times New Roman" w:hAnsi="ITC Avant Garde" w:cs="Arial"/>
          <w:bCs/>
          <w:i/>
          <w:sz w:val="18"/>
          <w:szCs w:val="18"/>
          <w:lang w:val="es-ES_tradnl" w:eastAsia="es-ES"/>
        </w:rPr>
        <w:t xml:space="preserve">. Dichos convenios deberán reflejar lo establecido en las presentes medidas y en las Ofertas de Referencia, así como, incluir las compensaciones existentes por incumplimientos y todas aquellas condiciones que otorguen certeza en la prestación de los servicios contratados, incluyendo plazos mínimos de permanencia. Un ejemplar de los mismos deberán remitirse al Instituto. </w:t>
      </w:r>
    </w:p>
    <w:p w14:paraId="3EB1C538" w14:textId="77777777" w:rsidR="00B42019" w:rsidRDefault="00195DB8" w:rsidP="00B42019">
      <w:pPr>
        <w:adjustRightInd w:val="0"/>
        <w:spacing w:before="240" w:line="276" w:lineRule="auto"/>
        <w:ind w:left="567" w:right="615"/>
        <w:jc w:val="both"/>
        <w:rPr>
          <w:rFonts w:ascii="ITC Avant Garde" w:eastAsia="Times New Roman" w:hAnsi="ITC Avant Garde" w:cs="Arial"/>
          <w:bCs/>
          <w:i/>
          <w:sz w:val="18"/>
          <w:szCs w:val="18"/>
          <w:lang w:val="es-ES_tradnl" w:eastAsia="es-ES"/>
        </w:rPr>
      </w:pPr>
      <w:r w:rsidRPr="00FD7BCF">
        <w:rPr>
          <w:rFonts w:ascii="ITC Avant Garde" w:eastAsia="Times New Roman" w:hAnsi="ITC Avant Garde" w:cs="Arial"/>
          <w:bCs/>
          <w:i/>
          <w:sz w:val="18"/>
          <w:szCs w:val="18"/>
          <w:lang w:val="es-ES_tradnl" w:eastAsia="es-ES"/>
        </w:rPr>
        <w:t>Los modelos de Convenios deberán ser presentados como parte de las Ofertas de Referencia por lo que quedará sujeto al tratamiento previsto en la Medida Cuadragésima Primera.”</w:t>
      </w:r>
    </w:p>
    <w:p w14:paraId="05A61BA1" w14:textId="01D0B4B9" w:rsidR="00743AF1" w:rsidRPr="00FD7BCF" w:rsidRDefault="00743AF1" w:rsidP="00B42019">
      <w:pPr>
        <w:autoSpaceDE w:val="0"/>
        <w:autoSpaceDN w:val="0"/>
        <w:adjustRightInd w:val="0"/>
        <w:spacing w:before="240" w:line="276" w:lineRule="auto"/>
        <w:ind w:left="851" w:right="616"/>
        <w:jc w:val="both"/>
        <w:rPr>
          <w:rFonts w:ascii="ITC Avant Garde" w:eastAsia="Times New Roman" w:hAnsi="ITC Avant Garde"/>
          <w:bCs/>
          <w:lang w:eastAsia="es-ES"/>
        </w:rPr>
      </w:pPr>
      <w:r w:rsidRPr="00FD7BCF">
        <w:rPr>
          <w:rFonts w:ascii="ITC Avant Garde" w:eastAsia="Times New Roman" w:hAnsi="ITC Avant Garde"/>
          <w:bCs/>
          <w:i/>
          <w:sz w:val="18"/>
          <w:szCs w:val="18"/>
          <w:lang w:eastAsia="es-ES"/>
        </w:rPr>
        <w:t>(…)</w:t>
      </w:r>
    </w:p>
    <w:p w14:paraId="507E9D45" w14:textId="4A766E83" w:rsidR="00743AF1" w:rsidRPr="00FD7BCF" w:rsidRDefault="00743AF1" w:rsidP="00B42019">
      <w:pPr>
        <w:autoSpaceDE w:val="0"/>
        <w:autoSpaceDN w:val="0"/>
        <w:adjustRightInd w:val="0"/>
        <w:spacing w:before="240" w:line="276" w:lineRule="auto"/>
        <w:ind w:left="567" w:right="616"/>
        <w:jc w:val="both"/>
        <w:rPr>
          <w:rFonts w:ascii="ITC Avant Garde" w:eastAsia="Times New Roman" w:hAnsi="ITC Avant Garde"/>
          <w:b/>
          <w:bCs/>
          <w:sz w:val="18"/>
          <w:szCs w:val="18"/>
          <w:lang w:eastAsia="es-ES"/>
        </w:rPr>
      </w:pPr>
      <w:r w:rsidRPr="00FD7BCF">
        <w:rPr>
          <w:rFonts w:ascii="ITC Avant Garde" w:eastAsia="Times New Roman" w:hAnsi="ITC Avant Garde"/>
          <w:b/>
          <w:bCs/>
          <w:i/>
          <w:sz w:val="18"/>
          <w:szCs w:val="18"/>
          <w:lang w:eastAsia="es-ES"/>
        </w:rPr>
        <w:t xml:space="preserve">SEXAGÉSIMA.- </w:t>
      </w:r>
      <w:r w:rsidRPr="00FD7BCF">
        <w:rPr>
          <w:rFonts w:ascii="ITC Avant Garde" w:eastAsia="Times New Roman" w:hAnsi="ITC Avant Garde"/>
          <w:bCs/>
          <w:i/>
          <w:sz w:val="18"/>
          <w:szCs w:val="18"/>
          <w:lang w:eastAsia="es-ES"/>
        </w:rPr>
        <w:t>El Instituto resolverá los desacuerdos que se susciten entre el Agente Económico Preponderante y los Concesionarios Solicitantes sobre la prestación de los servicios objeto de las presentes medidas.”</w:t>
      </w:r>
    </w:p>
    <w:p w14:paraId="0BFE6703" w14:textId="77777777" w:rsidR="00B42019" w:rsidRDefault="00195DB8" w:rsidP="00B42019">
      <w:pPr>
        <w:adjustRightInd w:val="0"/>
        <w:spacing w:before="240" w:line="276" w:lineRule="auto"/>
        <w:ind w:left="567" w:right="615"/>
        <w:jc w:val="right"/>
        <w:rPr>
          <w:rFonts w:ascii="ITC Avant Garde" w:eastAsia="Times New Roman" w:hAnsi="ITC Avant Garde" w:cs="Arial"/>
          <w:bCs/>
          <w:i/>
          <w:sz w:val="18"/>
          <w:szCs w:val="18"/>
          <w:lang w:val="es-ES_tradnl" w:eastAsia="es-ES"/>
        </w:rPr>
      </w:pPr>
      <w:r w:rsidRPr="00FD7BCF">
        <w:rPr>
          <w:rFonts w:ascii="ITC Avant Garde" w:eastAsia="Times New Roman" w:hAnsi="ITC Avant Garde" w:cs="Arial"/>
          <w:bCs/>
          <w:i/>
          <w:sz w:val="18"/>
          <w:szCs w:val="18"/>
          <w:lang w:val="es-ES_tradnl" w:eastAsia="es-ES"/>
        </w:rPr>
        <w:t>(Énfasis añadido)</w:t>
      </w:r>
    </w:p>
    <w:p w14:paraId="78265B8B" w14:textId="77777777" w:rsidR="00B42019" w:rsidRDefault="00E42ED0" w:rsidP="00B42019">
      <w:pPr>
        <w:spacing w:before="240" w:line="276" w:lineRule="auto"/>
        <w:jc w:val="both"/>
        <w:rPr>
          <w:rFonts w:ascii="ITC Avant Garde" w:eastAsia="Times New Roman" w:hAnsi="ITC Avant Garde"/>
        </w:rPr>
      </w:pPr>
      <w:r w:rsidRPr="00FD7BCF">
        <w:rPr>
          <w:rFonts w:ascii="ITC Avant Garde" w:eastAsia="Times New Roman" w:hAnsi="ITC Avant Garde"/>
        </w:rPr>
        <w:t xml:space="preserve">Es así que la Medida </w:t>
      </w:r>
      <w:r w:rsidR="00743AF1" w:rsidRPr="00FD7BCF">
        <w:rPr>
          <w:rFonts w:ascii="ITC Avant Garde" w:eastAsia="Times New Roman" w:hAnsi="ITC Avant Garde"/>
        </w:rPr>
        <w:t>Cuadragésima Tercera</w:t>
      </w:r>
      <w:r w:rsidRPr="00FD7BCF">
        <w:rPr>
          <w:rFonts w:ascii="ITC Avant Garde" w:eastAsia="Times New Roman" w:hAnsi="ITC Avant Garde"/>
        </w:rPr>
        <w:t>, establece la obligación del AEP de suscribir un Convenio para la prestación del servicio mayorista de arrendamiento de enlaces dedicados, dentro de los quince días siguientes a que sea presentada la solicitud.</w:t>
      </w:r>
    </w:p>
    <w:p w14:paraId="072507FD" w14:textId="77777777" w:rsidR="00B42019" w:rsidRDefault="00A722F2" w:rsidP="00B42019">
      <w:pPr>
        <w:autoSpaceDE w:val="0"/>
        <w:autoSpaceDN w:val="0"/>
        <w:adjustRightInd w:val="0"/>
        <w:spacing w:before="240" w:line="276" w:lineRule="auto"/>
        <w:jc w:val="both"/>
        <w:rPr>
          <w:rFonts w:ascii="ITC Avant Garde" w:eastAsia="Times New Roman" w:hAnsi="ITC Avant Garde"/>
          <w:bCs/>
          <w:lang w:eastAsia="es-ES"/>
        </w:rPr>
      </w:pPr>
      <w:r w:rsidRPr="00FD7BCF">
        <w:rPr>
          <w:rFonts w:ascii="ITC Avant Garde" w:eastAsia="Times New Roman" w:hAnsi="ITC Avant Garde"/>
          <w:bCs/>
          <w:lang w:eastAsia="es-ES"/>
        </w:rPr>
        <w:t>No obstante lo anterior, las Medidas Fijas reconocen la posibilidad de que existan desacuerdos sobre diversos aspectos de la prestación del servicio; es así que la Medida Sexagésima</w:t>
      </w:r>
      <w:r w:rsidR="00743AF1" w:rsidRPr="00FD7BCF">
        <w:rPr>
          <w:rFonts w:ascii="ITC Avant Garde" w:eastAsia="Times New Roman" w:hAnsi="ITC Avant Garde"/>
          <w:bCs/>
          <w:lang w:eastAsia="es-ES"/>
        </w:rPr>
        <w:t xml:space="preserve"> de las Medidas Fijas</w:t>
      </w:r>
      <w:r w:rsidRPr="00FD7BCF">
        <w:rPr>
          <w:rFonts w:ascii="ITC Avant Garde" w:eastAsia="Times New Roman" w:hAnsi="ITC Avant Garde"/>
          <w:bCs/>
          <w:lang w:eastAsia="es-ES"/>
        </w:rPr>
        <w:t xml:space="preserve"> </w:t>
      </w:r>
      <w:r w:rsidRPr="00FD7BCF">
        <w:rPr>
          <w:rFonts w:ascii="ITC Avant Garde" w:eastAsia="Times New Roman" w:hAnsi="ITC Avant Garde"/>
          <w:bCs/>
          <w:u w:val="single"/>
          <w:lang w:eastAsia="es-ES"/>
        </w:rPr>
        <w:t>faculta al Instituto para resolver diferendos</w:t>
      </w:r>
      <w:r w:rsidRPr="00FD7BCF">
        <w:rPr>
          <w:rFonts w:ascii="ITC Avant Garde" w:eastAsia="Times New Roman" w:hAnsi="ITC Avant Garde"/>
          <w:bCs/>
          <w:lang w:eastAsia="es-ES"/>
        </w:rPr>
        <w:t xml:space="preserve"> sobre la prestación de los servicios objeto de las medidas, incluyendo el servicio mayorista de arrendamiento de enlaces dedicados. </w:t>
      </w:r>
    </w:p>
    <w:p w14:paraId="2C29A2B5" w14:textId="77777777" w:rsidR="00B42019" w:rsidRDefault="00743AF1" w:rsidP="00B42019">
      <w:pPr>
        <w:autoSpaceDE w:val="0"/>
        <w:autoSpaceDN w:val="0"/>
        <w:adjustRightInd w:val="0"/>
        <w:spacing w:before="240" w:line="276" w:lineRule="auto"/>
        <w:jc w:val="both"/>
        <w:rPr>
          <w:rFonts w:ascii="ITC Avant Garde" w:eastAsia="Times New Roman" w:hAnsi="ITC Avant Garde"/>
          <w:bCs/>
          <w:lang w:eastAsia="es-ES"/>
        </w:rPr>
      </w:pPr>
      <w:r w:rsidRPr="00FD7BCF">
        <w:rPr>
          <w:rFonts w:ascii="ITC Avant Garde" w:eastAsia="Times New Roman" w:hAnsi="ITC Avant Garde"/>
          <w:bCs/>
          <w:lang w:eastAsia="es-ES"/>
        </w:rPr>
        <w:t xml:space="preserve">Ahora bien, respecto a </w:t>
      </w:r>
      <w:r w:rsidR="00511D73" w:rsidRPr="00FD7BCF">
        <w:rPr>
          <w:rFonts w:ascii="ITC Avant Garde" w:eastAsia="Times New Roman" w:hAnsi="ITC Avant Garde"/>
          <w:bCs/>
          <w:lang w:eastAsia="es-ES"/>
        </w:rPr>
        <w:t>la condición planteada en el inciso a)</w:t>
      </w:r>
      <w:r w:rsidRPr="00FD7BCF">
        <w:rPr>
          <w:rFonts w:ascii="ITC Avant Garde" w:eastAsia="Times New Roman" w:hAnsi="ITC Avant Garde"/>
          <w:bCs/>
          <w:lang w:eastAsia="es-ES"/>
        </w:rPr>
        <w:t xml:space="preserve">, la </w:t>
      </w:r>
      <w:r w:rsidR="00511D73" w:rsidRPr="00FD7BCF">
        <w:rPr>
          <w:rFonts w:ascii="ITC Avant Garde" w:eastAsia="Times New Roman" w:hAnsi="ITC Avant Garde"/>
          <w:bCs/>
          <w:lang w:eastAsia="es-ES"/>
        </w:rPr>
        <w:t>M</w:t>
      </w:r>
      <w:r w:rsidRPr="00FD7BCF">
        <w:rPr>
          <w:rFonts w:ascii="ITC Avant Garde" w:eastAsia="Times New Roman" w:hAnsi="ITC Avant Garde"/>
          <w:bCs/>
          <w:lang w:eastAsia="es-ES"/>
        </w:rPr>
        <w:t>edida Sexagésima Segunda de las Medidas Fijas establece literalmente lo siguiente:</w:t>
      </w:r>
    </w:p>
    <w:p w14:paraId="2A93B1D0" w14:textId="77777777" w:rsidR="00B42019" w:rsidRDefault="00743AF1" w:rsidP="00B42019">
      <w:pPr>
        <w:autoSpaceDE w:val="0"/>
        <w:autoSpaceDN w:val="0"/>
        <w:adjustRightInd w:val="0"/>
        <w:spacing w:before="240" w:line="276" w:lineRule="auto"/>
        <w:ind w:left="851" w:right="900"/>
        <w:jc w:val="both"/>
        <w:rPr>
          <w:rFonts w:ascii="ITC Avant Garde" w:eastAsia="Times New Roman" w:hAnsi="ITC Avant Garde"/>
          <w:bCs/>
          <w:i/>
          <w:sz w:val="18"/>
          <w:szCs w:val="18"/>
          <w:lang w:eastAsia="es-ES"/>
        </w:rPr>
      </w:pPr>
      <w:r w:rsidRPr="00FD7BCF">
        <w:rPr>
          <w:rFonts w:ascii="ITC Avant Garde" w:eastAsia="Times New Roman" w:hAnsi="ITC Avant Garde"/>
          <w:bCs/>
          <w:i/>
          <w:sz w:val="18"/>
          <w:szCs w:val="18"/>
          <w:lang w:eastAsia="es-ES"/>
        </w:rPr>
        <w:t>“</w:t>
      </w:r>
      <w:r w:rsidRPr="00FD7BCF">
        <w:rPr>
          <w:rFonts w:ascii="ITC Avant Garde" w:eastAsia="Times New Roman" w:hAnsi="ITC Avant Garde"/>
          <w:b/>
          <w:bCs/>
          <w:i/>
          <w:sz w:val="18"/>
          <w:szCs w:val="18"/>
          <w:lang w:eastAsia="es-ES"/>
        </w:rPr>
        <w:t>SEXAGÉSIMA SEGUNDA.-</w:t>
      </w:r>
      <w:r w:rsidRPr="00FD7BCF">
        <w:rPr>
          <w:rFonts w:ascii="ITC Avant Garde" w:eastAsia="Times New Roman" w:hAnsi="ITC Avant Garde"/>
          <w:bCs/>
          <w:i/>
          <w:sz w:val="18"/>
          <w:szCs w:val="18"/>
          <w:lang w:eastAsia="es-ES"/>
        </w:rPr>
        <w:t xml:space="preserve"> En caso de que se suscite un desacuerdo sobre las tarifas aplicables a los servicios objeto de las presentes medidas, el Instituto, una vez analizada la solicitud, podrá ordenar al Agente Económico Preponderante a otorgar la prestación de los servicios o el acceso a la infraestructura materia de la controversia, con independencia de que el Instituto resuelva con posterioridad sobre las tarifas respectivas, a condición de que se le otorgue una garantía para asegurar el cumplimiento de las obligaciones contractuales.”</w:t>
      </w:r>
    </w:p>
    <w:p w14:paraId="06562F4E" w14:textId="77777777" w:rsidR="00B42019" w:rsidRDefault="00743AF1" w:rsidP="00B42019">
      <w:pPr>
        <w:autoSpaceDE w:val="0"/>
        <w:autoSpaceDN w:val="0"/>
        <w:adjustRightInd w:val="0"/>
        <w:spacing w:before="240" w:line="276" w:lineRule="auto"/>
        <w:jc w:val="both"/>
        <w:rPr>
          <w:rFonts w:ascii="ITC Avant Garde" w:eastAsia="Times New Roman" w:hAnsi="ITC Avant Garde"/>
          <w:bCs/>
          <w:lang w:eastAsia="es-ES"/>
        </w:rPr>
      </w:pPr>
      <w:r w:rsidRPr="00FD7BCF">
        <w:rPr>
          <w:rFonts w:ascii="ITC Avant Garde" w:eastAsia="Times New Roman" w:hAnsi="ITC Avant Garde"/>
          <w:bCs/>
          <w:lang w:eastAsia="es-ES"/>
        </w:rPr>
        <w:lastRenderedPageBreak/>
        <w:t>Asimismo</w:t>
      </w:r>
      <w:r w:rsidR="00511D73" w:rsidRPr="00FD7BCF">
        <w:rPr>
          <w:rFonts w:ascii="ITC Avant Garde" w:eastAsia="Times New Roman" w:hAnsi="ITC Avant Garde"/>
          <w:bCs/>
          <w:lang w:eastAsia="es-ES"/>
        </w:rPr>
        <w:t>,</w:t>
      </w:r>
      <w:r w:rsidRPr="00FD7BCF">
        <w:rPr>
          <w:rFonts w:ascii="ITC Avant Garde" w:eastAsia="Times New Roman" w:hAnsi="ITC Avant Garde"/>
          <w:bCs/>
          <w:lang w:eastAsia="es-ES"/>
        </w:rPr>
        <w:t xml:space="preserve"> el artículo 44 de la Ley Federal de Procedimiento Administrativo de aplicación supletoria a la </w:t>
      </w:r>
      <w:proofErr w:type="spellStart"/>
      <w:r w:rsidRPr="00FD7BCF">
        <w:rPr>
          <w:rFonts w:ascii="ITC Avant Garde" w:eastAsia="Times New Roman" w:hAnsi="ITC Avant Garde"/>
          <w:bCs/>
          <w:lang w:eastAsia="es-ES"/>
        </w:rPr>
        <w:t>LFTyR</w:t>
      </w:r>
      <w:proofErr w:type="spellEnd"/>
      <w:r w:rsidRPr="00FD7BCF">
        <w:rPr>
          <w:rFonts w:ascii="ITC Avant Garde" w:eastAsia="Times New Roman" w:hAnsi="ITC Avant Garde"/>
          <w:bCs/>
          <w:lang w:eastAsia="es-ES"/>
        </w:rPr>
        <w:t xml:space="preserve"> en términos de su artículo 6 fracción IV, establece que Iniciado el procedimiento, el órgano administrativo podrá adoptar las medidas provisionales para asegurar la eficacia de la resolución que pudiera recaer, si existieren suficientes elementos de juicio para ello.</w:t>
      </w:r>
    </w:p>
    <w:p w14:paraId="3D7F5694" w14:textId="77777777" w:rsidR="00B42019" w:rsidRDefault="00743AF1" w:rsidP="00B42019">
      <w:pPr>
        <w:autoSpaceDE w:val="0"/>
        <w:autoSpaceDN w:val="0"/>
        <w:adjustRightInd w:val="0"/>
        <w:spacing w:before="240" w:line="276" w:lineRule="auto"/>
        <w:jc w:val="both"/>
        <w:rPr>
          <w:rFonts w:ascii="ITC Avant Garde" w:eastAsia="Times New Roman" w:hAnsi="ITC Avant Garde"/>
          <w:bCs/>
          <w:lang w:eastAsia="es-ES"/>
        </w:rPr>
      </w:pPr>
      <w:r w:rsidRPr="00FD7BCF">
        <w:rPr>
          <w:rFonts w:ascii="ITC Avant Garde" w:eastAsia="Times New Roman" w:hAnsi="ITC Avant Garde"/>
          <w:bCs/>
          <w:lang w:eastAsia="es-ES"/>
        </w:rPr>
        <w:t>Es así que Grupo Televisa</w:t>
      </w:r>
      <w:r w:rsidR="00511D73" w:rsidRPr="00FD7BCF">
        <w:rPr>
          <w:rFonts w:ascii="ITC Avant Garde" w:eastAsia="Times New Roman" w:hAnsi="ITC Avant Garde"/>
          <w:bCs/>
          <w:lang w:eastAsia="es-ES"/>
        </w:rPr>
        <w:t xml:space="preserve"> y México Red</w:t>
      </w:r>
      <w:r w:rsidRPr="00FD7BCF">
        <w:rPr>
          <w:rFonts w:ascii="ITC Avant Garde" w:eastAsia="Times New Roman" w:hAnsi="ITC Avant Garde"/>
          <w:bCs/>
          <w:lang w:eastAsia="es-ES"/>
        </w:rPr>
        <w:t xml:space="preserve"> solicit</w:t>
      </w:r>
      <w:r w:rsidR="00511D73" w:rsidRPr="00FD7BCF">
        <w:rPr>
          <w:rFonts w:ascii="ITC Avant Garde" w:eastAsia="Times New Roman" w:hAnsi="ITC Avant Garde"/>
          <w:bCs/>
          <w:lang w:eastAsia="es-ES"/>
        </w:rPr>
        <w:t>aron</w:t>
      </w:r>
      <w:r w:rsidRPr="00FD7BCF">
        <w:rPr>
          <w:rFonts w:ascii="ITC Avant Garde" w:eastAsia="Times New Roman" w:hAnsi="ITC Avant Garde"/>
          <w:bCs/>
          <w:lang w:eastAsia="es-ES"/>
        </w:rPr>
        <w:t xml:space="preserve"> expresamente que se ordene a Telmex y </w:t>
      </w:r>
      <w:proofErr w:type="spellStart"/>
      <w:r w:rsidRPr="00FD7BCF">
        <w:rPr>
          <w:rFonts w:ascii="ITC Avant Garde" w:eastAsia="Times New Roman" w:hAnsi="ITC Avant Garde"/>
          <w:bCs/>
          <w:lang w:eastAsia="es-ES"/>
        </w:rPr>
        <w:t>Telnor</w:t>
      </w:r>
      <w:proofErr w:type="spellEnd"/>
      <w:r w:rsidRPr="00FD7BCF">
        <w:rPr>
          <w:rFonts w:ascii="ITC Avant Garde" w:eastAsia="Times New Roman" w:hAnsi="ITC Avant Garde"/>
          <w:bCs/>
          <w:lang w:eastAsia="es-ES"/>
        </w:rPr>
        <w:t xml:space="preserve"> que se le presten los servicios de la Oferta de Referencia de Enlaces hasta en tanto se resuelvan las tarifas correspondientes.</w:t>
      </w:r>
    </w:p>
    <w:p w14:paraId="201254F7" w14:textId="77777777" w:rsidR="00B42019" w:rsidRDefault="00743AF1" w:rsidP="00B42019">
      <w:pPr>
        <w:autoSpaceDE w:val="0"/>
        <w:autoSpaceDN w:val="0"/>
        <w:adjustRightInd w:val="0"/>
        <w:spacing w:before="240" w:line="276" w:lineRule="auto"/>
        <w:jc w:val="both"/>
        <w:rPr>
          <w:rFonts w:ascii="ITC Avant Garde" w:eastAsia="Times New Roman" w:hAnsi="ITC Avant Garde"/>
          <w:bCs/>
          <w:lang w:eastAsia="es-ES"/>
        </w:rPr>
      </w:pPr>
      <w:r w:rsidRPr="00FD7BCF">
        <w:rPr>
          <w:rFonts w:ascii="ITC Avant Garde" w:eastAsia="Times New Roman" w:hAnsi="ITC Avant Garde"/>
          <w:bCs/>
          <w:lang w:eastAsia="es-ES"/>
        </w:rPr>
        <w:t xml:space="preserve">Por lo anterior, toda vez que en la propia Resolución AEP se consideró de particular importancia salvaguardar la aplicación de las </w:t>
      </w:r>
      <w:r w:rsidR="00511D73" w:rsidRPr="00FD7BCF">
        <w:rPr>
          <w:rFonts w:ascii="ITC Avant Garde" w:eastAsia="Times New Roman" w:hAnsi="ITC Avant Garde"/>
          <w:bCs/>
          <w:lang w:eastAsia="es-ES"/>
        </w:rPr>
        <w:t>M</w:t>
      </w:r>
      <w:r w:rsidRPr="00FD7BCF">
        <w:rPr>
          <w:rFonts w:ascii="ITC Avant Garde" w:eastAsia="Times New Roman" w:hAnsi="ITC Avant Garde"/>
          <w:bCs/>
          <w:lang w:eastAsia="es-ES"/>
        </w:rPr>
        <w:t xml:space="preserve">edidas con independencia de que existieran diferendos en materia tarifaria y además para asegurar la eficacia de la resolución que recaiga al presente procedimiento de desacuerdo, </w:t>
      </w:r>
      <w:r w:rsidR="007E0CB3" w:rsidRPr="00FD7BCF">
        <w:rPr>
          <w:rFonts w:ascii="ITC Avant Garde" w:eastAsia="Times New Roman" w:hAnsi="ITC Avant Garde"/>
          <w:bCs/>
          <w:lang w:eastAsia="es-ES"/>
        </w:rPr>
        <w:t>mediante Acuerdos P/IFT/060716/373 y P/IFT/060716/374 este Pleno</w:t>
      </w:r>
      <w:r w:rsidRPr="00FD7BCF">
        <w:rPr>
          <w:rFonts w:ascii="ITC Avant Garde" w:eastAsia="Times New Roman" w:hAnsi="ITC Avant Garde"/>
          <w:bCs/>
          <w:lang w:eastAsia="es-ES"/>
        </w:rPr>
        <w:t xml:space="preserve"> consider</w:t>
      </w:r>
      <w:r w:rsidR="00511D73" w:rsidRPr="00FD7BCF">
        <w:rPr>
          <w:rFonts w:ascii="ITC Avant Garde" w:eastAsia="Times New Roman" w:hAnsi="ITC Avant Garde"/>
          <w:bCs/>
          <w:lang w:eastAsia="es-ES"/>
        </w:rPr>
        <w:t>ó</w:t>
      </w:r>
      <w:r w:rsidRPr="00FD7BCF">
        <w:rPr>
          <w:rFonts w:ascii="ITC Avant Garde" w:eastAsia="Times New Roman" w:hAnsi="ITC Avant Garde"/>
          <w:bCs/>
          <w:lang w:eastAsia="es-ES"/>
        </w:rPr>
        <w:t xml:space="preserve"> procedente y legalmente viable ordenar </w:t>
      </w:r>
      <w:r w:rsidR="00623576" w:rsidRPr="00FD7BCF">
        <w:rPr>
          <w:rFonts w:ascii="ITC Avant Garde" w:eastAsia="Times New Roman" w:hAnsi="ITC Avant Garde"/>
          <w:bCs/>
          <w:lang w:eastAsia="es-ES"/>
        </w:rPr>
        <w:t xml:space="preserve">a Telmex y </w:t>
      </w:r>
      <w:proofErr w:type="spellStart"/>
      <w:r w:rsidR="00623576" w:rsidRPr="00FD7BCF">
        <w:rPr>
          <w:rFonts w:ascii="ITC Avant Garde" w:eastAsia="Times New Roman" w:hAnsi="ITC Avant Garde"/>
          <w:bCs/>
          <w:lang w:eastAsia="es-ES"/>
        </w:rPr>
        <w:t>Telnor</w:t>
      </w:r>
      <w:proofErr w:type="spellEnd"/>
      <w:r w:rsidRPr="00FD7BCF">
        <w:rPr>
          <w:rFonts w:ascii="ITC Avant Garde" w:eastAsia="Times New Roman" w:hAnsi="ITC Avant Garde"/>
          <w:bCs/>
          <w:lang w:eastAsia="es-ES"/>
        </w:rPr>
        <w:t xml:space="preserve"> otorgar</w:t>
      </w:r>
      <w:r w:rsidR="00623576" w:rsidRPr="00FD7BCF">
        <w:rPr>
          <w:rFonts w:ascii="ITC Avant Garde" w:eastAsia="Times New Roman" w:hAnsi="ITC Avant Garde"/>
          <w:bCs/>
          <w:lang w:eastAsia="es-ES"/>
        </w:rPr>
        <w:t xml:space="preserve"> a Grupo Televisa y México Red,</w:t>
      </w:r>
      <w:r w:rsidRPr="00FD7BCF">
        <w:rPr>
          <w:rFonts w:ascii="ITC Avant Garde" w:eastAsia="Times New Roman" w:hAnsi="ITC Avant Garde"/>
          <w:bCs/>
          <w:lang w:eastAsia="es-ES"/>
        </w:rPr>
        <w:t xml:space="preserve"> la prestación del servicio mayorista de arrendamiento de enlaces dedicados objeto del desacuerdo, con independencia de que el Instituto res</w:t>
      </w:r>
      <w:r w:rsidR="007E0CB3" w:rsidRPr="00FD7BCF">
        <w:rPr>
          <w:rFonts w:ascii="ITC Avant Garde" w:eastAsia="Times New Roman" w:hAnsi="ITC Avant Garde"/>
          <w:bCs/>
          <w:lang w:eastAsia="es-ES"/>
        </w:rPr>
        <w:t>olviera</w:t>
      </w:r>
      <w:r w:rsidRPr="00FD7BCF">
        <w:rPr>
          <w:rFonts w:ascii="ITC Avant Garde" w:eastAsia="Times New Roman" w:hAnsi="ITC Avant Garde"/>
          <w:bCs/>
          <w:lang w:eastAsia="es-ES"/>
        </w:rPr>
        <w:t xml:space="preserve"> con posterioridad sobre las tarifas respectivas, a condición de que se le otorg</w:t>
      </w:r>
      <w:r w:rsidR="00511D73" w:rsidRPr="00FD7BCF">
        <w:rPr>
          <w:rFonts w:ascii="ITC Avant Garde" w:eastAsia="Times New Roman" w:hAnsi="ITC Avant Garde"/>
          <w:bCs/>
          <w:lang w:eastAsia="es-ES"/>
        </w:rPr>
        <w:t>ara</w:t>
      </w:r>
      <w:r w:rsidRPr="00FD7BCF">
        <w:rPr>
          <w:rFonts w:ascii="ITC Avant Garde" w:eastAsia="Times New Roman" w:hAnsi="ITC Avant Garde"/>
          <w:bCs/>
          <w:lang w:eastAsia="es-ES"/>
        </w:rPr>
        <w:t xml:space="preserve"> una garantía para asegurar el cumplimiento de las obligaciones contractuales. </w:t>
      </w:r>
    </w:p>
    <w:p w14:paraId="41991C33" w14:textId="77777777" w:rsidR="00B42019" w:rsidRDefault="00623576" w:rsidP="00B42019">
      <w:pPr>
        <w:autoSpaceDE w:val="0"/>
        <w:autoSpaceDN w:val="0"/>
        <w:adjustRightInd w:val="0"/>
        <w:spacing w:before="240" w:line="276" w:lineRule="auto"/>
        <w:jc w:val="both"/>
        <w:rPr>
          <w:rFonts w:ascii="ITC Avant Garde" w:eastAsia="Times New Roman" w:hAnsi="ITC Avant Garde"/>
          <w:bCs/>
          <w:lang w:eastAsia="es-ES"/>
        </w:rPr>
      </w:pPr>
      <w:r w:rsidRPr="00FD7BCF">
        <w:rPr>
          <w:rFonts w:ascii="ITC Avant Garde" w:eastAsia="Times New Roman" w:hAnsi="ITC Avant Garde"/>
          <w:bCs/>
          <w:lang w:eastAsia="es-ES"/>
        </w:rPr>
        <w:t xml:space="preserve">En ese sentido, con fecha 19 de agosto de 2016, Telmex y </w:t>
      </w:r>
      <w:proofErr w:type="spellStart"/>
      <w:r w:rsidRPr="00FD7BCF">
        <w:rPr>
          <w:rFonts w:ascii="ITC Avant Garde" w:eastAsia="Times New Roman" w:hAnsi="ITC Avant Garde"/>
          <w:bCs/>
          <w:lang w:eastAsia="es-ES"/>
        </w:rPr>
        <w:t>Telnor</w:t>
      </w:r>
      <w:proofErr w:type="spellEnd"/>
      <w:r w:rsidRPr="00FD7BCF">
        <w:rPr>
          <w:rFonts w:ascii="ITC Avant Garde" w:eastAsia="Times New Roman" w:hAnsi="ITC Avant Garde"/>
          <w:bCs/>
          <w:lang w:eastAsia="es-ES"/>
        </w:rPr>
        <w:t xml:space="preserve"> celebraron con las empresas de Grupo Televisa y México Red, los correspondientes convenios de prestación del servicio mayorista de arrendamiento de enlaces dedicados locales, entre localidades y de larga distancia internacional, mismos que</w:t>
      </w:r>
      <w:r w:rsidR="00E62D80" w:rsidRPr="00FD7BCF">
        <w:rPr>
          <w:rFonts w:ascii="ITC Avant Garde" w:eastAsia="Times New Roman" w:hAnsi="ITC Avant Garde"/>
          <w:bCs/>
          <w:lang w:eastAsia="es-ES"/>
        </w:rPr>
        <w:t xml:space="preserve"> se encuentran inscritos </w:t>
      </w:r>
      <w:r w:rsidRPr="00FD7BCF">
        <w:rPr>
          <w:rFonts w:ascii="ITC Avant Garde" w:eastAsia="Times New Roman" w:hAnsi="ITC Avant Garde"/>
          <w:bCs/>
          <w:lang w:eastAsia="es-ES"/>
        </w:rPr>
        <w:t>en el Registro Público de Concesiones.</w:t>
      </w:r>
    </w:p>
    <w:p w14:paraId="6AD32D70" w14:textId="77777777" w:rsidR="00B42019" w:rsidRDefault="00F175E5" w:rsidP="00B42019">
      <w:pPr>
        <w:spacing w:before="240"/>
        <w:jc w:val="both"/>
        <w:rPr>
          <w:rFonts w:ascii="ITC Avant Garde" w:hAnsi="ITC Avant Garde"/>
          <w:lang w:val="es-ES_tradnl" w:eastAsia="es-ES"/>
        </w:rPr>
      </w:pPr>
      <w:r w:rsidRPr="00FD7BCF">
        <w:rPr>
          <w:rFonts w:ascii="ITC Avant Garde" w:hAnsi="ITC Avant Garde"/>
          <w:lang w:val="es-ES_tradnl" w:eastAsia="es-ES"/>
        </w:rPr>
        <w:t>Por lo anterior, este Instituto determina que la condición no convenida planteada en el inciso</w:t>
      </w:r>
      <w:r w:rsidR="008F7CDD" w:rsidRPr="00FD7BCF">
        <w:rPr>
          <w:rFonts w:ascii="ITC Avant Garde" w:hAnsi="ITC Avant Garde"/>
          <w:lang w:val="es-ES_tradnl" w:eastAsia="es-ES"/>
        </w:rPr>
        <w:t xml:space="preserve"> a</w:t>
      </w:r>
      <w:r w:rsidRPr="00FD7BCF">
        <w:rPr>
          <w:rFonts w:ascii="ITC Avant Garde" w:hAnsi="ITC Avant Garde"/>
          <w:lang w:val="es-ES_tradnl" w:eastAsia="es-ES"/>
        </w:rPr>
        <w:t xml:space="preserve">), </w:t>
      </w:r>
      <w:r w:rsidR="008F7CDD" w:rsidRPr="00FD7BCF">
        <w:rPr>
          <w:rFonts w:ascii="ITC Avant Garde" w:hAnsi="ITC Avant Garde"/>
          <w:lang w:val="es-ES_tradnl" w:eastAsia="es-ES"/>
        </w:rPr>
        <w:t xml:space="preserve">relativa a la orden de suscribir la Oferta de Referencia de arrendamiento de enlaces dedicados de Telmex y </w:t>
      </w:r>
      <w:proofErr w:type="spellStart"/>
      <w:r w:rsidR="008F7CDD" w:rsidRPr="00FD7BCF">
        <w:rPr>
          <w:rFonts w:ascii="ITC Avant Garde" w:hAnsi="ITC Avant Garde"/>
          <w:lang w:val="es-ES_tradnl" w:eastAsia="es-ES"/>
        </w:rPr>
        <w:t>Telnor</w:t>
      </w:r>
      <w:proofErr w:type="spellEnd"/>
      <w:r w:rsidR="008F7CDD" w:rsidRPr="00FD7BCF">
        <w:rPr>
          <w:rFonts w:ascii="ITC Avant Garde" w:hAnsi="ITC Avant Garde"/>
          <w:lang w:val="es-ES_tradnl" w:eastAsia="es-ES"/>
        </w:rPr>
        <w:t xml:space="preserve">, </w:t>
      </w:r>
      <w:r w:rsidRPr="00FD7BCF">
        <w:rPr>
          <w:rFonts w:ascii="ITC Avant Garde" w:hAnsi="ITC Avant Garde"/>
          <w:lang w:val="es-ES_tradnl" w:eastAsia="es-ES"/>
        </w:rPr>
        <w:t xml:space="preserve">ya fue </w:t>
      </w:r>
      <w:r w:rsidR="008F7CDD" w:rsidRPr="00FD7BCF">
        <w:rPr>
          <w:rFonts w:ascii="ITC Avant Garde" w:hAnsi="ITC Avant Garde"/>
          <w:lang w:val="es-ES_tradnl" w:eastAsia="es-ES"/>
        </w:rPr>
        <w:t xml:space="preserve">resuelta mediante los Acuerdos </w:t>
      </w:r>
      <w:r w:rsidR="008F7CDD" w:rsidRPr="00FD7BCF">
        <w:rPr>
          <w:rFonts w:ascii="ITC Avant Garde" w:eastAsia="Times New Roman" w:hAnsi="ITC Avant Garde"/>
          <w:bCs/>
          <w:lang w:eastAsia="es-ES"/>
        </w:rPr>
        <w:t>P/IFT/060716/373 y P/IFT/060716/374, antes señalados</w:t>
      </w:r>
      <w:r w:rsidRPr="00FD7BCF">
        <w:rPr>
          <w:rFonts w:ascii="ITC Avant Garde" w:hAnsi="ITC Avant Garde"/>
          <w:lang w:val="es-ES_tradnl" w:eastAsia="es-ES"/>
        </w:rPr>
        <w:t>.</w:t>
      </w:r>
    </w:p>
    <w:p w14:paraId="43ECC52B" w14:textId="29DBA845" w:rsidR="00384FB1" w:rsidRPr="00FD7BCF" w:rsidRDefault="00384FB1" w:rsidP="00B42019">
      <w:pPr>
        <w:spacing w:before="240" w:line="276" w:lineRule="auto"/>
        <w:jc w:val="both"/>
        <w:rPr>
          <w:rFonts w:ascii="ITC Avant Garde" w:hAnsi="ITC Avant Garde"/>
          <w:lang w:val="es-ES_tradnl" w:eastAsia="es-ES"/>
        </w:rPr>
      </w:pPr>
      <w:r w:rsidRPr="00FD7BCF">
        <w:rPr>
          <w:rFonts w:ascii="ITC Avant Garde" w:hAnsi="ITC Avant Garde"/>
          <w:lang w:val="es-ES_tradnl" w:eastAsia="es-ES"/>
        </w:rPr>
        <w:t xml:space="preserve">Ahora bien, en las Solicitudes de Resolución y escritos de alegatos, Grupo Televisa y México Red solicitan que las tarifas que se determinen sean aplicables desde el 1 de enero de 2016 y hasta el 31 de diciembre de 2017. </w:t>
      </w:r>
    </w:p>
    <w:p w14:paraId="3BB239D6" w14:textId="77777777" w:rsidR="00B42019" w:rsidRDefault="00384FB1" w:rsidP="00B42019">
      <w:pPr>
        <w:spacing w:before="240" w:line="276" w:lineRule="auto"/>
        <w:jc w:val="both"/>
        <w:rPr>
          <w:rFonts w:ascii="ITC Avant Garde" w:hAnsi="ITC Avant Garde"/>
          <w:lang w:val="es-ES_tradnl" w:eastAsia="es-ES"/>
        </w:rPr>
      </w:pPr>
      <w:r w:rsidRPr="00FD7BCF">
        <w:rPr>
          <w:rFonts w:ascii="ITC Avant Garde" w:hAnsi="ITC Avant Garde"/>
          <w:lang w:val="es-ES_tradnl" w:eastAsia="es-ES"/>
        </w:rPr>
        <w:t>En ese sentido, se debe decir que de la revisión a los documentos que obran en el expediente y de los convenios inscritos en el Registro Público de Concesiones</w:t>
      </w:r>
      <w:r w:rsidR="00C22824" w:rsidRPr="00FD7BCF">
        <w:rPr>
          <w:rFonts w:ascii="ITC Avant Garde" w:hAnsi="ITC Avant Garde"/>
          <w:lang w:val="es-ES_tradnl" w:eastAsia="es-ES"/>
        </w:rPr>
        <w:t xml:space="preserve">, no se cuenta con información de </w:t>
      </w:r>
      <w:r w:rsidR="001D552F" w:rsidRPr="00FD7BCF">
        <w:rPr>
          <w:rFonts w:ascii="ITC Avant Garde" w:hAnsi="ITC Avant Garde"/>
          <w:lang w:val="es-ES_tradnl" w:eastAsia="es-ES"/>
        </w:rPr>
        <w:t>los</w:t>
      </w:r>
      <w:r w:rsidR="00C22824" w:rsidRPr="00FD7BCF">
        <w:rPr>
          <w:rFonts w:ascii="ITC Avant Garde" w:hAnsi="ITC Avant Garde"/>
          <w:lang w:val="es-ES_tradnl" w:eastAsia="es-ES"/>
        </w:rPr>
        <w:t xml:space="preserve"> términos y condiciones bajo los cuales se prestaba el servicio de arrendamiento de enlaces dedicados, </w:t>
      </w:r>
      <w:r w:rsidR="00653FD2" w:rsidRPr="00FD7BCF">
        <w:rPr>
          <w:rFonts w:ascii="ITC Avant Garde" w:hAnsi="ITC Avant Garde"/>
          <w:lang w:val="es-ES_tradnl" w:eastAsia="es-ES"/>
        </w:rPr>
        <w:t xml:space="preserve">previamente </w:t>
      </w:r>
      <w:r w:rsidR="00C22824" w:rsidRPr="00FD7BCF">
        <w:rPr>
          <w:rFonts w:ascii="ITC Avant Garde" w:hAnsi="ITC Avant Garde"/>
          <w:lang w:val="es-ES_tradnl" w:eastAsia="es-ES"/>
        </w:rPr>
        <w:t>a la suscripción</w:t>
      </w:r>
      <w:r w:rsidRPr="00FD7BCF">
        <w:rPr>
          <w:rFonts w:ascii="ITC Avant Garde" w:hAnsi="ITC Avant Garde"/>
          <w:lang w:val="es-ES_tradnl" w:eastAsia="es-ES"/>
        </w:rPr>
        <w:t xml:space="preserve"> </w:t>
      </w:r>
      <w:r w:rsidR="00C22824" w:rsidRPr="00FD7BCF">
        <w:rPr>
          <w:rFonts w:ascii="ITC Avant Garde" w:hAnsi="ITC Avant Garde"/>
          <w:lang w:val="es-ES_tradnl" w:eastAsia="es-ES"/>
        </w:rPr>
        <w:t xml:space="preserve">de los Convenios de prestación de servicio mayorista de arrendamiento de enlaces dedicados </w:t>
      </w:r>
      <w:r w:rsidR="00C22824" w:rsidRPr="00FD7BCF">
        <w:rPr>
          <w:rFonts w:ascii="ITC Avant Garde" w:hAnsi="ITC Avant Garde"/>
          <w:lang w:val="es-ES_tradnl" w:eastAsia="es-ES"/>
        </w:rPr>
        <w:lastRenderedPageBreak/>
        <w:t>locales, entre localidades y de larga distancia internacional de fecha 19 de agosto de 2016.</w:t>
      </w:r>
    </w:p>
    <w:p w14:paraId="1BD0CE8A" w14:textId="77777777" w:rsidR="00B42019" w:rsidRDefault="004955B7" w:rsidP="00B42019">
      <w:pPr>
        <w:spacing w:before="240" w:line="276" w:lineRule="auto"/>
        <w:jc w:val="both"/>
        <w:rPr>
          <w:rFonts w:ascii="ITC Avant Garde" w:hAnsi="ITC Avant Garde"/>
          <w:lang w:val="es-ES_tradnl" w:eastAsia="es-ES"/>
        </w:rPr>
      </w:pPr>
      <w:r w:rsidRPr="00FD7BCF">
        <w:rPr>
          <w:rFonts w:ascii="ITC Avant Garde" w:hAnsi="ITC Avant Garde"/>
          <w:lang w:val="es-ES_tradnl" w:eastAsia="es-ES"/>
        </w:rPr>
        <w:t>Si bien es cierto, que desde la Resolución AEP y posteriormente</w:t>
      </w:r>
      <w:r w:rsidR="006E5044" w:rsidRPr="00FD7BCF">
        <w:rPr>
          <w:rFonts w:ascii="ITC Avant Garde" w:hAnsi="ITC Avant Garde"/>
          <w:lang w:val="es-ES_tradnl" w:eastAsia="es-ES"/>
        </w:rPr>
        <w:t xml:space="preserve"> con</w:t>
      </w:r>
      <w:r w:rsidRPr="00FD7BCF">
        <w:rPr>
          <w:rFonts w:ascii="ITC Avant Garde" w:hAnsi="ITC Avant Garde"/>
          <w:lang w:val="es-ES_tradnl" w:eastAsia="es-ES"/>
        </w:rPr>
        <w:t xml:space="preserve"> la aprobación de la primera Oferta de Referencia para la prestación de servicio mayorista de arrendamiento de enlaces dedicados, Telmex y </w:t>
      </w:r>
      <w:proofErr w:type="spellStart"/>
      <w:r w:rsidRPr="00FD7BCF">
        <w:rPr>
          <w:rFonts w:ascii="ITC Avant Garde" w:hAnsi="ITC Avant Garde"/>
          <w:lang w:val="es-ES_tradnl" w:eastAsia="es-ES"/>
        </w:rPr>
        <w:t>Telnor</w:t>
      </w:r>
      <w:proofErr w:type="spellEnd"/>
      <w:r w:rsidRPr="00FD7BCF">
        <w:rPr>
          <w:rFonts w:ascii="ITC Avant Garde" w:hAnsi="ITC Avant Garde"/>
          <w:lang w:val="es-ES_tradnl" w:eastAsia="es-ES"/>
        </w:rPr>
        <w:t xml:space="preserve"> </w:t>
      </w:r>
      <w:r w:rsidR="0041550A" w:rsidRPr="00FD7BCF">
        <w:rPr>
          <w:rFonts w:ascii="ITC Avant Garde" w:hAnsi="ITC Avant Garde"/>
          <w:lang w:val="es-ES_tradnl" w:eastAsia="es-ES"/>
        </w:rPr>
        <w:t>están</w:t>
      </w:r>
      <w:r w:rsidRPr="00FD7BCF">
        <w:rPr>
          <w:rFonts w:ascii="ITC Avant Garde" w:hAnsi="ITC Avant Garde"/>
          <w:lang w:val="es-ES_tradnl" w:eastAsia="es-ES"/>
        </w:rPr>
        <w:t xml:space="preserve"> obligados a prestar el servicio en los términos y condiciones establecidas en las Medidas Fijas, </w:t>
      </w:r>
      <w:r w:rsidR="003C0597" w:rsidRPr="00FD7BCF">
        <w:rPr>
          <w:rFonts w:ascii="ITC Avant Garde" w:hAnsi="ITC Avant Garde"/>
          <w:lang w:val="es-ES_tradnl" w:eastAsia="es-ES"/>
        </w:rPr>
        <w:t>también es cierto que de conformidad con la Medida Cuadragésima Tercera de las Medidas Fijas, el AEP deberá suscribir el convenio con el Concesionario Solicitante, mismo que deberá reflejar lo establecido en las Medidas y en las Ofertas de Referencia, así como incluir las compensaciones existentes por incumplimientos y todas aquellas condiciones que otorguen certeza en la prestación de los servicios contratados, incluyendo plazos mínimos de permanencia, lo que en la especie ocurrió hasta el 19 de agosto de 2016.</w:t>
      </w:r>
    </w:p>
    <w:p w14:paraId="207216A4" w14:textId="77777777" w:rsidR="00B42019" w:rsidRDefault="009D6415" w:rsidP="00B42019">
      <w:pPr>
        <w:spacing w:before="240" w:line="276" w:lineRule="auto"/>
        <w:jc w:val="both"/>
        <w:rPr>
          <w:rFonts w:ascii="ITC Avant Garde" w:hAnsi="ITC Avant Garde"/>
          <w:lang w:val="es-ES_tradnl" w:eastAsia="es-ES"/>
        </w:rPr>
      </w:pPr>
      <w:r w:rsidRPr="00FD7BCF">
        <w:rPr>
          <w:rFonts w:ascii="ITC Avant Garde" w:hAnsi="ITC Avant Garde"/>
          <w:lang w:val="es-ES_tradnl" w:eastAsia="es-ES"/>
        </w:rPr>
        <w:t xml:space="preserve">Es decir, </w:t>
      </w:r>
      <w:r w:rsidR="0040370A" w:rsidRPr="00FD7BCF">
        <w:rPr>
          <w:rFonts w:ascii="ITC Avant Garde" w:hAnsi="ITC Avant Garde"/>
          <w:lang w:val="es-ES_tradnl" w:eastAsia="es-ES"/>
        </w:rPr>
        <w:t xml:space="preserve">toda vez que no existe evidencia en el expediente de que </w:t>
      </w:r>
      <w:r w:rsidR="00981A4A" w:rsidRPr="00FD7BCF">
        <w:rPr>
          <w:rFonts w:ascii="ITC Avant Garde" w:hAnsi="ITC Avant Garde"/>
          <w:lang w:val="es-ES_tradnl" w:eastAsia="es-ES"/>
        </w:rPr>
        <w:t xml:space="preserve">del 1 de enero al 18 de agosto de 2016, </w:t>
      </w:r>
      <w:r w:rsidR="0040370A" w:rsidRPr="00FD7BCF">
        <w:rPr>
          <w:rFonts w:ascii="ITC Avant Garde" w:hAnsi="ITC Avant Garde"/>
          <w:lang w:val="es-ES_tradnl" w:eastAsia="es-ES"/>
        </w:rPr>
        <w:t xml:space="preserve">Telmex y </w:t>
      </w:r>
      <w:proofErr w:type="spellStart"/>
      <w:r w:rsidR="0040370A" w:rsidRPr="00FD7BCF">
        <w:rPr>
          <w:rFonts w:ascii="ITC Avant Garde" w:hAnsi="ITC Avant Garde"/>
          <w:lang w:val="es-ES_tradnl" w:eastAsia="es-ES"/>
        </w:rPr>
        <w:t>Telnor</w:t>
      </w:r>
      <w:proofErr w:type="spellEnd"/>
      <w:r w:rsidR="0040370A" w:rsidRPr="00FD7BCF">
        <w:rPr>
          <w:rFonts w:ascii="ITC Avant Garde" w:hAnsi="ITC Avant Garde"/>
          <w:lang w:val="es-ES_tradnl" w:eastAsia="es-ES"/>
        </w:rPr>
        <w:t xml:space="preserve"> hubieran prestado </w:t>
      </w:r>
      <w:r w:rsidRPr="00FD7BCF">
        <w:rPr>
          <w:rFonts w:ascii="ITC Avant Garde" w:hAnsi="ITC Avant Garde"/>
          <w:lang w:val="es-ES_tradnl" w:eastAsia="es-ES"/>
        </w:rPr>
        <w:t xml:space="preserve">el servicio de arrendamiento de enlaces dedicados a Grupo Televisa y México Red, </w:t>
      </w:r>
      <w:r w:rsidR="00F95FEA" w:rsidRPr="00FD7BCF">
        <w:rPr>
          <w:rFonts w:ascii="ITC Avant Garde" w:hAnsi="ITC Avant Garde"/>
          <w:lang w:val="es-ES_tradnl" w:eastAsia="es-ES"/>
        </w:rPr>
        <w:t>el</w:t>
      </w:r>
      <w:r w:rsidR="009E2E74" w:rsidRPr="00FD7BCF">
        <w:rPr>
          <w:rFonts w:ascii="ITC Avant Garde" w:hAnsi="ITC Avant Garde"/>
          <w:lang w:val="es-ES_tradnl" w:eastAsia="es-ES"/>
        </w:rPr>
        <w:t xml:space="preserve"> Pleno del</w:t>
      </w:r>
      <w:r w:rsidR="00F95FEA" w:rsidRPr="00FD7BCF">
        <w:rPr>
          <w:rFonts w:ascii="ITC Avant Garde" w:hAnsi="ITC Avant Garde"/>
          <w:lang w:val="es-ES_tradnl" w:eastAsia="es-ES"/>
        </w:rPr>
        <w:t xml:space="preserve"> Instituto </w:t>
      </w:r>
      <w:r w:rsidR="009E2E74" w:rsidRPr="00FD7BCF">
        <w:rPr>
          <w:rFonts w:ascii="ITC Avant Garde" w:hAnsi="ITC Avant Garde"/>
          <w:lang w:val="es-ES_tradnl" w:eastAsia="es-ES"/>
        </w:rPr>
        <w:t xml:space="preserve">determina que </w:t>
      </w:r>
      <w:r w:rsidR="00981A4A" w:rsidRPr="00FD7BCF">
        <w:rPr>
          <w:rFonts w:ascii="ITC Avant Garde" w:hAnsi="ITC Avant Garde"/>
          <w:lang w:val="es-ES_tradnl" w:eastAsia="es-ES"/>
        </w:rPr>
        <w:t xml:space="preserve">no </w:t>
      </w:r>
      <w:r w:rsidR="006E5044" w:rsidRPr="00FD7BCF">
        <w:rPr>
          <w:rFonts w:ascii="ITC Avant Garde" w:hAnsi="ITC Avant Garde"/>
          <w:lang w:val="es-ES_tradnl" w:eastAsia="es-ES"/>
        </w:rPr>
        <w:t>está en posibilidad de</w:t>
      </w:r>
      <w:r w:rsidR="00981A4A" w:rsidRPr="00FD7BCF">
        <w:rPr>
          <w:rFonts w:ascii="ITC Avant Garde" w:hAnsi="ITC Avant Garde"/>
          <w:lang w:val="es-ES_tradnl" w:eastAsia="es-ES"/>
        </w:rPr>
        <w:t xml:space="preserve"> pronunciarse respecto a las tarifas </w:t>
      </w:r>
      <w:r w:rsidR="00E14458" w:rsidRPr="00FD7BCF">
        <w:rPr>
          <w:rFonts w:ascii="ITC Avant Garde" w:hAnsi="ITC Avant Garde"/>
          <w:lang w:val="es-ES_tradnl" w:eastAsia="es-ES"/>
        </w:rPr>
        <w:t xml:space="preserve">aplicables </w:t>
      </w:r>
      <w:r w:rsidR="009E2E74" w:rsidRPr="00FD7BCF">
        <w:rPr>
          <w:rFonts w:ascii="ITC Avant Garde" w:hAnsi="ITC Avant Garde"/>
          <w:lang w:val="es-ES_tradnl" w:eastAsia="es-ES"/>
        </w:rPr>
        <w:t>en</w:t>
      </w:r>
      <w:r w:rsidR="00E14458" w:rsidRPr="00FD7BCF">
        <w:rPr>
          <w:rFonts w:ascii="ITC Avant Garde" w:hAnsi="ITC Avant Garde"/>
          <w:lang w:val="es-ES_tradnl" w:eastAsia="es-ES"/>
        </w:rPr>
        <w:t xml:space="preserve"> dicho periodo, en el entendido</w:t>
      </w:r>
      <w:r w:rsidR="003E2FB9" w:rsidRPr="00FD7BCF">
        <w:rPr>
          <w:rFonts w:ascii="ITC Avant Garde" w:hAnsi="ITC Avant Garde"/>
          <w:lang w:val="es-ES_tradnl" w:eastAsia="es-ES"/>
        </w:rPr>
        <w:t xml:space="preserve"> de que a partir de</w:t>
      </w:r>
      <w:r w:rsidR="00E14458" w:rsidRPr="00FD7BCF">
        <w:rPr>
          <w:rFonts w:ascii="ITC Avant Garde" w:hAnsi="ITC Avant Garde"/>
          <w:lang w:val="es-ES_tradnl" w:eastAsia="es-ES"/>
        </w:rPr>
        <w:t xml:space="preserve"> la suscripción del Convenio de prestación de servicio mayorista de arrendamiento de enlaces dedicados locales, entre localidades y de larga distancia internacional de fecha 19 de agosto de 2016, </w:t>
      </w:r>
      <w:r w:rsidR="00F1015B" w:rsidRPr="00FD7BCF">
        <w:rPr>
          <w:rFonts w:ascii="ITC Avant Garde" w:hAnsi="ITC Avant Garde"/>
          <w:lang w:val="es-ES_tradnl" w:eastAsia="es-ES"/>
        </w:rPr>
        <w:t xml:space="preserve">Grupo Televisa y México Red </w:t>
      </w:r>
      <w:r w:rsidR="003E2FB9" w:rsidRPr="00FD7BCF">
        <w:rPr>
          <w:rFonts w:ascii="ITC Avant Garde" w:hAnsi="ITC Avant Garde"/>
          <w:lang w:val="es-ES_tradnl" w:eastAsia="es-ES"/>
        </w:rPr>
        <w:t>puede</w:t>
      </w:r>
      <w:r w:rsidR="00F1015B" w:rsidRPr="00FD7BCF">
        <w:rPr>
          <w:rFonts w:ascii="ITC Avant Garde" w:hAnsi="ITC Avant Garde"/>
          <w:lang w:val="es-ES_tradnl" w:eastAsia="es-ES"/>
        </w:rPr>
        <w:t>n</w:t>
      </w:r>
      <w:r w:rsidR="003E2FB9" w:rsidRPr="00FD7BCF">
        <w:rPr>
          <w:rFonts w:ascii="ITC Avant Garde" w:hAnsi="ITC Avant Garde"/>
          <w:lang w:val="es-ES_tradnl" w:eastAsia="es-ES"/>
        </w:rPr>
        <w:t xml:space="preserve"> hacer exigible a Telmex y </w:t>
      </w:r>
      <w:proofErr w:type="spellStart"/>
      <w:r w:rsidR="003E2FB9" w:rsidRPr="00FD7BCF">
        <w:rPr>
          <w:rFonts w:ascii="ITC Avant Garde" w:hAnsi="ITC Avant Garde"/>
          <w:lang w:val="es-ES_tradnl" w:eastAsia="es-ES"/>
        </w:rPr>
        <w:t>Telnor</w:t>
      </w:r>
      <w:proofErr w:type="spellEnd"/>
      <w:r w:rsidR="003E2FB9" w:rsidRPr="00FD7BCF">
        <w:rPr>
          <w:rFonts w:ascii="ITC Avant Garde" w:hAnsi="ITC Avant Garde"/>
          <w:lang w:val="es-ES_tradnl" w:eastAsia="es-ES"/>
        </w:rPr>
        <w:t xml:space="preserve"> la prestación del servicio al amparo de la Resolución AEP y las Medidas Fijas.</w:t>
      </w:r>
    </w:p>
    <w:p w14:paraId="211CB76B" w14:textId="77777777" w:rsidR="00B42019" w:rsidRDefault="003C4EE0" w:rsidP="00B42019">
      <w:pPr>
        <w:spacing w:before="240" w:line="276" w:lineRule="auto"/>
        <w:jc w:val="both"/>
        <w:rPr>
          <w:rFonts w:ascii="ITC Avant Garde" w:hAnsi="ITC Avant Garde" w:cs="Times New Roman"/>
          <w:bCs/>
          <w:iCs/>
          <w:lang w:eastAsia="es-ES"/>
        </w:rPr>
      </w:pPr>
      <w:r w:rsidRPr="00FD7BCF">
        <w:rPr>
          <w:rFonts w:ascii="ITC Avant Garde" w:hAnsi="ITC Avant Garde"/>
          <w:bCs/>
          <w:iCs/>
        </w:rPr>
        <w:t xml:space="preserve">Cabe señalar que si bien tanto Grupo  Televisa como México Red </w:t>
      </w:r>
      <w:r w:rsidRPr="00FD7BCF">
        <w:rPr>
          <w:rFonts w:ascii="ITC Avant Garde" w:hAnsi="ITC Avant Garde"/>
          <w:bCs/>
          <w:iCs/>
          <w:lang w:eastAsia="es-ES"/>
        </w:rPr>
        <w:t>solicitaron al Instituto resolver las condiciones de los gastos de instalación y renta mensual para enlaces dedicados, este Instituto únicamente se pronunciará respecto de las tarifas, toda vez que los términos y condiciones se encuentran previstos en las Medidas y la Oferta de Referencia, así como en los correspondientes convenios celebrados el 19 de agosto de 2016.</w:t>
      </w:r>
    </w:p>
    <w:p w14:paraId="78B68DD9" w14:textId="77777777" w:rsidR="00B42019" w:rsidRDefault="00DB05A9" w:rsidP="00B42019">
      <w:pPr>
        <w:tabs>
          <w:tab w:val="center" w:pos="4419"/>
          <w:tab w:val="right" w:pos="8838"/>
        </w:tabs>
        <w:spacing w:before="240" w:line="276" w:lineRule="auto"/>
        <w:jc w:val="both"/>
        <w:rPr>
          <w:rFonts w:ascii="ITC Avant Garde" w:eastAsia="Times New Roman" w:hAnsi="ITC Avant Garde"/>
        </w:rPr>
      </w:pPr>
      <w:r w:rsidRPr="00FD7BCF">
        <w:rPr>
          <w:rFonts w:ascii="ITC Avant Garde" w:eastAsia="Times New Roman" w:hAnsi="ITC Avant Garde"/>
        </w:rPr>
        <w:t>En virtud de lo anterior, las condiciones no convenidas, sobre las cuales se pronunciará el Instituto será</w:t>
      </w:r>
      <w:r w:rsidR="00CF496D" w:rsidRPr="00FD7BCF">
        <w:rPr>
          <w:rFonts w:ascii="ITC Avant Garde" w:eastAsia="Times New Roman" w:hAnsi="ITC Avant Garde"/>
        </w:rPr>
        <w:t>n</w:t>
      </w:r>
      <w:r w:rsidRPr="00FD7BCF">
        <w:rPr>
          <w:rFonts w:ascii="ITC Avant Garde" w:eastAsia="Times New Roman" w:hAnsi="ITC Avant Garde"/>
        </w:rPr>
        <w:t xml:space="preserve"> la</w:t>
      </w:r>
      <w:r w:rsidR="00CF496D" w:rsidRPr="00FD7BCF">
        <w:rPr>
          <w:rFonts w:ascii="ITC Avant Garde" w:eastAsia="Times New Roman" w:hAnsi="ITC Avant Garde"/>
        </w:rPr>
        <w:t>s</w:t>
      </w:r>
      <w:r w:rsidRPr="00FD7BCF">
        <w:rPr>
          <w:rFonts w:ascii="ITC Avant Garde" w:eastAsia="Times New Roman" w:hAnsi="ITC Avant Garde"/>
        </w:rPr>
        <w:t xml:space="preserve"> siguiente</w:t>
      </w:r>
      <w:r w:rsidR="00CF496D" w:rsidRPr="00FD7BCF">
        <w:rPr>
          <w:rFonts w:ascii="ITC Avant Garde" w:eastAsia="Times New Roman" w:hAnsi="ITC Avant Garde"/>
        </w:rPr>
        <w:t>s</w:t>
      </w:r>
      <w:r w:rsidRPr="00FD7BCF">
        <w:rPr>
          <w:rFonts w:ascii="ITC Avant Garde" w:eastAsia="Times New Roman" w:hAnsi="ITC Avant Garde"/>
        </w:rPr>
        <w:t>:</w:t>
      </w:r>
    </w:p>
    <w:p w14:paraId="7BD49BAC" w14:textId="77777777" w:rsidR="00B42019" w:rsidRDefault="00CF496D" w:rsidP="00B42019">
      <w:pPr>
        <w:pStyle w:val="Prrafodelista"/>
        <w:widowControl w:val="0"/>
        <w:numPr>
          <w:ilvl w:val="0"/>
          <w:numId w:val="30"/>
        </w:numPr>
        <w:tabs>
          <w:tab w:val="left" w:pos="720"/>
        </w:tabs>
        <w:spacing w:before="240" w:after="160" w:line="276" w:lineRule="auto"/>
        <w:rPr>
          <w:rFonts w:ascii="ITC Avant Garde" w:hAnsi="ITC Avant Garde" w:cs="Arial"/>
        </w:rPr>
      </w:pPr>
      <w:r w:rsidRPr="00FD7BCF">
        <w:rPr>
          <w:rFonts w:ascii="ITC Avant Garde" w:hAnsi="ITC Avant Garde" w:cs="Arial"/>
        </w:rPr>
        <w:t>Las tarifas de</w:t>
      </w:r>
      <w:r w:rsidR="00AF5491" w:rsidRPr="00FD7BCF">
        <w:rPr>
          <w:rFonts w:ascii="ITC Avant Garde" w:hAnsi="ITC Avant Garde" w:cs="Arial"/>
        </w:rPr>
        <w:t xml:space="preserve"> </w:t>
      </w:r>
      <w:r w:rsidRPr="00FD7BCF">
        <w:rPr>
          <w:rFonts w:ascii="ITC Avant Garde" w:hAnsi="ITC Avant Garde" w:cs="Arial"/>
        </w:rPr>
        <w:t>gastos de instalación y renta mensual para enlaces locales, en sus modalidades SDH y Ethernet en cualquiera de sus capacidades ofertadas</w:t>
      </w:r>
      <w:r w:rsidR="009E2E74" w:rsidRPr="00FD7BCF">
        <w:rPr>
          <w:rFonts w:ascii="ITC Avant Garde" w:hAnsi="ITC Avant Garde" w:cs="Arial"/>
        </w:rPr>
        <w:t>, a partir del 19 de agosto de 2016 y hasta el 31 de diciembre de 2017</w:t>
      </w:r>
      <w:r w:rsidRPr="00FD7BCF">
        <w:rPr>
          <w:rFonts w:ascii="ITC Avant Garde" w:hAnsi="ITC Avant Garde" w:cs="Arial"/>
        </w:rPr>
        <w:t xml:space="preserve">. </w:t>
      </w:r>
    </w:p>
    <w:p w14:paraId="0E70F919" w14:textId="77777777" w:rsidR="00B42019" w:rsidRDefault="00CF496D" w:rsidP="00B42019">
      <w:pPr>
        <w:pStyle w:val="Prrafodelista"/>
        <w:widowControl w:val="0"/>
        <w:numPr>
          <w:ilvl w:val="0"/>
          <w:numId w:val="30"/>
        </w:numPr>
        <w:tabs>
          <w:tab w:val="left" w:pos="720"/>
        </w:tabs>
        <w:spacing w:before="240" w:after="160" w:line="276" w:lineRule="auto"/>
        <w:rPr>
          <w:rFonts w:ascii="ITC Avant Garde" w:hAnsi="ITC Avant Garde" w:cs="Arial"/>
        </w:rPr>
      </w:pPr>
      <w:r w:rsidRPr="00FD7BCF">
        <w:rPr>
          <w:rFonts w:ascii="ITC Avant Garde" w:hAnsi="ITC Avant Garde" w:cs="Arial"/>
        </w:rPr>
        <w:t>Las tarifas de gastos de instalación y renta mensual para enlaces entre localidades, en sus modalidades SDH y Ethernet en cualquiera de sus capacidades ofertadas</w:t>
      </w:r>
      <w:r w:rsidR="009E2E74" w:rsidRPr="00FD7BCF">
        <w:rPr>
          <w:rFonts w:ascii="ITC Avant Garde" w:hAnsi="ITC Avant Garde" w:cs="Arial"/>
        </w:rPr>
        <w:t xml:space="preserve">, a partir del 19 de agosto de 2016 y hasta el 31 de </w:t>
      </w:r>
      <w:r w:rsidR="009E2E74" w:rsidRPr="00FD7BCF">
        <w:rPr>
          <w:rFonts w:ascii="ITC Avant Garde" w:hAnsi="ITC Avant Garde" w:cs="Arial"/>
        </w:rPr>
        <w:lastRenderedPageBreak/>
        <w:t xml:space="preserve">diciembre de 2017. </w:t>
      </w:r>
      <w:r w:rsidRPr="00FD7BCF">
        <w:rPr>
          <w:rFonts w:ascii="ITC Avant Garde" w:hAnsi="ITC Avant Garde" w:cs="Arial"/>
        </w:rPr>
        <w:t xml:space="preserve"> </w:t>
      </w:r>
    </w:p>
    <w:p w14:paraId="76F1AFE3" w14:textId="77777777" w:rsidR="00B42019" w:rsidRDefault="00CF496D" w:rsidP="00B42019">
      <w:pPr>
        <w:pStyle w:val="Prrafodelista"/>
        <w:widowControl w:val="0"/>
        <w:numPr>
          <w:ilvl w:val="0"/>
          <w:numId w:val="30"/>
        </w:numPr>
        <w:tabs>
          <w:tab w:val="left" w:pos="720"/>
        </w:tabs>
        <w:spacing w:before="240" w:after="160" w:line="276" w:lineRule="auto"/>
        <w:rPr>
          <w:rFonts w:ascii="ITC Avant Garde" w:hAnsi="ITC Avant Garde" w:cs="Arial"/>
        </w:rPr>
      </w:pPr>
      <w:r w:rsidRPr="00FD7BCF">
        <w:rPr>
          <w:rFonts w:ascii="ITC Avant Garde" w:hAnsi="ITC Avant Garde" w:cs="Arial"/>
        </w:rPr>
        <w:t xml:space="preserve">Las tarifas </w:t>
      </w:r>
      <w:r w:rsidR="00AF5491" w:rsidRPr="00FD7BCF">
        <w:rPr>
          <w:rFonts w:ascii="ITC Avant Garde" w:hAnsi="ITC Avant Garde" w:cs="Arial"/>
        </w:rPr>
        <w:t xml:space="preserve">y condiciones </w:t>
      </w:r>
      <w:r w:rsidRPr="00FD7BCF">
        <w:rPr>
          <w:rFonts w:ascii="ITC Avant Garde" w:hAnsi="ITC Avant Garde" w:cs="Arial"/>
        </w:rPr>
        <w:t xml:space="preserve">de </w:t>
      </w:r>
      <w:r w:rsidR="00AF5491" w:rsidRPr="00FD7BCF">
        <w:rPr>
          <w:rFonts w:ascii="ITC Avant Garde" w:hAnsi="ITC Avant Garde" w:cs="Arial"/>
        </w:rPr>
        <w:t xml:space="preserve">los </w:t>
      </w:r>
      <w:r w:rsidRPr="00FD7BCF">
        <w:rPr>
          <w:rFonts w:ascii="ITC Avant Garde" w:hAnsi="ITC Avant Garde" w:cs="Arial"/>
        </w:rPr>
        <w:t>gastos de instalación y renta mensual para enlaces dedicados de larga distancia internacional, en sus modalidades SDH y Ethernet en cualquiera de sus capacidades ofertadas</w:t>
      </w:r>
      <w:r w:rsidR="009E2E74" w:rsidRPr="00FD7BCF">
        <w:rPr>
          <w:rFonts w:ascii="ITC Avant Garde" w:hAnsi="ITC Avant Garde" w:cs="Arial"/>
        </w:rPr>
        <w:t>, a partir del 19 de agosto de 2016 y hasta el 31 de diciembre de 2017.</w:t>
      </w:r>
    </w:p>
    <w:p w14:paraId="442D2944" w14:textId="55C4B8C8" w:rsidR="00B42019" w:rsidRDefault="009C16FD" w:rsidP="00B42019">
      <w:pPr>
        <w:spacing w:before="240" w:line="276" w:lineRule="auto"/>
        <w:jc w:val="both"/>
        <w:rPr>
          <w:rFonts w:ascii="ITC Avant Garde" w:hAnsi="ITC Avant Garde"/>
        </w:rPr>
      </w:pPr>
      <w:r w:rsidRPr="00FD7BCF">
        <w:rPr>
          <w:rFonts w:ascii="ITC Avant Garde" w:eastAsia="Times New Roman" w:hAnsi="ITC Avant Garde"/>
        </w:rPr>
        <w:t xml:space="preserve">Por lo anterior, </w:t>
      </w:r>
      <w:r w:rsidR="00041038" w:rsidRPr="00FD7BCF">
        <w:rPr>
          <w:rFonts w:ascii="ITC Avant Garde" w:eastAsia="Times New Roman" w:hAnsi="ITC Avant Garde"/>
        </w:rPr>
        <w:t xml:space="preserve">previamente </w:t>
      </w:r>
      <w:r w:rsidRPr="00FD7BCF">
        <w:rPr>
          <w:rFonts w:ascii="ITC Avant Garde" w:eastAsia="Times New Roman" w:hAnsi="ITC Avant Garde"/>
        </w:rPr>
        <w:t>al análisis de las condiciones no convenidas, el Instituto procede, en primera instancia, a resolver específicamente las argumentaciones de Telmex</w:t>
      </w:r>
      <w:r w:rsidR="00AD4C89" w:rsidRPr="00FD7BCF">
        <w:rPr>
          <w:rFonts w:ascii="ITC Avant Garde" w:eastAsia="Times New Roman" w:hAnsi="ITC Avant Garde"/>
        </w:rPr>
        <w:t xml:space="preserve"> y </w:t>
      </w:r>
      <w:proofErr w:type="spellStart"/>
      <w:r w:rsidR="00AD4C89" w:rsidRPr="00FD7BCF">
        <w:rPr>
          <w:rFonts w:ascii="ITC Avant Garde" w:eastAsia="Times New Roman" w:hAnsi="ITC Avant Garde"/>
        </w:rPr>
        <w:t>Telnor</w:t>
      </w:r>
      <w:proofErr w:type="spellEnd"/>
      <w:r w:rsidRPr="00FD7BCF">
        <w:rPr>
          <w:rFonts w:ascii="ITC Avant Garde" w:eastAsia="Times New Roman" w:hAnsi="ITC Avant Garde"/>
        </w:rPr>
        <w:t xml:space="preserve"> y los alegatos que al respecto esgrimi</w:t>
      </w:r>
      <w:r w:rsidR="00CC7E8A" w:rsidRPr="00FD7BCF">
        <w:rPr>
          <w:rFonts w:ascii="ITC Avant Garde" w:eastAsia="Times New Roman" w:hAnsi="ITC Avant Garde"/>
        </w:rPr>
        <w:t>eron</w:t>
      </w:r>
      <w:r w:rsidR="00A96601" w:rsidRPr="00FD7BCF">
        <w:rPr>
          <w:rFonts w:ascii="ITC Avant Garde" w:eastAsia="Times New Roman" w:hAnsi="ITC Avant Garde"/>
        </w:rPr>
        <w:t xml:space="preserve"> Grupo Televisa y México Red</w:t>
      </w:r>
      <w:r w:rsidRPr="00FD7BCF">
        <w:rPr>
          <w:rFonts w:ascii="ITC Avant Garde" w:eastAsia="Times New Roman" w:hAnsi="ITC Avant Garde"/>
        </w:rPr>
        <w:t xml:space="preserve">, para posteriormente resolver sobre </w:t>
      </w:r>
      <w:r w:rsidRPr="00FD7BCF">
        <w:rPr>
          <w:rFonts w:ascii="ITC Avant Garde" w:hAnsi="ITC Avant Garde" w:cs="Arial"/>
          <w:lang w:val="es-ES"/>
        </w:rPr>
        <w:t>aquellos puntos de desacuerdo que en materia de interconexión fueron sometidos por las partes.</w:t>
      </w:r>
    </w:p>
    <w:p w14:paraId="52188BCA" w14:textId="77777777" w:rsidR="00B42019" w:rsidRDefault="003C105E" w:rsidP="00B42019">
      <w:pPr>
        <w:pStyle w:val="Prrafodelista"/>
        <w:numPr>
          <w:ilvl w:val="0"/>
          <w:numId w:val="13"/>
        </w:numPr>
        <w:spacing w:before="240" w:after="160" w:line="276" w:lineRule="auto"/>
        <w:rPr>
          <w:rFonts w:ascii="ITC Avant Garde" w:hAnsi="ITC Avant Garde"/>
          <w:b/>
        </w:rPr>
      </w:pPr>
      <w:r w:rsidRPr="00FD7BCF">
        <w:rPr>
          <w:rFonts w:ascii="ITC Avant Garde" w:hAnsi="ITC Avant Garde"/>
          <w:b/>
        </w:rPr>
        <w:t>Improcedencia del desacuerdo del Servicio Mayorista de Arrendamiento de Enlaces Dedicados por haber sido requerid</w:t>
      </w:r>
      <w:r w:rsidR="00FB603C" w:rsidRPr="00FD7BCF">
        <w:rPr>
          <w:rFonts w:ascii="ITC Avant Garde" w:hAnsi="ITC Avant Garde"/>
          <w:b/>
        </w:rPr>
        <w:t>o</w:t>
      </w:r>
      <w:r w:rsidRPr="00FD7BCF">
        <w:rPr>
          <w:rFonts w:ascii="ITC Avant Garde" w:hAnsi="ITC Avant Garde"/>
          <w:b/>
        </w:rPr>
        <w:t xml:space="preserve"> fue</w:t>
      </w:r>
      <w:r w:rsidR="00FB603C" w:rsidRPr="00FD7BCF">
        <w:rPr>
          <w:rFonts w:ascii="ITC Avant Garde" w:hAnsi="ITC Avant Garde"/>
          <w:b/>
        </w:rPr>
        <w:t>ra del plazo correspondiente.</w:t>
      </w:r>
    </w:p>
    <w:p w14:paraId="2BDE641E" w14:textId="77777777" w:rsidR="00B42019" w:rsidRDefault="003C105E" w:rsidP="00B42019">
      <w:pPr>
        <w:spacing w:before="240" w:line="276" w:lineRule="auto"/>
        <w:jc w:val="both"/>
        <w:rPr>
          <w:rFonts w:ascii="ITC Avant Garde" w:hAnsi="ITC Avant Garde" w:cs="Arial"/>
          <w:lang w:val="es-ES"/>
        </w:rPr>
      </w:pPr>
      <w:r w:rsidRPr="00FD7BCF">
        <w:rPr>
          <w:rFonts w:ascii="ITC Avant Garde" w:eastAsia="Times New Roman" w:hAnsi="ITC Avant Garde"/>
          <w:b/>
          <w:szCs w:val="24"/>
          <w:lang w:eastAsia="es-ES"/>
        </w:rPr>
        <w:t>Argumentos de la</w:t>
      </w:r>
      <w:r w:rsidR="001D769A" w:rsidRPr="00FD7BCF">
        <w:rPr>
          <w:rFonts w:ascii="ITC Avant Garde" w:eastAsia="Times New Roman" w:hAnsi="ITC Avant Garde"/>
          <w:b/>
          <w:szCs w:val="24"/>
          <w:lang w:eastAsia="es-ES"/>
        </w:rPr>
        <w:t>s</w:t>
      </w:r>
      <w:r w:rsidRPr="00FD7BCF">
        <w:rPr>
          <w:rFonts w:ascii="ITC Avant Garde" w:eastAsia="Times New Roman" w:hAnsi="ITC Avant Garde"/>
          <w:b/>
          <w:szCs w:val="24"/>
          <w:lang w:eastAsia="es-ES"/>
        </w:rPr>
        <w:t xml:space="preserve"> parte</w:t>
      </w:r>
      <w:r w:rsidR="001D769A" w:rsidRPr="00FD7BCF">
        <w:rPr>
          <w:rFonts w:ascii="ITC Avant Garde" w:eastAsia="Times New Roman" w:hAnsi="ITC Avant Garde"/>
          <w:b/>
          <w:szCs w:val="24"/>
          <w:lang w:eastAsia="es-ES"/>
        </w:rPr>
        <w:t>s</w:t>
      </w:r>
    </w:p>
    <w:p w14:paraId="401C2A29" w14:textId="77777777" w:rsidR="00B42019" w:rsidRDefault="00A60C55" w:rsidP="00B42019">
      <w:pPr>
        <w:spacing w:before="240" w:line="276" w:lineRule="auto"/>
        <w:jc w:val="both"/>
        <w:rPr>
          <w:rFonts w:ascii="ITC Avant Garde" w:eastAsia="Times New Roman" w:hAnsi="ITC Avant Garde"/>
        </w:rPr>
      </w:pPr>
      <w:r w:rsidRPr="00FD7BCF">
        <w:rPr>
          <w:rFonts w:ascii="ITC Avant Garde" w:eastAsia="Times New Roman" w:hAnsi="ITC Avant Garde"/>
        </w:rPr>
        <w:t xml:space="preserve">El apoderado de Telmex y </w:t>
      </w:r>
      <w:proofErr w:type="spellStart"/>
      <w:r w:rsidRPr="00FD7BCF">
        <w:rPr>
          <w:rFonts w:ascii="ITC Avant Garde" w:eastAsia="Times New Roman" w:hAnsi="ITC Avant Garde"/>
        </w:rPr>
        <w:t>Telnor</w:t>
      </w:r>
      <w:proofErr w:type="spellEnd"/>
      <w:r w:rsidRPr="00FD7BCF">
        <w:rPr>
          <w:rFonts w:ascii="ITC Avant Garde" w:eastAsia="Times New Roman" w:hAnsi="ITC Avant Garde"/>
        </w:rPr>
        <w:t xml:space="preserve">, manifestó que el 29 de enero de 2016, Grupo Televisa y México Red presentaron los escritos de solicitud de inicio de negociaciones, tendientes a convenir las tarifas aplicables a los servicios que aluden las Ofertas de Referencia aplicables a la prestación del servicio mayorista de arrendamiento de enlaces </w:t>
      </w:r>
      <w:r w:rsidR="003C5C93" w:rsidRPr="00FD7BCF">
        <w:rPr>
          <w:rFonts w:ascii="ITC Avant Garde" w:eastAsia="Times New Roman" w:hAnsi="ITC Avant Garde"/>
        </w:rPr>
        <w:t>de</w:t>
      </w:r>
      <w:r w:rsidR="00181232" w:rsidRPr="00FD7BCF">
        <w:rPr>
          <w:rFonts w:ascii="ITC Avant Garde" w:eastAsia="Times New Roman" w:hAnsi="ITC Avant Garde"/>
        </w:rPr>
        <w:t>d</w:t>
      </w:r>
      <w:r w:rsidR="003C5C93" w:rsidRPr="00FD7BCF">
        <w:rPr>
          <w:rFonts w:ascii="ITC Avant Garde" w:eastAsia="Times New Roman" w:hAnsi="ITC Avant Garde"/>
        </w:rPr>
        <w:t>icados</w:t>
      </w:r>
      <w:r w:rsidRPr="00FD7BCF">
        <w:rPr>
          <w:rFonts w:ascii="ITC Avant Garde" w:eastAsia="Times New Roman" w:hAnsi="ITC Avant Garde"/>
        </w:rPr>
        <w:t xml:space="preserve">. En este sentido y contrario a lo manifestado por el Instituto en su Acuerdo de </w:t>
      </w:r>
      <w:r w:rsidR="003C5C93" w:rsidRPr="00FD7BCF">
        <w:rPr>
          <w:rFonts w:ascii="ITC Avant Garde" w:eastAsia="Times New Roman" w:hAnsi="ITC Avant Garde"/>
        </w:rPr>
        <w:t>admisión</w:t>
      </w:r>
      <w:r w:rsidRPr="00FD7BCF">
        <w:rPr>
          <w:rFonts w:ascii="ITC Avant Garde" w:eastAsia="Times New Roman" w:hAnsi="ITC Avant Garde"/>
        </w:rPr>
        <w:t xml:space="preserve"> el plazo de</w:t>
      </w:r>
      <w:r w:rsidR="00F161F1" w:rsidRPr="00FD7BCF">
        <w:rPr>
          <w:rFonts w:ascii="ITC Avant Garde" w:eastAsia="Times New Roman" w:hAnsi="ITC Avant Garde"/>
        </w:rPr>
        <w:t xml:space="preserve"> sesenta (</w:t>
      </w:r>
      <w:r w:rsidRPr="00FD7BCF">
        <w:rPr>
          <w:rFonts w:ascii="ITC Avant Garde" w:eastAsia="Times New Roman" w:hAnsi="ITC Avant Garde"/>
        </w:rPr>
        <w:t>60</w:t>
      </w:r>
      <w:r w:rsidR="00F161F1" w:rsidRPr="00FD7BCF">
        <w:rPr>
          <w:rFonts w:ascii="ITC Avant Garde" w:eastAsia="Times New Roman" w:hAnsi="ITC Avant Garde"/>
        </w:rPr>
        <w:t>)</w:t>
      </w:r>
      <w:r w:rsidRPr="00FD7BCF">
        <w:rPr>
          <w:rFonts w:ascii="ITC Avant Garde" w:eastAsia="Times New Roman" w:hAnsi="ITC Avant Garde"/>
        </w:rPr>
        <w:t xml:space="preserve"> </w:t>
      </w:r>
      <w:r w:rsidR="003C5C93" w:rsidRPr="00FD7BCF">
        <w:rPr>
          <w:rFonts w:ascii="ITC Avant Garde" w:eastAsia="Times New Roman" w:hAnsi="ITC Avant Garde"/>
        </w:rPr>
        <w:t>días</w:t>
      </w:r>
      <w:r w:rsidRPr="00FD7BCF">
        <w:rPr>
          <w:rFonts w:ascii="ITC Avant Garde" w:eastAsia="Times New Roman" w:hAnsi="ITC Avant Garde"/>
        </w:rPr>
        <w:t xml:space="preserve"> naturales para las negociaciones y los</w:t>
      </w:r>
      <w:r w:rsidR="00F161F1" w:rsidRPr="00FD7BCF">
        <w:rPr>
          <w:rFonts w:ascii="ITC Avant Garde" w:eastAsia="Times New Roman" w:hAnsi="ITC Avant Garde"/>
        </w:rPr>
        <w:t xml:space="preserve"> cuarenta y cinco (</w:t>
      </w:r>
      <w:r w:rsidRPr="00FD7BCF">
        <w:rPr>
          <w:rFonts w:ascii="ITC Avant Garde" w:eastAsia="Times New Roman" w:hAnsi="ITC Avant Garde"/>
        </w:rPr>
        <w:t>45</w:t>
      </w:r>
      <w:r w:rsidR="00F161F1" w:rsidRPr="00FD7BCF">
        <w:rPr>
          <w:rFonts w:ascii="ITC Avant Garde" w:eastAsia="Times New Roman" w:hAnsi="ITC Avant Garde"/>
        </w:rPr>
        <w:t>)</w:t>
      </w:r>
      <w:r w:rsidRPr="00FD7BCF">
        <w:rPr>
          <w:rFonts w:ascii="ITC Avant Garde" w:eastAsia="Times New Roman" w:hAnsi="ITC Avant Garde"/>
        </w:rPr>
        <w:t xml:space="preserve"> </w:t>
      </w:r>
      <w:r w:rsidR="003C5C93" w:rsidRPr="00FD7BCF">
        <w:rPr>
          <w:rFonts w:ascii="ITC Avant Garde" w:eastAsia="Times New Roman" w:hAnsi="ITC Avant Garde"/>
        </w:rPr>
        <w:t>días</w:t>
      </w:r>
      <w:r w:rsidRPr="00FD7BCF">
        <w:rPr>
          <w:rFonts w:ascii="ITC Avant Garde" w:eastAsia="Times New Roman" w:hAnsi="ITC Avant Garde"/>
        </w:rPr>
        <w:t xml:space="preserve"> hábiles para la presentación de la solicitud de dicho desacuerdo </w:t>
      </w:r>
      <w:r w:rsidR="003C5C93" w:rsidRPr="00FD7BCF">
        <w:rPr>
          <w:rFonts w:ascii="ITC Avant Garde" w:eastAsia="Times New Roman" w:hAnsi="ITC Avant Garde"/>
        </w:rPr>
        <w:t>transcurrieron</w:t>
      </w:r>
      <w:r w:rsidRPr="00FD7BCF">
        <w:rPr>
          <w:rFonts w:ascii="ITC Avant Garde" w:eastAsia="Times New Roman" w:hAnsi="ITC Avant Garde"/>
        </w:rPr>
        <w:t xml:space="preserve"> en exceso. Por lo que a decir del apoderado de las solicitadas se debieron desechar los desacuerdos promovidos por Grupo Televisa y México Red, en virtud de que las tarifas solicitadas no pudieron ser objeto de negociación ya que fueron requeridas fuera del plazo correspondiente al vencimiento del plazo establecido para tal efecto. </w:t>
      </w:r>
    </w:p>
    <w:p w14:paraId="3AC273E2" w14:textId="77777777" w:rsidR="00B42019" w:rsidRDefault="00A60C55" w:rsidP="00B42019">
      <w:pPr>
        <w:spacing w:before="240" w:line="276" w:lineRule="auto"/>
        <w:jc w:val="both"/>
        <w:rPr>
          <w:rFonts w:ascii="ITC Avant Garde" w:eastAsia="Times New Roman" w:hAnsi="ITC Avant Garde"/>
        </w:rPr>
      </w:pPr>
      <w:r w:rsidRPr="00FD7BCF">
        <w:rPr>
          <w:rFonts w:ascii="ITC Avant Garde" w:eastAsia="Times New Roman" w:hAnsi="ITC Avant Garde"/>
        </w:rPr>
        <w:t>Por su parte, Grupo Televisa y México Red sostuvieron en sus alegatos que transcurrieron en exceso los</w:t>
      </w:r>
      <w:r w:rsidR="00F161F1" w:rsidRPr="00FD7BCF">
        <w:rPr>
          <w:rFonts w:ascii="ITC Avant Garde" w:eastAsia="Times New Roman" w:hAnsi="ITC Avant Garde"/>
        </w:rPr>
        <w:t xml:space="preserve"> sesenta</w:t>
      </w:r>
      <w:r w:rsidRPr="00FD7BCF">
        <w:rPr>
          <w:rFonts w:ascii="ITC Avant Garde" w:eastAsia="Times New Roman" w:hAnsi="ITC Avant Garde"/>
        </w:rPr>
        <w:t xml:space="preserve"> </w:t>
      </w:r>
      <w:r w:rsidR="00F161F1" w:rsidRPr="00FD7BCF">
        <w:rPr>
          <w:rFonts w:ascii="ITC Avant Garde" w:eastAsia="Times New Roman" w:hAnsi="ITC Avant Garde"/>
        </w:rPr>
        <w:t>(</w:t>
      </w:r>
      <w:r w:rsidRPr="00FD7BCF">
        <w:rPr>
          <w:rFonts w:ascii="ITC Avant Garde" w:eastAsia="Times New Roman" w:hAnsi="ITC Avant Garde"/>
        </w:rPr>
        <w:t>60</w:t>
      </w:r>
      <w:r w:rsidR="00F161F1" w:rsidRPr="00FD7BCF">
        <w:rPr>
          <w:rFonts w:ascii="ITC Avant Garde" w:eastAsia="Times New Roman" w:hAnsi="ITC Avant Garde"/>
        </w:rPr>
        <w:t>)</w:t>
      </w:r>
      <w:r w:rsidRPr="00FD7BCF">
        <w:rPr>
          <w:rFonts w:ascii="ITC Avant Garde" w:eastAsia="Times New Roman" w:hAnsi="ITC Avant Garde"/>
        </w:rPr>
        <w:t xml:space="preserve"> </w:t>
      </w:r>
      <w:r w:rsidR="003C5C93" w:rsidRPr="00FD7BCF">
        <w:rPr>
          <w:rFonts w:ascii="ITC Avant Garde" w:eastAsia="Times New Roman" w:hAnsi="ITC Avant Garde"/>
        </w:rPr>
        <w:t>días</w:t>
      </w:r>
      <w:r w:rsidRPr="00FD7BCF">
        <w:rPr>
          <w:rFonts w:ascii="ITC Avant Garde" w:eastAsia="Times New Roman" w:hAnsi="ITC Avant Garde"/>
        </w:rPr>
        <w:t xml:space="preserve"> </w:t>
      </w:r>
      <w:r w:rsidR="003C5C93" w:rsidRPr="00FD7BCF">
        <w:rPr>
          <w:rFonts w:ascii="ITC Avant Garde" w:eastAsia="Times New Roman" w:hAnsi="ITC Avant Garde"/>
        </w:rPr>
        <w:t>naturales</w:t>
      </w:r>
      <w:r w:rsidR="000A5790" w:rsidRPr="00FD7BCF">
        <w:rPr>
          <w:rFonts w:ascii="ITC Avant Garde" w:eastAsia="Times New Roman" w:hAnsi="ITC Avant Garde"/>
        </w:rPr>
        <w:t xml:space="preserve"> establecidos en la M</w:t>
      </w:r>
      <w:r w:rsidRPr="00FD7BCF">
        <w:rPr>
          <w:rFonts w:ascii="ITC Avant Garde" w:eastAsia="Times New Roman" w:hAnsi="ITC Avant Garde"/>
        </w:rPr>
        <w:t xml:space="preserve">edida </w:t>
      </w:r>
      <w:r w:rsidR="000A5790" w:rsidRPr="00FD7BCF">
        <w:rPr>
          <w:rFonts w:ascii="ITC Avant Garde" w:eastAsia="Times New Roman" w:hAnsi="ITC Avant Garde"/>
        </w:rPr>
        <w:t>Trigésima S</w:t>
      </w:r>
      <w:r w:rsidRPr="00FD7BCF">
        <w:rPr>
          <w:rFonts w:ascii="ITC Avant Garde" w:eastAsia="Times New Roman" w:hAnsi="ITC Avant Garde"/>
        </w:rPr>
        <w:t xml:space="preserve">éptima del anexo </w:t>
      </w:r>
      <w:r w:rsidR="003C5C93" w:rsidRPr="00FD7BCF">
        <w:rPr>
          <w:rFonts w:ascii="ITC Avant Garde" w:eastAsia="Times New Roman" w:hAnsi="ITC Avant Garde"/>
        </w:rPr>
        <w:t>2 conforme</w:t>
      </w:r>
      <w:r w:rsidRPr="00FD7BCF">
        <w:rPr>
          <w:rFonts w:ascii="ITC Avant Garde" w:eastAsia="Times New Roman" w:hAnsi="ITC Avant Garde"/>
        </w:rPr>
        <w:t xml:space="preserve"> a la Resolución del AEP y las Medidas Fijas, Telmex y </w:t>
      </w:r>
      <w:proofErr w:type="spellStart"/>
      <w:r w:rsidRPr="00FD7BCF">
        <w:rPr>
          <w:rFonts w:ascii="ITC Avant Garde" w:eastAsia="Times New Roman" w:hAnsi="ITC Avant Garde"/>
        </w:rPr>
        <w:t>Telnor</w:t>
      </w:r>
      <w:proofErr w:type="spellEnd"/>
      <w:r w:rsidRPr="00FD7BCF">
        <w:rPr>
          <w:rFonts w:ascii="ITC Avant Garde" w:eastAsia="Times New Roman" w:hAnsi="ITC Avant Garde"/>
        </w:rPr>
        <w:t xml:space="preserve"> están obligados a la prestación de servicios mayoristas de telecomunicaciones a otros concesionarios, en su calidad de Agente Económico Preponderante.</w:t>
      </w:r>
    </w:p>
    <w:p w14:paraId="66A7CF16" w14:textId="77777777" w:rsidR="00B42019" w:rsidRDefault="00DE7CB9" w:rsidP="00B42019">
      <w:pPr>
        <w:spacing w:before="240" w:line="276" w:lineRule="auto"/>
        <w:jc w:val="both"/>
        <w:rPr>
          <w:rFonts w:ascii="ITC Avant Garde" w:eastAsia="Times New Roman" w:hAnsi="ITC Avant Garde"/>
          <w:b/>
          <w:szCs w:val="24"/>
          <w:lang w:eastAsia="es-ES"/>
        </w:rPr>
      </w:pPr>
      <w:r w:rsidRPr="00FD7BCF">
        <w:rPr>
          <w:rFonts w:ascii="ITC Avant Garde" w:eastAsia="Times New Roman" w:hAnsi="ITC Avant Garde"/>
          <w:b/>
          <w:szCs w:val="24"/>
          <w:lang w:eastAsia="es-ES"/>
        </w:rPr>
        <w:t>Consideraciones del Instituto</w:t>
      </w:r>
    </w:p>
    <w:p w14:paraId="46D455C1" w14:textId="77777777" w:rsidR="00B42019" w:rsidRDefault="00022E53" w:rsidP="00B42019">
      <w:pPr>
        <w:spacing w:before="240" w:line="276" w:lineRule="auto"/>
        <w:jc w:val="both"/>
        <w:rPr>
          <w:rFonts w:ascii="ITC Avant Garde" w:hAnsi="ITC Avant Garde" w:cs="Arial"/>
          <w:lang w:val="es-ES"/>
        </w:rPr>
      </w:pPr>
      <w:r w:rsidRPr="00FD7BCF">
        <w:rPr>
          <w:rFonts w:ascii="ITC Avant Garde" w:hAnsi="ITC Avant Garde" w:cs="Arial"/>
          <w:lang w:val="es-ES"/>
        </w:rPr>
        <w:t>Respecto</w:t>
      </w:r>
      <w:r w:rsidR="00DE7CB9" w:rsidRPr="00FD7BCF">
        <w:rPr>
          <w:rFonts w:ascii="ITC Avant Garde" w:hAnsi="ITC Avant Garde" w:cs="Arial"/>
          <w:lang w:val="es-ES"/>
        </w:rPr>
        <w:t xml:space="preserve"> de lo argumentado por Telmex y </w:t>
      </w:r>
      <w:proofErr w:type="spellStart"/>
      <w:r w:rsidR="00DE7CB9" w:rsidRPr="00FD7BCF">
        <w:rPr>
          <w:rFonts w:ascii="ITC Avant Garde" w:hAnsi="ITC Avant Garde" w:cs="Arial"/>
          <w:lang w:val="es-ES"/>
        </w:rPr>
        <w:t>Telnor</w:t>
      </w:r>
      <w:proofErr w:type="spellEnd"/>
      <w:r w:rsidR="00DE7CB9" w:rsidRPr="00FD7BCF">
        <w:rPr>
          <w:rFonts w:ascii="ITC Avant Garde" w:hAnsi="ITC Avant Garde" w:cs="Arial"/>
          <w:lang w:val="es-ES"/>
        </w:rPr>
        <w:t xml:space="preserve"> en cuanto a que las tarifas solicitadas no pudieron ser objeto de negociación ya que fueron requeridas fuera del plazo </w:t>
      </w:r>
      <w:r w:rsidR="00DE7CB9" w:rsidRPr="00FD7BCF">
        <w:rPr>
          <w:rFonts w:ascii="ITC Avant Garde" w:hAnsi="ITC Avant Garde" w:cs="Arial"/>
          <w:lang w:val="es-ES"/>
        </w:rPr>
        <w:lastRenderedPageBreak/>
        <w:t>correspondiente</w:t>
      </w:r>
      <w:r w:rsidR="00AD2656" w:rsidRPr="00FD7BCF">
        <w:rPr>
          <w:rFonts w:ascii="ITC Avant Garde" w:hAnsi="ITC Avant Garde" w:cs="Arial"/>
          <w:lang w:val="es-ES"/>
        </w:rPr>
        <w:t>, este Instituto con</w:t>
      </w:r>
      <w:r w:rsidR="00125241" w:rsidRPr="00FD7BCF">
        <w:rPr>
          <w:rFonts w:ascii="ITC Avant Garde" w:hAnsi="ITC Avant Garde" w:cs="Arial"/>
          <w:lang w:val="es-ES"/>
        </w:rPr>
        <w:t xml:space="preserve">sidera infundado lo manifestado, en virtud de que </w:t>
      </w:r>
      <w:r w:rsidR="00125241" w:rsidRPr="00FD7BCF">
        <w:rPr>
          <w:rFonts w:ascii="ITC Avant Garde" w:eastAsia="Times New Roman" w:hAnsi="ITC Avant Garde"/>
        </w:rPr>
        <w:t xml:space="preserve">la obligación de proporcionar los Servicios Mayoristas de Arrendamiento de Enlaces Dedicados nace </w:t>
      </w:r>
      <w:r w:rsidR="00387AD6" w:rsidRPr="00FD7BCF">
        <w:rPr>
          <w:rFonts w:ascii="ITC Avant Garde" w:eastAsia="Times New Roman" w:hAnsi="ITC Avant Garde"/>
        </w:rPr>
        <w:t>a la luz de</w:t>
      </w:r>
      <w:r w:rsidR="00125241" w:rsidRPr="00FD7BCF">
        <w:rPr>
          <w:rFonts w:ascii="ITC Avant Garde" w:eastAsia="Times New Roman" w:hAnsi="ITC Avant Garde"/>
        </w:rPr>
        <w:t xml:space="preserve"> lo establecido en </w:t>
      </w:r>
      <w:r w:rsidR="0071393E" w:rsidRPr="00FD7BCF">
        <w:rPr>
          <w:rFonts w:ascii="ITC Avant Garde" w:eastAsia="Times New Roman" w:hAnsi="ITC Avant Garde"/>
        </w:rPr>
        <w:t xml:space="preserve">las Medidas Fijas </w:t>
      </w:r>
      <w:r w:rsidR="00125241" w:rsidRPr="00FD7BCF">
        <w:rPr>
          <w:rFonts w:ascii="ITC Avant Garde" w:eastAsia="Times New Roman" w:hAnsi="ITC Avant Garde"/>
        </w:rPr>
        <w:t>de</w:t>
      </w:r>
      <w:r w:rsidR="0077476A" w:rsidRPr="00FD7BCF">
        <w:rPr>
          <w:rFonts w:ascii="ITC Avant Garde" w:eastAsia="Times New Roman" w:hAnsi="ITC Avant Garde"/>
        </w:rPr>
        <w:t xml:space="preserve"> la Resolución </w:t>
      </w:r>
      <w:r w:rsidR="00127741" w:rsidRPr="00FD7BCF">
        <w:rPr>
          <w:rFonts w:ascii="ITC Avant Garde" w:eastAsia="Times New Roman" w:hAnsi="ITC Avant Garde"/>
        </w:rPr>
        <w:t xml:space="preserve">del </w:t>
      </w:r>
      <w:r w:rsidR="0077476A" w:rsidRPr="00FD7BCF">
        <w:rPr>
          <w:rFonts w:ascii="ITC Avant Garde" w:eastAsia="Times New Roman" w:hAnsi="ITC Avant Garde"/>
        </w:rPr>
        <w:t>AEP</w:t>
      </w:r>
      <w:r w:rsidR="00125241" w:rsidRPr="00FD7BCF">
        <w:rPr>
          <w:rFonts w:ascii="ITC Avant Garde" w:eastAsia="Times New Roman" w:hAnsi="ITC Avant Garde"/>
        </w:rPr>
        <w:t xml:space="preserve">, </w:t>
      </w:r>
      <w:r w:rsidR="006B2C3E" w:rsidRPr="00FD7BCF">
        <w:rPr>
          <w:rFonts w:ascii="ITC Avant Garde" w:eastAsia="Times New Roman" w:hAnsi="ITC Avant Garde"/>
        </w:rPr>
        <w:t xml:space="preserve">esto </w:t>
      </w:r>
      <w:r w:rsidR="00A60C55" w:rsidRPr="00FD7BCF">
        <w:rPr>
          <w:rFonts w:ascii="ITC Avant Garde" w:eastAsia="Times New Roman" w:hAnsi="ITC Avant Garde"/>
        </w:rPr>
        <w:t>es, desde el 6 de marzo de 2014</w:t>
      </w:r>
      <w:r w:rsidR="0077476A" w:rsidRPr="00FD7BCF">
        <w:rPr>
          <w:rFonts w:ascii="ITC Avant Garde" w:eastAsia="Times New Roman" w:hAnsi="ITC Avant Garde"/>
        </w:rPr>
        <w:t>.</w:t>
      </w:r>
      <w:r w:rsidR="00B40924" w:rsidRPr="00FD7BCF">
        <w:rPr>
          <w:rFonts w:ascii="ITC Avant Garde" w:eastAsia="Times New Roman" w:hAnsi="ITC Avant Garde"/>
        </w:rPr>
        <w:t xml:space="preserve"> </w:t>
      </w:r>
    </w:p>
    <w:p w14:paraId="770830D4" w14:textId="77777777" w:rsidR="00B42019" w:rsidRDefault="00A60C55" w:rsidP="00B42019">
      <w:pPr>
        <w:spacing w:before="240" w:line="276" w:lineRule="auto"/>
        <w:jc w:val="both"/>
        <w:rPr>
          <w:rFonts w:ascii="ITC Avant Garde" w:hAnsi="ITC Avant Garde" w:cs="Arial"/>
          <w:lang w:val="es-ES"/>
        </w:rPr>
      </w:pPr>
      <w:r w:rsidRPr="00FD7BCF">
        <w:rPr>
          <w:rFonts w:ascii="ITC Avant Garde" w:hAnsi="ITC Avant Garde" w:cs="Arial"/>
          <w:lang w:val="es-ES"/>
        </w:rPr>
        <w:t>Asimismo, e</w:t>
      </w:r>
      <w:r w:rsidR="00B40924" w:rsidRPr="00FD7BCF">
        <w:rPr>
          <w:rFonts w:ascii="ITC Avant Garde" w:hAnsi="ITC Avant Garde" w:cs="Arial"/>
          <w:lang w:val="es-ES"/>
        </w:rPr>
        <w:t>s importante precisar que</w:t>
      </w:r>
      <w:r w:rsidR="0071393E" w:rsidRPr="00FD7BCF">
        <w:rPr>
          <w:rFonts w:ascii="ITC Avant Garde" w:hAnsi="ITC Avant Garde" w:cs="Arial"/>
          <w:lang w:val="es-ES"/>
        </w:rPr>
        <w:t xml:space="preserve"> conforme a la Medida Trigésima Séptima de las Medidas Fijas, el requisito </w:t>
      </w:r>
      <w:r w:rsidR="0046554B" w:rsidRPr="00FD7BCF">
        <w:rPr>
          <w:rFonts w:ascii="ITC Avant Garde" w:hAnsi="ITC Avant Garde" w:cs="Arial"/>
          <w:lang w:val="es-ES"/>
        </w:rPr>
        <w:t xml:space="preserve">de procedencia </w:t>
      </w:r>
      <w:r w:rsidR="0071393E" w:rsidRPr="00FD7BCF">
        <w:rPr>
          <w:rFonts w:ascii="ITC Avant Garde" w:hAnsi="ITC Avant Garde" w:cs="Arial"/>
          <w:lang w:val="es-ES"/>
        </w:rPr>
        <w:t>que se debe cumplir para que el Instituto pueda intervenir en la determinación de las tarifas objeto de la presente Resolución, es que hubieran transcurridos sesenta días naturales contados a partir del inicio de las negociaciones sin que las partes hubieran celebrado un acuerdo, o antes si así lo solicitan ambas partes</w:t>
      </w:r>
      <w:r w:rsidR="001D0D03" w:rsidRPr="00FD7BCF">
        <w:rPr>
          <w:rFonts w:ascii="ITC Avant Garde" w:hAnsi="ITC Avant Garde" w:cs="Arial"/>
          <w:lang w:val="es-ES"/>
        </w:rPr>
        <w:t>.</w:t>
      </w:r>
    </w:p>
    <w:p w14:paraId="6D1BDDA1" w14:textId="77777777" w:rsidR="00B42019" w:rsidRDefault="00181232"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Asimismo, el artículo 6 de la </w:t>
      </w:r>
      <w:proofErr w:type="spellStart"/>
      <w:r w:rsidRPr="00FD7BCF">
        <w:rPr>
          <w:rFonts w:ascii="ITC Avant Garde" w:hAnsi="ITC Avant Garde" w:cs="Arial"/>
          <w:lang w:val="es-ES"/>
        </w:rPr>
        <w:t>LFTyR</w:t>
      </w:r>
      <w:proofErr w:type="spellEnd"/>
      <w:r w:rsidRPr="00FD7BCF">
        <w:rPr>
          <w:rFonts w:ascii="ITC Avant Garde" w:hAnsi="ITC Avant Garde" w:cs="Arial"/>
          <w:lang w:val="es-ES"/>
        </w:rPr>
        <w:t xml:space="preserve"> señala que los asuntos que no tengan previsto un trámite específico conforme a dicha ley o a la Ley Federal de Competencia Económica, se tramitarán conforme a lo previsto en la </w:t>
      </w:r>
      <w:r w:rsidR="00303648" w:rsidRPr="00FD7BCF">
        <w:rPr>
          <w:rFonts w:ascii="ITC Avant Garde" w:hAnsi="ITC Avant Garde" w:cs="Arial"/>
          <w:lang w:val="es-ES"/>
        </w:rPr>
        <w:t>LFPA</w:t>
      </w:r>
      <w:r w:rsidRPr="00FD7BCF">
        <w:rPr>
          <w:rFonts w:ascii="ITC Avant Garde" w:hAnsi="ITC Avant Garde" w:cs="Arial"/>
          <w:lang w:val="es-ES"/>
        </w:rPr>
        <w:t xml:space="preserve">, </w:t>
      </w:r>
      <w:r w:rsidR="00303648" w:rsidRPr="00FD7BCF">
        <w:rPr>
          <w:rFonts w:ascii="ITC Avant Garde" w:hAnsi="ITC Avant Garde" w:cs="Arial"/>
          <w:lang w:val="es-ES"/>
        </w:rPr>
        <w:t xml:space="preserve">en este sentido no resulta aplicable al presente asunto el procedimiento descrito en el artículo 129 de la </w:t>
      </w:r>
      <w:proofErr w:type="spellStart"/>
      <w:r w:rsidR="00303648" w:rsidRPr="00FD7BCF">
        <w:rPr>
          <w:rFonts w:ascii="ITC Avant Garde" w:hAnsi="ITC Avant Garde" w:cs="Arial"/>
          <w:lang w:val="es-ES"/>
        </w:rPr>
        <w:t>LFTyR</w:t>
      </w:r>
      <w:proofErr w:type="spellEnd"/>
      <w:r w:rsidR="00303648" w:rsidRPr="00FD7BCF">
        <w:rPr>
          <w:rFonts w:ascii="ITC Avant Garde" w:hAnsi="ITC Avant Garde" w:cs="Arial"/>
          <w:lang w:val="es-ES"/>
        </w:rPr>
        <w:t xml:space="preserve">; en tal virtud se hace necesario revisar los requisitos de procedencia señalados en las Medidas Fijas y tramitar el procedimiento de </w:t>
      </w:r>
      <w:r w:rsidR="0041550A" w:rsidRPr="00FD7BCF">
        <w:rPr>
          <w:rFonts w:ascii="ITC Avant Garde" w:hAnsi="ITC Avant Garde" w:cs="Arial"/>
          <w:lang w:val="es-ES"/>
        </w:rPr>
        <w:t>conformidad</w:t>
      </w:r>
      <w:r w:rsidR="00303648" w:rsidRPr="00FD7BCF">
        <w:rPr>
          <w:rFonts w:ascii="ITC Avant Garde" w:hAnsi="ITC Avant Garde" w:cs="Arial"/>
          <w:lang w:val="es-ES"/>
        </w:rPr>
        <w:t xml:space="preserve"> con la LFPA.</w:t>
      </w:r>
    </w:p>
    <w:p w14:paraId="15B9132A" w14:textId="77777777" w:rsidR="00B42019" w:rsidRDefault="00CD2064" w:rsidP="00B42019">
      <w:pPr>
        <w:pStyle w:val="Textoindependiente"/>
        <w:spacing w:before="240" w:after="160" w:line="276" w:lineRule="auto"/>
        <w:rPr>
          <w:rFonts w:ascii="ITC Avant Garde" w:hAnsi="ITC Avant Garde"/>
          <w:szCs w:val="22"/>
        </w:rPr>
      </w:pPr>
      <w:r w:rsidRPr="00FD7BCF">
        <w:rPr>
          <w:rFonts w:ascii="ITC Avant Garde" w:hAnsi="ITC Avant Garde"/>
        </w:rPr>
        <w:t xml:space="preserve">En </w:t>
      </w:r>
      <w:r w:rsidR="001D0D03" w:rsidRPr="00FD7BCF">
        <w:rPr>
          <w:rFonts w:ascii="ITC Avant Garde" w:hAnsi="ITC Avant Garde"/>
        </w:rPr>
        <w:t xml:space="preserve">este sentido, </w:t>
      </w:r>
      <w:r w:rsidR="00A60C55" w:rsidRPr="00FD7BCF">
        <w:rPr>
          <w:rFonts w:ascii="ITC Avant Garde" w:hAnsi="ITC Avant Garde"/>
        </w:rPr>
        <w:t xml:space="preserve">Grupo Televisa y </w:t>
      </w:r>
      <w:r w:rsidR="003C5C93" w:rsidRPr="00FD7BCF">
        <w:rPr>
          <w:rFonts w:ascii="ITC Avant Garde" w:hAnsi="ITC Avant Garde"/>
        </w:rPr>
        <w:t>México</w:t>
      </w:r>
      <w:r w:rsidR="00A60C55" w:rsidRPr="00FD7BCF">
        <w:rPr>
          <w:rFonts w:ascii="ITC Avant Garde" w:hAnsi="ITC Avant Garde"/>
        </w:rPr>
        <w:t xml:space="preserve"> Red </w:t>
      </w:r>
      <w:r w:rsidRPr="00FD7BCF">
        <w:rPr>
          <w:rFonts w:ascii="ITC Avant Garde" w:hAnsi="ITC Avant Garde"/>
        </w:rPr>
        <w:t>notific</w:t>
      </w:r>
      <w:r w:rsidR="00A60C55" w:rsidRPr="00FD7BCF">
        <w:rPr>
          <w:rFonts w:ascii="ITC Avant Garde" w:hAnsi="ITC Avant Garde"/>
        </w:rPr>
        <w:t>aron</w:t>
      </w:r>
      <w:r w:rsidRPr="00FD7BCF">
        <w:rPr>
          <w:rFonts w:ascii="ITC Avant Garde" w:hAnsi="ITC Avant Garde"/>
        </w:rPr>
        <w:t xml:space="preserve"> a Telmex y </w:t>
      </w:r>
      <w:proofErr w:type="spellStart"/>
      <w:r w:rsidRPr="00FD7BCF">
        <w:rPr>
          <w:rFonts w:ascii="ITC Avant Garde" w:hAnsi="ITC Avant Garde"/>
        </w:rPr>
        <w:t>Telnor</w:t>
      </w:r>
      <w:proofErr w:type="spellEnd"/>
      <w:r w:rsidRPr="00FD7BCF">
        <w:rPr>
          <w:rFonts w:ascii="ITC Avant Garde" w:hAnsi="ITC Avant Garde"/>
        </w:rPr>
        <w:t xml:space="preserve">, con fecha </w:t>
      </w:r>
      <w:r w:rsidR="00A60C55" w:rsidRPr="00FD7BCF">
        <w:rPr>
          <w:rFonts w:ascii="ITC Avant Garde" w:hAnsi="ITC Avant Garde"/>
        </w:rPr>
        <w:t>29 de enero de 2016</w:t>
      </w:r>
      <w:r w:rsidRPr="00FD7BCF">
        <w:rPr>
          <w:rFonts w:ascii="ITC Avant Garde" w:hAnsi="ITC Avant Garde" w:cs="Arial"/>
        </w:rPr>
        <w:t xml:space="preserve">, </w:t>
      </w:r>
      <w:r w:rsidRPr="00FD7BCF">
        <w:rPr>
          <w:rFonts w:ascii="ITC Avant Garde" w:hAnsi="ITC Avant Garde" w:cs="Arial"/>
          <w:bCs/>
        </w:rPr>
        <w:t xml:space="preserve">el inicio de las gestiones para convenir las condiciones tarifarias de los Servicios Mayoristas de Enlaces Dedicados </w:t>
      </w:r>
      <w:r w:rsidRPr="00FD7BCF">
        <w:rPr>
          <w:rFonts w:ascii="ITC Avant Garde" w:hAnsi="ITC Avant Garde"/>
          <w:szCs w:val="22"/>
        </w:rPr>
        <w:t>y dado que ha transcurrido en exceso el plazo legal de sesenta (60) días naturales, sin que a la fecha de emisión de la presente Resolución las partes hayan acordado los mencionados términos, condiciones y tarifas del Servicio Mayorista de Arrendamiento de Enlaces</w:t>
      </w:r>
      <w:r w:rsidR="00A60C55" w:rsidRPr="00FD7BCF">
        <w:rPr>
          <w:rFonts w:ascii="ITC Avant Garde" w:hAnsi="ITC Avant Garde"/>
          <w:szCs w:val="22"/>
        </w:rPr>
        <w:t xml:space="preserve"> Dedicados</w:t>
      </w:r>
      <w:r w:rsidR="001D0D03" w:rsidRPr="00FD7BCF">
        <w:rPr>
          <w:rFonts w:ascii="ITC Avant Garde" w:hAnsi="ITC Avant Garde"/>
          <w:szCs w:val="22"/>
        </w:rPr>
        <w:t>.</w:t>
      </w:r>
    </w:p>
    <w:p w14:paraId="21174F1A" w14:textId="77777777" w:rsidR="00B42019" w:rsidRDefault="00CD2064" w:rsidP="00B42019">
      <w:pPr>
        <w:pStyle w:val="Textoindependiente"/>
        <w:spacing w:before="240" w:after="160" w:line="276" w:lineRule="auto"/>
        <w:rPr>
          <w:rFonts w:ascii="ITC Avant Garde" w:hAnsi="ITC Avant Garde"/>
          <w:szCs w:val="22"/>
        </w:rPr>
      </w:pPr>
      <w:r w:rsidRPr="00FD7BCF">
        <w:rPr>
          <w:rFonts w:ascii="ITC Avant Garde" w:hAnsi="ITC Avant Garde"/>
          <w:szCs w:val="22"/>
        </w:rPr>
        <w:t>Asimismo,</w:t>
      </w:r>
      <w:r w:rsidR="00A60C55" w:rsidRPr="00FD7BCF">
        <w:rPr>
          <w:rFonts w:ascii="ITC Avant Garde" w:hAnsi="ITC Avant Garde"/>
          <w:szCs w:val="22"/>
        </w:rPr>
        <w:t xml:space="preserve"> Grupo Televisa y México Red</w:t>
      </w:r>
      <w:r w:rsidRPr="00FD7BCF">
        <w:rPr>
          <w:rFonts w:ascii="ITC Avant Garde" w:hAnsi="ITC Avant Garde"/>
          <w:szCs w:val="22"/>
        </w:rPr>
        <w:t xml:space="preserve"> manifest</w:t>
      </w:r>
      <w:r w:rsidR="00A60C55" w:rsidRPr="00FD7BCF">
        <w:rPr>
          <w:rFonts w:ascii="ITC Avant Garde" w:hAnsi="ITC Avant Garde"/>
          <w:szCs w:val="22"/>
        </w:rPr>
        <w:t>aron</w:t>
      </w:r>
      <w:r w:rsidRPr="00FD7BCF">
        <w:rPr>
          <w:rFonts w:ascii="ITC Avant Garde" w:hAnsi="ITC Avant Garde"/>
          <w:szCs w:val="22"/>
        </w:rPr>
        <w:t xml:space="preserve"> que no había</w:t>
      </w:r>
      <w:r w:rsidR="00A60C55" w:rsidRPr="00FD7BCF">
        <w:rPr>
          <w:rFonts w:ascii="ITC Avant Garde" w:hAnsi="ITC Avant Garde"/>
          <w:szCs w:val="22"/>
        </w:rPr>
        <w:t>n</w:t>
      </w:r>
      <w:r w:rsidRPr="00FD7BCF">
        <w:rPr>
          <w:rFonts w:ascii="ITC Avant Garde" w:hAnsi="ITC Avant Garde"/>
          <w:szCs w:val="22"/>
        </w:rPr>
        <w:t xml:space="preserve"> alcanzado un acuerdo con Telmex y </w:t>
      </w:r>
      <w:proofErr w:type="spellStart"/>
      <w:r w:rsidRPr="00FD7BCF">
        <w:rPr>
          <w:rFonts w:ascii="ITC Avant Garde" w:hAnsi="ITC Avant Garde"/>
          <w:szCs w:val="22"/>
        </w:rPr>
        <w:t>Telnor</w:t>
      </w:r>
      <w:proofErr w:type="spellEnd"/>
      <w:r w:rsidRPr="00FD7BCF">
        <w:rPr>
          <w:rFonts w:ascii="ITC Avant Garde" w:hAnsi="ITC Avant Garde"/>
          <w:szCs w:val="22"/>
        </w:rPr>
        <w:t xml:space="preserve">. Lo cual quedó corroborado con la Respuesta de Telmex y </w:t>
      </w:r>
      <w:proofErr w:type="spellStart"/>
      <w:r w:rsidRPr="00FD7BCF">
        <w:rPr>
          <w:rFonts w:ascii="ITC Avant Garde" w:hAnsi="ITC Avant Garde"/>
          <w:szCs w:val="22"/>
        </w:rPr>
        <w:t>Telnor</w:t>
      </w:r>
      <w:proofErr w:type="spellEnd"/>
      <w:r w:rsidRPr="00FD7BCF">
        <w:rPr>
          <w:rFonts w:ascii="ITC Avant Garde" w:hAnsi="ITC Avant Garde"/>
          <w:szCs w:val="22"/>
        </w:rPr>
        <w:t>, de la cual se desprende que no ha</w:t>
      </w:r>
      <w:r w:rsidR="00A60C55" w:rsidRPr="00FD7BCF">
        <w:rPr>
          <w:rFonts w:ascii="ITC Avant Garde" w:hAnsi="ITC Avant Garde"/>
          <w:szCs w:val="22"/>
        </w:rPr>
        <w:t>n</w:t>
      </w:r>
      <w:r w:rsidRPr="00FD7BCF">
        <w:rPr>
          <w:rFonts w:ascii="ITC Avant Garde" w:hAnsi="ITC Avant Garde"/>
          <w:szCs w:val="22"/>
        </w:rPr>
        <w:t xml:space="preserve"> convenido las condiciones correspondientes al </w:t>
      </w:r>
      <w:r w:rsidRPr="00FD7BCF">
        <w:rPr>
          <w:rFonts w:ascii="ITC Avant Garde" w:hAnsi="ITC Avant Garde" w:cs="Arial"/>
          <w:spacing w:val="-2"/>
          <w:szCs w:val="22"/>
        </w:rPr>
        <w:t>Servicio Mayorista de Arrendamiento de Enlaces Dedicados</w:t>
      </w:r>
      <w:r w:rsidRPr="00FD7BCF">
        <w:rPr>
          <w:rFonts w:ascii="ITC Avant Garde" w:hAnsi="ITC Avant Garde"/>
          <w:szCs w:val="22"/>
        </w:rPr>
        <w:t xml:space="preserve"> propuestas por </w:t>
      </w:r>
      <w:r w:rsidR="00A60C55" w:rsidRPr="00FD7BCF">
        <w:rPr>
          <w:rFonts w:ascii="ITC Avant Garde" w:hAnsi="ITC Avant Garde"/>
          <w:szCs w:val="22"/>
        </w:rPr>
        <w:t xml:space="preserve">Grupo Televisa y </w:t>
      </w:r>
      <w:r w:rsidR="003C5C93" w:rsidRPr="00FD7BCF">
        <w:rPr>
          <w:rFonts w:ascii="ITC Avant Garde" w:hAnsi="ITC Avant Garde"/>
          <w:szCs w:val="22"/>
        </w:rPr>
        <w:t>México</w:t>
      </w:r>
      <w:r w:rsidR="00A60C55" w:rsidRPr="00FD7BCF">
        <w:rPr>
          <w:rFonts w:ascii="ITC Avant Garde" w:hAnsi="ITC Avant Garde"/>
          <w:szCs w:val="22"/>
        </w:rPr>
        <w:t xml:space="preserve"> Red</w:t>
      </w:r>
      <w:r w:rsidRPr="00FD7BCF">
        <w:rPr>
          <w:rFonts w:ascii="ITC Avant Garde" w:hAnsi="ITC Avant Garde"/>
          <w:szCs w:val="22"/>
        </w:rPr>
        <w:t xml:space="preserve">. </w:t>
      </w:r>
    </w:p>
    <w:p w14:paraId="08F727F2" w14:textId="77777777" w:rsidR="00B42019" w:rsidRDefault="00CD2064" w:rsidP="00B42019">
      <w:pPr>
        <w:pStyle w:val="Textoindependiente"/>
        <w:spacing w:before="240" w:after="160" w:line="276" w:lineRule="auto"/>
        <w:rPr>
          <w:rFonts w:ascii="ITC Avant Garde" w:hAnsi="ITC Avant Garde" w:cs="Arial"/>
          <w:b/>
        </w:rPr>
      </w:pPr>
      <w:r w:rsidRPr="00FD7BCF">
        <w:rPr>
          <w:rFonts w:ascii="ITC Avant Garde" w:hAnsi="ITC Avant Garde" w:cs="Arial"/>
        </w:rPr>
        <w:t xml:space="preserve">Por tanto, se materializa la hipótesis normativa prevista en la Medida </w:t>
      </w:r>
      <w:r w:rsidRPr="00FD7BCF">
        <w:rPr>
          <w:rFonts w:ascii="ITC Avant Garde" w:hAnsi="ITC Avant Garde"/>
        </w:rPr>
        <w:t xml:space="preserve">Trigésima Séptima </w:t>
      </w:r>
      <w:r w:rsidR="00022E53" w:rsidRPr="00FD7BCF">
        <w:rPr>
          <w:rFonts w:ascii="ITC Avant Garde" w:hAnsi="ITC Avant Garde"/>
        </w:rPr>
        <w:t xml:space="preserve">y Sexagésima </w:t>
      </w:r>
      <w:r w:rsidRPr="00FD7BCF">
        <w:rPr>
          <w:rFonts w:ascii="ITC Avant Garde" w:hAnsi="ITC Avant Garde"/>
        </w:rPr>
        <w:t>de las Medidas Fijas</w:t>
      </w:r>
      <w:r w:rsidRPr="00FD7BCF">
        <w:rPr>
          <w:rFonts w:ascii="ITC Avant Garde" w:hAnsi="ITC Avant Garde" w:cs="Arial"/>
        </w:rPr>
        <w:t xml:space="preserve">, por lo que el Instituto se encuentra plenamente facultado para resolver aquellas condiciones del </w:t>
      </w:r>
      <w:r w:rsidRPr="00FD7BCF">
        <w:rPr>
          <w:rFonts w:ascii="ITC Avant Garde" w:hAnsi="ITC Avant Garde" w:cs="Arial"/>
          <w:spacing w:val="-2"/>
        </w:rPr>
        <w:t>Servicio Mayorista de Arrendamiento de Enlaces Dedicados</w:t>
      </w:r>
      <w:r w:rsidRPr="00FD7BCF">
        <w:rPr>
          <w:rFonts w:ascii="ITC Avant Garde" w:hAnsi="ITC Avant Garde" w:cs="Arial"/>
        </w:rPr>
        <w:t xml:space="preserve"> no convenidas entre las partes, es decir, los términos, condiciones y tarifas relacionadas con la prestación del Servicio Mayorista de Arrendamiento de   Enlaces Dedicados</w:t>
      </w:r>
      <w:r w:rsidR="001D0D03" w:rsidRPr="00FD7BCF">
        <w:rPr>
          <w:rFonts w:ascii="ITC Avant Garde" w:hAnsi="ITC Avant Garde" w:cs="Arial"/>
        </w:rPr>
        <w:t xml:space="preserve"> aplicables del </w:t>
      </w:r>
      <w:r w:rsidR="00B800B6" w:rsidRPr="00FD7BCF">
        <w:rPr>
          <w:rFonts w:ascii="ITC Avant Garde" w:hAnsi="ITC Avant Garde" w:cs="Arial"/>
        </w:rPr>
        <w:t>19 de agosto</w:t>
      </w:r>
      <w:r w:rsidR="001D0D03" w:rsidRPr="00FD7BCF">
        <w:rPr>
          <w:rFonts w:ascii="ITC Avant Garde" w:hAnsi="ITC Avant Garde" w:cs="Arial"/>
        </w:rPr>
        <w:t xml:space="preserve"> </w:t>
      </w:r>
      <w:r w:rsidR="00A60C55" w:rsidRPr="00FD7BCF">
        <w:rPr>
          <w:rFonts w:ascii="ITC Avant Garde" w:hAnsi="ITC Avant Garde" w:cs="Arial"/>
        </w:rPr>
        <w:t>de 2016 al 31 de diciembre de 2017</w:t>
      </w:r>
      <w:r w:rsidR="001D0D03" w:rsidRPr="00FD7BCF">
        <w:rPr>
          <w:rFonts w:ascii="ITC Avant Garde" w:hAnsi="ITC Avant Garde" w:cs="Arial"/>
        </w:rPr>
        <w:t>.</w:t>
      </w:r>
      <w:r w:rsidR="002C5392" w:rsidRPr="00FD7BCF">
        <w:rPr>
          <w:rFonts w:ascii="ITC Avant Garde" w:hAnsi="ITC Avant Garde" w:cs="Arial"/>
          <w:lang w:val="es-ES"/>
        </w:rPr>
        <w:t xml:space="preserve"> Por lo que no es factible que Telmex y </w:t>
      </w:r>
      <w:proofErr w:type="spellStart"/>
      <w:r w:rsidR="002C5392" w:rsidRPr="00FD7BCF">
        <w:rPr>
          <w:rFonts w:ascii="ITC Avant Garde" w:hAnsi="ITC Avant Garde" w:cs="Arial"/>
          <w:lang w:val="es-ES"/>
        </w:rPr>
        <w:t>Telnor</w:t>
      </w:r>
      <w:proofErr w:type="spellEnd"/>
      <w:r w:rsidR="002C5392" w:rsidRPr="00FD7BCF">
        <w:rPr>
          <w:rFonts w:ascii="ITC Avant Garde" w:hAnsi="ITC Avant Garde" w:cs="Arial"/>
          <w:lang w:val="es-ES"/>
        </w:rPr>
        <w:t xml:space="preserve"> argumenten que el presente desacuerdo resulta improcedente.</w:t>
      </w:r>
    </w:p>
    <w:p w14:paraId="5934C159" w14:textId="77777777" w:rsidR="00B42019" w:rsidRDefault="006D0C36" w:rsidP="00B42019">
      <w:pPr>
        <w:pStyle w:val="Prrafodelista"/>
        <w:numPr>
          <w:ilvl w:val="0"/>
          <w:numId w:val="13"/>
        </w:numPr>
        <w:spacing w:before="240" w:after="160" w:line="276" w:lineRule="auto"/>
        <w:rPr>
          <w:rFonts w:ascii="ITC Avant Garde" w:hAnsi="ITC Avant Garde" w:cs="Arial"/>
          <w:b/>
          <w:bCs/>
        </w:rPr>
      </w:pPr>
      <w:r w:rsidRPr="00FD7BCF">
        <w:rPr>
          <w:rFonts w:ascii="ITC Avant Garde" w:hAnsi="ITC Avant Garde" w:cs="Arial"/>
          <w:b/>
          <w:bCs/>
        </w:rPr>
        <w:lastRenderedPageBreak/>
        <w:t xml:space="preserve">No se </w:t>
      </w:r>
      <w:r w:rsidR="003C5C93" w:rsidRPr="00FD7BCF">
        <w:rPr>
          <w:rFonts w:ascii="ITC Avant Garde" w:hAnsi="ITC Avant Garde" w:cs="Arial"/>
          <w:b/>
          <w:bCs/>
        </w:rPr>
        <w:t>formuló</w:t>
      </w:r>
      <w:r w:rsidRPr="00FD7BCF">
        <w:rPr>
          <w:rFonts w:ascii="ITC Avant Garde" w:hAnsi="ITC Avant Garde" w:cs="Arial"/>
          <w:b/>
          <w:bCs/>
        </w:rPr>
        <w:t xml:space="preserve"> una propuesta real y concreta sobre las tarifas para el servicio mayorista de </w:t>
      </w:r>
      <w:r w:rsidR="003C5C93" w:rsidRPr="00FD7BCF">
        <w:rPr>
          <w:rFonts w:ascii="ITC Avant Garde" w:hAnsi="ITC Avant Garde" w:cs="Arial"/>
          <w:b/>
          <w:bCs/>
        </w:rPr>
        <w:t>arrendamiento</w:t>
      </w:r>
      <w:r w:rsidRPr="00FD7BCF">
        <w:rPr>
          <w:rFonts w:ascii="ITC Avant Garde" w:hAnsi="ITC Avant Garde" w:cs="Arial"/>
          <w:b/>
          <w:bCs/>
        </w:rPr>
        <w:t xml:space="preserve"> de enlaces dedicados.</w:t>
      </w:r>
    </w:p>
    <w:p w14:paraId="52DE9FCF" w14:textId="77777777" w:rsidR="00B42019" w:rsidRDefault="005F6562" w:rsidP="00B42019">
      <w:pPr>
        <w:spacing w:before="240" w:line="276" w:lineRule="auto"/>
        <w:jc w:val="both"/>
        <w:rPr>
          <w:rFonts w:ascii="ITC Avant Garde" w:hAnsi="ITC Avant Garde" w:cs="Arial"/>
          <w:lang w:val="es-ES"/>
        </w:rPr>
      </w:pPr>
      <w:r w:rsidRPr="00FD7BCF">
        <w:rPr>
          <w:rFonts w:ascii="ITC Avant Garde" w:eastAsia="Times New Roman" w:hAnsi="ITC Avant Garde"/>
          <w:b/>
          <w:szCs w:val="24"/>
          <w:lang w:eastAsia="es-ES"/>
        </w:rPr>
        <w:t>Argumentos de las partes</w:t>
      </w:r>
    </w:p>
    <w:p w14:paraId="0DDE01EC" w14:textId="77777777" w:rsidR="00B42019" w:rsidRDefault="005F6562"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El apoderado legal </w:t>
      </w:r>
      <w:r w:rsidR="00913A5E" w:rsidRPr="00FD7BCF">
        <w:rPr>
          <w:rFonts w:ascii="ITC Avant Garde" w:hAnsi="ITC Avant Garde" w:cs="Arial"/>
          <w:lang w:val="es-ES"/>
        </w:rPr>
        <w:t xml:space="preserve">de Telmex y </w:t>
      </w:r>
      <w:proofErr w:type="spellStart"/>
      <w:r w:rsidR="00913A5E" w:rsidRPr="00FD7BCF">
        <w:rPr>
          <w:rFonts w:ascii="ITC Avant Garde" w:hAnsi="ITC Avant Garde" w:cs="Arial"/>
          <w:lang w:val="es-ES"/>
        </w:rPr>
        <w:t>Telnor</w:t>
      </w:r>
      <w:proofErr w:type="spellEnd"/>
      <w:r w:rsidRPr="00FD7BCF">
        <w:rPr>
          <w:rFonts w:ascii="ITC Avant Garde" w:hAnsi="ITC Avant Garde" w:cs="Arial"/>
          <w:lang w:val="es-ES"/>
        </w:rPr>
        <w:t xml:space="preserve"> manifiesta</w:t>
      </w:r>
      <w:r w:rsidR="00913A5E" w:rsidRPr="00FD7BCF">
        <w:rPr>
          <w:rFonts w:ascii="ITC Avant Garde" w:hAnsi="ITC Avant Garde" w:cs="Arial"/>
          <w:lang w:val="es-ES"/>
        </w:rPr>
        <w:t xml:space="preserve"> que </w:t>
      </w:r>
      <w:r w:rsidR="003525DE" w:rsidRPr="00FD7BCF">
        <w:rPr>
          <w:rFonts w:ascii="ITC Avant Garde" w:hAnsi="ITC Avant Garde" w:cs="Arial"/>
          <w:lang w:val="es-ES"/>
        </w:rPr>
        <w:t>de los escritos de negociación notificados por</w:t>
      </w:r>
      <w:r w:rsidR="00FB4FD4" w:rsidRPr="00FD7BCF">
        <w:rPr>
          <w:rFonts w:ascii="ITC Avant Garde" w:hAnsi="ITC Avant Garde" w:cs="Arial"/>
          <w:lang w:val="es-ES"/>
        </w:rPr>
        <w:t xml:space="preserve"> Grupo Televisa y México Red</w:t>
      </w:r>
      <w:r w:rsidR="00D252A2" w:rsidRPr="00FD7BCF">
        <w:rPr>
          <w:rFonts w:ascii="ITC Avant Garde" w:hAnsi="ITC Avant Garde" w:cs="Arial"/>
          <w:lang w:val="es-ES"/>
        </w:rPr>
        <w:t>, no se desprende una propuesta concreta sobre las tarifas que deberán pagar por el servicio mayorista de arrendamiento de enlaces dedicados.</w:t>
      </w:r>
      <w:r w:rsidR="00913A5E" w:rsidRPr="00FD7BCF">
        <w:rPr>
          <w:rFonts w:ascii="ITC Avant Garde" w:hAnsi="ITC Avant Garde" w:cs="Arial"/>
          <w:lang w:val="es-ES"/>
        </w:rPr>
        <w:t xml:space="preserve"> </w:t>
      </w:r>
      <w:r w:rsidR="003C5C93" w:rsidRPr="00FD7BCF">
        <w:rPr>
          <w:rFonts w:ascii="ITC Avant Garde" w:hAnsi="ITC Avant Garde" w:cs="Arial"/>
          <w:lang w:val="es-ES"/>
        </w:rPr>
        <w:t>Por</w:t>
      </w:r>
      <w:r w:rsidR="00D252A2" w:rsidRPr="00FD7BCF">
        <w:rPr>
          <w:rFonts w:ascii="ITC Avant Garde" w:hAnsi="ITC Avant Garde" w:cs="Arial"/>
          <w:lang w:val="es-ES"/>
        </w:rPr>
        <w:t xml:space="preserve"> lo cual </w:t>
      </w:r>
      <w:r w:rsidR="00913A5E" w:rsidRPr="00FD7BCF">
        <w:rPr>
          <w:rFonts w:ascii="ITC Avant Garde" w:hAnsi="ITC Avant Garde" w:cs="Arial"/>
          <w:lang w:val="es-ES"/>
        </w:rPr>
        <w:t xml:space="preserve">no se </w:t>
      </w:r>
      <w:r w:rsidR="003525DE" w:rsidRPr="00FD7BCF">
        <w:rPr>
          <w:rFonts w:ascii="ITC Avant Garde" w:hAnsi="ITC Avant Garde" w:cs="Arial"/>
          <w:lang w:val="es-ES"/>
        </w:rPr>
        <w:t>desglosan</w:t>
      </w:r>
      <w:r w:rsidR="00913A5E" w:rsidRPr="00FD7BCF">
        <w:rPr>
          <w:rFonts w:ascii="ITC Avant Garde" w:hAnsi="ITC Avant Garde" w:cs="Arial"/>
          <w:lang w:val="es-ES"/>
        </w:rPr>
        <w:t xml:space="preserve"> las razones</w:t>
      </w:r>
      <w:r w:rsidR="00D252A2" w:rsidRPr="00FD7BCF">
        <w:rPr>
          <w:rFonts w:ascii="ITC Avant Garde" w:hAnsi="ITC Avant Garde" w:cs="Arial"/>
          <w:lang w:val="es-ES"/>
        </w:rPr>
        <w:t xml:space="preserve"> claras</w:t>
      </w:r>
      <w:r w:rsidR="00913A5E" w:rsidRPr="00FD7BCF">
        <w:rPr>
          <w:rFonts w:ascii="ITC Avant Garde" w:hAnsi="ITC Avant Garde" w:cs="Arial"/>
          <w:lang w:val="es-ES"/>
        </w:rPr>
        <w:t xml:space="preserve"> por las cuales</w:t>
      </w:r>
      <w:r w:rsidR="003525DE" w:rsidRPr="00FD7BCF">
        <w:rPr>
          <w:rFonts w:ascii="ITC Avant Garde" w:hAnsi="ITC Avant Garde" w:cs="Arial"/>
          <w:lang w:val="es-ES"/>
        </w:rPr>
        <w:t xml:space="preserve"> </w:t>
      </w:r>
      <w:r w:rsidR="00D252A2" w:rsidRPr="00FD7BCF">
        <w:rPr>
          <w:rFonts w:ascii="ITC Avant Garde" w:hAnsi="ITC Avant Garde" w:cs="Arial"/>
          <w:lang w:val="es-ES"/>
        </w:rPr>
        <w:t>pueda existir un verdadero desacuerdo respecto de las tarifas propuestas</w:t>
      </w:r>
      <w:r w:rsidR="003C5C93" w:rsidRPr="00FD7BCF">
        <w:rPr>
          <w:rFonts w:ascii="ITC Avant Garde" w:hAnsi="ITC Avant Garde" w:cs="Arial"/>
          <w:lang w:val="es-ES"/>
        </w:rPr>
        <w:t>, si</w:t>
      </w:r>
      <w:r w:rsidR="00D252A2" w:rsidRPr="00FD7BCF">
        <w:rPr>
          <w:rFonts w:ascii="ITC Avant Garde" w:hAnsi="ITC Avant Garde" w:cs="Arial"/>
          <w:lang w:val="es-ES"/>
        </w:rPr>
        <w:t xml:space="preserve"> las mencionadas no sustentan el </w:t>
      </w:r>
      <w:r w:rsidR="003C5C93" w:rsidRPr="00FD7BCF">
        <w:rPr>
          <w:rFonts w:ascii="ITC Avant Garde" w:hAnsi="ITC Avant Garde" w:cs="Arial"/>
          <w:lang w:val="es-ES"/>
        </w:rPr>
        <w:t>por qué</w:t>
      </w:r>
      <w:r w:rsidR="00D252A2" w:rsidRPr="00FD7BCF">
        <w:rPr>
          <w:rFonts w:ascii="ITC Avant Garde" w:hAnsi="ITC Avant Garde" w:cs="Arial"/>
          <w:lang w:val="es-ES"/>
        </w:rPr>
        <w:t xml:space="preserve"> </w:t>
      </w:r>
      <w:r w:rsidR="003525DE" w:rsidRPr="00FD7BCF">
        <w:rPr>
          <w:rFonts w:ascii="ITC Avant Garde" w:hAnsi="ITC Avant Garde" w:cs="Arial"/>
          <w:lang w:val="es-ES"/>
        </w:rPr>
        <w:t>no son procedentes o aceptadas,</w:t>
      </w:r>
      <w:r w:rsidR="00913A5E" w:rsidRPr="00FD7BCF">
        <w:rPr>
          <w:rFonts w:ascii="ITC Avant Garde" w:hAnsi="ITC Avant Garde" w:cs="Arial"/>
          <w:lang w:val="es-ES"/>
        </w:rPr>
        <w:t xml:space="preserve"> y</w:t>
      </w:r>
      <w:r w:rsidR="00AA1FE7" w:rsidRPr="00FD7BCF">
        <w:rPr>
          <w:rFonts w:ascii="ITC Avant Garde" w:hAnsi="ITC Avant Garde" w:cs="Arial"/>
          <w:lang w:val="es-ES"/>
        </w:rPr>
        <w:t xml:space="preserve"> </w:t>
      </w:r>
      <w:r w:rsidR="00913A5E" w:rsidRPr="00FD7BCF">
        <w:rPr>
          <w:rFonts w:ascii="ITC Avant Garde" w:hAnsi="ITC Avant Garde" w:cs="Arial"/>
          <w:lang w:val="es-ES"/>
        </w:rPr>
        <w:t xml:space="preserve">que </w:t>
      </w:r>
      <w:r w:rsidR="00AA1FE7" w:rsidRPr="00FD7BCF">
        <w:rPr>
          <w:rFonts w:ascii="ITC Avant Garde" w:hAnsi="ITC Avant Garde" w:cs="Arial"/>
          <w:lang w:val="es-ES"/>
        </w:rPr>
        <w:t xml:space="preserve">incluso se han acordado con otros concesionarios.  En este sentido, resulta falso que Telmex y </w:t>
      </w:r>
      <w:proofErr w:type="spellStart"/>
      <w:r w:rsidR="00AA1FE7" w:rsidRPr="00FD7BCF">
        <w:rPr>
          <w:rFonts w:ascii="ITC Avant Garde" w:hAnsi="ITC Avant Garde" w:cs="Arial"/>
          <w:lang w:val="es-ES"/>
        </w:rPr>
        <w:t>Telnor</w:t>
      </w:r>
      <w:proofErr w:type="spellEnd"/>
      <w:r w:rsidR="00AA1FE7" w:rsidRPr="00FD7BCF">
        <w:rPr>
          <w:rFonts w:ascii="ITC Avant Garde" w:hAnsi="ITC Avant Garde" w:cs="Arial"/>
          <w:lang w:val="es-ES"/>
        </w:rPr>
        <w:t xml:space="preserve"> no están dispuestas a celebra</w:t>
      </w:r>
      <w:r w:rsidR="009F320E" w:rsidRPr="00FD7BCF">
        <w:rPr>
          <w:rFonts w:ascii="ITC Avant Garde" w:hAnsi="ITC Avant Garde" w:cs="Arial"/>
          <w:lang w:val="es-ES"/>
        </w:rPr>
        <w:t>r el acuerdo al que aluden las O</w:t>
      </w:r>
      <w:r w:rsidR="00AA1FE7" w:rsidRPr="00FD7BCF">
        <w:rPr>
          <w:rFonts w:ascii="ITC Avant Garde" w:hAnsi="ITC Avant Garde" w:cs="Arial"/>
          <w:lang w:val="es-ES"/>
        </w:rPr>
        <w:t xml:space="preserve">fertas de </w:t>
      </w:r>
      <w:r w:rsidR="009F320E" w:rsidRPr="00FD7BCF">
        <w:rPr>
          <w:rFonts w:ascii="ITC Avant Garde" w:hAnsi="ITC Avant Garde" w:cs="Arial"/>
          <w:lang w:val="es-ES"/>
        </w:rPr>
        <w:t>R</w:t>
      </w:r>
      <w:r w:rsidR="00AA1FE7" w:rsidRPr="00FD7BCF">
        <w:rPr>
          <w:rFonts w:ascii="ITC Avant Garde" w:hAnsi="ITC Avant Garde" w:cs="Arial"/>
          <w:lang w:val="es-ES"/>
        </w:rPr>
        <w:t>eferencia.</w:t>
      </w:r>
      <w:r w:rsidR="00D252A2" w:rsidRPr="00FD7BCF">
        <w:rPr>
          <w:rFonts w:ascii="ITC Avant Garde" w:hAnsi="ITC Avant Garde" w:cs="Arial"/>
          <w:lang w:val="es-ES"/>
        </w:rPr>
        <w:t xml:space="preserve"> </w:t>
      </w:r>
    </w:p>
    <w:p w14:paraId="2AA376AF" w14:textId="77777777" w:rsidR="00B42019" w:rsidRDefault="00001C1C"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Por otra parte, </w:t>
      </w:r>
      <w:r w:rsidR="002A4556" w:rsidRPr="00FD7BCF">
        <w:rPr>
          <w:rFonts w:ascii="ITC Avant Garde" w:hAnsi="ITC Avant Garde" w:cs="Arial"/>
          <w:lang w:val="es-ES"/>
        </w:rPr>
        <w:t xml:space="preserve">Grupo Televisa y México </w:t>
      </w:r>
      <w:r w:rsidR="003C5C93" w:rsidRPr="00FD7BCF">
        <w:rPr>
          <w:rFonts w:ascii="ITC Avant Garde" w:hAnsi="ITC Avant Garde" w:cs="Arial"/>
          <w:lang w:val="es-ES"/>
        </w:rPr>
        <w:t>Red en</w:t>
      </w:r>
      <w:r w:rsidRPr="00FD7BCF">
        <w:rPr>
          <w:rFonts w:ascii="ITC Avant Garde" w:hAnsi="ITC Avant Garde" w:cs="Arial"/>
          <w:lang w:val="es-ES"/>
        </w:rPr>
        <w:t xml:space="preserve"> sus alegatos refiere</w:t>
      </w:r>
      <w:r w:rsidR="002A4556" w:rsidRPr="00FD7BCF">
        <w:rPr>
          <w:rFonts w:ascii="ITC Avant Garde" w:hAnsi="ITC Avant Garde" w:cs="Arial"/>
          <w:lang w:val="es-ES"/>
        </w:rPr>
        <w:t>n</w:t>
      </w:r>
      <w:r w:rsidRPr="00FD7BCF">
        <w:rPr>
          <w:rFonts w:ascii="ITC Avant Garde" w:hAnsi="ITC Avant Garde" w:cs="Arial"/>
          <w:lang w:val="es-ES"/>
        </w:rPr>
        <w:t xml:space="preserve"> que el procedimiento de desacuerdo de enlaces dedicados tiene su fundamento en las</w:t>
      </w:r>
      <w:r w:rsidR="003525DE" w:rsidRPr="00FD7BCF">
        <w:rPr>
          <w:rFonts w:ascii="ITC Avant Garde" w:hAnsi="ITC Avant Garde" w:cs="Arial"/>
          <w:lang w:val="es-ES"/>
        </w:rPr>
        <w:t xml:space="preserve"> </w:t>
      </w:r>
      <w:r w:rsidR="002A4556" w:rsidRPr="00FD7BCF">
        <w:rPr>
          <w:rFonts w:ascii="ITC Avant Garde" w:hAnsi="ITC Avant Garde" w:cs="Arial"/>
          <w:lang w:val="es-ES"/>
        </w:rPr>
        <w:t xml:space="preserve">obligaciones impuestas a los AEP para que </w:t>
      </w:r>
      <w:r w:rsidR="003C5C93" w:rsidRPr="00FD7BCF">
        <w:rPr>
          <w:rFonts w:ascii="ITC Avant Garde" w:hAnsi="ITC Avant Garde" w:cs="Arial"/>
          <w:lang w:val="es-ES"/>
        </w:rPr>
        <w:t>presten</w:t>
      </w:r>
      <w:r w:rsidR="002A4556" w:rsidRPr="00FD7BCF">
        <w:rPr>
          <w:rFonts w:ascii="ITC Avant Garde" w:hAnsi="ITC Avant Garde" w:cs="Arial"/>
          <w:lang w:val="es-ES"/>
        </w:rPr>
        <w:t xml:space="preserve"> este servicio </w:t>
      </w:r>
      <w:r w:rsidR="003C5C93" w:rsidRPr="00FD7BCF">
        <w:rPr>
          <w:rFonts w:ascii="ITC Avant Garde" w:hAnsi="ITC Avant Garde" w:cs="Arial"/>
          <w:lang w:val="es-ES"/>
        </w:rPr>
        <w:t>en condiciones competitivas para</w:t>
      </w:r>
      <w:r w:rsidR="002A4556" w:rsidRPr="00FD7BCF">
        <w:rPr>
          <w:rFonts w:ascii="ITC Avant Garde" w:hAnsi="ITC Avant Garde" w:cs="Arial"/>
          <w:lang w:val="es-ES"/>
        </w:rPr>
        <w:t xml:space="preserve"> evitar que se afecte la competencia y libre concurrencia. </w:t>
      </w:r>
    </w:p>
    <w:p w14:paraId="7351F252" w14:textId="77777777" w:rsidR="00B42019" w:rsidRDefault="005F6562" w:rsidP="00B42019">
      <w:pPr>
        <w:spacing w:before="240" w:line="276" w:lineRule="auto"/>
        <w:jc w:val="both"/>
        <w:rPr>
          <w:rFonts w:ascii="ITC Avant Garde" w:eastAsia="Times New Roman" w:hAnsi="ITC Avant Garde"/>
          <w:b/>
          <w:szCs w:val="24"/>
          <w:lang w:eastAsia="es-ES"/>
        </w:rPr>
      </w:pPr>
      <w:r w:rsidRPr="00FD7BCF">
        <w:rPr>
          <w:rFonts w:ascii="ITC Avant Garde" w:eastAsia="Times New Roman" w:hAnsi="ITC Avant Garde"/>
          <w:b/>
          <w:szCs w:val="24"/>
          <w:lang w:eastAsia="es-ES"/>
        </w:rPr>
        <w:t>Consideraciones del Instituto</w:t>
      </w:r>
    </w:p>
    <w:p w14:paraId="4C1FB5B2" w14:textId="77777777" w:rsidR="00B42019" w:rsidRDefault="00131706"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Al respecto, este Instituto considera que las manifestaciones de 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xml:space="preserve"> resultan </w:t>
      </w:r>
      <w:r w:rsidR="003C5C93" w:rsidRPr="00FD7BCF">
        <w:rPr>
          <w:rFonts w:ascii="ITC Avant Garde" w:hAnsi="ITC Avant Garde" w:cs="Arial"/>
          <w:lang w:val="es-ES"/>
        </w:rPr>
        <w:t>infundadas</w:t>
      </w:r>
      <w:r w:rsidRPr="00FD7BCF">
        <w:rPr>
          <w:rFonts w:ascii="ITC Avant Garde" w:hAnsi="ITC Avant Garde" w:cs="Arial"/>
          <w:lang w:val="es-ES"/>
        </w:rPr>
        <w:t xml:space="preserve">, toda vez que </w:t>
      </w:r>
      <w:r w:rsidR="003525DE" w:rsidRPr="00FD7BCF">
        <w:rPr>
          <w:rFonts w:ascii="ITC Avant Garde" w:hAnsi="ITC Avant Garde" w:cs="Arial"/>
          <w:lang w:val="es-ES"/>
        </w:rPr>
        <w:t xml:space="preserve">en autos se encuentran los escritos de inicio de negociación mismos que se ofrecieron y exhibieron como pruebas, y que el Instituto les dio pleno valor probatorio, de los </w:t>
      </w:r>
      <w:r w:rsidR="003C5C93" w:rsidRPr="00FD7BCF">
        <w:rPr>
          <w:rFonts w:ascii="ITC Avant Garde" w:hAnsi="ITC Avant Garde" w:cs="Arial"/>
          <w:lang w:val="es-ES"/>
        </w:rPr>
        <w:t>cuales</w:t>
      </w:r>
      <w:r w:rsidR="003525DE" w:rsidRPr="00FD7BCF">
        <w:rPr>
          <w:rFonts w:ascii="ITC Avant Garde" w:hAnsi="ITC Avant Garde" w:cs="Arial"/>
          <w:lang w:val="es-ES"/>
        </w:rPr>
        <w:t xml:space="preserve"> se </w:t>
      </w:r>
      <w:r w:rsidR="00E20738" w:rsidRPr="00FD7BCF">
        <w:rPr>
          <w:rFonts w:ascii="ITC Avant Garde" w:hAnsi="ITC Avant Garde" w:cs="Arial"/>
          <w:lang w:val="es-ES"/>
        </w:rPr>
        <w:t xml:space="preserve">desprende que </w:t>
      </w:r>
      <w:r w:rsidRPr="00FD7BCF">
        <w:rPr>
          <w:rFonts w:ascii="ITC Avant Garde" w:hAnsi="ITC Avant Garde" w:cs="Arial"/>
          <w:lang w:val="es-ES"/>
        </w:rPr>
        <w:t xml:space="preserve">claramente </w:t>
      </w:r>
      <w:r w:rsidR="002A4556" w:rsidRPr="00FD7BCF">
        <w:rPr>
          <w:rFonts w:ascii="ITC Avant Garde" w:hAnsi="ITC Avant Garde" w:cs="Arial"/>
          <w:lang w:val="es-ES"/>
        </w:rPr>
        <w:t xml:space="preserve">se </w:t>
      </w:r>
      <w:r w:rsidR="003C5C93" w:rsidRPr="00FD7BCF">
        <w:rPr>
          <w:rFonts w:ascii="ITC Avant Garde" w:hAnsi="ITC Avant Garde" w:cs="Arial"/>
          <w:lang w:val="es-ES"/>
        </w:rPr>
        <w:t>señaló</w:t>
      </w:r>
      <w:r w:rsidRPr="00FD7BCF">
        <w:rPr>
          <w:rFonts w:ascii="ITC Avant Garde" w:hAnsi="ITC Avant Garde" w:cs="Arial"/>
          <w:lang w:val="es-ES"/>
        </w:rPr>
        <w:t xml:space="preserve"> la caus</w:t>
      </w:r>
      <w:r w:rsidR="00237BE3" w:rsidRPr="00FD7BCF">
        <w:rPr>
          <w:rFonts w:ascii="ITC Avant Garde" w:hAnsi="ITC Avant Garde" w:cs="Arial"/>
          <w:lang w:val="es-ES"/>
        </w:rPr>
        <w:t xml:space="preserve">a de pedir, la cual se hizo consistir en </w:t>
      </w:r>
      <w:r w:rsidR="003525DE" w:rsidRPr="00FD7BCF">
        <w:rPr>
          <w:rFonts w:ascii="ITC Avant Garde" w:hAnsi="ITC Avant Garde" w:cs="Arial"/>
          <w:lang w:val="es-ES"/>
        </w:rPr>
        <w:t xml:space="preserve">que la materia del </w:t>
      </w:r>
      <w:r w:rsidR="003C5C93" w:rsidRPr="00FD7BCF">
        <w:rPr>
          <w:rFonts w:ascii="ITC Avant Garde" w:hAnsi="ITC Avant Garde" w:cs="Arial"/>
          <w:lang w:val="es-ES"/>
        </w:rPr>
        <w:t>inicio</w:t>
      </w:r>
      <w:r w:rsidR="003525DE" w:rsidRPr="00FD7BCF">
        <w:rPr>
          <w:rFonts w:ascii="ITC Avant Garde" w:hAnsi="ITC Avant Garde" w:cs="Arial"/>
          <w:lang w:val="es-ES"/>
        </w:rPr>
        <w:t xml:space="preserve"> de negociaciones serían </w:t>
      </w:r>
      <w:r w:rsidR="00EA2640" w:rsidRPr="00FD7BCF">
        <w:rPr>
          <w:rFonts w:ascii="ITC Avant Garde" w:hAnsi="ITC Avant Garde" w:cs="Arial"/>
          <w:lang w:val="es-ES"/>
        </w:rPr>
        <w:t>las tarifas</w:t>
      </w:r>
      <w:r w:rsidR="00237BE3" w:rsidRPr="00FD7BCF">
        <w:rPr>
          <w:rFonts w:ascii="ITC Avant Garde" w:hAnsi="ITC Avant Garde" w:cs="Arial"/>
          <w:lang w:val="es-ES"/>
        </w:rPr>
        <w:t xml:space="preserve"> aplicables a la prestación de los Servicios Mayoristas de Arrendamiento de Enlaces Dedicados, </w:t>
      </w:r>
      <w:r w:rsidR="00351336" w:rsidRPr="00FD7BCF">
        <w:rPr>
          <w:rFonts w:ascii="ITC Avant Garde" w:hAnsi="ITC Avant Garde" w:cs="Arial"/>
          <w:lang w:val="es-ES"/>
        </w:rPr>
        <w:t xml:space="preserve">y que a la fecha del inicio del procedimiento no existían tarifas pactadas entre las partes, </w:t>
      </w:r>
      <w:r w:rsidR="00237BE3" w:rsidRPr="00FD7BCF">
        <w:rPr>
          <w:rFonts w:ascii="ITC Avant Garde" w:hAnsi="ITC Avant Garde" w:cs="Arial"/>
          <w:lang w:val="es-ES"/>
        </w:rPr>
        <w:t xml:space="preserve">por lo que </w:t>
      </w:r>
      <w:r w:rsidR="00F62FA2" w:rsidRPr="00FD7BCF">
        <w:rPr>
          <w:rFonts w:ascii="ITC Avant Garde" w:hAnsi="ITC Avant Garde" w:cs="Arial"/>
          <w:lang w:val="es-ES"/>
        </w:rPr>
        <w:t xml:space="preserve">al advertir de manera plena lo realmente planteado, el Instituto se encuentra constreñido a resolver </w:t>
      </w:r>
      <w:r w:rsidR="00E20738" w:rsidRPr="00FD7BCF">
        <w:rPr>
          <w:rFonts w:ascii="ITC Avant Garde" w:hAnsi="ITC Avant Garde" w:cs="Arial"/>
          <w:lang w:val="es-ES"/>
        </w:rPr>
        <w:t xml:space="preserve">dicha </w:t>
      </w:r>
      <w:r w:rsidR="00F62FA2" w:rsidRPr="00FD7BCF">
        <w:rPr>
          <w:rFonts w:ascii="ITC Avant Garde" w:hAnsi="ITC Avant Garde" w:cs="Arial"/>
          <w:lang w:val="es-ES"/>
        </w:rPr>
        <w:t>cuesti</w:t>
      </w:r>
      <w:r w:rsidR="00E20738" w:rsidRPr="00FD7BCF">
        <w:rPr>
          <w:rFonts w:ascii="ITC Avant Garde" w:hAnsi="ITC Avant Garde" w:cs="Arial"/>
          <w:lang w:val="es-ES"/>
        </w:rPr>
        <w:t>ón</w:t>
      </w:r>
      <w:r w:rsidR="00F62FA2" w:rsidRPr="00FD7BCF">
        <w:rPr>
          <w:rFonts w:ascii="ITC Avant Garde" w:hAnsi="ITC Avant Garde" w:cs="Arial"/>
          <w:lang w:val="es-ES"/>
        </w:rPr>
        <w:t xml:space="preserve">, </w:t>
      </w:r>
      <w:r w:rsidR="00237BE3" w:rsidRPr="00FD7BCF">
        <w:rPr>
          <w:rFonts w:ascii="ITC Avant Garde" w:hAnsi="ITC Avant Garde" w:cs="Arial"/>
          <w:lang w:val="es-ES"/>
        </w:rPr>
        <w:t xml:space="preserve">de conformidad con la </w:t>
      </w:r>
      <w:r w:rsidR="00EA2640" w:rsidRPr="00FD7BCF">
        <w:rPr>
          <w:rFonts w:ascii="ITC Avant Garde" w:hAnsi="ITC Avant Garde" w:cs="Arial"/>
          <w:lang w:val="es-ES"/>
        </w:rPr>
        <w:t>Medida</w:t>
      </w:r>
      <w:r w:rsidR="00237BE3" w:rsidRPr="00FD7BCF">
        <w:rPr>
          <w:rFonts w:ascii="ITC Avant Garde" w:hAnsi="ITC Avant Garde" w:cs="Arial"/>
          <w:lang w:val="es-ES"/>
        </w:rPr>
        <w:t xml:space="preserve"> Trigésim</w:t>
      </w:r>
      <w:r w:rsidR="00EA2640" w:rsidRPr="00FD7BCF">
        <w:rPr>
          <w:rFonts w:ascii="ITC Avant Garde" w:hAnsi="ITC Avant Garde" w:cs="Arial"/>
          <w:lang w:val="es-ES"/>
        </w:rPr>
        <w:t>a</w:t>
      </w:r>
      <w:r w:rsidR="00237BE3" w:rsidRPr="00FD7BCF">
        <w:rPr>
          <w:rFonts w:ascii="ITC Avant Garde" w:hAnsi="ITC Avant Garde" w:cs="Arial"/>
          <w:lang w:val="es-ES"/>
        </w:rPr>
        <w:t xml:space="preserve"> Séptima </w:t>
      </w:r>
      <w:r w:rsidR="00A772A6" w:rsidRPr="00FD7BCF">
        <w:rPr>
          <w:rFonts w:ascii="ITC Avant Garde" w:hAnsi="ITC Avant Garde" w:cs="Arial"/>
          <w:lang w:val="es-ES"/>
        </w:rPr>
        <w:t xml:space="preserve">de las Medidas Fijas </w:t>
      </w:r>
      <w:r w:rsidR="00237BE3" w:rsidRPr="00FD7BCF">
        <w:rPr>
          <w:rFonts w:ascii="ITC Avant Garde" w:hAnsi="ITC Avant Garde" w:cs="Arial"/>
          <w:lang w:val="es-ES"/>
        </w:rPr>
        <w:t>al haber transcurrido los</w:t>
      </w:r>
      <w:r w:rsidR="00F161F1" w:rsidRPr="00FD7BCF">
        <w:rPr>
          <w:rFonts w:ascii="ITC Avant Garde" w:hAnsi="ITC Avant Garde" w:cs="Arial"/>
          <w:lang w:val="es-ES"/>
        </w:rPr>
        <w:t xml:space="preserve"> sesenta (</w:t>
      </w:r>
      <w:r w:rsidR="00237BE3" w:rsidRPr="00FD7BCF">
        <w:rPr>
          <w:rFonts w:ascii="ITC Avant Garde" w:hAnsi="ITC Avant Garde" w:cs="Arial"/>
          <w:lang w:val="es-ES"/>
        </w:rPr>
        <w:t>60</w:t>
      </w:r>
      <w:r w:rsidR="00F161F1" w:rsidRPr="00FD7BCF">
        <w:rPr>
          <w:rFonts w:ascii="ITC Avant Garde" w:hAnsi="ITC Avant Garde" w:cs="Arial"/>
          <w:lang w:val="es-ES"/>
        </w:rPr>
        <w:t>)</w:t>
      </w:r>
      <w:r w:rsidR="00237BE3" w:rsidRPr="00FD7BCF">
        <w:rPr>
          <w:rFonts w:ascii="ITC Avant Garde" w:hAnsi="ITC Avant Garde" w:cs="Arial"/>
          <w:lang w:val="es-ES"/>
        </w:rPr>
        <w:t xml:space="preserve"> días a par</w:t>
      </w:r>
      <w:r w:rsidR="00F62FA2" w:rsidRPr="00FD7BCF">
        <w:rPr>
          <w:rFonts w:ascii="ITC Avant Garde" w:hAnsi="ITC Avant Garde" w:cs="Arial"/>
          <w:lang w:val="es-ES"/>
        </w:rPr>
        <w:t xml:space="preserve">tir del </w:t>
      </w:r>
      <w:r w:rsidR="00E20738" w:rsidRPr="00FD7BCF">
        <w:rPr>
          <w:rFonts w:ascii="ITC Avant Garde" w:hAnsi="ITC Avant Garde" w:cs="Arial"/>
          <w:lang w:val="es-ES"/>
        </w:rPr>
        <w:t>inicio</w:t>
      </w:r>
      <w:r w:rsidR="00F62FA2" w:rsidRPr="00FD7BCF">
        <w:rPr>
          <w:rFonts w:ascii="ITC Avant Garde" w:hAnsi="ITC Avant Garde" w:cs="Arial"/>
          <w:lang w:val="es-ES"/>
        </w:rPr>
        <w:t xml:space="preserve"> de negociaciones.</w:t>
      </w:r>
    </w:p>
    <w:p w14:paraId="0D286596" w14:textId="77777777" w:rsidR="00B42019" w:rsidRDefault="00F62FA2" w:rsidP="00B42019">
      <w:pPr>
        <w:spacing w:before="240" w:line="276" w:lineRule="auto"/>
        <w:jc w:val="both"/>
        <w:rPr>
          <w:rFonts w:ascii="ITC Avant Garde" w:hAnsi="ITC Avant Garde" w:cs="Arial"/>
          <w:lang w:val="es-ES"/>
        </w:rPr>
      </w:pPr>
      <w:r w:rsidRPr="00FD7BCF">
        <w:rPr>
          <w:rFonts w:ascii="ITC Avant Garde" w:hAnsi="ITC Avant Garde" w:cs="Arial"/>
          <w:lang w:val="es-ES"/>
        </w:rPr>
        <w:t>Por</w:t>
      </w:r>
      <w:r w:rsidR="00F2626A" w:rsidRPr="00FD7BCF">
        <w:rPr>
          <w:rFonts w:ascii="ITC Avant Garde" w:hAnsi="ITC Avant Garde" w:cs="Arial"/>
          <w:lang w:val="es-ES"/>
        </w:rPr>
        <w:t xml:space="preserve"> otra parte, </w:t>
      </w:r>
      <w:r w:rsidRPr="00FD7BCF">
        <w:rPr>
          <w:rFonts w:ascii="ITC Avant Garde" w:hAnsi="ITC Avant Garde" w:cs="Arial"/>
          <w:lang w:val="es-ES"/>
        </w:rPr>
        <w:t>suponiendo sin conceder qu</w:t>
      </w:r>
      <w:r w:rsidR="00FB3EE7" w:rsidRPr="00FD7BCF">
        <w:rPr>
          <w:rFonts w:ascii="ITC Avant Garde" w:hAnsi="ITC Avant Garde" w:cs="Arial"/>
          <w:lang w:val="es-ES"/>
        </w:rPr>
        <w:t>e</w:t>
      </w:r>
      <w:r w:rsidR="003525DE" w:rsidRPr="00FD7BCF">
        <w:rPr>
          <w:rFonts w:ascii="ITC Avant Garde" w:hAnsi="ITC Avant Garde" w:cs="Arial"/>
          <w:lang w:val="es-ES"/>
        </w:rPr>
        <w:t xml:space="preserve"> </w:t>
      </w:r>
      <w:r w:rsidR="007E6948" w:rsidRPr="00FD7BCF">
        <w:rPr>
          <w:rFonts w:ascii="ITC Avant Garde" w:hAnsi="ITC Avant Garde" w:cs="Arial"/>
          <w:lang w:val="es-ES"/>
        </w:rPr>
        <w:t>las solicitantes</w:t>
      </w:r>
      <w:r w:rsidR="003525DE" w:rsidRPr="00FD7BCF">
        <w:rPr>
          <w:rFonts w:ascii="ITC Avant Garde" w:hAnsi="ITC Avant Garde" w:cs="Arial"/>
          <w:lang w:val="es-ES"/>
        </w:rPr>
        <w:t xml:space="preserve"> </w:t>
      </w:r>
      <w:r w:rsidR="00FB3EE7" w:rsidRPr="00FD7BCF">
        <w:rPr>
          <w:rFonts w:ascii="ITC Avant Garde" w:hAnsi="ITC Avant Garde" w:cs="Arial"/>
          <w:lang w:val="es-ES"/>
        </w:rPr>
        <w:t xml:space="preserve">no </w:t>
      </w:r>
      <w:r w:rsidR="007E6948" w:rsidRPr="00FD7BCF">
        <w:rPr>
          <w:rFonts w:ascii="ITC Avant Garde" w:hAnsi="ITC Avant Garde" w:cs="Arial"/>
          <w:lang w:val="es-ES"/>
        </w:rPr>
        <w:t>mani</w:t>
      </w:r>
      <w:r w:rsidR="003525DE" w:rsidRPr="00FD7BCF">
        <w:rPr>
          <w:rFonts w:ascii="ITC Avant Garde" w:hAnsi="ITC Avant Garde" w:cs="Arial"/>
          <w:lang w:val="es-ES"/>
        </w:rPr>
        <w:t>festaran de manera concreta</w:t>
      </w:r>
      <w:r w:rsidR="00D661A8" w:rsidRPr="00FD7BCF">
        <w:rPr>
          <w:rFonts w:ascii="ITC Avant Garde" w:hAnsi="ITC Avant Garde" w:cs="Arial"/>
          <w:lang w:val="es-ES"/>
        </w:rPr>
        <w:t xml:space="preserve"> las</w:t>
      </w:r>
      <w:r w:rsidR="007E6948" w:rsidRPr="00FD7BCF">
        <w:rPr>
          <w:rFonts w:ascii="ITC Avant Garde" w:hAnsi="ITC Avant Garde" w:cs="Arial"/>
          <w:lang w:val="es-ES"/>
        </w:rPr>
        <w:t xml:space="preserve"> tarifas pertinentes por pagar</w:t>
      </w:r>
      <w:r w:rsidR="00102E2C" w:rsidRPr="00FD7BCF">
        <w:rPr>
          <w:rFonts w:ascii="ITC Avant Garde" w:hAnsi="ITC Avant Garde" w:cs="Arial"/>
          <w:lang w:val="es-ES"/>
        </w:rPr>
        <w:t xml:space="preserve">, en nada cambiaría </w:t>
      </w:r>
      <w:r w:rsidR="00922F06" w:rsidRPr="00FD7BCF">
        <w:rPr>
          <w:rFonts w:ascii="ITC Avant Garde" w:hAnsi="ITC Avant Garde" w:cs="Arial"/>
          <w:lang w:val="es-ES"/>
        </w:rPr>
        <w:t xml:space="preserve">la obligación </w:t>
      </w:r>
      <w:r w:rsidR="00A772A6" w:rsidRPr="00FD7BCF">
        <w:rPr>
          <w:rFonts w:ascii="ITC Avant Garde" w:hAnsi="ITC Avant Garde" w:cs="Arial"/>
          <w:lang w:val="es-ES"/>
        </w:rPr>
        <w:t xml:space="preserve">que este Instituto </w:t>
      </w:r>
      <w:r w:rsidR="00922F06" w:rsidRPr="00FD7BCF">
        <w:rPr>
          <w:rFonts w:ascii="ITC Avant Garde" w:hAnsi="ITC Avant Garde" w:cs="Arial"/>
          <w:lang w:val="es-ES"/>
        </w:rPr>
        <w:t xml:space="preserve">tiene de </w:t>
      </w:r>
      <w:r w:rsidR="00A772A6" w:rsidRPr="00FD7BCF">
        <w:rPr>
          <w:rFonts w:ascii="ITC Avant Garde" w:hAnsi="ITC Avant Garde" w:cs="Arial"/>
          <w:lang w:val="es-ES"/>
        </w:rPr>
        <w:t>pronunciar</w:t>
      </w:r>
      <w:r w:rsidR="00922F06" w:rsidRPr="00FD7BCF">
        <w:rPr>
          <w:rFonts w:ascii="ITC Avant Garde" w:hAnsi="ITC Avant Garde" w:cs="Arial"/>
          <w:lang w:val="es-ES"/>
        </w:rPr>
        <w:t>se</w:t>
      </w:r>
      <w:r w:rsidR="00A772A6" w:rsidRPr="00FD7BCF">
        <w:rPr>
          <w:rFonts w:ascii="ITC Avant Garde" w:hAnsi="ITC Avant Garde" w:cs="Arial"/>
          <w:lang w:val="es-ES"/>
        </w:rPr>
        <w:t xml:space="preserve"> </w:t>
      </w:r>
      <w:r w:rsidR="00922F06" w:rsidRPr="00FD7BCF">
        <w:rPr>
          <w:rFonts w:ascii="ITC Avant Garde" w:hAnsi="ITC Avant Garde" w:cs="Arial"/>
          <w:lang w:val="es-ES"/>
        </w:rPr>
        <w:t xml:space="preserve">al </w:t>
      </w:r>
      <w:r w:rsidR="00A772A6" w:rsidRPr="00FD7BCF">
        <w:rPr>
          <w:rFonts w:ascii="ITC Avant Garde" w:hAnsi="ITC Avant Garde" w:cs="Arial"/>
          <w:lang w:val="es-ES"/>
        </w:rPr>
        <w:t>respecto</w:t>
      </w:r>
      <w:r w:rsidR="00922F06" w:rsidRPr="00FD7BCF">
        <w:rPr>
          <w:rFonts w:ascii="ITC Avant Garde" w:hAnsi="ITC Avant Garde" w:cs="Arial"/>
          <w:lang w:val="es-ES"/>
        </w:rPr>
        <w:t xml:space="preserve">, y </w:t>
      </w:r>
      <w:r w:rsidR="00907990" w:rsidRPr="00FD7BCF">
        <w:rPr>
          <w:rFonts w:ascii="ITC Avant Garde" w:hAnsi="ITC Avant Garde" w:cs="Arial"/>
          <w:lang w:val="es-ES"/>
        </w:rPr>
        <w:t>emitir la presente R</w:t>
      </w:r>
      <w:r w:rsidR="00A772A6" w:rsidRPr="00FD7BCF">
        <w:rPr>
          <w:rFonts w:ascii="ITC Avant Garde" w:hAnsi="ITC Avant Garde" w:cs="Arial"/>
          <w:lang w:val="es-ES"/>
        </w:rPr>
        <w:t xml:space="preserve">esolución, en virtud de que </w:t>
      </w:r>
      <w:r w:rsidR="002A4556" w:rsidRPr="00FD7BCF">
        <w:rPr>
          <w:rFonts w:ascii="ITC Avant Garde" w:hAnsi="ITC Avant Garde" w:cs="Arial"/>
          <w:lang w:val="es-ES"/>
        </w:rPr>
        <w:t>Grupo Televisa y México Red</w:t>
      </w:r>
      <w:r w:rsidR="003525DE" w:rsidRPr="00FD7BCF">
        <w:rPr>
          <w:rFonts w:ascii="ITC Avant Garde" w:hAnsi="ITC Avant Garde" w:cs="Arial"/>
          <w:lang w:val="es-ES"/>
        </w:rPr>
        <w:t xml:space="preserve"> </w:t>
      </w:r>
      <w:r w:rsidR="00A772A6" w:rsidRPr="00FD7BCF">
        <w:rPr>
          <w:rFonts w:ascii="ITC Avant Garde" w:hAnsi="ITC Avant Garde" w:cs="Arial"/>
          <w:lang w:val="es-ES"/>
        </w:rPr>
        <w:t>solicit</w:t>
      </w:r>
      <w:r w:rsidR="002A4556" w:rsidRPr="00FD7BCF">
        <w:rPr>
          <w:rFonts w:ascii="ITC Avant Garde" w:hAnsi="ITC Avant Garde" w:cs="Arial"/>
          <w:lang w:val="es-ES"/>
        </w:rPr>
        <w:t>aron</w:t>
      </w:r>
      <w:r w:rsidR="00A772A6" w:rsidRPr="00FD7BCF">
        <w:rPr>
          <w:rFonts w:ascii="ITC Avant Garde" w:hAnsi="ITC Avant Garde" w:cs="Arial"/>
          <w:lang w:val="es-ES"/>
        </w:rPr>
        <w:t xml:space="preserve"> se resolvieran y establecieran tarifas para el Servicios Mayoristas de Arrendamiento de Enlaces Dedicados, situación a la que esta </w:t>
      </w:r>
      <w:proofErr w:type="spellStart"/>
      <w:r w:rsidR="00A772A6" w:rsidRPr="00FD7BCF">
        <w:rPr>
          <w:rFonts w:ascii="ITC Avant Garde" w:hAnsi="ITC Avant Garde" w:cs="Arial"/>
          <w:lang w:val="es-ES"/>
        </w:rPr>
        <w:t>resolutora</w:t>
      </w:r>
      <w:proofErr w:type="spellEnd"/>
      <w:r w:rsidR="00A772A6" w:rsidRPr="00FD7BCF">
        <w:rPr>
          <w:rFonts w:ascii="ITC Avant Garde" w:hAnsi="ITC Avant Garde" w:cs="Arial"/>
          <w:lang w:val="es-ES"/>
        </w:rPr>
        <w:t xml:space="preserve"> se encuentra obligada en términos de lo establecido en la </w:t>
      </w:r>
      <w:r w:rsidR="00EA2640" w:rsidRPr="00FD7BCF">
        <w:rPr>
          <w:rFonts w:ascii="ITC Avant Garde" w:hAnsi="ITC Avant Garde" w:cs="Arial"/>
          <w:lang w:val="es-ES"/>
        </w:rPr>
        <w:t>Medida</w:t>
      </w:r>
      <w:r w:rsidR="00A772A6" w:rsidRPr="00FD7BCF">
        <w:rPr>
          <w:rFonts w:ascii="ITC Avant Garde" w:hAnsi="ITC Avant Garde" w:cs="Arial"/>
          <w:lang w:val="es-ES"/>
        </w:rPr>
        <w:t xml:space="preserve"> Trigésim</w:t>
      </w:r>
      <w:r w:rsidR="00EA2640" w:rsidRPr="00FD7BCF">
        <w:rPr>
          <w:rFonts w:ascii="ITC Avant Garde" w:hAnsi="ITC Avant Garde" w:cs="Arial"/>
          <w:lang w:val="es-ES"/>
        </w:rPr>
        <w:t>a</w:t>
      </w:r>
      <w:r w:rsidR="003E1504" w:rsidRPr="00FD7BCF">
        <w:rPr>
          <w:rFonts w:ascii="ITC Avant Garde" w:hAnsi="ITC Avant Garde" w:cs="Arial"/>
          <w:lang w:val="es-ES"/>
        </w:rPr>
        <w:t xml:space="preserve"> </w:t>
      </w:r>
      <w:r w:rsidR="00A772A6" w:rsidRPr="00FD7BCF">
        <w:rPr>
          <w:rFonts w:ascii="ITC Avant Garde" w:hAnsi="ITC Avant Garde" w:cs="Arial"/>
          <w:lang w:val="es-ES"/>
        </w:rPr>
        <w:t>Séptima de las Medidas Fijas.</w:t>
      </w:r>
    </w:p>
    <w:p w14:paraId="2FDEB990" w14:textId="77777777" w:rsidR="00B42019" w:rsidRDefault="00001C1C" w:rsidP="00B42019">
      <w:pPr>
        <w:spacing w:before="240" w:line="276" w:lineRule="auto"/>
        <w:jc w:val="both"/>
        <w:rPr>
          <w:rFonts w:ascii="ITC Avant Garde" w:hAnsi="ITC Avant Garde" w:cs="Arial"/>
          <w:lang w:val="es-ES"/>
        </w:rPr>
      </w:pPr>
      <w:r w:rsidRPr="00FD7BCF">
        <w:rPr>
          <w:rFonts w:ascii="ITC Avant Garde" w:hAnsi="ITC Avant Garde" w:cs="Arial"/>
          <w:lang w:val="es-ES"/>
        </w:rPr>
        <w:lastRenderedPageBreak/>
        <w:t>Además de lo anterior, en</w:t>
      </w:r>
      <w:r w:rsidR="009C3684" w:rsidRPr="00FD7BCF">
        <w:rPr>
          <w:rFonts w:ascii="ITC Avant Garde" w:hAnsi="ITC Avant Garde" w:cs="Arial"/>
          <w:lang w:val="es-ES"/>
        </w:rPr>
        <w:t xml:space="preserve"> el </w:t>
      </w:r>
      <w:r w:rsidR="00907990" w:rsidRPr="00FD7BCF">
        <w:rPr>
          <w:rFonts w:ascii="ITC Avant Garde" w:hAnsi="ITC Avant Garde" w:cs="Arial"/>
          <w:lang w:val="es-ES"/>
        </w:rPr>
        <w:t>“</w:t>
      </w:r>
      <w:r w:rsidR="00907990" w:rsidRPr="00FD7BCF">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009C3684" w:rsidRPr="00FD7BCF">
        <w:rPr>
          <w:rFonts w:ascii="ITC Avant Garde" w:hAnsi="ITC Avant Garde" w:cs="Arial"/>
          <w:lang w:val="es-ES"/>
        </w:rPr>
        <w:t xml:space="preserve"> en particular el </w:t>
      </w:r>
      <w:r w:rsidRPr="00FD7BCF">
        <w:rPr>
          <w:rFonts w:ascii="ITC Avant Garde" w:hAnsi="ITC Avant Garde" w:cs="Arial"/>
          <w:lang w:val="es-ES"/>
        </w:rPr>
        <w:t>artículo 6</w:t>
      </w:r>
      <w:r w:rsidR="009C3684" w:rsidRPr="00FD7BCF">
        <w:rPr>
          <w:rFonts w:ascii="ITC Avant Garde" w:hAnsi="ITC Avant Garde" w:cs="Arial"/>
          <w:lang w:val="es-ES"/>
        </w:rPr>
        <w:t>,</w:t>
      </w:r>
      <w:r w:rsidRPr="00FD7BCF">
        <w:rPr>
          <w:rFonts w:ascii="ITC Avant Garde" w:hAnsi="ITC Avant Garde" w:cs="Arial"/>
          <w:lang w:val="es-ES"/>
        </w:rPr>
        <w:t xml:space="preserve"> apartado B, </w:t>
      </w:r>
      <w:r w:rsidR="009C3684" w:rsidRPr="00FD7BCF">
        <w:rPr>
          <w:rFonts w:ascii="ITC Avant Garde" w:hAnsi="ITC Avant Garde" w:cs="Arial"/>
          <w:lang w:val="es-ES"/>
        </w:rPr>
        <w:t xml:space="preserve">se precisa que las </w:t>
      </w:r>
      <w:r w:rsidRPr="00FD7BCF">
        <w:rPr>
          <w:rFonts w:ascii="ITC Avant Garde" w:hAnsi="ITC Avant Garde" w:cs="Arial"/>
          <w:lang w:val="es-ES"/>
        </w:rPr>
        <w:t>tele</w:t>
      </w:r>
      <w:r w:rsidR="009C3684" w:rsidRPr="00FD7BCF">
        <w:rPr>
          <w:rFonts w:ascii="ITC Avant Garde" w:hAnsi="ITC Avant Garde" w:cs="Arial"/>
          <w:lang w:val="es-ES"/>
        </w:rPr>
        <w:t xml:space="preserve">comunicaciones son servicios públicos de interés general, por </w:t>
      </w:r>
      <w:r w:rsidR="00907990" w:rsidRPr="00FD7BCF">
        <w:rPr>
          <w:rFonts w:ascii="ITC Avant Garde" w:hAnsi="ITC Avant Garde" w:cs="Arial"/>
          <w:lang w:val="es-ES"/>
        </w:rPr>
        <w:t>lo que el Estado garantizará</w:t>
      </w:r>
      <w:r w:rsidR="009C3684" w:rsidRPr="00FD7BCF">
        <w:rPr>
          <w:rFonts w:ascii="ITC Avant Garde" w:hAnsi="ITC Avant Garde" w:cs="Arial"/>
          <w:lang w:val="es-ES"/>
        </w:rPr>
        <w:t xml:space="preserve"> que sean presentados en condiciones de competencia, calidad, pluralidad, cobertura universal, interconexión, convergencia, continuidad, acceso libre y sin injerencias arbitrarias; de tal manera, que en estricto apego a lo referido por dicho precepto constitucional, es que el Instituto se encuentra</w:t>
      </w:r>
      <w:r w:rsidR="00907990" w:rsidRPr="00FD7BCF">
        <w:rPr>
          <w:rFonts w:ascii="ITC Avant Garde" w:hAnsi="ITC Avant Garde" w:cs="Arial"/>
          <w:lang w:val="es-ES"/>
        </w:rPr>
        <w:t xml:space="preserve"> obligado a emitir la presente R</w:t>
      </w:r>
      <w:r w:rsidR="009C3684" w:rsidRPr="00FD7BCF">
        <w:rPr>
          <w:rFonts w:ascii="ITC Avant Garde" w:hAnsi="ITC Avant Garde" w:cs="Arial"/>
          <w:lang w:val="es-ES"/>
        </w:rPr>
        <w:t xml:space="preserve">esolución, determinando las tarifas para la prestación de los Servicios Mayoristas de Arrendamiento de Enlaces Dedicados correspondientes al periodo </w:t>
      </w:r>
      <w:r w:rsidR="00EA2640" w:rsidRPr="00FD7BCF">
        <w:rPr>
          <w:rFonts w:ascii="ITC Avant Garde" w:hAnsi="ITC Avant Garde" w:cs="Arial"/>
          <w:lang w:val="es-ES"/>
        </w:rPr>
        <w:t>solicitado</w:t>
      </w:r>
      <w:r w:rsidR="009C3684" w:rsidRPr="00FD7BCF">
        <w:rPr>
          <w:rFonts w:ascii="ITC Avant Garde" w:hAnsi="ITC Avant Garde" w:cs="Arial"/>
          <w:lang w:val="es-ES"/>
        </w:rPr>
        <w:t>.</w:t>
      </w:r>
    </w:p>
    <w:p w14:paraId="1CF2B123" w14:textId="77777777" w:rsidR="00B42019" w:rsidRDefault="003A70F6" w:rsidP="00B42019">
      <w:pPr>
        <w:pStyle w:val="Prrafodelista"/>
        <w:numPr>
          <w:ilvl w:val="0"/>
          <w:numId w:val="13"/>
        </w:numPr>
        <w:spacing w:before="240" w:after="160" w:line="276" w:lineRule="auto"/>
        <w:rPr>
          <w:rFonts w:ascii="ITC Avant Garde" w:hAnsi="ITC Avant Garde"/>
          <w:b/>
        </w:rPr>
      </w:pPr>
      <w:r w:rsidRPr="00FD7BCF">
        <w:rPr>
          <w:rFonts w:ascii="ITC Avant Garde" w:hAnsi="ITC Avant Garde"/>
          <w:b/>
        </w:rPr>
        <w:t xml:space="preserve">Objeción de pruebas </w:t>
      </w:r>
    </w:p>
    <w:p w14:paraId="13C169D1" w14:textId="77777777" w:rsidR="00B42019" w:rsidRDefault="003A70F6"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Argumentos de las partes</w:t>
      </w:r>
    </w:p>
    <w:p w14:paraId="285DB5E6" w14:textId="77777777" w:rsidR="00B42019" w:rsidRDefault="003A70F6"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Telmex y </w:t>
      </w:r>
      <w:proofErr w:type="spellStart"/>
      <w:r w:rsidRPr="00FD7BCF">
        <w:rPr>
          <w:rFonts w:ascii="ITC Avant Garde" w:hAnsi="ITC Avant Garde" w:cs="Arial"/>
          <w:lang w:val="es-ES"/>
        </w:rPr>
        <w:t>Telnor</w:t>
      </w:r>
      <w:proofErr w:type="spellEnd"/>
      <w:r w:rsidRPr="00FD7BCF">
        <w:rPr>
          <w:rFonts w:ascii="ITC Avant Garde" w:hAnsi="ITC Avant Garde" w:cs="Arial"/>
          <w:lang w:val="es-ES"/>
        </w:rPr>
        <w:t xml:space="preserve"> </w:t>
      </w:r>
      <w:r w:rsidR="0018137B" w:rsidRPr="00FD7BCF">
        <w:rPr>
          <w:rFonts w:ascii="ITC Avant Garde" w:hAnsi="ITC Avant Garde" w:cs="Arial"/>
          <w:lang w:val="es-ES"/>
        </w:rPr>
        <w:t>objetan las pruebas ofrecidas por Grupo Televisa y México Red, ya que crecen de valor probatorio y las mismas no son idóneas para probar su dicho, por lo que se objetan lisa y llanamente</w:t>
      </w:r>
      <w:r w:rsidRPr="00FD7BCF">
        <w:rPr>
          <w:rFonts w:ascii="ITC Avant Garde" w:hAnsi="ITC Avant Garde" w:cs="Arial"/>
          <w:lang w:val="es-ES"/>
        </w:rPr>
        <w:t>.</w:t>
      </w:r>
    </w:p>
    <w:p w14:paraId="6CB47C4B" w14:textId="77777777" w:rsidR="00B42019" w:rsidRDefault="003A70F6" w:rsidP="00B42019">
      <w:pPr>
        <w:pStyle w:val="IFTnormal"/>
        <w:spacing w:before="240" w:line="276" w:lineRule="auto"/>
        <w:ind w:left="0"/>
        <w:rPr>
          <w:b/>
        </w:rPr>
      </w:pPr>
      <w:r w:rsidRPr="00FD7BCF">
        <w:rPr>
          <w:b/>
        </w:rPr>
        <w:t>Consideraciones del Instituto</w:t>
      </w:r>
    </w:p>
    <w:p w14:paraId="250882E5" w14:textId="77777777" w:rsidR="00B42019" w:rsidRDefault="0018137B" w:rsidP="00B42019">
      <w:pPr>
        <w:spacing w:before="240" w:line="276" w:lineRule="auto"/>
        <w:jc w:val="both"/>
        <w:rPr>
          <w:rFonts w:ascii="ITC Avant Garde" w:eastAsia="Times New Roman" w:hAnsi="ITC Avant Garde"/>
          <w:iCs/>
          <w:lang w:val="es-ES" w:eastAsia="es-MX"/>
        </w:rPr>
      </w:pPr>
      <w:r w:rsidRPr="00FD7BCF">
        <w:rPr>
          <w:rFonts w:ascii="ITC Avant Garde" w:eastAsia="Times New Roman" w:hAnsi="ITC Avant Garde"/>
          <w:iCs/>
          <w:lang w:val="es-ES" w:eastAsia="es-MX"/>
        </w:rPr>
        <w:t xml:space="preserve">Respecto de lo señalado por Telmex y </w:t>
      </w:r>
      <w:proofErr w:type="spellStart"/>
      <w:r w:rsidRPr="00FD7BCF">
        <w:rPr>
          <w:rFonts w:ascii="ITC Avant Garde" w:eastAsia="Times New Roman" w:hAnsi="ITC Avant Garde"/>
          <w:iCs/>
          <w:lang w:val="es-ES" w:eastAsia="es-MX"/>
        </w:rPr>
        <w:t>Telnor</w:t>
      </w:r>
      <w:proofErr w:type="spellEnd"/>
      <w:r w:rsidRPr="00FD7BCF">
        <w:rPr>
          <w:rFonts w:ascii="ITC Avant Garde" w:eastAsia="Times New Roman" w:hAnsi="ITC Avant Garde"/>
          <w:iCs/>
          <w:lang w:val="es-ES" w:eastAsia="es-MX"/>
        </w:rPr>
        <w:t xml:space="preserve"> sobre la objeción en cuanto al alcance y valor probatorio de todos y cada uno de los documentos exhibidos por Grupo Televisa y México Red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hace fe de la certeza de su contenido, en ese sentido, si Grupo Televisa Y México Red sólo hacen meras manifestaciones y no prueba la objeción, su pretensión resulta inoperante.</w:t>
      </w:r>
    </w:p>
    <w:p w14:paraId="5177C0E7" w14:textId="77777777" w:rsidR="00B42019" w:rsidRDefault="0018137B" w:rsidP="00B42019">
      <w:pPr>
        <w:spacing w:before="240" w:line="276" w:lineRule="auto"/>
        <w:jc w:val="both"/>
        <w:rPr>
          <w:rFonts w:ascii="ITC Avant Garde" w:eastAsia="Times New Roman" w:hAnsi="ITC Avant Garde"/>
          <w:iCs/>
          <w:lang w:val="es-ES" w:eastAsia="es-MX"/>
        </w:rPr>
      </w:pPr>
      <w:r w:rsidRPr="00FD7BCF">
        <w:rPr>
          <w:rFonts w:ascii="ITC Avant Garde" w:eastAsia="Times New Roman" w:hAnsi="ITC Avant Garde"/>
          <w:iCs/>
          <w:lang w:val="es-ES" w:eastAsia="es-MX"/>
        </w:rPr>
        <w:t>Al respecto, sirve de apoyo la presente tesis:</w:t>
      </w:r>
    </w:p>
    <w:p w14:paraId="26B280D5" w14:textId="77777777" w:rsidR="00B42019" w:rsidRDefault="0018137B" w:rsidP="00B42019">
      <w:pPr>
        <w:spacing w:before="240" w:line="276" w:lineRule="auto"/>
        <w:ind w:left="567" w:right="899"/>
        <w:jc w:val="both"/>
        <w:rPr>
          <w:rFonts w:ascii="ITC Avant Garde" w:eastAsia="Times New Roman" w:hAnsi="ITC Avant Garde" w:cs="Arial"/>
          <w:i/>
          <w:sz w:val="18"/>
          <w:szCs w:val="18"/>
          <w:lang w:eastAsia="es-MX"/>
        </w:rPr>
      </w:pPr>
      <w:r w:rsidRPr="00FD7BCF">
        <w:rPr>
          <w:rFonts w:ascii="ITC Avant Garde" w:eastAsia="Times New Roman" w:hAnsi="ITC Avant Garde" w:cs="Arial"/>
          <w:i/>
          <w:sz w:val="18"/>
          <w:szCs w:val="18"/>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46B6AFA0" w14:textId="77777777" w:rsidR="00B42019" w:rsidRDefault="0018137B" w:rsidP="00B42019">
      <w:pPr>
        <w:spacing w:before="240" w:line="276" w:lineRule="auto"/>
        <w:ind w:left="567" w:right="899"/>
        <w:jc w:val="both"/>
        <w:rPr>
          <w:rFonts w:ascii="ITC Avant Garde" w:eastAsia="Times New Roman" w:hAnsi="ITC Avant Garde" w:cs="Arial"/>
          <w:i/>
          <w:sz w:val="18"/>
          <w:szCs w:val="18"/>
          <w:lang w:eastAsia="es-MX"/>
        </w:rPr>
      </w:pPr>
      <w:r w:rsidRPr="00FD7BCF">
        <w:rPr>
          <w:rFonts w:ascii="ITC Avant Garde" w:eastAsia="Times New Roman" w:hAnsi="ITC Avant Garde" w:cs="Arial"/>
          <w:i/>
          <w:sz w:val="18"/>
          <w:szCs w:val="18"/>
          <w:lang w:eastAsia="es-MX"/>
        </w:rPr>
        <w:lastRenderedPageBreak/>
        <w:t xml:space="preserve">No basta que el interesado objete un documento proveniente de un tercero, para que por ese solo hecho pierda valor probatorio, ya que de acuerdo a lo establecido por el artículo </w:t>
      </w:r>
      <w:hyperlink r:id="rId11" w:history="1">
        <w:r w:rsidRPr="00FD7BCF">
          <w:rPr>
            <w:rFonts w:ascii="ITC Avant Garde" w:eastAsia="Times New Roman" w:hAnsi="ITC Avant Garde" w:cs="Arial"/>
            <w:i/>
            <w:sz w:val="18"/>
            <w:szCs w:val="18"/>
            <w:lang w:eastAsia="es-MX"/>
          </w:rPr>
          <w:t>203 del Código Federal de Procedimientos Civiles</w:t>
        </w:r>
      </w:hyperlink>
      <w:r w:rsidRPr="00FD7BCF">
        <w:rPr>
          <w:rFonts w:ascii="ITC Avant Garde" w:eastAsia="Times New Roman" w:hAnsi="ITC Avant Garde" w:cs="Arial"/>
          <w:i/>
          <w:sz w:val="18"/>
          <w:szCs w:val="18"/>
          <w:lang w:eastAsia="es-MX"/>
        </w:rPr>
        <w:t>,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Pr="00FD7BCF">
        <w:rPr>
          <w:rFonts w:ascii="ITC Avant Garde" w:eastAsia="Times New Roman" w:hAnsi="ITC Avant Garde" w:cs="Arial"/>
          <w:i/>
          <w:sz w:val="18"/>
          <w:szCs w:val="18"/>
          <w:vertAlign w:val="superscript"/>
          <w:lang w:eastAsia="es-MX"/>
        </w:rPr>
        <w:footnoteReference w:id="1"/>
      </w:r>
    </w:p>
    <w:p w14:paraId="62E8F606" w14:textId="77777777" w:rsidR="00B42019" w:rsidRDefault="00D638FA" w:rsidP="00B42019">
      <w:pPr>
        <w:spacing w:before="240" w:line="276" w:lineRule="auto"/>
        <w:jc w:val="both"/>
        <w:rPr>
          <w:rFonts w:ascii="ITC Avant Garde" w:hAnsi="ITC Avant Garde"/>
        </w:rPr>
      </w:pPr>
      <w:r w:rsidRPr="00FD7BCF">
        <w:rPr>
          <w:rFonts w:ascii="ITC Avant Garde" w:hAnsi="ITC Avant Garde"/>
        </w:rPr>
        <w:t xml:space="preserve">Asimismo, esta autoridad </w:t>
      </w:r>
      <w:proofErr w:type="spellStart"/>
      <w:r w:rsidRPr="00FD7BCF">
        <w:rPr>
          <w:rFonts w:ascii="ITC Avant Garde" w:hAnsi="ITC Avant Garde"/>
        </w:rPr>
        <w:t>resolutora</w:t>
      </w:r>
      <w:proofErr w:type="spellEnd"/>
      <w:r w:rsidRPr="00FD7BCF">
        <w:rPr>
          <w:rFonts w:ascii="ITC Avant Garde" w:hAnsi="ITC Avant Garde"/>
        </w:rPr>
        <w:t xml:space="preserve"> considera que los argumentos de Telmex y </w:t>
      </w:r>
      <w:proofErr w:type="spellStart"/>
      <w:r w:rsidRPr="00FD7BCF">
        <w:rPr>
          <w:rFonts w:ascii="ITC Avant Garde" w:hAnsi="ITC Avant Garde"/>
        </w:rPr>
        <w:t>Telnor</w:t>
      </w:r>
      <w:proofErr w:type="spellEnd"/>
      <w:r w:rsidRPr="00FD7BCF">
        <w:rPr>
          <w:rFonts w:ascii="ITC Avant Garde" w:hAnsi="ITC Avant Garde"/>
        </w:rPr>
        <w:t xml:space="preserve"> resultan in</w:t>
      </w:r>
      <w:r w:rsidR="0018137B" w:rsidRPr="00FD7BCF">
        <w:rPr>
          <w:rFonts w:ascii="ITC Avant Garde" w:hAnsi="ITC Avant Garde"/>
        </w:rPr>
        <w:t>fundados</w:t>
      </w:r>
      <w:r w:rsidRPr="00FD7BCF">
        <w:rPr>
          <w:rFonts w:ascii="ITC Avant Garde" w:hAnsi="ITC Avant Garde"/>
        </w:rPr>
        <w:t xml:space="preserve"> en virtud de que el Instituto se debe pronunciar respecto del valor probatorio que se le otorgó a las diversas pruebas ofrecidas por las partes, </w:t>
      </w:r>
      <w:r w:rsidR="0018137B" w:rsidRPr="00FD7BCF">
        <w:rPr>
          <w:rFonts w:ascii="ITC Avant Garde" w:hAnsi="ITC Avant Garde"/>
        </w:rPr>
        <w:t xml:space="preserve">sin que pase </w:t>
      </w:r>
      <w:r w:rsidR="003C5C93" w:rsidRPr="00FD7BCF">
        <w:rPr>
          <w:rFonts w:ascii="ITC Avant Garde" w:hAnsi="ITC Avant Garde"/>
        </w:rPr>
        <w:t>desapercibido</w:t>
      </w:r>
      <w:r w:rsidR="0018137B" w:rsidRPr="00FD7BCF">
        <w:rPr>
          <w:rFonts w:ascii="ITC Avant Garde" w:hAnsi="ITC Avant Garde"/>
        </w:rPr>
        <w:t xml:space="preserve"> </w:t>
      </w:r>
      <w:r w:rsidRPr="00FD7BCF">
        <w:rPr>
          <w:rFonts w:ascii="ITC Avant Garde" w:hAnsi="ITC Avant Garde"/>
        </w:rPr>
        <w:t>que el Instituto al momento de valorar las probanzas ofrecidas por las partes, lo hace a la luz del CFPC, en particular en sus artículos 197 que señala:</w:t>
      </w:r>
    </w:p>
    <w:p w14:paraId="2CB4193A" w14:textId="77777777" w:rsidR="00B42019" w:rsidRDefault="00D638FA" w:rsidP="00B42019">
      <w:pPr>
        <w:spacing w:before="240" w:line="276" w:lineRule="auto"/>
        <w:ind w:left="851" w:right="851"/>
        <w:jc w:val="both"/>
        <w:rPr>
          <w:rFonts w:ascii="ITC Avant Garde" w:hAnsi="ITC Avant Garde"/>
          <w:i/>
          <w:sz w:val="18"/>
          <w:szCs w:val="18"/>
        </w:rPr>
      </w:pPr>
      <w:r w:rsidRPr="00FD7BCF">
        <w:rPr>
          <w:rFonts w:ascii="ITC Avant Garde" w:hAnsi="ITC Avant Garde"/>
          <w:i/>
          <w:sz w:val="18"/>
          <w:szCs w:val="18"/>
        </w:rPr>
        <w:t>“</w:t>
      </w:r>
      <w:r w:rsidRPr="00FD7BCF">
        <w:rPr>
          <w:rFonts w:ascii="ITC Avant Garde" w:hAnsi="ITC Avant Garde"/>
          <w:b/>
          <w:i/>
          <w:sz w:val="18"/>
          <w:szCs w:val="18"/>
        </w:rPr>
        <w:t>ARTICULO 197</w:t>
      </w:r>
      <w:r w:rsidRPr="00FD7BCF">
        <w:rPr>
          <w:rFonts w:ascii="ITC Avant Garde" w:hAnsi="ITC Avant Garde"/>
          <w:i/>
          <w:sz w:val="18"/>
          <w:szCs w:val="18"/>
        </w:rPr>
        <w:t>.- El tribunal goza de la más amplia libertad para hacer el análisis de las pruebas rendidas; para determinar el valor de las mismas, unas enfrente de las otras, y para fijar el resultado final de dicha valuación contradictoria; a no ser que la ley fije las reglas para hacer esta valuación, observando, sin embargo, respecto de cada especie de prueba, lo dispuesto en este capítulo.”</w:t>
      </w:r>
    </w:p>
    <w:p w14:paraId="5A810925" w14:textId="77777777" w:rsidR="00B42019" w:rsidRDefault="00D638FA" w:rsidP="00B42019">
      <w:pPr>
        <w:spacing w:before="240" w:line="276" w:lineRule="auto"/>
        <w:jc w:val="both"/>
        <w:rPr>
          <w:rFonts w:ascii="ITC Avant Garde" w:hAnsi="ITC Avant Garde"/>
        </w:rPr>
      </w:pPr>
      <w:r w:rsidRPr="00FD7BCF">
        <w:rPr>
          <w:rFonts w:ascii="ITC Avant Garde" w:hAnsi="ITC Avant Garde"/>
        </w:rPr>
        <w:t>Por lo que esta autoridad al realizar el análisis de las pruebas admitidas y ofrecidas por las partes, a las que les otorgó el valor probatorio de conformidad con el CFPC, estudiándolas en su conjunto, por lo que adminiculadas y concatenadas unas enfrente de las otras, se les concedió valor probatorio pleno del hecho o estado de las cosas que documentaban, de la fecha en que se produce dicha documentación y de las personas intervinientes en ellas.</w:t>
      </w:r>
    </w:p>
    <w:p w14:paraId="369993BE" w14:textId="77777777" w:rsidR="00B42019" w:rsidRDefault="001754AC" w:rsidP="00B42019">
      <w:pPr>
        <w:spacing w:before="240" w:line="276" w:lineRule="auto"/>
        <w:jc w:val="both"/>
        <w:rPr>
          <w:rFonts w:ascii="ITC Avant Garde" w:hAnsi="ITC Avant Garde"/>
        </w:rPr>
      </w:pPr>
      <w:r w:rsidRPr="00FD7BCF">
        <w:rPr>
          <w:rFonts w:ascii="ITC Avant Garde" w:hAnsi="ITC Avant Garde"/>
        </w:rPr>
        <w:t>Una vez analizadas las manifestaciones generales de las partes, en términos de las Medidas Trigésima Séptima y Sexagésima de las Medidas Fijas, se procede a resolver las condiciones no convenidas solicitadas por las partes.</w:t>
      </w:r>
    </w:p>
    <w:p w14:paraId="06393ED3" w14:textId="77777777" w:rsidR="00B42019" w:rsidRDefault="001754AC" w:rsidP="00B42019">
      <w:pPr>
        <w:pStyle w:val="Prrafodelista"/>
        <w:numPr>
          <w:ilvl w:val="0"/>
          <w:numId w:val="25"/>
        </w:numPr>
        <w:spacing w:before="240" w:after="160" w:line="276" w:lineRule="auto"/>
        <w:rPr>
          <w:rFonts w:ascii="ITC Avant Garde" w:hAnsi="ITC Avant Garde" w:cs="Arial"/>
          <w:b/>
        </w:rPr>
      </w:pPr>
      <w:r w:rsidRPr="00FD7BCF">
        <w:rPr>
          <w:rFonts w:ascii="ITC Avant Garde" w:hAnsi="ITC Avant Garde" w:cs="Arial"/>
          <w:b/>
        </w:rPr>
        <w:t>Tarifas aplicables al Servicio Mayorista de Arrendamiento de Enlaces Dedicados locales, entre localidades y de larga distancia internacional</w:t>
      </w:r>
    </w:p>
    <w:p w14:paraId="78C6DC5C" w14:textId="77777777" w:rsidR="00B42019" w:rsidRDefault="001754AC" w:rsidP="00B42019">
      <w:pPr>
        <w:spacing w:before="240" w:line="276" w:lineRule="auto"/>
        <w:jc w:val="both"/>
        <w:rPr>
          <w:rFonts w:ascii="ITC Avant Garde" w:hAnsi="ITC Avant Garde" w:cs="Arial"/>
          <w:b/>
          <w:lang w:val="es-ES"/>
        </w:rPr>
      </w:pPr>
      <w:r w:rsidRPr="00FD7BCF">
        <w:rPr>
          <w:rFonts w:ascii="ITC Avant Garde" w:hAnsi="ITC Avant Garde" w:cs="Arial"/>
          <w:b/>
          <w:lang w:val="es-ES"/>
        </w:rPr>
        <w:t>Argumentos de las partes</w:t>
      </w:r>
    </w:p>
    <w:p w14:paraId="36390D64" w14:textId="77777777" w:rsidR="00B42019" w:rsidRDefault="001754AC" w:rsidP="00B42019">
      <w:pPr>
        <w:spacing w:before="240" w:line="276" w:lineRule="auto"/>
        <w:jc w:val="both"/>
        <w:rPr>
          <w:rFonts w:ascii="ITC Avant Garde" w:eastAsia="Times New Roman" w:hAnsi="ITC Avant Garde" w:cs="Arial"/>
        </w:rPr>
      </w:pPr>
      <w:r w:rsidRPr="00FD7BCF">
        <w:rPr>
          <w:rFonts w:ascii="ITC Avant Garde" w:eastAsia="Times New Roman" w:hAnsi="ITC Avant Garde" w:cs="Arial"/>
        </w:rPr>
        <w:lastRenderedPageBreak/>
        <w:t>En la Solicitud</w:t>
      </w:r>
      <w:r w:rsidR="00B30AFD" w:rsidRPr="00FD7BCF">
        <w:rPr>
          <w:rFonts w:ascii="ITC Avant Garde" w:eastAsia="Times New Roman" w:hAnsi="ITC Avant Garde" w:cs="Arial"/>
        </w:rPr>
        <w:t>es</w:t>
      </w:r>
      <w:r w:rsidRPr="00FD7BCF">
        <w:rPr>
          <w:rFonts w:ascii="ITC Avant Garde" w:eastAsia="Times New Roman" w:hAnsi="ITC Avant Garde" w:cs="Arial"/>
        </w:rPr>
        <w:t xml:space="preserve"> de Resolución, </w:t>
      </w:r>
      <w:r w:rsidR="00EC6C0B" w:rsidRPr="00FD7BCF">
        <w:rPr>
          <w:rFonts w:ascii="ITC Avant Garde" w:eastAsia="Times New Roman" w:hAnsi="ITC Avant Garde" w:cs="Arial"/>
        </w:rPr>
        <w:t>Grupo Televisa y México Red</w:t>
      </w:r>
      <w:r w:rsidR="00ED2C7C" w:rsidRPr="00FD7BCF">
        <w:rPr>
          <w:rFonts w:ascii="ITC Avant Garde" w:eastAsia="Times New Roman" w:hAnsi="ITC Avant Garde" w:cs="Arial"/>
        </w:rPr>
        <w:t xml:space="preserve"> manifiestan que se resuelva el desacuerdo que ha surgido con Telmex y </w:t>
      </w:r>
      <w:proofErr w:type="spellStart"/>
      <w:r w:rsidR="0041550A" w:rsidRPr="00FD7BCF">
        <w:rPr>
          <w:rFonts w:ascii="ITC Avant Garde" w:eastAsia="Times New Roman" w:hAnsi="ITC Avant Garde" w:cs="Arial"/>
        </w:rPr>
        <w:t>Telnor</w:t>
      </w:r>
      <w:proofErr w:type="spellEnd"/>
      <w:r w:rsidR="00ED2C7C" w:rsidRPr="00FD7BCF">
        <w:rPr>
          <w:rFonts w:ascii="ITC Avant Garde" w:eastAsia="Times New Roman" w:hAnsi="ITC Avant Garde" w:cs="Arial"/>
        </w:rPr>
        <w:t xml:space="preserve">, mediante la aplicación de una metodología de costos evitados, a partir de los ingresos o las tarifas minoristas y eliminando aquellos costos que no sean necesarios para la </w:t>
      </w:r>
      <w:r w:rsidR="0041550A" w:rsidRPr="00FD7BCF">
        <w:rPr>
          <w:rFonts w:ascii="ITC Avant Garde" w:eastAsia="Times New Roman" w:hAnsi="ITC Avant Garde" w:cs="Arial"/>
        </w:rPr>
        <w:t>comercialización</w:t>
      </w:r>
      <w:r w:rsidR="00ED2C7C" w:rsidRPr="00FD7BCF">
        <w:rPr>
          <w:rFonts w:ascii="ITC Avant Garde" w:eastAsia="Times New Roman" w:hAnsi="ITC Avant Garde" w:cs="Arial"/>
        </w:rPr>
        <w:t xml:space="preserve"> de los servicios de tal forma que puedan ser replicados por un operador eficiente.</w:t>
      </w:r>
    </w:p>
    <w:p w14:paraId="00AB52E2" w14:textId="0000B554" w:rsidR="00ED2C7C" w:rsidRPr="00FD7BCF" w:rsidRDefault="00ED2C7C" w:rsidP="00B42019">
      <w:pPr>
        <w:spacing w:before="240" w:line="276" w:lineRule="auto"/>
        <w:jc w:val="both"/>
        <w:rPr>
          <w:rFonts w:ascii="ITC Avant Garde" w:eastAsia="Times New Roman" w:hAnsi="ITC Avant Garde" w:cs="Arial"/>
        </w:rPr>
      </w:pPr>
      <w:r w:rsidRPr="00FD7BCF">
        <w:rPr>
          <w:rFonts w:ascii="ITC Avant Garde" w:eastAsia="Times New Roman" w:hAnsi="ITC Avant Garde" w:cs="Arial"/>
        </w:rPr>
        <w:t xml:space="preserve">Señalan que la importancia de la metodología de costos evitados para tarificar los precios mayoristas del servicio de arrendamiento de enlaces radica, tal como se estableció en la Resolución AEP, en que además de permitir la recuperación de la totalidad de los costos del AEP, también incentiva la entrada de Concesionarios Solicitantes eficientes al mercado, lo que en consecuencia provoca que se ofrezcan mejores precios a los </w:t>
      </w:r>
      <w:r w:rsidR="0041550A" w:rsidRPr="00FD7BCF">
        <w:rPr>
          <w:rFonts w:ascii="ITC Avant Garde" w:eastAsia="Times New Roman" w:hAnsi="ITC Avant Garde" w:cs="Arial"/>
        </w:rPr>
        <w:t>usuarios</w:t>
      </w:r>
      <w:r w:rsidRPr="00FD7BCF">
        <w:rPr>
          <w:rFonts w:ascii="ITC Avant Garde" w:eastAsia="Times New Roman" w:hAnsi="ITC Avant Garde" w:cs="Arial"/>
        </w:rPr>
        <w:t xml:space="preserve"> finales de los servicios de </w:t>
      </w:r>
      <w:r w:rsidR="0041550A" w:rsidRPr="00FD7BCF">
        <w:rPr>
          <w:rFonts w:ascii="ITC Avant Garde" w:eastAsia="Times New Roman" w:hAnsi="ITC Avant Garde" w:cs="Arial"/>
        </w:rPr>
        <w:t>telecomunicaciones</w:t>
      </w:r>
      <w:r w:rsidRPr="00FD7BCF">
        <w:rPr>
          <w:rFonts w:ascii="ITC Avant Garde" w:eastAsia="Times New Roman" w:hAnsi="ITC Avant Garde" w:cs="Arial"/>
        </w:rPr>
        <w:t>.</w:t>
      </w:r>
    </w:p>
    <w:p w14:paraId="780AFE97" w14:textId="77777777" w:rsidR="00B42019" w:rsidRDefault="00745AEC" w:rsidP="00B42019">
      <w:pPr>
        <w:spacing w:before="240" w:line="276" w:lineRule="auto"/>
        <w:jc w:val="both"/>
        <w:rPr>
          <w:rFonts w:ascii="ITC Avant Garde" w:hAnsi="ITC Avant Garde" w:cs="Arial"/>
          <w:lang w:val="es-ES"/>
        </w:rPr>
      </w:pPr>
      <w:r w:rsidRPr="00FD7BCF">
        <w:rPr>
          <w:rFonts w:ascii="ITC Avant Garde" w:eastAsia="Times New Roman" w:hAnsi="ITC Avant Garde" w:cs="Arial"/>
        </w:rPr>
        <w:t xml:space="preserve"> </w:t>
      </w:r>
    </w:p>
    <w:p w14:paraId="1DC981C2" w14:textId="77777777" w:rsidR="00B42019" w:rsidRDefault="001754AC" w:rsidP="00B42019">
      <w:pPr>
        <w:spacing w:before="240" w:line="276" w:lineRule="auto"/>
        <w:jc w:val="both"/>
        <w:rPr>
          <w:rFonts w:ascii="ITC Avant Garde" w:hAnsi="ITC Avant Garde" w:cs="Arial"/>
          <w:lang w:val="es-ES"/>
        </w:rPr>
      </w:pPr>
      <w:r w:rsidRPr="00FD7BCF">
        <w:rPr>
          <w:rFonts w:ascii="ITC Avant Garde" w:hAnsi="ITC Avant Garde" w:cs="Arial"/>
          <w:lang w:val="es-ES"/>
        </w:rPr>
        <w:t xml:space="preserve">Por su parte </w:t>
      </w:r>
      <w:r w:rsidR="007972F8" w:rsidRPr="00FD7BCF">
        <w:rPr>
          <w:rFonts w:ascii="ITC Avant Garde" w:hAnsi="ITC Avant Garde" w:cs="Arial"/>
          <w:lang w:val="es-ES"/>
        </w:rPr>
        <w:t xml:space="preserve">Telmex y </w:t>
      </w:r>
      <w:proofErr w:type="spellStart"/>
      <w:r w:rsidR="007972F8" w:rsidRPr="00FD7BCF">
        <w:rPr>
          <w:rFonts w:ascii="ITC Avant Garde" w:hAnsi="ITC Avant Garde" w:cs="Arial"/>
          <w:lang w:val="es-ES"/>
        </w:rPr>
        <w:t>Telnor</w:t>
      </w:r>
      <w:proofErr w:type="spellEnd"/>
      <w:r w:rsidR="007972F8" w:rsidRPr="00FD7BCF">
        <w:rPr>
          <w:rFonts w:ascii="ITC Avant Garde" w:hAnsi="ITC Avant Garde" w:cs="Arial"/>
          <w:lang w:val="es-ES"/>
        </w:rPr>
        <w:t>, en su</w:t>
      </w:r>
      <w:r w:rsidR="009376AE" w:rsidRPr="00FD7BCF">
        <w:rPr>
          <w:rFonts w:ascii="ITC Avant Garde" w:hAnsi="ITC Avant Garde" w:cs="Arial"/>
          <w:lang w:val="es-ES"/>
        </w:rPr>
        <w:t>s diversos</w:t>
      </w:r>
      <w:r w:rsidR="007972F8" w:rsidRPr="00FD7BCF">
        <w:rPr>
          <w:rFonts w:ascii="ITC Avant Garde" w:hAnsi="ITC Avant Garde" w:cs="Arial"/>
          <w:lang w:val="es-ES"/>
        </w:rPr>
        <w:t xml:space="preserve"> escrito</w:t>
      </w:r>
      <w:r w:rsidR="009376AE" w:rsidRPr="00FD7BCF">
        <w:rPr>
          <w:rFonts w:ascii="ITC Avant Garde" w:hAnsi="ITC Avant Garde" w:cs="Arial"/>
          <w:lang w:val="es-ES"/>
        </w:rPr>
        <w:t xml:space="preserve">s se manifiestan en desacuerdo con las tarifas propuestas por </w:t>
      </w:r>
      <w:r w:rsidR="00EC6C0B" w:rsidRPr="00FD7BCF">
        <w:rPr>
          <w:rFonts w:ascii="ITC Avant Garde" w:hAnsi="ITC Avant Garde" w:cs="Arial"/>
          <w:lang w:val="es-ES"/>
        </w:rPr>
        <w:t xml:space="preserve">Grupo Televisa y México Red </w:t>
      </w:r>
      <w:r w:rsidR="009376AE" w:rsidRPr="00FD7BCF">
        <w:rPr>
          <w:rFonts w:ascii="ITC Avant Garde" w:hAnsi="ITC Avant Garde" w:cs="Arial"/>
          <w:lang w:val="es-ES"/>
        </w:rPr>
        <w:t>en el estudio antes citado.</w:t>
      </w:r>
    </w:p>
    <w:p w14:paraId="147C4BE4" w14:textId="77777777" w:rsidR="00B42019" w:rsidRDefault="001754AC" w:rsidP="00B42019">
      <w:pPr>
        <w:spacing w:before="240" w:line="276" w:lineRule="auto"/>
        <w:jc w:val="both"/>
        <w:rPr>
          <w:rFonts w:ascii="ITC Avant Garde" w:eastAsia="Times New Roman" w:hAnsi="ITC Avant Garde"/>
          <w:b/>
        </w:rPr>
      </w:pPr>
      <w:r w:rsidRPr="00FD7BCF">
        <w:rPr>
          <w:rFonts w:ascii="ITC Avant Garde" w:eastAsia="Times New Roman" w:hAnsi="ITC Avant Garde"/>
          <w:b/>
        </w:rPr>
        <w:t xml:space="preserve">Consideraciones del Instituto </w:t>
      </w:r>
    </w:p>
    <w:p w14:paraId="4005D41E" w14:textId="77777777" w:rsidR="00B42019" w:rsidRDefault="001F6D2A" w:rsidP="00B42019">
      <w:pPr>
        <w:spacing w:before="240" w:line="276" w:lineRule="auto"/>
        <w:jc w:val="both"/>
        <w:rPr>
          <w:rFonts w:ascii="ITC Avant Garde" w:eastAsia="Times New Roman" w:hAnsi="ITC Avant Garde" w:cs="Arial"/>
          <w:iCs/>
        </w:rPr>
      </w:pPr>
      <w:r w:rsidRPr="00FD7BCF">
        <w:rPr>
          <w:rFonts w:ascii="ITC Avant Garde" w:eastAsia="Times New Roman" w:hAnsi="ITC Avant Garde" w:cs="Arial"/>
          <w:iCs/>
        </w:rPr>
        <w:t>El servicio mayorista de arrendamiento de enlaces dedicados es crucial para el desarrollo de la competencia, en el sentido de que es un insumo utilizado por el resto de los competidores para complementar sus propias redes de telecomunicaciones.</w:t>
      </w:r>
    </w:p>
    <w:p w14:paraId="417B11E2" w14:textId="77777777" w:rsidR="00B42019" w:rsidRDefault="001F6D2A" w:rsidP="00B42019">
      <w:pPr>
        <w:spacing w:before="240" w:line="276" w:lineRule="auto"/>
        <w:jc w:val="both"/>
        <w:rPr>
          <w:rFonts w:ascii="ITC Avant Garde" w:eastAsia="Times New Roman" w:hAnsi="ITC Avant Garde" w:cs="Arial"/>
          <w:iCs/>
        </w:rPr>
      </w:pPr>
      <w:r w:rsidRPr="00FD7BCF">
        <w:rPr>
          <w:rFonts w:ascii="ITC Avant Garde" w:eastAsia="Times New Roman" w:hAnsi="ITC Avant Garde" w:cs="Arial"/>
          <w:iCs/>
        </w:rPr>
        <w:t>En este sentido, al ser un elemento fundamental de las redes de telecomunicaciones, fue necesario establecer la obligación a cargo del AEP de prestar los servicios mayoristas de arrendamiento de enlaces dedicados, y que el mismo se realice bajo condiciones competitivas facilitando que los proveedores alternativos desplieguen con mayor celeridad su infraestructura propia, al evitar incurrir en elevados costos hundidos para conectar puntos de presencia para los cuales no se han generado las suficientes economías de densidad que les permitan la recuperación de la inversión de una manera rentable. Lo anterior, en los casos en que los concesionarios se encuentren interesados en desplegar su propia infraestructura y que les sea técnicamente viable.</w:t>
      </w:r>
    </w:p>
    <w:p w14:paraId="6018F0DB" w14:textId="77777777" w:rsidR="00B42019" w:rsidRDefault="001F6D2A" w:rsidP="00B42019">
      <w:pPr>
        <w:pStyle w:val="IFTnormal"/>
        <w:spacing w:before="240" w:line="276" w:lineRule="auto"/>
        <w:ind w:left="0"/>
        <w:rPr>
          <w:iCs w:val="0"/>
          <w:lang w:val="es-MX"/>
        </w:rPr>
      </w:pPr>
      <w:r w:rsidRPr="00FD7BCF">
        <w:rPr>
          <w:lang w:val="es-MX"/>
        </w:rPr>
        <w:t xml:space="preserve">Es así que, la Medida Primera contenida en las Medidas Fijas establece que las mismas serán aplicables al AEP en el sector de telecomunicaciones a través de sus integrantes que cuenten con títulos de concesión de red pública de telecomunicaciones. En el caso de Telmex y </w:t>
      </w:r>
      <w:proofErr w:type="spellStart"/>
      <w:r w:rsidRPr="00FD7BCF">
        <w:rPr>
          <w:lang w:val="es-MX"/>
        </w:rPr>
        <w:t>Telnor</w:t>
      </w:r>
      <w:proofErr w:type="spellEnd"/>
      <w:r w:rsidRPr="00FD7BCF">
        <w:rPr>
          <w:lang w:val="es-MX"/>
        </w:rPr>
        <w:t xml:space="preserve">, éstos son concesionarios de redes públicas de telecomunicaciones y por tanto se encuentran obligados al cumplimiento de las Medidas a que se refieren las Medidas Fijas, para mayor referencia, </w:t>
      </w:r>
      <w:r w:rsidRPr="00FD7BCF">
        <w:rPr>
          <w:bCs/>
          <w:lang w:val="es-MX"/>
        </w:rPr>
        <w:t>la Medida antes indicada es de la literalidad siguiente:</w:t>
      </w:r>
    </w:p>
    <w:p w14:paraId="3312791A" w14:textId="77777777" w:rsidR="00B42019" w:rsidRDefault="001F6D2A" w:rsidP="00B42019">
      <w:pPr>
        <w:spacing w:before="240" w:line="276" w:lineRule="auto"/>
        <w:ind w:left="709" w:right="612"/>
        <w:jc w:val="both"/>
        <w:rPr>
          <w:rFonts w:ascii="ITC Avant Garde" w:eastAsia="Times New Roman" w:hAnsi="ITC Avant Garde" w:cs="Arial"/>
          <w:bCs/>
          <w:i/>
          <w:iCs/>
          <w:sz w:val="18"/>
        </w:rPr>
      </w:pPr>
      <w:r w:rsidRPr="00FD7BCF">
        <w:rPr>
          <w:rFonts w:ascii="ITC Avant Garde" w:eastAsia="Times New Roman" w:hAnsi="ITC Avant Garde" w:cs="Arial"/>
          <w:bCs/>
          <w:i/>
          <w:iCs/>
          <w:sz w:val="18"/>
        </w:rPr>
        <w:lastRenderedPageBreak/>
        <w:t>“</w:t>
      </w:r>
      <w:r w:rsidRPr="00FD7BCF">
        <w:rPr>
          <w:rFonts w:ascii="ITC Avant Garde" w:eastAsia="Times New Roman" w:hAnsi="ITC Avant Garde" w:cs="Arial"/>
          <w:b/>
          <w:bCs/>
          <w:i/>
          <w:iCs/>
          <w:sz w:val="18"/>
        </w:rPr>
        <w:t>PRIMERA.-</w:t>
      </w:r>
      <w:r w:rsidRPr="00FD7BCF">
        <w:rPr>
          <w:rFonts w:ascii="ITC Avant Garde" w:eastAsia="Times New Roman" w:hAnsi="ITC Avant Garde" w:cs="Arial"/>
          <w:bCs/>
          <w:i/>
          <w:iCs/>
          <w:sz w:val="18"/>
        </w:rPr>
        <w:t xml:space="preserve"> </w:t>
      </w:r>
      <w:r w:rsidRPr="00FD7BCF">
        <w:rPr>
          <w:rFonts w:ascii="ITC Avant Garde" w:eastAsia="Times New Roman" w:hAnsi="ITC Avant Garde" w:cs="Arial"/>
          <w:i/>
          <w:iCs/>
          <w:sz w:val="18"/>
        </w:rPr>
        <w:t>Las presentes medidas serán aplicables al Agente Económico Preponderante en el sector de telecomunicaciones a través de sus integrantes que cuenten con títulos de concesión de Red Pública de Telecomunicaciones o que sean propietarios o poseedores de Infraestructura Pasiva, así como de los que lleven a cabo las actividades reguladas en el presente instrumento.”</w:t>
      </w:r>
    </w:p>
    <w:p w14:paraId="6E0D00D4" w14:textId="77777777" w:rsidR="00B42019" w:rsidRDefault="001F6D2A" w:rsidP="00B42019">
      <w:pPr>
        <w:spacing w:before="240" w:line="276" w:lineRule="auto"/>
        <w:jc w:val="both"/>
        <w:rPr>
          <w:rFonts w:ascii="ITC Avant Garde" w:eastAsia="Times New Roman" w:hAnsi="ITC Avant Garde" w:cs="Arial"/>
          <w:bCs/>
          <w:iCs/>
        </w:rPr>
      </w:pPr>
      <w:r w:rsidRPr="00FD7BCF">
        <w:rPr>
          <w:rFonts w:ascii="ITC Avant Garde" w:eastAsia="Times New Roman" w:hAnsi="ITC Avant Garde" w:cs="Arial"/>
          <w:iCs/>
        </w:rPr>
        <w:t xml:space="preserve">Asimismo, </w:t>
      </w:r>
      <w:r w:rsidRPr="00FD7BCF">
        <w:rPr>
          <w:rFonts w:ascii="ITC Avant Garde" w:eastAsia="Times New Roman" w:hAnsi="ITC Avant Garde" w:cs="Arial"/>
          <w:bCs/>
          <w:iCs/>
        </w:rPr>
        <w:t>la Medida Decimotercera de las Medidas Fijas señala:</w:t>
      </w:r>
    </w:p>
    <w:p w14:paraId="21783F55" w14:textId="77777777" w:rsidR="00B42019" w:rsidRDefault="001F6D2A" w:rsidP="00B42019">
      <w:pPr>
        <w:spacing w:before="240" w:line="276" w:lineRule="auto"/>
        <w:ind w:left="709" w:right="612"/>
        <w:jc w:val="both"/>
        <w:rPr>
          <w:rFonts w:ascii="ITC Avant Garde" w:eastAsia="Times New Roman" w:hAnsi="ITC Avant Garde" w:cs="Arial"/>
          <w:bCs/>
          <w:i/>
          <w:iCs/>
          <w:sz w:val="18"/>
        </w:rPr>
      </w:pPr>
      <w:r w:rsidRPr="00FD7BCF">
        <w:rPr>
          <w:rFonts w:ascii="ITC Avant Garde" w:eastAsia="Times New Roman" w:hAnsi="ITC Avant Garde" w:cs="Arial"/>
          <w:bCs/>
          <w:i/>
          <w:iCs/>
          <w:sz w:val="18"/>
        </w:rPr>
        <w:t>“</w:t>
      </w:r>
      <w:r w:rsidRPr="00FD7BCF">
        <w:rPr>
          <w:rFonts w:ascii="ITC Avant Garde" w:eastAsia="Times New Roman" w:hAnsi="ITC Avant Garde" w:cs="Arial"/>
          <w:b/>
          <w:bCs/>
          <w:i/>
          <w:iCs/>
          <w:sz w:val="18"/>
        </w:rPr>
        <w:t>DECIMOTERCERA.-</w:t>
      </w:r>
      <w:r w:rsidRPr="00FD7BCF">
        <w:rPr>
          <w:rFonts w:ascii="ITC Avant Garde" w:eastAsia="Times New Roman" w:hAnsi="ITC Avant Garde" w:cs="Arial"/>
          <w:bCs/>
          <w:i/>
          <w:iCs/>
          <w:sz w:val="18"/>
        </w:rPr>
        <w:t xml:space="preserve"> El Agente Económico Preponderante deberá prestar a los Concesionarios Solicitantes, el Servicio Mayorista de Arrendamiento de Enlaces Dedicados, en las mismas condiciones, plazos y la misma calidad de servicio con que prestan dichas funciones para su propia operación y a sus afiliadas, filiales, subsidiarias o empresas que pertenezcan al mismo grupo de interés económico, a cuyo efecto establecerán los mecanismos y procedimientos necesarios para mantener los niveles de calidad y seguridad acordados entre las partes.”</w:t>
      </w:r>
    </w:p>
    <w:p w14:paraId="4D0F0BC0" w14:textId="77777777" w:rsidR="00B42019" w:rsidRDefault="001F6D2A" w:rsidP="00B42019">
      <w:pPr>
        <w:spacing w:before="240" w:line="276" w:lineRule="auto"/>
        <w:jc w:val="both"/>
        <w:rPr>
          <w:rFonts w:ascii="ITC Avant Garde" w:eastAsia="Times New Roman" w:hAnsi="ITC Avant Garde" w:cs="Arial"/>
          <w:iCs/>
        </w:rPr>
      </w:pPr>
      <w:r w:rsidRPr="00FD7BCF">
        <w:rPr>
          <w:rFonts w:ascii="ITC Avant Garde" w:eastAsia="Times New Roman" w:hAnsi="ITC Avant Garde" w:cs="Arial"/>
          <w:iCs/>
        </w:rPr>
        <w:t>Con lo cual se estableció indubitablemente la obligación del AEP de prestar el Servicio Mayorista de Arrendamiento de Enlaces Dedicados.</w:t>
      </w:r>
    </w:p>
    <w:p w14:paraId="5801F5DD" w14:textId="77777777" w:rsidR="00B42019" w:rsidRDefault="001F6D2A" w:rsidP="00B42019">
      <w:pPr>
        <w:pStyle w:val="IFTTexto"/>
        <w:spacing w:before="240" w:after="160"/>
        <w:rPr>
          <w:color w:val="auto"/>
          <w:lang w:val="es-MX"/>
        </w:rPr>
      </w:pPr>
      <w:r w:rsidRPr="00FD7BCF">
        <w:rPr>
          <w:color w:val="auto"/>
          <w:lang w:val="es-MX"/>
        </w:rPr>
        <w:t>Por otra parte, la Medida Trigésima Séptima de las Medidas Fijas establece la regulación aplicable en materia de tarifas en los siguientes términos:</w:t>
      </w:r>
    </w:p>
    <w:p w14:paraId="3A66EAB1" w14:textId="30F59280" w:rsidR="00B42019" w:rsidRDefault="001F6D2A" w:rsidP="00B42019">
      <w:pPr>
        <w:spacing w:before="240" w:line="276" w:lineRule="auto"/>
        <w:ind w:left="709" w:right="612"/>
        <w:jc w:val="both"/>
        <w:rPr>
          <w:rFonts w:ascii="ITC Avant Garde" w:eastAsia="Times New Roman" w:hAnsi="ITC Avant Garde" w:cs="Arial"/>
          <w:bCs/>
          <w:i/>
          <w:iCs/>
          <w:sz w:val="18"/>
        </w:rPr>
      </w:pPr>
      <w:r w:rsidRPr="00FD7BCF">
        <w:rPr>
          <w:rFonts w:ascii="ITC Avant Garde" w:eastAsia="Times New Roman" w:hAnsi="ITC Avant Garde" w:cs="Arial"/>
          <w:b/>
          <w:bCs/>
          <w:i/>
          <w:iCs/>
          <w:sz w:val="18"/>
        </w:rPr>
        <w:t>TRIGÉSIMA SÉPTIMA.-</w:t>
      </w:r>
      <w:r w:rsidRPr="00FD7BCF">
        <w:rPr>
          <w:rFonts w:ascii="ITC Avant Garde" w:eastAsia="Times New Roman" w:hAnsi="ITC Avant Garde" w:cs="Arial"/>
          <w:bCs/>
          <w:i/>
          <w:iCs/>
          <w:sz w:val="18"/>
        </w:rPr>
        <w:t xml:space="preserve"> Las tarifas aplicables a los Servicios Mayoristas de Arrendamiento de Enlaces Dedicados Locales, Servicios Mayoristas de Arrendamiento de Enlaces Dedicados de Larga Distancia Nacional, y Servicios Mayoristas de Arrendamiento de Enlaces Dedicados de Larga Distancia Internacional, se negociarán entre el Agente Económico Preponderante y el Concesionario Solicitante. </w:t>
      </w:r>
    </w:p>
    <w:p w14:paraId="3A4166FF" w14:textId="77777777" w:rsidR="00B42019" w:rsidRDefault="001F6D2A" w:rsidP="00B42019">
      <w:pPr>
        <w:spacing w:before="240" w:line="276" w:lineRule="auto"/>
        <w:ind w:left="709" w:right="612"/>
        <w:jc w:val="both"/>
        <w:rPr>
          <w:rFonts w:ascii="ITC Avant Garde" w:eastAsia="Times New Roman" w:hAnsi="ITC Avant Garde" w:cs="Arial"/>
          <w:bCs/>
          <w:i/>
          <w:iCs/>
          <w:sz w:val="18"/>
        </w:rPr>
      </w:pPr>
      <w:r w:rsidRPr="00FD7BCF">
        <w:rPr>
          <w:rFonts w:ascii="ITC Avant Garde" w:eastAsia="Times New Roman" w:hAnsi="ITC Avant Garde" w:cs="Arial"/>
          <w:bCs/>
          <w:i/>
          <w:iCs/>
          <w:sz w:val="18"/>
        </w:rPr>
        <w:t>Transcurridos sesenta días naturales contados a partir del inicio de las negociaciones sin que las partes hayan celebrado un acuerdo, o antes si así lo solicitan ambas partes, el Instituto determinará mediante una metodología de costos evitados (</w:t>
      </w:r>
      <w:proofErr w:type="spellStart"/>
      <w:r w:rsidRPr="00FD7BCF">
        <w:rPr>
          <w:rFonts w:ascii="ITC Avant Garde" w:eastAsia="Times New Roman" w:hAnsi="ITC Avant Garde" w:cs="Arial"/>
          <w:bCs/>
          <w:i/>
          <w:iCs/>
          <w:sz w:val="18"/>
        </w:rPr>
        <w:t>retail</w:t>
      </w:r>
      <w:proofErr w:type="spellEnd"/>
      <w:r w:rsidRPr="00FD7BCF">
        <w:rPr>
          <w:rFonts w:ascii="ITC Avant Garde" w:eastAsia="Times New Roman" w:hAnsi="ITC Avant Garde" w:cs="Arial"/>
          <w:bCs/>
          <w:i/>
          <w:iCs/>
          <w:sz w:val="18"/>
        </w:rPr>
        <w:t xml:space="preserve"> </w:t>
      </w:r>
      <w:proofErr w:type="spellStart"/>
      <w:r w:rsidRPr="00FD7BCF">
        <w:rPr>
          <w:rFonts w:ascii="ITC Avant Garde" w:eastAsia="Times New Roman" w:hAnsi="ITC Avant Garde" w:cs="Arial"/>
          <w:bCs/>
          <w:i/>
          <w:iCs/>
          <w:sz w:val="18"/>
        </w:rPr>
        <w:t>minus</w:t>
      </w:r>
      <w:proofErr w:type="spellEnd"/>
      <w:r w:rsidRPr="00FD7BCF">
        <w:rPr>
          <w:rFonts w:ascii="ITC Avant Garde" w:eastAsia="Times New Roman" w:hAnsi="ITC Avant Garde" w:cs="Arial"/>
          <w:bCs/>
          <w:i/>
          <w:iCs/>
          <w:sz w:val="18"/>
        </w:rPr>
        <w:t xml:space="preserve">), a partir de los ingresos o las tarifas minoristas y, eliminando aquellos costos que no sean necesarios para la comercialización de los servicios, de tal forma que puedan ser replicadas por un operador eficiente. </w:t>
      </w:r>
    </w:p>
    <w:p w14:paraId="2D9F636E" w14:textId="77777777" w:rsidR="00B42019" w:rsidRDefault="001F6D2A" w:rsidP="00B42019">
      <w:pPr>
        <w:spacing w:before="240" w:line="276" w:lineRule="auto"/>
        <w:ind w:left="709" w:right="612"/>
        <w:jc w:val="both"/>
        <w:rPr>
          <w:rFonts w:ascii="ITC Avant Garde" w:eastAsia="Times New Roman" w:hAnsi="ITC Avant Garde" w:cs="Arial"/>
          <w:bCs/>
          <w:i/>
          <w:iCs/>
          <w:sz w:val="18"/>
        </w:rPr>
      </w:pPr>
      <w:r w:rsidRPr="00FD7BCF">
        <w:rPr>
          <w:rFonts w:ascii="ITC Avant Garde" w:eastAsia="Times New Roman" w:hAnsi="ITC Avant Garde" w:cs="Arial"/>
          <w:bCs/>
          <w:i/>
          <w:iCs/>
          <w:sz w:val="18"/>
        </w:rPr>
        <w:t>Las tarifas negociadas entre las partes o determinadas por el Instituto deberán formar parte del Convenio Servicios Mayoristas de Arrendamiento de Enlaces Dedicados, dicha información será considerada de carácter público.</w:t>
      </w:r>
    </w:p>
    <w:p w14:paraId="275A4C6D" w14:textId="77777777" w:rsidR="00B42019" w:rsidRDefault="001F6D2A" w:rsidP="00B42019">
      <w:pPr>
        <w:pStyle w:val="IFTTexto"/>
        <w:spacing w:before="240" w:after="160"/>
        <w:rPr>
          <w:color w:val="auto"/>
          <w:lang w:val="es-MX"/>
        </w:rPr>
      </w:pPr>
      <w:r w:rsidRPr="00FD7BCF">
        <w:rPr>
          <w:color w:val="auto"/>
          <w:lang w:val="es-MX"/>
        </w:rPr>
        <w:t xml:space="preserve">Es decir, la Resolución </w:t>
      </w:r>
      <w:r w:rsidR="00127741" w:rsidRPr="00FD7BCF">
        <w:rPr>
          <w:color w:val="auto"/>
          <w:lang w:val="es-MX"/>
        </w:rPr>
        <w:t xml:space="preserve">del </w:t>
      </w:r>
      <w:r w:rsidRPr="00FD7BCF">
        <w:rPr>
          <w:color w:val="auto"/>
          <w:lang w:val="es-MX"/>
        </w:rPr>
        <w:t>AEP estableció que las tarifas de los servicios mayoristas de arrendamiento de enlaces dedicados se encuentran sujetas a libre negociación de las partes; sin embargo, el Instituto previó la posibilidad de que l</w:t>
      </w:r>
      <w:r w:rsidR="009A2E39" w:rsidRPr="00FD7BCF">
        <w:rPr>
          <w:color w:val="auto"/>
          <w:lang w:val="es-MX"/>
        </w:rPr>
        <w:t>o</w:t>
      </w:r>
      <w:r w:rsidRPr="00FD7BCF">
        <w:rPr>
          <w:color w:val="auto"/>
          <w:lang w:val="es-MX"/>
        </w:rPr>
        <w:t>s concesionarios involucrados no puedan llegar a un acuerdo, en cuyo caso será el Instituto quien determinará las mismas a través de una metodología de costos evitados.</w:t>
      </w:r>
    </w:p>
    <w:p w14:paraId="0C772797" w14:textId="77777777" w:rsidR="00B42019" w:rsidRDefault="001F6D2A" w:rsidP="00B42019">
      <w:pPr>
        <w:spacing w:before="240" w:line="276" w:lineRule="auto"/>
        <w:jc w:val="both"/>
        <w:rPr>
          <w:rFonts w:ascii="ITC Avant Garde" w:hAnsi="ITC Avant Garde" w:cs="Arial"/>
          <w:lang w:val="es-ES"/>
        </w:rPr>
      </w:pPr>
      <w:r w:rsidRPr="00FD7BCF">
        <w:rPr>
          <w:rFonts w:ascii="ITC Avant Garde" w:eastAsia="Times New Roman" w:hAnsi="ITC Avant Garde"/>
          <w:b/>
          <w:szCs w:val="24"/>
          <w:lang w:eastAsia="es-ES"/>
        </w:rPr>
        <w:t>Modelo de Costos Evitados</w:t>
      </w:r>
    </w:p>
    <w:p w14:paraId="0EA03E7D" w14:textId="77777777" w:rsidR="00B42019" w:rsidRDefault="0087382C" w:rsidP="00B42019">
      <w:pPr>
        <w:pStyle w:val="IFTTexto"/>
        <w:spacing w:before="240" w:after="160"/>
        <w:rPr>
          <w:color w:val="auto"/>
          <w:lang w:val="es-ES"/>
        </w:rPr>
      </w:pPr>
      <w:r w:rsidRPr="00FD7BCF">
        <w:rPr>
          <w:color w:val="auto"/>
          <w:lang w:val="es-MX"/>
        </w:rPr>
        <w:lastRenderedPageBreak/>
        <w:t>La metodología de costos evitados (</w:t>
      </w:r>
      <w:proofErr w:type="spellStart"/>
      <w:r w:rsidRPr="00FD7BCF">
        <w:rPr>
          <w:i/>
          <w:color w:val="auto"/>
          <w:lang w:val="es-MX"/>
        </w:rPr>
        <w:t>retail</w:t>
      </w:r>
      <w:proofErr w:type="spellEnd"/>
      <w:r w:rsidRPr="00FD7BCF">
        <w:rPr>
          <w:i/>
          <w:color w:val="auto"/>
          <w:lang w:val="es-MX"/>
        </w:rPr>
        <w:t xml:space="preserve"> </w:t>
      </w:r>
      <w:proofErr w:type="spellStart"/>
      <w:r w:rsidRPr="00FD7BCF">
        <w:rPr>
          <w:i/>
          <w:color w:val="auto"/>
          <w:lang w:val="es-MX"/>
        </w:rPr>
        <w:t>minus</w:t>
      </w:r>
      <w:proofErr w:type="spellEnd"/>
      <w:r w:rsidRPr="00FD7BCF">
        <w:rPr>
          <w:color w:val="auto"/>
          <w:lang w:val="es-MX"/>
        </w:rPr>
        <w:t xml:space="preserve">), también conocida como </w:t>
      </w:r>
      <w:r w:rsidRPr="00FD7BCF">
        <w:rPr>
          <w:color w:val="auto"/>
          <w:lang w:val="es-ES"/>
        </w:rPr>
        <w:t>la Regla de precio del Componente Eficiente</w:t>
      </w:r>
      <w:r w:rsidRPr="00FD7BCF">
        <w:rPr>
          <w:color w:val="auto"/>
          <w:vertAlign w:val="superscript"/>
          <w:lang w:val="es-ES"/>
        </w:rPr>
        <w:footnoteReference w:id="2"/>
      </w:r>
      <w:r w:rsidRPr="00FD7BCF">
        <w:rPr>
          <w:color w:val="auto"/>
          <w:lang w:val="es-ES"/>
        </w:rPr>
        <w:t xml:space="preserve"> (en lo sucesivo, “ECPR”) establece que por cada servicio prestado los Concesionarios Solicitantes deben pagar el precio minorista del servicio menos los costos evitados del operador que vende el insumo, por vender directamente un servicio mayorista.</w:t>
      </w:r>
    </w:p>
    <w:p w14:paraId="074AD08D" w14:textId="2C54BA06" w:rsidR="0087382C" w:rsidRPr="00FD7BCF" w:rsidRDefault="0087382C" w:rsidP="00B42019">
      <w:pPr>
        <w:spacing w:before="240" w:line="276" w:lineRule="auto"/>
        <w:jc w:val="both"/>
        <w:rPr>
          <w:rFonts w:ascii="ITC Avant Garde" w:hAnsi="ITC Avant Garde"/>
          <w:lang w:val="es-ES"/>
        </w:rPr>
      </w:pPr>
      <w:r w:rsidRPr="00FD7BCF">
        <w:rPr>
          <w:rFonts w:ascii="ITC Avant Garde" w:hAnsi="ITC Avant Garde"/>
          <w:lang w:val="es-ES"/>
        </w:rPr>
        <w:t xml:space="preserve">La metodología </w:t>
      </w:r>
      <w:proofErr w:type="spellStart"/>
      <w:r w:rsidRPr="00FD7BCF">
        <w:rPr>
          <w:rFonts w:ascii="ITC Avant Garde" w:hAnsi="ITC Avant Garde"/>
          <w:i/>
          <w:lang w:val="es-ES"/>
        </w:rPr>
        <w:t>retail</w:t>
      </w:r>
      <w:proofErr w:type="spellEnd"/>
      <w:r w:rsidRPr="00FD7BCF">
        <w:rPr>
          <w:rFonts w:ascii="ITC Avant Garde" w:hAnsi="ITC Avant Garde"/>
          <w:i/>
          <w:lang w:val="es-ES"/>
        </w:rPr>
        <w:t xml:space="preserve"> </w:t>
      </w:r>
      <w:proofErr w:type="spellStart"/>
      <w:r w:rsidRPr="00FD7BCF">
        <w:rPr>
          <w:rFonts w:ascii="ITC Avant Garde" w:hAnsi="ITC Avant Garde"/>
          <w:i/>
          <w:lang w:val="es-ES"/>
        </w:rPr>
        <w:t>minus</w:t>
      </w:r>
      <w:proofErr w:type="spellEnd"/>
      <w:r w:rsidRPr="00FD7BCF">
        <w:rPr>
          <w:rFonts w:ascii="ITC Avant Garde" w:hAnsi="ITC Avant Garde"/>
          <w:lang w:val="es-ES"/>
        </w:rPr>
        <w:t xml:space="preserve"> utiliza como punto de partida los precios finales que fija la empresa regulada por la prestación de sus servicios, precios que le permiten realizar la recuperación de sus costos mayoristas, la recuperación de los costos minoristas como la comercialización, así como el costo de capital y otros márgenes que se obtengan por la p</w:t>
      </w:r>
      <w:r w:rsidR="002D46C1">
        <w:rPr>
          <w:rFonts w:ascii="ITC Avant Garde" w:hAnsi="ITC Avant Garde"/>
          <w:lang w:val="es-ES"/>
        </w:rPr>
        <w:t>restación de dichos servicios.</w:t>
      </w:r>
    </w:p>
    <w:p w14:paraId="29F7CBFC" w14:textId="77777777" w:rsidR="00B42019" w:rsidRDefault="0087382C" w:rsidP="00B42019">
      <w:pPr>
        <w:spacing w:before="240" w:line="276" w:lineRule="auto"/>
        <w:jc w:val="both"/>
        <w:rPr>
          <w:rFonts w:ascii="ITC Avant Garde" w:hAnsi="ITC Avant Garde"/>
          <w:lang w:val="es-ES"/>
        </w:rPr>
      </w:pPr>
      <w:r w:rsidRPr="00FD7BCF">
        <w:rPr>
          <w:rFonts w:ascii="ITC Avant Garde" w:hAnsi="ITC Avant Garde"/>
          <w:lang w:val="es-ES"/>
        </w:rPr>
        <w:t>En este sentido, al restarse los costos evitados, usualmente asociados a la prestación de las actividades minoristas, se asegura la recuperación de los costos mayoristas para la prestación de los servicios.</w:t>
      </w:r>
    </w:p>
    <w:p w14:paraId="5826200D" w14:textId="77777777" w:rsidR="00B42019" w:rsidRDefault="0087382C" w:rsidP="00B42019">
      <w:pPr>
        <w:spacing w:before="240" w:line="276" w:lineRule="auto"/>
        <w:jc w:val="both"/>
        <w:rPr>
          <w:rFonts w:ascii="ITC Avant Garde" w:hAnsi="ITC Avant Garde"/>
          <w:lang w:val="es-ES"/>
        </w:rPr>
      </w:pPr>
      <w:r w:rsidRPr="00FD7BCF">
        <w:rPr>
          <w:rFonts w:ascii="ITC Avant Garde" w:hAnsi="ITC Avant Garde"/>
          <w:lang w:val="es-ES"/>
        </w:rPr>
        <w:t>La aplicación de una metodología de costos evitados, desde un punto de vista conceptual, propicia que la empresa que provee el servicio mayorista sea indiferente entre proveer directamente el servicio final o proveer el insumo a sus competidores, ello derivado de que se mantiene el margen de beneficios mayoristas en ambas situaciones.</w:t>
      </w:r>
    </w:p>
    <w:p w14:paraId="5F144E11" w14:textId="77777777" w:rsidR="00B42019" w:rsidRDefault="0087382C" w:rsidP="00B42019">
      <w:pPr>
        <w:spacing w:before="240" w:line="276" w:lineRule="auto"/>
        <w:jc w:val="both"/>
        <w:rPr>
          <w:rFonts w:ascii="ITC Avant Garde" w:hAnsi="ITC Avant Garde"/>
          <w:lang w:val="es-ES"/>
        </w:rPr>
      </w:pPr>
      <w:r w:rsidRPr="00FD7BCF">
        <w:rPr>
          <w:rFonts w:ascii="ITC Avant Garde" w:hAnsi="ITC Avant Garde"/>
          <w:lang w:val="es-ES"/>
        </w:rPr>
        <w:t>Esto es, en el caso en que la empresa vende directamente el servicio, su ganancia es:</w:t>
      </w:r>
    </w:p>
    <w:p w14:paraId="11E019A4" w14:textId="77777777" w:rsidR="00B42019" w:rsidRDefault="00B42019" w:rsidP="00B42019">
      <w:pPr>
        <w:spacing w:before="240" w:line="276" w:lineRule="auto"/>
        <w:jc w:val="both"/>
        <w:rPr>
          <w:rFonts w:ascii="ITC Avant Garde" w:hAnsi="ITC Avant Garde"/>
          <w:lang w:val="es-ES"/>
        </w:rPr>
      </w:pPr>
      <m:oMathPara>
        <m:oMath>
          <m:sSub>
            <m:sSubPr>
              <m:ctrlPr>
                <w:rPr>
                  <w:rFonts w:ascii="Cambria Math" w:hAnsi="Cambria Math"/>
                  <w:i/>
                  <w:lang w:val="es-ES"/>
                </w:rPr>
              </m:ctrlPr>
            </m:sSubPr>
            <m:e>
              <m:sSub>
                <m:sSubPr>
                  <m:ctrlPr>
                    <w:rPr>
                      <w:rFonts w:ascii="Cambria Math" w:hAnsi="Cambria Math"/>
                      <w:i/>
                      <w:lang w:val="es-ES"/>
                    </w:rPr>
                  </m:ctrlPr>
                </m:sSubPr>
                <m:e>
                  <m:r>
                    <w:rPr>
                      <w:rFonts w:ascii="Cambria Math" w:hAnsi="Cambria Math"/>
                      <w:lang w:val="es-ES"/>
                    </w:rPr>
                    <m:t>π</m:t>
                  </m:r>
                </m:e>
                <m:sub>
                  <m:r>
                    <w:rPr>
                      <w:rFonts w:ascii="Cambria Math" w:hAnsi="Cambria Math"/>
                      <w:lang w:val="es-ES"/>
                    </w:rPr>
                    <m:t>1</m:t>
                  </m:r>
                </m:sub>
              </m:sSub>
              <m:r>
                <w:rPr>
                  <w:rFonts w:ascii="Cambria Math" w:hAnsi="Cambria Math"/>
                  <w:lang w:val="es-ES"/>
                </w:rPr>
                <m:t>=p</m:t>
              </m:r>
            </m:e>
            <m:sub>
              <m:r>
                <w:rPr>
                  <w:rFonts w:ascii="Cambria Math" w:hAnsi="Cambria Math"/>
                  <w:lang w:val="es-ES"/>
                </w:rPr>
                <m:t>1</m:t>
              </m:r>
            </m:sub>
          </m:sSub>
          <m:r>
            <w:rPr>
              <w:rFonts w:ascii="Cambria Math" w:hAnsi="Cambria Math"/>
              <w:lang w:val="es-ES"/>
            </w:rPr>
            <m:t>-</m:t>
          </m:r>
          <m:d>
            <m:dPr>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c</m:t>
                  </m:r>
                </m:e>
                <m:sub>
                  <m:r>
                    <w:rPr>
                      <w:rFonts w:ascii="Cambria Math" w:hAnsi="Cambria Math"/>
                      <w:lang w:val="es-ES"/>
                    </w:rPr>
                    <m:t>0</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c</m:t>
                  </m:r>
                </m:e>
                <m:sub>
                  <m:r>
                    <w:rPr>
                      <w:rFonts w:ascii="Cambria Math" w:hAnsi="Cambria Math"/>
                      <w:lang w:val="es-ES"/>
                    </w:rPr>
                    <m:t>1</m:t>
                  </m:r>
                </m:sub>
              </m:sSub>
            </m:e>
          </m:d>
        </m:oMath>
      </m:oMathPara>
    </w:p>
    <w:p w14:paraId="7072A7EA" w14:textId="2903CD1A" w:rsidR="0087382C" w:rsidRPr="00FD7BCF" w:rsidRDefault="0087382C" w:rsidP="00B42019">
      <w:pPr>
        <w:spacing w:before="240" w:line="276" w:lineRule="auto"/>
        <w:jc w:val="both"/>
        <w:rPr>
          <w:rFonts w:ascii="ITC Avant Garde" w:hAnsi="ITC Avant Garde"/>
          <w:lang w:val="es-ES"/>
        </w:rPr>
      </w:pPr>
      <w:r w:rsidRPr="00FD7BCF">
        <w:rPr>
          <w:rFonts w:ascii="ITC Avant Garde" w:hAnsi="ITC Avant Garde"/>
          <w:lang w:val="es-ES"/>
        </w:rPr>
        <w:t>Donde:</w:t>
      </w:r>
    </w:p>
    <w:p w14:paraId="79A0A667" w14:textId="77777777" w:rsidR="0087382C" w:rsidRPr="00FD7BCF" w:rsidRDefault="00B42019" w:rsidP="00B42019">
      <w:pPr>
        <w:spacing w:before="240" w:line="276" w:lineRule="auto"/>
        <w:ind w:firstLine="709"/>
        <w:jc w:val="both"/>
        <w:rPr>
          <w:rFonts w:ascii="ITC Avant Garde" w:hAnsi="ITC Avant Garde"/>
          <w:lang w:val="es-ES"/>
        </w:rPr>
      </w:pPr>
      <m:oMath>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1</m:t>
            </m:r>
          </m:sub>
        </m:sSub>
      </m:oMath>
      <w:r w:rsidR="0087382C" w:rsidRPr="00FD7BCF">
        <w:rPr>
          <w:rFonts w:ascii="ITC Avant Garde" w:hAnsi="ITC Avant Garde"/>
          <w:lang w:val="es-ES"/>
        </w:rPr>
        <w:t xml:space="preserve">  </w:t>
      </w:r>
      <w:proofErr w:type="gramStart"/>
      <w:r w:rsidR="0087382C" w:rsidRPr="00FD7BCF">
        <w:rPr>
          <w:rFonts w:ascii="ITC Avant Garde" w:hAnsi="ITC Avant Garde"/>
          <w:lang w:val="es-ES"/>
        </w:rPr>
        <w:t>es</w:t>
      </w:r>
      <w:proofErr w:type="gramEnd"/>
      <w:r w:rsidR="0087382C" w:rsidRPr="00FD7BCF">
        <w:rPr>
          <w:rFonts w:ascii="ITC Avant Garde" w:hAnsi="ITC Avant Garde"/>
          <w:lang w:val="es-ES"/>
        </w:rPr>
        <w:t xml:space="preserve"> el precio minorista,</w:t>
      </w:r>
    </w:p>
    <w:p w14:paraId="231CBAED" w14:textId="77777777" w:rsidR="0087382C" w:rsidRPr="00FD7BCF" w:rsidRDefault="00B42019" w:rsidP="00B42019">
      <w:pPr>
        <w:spacing w:before="240" w:line="276" w:lineRule="auto"/>
        <w:ind w:firstLine="709"/>
        <w:jc w:val="both"/>
        <w:rPr>
          <w:rFonts w:ascii="ITC Avant Garde" w:hAnsi="ITC Avant Garde"/>
          <w:lang w:val="es-ES"/>
        </w:rPr>
      </w:pPr>
      <m:oMath>
        <m:sSub>
          <m:sSubPr>
            <m:ctrlPr>
              <w:rPr>
                <w:rFonts w:ascii="Cambria Math" w:hAnsi="Cambria Math"/>
                <w:i/>
                <w:lang w:val="es-ES"/>
              </w:rPr>
            </m:ctrlPr>
          </m:sSubPr>
          <m:e>
            <m:r>
              <w:rPr>
                <w:rFonts w:ascii="Cambria Math" w:hAnsi="Cambria Math"/>
                <w:lang w:val="es-ES"/>
              </w:rPr>
              <m:t>c</m:t>
            </m:r>
          </m:e>
          <m:sub>
            <m:r>
              <w:rPr>
                <w:rFonts w:ascii="Cambria Math" w:hAnsi="Cambria Math"/>
                <w:lang w:val="es-ES"/>
              </w:rPr>
              <m:t>0</m:t>
            </m:r>
          </m:sub>
        </m:sSub>
        <m:r>
          <w:rPr>
            <w:rFonts w:ascii="Cambria Math" w:hAnsi="Cambria Math"/>
            <w:lang w:val="es-ES"/>
          </w:rPr>
          <m:t xml:space="preserve">  </m:t>
        </m:r>
      </m:oMath>
      <w:proofErr w:type="gramStart"/>
      <w:r w:rsidR="0087382C" w:rsidRPr="00FD7BCF">
        <w:rPr>
          <w:rFonts w:ascii="ITC Avant Garde" w:hAnsi="ITC Avant Garde"/>
          <w:lang w:val="es-ES"/>
        </w:rPr>
        <w:t>es</w:t>
      </w:r>
      <w:proofErr w:type="gramEnd"/>
      <w:r w:rsidR="0087382C" w:rsidRPr="00FD7BCF">
        <w:rPr>
          <w:rFonts w:ascii="ITC Avant Garde" w:hAnsi="ITC Avant Garde"/>
          <w:lang w:val="es-ES"/>
        </w:rPr>
        <w:t xml:space="preserve"> el costo de proveer el servicio, o costo mayorista,</w:t>
      </w:r>
    </w:p>
    <w:p w14:paraId="256675E9" w14:textId="77777777" w:rsidR="00B42019" w:rsidRDefault="00B42019" w:rsidP="00B42019">
      <w:pPr>
        <w:spacing w:before="240" w:line="276" w:lineRule="auto"/>
        <w:ind w:left="709"/>
        <w:jc w:val="both"/>
        <w:rPr>
          <w:rFonts w:ascii="ITC Avant Garde" w:hAnsi="ITC Avant Garde"/>
          <w:lang w:val="es-ES"/>
        </w:rPr>
      </w:pPr>
      <m:oMath>
        <m:sSub>
          <m:sSubPr>
            <m:ctrlPr>
              <w:rPr>
                <w:rFonts w:ascii="Cambria Math" w:hAnsi="Cambria Math"/>
                <w:i/>
                <w:lang w:val="es-ES"/>
              </w:rPr>
            </m:ctrlPr>
          </m:sSubPr>
          <m:e>
            <m:r>
              <w:rPr>
                <w:rFonts w:ascii="Cambria Math" w:hAnsi="Cambria Math"/>
                <w:lang w:val="es-ES"/>
              </w:rPr>
              <m:t>c</m:t>
            </m:r>
          </m:e>
          <m:sub>
            <m:r>
              <w:rPr>
                <w:rFonts w:ascii="Cambria Math" w:hAnsi="Cambria Math"/>
                <w:lang w:val="es-ES"/>
              </w:rPr>
              <m:t>1</m:t>
            </m:r>
          </m:sub>
        </m:sSub>
      </m:oMath>
      <w:r w:rsidR="0087382C" w:rsidRPr="00FD7BCF">
        <w:rPr>
          <w:rFonts w:ascii="ITC Avant Garde" w:hAnsi="ITC Avant Garde"/>
          <w:lang w:val="es-ES"/>
        </w:rPr>
        <w:t xml:space="preserve"> </w:t>
      </w:r>
      <w:proofErr w:type="gramStart"/>
      <w:r w:rsidR="0087382C" w:rsidRPr="00FD7BCF">
        <w:rPr>
          <w:rFonts w:ascii="ITC Avant Garde" w:hAnsi="ITC Avant Garde"/>
          <w:lang w:val="es-ES"/>
        </w:rPr>
        <w:t>es</w:t>
      </w:r>
      <w:proofErr w:type="gramEnd"/>
      <w:r w:rsidR="0087382C" w:rsidRPr="00FD7BCF">
        <w:rPr>
          <w:rFonts w:ascii="ITC Avant Garde" w:hAnsi="ITC Avant Garde"/>
          <w:lang w:val="es-ES"/>
        </w:rPr>
        <w:t xml:space="preserve"> el costo relacionado con la comercialización del se</w:t>
      </w:r>
      <w:proofErr w:type="spellStart"/>
      <w:r w:rsidR="0087382C" w:rsidRPr="00FD7BCF">
        <w:rPr>
          <w:rFonts w:ascii="ITC Avant Garde" w:hAnsi="ITC Avant Garde"/>
          <w:lang w:val="es-ES"/>
        </w:rPr>
        <w:t>rvicio</w:t>
      </w:r>
      <w:proofErr w:type="spellEnd"/>
      <w:r w:rsidR="0087382C" w:rsidRPr="00FD7BCF">
        <w:rPr>
          <w:rFonts w:ascii="ITC Avant Garde" w:hAnsi="ITC Avant Garde"/>
          <w:lang w:val="es-ES"/>
        </w:rPr>
        <w:t xml:space="preserve"> en el mercado minorista.</w:t>
      </w:r>
    </w:p>
    <w:p w14:paraId="5DAF8B60" w14:textId="77777777" w:rsidR="00B42019" w:rsidRDefault="0087382C" w:rsidP="00B42019">
      <w:pPr>
        <w:spacing w:before="240" w:line="276" w:lineRule="auto"/>
        <w:jc w:val="both"/>
        <w:rPr>
          <w:rFonts w:ascii="ITC Avant Garde" w:hAnsi="ITC Avant Garde"/>
          <w:lang w:val="es-ES"/>
        </w:rPr>
      </w:pPr>
      <w:r w:rsidRPr="00FD7BCF">
        <w:rPr>
          <w:rFonts w:ascii="ITC Avant Garde" w:hAnsi="ITC Avant Garde"/>
          <w:lang w:val="es-ES"/>
        </w:rPr>
        <w:t>Mientras que cuando vende el insumo a sus competidores, su ganancia es:</w:t>
      </w:r>
    </w:p>
    <w:p w14:paraId="5E39D833" w14:textId="77777777" w:rsidR="00B42019" w:rsidRDefault="00B42019" w:rsidP="00B42019">
      <w:pPr>
        <w:spacing w:before="240" w:line="276" w:lineRule="auto"/>
        <w:jc w:val="center"/>
        <w:rPr>
          <w:rFonts w:ascii="ITC Avant Garde" w:eastAsiaTheme="minorEastAsia" w:hAnsi="ITC Avant Garde"/>
          <w:lang w:val="es-ES"/>
        </w:rPr>
      </w:pPr>
      <m:oMathPara>
        <m:oMath>
          <m:sSub>
            <m:sSubPr>
              <m:ctrlPr>
                <w:rPr>
                  <w:rFonts w:ascii="Cambria Math" w:hAnsi="Cambria Math"/>
                  <w:i/>
                  <w:lang w:val="es-ES"/>
                </w:rPr>
              </m:ctrlPr>
            </m:sSubPr>
            <m:e>
              <m:r>
                <w:rPr>
                  <w:rFonts w:ascii="Cambria Math" w:hAnsi="Cambria Math"/>
                  <w:lang w:val="es-ES"/>
                </w:rPr>
                <m:t>π</m:t>
              </m:r>
            </m:e>
            <m:sub>
              <m:r>
                <w:rPr>
                  <w:rFonts w:ascii="Cambria Math" w:hAnsi="Cambria Math"/>
                  <w:lang w:val="es-ES"/>
                </w:rPr>
                <m:t>2</m:t>
              </m:r>
            </m:sub>
          </m:sSub>
          <m:r>
            <w:rPr>
              <w:rFonts w:ascii="Cambria Math" w:hAnsi="Cambria Math"/>
              <w:lang w:val="es-ES"/>
            </w:rPr>
            <m:t>=a-</m:t>
          </m:r>
          <m:sSub>
            <m:sSubPr>
              <m:ctrlPr>
                <w:rPr>
                  <w:rFonts w:ascii="Cambria Math" w:hAnsi="Cambria Math"/>
                  <w:i/>
                  <w:lang w:val="es-ES"/>
                </w:rPr>
              </m:ctrlPr>
            </m:sSubPr>
            <m:e>
              <m:r>
                <w:rPr>
                  <w:rFonts w:ascii="Cambria Math" w:hAnsi="Cambria Math"/>
                  <w:lang w:val="es-ES"/>
                </w:rPr>
                <m:t>c</m:t>
              </m:r>
            </m:e>
            <m:sub>
              <m:r>
                <w:rPr>
                  <w:rFonts w:ascii="Cambria Math" w:hAnsi="Cambria Math"/>
                  <w:lang w:val="es-ES"/>
                </w:rPr>
                <m:t>0</m:t>
              </m:r>
            </m:sub>
          </m:sSub>
        </m:oMath>
      </m:oMathPara>
    </w:p>
    <w:p w14:paraId="57819F05" w14:textId="77777777" w:rsidR="00B42019" w:rsidRDefault="0087382C" w:rsidP="00B42019">
      <w:pPr>
        <w:spacing w:before="240" w:line="276" w:lineRule="auto"/>
        <w:jc w:val="both"/>
        <w:rPr>
          <w:rFonts w:ascii="ITC Avant Garde" w:hAnsi="ITC Avant Garde"/>
          <w:lang w:val="es-ES"/>
        </w:rPr>
      </w:pPr>
      <w:r w:rsidRPr="00FD7BCF">
        <w:rPr>
          <w:rFonts w:ascii="ITC Avant Garde" w:hAnsi="ITC Avant Garde"/>
          <w:lang w:val="es-ES"/>
        </w:rPr>
        <w:t xml:space="preserve">Donde </w:t>
      </w:r>
      <m:oMath>
        <m:r>
          <w:rPr>
            <w:rFonts w:ascii="Cambria Math" w:hAnsi="Cambria Math"/>
            <w:lang w:val="es-ES"/>
          </w:rPr>
          <m:t>a</m:t>
        </m:r>
      </m:oMath>
      <w:r w:rsidRPr="00FD7BCF">
        <w:rPr>
          <w:rFonts w:ascii="ITC Avant Garde" w:hAnsi="ITC Avant Garde"/>
          <w:lang w:val="es-ES"/>
        </w:rPr>
        <w:t xml:space="preserve"> es el precio mayorista del insumo, también conocido como precio de acceso.</w:t>
      </w:r>
    </w:p>
    <w:p w14:paraId="005C3803" w14:textId="77777777" w:rsidR="00B42019" w:rsidRDefault="0087382C" w:rsidP="00B42019">
      <w:pPr>
        <w:spacing w:before="240" w:line="276" w:lineRule="auto"/>
        <w:jc w:val="both"/>
        <w:rPr>
          <w:rFonts w:ascii="ITC Avant Garde" w:hAnsi="ITC Avant Garde"/>
          <w:lang w:val="es-ES"/>
        </w:rPr>
      </w:pPr>
      <w:r w:rsidRPr="00FD7BCF">
        <w:rPr>
          <w:rFonts w:ascii="ITC Avant Garde" w:hAnsi="ITC Avant Garde"/>
          <w:lang w:val="es-ES"/>
        </w:rPr>
        <w:lastRenderedPageBreak/>
        <w:t xml:space="preserve">De esta forma, para que la empresa obtenga al menos la ganancia que obtendría en el mercado minorista, se debe de cumplir que: </w:t>
      </w:r>
    </w:p>
    <w:p w14:paraId="079B1A5F" w14:textId="77777777" w:rsidR="00B42019" w:rsidRDefault="00B42019" w:rsidP="00B42019">
      <w:pPr>
        <w:spacing w:before="240" w:line="276" w:lineRule="auto"/>
        <w:jc w:val="both"/>
        <w:rPr>
          <w:rFonts w:ascii="ITC Avant Garde" w:eastAsiaTheme="minorEastAsia" w:hAnsi="ITC Avant Garde"/>
          <w:lang w:val="es-ES"/>
        </w:rPr>
      </w:pPr>
      <m:oMathPara>
        <m:oMath>
          <m:sSub>
            <m:sSubPr>
              <m:ctrlPr>
                <w:rPr>
                  <w:rFonts w:ascii="Cambria Math" w:hAnsi="Cambria Math"/>
                  <w:i/>
                  <w:lang w:val="es-ES"/>
                </w:rPr>
              </m:ctrlPr>
            </m:sSubPr>
            <m:e>
              <m:r>
                <w:rPr>
                  <w:rFonts w:ascii="Cambria Math" w:hAnsi="Cambria Math"/>
                  <w:lang w:val="es-ES"/>
                </w:rPr>
                <m:t>π</m:t>
              </m:r>
            </m:e>
            <m:sub>
              <m:r>
                <w:rPr>
                  <w:rFonts w:ascii="Cambria Math" w:hAnsi="Cambria Math"/>
                  <w:lang w:val="es-ES"/>
                </w:rPr>
                <m:t>2</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π</m:t>
              </m:r>
            </m:e>
            <m:sub>
              <m:r>
                <w:rPr>
                  <w:rFonts w:ascii="Cambria Math" w:hAnsi="Cambria Math"/>
                  <w:lang w:val="es-ES"/>
                </w:rPr>
                <m:t>1</m:t>
              </m:r>
            </m:sub>
          </m:sSub>
        </m:oMath>
      </m:oMathPara>
    </w:p>
    <w:p w14:paraId="54917707" w14:textId="1A368912" w:rsidR="00B42019" w:rsidRDefault="0087382C" w:rsidP="00B42019">
      <w:pPr>
        <w:spacing w:before="240" w:line="276" w:lineRule="auto"/>
        <w:jc w:val="both"/>
        <w:rPr>
          <w:rFonts w:ascii="ITC Avant Garde" w:eastAsiaTheme="minorEastAsia" w:hAnsi="ITC Avant Garde"/>
          <w:lang w:val="es-ES"/>
        </w:rPr>
      </w:pPr>
      <m:oMathPara>
        <m:oMath>
          <m:r>
            <w:rPr>
              <w:rFonts w:ascii="Cambria Math" w:hAnsi="Cambria Math"/>
              <w:lang w:val="es-ES"/>
            </w:rPr>
            <m:t>a-</m:t>
          </m:r>
          <m:sSub>
            <m:sSubPr>
              <m:ctrlPr>
                <w:rPr>
                  <w:rFonts w:ascii="Cambria Math" w:hAnsi="Cambria Math"/>
                  <w:i/>
                  <w:lang w:val="es-ES"/>
                </w:rPr>
              </m:ctrlPr>
            </m:sSubPr>
            <m:e>
              <m:r>
                <w:rPr>
                  <w:rFonts w:ascii="Cambria Math" w:hAnsi="Cambria Math"/>
                  <w:lang w:val="es-ES"/>
                </w:rPr>
                <m:t>c</m:t>
              </m:r>
            </m:e>
            <m:sub>
              <m:r>
                <w:rPr>
                  <w:rFonts w:ascii="Cambria Math" w:hAnsi="Cambria Math"/>
                  <w:lang w:val="es-ES"/>
                </w:rPr>
                <m:t>0</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1</m:t>
              </m:r>
            </m:sub>
          </m:sSub>
          <m:r>
            <w:rPr>
              <w:rFonts w:ascii="Cambria Math" w:hAnsi="Cambria Math"/>
              <w:lang w:val="es-ES"/>
            </w:rPr>
            <m:t>-</m:t>
          </m:r>
          <m:d>
            <m:dPr>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c</m:t>
                  </m:r>
                </m:e>
                <m:sub>
                  <m:r>
                    <w:rPr>
                      <w:rFonts w:ascii="Cambria Math" w:hAnsi="Cambria Math"/>
                      <w:lang w:val="es-ES"/>
                    </w:rPr>
                    <m:t>0</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c</m:t>
                  </m:r>
                </m:e>
                <m:sub>
                  <m:r>
                    <w:rPr>
                      <w:rFonts w:ascii="Cambria Math" w:hAnsi="Cambria Math"/>
                      <w:lang w:val="es-ES"/>
                    </w:rPr>
                    <m:t>1</m:t>
                  </m:r>
                </m:sub>
              </m:sSub>
            </m:e>
          </m:d>
          <m:r>
            <w:rPr>
              <w:rFonts w:ascii="Cambria Math" w:hAnsi="Cambria Math"/>
              <w:lang w:val="es-ES"/>
            </w:rPr>
            <m:t xml:space="preserve"> </m:t>
          </m:r>
        </m:oMath>
      </m:oMathPara>
    </w:p>
    <w:p w14:paraId="17628FFA" w14:textId="77777777" w:rsidR="00B42019" w:rsidRDefault="0087382C" w:rsidP="00B42019">
      <w:pPr>
        <w:spacing w:before="240" w:line="276" w:lineRule="auto"/>
        <w:jc w:val="both"/>
        <w:rPr>
          <w:rFonts w:ascii="ITC Avant Garde" w:hAnsi="ITC Avant Garde"/>
          <w:lang w:val="es-ES"/>
        </w:rPr>
      </w:pPr>
      <m:oMathPara>
        <m:oMath>
          <m:r>
            <w:rPr>
              <w:rFonts w:ascii="Cambria Math" w:hAnsi="Cambria Math"/>
              <w:lang w:val="es-ES"/>
            </w:rPr>
            <m:t xml:space="preserve"> a≥</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c</m:t>
              </m:r>
            </m:e>
            <m:sub>
              <m:r>
                <w:rPr>
                  <w:rFonts w:ascii="Cambria Math" w:hAnsi="Cambria Math"/>
                  <w:lang w:val="es-ES"/>
                </w:rPr>
                <m:t>1</m:t>
              </m:r>
            </m:sub>
          </m:sSub>
        </m:oMath>
      </m:oMathPara>
    </w:p>
    <w:p w14:paraId="0044B64A" w14:textId="77777777" w:rsidR="00B42019" w:rsidRDefault="0087382C" w:rsidP="00B42019">
      <w:pPr>
        <w:spacing w:before="240" w:line="276" w:lineRule="auto"/>
        <w:jc w:val="both"/>
        <w:rPr>
          <w:rFonts w:ascii="ITC Avant Garde" w:hAnsi="ITC Avant Garde"/>
          <w:lang w:val="es-ES"/>
        </w:rPr>
      </w:pPr>
      <w:r w:rsidRPr="00FD7BCF">
        <w:rPr>
          <w:rFonts w:ascii="ITC Avant Garde" w:hAnsi="ITC Avant Garde"/>
          <w:lang w:val="es-ES"/>
        </w:rPr>
        <w:t>De las expresiones anteriores se observa que el precio del servicio mayorista tiene que ser mayor o igual a la diferencia entre el precio al que ofrece el servicio en el mercado minorista y los costos minoristas evitados por la empresa al ofrecer el servicio en el mercado mayorista.</w:t>
      </w:r>
    </w:p>
    <w:p w14:paraId="01FBFAEC" w14:textId="031CBB29" w:rsidR="00B42019" w:rsidRDefault="0087382C" w:rsidP="00B42019">
      <w:pPr>
        <w:pStyle w:val="Descripcin"/>
        <w:tabs>
          <w:tab w:val="left" w:pos="7440"/>
        </w:tabs>
        <w:spacing w:before="240" w:after="160" w:line="276" w:lineRule="auto"/>
        <w:rPr>
          <w:rFonts w:ascii="ITC Avant Garde" w:hAnsi="ITC Avant Garde"/>
          <w:lang w:val="es-ES_tradnl"/>
        </w:rPr>
      </w:pPr>
      <w:r w:rsidRPr="00FD7BCF">
        <w:rPr>
          <w:rFonts w:ascii="ITC Avant Garde" w:hAnsi="ITC Avant Garde"/>
          <w:lang w:val="es-ES_tradnl"/>
        </w:rPr>
        <w:t>Figura 1: Costos evitados [Fuente: IFT, 2016]</w:t>
      </w:r>
      <w:r w:rsidRPr="00FD7BCF">
        <w:rPr>
          <w:rFonts w:ascii="ITC Avant Garde" w:hAnsi="ITC Avant Garde"/>
          <w:lang w:val="es-ES_tradnl"/>
        </w:rPr>
        <w:tab/>
      </w:r>
    </w:p>
    <w:p w14:paraId="7315832C" w14:textId="77777777" w:rsidR="00B42019" w:rsidRDefault="0087382C" w:rsidP="00B42019">
      <w:pPr>
        <w:spacing w:before="240" w:line="276" w:lineRule="auto"/>
        <w:jc w:val="center"/>
        <w:rPr>
          <w:rFonts w:ascii="ITC Avant Garde" w:hAnsi="ITC Avant Garde"/>
          <w:lang w:val="es-ES"/>
        </w:rPr>
      </w:pPr>
      <w:r w:rsidRPr="00FD7BCF">
        <w:rPr>
          <w:noProof/>
          <w:sz w:val="18"/>
          <w:szCs w:val="18"/>
          <w:lang w:eastAsia="es-MX"/>
        </w:rPr>
        <w:drawing>
          <wp:inline distT="0" distB="0" distL="0" distR="0" wp14:anchorId="13E94F9B" wp14:editId="1B192256">
            <wp:extent cx="3253563" cy="2326325"/>
            <wp:effectExtent l="0" t="0" r="0" b="0"/>
            <wp:docPr id="1" name="Imagen 1" descr="La imagen se rfiere a una gráfica que muestra el precio minorista." title="Costos evitad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8925" cy="2330159"/>
                    </a:xfrm>
                    <a:prstGeom prst="rect">
                      <a:avLst/>
                    </a:prstGeom>
                    <a:noFill/>
                    <a:ln>
                      <a:noFill/>
                    </a:ln>
                  </pic:spPr>
                </pic:pic>
              </a:graphicData>
            </a:graphic>
          </wp:inline>
        </w:drawing>
      </w:r>
    </w:p>
    <w:p w14:paraId="5F237C64" w14:textId="17069882" w:rsidR="00B42019" w:rsidRDefault="0087382C" w:rsidP="00B42019">
      <w:pPr>
        <w:spacing w:before="240" w:line="276" w:lineRule="auto"/>
        <w:jc w:val="both"/>
        <w:rPr>
          <w:rFonts w:ascii="ITC Avant Garde" w:hAnsi="ITC Avant Garde"/>
        </w:rPr>
      </w:pPr>
      <w:r w:rsidRPr="00FD7BCF">
        <w:rPr>
          <w:rFonts w:ascii="ITC Avant Garde" w:hAnsi="ITC Avant Garde"/>
        </w:rPr>
        <w:t>En este punto es importante señalar que una empresa que detenta una alta participación de mercado, derivada de que la capilaridad de su red no es fácilmente replicable por otras empresas, puede incurrir en ineficiencias en la prestación de los servicios finales al no enfrentar competencia en determinado servicio; en este sentido, existe la posibilidad de que otra empresa que sea más eficiente en la comercialización de servicios pueda entrar a revender los servicios a menores precios finales.</w:t>
      </w:r>
    </w:p>
    <w:p w14:paraId="040267C2"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 xml:space="preserve">Es en este sentido que la metodología </w:t>
      </w:r>
      <w:proofErr w:type="spellStart"/>
      <w:r w:rsidRPr="00FD7BCF">
        <w:rPr>
          <w:rFonts w:ascii="ITC Avant Garde" w:hAnsi="ITC Avant Garde"/>
          <w:i/>
        </w:rPr>
        <w:t>retail</w:t>
      </w:r>
      <w:proofErr w:type="spellEnd"/>
      <w:r w:rsidRPr="00FD7BCF">
        <w:rPr>
          <w:rFonts w:ascii="ITC Avant Garde" w:hAnsi="ITC Avant Garde"/>
          <w:i/>
        </w:rPr>
        <w:t xml:space="preserve"> </w:t>
      </w:r>
      <w:proofErr w:type="spellStart"/>
      <w:r w:rsidRPr="00FD7BCF">
        <w:rPr>
          <w:rFonts w:ascii="ITC Avant Garde" w:hAnsi="ITC Avant Garde"/>
          <w:i/>
        </w:rPr>
        <w:t>minus</w:t>
      </w:r>
      <w:proofErr w:type="spellEnd"/>
      <w:r w:rsidRPr="00FD7BCF">
        <w:rPr>
          <w:rFonts w:ascii="ITC Avant Garde" w:hAnsi="ITC Avant Garde"/>
        </w:rPr>
        <w:t xml:space="preserve"> permite la entrada de empresas eficientes que permitan la prestación de los servicios a mejores precios al usuario final.</w:t>
      </w:r>
    </w:p>
    <w:p w14:paraId="6EC0F262" w14:textId="77777777" w:rsidR="00B42019" w:rsidRDefault="0087382C" w:rsidP="00B42019">
      <w:pPr>
        <w:pStyle w:val="IFTTexto"/>
        <w:spacing w:before="240" w:after="160"/>
        <w:rPr>
          <w:snapToGrid w:val="0"/>
          <w:color w:val="auto"/>
        </w:rPr>
      </w:pPr>
      <w:r w:rsidRPr="00FD7BCF">
        <w:rPr>
          <w:color w:val="auto"/>
          <w:lang w:val="es-MX"/>
        </w:rPr>
        <w:t xml:space="preserve">Es así que el modelo de costos evitados parte de la tarifa que cobra el AEP a sus usuarios finales, calculando </w:t>
      </w:r>
      <w:r w:rsidRPr="00FD7BCF">
        <w:rPr>
          <w:snapToGrid w:val="0"/>
          <w:color w:val="auto"/>
        </w:rPr>
        <w:t xml:space="preserve">los costos evitados del AEP en caso de que éste prestara un determinado servicio sólo en el mercado mayorista. </w:t>
      </w:r>
    </w:p>
    <w:p w14:paraId="043FDDE6" w14:textId="77777777" w:rsidR="00B42019" w:rsidRDefault="0087382C" w:rsidP="00B42019">
      <w:pPr>
        <w:pStyle w:val="IFTTexto"/>
        <w:numPr>
          <w:ilvl w:val="1"/>
          <w:numId w:val="24"/>
        </w:numPr>
        <w:spacing w:before="240" w:after="160"/>
        <w:ind w:left="567" w:hanging="567"/>
        <w:rPr>
          <w:b/>
          <w:snapToGrid w:val="0"/>
          <w:color w:val="auto"/>
          <w:lang w:val="es-MX"/>
        </w:rPr>
      </w:pPr>
      <w:r w:rsidRPr="00FD7BCF">
        <w:rPr>
          <w:b/>
          <w:snapToGrid w:val="0"/>
          <w:color w:val="auto"/>
          <w:lang w:val="es-MX"/>
        </w:rPr>
        <w:lastRenderedPageBreak/>
        <w:t>Aspectos metodológicos para calcular el precio de referencia y los costos evitados por el Agente Económico Preponderante.</w:t>
      </w:r>
    </w:p>
    <w:p w14:paraId="5CFC9043"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 xml:space="preserve">Bajo el enfoque de costos evitados resulta necesario conocer los precios de referencia por servicio que obtiene el proveedor del servicio, así como los costos en los que éste no incurriría al prestar estos servicios, en comparación con la prestación de servicios minoristas, por lo que la metodología empleada deberá permitir definir estos dos elementos. </w:t>
      </w:r>
    </w:p>
    <w:p w14:paraId="4568A5E0" w14:textId="77777777" w:rsidR="00B42019" w:rsidRDefault="0087382C" w:rsidP="00B42019">
      <w:pPr>
        <w:pStyle w:val="IFTTexto"/>
        <w:numPr>
          <w:ilvl w:val="2"/>
          <w:numId w:val="24"/>
        </w:numPr>
        <w:spacing w:before="240" w:after="160"/>
        <w:ind w:hanging="798"/>
        <w:rPr>
          <w:b/>
          <w:snapToGrid w:val="0"/>
          <w:color w:val="auto"/>
          <w:lang w:val="es-MX"/>
        </w:rPr>
      </w:pPr>
      <w:r w:rsidRPr="00FD7BCF">
        <w:rPr>
          <w:b/>
          <w:snapToGrid w:val="0"/>
          <w:color w:val="auto"/>
          <w:lang w:val="es-MX"/>
        </w:rPr>
        <w:t>Determinación de los precios de referencia del Agente Económico Preponderante</w:t>
      </w:r>
    </w:p>
    <w:p w14:paraId="3CF662D2"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 xml:space="preserve">Los precios de referencia por los servicios se determinan con base en los precios de lista que </w:t>
      </w:r>
      <w:r w:rsidR="00D36DB5" w:rsidRPr="00FD7BCF">
        <w:rPr>
          <w:rFonts w:ascii="ITC Avant Garde" w:hAnsi="ITC Avant Garde"/>
        </w:rPr>
        <w:t>Telmex</w:t>
      </w:r>
      <w:r w:rsidR="00237713" w:rsidRPr="00FD7BCF">
        <w:rPr>
          <w:rFonts w:ascii="ITC Avant Garde" w:hAnsi="ITC Avant Garde"/>
        </w:rPr>
        <w:t xml:space="preserve"> y </w:t>
      </w:r>
      <w:proofErr w:type="spellStart"/>
      <w:r w:rsidR="00237713" w:rsidRPr="00FD7BCF">
        <w:rPr>
          <w:rFonts w:ascii="ITC Avant Garde" w:hAnsi="ITC Avant Garde"/>
        </w:rPr>
        <w:t>Telnor</w:t>
      </w:r>
      <w:proofErr w:type="spellEnd"/>
      <w:r w:rsidRPr="00FD7BCF">
        <w:rPr>
          <w:rFonts w:ascii="ITC Avant Garde" w:hAnsi="ITC Avant Garde"/>
        </w:rPr>
        <w:t xml:space="preserve"> ha</w:t>
      </w:r>
      <w:r w:rsidR="00237713" w:rsidRPr="00FD7BCF">
        <w:rPr>
          <w:rFonts w:ascii="ITC Avant Garde" w:hAnsi="ITC Avant Garde"/>
        </w:rPr>
        <w:t>n</w:t>
      </w:r>
      <w:r w:rsidRPr="00FD7BCF">
        <w:rPr>
          <w:rFonts w:ascii="ITC Avant Garde" w:hAnsi="ITC Avant Garde"/>
        </w:rPr>
        <w:t xml:space="preserve"> registrado ante el Instituto y que obran en el Registro Público de Concesiones. </w:t>
      </w:r>
    </w:p>
    <w:p w14:paraId="723B279A" w14:textId="77777777" w:rsidR="00B42019" w:rsidRDefault="000F02FF" w:rsidP="00B42019">
      <w:pPr>
        <w:pStyle w:val="IFTTexto"/>
        <w:spacing w:before="240" w:after="160"/>
        <w:rPr>
          <w:snapToGrid w:val="0"/>
          <w:color w:val="auto"/>
        </w:rPr>
      </w:pPr>
      <w:r w:rsidRPr="00FD7BCF">
        <w:rPr>
          <w:snapToGrid w:val="0"/>
          <w:color w:val="auto"/>
        </w:rPr>
        <w:t>Cabe señala</w:t>
      </w:r>
      <w:r w:rsidR="00B65136" w:rsidRPr="00FD7BCF">
        <w:rPr>
          <w:snapToGrid w:val="0"/>
          <w:color w:val="auto"/>
        </w:rPr>
        <w:t>r</w:t>
      </w:r>
      <w:r w:rsidRPr="00FD7BCF">
        <w:rPr>
          <w:snapToGrid w:val="0"/>
          <w:color w:val="auto"/>
        </w:rPr>
        <w:t xml:space="preserve"> que las tarifas registradas por Telmex y </w:t>
      </w:r>
      <w:proofErr w:type="spellStart"/>
      <w:r w:rsidRPr="00FD7BCF">
        <w:rPr>
          <w:snapToGrid w:val="0"/>
          <w:color w:val="auto"/>
        </w:rPr>
        <w:t>Telnor</w:t>
      </w:r>
      <w:proofErr w:type="spellEnd"/>
      <w:r w:rsidRPr="00FD7BCF">
        <w:rPr>
          <w:snapToGrid w:val="0"/>
          <w:color w:val="auto"/>
        </w:rPr>
        <w:t xml:space="preserve"> para el servicio de enlaces dedicados locales, entre localidades y de larga distancia internacional y que </w:t>
      </w:r>
      <w:r w:rsidR="00B65136" w:rsidRPr="00FD7BCF">
        <w:rPr>
          <w:snapToGrid w:val="0"/>
          <w:color w:val="auto"/>
        </w:rPr>
        <w:t xml:space="preserve">se toman como referencia para la aplicación de los descuentos </w:t>
      </w:r>
      <w:r w:rsidR="00854C49" w:rsidRPr="00FD7BCF">
        <w:rPr>
          <w:snapToGrid w:val="0"/>
          <w:color w:val="auto"/>
        </w:rPr>
        <w:t xml:space="preserve">no fueron modificadas por parte del AEP para su aplicación en 2017, por lo que continúan vigentes. </w:t>
      </w:r>
    </w:p>
    <w:p w14:paraId="476DE609" w14:textId="77777777" w:rsidR="00B42019" w:rsidRDefault="00854C49" w:rsidP="00B42019">
      <w:pPr>
        <w:pStyle w:val="IFTTexto"/>
        <w:spacing w:before="240" w:after="160"/>
        <w:rPr>
          <w:snapToGrid w:val="0"/>
          <w:color w:val="auto"/>
        </w:rPr>
      </w:pPr>
      <w:r w:rsidRPr="00FD7BCF">
        <w:rPr>
          <w:snapToGrid w:val="0"/>
          <w:color w:val="auto"/>
        </w:rPr>
        <w:t>Ahora bien</w:t>
      </w:r>
      <w:r w:rsidR="0087382C" w:rsidRPr="00FD7BCF">
        <w:rPr>
          <w:snapToGrid w:val="0"/>
          <w:color w:val="auto"/>
        </w:rPr>
        <w:t xml:space="preserve">, es importante mencionar que </w:t>
      </w:r>
      <w:r w:rsidR="00D36DB5" w:rsidRPr="00FD7BCF">
        <w:rPr>
          <w:snapToGrid w:val="0"/>
          <w:color w:val="auto"/>
        </w:rPr>
        <w:t>el AEP</w:t>
      </w:r>
      <w:r w:rsidR="0087382C" w:rsidRPr="00FD7BCF">
        <w:rPr>
          <w:snapToGrid w:val="0"/>
          <w:color w:val="auto"/>
        </w:rPr>
        <w:t xml:space="preserve"> incorpora una compleja estructura de descuentos para los servicios de enlaces dedicados que ofrece a los usuarios, entre los que se encuentran descuentos por concentración, descuentos por velocidad y descuentos por volumen. Adicionalmente, no se observa una estructura tarifaria claramente delimitada entre los servicios minoristas y los servicios mayoristas.</w:t>
      </w:r>
    </w:p>
    <w:p w14:paraId="5B64D20B" w14:textId="77777777" w:rsidR="00B42019" w:rsidRDefault="0087382C" w:rsidP="00B42019">
      <w:pPr>
        <w:pStyle w:val="IFTTexto"/>
        <w:spacing w:before="240" w:after="160"/>
        <w:rPr>
          <w:snapToGrid w:val="0"/>
          <w:color w:val="auto"/>
        </w:rPr>
      </w:pPr>
      <w:r w:rsidRPr="00FD7BCF">
        <w:rPr>
          <w:snapToGrid w:val="0"/>
          <w:color w:val="auto"/>
        </w:rPr>
        <w:t>Más concretamente se pueden dividir conceptualmente los descuentos mayoristas en dos grandes grupos:</w:t>
      </w:r>
    </w:p>
    <w:p w14:paraId="7713362D" w14:textId="77777777" w:rsidR="00B42019" w:rsidRDefault="0087382C" w:rsidP="00B42019">
      <w:pPr>
        <w:pStyle w:val="IFTTexto"/>
        <w:numPr>
          <w:ilvl w:val="0"/>
          <w:numId w:val="20"/>
        </w:numPr>
        <w:spacing w:before="240" w:after="160"/>
        <w:rPr>
          <w:snapToGrid w:val="0"/>
          <w:color w:val="auto"/>
        </w:rPr>
      </w:pPr>
      <w:r w:rsidRPr="00FD7BCF">
        <w:rPr>
          <w:snapToGrid w:val="0"/>
          <w:color w:val="auto"/>
        </w:rPr>
        <w:t>descuentos técnicos que resultan de ahorros consecuencia de optimizaciones técnicas (p.ej. concentración de enlaces); estos ahorros generalmente suelen ser transmitidos al cliente final minorista identificando el descuento a la optimización técnica (p.ej. retomando el ejemplo anterior, el descuento por concentración de enlaces que Telmex ofrece a sus clientes minoristas); si bien estos descuentos también son repercutidos a los clientes mayoristas éstos generalmente no se identifican explícitamente.</w:t>
      </w:r>
    </w:p>
    <w:p w14:paraId="558C8985" w14:textId="77777777" w:rsidR="00B42019" w:rsidRDefault="0087382C" w:rsidP="00B42019">
      <w:pPr>
        <w:pStyle w:val="IFTTexto"/>
        <w:numPr>
          <w:ilvl w:val="0"/>
          <w:numId w:val="20"/>
        </w:numPr>
        <w:spacing w:before="240" w:after="160"/>
        <w:rPr>
          <w:snapToGrid w:val="0"/>
          <w:color w:val="auto"/>
        </w:rPr>
      </w:pPr>
      <w:r w:rsidRPr="00FD7BCF">
        <w:rPr>
          <w:snapToGrid w:val="0"/>
          <w:color w:val="auto"/>
        </w:rPr>
        <w:t xml:space="preserve">descuentos comerciales aplicados a la facturación total que reflejan descuentos por volumen, típicamente aplicados a los clientes más importantes, y actividades no comerciales (p.ej. </w:t>
      </w:r>
      <w:proofErr w:type="spellStart"/>
      <w:r w:rsidRPr="00FD7BCF">
        <w:rPr>
          <w:snapToGrid w:val="0"/>
          <w:color w:val="auto"/>
        </w:rPr>
        <w:t>Call</w:t>
      </w:r>
      <w:proofErr w:type="spellEnd"/>
      <w:r w:rsidRPr="00FD7BCF">
        <w:rPr>
          <w:snapToGrid w:val="0"/>
          <w:color w:val="auto"/>
        </w:rPr>
        <w:t xml:space="preserve"> center minorista); son típicamente descuentos </w:t>
      </w:r>
      <w:r w:rsidRPr="00FD7BCF">
        <w:rPr>
          <w:snapToGrid w:val="0"/>
          <w:color w:val="auto"/>
        </w:rPr>
        <w:lastRenderedPageBreak/>
        <w:t>propiamente comerciales que pueden ser capturados en el modelo de costos evitados.</w:t>
      </w:r>
    </w:p>
    <w:p w14:paraId="7775A5B5"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 xml:space="preserve">Esta complejidad implica que el precio efectivo que los usuarios terminan pagando por sus servicios sea diferente del precio de lista, puesto que en cada caso en particular este dependerá de la estructura de descuentos anteriormente señalada. </w:t>
      </w:r>
    </w:p>
    <w:p w14:paraId="2F0FB2DC"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Debido a esa razón, el uso de precios de lista o nominales por unidad de consumo no resulta una opción viable como precios de referencia para la determinación de los precios. Es así que es necesario definir el precio de referencia para cada servicio considerando el ingreso efectivo que cobra por unidad de cada servicio.</w:t>
      </w:r>
    </w:p>
    <w:p w14:paraId="1AB7F162" w14:textId="77777777" w:rsidR="00B42019" w:rsidRDefault="0087382C" w:rsidP="00B42019">
      <w:pPr>
        <w:pStyle w:val="IFTTexto"/>
        <w:spacing w:before="240" w:after="160"/>
        <w:rPr>
          <w:snapToGrid w:val="0"/>
          <w:color w:val="auto"/>
        </w:rPr>
      </w:pPr>
      <w:r w:rsidRPr="00FD7BCF">
        <w:rPr>
          <w:snapToGrid w:val="0"/>
          <w:color w:val="auto"/>
        </w:rPr>
        <w:t>Sería impreciso aplicar el descuento obtenido del modelo de costos evitados a los precios de lista, toda vez que como se observa, los mismos no son los que se aplican en la facturación realmente realizada por el AEP.</w:t>
      </w:r>
    </w:p>
    <w:p w14:paraId="1D52A6D1" w14:textId="77777777" w:rsidR="00B42019" w:rsidRDefault="0087382C" w:rsidP="00B42019">
      <w:pPr>
        <w:pStyle w:val="IFTTexto"/>
        <w:spacing w:before="240" w:after="160"/>
        <w:rPr>
          <w:snapToGrid w:val="0"/>
          <w:color w:val="auto"/>
        </w:rPr>
      </w:pPr>
      <w:r w:rsidRPr="00FD7BCF">
        <w:rPr>
          <w:snapToGrid w:val="0"/>
          <w:color w:val="auto"/>
        </w:rPr>
        <w:t>Es así que a efecto de tener en cuenta esta compleja estructura de descuentos bajo la cual el AEP comercializa sus servicios es necesario aplicar un descuento comercial que considere dicha estructura sobre el precio de lista, adicional al descuento por concepto de costos evitados.</w:t>
      </w:r>
    </w:p>
    <w:p w14:paraId="68F3D4F3" w14:textId="77777777" w:rsidR="00B42019" w:rsidRDefault="0087382C" w:rsidP="00B42019">
      <w:pPr>
        <w:pStyle w:val="IFTTexto"/>
        <w:spacing w:before="240" w:after="160"/>
        <w:rPr>
          <w:snapToGrid w:val="0"/>
          <w:color w:val="auto"/>
        </w:rPr>
      </w:pPr>
      <w:r w:rsidRPr="00FD7BCF">
        <w:rPr>
          <w:snapToGrid w:val="0"/>
          <w:color w:val="auto"/>
        </w:rPr>
        <w:t>Los descuentos técnicos y comerciales aplicados por Telmex al mercado minorista tienen su razón de ser y podrían ser modelizados para casos particulares de enlaces. Sin embargo, no existen argumentos comerciales o de economía de escala que permitan reflejar en forma de modelo todo el descuento mayorista, por lo que debe ser estimado de otra forma.</w:t>
      </w:r>
    </w:p>
    <w:p w14:paraId="6388B29F" w14:textId="77777777" w:rsidR="00B42019" w:rsidRDefault="0087382C" w:rsidP="00B42019">
      <w:pPr>
        <w:pStyle w:val="IFTTexto"/>
        <w:spacing w:before="240" w:after="160"/>
        <w:rPr>
          <w:snapToGrid w:val="0"/>
          <w:color w:val="auto"/>
        </w:rPr>
      </w:pPr>
      <w:r w:rsidRPr="00FD7BCF">
        <w:rPr>
          <w:snapToGrid w:val="0"/>
          <w:color w:val="auto"/>
        </w:rPr>
        <w:t>Por lo tanto, se define un descuento comercial adicional mayorista que se aplica a los precios mayoristas resultantes de aplicar el descuento resultante del modelo a los precios de lista actuales de Telmex.</w:t>
      </w:r>
    </w:p>
    <w:p w14:paraId="49277D83" w14:textId="77777777" w:rsidR="00B42019" w:rsidRDefault="0087382C" w:rsidP="00B42019">
      <w:pPr>
        <w:pStyle w:val="IFTTexto"/>
        <w:spacing w:before="240" w:after="160"/>
        <w:rPr>
          <w:snapToGrid w:val="0"/>
          <w:color w:val="auto"/>
        </w:rPr>
      </w:pPr>
      <w:r w:rsidRPr="00FD7BCF">
        <w:rPr>
          <w:snapToGrid w:val="0"/>
          <w:color w:val="auto"/>
        </w:rPr>
        <w:t>Para tal efecto se tienen en cuenta los máximos descuentos mayoristas ofrecidos por Telmex, los cuales son:</w:t>
      </w:r>
    </w:p>
    <w:p w14:paraId="24D1C67A" w14:textId="77777777" w:rsidR="00B42019" w:rsidRDefault="0087382C" w:rsidP="00B42019">
      <w:pPr>
        <w:pStyle w:val="IFTTexto"/>
        <w:numPr>
          <w:ilvl w:val="0"/>
          <w:numId w:val="21"/>
        </w:numPr>
        <w:spacing w:before="240" w:after="160"/>
        <w:rPr>
          <w:snapToGrid w:val="0"/>
          <w:color w:val="auto"/>
        </w:rPr>
      </w:pPr>
      <w:r w:rsidRPr="00FD7BCF">
        <w:rPr>
          <w:snapToGrid w:val="0"/>
          <w:color w:val="auto"/>
        </w:rPr>
        <w:t>67% para los tramos locales, aplicable a los operadores con más de 500 millones de pesos de facturación en el tramo local.</w:t>
      </w:r>
    </w:p>
    <w:p w14:paraId="13096C55" w14:textId="77777777" w:rsidR="00B42019" w:rsidRDefault="0087382C" w:rsidP="00B42019">
      <w:pPr>
        <w:pStyle w:val="IFTTexto"/>
        <w:numPr>
          <w:ilvl w:val="0"/>
          <w:numId w:val="21"/>
        </w:numPr>
        <w:spacing w:before="240" w:after="160"/>
        <w:rPr>
          <w:snapToGrid w:val="0"/>
          <w:color w:val="auto"/>
        </w:rPr>
      </w:pPr>
      <w:r w:rsidRPr="00FD7BCF">
        <w:rPr>
          <w:snapToGrid w:val="0"/>
          <w:color w:val="auto"/>
        </w:rPr>
        <w:t>69% para los tramos entre localidades, aplicable a los operadores con más de 60 millones de pesos de facturación en el tramo entre localidades.</w:t>
      </w:r>
    </w:p>
    <w:p w14:paraId="37251932" w14:textId="77777777" w:rsidR="00B42019" w:rsidRDefault="0087382C" w:rsidP="00B42019">
      <w:pPr>
        <w:pStyle w:val="IFTTexto"/>
        <w:spacing w:before="240" w:after="160"/>
        <w:rPr>
          <w:snapToGrid w:val="0"/>
          <w:color w:val="auto"/>
        </w:rPr>
      </w:pPr>
      <w:r w:rsidRPr="00FD7BCF">
        <w:rPr>
          <w:snapToGrid w:val="0"/>
          <w:color w:val="auto"/>
        </w:rPr>
        <w:t>Para alcanzar estos descuentos, hay que aplicar a los precios resultantes del modelo un descuento adicional que se ha calculado para tramos locales y entre localidades:</w:t>
      </w:r>
    </w:p>
    <w:p w14:paraId="49DAB648" w14:textId="77777777" w:rsidR="00B42019" w:rsidRDefault="0087382C" w:rsidP="00B42019">
      <w:pPr>
        <w:pStyle w:val="IFTTexto"/>
        <w:numPr>
          <w:ilvl w:val="0"/>
          <w:numId w:val="21"/>
        </w:numPr>
        <w:spacing w:before="240" w:after="160"/>
        <w:rPr>
          <w:snapToGrid w:val="0"/>
          <w:color w:val="auto"/>
        </w:rPr>
      </w:pPr>
      <w:r w:rsidRPr="00FD7BCF">
        <w:rPr>
          <w:snapToGrid w:val="0"/>
          <w:color w:val="auto"/>
        </w:rPr>
        <w:lastRenderedPageBreak/>
        <w:t>descuento para tramos locales: 41.</w:t>
      </w:r>
      <w:r w:rsidR="00FA26A9" w:rsidRPr="00FD7BCF">
        <w:rPr>
          <w:snapToGrid w:val="0"/>
          <w:color w:val="auto"/>
        </w:rPr>
        <w:t>6</w:t>
      </w:r>
      <w:r w:rsidRPr="00FD7BCF">
        <w:rPr>
          <w:snapToGrid w:val="0"/>
          <w:color w:val="auto"/>
        </w:rPr>
        <w:t>%</w:t>
      </w:r>
    </w:p>
    <w:p w14:paraId="33A4EA39" w14:textId="77777777" w:rsidR="00B42019" w:rsidRDefault="0087382C" w:rsidP="00B42019">
      <w:pPr>
        <w:pStyle w:val="IFTTexto"/>
        <w:numPr>
          <w:ilvl w:val="0"/>
          <w:numId w:val="21"/>
        </w:numPr>
        <w:spacing w:before="240" w:after="160"/>
        <w:rPr>
          <w:snapToGrid w:val="0"/>
          <w:color w:val="auto"/>
        </w:rPr>
      </w:pPr>
      <w:r w:rsidRPr="00FD7BCF">
        <w:rPr>
          <w:snapToGrid w:val="0"/>
          <w:color w:val="auto"/>
        </w:rPr>
        <w:t>descuento para tramos entre localidades y de larga distancia internacional: 45.2%</w:t>
      </w:r>
    </w:p>
    <w:p w14:paraId="026455E1" w14:textId="77777777" w:rsidR="00B42019" w:rsidRDefault="00854C49" w:rsidP="00B42019">
      <w:pPr>
        <w:pStyle w:val="IFTTexto"/>
        <w:spacing w:before="240" w:after="160"/>
        <w:rPr>
          <w:snapToGrid w:val="0"/>
          <w:color w:val="auto"/>
        </w:rPr>
      </w:pPr>
      <w:r w:rsidRPr="00FD7BCF">
        <w:rPr>
          <w:snapToGrid w:val="0"/>
          <w:color w:val="auto"/>
        </w:rPr>
        <w:t xml:space="preserve">Ahora bien, es importante mencionar que </w:t>
      </w:r>
      <w:r w:rsidR="00892A42" w:rsidRPr="00FD7BCF">
        <w:rPr>
          <w:snapToGrid w:val="0"/>
          <w:color w:val="auto"/>
        </w:rPr>
        <w:t xml:space="preserve">con base en los Convenios para la prestación del servicio mayorista de arrendamiento de enlaces dedicados suscritos entre el AEP y otros concesionarios, se observa que dicho AEP no ha modificado la estructura de descuentos para 2017 y por ende no ha modificado el descuento máximo que ofrece; en consecuencia resulta plenamente válido aplicar los descuentos adicionales señalados anteriormente para la determinación de tarifas aplicables durante 2017.  </w:t>
      </w:r>
    </w:p>
    <w:p w14:paraId="3E0DE3A3" w14:textId="77777777" w:rsidR="00B42019" w:rsidRDefault="0087382C" w:rsidP="00B42019">
      <w:pPr>
        <w:pStyle w:val="IFTTexto"/>
        <w:numPr>
          <w:ilvl w:val="2"/>
          <w:numId w:val="24"/>
        </w:numPr>
        <w:spacing w:before="240" w:after="160"/>
        <w:ind w:hanging="798"/>
        <w:rPr>
          <w:b/>
          <w:snapToGrid w:val="0"/>
          <w:color w:val="auto"/>
          <w:lang w:val="es-MX"/>
        </w:rPr>
      </w:pPr>
      <w:r w:rsidRPr="00FD7BCF">
        <w:rPr>
          <w:b/>
          <w:snapToGrid w:val="0"/>
          <w:color w:val="auto"/>
          <w:lang w:val="es-MX"/>
        </w:rPr>
        <w:t>Determinación de los costos evitados por el Agente Económico Preponderante al no prestar sus servicios en el mercado minorista</w:t>
      </w:r>
    </w:p>
    <w:p w14:paraId="5637958B"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 xml:space="preserve">El segundo aspecto para el cálculo de las tarifas con base en el enfoque de costos evitados es precisamente identificar cuáles son los costos en los que deja de incurrir el AEP por el hecho de que no presta los servicios directamente a los usuarios finales.  </w:t>
      </w:r>
    </w:p>
    <w:p w14:paraId="5B984A5F"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 xml:space="preserve">Son dos los conceptos fundamentales que deben esclarecerse </w:t>
      </w:r>
      <w:r w:rsidR="00FA26A9" w:rsidRPr="00FD7BCF">
        <w:rPr>
          <w:rFonts w:ascii="ITC Avant Garde" w:hAnsi="ITC Avant Garde"/>
        </w:rPr>
        <w:t>al</w:t>
      </w:r>
      <w:r w:rsidRPr="00FD7BCF">
        <w:rPr>
          <w:rFonts w:ascii="ITC Avant Garde" w:hAnsi="ITC Avant Garde"/>
        </w:rPr>
        <w:t xml:space="preserve"> establecer los principios metodológicos a emplear para el cálculo del factor de descuento o “</w:t>
      </w:r>
      <w:proofErr w:type="spellStart"/>
      <w:r w:rsidRPr="00FD7BCF">
        <w:rPr>
          <w:rFonts w:ascii="ITC Avant Garde" w:hAnsi="ITC Avant Garde"/>
          <w:i/>
        </w:rPr>
        <w:t>minus</w:t>
      </w:r>
      <w:proofErr w:type="spellEnd"/>
      <w:r w:rsidRPr="00FD7BCF">
        <w:rPr>
          <w:rFonts w:ascii="ITC Avant Garde" w:hAnsi="ITC Avant Garde"/>
        </w:rPr>
        <w:t xml:space="preserve">”. Por un lado, cuáles son los conceptos de costos que no es preciso que incurra el AEP ya que los mismos serán asumidos por el Concesionario Solicitante. Por otro lado, debe considerarse que la </w:t>
      </w:r>
      <w:proofErr w:type="spellStart"/>
      <w:r w:rsidRPr="00FD7BCF">
        <w:rPr>
          <w:rFonts w:ascii="ITC Avant Garde" w:hAnsi="ITC Avant Garde"/>
        </w:rPr>
        <w:t>replicabilidad</w:t>
      </w:r>
      <w:proofErr w:type="spellEnd"/>
      <w:r w:rsidRPr="00FD7BCF">
        <w:rPr>
          <w:rFonts w:ascii="ITC Avant Garde" w:hAnsi="ITC Avant Garde"/>
        </w:rPr>
        <w:t xml:space="preserve"> debe ser realizada por un operador eficiente.</w:t>
      </w:r>
    </w:p>
    <w:p w14:paraId="0894846E" w14:textId="77777777" w:rsidR="00B42019" w:rsidRDefault="0087382C" w:rsidP="00B42019">
      <w:pPr>
        <w:pStyle w:val="IFTTexto"/>
        <w:numPr>
          <w:ilvl w:val="2"/>
          <w:numId w:val="26"/>
        </w:numPr>
        <w:spacing w:before="240" w:after="160"/>
        <w:rPr>
          <w:b/>
          <w:snapToGrid w:val="0"/>
          <w:color w:val="auto"/>
          <w:lang w:val="es-MX"/>
        </w:rPr>
      </w:pPr>
      <w:r w:rsidRPr="00FD7BCF">
        <w:rPr>
          <w:b/>
          <w:snapToGrid w:val="0"/>
          <w:color w:val="auto"/>
          <w:lang w:val="es-MX"/>
        </w:rPr>
        <w:t>Consideración de</w:t>
      </w:r>
      <w:r w:rsidR="00FA26A9" w:rsidRPr="00FD7BCF">
        <w:rPr>
          <w:b/>
          <w:snapToGrid w:val="0"/>
          <w:color w:val="auto"/>
          <w:lang w:val="es-MX"/>
        </w:rPr>
        <w:t>l</w:t>
      </w:r>
      <w:r w:rsidRPr="00FD7BCF">
        <w:rPr>
          <w:b/>
          <w:snapToGrid w:val="0"/>
          <w:color w:val="auto"/>
          <w:lang w:val="es-MX"/>
        </w:rPr>
        <w:t xml:space="preserve"> operador </w:t>
      </w:r>
      <w:r w:rsidR="00FA26A9" w:rsidRPr="00FD7BCF">
        <w:rPr>
          <w:b/>
          <w:snapToGrid w:val="0"/>
          <w:color w:val="auto"/>
          <w:lang w:val="es-MX"/>
        </w:rPr>
        <w:t>que adquiere el servicio mayorista de arrendamiento de enlaces al AEP</w:t>
      </w:r>
    </w:p>
    <w:p w14:paraId="29EEF846"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 xml:space="preserve">Se considera que un operador </w:t>
      </w:r>
      <w:r w:rsidR="00FA26A9" w:rsidRPr="00FD7BCF">
        <w:rPr>
          <w:rFonts w:ascii="ITC Avant Garde" w:hAnsi="ITC Avant Garde"/>
        </w:rPr>
        <w:t>será</w:t>
      </w:r>
      <w:r w:rsidRPr="00FD7BCF">
        <w:rPr>
          <w:rFonts w:ascii="ITC Avant Garde" w:hAnsi="ITC Avant Garde"/>
        </w:rPr>
        <w:t xml:space="preserve"> capaz de comercializar servicios con costos iguales o inferiores a los del propio AEP. Esto no significa que el Concesionario Solicitante deba replicar la operativa comercial del AEP, sino que por el contrario debe ser capaz de diseñar sus propios procesos para adquirir y servir a sus clientes de manera al menos </w:t>
      </w:r>
      <w:r w:rsidR="00FA26A9" w:rsidRPr="00FD7BCF">
        <w:rPr>
          <w:rFonts w:ascii="ITC Avant Garde" w:hAnsi="ITC Avant Garde"/>
        </w:rPr>
        <w:t>similar</w:t>
      </w:r>
      <w:r w:rsidRPr="00FD7BCF">
        <w:rPr>
          <w:rFonts w:ascii="ITC Avant Garde" w:hAnsi="ITC Avant Garde"/>
        </w:rPr>
        <w:t xml:space="preserve"> a la del AEP. Generalmente, el Concesionario Solicitante acepta un margen de beneficio</w:t>
      </w:r>
      <w:r w:rsidR="00FA26A9" w:rsidRPr="00FD7BCF">
        <w:rPr>
          <w:rFonts w:ascii="ITC Avant Garde" w:hAnsi="ITC Avant Garde"/>
        </w:rPr>
        <w:t xml:space="preserve"> comercial</w:t>
      </w:r>
      <w:r w:rsidRPr="00FD7BCF">
        <w:rPr>
          <w:rFonts w:ascii="ITC Avant Garde" w:hAnsi="ITC Avant Garde"/>
        </w:rPr>
        <w:t xml:space="preserve"> menor al del AEP para poder ganar inicialmente cuota de mercado.</w:t>
      </w:r>
    </w:p>
    <w:p w14:paraId="464F3420" w14:textId="77777777" w:rsidR="00B42019" w:rsidRDefault="0087382C" w:rsidP="00B42019">
      <w:pPr>
        <w:pStyle w:val="IFTTexto"/>
        <w:numPr>
          <w:ilvl w:val="2"/>
          <w:numId w:val="26"/>
        </w:numPr>
        <w:spacing w:before="240" w:after="160"/>
        <w:rPr>
          <w:b/>
          <w:snapToGrid w:val="0"/>
          <w:color w:val="auto"/>
          <w:lang w:val="es-MX"/>
        </w:rPr>
      </w:pPr>
      <w:r w:rsidRPr="00FD7BCF">
        <w:rPr>
          <w:b/>
          <w:snapToGrid w:val="0"/>
          <w:color w:val="auto"/>
          <w:lang w:val="es-MX"/>
        </w:rPr>
        <w:t>Costos relevantes a incluir en el “</w:t>
      </w:r>
      <w:proofErr w:type="spellStart"/>
      <w:r w:rsidRPr="00FD7BCF">
        <w:rPr>
          <w:b/>
          <w:snapToGrid w:val="0"/>
          <w:color w:val="auto"/>
          <w:lang w:val="es-MX"/>
        </w:rPr>
        <w:t>minus</w:t>
      </w:r>
      <w:proofErr w:type="spellEnd"/>
      <w:r w:rsidRPr="00FD7BCF">
        <w:rPr>
          <w:b/>
          <w:snapToGrid w:val="0"/>
          <w:color w:val="auto"/>
          <w:lang w:val="es-MX"/>
        </w:rPr>
        <w:t>”</w:t>
      </w:r>
    </w:p>
    <w:p w14:paraId="0796B78C"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El “</w:t>
      </w:r>
      <w:proofErr w:type="spellStart"/>
      <w:r w:rsidRPr="00FD7BCF">
        <w:rPr>
          <w:rFonts w:ascii="ITC Avant Garde" w:hAnsi="ITC Avant Garde"/>
          <w:i/>
        </w:rPr>
        <w:t>minus</w:t>
      </w:r>
      <w:proofErr w:type="spellEnd"/>
      <w:r w:rsidRPr="00FD7BCF">
        <w:rPr>
          <w:rFonts w:ascii="ITC Avant Garde" w:hAnsi="ITC Avant Garde"/>
        </w:rPr>
        <w:t xml:space="preserve">” o factor de descuento respecto de los precios minoristas debe incorporar aquellos costos en que el AEP no incurriría en el caso de que la comercialización de servicios minoristas correspondiera al Concesionario Solicitante. </w:t>
      </w:r>
    </w:p>
    <w:p w14:paraId="1D4F7855" w14:textId="678F82B8" w:rsidR="0087382C" w:rsidRPr="00FD7BCF" w:rsidRDefault="0087382C" w:rsidP="00B42019">
      <w:pPr>
        <w:pStyle w:val="IFTTexto"/>
        <w:spacing w:before="240" w:after="160"/>
        <w:rPr>
          <w:snapToGrid w:val="0"/>
          <w:color w:val="auto"/>
        </w:rPr>
      </w:pPr>
      <w:r w:rsidRPr="00FD7BCF">
        <w:rPr>
          <w:snapToGrid w:val="0"/>
          <w:color w:val="auto"/>
        </w:rPr>
        <w:lastRenderedPageBreak/>
        <w:t>La prestación del servicio de enlaces dedicados, de manera simplificada se esquematiza en la siguiente figura:</w:t>
      </w:r>
    </w:p>
    <w:p w14:paraId="37A0B0AD" w14:textId="77777777" w:rsidR="00B42019" w:rsidRDefault="0087382C" w:rsidP="00B42019">
      <w:pPr>
        <w:pStyle w:val="Descripcin"/>
        <w:tabs>
          <w:tab w:val="left" w:pos="7440"/>
        </w:tabs>
        <w:spacing w:before="240" w:after="160" w:line="276" w:lineRule="auto"/>
        <w:rPr>
          <w:rFonts w:ascii="ITC Avant Garde" w:hAnsi="ITC Avant Garde"/>
          <w:lang w:val="es-ES_tradnl"/>
        </w:rPr>
      </w:pPr>
      <w:r w:rsidRPr="00FD7BCF">
        <w:rPr>
          <w:rFonts w:ascii="ITC Avant Garde" w:hAnsi="ITC Avant Garde"/>
          <w:lang w:val="es-ES_tradnl"/>
        </w:rPr>
        <w:t xml:space="preserve">Figura 2: Ejemplo ilustrativo- Servicio de enlaces dedicados locales (Fuente: </w:t>
      </w:r>
      <w:proofErr w:type="spellStart"/>
      <w:r w:rsidRPr="00FD7BCF">
        <w:rPr>
          <w:rFonts w:ascii="ITC Avant Garde" w:hAnsi="ITC Avant Garde"/>
          <w:lang w:val="es-ES_tradnl"/>
        </w:rPr>
        <w:t>Analysys</w:t>
      </w:r>
      <w:proofErr w:type="spellEnd"/>
      <w:r w:rsidRPr="00FD7BCF">
        <w:rPr>
          <w:rFonts w:ascii="ITC Avant Garde" w:hAnsi="ITC Avant Garde"/>
          <w:lang w:val="es-ES_tradnl"/>
        </w:rPr>
        <w:t xml:space="preserve"> Mason)</w:t>
      </w:r>
      <w:r w:rsidRPr="00FD7BCF">
        <w:rPr>
          <w:rFonts w:ascii="ITC Avant Garde" w:hAnsi="ITC Avant Garde"/>
          <w:lang w:val="es-ES_tradnl"/>
        </w:rPr>
        <w:tab/>
      </w:r>
    </w:p>
    <w:p w14:paraId="534642CE" w14:textId="77777777" w:rsidR="00B42019" w:rsidRDefault="0087382C" w:rsidP="00B42019">
      <w:pPr>
        <w:pStyle w:val="IFTTexto"/>
        <w:spacing w:before="240" w:after="160"/>
        <w:rPr>
          <w:snapToGrid w:val="0"/>
          <w:color w:val="auto"/>
        </w:rPr>
      </w:pPr>
      <w:r w:rsidRPr="00FD7BCF">
        <w:rPr>
          <w:noProof/>
          <w:color w:val="auto"/>
          <w:lang w:val="es-MX" w:eastAsia="es-MX"/>
        </w:rPr>
        <w:drawing>
          <wp:inline distT="0" distB="0" distL="0" distR="0" wp14:anchorId="1E0D9A86" wp14:editId="4B5154FB">
            <wp:extent cx="5579745" cy="2008484"/>
            <wp:effectExtent l="0" t="0" r="0" b="0"/>
            <wp:docPr id="61" name="Imagen 61" descr="La imagen ilustra a manera de ejemplo el servicio de enlaces dedicados locales.  " title="Servicio de enlaces dedicados loc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745" cy="2008484"/>
                    </a:xfrm>
                    <a:prstGeom prst="rect">
                      <a:avLst/>
                    </a:prstGeom>
                    <a:noFill/>
                    <a:ln>
                      <a:noFill/>
                    </a:ln>
                  </pic:spPr>
                </pic:pic>
              </a:graphicData>
            </a:graphic>
          </wp:inline>
        </w:drawing>
      </w:r>
    </w:p>
    <w:p w14:paraId="0B1F6218" w14:textId="1B5627EC" w:rsidR="00B42019" w:rsidRDefault="0087382C" w:rsidP="00B42019">
      <w:pPr>
        <w:pStyle w:val="IFTTexto"/>
        <w:spacing w:before="240" w:after="160"/>
        <w:rPr>
          <w:color w:val="auto"/>
          <w:lang w:val="es-MX"/>
        </w:rPr>
      </w:pPr>
      <w:r w:rsidRPr="00FD7BCF">
        <w:rPr>
          <w:color w:val="auto"/>
          <w:lang w:val="es-MX"/>
        </w:rPr>
        <w:t>En el modelo se tratan de manera separada el número de enlaces dedicados por tipo de enlace (locales, entre localidades y de larga distancia internacional) con velocidades y distancias diferentes, ya que el precio minorista de instalación de un enlace y la renta mensual varían según el tipo de enlace.</w:t>
      </w:r>
    </w:p>
    <w:p w14:paraId="5DEA38FE" w14:textId="77777777" w:rsidR="00B42019" w:rsidRDefault="0087382C" w:rsidP="00B42019">
      <w:pPr>
        <w:pStyle w:val="IFTTexto"/>
        <w:spacing w:before="240" w:after="160"/>
        <w:rPr>
          <w:color w:val="auto"/>
          <w:highlight w:val="yellow"/>
          <w:lang w:val="es-MX"/>
        </w:rPr>
      </w:pPr>
      <w:r w:rsidRPr="00FD7BCF">
        <w:rPr>
          <w:color w:val="auto"/>
          <w:lang w:val="es-MX"/>
        </w:rPr>
        <w:t>Los ingresos por contratación de líneas se calculan a partir del número de líneas adicionales, considerando a su vez la tasa de desactivación de usuarios.</w:t>
      </w:r>
    </w:p>
    <w:p w14:paraId="7EAEFFFE" w14:textId="77777777" w:rsidR="00B42019" w:rsidRDefault="0087382C" w:rsidP="00B42019">
      <w:pPr>
        <w:pStyle w:val="IFTTexto"/>
        <w:spacing w:before="240" w:after="160"/>
        <w:rPr>
          <w:snapToGrid w:val="0"/>
          <w:color w:val="auto"/>
        </w:rPr>
      </w:pPr>
      <w:r w:rsidRPr="00FD7BCF">
        <w:rPr>
          <w:snapToGrid w:val="0"/>
          <w:color w:val="auto"/>
        </w:rPr>
        <w:t xml:space="preserve">Se considera que el AEP deja de incurrir en los siguientes costos </w:t>
      </w:r>
      <w:r w:rsidR="00FA26A9" w:rsidRPr="00FD7BCF">
        <w:rPr>
          <w:snapToGrid w:val="0"/>
          <w:color w:val="auto"/>
        </w:rPr>
        <w:t>al</w:t>
      </w:r>
      <w:r w:rsidRPr="00FD7BCF">
        <w:rPr>
          <w:snapToGrid w:val="0"/>
          <w:color w:val="auto"/>
        </w:rPr>
        <w:t xml:space="preserve"> realizar la venta del servicio a nivel mayorista: </w:t>
      </w:r>
    </w:p>
    <w:p w14:paraId="4E5CB136" w14:textId="7D995717" w:rsidR="0087382C" w:rsidRPr="00FD7BCF" w:rsidRDefault="0087382C" w:rsidP="00B42019">
      <w:pPr>
        <w:pStyle w:val="Prrafodelista"/>
        <w:numPr>
          <w:ilvl w:val="0"/>
          <w:numId w:val="19"/>
        </w:numPr>
        <w:spacing w:before="240" w:after="160" w:line="276" w:lineRule="auto"/>
        <w:ind w:right="-93"/>
        <w:contextualSpacing/>
        <w:rPr>
          <w:rFonts w:ascii="ITC Avant Garde" w:hAnsi="ITC Avant Garde" w:cs="Arial"/>
          <w:snapToGrid w:val="0"/>
        </w:rPr>
      </w:pPr>
      <w:r w:rsidRPr="00FD7BCF">
        <w:rPr>
          <w:rFonts w:ascii="ITC Avant Garde" w:hAnsi="ITC Avant Garde" w:cs="Arial"/>
          <w:snapToGrid w:val="0"/>
          <w:lang w:val="es-ES_tradnl"/>
        </w:rPr>
        <w:t>los gastos de facturación (incluyendo el sistema de facturación a clientes minoristas).</w:t>
      </w:r>
    </w:p>
    <w:p w14:paraId="5507390F" w14:textId="77777777" w:rsidR="0087382C" w:rsidRPr="00FD7BCF" w:rsidRDefault="0087382C" w:rsidP="00B42019">
      <w:pPr>
        <w:pStyle w:val="Prrafodelista"/>
        <w:numPr>
          <w:ilvl w:val="0"/>
          <w:numId w:val="19"/>
        </w:numPr>
        <w:spacing w:before="240" w:after="160" w:line="276" w:lineRule="auto"/>
        <w:ind w:right="-93"/>
        <w:contextualSpacing/>
        <w:rPr>
          <w:rFonts w:ascii="ITC Avant Garde" w:hAnsi="ITC Avant Garde" w:cs="Arial"/>
          <w:snapToGrid w:val="0"/>
        </w:rPr>
      </w:pPr>
      <w:r w:rsidRPr="00FD7BCF">
        <w:rPr>
          <w:rFonts w:ascii="ITC Avant Garde" w:hAnsi="ITC Avant Garde" w:cs="Arial"/>
          <w:snapToGrid w:val="0"/>
          <w:lang w:val="es-ES_tradnl"/>
        </w:rPr>
        <w:t>los gastos por deudas incobrables (‘</w:t>
      </w:r>
      <w:proofErr w:type="spellStart"/>
      <w:r w:rsidRPr="00FD7BCF">
        <w:rPr>
          <w:rFonts w:ascii="ITC Avant Garde" w:hAnsi="ITC Avant Garde" w:cs="Arial"/>
          <w:snapToGrid w:val="0"/>
          <w:lang w:val="es-ES_tradnl"/>
        </w:rPr>
        <w:t>bad</w:t>
      </w:r>
      <w:proofErr w:type="spellEnd"/>
      <w:r w:rsidRPr="00FD7BCF">
        <w:rPr>
          <w:rFonts w:ascii="ITC Avant Garde" w:hAnsi="ITC Avant Garde" w:cs="Arial"/>
          <w:snapToGrid w:val="0"/>
          <w:lang w:val="es-ES_tradnl"/>
        </w:rPr>
        <w:t xml:space="preserve"> </w:t>
      </w:r>
      <w:proofErr w:type="spellStart"/>
      <w:r w:rsidRPr="00FD7BCF">
        <w:rPr>
          <w:rFonts w:ascii="ITC Avant Garde" w:hAnsi="ITC Avant Garde" w:cs="Arial"/>
          <w:snapToGrid w:val="0"/>
          <w:lang w:val="es-ES_tradnl"/>
        </w:rPr>
        <w:t>debt</w:t>
      </w:r>
      <w:proofErr w:type="spellEnd"/>
      <w:r w:rsidRPr="00FD7BCF">
        <w:rPr>
          <w:rFonts w:ascii="ITC Avant Garde" w:hAnsi="ITC Avant Garde" w:cs="Arial"/>
          <w:snapToGrid w:val="0"/>
          <w:lang w:val="es-ES_tradnl"/>
        </w:rPr>
        <w:t>’).</w:t>
      </w:r>
    </w:p>
    <w:p w14:paraId="1124E97E" w14:textId="77777777" w:rsidR="0087382C" w:rsidRPr="00FD7BCF" w:rsidRDefault="0087382C" w:rsidP="00B42019">
      <w:pPr>
        <w:pStyle w:val="Prrafodelista"/>
        <w:numPr>
          <w:ilvl w:val="0"/>
          <w:numId w:val="19"/>
        </w:numPr>
        <w:spacing w:before="240" w:after="160" w:line="276" w:lineRule="auto"/>
        <w:ind w:right="-93"/>
        <w:contextualSpacing/>
        <w:rPr>
          <w:rFonts w:ascii="ITC Avant Garde" w:hAnsi="ITC Avant Garde" w:cs="Arial"/>
          <w:snapToGrid w:val="0"/>
        </w:rPr>
      </w:pPr>
      <w:r w:rsidRPr="00FD7BCF">
        <w:rPr>
          <w:rFonts w:ascii="ITC Avant Garde" w:hAnsi="ITC Avant Garde" w:cs="Arial"/>
          <w:snapToGrid w:val="0"/>
          <w:lang w:val="es-ES_tradnl"/>
        </w:rPr>
        <w:t>los gastos de marketing y publicidad.</w:t>
      </w:r>
    </w:p>
    <w:p w14:paraId="501E2F9C" w14:textId="77777777" w:rsidR="0087382C" w:rsidRPr="00FD7BCF" w:rsidRDefault="0087382C" w:rsidP="00B42019">
      <w:pPr>
        <w:pStyle w:val="Prrafodelista"/>
        <w:numPr>
          <w:ilvl w:val="0"/>
          <w:numId w:val="19"/>
        </w:numPr>
        <w:spacing w:before="240" w:after="160" w:line="276" w:lineRule="auto"/>
        <w:ind w:right="-93"/>
        <w:contextualSpacing/>
        <w:rPr>
          <w:rFonts w:ascii="ITC Avant Garde" w:hAnsi="ITC Avant Garde" w:cs="Arial"/>
          <w:snapToGrid w:val="0"/>
        </w:rPr>
      </w:pPr>
      <w:r w:rsidRPr="00FD7BCF">
        <w:rPr>
          <w:rFonts w:ascii="ITC Avant Garde" w:hAnsi="ITC Avant Garde" w:cs="Arial"/>
          <w:snapToGrid w:val="0"/>
          <w:lang w:val="es-ES_tradnl"/>
        </w:rPr>
        <w:t>los gastos asociados al servicio de atención y apoyo al cliente.</w:t>
      </w:r>
    </w:p>
    <w:p w14:paraId="31154D4A" w14:textId="77777777" w:rsidR="0087382C" w:rsidRPr="00FD7BCF" w:rsidRDefault="0087382C" w:rsidP="00B42019">
      <w:pPr>
        <w:pStyle w:val="Prrafodelista"/>
        <w:numPr>
          <w:ilvl w:val="0"/>
          <w:numId w:val="19"/>
        </w:numPr>
        <w:spacing w:before="240" w:after="160" w:line="276" w:lineRule="auto"/>
        <w:ind w:right="-93"/>
        <w:contextualSpacing/>
        <w:rPr>
          <w:rFonts w:ascii="ITC Avant Garde" w:hAnsi="ITC Avant Garde" w:cs="Arial"/>
          <w:snapToGrid w:val="0"/>
        </w:rPr>
      </w:pPr>
      <w:r w:rsidRPr="00FD7BCF">
        <w:rPr>
          <w:rFonts w:ascii="ITC Avant Garde" w:hAnsi="ITC Avant Garde" w:cs="Arial"/>
          <w:snapToGrid w:val="0"/>
          <w:lang w:val="es-ES_tradnl"/>
        </w:rPr>
        <w:t>los gastos generales y administrativos: incluyen los gastos de personal (salarios y participación en las utilidades) y de oficina.</w:t>
      </w:r>
    </w:p>
    <w:p w14:paraId="1942CCA7" w14:textId="77777777" w:rsidR="0087382C" w:rsidRPr="00FD7BCF" w:rsidRDefault="0087382C" w:rsidP="00B42019">
      <w:pPr>
        <w:pStyle w:val="Prrafodelista"/>
        <w:numPr>
          <w:ilvl w:val="0"/>
          <w:numId w:val="19"/>
        </w:numPr>
        <w:spacing w:before="240" w:after="160" w:line="276" w:lineRule="auto"/>
        <w:ind w:right="-93"/>
        <w:contextualSpacing/>
        <w:rPr>
          <w:rFonts w:ascii="ITC Avant Garde" w:hAnsi="ITC Avant Garde" w:cs="Arial"/>
          <w:snapToGrid w:val="0"/>
        </w:rPr>
      </w:pPr>
      <w:r w:rsidRPr="00FD7BCF">
        <w:rPr>
          <w:rFonts w:ascii="ITC Avant Garde" w:hAnsi="ITC Avant Garde" w:cs="Arial"/>
          <w:snapToGrid w:val="0"/>
          <w:lang w:val="es-ES_tradnl"/>
        </w:rPr>
        <w:t xml:space="preserve">los costos de </w:t>
      </w:r>
      <w:r w:rsidRPr="00FD7BCF">
        <w:rPr>
          <w:rFonts w:ascii="ITC Avant Garde" w:hAnsi="ITC Avant Garde" w:cs="Arial"/>
          <w:snapToGrid w:val="0"/>
          <w:lang w:val="es-ES"/>
        </w:rPr>
        <w:t>espacios físicos necesarias en sus propios sitios (emplazamientos) o en las instalaciones del usuario final</w:t>
      </w:r>
      <w:r w:rsidRPr="00FD7BCF">
        <w:rPr>
          <w:rFonts w:ascii="ITC Avant Garde" w:hAnsi="ITC Avant Garde" w:cs="Arial"/>
          <w:snapToGrid w:val="0"/>
          <w:lang w:val="es-ES_tradnl"/>
        </w:rPr>
        <w:t xml:space="preserve"> – solamente en el caso de enlaces dedicados. </w:t>
      </w:r>
    </w:p>
    <w:p w14:paraId="32B1E20F" w14:textId="77777777" w:rsidR="0087382C" w:rsidRPr="00FD7BCF" w:rsidRDefault="0087382C" w:rsidP="00B42019">
      <w:pPr>
        <w:pStyle w:val="Prrafodelista"/>
        <w:numPr>
          <w:ilvl w:val="0"/>
          <w:numId w:val="19"/>
        </w:numPr>
        <w:spacing w:before="240" w:after="160" w:line="276" w:lineRule="auto"/>
        <w:ind w:right="-93"/>
        <w:contextualSpacing/>
        <w:rPr>
          <w:rFonts w:ascii="ITC Avant Garde" w:hAnsi="ITC Avant Garde" w:cs="Arial"/>
          <w:snapToGrid w:val="0"/>
        </w:rPr>
      </w:pPr>
      <w:r w:rsidRPr="00FD7BCF">
        <w:rPr>
          <w:rFonts w:ascii="ITC Avant Garde" w:hAnsi="ITC Avant Garde" w:cs="Arial"/>
          <w:snapToGrid w:val="0"/>
          <w:lang w:val="es-ES_tradnl"/>
        </w:rPr>
        <w:t>el margen de beneficio perdido al no ofrecer servicios minoristas se cuantifica en un 10% de los costos evitados.</w:t>
      </w:r>
      <w:r w:rsidRPr="00FD7BCF" w:rsidDel="002C0D0D">
        <w:rPr>
          <w:rFonts w:ascii="ITC Avant Garde" w:hAnsi="ITC Avant Garde" w:cs="Arial"/>
          <w:snapToGrid w:val="0"/>
          <w:lang w:val="es-ES_tradnl"/>
        </w:rPr>
        <w:t xml:space="preserve"> </w:t>
      </w:r>
    </w:p>
    <w:p w14:paraId="7B36A6C1" w14:textId="77777777" w:rsidR="00B42019" w:rsidRDefault="0087382C" w:rsidP="00B42019">
      <w:pPr>
        <w:pStyle w:val="Prrafodelista"/>
        <w:numPr>
          <w:ilvl w:val="0"/>
          <w:numId w:val="19"/>
        </w:numPr>
        <w:spacing w:before="240" w:after="160" w:line="276" w:lineRule="auto"/>
        <w:ind w:right="-93"/>
        <w:contextualSpacing/>
        <w:rPr>
          <w:rFonts w:ascii="ITC Avant Garde" w:hAnsi="ITC Avant Garde" w:cs="Arial"/>
          <w:snapToGrid w:val="0"/>
        </w:rPr>
      </w:pPr>
      <w:r w:rsidRPr="00FD7BCF">
        <w:rPr>
          <w:rFonts w:ascii="ITC Avant Garde" w:hAnsi="ITC Avant Garde" w:cs="Arial"/>
          <w:snapToGrid w:val="0"/>
          <w:lang w:val="es-ES_tradnl"/>
        </w:rPr>
        <w:t xml:space="preserve">descuentos y </w:t>
      </w:r>
      <w:r w:rsidRPr="00FD7BCF">
        <w:rPr>
          <w:rFonts w:ascii="ITC Avant Garde" w:hAnsi="ITC Avant Garde" w:cs="Arial"/>
          <w:snapToGrid w:val="0"/>
          <w:lang w:val="es-ES"/>
        </w:rPr>
        <w:t>promociones comerciales.</w:t>
      </w:r>
    </w:p>
    <w:p w14:paraId="0BD82291" w14:textId="1A9FB02E" w:rsidR="0087382C" w:rsidRPr="00FD7BCF" w:rsidRDefault="0087382C" w:rsidP="00B42019">
      <w:pPr>
        <w:spacing w:before="240" w:line="276" w:lineRule="auto"/>
        <w:ind w:right="-93"/>
        <w:jc w:val="both"/>
        <w:rPr>
          <w:rFonts w:ascii="ITC Avant Garde" w:hAnsi="ITC Avant Garde" w:cs="Arial"/>
          <w:snapToGrid w:val="0"/>
          <w:lang w:val="es-ES_tradnl"/>
        </w:rPr>
      </w:pPr>
      <w:r w:rsidRPr="00FD7BCF">
        <w:rPr>
          <w:rFonts w:ascii="ITC Avant Garde" w:hAnsi="ITC Avant Garde" w:cs="Arial"/>
          <w:snapToGrid w:val="0"/>
          <w:lang w:val="es-ES_tradnl"/>
        </w:rPr>
        <w:lastRenderedPageBreak/>
        <w:t>El margen de beneficio perdido al no ofrecer servicios minoristas se cuantifica en un 10% de los costos evitados.</w:t>
      </w:r>
      <w:r w:rsidRPr="00FD7BCF" w:rsidDel="000C4D5D">
        <w:rPr>
          <w:rFonts w:ascii="ITC Avant Garde" w:hAnsi="ITC Avant Garde" w:cs="Arial"/>
          <w:snapToGrid w:val="0"/>
          <w:lang w:val="es-ES_tradnl"/>
        </w:rPr>
        <w:t xml:space="preserve"> </w:t>
      </w:r>
    </w:p>
    <w:p w14:paraId="2239AE1B" w14:textId="77777777" w:rsidR="00B42019" w:rsidRDefault="0087382C" w:rsidP="00B42019">
      <w:pPr>
        <w:spacing w:before="240" w:line="276" w:lineRule="auto"/>
        <w:ind w:right="-93"/>
        <w:jc w:val="both"/>
        <w:rPr>
          <w:rFonts w:ascii="ITC Avant Garde" w:hAnsi="ITC Avant Garde" w:cs="Arial"/>
          <w:snapToGrid w:val="0"/>
          <w:lang w:val="es-ES_tradnl"/>
        </w:rPr>
      </w:pPr>
      <w:r w:rsidRPr="00FD7BCF">
        <w:rPr>
          <w:rFonts w:ascii="ITC Avant Garde" w:hAnsi="ITC Avant Garde" w:cs="Arial"/>
          <w:snapToGrid w:val="0"/>
          <w:lang w:val="es-ES_tradnl"/>
        </w:rPr>
        <w:t xml:space="preserve">Los costos evitados del AEP son la suma de todos estos componentes. La suma resultante se divide por el total de ingresos obtenidos por el operador para calcular la proporción de </w:t>
      </w:r>
      <w:r w:rsidR="00FA26A9" w:rsidRPr="00FD7BCF">
        <w:rPr>
          <w:rFonts w:ascii="ITC Avant Garde" w:hAnsi="ITC Avant Garde" w:cs="Arial"/>
          <w:snapToGrid w:val="0"/>
          <w:lang w:val="es-ES_tradnl"/>
        </w:rPr>
        <w:t xml:space="preserve">costos </w:t>
      </w:r>
      <w:r w:rsidRPr="00FD7BCF">
        <w:rPr>
          <w:rFonts w:ascii="ITC Avant Garde" w:hAnsi="ITC Avant Garde" w:cs="Arial"/>
          <w:snapToGrid w:val="0"/>
          <w:lang w:val="es-ES_tradnl"/>
        </w:rPr>
        <w:t>evitados sobre el total de ingresos.</w:t>
      </w:r>
    </w:p>
    <w:p w14:paraId="338BC017" w14:textId="77777777" w:rsidR="00B42019" w:rsidRDefault="0087382C" w:rsidP="00B42019">
      <w:pPr>
        <w:spacing w:before="240" w:line="276" w:lineRule="auto"/>
        <w:ind w:right="-93"/>
        <w:jc w:val="both"/>
        <w:rPr>
          <w:rFonts w:ascii="ITC Avant Garde" w:hAnsi="ITC Avant Garde" w:cs="Arial"/>
          <w:snapToGrid w:val="0"/>
          <w:lang w:val="es-ES_tradnl"/>
        </w:rPr>
      </w:pPr>
      <w:r w:rsidRPr="00FD7BCF">
        <w:rPr>
          <w:rFonts w:ascii="ITC Avant Garde" w:hAnsi="ITC Avant Garde" w:cs="Arial"/>
          <w:snapToGrid w:val="0"/>
          <w:lang w:val="es-ES_tradnl"/>
        </w:rPr>
        <w:t xml:space="preserve">La siguiente gráfica muestra el diagrama de flujo del modelo. </w:t>
      </w:r>
    </w:p>
    <w:p w14:paraId="3D5D92E5" w14:textId="77777777" w:rsidR="00B42019" w:rsidRDefault="0087382C" w:rsidP="00B42019">
      <w:pPr>
        <w:pStyle w:val="Descripcin"/>
        <w:spacing w:before="240" w:after="160" w:line="276" w:lineRule="auto"/>
        <w:rPr>
          <w:rFonts w:ascii="ITC Avant Garde" w:hAnsi="ITC Avant Garde"/>
          <w:lang w:val="es-ES_tradnl"/>
        </w:rPr>
      </w:pPr>
      <w:r w:rsidRPr="00FD7BCF">
        <w:rPr>
          <w:rFonts w:ascii="ITC Avant Garde" w:hAnsi="ITC Avant Garde"/>
          <w:lang w:val="es-ES_tradnl"/>
        </w:rPr>
        <w:t xml:space="preserve">Figura 3: Diagrama de flujo de los modelos [Fuente: </w:t>
      </w:r>
      <w:proofErr w:type="spellStart"/>
      <w:r w:rsidRPr="00FD7BCF">
        <w:rPr>
          <w:rFonts w:ascii="ITC Avant Garde" w:hAnsi="ITC Avant Garde"/>
          <w:lang w:val="es-ES_tradnl"/>
        </w:rPr>
        <w:t>Analysys</w:t>
      </w:r>
      <w:proofErr w:type="spellEnd"/>
      <w:r w:rsidRPr="00FD7BCF">
        <w:rPr>
          <w:rFonts w:ascii="ITC Avant Garde" w:hAnsi="ITC Avant Garde"/>
          <w:lang w:val="es-ES_tradnl"/>
        </w:rPr>
        <w:t xml:space="preserve"> Mason]</w:t>
      </w:r>
    </w:p>
    <w:p w14:paraId="298CEB58" w14:textId="77777777" w:rsidR="00B42019" w:rsidRDefault="0087382C" w:rsidP="00B42019">
      <w:pPr>
        <w:pStyle w:val="Border"/>
        <w:spacing w:before="240" w:after="160" w:line="276" w:lineRule="auto"/>
        <w:rPr>
          <w:rFonts w:ascii="ITC Avant Garde" w:hAnsi="ITC Avant Garde"/>
          <w:sz w:val="18"/>
          <w:szCs w:val="18"/>
          <w:lang w:val="es-ES_tradnl"/>
        </w:rPr>
      </w:pPr>
      <w:r w:rsidRPr="00FD7BCF">
        <w:rPr>
          <w:rFonts w:ascii="ITC Avant Garde" w:hAnsi="ITC Avant Garde"/>
          <w:noProof/>
          <w:sz w:val="18"/>
          <w:szCs w:val="18"/>
          <w:lang w:val="es-MX" w:eastAsia="es-MX"/>
        </w:rPr>
        <w:drawing>
          <wp:inline distT="0" distB="0" distL="0" distR="0" wp14:anchorId="5DF157DB" wp14:editId="0EC45589">
            <wp:extent cx="5543550" cy="2730405"/>
            <wp:effectExtent l="0" t="0" r="0" b="0"/>
            <wp:docPr id="13" name="Picture 1" descr="Diagrama de flujo de los modelos, Fuente: IFT 2015" title="Figura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3550" cy="2730405"/>
                    </a:xfrm>
                    <a:prstGeom prst="rect">
                      <a:avLst/>
                    </a:prstGeom>
                    <a:noFill/>
                    <a:ln>
                      <a:noFill/>
                    </a:ln>
                  </pic:spPr>
                </pic:pic>
              </a:graphicData>
            </a:graphic>
          </wp:inline>
        </w:drawing>
      </w:r>
    </w:p>
    <w:p w14:paraId="7E7F4AD0" w14:textId="49D91F27" w:rsidR="0087382C" w:rsidRPr="00FD7BCF" w:rsidRDefault="0087382C" w:rsidP="00B42019">
      <w:pPr>
        <w:spacing w:before="240" w:line="276" w:lineRule="auto"/>
        <w:jc w:val="both"/>
        <w:rPr>
          <w:rFonts w:ascii="ITC Avant Garde" w:hAnsi="ITC Avant Garde"/>
          <w:lang w:val="es-ES"/>
        </w:rPr>
      </w:pPr>
      <w:r w:rsidRPr="00FD7BCF">
        <w:rPr>
          <w:rFonts w:ascii="ITC Avant Garde" w:hAnsi="ITC Avant Garde"/>
          <w:lang w:val="es-ES"/>
        </w:rPr>
        <w:t>Los resultados del Modelo de Costos se presentan en la siguiente tabla:</w:t>
      </w:r>
    </w:p>
    <w:tbl>
      <w:tblPr>
        <w:tblStyle w:val="Tablaconcuadrcula2"/>
        <w:tblW w:w="0" w:type="auto"/>
        <w:jc w:val="center"/>
        <w:tblLayout w:type="fixed"/>
        <w:tblLook w:val="0000" w:firstRow="0" w:lastRow="0" w:firstColumn="0" w:lastColumn="0" w:noHBand="0" w:noVBand="0"/>
        <w:tblCaption w:val="Modelo de Costos "/>
        <w:tblDescription w:val="En una tabla de 2 columnas, se proporciona el arrendamiento de enlaces dedicados."/>
      </w:tblPr>
      <w:tblGrid>
        <w:gridCol w:w="3375"/>
        <w:gridCol w:w="2574"/>
      </w:tblGrid>
      <w:tr w:rsidR="00FD7BCF" w:rsidRPr="00FD7BCF" w14:paraId="573C4351" w14:textId="77777777" w:rsidTr="00B42019">
        <w:trPr>
          <w:trHeight w:val="112"/>
          <w:tblHeader/>
          <w:jc w:val="center"/>
        </w:trPr>
        <w:tc>
          <w:tcPr>
            <w:tcW w:w="3375" w:type="dxa"/>
            <w:shd w:val="clear" w:color="auto" w:fill="A6A6A6" w:themeFill="background1" w:themeFillShade="A6"/>
            <w:vAlign w:val="center"/>
          </w:tcPr>
          <w:p w14:paraId="0767D827" w14:textId="71DFCD1A" w:rsidR="0087382C" w:rsidRPr="00B42019" w:rsidRDefault="00B42019" w:rsidP="00B42019">
            <w:pPr>
              <w:autoSpaceDE w:val="0"/>
              <w:autoSpaceDN w:val="0"/>
              <w:adjustRightInd w:val="0"/>
              <w:spacing w:after="0" w:line="276" w:lineRule="auto"/>
              <w:jc w:val="center"/>
              <w:rPr>
                <w:rFonts w:ascii="ITC Avant Garde" w:hAnsi="ITC Avant Garde" w:cs="Arial"/>
                <w:b/>
                <w:bCs/>
                <w:sz w:val="2"/>
                <w:szCs w:val="2"/>
              </w:rPr>
            </w:pPr>
            <w:r w:rsidRPr="00B42019">
              <w:rPr>
                <w:rFonts w:ascii="ITC Avant Garde" w:hAnsi="ITC Avant Garde" w:cs="Arial"/>
                <w:b/>
                <w:bCs/>
                <w:sz w:val="2"/>
                <w:szCs w:val="2"/>
              </w:rPr>
              <w:t>.</w:t>
            </w:r>
          </w:p>
        </w:tc>
        <w:tc>
          <w:tcPr>
            <w:tcW w:w="2574" w:type="dxa"/>
            <w:shd w:val="clear" w:color="auto" w:fill="A6A6A6" w:themeFill="background1" w:themeFillShade="A6"/>
            <w:vAlign w:val="center"/>
          </w:tcPr>
          <w:p w14:paraId="35DC15C7" w14:textId="77777777" w:rsidR="0087382C" w:rsidRPr="00FD7BCF" w:rsidRDefault="0087382C" w:rsidP="00B42019">
            <w:pPr>
              <w:autoSpaceDE w:val="0"/>
              <w:autoSpaceDN w:val="0"/>
              <w:adjustRightInd w:val="0"/>
              <w:spacing w:after="0" w:line="276" w:lineRule="auto"/>
              <w:jc w:val="center"/>
              <w:rPr>
                <w:rFonts w:ascii="ITC Avant Garde" w:hAnsi="ITC Avant Garde" w:cs="Arial"/>
                <w:b/>
              </w:rPr>
            </w:pPr>
            <w:r w:rsidRPr="00FD7BCF">
              <w:rPr>
                <w:rFonts w:ascii="ITC Avant Garde" w:hAnsi="ITC Avant Garde" w:cs="Arial"/>
                <w:b/>
              </w:rPr>
              <w:t>Arrendamiento de enlaces dedicados</w:t>
            </w:r>
          </w:p>
        </w:tc>
      </w:tr>
      <w:tr w:rsidR="00FD7BCF" w:rsidRPr="00FD7BCF" w14:paraId="219642B4" w14:textId="77777777" w:rsidTr="00B42019">
        <w:trPr>
          <w:trHeight w:val="112"/>
          <w:jc w:val="center"/>
        </w:trPr>
        <w:tc>
          <w:tcPr>
            <w:tcW w:w="3375" w:type="dxa"/>
          </w:tcPr>
          <w:p w14:paraId="3DEF53F7" w14:textId="77777777" w:rsidR="0087382C" w:rsidRPr="00FD7BCF" w:rsidRDefault="0087382C" w:rsidP="00B42019">
            <w:pPr>
              <w:autoSpaceDE w:val="0"/>
              <w:autoSpaceDN w:val="0"/>
              <w:adjustRightInd w:val="0"/>
              <w:spacing w:after="0" w:line="276" w:lineRule="auto"/>
              <w:rPr>
                <w:rFonts w:ascii="ITC Avant Garde" w:hAnsi="ITC Avant Garde" w:cs="Arial"/>
              </w:rPr>
            </w:pPr>
            <w:r w:rsidRPr="00FD7BCF">
              <w:rPr>
                <w:rFonts w:ascii="ITC Avant Garde" w:hAnsi="ITC Avant Garde" w:cs="Arial"/>
                <w:b/>
                <w:bCs/>
              </w:rPr>
              <w:t xml:space="preserve">Descuentos sobre los precios minoristas </w:t>
            </w:r>
          </w:p>
        </w:tc>
        <w:tc>
          <w:tcPr>
            <w:tcW w:w="2574" w:type="dxa"/>
          </w:tcPr>
          <w:p w14:paraId="217506E5" w14:textId="77777777" w:rsidR="0087382C" w:rsidRPr="00FD7BCF" w:rsidRDefault="0087382C" w:rsidP="00B42019">
            <w:pPr>
              <w:autoSpaceDE w:val="0"/>
              <w:autoSpaceDN w:val="0"/>
              <w:adjustRightInd w:val="0"/>
              <w:spacing w:after="0" w:line="276" w:lineRule="auto"/>
              <w:jc w:val="center"/>
              <w:rPr>
                <w:rFonts w:ascii="ITC Avant Garde" w:hAnsi="ITC Avant Garde" w:cs="Arial"/>
              </w:rPr>
            </w:pPr>
            <w:r w:rsidRPr="00FD7BCF">
              <w:rPr>
                <w:rFonts w:ascii="ITC Avant Garde" w:hAnsi="ITC Avant Garde" w:cs="Arial"/>
              </w:rPr>
              <w:t>37.23%</w:t>
            </w:r>
          </w:p>
        </w:tc>
      </w:tr>
      <w:tr w:rsidR="00FD7BCF" w:rsidRPr="00FD7BCF" w14:paraId="5E6DDC55" w14:textId="77777777" w:rsidTr="00B42019">
        <w:trPr>
          <w:trHeight w:val="544"/>
          <w:jc w:val="center"/>
        </w:trPr>
        <w:tc>
          <w:tcPr>
            <w:tcW w:w="3375" w:type="dxa"/>
          </w:tcPr>
          <w:p w14:paraId="1C89C01F" w14:textId="77777777" w:rsidR="0087382C" w:rsidRPr="00FD7BCF" w:rsidRDefault="0087382C" w:rsidP="00B42019">
            <w:pPr>
              <w:autoSpaceDE w:val="0"/>
              <w:autoSpaceDN w:val="0"/>
              <w:adjustRightInd w:val="0"/>
              <w:spacing w:after="0" w:line="276" w:lineRule="auto"/>
              <w:rPr>
                <w:rFonts w:ascii="ITC Avant Garde" w:hAnsi="ITC Avant Garde" w:cs="Arial"/>
              </w:rPr>
            </w:pPr>
            <w:r w:rsidRPr="00FD7BCF">
              <w:rPr>
                <w:rFonts w:ascii="ITC Avant Garde" w:hAnsi="ITC Avant Garde" w:cs="Arial"/>
                <w:b/>
                <w:bCs/>
              </w:rPr>
              <w:t xml:space="preserve">Total otros costos evitados </w:t>
            </w:r>
            <w:r w:rsidRPr="00FD7BCF">
              <w:rPr>
                <w:rFonts w:ascii="ITC Avant Garde" w:hAnsi="ITC Avant Garde" w:cs="Arial"/>
              </w:rPr>
              <w:t xml:space="preserve">(como gastos de marketing y publicidad, deudas incobrable, gastos de facturación, entre otros) </w:t>
            </w:r>
          </w:p>
        </w:tc>
        <w:tc>
          <w:tcPr>
            <w:tcW w:w="2574" w:type="dxa"/>
          </w:tcPr>
          <w:p w14:paraId="6B9C18BC" w14:textId="77777777" w:rsidR="0087382C" w:rsidRPr="00FD7BCF" w:rsidRDefault="0087382C" w:rsidP="00B42019">
            <w:pPr>
              <w:autoSpaceDE w:val="0"/>
              <w:autoSpaceDN w:val="0"/>
              <w:adjustRightInd w:val="0"/>
              <w:spacing w:after="0" w:line="276" w:lineRule="auto"/>
              <w:jc w:val="center"/>
              <w:rPr>
                <w:rFonts w:ascii="ITC Avant Garde" w:hAnsi="ITC Avant Garde" w:cs="Arial"/>
              </w:rPr>
            </w:pPr>
            <w:r w:rsidRPr="00FD7BCF">
              <w:rPr>
                <w:rFonts w:ascii="ITC Avant Garde" w:hAnsi="ITC Avant Garde" w:cs="Arial"/>
              </w:rPr>
              <w:t>6.</w:t>
            </w:r>
            <w:r w:rsidR="00FA26A9" w:rsidRPr="00FD7BCF">
              <w:rPr>
                <w:rFonts w:ascii="ITC Avant Garde" w:hAnsi="ITC Avant Garde" w:cs="Arial"/>
              </w:rPr>
              <w:t>23</w:t>
            </w:r>
            <w:r w:rsidRPr="00FD7BCF">
              <w:rPr>
                <w:rFonts w:ascii="ITC Avant Garde" w:hAnsi="ITC Avant Garde" w:cs="Arial"/>
              </w:rPr>
              <w:t>%</w:t>
            </w:r>
          </w:p>
        </w:tc>
      </w:tr>
      <w:tr w:rsidR="0087382C" w:rsidRPr="00FD7BCF" w14:paraId="53655FC7" w14:textId="77777777" w:rsidTr="00B42019">
        <w:trPr>
          <w:trHeight w:val="256"/>
          <w:jc w:val="center"/>
        </w:trPr>
        <w:tc>
          <w:tcPr>
            <w:tcW w:w="3375" w:type="dxa"/>
          </w:tcPr>
          <w:p w14:paraId="37AA826B" w14:textId="77777777" w:rsidR="0087382C" w:rsidRPr="00FD7BCF" w:rsidRDefault="0087382C" w:rsidP="00B42019">
            <w:pPr>
              <w:autoSpaceDE w:val="0"/>
              <w:autoSpaceDN w:val="0"/>
              <w:adjustRightInd w:val="0"/>
              <w:spacing w:after="0" w:line="276" w:lineRule="auto"/>
              <w:rPr>
                <w:rFonts w:ascii="ITC Avant Garde" w:hAnsi="ITC Avant Garde" w:cs="Arial"/>
              </w:rPr>
            </w:pPr>
            <w:r w:rsidRPr="00FD7BCF">
              <w:rPr>
                <w:rFonts w:ascii="ITC Avant Garde" w:hAnsi="ITC Avant Garde" w:cs="Arial"/>
                <w:b/>
                <w:bCs/>
              </w:rPr>
              <w:t xml:space="preserve">Resultado </w:t>
            </w:r>
            <w:r w:rsidRPr="00FD7BCF">
              <w:rPr>
                <w:rFonts w:ascii="ITC Avant Garde" w:hAnsi="ITC Avant Garde" w:cs="Arial"/>
              </w:rPr>
              <w:t xml:space="preserve">(suma de los descuentos y otros costos evitados) </w:t>
            </w:r>
          </w:p>
        </w:tc>
        <w:tc>
          <w:tcPr>
            <w:tcW w:w="2574" w:type="dxa"/>
          </w:tcPr>
          <w:p w14:paraId="235A1F09" w14:textId="77777777" w:rsidR="0087382C" w:rsidRPr="00FD7BCF" w:rsidRDefault="0087382C" w:rsidP="00B42019">
            <w:pPr>
              <w:autoSpaceDE w:val="0"/>
              <w:autoSpaceDN w:val="0"/>
              <w:adjustRightInd w:val="0"/>
              <w:spacing w:after="0" w:line="276" w:lineRule="auto"/>
              <w:jc w:val="center"/>
              <w:rPr>
                <w:rFonts w:ascii="ITC Avant Garde" w:hAnsi="ITC Avant Garde" w:cs="Arial"/>
              </w:rPr>
            </w:pPr>
            <w:r w:rsidRPr="00FD7BCF">
              <w:rPr>
                <w:rFonts w:ascii="ITC Avant Garde" w:hAnsi="ITC Avant Garde" w:cs="Arial"/>
              </w:rPr>
              <w:t>43.</w:t>
            </w:r>
            <w:r w:rsidR="00FA26A9" w:rsidRPr="00FD7BCF">
              <w:rPr>
                <w:rFonts w:ascii="ITC Avant Garde" w:hAnsi="ITC Avant Garde" w:cs="Arial"/>
              </w:rPr>
              <w:t>46</w:t>
            </w:r>
            <w:r w:rsidRPr="00FD7BCF">
              <w:rPr>
                <w:rFonts w:ascii="ITC Avant Garde" w:hAnsi="ITC Avant Garde" w:cs="Arial"/>
              </w:rPr>
              <w:t>%</w:t>
            </w:r>
          </w:p>
        </w:tc>
      </w:tr>
    </w:tbl>
    <w:p w14:paraId="059DB172" w14:textId="77777777" w:rsidR="0087382C" w:rsidRPr="00FD7BCF" w:rsidRDefault="0087382C" w:rsidP="00B42019">
      <w:pPr>
        <w:pStyle w:val="IFTTexto"/>
        <w:numPr>
          <w:ilvl w:val="1"/>
          <w:numId w:val="24"/>
        </w:numPr>
        <w:spacing w:before="240" w:after="160"/>
        <w:ind w:left="567" w:hanging="567"/>
        <w:rPr>
          <w:b/>
          <w:snapToGrid w:val="0"/>
          <w:color w:val="auto"/>
          <w:lang w:val="es-MX"/>
        </w:rPr>
      </w:pPr>
      <w:r w:rsidRPr="00FD7BCF">
        <w:rPr>
          <w:b/>
          <w:snapToGrid w:val="0"/>
          <w:color w:val="auto"/>
          <w:lang w:val="es-MX"/>
        </w:rPr>
        <w:lastRenderedPageBreak/>
        <w:t>Descuento único</w:t>
      </w:r>
    </w:p>
    <w:p w14:paraId="24892A7C"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 xml:space="preserve">Los precios de lista registrados por el AEP en la prestación de servicios que realiza al mercado minorista, consideran una estructura de descuentos por volumen; asimismo, en los diversos convenios de prestación del servicio mayorista de arrendamiento de enlaces dedicados se </w:t>
      </w:r>
      <w:r w:rsidR="007F358B" w:rsidRPr="00FD7BCF">
        <w:rPr>
          <w:rFonts w:ascii="ITC Avant Garde" w:hAnsi="ITC Avant Garde"/>
        </w:rPr>
        <w:t xml:space="preserve">establecen de igual manera una </w:t>
      </w:r>
      <w:r w:rsidRPr="00FD7BCF">
        <w:rPr>
          <w:rFonts w:ascii="ITC Avant Garde" w:hAnsi="ITC Avant Garde"/>
        </w:rPr>
        <w:t>estructura de descuentos</w:t>
      </w:r>
      <w:r w:rsidR="007F358B" w:rsidRPr="00FD7BCF">
        <w:rPr>
          <w:rFonts w:ascii="ITC Avant Garde" w:hAnsi="ITC Avant Garde"/>
        </w:rPr>
        <w:t xml:space="preserve"> por volumen</w:t>
      </w:r>
      <w:r w:rsidRPr="00FD7BCF">
        <w:rPr>
          <w:rFonts w:ascii="ITC Avant Garde" w:hAnsi="ITC Avant Garde"/>
        </w:rPr>
        <w:t>.</w:t>
      </w:r>
    </w:p>
    <w:p w14:paraId="669C88EC"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Los descuentos por volumen de facturación, se aplican uno para los tramos locales de los enlaces, y otro para los tramos entre localidades.</w:t>
      </w:r>
    </w:p>
    <w:p w14:paraId="4235C17D"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Los descuentos pueden estar justificados desde una lógica comercial en casos muy específicos, por ejemplo para reflejar las economías de escala, incrementar el consumo del servicio o mejorar la eficiencia del servicio ofrecido a través de las economías de escala asociadas.</w:t>
      </w:r>
    </w:p>
    <w:p w14:paraId="523F1D53"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No obstante, desde una perspectiva regulatoria, el modelo de costos resulta en un descuento único que se aplica de forma horizontal a todos los actores del mercado por igual, independientemente de sus características técnicas y/o de los volúmenes de negocio.</w:t>
      </w:r>
    </w:p>
    <w:p w14:paraId="037708B7" w14:textId="77777777" w:rsidR="00B42019" w:rsidRDefault="0087382C" w:rsidP="00B42019">
      <w:pPr>
        <w:spacing w:before="240" w:line="276" w:lineRule="auto"/>
        <w:jc w:val="both"/>
        <w:rPr>
          <w:rFonts w:ascii="ITC Avant Garde" w:hAnsi="ITC Avant Garde"/>
        </w:rPr>
      </w:pPr>
      <w:r w:rsidRPr="00FD7BCF">
        <w:rPr>
          <w:rFonts w:ascii="ITC Avant Garde" w:hAnsi="ITC Avant Garde"/>
        </w:rPr>
        <w:t>La aplicación de un descuento único tiene las siguientes ventajas:</w:t>
      </w:r>
    </w:p>
    <w:p w14:paraId="63CF5B09" w14:textId="5A54D4DD" w:rsidR="0087382C" w:rsidRPr="00FD7BCF" w:rsidRDefault="0087382C" w:rsidP="00B42019">
      <w:pPr>
        <w:pStyle w:val="Prrafodelista"/>
        <w:numPr>
          <w:ilvl w:val="0"/>
          <w:numId w:val="22"/>
        </w:numPr>
        <w:spacing w:before="240" w:after="160" w:line="276" w:lineRule="auto"/>
        <w:contextualSpacing/>
        <w:rPr>
          <w:rFonts w:ascii="ITC Avant Garde" w:hAnsi="ITC Avant Garde"/>
        </w:rPr>
      </w:pPr>
      <w:r w:rsidRPr="00FD7BCF">
        <w:rPr>
          <w:rFonts w:ascii="ITC Avant Garde" w:hAnsi="ITC Avant Garde"/>
        </w:rPr>
        <w:t>aportan transparencia al proceso, al resultar generalmente de un modelo;</w:t>
      </w:r>
    </w:p>
    <w:p w14:paraId="24E46613" w14:textId="77777777" w:rsidR="0087382C" w:rsidRPr="00FD7BCF" w:rsidRDefault="0087382C" w:rsidP="00B42019">
      <w:pPr>
        <w:pStyle w:val="Prrafodelista"/>
        <w:numPr>
          <w:ilvl w:val="0"/>
          <w:numId w:val="22"/>
        </w:numPr>
        <w:spacing w:before="240" w:after="160" w:line="276" w:lineRule="auto"/>
        <w:contextualSpacing/>
        <w:rPr>
          <w:rFonts w:ascii="ITC Avant Garde" w:hAnsi="ITC Avant Garde"/>
        </w:rPr>
      </w:pPr>
      <w:r w:rsidRPr="00FD7BCF">
        <w:rPr>
          <w:rFonts w:ascii="ITC Avant Garde" w:hAnsi="ITC Avant Garde"/>
        </w:rPr>
        <w:t>son sencillos de entender y aplicar;</w:t>
      </w:r>
    </w:p>
    <w:p w14:paraId="00799FA2" w14:textId="77777777" w:rsidR="00B42019" w:rsidRDefault="0087382C" w:rsidP="00B42019">
      <w:pPr>
        <w:pStyle w:val="Prrafodelista"/>
        <w:numPr>
          <w:ilvl w:val="0"/>
          <w:numId w:val="22"/>
        </w:numPr>
        <w:spacing w:before="240" w:after="160" w:line="276" w:lineRule="auto"/>
        <w:contextualSpacing/>
        <w:rPr>
          <w:rFonts w:ascii="ITC Avant Garde" w:hAnsi="ITC Avant Garde"/>
        </w:rPr>
      </w:pPr>
      <w:r w:rsidRPr="00FD7BCF">
        <w:rPr>
          <w:rFonts w:ascii="ITC Avant Garde" w:hAnsi="ITC Avant Garde"/>
        </w:rPr>
        <w:t>no discriminan entre operadores por razones de facturación o geografía.</w:t>
      </w:r>
    </w:p>
    <w:p w14:paraId="41765AD1" w14:textId="77777777" w:rsidR="00B42019" w:rsidRDefault="0087382C" w:rsidP="00B42019">
      <w:pPr>
        <w:spacing w:before="240" w:line="276" w:lineRule="auto"/>
        <w:ind w:right="-93"/>
        <w:jc w:val="both"/>
        <w:rPr>
          <w:rFonts w:ascii="ITC Avant Garde" w:hAnsi="ITC Avant Garde" w:cs="Arial"/>
          <w:snapToGrid w:val="0"/>
        </w:rPr>
      </w:pPr>
      <w:r w:rsidRPr="00FD7BCF">
        <w:rPr>
          <w:rFonts w:ascii="ITC Avant Garde" w:hAnsi="ITC Avant Garde" w:cs="Arial"/>
          <w:snapToGrid w:val="0"/>
        </w:rPr>
        <w:t>Los descuentos por volumen son relativamente inusuales en las ofertas de referencia y presentan inconvenientes de peso:</w:t>
      </w:r>
    </w:p>
    <w:p w14:paraId="6FFF2C04" w14:textId="54EDCA4A" w:rsidR="0087382C" w:rsidRPr="00FD7BCF" w:rsidRDefault="0087382C" w:rsidP="00B42019">
      <w:pPr>
        <w:pStyle w:val="Prrafodelista"/>
        <w:numPr>
          <w:ilvl w:val="0"/>
          <w:numId w:val="23"/>
        </w:numPr>
        <w:spacing w:before="240" w:after="160" w:line="276" w:lineRule="auto"/>
        <w:ind w:right="-93"/>
        <w:contextualSpacing/>
        <w:rPr>
          <w:rFonts w:ascii="ITC Avant Garde" w:hAnsi="ITC Avant Garde" w:cs="Arial"/>
          <w:snapToGrid w:val="0"/>
        </w:rPr>
      </w:pPr>
      <w:r w:rsidRPr="00FD7BCF">
        <w:rPr>
          <w:rFonts w:ascii="ITC Avant Garde" w:hAnsi="ITC Avant Garde" w:cs="Arial"/>
          <w:snapToGrid w:val="0"/>
        </w:rPr>
        <w:t>los operadores con menor cuota de mercado acaban pagando precios superiores a la media, lo que dificulta su crecimiento;</w:t>
      </w:r>
    </w:p>
    <w:p w14:paraId="2B488745" w14:textId="77777777" w:rsidR="0087382C" w:rsidRPr="00FD7BCF" w:rsidRDefault="0087382C" w:rsidP="00B42019">
      <w:pPr>
        <w:pStyle w:val="Prrafodelista"/>
        <w:numPr>
          <w:ilvl w:val="0"/>
          <w:numId w:val="23"/>
        </w:numPr>
        <w:spacing w:before="240" w:after="160" w:line="276" w:lineRule="auto"/>
        <w:ind w:right="-93"/>
        <w:contextualSpacing/>
        <w:rPr>
          <w:rFonts w:ascii="ITC Avant Garde" w:hAnsi="ITC Avant Garde" w:cs="Arial"/>
          <w:snapToGrid w:val="0"/>
        </w:rPr>
      </w:pPr>
      <w:r w:rsidRPr="00FD7BCF">
        <w:rPr>
          <w:rFonts w:ascii="ITC Avant Garde" w:hAnsi="ITC Avant Garde" w:cs="Arial"/>
          <w:snapToGrid w:val="0"/>
        </w:rPr>
        <w:t>los descuentos deben tener en cuenta la elasticidad del precio de la demanda, algo que es generalmente complicado de estimar;</w:t>
      </w:r>
    </w:p>
    <w:p w14:paraId="20542A80" w14:textId="77777777" w:rsidR="00B42019" w:rsidRDefault="0087382C" w:rsidP="00B42019">
      <w:pPr>
        <w:pStyle w:val="Prrafodelista"/>
        <w:numPr>
          <w:ilvl w:val="0"/>
          <w:numId w:val="23"/>
        </w:numPr>
        <w:spacing w:before="240" w:after="160" w:line="276" w:lineRule="auto"/>
        <w:ind w:right="-93"/>
        <w:contextualSpacing/>
        <w:rPr>
          <w:rFonts w:ascii="ITC Avant Garde" w:hAnsi="ITC Avant Garde" w:cs="Arial"/>
          <w:snapToGrid w:val="0"/>
        </w:rPr>
      </w:pPr>
      <w:r w:rsidRPr="00FD7BCF">
        <w:rPr>
          <w:rFonts w:ascii="ITC Avant Garde" w:hAnsi="ITC Avant Garde" w:cs="Arial"/>
          <w:snapToGrid w:val="0"/>
        </w:rPr>
        <w:t>el cálculo del abanico de descuentos corre el riesgo de ser arbitrario y difícil de justificar.</w:t>
      </w:r>
    </w:p>
    <w:p w14:paraId="6D390B47" w14:textId="74EC17A6" w:rsidR="00B42019" w:rsidRDefault="0087382C" w:rsidP="00B42019">
      <w:pPr>
        <w:spacing w:before="240" w:line="276" w:lineRule="auto"/>
        <w:ind w:right="-93"/>
        <w:jc w:val="both"/>
        <w:rPr>
          <w:rFonts w:ascii="ITC Avant Garde" w:hAnsi="ITC Avant Garde" w:cs="Arial"/>
          <w:snapToGrid w:val="0"/>
        </w:rPr>
      </w:pPr>
      <w:r w:rsidRPr="00FD7BCF">
        <w:rPr>
          <w:rFonts w:ascii="ITC Avant Garde" w:hAnsi="ITC Avant Garde" w:cs="Arial"/>
          <w:snapToGrid w:val="0"/>
        </w:rPr>
        <w:t xml:space="preserve">En tal virtud se considera que, a efecto de establecer </w:t>
      </w:r>
      <w:r w:rsidR="00FA26A9" w:rsidRPr="00FD7BCF">
        <w:rPr>
          <w:rFonts w:ascii="ITC Avant Garde" w:hAnsi="ITC Avant Garde" w:cs="Arial"/>
          <w:snapToGrid w:val="0"/>
        </w:rPr>
        <w:t xml:space="preserve">en igualdad de </w:t>
      </w:r>
      <w:r w:rsidRPr="00FD7BCF">
        <w:rPr>
          <w:rFonts w:ascii="ITC Avant Garde" w:hAnsi="ITC Avant Garde" w:cs="Arial"/>
          <w:snapToGrid w:val="0"/>
        </w:rPr>
        <w:t>condiciones de competencia, en lo particular para aquellos operadores con menor escala de operación, se hace necesario adoptar una estructura única de descuento, esto es, que el descuento sobre el precio de lista sea el mismo con independencia del volumen de facturación.</w:t>
      </w:r>
    </w:p>
    <w:p w14:paraId="044397AB" w14:textId="77777777" w:rsidR="00B42019" w:rsidRDefault="0087382C" w:rsidP="00B42019">
      <w:pPr>
        <w:spacing w:before="240" w:line="276" w:lineRule="auto"/>
        <w:ind w:right="-93"/>
        <w:jc w:val="both"/>
        <w:rPr>
          <w:rFonts w:ascii="ITC Avant Garde" w:hAnsi="ITC Avant Garde" w:cs="Arial"/>
          <w:snapToGrid w:val="0"/>
        </w:rPr>
      </w:pPr>
      <w:r w:rsidRPr="00FD7BCF">
        <w:rPr>
          <w:rFonts w:ascii="ITC Avant Garde" w:hAnsi="ITC Avant Garde" w:cs="Arial"/>
          <w:snapToGrid w:val="0"/>
        </w:rPr>
        <w:lastRenderedPageBreak/>
        <w:t xml:space="preserve">Es así que para obtener el precio final aplicable al servicio mayorista los descuentos se aplican en serie: </w:t>
      </w:r>
    </w:p>
    <w:p w14:paraId="1363F8EF" w14:textId="77777777" w:rsidR="00B42019" w:rsidRDefault="0087382C" w:rsidP="00B42019">
      <w:pPr>
        <w:spacing w:before="240" w:line="276" w:lineRule="auto"/>
        <w:ind w:right="-93"/>
        <w:jc w:val="both"/>
        <w:rPr>
          <w:rFonts w:ascii="ITC Avant Garde" w:hAnsi="ITC Avant Garde" w:cs="Arial"/>
          <w:b/>
          <w:i/>
          <w:snapToGrid w:val="0"/>
        </w:rPr>
      </w:pPr>
      <w:r w:rsidRPr="00FD7BCF">
        <w:rPr>
          <w:rFonts w:ascii="ITC Avant Garde" w:hAnsi="ITC Avant Garde" w:cs="Arial"/>
          <w:b/>
          <w:i/>
          <w:snapToGrid w:val="0"/>
        </w:rPr>
        <w:t>Precio final = Precio minorista efectivo* (1 - Descuento adicional) *(1 - Descuento</w:t>
      </w:r>
      <w:r w:rsidR="00FA26A9" w:rsidRPr="00FD7BCF">
        <w:rPr>
          <w:rFonts w:ascii="ITC Avant Garde" w:hAnsi="ITC Avant Garde" w:cs="Arial"/>
          <w:b/>
          <w:i/>
          <w:snapToGrid w:val="0"/>
        </w:rPr>
        <w:t xml:space="preserve"> </w:t>
      </w:r>
      <w:r w:rsidR="0013520F" w:rsidRPr="00FD7BCF">
        <w:rPr>
          <w:rFonts w:ascii="ITC Avant Garde" w:hAnsi="ITC Avant Garde" w:cs="Arial"/>
          <w:b/>
          <w:i/>
          <w:snapToGrid w:val="0"/>
        </w:rPr>
        <w:t>de costos evitados</w:t>
      </w:r>
      <w:r w:rsidRPr="00FD7BCF">
        <w:rPr>
          <w:rFonts w:ascii="ITC Avant Garde" w:hAnsi="ITC Avant Garde" w:cs="Arial"/>
          <w:b/>
          <w:i/>
          <w:snapToGrid w:val="0"/>
        </w:rPr>
        <w:t xml:space="preserve">) </w:t>
      </w:r>
    </w:p>
    <w:p w14:paraId="418F48FF" w14:textId="77777777" w:rsidR="00B42019" w:rsidRDefault="0087382C" w:rsidP="00B42019">
      <w:pPr>
        <w:spacing w:before="240" w:line="276" w:lineRule="auto"/>
        <w:ind w:right="-93"/>
        <w:jc w:val="both"/>
        <w:rPr>
          <w:rFonts w:ascii="ITC Avant Garde" w:hAnsi="ITC Avant Garde"/>
          <w:lang w:eastAsia="es-ES_tradnl"/>
        </w:rPr>
      </w:pPr>
      <w:r w:rsidRPr="00FD7BCF">
        <w:rPr>
          <w:rFonts w:ascii="ITC Avant Garde" w:hAnsi="ITC Avant Garde" w:cs="Arial"/>
          <w:snapToGrid w:val="0"/>
        </w:rPr>
        <w:t xml:space="preserve">De tal forma que, </w:t>
      </w:r>
      <w:r w:rsidRPr="00FD7BCF">
        <w:rPr>
          <w:rFonts w:ascii="ITC Avant Garde" w:hAnsi="ITC Avant Garde"/>
          <w:lang w:eastAsia="es-ES_tradnl"/>
        </w:rPr>
        <w:t xml:space="preserve">Telmex y </w:t>
      </w:r>
      <w:proofErr w:type="spellStart"/>
      <w:r w:rsidRPr="00FD7BCF">
        <w:rPr>
          <w:rFonts w:ascii="ITC Avant Garde" w:hAnsi="ITC Avant Garde"/>
          <w:lang w:eastAsia="es-ES_tradnl"/>
        </w:rPr>
        <w:t>Telnor</w:t>
      </w:r>
      <w:proofErr w:type="spellEnd"/>
      <w:r w:rsidRPr="00FD7BCF">
        <w:rPr>
          <w:rFonts w:ascii="ITC Avant Garde" w:hAnsi="ITC Avant Garde"/>
          <w:lang w:eastAsia="es-ES_tradnl"/>
        </w:rPr>
        <w:t xml:space="preserve"> deberán otorgar al Concesionario Solicitante un descuento del 67 % (sesenta y siete por ciento) sobre las tarifas de renta mensual correspondientes a los tramos locales del servicio mayorista de arrendamiento de enlaces dedicados.</w:t>
      </w:r>
    </w:p>
    <w:p w14:paraId="08019109" w14:textId="77777777" w:rsidR="00B42019" w:rsidRDefault="0087382C" w:rsidP="00B42019">
      <w:pPr>
        <w:spacing w:before="240" w:line="276" w:lineRule="auto"/>
        <w:ind w:right="-93"/>
        <w:jc w:val="both"/>
        <w:rPr>
          <w:rFonts w:ascii="ITC Avant Garde" w:hAnsi="ITC Avant Garde"/>
          <w:lang w:eastAsia="es-ES_tradnl"/>
        </w:rPr>
      </w:pPr>
      <w:r w:rsidRPr="00FD7BCF">
        <w:rPr>
          <w:rFonts w:ascii="ITC Avant Garde" w:hAnsi="ITC Avant Garde"/>
          <w:lang w:eastAsia="es-ES_tradnl"/>
        </w:rPr>
        <w:t xml:space="preserve">Asimismo, Telmex y </w:t>
      </w:r>
      <w:proofErr w:type="spellStart"/>
      <w:r w:rsidRPr="00FD7BCF">
        <w:rPr>
          <w:rFonts w:ascii="ITC Avant Garde" w:hAnsi="ITC Avant Garde"/>
          <w:lang w:eastAsia="es-ES_tradnl"/>
        </w:rPr>
        <w:t>Telnor</w:t>
      </w:r>
      <w:proofErr w:type="spellEnd"/>
      <w:r w:rsidRPr="00FD7BCF">
        <w:rPr>
          <w:rFonts w:ascii="ITC Avant Garde" w:hAnsi="ITC Avant Garde"/>
          <w:lang w:eastAsia="es-ES_tradnl"/>
        </w:rPr>
        <w:t xml:space="preserve"> deberán otorgar al Concesionario Solicitante un descuento del 69 % (sesenta y nueve por ciento) sobre las tarifas de renta mensual correspondientes a los tramos entre localidades y de larga distancia internacional del servicio mayorista de arrendamiento de enlaces dedicados.</w:t>
      </w:r>
    </w:p>
    <w:p w14:paraId="24007552" w14:textId="77777777" w:rsidR="00B42019" w:rsidRDefault="0087382C" w:rsidP="00B42019">
      <w:pPr>
        <w:spacing w:before="240" w:line="276" w:lineRule="auto"/>
        <w:ind w:right="-93"/>
        <w:jc w:val="both"/>
        <w:rPr>
          <w:rFonts w:ascii="ITC Avant Garde" w:hAnsi="ITC Avant Garde" w:cs="Arial"/>
          <w:snapToGrid w:val="0"/>
        </w:rPr>
      </w:pPr>
      <w:r w:rsidRPr="00FD7BCF">
        <w:rPr>
          <w:rFonts w:ascii="ITC Avant Garde" w:hAnsi="ITC Avant Garde" w:cs="Arial"/>
          <w:snapToGrid w:val="0"/>
        </w:rPr>
        <w:t xml:space="preserve">Con estos descuentos se asegura que ningún operador se verá afectado al emplear los precios mayoristas de la Oferta de Referencia, a costa de ofrecer descuentos medios superiores a los actualmente ofrecidos por Telmex y </w:t>
      </w:r>
      <w:proofErr w:type="spellStart"/>
      <w:r w:rsidRPr="00FD7BCF">
        <w:rPr>
          <w:rFonts w:ascii="ITC Avant Garde" w:hAnsi="ITC Avant Garde" w:cs="Arial"/>
          <w:snapToGrid w:val="0"/>
        </w:rPr>
        <w:t>Telnor</w:t>
      </w:r>
      <w:proofErr w:type="spellEnd"/>
      <w:r w:rsidRPr="00FD7BCF">
        <w:rPr>
          <w:rFonts w:ascii="ITC Avant Garde" w:hAnsi="ITC Avant Garde" w:cs="Arial"/>
          <w:snapToGrid w:val="0"/>
        </w:rPr>
        <w:t>.</w:t>
      </w:r>
    </w:p>
    <w:p w14:paraId="12471C68" w14:textId="77777777" w:rsidR="00B42019" w:rsidRDefault="007F358B" w:rsidP="00B42019">
      <w:pPr>
        <w:spacing w:before="240" w:line="276" w:lineRule="auto"/>
        <w:ind w:right="-93"/>
        <w:jc w:val="both"/>
        <w:rPr>
          <w:rFonts w:ascii="ITC Avant Garde" w:hAnsi="ITC Avant Garde" w:cs="Arial"/>
          <w:snapToGrid w:val="0"/>
        </w:rPr>
      </w:pPr>
      <w:r w:rsidRPr="00FD7BCF">
        <w:rPr>
          <w:rFonts w:ascii="ITC Avant Garde" w:hAnsi="ITC Avant Garde" w:cs="Arial"/>
          <w:snapToGrid w:val="0"/>
        </w:rPr>
        <w:t>El descuento único se aplica sobre los precios de lista registrados por el Agente Económico Preponderante, y considerando las velocidades establecidas en las Medidas Fijas y en las Ofertas de Referencia; no obstante</w:t>
      </w:r>
      <w:r w:rsidR="0013520F" w:rsidRPr="00FD7BCF">
        <w:rPr>
          <w:rFonts w:ascii="ITC Avant Garde" w:hAnsi="ITC Avant Garde" w:cs="Arial"/>
          <w:snapToGrid w:val="0"/>
        </w:rPr>
        <w:t>,</w:t>
      </w:r>
      <w:r w:rsidRPr="00FD7BCF">
        <w:rPr>
          <w:rFonts w:ascii="ITC Avant Garde" w:hAnsi="ITC Avant Garde" w:cs="Arial"/>
          <w:snapToGrid w:val="0"/>
        </w:rPr>
        <w:t xml:space="preserve"> considerando que dicho Agente ha suscrito diversos convenios en el marco de la Oferta de Referencia señalada y que los mismos se encuentran inscritos en el Registro Público de Concesiones, en los cuales se han contemplado tarifas diversas a las señalas en la Oferta de Referencia, se hace necesario determinar las tarifas aplicables a dichos servicios.</w:t>
      </w:r>
    </w:p>
    <w:bookmarkEnd w:id="1"/>
    <w:bookmarkEnd w:id="2"/>
    <w:p w14:paraId="5A71007D" w14:textId="77777777" w:rsidR="00B42019" w:rsidRDefault="003F3A78" w:rsidP="00B42019">
      <w:pPr>
        <w:spacing w:before="240" w:line="276" w:lineRule="auto"/>
        <w:jc w:val="both"/>
        <w:rPr>
          <w:rFonts w:ascii="ITC Avant Garde" w:hAnsi="ITC Avant Garde" w:cs="Arial"/>
        </w:rPr>
      </w:pPr>
      <w:r w:rsidRPr="00FD7BCF">
        <w:rPr>
          <w:rFonts w:ascii="ITC Avant Garde" w:hAnsi="ITC Avant Garde" w:cs="Arial"/>
        </w:rPr>
        <w:t xml:space="preserve">En virtud de lo anterior, y con el fin de que los términos, condiciones y tarifas de </w:t>
      </w:r>
      <w:r w:rsidR="00696603" w:rsidRPr="00FD7BCF">
        <w:rPr>
          <w:rFonts w:ascii="ITC Avant Garde" w:hAnsi="ITC Avant Garde" w:cs="Arial"/>
        </w:rPr>
        <w:t xml:space="preserve">Servicio Mayorista de Arrendamiento de Enlaces Dedicados </w:t>
      </w:r>
      <w:r w:rsidRPr="00FD7BCF">
        <w:rPr>
          <w:rFonts w:ascii="ITC Avant Garde" w:hAnsi="ITC Avant Garde" w:cs="Arial"/>
        </w:rPr>
        <w:t xml:space="preserve">determinadas por este Instituto en la presente Resolución sean ofrecidos de manera no discriminatoria a los demás concesionarios que lo soliciten y que requieran </w:t>
      </w:r>
      <w:r w:rsidR="006879CE" w:rsidRPr="00FD7BCF">
        <w:rPr>
          <w:rFonts w:ascii="ITC Avant Garde" w:hAnsi="ITC Avant Garde" w:cs="Arial"/>
        </w:rPr>
        <w:t xml:space="preserve">el </w:t>
      </w:r>
      <w:r w:rsidR="00D61FE9" w:rsidRPr="00FD7BCF">
        <w:rPr>
          <w:rFonts w:ascii="ITC Avant Garde" w:hAnsi="ITC Avant Garde" w:cs="Arial"/>
        </w:rPr>
        <w:t>Servicio Mayoris</w:t>
      </w:r>
      <w:r w:rsidR="006879CE" w:rsidRPr="00FD7BCF">
        <w:rPr>
          <w:rFonts w:ascii="ITC Avant Garde" w:hAnsi="ITC Avant Garde" w:cs="Arial"/>
        </w:rPr>
        <w:t>ta de Arrendamiento de Enlaces D</w:t>
      </w:r>
      <w:r w:rsidR="00D61FE9" w:rsidRPr="00FD7BCF">
        <w:rPr>
          <w:rFonts w:ascii="ITC Avant Garde" w:hAnsi="ITC Avant Garde" w:cs="Arial"/>
        </w:rPr>
        <w:t>edicados</w:t>
      </w:r>
      <w:r w:rsidR="00044840" w:rsidRPr="00FD7BCF">
        <w:rPr>
          <w:rFonts w:ascii="ITC Avant Garde" w:hAnsi="ITC Avant Garde" w:cs="Arial"/>
        </w:rPr>
        <w:t xml:space="preserve"> locales, </w:t>
      </w:r>
      <w:r w:rsidR="003E2152" w:rsidRPr="00FD7BCF">
        <w:rPr>
          <w:rFonts w:ascii="ITC Avant Garde" w:hAnsi="ITC Avant Garde" w:cs="Arial"/>
        </w:rPr>
        <w:t>entre localidades y</w:t>
      </w:r>
      <w:r w:rsidR="00044840" w:rsidRPr="00FD7BCF">
        <w:rPr>
          <w:rFonts w:ascii="ITC Avant Garde" w:hAnsi="ITC Avant Garde" w:cs="Arial"/>
        </w:rPr>
        <w:t xml:space="preserve"> de larga distancia internacional</w:t>
      </w:r>
      <w:r w:rsidRPr="00FD7BCF">
        <w:rPr>
          <w:rFonts w:ascii="ITC Avant Garde" w:hAnsi="ITC Avant Garde" w:cs="Arial"/>
        </w:rPr>
        <w:t>, capacidades o funciones similares, el Pleno del Instituto estima conveniente poner la presente Resolución a disposición de los concesionarios. Para efectos de lo anterior y en términos de lo dispuesto por los artículos</w:t>
      </w:r>
      <w:r w:rsidR="00573317" w:rsidRPr="00FD7BCF">
        <w:rPr>
          <w:rFonts w:ascii="ITC Avant Garde" w:hAnsi="ITC Avant Garde" w:cs="Arial"/>
        </w:rPr>
        <w:t xml:space="preserve"> 1</w:t>
      </w:r>
      <w:r w:rsidRPr="00FD7BCF">
        <w:rPr>
          <w:rFonts w:ascii="ITC Avant Garde" w:hAnsi="ITC Avant Garde" w:cs="Arial"/>
        </w:rPr>
        <w:t>76, 177, fracción X</w:t>
      </w:r>
      <w:r w:rsidR="00044840" w:rsidRPr="00FD7BCF">
        <w:rPr>
          <w:rFonts w:ascii="ITC Avant Garde" w:hAnsi="ITC Avant Garde" w:cs="Arial"/>
        </w:rPr>
        <w:t xml:space="preserve">XII </w:t>
      </w:r>
      <w:r w:rsidRPr="00FD7BCF">
        <w:rPr>
          <w:rFonts w:ascii="ITC Avant Garde" w:hAnsi="ITC Avant Garde" w:cs="Arial"/>
        </w:rPr>
        <w:t xml:space="preserve">y 178 de la </w:t>
      </w:r>
      <w:proofErr w:type="spellStart"/>
      <w:r w:rsidRPr="00FD7BCF">
        <w:rPr>
          <w:rFonts w:ascii="ITC Avant Garde" w:hAnsi="ITC Avant Garde" w:cs="Arial"/>
        </w:rPr>
        <w:t>LFTyR</w:t>
      </w:r>
      <w:proofErr w:type="spellEnd"/>
      <w:r w:rsidRPr="00FD7BCF">
        <w:rPr>
          <w:rFonts w:ascii="ITC Avant Garde" w:hAnsi="ITC Avant Garde" w:cs="Arial"/>
        </w:rPr>
        <w:t>, la presente Resolución será inscrita en el Registro Público de Telecomunicaciones a cargo del propio Instituto.</w:t>
      </w:r>
    </w:p>
    <w:p w14:paraId="149D52FA" w14:textId="77777777" w:rsidR="00B42019" w:rsidRDefault="003F3A78" w:rsidP="00B42019">
      <w:pPr>
        <w:spacing w:before="240" w:line="276" w:lineRule="auto"/>
        <w:jc w:val="both"/>
        <w:rPr>
          <w:rFonts w:ascii="ITC Avant Garde" w:hAnsi="ITC Avant Garde" w:cs="Arial"/>
        </w:rPr>
      </w:pPr>
      <w:r w:rsidRPr="00FD7BCF">
        <w:rPr>
          <w:rFonts w:ascii="ITC Avant Garde" w:hAnsi="ITC Avant Garde" w:cs="Arial"/>
        </w:rPr>
        <w:t>Lo anterior, sin perjuicio de que</w:t>
      </w:r>
      <w:r w:rsidR="00745AEC" w:rsidRPr="00FD7BCF">
        <w:rPr>
          <w:rFonts w:ascii="ITC Avant Garde" w:hAnsi="ITC Avant Garde" w:cs="Arial"/>
        </w:rPr>
        <w:t xml:space="preserve"> </w:t>
      </w:r>
      <w:r w:rsidR="00B215E4" w:rsidRPr="00FD7BCF">
        <w:rPr>
          <w:rFonts w:ascii="ITC Avant Garde" w:hAnsi="ITC Avant Garde" w:cs="Arial"/>
        </w:rPr>
        <w:t>Grupo Televisa, México Red</w:t>
      </w:r>
      <w:r w:rsidRPr="00FD7BCF">
        <w:rPr>
          <w:rFonts w:ascii="ITC Avant Garde" w:hAnsi="ITC Avant Garde" w:cs="Arial"/>
        </w:rPr>
        <w:t xml:space="preserve">, </w:t>
      </w:r>
      <w:r w:rsidR="00696603" w:rsidRPr="00FD7BCF">
        <w:rPr>
          <w:rFonts w:ascii="ITC Avant Garde" w:hAnsi="ITC Avant Garde" w:cs="Arial"/>
        </w:rPr>
        <w:t xml:space="preserve">Telmex y </w:t>
      </w:r>
      <w:proofErr w:type="spellStart"/>
      <w:r w:rsidR="00696603" w:rsidRPr="00FD7BCF">
        <w:rPr>
          <w:rFonts w:ascii="ITC Avant Garde" w:hAnsi="ITC Avant Garde" w:cs="Arial"/>
        </w:rPr>
        <w:t>Telnor</w:t>
      </w:r>
      <w:proofErr w:type="spellEnd"/>
      <w:r w:rsidRPr="00FD7BCF">
        <w:rPr>
          <w:rFonts w:ascii="ITC Avant Garde" w:hAnsi="ITC Avant Garde" w:cs="Arial"/>
        </w:rPr>
        <w:t xml:space="preserve"> formalicen los términos, condiciones y tarifas de </w:t>
      </w:r>
      <w:r w:rsidR="00696603" w:rsidRPr="00FD7BCF">
        <w:rPr>
          <w:rFonts w:ascii="ITC Avant Garde" w:hAnsi="ITC Avant Garde" w:cs="Arial"/>
        </w:rPr>
        <w:t xml:space="preserve">Servicio Mayorista de Arrendamiento de Enlaces </w:t>
      </w:r>
      <w:r w:rsidR="00696603" w:rsidRPr="00FD7BCF">
        <w:rPr>
          <w:rFonts w:ascii="ITC Avant Garde" w:hAnsi="ITC Avant Garde" w:cs="Arial"/>
        </w:rPr>
        <w:lastRenderedPageBreak/>
        <w:t>Dedicados</w:t>
      </w:r>
      <w:r w:rsidRPr="00FD7BCF">
        <w:rPr>
          <w:rFonts w:ascii="ITC Avant Garde" w:hAnsi="ITC Avant Garde" w:cs="Arial"/>
        </w:rPr>
        <w:t xml:space="preserve"> que se ordenan a través de la presente Resolución y a tal efecto suscriban el correspondiente convenio. En tal sentido, dichos concesionarios, conjunta o separ</w:t>
      </w:r>
      <w:r w:rsidR="00573317" w:rsidRPr="00FD7BCF">
        <w:rPr>
          <w:rFonts w:ascii="ITC Avant Garde" w:hAnsi="ITC Avant Garde" w:cs="Arial"/>
        </w:rPr>
        <w:t>adamente, deberán inscribir el C</w:t>
      </w:r>
      <w:r w:rsidRPr="00FD7BCF">
        <w:rPr>
          <w:rFonts w:ascii="ITC Avant Garde" w:hAnsi="ITC Avant Garde" w:cs="Arial"/>
        </w:rPr>
        <w:t xml:space="preserve">onvenio de </w:t>
      </w:r>
      <w:r w:rsidR="00696603" w:rsidRPr="00FD7BCF">
        <w:rPr>
          <w:rFonts w:ascii="ITC Avant Garde" w:hAnsi="ITC Avant Garde" w:cs="Arial"/>
        </w:rPr>
        <w:t xml:space="preserve">Servicio Mayorista de Arrendamiento de Enlaces Dedicados </w:t>
      </w:r>
      <w:r w:rsidRPr="00FD7BCF">
        <w:rPr>
          <w:rFonts w:ascii="ITC Avant Garde" w:hAnsi="ITC Avant Garde" w:cs="Arial"/>
        </w:rPr>
        <w:t xml:space="preserve">en el Registro Público de Telecomunicaciones, de conformidad con lo dispuesto por los artículos </w:t>
      </w:r>
      <w:r w:rsidR="00DD0E1B" w:rsidRPr="00FD7BCF">
        <w:rPr>
          <w:rFonts w:ascii="ITC Avant Garde" w:hAnsi="ITC Avant Garde" w:cs="Arial"/>
        </w:rPr>
        <w:t>176</w:t>
      </w:r>
      <w:r w:rsidRPr="00FD7BCF">
        <w:rPr>
          <w:rFonts w:ascii="ITC Avant Garde" w:hAnsi="ITC Avant Garde" w:cs="Arial"/>
        </w:rPr>
        <w:t xml:space="preserve"> y 177</w:t>
      </w:r>
      <w:r w:rsidR="009962F4" w:rsidRPr="00FD7BCF">
        <w:rPr>
          <w:rFonts w:ascii="ITC Avant Garde" w:hAnsi="ITC Avant Garde" w:cs="Arial"/>
        </w:rPr>
        <w:t>,</w:t>
      </w:r>
      <w:r w:rsidR="003341D9" w:rsidRPr="00FD7BCF">
        <w:rPr>
          <w:rFonts w:ascii="ITC Avant Garde" w:hAnsi="ITC Avant Garde" w:cs="Arial"/>
        </w:rPr>
        <w:t xml:space="preserve"> fracción XXII</w:t>
      </w:r>
      <w:r w:rsidRPr="00FD7BCF">
        <w:rPr>
          <w:rFonts w:ascii="ITC Avant Garde" w:hAnsi="ITC Avant Garde" w:cs="Arial"/>
        </w:rPr>
        <w:t xml:space="preserve"> de la </w:t>
      </w:r>
      <w:proofErr w:type="spellStart"/>
      <w:r w:rsidRPr="00FD7BCF">
        <w:rPr>
          <w:rFonts w:ascii="ITC Avant Garde" w:hAnsi="ITC Avant Garde" w:cs="Arial"/>
        </w:rPr>
        <w:t>LFTyR</w:t>
      </w:r>
      <w:proofErr w:type="spellEnd"/>
      <w:r w:rsidRPr="00FD7BCF">
        <w:rPr>
          <w:rFonts w:ascii="ITC Avant Garde" w:hAnsi="ITC Avant Garde" w:cs="Arial"/>
        </w:rPr>
        <w:t>.</w:t>
      </w:r>
    </w:p>
    <w:p w14:paraId="3ECFC37F" w14:textId="77777777" w:rsidR="00B42019" w:rsidRDefault="00127741" w:rsidP="00B42019">
      <w:pPr>
        <w:spacing w:before="240" w:line="276" w:lineRule="auto"/>
        <w:jc w:val="both"/>
        <w:rPr>
          <w:rFonts w:ascii="ITC Avant Garde" w:hAnsi="ITC Avant Garde" w:cs="Arial"/>
          <w:snapToGrid w:val="0"/>
        </w:rPr>
      </w:pPr>
      <w:r w:rsidRPr="00FD7BCF">
        <w:rPr>
          <w:rFonts w:ascii="ITC Avant Garde" w:hAnsi="ITC Avant Garde" w:cs="Arial"/>
          <w:snapToGrid w:val="0"/>
        </w:rPr>
        <w:t>Con base en lo anterior y con fundamento en los artículos 6o., apartado B, fracción II y 28, párrafos décimo quinto y décimo sexto de la Constitución Política de los Estado</w:t>
      </w:r>
      <w:r w:rsidR="00FA2178" w:rsidRPr="00FD7BCF">
        <w:rPr>
          <w:rFonts w:ascii="ITC Avant Garde" w:hAnsi="ITC Avant Garde" w:cs="Arial"/>
          <w:snapToGrid w:val="0"/>
        </w:rPr>
        <w:t>s Unidos Mexicanos; Transitorio</w:t>
      </w:r>
      <w:r w:rsidRPr="00FD7BCF">
        <w:rPr>
          <w:rFonts w:ascii="ITC Avant Garde" w:hAnsi="ITC Avant Garde" w:cs="Arial"/>
          <w:snapToGrid w:val="0"/>
        </w:rPr>
        <w:t xml:space="preserve"> Trigésimo Quinto del “</w:t>
      </w:r>
      <w:r w:rsidRPr="00FD7BCF">
        <w:rPr>
          <w:rFonts w:ascii="ITC Avant Garde" w:hAnsi="ITC Avant Garde" w:cs="Arial"/>
          <w:i/>
          <w:snapToGrid w:val="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D7BCF">
        <w:rPr>
          <w:rFonts w:ascii="ITC Avant Garde" w:hAnsi="ITC Avant Garde" w:cs="Arial"/>
          <w:snapToGrid w:val="0"/>
        </w:rPr>
        <w:t>; 1, 2, 6,</w:t>
      </w:r>
      <w:r w:rsidR="00FA2178" w:rsidRPr="00FD7BCF">
        <w:rPr>
          <w:rFonts w:ascii="ITC Avant Garde" w:hAnsi="ITC Avant Garde" w:cs="Arial"/>
          <w:snapToGrid w:val="0"/>
        </w:rPr>
        <w:t xml:space="preserve"> fracción IV, 7, 15, fracción X</w:t>
      </w:r>
      <w:r w:rsidRPr="00FD7BCF">
        <w:rPr>
          <w:rFonts w:ascii="ITC Avant Garde" w:hAnsi="ITC Avant Garde" w:cs="Arial"/>
          <w:snapToGrid w:val="0"/>
        </w:rPr>
        <w:t xml:space="preserve">III y 177, fracción XXII de la Ley Federal de Telecomunicaciones y Radiodifusión; </w:t>
      </w:r>
      <w:r w:rsidRPr="00FD7BCF">
        <w:rPr>
          <w:rFonts w:ascii="ITC Avant Garde" w:hAnsi="ITC Avant Garde"/>
        </w:rPr>
        <w:t>I, 36, 38, 39</w:t>
      </w:r>
      <w:r w:rsidR="00FA2178" w:rsidRPr="00FD7BCF">
        <w:rPr>
          <w:rFonts w:ascii="ITC Avant Garde" w:hAnsi="ITC Avant Garde"/>
        </w:rPr>
        <w:t xml:space="preserve"> </w:t>
      </w:r>
      <w:r w:rsidRPr="00FD7BCF">
        <w:rPr>
          <w:rFonts w:ascii="ITC Avant Garde" w:hAnsi="ITC Avant Garde"/>
        </w:rPr>
        <w:t>y 57 fracción I de la Ley Federal de Procedimiento Administrativo; 197, 202, 203, 210-A y 218 del Código Federal de Procedimientos Civiles; y 4 fracción I y 6, fracción XXXVI</w:t>
      </w:r>
      <w:r w:rsidR="00C13918" w:rsidRPr="00FD7BCF">
        <w:rPr>
          <w:rFonts w:ascii="ITC Avant Garde" w:hAnsi="ITC Avant Garde"/>
        </w:rPr>
        <w:t>I</w:t>
      </w:r>
      <w:r w:rsidRPr="00FD7BCF">
        <w:rPr>
          <w:rFonts w:ascii="ITC Avant Garde" w:hAnsi="ITC Avant Garde"/>
        </w:rPr>
        <w:t xml:space="preserve">I del Estatuto Orgánico del Instituto </w:t>
      </w:r>
      <w:r w:rsidR="00E71CEE" w:rsidRPr="00FD7BCF">
        <w:rPr>
          <w:rFonts w:ascii="ITC Avant Garde" w:hAnsi="ITC Avant Garde"/>
        </w:rPr>
        <w:t>Federal de Telecomunicaciones</w:t>
      </w:r>
      <w:r w:rsidRPr="00FD7BCF">
        <w:rPr>
          <w:rFonts w:ascii="ITC Avant Garde" w:hAnsi="ITC Avant Garde" w:cs="Arial"/>
          <w:snapToGrid w:val="0"/>
        </w:rPr>
        <w:t>; la “</w:t>
      </w:r>
      <w:r w:rsidRPr="00FD7BCF">
        <w:rPr>
          <w:rFonts w:ascii="ITC Avant Garde" w:hAnsi="ITC Avant Garde" w:cs="Arial"/>
          <w:i/>
          <w:snapToGrid w:val="0"/>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FD7BCF">
        <w:rPr>
          <w:rFonts w:ascii="ITC Avant Garde" w:hAnsi="ITC Avant Garde" w:cs="Arial"/>
          <w:i/>
          <w:snapToGrid w:val="0"/>
        </w:rPr>
        <w:t>Radiomóvil</w:t>
      </w:r>
      <w:proofErr w:type="spellEnd"/>
      <w:r w:rsidRPr="00FD7BCF">
        <w:rPr>
          <w:rFonts w:ascii="ITC Avant Garde" w:hAnsi="ITC Avant Garde" w:cs="Arial"/>
          <w:i/>
          <w:snapToGrid w:val="0"/>
        </w:rPr>
        <w:t xml:space="preserve"> </w:t>
      </w:r>
      <w:proofErr w:type="spellStart"/>
      <w:r w:rsidRPr="00FD7BCF">
        <w:rPr>
          <w:rFonts w:ascii="ITC Avant Garde" w:hAnsi="ITC Avant Garde" w:cs="Arial"/>
          <w:i/>
          <w:snapToGrid w:val="0"/>
        </w:rPr>
        <w:t>Dipsa</w:t>
      </w:r>
      <w:proofErr w:type="spellEnd"/>
      <w:r w:rsidRPr="00FD7BCF">
        <w:rPr>
          <w:rFonts w:ascii="ITC Avant Garde" w:hAnsi="ITC Avant Garde" w:cs="Arial"/>
          <w:i/>
          <w:snapToGrid w:val="0"/>
        </w:rPr>
        <w:t>, S.A.B. de C. V., Grupo Carso, S.A.B. de C.V., y Grupo Financiero Inbursa, S.A.B. de C.V., como Agente Económico Preponderante en el sector de telecomunicaciones y le impone las medidas necesarias para evitar que se afecte la competencia y la libre concurrencia”</w:t>
      </w:r>
      <w:r w:rsidRPr="00FD7BCF">
        <w:rPr>
          <w:rFonts w:ascii="ITC Avant Garde" w:hAnsi="ITC Avant Garde" w:cs="Arial"/>
          <w:snapToGrid w:val="0"/>
        </w:rPr>
        <w:t xml:space="preserve">, y el Anexo 2 denominado </w:t>
      </w:r>
      <w:r w:rsidRPr="00FD7BCF">
        <w:rPr>
          <w:rFonts w:ascii="ITC Avant Garde" w:hAnsi="ITC Avant Garde" w:cs="Arial"/>
          <w:i/>
          <w:snapToGrid w:val="0"/>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Pr="00FD7BCF">
        <w:rPr>
          <w:rFonts w:ascii="ITC Avant Garde" w:hAnsi="ITC Avant Garde" w:cs="Arial"/>
          <w:snapToGrid w:val="0"/>
        </w:rPr>
        <w:t>, el Pleno del Instituto Federal de Telecomunicaciones emite los siguientes:</w:t>
      </w:r>
    </w:p>
    <w:p w14:paraId="2D798A3A" w14:textId="62CF1E71" w:rsidR="00B42019" w:rsidRPr="00B42019" w:rsidRDefault="003F3A78" w:rsidP="00B42019">
      <w:pPr>
        <w:pStyle w:val="Ttulo2"/>
        <w:keepLines/>
        <w:spacing w:before="40" w:after="240" w:line="276" w:lineRule="auto"/>
        <w:jc w:val="center"/>
        <w:rPr>
          <w:rFonts w:ascii="ITC Avant Garde" w:eastAsiaTheme="majorEastAsia" w:hAnsi="ITC Avant Garde" w:cstheme="majorBidi"/>
          <w:color w:val="000000" w:themeColor="text1"/>
          <w:szCs w:val="22"/>
        </w:rPr>
      </w:pPr>
      <w:r w:rsidRPr="00B42019">
        <w:rPr>
          <w:rFonts w:ascii="ITC Avant Garde" w:eastAsiaTheme="majorEastAsia" w:hAnsi="ITC Avant Garde" w:cstheme="majorBidi"/>
          <w:color w:val="000000" w:themeColor="text1"/>
          <w:szCs w:val="22"/>
        </w:rPr>
        <w:t>RESOLUTIVOS</w:t>
      </w:r>
    </w:p>
    <w:p w14:paraId="05A6A82C" w14:textId="77777777" w:rsidR="00B42019" w:rsidRDefault="00834517" w:rsidP="00B42019">
      <w:pPr>
        <w:spacing w:before="240" w:line="276" w:lineRule="auto"/>
        <w:jc w:val="both"/>
        <w:rPr>
          <w:rFonts w:ascii="ITC Avant Garde" w:hAnsi="ITC Avant Garde" w:cs="Helvetica"/>
          <w:lang w:eastAsia="es-MX"/>
        </w:rPr>
      </w:pPr>
      <w:r w:rsidRPr="00FD7BCF">
        <w:rPr>
          <w:rFonts w:ascii="ITC Avant Garde" w:hAnsi="ITC Avant Garde" w:cs="Arial"/>
          <w:b/>
        </w:rPr>
        <w:t>PRIMERO</w:t>
      </w:r>
      <w:r w:rsidRPr="00FD7BCF">
        <w:rPr>
          <w:rFonts w:ascii="ITC Avant Garde" w:hAnsi="ITC Avant Garde" w:cs="Arial"/>
        </w:rPr>
        <w:t>.- La</w:t>
      </w:r>
      <w:r w:rsidR="00877922" w:rsidRPr="00FD7BCF">
        <w:rPr>
          <w:rFonts w:ascii="ITC Avant Garde" w:hAnsi="ITC Avant Garde" w:cs="Arial"/>
        </w:rPr>
        <w:t>s</w:t>
      </w:r>
      <w:r w:rsidRPr="00FD7BCF">
        <w:rPr>
          <w:rFonts w:ascii="ITC Avant Garde" w:hAnsi="ITC Avant Garde" w:cs="Arial"/>
        </w:rPr>
        <w:t xml:space="preserve"> tarifa</w:t>
      </w:r>
      <w:r w:rsidR="00877922" w:rsidRPr="00FD7BCF">
        <w:rPr>
          <w:rFonts w:ascii="ITC Avant Garde" w:hAnsi="ITC Avant Garde" w:cs="Arial"/>
        </w:rPr>
        <w:t>s</w:t>
      </w:r>
      <w:r w:rsidRPr="00FD7BCF">
        <w:rPr>
          <w:rFonts w:ascii="ITC Avant Garde" w:hAnsi="ITC Avant Garde" w:cs="Arial"/>
        </w:rPr>
        <w:t xml:space="preserve"> de</w:t>
      </w:r>
      <w:r w:rsidR="00B71C8F" w:rsidRPr="00FD7BCF">
        <w:rPr>
          <w:rFonts w:ascii="ITC Avant Garde" w:hAnsi="ITC Avant Garde" w:cs="Arial"/>
        </w:rPr>
        <w:t>l</w:t>
      </w:r>
      <w:r w:rsidRPr="00FD7BCF">
        <w:rPr>
          <w:rFonts w:ascii="ITC Avant Garde" w:hAnsi="ITC Avant Garde" w:cs="Arial"/>
        </w:rPr>
        <w:t xml:space="preserve"> </w:t>
      </w:r>
      <w:r w:rsidR="00AC3B85" w:rsidRPr="00FD7BCF">
        <w:rPr>
          <w:rFonts w:ascii="ITC Avant Garde" w:hAnsi="ITC Avant Garde" w:cs="Arial"/>
        </w:rPr>
        <w:t>Servicio Mayorista de Arrendamiento de Enlaces Dedicados</w:t>
      </w:r>
      <w:r w:rsidR="00877922" w:rsidRPr="00FD7BCF">
        <w:rPr>
          <w:rFonts w:ascii="ITC Avant Garde" w:hAnsi="ITC Avant Garde" w:cs="Arial"/>
        </w:rPr>
        <w:t xml:space="preserve"> </w:t>
      </w:r>
      <w:r w:rsidR="00AC3B85" w:rsidRPr="00FD7BCF">
        <w:rPr>
          <w:rFonts w:ascii="ITC Avant Garde" w:hAnsi="ITC Avant Garde" w:cs="Arial"/>
        </w:rPr>
        <w:t>que</w:t>
      </w:r>
      <w:r w:rsidR="00E34358" w:rsidRPr="00FD7BCF">
        <w:rPr>
          <w:rFonts w:ascii="ITC Avant Garde" w:hAnsi="ITC Avant Garde" w:cs="Arial"/>
        </w:rPr>
        <w:t xml:space="preserve"> </w:t>
      </w:r>
      <w:proofErr w:type="spellStart"/>
      <w:r w:rsidR="00E34358" w:rsidRPr="00FD7BCF">
        <w:rPr>
          <w:rFonts w:ascii="ITC Avant Garde" w:hAnsi="ITC Avant Garde" w:cs="Arial"/>
        </w:rPr>
        <w:t>Bestphone</w:t>
      </w:r>
      <w:proofErr w:type="spellEnd"/>
      <w:r w:rsidR="00E34358" w:rsidRPr="00FD7BCF">
        <w:rPr>
          <w:rFonts w:ascii="ITC Avant Garde" w:hAnsi="ITC Avant Garde" w:cs="Arial"/>
        </w:rPr>
        <w:t xml:space="preserve">, S.A. de C.V., </w:t>
      </w:r>
      <w:proofErr w:type="spellStart"/>
      <w:r w:rsidR="00E34358" w:rsidRPr="00FD7BCF">
        <w:rPr>
          <w:rFonts w:ascii="ITC Avant Garde" w:hAnsi="ITC Avant Garde" w:cs="Arial"/>
        </w:rPr>
        <w:t>Operbes</w:t>
      </w:r>
      <w:proofErr w:type="spellEnd"/>
      <w:r w:rsidR="00E34358" w:rsidRPr="00FD7BCF">
        <w:rPr>
          <w:rFonts w:ascii="ITC Avant Garde" w:hAnsi="ITC Avant Garde" w:cs="Arial"/>
        </w:rPr>
        <w:t xml:space="preserve"> S.A. de C.V., </w:t>
      </w:r>
      <w:proofErr w:type="spellStart"/>
      <w:r w:rsidR="00E34358" w:rsidRPr="00FD7BCF">
        <w:rPr>
          <w:rFonts w:ascii="ITC Avant Garde" w:hAnsi="ITC Avant Garde" w:cs="Arial"/>
        </w:rPr>
        <w:t>Cablemás</w:t>
      </w:r>
      <w:proofErr w:type="spellEnd"/>
      <w:r w:rsidR="00E34358" w:rsidRPr="00FD7BCF">
        <w:rPr>
          <w:rFonts w:ascii="ITC Avant Garde" w:hAnsi="ITC Avant Garde" w:cs="Arial"/>
        </w:rPr>
        <w:t xml:space="preserve"> Telecomunicaciones, S.A. de C.V., Cable y Comunicación de Campeche, S.A. de C.V., Cablevisión Red, S.A. de C.V. y México Red de Telecomunicaciones, S. de R.L. de C.V., </w:t>
      </w:r>
      <w:r w:rsidRPr="00FD7BCF">
        <w:rPr>
          <w:rFonts w:ascii="ITC Avant Garde" w:hAnsi="ITC Avant Garde" w:cs="Helvetica"/>
          <w:lang w:eastAsia="es-MX"/>
        </w:rPr>
        <w:t>deberá</w:t>
      </w:r>
      <w:r w:rsidR="00E34358" w:rsidRPr="00FD7BCF">
        <w:rPr>
          <w:rFonts w:ascii="ITC Avant Garde" w:hAnsi="ITC Avant Garde" w:cs="Helvetica"/>
          <w:lang w:eastAsia="es-MX"/>
        </w:rPr>
        <w:t>n</w:t>
      </w:r>
      <w:r w:rsidRPr="00FD7BCF">
        <w:rPr>
          <w:rFonts w:ascii="ITC Avant Garde" w:hAnsi="ITC Avant Garde" w:cs="Helvetica"/>
          <w:lang w:eastAsia="es-MX"/>
        </w:rPr>
        <w:t xml:space="preserve"> pagar a </w:t>
      </w:r>
      <w:r w:rsidR="00877922" w:rsidRPr="00FD7BCF">
        <w:rPr>
          <w:rFonts w:ascii="ITC Avant Garde" w:hAnsi="ITC Avant Garde" w:cs="Helvetica"/>
          <w:lang w:eastAsia="es-MX"/>
        </w:rPr>
        <w:t>Teléfonos de México</w:t>
      </w:r>
      <w:r w:rsidR="00AC3B85" w:rsidRPr="00FD7BCF">
        <w:rPr>
          <w:rFonts w:ascii="ITC Avant Garde" w:hAnsi="ITC Avant Garde" w:cs="Helvetica"/>
          <w:lang w:eastAsia="es-MX"/>
        </w:rPr>
        <w:t>, S.A.B.</w:t>
      </w:r>
      <w:r w:rsidR="00877922" w:rsidRPr="00FD7BCF">
        <w:rPr>
          <w:rFonts w:ascii="ITC Avant Garde" w:hAnsi="ITC Avant Garde" w:cs="Helvetica"/>
          <w:lang w:eastAsia="es-MX"/>
        </w:rPr>
        <w:t xml:space="preserve"> de C.V.</w:t>
      </w:r>
      <w:r w:rsidR="00AC3B85" w:rsidRPr="00FD7BCF">
        <w:rPr>
          <w:rFonts w:ascii="ITC Avant Garde" w:hAnsi="ITC Avant Garde" w:cs="Helvetica"/>
          <w:lang w:eastAsia="es-MX"/>
        </w:rPr>
        <w:t xml:space="preserve"> y </w:t>
      </w:r>
      <w:r w:rsidR="00877922" w:rsidRPr="00FD7BCF">
        <w:rPr>
          <w:rFonts w:ascii="ITC Avant Garde" w:hAnsi="ITC Avant Garde" w:cs="Helvetica"/>
          <w:lang w:eastAsia="es-MX"/>
        </w:rPr>
        <w:t>Teléfonos del Noroeste,</w:t>
      </w:r>
      <w:r w:rsidR="00AC3B85" w:rsidRPr="00FD7BCF">
        <w:rPr>
          <w:rFonts w:ascii="ITC Avant Garde" w:hAnsi="ITC Avant Garde" w:cs="Helvetica"/>
          <w:lang w:eastAsia="es-MX"/>
        </w:rPr>
        <w:t xml:space="preserve"> S.A. de C.V.,</w:t>
      </w:r>
      <w:r w:rsidR="00621EFC" w:rsidRPr="00FD7BCF">
        <w:rPr>
          <w:rFonts w:ascii="ITC Avant Garde" w:hAnsi="ITC Avant Garde" w:cs="Helvetica"/>
          <w:lang w:eastAsia="es-MX"/>
        </w:rPr>
        <w:t xml:space="preserve"> </w:t>
      </w:r>
      <w:r w:rsidR="00877922" w:rsidRPr="00FD7BCF">
        <w:rPr>
          <w:rFonts w:ascii="ITC Avant Garde" w:hAnsi="ITC Avant Garde" w:cs="Helvetica"/>
          <w:lang w:eastAsia="es-MX"/>
        </w:rPr>
        <w:t xml:space="preserve">del </w:t>
      </w:r>
      <w:r w:rsidR="005D150F" w:rsidRPr="00FD7BCF">
        <w:rPr>
          <w:rFonts w:ascii="ITC Avant Garde" w:hAnsi="ITC Avant Garde" w:cs="Helvetica"/>
          <w:lang w:eastAsia="es-MX"/>
        </w:rPr>
        <w:t>19 de agosto</w:t>
      </w:r>
      <w:r w:rsidR="00AC312E" w:rsidRPr="00FD7BCF">
        <w:rPr>
          <w:rFonts w:ascii="ITC Avant Garde" w:hAnsi="ITC Avant Garde" w:cs="Helvetica"/>
          <w:lang w:eastAsia="es-MX"/>
        </w:rPr>
        <w:t xml:space="preserve"> de 2016</w:t>
      </w:r>
      <w:r w:rsidR="00E34358" w:rsidRPr="00FD7BCF">
        <w:rPr>
          <w:rFonts w:ascii="ITC Avant Garde" w:hAnsi="ITC Avant Garde" w:cs="Helvetica"/>
          <w:lang w:eastAsia="es-MX"/>
        </w:rPr>
        <w:t xml:space="preserve"> </w:t>
      </w:r>
      <w:r w:rsidR="00972C26" w:rsidRPr="00FD7BCF">
        <w:rPr>
          <w:rFonts w:ascii="ITC Avant Garde" w:hAnsi="ITC Avant Garde" w:cs="Helvetica"/>
          <w:lang w:eastAsia="es-MX"/>
        </w:rPr>
        <w:t xml:space="preserve">al 31 de diciembre </w:t>
      </w:r>
      <w:r w:rsidR="00E34358" w:rsidRPr="00FD7BCF">
        <w:rPr>
          <w:rFonts w:ascii="ITC Avant Garde" w:hAnsi="ITC Avant Garde" w:cs="Helvetica"/>
          <w:lang w:eastAsia="es-MX"/>
        </w:rPr>
        <w:t>de 201</w:t>
      </w:r>
      <w:r w:rsidR="005D150F" w:rsidRPr="00FD7BCF">
        <w:rPr>
          <w:rFonts w:ascii="ITC Avant Garde" w:hAnsi="ITC Avant Garde" w:cs="Helvetica"/>
          <w:lang w:eastAsia="es-MX"/>
        </w:rPr>
        <w:t>7</w:t>
      </w:r>
      <w:r w:rsidRPr="00FD7BCF">
        <w:rPr>
          <w:rFonts w:ascii="ITC Avant Garde" w:hAnsi="ITC Avant Garde" w:cs="Helvetica"/>
          <w:lang w:eastAsia="es-MX"/>
        </w:rPr>
        <w:t>, será</w:t>
      </w:r>
      <w:r w:rsidR="00877922" w:rsidRPr="00FD7BCF">
        <w:rPr>
          <w:rFonts w:ascii="ITC Avant Garde" w:hAnsi="ITC Avant Garde" w:cs="Helvetica"/>
          <w:lang w:eastAsia="es-MX"/>
        </w:rPr>
        <w:t>n</w:t>
      </w:r>
      <w:r w:rsidRPr="00FD7BCF">
        <w:rPr>
          <w:rFonts w:ascii="ITC Avant Garde" w:hAnsi="ITC Avant Garde" w:cs="Helvetica"/>
          <w:lang w:eastAsia="es-MX"/>
        </w:rPr>
        <w:t xml:space="preserve"> la</w:t>
      </w:r>
      <w:r w:rsidR="00877922" w:rsidRPr="00FD7BCF">
        <w:rPr>
          <w:rFonts w:ascii="ITC Avant Garde" w:hAnsi="ITC Avant Garde" w:cs="Helvetica"/>
          <w:lang w:eastAsia="es-MX"/>
        </w:rPr>
        <w:t>s</w:t>
      </w:r>
      <w:r w:rsidRPr="00FD7BCF">
        <w:rPr>
          <w:rFonts w:ascii="ITC Avant Garde" w:hAnsi="ITC Avant Garde" w:cs="Helvetica"/>
          <w:lang w:eastAsia="es-MX"/>
        </w:rPr>
        <w:t xml:space="preserve"> siguiente</w:t>
      </w:r>
      <w:r w:rsidR="00877922" w:rsidRPr="00FD7BCF">
        <w:rPr>
          <w:rFonts w:ascii="ITC Avant Garde" w:hAnsi="ITC Avant Garde" w:cs="Helvetica"/>
          <w:lang w:eastAsia="es-MX"/>
        </w:rPr>
        <w:t>s</w:t>
      </w:r>
      <w:r w:rsidRPr="00FD7BCF">
        <w:rPr>
          <w:rFonts w:ascii="ITC Avant Garde" w:hAnsi="ITC Avant Garde" w:cs="Helvetica"/>
          <w:lang w:eastAsia="es-MX"/>
        </w:rPr>
        <w:t>:</w:t>
      </w:r>
    </w:p>
    <w:p w14:paraId="411DAEF2" w14:textId="2AB89130" w:rsidR="00B42019" w:rsidRDefault="0017127F" w:rsidP="00B42019">
      <w:pPr>
        <w:spacing w:before="240" w:line="276" w:lineRule="auto"/>
        <w:ind w:right="-93"/>
        <w:jc w:val="both"/>
        <w:rPr>
          <w:rFonts w:ascii="ITC Avant Garde" w:hAnsi="ITC Avant Garde"/>
          <w:b/>
          <w:lang w:eastAsia="es-ES_tradnl"/>
        </w:rPr>
      </w:pPr>
      <w:r w:rsidRPr="00FD7BCF">
        <w:rPr>
          <w:rFonts w:ascii="ITC Avant Garde" w:hAnsi="ITC Avant Garde"/>
          <w:b/>
          <w:lang w:eastAsia="es-ES_tradnl"/>
        </w:rPr>
        <w:t>GASTOS DE INSTALACIÓN:</w:t>
      </w:r>
    </w:p>
    <w:p w14:paraId="2468C9E3" w14:textId="77777777" w:rsidR="00B42019" w:rsidRDefault="0017127F" w:rsidP="00B42019">
      <w:pPr>
        <w:spacing w:before="240" w:line="276" w:lineRule="auto"/>
        <w:ind w:right="-93"/>
        <w:jc w:val="both"/>
        <w:rPr>
          <w:rFonts w:ascii="ITC Avant Garde" w:hAnsi="ITC Avant Garde"/>
          <w:lang w:eastAsia="es-ES_tradnl"/>
        </w:rPr>
      </w:pPr>
      <w:r w:rsidRPr="00FD7BCF">
        <w:rPr>
          <w:rFonts w:ascii="ITC Avant Garde" w:hAnsi="ITC Avant Garde"/>
          <w:lang w:eastAsia="es-ES_tradnl"/>
        </w:rPr>
        <w:lastRenderedPageBreak/>
        <w:t xml:space="preserve">Las tarifas correspondientes a gastos de instalación serán aplicables con base </w:t>
      </w:r>
      <w:r w:rsidR="00244E59" w:rsidRPr="00FD7BCF">
        <w:rPr>
          <w:rFonts w:ascii="ITC Avant Garde" w:hAnsi="ITC Avant Garde"/>
          <w:lang w:eastAsia="es-ES_tradnl"/>
        </w:rPr>
        <w:t>en el</w:t>
      </w:r>
      <w:r w:rsidRPr="00FD7BCF">
        <w:rPr>
          <w:rFonts w:ascii="ITC Avant Garde" w:hAnsi="ITC Avant Garde"/>
          <w:lang w:eastAsia="es-ES_tradnl"/>
        </w:rPr>
        <w:t xml:space="preserve"> plazo de contratación del servicio o vigencia del convenio. Por lo que, las siguientes tarifas serán aplicables únicamente en plazos de contratación o vigencia del convenio de servicios de un año y dos años. </w:t>
      </w:r>
    </w:p>
    <w:p w14:paraId="57B2D08B" w14:textId="77777777" w:rsidR="00B42019" w:rsidRDefault="0017127F" w:rsidP="00B42019">
      <w:pPr>
        <w:spacing w:before="240" w:line="276" w:lineRule="auto"/>
        <w:ind w:right="-93"/>
        <w:jc w:val="center"/>
        <w:rPr>
          <w:rFonts w:ascii="ITC Avant Garde" w:hAnsi="ITC Avant Garde"/>
          <w:b/>
          <w:lang w:eastAsia="es-ES_tradnl"/>
        </w:rPr>
      </w:pPr>
      <w:r w:rsidRPr="00FD7BCF">
        <w:rPr>
          <w:rFonts w:ascii="ITC Avant Garde" w:hAnsi="ITC Avant Garde"/>
          <w:b/>
          <w:lang w:eastAsia="es-ES_tradnl"/>
        </w:rPr>
        <w:t>Enlaces Locales</w:t>
      </w:r>
    </w:p>
    <w:tbl>
      <w:tblPr>
        <w:tblStyle w:val="Tablaconcuadrcula2"/>
        <w:tblW w:w="9320" w:type="dxa"/>
        <w:tblLook w:val="04A0" w:firstRow="1" w:lastRow="0" w:firstColumn="1" w:lastColumn="0" w:noHBand="0" w:noVBand="1"/>
        <w:tblCaption w:val="Enlaces Locales"/>
        <w:tblDescription w:val="En una tabla con dos columnas de 2, se proporciona la velocidad y el gasto de instalación. "/>
      </w:tblPr>
      <w:tblGrid>
        <w:gridCol w:w="2380"/>
        <w:gridCol w:w="1726"/>
        <w:gridCol w:w="1234"/>
        <w:gridCol w:w="2380"/>
        <w:gridCol w:w="1600"/>
      </w:tblGrid>
      <w:tr w:rsidR="00FD7BCF" w:rsidRPr="00FD7BCF" w14:paraId="6AC12C13" w14:textId="77777777" w:rsidTr="00B42019">
        <w:trPr>
          <w:trHeight w:val="765"/>
          <w:tblHeader/>
        </w:trPr>
        <w:tc>
          <w:tcPr>
            <w:tcW w:w="2380" w:type="dxa"/>
            <w:shd w:val="clear" w:color="auto" w:fill="A6A6A6" w:themeFill="background1" w:themeFillShade="A6"/>
            <w:vAlign w:val="center"/>
            <w:hideMark/>
          </w:tcPr>
          <w:p w14:paraId="7B94897B" w14:textId="77777777" w:rsidR="0017127F" w:rsidRPr="00FD7BCF" w:rsidRDefault="0013520F" w:rsidP="00B42019">
            <w:pPr>
              <w:spacing w:after="0" w:line="276" w:lineRule="auto"/>
              <w:jc w:val="center"/>
              <w:rPr>
                <w:rFonts w:ascii="ITC Avant Garde" w:eastAsia="Times New Roman" w:hAnsi="ITC Avant Garde"/>
                <w:b/>
                <w:bCs/>
                <w:sz w:val="20"/>
                <w:szCs w:val="20"/>
                <w:lang w:eastAsia="es-MX"/>
              </w:rPr>
            </w:pPr>
            <w:r w:rsidRPr="00FD7BCF">
              <w:rPr>
                <w:rFonts w:ascii="ITC Avant Garde" w:eastAsia="Times New Roman" w:hAnsi="ITC Avant Garde"/>
                <w:b/>
                <w:bCs/>
                <w:sz w:val="20"/>
                <w:szCs w:val="20"/>
                <w:lang w:eastAsia="es-MX"/>
              </w:rPr>
              <w:t>Velocidad</w:t>
            </w:r>
          </w:p>
        </w:tc>
        <w:tc>
          <w:tcPr>
            <w:tcW w:w="1726" w:type="dxa"/>
            <w:tcBorders>
              <w:right w:val="single" w:sz="4" w:space="0" w:color="auto"/>
            </w:tcBorders>
            <w:shd w:val="clear" w:color="auto" w:fill="A6A6A6" w:themeFill="background1" w:themeFillShade="A6"/>
            <w:vAlign w:val="center"/>
            <w:hideMark/>
          </w:tcPr>
          <w:p w14:paraId="0C6B3BFB" w14:textId="77777777" w:rsidR="0017127F" w:rsidRPr="00FD7BCF" w:rsidRDefault="0017127F" w:rsidP="00B42019">
            <w:pPr>
              <w:spacing w:after="0" w:line="276" w:lineRule="auto"/>
              <w:jc w:val="center"/>
              <w:rPr>
                <w:rFonts w:ascii="ITC Avant Garde" w:eastAsia="Times New Roman" w:hAnsi="ITC Avant Garde"/>
                <w:b/>
                <w:bCs/>
                <w:sz w:val="20"/>
                <w:szCs w:val="20"/>
                <w:lang w:eastAsia="es-MX"/>
              </w:rPr>
            </w:pPr>
            <w:r w:rsidRPr="00FD7BCF">
              <w:rPr>
                <w:rFonts w:ascii="ITC Avant Garde" w:eastAsia="Times New Roman" w:hAnsi="ITC Avant Garde"/>
                <w:b/>
                <w:bCs/>
                <w:sz w:val="20"/>
                <w:szCs w:val="20"/>
                <w:lang w:eastAsia="es-MX"/>
              </w:rPr>
              <w:t>Gasto de Instalación</w:t>
            </w:r>
          </w:p>
        </w:tc>
        <w:tc>
          <w:tcPr>
            <w:tcW w:w="1234" w:type="dxa"/>
            <w:tcBorders>
              <w:top w:val="nil"/>
              <w:left w:val="single" w:sz="4" w:space="0" w:color="auto"/>
              <w:bottom w:val="nil"/>
              <w:right w:val="single" w:sz="4" w:space="0" w:color="auto"/>
            </w:tcBorders>
            <w:shd w:val="clear" w:color="auto" w:fill="auto"/>
            <w:vAlign w:val="center"/>
            <w:hideMark/>
          </w:tcPr>
          <w:p w14:paraId="08E8CF40" w14:textId="1621D4AC" w:rsidR="0017127F" w:rsidRPr="002D46C1" w:rsidRDefault="002D46C1" w:rsidP="00B42019">
            <w:pPr>
              <w:spacing w:after="0" w:line="276" w:lineRule="auto"/>
              <w:jc w:val="center"/>
              <w:rPr>
                <w:rFonts w:ascii="ITC Avant Garde" w:eastAsia="Times New Roman" w:hAnsi="ITC Avant Garde"/>
                <w:b/>
                <w:bCs/>
                <w:sz w:val="2"/>
                <w:szCs w:val="2"/>
                <w:lang w:eastAsia="es-MX"/>
              </w:rPr>
            </w:pPr>
            <w:r w:rsidRPr="002D46C1">
              <w:rPr>
                <w:rFonts w:ascii="ITC Avant Garde" w:eastAsia="Times New Roman" w:hAnsi="ITC Avant Garde"/>
                <w:b/>
                <w:bCs/>
                <w:sz w:val="2"/>
                <w:szCs w:val="2"/>
                <w:lang w:eastAsia="es-MX"/>
              </w:rPr>
              <w:t>.</w:t>
            </w:r>
          </w:p>
        </w:tc>
        <w:tc>
          <w:tcPr>
            <w:tcW w:w="2380" w:type="dxa"/>
            <w:tcBorders>
              <w:left w:val="single" w:sz="4" w:space="0" w:color="auto"/>
            </w:tcBorders>
            <w:shd w:val="clear" w:color="auto" w:fill="A6A6A6" w:themeFill="background1" w:themeFillShade="A6"/>
            <w:vAlign w:val="center"/>
            <w:hideMark/>
          </w:tcPr>
          <w:p w14:paraId="66636D2A" w14:textId="77777777" w:rsidR="0017127F" w:rsidRPr="00FD7BCF" w:rsidRDefault="0013520F" w:rsidP="00B42019">
            <w:pPr>
              <w:spacing w:after="0" w:line="276" w:lineRule="auto"/>
              <w:jc w:val="center"/>
              <w:rPr>
                <w:rFonts w:ascii="ITC Avant Garde" w:eastAsia="Times New Roman" w:hAnsi="ITC Avant Garde"/>
                <w:b/>
                <w:bCs/>
                <w:sz w:val="20"/>
                <w:szCs w:val="20"/>
                <w:lang w:eastAsia="es-MX"/>
              </w:rPr>
            </w:pPr>
            <w:r w:rsidRPr="00FD7BCF">
              <w:rPr>
                <w:rFonts w:ascii="ITC Avant Garde" w:eastAsia="Times New Roman" w:hAnsi="ITC Avant Garde"/>
                <w:b/>
                <w:bCs/>
                <w:sz w:val="20"/>
                <w:szCs w:val="20"/>
                <w:lang w:eastAsia="es-MX"/>
              </w:rPr>
              <w:t>Velocidad</w:t>
            </w:r>
          </w:p>
        </w:tc>
        <w:tc>
          <w:tcPr>
            <w:tcW w:w="1600" w:type="dxa"/>
            <w:shd w:val="clear" w:color="auto" w:fill="A6A6A6" w:themeFill="background1" w:themeFillShade="A6"/>
            <w:vAlign w:val="center"/>
            <w:hideMark/>
          </w:tcPr>
          <w:p w14:paraId="0F5FD6D4" w14:textId="77777777" w:rsidR="0017127F" w:rsidRPr="00FD7BCF" w:rsidRDefault="0017127F" w:rsidP="00B42019">
            <w:pPr>
              <w:spacing w:after="0" w:line="276" w:lineRule="auto"/>
              <w:jc w:val="center"/>
              <w:rPr>
                <w:rFonts w:ascii="ITC Avant Garde" w:eastAsia="Times New Roman" w:hAnsi="ITC Avant Garde"/>
                <w:b/>
                <w:bCs/>
                <w:sz w:val="20"/>
                <w:szCs w:val="20"/>
                <w:lang w:eastAsia="es-MX"/>
              </w:rPr>
            </w:pPr>
            <w:r w:rsidRPr="00FD7BCF">
              <w:rPr>
                <w:rFonts w:ascii="ITC Avant Garde" w:eastAsia="Times New Roman" w:hAnsi="ITC Avant Garde"/>
                <w:b/>
                <w:bCs/>
                <w:sz w:val="20"/>
                <w:szCs w:val="20"/>
                <w:lang w:eastAsia="es-MX"/>
              </w:rPr>
              <w:t>Gasto de Instalación</w:t>
            </w:r>
          </w:p>
        </w:tc>
      </w:tr>
      <w:tr w:rsidR="00FD7BCF" w:rsidRPr="00FD7BCF" w14:paraId="78296514" w14:textId="77777777" w:rsidTr="00B42019">
        <w:trPr>
          <w:trHeight w:val="405"/>
        </w:trPr>
        <w:tc>
          <w:tcPr>
            <w:tcW w:w="2380" w:type="dxa"/>
            <w:hideMark/>
          </w:tcPr>
          <w:p w14:paraId="0FC4C36D"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64 Kbps</w:t>
            </w:r>
          </w:p>
        </w:tc>
        <w:tc>
          <w:tcPr>
            <w:tcW w:w="1726" w:type="dxa"/>
            <w:tcBorders>
              <w:right w:val="single" w:sz="4" w:space="0" w:color="auto"/>
            </w:tcBorders>
            <w:hideMark/>
          </w:tcPr>
          <w:p w14:paraId="0A89DD01" w14:textId="5AE0C3B8"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$4,259.64 </w:t>
            </w:r>
          </w:p>
        </w:tc>
        <w:tc>
          <w:tcPr>
            <w:tcW w:w="1234" w:type="dxa"/>
            <w:tcBorders>
              <w:top w:val="nil"/>
              <w:left w:val="single" w:sz="4" w:space="0" w:color="auto"/>
              <w:bottom w:val="nil"/>
              <w:right w:val="single" w:sz="4" w:space="0" w:color="auto"/>
            </w:tcBorders>
            <w:hideMark/>
          </w:tcPr>
          <w:p w14:paraId="65F02FE0" w14:textId="226C3B22"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4A698D46"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10 Mbps</w:t>
            </w:r>
          </w:p>
        </w:tc>
        <w:tc>
          <w:tcPr>
            <w:tcW w:w="1600" w:type="dxa"/>
            <w:hideMark/>
          </w:tcPr>
          <w:p w14:paraId="4E5D9BA8" w14:textId="098BFFCB"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$82,500.00 </w:t>
            </w:r>
          </w:p>
        </w:tc>
      </w:tr>
      <w:tr w:rsidR="00FD7BCF" w:rsidRPr="00FD7BCF" w14:paraId="6E91D1BF" w14:textId="77777777" w:rsidTr="00B42019">
        <w:trPr>
          <w:trHeight w:val="405"/>
        </w:trPr>
        <w:tc>
          <w:tcPr>
            <w:tcW w:w="2380" w:type="dxa"/>
            <w:hideMark/>
          </w:tcPr>
          <w:p w14:paraId="6717A36E"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128 Kbps</w:t>
            </w:r>
          </w:p>
        </w:tc>
        <w:tc>
          <w:tcPr>
            <w:tcW w:w="1726" w:type="dxa"/>
            <w:tcBorders>
              <w:right w:val="single" w:sz="4" w:space="0" w:color="auto"/>
            </w:tcBorders>
            <w:hideMark/>
          </w:tcPr>
          <w:p w14:paraId="10E593D9" w14:textId="7BC153CA"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$6,389.46 </w:t>
            </w:r>
          </w:p>
        </w:tc>
        <w:tc>
          <w:tcPr>
            <w:tcW w:w="1234" w:type="dxa"/>
            <w:tcBorders>
              <w:top w:val="nil"/>
              <w:left w:val="single" w:sz="4" w:space="0" w:color="auto"/>
              <w:bottom w:val="nil"/>
              <w:right w:val="single" w:sz="4" w:space="0" w:color="auto"/>
            </w:tcBorders>
            <w:hideMark/>
          </w:tcPr>
          <w:p w14:paraId="526599FD" w14:textId="40586EF4"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1ED1548E"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20 Mbps</w:t>
            </w:r>
          </w:p>
        </w:tc>
        <w:tc>
          <w:tcPr>
            <w:tcW w:w="1600" w:type="dxa"/>
            <w:hideMark/>
          </w:tcPr>
          <w:p w14:paraId="5FA596AA" w14:textId="64A9DF7E"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$82,500.00 </w:t>
            </w:r>
          </w:p>
        </w:tc>
      </w:tr>
      <w:tr w:rsidR="00FD7BCF" w:rsidRPr="00FD7BCF" w14:paraId="3C4FA0C6" w14:textId="77777777" w:rsidTr="00B42019">
        <w:trPr>
          <w:trHeight w:val="405"/>
        </w:trPr>
        <w:tc>
          <w:tcPr>
            <w:tcW w:w="2380" w:type="dxa"/>
            <w:hideMark/>
          </w:tcPr>
          <w:p w14:paraId="6B286BFE"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192 Kbps</w:t>
            </w:r>
          </w:p>
        </w:tc>
        <w:tc>
          <w:tcPr>
            <w:tcW w:w="1726" w:type="dxa"/>
            <w:tcBorders>
              <w:right w:val="single" w:sz="4" w:space="0" w:color="auto"/>
            </w:tcBorders>
            <w:hideMark/>
          </w:tcPr>
          <w:p w14:paraId="08C3E6CA" w14:textId="42B86671"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$8,519.28 </w:t>
            </w:r>
          </w:p>
        </w:tc>
        <w:tc>
          <w:tcPr>
            <w:tcW w:w="1234" w:type="dxa"/>
            <w:tcBorders>
              <w:top w:val="nil"/>
              <w:left w:val="single" w:sz="4" w:space="0" w:color="auto"/>
              <w:bottom w:val="nil"/>
              <w:right w:val="single" w:sz="4" w:space="0" w:color="auto"/>
            </w:tcBorders>
            <w:hideMark/>
          </w:tcPr>
          <w:p w14:paraId="5E797C11" w14:textId="11070B7A"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75998A37"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30 Mbps</w:t>
            </w:r>
          </w:p>
        </w:tc>
        <w:tc>
          <w:tcPr>
            <w:tcW w:w="1600" w:type="dxa"/>
            <w:hideMark/>
          </w:tcPr>
          <w:p w14:paraId="1E584B5B" w14:textId="1CE8DBEA"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$82,500.00 </w:t>
            </w:r>
          </w:p>
        </w:tc>
      </w:tr>
      <w:tr w:rsidR="00FD7BCF" w:rsidRPr="00FD7BCF" w14:paraId="336D89CB" w14:textId="77777777" w:rsidTr="00B42019">
        <w:trPr>
          <w:trHeight w:val="405"/>
        </w:trPr>
        <w:tc>
          <w:tcPr>
            <w:tcW w:w="2380" w:type="dxa"/>
            <w:hideMark/>
          </w:tcPr>
          <w:p w14:paraId="55D7A70B"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256 Kbps</w:t>
            </w:r>
          </w:p>
        </w:tc>
        <w:tc>
          <w:tcPr>
            <w:tcW w:w="1726" w:type="dxa"/>
            <w:tcBorders>
              <w:right w:val="single" w:sz="4" w:space="0" w:color="auto"/>
            </w:tcBorders>
            <w:hideMark/>
          </w:tcPr>
          <w:p w14:paraId="4D30260A" w14:textId="373ED2D8"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$10,649.10 </w:t>
            </w:r>
          </w:p>
        </w:tc>
        <w:tc>
          <w:tcPr>
            <w:tcW w:w="1234" w:type="dxa"/>
            <w:tcBorders>
              <w:top w:val="nil"/>
              <w:left w:val="single" w:sz="4" w:space="0" w:color="auto"/>
              <w:bottom w:val="nil"/>
              <w:right w:val="single" w:sz="4" w:space="0" w:color="auto"/>
            </w:tcBorders>
            <w:hideMark/>
          </w:tcPr>
          <w:p w14:paraId="4B302DB1" w14:textId="24B8B53A"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1255B3E6"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Ethernet </w:t>
            </w:r>
            <w:r w:rsidR="003C5C93" w:rsidRPr="00FD7BCF">
              <w:rPr>
                <w:rFonts w:ascii="ITC Avant Garde" w:eastAsia="Times New Roman" w:hAnsi="ITC Avant Garde"/>
                <w:sz w:val="20"/>
                <w:szCs w:val="20"/>
                <w:lang w:eastAsia="es-MX"/>
              </w:rPr>
              <w:t>40 M</w:t>
            </w:r>
            <w:r w:rsidR="008C5D4C" w:rsidRPr="00FD7BCF">
              <w:rPr>
                <w:rFonts w:ascii="ITC Avant Garde" w:eastAsia="Times New Roman" w:hAnsi="ITC Avant Garde"/>
                <w:sz w:val="20"/>
                <w:szCs w:val="20"/>
                <w:lang w:eastAsia="es-MX"/>
              </w:rPr>
              <w:t>bps</w:t>
            </w:r>
          </w:p>
        </w:tc>
        <w:tc>
          <w:tcPr>
            <w:tcW w:w="1600" w:type="dxa"/>
            <w:hideMark/>
          </w:tcPr>
          <w:p w14:paraId="7CE334CD" w14:textId="5C982332"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$82,500.00 </w:t>
            </w:r>
          </w:p>
        </w:tc>
      </w:tr>
      <w:tr w:rsidR="00FD7BCF" w:rsidRPr="00FD7BCF" w14:paraId="22AE0120" w14:textId="77777777" w:rsidTr="00B42019">
        <w:trPr>
          <w:trHeight w:val="405"/>
        </w:trPr>
        <w:tc>
          <w:tcPr>
            <w:tcW w:w="2380" w:type="dxa"/>
            <w:hideMark/>
          </w:tcPr>
          <w:p w14:paraId="0C4C0B30"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384 Kbps</w:t>
            </w:r>
          </w:p>
        </w:tc>
        <w:tc>
          <w:tcPr>
            <w:tcW w:w="1726" w:type="dxa"/>
            <w:tcBorders>
              <w:right w:val="single" w:sz="4" w:space="0" w:color="auto"/>
            </w:tcBorders>
            <w:hideMark/>
          </w:tcPr>
          <w:p w14:paraId="5C55ED21" w14:textId="002B817D"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$12,778.92 </w:t>
            </w:r>
          </w:p>
        </w:tc>
        <w:tc>
          <w:tcPr>
            <w:tcW w:w="1234" w:type="dxa"/>
            <w:tcBorders>
              <w:top w:val="nil"/>
              <w:left w:val="single" w:sz="4" w:space="0" w:color="auto"/>
              <w:bottom w:val="nil"/>
              <w:right w:val="single" w:sz="4" w:space="0" w:color="auto"/>
            </w:tcBorders>
            <w:hideMark/>
          </w:tcPr>
          <w:p w14:paraId="6776E9C5" w14:textId="574F951B"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57F32227"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50 Mbps</w:t>
            </w:r>
          </w:p>
        </w:tc>
        <w:tc>
          <w:tcPr>
            <w:tcW w:w="1600" w:type="dxa"/>
            <w:hideMark/>
          </w:tcPr>
          <w:p w14:paraId="2572081D" w14:textId="01ECBC6B"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$82,500.00 </w:t>
            </w:r>
          </w:p>
        </w:tc>
      </w:tr>
      <w:tr w:rsidR="00FD7BCF" w:rsidRPr="00FD7BCF" w14:paraId="2019F155" w14:textId="77777777" w:rsidTr="00B42019">
        <w:trPr>
          <w:trHeight w:val="405"/>
        </w:trPr>
        <w:tc>
          <w:tcPr>
            <w:tcW w:w="2380" w:type="dxa"/>
            <w:hideMark/>
          </w:tcPr>
          <w:p w14:paraId="086DF222"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512 Kbps</w:t>
            </w:r>
          </w:p>
        </w:tc>
        <w:tc>
          <w:tcPr>
            <w:tcW w:w="1726" w:type="dxa"/>
            <w:tcBorders>
              <w:right w:val="single" w:sz="4" w:space="0" w:color="auto"/>
            </w:tcBorders>
            <w:hideMark/>
          </w:tcPr>
          <w:p w14:paraId="7CEEBD18" w14:textId="201343CC"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$14,908.74 </w:t>
            </w:r>
          </w:p>
        </w:tc>
        <w:tc>
          <w:tcPr>
            <w:tcW w:w="1234" w:type="dxa"/>
            <w:tcBorders>
              <w:top w:val="nil"/>
              <w:left w:val="single" w:sz="4" w:space="0" w:color="auto"/>
              <w:bottom w:val="nil"/>
              <w:right w:val="single" w:sz="4" w:space="0" w:color="auto"/>
            </w:tcBorders>
            <w:hideMark/>
          </w:tcPr>
          <w:p w14:paraId="6DD92B24" w14:textId="54FB2018"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3F58F3CC"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60 Mbps</w:t>
            </w:r>
          </w:p>
        </w:tc>
        <w:tc>
          <w:tcPr>
            <w:tcW w:w="1600" w:type="dxa"/>
            <w:hideMark/>
          </w:tcPr>
          <w:p w14:paraId="528DAC5B" w14:textId="09D3D7A0"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$82,500.00 </w:t>
            </w:r>
          </w:p>
        </w:tc>
      </w:tr>
      <w:tr w:rsidR="00FD7BCF" w:rsidRPr="00FD7BCF" w14:paraId="70E5671B" w14:textId="77777777" w:rsidTr="00B42019">
        <w:trPr>
          <w:trHeight w:val="405"/>
        </w:trPr>
        <w:tc>
          <w:tcPr>
            <w:tcW w:w="2380" w:type="dxa"/>
            <w:hideMark/>
          </w:tcPr>
          <w:p w14:paraId="1E4C0E4A"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768 Kbps</w:t>
            </w:r>
          </w:p>
        </w:tc>
        <w:tc>
          <w:tcPr>
            <w:tcW w:w="1726" w:type="dxa"/>
            <w:tcBorders>
              <w:right w:val="single" w:sz="4" w:space="0" w:color="auto"/>
            </w:tcBorders>
            <w:hideMark/>
          </w:tcPr>
          <w:p w14:paraId="66CD0080" w14:textId="1E1CA31C"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$17,038.56 </w:t>
            </w:r>
          </w:p>
        </w:tc>
        <w:tc>
          <w:tcPr>
            <w:tcW w:w="1234" w:type="dxa"/>
            <w:tcBorders>
              <w:top w:val="nil"/>
              <w:left w:val="single" w:sz="4" w:space="0" w:color="auto"/>
              <w:bottom w:val="nil"/>
              <w:right w:val="single" w:sz="4" w:space="0" w:color="auto"/>
            </w:tcBorders>
            <w:hideMark/>
          </w:tcPr>
          <w:p w14:paraId="6199239C" w14:textId="3AA053BF"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4AF81434"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70 Mbps</w:t>
            </w:r>
          </w:p>
        </w:tc>
        <w:tc>
          <w:tcPr>
            <w:tcW w:w="1600" w:type="dxa"/>
            <w:hideMark/>
          </w:tcPr>
          <w:p w14:paraId="2A2BE463" w14:textId="5B9A78A8"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$82,500.00 </w:t>
            </w:r>
          </w:p>
        </w:tc>
      </w:tr>
      <w:tr w:rsidR="00FD7BCF" w:rsidRPr="00FD7BCF" w14:paraId="31EFA393" w14:textId="77777777" w:rsidTr="00B42019">
        <w:trPr>
          <w:trHeight w:val="405"/>
        </w:trPr>
        <w:tc>
          <w:tcPr>
            <w:tcW w:w="2380" w:type="dxa"/>
            <w:hideMark/>
          </w:tcPr>
          <w:p w14:paraId="2BB1590B"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1024 Kbps</w:t>
            </w:r>
          </w:p>
        </w:tc>
        <w:tc>
          <w:tcPr>
            <w:tcW w:w="1726" w:type="dxa"/>
            <w:tcBorders>
              <w:right w:val="single" w:sz="4" w:space="0" w:color="auto"/>
            </w:tcBorders>
            <w:hideMark/>
          </w:tcPr>
          <w:p w14:paraId="4DB1B391" w14:textId="2FA19869"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$19,168.38 </w:t>
            </w:r>
          </w:p>
        </w:tc>
        <w:tc>
          <w:tcPr>
            <w:tcW w:w="1234" w:type="dxa"/>
            <w:tcBorders>
              <w:top w:val="nil"/>
              <w:left w:val="single" w:sz="4" w:space="0" w:color="auto"/>
              <w:bottom w:val="nil"/>
              <w:right w:val="single" w:sz="4" w:space="0" w:color="auto"/>
            </w:tcBorders>
            <w:hideMark/>
          </w:tcPr>
          <w:p w14:paraId="3542A0D6" w14:textId="0BEC7188"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5820FF71"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80 Mbps</w:t>
            </w:r>
          </w:p>
        </w:tc>
        <w:tc>
          <w:tcPr>
            <w:tcW w:w="1600" w:type="dxa"/>
            <w:hideMark/>
          </w:tcPr>
          <w:p w14:paraId="04F479C1" w14:textId="5609C08D"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$82,500.00 </w:t>
            </w:r>
          </w:p>
        </w:tc>
      </w:tr>
      <w:tr w:rsidR="00FD7BCF" w:rsidRPr="00FD7BCF" w14:paraId="639C5A08" w14:textId="77777777" w:rsidTr="00B42019">
        <w:trPr>
          <w:trHeight w:val="405"/>
        </w:trPr>
        <w:tc>
          <w:tcPr>
            <w:tcW w:w="2380" w:type="dxa"/>
            <w:hideMark/>
          </w:tcPr>
          <w:p w14:paraId="51631CA9"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E1 (2 Mbps)</w:t>
            </w:r>
          </w:p>
        </w:tc>
        <w:tc>
          <w:tcPr>
            <w:tcW w:w="1726" w:type="dxa"/>
            <w:tcBorders>
              <w:right w:val="single" w:sz="4" w:space="0" w:color="auto"/>
            </w:tcBorders>
            <w:hideMark/>
          </w:tcPr>
          <w:p w14:paraId="624F6C90" w14:textId="4C9828BB"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$30,020.43 </w:t>
            </w:r>
          </w:p>
        </w:tc>
        <w:tc>
          <w:tcPr>
            <w:tcW w:w="1234" w:type="dxa"/>
            <w:tcBorders>
              <w:top w:val="nil"/>
              <w:left w:val="single" w:sz="4" w:space="0" w:color="auto"/>
              <w:bottom w:val="nil"/>
              <w:right w:val="single" w:sz="4" w:space="0" w:color="auto"/>
            </w:tcBorders>
            <w:hideMark/>
          </w:tcPr>
          <w:p w14:paraId="1C04C31B" w14:textId="60C464F0"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7DBDA0C5"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90 Mbps</w:t>
            </w:r>
          </w:p>
        </w:tc>
        <w:tc>
          <w:tcPr>
            <w:tcW w:w="1600" w:type="dxa"/>
            <w:hideMark/>
          </w:tcPr>
          <w:p w14:paraId="6ECDAE15" w14:textId="51F7E65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$82,500.00 </w:t>
            </w:r>
          </w:p>
        </w:tc>
      </w:tr>
      <w:tr w:rsidR="00FD7BCF" w:rsidRPr="00FD7BCF" w14:paraId="55A1BA41" w14:textId="77777777" w:rsidTr="00B42019">
        <w:trPr>
          <w:trHeight w:val="405"/>
        </w:trPr>
        <w:tc>
          <w:tcPr>
            <w:tcW w:w="2380" w:type="dxa"/>
            <w:hideMark/>
          </w:tcPr>
          <w:p w14:paraId="0036CF3C"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E2 (8 Mbps)</w:t>
            </w:r>
          </w:p>
        </w:tc>
        <w:tc>
          <w:tcPr>
            <w:tcW w:w="1726" w:type="dxa"/>
            <w:tcBorders>
              <w:right w:val="single" w:sz="4" w:space="0" w:color="auto"/>
            </w:tcBorders>
            <w:hideMark/>
          </w:tcPr>
          <w:p w14:paraId="51B8DA9B" w14:textId="5EED411D"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$120,081.72 </w:t>
            </w:r>
          </w:p>
        </w:tc>
        <w:tc>
          <w:tcPr>
            <w:tcW w:w="1234" w:type="dxa"/>
            <w:tcBorders>
              <w:top w:val="nil"/>
              <w:left w:val="single" w:sz="4" w:space="0" w:color="auto"/>
              <w:bottom w:val="nil"/>
              <w:right w:val="single" w:sz="4" w:space="0" w:color="auto"/>
            </w:tcBorders>
            <w:hideMark/>
          </w:tcPr>
          <w:p w14:paraId="3BA753C9" w14:textId="125E039C"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1D462854"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100 Mbps</w:t>
            </w:r>
          </w:p>
        </w:tc>
        <w:tc>
          <w:tcPr>
            <w:tcW w:w="1600" w:type="dxa"/>
            <w:hideMark/>
          </w:tcPr>
          <w:p w14:paraId="2785DDFB" w14:textId="6C1CB664"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7A899CAD" w14:textId="77777777" w:rsidTr="00B42019">
        <w:trPr>
          <w:trHeight w:val="405"/>
        </w:trPr>
        <w:tc>
          <w:tcPr>
            <w:tcW w:w="2380" w:type="dxa"/>
            <w:hideMark/>
          </w:tcPr>
          <w:p w14:paraId="387321CF"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E3 (34 Mbps)</w:t>
            </w:r>
          </w:p>
        </w:tc>
        <w:tc>
          <w:tcPr>
            <w:tcW w:w="1726" w:type="dxa"/>
            <w:tcBorders>
              <w:right w:val="single" w:sz="4" w:space="0" w:color="auto"/>
            </w:tcBorders>
            <w:hideMark/>
          </w:tcPr>
          <w:p w14:paraId="33E4E601" w14:textId="0C39DC21"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$151,978.53 </w:t>
            </w:r>
          </w:p>
        </w:tc>
        <w:tc>
          <w:tcPr>
            <w:tcW w:w="1234" w:type="dxa"/>
            <w:tcBorders>
              <w:top w:val="nil"/>
              <w:left w:val="single" w:sz="4" w:space="0" w:color="auto"/>
              <w:bottom w:val="nil"/>
              <w:right w:val="single" w:sz="4" w:space="0" w:color="auto"/>
            </w:tcBorders>
            <w:hideMark/>
          </w:tcPr>
          <w:p w14:paraId="6F588C1A" w14:textId="6DB72E47"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3303B62F"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100 Mbps</w:t>
            </w:r>
          </w:p>
        </w:tc>
        <w:tc>
          <w:tcPr>
            <w:tcW w:w="1600" w:type="dxa"/>
            <w:hideMark/>
          </w:tcPr>
          <w:p w14:paraId="307102EA" w14:textId="179750C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28BC77F9" w14:textId="77777777" w:rsidTr="00B42019">
        <w:trPr>
          <w:trHeight w:val="405"/>
        </w:trPr>
        <w:tc>
          <w:tcPr>
            <w:tcW w:w="2380" w:type="dxa"/>
            <w:hideMark/>
          </w:tcPr>
          <w:p w14:paraId="0C4C989B"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E4 (139 Mbps) </w:t>
            </w:r>
          </w:p>
        </w:tc>
        <w:tc>
          <w:tcPr>
            <w:tcW w:w="1726" w:type="dxa"/>
            <w:tcBorders>
              <w:right w:val="single" w:sz="4" w:space="0" w:color="auto"/>
            </w:tcBorders>
            <w:hideMark/>
          </w:tcPr>
          <w:p w14:paraId="71871A3E" w14:textId="62645DDD"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$336,608.58 </w:t>
            </w:r>
          </w:p>
        </w:tc>
        <w:tc>
          <w:tcPr>
            <w:tcW w:w="1234" w:type="dxa"/>
            <w:tcBorders>
              <w:top w:val="nil"/>
              <w:left w:val="single" w:sz="4" w:space="0" w:color="auto"/>
              <w:bottom w:val="nil"/>
              <w:right w:val="single" w:sz="4" w:space="0" w:color="auto"/>
            </w:tcBorders>
            <w:hideMark/>
          </w:tcPr>
          <w:p w14:paraId="6706B59B" w14:textId="63ADD32B"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0771E988"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150 Mbps</w:t>
            </w:r>
          </w:p>
        </w:tc>
        <w:tc>
          <w:tcPr>
            <w:tcW w:w="1600" w:type="dxa"/>
            <w:hideMark/>
          </w:tcPr>
          <w:p w14:paraId="3818C14D" w14:textId="496D35E5"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3F640A55" w14:textId="77777777" w:rsidTr="00B42019">
        <w:trPr>
          <w:trHeight w:val="405"/>
        </w:trPr>
        <w:tc>
          <w:tcPr>
            <w:tcW w:w="2380" w:type="dxa"/>
            <w:hideMark/>
          </w:tcPr>
          <w:p w14:paraId="61534C7E"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1 (155 Mbps) </w:t>
            </w:r>
          </w:p>
        </w:tc>
        <w:tc>
          <w:tcPr>
            <w:tcW w:w="1726" w:type="dxa"/>
            <w:tcBorders>
              <w:right w:val="single" w:sz="4" w:space="0" w:color="auto"/>
            </w:tcBorders>
            <w:hideMark/>
          </w:tcPr>
          <w:p w14:paraId="53AA7116" w14:textId="42636E6B"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$336,608.58 </w:t>
            </w:r>
          </w:p>
        </w:tc>
        <w:tc>
          <w:tcPr>
            <w:tcW w:w="1234" w:type="dxa"/>
            <w:tcBorders>
              <w:top w:val="nil"/>
              <w:left w:val="single" w:sz="4" w:space="0" w:color="auto"/>
              <w:bottom w:val="nil"/>
              <w:right w:val="single" w:sz="4" w:space="0" w:color="auto"/>
            </w:tcBorders>
            <w:hideMark/>
          </w:tcPr>
          <w:p w14:paraId="4CC147BC" w14:textId="3D3B1D2B"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2DE9E2F8"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200 Mbps</w:t>
            </w:r>
          </w:p>
        </w:tc>
        <w:tc>
          <w:tcPr>
            <w:tcW w:w="1600" w:type="dxa"/>
            <w:hideMark/>
          </w:tcPr>
          <w:p w14:paraId="00B51E9C" w14:textId="7608EDE1"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2BD48EED" w14:textId="77777777" w:rsidTr="00B42019">
        <w:trPr>
          <w:trHeight w:val="405"/>
        </w:trPr>
        <w:tc>
          <w:tcPr>
            <w:tcW w:w="2380" w:type="dxa"/>
            <w:hideMark/>
          </w:tcPr>
          <w:p w14:paraId="7BED398A"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4 (622 Mbps) </w:t>
            </w:r>
          </w:p>
        </w:tc>
        <w:tc>
          <w:tcPr>
            <w:tcW w:w="1726" w:type="dxa"/>
            <w:tcBorders>
              <w:right w:val="single" w:sz="4" w:space="0" w:color="auto"/>
            </w:tcBorders>
            <w:hideMark/>
          </w:tcPr>
          <w:p w14:paraId="56C5668E" w14:textId="41B45DA1"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$757,369.14 </w:t>
            </w:r>
          </w:p>
        </w:tc>
        <w:tc>
          <w:tcPr>
            <w:tcW w:w="1234" w:type="dxa"/>
            <w:tcBorders>
              <w:top w:val="nil"/>
              <w:left w:val="single" w:sz="4" w:space="0" w:color="auto"/>
              <w:bottom w:val="nil"/>
              <w:right w:val="single" w:sz="4" w:space="0" w:color="auto"/>
            </w:tcBorders>
            <w:hideMark/>
          </w:tcPr>
          <w:p w14:paraId="6DFC4680" w14:textId="1BAA84E5"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02299271"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250 Mbps</w:t>
            </w:r>
          </w:p>
        </w:tc>
        <w:tc>
          <w:tcPr>
            <w:tcW w:w="1600" w:type="dxa"/>
            <w:hideMark/>
          </w:tcPr>
          <w:p w14:paraId="0FE3A8EF" w14:textId="1FD0C016"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51795412" w14:textId="77777777" w:rsidTr="00B42019">
        <w:trPr>
          <w:trHeight w:val="405"/>
        </w:trPr>
        <w:tc>
          <w:tcPr>
            <w:tcW w:w="2380" w:type="dxa"/>
            <w:hideMark/>
          </w:tcPr>
          <w:p w14:paraId="68CB26DA"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16 (2.5 </w:t>
            </w:r>
            <w:proofErr w:type="spellStart"/>
            <w:r w:rsidR="00244E59" w:rsidRPr="00FD7BCF">
              <w:rPr>
                <w:rFonts w:ascii="ITC Avant Garde" w:eastAsia="Times New Roman" w:hAnsi="ITC Avant Garde"/>
                <w:sz w:val="20"/>
                <w:szCs w:val="20"/>
                <w:lang w:eastAsia="es-MX"/>
              </w:rPr>
              <w:t>Gbps</w:t>
            </w:r>
            <w:proofErr w:type="spellEnd"/>
            <w:r w:rsidRPr="00FD7BCF">
              <w:rPr>
                <w:rFonts w:ascii="ITC Avant Garde" w:eastAsia="Times New Roman" w:hAnsi="ITC Avant Garde"/>
                <w:sz w:val="20"/>
                <w:szCs w:val="20"/>
                <w:lang w:eastAsia="es-MX"/>
              </w:rPr>
              <w:t xml:space="preserve">) </w:t>
            </w:r>
          </w:p>
        </w:tc>
        <w:tc>
          <w:tcPr>
            <w:tcW w:w="1726" w:type="dxa"/>
            <w:tcBorders>
              <w:right w:val="single" w:sz="4" w:space="0" w:color="auto"/>
            </w:tcBorders>
            <w:hideMark/>
          </w:tcPr>
          <w:p w14:paraId="549E71E7" w14:textId="6CFDECB5"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$1,893,422.85 </w:t>
            </w:r>
          </w:p>
        </w:tc>
        <w:tc>
          <w:tcPr>
            <w:tcW w:w="1234" w:type="dxa"/>
            <w:tcBorders>
              <w:top w:val="nil"/>
              <w:left w:val="single" w:sz="4" w:space="0" w:color="auto"/>
              <w:bottom w:val="nil"/>
              <w:right w:val="single" w:sz="4" w:space="0" w:color="auto"/>
            </w:tcBorders>
            <w:hideMark/>
          </w:tcPr>
          <w:p w14:paraId="5D849CA8" w14:textId="777E0688"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437ACEE5"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300 Mbps</w:t>
            </w:r>
          </w:p>
        </w:tc>
        <w:tc>
          <w:tcPr>
            <w:tcW w:w="1600" w:type="dxa"/>
            <w:hideMark/>
          </w:tcPr>
          <w:p w14:paraId="595FF651" w14:textId="3D4916B5"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2D60230F" w14:textId="77777777" w:rsidTr="00B42019">
        <w:trPr>
          <w:trHeight w:val="405"/>
        </w:trPr>
        <w:tc>
          <w:tcPr>
            <w:tcW w:w="2380" w:type="dxa"/>
            <w:hideMark/>
          </w:tcPr>
          <w:p w14:paraId="369B1DCB"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64 (10 </w:t>
            </w:r>
            <w:proofErr w:type="spellStart"/>
            <w:r w:rsidR="00244E59" w:rsidRPr="00FD7BCF">
              <w:rPr>
                <w:rFonts w:ascii="ITC Avant Garde" w:eastAsia="Times New Roman" w:hAnsi="ITC Avant Garde"/>
                <w:sz w:val="20"/>
                <w:szCs w:val="20"/>
                <w:lang w:eastAsia="es-MX"/>
              </w:rPr>
              <w:t>Gbps</w:t>
            </w:r>
            <w:proofErr w:type="spellEnd"/>
            <w:r w:rsidRPr="00FD7BCF">
              <w:rPr>
                <w:rFonts w:ascii="ITC Avant Garde" w:eastAsia="Times New Roman" w:hAnsi="ITC Avant Garde"/>
                <w:sz w:val="20"/>
                <w:szCs w:val="20"/>
                <w:lang w:eastAsia="es-MX"/>
              </w:rPr>
              <w:t>)</w:t>
            </w:r>
          </w:p>
        </w:tc>
        <w:tc>
          <w:tcPr>
            <w:tcW w:w="1726" w:type="dxa"/>
            <w:tcBorders>
              <w:right w:val="single" w:sz="4" w:space="0" w:color="auto"/>
            </w:tcBorders>
            <w:hideMark/>
          </w:tcPr>
          <w:p w14:paraId="77D2B3C2" w14:textId="7F145FCB" w:rsidR="0017127F" w:rsidRPr="00FD7BCF" w:rsidRDefault="00B84EBF" w:rsidP="00B42019">
            <w:pPr>
              <w:spacing w:after="0" w:line="276" w:lineRule="auto"/>
              <w:rPr>
                <w:rFonts w:ascii="ITC Avant Garde" w:eastAsia="Times New Roman" w:hAnsi="ITC Avant Garde"/>
                <w:sz w:val="20"/>
                <w:szCs w:val="20"/>
                <w:lang w:eastAsia="es-MX"/>
              </w:rPr>
            </w:pPr>
            <w:r>
              <w:rPr>
                <w:rFonts w:ascii="ITC Avant Garde" w:eastAsia="Times New Roman" w:hAnsi="ITC Avant Garde"/>
                <w:sz w:val="20"/>
                <w:szCs w:val="20"/>
                <w:lang w:eastAsia="es-MX"/>
              </w:rPr>
              <w:t>$</w:t>
            </w:r>
            <w:r w:rsidR="0017127F" w:rsidRPr="00FD7BCF">
              <w:rPr>
                <w:rFonts w:ascii="ITC Avant Garde" w:eastAsia="Times New Roman" w:hAnsi="ITC Avant Garde"/>
                <w:sz w:val="20"/>
                <w:szCs w:val="20"/>
                <w:lang w:eastAsia="es-MX"/>
              </w:rPr>
              <w:t xml:space="preserve">3,029,476.56 </w:t>
            </w:r>
          </w:p>
        </w:tc>
        <w:tc>
          <w:tcPr>
            <w:tcW w:w="1234" w:type="dxa"/>
            <w:tcBorders>
              <w:top w:val="nil"/>
              <w:left w:val="single" w:sz="4" w:space="0" w:color="auto"/>
              <w:bottom w:val="nil"/>
              <w:right w:val="single" w:sz="4" w:space="0" w:color="auto"/>
            </w:tcBorders>
            <w:hideMark/>
          </w:tcPr>
          <w:p w14:paraId="69471076" w14:textId="54514741"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664F69CA"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350 Mbps</w:t>
            </w:r>
          </w:p>
        </w:tc>
        <w:tc>
          <w:tcPr>
            <w:tcW w:w="1600" w:type="dxa"/>
            <w:hideMark/>
          </w:tcPr>
          <w:p w14:paraId="0F9A4BF1" w14:textId="63A286C4"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2D73F02A" w14:textId="77777777" w:rsidTr="00B42019">
        <w:trPr>
          <w:trHeight w:val="405"/>
        </w:trPr>
        <w:tc>
          <w:tcPr>
            <w:tcW w:w="2380" w:type="dxa"/>
            <w:hideMark/>
          </w:tcPr>
          <w:p w14:paraId="5C2DCD5D"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256 (40 </w:t>
            </w:r>
            <w:proofErr w:type="spellStart"/>
            <w:r w:rsidR="008C5D4C" w:rsidRPr="00FD7BCF">
              <w:rPr>
                <w:rFonts w:ascii="ITC Avant Garde" w:eastAsia="Times New Roman" w:hAnsi="ITC Avant Garde"/>
                <w:sz w:val="20"/>
                <w:szCs w:val="20"/>
                <w:lang w:eastAsia="es-MX"/>
              </w:rPr>
              <w:t>G</w:t>
            </w:r>
            <w:r w:rsidRPr="00FD7BCF">
              <w:rPr>
                <w:rFonts w:ascii="ITC Avant Garde" w:eastAsia="Times New Roman" w:hAnsi="ITC Avant Garde"/>
                <w:sz w:val="20"/>
                <w:szCs w:val="20"/>
                <w:lang w:eastAsia="es-MX"/>
              </w:rPr>
              <w:t>bps</w:t>
            </w:r>
            <w:proofErr w:type="spellEnd"/>
            <w:r w:rsidRPr="00FD7BCF">
              <w:rPr>
                <w:rFonts w:ascii="ITC Avant Garde" w:eastAsia="Times New Roman" w:hAnsi="ITC Avant Garde"/>
                <w:sz w:val="20"/>
                <w:szCs w:val="20"/>
                <w:lang w:eastAsia="es-MX"/>
              </w:rPr>
              <w:t xml:space="preserve">) </w:t>
            </w:r>
          </w:p>
        </w:tc>
        <w:tc>
          <w:tcPr>
            <w:tcW w:w="1726" w:type="dxa"/>
            <w:tcBorders>
              <w:right w:val="single" w:sz="4" w:space="0" w:color="auto"/>
            </w:tcBorders>
            <w:hideMark/>
          </w:tcPr>
          <w:p w14:paraId="642C5D99" w14:textId="1ED24867"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$12,117,906.24 </w:t>
            </w:r>
          </w:p>
        </w:tc>
        <w:tc>
          <w:tcPr>
            <w:tcW w:w="1234" w:type="dxa"/>
            <w:tcBorders>
              <w:top w:val="nil"/>
              <w:left w:val="single" w:sz="4" w:space="0" w:color="auto"/>
              <w:bottom w:val="nil"/>
              <w:right w:val="single" w:sz="4" w:space="0" w:color="auto"/>
            </w:tcBorders>
            <w:hideMark/>
          </w:tcPr>
          <w:p w14:paraId="150F973E" w14:textId="3082EE13"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1229E524"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400 Mbps</w:t>
            </w:r>
          </w:p>
        </w:tc>
        <w:tc>
          <w:tcPr>
            <w:tcW w:w="1600" w:type="dxa"/>
            <w:hideMark/>
          </w:tcPr>
          <w:p w14:paraId="6C4851B8" w14:textId="0DA30B77"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4DA3EB94" w14:textId="77777777" w:rsidTr="00B42019">
        <w:trPr>
          <w:trHeight w:val="405"/>
        </w:trPr>
        <w:tc>
          <w:tcPr>
            <w:tcW w:w="2380" w:type="dxa"/>
            <w:hideMark/>
          </w:tcPr>
          <w:p w14:paraId="53D13986"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2 Mbps PMP</w:t>
            </w:r>
          </w:p>
        </w:tc>
        <w:tc>
          <w:tcPr>
            <w:tcW w:w="1726" w:type="dxa"/>
            <w:tcBorders>
              <w:right w:val="single" w:sz="4" w:space="0" w:color="auto"/>
            </w:tcBorders>
            <w:hideMark/>
          </w:tcPr>
          <w:p w14:paraId="1C98A159" w14:textId="4E180107"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$30,020.43 </w:t>
            </w:r>
          </w:p>
        </w:tc>
        <w:tc>
          <w:tcPr>
            <w:tcW w:w="1234" w:type="dxa"/>
            <w:tcBorders>
              <w:top w:val="nil"/>
              <w:left w:val="single" w:sz="4" w:space="0" w:color="auto"/>
              <w:bottom w:val="nil"/>
              <w:right w:val="single" w:sz="4" w:space="0" w:color="auto"/>
            </w:tcBorders>
            <w:hideMark/>
          </w:tcPr>
          <w:p w14:paraId="26729ABE" w14:textId="1F706179"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15A72279"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450 Mbps</w:t>
            </w:r>
          </w:p>
        </w:tc>
        <w:tc>
          <w:tcPr>
            <w:tcW w:w="1600" w:type="dxa"/>
            <w:hideMark/>
          </w:tcPr>
          <w:p w14:paraId="47E23F51" w14:textId="33AE4852"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21E2F01A" w14:textId="77777777" w:rsidTr="00B42019">
        <w:trPr>
          <w:trHeight w:val="405"/>
        </w:trPr>
        <w:tc>
          <w:tcPr>
            <w:tcW w:w="2380" w:type="dxa"/>
            <w:hideMark/>
          </w:tcPr>
          <w:p w14:paraId="24916ED9"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34 Mbps PMP</w:t>
            </w:r>
          </w:p>
        </w:tc>
        <w:tc>
          <w:tcPr>
            <w:tcW w:w="1726" w:type="dxa"/>
            <w:tcBorders>
              <w:right w:val="single" w:sz="4" w:space="0" w:color="auto"/>
            </w:tcBorders>
            <w:hideMark/>
          </w:tcPr>
          <w:p w14:paraId="7A564BC0" w14:textId="2A78C35B"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$151,978.53 </w:t>
            </w:r>
          </w:p>
        </w:tc>
        <w:tc>
          <w:tcPr>
            <w:tcW w:w="1234" w:type="dxa"/>
            <w:tcBorders>
              <w:top w:val="nil"/>
              <w:left w:val="single" w:sz="4" w:space="0" w:color="auto"/>
              <w:bottom w:val="nil"/>
              <w:right w:val="single" w:sz="4" w:space="0" w:color="auto"/>
            </w:tcBorders>
            <w:hideMark/>
          </w:tcPr>
          <w:p w14:paraId="5BA50B8B" w14:textId="47346B56"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65B8CB01"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500 Mbps</w:t>
            </w:r>
          </w:p>
        </w:tc>
        <w:tc>
          <w:tcPr>
            <w:tcW w:w="1600" w:type="dxa"/>
            <w:hideMark/>
          </w:tcPr>
          <w:p w14:paraId="7D50DAB3" w14:textId="6BC27ED2"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5E70125B" w14:textId="77777777" w:rsidTr="00B84EBF">
        <w:trPr>
          <w:trHeight w:val="405"/>
        </w:trPr>
        <w:tc>
          <w:tcPr>
            <w:tcW w:w="2380" w:type="dxa"/>
            <w:tcBorders>
              <w:bottom w:val="single" w:sz="4" w:space="0" w:color="auto"/>
            </w:tcBorders>
            <w:hideMark/>
          </w:tcPr>
          <w:p w14:paraId="1A21DEA7"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lastRenderedPageBreak/>
              <w:t>155 Mbps PMP</w:t>
            </w:r>
          </w:p>
        </w:tc>
        <w:tc>
          <w:tcPr>
            <w:tcW w:w="1726" w:type="dxa"/>
            <w:tcBorders>
              <w:bottom w:val="single" w:sz="4" w:space="0" w:color="auto"/>
              <w:right w:val="single" w:sz="4" w:space="0" w:color="auto"/>
            </w:tcBorders>
            <w:hideMark/>
          </w:tcPr>
          <w:p w14:paraId="206771E7" w14:textId="17FC9235"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$336,608.58 </w:t>
            </w:r>
          </w:p>
        </w:tc>
        <w:tc>
          <w:tcPr>
            <w:tcW w:w="1234" w:type="dxa"/>
            <w:tcBorders>
              <w:top w:val="nil"/>
              <w:left w:val="single" w:sz="4" w:space="0" w:color="auto"/>
              <w:bottom w:val="nil"/>
              <w:right w:val="single" w:sz="4" w:space="0" w:color="auto"/>
            </w:tcBorders>
            <w:hideMark/>
          </w:tcPr>
          <w:p w14:paraId="3B897E77" w14:textId="763F4147"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24C56304"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550 Mbps</w:t>
            </w:r>
          </w:p>
        </w:tc>
        <w:tc>
          <w:tcPr>
            <w:tcW w:w="1600" w:type="dxa"/>
            <w:hideMark/>
          </w:tcPr>
          <w:p w14:paraId="43744461" w14:textId="3AD66ECE"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1ACE3F8C" w14:textId="77777777" w:rsidTr="00B84EBF">
        <w:trPr>
          <w:trHeight w:val="405"/>
        </w:trPr>
        <w:tc>
          <w:tcPr>
            <w:tcW w:w="2380" w:type="dxa"/>
            <w:tcBorders>
              <w:bottom w:val="single" w:sz="4" w:space="0" w:color="auto"/>
            </w:tcBorders>
            <w:hideMark/>
          </w:tcPr>
          <w:p w14:paraId="0C7D1417"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622 Mbps PMP</w:t>
            </w:r>
          </w:p>
        </w:tc>
        <w:tc>
          <w:tcPr>
            <w:tcW w:w="1726" w:type="dxa"/>
            <w:tcBorders>
              <w:bottom w:val="single" w:sz="4" w:space="0" w:color="auto"/>
              <w:right w:val="single" w:sz="4" w:space="0" w:color="auto"/>
            </w:tcBorders>
            <w:hideMark/>
          </w:tcPr>
          <w:p w14:paraId="35786077" w14:textId="311BBA0C"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$757,369.14 </w:t>
            </w:r>
          </w:p>
        </w:tc>
        <w:tc>
          <w:tcPr>
            <w:tcW w:w="1234" w:type="dxa"/>
            <w:tcBorders>
              <w:top w:val="nil"/>
              <w:left w:val="single" w:sz="4" w:space="0" w:color="auto"/>
              <w:bottom w:val="nil"/>
              <w:right w:val="single" w:sz="4" w:space="0" w:color="auto"/>
            </w:tcBorders>
            <w:hideMark/>
          </w:tcPr>
          <w:p w14:paraId="66199237" w14:textId="21FB07B1"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7E0B31C7"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600 Mbps</w:t>
            </w:r>
          </w:p>
        </w:tc>
        <w:tc>
          <w:tcPr>
            <w:tcW w:w="1600" w:type="dxa"/>
            <w:hideMark/>
          </w:tcPr>
          <w:p w14:paraId="0E818B6B" w14:textId="02FA4E9D"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0B427CCB" w14:textId="77777777" w:rsidTr="00B84EBF">
        <w:trPr>
          <w:trHeight w:val="405"/>
        </w:trPr>
        <w:tc>
          <w:tcPr>
            <w:tcW w:w="2380" w:type="dxa"/>
            <w:tcBorders>
              <w:top w:val="single" w:sz="4" w:space="0" w:color="auto"/>
              <w:left w:val="nil"/>
              <w:bottom w:val="nil"/>
              <w:right w:val="nil"/>
            </w:tcBorders>
            <w:hideMark/>
          </w:tcPr>
          <w:p w14:paraId="75688FC2" w14:textId="531C67B2"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726" w:type="dxa"/>
            <w:tcBorders>
              <w:top w:val="single" w:sz="4" w:space="0" w:color="auto"/>
              <w:left w:val="nil"/>
              <w:bottom w:val="nil"/>
              <w:right w:val="nil"/>
            </w:tcBorders>
            <w:hideMark/>
          </w:tcPr>
          <w:p w14:paraId="476004A1" w14:textId="7946169C"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234" w:type="dxa"/>
            <w:tcBorders>
              <w:top w:val="nil"/>
              <w:left w:val="nil"/>
              <w:bottom w:val="nil"/>
              <w:right w:val="single" w:sz="4" w:space="0" w:color="auto"/>
            </w:tcBorders>
            <w:hideMark/>
          </w:tcPr>
          <w:p w14:paraId="499E77C5" w14:textId="59D97BE1"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5F658DE4"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750 Mbps</w:t>
            </w:r>
          </w:p>
        </w:tc>
        <w:tc>
          <w:tcPr>
            <w:tcW w:w="1600" w:type="dxa"/>
            <w:hideMark/>
          </w:tcPr>
          <w:p w14:paraId="56014F0D" w14:textId="6CF95813"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08CC7757" w14:textId="77777777" w:rsidTr="00B84EBF">
        <w:trPr>
          <w:trHeight w:val="405"/>
        </w:trPr>
        <w:tc>
          <w:tcPr>
            <w:tcW w:w="2380" w:type="dxa"/>
            <w:tcBorders>
              <w:top w:val="nil"/>
              <w:left w:val="nil"/>
              <w:bottom w:val="nil"/>
              <w:right w:val="nil"/>
            </w:tcBorders>
            <w:hideMark/>
          </w:tcPr>
          <w:p w14:paraId="10BA2DC6" w14:textId="4292E0B7"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726" w:type="dxa"/>
            <w:tcBorders>
              <w:top w:val="nil"/>
              <w:left w:val="nil"/>
              <w:bottom w:val="nil"/>
              <w:right w:val="nil"/>
            </w:tcBorders>
            <w:hideMark/>
          </w:tcPr>
          <w:p w14:paraId="517AB6FB" w14:textId="49EA5B73"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234" w:type="dxa"/>
            <w:tcBorders>
              <w:top w:val="nil"/>
              <w:left w:val="nil"/>
              <w:bottom w:val="nil"/>
              <w:right w:val="single" w:sz="4" w:space="0" w:color="auto"/>
            </w:tcBorders>
            <w:hideMark/>
          </w:tcPr>
          <w:p w14:paraId="6BCAA1E8" w14:textId="7A16DFD4"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57B2429B"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1 </w:t>
            </w:r>
            <w:proofErr w:type="spellStart"/>
            <w:r w:rsidR="00244E59" w:rsidRPr="00FD7BCF">
              <w:rPr>
                <w:rFonts w:ascii="ITC Avant Garde" w:eastAsia="Times New Roman" w:hAnsi="ITC Avant Garde"/>
                <w:sz w:val="20"/>
                <w:szCs w:val="20"/>
                <w:lang w:eastAsia="es-MX"/>
              </w:rPr>
              <w:t>Gbps</w:t>
            </w:r>
            <w:proofErr w:type="spellEnd"/>
          </w:p>
        </w:tc>
        <w:tc>
          <w:tcPr>
            <w:tcW w:w="1600" w:type="dxa"/>
            <w:hideMark/>
          </w:tcPr>
          <w:p w14:paraId="6CB221ED" w14:textId="7EB48DD3"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58DFEA09" w14:textId="77777777" w:rsidTr="00B84EBF">
        <w:trPr>
          <w:trHeight w:val="405"/>
        </w:trPr>
        <w:tc>
          <w:tcPr>
            <w:tcW w:w="2380" w:type="dxa"/>
            <w:tcBorders>
              <w:top w:val="nil"/>
              <w:left w:val="nil"/>
              <w:bottom w:val="nil"/>
              <w:right w:val="nil"/>
            </w:tcBorders>
            <w:hideMark/>
          </w:tcPr>
          <w:p w14:paraId="270AE9FF" w14:textId="067F907B"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726" w:type="dxa"/>
            <w:tcBorders>
              <w:top w:val="nil"/>
              <w:left w:val="nil"/>
              <w:bottom w:val="nil"/>
              <w:right w:val="nil"/>
            </w:tcBorders>
            <w:hideMark/>
          </w:tcPr>
          <w:p w14:paraId="68BFA79D" w14:textId="03892C67"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234" w:type="dxa"/>
            <w:tcBorders>
              <w:top w:val="nil"/>
              <w:left w:val="nil"/>
              <w:bottom w:val="nil"/>
              <w:right w:val="single" w:sz="4" w:space="0" w:color="auto"/>
            </w:tcBorders>
            <w:hideMark/>
          </w:tcPr>
          <w:p w14:paraId="1B8E12EC" w14:textId="10330936"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347895E4"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2 </w:t>
            </w:r>
            <w:proofErr w:type="spellStart"/>
            <w:r w:rsidR="00244E59" w:rsidRPr="00FD7BCF">
              <w:rPr>
                <w:rFonts w:ascii="ITC Avant Garde" w:eastAsia="Times New Roman" w:hAnsi="ITC Avant Garde"/>
                <w:sz w:val="20"/>
                <w:szCs w:val="20"/>
                <w:lang w:eastAsia="es-MX"/>
              </w:rPr>
              <w:t>Gbps</w:t>
            </w:r>
            <w:proofErr w:type="spellEnd"/>
          </w:p>
        </w:tc>
        <w:tc>
          <w:tcPr>
            <w:tcW w:w="1600" w:type="dxa"/>
            <w:hideMark/>
          </w:tcPr>
          <w:p w14:paraId="111B2179" w14:textId="7CA34310"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6EDC35BD" w14:textId="77777777" w:rsidTr="00B84EBF">
        <w:trPr>
          <w:trHeight w:val="405"/>
        </w:trPr>
        <w:tc>
          <w:tcPr>
            <w:tcW w:w="2380" w:type="dxa"/>
            <w:tcBorders>
              <w:top w:val="nil"/>
              <w:left w:val="nil"/>
              <w:bottom w:val="nil"/>
              <w:right w:val="nil"/>
            </w:tcBorders>
            <w:hideMark/>
          </w:tcPr>
          <w:p w14:paraId="21223543" w14:textId="2CB9E565"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726" w:type="dxa"/>
            <w:tcBorders>
              <w:top w:val="nil"/>
              <w:left w:val="nil"/>
              <w:bottom w:val="nil"/>
              <w:right w:val="nil"/>
            </w:tcBorders>
            <w:hideMark/>
          </w:tcPr>
          <w:p w14:paraId="38620496" w14:textId="11E223FC"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234" w:type="dxa"/>
            <w:tcBorders>
              <w:top w:val="nil"/>
              <w:left w:val="nil"/>
              <w:bottom w:val="nil"/>
              <w:right w:val="single" w:sz="4" w:space="0" w:color="auto"/>
            </w:tcBorders>
            <w:hideMark/>
          </w:tcPr>
          <w:p w14:paraId="2356BFA4" w14:textId="0CD319AA"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5202C58D"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4 </w:t>
            </w:r>
            <w:proofErr w:type="spellStart"/>
            <w:r w:rsidR="00244E59" w:rsidRPr="00FD7BCF">
              <w:rPr>
                <w:rFonts w:ascii="ITC Avant Garde" w:eastAsia="Times New Roman" w:hAnsi="ITC Avant Garde"/>
                <w:sz w:val="20"/>
                <w:szCs w:val="20"/>
                <w:lang w:eastAsia="es-MX"/>
              </w:rPr>
              <w:t>Gbps</w:t>
            </w:r>
            <w:proofErr w:type="spellEnd"/>
          </w:p>
        </w:tc>
        <w:tc>
          <w:tcPr>
            <w:tcW w:w="1600" w:type="dxa"/>
            <w:hideMark/>
          </w:tcPr>
          <w:p w14:paraId="4F619D4B" w14:textId="1F69B8D9"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05DFCE68" w14:textId="77777777" w:rsidTr="00B84EBF">
        <w:trPr>
          <w:trHeight w:val="420"/>
        </w:trPr>
        <w:tc>
          <w:tcPr>
            <w:tcW w:w="2380" w:type="dxa"/>
            <w:tcBorders>
              <w:top w:val="nil"/>
              <w:left w:val="nil"/>
              <w:bottom w:val="nil"/>
              <w:right w:val="nil"/>
            </w:tcBorders>
            <w:hideMark/>
          </w:tcPr>
          <w:p w14:paraId="1106784B" w14:textId="0D21784E"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726" w:type="dxa"/>
            <w:tcBorders>
              <w:top w:val="nil"/>
              <w:left w:val="nil"/>
              <w:bottom w:val="nil"/>
              <w:right w:val="nil"/>
            </w:tcBorders>
            <w:hideMark/>
          </w:tcPr>
          <w:p w14:paraId="404186A0" w14:textId="46144D1E"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234" w:type="dxa"/>
            <w:tcBorders>
              <w:top w:val="nil"/>
              <w:left w:val="nil"/>
              <w:bottom w:val="nil"/>
              <w:right w:val="single" w:sz="4" w:space="0" w:color="auto"/>
            </w:tcBorders>
            <w:hideMark/>
          </w:tcPr>
          <w:p w14:paraId="2CD67680" w14:textId="7DA44695"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3A8CE631"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6 </w:t>
            </w:r>
            <w:proofErr w:type="spellStart"/>
            <w:r w:rsidR="00244E59" w:rsidRPr="00FD7BCF">
              <w:rPr>
                <w:rFonts w:ascii="ITC Avant Garde" w:eastAsia="Times New Roman" w:hAnsi="ITC Avant Garde"/>
                <w:sz w:val="20"/>
                <w:szCs w:val="20"/>
                <w:lang w:eastAsia="es-MX"/>
              </w:rPr>
              <w:t>Gbps</w:t>
            </w:r>
            <w:proofErr w:type="spellEnd"/>
          </w:p>
        </w:tc>
        <w:tc>
          <w:tcPr>
            <w:tcW w:w="1600" w:type="dxa"/>
            <w:hideMark/>
          </w:tcPr>
          <w:p w14:paraId="4A67A989" w14:textId="6B855DB9"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12D28DC0" w14:textId="77777777" w:rsidTr="00B84EBF">
        <w:trPr>
          <w:trHeight w:val="420"/>
        </w:trPr>
        <w:tc>
          <w:tcPr>
            <w:tcW w:w="2380" w:type="dxa"/>
            <w:tcBorders>
              <w:top w:val="nil"/>
              <w:left w:val="nil"/>
              <w:bottom w:val="nil"/>
              <w:right w:val="nil"/>
            </w:tcBorders>
            <w:hideMark/>
          </w:tcPr>
          <w:p w14:paraId="75FE12E4" w14:textId="76E46916"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726" w:type="dxa"/>
            <w:tcBorders>
              <w:top w:val="nil"/>
              <w:left w:val="nil"/>
              <w:bottom w:val="nil"/>
              <w:right w:val="nil"/>
            </w:tcBorders>
            <w:hideMark/>
          </w:tcPr>
          <w:p w14:paraId="2F27ADFD" w14:textId="6AB8DCE3"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234" w:type="dxa"/>
            <w:tcBorders>
              <w:top w:val="nil"/>
              <w:left w:val="nil"/>
              <w:bottom w:val="nil"/>
              <w:right w:val="single" w:sz="4" w:space="0" w:color="auto"/>
            </w:tcBorders>
            <w:hideMark/>
          </w:tcPr>
          <w:p w14:paraId="204A91D0" w14:textId="6E763CBD"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67C8964D"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8 </w:t>
            </w:r>
            <w:proofErr w:type="spellStart"/>
            <w:r w:rsidR="00244E59" w:rsidRPr="00FD7BCF">
              <w:rPr>
                <w:rFonts w:ascii="ITC Avant Garde" w:eastAsia="Times New Roman" w:hAnsi="ITC Avant Garde"/>
                <w:sz w:val="20"/>
                <w:szCs w:val="20"/>
                <w:lang w:eastAsia="es-MX"/>
              </w:rPr>
              <w:t>Gbps</w:t>
            </w:r>
            <w:proofErr w:type="spellEnd"/>
          </w:p>
        </w:tc>
        <w:tc>
          <w:tcPr>
            <w:tcW w:w="1600" w:type="dxa"/>
            <w:hideMark/>
          </w:tcPr>
          <w:p w14:paraId="153AFB97" w14:textId="19987A11"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58844104" w14:textId="77777777" w:rsidTr="00B84EBF">
        <w:trPr>
          <w:trHeight w:val="420"/>
        </w:trPr>
        <w:tc>
          <w:tcPr>
            <w:tcW w:w="2380" w:type="dxa"/>
            <w:tcBorders>
              <w:top w:val="nil"/>
              <w:left w:val="nil"/>
              <w:bottom w:val="nil"/>
              <w:right w:val="nil"/>
            </w:tcBorders>
            <w:hideMark/>
          </w:tcPr>
          <w:p w14:paraId="3294B393" w14:textId="00C221A4"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726" w:type="dxa"/>
            <w:tcBorders>
              <w:top w:val="nil"/>
              <w:left w:val="nil"/>
              <w:bottom w:val="nil"/>
              <w:right w:val="nil"/>
            </w:tcBorders>
            <w:hideMark/>
          </w:tcPr>
          <w:p w14:paraId="0DB9EA6B" w14:textId="12BAB0EC"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234" w:type="dxa"/>
            <w:tcBorders>
              <w:top w:val="nil"/>
              <w:left w:val="nil"/>
              <w:bottom w:val="nil"/>
              <w:right w:val="single" w:sz="4" w:space="0" w:color="auto"/>
            </w:tcBorders>
            <w:hideMark/>
          </w:tcPr>
          <w:p w14:paraId="3062C072" w14:textId="2C80BF15"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577DAA62" w14:textId="77777777" w:rsidR="0017127F" w:rsidRPr="00FD7BCF" w:rsidRDefault="0017127F"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10 </w:t>
            </w:r>
            <w:proofErr w:type="spellStart"/>
            <w:r w:rsidR="00244E59" w:rsidRPr="00FD7BCF">
              <w:rPr>
                <w:rFonts w:ascii="ITC Avant Garde" w:eastAsia="Times New Roman" w:hAnsi="ITC Avant Garde"/>
                <w:sz w:val="20"/>
                <w:szCs w:val="20"/>
                <w:lang w:eastAsia="es-MX"/>
              </w:rPr>
              <w:t>Gbps</w:t>
            </w:r>
            <w:proofErr w:type="spellEnd"/>
          </w:p>
        </w:tc>
        <w:tc>
          <w:tcPr>
            <w:tcW w:w="1600" w:type="dxa"/>
            <w:hideMark/>
          </w:tcPr>
          <w:p w14:paraId="0AFE4AB2" w14:textId="08BA47E2"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FD7BCF" w:rsidRPr="00FD7BCF" w14:paraId="1CF77B86" w14:textId="77777777" w:rsidTr="00B84EBF">
        <w:trPr>
          <w:trHeight w:val="420"/>
        </w:trPr>
        <w:tc>
          <w:tcPr>
            <w:tcW w:w="2380" w:type="dxa"/>
            <w:tcBorders>
              <w:top w:val="nil"/>
              <w:left w:val="nil"/>
              <w:bottom w:val="nil"/>
              <w:right w:val="nil"/>
            </w:tcBorders>
            <w:hideMark/>
          </w:tcPr>
          <w:p w14:paraId="64BF12B0" w14:textId="500A53F3"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726" w:type="dxa"/>
            <w:tcBorders>
              <w:top w:val="nil"/>
              <w:left w:val="nil"/>
              <w:bottom w:val="nil"/>
              <w:right w:val="nil"/>
            </w:tcBorders>
            <w:hideMark/>
          </w:tcPr>
          <w:p w14:paraId="113CDAC8" w14:textId="11991FD8"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234" w:type="dxa"/>
            <w:tcBorders>
              <w:top w:val="nil"/>
              <w:left w:val="nil"/>
              <w:bottom w:val="nil"/>
              <w:right w:val="single" w:sz="4" w:space="0" w:color="auto"/>
            </w:tcBorders>
            <w:hideMark/>
          </w:tcPr>
          <w:p w14:paraId="66A1F342" w14:textId="4C030C5F"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6DFE2B8D" w14:textId="77777777" w:rsidR="0017127F" w:rsidRPr="00FD7BCF" w:rsidRDefault="0017127F" w:rsidP="00B42019">
            <w:pPr>
              <w:spacing w:after="0" w:line="276" w:lineRule="auto"/>
              <w:rPr>
                <w:rFonts w:ascii="ITC Avant Garde" w:eastAsia="Times New Roman" w:hAnsi="ITC Avant Garde"/>
                <w:sz w:val="20"/>
                <w:szCs w:val="20"/>
                <w:lang w:eastAsia="es-MX"/>
              </w:rPr>
            </w:pPr>
            <w:proofErr w:type="spellStart"/>
            <w:r w:rsidRPr="00FD7BCF">
              <w:rPr>
                <w:rFonts w:ascii="ITC Avant Garde" w:eastAsia="Times New Roman" w:hAnsi="ITC Avant Garde"/>
                <w:sz w:val="20"/>
                <w:szCs w:val="20"/>
                <w:lang w:eastAsia="es-MX"/>
              </w:rPr>
              <w:t>Hub</w:t>
            </w:r>
            <w:proofErr w:type="spellEnd"/>
            <w:r w:rsidRPr="00FD7BCF">
              <w:rPr>
                <w:rFonts w:ascii="ITC Avant Garde" w:eastAsia="Times New Roman" w:hAnsi="ITC Avant Garde"/>
                <w:sz w:val="20"/>
                <w:szCs w:val="20"/>
                <w:lang w:eastAsia="es-MX"/>
              </w:rPr>
              <w:t xml:space="preserve"> 1 </w:t>
            </w:r>
            <w:proofErr w:type="spellStart"/>
            <w:r w:rsidR="00244E59" w:rsidRPr="00FD7BCF">
              <w:rPr>
                <w:rFonts w:ascii="ITC Avant Garde" w:eastAsia="Times New Roman" w:hAnsi="ITC Avant Garde"/>
                <w:sz w:val="20"/>
                <w:szCs w:val="20"/>
                <w:lang w:eastAsia="es-MX"/>
              </w:rPr>
              <w:t>Gbps</w:t>
            </w:r>
            <w:proofErr w:type="spellEnd"/>
          </w:p>
        </w:tc>
        <w:tc>
          <w:tcPr>
            <w:tcW w:w="1600" w:type="dxa"/>
            <w:hideMark/>
          </w:tcPr>
          <w:p w14:paraId="4AD9B4BC" w14:textId="4065ED5D"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r w:rsidR="0017127F" w:rsidRPr="00FD7BCF" w14:paraId="1935F9A6" w14:textId="77777777" w:rsidTr="00B84EBF">
        <w:trPr>
          <w:trHeight w:val="420"/>
        </w:trPr>
        <w:tc>
          <w:tcPr>
            <w:tcW w:w="2380" w:type="dxa"/>
            <w:tcBorders>
              <w:top w:val="nil"/>
              <w:left w:val="nil"/>
              <w:bottom w:val="nil"/>
              <w:right w:val="nil"/>
            </w:tcBorders>
            <w:hideMark/>
          </w:tcPr>
          <w:p w14:paraId="5D4A7462" w14:textId="278CD911" w:rsidR="0017127F" w:rsidRPr="002D46C1" w:rsidRDefault="002D46C1" w:rsidP="00B42019">
            <w:pPr>
              <w:spacing w:after="0" w:line="276" w:lineRule="auto"/>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726" w:type="dxa"/>
            <w:tcBorders>
              <w:top w:val="nil"/>
              <w:left w:val="nil"/>
              <w:bottom w:val="nil"/>
              <w:right w:val="nil"/>
            </w:tcBorders>
            <w:hideMark/>
          </w:tcPr>
          <w:p w14:paraId="0C5FAFFE" w14:textId="617039F7"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234" w:type="dxa"/>
            <w:tcBorders>
              <w:top w:val="nil"/>
              <w:left w:val="nil"/>
              <w:bottom w:val="nil"/>
              <w:right w:val="single" w:sz="4" w:space="0" w:color="auto"/>
            </w:tcBorders>
            <w:hideMark/>
          </w:tcPr>
          <w:p w14:paraId="4DEF5553" w14:textId="2BFE81DD" w:rsidR="0017127F" w:rsidRPr="002D46C1" w:rsidRDefault="002D46C1" w:rsidP="00B42019">
            <w:pPr>
              <w:spacing w:after="0" w:line="276" w:lineRule="auto"/>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71A937E0" w14:textId="77777777" w:rsidR="0017127F" w:rsidRPr="00FD7BCF" w:rsidRDefault="0017127F" w:rsidP="00B42019">
            <w:pPr>
              <w:spacing w:after="0" w:line="276" w:lineRule="auto"/>
              <w:rPr>
                <w:rFonts w:ascii="ITC Avant Garde" w:eastAsia="Times New Roman" w:hAnsi="ITC Avant Garde"/>
                <w:sz w:val="20"/>
                <w:szCs w:val="20"/>
                <w:lang w:eastAsia="es-MX"/>
              </w:rPr>
            </w:pPr>
            <w:proofErr w:type="spellStart"/>
            <w:r w:rsidRPr="00FD7BCF">
              <w:rPr>
                <w:rFonts w:ascii="ITC Avant Garde" w:eastAsia="Times New Roman" w:hAnsi="ITC Avant Garde"/>
                <w:sz w:val="20"/>
                <w:szCs w:val="20"/>
                <w:lang w:eastAsia="es-MX"/>
              </w:rPr>
              <w:t>Hub</w:t>
            </w:r>
            <w:proofErr w:type="spellEnd"/>
            <w:r w:rsidRPr="00FD7BCF">
              <w:rPr>
                <w:rFonts w:ascii="ITC Avant Garde" w:eastAsia="Times New Roman" w:hAnsi="ITC Avant Garde"/>
                <w:sz w:val="20"/>
                <w:szCs w:val="20"/>
                <w:lang w:eastAsia="es-MX"/>
              </w:rPr>
              <w:t xml:space="preserve"> 10 </w:t>
            </w:r>
            <w:proofErr w:type="spellStart"/>
            <w:r w:rsidR="00244E59" w:rsidRPr="00FD7BCF">
              <w:rPr>
                <w:rFonts w:ascii="ITC Avant Garde" w:eastAsia="Times New Roman" w:hAnsi="ITC Avant Garde"/>
                <w:sz w:val="20"/>
                <w:szCs w:val="20"/>
                <w:lang w:eastAsia="es-MX"/>
              </w:rPr>
              <w:t>Gbps</w:t>
            </w:r>
            <w:proofErr w:type="spellEnd"/>
          </w:p>
        </w:tc>
        <w:tc>
          <w:tcPr>
            <w:tcW w:w="1600" w:type="dxa"/>
            <w:hideMark/>
          </w:tcPr>
          <w:p w14:paraId="03D18DB5" w14:textId="2CA7574D"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$165,000.00 </w:t>
            </w:r>
          </w:p>
        </w:tc>
      </w:tr>
    </w:tbl>
    <w:p w14:paraId="438BAEEF" w14:textId="791E66E7" w:rsidR="00B42019" w:rsidRDefault="00B42019" w:rsidP="00B42019">
      <w:pPr>
        <w:spacing w:before="240" w:line="276" w:lineRule="auto"/>
        <w:ind w:right="-93"/>
        <w:jc w:val="both"/>
        <w:rPr>
          <w:rFonts w:ascii="ITC Avant Garde" w:hAnsi="ITC Avant Garde"/>
          <w:lang w:eastAsia="es-ES_tradnl"/>
        </w:rPr>
      </w:pPr>
      <w:r>
        <w:rPr>
          <w:rFonts w:ascii="ITC Avant Garde" w:hAnsi="ITC Avant Garde"/>
          <w:lang w:eastAsia="es-ES_tradnl"/>
        </w:rPr>
        <w:br w:type="page"/>
      </w:r>
    </w:p>
    <w:p w14:paraId="347CDE78" w14:textId="77777777" w:rsidR="0017127F" w:rsidRPr="00FD7BCF" w:rsidRDefault="0017127F" w:rsidP="00B42019">
      <w:pPr>
        <w:spacing w:before="240" w:line="276" w:lineRule="auto"/>
        <w:ind w:right="-93"/>
        <w:jc w:val="center"/>
        <w:rPr>
          <w:rFonts w:ascii="ITC Avant Garde" w:hAnsi="ITC Avant Garde"/>
          <w:b/>
          <w:lang w:eastAsia="es-ES_tradnl"/>
        </w:rPr>
      </w:pPr>
      <w:r w:rsidRPr="00FD7BCF">
        <w:rPr>
          <w:rFonts w:ascii="ITC Avant Garde" w:hAnsi="ITC Avant Garde"/>
          <w:b/>
          <w:lang w:eastAsia="es-ES_tradnl"/>
        </w:rPr>
        <w:lastRenderedPageBreak/>
        <w:t>Enlaces entre localidades</w:t>
      </w:r>
    </w:p>
    <w:tbl>
      <w:tblPr>
        <w:tblStyle w:val="Tablaconcuadrcula2"/>
        <w:tblW w:w="9320" w:type="dxa"/>
        <w:tblLook w:val="04A0" w:firstRow="1" w:lastRow="0" w:firstColumn="1" w:lastColumn="0" w:noHBand="0" w:noVBand="1"/>
        <w:tblCaption w:val="Enlaces entre localidades"/>
        <w:tblDescription w:val="En una tabla con dos columnas de 2, se proporciona la velocidad y el gasto de instalación. "/>
      </w:tblPr>
      <w:tblGrid>
        <w:gridCol w:w="2380"/>
        <w:gridCol w:w="1600"/>
        <w:gridCol w:w="1360"/>
        <w:gridCol w:w="2380"/>
        <w:gridCol w:w="1600"/>
      </w:tblGrid>
      <w:tr w:rsidR="00FD7BCF" w:rsidRPr="00FD7BCF" w14:paraId="77B6F661" w14:textId="77777777" w:rsidTr="002D46C1">
        <w:trPr>
          <w:trHeight w:val="634"/>
          <w:tblHeader/>
        </w:trPr>
        <w:tc>
          <w:tcPr>
            <w:tcW w:w="2380" w:type="dxa"/>
            <w:shd w:val="clear" w:color="auto" w:fill="808080" w:themeFill="background1" w:themeFillShade="80"/>
            <w:vAlign w:val="center"/>
            <w:hideMark/>
          </w:tcPr>
          <w:p w14:paraId="0D69CAD5" w14:textId="77777777" w:rsidR="0017127F" w:rsidRPr="00FD7BCF" w:rsidRDefault="0013520F" w:rsidP="00E046E2">
            <w:pPr>
              <w:spacing w:after="0" w:line="276" w:lineRule="auto"/>
              <w:jc w:val="center"/>
              <w:rPr>
                <w:rFonts w:ascii="ITC Avant Garde" w:eastAsia="Times New Roman" w:hAnsi="ITC Avant Garde"/>
                <w:b/>
                <w:bCs/>
                <w:sz w:val="20"/>
                <w:szCs w:val="20"/>
                <w:lang w:eastAsia="es-MX"/>
              </w:rPr>
            </w:pPr>
            <w:r w:rsidRPr="00FD7BCF">
              <w:rPr>
                <w:rFonts w:ascii="ITC Avant Garde" w:eastAsia="Times New Roman" w:hAnsi="ITC Avant Garde"/>
                <w:b/>
                <w:bCs/>
                <w:sz w:val="20"/>
                <w:szCs w:val="20"/>
                <w:lang w:eastAsia="es-MX"/>
              </w:rPr>
              <w:t>Velocidad</w:t>
            </w:r>
          </w:p>
        </w:tc>
        <w:tc>
          <w:tcPr>
            <w:tcW w:w="1600" w:type="dxa"/>
            <w:tcBorders>
              <w:right w:val="single" w:sz="4" w:space="0" w:color="auto"/>
            </w:tcBorders>
            <w:shd w:val="clear" w:color="auto" w:fill="808080" w:themeFill="background1" w:themeFillShade="80"/>
            <w:vAlign w:val="center"/>
            <w:hideMark/>
          </w:tcPr>
          <w:p w14:paraId="2E9703B4" w14:textId="77777777" w:rsidR="0017127F" w:rsidRPr="00FD7BCF" w:rsidRDefault="0017127F" w:rsidP="00E046E2">
            <w:pPr>
              <w:spacing w:after="0" w:line="276" w:lineRule="auto"/>
              <w:jc w:val="center"/>
              <w:rPr>
                <w:rFonts w:ascii="ITC Avant Garde" w:eastAsia="Times New Roman" w:hAnsi="ITC Avant Garde"/>
                <w:b/>
                <w:bCs/>
                <w:sz w:val="20"/>
                <w:szCs w:val="20"/>
                <w:lang w:eastAsia="es-MX"/>
              </w:rPr>
            </w:pPr>
            <w:r w:rsidRPr="00FD7BCF">
              <w:rPr>
                <w:rFonts w:ascii="ITC Avant Garde" w:eastAsia="Times New Roman" w:hAnsi="ITC Avant Garde"/>
                <w:b/>
                <w:bCs/>
                <w:sz w:val="20"/>
                <w:szCs w:val="20"/>
                <w:lang w:eastAsia="es-MX"/>
              </w:rPr>
              <w:t>Gasto de Instalación</w:t>
            </w:r>
          </w:p>
        </w:tc>
        <w:tc>
          <w:tcPr>
            <w:tcW w:w="1360" w:type="dxa"/>
            <w:tcBorders>
              <w:top w:val="nil"/>
              <w:left w:val="single" w:sz="4" w:space="0" w:color="auto"/>
              <w:bottom w:val="nil"/>
              <w:right w:val="single" w:sz="4" w:space="0" w:color="auto"/>
            </w:tcBorders>
            <w:shd w:val="clear" w:color="auto" w:fill="auto"/>
            <w:vAlign w:val="center"/>
            <w:hideMark/>
          </w:tcPr>
          <w:p w14:paraId="7275DE50" w14:textId="1F800BC1" w:rsidR="0017127F" w:rsidRPr="002D46C1" w:rsidRDefault="002D46C1" w:rsidP="00E046E2">
            <w:pPr>
              <w:spacing w:after="0" w:line="276" w:lineRule="auto"/>
              <w:jc w:val="center"/>
              <w:rPr>
                <w:rFonts w:ascii="ITC Avant Garde" w:eastAsia="Times New Roman" w:hAnsi="ITC Avant Garde"/>
                <w:b/>
                <w:bCs/>
                <w:sz w:val="2"/>
                <w:szCs w:val="2"/>
                <w:lang w:eastAsia="es-MX"/>
              </w:rPr>
            </w:pPr>
            <w:r w:rsidRPr="002D46C1">
              <w:rPr>
                <w:rFonts w:ascii="ITC Avant Garde" w:eastAsia="Times New Roman" w:hAnsi="ITC Avant Garde"/>
                <w:b/>
                <w:bCs/>
                <w:sz w:val="2"/>
                <w:szCs w:val="2"/>
                <w:lang w:eastAsia="es-MX"/>
              </w:rPr>
              <w:t>.</w:t>
            </w:r>
          </w:p>
        </w:tc>
        <w:tc>
          <w:tcPr>
            <w:tcW w:w="2380" w:type="dxa"/>
            <w:tcBorders>
              <w:left w:val="single" w:sz="4" w:space="0" w:color="auto"/>
            </w:tcBorders>
            <w:shd w:val="clear" w:color="auto" w:fill="808080" w:themeFill="background1" w:themeFillShade="80"/>
            <w:vAlign w:val="center"/>
            <w:hideMark/>
          </w:tcPr>
          <w:p w14:paraId="2EDE9FAB" w14:textId="77777777" w:rsidR="0017127F" w:rsidRPr="00FD7BCF" w:rsidRDefault="0013520F" w:rsidP="00E046E2">
            <w:pPr>
              <w:spacing w:after="0" w:line="276" w:lineRule="auto"/>
              <w:jc w:val="center"/>
              <w:rPr>
                <w:rFonts w:ascii="ITC Avant Garde" w:eastAsia="Times New Roman" w:hAnsi="ITC Avant Garde"/>
                <w:b/>
                <w:bCs/>
                <w:sz w:val="20"/>
                <w:szCs w:val="20"/>
                <w:lang w:eastAsia="es-MX"/>
              </w:rPr>
            </w:pPr>
            <w:r w:rsidRPr="00FD7BCF">
              <w:rPr>
                <w:rFonts w:ascii="ITC Avant Garde" w:eastAsia="Times New Roman" w:hAnsi="ITC Avant Garde"/>
                <w:b/>
                <w:bCs/>
                <w:sz w:val="20"/>
                <w:szCs w:val="20"/>
                <w:lang w:eastAsia="es-MX"/>
              </w:rPr>
              <w:t>Velocidad</w:t>
            </w:r>
          </w:p>
        </w:tc>
        <w:tc>
          <w:tcPr>
            <w:tcW w:w="1600" w:type="dxa"/>
            <w:shd w:val="clear" w:color="auto" w:fill="808080" w:themeFill="background1" w:themeFillShade="80"/>
            <w:vAlign w:val="center"/>
            <w:hideMark/>
          </w:tcPr>
          <w:p w14:paraId="2DA03FA9" w14:textId="77777777" w:rsidR="0017127F" w:rsidRPr="00FD7BCF" w:rsidRDefault="0017127F" w:rsidP="00E046E2">
            <w:pPr>
              <w:spacing w:after="0" w:line="276" w:lineRule="auto"/>
              <w:jc w:val="center"/>
              <w:rPr>
                <w:rFonts w:ascii="ITC Avant Garde" w:eastAsia="Times New Roman" w:hAnsi="ITC Avant Garde"/>
                <w:b/>
                <w:bCs/>
                <w:sz w:val="20"/>
                <w:szCs w:val="20"/>
                <w:lang w:eastAsia="es-MX"/>
              </w:rPr>
            </w:pPr>
            <w:r w:rsidRPr="00FD7BCF">
              <w:rPr>
                <w:rFonts w:ascii="ITC Avant Garde" w:eastAsia="Times New Roman" w:hAnsi="ITC Avant Garde"/>
                <w:b/>
                <w:bCs/>
                <w:sz w:val="20"/>
                <w:szCs w:val="20"/>
                <w:lang w:eastAsia="es-MX"/>
              </w:rPr>
              <w:t>Gasto de Instalación</w:t>
            </w:r>
          </w:p>
        </w:tc>
      </w:tr>
      <w:tr w:rsidR="00FD7BCF" w:rsidRPr="00FD7BCF" w14:paraId="00BD2010" w14:textId="77777777" w:rsidTr="002D46C1">
        <w:trPr>
          <w:trHeight w:val="420"/>
        </w:trPr>
        <w:tc>
          <w:tcPr>
            <w:tcW w:w="2380" w:type="dxa"/>
            <w:hideMark/>
          </w:tcPr>
          <w:p w14:paraId="4116EC16"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64 Kbps</w:t>
            </w:r>
          </w:p>
        </w:tc>
        <w:tc>
          <w:tcPr>
            <w:tcW w:w="1600" w:type="dxa"/>
            <w:tcBorders>
              <w:right w:val="single" w:sz="4" w:space="0" w:color="auto"/>
            </w:tcBorders>
            <w:hideMark/>
          </w:tcPr>
          <w:p w14:paraId="276BE3C8" w14:textId="113DE261"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$1,143.28 </w:t>
            </w:r>
          </w:p>
        </w:tc>
        <w:tc>
          <w:tcPr>
            <w:tcW w:w="1360" w:type="dxa"/>
            <w:tcBorders>
              <w:top w:val="nil"/>
              <w:left w:val="single" w:sz="4" w:space="0" w:color="auto"/>
              <w:bottom w:val="nil"/>
              <w:right w:val="single" w:sz="4" w:space="0" w:color="auto"/>
            </w:tcBorders>
            <w:hideMark/>
          </w:tcPr>
          <w:p w14:paraId="710E36B0" w14:textId="3A62B9CB"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4954DF45"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10 Mbps</w:t>
            </w:r>
          </w:p>
        </w:tc>
        <w:tc>
          <w:tcPr>
            <w:tcW w:w="1600" w:type="dxa"/>
            <w:hideMark/>
          </w:tcPr>
          <w:p w14:paraId="5806321B" w14:textId="62EE0AAC" w:rsidR="0017127F" w:rsidRPr="00FD7BCF" w:rsidRDefault="0017127F" w:rsidP="00B84EBF">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0AE71083" w14:textId="77777777" w:rsidTr="002D46C1">
        <w:trPr>
          <w:trHeight w:val="420"/>
        </w:trPr>
        <w:tc>
          <w:tcPr>
            <w:tcW w:w="2380" w:type="dxa"/>
            <w:hideMark/>
          </w:tcPr>
          <w:p w14:paraId="7283A8A7"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128 Kbps</w:t>
            </w:r>
          </w:p>
        </w:tc>
        <w:tc>
          <w:tcPr>
            <w:tcW w:w="1600" w:type="dxa"/>
            <w:tcBorders>
              <w:right w:val="single" w:sz="4" w:space="0" w:color="auto"/>
            </w:tcBorders>
            <w:hideMark/>
          </w:tcPr>
          <w:p w14:paraId="3FE9FA44" w14:textId="237ADD72"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$1,332.38 </w:t>
            </w:r>
          </w:p>
        </w:tc>
        <w:tc>
          <w:tcPr>
            <w:tcW w:w="1360" w:type="dxa"/>
            <w:tcBorders>
              <w:top w:val="nil"/>
              <w:left w:val="single" w:sz="4" w:space="0" w:color="auto"/>
              <w:bottom w:val="nil"/>
              <w:right w:val="single" w:sz="4" w:space="0" w:color="auto"/>
            </w:tcBorders>
            <w:hideMark/>
          </w:tcPr>
          <w:p w14:paraId="0E32E1CA" w14:textId="59F2EBC8"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510CC91D"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20 Mbps</w:t>
            </w:r>
          </w:p>
        </w:tc>
        <w:tc>
          <w:tcPr>
            <w:tcW w:w="1600" w:type="dxa"/>
            <w:hideMark/>
          </w:tcPr>
          <w:p w14:paraId="728C495B" w14:textId="0522D590"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0405FBA4" w14:textId="77777777" w:rsidTr="002D46C1">
        <w:trPr>
          <w:trHeight w:val="420"/>
        </w:trPr>
        <w:tc>
          <w:tcPr>
            <w:tcW w:w="2380" w:type="dxa"/>
            <w:hideMark/>
          </w:tcPr>
          <w:p w14:paraId="5D712D28"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192 Kbps</w:t>
            </w:r>
          </w:p>
        </w:tc>
        <w:tc>
          <w:tcPr>
            <w:tcW w:w="1600" w:type="dxa"/>
            <w:tcBorders>
              <w:right w:val="single" w:sz="4" w:space="0" w:color="auto"/>
            </w:tcBorders>
            <w:hideMark/>
          </w:tcPr>
          <w:p w14:paraId="59DE40E1" w14:textId="0BEB0856"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$1,499.16 </w:t>
            </w:r>
          </w:p>
        </w:tc>
        <w:tc>
          <w:tcPr>
            <w:tcW w:w="1360" w:type="dxa"/>
            <w:tcBorders>
              <w:top w:val="nil"/>
              <w:left w:val="single" w:sz="4" w:space="0" w:color="auto"/>
              <w:bottom w:val="nil"/>
              <w:right w:val="single" w:sz="4" w:space="0" w:color="auto"/>
            </w:tcBorders>
            <w:hideMark/>
          </w:tcPr>
          <w:p w14:paraId="3E6BE06A" w14:textId="40FECEFB"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4B8D12D5"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30 Mbps</w:t>
            </w:r>
          </w:p>
        </w:tc>
        <w:tc>
          <w:tcPr>
            <w:tcW w:w="1600" w:type="dxa"/>
            <w:hideMark/>
          </w:tcPr>
          <w:p w14:paraId="7E18446D" w14:textId="14291BFA"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0F290718" w14:textId="77777777" w:rsidTr="002D46C1">
        <w:trPr>
          <w:trHeight w:val="420"/>
        </w:trPr>
        <w:tc>
          <w:tcPr>
            <w:tcW w:w="2380" w:type="dxa"/>
            <w:hideMark/>
          </w:tcPr>
          <w:p w14:paraId="5FCDC2CD"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256 Kbps</w:t>
            </w:r>
          </w:p>
        </w:tc>
        <w:tc>
          <w:tcPr>
            <w:tcW w:w="1600" w:type="dxa"/>
            <w:tcBorders>
              <w:right w:val="single" w:sz="4" w:space="0" w:color="auto"/>
            </w:tcBorders>
            <w:hideMark/>
          </w:tcPr>
          <w:p w14:paraId="73B71E37" w14:textId="57EF8590"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$1,665.63 </w:t>
            </w:r>
          </w:p>
        </w:tc>
        <w:tc>
          <w:tcPr>
            <w:tcW w:w="1360" w:type="dxa"/>
            <w:tcBorders>
              <w:top w:val="nil"/>
              <w:left w:val="single" w:sz="4" w:space="0" w:color="auto"/>
              <w:bottom w:val="nil"/>
              <w:right w:val="single" w:sz="4" w:space="0" w:color="auto"/>
            </w:tcBorders>
            <w:hideMark/>
          </w:tcPr>
          <w:p w14:paraId="530F2BD3" w14:textId="6444C355"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081123A2"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Ethernet </w:t>
            </w:r>
            <w:r w:rsidR="008C5D4C" w:rsidRPr="00FD7BCF">
              <w:rPr>
                <w:rFonts w:ascii="ITC Avant Garde" w:eastAsia="Times New Roman" w:hAnsi="ITC Avant Garde"/>
                <w:sz w:val="20"/>
                <w:szCs w:val="20"/>
                <w:lang w:eastAsia="es-MX"/>
              </w:rPr>
              <w:t xml:space="preserve">40 </w:t>
            </w:r>
            <w:r w:rsidR="00CF496D" w:rsidRPr="00FD7BCF">
              <w:rPr>
                <w:rFonts w:ascii="ITC Avant Garde" w:eastAsia="Times New Roman" w:hAnsi="ITC Avant Garde"/>
                <w:sz w:val="20"/>
                <w:szCs w:val="20"/>
                <w:lang w:eastAsia="es-MX"/>
              </w:rPr>
              <w:t>M</w:t>
            </w:r>
            <w:r w:rsidR="008C5D4C" w:rsidRPr="00FD7BCF">
              <w:rPr>
                <w:rFonts w:ascii="ITC Avant Garde" w:eastAsia="Times New Roman" w:hAnsi="ITC Avant Garde"/>
                <w:sz w:val="20"/>
                <w:szCs w:val="20"/>
                <w:lang w:eastAsia="es-MX"/>
              </w:rPr>
              <w:t>bps</w:t>
            </w:r>
          </w:p>
        </w:tc>
        <w:tc>
          <w:tcPr>
            <w:tcW w:w="1600" w:type="dxa"/>
            <w:hideMark/>
          </w:tcPr>
          <w:p w14:paraId="1490B97F" w14:textId="479DED55"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443445EA" w14:textId="77777777" w:rsidTr="002D46C1">
        <w:trPr>
          <w:trHeight w:val="420"/>
        </w:trPr>
        <w:tc>
          <w:tcPr>
            <w:tcW w:w="2380" w:type="dxa"/>
            <w:hideMark/>
          </w:tcPr>
          <w:p w14:paraId="3401E1E9"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384 Kbps</w:t>
            </w:r>
          </w:p>
        </w:tc>
        <w:tc>
          <w:tcPr>
            <w:tcW w:w="1600" w:type="dxa"/>
            <w:tcBorders>
              <w:right w:val="single" w:sz="4" w:space="0" w:color="auto"/>
            </w:tcBorders>
            <w:hideMark/>
          </w:tcPr>
          <w:p w14:paraId="47447858" w14:textId="01B00AA2"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$1,832.10 </w:t>
            </w:r>
          </w:p>
        </w:tc>
        <w:tc>
          <w:tcPr>
            <w:tcW w:w="1360" w:type="dxa"/>
            <w:tcBorders>
              <w:top w:val="nil"/>
              <w:left w:val="single" w:sz="4" w:space="0" w:color="auto"/>
              <w:bottom w:val="nil"/>
              <w:right w:val="single" w:sz="4" w:space="0" w:color="auto"/>
            </w:tcBorders>
            <w:hideMark/>
          </w:tcPr>
          <w:p w14:paraId="28C99380" w14:textId="6D5D66E6"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582C4C92"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50 Mbps</w:t>
            </w:r>
          </w:p>
        </w:tc>
        <w:tc>
          <w:tcPr>
            <w:tcW w:w="1600" w:type="dxa"/>
            <w:hideMark/>
          </w:tcPr>
          <w:p w14:paraId="36826A49" w14:textId="7E47868C"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75CCAFF2" w14:textId="77777777" w:rsidTr="002D46C1">
        <w:trPr>
          <w:trHeight w:val="420"/>
        </w:trPr>
        <w:tc>
          <w:tcPr>
            <w:tcW w:w="2380" w:type="dxa"/>
            <w:hideMark/>
          </w:tcPr>
          <w:p w14:paraId="246B0238"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512 Kbps</w:t>
            </w:r>
          </w:p>
        </w:tc>
        <w:tc>
          <w:tcPr>
            <w:tcW w:w="1600" w:type="dxa"/>
            <w:tcBorders>
              <w:right w:val="single" w:sz="4" w:space="0" w:color="auto"/>
            </w:tcBorders>
            <w:hideMark/>
          </w:tcPr>
          <w:p w14:paraId="3840DA83" w14:textId="7EEBD8C7"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$1,998.88 </w:t>
            </w:r>
          </w:p>
        </w:tc>
        <w:tc>
          <w:tcPr>
            <w:tcW w:w="1360" w:type="dxa"/>
            <w:tcBorders>
              <w:top w:val="nil"/>
              <w:left w:val="single" w:sz="4" w:space="0" w:color="auto"/>
              <w:bottom w:val="nil"/>
              <w:right w:val="single" w:sz="4" w:space="0" w:color="auto"/>
            </w:tcBorders>
            <w:hideMark/>
          </w:tcPr>
          <w:p w14:paraId="2B0BA7F6" w14:textId="074319A1"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79375012"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60 Mbps</w:t>
            </w:r>
          </w:p>
        </w:tc>
        <w:tc>
          <w:tcPr>
            <w:tcW w:w="1600" w:type="dxa"/>
            <w:hideMark/>
          </w:tcPr>
          <w:p w14:paraId="5A07BC39" w14:textId="687AF188"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56268733" w14:textId="77777777" w:rsidTr="002D46C1">
        <w:trPr>
          <w:trHeight w:val="420"/>
        </w:trPr>
        <w:tc>
          <w:tcPr>
            <w:tcW w:w="2380" w:type="dxa"/>
            <w:hideMark/>
          </w:tcPr>
          <w:p w14:paraId="4886BD91"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768 Kbps</w:t>
            </w:r>
          </w:p>
        </w:tc>
        <w:tc>
          <w:tcPr>
            <w:tcW w:w="1600" w:type="dxa"/>
            <w:tcBorders>
              <w:right w:val="single" w:sz="4" w:space="0" w:color="auto"/>
            </w:tcBorders>
            <w:hideMark/>
          </w:tcPr>
          <w:p w14:paraId="742337D1" w14:textId="1198E2CE"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$2,165.35 </w:t>
            </w:r>
          </w:p>
        </w:tc>
        <w:tc>
          <w:tcPr>
            <w:tcW w:w="1360" w:type="dxa"/>
            <w:tcBorders>
              <w:top w:val="nil"/>
              <w:left w:val="single" w:sz="4" w:space="0" w:color="auto"/>
              <w:bottom w:val="nil"/>
              <w:right w:val="single" w:sz="4" w:space="0" w:color="auto"/>
            </w:tcBorders>
            <w:hideMark/>
          </w:tcPr>
          <w:p w14:paraId="06214C75" w14:textId="6DD85EB9"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467EDDF9"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70 Mbps</w:t>
            </w:r>
          </w:p>
        </w:tc>
        <w:tc>
          <w:tcPr>
            <w:tcW w:w="1600" w:type="dxa"/>
            <w:hideMark/>
          </w:tcPr>
          <w:p w14:paraId="0C167F83" w14:textId="0F10F024"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625A10FA" w14:textId="77777777" w:rsidTr="002D46C1">
        <w:trPr>
          <w:trHeight w:val="420"/>
        </w:trPr>
        <w:tc>
          <w:tcPr>
            <w:tcW w:w="2380" w:type="dxa"/>
            <w:hideMark/>
          </w:tcPr>
          <w:p w14:paraId="1F1D9BBA"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1024 Kbps</w:t>
            </w:r>
          </w:p>
        </w:tc>
        <w:tc>
          <w:tcPr>
            <w:tcW w:w="1600" w:type="dxa"/>
            <w:tcBorders>
              <w:right w:val="single" w:sz="4" w:space="0" w:color="auto"/>
            </w:tcBorders>
            <w:hideMark/>
          </w:tcPr>
          <w:p w14:paraId="4DEBED23" w14:textId="4A4F411B"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$2,331.82 </w:t>
            </w:r>
          </w:p>
        </w:tc>
        <w:tc>
          <w:tcPr>
            <w:tcW w:w="1360" w:type="dxa"/>
            <w:tcBorders>
              <w:top w:val="nil"/>
              <w:left w:val="single" w:sz="4" w:space="0" w:color="auto"/>
              <w:bottom w:val="nil"/>
              <w:right w:val="single" w:sz="4" w:space="0" w:color="auto"/>
            </w:tcBorders>
            <w:hideMark/>
          </w:tcPr>
          <w:p w14:paraId="6EF524E3" w14:textId="4CDE8CC5"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4D951C1D"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80 Mbps</w:t>
            </w:r>
          </w:p>
        </w:tc>
        <w:tc>
          <w:tcPr>
            <w:tcW w:w="1600" w:type="dxa"/>
            <w:hideMark/>
          </w:tcPr>
          <w:p w14:paraId="6C6463EB" w14:textId="2E902408"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79D38796" w14:textId="77777777" w:rsidTr="002D46C1">
        <w:trPr>
          <w:trHeight w:val="420"/>
        </w:trPr>
        <w:tc>
          <w:tcPr>
            <w:tcW w:w="2380" w:type="dxa"/>
            <w:hideMark/>
          </w:tcPr>
          <w:p w14:paraId="344A2229"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E1 (2 Mbps)</w:t>
            </w:r>
          </w:p>
        </w:tc>
        <w:tc>
          <w:tcPr>
            <w:tcW w:w="1600" w:type="dxa"/>
            <w:tcBorders>
              <w:right w:val="single" w:sz="4" w:space="0" w:color="auto"/>
            </w:tcBorders>
            <w:hideMark/>
          </w:tcPr>
          <w:p w14:paraId="1B0D427C" w14:textId="2C59921C"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$3,810.83 </w:t>
            </w:r>
          </w:p>
        </w:tc>
        <w:tc>
          <w:tcPr>
            <w:tcW w:w="1360" w:type="dxa"/>
            <w:tcBorders>
              <w:top w:val="nil"/>
              <w:left w:val="single" w:sz="4" w:space="0" w:color="auto"/>
              <w:bottom w:val="nil"/>
              <w:right w:val="single" w:sz="4" w:space="0" w:color="auto"/>
            </w:tcBorders>
            <w:hideMark/>
          </w:tcPr>
          <w:p w14:paraId="66BC3C60" w14:textId="0D0FE67C"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5E652AF4"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90 Mbps</w:t>
            </w:r>
          </w:p>
        </w:tc>
        <w:tc>
          <w:tcPr>
            <w:tcW w:w="1600" w:type="dxa"/>
            <w:hideMark/>
          </w:tcPr>
          <w:p w14:paraId="6A2DCB0C" w14:textId="10ECB970"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4005B8A4" w14:textId="77777777" w:rsidTr="002D46C1">
        <w:trPr>
          <w:trHeight w:val="420"/>
        </w:trPr>
        <w:tc>
          <w:tcPr>
            <w:tcW w:w="2380" w:type="dxa"/>
            <w:hideMark/>
          </w:tcPr>
          <w:p w14:paraId="43058BD7"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E2 (8 Mbps)</w:t>
            </w:r>
          </w:p>
        </w:tc>
        <w:tc>
          <w:tcPr>
            <w:tcW w:w="1600" w:type="dxa"/>
            <w:tcBorders>
              <w:right w:val="single" w:sz="4" w:space="0" w:color="auto"/>
            </w:tcBorders>
            <w:hideMark/>
          </w:tcPr>
          <w:p w14:paraId="46D284CE" w14:textId="3169E6EE"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$15,243.32 </w:t>
            </w:r>
          </w:p>
        </w:tc>
        <w:tc>
          <w:tcPr>
            <w:tcW w:w="1360" w:type="dxa"/>
            <w:tcBorders>
              <w:top w:val="nil"/>
              <w:left w:val="single" w:sz="4" w:space="0" w:color="auto"/>
              <w:bottom w:val="nil"/>
              <w:right w:val="single" w:sz="4" w:space="0" w:color="auto"/>
            </w:tcBorders>
            <w:hideMark/>
          </w:tcPr>
          <w:p w14:paraId="153DBA8A" w14:textId="5337183C"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7C2A0297"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100 Mbps</w:t>
            </w:r>
          </w:p>
        </w:tc>
        <w:tc>
          <w:tcPr>
            <w:tcW w:w="1600" w:type="dxa"/>
            <w:hideMark/>
          </w:tcPr>
          <w:p w14:paraId="72B25F7A" w14:textId="24DE7A04"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4657E464" w14:textId="77777777" w:rsidTr="002D46C1">
        <w:trPr>
          <w:trHeight w:val="420"/>
        </w:trPr>
        <w:tc>
          <w:tcPr>
            <w:tcW w:w="2380" w:type="dxa"/>
            <w:hideMark/>
          </w:tcPr>
          <w:p w14:paraId="36894604"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E3 (34 Mbps)</w:t>
            </w:r>
          </w:p>
        </w:tc>
        <w:tc>
          <w:tcPr>
            <w:tcW w:w="1600" w:type="dxa"/>
            <w:tcBorders>
              <w:right w:val="single" w:sz="4" w:space="0" w:color="auto"/>
            </w:tcBorders>
            <w:hideMark/>
          </w:tcPr>
          <w:p w14:paraId="4B4FEA82" w14:textId="735ADE40"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$40,004.57 </w:t>
            </w:r>
          </w:p>
        </w:tc>
        <w:tc>
          <w:tcPr>
            <w:tcW w:w="1360" w:type="dxa"/>
            <w:tcBorders>
              <w:top w:val="nil"/>
              <w:left w:val="single" w:sz="4" w:space="0" w:color="auto"/>
              <w:bottom w:val="nil"/>
              <w:right w:val="single" w:sz="4" w:space="0" w:color="auto"/>
            </w:tcBorders>
            <w:hideMark/>
          </w:tcPr>
          <w:p w14:paraId="53E45C03" w14:textId="0FE4C5C5"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7AAAB04F"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100 Mbps</w:t>
            </w:r>
          </w:p>
        </w:tc>
        <w:tc>
          <w:tcPr>
            <w:tcW w:w="1600" w:type="dxa"/>
            <w:hideMark/>
          </w:tcPr>
          <w:p w14:paraId="013AC302" w14:textId="28BF02C7"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3BAA1EF7" w14:textId="77777777" w:rsidTr="002D46C1">
        <w:trPr>
          <w:trHeight w:val="420"/>
        </w:trPr>
        <w:tc>
          <w:tcPr>
            <w:tcW w:w="2380" w:type="dxa"/>
            <w:hideMark/>
          </w:tcPr>
          <w:p w14:paraId="34E1A0CE"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E4 (139 Mbps) </w:t>
            </w:r>
          </w:p>
        </w:tc>
        <w:tc>
          <w:tcPr>
            <w:tcW w:w="1600" w:type="dxa"/>
            <w:tcBorders>
              <w:right w:val="single" w:sz="4" w:space="0" w:color="auto"/>
            </w:tcBorders>
            <w:hideMark/>
          </w:tcPr>
          <w:p w14:paraId="4EE2C0EC" w14:textId="48A8EDFD"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$127,589.49 </w:t>
            </w:r>
          </w:p>
        </w:tc>
        <w:tc>
          <w:tcPr>
            <w:tcW w:w="1360" w:type="dxa"/>
            <w:tcBorders>
              <w:top w:val="nil"/>
              <w:left w:val="single" w:sz="4" w:space="0" w:color="auto"/>
              <w:bottom w:val="nil"/>
              <w:right w:val="single" w:sz="4" w:space="0" w:color="auto"/>
            </w:tcBorders>
            <w:hideMark/>
          </w:tcPr>
          <w:p w14:paraId="6C0FFF83" w14:textId="7CFA74B3"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3CCA465E"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150 Mbps</w:t>
            </w:r>
          </w:p>
        </w:tc>
        <w:tc>
          <w:tcPr>
            <w:tcW w:w="1600" w:type="dxa"/>
            <w:hideMark/>
          </w:tcPr>
          <w:p w14:paraId="36FA4EB4" w14:textId="23E78185"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5282E996" w14:textId="77777777" w:rsidTr="002D46C1">
        <w:trPr>
          <w:trHeight w:val="420"/>
        </w:trPr>
        <w:tc>
          <w:tcPr>
            <w:tcW w:w="2380" w:type="dxa"/>
            <w:hideMark/>
          </w:tcPr>
          <w:p w14:paraId="0872BFD4"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1 (155 Mbps) </w:t>
            </w:r>
          </w:p>
        </w:tc>
        <w:tc>
          <w:tcPr>
            <w:tcW w:w="1600" w:type="dxa"/>
            <w:tcBorders>
              <w:right w:val="single" w:sz="4" w:space="0" w:color="auto"/>
            </w:tcBorders>
            <w:hideMark/>
          </w:tcPr>
          <w:p w14:paraId="3535D02E" w14:textId="58D94133"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$127,589.49 </w:t>
            </w:r>
          </w:p>
        </w:tc>
        <w:tc>
          <w:tcPr>
            <w:tcW w:w="1360" w:type="dxa"/>
            <w:tcBorders>
              <w:top w:val="nil"/>
              <w:left w:val="single" w:sz="4" w:space="0" w:color="auto"/>
              <w:bottom w:val="nil"/>
              <w:right w:val="single" w:sz="4" w:space="0" w:color="auto"/>
            </w:tcBorders>
            <w:hideMark/>
          </w:tcPr>
          <w:p w14:paraId="6C8035F9" w14:textId="39A97869"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0DA37351"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200 Mbps</w:t>
            </w:r>
          </w:p>
        </w:tc>
        <w:tc>
          <w:tcPr>
            <w:tcW w:w="1600" w:type="dxa"/>
            <w:hideMark/>
          </w:tcPr>
          <w:p w14:paraId="528BA698" w14:textId="1780CF4B"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6929C1DE" w14:textId="77777777" w:rsidTr="002D46C1">
        <w:trPr>
          <w:trHeight w:val="420"/>
        </w:trPr>
        <w:tc>
          <w:tcPr>
            <w:tcW w:w="2380" w:type="dxa"/>
            <w:hideMark/>
          </w:tcPr>
          <w:p w14:paraId="03480D91"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4 (622 Mbps) </w:t>
            </w:r>
          </w:p>
        </w:tc>
        <w:tc>
          <w:tcPr>
            <w:tcW w:w="1600" w:type="dxa"/>
            <w:tcBorders>
              <w:right w:val="single" w:sz="4" w:space="0" w:color="auto"/>
            </w:tcBorders>
            <w:hideMark/>
          </w:tcPr>
          <w:p w14:paraId="7E3D20A1" w14:textId="5D0A8D28"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$413,390.27 </w:t>
            </w:r>
          </w:p>
        </w:tc>
        <w:tc>
          <w:tcPr>
            <w:tcW w:w="1360" w:type="dxa"/>
            <w:tcBorders>
              <w:top w:val="nil"/>
              <w:left w:val="single" w:sz="4" w:space="0" w:color="auto"/>
              <w:bottom w:val="nil"/>
              <w:right w:val="single" w:sz="4" w:space="0" w:color="auto"/>
            </w:tcBorders>
            <w:hideMark/>
          </w:tcPr>
          <w:p w14:paraId="0A19C019" w14:textId="1579A40B"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18EB3003"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250 Mbps</w:t>
            </w:r>
          </w:p>
        </w:tc>
        <w:tc>
          <w:tcPr>
            <w:tcW w:w="1600" w:type="dxa"/>
            <w:hideMark/>
          </w:tcPr>
          <w:p w14:paraId="119DAE05" w14:textId="6C44D531"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736FAFAA" w14:textId="77777777" w:rsidTr="002D46C1">
        <w:trPr>
          <w:trHeight w:val="420"/>
        </w:trPr>
        <w:tc>
          <w:tcPr>
            <w:tcW w:w="2380" w:type="dxa"/>
            <w:hideMark/>
          </w:tcPr>
          <w:p w14:paraId="01FF4981"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16 (2.5 </w:t>
            </w:r>
            <w:proofErr w:type="spellStart"/>
            <w:r w:rsidR="00244E59" w:rsidRPr="00FD7BCF">
              <w:rPr>
                <w:rFonts w:ascii="ITC Avant Garde" w:eastAsia="Times New Roman" w:hAnsi="ITC Avant Garde"/>
                <w:sz w:val="20"/>
                <w:szCs w:val="20"/>
                <w:lang w:eastAsia="es-MX"/>
              </w:rPr>
              <w:t>Gbps</w:t>
            </w:r>
            <w:proofErr w:type="spellEnd"/>
            <w:r w:rsidRPr="00FD7BCF">
              <w:rPr>
                <w:rFonts w:ascii="ITC Avant Garde" w:eastAsia="Times New Roman" w:hAnsi="ITC Avant Garde"/>
                <w:sz w:val="20"/>
                <w:szCs w:val="20"/>
                <w:lang w:eastAsia="es-MX"/>
              </w:rPr>
              <w:t xml:space="preserve">) </w:t>
            </w:r>
          </w:p>
        </w:tc>
        <w:tc>
          <w:tcPr>
            <w:tcW w:w="1600" w:type="dxa"/>
            <w:tcBorders>
              <w:right w:val="single" w:sz="4" w:space="0" w:color="auto"/>
            </w:tcBorders>
            <w:hideMark/>
          </w:tcPr>
          <w:p w14:paraId="39B383E6" w14:textId="642A3E7F"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$1,033,475.83 </w:t>
            </w:r>
          </w:p>
        </w:tc>
        <w:tc>
          <w:tcPr>
            <w:tcW w:w="1360" w:type="dxa"/>
            <w:tcBorders>
              <w:top w:val="nil"/>
              <w:left w:val="single" w:sz="4" w:space="0" w:color="auto"/>
              <w:bottom w:val="nil"/>
              <w:right w:val="single" w:sz="4" w:space="0" w:color="auto"/>
            </w:tcBorders>
            <w:hideMark/>
          </w:tcPr>
          <w:p w14:paraId="36D7E493" w14:textId="148F01A3"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1368B9F7"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300 Mbps</w:t>
            </w:r>
          </w:p>
        </w:tc>
        <w:tc>
          <w:tcPr>
            <w:tcW w:w="1600" w:type="dxa"/>
            <w:hideMark/>
          </w:tcPr>
          <w:p w14:paraId="33B2F50C" w14:textId="68A60E0F"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05DF5500" w14:textId="77777777" w:rsidTr="002D46C1">
        <w:trPr>
          <w:trHeight w:val="420"/>
        </w:trPr>
        <w:tc>
          <w:tcPr>
            <w:tcW w:w="2380" w:type="dxa"/>
            <w:tcBorders>
              <w:bottom w:val="single" w:sz="4" w:space="0" w:color="auto"/>
            </w:tcBorders>
            <w:hideMark/>
          </w:tcPr>
          <w:p w14:paraId="1EB2F296"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64 (10 </w:t>
            </w:r>
            <w:proofErr w:type="spellStart"/>
            <w:r w:rsidR="00244E59" w:rsidRPr="00FD7BCF">
              <w:rPr>
                <w:rFonts w:ascii="ITC Avant Garde" w:eastAsia="Times New Roman" w:hAnsi="ITC Avant Garde"/>
                <w:sz w:val="20"/>
                <w:szCs w:val="20"/>
                <w:lang w:eastAsia="es-MX"/>
              </w:rPr>
              <w:t>Gbps</w:t>
            </w:r>
            <w:proofErr w:type="spellEnd"/>
            <w:r w:rsidRPr="00FD7BCF">
              <w:rPr>
                <w:rFonts w:ascii="ITC Avant Garde" w:eastAsia="Times New Roman" w:hAnsi="ITC Avant Garde"/>
                <w:sz w:val="20"/>
                <w:szCs w:val="20"/>
                <w:lang w:eastAsia="es-MX"/>
              </w:rPr>
              <w:t>)</w:t>
            </w:r>
          </w:p>
        </w:tc>
        <w:tc>
          <w:tcPr>
            <w:tcW w:w="1600" w:type="dxa"/>
            <w:tcBorders>
              <w:bottom w:val="single" w:sz="4" w:space="0" w:color="auto"/>
              <w:right w:val="single" w:sz="4" w:space="0" w:color="auto"/>
            </w:tcBorders>
            <w:hideMark/>
          </w:tcPr>
          <w:p w14:paraId="521138A3" w14:textId="0E9F3C49"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$1,653,561.08 </w:t>
            </w:r>
          </w:p>
        </w:tc>
        <w:tc>
          <w:tcPr>
            <w:tcW w:w="1360" w:type="dxa"/>
            <w:tcBorders>
              <w:top w:val="nil"/>
              <w:left w:val="single" w:sz="4" w:space="0" w:color="auto"/>
              <w:bottom w:val="nil"/>
              <w:right w:val="single" w:sz="4" w:space="0" w:color="auto"/>
            </w:tcBorders>
            <w:hideMark/>
          </w:tcPr>
          <w:p w14:paraId="79B69E60" w14:textId="47DEDA9C"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6DE6CEEB"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350 Mbps</w:t>
            </w:r>
          </w:p>
        </w:tc>
        <w:tc>
          <w:tcPr>
            <w:tcW w:w="1600" w:type="dxa"/>
            <w:hideMark/>
          </w:tcPr>
          <w:p w14:paraId="4A9D0BED" w14:textId="5BD06062"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4C416B2E" w14:textId="77777777" w:rsidTr="002D46C1">
        <w:trPr>
          <w:trHeight w:val="420"/>
        </w:trPr>
        <w:tc>
          <w:tcPr>
            <w:tcW w:w="2380" w:type="dxa"/>
            <w:tcBorders>
              <w:bottom w:val="single" w:sz="4" w:space="0" w:color="auto"/>
            </w:tcBorders>
            <w:hideMark/>
          </w:tcPr>
          <w:p w14:paraId="63CC8291"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256 (40 </w:t>
            </w:r>
            <w:proofErr w:type="spellStart"/>
            <w:r w:rsidR="008C5D4C" w:rsidRPr="00FD7BCF">
              <w:rPr>
                <w:rFonts w:ascii="ITC Avant Garde" w:eastAsia="Times New Roman" w:hAnsi="ITC Avant Garde"/>
                <w:sz w:val="20"/>
                <w:szCs w:val="20"/>
                <w:lang w:eastAsia="es-MX"/>
              </w:rPr>
              <w:t>G</w:t>
            </w:r>
            <w:r w:rsidRPr="00FD7BCF">
              <w:rPr>
                <w:rFonts w:ascii="ITC Avant Garde" w:eastAsia="Times New Roman" w:hAnsi="ITC Avant Garde"/>
                <w:sz w:val="20"/>
                <w:szCs w:val="20"/>
                <w:lang w:eastAsia="es-MX"/>
              </w:rPr>
              <w:t>bps</w:t>
            </w:r>
            <w:proofErr w:type="spellEnd"/>
            <w:r w:rsidRPr="00FD7BCF">
              <w:rPr>
                <w:rFonts w:ascii="ITC Avant Garde" w:eastAsia="Times New Roman" w:hAnsi="ITC Avant Garde"/>
                <w:sz w:val="20"/>
                <w:szCs w:val="20"/>
                <w:lang w:eastAsia="es-MX"/>
              </w:rPr>
              <w:t xml:space="preserve">) </w:t>
            </w:r>
          </w:p>
        </w:tc>
        <w:tc>
          <w:tcPr>
            <w:tcW w:w="1600" w:type="dxa"/>
            <w:tcBorders>
              <w:bottom w:val="single" w:sz="4" w:space="0" w:color="auto"/>
              <w:right w:val="single" w:sz="4" w:space="0" w:color="auto"/>
            </w:tcBorders>
            <w:hideMark/>
          </w:tcPr>
          <w:p w14:paraId="37B9DCE7" w14:textId="641C7497"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$6,614,244.32 </w:t>
            </w:r>
          </w:p>
        </w:tc>
        <w:tc>
          <w:tcPr>
            <w:tcW w:w="1360" w:type="dxa"/>
            <w:tcBorders>
              <w:top w:val="nil"/>
              <w:left w:val="single" w:sz="4" w:space="0" w:color="auto"/>
              <w:bottom w:val="nil"/>
              <w:right w:val="single" w:sz="4" w:space="0" w:color="auto"/>
            </w:tcBorders>
            <w:hideMark/>
          </w:tcPr>
          <w:p w14:paraId="705C56CB" w14:textId="38622C5D"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217A9186"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400 Mbps</w:t>
            </w:r>
          </w:p>
        </w:tc>
        <w:tc>
          <w:tcPr>
            <w:tcW w:w="1600" w:type="dxa"/>
            <w:hideMark/>
          </w:tcPr>
          <w:p w14:paraId="762D8B2E" w14:textId="789EA17E"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42D2B914" w14:textId="77777777" w:rsidTr="002D46C1">
        <w:trPr>
          <w:trHeight w:val="420"/>
        </w:trPr>
        <w:tc>
          <w:tcPr>
            <w:tcW w:w="2380" w:type="dxa"/>
            <w:tcBorders>
              <w:top w:val="single" w:sz="4" w:space="0" w:color="auto"/>
              <w:left w:val="nil"/>
              <w:bottom w:val="nil"/>
              <w:right w:val="nil"/>
            </w:tcBorders>
            <w:hideMark/>
          </w:tcPr>
          <w:p w14:paraId="04B9AD24" w14:textId="206AD304"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single" w:sz="4" w:space="0" w:color="auto"/>
              <w:left w:val="nil"/>
              <w:bottom w:val="nil"/>
              <w:right w:val="nil"/>
            </w:tcBorders>
            <w:hideMark/>
          </w:tcPr>
          <w:p w14:paraId="6233E0FE" w14:textId="404C924F" w:rsidR="0017127F"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360" w:type="dxa"/>
            <w:tcBorders>
              <w:top w:val="nil"/>
              <w:left w:val="nil"/>
              <w:bottom w:val="nil"/>
              <w:right w:val="single" w:sz="4" w:space="0" w:color="auto"/>
            </w:tcBorders>
            <w:hideMark/>
          </w:tcPr>
          <w:p w14:paraId="7B4B62D6" w14:textId="38FB1A2E" w:rsidR="0017127F"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161BA188"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450 Mbps</w:t>
            </w:r>
          </w:p>
        </w:tc>
        <w:tc>
          <w:tcPr>
            <w:tcW w:w="1600" w:type="dxa"/>
            <w:hideMark/>
          </w:tcPr>
          <w:p w14:paraId="3D10A690" w14:textId="19AE865C"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093751BA" w14:textId="77777777" w:rsidTr="002D46C1">
        <w:trPr>
          <w:trHeight w:val="420"/>
        </w:trPr>
        <w:tc>
          <w:tcPr>
            <w:tcW w:w="2380" w:type="dxa"/>
            <w:tcBorders>
              <w:top w:val="nil"/>
              <w:left w:val="nil"/>
              <w:bottom w:val="nil"/>
              <w:right w:val="nil"/>
            </w:tcBorders>
            <w:hideMark/>
          </w:tcPr>
          <w:p w14:paraId="29131B25" w14:textId="2BFA5C1B"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hideMark/>
          </w:tcPr>
          <w:p w14:paraId="5D051CFA" w14:textId="4E11F00E" w:rsidR="0017127F"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360" w:type="dxa"/>
            <w:tcBorders>
              <w:top w:val="nil"/>
              <w:left w:val="nil"/>
              <w:bottom w:val="nil"/>
              <w:right w:val="single" w:sz="4" w:space="0" w:color="auto"/>
            </w:tcBorders>
            <w:hideMark/>
          </w:tcPr>
          <w:p w14:paraId="2835880D" w14:textId="77777777" w:rsidR="0017127F" w:rsidRPr="002D46C1" w:rsidRDefault="0017127F" w:rsidP="00B42019">
            <w:pPr>
              <w:spacing w:after="0" w:line="276" w:lineRule="auto"/>
              <w:jc w:val="center"/>
              <w:rPr>
                <w:rFonts w:ascii="Times New Roman" w:eastAsia="Times New Roman" w:hAnsi="Times New Roman"/>
                <w:sz w:val="2"/>
                <w:szCs w:val="2"/>
                <w:lang w:eastAsia="es-MX"/>
              </w:rPr>
            </w:pPr>
          </w:p>
        </w:tc>
        <w:tc>
          <w:tcPr>
            <w:tcW w:w="2380" w:type="dxa"/>
            <w:tcBorders>
              <w:left w:val="single" w:sz="4" w:space="0" w:color="auto"/>
            </w:tcBorders>
            <w:hideMark/>
          </w:tcPr>
          <w:p w14:paraId="28B11D69"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500 Mbps</w:t>
            </w:r>
          </w:p>
        </w:tc>
        <w:tc>
          <w:tcPr>
            <w:tcW w:w="1600" w:type="dxa"/>
            <w:hideMark/>
          </w:tcPr>
          <w:p w14:paraId="2DC211F3" w14:textId="1B320B75"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460B5D59" w14:textId="77777777" w:rsidTr="002D46C1">
        <w:trPr>
          <w:trHeight w:val="420"/>
        </w:trPr>
        <w:tc>
          <w:tcPr>
            <w:tcW w:w="2380" w:type="dxa"/>
            <w:tcBorders>
              <w:top w:val="nil"/>
              <w:left w:val="nil"/>
              <w:bottom w:val="nil"/>
              <w:right w:val="nil"/>
            </w:tcBorders>
            <w:hideMark/>
          </w:tcPr>
          <w:p w14:paraId="2A46F3C2" w14:textId="68053ADE"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hideMark/>
          </w:tcPr>
          <w:p w14:paraId="7F02333D" w14:textId="2712C7BB" w:rsidR="0017127F"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360" w:type="dxa"/>
            <w:tcBorders>
              <w:top w:val="nil"/>
              <w:left w:val="nil"/>
              <w:bottom w:val="nil"/>
              <w:right w:val="single" w:sz="4" w:space="0" w:color="auto"/>
            </w:tcBorders>
            <w:hideMark/>
          </w:tcPr>
          <w:p w14:paraId="12749C3B" w14:textId="05A939BB" w:rsidR="0017127F"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1E9A3AA8"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550 Mbps</w:t>
            </w:r>
          </w:p>
        </w:tc>
        <w:tc>
          <w:tcPr>
            <w:tcW w:w="1600" w:type="dxa"/>
            <w:hideMark/>
          </w:tcPr>
          <w:p w14:paraId="1DC913DA" w14:textId="14D76178"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5B81C6D9" w14:textId="77777777" w:rsidTr="002D46C1">
        <w:trPr>
          <w:trHeight w:val="420"/>
        </w:trPr>
        <w:tc>
          <w:tcPr>
            <w:tcW w:w="2380" w:type="dxa"/>
            <w:tcBorders>
              <w:top w:val="nil"/>
              <w:left w:val="nil"/>
              <w:bottom w:val="nil"/>
              <w:right w:val="nil"/>
            </w:tcBorders>
            <w:hideMark/>
          </w:tcPr>
          <w:p w14:paraId="3D09004A" w14:textId="705A1CC0"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hideMark/>
          </w:tcPr>
          <w:p w14:paraId="1D5CF25F" w14:textId="407928A5" w:rsidR="0017127F"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360" w:type="dxa"/>
            <w:tcBorders>
              <w:top w:val="nil"/>
              <w:left w:val="nil"/>
              <w:bottom w:val="nil"/>
              <w:right w:val="single" w:sz="4" w:space="0" w:color="auto"/>
            </w:tcBorders>
            <w:hideMark/>
          </w:tcPr>
          <w:p w14:paraId="11CAF809" w14:textId="7DD2A424" w:rsidR="0017127F"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329A3CB9"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600 Mbps</w:t>
            </w:r>
          </w:p>
        </w:tc>
        <w:tc>
          <w:tcPr>
            <w:tcW w:w="1600" w:type="dxa"/>
            <w:hideMark/>
          </w:tcPr>
          <w:p w14:paraId="62185BAC" w14:textId="4583666C"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2B8347DA" w14:textId="77777777" w:rsidTr="002D46C1">
        <w:trPr>
          <w:trHeight w:val="420"/>
        </w:trPr>
        <w:tc>
          <w:tcPr>
            <w:tcW w:w="2380" w:type="dxa"/>
            <w:tcBorders>
              <w:top w:val="nil"/>
              <w:left w:val="nil"/>
              <w:bottom w:val="nil"/>
              <w:right w:val="nil"/>
            </w:tcBorders>
            <w:hideMark/>
          </w:tcPr>
          <w:p w14:paraId="1CB66C38" w14:textId="797FD912" w:rsidR="00335D81"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hideMark/>
          </w:tcPr>
          <w:p w14:paraId="1D625DB6" w14:textId="335D695A"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360" w:type="dxa"/>
            <w:tcBorders>
              <w:top w:val="nil"/>
              <w:left w:val="nil"/>
              <w:bottom w:val="nil"/>
              <w:right w:val="single" w:sz="4" w:space="0" w:color="auto"/>
            </w:tcBorders>
            <w:hideMark/>
          </w:tcPr>
          <w:p w14:paraId="61B1DFE3" w14:textId="0D03555B"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7FE70052" w14:textId="77777777" w:rsidR="00335D81" w:rsidRPr="00FD7BCF" w:rsidRDefault="00335D81"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750 Mbps</w:t>
            </w:r>
          </w:p>
        </w:tc>
        <w:tc>
          <w:tcPr>
            <w:tcW w:w="1600" w:type="dxa"/>
            <w:hideMark/>
          </w:tcPr>
          <w:p w14:paraId="5C044977" w14:textId="3C16374D" w:rsidR="00335D81" w:rsidRPr="00FD7BCF" w:rsidRDefault="00335D81"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58B1E6C8" w14:textId="77777777" w:rsidTr="002D46C1">
        <w:trPr>
          <w:trHeight w:val="465"/>
        </w:trPr>
        <w:tc>
          <w:tcPr>
            <w:tcW w:w="2380" w:type="dxa"/>
            <w:tcBorders>
              <w:top w:val="nil"/>
              <w:left w:val="nil"/>
              <w:bottom w:val="nil"/>
              <w:right w:val="nil"/>
            </w:tcBorders>
            <w:hideMark/>
          </w:tcPr>
          <w:p w14:paraId="66684611" w14:textId="09056898" w:rsidR="00335D81"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lastRenderedPageBreak/>
              <w:t>.</w:t>
            </w:r>
          </w:p>
        </w:tc>
        <w:tc>
          <w:tcPr>
            <w:tcW w:w="1600" w:type="dxa"/>
            <w:tcBorders>
              <w:top w:val="nil"/>
              <w:left w:val="nil"/>
              <w:bottom w:val="nil"/>
              <w:right w:val="nil"/>
            </w:tcBorders>
            <w:hideMark/>
          </w:tcPr>
          <w:p w14:paraId="4954EC24" w14:textId="4A62EF49"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360" w:type="dxa"/>
            <w:tcBorders>
              <w:top w:val="nil"/>
              <w:left w:val="nil"/>
              <w:bottom w:val="nil"/>
              <w:right w:val="single" w:sz="4" w:space="0" w:color="auto"/>
            </w:tcBorders>
            <w:hideMark/>
          </w:tcPr>
          <w:p w14:paraId="59F4057B" w14:textId="54D093D0"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018328D0" w14:textId="77777777" w:rsidR="00335D81" w:rsidRPr="00FD7BCF" w:rsidRDefault="00335D81"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1 </w:t>
            </w:r>
            <w:proofErr w:type="spellStart"/>
            <w:r w:rsidRPr="00FD7BCF">
              <w:rPr>
                <w:rFonts w:ascii="ITC Avant Garde" w:eastAsia="Times New Roman" w:hAnsi="ITC Avant Garde"/>
                <w:sz w:val="20"/>
                <w:szCs w:val="20"/>
                <w:lang w:eastAsia="es-MX"/>
              </w:rPr>
              <w:t>Gbps</w:t>
            </w:r>
            <w:proofErr w:type="spellEnd"/>
          </w:p>
        </w:tc>
        <w:tc>
          <w:tcPr>
            <w:tcW w:w="1600" w:type="dxa"/>
            <w:hideMark/>
          </w:tcPr>
          <w:p w14:paraId="1FC160F9" w14:textId="6C20A96F" w:rsidR="00335D81" w:rsidRPr="00FD7BCF" w:rsidRDefault="00335D81"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68A4B2FB" w14:textId="77777777" w:rsidTr="002D46C1">
        <w:trPr>
          <w:trHeight w:val="465"/>
        </w:trPr>
        <w:tc>
          <w:tcPr>
            <w:tcW w:w="2380" w:type="dxa"/>
            <w:tcBorders>
              <w:top w:val="nil"/>
              <w:left w:val="nil"/>
              <w:bottom w:val="nil"/>
              <w:right w:val="nil"/>
            </w:tcBorders>
          </w:tcPr>
          <w:p w14:paraId="3BEF6015" w14:textId="1188DF24" w:rsidR="00335D81"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tcPr>
          <w:p w14:paraId="6945EA7B" w14:textId="05223404"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360" w:type="dxa"/>
            <w:tcBorders>
              <w:top w:val="nil"/>
              <w:left w:val="nil"/>
              <w:bottom w:val="nil"/>
              <w:right w:val="single" w:sz="4" w:space="0" w:color="auto"/>
            </w:tcBorders>
          </w:tcPr>
          <w:p w14:paraId="3A415D41" w14:textId="1F71FD56"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tcPr>
          <w:p w14:paraId="78A36804" w14:textId="77777777" w:rsidR="00335D81" w:rsidRPr="00FD7BCF" w:rsidRDefault="00335D81"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2 </w:t>
            </w:r>
            <w:proofErr w:type="spellStart"/>
            <w:r w:rsidRPr="00FD7BCF">
              <w:rPr>
                <w:rFonts w:ascii="ITC Avant Garde" w:eastAsia="Times New Roman" w:hAnsi="ITC Avant Garde"/>
                <w:sz w:val="20"/>
                <w:szCs w:val="20"/>
                <w:lang w:eastAsia="es-MX"/>
              </w:rPr>
              <w:t>Gbps</w:t>
            </w:r>
            <w:proofErr w:type="spellEnd"/>
          </w:p>
        </w:tc>
        <w:tc>
          <w:tcPr>
            <w:tcW w:w="1600" w:type="dxa"/>
          </w:tcPr>
          <w:p w14:paraId="2FDA66C0" w14:textId="01305511" w:rsidR="00335D81" w:rsidRPr="00FD7BCF" w:rsidRDefault="00335D81"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523BB71D" w14:textId="77777777" w:rsidTr="002D46C1">
        <w:trPr>
          <w:trHeight w:val="465"/>
        </w:trPr>
        <w:tc>
          <w:tcPr>
            <w:tcW w:w="2380" w:type="dxa"/>
            <w:tcBorders>
              <w:top w:val="nil"/>
              <w:left w:val="nil"/>
              <w:bottom w:val="nil"/>
              <w:right w:val="nil"/>
            </w:tcBorders>
            <w:hideMark/>
          </w:tcPr>
          <w:p w14:paraId="11734238" w14:textId="45DE7174" w:rsidR="00335D81"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hideMark/>
          </w:tcPr>
          <w:p w14:paraId="0DC01B90" w14:textId="2B4931A2"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360" w:type="dxa"/>
            <w:tcBorders>
              <w:top w:val="nil"/>
              <w:left w:val="nil"/>
              <w:bottom w:val="nil"/>
              <w:right w:val="single" w:sz="4" w:space="0" w:color="auto"/>
            </w:tcBorders>
            <w:hideMark/>
          </w:tcPr>
          <w:p w14:paraId="1DEE2627" w14:textId="250D15F6"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543A5A8B" w14:textId="77777777" w:rsidR="00335D81" w:rsidRPr="00FD7BCF" w:rsidRDefault="00335D81"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4 </w:t>
            </w:r>
            <w:proofErr w:type="spellStart"/>
            <w:r w:rsidRPr="00FD7BCF">
              <w:rPr>
                <w:rFonts w:ascii="ITC Avant Garde" w:eastAsia="Times New Roman" w:hAnsi="ITC Avant Garde"/>
                <w:sz w:val="20"/>
                <w:szCs w:val="20"/>
                <w:lang w:eastAsia="es-MX"/>
              </w:rPr>
              <w:t>Gbps</w:t>
            </w:r>
            <w:proofErr w:type="spellEnd"/>
          </w:p>
        </w:tc>
        <w:tc>
          <w:tcPr>
            <w:tcW w:w="1600" w:type="dxa"/>
            <w:hideMark/>
          </w:tcPr>
          <w:p w14:paraId="5DB05F0F" w14:textId="6BCDA363" w:rsidR="00335D81" w:rsidRPr="00FD7BCF" w:rsidRDefault="00335D81"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61CD1406" w14:textId="77777777" w:rsidTr="002D46C1">
        <w:trPr>
          <w:trHeight w:val="465"/>
        </w:trPr>
        <w:tc>
          <w:tcPr>
            <w:tcW w:w="2380" w:type="dxa"/>
            <w:tcBorders>
              <w:top w:val="nil"/>
              <w:left w:val="nil"/>
              <w:bottom w:val="nil"/>
              <w:right w:val="nil"/>
            </w:tcBorders>
            <w:hideMark/>
          </w:tcPr>
          <w:p w14:paraId="74FAA7F2" w14:textId="43EDC37B" w:rsidR="00335D81"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hideMark/>
          </w:tcPr>
          <w:p w14:paraId="4F09DABC" w14:textId="3042E03B"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360" w:type="dxa"/>
            <w:tcBorders>
              <w:top w:val="nil"/>
              <w:left w:val="nil"/>
              <w:bottom w:val="nil"/>
              <w:right w:val="single" w:sz="4" w:space="0" w:color="auto"/>
            </w:tcBorders>
            <w:hideMark/>
          </w:tcPr>
          <w:p w14:paraId="481946D2" w14:textId="6CE40F52"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0CBECF0B" w14:textId="77777777" w:rsidR="00335D81" w:rsidRPr="00FD7BCF" w:rsidRDefault="00335D81"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6 </w:t>
            </w:r>
            <w:proofErr w:type="spellStart"/>
            <w:r w:rsidRPr="00FD7BCF">
              <w:rPr>
                <w:rFonts w:ascii="ITC Avant Garde" w:eastAsia="Times New Roman" w:hAnsi="ITC Avant Garde"/>
                <w:sz w:val="20"/>
                <w:szCs w:val="20"/>
                <w:lang w:eastAsia="es-MX"/>
              </w:rPr>
              <w:t>Gbps</w:t>
            </w:r>
            <w:proofErr w:type="spellEnd"/>
          </w:p>
        </w:tc>
        <w:tc>
          <w:tcPr>
            <w:tcW w:w="1600" w:type="dxa"/>
            <w:hideMark/>
          </w:tcPr>
          <w:p w14:paraId="0F1989ED" w14:textId="03AE5883" w:rsidR="00335D81" w:rsidRPr="00FD7BCF" w:rsidRDefault="00335D81"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1ECD12F3" w14:textId="77777777" w:rsidTr="002D46C1">
        <w:trPr>
          <w:trHeight w:val="465"/>
        </w:trPr>
        <w:tc>
          <w:tcPr>
            <w:tcW w:w="2380" w:type="dxa"/>
            <w:tcBorders>
              <w:top w:val="nil"/>
              <w:left w:val="nil"/>
              <w:bottom w:val="nil"/>
              <w:right w:val="nil"/>
            </w:tcBorders>
            <w:hideMark/>
          </w:tcPr>
          <w:p w14:paraId="13861C99" w14:textId="31E4FFFD" w:rsidR="00335D81"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hideMark/>
          </w:tcPr>
          <w:p w14:paraId="1B03DB12" w14:textId="05C35685"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360" w:type="dxa"/>
            <w:tcBorders>
              <w:top w:val="nil"/>
              <w:left w:val="nil"/>
              <w:bottom w:val="nil"/>
              <w:right w:val="single" w:sz="4" w:space="0" w:color="auto"/>
            </w:tcBorders>
            <w:hideMark/>
          </w:tcPr>
          <w:p w14:paraId="7DF811EF" w14:textId="0A88DA27"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30D4FA35" w14:textId="77777777" w:rsidR="00335D81" w:rsidRPr="00FD7BCF" w:rsidRDefault="00335D81"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8 </w:t>
            </w:r>
            <w:proofErr w:type="spellStart"/>
            <w:r w:rsidRPr="00FD7BCF">
              <w:rPr>
                <w:rFonts w:ascii="ITC Avant Garde" w:eastAsia="Times New Roman" w:hAnsi="ITC Avant Garde"/>
                <w:sz w:val="20"/>
                <w:szCs w:val="20"/>
                <w:lang w:eastAsia="es-MX"/>
              </w:rPr>
              <w:t>Gbps</w:t>
            </w:r>
            <w:proofErr w:type="spellEnd"/>
          </w:p>
        </w:tc>
        <w:tc>
          <w:tcPr>
            <w:tcW w:w="1600" w:type="dxa"/>
            <w:hideMark/>
          </w:tcPr>
          <w:p w14:paraId="758F8ACF" w14:textId="256F2947" w:rsidR="00335D81" w:rsidRPr="00FD7BCF" w:rsidRDefault="00335D81"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335D81" w:rsidRPr="00FD7BCF" w14:paraId="3A0E2CF3" w14:textId="77777777" w:rsidTr="002D46C1">
        <w:trPr>
          <w:trHeight w:val="465"/>
        </w:trPr>
        <w:tc>
          <w:tcPr>
            <w:tcW w:w="2380" w:type="dxa"/>
            <w:tcBorders>
              <w:top w:val="nil"/>
              <w:left w:val="nil"/>
              <w:bottom w:val="nil"/>
              <w:right w:val="nil"/>
            </w:tcBorders>
            <w:hideMark/>
          </w:tcPr>
          <w:p w14:paraId="3C5CAF8C" w14:textId="6E44DB44" w:rsidR="00335D81"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hideMark/>
          </w:tcPr>
          <w:p w14:paraId="4AC75B56" w14:textId="31DADD78"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360" w:type="dxa"/>
            <w:tcBorders>
              <w:top w:val="nil"/>
              <w:left w:val="nil"/>
              <w:bottom w:val="nil"/>
              <w:right w:val="single" w:sz="4" w:space="0" w:color="auto"/>
            </w:tcBorders>
            <w:hideMark/>
          </w:tcPr>
          <w:p w14:paraId="5D07C509" w14:textId="3F25C630" w:rsidR="00335D81"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0" w:type="dxa"/>
            <w:tcBorders>
              <w:left w:val="single" w:sz="4" w:space="0" w:color="auto"/>
            </w:tcBorders>
            <w:hideMark/>
          </w:tcPr>
          <w:p w14:paraId="0E1EDF76" w14:textId="77777777" w:rsidR="00335D81" w:rsidRPr="00FD7BCF" w:rsidRDefault="00335D81"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10 </w:t>
            </w:r>
            <w:proofErr w:type="spellStart"/>
            <w:r w:rsidRPr="00FD7BCF">
              <w:rPr>
                <w:rFonts w:ascii="ITC Avant Garde" w:eastAsia="Times New Roman" w:hAnsi="ITC Avant Garde"/>
                <w:sz w:val="20"/>
                <w:szCs w:val="20"/>
                <w:lang w:eastAsia="es-MX"/>
              </w:rPr>
              <w:t>Gbps</w:t>
            </w:r>
            <w:proofErr w:type="spellEnd"/>
          </w:p>
        </w:tc>
        <w:tc>
          <w:tcPr>
            <w:tcW w:w="1600" w:type="dxa"/>
            <w:hideMark/>
          </w:tcPr>
          <w:p w14:paraId="516F68A4" w14:textId="7A61DD27" w:rsidR="00335D81" w:rsidRPr="00FD7BCF" w:rsidRDefault="00335D81"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bl>
    <w:p w14:paraId="28B177C7" w14:textId="77777777" w:rsidR="0017127F" w:rsidRPr="00FD7BCF" w:rsidRDefault="0017127F" w:rsidP="00B42019">
      <w:pPr>
        <w:spacing w:before="240" w:line="276" w:lineRule="auto"/>
        <w:ind w:right="-93"/>
        <w:jc w:val="center"/>
        <w:rPr>
          <w:rFonts w:ascii="ITC Avant Garde" w:hAnsi="ITC Avant Garde"/>
          <w:b/>
          <w:lang w:eastAsia="es-ES_tradnl"/>
        </w:rPr>
      </w:pPr>
      <w:r w:rsidRPr="00FD7BCF">
        <w:rPr>
          <w:rFonts w:ascii="ITC Avant Garde" w:hAnsi="ITC Avant Garde"/>
          <w:b/>
          <w:lang w:eastAsia="es-ES_tradnl"/>
        </w:rPr>
        <w:t>Enlaces de larga distancia internacional</w:t>
      </w:r>
    </w:p>
    <w:tbl>
      <w:tblPr>
        <w:tblStyle w:val="Tablaconcuadrcula2"/>
        <w:tblW w:w="9325" w:type="dxa"/>
        <w:tblInd w:w="-5" w:type="dxa"/>
        <w:tblLook w:val="04A0" w:firstRow="1" w:lastRow="0" w:firstColumn="1" w:lastColumn="0" w:noHBand="0" w:noVBand="1"/>
        <w:tblCaption w:val="Enlaces de larga distancia internacional"/>
        <w:tblDescription w:val="En una tabla con dos columnas de 2, se proporciona la velocidad y el gasto de instalación. "/>
      </w:tblPr>
      <w:tblGrid>
        <w:gridCol w:w="2381"/>
        <w:gridCol w:w="1601"/>
        <w:gridCol w:w="1361"/>
        <w:gridCol w:w="2381"/>
        <w:gridCol w:w="1601"/>
      </w:tblGrid>
      <w:tr w:rsidR="00FD7BCF" w:rsidRPr="00FD7BCF" w14:paraId="10097B08" w14:textId="77777777" w:rsidTr="002D46C1">
        <w:trPr>
          <w:trHeight w:val="510"/>
          <w:tblHeader/>
        </w:trPr>
        <w:tc>
          <w:tcPr>
            <w:tcW w:w="2381" w:type="dxa"/>
            <w:shd w:val="clear" w:color="auto" w:fill="A6A6A6" w:themeFill="background1" w:themeFillShade="A6"/>
            <w:vAlign w:val="center"/>
            <w:hideMark/>
          </w:tcPr>
          <w:p w14:paraId="105474A3" w14:textId="77777777" w:rsidR="0017127F" w:rsidRPr="00FD7BCF" w:rsidRDefault="0013520F" w:rsidP="00B84EBF">
            <w:pPr>
              <w:spacing w:after="0" w:line="276" w:lineRule="auto"/>
              <w:jc w:val="center"/>
              <w:rPr>
                <w:rFonts w:ascii="ITC Avant Garde" w:eastAsia="Times New Roman" w:hAnsi="ITC Avant Garde"/>
                <w:b/>
                <w:bCs/>
                <w:sz w:val="20"/>
                <w:szCs w:val="20"/>
                <w:lang w:eastAsia="es-MX"/>
              </w:rPr>
            </w:pPr>
            <w:r w:rsidRPr="00FD7BCF">
              <w:rPr>
                <w:rFonts w:ascii="ITC Avant Garde" w:eastAsia="Times New Roman" w:hAnsi="ITC Avant Garde"/>
                <w:b/>
                <w:bCs/>
                <w:sz w:val="20"/>
                <w:szCs w:val="20"/>
                <w:lang w:eastAsia="es-MX"/>
              </w:rPr>
              <w:t>Velocidad</w:t>
            </w:r>
          </w:p>
        </w:tc>
        <w:tc>
          <w:tcPr>
            <w:tcW w:w="1601" w:type="dxa"/>
            <w:tcBorders>
              <w:right w:val="single" w:sz="4" w:space="0" w:color="auto"/>
            </w:tcBorders>
            <w:shd w:val="clear" w:color="auto" w:fill="A6A6A6" w:themeFill="background1" w:themeFillShade="A6"/>
            <w:vAlign w:val="center"/>
            <w:hideMark/>
          </w:tcPr>
          <w:p w14:paraId="130B5E3F" w14:textId="77777777" w:rsidR="0017127F" w:rsidRPr="00FD7BCF" w:rsidRDefault="0017127F" w:rsidP="00B84EBF">
            <w:pPr>
              <w:spacing w:after="0" w:line="276" w:lineRule="auto"/>
              <w:jc w:val="center"/>
              <w:rPr>
                <w:rFonts w:ascii="ITC Avant Garde" w:eastAsia="Times New Roman" w:hAnsi="ITC Avant Garde"/>
                <w:b/>
                <w:bCs/>
                <w:sz w:val="20"/>
                <w:szCs w:val="20"/>
                <w:lang w:eastAsia="es-MX"/>
              </w:rPr>
            </w:pPr>
            <w:r w:rsidRPr="00FD7BCF">
              <w:rPr>
                <w:rFonts w:ascii="ITC Avant Garde" w:eastAsia="Times New Roman" w:hAnsi="ITC Avant Garde"/>
                <w:b/>
                <w:bCs/>
                <w:sz w:val="20"/>
                <w:szCs w:val="20"/>
                <w:lang w:eastAsia="es-MX"/>
              </w:rPr>
              <w:t>Gasto de Instalación</w:t>
            </w:r>
          </w:p>
        </w:tc>
        <w:tc>
          <w:tcPr>
            <w:tcW w:w="1361" w:type="dxa"/>
            <w:tcBorders>
              <w:top w:val="nil"/>
              <w:left w:val="single" w:sz="4" w:space="0" w:color="auto"/>
              <w:bottom w:val="nil"/>
              <w:right w:val="single" w:sz="4" w:space="0" w:color="auto"/>
            </w:tcBorders>
            <w:shd w:val="clear" w:color="auto" w:fill="auto"/>
            <w:vAlign w:val="center"/>
            <w:hideMark/>
          </w:tcPr>
          <w:p w14:paraId="362B3FE0" w14:textId="3088D79A" w:rsidR="0017127F" w:rsidRPr="002D46C1" w:rsidRDefault="002D46C1" w:rsidP="00B84EBF">
            <w:pPr>
              <w:spacing w:after="0" w:line="276" w:lineRule="auto"/>
              <w:jc w:val="center"/>
              <w:rPr>
                <w:rFonts w:ascii="ITC Avant Garde" w:eastAsia="Times New Roman" w:hAnsi="ITC Avant Garde"/>
                <w:b/>
                <w:bCs/>
                <w:sz w:val="2"/>
                <w:szCs w:val="2"/>
                <w:lang w:eastAsia="es-MX"/>
              </w:rPr>
            </w:pPr>
            <w:r w:rsidRPr="002D46C1">
              <w:rPr>
                <w:rFonts w:ascii="ITC Avant Garde" w:eastAsia="Times New Roman" w:hAnsi="ITC Avant Garde"/>
                <w:b/>
                <w:bCs/>
                <w:sz w:val="2"/>
                <w:szCs w:val="2"/>
                <w:lang w:eastAsia="es-MX"/>
              </w:rPr>
              <w:t>.</w:t>
            </w:r>
          </w:p>
        </w:tc>
        <w:tc>
          <w:tcPr>
            <w:tcW w:w="2381" w:type="dxa"/>
            <w:tcBorders>
              <w:left w:val="single" w:sz="4" w:space="0" w:color="auto"/>
            </w:tcBorders>
            <w:shd w:val="clear" w:color="auto" w:fill="A6A6A6" w:themeFill="background1" w:themeFillShade="A6"/>
            <w:vAlign w:val="center"/>
            <w:hideMark/>
          </w:tcPr>
          <w:p w14:paraId="343E3590" w14:textId="77777777" w:rsidR="0017127F" w:rsidRPr="00FD7BCF" w:rsidRDefault="0013520F" w:rsidP="00B84EBF">
            <w:pPr>
              <w:spacing w:after="0" w:line="276" w:lineRule="auto"/>
              <w:jc w:val="center"/>
              <w:rPr>
                <w:rFonts w:ascii="ITC Avant Garde" w:eastAsia="Times New Roman" w:hAnsi="ITC Avant Garde"/>
                <w:b/>
                <w:bCs/>
                <w:sz w:val="20"/>
                <w:szCs w:val="20"/>
                <w:lang w:eastAsia="es-MX"/>
              </w:rPr>
            </w:pPr>
            <w:r w:rsidRPr="00FD7BCF">
              <w:rPr>
                <w:rFonts w:ascii="ITC Avant Garde" w:eastAsia="Times New Roman" w:hAnsi="ITC Avant Garde"/>
                <w:b/>
                <w:bCs/>
                <w:sz w:val="20"/>
                <w:szCs w:val="20"/>
                <w:lang w:eastAsia="es-MX"/>
              </w:rPr>
              <w:t>Velocidad</w:t>
            </w:r>
          </w:p>
        </w:tc>
        <w:tc>
          <w:tcPr>
            <w:tcW w:w="1601" w:type="dxa"/>
            <w:shd w:val="clear" w:color="auto" w:fill="A6A6A6" w:themeFill="background1" w:themeFillShade="A6"/>
            <w:vAlign w:val="center"/>
            <w:hideMark/>
          </w:tcPr>
          <w:p w14:paraId="5199B033" w14:textId="77777777" w:rsidR="0017127F" w:rsidRPr="00FD7BCF" w:rsidRDefault="0017127F" w:rsidP="00B84EBF">
            <w:pPr>
              <w:spacing w:after="0" w:line="276" w:lineRule="auto"/>
              <w:jc w:val="center"/>
              <w:rPr>
                <w:rFonts w:ascii="ITC Avant Garde" w:eastAsia="Times New Roman" w:hAnsi="ITC Avant Garde"/>
                <w:b/>
                <w:bCs/>
                <w:sz w:val="20"/>
                <w:szCs w:val="20"/>
                <w:lang w:eastAsia="es-MX"/>
              </w:rPr>
            </w:pPr>
            <w:r w:rsidRPr="00FD7BCF">
              <w:rPr>
                <w:rFonts w:ascii="ITC Avant Garde" w:eastAsia="Times New Roman" w:hAnsi="ITC Avant Garde"/>
                <w:b/>
                <w:bCs/>
                <w:sz w:val="20"/>
                <w:szCs w:val="20"/>
                <w:lang w:eastAsia="es-MX"/>
              </w:rPr>
              <w:t>Gasto de Instalación</w:t>
            </w:r>
          </w:p>
        </w:tc>
      </w:tr>
      <w:tr w:rsidR="00FD7BCF" w:rsidRPr="00FD7BCF" w14:paraId="65F40987" w14:textId="77777777" w:rsidTr="002D46C1">
        <w:trPr>
          <w:trHeight w:val="465"/>
        </w:trPr>
        <w:tc>
          <w:tcPr>
            <w:tcW w:w="2381" w:type="dxa"/>
            <w:hideMark/>
          </w:tcPr>
          <w:p w14:paraId="56C1A7F7"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64 Kbps</w:t>
            </w:r>
          </w:p>
        </w:tc>
        <w:tc>
          <w:tcPr>
            <w:tcW w:w="1601" w:type="dxa"/>
            <w:tcBorders>
              <w:right w:val="single" w:sz="4" w:space="0" w:color="auto"/>
            </w:tcBorders>
            <w:hideMark/>
          </w:tcPr>
          <w:p w14:paraId="5E558233" w14:textId="4CEF4386"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$1,508.15 </w:t>
            </w:r>
          </w:p>
        </w:tc>
        <w:tc>
          <w:tcPr>
            <w:tcW w:w="1361" w:type="dxa"/>
            <w:tcBorders>
              <w:top w:val="nil"/>
              <w:left w:val="single" w:sz="4" w:space="0" w:color="auto"/>
              <w:bottom w:val="nil"/>
              <w:right w:val="single" w:sz="4" w:space="0" w:color="auto"/>
            </w:tcBorders>
            <w:hideMark/>
          </w:tcPr>
          <w:p w14:paraId="1170C5B5" w14:textId="5A969F86"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2E5D68CD"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10 Mbps</w:t>
            </w:r>
          </w:p>
        </w:tc>
        <w:tc>
          <w:tcPr>
            <w:tcW w:w="1601" w:type="dxa"/>
            <w:hideMark/>
          </w:tcPr>
          <w:p w14:paraId="508A5537" w14:textId="2E02A8F1"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$ 38,750.00 </w:t>
            </w:r>
          </w:p>
        </w:tc>
      </w:tr>
      <w:tr w:rsidR="00FD7BCF" w:rsidRPr="00FD7BCF" w14:paraId="2EFE5746" w14:textId="77777777" w:rsidTr="002D46C1">
        <w:trPr>
          <w:trHeight w:val="465"/>
        </w:trPr>
        <w:tc>
          <w:tcPr>
            <w:tcW w:w="2381" w:type="dxa"/>
            <w:hideMark/>
          </w:tcPr>
          <w:p w14:paraId="5E1E651F"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128 Kbps</w:t>
            </w:r>
          </w:p>
        </w:tc>
        <w:tc>
          <w:tcPr>
            <w:tcW w:w="1601" w:type="dxa"/>
            <w:tcBorders>
              <w:right w:val="single" w:sz="4" w:space="0" w:color="auto"/>
            </w:tcBorders>
            <w:hideMark/>
          </w:tcPr>
          <w:p w14:paraId="4F1A3160" w14:textId="59880502"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$1,885.11 </w:t>
            </w:r>
          </w:p>
        </w:tc>
        <w:tc>
          <w:tcPr>
            <w:tcW w:w="1361" w:type="dxa"/>
            <w:tcBorders>
              <w:top w:val="nil"/>
              <w:left w:val="single" w:sz="4" w:space="0" w:color="auto"/>
              <w:bottom w:val="nil"/>
              <w:right w:val="single" w:sz="4" w:space="0" w:color="auto"/>
            </w:tcBorders>
            <w:hideMark/>
          </w:tcPr>
          <w:p w14:paraId="3AE504EB" w14:textId="6CFF5475"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7EFA8B6D"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20 Mbps</w:t>
            </w:r>
          </w:p>
        </w:tc>
        <w:tc>
          <w:tcPr>
            <w:tcW w:w="1601" w:type="dxa"/>
            <w:hideMark/>
          </w:tcPr>
          <w:p w14:paraId="6CC3CF8D" w14:textId="22C1FA38"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1BA4098F" w14:textId="77777777" w:rsidTr="002D46C1">
        <w:trPr>
          <w:trHeight w:val="465"/>
        </w:trPr>
        <w:tc>
          <w:tcPr>
            <w:tcW w:w="2381" w:type="dxa"/>
            <w:hideMark/>
          </w:tcPr>
          <w:p w14:paraId="6E66E66D"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192 Kbps</w:t>
            </w:r>
          </w:p>
        </w:tc>
        <w:tc>
          <w:tcPr>
            <w:tcW w:w="1601" w:type="dxa"/>
            <w:tcBorders>
              <w:right w:val="single" w:sz="4" w:space="0" w:color="auto"/>
            </w:tcBorders>
            <w:hideMark/>
          </w:tcPr>
          <w:p w14:paraId="7CA2E72B" w14:textId="4B0BD9A0"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$1,998.88 </w:t>
            </w:r>
          </w:p>
        </w:tc>
        <w:tc>
          <w:tcPr>
            <w:tcW w:w="1361" w:type="dxa"/>
            <w:tcBorders>
              <w:top w:val="nil"/>
              <w:left w:val="single" w:sz="4" w:space="0" w:color="auto"/>
              <w:bottom w:val="nil"/>
              <w:right w:val="single" w:sz="4" w:space="0" w:color="auto"/>
            </w:tcBorders>
            <w:hideMark/>
          </w:tcPr>
          <w:p w14:paraId="108B5B54" w14:textId="56D7F688"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4D3B5EFC"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30 Mbps</w:t>
            </w:r>
          </w:p>
        </w:tc>
        <w:tc>
          <w:tcPr>
            <w:tcW w:w="1601" w:type="dxa"/>
            <w:hideMark/>
          </w:tcPr>
          <w:p w14:paraId="79B7CF99" w14:textId="195741E3"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2B35DEA4" w14:textId="77777777" w:rsidTr="002D46C1">
        <w:trPr>
          <w:trHeight w:val="465"/>
        </w:trPr>
        <w:tc>
          <w:tcPr>
            <w:tcW w:w="2381" w:type="dxa"/>
            <w:hideMark/>
          </w:tcPr>
          <w:p w14:paraId="7F0F78DB"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256 Kbps</w:t>
            </w:r>
          </w:p>
        </w:tc>
        <w:tc>
          <w:tcPr>
            <w:tcW w:w="1601" w:type="dxa"/>
            <w:tcBorders>
              <w:right w:val="single" w:sz="4" w:space="0" w:color="auto"/>
            </w:tcBorders>
            <w:hideMark/>
          </w:tcPr>
          <w:p w14:paraId="0F9C5575" w14:textId="307871DD"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$2,331.82 </w:t>
            </w:r>
          </w:p>
        </w:tc>
        <w:tc>
          <w:tcPr>
            <w:tcW w:w="1361" w:type="dxa"/>
            <w:tcBorders>
              <w:top w:val="nil"/>
              <w:left w:val="single" w:sz="4" w:space="0" w:color="auto"/>
              <w:bottom w:val="nil"/>
              <w:right w:val="single" w:sz="4" w:space="0" w:color="auto"/>
            </w:tcBorders>
            <w:hideMark/>
          </w:tcPr>
          <w:p w14:paraId="7B87328E" w14:textId="2C96BFDF"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0CAB759D" w14:textId="119E0326"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Ethernet </w:t>
            </w:r>
            <w:r w:rsidR="008C5D4C" w:rsidRPr="00FD7BCF">
              <w:rPr>
                <w:rFonts w:ascii="ITC Avant Garde" w:eastAsia="Times New Roman" w:hAnsi="ITC Avant Garde"/>
                <w:sz w:val="20"/>
                <w:szCs w:val="20"/>
                <w:lang w:eastAsia="es-MX"/>
              </w:rPr>
              <w:t xml:space="preserve">40 </w:t>
            </w:r>
            <w:r w:rsidR="00F56C32" w:rsidRPr="00FD7BCF">
              <w:rPr>
                <w:rFonts w:ascii="ITC Avant Garde" w:eastAsia="Times New Roman" w:hAnsi="ITC Avant Garde"/>
                <w:sz w:val="20"/>
                <w:szCs w:val="20"/>
                <w:lang w:eastAsia="es-MX"/>
              </w:rPr>
              <w:t>Mbps</w:t>
            </w:r>
          </w:p>
        </w:tc>
        <w:tc>
          <w:tcPr>
            <w:tcW w:w="1601" w:type="dxa"/>
            <w:hideMark/>
          </w:tcPr>
          <w:p w14:paraId="28CBBD9C" w14:textId="59ED7738"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03BAE601" w14:textId="77777777" w:rsidTr="002D46C1">
        <w:trPr>
          <w:trHeight w:val="465"/>
        </w:trPr>
        <w:tc>
          <w:tcPr>
            <w:tcW w:w="2381" w:type="dxa"/>
            <w:hideMark/>
          </w:tcPr>
          <w:p w14:paraId="4CAB12AB"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384 Kbps</w:t>
            </w:r>
          </w:p>
        </w:tc>
        <w:tc>
          <w:tcPr>
            <w:tcW w:w="1601" w:type="dxa"/>
            <w:tcBorders>
              <w:right w:val="single" w:sz="4" w:space="0" w:color="auto"/>
            </w:tcBorders>
            <w:hideMark/>
          </w:tcPr>
          <w:p w14:paraId="59F802D6" w14:textId="29DAF61D"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$2,665.07 </w:t>
            </w:r>
          </w:p>
        </w:tc>
        <w:tc>
          <w:tcPr>
            <w:tcW w:w="1361" w:type="dxa"/>
            <w:tcBorders>
              <w:top w:val="nil"/>
              <w:left w:val="single" w:sz="4" w:space="0" w:color="auto"/>
              <w:bottom w:val="nil"/>
              <w:right w:val="single" w:sz="4" w:space="0" w:color="auto"/>
            </w:tcBorders>
            <w:hideMark/>
          </w:tcPr>
          <w:p w14:paraId="1A91A7FB" w14:textId="6BD3F23D"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60E612A9"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50 Mbps</w:t>
            </w:r>
          </w:p>
        </w:tc>
        <w:tc>
          <w:tcPr>
            <w:tcW w:w="1601" w:type="dxa"/>
            <w:hideMark/>
          </w:tcPr>
          <w:p w14:paraId="7566CC5C" w14:textId="5CE5AB4F"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172D35A5" w14:textId="77777777" w:rsidTr="002D46C1">
        <w:trPr>
          <w:trHeight w:val="465"/>
        </w:trPr>
        <w:tc>
          <w:tcPr>
            <w:tcW w:w="2381" w:type="dxa"/>
            <w:hideMark/>
          </w:tcPr>
          <w:p w14:paraId="34165C27"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512 Kbps</w:t>
            </w:r>
          </w:p>
        </w:tc>
        <w:tc>
          <w:tcPr>
            <w:tcW w:w="1601" w:type="dxa"/>
            <w:tcBorders>
              <w:right w:val="single" w:sz="4" w:space="0" w:color="auto"/>
            </w:tcBorders>
            <w:hideMark/>
          </w:tcPr>
          <w:p w14:paraId="58DA08F3" w14:textId="5BF2F0D2"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$2,998.01 </w:t>
            </w:r>
          </w:p>
        </w:tc>
        <w:tc>
          <w:tcPr>
            <w:tcW w:w="1361" w:type="dxa"/>
            <w:tcBorders>
              <w:top w:val="nil"/>
              <w:left w:val="single" w:sz="4" w:space="0" w:color="auto"/>
              <w:bottom w:val="nil"/>
              <w:right w:val="single" w:sz="4" w:space="0" w:color="auto"/>
            </w:tcBorders>
            <w:hideMark/>
          </w:tcPr>
          <w:p w14:paraId="3F9648BD" w14:textId="08E2AEF6"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03715B2C"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60 Mbps</w:t>
            </w:r>
          </w:p>
        </w:tc>
        <w:tc>
          <w:tcPr>
            <w:tcW w:w="1601" w:type="dxa"/>
            <w:hideMark/>
          </w:tcPr>
          <w:p w14:paraId="2EC358AA" w14:textId="7AB6CF90"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1068CCEF" w14:textId="77777777" w:rsidTr="002D46C1">
        <w:trPr>
          <w:trHeight w:val="465"/>
        </w:trPr>
        <w:tc>
          <w:tcPr>
            <w:tcW w:w="2381" w:type="dxa"/>
            <w:hideMark/>
          </w:tcPr>
          <w:p w14:paraId="3C6FC426"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768 Kbps</w:t>
            </w:r>
          </w:p>
        </w:tc>
        <w:tc>
          <w:tcPr>
            <w:tcW w:w="1601" w:type="dxa"/>
            <w:tcBorders>
              <w:right w:val="single" w:sz="4" w:space="0" w:color="auto"/>
            </w:tcBorders>
            <w:hideMark/>
          </w:tcPr>
          <w:p w14:paraId="26C4AB0A" w14:textId="3E04A6F6"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$3,331.26 </w:t>
            </w:r>
          </w:p>
        </w:tc>
        <w:tc>
          <w:tcPr>
            <w:tcW w:w="1361" w:type="dxa"/>
            <w:tcBorders>
              <w:top w:val="nil"/>
              <w:left w:val="single" w:sz="4" w:space="0" w:color="auto"/>
              <w:bottom w:val="nil"/>
              <w:right w:val="single" w:sz="4" w:space="0" w:color="auto"/>
            </w:tcBorders>
            <w:hideMark/>
          </w:tcPr>
          <w:p w14:paraId="61E2722D" w14:textId="2A77105D"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4743167E"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70 Mbps</w:t>
            </w:r>
          </w:p>
        </w:tc>
        <w:tc>
          <w:tcPr>
            <w:tcW w:w="1601" w:type="dxa"/>
            <w:hideMark/>
          </w:tcPr>
          <w:p w14:paraId="73C2BA0F" w14:textId="17CDA13D"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260EE7D3" w14:textId="77777777" w:rsidTr="002D46C1">
        <w:trPr>
          <w:trHeight w:val="465"/>
        </w:trPr>
        <w:tc>
          <w:tcPr>
            <w:tcW w:w="2381" w:type="dxa"/>
            <w:hideMark/>
          </w:tcPr>
          <w:p w14:paraId="1F8AAD7D"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1024 Kbps</w:t>
            </w:r>
          </w:p>
        </w:tc>
        <w:tc>
          <w:tcPr>
            <w:tcW w:w="1601" w:type="dxa"/>
            <w:tcBorders>
              <w:right w:val="single" w:sz="4" w:space="0" w:color="auto"/>
            </w:tcBorders>
            <w:hideMark/>
          </w:tcPr>
          <w:p w14:paraId="262E64E3" w14:textId="52E39B4F"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$3,664.51 </w:t>
            </w:r>
          </w:p>
        </w:tc>
        <w:tc>
          <w:tcPr>
            <w:tcW w:w="1361" w:type="dxa"/>
            <w:tcBorders>
              <w:top w:val="nil"/>
              <w:left w:val="single" w:sz="4" w:space="0" w:color="auto"/>
              <w:bottom w:val="nil"/>
              <w:right w:val="single" w:sz="4" w:space="0" w:color="auto"/>
            </w:tcBorders>
            <w:hideMark/>
          </w:tcPr>
          <w:p w14:paraId="5CE10F16" w14:textId="6956DC9A"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410CA8CB"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80 Mbps</w:t>
            </w:r>
          </w:p>
        </w:tc>
        <w:tc>
          <w:tcPr>
            <w:tcW w:w="1601" w:type="dxa"/>
            <w:hideMark/>
          </w:tcPr>
          <w:p w14:paraId="1DB43982" w14:textId="1DF135A3"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2A42CD52" w14:textId="77777777" w:rsidTr="002D46C1">
        <w:trPr>
          <w:trHeight w:val="465"/>
        </w:trPr>
        <w:tc>
          <w:tcPr>
            <w:tcW w:w="2381" w:type="dxa"/>
            <w:hideMark/>
          </w:tcPr>
          <w:p w14:paraId="24E05AF4"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E1 (2 Mbps)</w:t>
            </w:r>
          </w:p>
        </w:tc>
        <w:tc>
          <w:tcPr>
            <w:tcW w:w="1601" w:type="dxa"/>
            <w:tcBorders>
              <w:right w:val="single" w:sz="4" w:space="0" w:color="auto"/>
            </w:tcBorders>
            <w:hideMark/>
          </w:tcPr>
          <w:p w14:paraId="4E0DF930" w14:textId="250E41A1"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$5,716.40 </w:t>
            </w:r>
          </w:p>
        </w:tc>
        <w:tc>
          <w:tcPr>
            <w:tcW w:w="1361" w:type="dxa"/>
            <w:tcBorders>
              <w:top w:val="nil"/>
              <w:left w:val="single" w:sz="4" w:space="0" w:color="auto"/>
              <w:bottom w:val="nil"/>
              <w:right w:val="single" w:sz="4" w:space="0" w:color="auto"/>
            </w:tcBorders>
            <w:hideMark/>
          </w:tcPr>
          <w:p w14:paraId="091D8946" w14:textId="58EC2FDE"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4D27E5F2"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90 Mbps</w:t>
            </w:r>
          </w:p>
        </w:tc>
        <w:tc>
          <w:tcPr>
            <w:tcW w:w="1601" w:type="dxa"/>
            <w:hideMark/>
          </w:tcPr>
          <w:p w14:paraId="0EAD5281" w14:textId="75E2D9D8"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$38,750.00 </w:t>
            </w:r>
          </w:p>
        </w:tc>
      </w:tr>
      <w:tr w:rsidR="00FD7BCF" w:rsidRPr="00FD7BCF" w14:paraId="7C04F864" w14:textId="77777777" w:rsidTr="002D46C1">
        <w:trPr>
          <w:trHeight w:val="465"/>
        </w:trPr>
        <w:tc>
          <w:tcPr>
            <w:tcW w:w="2381" w:type="dxa"/>
            <w:hideMark/>
          </w:tcPr>
          <w:p w14:paraId="5FCB8DF1"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E2 (8 Mbps)</w:t>
            </w:r>
          </w:p>
        </w:tc>
        <w:tc>
          <w:tcPr>
            <w:tcW w:w="1601" w:type="dxa"/>
            <w:tcBorders>
              <w:right w:val="single" w:sz="4" w:space="0" w:color="auto"/>
            </w:tcBorders>
            <w:hideMark/>
          </w:tcPr>
          <w:p w14:paraId="1F113783" w14:textId="5700C91E"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$22,865.60 </w:t>
            </w:r>
          </w:p>
        </w:tc>
        <w:tc>
          <w:tcPr>
            <w:tcW w:w="1361" w:type="dxa"/>
            <w:tcBorders>
              <w:top w:val="nil"/>
              <w:left w:val="single" w:sz="4" w:space="0" w:color="auto"/>
              <w:bottom w:val="nil"/>
              <w:right w:val="single" w:sz="4" w:space="0" w:color="auto"/>
            </w:tcBorders>
            <w:hideMark/>
          </w:tcPr>
          <w:p w14:paraId="728B51B6" w14:textId="438AB10E"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65CAAB00"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100 Mbps</w:t>
            </w:r>
          </w:p>
        </w:tc>
        <w:tc>
          <w:tcPr>
            <w:tcW w:w="1601" w:type="dxa"/>
            <w:hideMark/>
          </w:tcPr>
          <w:p w14:paraId="2B0F10D1" w14:textId="4418D6B9"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35ADEECE" w14:textId="77777777" w:rsidTr="002D46C1">
        <w:trPr>
          <w:trHeight w:val="465"/>
        </w:trPr>
        <w:tc>
          <w:tcPr>
            <w:tcW w:w="2381" w:type="dxa"/>
            <w:hideMark/>
          </w:tcPr>
          <w:p w14:paraId="65BA05B1"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E4 (139 Mbps) </w:t>
            </w:r>
          </w:p>
        </w:tc>
        <w:tc>
          <w:tcPr>
            <w:tcW w:w="1601" w:type="dxa"/>
            <w:tcBorders>
              <w:right w:val="single" w:sz="4" w:space="0" w:color="auto"/>
            </w:tcBorders>
            <w:hideMark/>
          </w:tcPr>
          <w:p w14:paraId="2C7950C3" w14:textId="085B6E6A"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$127,589.49 </w:t>
            </w:r>
          </w:p>
        </w:tc>
        <w:tc>
          <w:tcPr>
            <w:tcW w:w="1361" w:type="dxa"/>
            <w:tcBorders>
              <w:top w:val="nil"/>
              <w:left w:val="single" w:sz="4" w:space="0" w:color="auto"/>
              <w:bottom w:val="nil"/>
              <w:right w:val="single" w:sz="4" w:space="0" w:color="auto"/>
            </w:tcBorders>
            <w:hideMark/>
          </w:tcPr>
          <w:p w14:paraId="451C0D2D" w14:textId="310A7A5A"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603243FF"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100 Mbps</w:t>
            </w:r>
          </w:p>
        </w:tc>
        <w:tc>
          <w:tcPr>
            <w:tcW w:w="1601" w:type="dxa"/>
            <w:hideMark/>
          </w:tcPr>
          <w:p w14:paraId="036786E0" w14:textId="0A283890"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2F546724" w14:textId="77777777" w:rsidTr="002D46C1">
        <w:trPr>
          <w:trHeight w:val="465"/>
        </w:trPr>
        <w:tc>
          <w:tcPr>
            <w:tcW w:w="2381" w:type="dxa"/>
            <w:hideMark/>
          </w:tcPr>
          <w:p w14:paraId="6CAF2DD9"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1 (155 Mbps) </w:t>
            </w:r>
          </w:p>
        </w:tc>
        <w:tc>
          <w:tcPr>
            <w:tcW w:w="1601" w:type="dxa"/>
            <w:tcBorders>
              <w:right w:val="single" w:sz="4" w:space="0" w:color="auto"/>
            </w:tcBorders>
            <w:hideMark/>
          </w:tcPr>
          <w:p w14:paraId="177ED5F2" w14:textId="507DC58A"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$127,589.49 </w:t>
            </w:r>
          </w:p>
        </w:tc>
        <w:tc>
          <w:tcPr>
            <w:tcW w:w="1361" w:type="dxa"/>
            <w:tcBorders>
              <w:top w:val="nil"/>
              <w:left w:val="single" w:sz="4" w:space="0" w:color="auto"/>
              <w:bottom w:val="nil"/>
              <w:right w:val="single" w:sz="4" w:space="0" w:color="auto"/>
            </w:tcBorders>
            <w:hideMark/>
          </w:tcPr>
          <w:p w14:paraId="77E25EFB" w14:textId="1A71D410"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4262BA9F"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150 Mbps</w:t>
            </w:r>
          </w:p>
        </w:tc>
        <w:tc>
          <w:tcPr>
            <w:tcW w:w="1601" w:type="dxa"/>
            <w:hideMark/>
          </w:tcPr>
          <w:p w14:paraId="609E2DEA" w14:textId="3C119FF9"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4F5EEB14" w14:textId="77777777" w:rsidTr="002D46C1">
        <w:trPr>
          <w:trHeight w:val="465"/>
        </w:trPr>
        <w:tc>
          <w:tcPr>
            <w:tcW w:w="2381" w:type="dxa"/>
            <w:hideMark/>
          </w:tcPr>
          <w:p w14:paraId="54059097"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4 (622 Mbps) </w:t>
            </w:r>
          </w:p>
        </w:tc>
        <w:tc>
          <w:tcPr>
            <w:tcW w:w="1601" w:type="dxa"/>
            <w:tcBorders>
              <w:right w:val="single" w:sz="4" w:space="0" w:color="auto"/>
            </w:tcBorders>
            <w:hideMark/>
          </w:tcPr>
          <w:p w14:paraId="7488D9C1" w14:textId="4BBBBB6B"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$413,390.27 </w:t>
            </w:r>
          </w:p>
        </w:tc>
        <w:tc>
          <w:tcPr>
            <w:tcW w:w="1361" w:type="dxa"/>
            <w:tcBorders>
              <w:top w:val="nil"/>
              <w:left w:val="single" w:sz="4" w:space="0" w:color="auto"/>
              <w:bottom w:val="nil"/>
              <w:right w:val="single" w:sz="4" w:space="0" w:color="auto"/>
            </w:tcBorders>
            <w:hideMark/>
          </w:tcPr>
          <w:p w14:paraId="4116A657" w14:textId="1B4E883D"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1CF840BB"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200 Mbps</w:t>
            </w:r>
          </w:p>
        </w:tc>
        <w:tc>
          <w:tcPr>
            <w:tcW w:w="1601" w:type="dxa"/>
            <w:hideMark/>
          </w:tcPr>
          <w:p w14:paraId="7AD819B3" w14:textId="581FB215"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445BE715" w14:textId="77777777" w:rsidTr="002D46C1">
        <w:trPr>
          <w:trHeight w:val="465"/>
        </w:trPr>
        <w:tc>
          <w:tcPr>
            <w:tcW w:w="2381" w:type="dxa"/>
            <w:hideMark/>
          </w:tcPr>
          <w:p w14:paraId="076D2C45"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16 (2.5 </w:t>
            </w:r>
            <w:proofErr w:type="spellStart"/>
            <w:r w:rsidR="00244E59" w:rsidRPr="00FD7BCF">
              <w:rPr>
                <w:rFonts w:ascii="ITC Avant Garde" w:eastAsia="Times New Roman" w:hAnsi="ITC Avant Garde"/>
                <w:sz w:val="20"/>
                <w:szCs w:val="20"/>
                <w:lang w:eastAsia="es-MX"/>
              </w:rPr>
              <w:t>Gbps</w:t>
            </w:r>
            <w:proofErr w:type="spellEnd"/>
            <w:r w:rsidRPr="00FD7BCF">
              <w:rPr>
                <w:rFonts w:ascii="ITC Avant Garde" w:eastAsia="Times New Roman" w:hAnsi="ITC Avant Garde"/>
                <w:sz w:val="20"/>
                <w:szCs w:val="20"/>
                <w:lang w:eastAsia="es-MX"/>
              </w:rPr>
              <w:t xml:space="preserve">) </w:t>
            </w:r>
          </w:p>
        </w:tc>
        <w:tc>
          <w:tcPr>
            <w:tcW w:w="1601" w:type="dxa"/>
            <w:tcBorders>
              <w:right w:val="single" w:sz="4" w:space="0" w:color="auto"/>
            </w:tcBorders>
            <w:hideMark/>
          </w:tcPr>
          <w:p w14:paraId="024809EB" w14:textId="54ADF1E4"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$1,033,475.83 </w:t>
            </w:r>
          </w:p>
        </w:tc>
        <w:tc>
          <w:tcPr>
            <w:tcW w:w="1361" w:type="dxa"/>
            <w:tcBorders>
              <w:top w:val="nil"/>
              <w:left w:val="single" w:sz="4" w:space="0" w:color="auto"/>
              <w:bottom w:val="nil"/>
              <w:right w:val="single" w:sz="4" w:space="0" w:color="auto"/>
            </w:tcBorders>
            <w:hideMark/>
          </w:tcPr>
          <w:p w14:paraId="20B12E5A" w14:textId="71E104C7"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484BEC18"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250 Mbps</w:t>
            </w:r>
          </w:p>
        </w:tc>
        <w:tc>
          <w:tcPr>
            <w:tcW w:w="1601" w:type="dxa"/>
            <w:hideMark/>
          </w:tcPr>
          <w:p w14:paraId="23AD2472" w14:textId="0E09E6ED"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51C1CF63" w14:textId="77777777" w:rsidTr="002D46C1">
        <w:trPr>
          <w:trHeight w:val="465"/>
        </w:trPr>
        <w:tc>
          <w:tcPr>
            <w:tcW w:w="2381" w:type="dxa"/>
            <w:tcBorders>
              <w:bottom w:val="single" w:sz="4" w:space="0" w:color="auto"/>
            </w:tcBorders>
            <w:hideMark/>
          </w:tcPr>
          <w:p w14:paraId="14BCD6EA"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lastRenderedPageBreak/>
              <w:t xml:space="preserve">STM 64 (10 </w:t>
            </w:r>
            <w:proofErr w:type="spellStart"/>
            <w:r w:rsidR="00244E59" w:rsidRPr="00FD7BCF">
              <w:rPr>
                <w:rFonts w:ascii="ITC Avant Garde" w:eastAsia="Times New Roman" w:hAnsi="ITC Avant Garde"/>
                <w:sz w:val="20"/>
                <w:szCs w:val="20"/>
                <w:lang w:eastAsia="es-MX"/>
              </w:rPr>
              <w:t>Gbps</w:t>
            </w:r>
            <w:proofErr w:type="spellEnd"/>
            <w:r w:rsidRPr="00FD7BCF">
              <w:rPr>
                <w:rFonts w:ascii="ITC Avant Garde" w:eastAsia="Times New Roman" w:hAnsi="ITC Avant Garde"/>
                <w:sz w:val="20"/>
                <w:szCs w:val="20"/>
                <w:lang w:eastAsia="es-MX"/>
              </w:rPr>
              <w:t>)</w:t>
            </w:r>
          </w:p>
        </w:tc>
        <w:tc>
          <w:tcPr>
            <w:tcW w:w="1601" w:type="dxa"/>
            <w:tcBorders>
              <w:bottom w:val="single" w:sz="4" w:space="0" w:color="auto"/>
              <w:right w:val="single" w:sz="4" w:space="0" w:color="auto"/>
            </w:tcBorders>
            <w:hideMark/>
          </w:tcPr>
          <w:p w14:paraId="2B8D9105" w14:textId="3F7E8952"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$1,653,561.08 </w:t>
            </w:r>
          </w:p>
        </w:tc>
        <w:tc>
          <w:tcPr>
            <w:tcW w:w="1361" w:type="dxa"/>
            <w:tcBorders>
              <w:top w:val="nil"/>
              <w:left w:val="single" w:sz="4" w:space="0" w:color="auto"/>
              <w:bottom w:val="nil"/>
              <w:right w:val="single" w:sz="4" w:space="0" w:color="auto"/>
            </w:tcBorders>
            <w:hideMark/>
          </w:tcPr>
          <w:p w14:paraId="710147A0" w14:textId="3809FAFF"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5925CB05"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300 Mbps</w:t>
            </w:r>
          </w:p>
        </w:tc>
        <w:tc>
          <w:tcPr>
            <w:tcW w:w="1601" w:type="dxa"/>
            <w:hideMark/>
          </w:tcPr>
          <w:p w14:paraId="19EA6F70" w14:textId="5A429328"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2A22A3D0" w14:textId="77777777" w:rsidTr="002D46C1">
        <w:trPr>
          <w:trHeight w:val="465"/>
        </w:trPr>
        <w:tc>
          <w:tcPr>
            <w:tcW w:w="2381" w:type="dxa"/>
            <w:tcBorders>
              <w:bottom w:val="single" w:sz="4" w:space="0" w:color="auto"/>
            </w:tcBorders>
            <w:hideMark/>
          </w:tcPr>
          <w:p w14:paraId="133DEF8B"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STM 256 (40 </w:t>
            </w:r>
            <w:proofErr w:type="spellStart"/>
            <w:r w:rsidR="008C5D4C" w:rsidRPr="00FD7BCF">
              <w:rPr>
                <w:rFonts w:ascii="ITC Avant Garde" w:eastAsia="Times New Roman" w:hAnsi="ITC Avant Garde"/>
                <w:sz w:val="20"/>
                <w:szCs w:val="20"/>
                <w:lang w:eastAsia="es-MX"/>
              </w:rPr>
              <w:t>G</w:t>
            </w:r>
            <w:r w:rsidRPr="00FD7BCF">
              <w:rPr>
                <w:rFonts w:ascii="ITC Avant Garde" w:eastAsia="Times New Roman" w:hAnsi="ITC Avant Garde"/>
                <w:sz w:val="20"/>
                <w:szCs w:val="20"/>
                <w:lang w:eastAsia="es-MX"/>
              </w:rPr>
              <w:t>bps</w:t>
            </w:r>
            <w:proofErr w:type="spellEnd"/>
            <w:r w:rsidRPr="00FD7BCF">
              <w:rPr>
                <w:rFonts w:ascii="ITC Avant Garde" w:eastAsia="Times New Roman" w:hAnsi="ITC Avant Garde"/>
                <w:sz w:val="20"/>
                <w:szCs w:val="20"/>
                <w:lang w:eastAsia="es-MX"/>
              </w:rPr>
              <w:t xml:space="preserve">) </w:t>
            </w:r>
          </w:p>
        </w:tc>
        <w:tc>
          <w:tcPr>
            <w:tcW w:w="1601" w:type="dxa"/>
            <w:tcBorders>
              <w:bottom w:val="single" w:sz="4" w:space="0" w:color="auto"/>
              <w:right w:val="single" w:sz="4" w:space="0" w:color="auto"/>
            </w:tcBorders>
            <w:hideMark/>
          </w:tcPr>
          <w:p w14:paraId="4A1B7486" w14:textId="4095723D"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$6,614,244.32 </w:t>
            </w:r>
          </w:p>
        </w:tc>
        <w:tc>
          <w:tcPr>
            <w:tcW w:w="1361" w:type="dxa"/>
            <w:tcBorders>
              <w:top w:val="nil"/>
              <w:left w:val="single" w:sz="4" w:space="0" w:color="auto"/>
              <w:bottom w:val="nil"/>
              <w:right w:val="single" w:sz="4" w:space="0" w:color="auto"/>
            </w:tcBorders>
            <w:hideMark/>
          </w:tcPr>
          <w:p w14:paraId="1A520808" w14:textId="53EF0B7D" w:rsidR="0017127F"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580ADC18" w14:textId="77777777" w:rsidR="0017127F" w:rsidRPr="00FD7BCF" w:rsidRDefault="0017127F"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350 Mbps</w:t>
            </w:r>
          </w:p>
        </w:tc>
        <w:tc>
          <w:tcPr>
            <w:tcW w:w="1601" w:type="dxa"/>
            <w:hideMark/>
          </w:tcPr>
          <w:p w14:paraId="33AA5F9C" w14:textId="0A3242E9" w:rsidR="0017127F" w:rsidRPr="00FD7BCF" w:rsidRDefault="0017127F"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39E544A9" w14:textId="77777777" w:rsidTr="002D46C1">
        <w:trPr>
          <w:trHeight w:val="465"/>
        </w:trPr>
        <w:tc>
          <w:tcPr>
            <w:tcW w:w="2381" w:type="dxa"/>
            <w:tcBorders>
              <w:top w:val="single" w:sz="4" w:space="0" w:color="auto"/>
              <w:left w:val="nil"/>
              <w:bottom w:val="nil"/>
              <w:right w:val="nil"/>
            </w:tcBorders>
            <w:hideMark/>
          </w:tcPr>
          <w:p w14:paraId="31C475AE" w14:textId="1D5174D9"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1" w:type="dxa"/>
            <w:tcBorders>
              <w:top w:val="single" w:sz="4" w:space="0" w:color="auto"/>
              <w:left w:val="nil"/>
              <w:bottom w:val="nil"/>
              <w:right w:val="nil"/>
            </w:tcBorders>
            <w:hideMark/>
          </w:tcPr>
          <w:p w14:paraId="58E356F9" w14:textId="27033239"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361" w:type="dxa"/>
            <w:tcBorders>
              <w:top w:val="nil"/>
              <w:left w:val="nil"/>
              <w:bottom w:val="nil"/>
              <w:right w:val="single" w:sz="4" w:space="0" w:color="auto"/>
            </w:tcBorders>
            <w:hideMark/>
          </w:tcPr>
          <w:p w14:paraId="248C623B" w14:textId="2FF42888"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38A127C2" w14:textId="77777777" w:rsidR="00903F78" w:rsidRPr="00FD7BCF" w:rsidRDefault="00903F78"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400 Mbps</w:t>
            </w:r>
          </w:p>
        </w:tc>
        <w:tc>
          <w:tcPr>
            <w:tcW w:w="1601" w:type="dxa"/>
            <w:hideMark/>
          </w:tcPr>
          <w:p w14:paraId="197F0B68" w14:textId="3CC27F19" w:rsidR="00903F78" w:rsidRPr="00FD7BCF" w:rsidRDefault="00903F78"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FD7BCF" w14:paraId="2C52AF47" w14:textId="77777777" w:rsidTr="002D46C1">
        <w:trPr>
          <w:trHeight w:val="465"/>
        </w:trPr>
        <w:tc>
          <w:tcPr>
            <w:tcW w:w="2381" w:type="dxa"/>
            <w:tcBorders>
              <w:top w:val="nil"/>
              <w:left w:val="nil"/>
              <w:bottom w:val="nil"/>
              <w:right w:val="nil"/>
            </w:tcBorders>
            <w:hideMark/>
          </w:tcPr>
          <w:p w14:paraId="2B87E3DC" w14:textId="6EC4E57F"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1" w:type="dxa"/>
            <w:tcBorders>
              <w:top w:val="nil"/>
              <w:left w:val="nil"/>
              <w:bottom w:val="nil"/>
              <w:right w:val="nil"/>
            </w:tcBorders>
            <w:hideMark/>
          </w:tcPr>
          <w:p w14:paraId="173D27F2" w14:textId="29E66AE7" w:rsidR="00903F78"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1361" w:type="dxa"/>
            <w:tcBorders>
              <w:top w:val="nil"/>
              <w:left w:val="nil"/>
              <w:bottom w:val="nil"/>
              <w:right w:val="single" w:sz="4" w:space="0" w:color="auto"/>
            </w:tcBorders>
            <w:hideMark/>
          </w:tcPr>
          <w:p w14:paraId="20322B29" w14:textId="73D5233D" w:rsidR="00903F78" w:rsidRPr="002D46C1" w:rsidRDefault="002D46C1" w:rsidP="00B42019">
            <w:pPr>
              <w:spacing w:after="0" w:line="276" w:lineRule="auto"/>
              <w:jc w:val="center"/>
              <w:rPr>
                <w:rFonts w:ascii="Times New Roman" w:eastAsia="Times New Roman" w:hAnsi="Times New Roman"/>
                <w:sz w:val="2"/>
                <w:szCs w:val="2"/>
                <w:lang w:eastAsia="es-MX"/>
              </w:rPr>
            </w:pPr>
            <w:r w:rsidRPr="002D46C1">
              <w:rPr>
                <w:rFonts w:ascii="Times New Roman" w:eastAsia="Times New Roman" w:hAnsi="Times New Roman"/>
                <w:sz w:val="2"/>
                <w:szCs w:val="2"/>
                <w:lang w:eastAsia="es-MX"/>
              </w:rPr>
              <w:t>.</w:t>
            </w:r>
          </w:p>
        </w:tc>
        <w:tc>
          <w:tcPr>
            <w:tcW w:w="2381" w:type="dxa"/>
            <w:tcBorders>
              <w:left w:val="single" w:sz="4" w:space="0" w:color="auto"/>
            </w:tcBorders>
            <w:hideMark/>
          </w:tcPr>
          <w:p w14:paraId="3FAE78DF" w14:textId="77777777" w:rsidR="00903F78" w:rsidRPr="00FD7BCF" w:rsidRDefault="00903F78"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450 Mbps</w:t>
            </w:r>
          </w:p>
        </w:tc>
        <w:tc>
          <w:tcPr>
            <w:tcW w:w="1601" w:type="dxa"/>
            <w:hideMark/>
          </w:tcPr>
          <w:p w14:paraId="235FC699" w14:textId="0715DCFD" w:rsidR="00903F78" w:rsidRPr="00FD7BCF" w:rsidRDefault="00903F78"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2D46C1" w14:paraId="1B114368" w14:textId="77777777" w:rsidTr="002D46C1">
        <w:trPr>
          <w:trHeight w:val="465"/>
        </w:trPr>
        <w:tc>
          <w:tcPr>
            <w:tcW w:w="2381" w:type="dxa"/>
            <w:tcBorders>
              <w:top w:val="nil"/>
              <w:left w:val="nil"/>
              <w:bottom w:val="nil"/>
              <w:right w:val="nil"/>
            </w:tcBorders>
            <w:hideMark/>
          </w:tcPr>
          <w:p w14:paraId="7B1B0C82" w14:textId="08BE4C72"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1" w:type="dxa"/>
            <w:tcBorders>
              <w:top w:val="nil"/>
              <w:left w:val="nil"/>
              <w:bottom w:val="nil"/>
              <w:right w:val="nil"/>
            </w:tcBorders>
            <w:hideMark/>
          </w:tcPr>
          <w:p w14:paraId="57BBCFA3" w14:textId="5EDBE3EA"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361" w:type="dxa"/>
            <w:tcBorders>
              <w:top w:val="nil"/>
              <w:left w:val="nil"/>
              <w:bottom w:val="nil"/>
              <w:right w:val="single" w:sz="4" w:space="0" w:color="auto"/>
            </w:tcBorders>
            <w:hideMark/>
          </w:tcPr>
          <w:p w14:paraId="5B197628" w14:textId="52471D2C"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7AD6C37B" w14:textId="77777777" w:rsidR="00903F78" w:rsidRPr="00FD7BCF" w:rsidRDefault="00903F78"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500 Mbps</w:t>
            </w:r>
          </w:p>
        </w:tc>
        <w:tc>
          <w:tcPr>
            <w:tcW w:w="1601" w:type="dxa"/>
            <w:hideMark/>
          </w:tcPr>
          <w:p w14:paraId="1C16358E" w14:textId="361281D1" w:rsidR="00903F78" w:rsidRPr="00FD7BCF" w:rsidRDefault="00903F78"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2D46C1" w14:paraId="185FDFF4" w14:textId="77777777" w:rsidTr="00E9428F">
        <w:trPr>
          <w:trHeight w:val="465"/>
        </w:trPr>
        <w:tc>
          <w:tcPr>
            <w:tcW w:w="2381" w:type="dxa"/>
            <w:tcBorders>
              <w:top w:val="nil"/>
              <w:left w:val="nil"/>
              <w:bottom w:val="nil"/>
              <w:right w:val="nil"/>
            </w:tcBorders>
            <w:vAlign w:val="center"/>
            <w:hideMark/>
          </w:tcPr>
          <w:p w14:paraId="0053B6D1" w14:textId="7F0CDE8B" w:rsidR="00903F78" w:rsidRPr="002D46C1" w:rsidRDefault="002D46C1" w:rsidP="00E9428F">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1" w:type="dxa"/>
            <w:tcBorders>
              <w:top w:val="nil"/>
              <w:left w:val="nil"/>
              <w:bottom w:val="nil"/>
              <w:right w:val="nil"/>
            </w:tcBorders>
            <w:vAlign w:val="center"/>
            <w:hideMark/>
          </w:tcPr>
          <w:p w14:paraId="26990EB9" w14:textId="7AB78671" w:rsidR="00903F78" w:rsidRPr="002D46C1" w:rsidRDefault="002D46C1" w:rsidP="00E9428F">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361" w:type="dxa"/>
            <w:tcBorders>
              <w:top w:val="nil"/>
              <w:left w:val="nil"/>
              <w:bottom w:val="nil"/>
              <w:right w:val="single" w:sz="4" w:space="0" w:color="auto"/>
            </w:tcBorders>
            <w:vAlign w:val="center"/>
            <w:hideMark/>
          </w:tcPr>
          <w:p w14:paraId="58D69BC9" w14:textId="2EBC6AD6" w:rsidR="00903F78" w:rsidRPr="002D46C1" w:rsidRDefault="002D46C1" w:rsidP="00E9428F">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vAlign w:val="center"/>
            <w:hideMark/>
          </w:tcPr>
          <w:p w14:paraId="3C23484F" w14:textId="77777777" w:rsidR="00903F78" w:rsidRPr="00FD7BCF" w:rsidRDefault="00903F78" w:rsidP="00E9428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550 Mbps</w:t>
            </w:r>
          </w:p>
        </w:tc>
        <w:tc>
          <w:tcPr>
            <w:tcW w:w="1601" w:type="dxa"/>
            <w:vAlign w:val="center"/>
            <w:hideMark/>
          </w:tcPr>
          <w:p w14:paraId="3099D3D2" w14:textId="0BBBC408" w:rsidR="00903F78" w:rsidRPr="00FD7BCF" w:rsidRDefault="00903F78" w:rsidP="00E9428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$77,500.00</w:t>
            </w:r>
          </w:p>
        </w:tc>
      </w:tr>
      <w:tr w:rsidR="00FD7BCF" w:rsidRPr="002D46C1" w14:paraId="3685F892" w14:textId="77777777" w:rsidTr="002D46C1">
        <w:trPr>
          <w:trHeight w:val="465"/>
        </w:trPr>
        <w:tc>
          <w:tcPr>
            <w:tcW w:w="2381" w:type="dxa"/>
            <w:tcBorders>
              <w:top w:val="nil"/>
              <w:left w:val="nil"/>
              <w:bottom w:val="nil"/>
              <w:right w:val="nil"/>
            </w:tcBorders>
            <w:hideMark/>
          </w:tcPr>
          <w:p w14:paraId="311F641D" w14:textId="3161BFA9"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1" w:type="dxa"/>
            <w:tcBorders>
              <w:top w:val="nil"/>
              <w:left w:val="nil"/>
              <w:bottom w:val="nil"/>
              <w:right w:val="nil"/>
            </w:tcBorders>
            <w:hideMark/>
          </w:tcPr>
          <w:p w14:paraId="1C508986" w14:textId="7C8392E8"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361" w:type="dxa"/>
            <w:tcBorders>
              <w:top w:val="nil"/>
              <w:left w:val="nil"/>
              <w:bottom w:val="nil"/>
              <w:right w:val="single" w:sz="4" w:space="0" w:color="auto"/>
            </w:tcBorders>
            <w:hideMark/>
          </w:tcPr>
          <w:p w14:paraId="58B89D1D" w14:textId="0D984C61"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3D704DA8" w14:textId="77777777" w:rsidR="00903F78" w:rsidRPr="00FD7BCF" w:rsidRDefault="00903F78"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600 Mbps</w:t>
            </w:r>
          </w:p>
        </w:tc>
        <w:tc>
          <w:tcPr>
            <w:tcW w:w="1601" w:type="dxa"/>
            <w:hideMark/>
          </w:tcPr>
          <w:p w14:paraId="186003FE" w14:textId="3C322492" w:rsidR="00903F78" w:rsidRPr="00FD7BCF" w:rsidRDefault="00903F78"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2D46C1" w14:paraId="40A42278" w14:textId="77777777" w:rsidTr="002D46C1">
        <w:trPr>
          <w:trHeight w:val="465"/>
        </w:trPr>
        <w:tc>
          <w:tcPr>
            <w:tcW w:w="2381" w:type="dxa"/>
            <w:tcBorders>
              <w:top w:val="nil"/>
              <w:left w:val="nil"/>
              <w:bottom w:val="nil"/>
              <w:right w:val="nil"/>
            </w:tcBorders>
            <w:hideMark/>
          </w:tcPr>
          <w:p w14:paraId="4C9DD5F3" w14:textId="72EB24F8"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1" w:type="dxa"/>
            <w:tcBorders>
              <w:top w:val="nil"/>
              <w:left w:val="nil"/>
              <w:bottom w:val="nil"/>
              <w:right w:val="nil"/>
            </w:tcBorders>
            <w:hideMark/>
          </w:tcPr>
          <w:p w14:paraId="5E25AE1B" w14:textId="70781055"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361" w:type="dxa"/>
            <w:tcBorders>
              <w:top w:val="nil"/>
              <w:left w:val="nil"/>
              <w:bottom w:val="nil"/>
              <w:right w:val="single" w:sz="4" w:space="0" w:color="auto"/>
            </w:tcBorders>
            <w:hideMark/>
          </w:tcPr>
          <w:p w14:paraId="6695320D" w14:textId="67326B9E"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04ADFA50" w14:textId="77777777" w:rsidR="00903F78" w:rsidRPr="00FD7BCF" w:rsidRDefault="00903F78"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750 Mbps</w:t>
            </w:r>
          </w:p>
        </w:tc>
        <w:tc>
          <w:tcPr>
            <w:tcW w:w="1601" w:type="dxa"/>
            <w:hideMark/>
          </w:tcPr>
          <w:p w14:paraId="21687D85" w14:textId="7545EBA1" w:rsidR="00903F78" w:rsidRPr="00FD7BCF" w:rsidRDefault="00903F78"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2D46C1" w14:paraId="14FD8715" w14:textId="77777777" w:rsidTr="002D46C1">
        <w:trPr>
          <w:trHeight w:val="450"/>
        </w:trPr>
        <w:tc>
          <w:tcPr>
            <w:tcW w:w="2381" w:type="dxa"/>
            <w:tcBorders>
              <w:top w:val="nil"/>
              <w:left w:val="nil"/>
              <w:bottom w:val="nil"/>
              <w:right w:val="nil"/>
            </w:tcBorders>
            <w:hideMark/>
          </w:tcPr>
          <w:p w14:paraId="73CB368C" w14:textId="13F910FD"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1" w:type="dxa"/>
            <w:tcBorders>
              <w:top w:val="nil"/>
              <w:left w:val="nil"/>
              <w:bottom w:val="nil"/>
              <w:right w:val="nil"/>
            </w:tcBorders>
            <w:hideMark/>
          </w:tcPr>
          <w:p w14:paraId="55F89AB6" w14:textId="3F213DCA"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361" w:type="dxa"/>
            <w:tcBorders>
              <w:top w:val="nil"/>
              <w:left w:val="nil"/>
              <w:bottom w:val="nil"/>
              <w:right w:val="single" w:sz="4" w:space="0" w:color="auto"/>
            </w:tcBorders>
            <w:hideMark/>
          </w:tcPr>
          <w:p w14:paraId="3D5409B7" w14:textId="2C6279DA"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5C0583E6" w14:textId="77777777" w:rsidR="00903F78" w:rsidRPr="00FD7BCF" w:rsidRDefault="00903F78"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1 </w:t>
            </w:r>
            <w:proofErr w:type="spellStart"/>
            <w:r w:rsidRPr="00FD7BCF">
              <w:rPr>
                <w:rFonts w:ascii="ITC Avant Garde" w:eastAsia="Times New Roman" w:hAnsi="ITC Avant Garde"/>
                <w:sz w:val="20"/>
                <w:szCs w:val="20"/>
                <w:lang w:eastAsia="es-MX"/>
              </w:rPr>
              <w:t>Gbps</w:t>
            </w:r>
            <w:proofErr w:type="spellEnd"/>
          </w:p>
        </w:tc>
        <w:tc>
          <w:tcPr>
            <w:tcW w:w="1601" w:type="dxa"/>
            <w:hideMark/>
          </w:tcPr>
          <w:p w14:paraId="5AA20743" w14:textId="235828F7" w:rsidR="00903F78" w:rsidRPr="00FD7BCF" w:rsidRDefault="00903F78"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2D46C1" w14:paraId="6CA9B502" w14:textId="77777777" w:rsidTr="002D46C1">
        <w:trPr>
          <w:trHeight w:val="450"/>
        </w:trPr>
        <w:tc>
          <w:tcPr>
            <w:tcW w:w="2381" w:type="dxa"/>
            <w:tcBorders>
              <w:top w:val="nil"/>
              <w:left w:val="nil"/>
              <w:bottom w:val="nil"/>
              <w:right w:val="nil"/>
            </w:tcBorders>
            <w:hideMark/>
          </w:tcPr>
          <w:p w14:paraId="5D340020" w14:textId="2EAFC42C"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1" w:type="dxa"/>
            <w:tcBorders>
              <w:top w:val="nil"/>
              <w:left w:val="nil"/>
              <w:bottom w:val="nil"/>
              <w:right w:val="nil"/>
            </w:tcBorders>
            <w:hideMark/>
          </w:tcPr>
          <w:p w14:paraId="2EF5C11D" w14:textId="4F2557B8"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361" w:type="dxa"/>
            <w:tcBorders>
              <w:top w:val="nil"/>
              <w:left w:val="nil"/>
              <w:bottom w:val="nil"/>
              <w:right w:val="single" w:sz="4" w:space="0" w:color="auto"/>
            </w:tcBorders>
            <w:hideMark/>
          </w:tcPr>
          <w:p w14:paraId="24FE482F" w14:textId="43FD5C88"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4A23F3F6" w14:textId="77777777" w:rsidR="00903F78" w:rsidRPr="00FD7BCF" w:rsidRDefault="00903F78"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2 </w:t>
            </w:r>
            <w:proofErr w:type="spellStart"/>
            <w:r w:rsidRPr="00FD7BCF">
              <w:rPr>
                <w:rFonts w:ascii="ITC Avant Garde" w:eastAsia="Times New Roman" w:hAnsi="ITC Avant Garde"/>
                <w:sz w:val="20"/>
                <w:szCs w:val="20"/>
                <w:lang w:eastAsia="es-MX"/>
              </w:rPr>
              <w:t>Gbps</w:t>
            </w:r>
            <w:proofErr w:type="spellEnd"/>
          </w:p>
        </w:tc>
        <w:tc>
          <w:tcPr>
            <w:tcW w:w="1601" w:type="dxa"/>
            <w:hideMark/>
          </w:tcPr>
          <w:p w14:paraId="605309BE" w14:textId="2D1F6206" w:rsidR="00903F78" w:rsidRPr="00FD7BCF" w:rsidRDefault="00903F78"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2D46C1" w14:paraId="22C32027" w14:textId="77777777" w:rsidTr="002D46C1">
        <w:trPr>
          <w:trHeight w:val="450"/>
        </w:trPr>
        <w:tc>
          <w:tcPr>
            <w:tcW w:w="2381" w:type="dxa"/>
            <w:tcBorders>
              <w:top w:val="nil"/>
              <w:left w:val="nil"/>
              <w:bottom w:val="nil"/>
              <w:right w:val="nil"/>
            </w:tcBorders>
            <w:hideMark/>
          </w:tcPr>
          <w:p w14:paraId="4591F8A6" w14:textId="1460B773"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1" w:type="dxa"/>
            <w:tcBorders>
              <w:top w:val="nil"/>
              <w:left w:val="nil"/>
              <w:bottom w:val="nil"/>
              <w:right w:val="nil"/>
            </w:tcBorders>
            <w:hideMark/>
          </w:tcPr>
          <w:p w14:paraId="0BFCD9F1" w14:textId="10D214E9"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361" w:type="dxa"/>
            <w:tcBorders>
              <w:top w:val="nil"/>
              <w:left w:val="nil"/>
              <w:bottom w:val="nil"/>
              <w:right w:val="single" w:sz="4" w:space="0" w:color="auto"/>
            </w:tcBorders>
            <w:hideMark/>
          </w:tcPr>
          <w:p w14:paraId="7E4199A9" w14:textId="30D7011D"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35B0E18E" w14:textId="77777777" w:rsidR="00903F78" w:rsidRPr="00FD7BCF" w:rsidRDefault="00903F78"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4 </w:t>
            </w:r>
            <w:proofErr w:type="spellStart"/>
            <w:r w:rsidRPr="00FD7BCF">
              <w:rPr>
                <w:rFonts w:ascii="ITC Avant Garde" w:eastAsia="Times New Roman" w:hAnsi="ITC Avant Garde"/>
                <w:sz w:val="20"/>
                <w:szCs w:val="20"/>
                <w:lang w:eastAsia="es-MX"/>
              </w:rPr>
              <w:t>Gbps</w:t>
            </w:r>
            <w:proofErr w:type="spellEnd"/>
          </w:p>
        </w:tc>
        <w:tc>
          <w:tcPr>
            <w:tcW w:w="1601" w:type="dxa"/>
            <w:hideMark/>
          </w:tcPr>
          <w:p w14:paraId="5DC9D37C" w14:textId="6DBC1D58" w:rsidR="00903F78" w:rsidRPr="00FD7BCF" w:rsidRDefault="00903F78"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2D46C1" w14:paraId="21F8DA78" w14:textId="77777777" w:rsidTr="002D46C1">
        <w:trPr>
          <w:trHeight w:val="450"/>
        </w:trPr>
        <w:tc>
          <w:tcPr>
            <w:tcW w:w="2381" w:type="dxa"/>
            <w:tcBorders>
              <w:top w:val="nil"/>
              <w:left w:val="nil"/>
              <w:bottom w:val="nil"/>
              <w:right w:val="nil"/>
            </w:tcBorders>
            <w:hideMark/>
          </w:tcPr>
          <w:p w14:paraId="32B5456C" w14:textId="48F059E6"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1" w:type="dxa"/>
            <w:tcBorders>
              <w:top w:val="nil"/>
              <w:left w:val="nil"/>
              <w:bottom w:val="nil"/>
              <w:right w:val="nil"/>
            </w:tcBorders>
            <w:hideMark/>
          </w:tcPr>
          <w:p w14:paraId="6F34FE1F" w14:textId="1FDCF4E9"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361" w:type="dxa"/>
            <w:tcBorders>
              <w:top w:val="nil"/>
              <w:left w:val="nil"/>
              <w:bottom w:val="nil"/>
              <w:right w:val="single" w:sz="4" w:space="0" w:color="auto"/>
            </w:tcBorders>
            <w:hideMark/>
          </w:tcPr>
          <w:p w14:paraId="5F05ECD0" w14:textId="32BF7CB6"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015AC3A7" w14:textId="77777777" w:rsidR="00903F78" w:rsidRPr="00FD7BCF" w:rsidRDefault="00903F78"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6 </w:t>
            </w:r>
            <w:proofErr w:type="spellStart"/>
            <w:r w:rsidRPr="00FD7BCF">
              <w:rPr>
                <w:rFonts w:ascii="ITC Avant Garde" w:eastAsia="Times New Roman" w:hAnsi="ITC Avant Garde"/>
                <w:sz w:val="20"/>
                <w:szCs w:val="20"/>
                <w:lang w:eastAsia="es-MX"/>
              </w:rPr>
              <w:t>Gbps</w:t>
            </w:r>
            <w:proofErr w:type="spellEnd"/>
          </w:p>
        </w:tc>
        <w:tc>
          <w:tcPr>
            <w:tcW w:w="1601" w:type="dxa"/>
            <w:hideMark/>
          </w:tcPr>
          <w:p w14:paraId="12109A37" w14:textId="5C5168C8" w:rsidR="00903F78" w:rsidRPr="00FD7BCF" w:rsidRDefault="00903F78"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FD7BCF" w:rsidRPr="002D46C1" w14:paraId="16F96240" w14:textId="77777777" w:rsidTr="002D46C1">
        <w:trPr>
          <w:trHeight w:val="450"/>
        </w:trPr>
        <w:tc>
          <w:tcPr>
            <w:tcW w:w="2381" w:type="dxa"/>
            <w:tcBorders>
              <w:top w:val="nil"/>
              <w:left w:val="nil"/>
              <w:bottom w:val="nil"/>
              <w:right w:val="nil"/>
            </w:tcBorders>
            <w:hideMark/>
          </w:tcPr>
          <w:p w14:paraId="62E1EC32" w14:textId="2044D4CF"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1" w:type="dxa"/>
            <w:tcBorders>
              <w:top w:val="nil"/>
              <w:left w:val="nil"/>
              <w:bottom w:val="nil"/>
              <w:right w:val="nil"/>
            </w:tcBorders>
            <w:hideMark/>
          </w:tcPr>
          <w:p w14:paraId="102F1E02" w14:textId="4B449339"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361" w:type="dxa"/>
            <w:tcBorders>
              <w:top w:val="nil"/>
              <w:left w:val="nil"/>
              <w:bottom w:val="nil"/>
              <w:right w:val="single" w:sz="4" w:space="0" w:color="auto"/>
            </w:tcBorders>
            <w:hideMark/>
          </w:tcPr>
          <w:p w14:paraId="7A9EFACE" w14:textId="082817BC"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4008A700" w14:textId="77777777" w:rsidR="00903F78" w:rsidRPr="00FD7BCF" w:rsidRDefault="00903F78"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8 </w:t>
            </w:r>
            <w:proofErr w:type="spellStart"/>
            <w:r w:rsidRPr="00FD7BCF">
              <w:rPr>
                <w:rFonts w:ascii="ITC Avant Garde" w:eastAsia="Times New Roman" w:hAnsi="ITC Avant Garde"/>
                <w:sz w:val="20"/>
                <w:szCs w:val="20"/>
                <w:lang w:eastAsia="es-MX"/>
              </w:rPr>
              <w:t>Gbps</w:t>
            </w:r>
            <w:proofErr w:type="spellEnd"/>
          </w:p>
        </w:tc>
        <w:tc>
          <w:tcPr>
            <w:tcW w:w="1601" w:type="dxa"/>
            <w:hideMark/>
          </w:tcPr>
          <w:p w14:paraId="26FB6FB6" w14:textId="187DADEA" w:rsidR="00903F78" w:rsidRPr="00FD7BCF" w:rsidRDefault="00903F78" w:rsidP="00B84EBF">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$77,500.00 </w:t>
            </w:r>
          </w:p>
        </w:tc>
      </w:tr>
      <w:tr w:rsidR="00903F78" w:rsidRPr="002D46C1" w14:paraId="5C649022" w14:textId="77777777" w:rsidTr="002D46C1">
        <w:trPr>
          <w:trHeight w:val="450"/>
        </w:trPr>
        <w:tc>
          <w:tcPr>
            <w:tcW w:w="2381" w:type="dxa"/>
            <w:tcBorders>
              <w:top w:val="nil"/>
              <w:left w:val="nil"/>
              <w:bottom w:val="nil"/>
              <w:right w:val="nil"/>
            </w:tcBorders>
          </w:tcPr>
          <w:p w14:paraId="783AEF83" w14:textId="1F7625B1"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1" w:type="dxa"/>
            <w:tcBorders>
              <w:top w:val="nil"/>
              <w:left w:val="nil"/>
              <w:bottom w:val="nil"/>
              <w:right w:val="nil"/>
            </w:tcBorders>
          </w:tcPr>
          <w:p w14:paraId="0803729F" w14:textId="20D0D2D1"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361" w:type="dxa"/>
            <w:tcBorders>
              <w:top w:val="nil"/>
              <w:left w:val="nil"/>
              <w:bottom w:val="nil"/>
              <w:right w:val="single" w:sz="4" w:space="0" w:color="auto"/>
            </w:tcBorders>
            <w:hideMark/>
          </w:tcPr>
          <w:p w14:paraId="07510552" w14:textId="05233FA6" w:rsidR="00903F78"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1" w:type="dxa"/>
            <w:tcBorders>
              <w:left w:val="single" w:sz="4" w:space="0" w:color="auto"/>
            </w:tcBorders>
            <w:hideMark/>
          </w:tcPr>
          <w:p w14:paraId="4A45E02C" w14:textId="77777777" w:rsidR="00903F78" w:rsidRPr="00FD7BCF" w:rsidRDefault="00903F78" w:rsidP="00B42019">
            <w:pPr>
              <w:spacing w:after="0" w:line="276" w:lineRule="auto"/>
              <w:jc w:val="center"/>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10 </w:t>
            </w:r>
            <w:proofErr w:type="spellStart"/>
            <w:r w:rsidRPr="00FD7BCF">
              <w:rPr>
                <w:rFonts w:ascii="ITC Avant Garde" w:eastAsia="Times New Roman" w:hAnsi="ITC Avant Garde"/>
                <w:sz w:val="20"/>
                <w:szCs w:val="20"/>
                <w:lang w:eastAsia="es-MX"/>
              </w:rPr>
              <w:t>Gbps</w:t>
            </w:r>
            <w:proofErr w:type="spellEnd"/>
          </w:p>
        </w:tc>
        <w:tc>
          <w:tcPr>
            <w:tcW w:w="1601" w:type="dxa"/>
            <w:hideMark/>
          </w:tcPr>
          <w:p w14:paraId="75B5D977" w14:textId="041F9BD4" w:rsidR="00903F78" w:rsidRPr="00FD7BCF" w:rsidRDefault="00903F78" w:rsidP="00B84EBF">
            <w:pPr>
              <w:spacing w:after="0" w:line="276" w:lineRule="auto"/>
              <w:jc w:val="center"/>
              <w:rPr>
                <w:rFonts w:ascii="ITC Avant Garde" w:eastAsia="Times New Roman" w:hAnsi="ITC Avant Garde"/>
                <w:sz w:val="20"/>
                <w:szCs w:val="20"/>
                <w:lang w:eastAsia="es-MX"/>
              </w:rPr>
            </w:pPr>
            <w:bookmarkStart w:id="3" w:name="_GoBack"/>
            <w:bookmarkEnd w:id="3"/>
            <w:r w:rsidRPr="00FD7BCF">
              <w:rPr>
                <w:rFonts w:ascii="ITC Avant Garde" w:eastAsia="Times New Roman" w:hAnsi="ITC Avant Garde"/>
                <w:sz w:val="20"/>
                <w:szCs w:val="20"/>
                <w:lang w:eastAsia="es-MX"/>
              </w:rPr>
              <w:t xml:space="preserve">$77,500.00 </w:t>
            </w:r>
          </w:p>
        </w:tc>
      </w:tr>
    </w:tbl>
    <w:p w14:paraId="5A37635F" w14:textId="77777777" w:rsidR="00B42019" w:rsidRDefault="0017127F" w:rsidP="00B42019">
      <w:pPr>
        <w:spacing w:before="240" w:line="276" w:lineRule="auto"/>
        <w:ind w:right="-93"/>
        <w:jc w:val="both"/>
        <w:rPr>
          <w:rFonts w:ascii="ITC Avant Garde" w:hAnsi="ITC Avant Garde"/>
          <w:lang w:eastAsia="es-ES_tradnl"/>
        </w:rPr>
      </w:pPr>
      <w:r w:rsidRPr="00FD7BCF">
        <w:rPr>
          <w:rFonts w:ascii="ITC Avant Garde" w:hAnsi="ITC Avant Garde"/>
          <w:lang w:eastAsia="es-ES_tradnl"/>
        </w:rPr>
        <w:t>En plazos de contratación mayores las tarifas correspondientes a gastos de instalación serán de $0.00 M.N.</w:t>
      </w:r>
    </w:p>
    <w:p w14:paraId="214A55F9" w14:textId="60FCB84E" w:rsidR="00B42019" w:rsidRDefault="0017127F" w:rsidP="00B42019">
      <w:pPr>
        <w:spacing w:before="240" w:line="276" w:lineRule="auto"/>
        <w:jc w:val="both"/>
        <w:rPr>
          <w:rFonts w:ascii="ITC Avant Garde" w:eastAsia="Times New Roman" w:hAnsi="ITC Avant Garde" w:cs="Arial"/>
          <w:b/>
          <w:bCs/>
        </w:rPr>
      </w:pPr>
      <w:r w:rsidRPr="00FD7BCF">
        <w:rPr>
          <w:rFonts w:ascii="ITC Avant Garde" w:eastAsia="Times New Roman" w:hAnsi="ITC Avant Garde" w:cs="Arial"/>
          <w:b/>
          <w:bCs/>
        </w:rPr>
        <w:t>RENTA MENSUAL:</w:t>
      </w:r>
    </w:p>
    <w:p w14:paraId="435F8932" w14:textId="05380E90" w:rsidR="00430037" w:rsidRPr="00B42019" w:rsidRDefault="0017127F" w:rsidP="00B42019">
      <w:pPr>
        <w:spacing w:before="240" w:line="276" w:lineRule="auto"/>
        <w:jc w:val="center"/>
        <w:rPr>
          <w:rFonts w:ascii="ITC Avant Garde" w:hAnsi="ITC Avant Garde"/>
          <w:b/>
          <w:lang w:eastAsia="es-MX"/>
        </w:rPr>
      </w:pPr>
      <w:r w:rsidRPr="00FD7BCF">
        <w:rPr>
          <w:rFonts w:ascii="ITC Avant Garde" w:hAnsi="ITC Avant Garde"/>
          <w:b/>
          <w:lang w:eastAsia="es-MX"/>
        </w:rPr>
        <w:t>Enlaces Dedicados Locales</w:t>
      </w:r>
      <w:r w:rsidR="00430037" w:rsidRPr="00FD7BCF">
        <w:fldChar w:fldCharType="begin"/>
      </w:r>
      <w:r w:rsidR="00430037" w:rsidRPr="00FD7BCF">
        <w:instrText xml:space="preserve"> LINK </w:instrText>
      </w:r>
      <w:r w:rsidR="00FA26A9" w:rsidRPr="00FD7BCF">
        <w:instrText xml:space="preserve">Excel.Sheet.12 "D:\\Usuarios\\esthela.mendoza\\Documents\\DGIXC\\Desacuerdos\\PLENO 14 JULIO 2016\\Enlaces Dedicados\\Mega Cable vs Telmex (2016) ED\\OR Enlaces - Anexo Tarifas.xlsx" "Tarifas con descuento!F135C3:F165C7" </w:instrText>
      </w:r>
      <w:r w:rsidR="00430037" w:rsidRPr="00FD7BCF">
        <w:instrText xml:space="preserve">\a \f 4 \h </w:instrText>
      </w:r>
      <w:r w:rsidR="006910F9" w:rsidRPr="00FD7BCF">
        <w:instrText xml:space="preserve"> \* MERGEFORMAT </w:instrText>
      </w:r>
      <w:r w:rsidR="00430037" w:rsidRPr="00FD7BCF">
        <w:fldChar w:fldCharType="separate"/>
      </w:r>
    </w:p>
    <w:tbl>
      <w:tblPr>
        <w:tblStyle w:val="Tablaconcuadrcula2"/>
        <w:tblW w:w="9320" w:type="dxa"/>
        <w:tblLook w:val="04A0" w:firstRow="1" w:lastRow="0" w:firstColumn="1" w:lastColumn="0" w:noHBand="0" w:noVBand="1"/>
        <w:tblCaption w:val="Enlaces dedicados locales"/>
        <w:tblDescription w:val="En una tabla con dos columnas de 2, se proporciona la velocidad y el gasto de instalación. "/>
      </w:tblPr>
      <w:tblGrid>
        <w:gridCol w:w="2380"/>
        <w:gridCol w:w="1600"/>
        <w:gridCol w:w="1360"/>
        <w:gridCol w:w="2380"/>
        <w:gridCol w:w="1600"/>
      </w:tblGrid>
      <w:tr w:rsidR="00FD7BCF" w:rsidRPr="00FD7BCF" w14:paraId="022A16AD" w14:textId="77777777" w:rsidTr="00E046E2">
        <w:trPr>
          <w:trHeight w:val="510"/>
          <w:tblHeader/>
        </w:trPr>
        <w:tc>
          <w:tcPr>
            <w:tcW w:w="2380" w:type="dxa"/>
            <w:shd w:val="clear" w:color="auto" w:fill="A6A6A6" w:themeFill="background1" w:themeFillShade="A6"/>
            <w:vAlign w:val="center"/>
            <w:hideMark/>
          </w:tcPr>
          <w:p w14:paraId="431F1A02" w14:textId="77777777" w:rsidR="00430037" w:rsidRPr="00B84EBF" w:rsidRDefault="00430037" w:rsidP="00E046E2">
            <w:pPr>
              <w:spacing w:after="0" w:line="276" w:lineRule="auto"/>
              <w:jc w:val="center"/>
              <w:rPr>
                <w:rFonts w:ascii="ITC Avant Garde" w:eastAsia="Times New Roman" w:hAnsi="ITC Avant Garde"/>
                <w:b/>
                <w:bCs/>
                <w:sz w:val="20"/>
                <w:szCs w:val="20"/>
                <w:lang w:eastAsia="es-MX"/>
              </w:rPr>
            </w:pPr>
            <w:r w:rsidRPr="00B84EBF">
              <w:rPr>
                <w:rFonts w:ascii="ITC Avant Garde" w:eastAsia="Times New Roman" w:hAnsi="ITC Avant Garde"/>
                <w:b/>
                <w:bCs/>
                <w:sz w:val="20"/>
                <w:szCs w:val="20"/>
                <w:lang w:eastAsia="es-MX"/>
              </w:rPr>
              <w:t>Velocidad</w:t>
            </w:r>
          </w:p>
        </w:tc>
        <w:tc>
          <w:tcPr>
            <w:tcW w:w="1600" w:type="dxa"/>
            <w:tcBorders>
              <w:right w:val="single" w:sz="4" w:space="0" w:color="auto"/>
            </w:tcBorders>
            <w:shd w:val="clear" w:color="auto" w:fill="A6A6A6" w:themeFill="background1" w:themeFillShade="A6"/>
            <w:vAlign w:val="center"/>
            <w:hideMark/>
          </w:tcPr>
          <w:p w14:paraId="1B358636" w14:textId="43F46F04" w:rsidR="00430037" w:rsidRPr="00E046E2" w:rsidRDefault="00430037" w:rsidP="00E046E2">
            <w:pPr>
              <w:spacing w:after="0" w:line="276" w:lineRule="auto"/>
              <w:jc w:val="center"/>
              <w:rPr>
                <w:rFonts w:ascii="ITC Avant Garde" w:eastAsia="Times New Roman" w:hAnsi="ITC Avant Garde"/>
                <w:b/>
                <w:bCs/>
                <w:i/>
                <w:sz w:val="20"/>
                <w:szCs w:val="20"/>
                <w:lang w:eastAsia="es-MX"/>
              </w:rPr>
            </w:pPr>
            <w:r w:rsidRPr="00E046E2">
              <w:rPr>
                <w:rFonts w:ascii="ITC Avant Garde" w:eastAsia="Times New Roman" w:hAnsi="ITC Avant Garde"/>
                <w:b/>
                <w:bCs/>
                <w:i/>
                <w:sz w:val="20"/>
                <w:szCs w:val="20"/>
                <w:lang w:eastAsia="es-MX"/>
              </w:rPr>
              <w:t>Renta Mensual</w:t>
            </w:r>
          </w:p>
        </w:tc>
        <w:tc>
          <w:tcPr>
            <w:tcW w:w="1360" w:type="dxa"/>
            <w:tcBorders>
              <w:top w:val="nil"/>
              <w:left w:val="single" w:sz="4" w:space="0" w:color="auto"/>
              <w:bottom w:val="nil"/>
              <w:right w:val="single" w:sz="4" w:space="0" w:color="auto"/>
            </w:tcBorders>
            <w:shd w:val="clear" w:color="auto" w:fill="FFFFFF" w:themeFill="background1"/>
            <w:vAlign w:val="center"/>
            <w:hideMark/>
          </w:tcPr>
          <w:p w14:paraId="6F6A8408" w14:textId="0391EC3B" w:rsidR="00430037" w:rsidRPr="002D46C1" w:rsidRDefault="002D46C1" w:rsidP="00E046E2">
            <w:pPr>
              <w:spacing w:after="0" w:line="276" w:lineRule="auto"/>
              <w:jc w:val="center"/>
              <w:rPr>
                <w:rFonts w:ascii="ITC Avant Garde" w:eastAsia="Times New Roman" w:hAnsi="ITC Avant Garde"/>
                <w:b/>
                <w:bCs/>
                <w:sz w:val="2"/>
                <w:szCs w:val="2"/>
                <w:lang w:eastAsia="es-MX"/>
              </w:rPr>
            </w:pPr>
            <w:r w:rsidRPr="002D46C1">
              <w:rPr>
                <w:rFonts w:ascii="ITC Avant Garde" w:eastAsia="Times New Roman" w:hAnsi="ITC Avant Garde"/>
                <w:b/>
                <w:bCs/>
                <w:sz w:val="2"/>
                <w:szCs w:val="2"/>
                <w:lang w:eastAsia="es-MX"/>
              </w:rPr>
              <w:t>.</w:t>
            </w:r>
          </w:p>
        </w:tc>
        <w:tc>
          <w:tcPr>
            <w:tcW w:w="2380" w:type="dxa"/>
            <w:tcBorders>
              <w:left w:val="single" w:sz="4" w:space="0" w:color="auto"/>
            </w:tcBorders>
            <w:shd w:val="clear" w:color="auto" w:fill="A6A6A6" w:themeFill="background1" w:themeFillShade="A6"/>
            <w:vAlign w:val="center"/>
            <w:hideMark/>
          </w:tcPr>
          <w:p w14:paraId="64580C82" w14:textId="77777777" w:rsidR="00430037" w:rsidRPr="00E046E2" w:rsidRDefault="00430037" w:rsidP="00E046E2">
            <w:pPr>
              <w:spacing w:after="0" w:line="276" w:lineRule="auto"/>
              <w:jc w:val="center"/>
              <w:rPr>
                <w:rFonts w:ascii="ITC Avant Garde" w:eastAsia="Times New Roman" w:hAnsi="ITC Avant Garde"/>
                <w:b/>
                <w:bCs/>
                <w:i/>
                <w:sz w:val="20"/>
                <w:szCs w:val="20"/>
                <w:lang w:eastAsia="es-MX"/>
              </w:rPr>
            </w:pPr>
            <w:r w:rsidRPr="00E046E2">
              <w:rPr>
                <w:rFonts w:ascii="ITC Avant Garde" w:eastAsia="Times New Roman" w:hAnsi="ITC Avant Garde"/>
                <w:b/>
                <w:bCs/>
                <w:i/>
                <w:sz w:val="20"/>
                <w:szCs w:val="20"/>
                <w:lang w:eastAsia="es-MX"/>
              </w:rPr>
              <w:t>Velocidad</w:t>
            </w:r>
          </w:p>
        </w:tc>
        <w:tc>
          <w:tcPr>
            <w:tcW w:w="1600" w:type="dxa"/>
            <w:shd w:val="clear" w:color="auto" w:fill="A6A6A6" w:themeFill="background1" w:themeFillShade="A6"/>
            <w:vAlign w:val="center"/>
            <w:hideMark/>
          </w:tcPr>
          <w:p w14:paraId="20E4BCC2" w14:textId="1353CF49" w:rsidR="00430037" w:rsidRPr="00B84EBF" w:rsidRDefault="00430037" w:rsidP="00E046E2">
            <w:pPr>
              <w:spacing w:after="0" w:line="276" w:lineRule="auto"/>
              <w:jc w:val="center"/>
              <w:rPr>
                <w:rFonts w:ascii="ITC Avant Garde" w:eastAsia="Times New Roman" w:hAnsi="ITC Avant Garde"/>
                <w:b/>
                <w:bCs/>
                <w:sz w:val="20"/>
                <w:szCs w:val="20"/>
                <w:lang w:eastAsia="es-MX"/>
              </w:rPr>
            </w:pPr>
            <w:r w:rsidRPr="00B84EBF">
              <w:rPr>
                <w:rFonts w:ascii="ITC Avant Garde" w:eastAsia="Times New Roman" w:hAnsi="ITC Avant Garde"/>
                <w:b/>
                <w:bCs/>
                <w:sz w:val="20"/>
                <w:szCs w:val="20"/>
                <w:lang w:eastAsia="es-MX"/>
              </w:rPr>
              <w:t>Renta Mensual</w:t>
            </w:r>
          </w:p>
        </w:tc>
      </w:tr>
      <w:tr w:rsidR="00FD7BCF" w:rsidRPr="00E046E2" w14:paraId="12E8810F" w14:textId="77777777" w:rsidTr="00E046E2">
        <w:trPr>
          <w:trHeight w:val="450"/>
        </w:trPr>
        <w:tc>
          <w:tcPr>
            <w:tcW w:w="2380" w:type="dxa"/>
            <w:hideMark/>
          </w:tcPr>
          <w:p w14:paraId="23B4A72B"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64 Kbps</w:t>
            </w:r>
          </w:p>
        </w:tc>
        <w:tc>
          <w:tcPr>
            <w:tcW w:w="1600" w:type="dxa"/>
            <w:tcBorders>
              <w:right w:val="single" w:sz="4" w:space="0" w:color="auto"/>
            </w:tcBorders>
            <w:hideMark/>
          </w:tcPr>
          <w:p w14:paraId="647DD890" w14:textId="07942CBF"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$ 299.31 </w:t>
            </w:r>
          </w:p>
        </w:tc>
        <w:tc>
          <w:tcPr>
            <w:tcW w:w="1360" w:type="dxa"/>
            <w:tcBorders>
              <w:top w:val="nil"/>
              <w:left w:val="single" w:sz="4" w:space="0" w:color="auto"/>
              <w:bottom w:val="nil"/>
              <w:right w:val="single" w:sz="4" w:space="0" w:color="auto"/>
            </w:tcBorders>
            <w:shd w:val="clear" w:color="auto" w:fill="FFFFFF" w:themeFill="background1"/>
            <w:hideMark/>
          </w:tcPr>
          <w:p w14:paraId="4AEA0925" w14:textId="1B0E5759"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0F6D9B73" w14:textId="77777777" w:rsidR="00430037" w:rsidRPr="00E046E2" w:rsidRDefault="00430037"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Ethernet 10 Mbps</w:t>
            </w:r>
          </w:p>
        </w:tc>
        <w:tc>
          <w:tcPr>
            <w:tcW w:w="1600" w:type="dxa"/>
            <w:hideMark/>
          </w:tcPr>
          <w:p w14:paraId="7AF1376E" w14:textId="25638AE4"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$6,105.00 </w:t>
            </w:r>
          </w:p>
        </w:tc>
      </w:tr>
      <w:tr w:rsidR="00FD7BCF" w:rsidRPr="00E046E2" w14:paraId="0BDCC320" w14:textId="77777777" w:rsidTr="00E046E2">
        <w:trPr>
          <w:trHeight w:val="450"/>
        </w:trPr>
        <w:tc>
          <w:tcPr>
            <w:tcW w:w="2380" w:type="dxa"/>
            <w:hideMark/>
          </w:tcPr>
          <w:p w14:paraId="7CABC6EE"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128 Kbps</w:t>
            </w:r>
          </w:p>
        </w:tc>
        <w:tc>
          <w:tcPr>
            <w:tcW w:w="1600" w:type="dxa"/>
            <w:tcBorders>
              <w:right w:val="single" w:sz="4" w:space="0" w:color="auto"/>
            </w:tcBorders>
            <w:hideMark/>
          </w:tcPr>
          <w:p w14:paraId="64FB9849" w14:textId="0EAEC14E"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$569.25 </w:t>
            </w:r>
          </w:p>
        </w:tc>
        <w:tc>
          <w:tcPr>
            <w:tcW w:w="1360" w:type="dxa"/>
            <w:tcBorders>
              <w:top w:val="nil"/>
              <w:left w:val="single" w:sz="4" w:space="0" w:color="auto"/>
              <w:bottom w:val="nil"/>
              <w:right w:val="single" w:sz="4" w:space="0" w:color="auto"/>
            </w:tcBorders>
            <w:shd w:val="clear" w:color="auto" w:fill="FFFFFF" w:themeFill="background1"/>
            <w:hideMark/>
          </w:tcPr>
          <w:p w14:paraId="230E243A" w14:textId="56213652"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70909AA3" w14:textId="77777777" w:rsidR="00430037" w:rsidRPr="00E046E2" w:rsidRDefault="00430037"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Ethernet 20 Mbps</w:t>
            </w:r>
          </w:p>
        </w:tc>
        <w:tc>
          <w:tcPr>
            <w:tcW w:w="1600" w:type="dxa"/>
            <w:hideMark/>
          </w:tcPr>
          <w:p w14:paraId="768949AF" w14:textId="7155DC4A"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$8,415.00 </w:t>
            </w:r>
          </w:p>
        </w:tc>
      </w:tr>
      <w:tr w:rsidR="00FD7BCF" w:rsidRPr="00E046E2" w14:paraId="0BE0258C" w14:textId="77777777" w:rsidTr="00E046E2">
        <w:trPr>
          <w:trHeight w:val="450"/>
        </w:trPr>
        <w:tc>
          <w:tcPr>
            <w:tcW w:w="2380" w:type="dxa"/>
            <w:hideMark/>
          </w:tcPr>
          <w:p w14:paraId="2F36628A"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192 Kbps</w:t>
            </w:r>
          </w:p>
        </w:tc>
        <w:tc>
          <w:tcPr>
            <w:tcW w:w="1600" w:type="dxa"/>
            <w:tcBorders>
              <w:right w:val="single" w:sz="4" w:space="0" w:color="auto"/>
            </w:tcBorders>
            <w:hideMark/>
          </w:tcPr>
          <w:p w14:paraId="546F1FA6" w14:textId="070BB78E"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$673.86 </w:t>
            </w:r>
          </w:p>
        </w:tc>
        <w:tc>
          <w:tcPr>
            <w:tcW w:w="1360" w:type="dxa"/>
            <w:tcBorders>
              <w:top w:val="nil"/>
              <w:left w:val="single" w:sz="4" w:space="0" w:color="auto"/>
              <w:bottom w:val="nil"/>
              <w:right w:val="single" w:sz="4" w:space="0" w:color="auto"/>
            </w:tcBorders>
            <w:shd w:val="clear" w:color="auto" w:fill="FFFFFF" w:themeFill="background1"/>
            <w:hideMark/>
          </w:tcPr>
          <w:p w14:paraId="461E0323" w14:textId="1981A414"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086B3BC5" w14:textId="77777777" w:rsidR="00430037" w:rsidRPr="00E046E2" w:rsidRDefault="00430037"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Ethernet 30 Mbps</w:t>
            </w:r>
          </w:p>
        </w:tc>
        <w:tc>
          <w:tcPr>
            <w:tcW w:w="1600" w:type="dxa"/>
            <w:hideMark/>
          </w:tcPr>
          <w:p w14:paraId="14E0B72E" w14:textId="68E7E696"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$9,834.00 </w:t>
            </w:r>
          </w:p>
        </w:tc>
      </w:tr>
      <w:tr w:rsidR="00FD7BCF" w:rsidRPr="00E046E2" w14:paraId="6717CDC6" w14:textId="77777777" w:rsidTr="00E046E2">
        <w:trPr>
          <w:trHeight w:val="450"/>
        </w:trPr>
        <w:tc>
          <w:tcPr>
            <w:tcW w:w="2380" w:type="dxa"/>
            <w:hideMark/>
          </w:tcPr>
          <w:p w14:paraId="310D2A6D"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lastRenderedPageBreak/>
              <w:t>256 Kbps</w:t>
            </w:r>
          </w:p>
        </w:tc>
        <w:tc>
          <w:tcPr>
            <w:tcW w:w="1600" w:type="dxa"/>
            <w:tcBorders>
              <w:right w:val="single" w:sz="4" w:space="0" w:color="auto"/>
            </w:tcBorders>
            <w:hideMark/>
          </w:tcPr>
          <w:p w14:paraId="612164C6" w14:textId="6AC34AAC"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$851.07 </w:t>
            </w:r>
          </w:p>
        </w:tc>
        <w:tc>
          <w:tcPr>
            <w:tcW w:w="1360" w:type="dxa"/>
            <w:tcBorders>
              <w:top w:val="nil"/>
              <w:left w:val="single" w:sz="4" w:space="0" w:color="auto"/>
              <w:bottom w:val="nil"/>
              <w:right w:val="single" w:sz="4" w:space="0" w:color="auto"/>
            </w:tcBorders>
            <w:shd w:val="clear" w:color="auto" w:fill="FFFFFF" w:themeFill="background1"/>
            <w:hideMark/>
          </w:tcPr>
          <w:p w14:paraId="5923DD37" w14:textId="672E0460"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4FEA664A" w14:textId="75EB7921" w:rsidR="00430037" w:rsidRPr="00E046E2" w:rsidRDefault="00430037"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Ethernet </w:t>
            </w:r>
            <w:r w:rsidR="008C5D4C" w:rsidRPr="00E046E2">
              <w:rPr>
                <w:rFonts w:ascii="ITC Avant Garde" w:eastAsia="Times New Roman" w:hAnsi="ITC Avant Garde"/>
                <w:i/>
                <w:sz w:val="20"/>
                <w:szCs w:val="20"/>
                <w:lang w:eastAsia="es-MX"/>
              </w:rPr>
              <w:t xml:space="preserve">40 </w:t>
            </w:r>
            <w:r w:rsidR="005D150F" w:rsidRPr="00E046E2">
              <w:rPr>
                <w:rFonts w:ascii="ITC Avant Garde" w:eastAsia="Times New Roman" w:hAnsi="ITC Avant Garde"/>
                <w:i/>
                <w:sz w:val="20"/>
                <w:szCs w:val="20"/>
                <w:lang w:eastAsia="es-MX"/>
              </w:rPr>
              <w:t>Mbps</w:t>
            </w:r>
          </w:p>
        </w:tc>
        <w:tc>
          <w:tcPr>
            <w:tcW w:w="1600" w:type="dxa"/>
            <w:hideMark/>
          </w:tcPr>
          <w:p w14:paraId="6E630085" w14:textId="6F1FD33A"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$13,002.00 </w:t>
            </w:r>
          </w:p>
        </w:tc>
      </w:tr>
      <w:tr w:rsidR="00FD7BCF" w:rsidRPr="00E046E2" w14:paraId="0E2C95ED" w14:textId="77777777" w:rsidTr="00E046E2">
        <w:trPr>
          <w:trHeight w:val="450"/>
        </w:trPr>
        <w:tc>
          <w:tcPr>
            <w:tcW w:w="2380" w:type="dxa"/>
            <w:hideMark/>
          </w:tcPr>
          <w:p w14:paraId="15691A3B"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384 Kbps</w:t>
            </w:r>
          </w:p>
        </w:tc>
        <w:tc>
          <w:tcPr>
            <w:tcW w:w="1600" w:type="dxa"/>
            <w:tcBorders>
              <w:right w:val="single" w:sz="4" w:space="0" w:color="auto"/>
            </w:tcBorders>
            <w:hideMark/>
          </w:tcPr>
          <w:p w14:paraId="7C201243" w14:textId="11176C47"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$957.33 </w:t>
            </w:r>
          </w:p>
        </w:tc>
        <w:tc>
          <w:tcPr>
            <w:tcW w:w="1360" w:type="dxa"/>
            <w:tcBorders>
              <w:top w:val="nil"/>
              <w:left w:val="single" w:sz="4" w:space="0" w:color="auto"/>
              <w:bottom w:val="nil"/>
              <w:right w:val="single" w:sz="4" w:space="0" w:color="auto"/>
            </w:tcBorders>
            <w:shd w:val="clear" w:color="auto" w:fill="FFFFFF" w:themeFill="background1"/>
            <w:hideMark/>
          </w:tcPr>
          <w:p w14:paraId="75698375" w14:textId="799CC3D9"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6BE507BA" w14:textId="77777777" w:rsidR="00430037" w:rsidRPr="00E046E2" w:rsidRDefault="00430037"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Ethernet 50 Mbps</w:t>
            </w:r>
          </w:p>
        </w:tc>
        <w:tc>
          <w:tcPr>
            <w:tcW w:w="1600" w:type="dxa"/>
            <w:hideMark/>
          </w:tcPr>
          <w:p w14:paraId="4C665DE2" w14:textId="0C391A3A"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$15,246.00 </w:t>
            </w:r>
          </w:p>
        </w:tc>
      </w:tr>
      <w:tr w:rsidR="00FD7BCF" w:rsidRPr="00E046E2" w14:paraId="5ED69B07" w14:textId="77777777" w:rsidTr="00E046E2">
        <w:trPr>
          <w:trHeight w:val="450"/>
        </w:trPr>
        <w:tc>
          <w:tcPr>
            <w:tcW w:w="2380" w:type="dxa"/>
            <w:hideMark/>
          </w:tcPr>
          <w:p w14:paraId="5F804B03"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512 Kbps</w:t>
            </w:r>
          </w:p>
        </w:tc>
        <w:tc>
          <w:tcPr>
            <w:tcW w:w="1600" w:type="dxa"/>
            <w:tcBorders>
              <w:right w:val="single" w:sz="4" w:space="0" w:color="auto"/>
            </w:tcBorders>
            <w:hideMark/>
          </w:tcPr>
          <w:p w14:paraId="57CA887B" w14:textId="429A6745"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$1,099.23 </w:t>
            </w:r>
          </w:p>
        </w:tc>
        <w:tc>
          <w:tcPr>
            <w:tcW w:w="1360" w:type="dxa"/>
            <w:tcBorders>
              <w:top w:val="nil"/>
              <w:left w:val="single" w:sz="4" w:space="0" w:color="auto"/>
              <w:bottom w:val="nil"/>
              <w:right w:val="single" w:sz="4" w:space="0" w:color="auto"/>
            </w:tcBorders>
            <w:shd w:val="clear" w:color="auto" w:fill="FFFFFF" w:themeFill="background1"/>
            <w:hideMark/>
          </w:tcPr>
          <w:p w14:paraId="0FE2C116" w14:textId="0678C750"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091619C6" w14:textId="77777777" w:rsidR="00430037" w:rsidRPr="00E046E2" w:rsidRDefault="00430037"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Ethernet 60 Mbps</w:t>
            </w:r>
          </w:p>
        </w:tc>
        <w:tc>
          <w:tcPr>
            <w:tcW w:w="1600" w:type="dxa"/>
            <w:hideMark/>
          </w:tcPr>
          <w:p w14:paraId="2FE77DEC" w14:textId="708A8ED2"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$16,599.00 </w:t>
            </w:r>
          </w:p>
        </w:tc>
      </w:tr>
      <w:tr w:rsidR="00FD7BCF" w:rsidRPr="00E046E2" w14:paraId="4D9F9B2C" w14:textId="77777777" w:rsidTr="00E046E2">
        <w:trPr>
          <w:trHeight w:val="450"/>
        </w:trPr>
        <w:tc>
          <w:tcPr>
            <w:tcW w:w="2380" w:type="dxa"/>
            <w:hideMark/>
          </w:tcPr>
          <w:p w14:paraId="6A0642A4"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768 Kbps</w:t>
            </w:r>
          </w:p>
        </w:tc>
        <w:tc>
          <w:tcPr>
            <w:tcW w:w="1600" w:type="dxa"/>
            <w:tcBorders>
              <w:right w:val="single" w:sz="4" w:space="0" w:color="auto"/>
            </w:tcBorders>
            <w:hideMark/>
          </w:tcPr>
          <w:p w14:paraId="0D378B63" w14:textId="0B465240"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$1,276.77 </w:t>
            </w:r>
          </w:p>
        </w:tc>
        <w:tc>
          <w:tcPr>
            <w:tcW w:w="1360" w:type="dxa"/>
            <w:tcBorders>
              <w:top w:val="nil"/>
              <w:left w:val="single" w:sz="4" w:space="0" w:color="auto"/>
              <w:bottom w:val="nil"/>
              <w:right w:val="single" w:sz="4" w:space="0" w:color="auto"/>
            </w:tcBorders>
            <w:shd w:val="clear" w:color="auto" w:fill="FFFFFF" w:themeFill="background1"/>
            <w:hideMark/>
          </w:tcPr>
          <w:p w14:paraId="26EB0778" w14:textId="2411C721"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218A4A68" w14:textId="77777777" w:rsidR="00430037" w:rsidRPr="00E046E2" w:rsidRDefault="00430037"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Ethernet 70 Mbps</w:t>
            </w:r>
          </w:p>
        </w:tc>
        <w:tc>
          <w:tcPr>
            <w:tcW w:w="1600" w:type="dxa"/>
            <w:hideMark/>
          </w:tcPr>
          <w:p w14:paraId="51553A04" w14:textId="20619C66"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$18,018.00 </w:t>
            </w:r>
          </w:p>
        </w:tc>
      </w:tr>
      <w:tr w:rsidR="00FD7BCF" w:rsidRPr="00E046E2" w14:paraId="47A279E0" w14:textId="77777777" w:rsidTr="00E046E2">
        <w:trPr>
          <w:trHeight w:val="450"/>
        </w:trPr>
        <w:tc>
          <w:tcPr>
            <w:tcW w:w="2380" w:type="dxa"/>
            <w:hideMark/>
          </w:tcPr>
          <w:p w14:paraId="7F10BA27"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1024 Kbps</w:t>
            </w:r>
          </w:p>
        </w:tc>
        <w:tc>
          <w:tcPr>
            <w:tcW w:w="1600" w:type="dxa"/>
            <w:tcBorders>
              <w:right w:val="single" w:sz="4" w:space="0" w:color="auto"/>
            </w:tcBorders>
            <w:hideMark/>
          </w:tcPr>
          <w:p w14:paraId="3FC25BD6" w14:textId="0B0EA9E5"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$1,453.98 </w:t>
            </w:r>
          </w:p>
        </w:tc>
        <w:tc>
          <w:tcPr>
            <w:tcW w:w="1360" w:type="dxa"/>
            <w:tcBorders>
              <w:top w:val="nil"/>
              <w:left w:val="single" w:sz="4" w:space="0" w:color="auto"/>
              <w:bottom w:val="nil"/>
              <w:right w:val="single" w:sz="4" w:space="0" w:color="auto"/>
            </w:tcBorders>
            <w:shd w:val="clear" w:color="auto" w:fill="FFFFFF" w:themeFill="background1"/>
            <w:hideMark/>
          </w:tcPr>
          <w:p w14:paraId="1E49E95A" w14:textId="14629848"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1489D58C" w14:textId="77777777" w:rsidR="00430037" w:rsidRPr="00E046E2" w:rsidRDefault="00430037"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Ethernet 80 Mbps</w:t>
            </w:r>
          </w:p>
        </w:tc>
        <w:tc>
          <w:tcPr>
            <w:tcW w:w="1600" w:type="dxa"/>
            <w:hideMark/>
          </w:tcPr>
          <w:p w14:paraId="06D22A03" w14:textId="34410752"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$19,437.00 </w:t>
            </w:r>
          </w:p>
        </w:tc>
      </w:tr>
      <w:tr w:rsidR="00FD7BCF" w:rsidRPr="00FD7BCF" w14:paraId="0EB37217" w14:textId="77777777" w:rsidTr="00E046E2">
        <w:trPr>
          <w:trHeight w:val="450"/>
        </w:trPr>
        <w:tc>
          <w:tcPr>
            <w:tcW w:w="2380" w:type="dxa"/>
            <w:tcBorders>
              <w:bottom w:val="single" w:sz="4" w:space="0" w:color="auto"/>
            </w:tcBorders>
            <w:hideMark/>
          </w:tcPr>
          <w:p w14:paraId="3F2A5679"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E1 (2 Mbps)</w:t>
            </w:r>
          </w:p>
        </w:tc>
        <w:tc>
          <w:tcPr>
            <w:tcW w:w="1600" w:type="dxa"/>
            <w:tcBorders>
              <w:bottom w:val="single" w:sz="4" w:space="0" w:color="auto"/>
              <w:right w:val="single" w:sz="4" w:space="0" w:color="auto"/>
            </w:tcBorders>
            <w:hideMark/>
          </w:tcPr>
          <w:p w14:paraId="56444077" w14:textId="14A576CE"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$1,755.93 </w:t>
            </w:r>
          </w:p>
        </w:tc>
        <w:tc>
          <w:tcPr>
            <w:tcW w:w="1360" w:type="dxa"/>
            <w:tcBorders>
              <w:top w:val="nil"/>
              <w:left w:val="single" w:sz="4" w:space="0" w:color="auto"/>
              <w:bottom w:val="nil"/>
              <w:right w:val="single" w:sz="4" w:space="0" w:color="auto"/>
            </w:tcBorders>
            <w:shd w:val="clear" w:color="auto" w:fill="FFFFFF" w:themeFill="background1"/>
            <w:hideMark/>
          </w:tcPr>
          <w:p w14:paraId="1369ED46" w14:textId="718091BD"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bottom w:val="single" w:sz="4" w:space="0" w:color="auto"/>
            </w:tcBorders>
            <w:hideMark/>
          </w:tcPr>
          <w:p w14:paraId="61C05A50" w14:textId="77777777" w:rsidR="00430037" w:rsidRPr="00E046E2" w:rsidRDefault="00430037"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Ethernet 90 Mbps</w:t>
            </w:r>
          </w:p>
        </w:tc>
        <w:tc>
          <w:tcPr>
            <w:tcW w:w="1600" w:type="dxa"/>
            <w:hideMark/>
          </w:tcPr>
          <w:p w14:paraId="2B559EA2" w14:textId="36F8C6A0"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$20,856.00 </w:t>
            </w:r>
          </w:p>
        </w:tc>
      </w:tr>
      <w:tr w:rsidR="00FD7BCF" w:rsidRPr="00FD7BCF" w14:paraId="4775950E" w14:textId="77777777" w:rsidTr="00E046E2">
        <w:trPr>
          <w:trHeight w:val="450"/>
        </w:trPr>
        <w:tc>
          <w:tcPr>
            <w:tcW w:w="2380" w:type="dxa"/>
            <w:tcBorders>
              <w:top w:val="single" w:sz="4" w:space="0" w:color="auto"/>
            </w:tcBorders>
            <w:hideMark/>
          </w:tcPr>
          <w:p w14:paraId="152C898A"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E2 (8 Mbps)</w:t>
            </w:r>
          </w:p>
        </w:tc>
        <w:tc>
          <w:tcPr>
            <w:tcW w:w="1600" w:type="dxa"/>
            <w:tcBorders>
              <w:top w:val="single" w:sz="4" w:space="0" w:color="auto"/>
              <w:right w:val="single" w:sz="4" w:space="0" w:color="auto"/>
            </w:tcBorders>
            <w:hideMark/>
          </w:tcPr>
          <w:p w14:paraId="68A53AE9" w14:textId="50194FAF"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$7,023.72 </w:t>
            </w:r>
          </w:p>
        </w:tc>
        <w:tc>
          <w:tcPr>
            <w:tcW w:w="1360" w:type="dxa"/>
            <w:tcBorders>
              <w:top w:val="nil"/>
              <w:left w:val="single" w:sz="4" w:space="0" w:color="auto"/>
              <w:bottom w:val="nil"/>
              <w:right w:val="single" w:sz="4" w:space="0" w:color="auto"/>
            </w:tcBorders>
            <w:shd w:val="clear" w:color="auto" w:fill="FFFFFF" w:themeFill="background1"/>
            <w:hideMark/>
          </w:tcPr>
          <w:p w14:paraId="25D1FD4C" w14:textId="74AC8C72"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03EF21BB" w14:textId="77777777" w:rsidR="00430037" w:rsidRPr="00E046E2" w:rsidRDefault="00430037"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Ethernet 100 Mbps</w:t>
            </w:r>
          </w:p>
        </w:tc>
        <w:tc>
          <w:tcPr>
            <w:tcW w:w="1600" w:type="dxa"/>
            <w:hideMark/>
          </w:tcPr>
          <w:p w14:paraId="07EDC39A" w14:textId="6ECC4DE1"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$21,450.00 </w:t>
            </w:r>
          </w:p>
        </w:tc>
      </w:tr>
      <w:tr w:rsidR="00FD7BCF" w:rsidRPr="00FD7BCF" w14:paraId="7C016D7B" w14:textId="77777777" w:rsidTr="00E046E2">
        <w:trPr>
          <w:trHeight w:val="450"/>
        </w:trPr>
        <w:tc>
          <w:tcPr>
            <w:tcW w:w="2380" w:type="dxa"/>
            <w:hideMark/>
          </w:tcPr>
          <w:p w14:paraId="04E41713"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E3 (34 Mbps)</w:t>
            </w:r>
          </w:p>
        </w:tc>
        <w:tc>
          <w:tcPr>
            <w:tcW w:w="1600" w:type="dxa"/>
            <w:tcBorders>
              <w:right w:val="single" w:sz="4" w:space="0" w:color="auto"/>
            </w:tcBorders>
            <w:hideMark/>
          </w:tcPr>
          <w:p w14:paraId="3D55F757" w14:textId="5EA1A13A"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$18,433.14 </w:t>
            </w:r>
          </w:p>
        </w:tc>
        <w:tc>
          <w:tcPr>
            <w:tcW w:w="1360" w:type="dxa"/>
            <w:tcBorders>
              <w:top w:val="nil"/>
              <w:left w:val="single" w:sz="4" w:space="0" w:color="auto"/>
              <w:bottom w:val="nil"/>
              <w:right w:val="single" w:sz="4" w:space="0" w:color="auto"/>
            </w:tcBorders>
            <w:shd w:val="clear" w:color="auto" w:fill="FFFFFF" w:themeFill="background1"/>
            <w:hideMark/>
          </w:tcPr>
          <w:p w14:paraId="25FE8A5E" w14:textId="1C6D4B4C"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310EEFBF" w14:textId="77777777" w:rsidR="00430037" w:rsidRPr="00E046E2" w:rsidRDefault="00430037"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Giga</w:t>
            </w:r>
            <w:r w:rsidR="00C67112" w:rsidRPr="00E046E2">
              <w:rPr>
                <w:rFonts w:ascii="ITC Avant Garde" w:eastAsia="Times New Roman" w:hAnsi="ITC Avant Garde"/>
                <w:i/>
                <w:sz w:val="20"/>
                <w:szCs w:val="20"/>
                <w:lang w:eastAsia="es-MX"/>
              </w:rPr>
              <w:t xml:space="preserve"> </w:t>
            </w:r>
            <w:r w:rsidRPr="00E046E2">
              <w:rPr>
                <w:rFonts w:ascii="ITC Avant Garde" w:eastAsia="Times New Roman" w:hAnsi="ITC Avant Garde"/>
                <w:i/>
                <w:sz w:val="20"/>
                <w:szCs w:val="20"/>
                <w:lang w:eastAsia="es-MX"/>
              </w:rPr>
              <w:t>Ethernet 100 Mbps</w:t>
            </w:r>
          </w:p>
        </w:tc>
        <w:tc>
          <w:tcPr>
            <w:tcW w:w="1600" w:type="dxa"/>
            <w:hideMark/>
          </w:tcPr>
          <w:p w14:paraId="251043B0" w14:textId="286C9003"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$21,450.00 </w:t>
            </w:r>
          </w:p>
        </w:tc>
      </w:tr>
      <w:tr w:rsidR="00FD7BCF" w:rsidRPr="00FD7BCF" w14:paraId="6C722A4C" w14:textId="77777777" w:rsidTr="00E046E2">
        <w:trPr>
          <w:trHeight w:val="450"/>
        </w:trPr>
        <w:tc>
          <w:tcPr>
            <w:tcW w:w="2380" w:type="dxa"/>
            <w:hideMark/>
          </w:tcPr>
          <w:p w14:paraId="5DD210E0"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E4 (139 Mbps) </w:t>
            </w:r>
          </w:p>
        </w:tc>
        <w:tc>
          <w:tcPr>
            <w:tcW w:w="1600" w:type="dxa"/>
            <w:tcBorders>
              <w:right w:val="single" w:sz="4" w:space="0" w:color="auto"/>
            </w:tcBorders>
            <w:hideMark/>
          </w:tcPr>
          <w:p w14:paraId="5EDE51B1" w14:textId="5FBDC6BC"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$58,789.83 </w:t>
            </w:r>
          </w:p>
        </w:tc>
        <w:tc>
          <w:tcPr>
            <w:tcW w:w="1360" w:type="dxa"/>
            <w:tcBorders>
              <w:top w:val="nil"/>
              <w:left w:val="single" w:sz="4" w:space="0" w:color="auto"/>
              <w:bottom w:val="nil"/>
              <w:right w:val="single" w:sz="4" w:space="0" w:color="auto"/>
            </w:tcBorders>
            <w:shd w:val="clear" w:color="auto" w:fill="FFFFFF" w:themeFill="background1"/>
            <w:hideMark/>
          </w:tcPr>
          <w:p w14:paraId="11F0D7DC" w14:textId="08E68DE1"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5F95BD41" w14:textId="77777777" w:rsidR="00430037" w:rsidRPr="00E046E2" w:rsidRDefault="00C67112"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Giga Ethernet</w:t>
            </w:r>
            <w:r w:rsidR="00430037" w:rsidRPr="00E046E2">
              <w:rPr>
                <w:rFonts w:ascii="ITC Avant Garde" w:eastAsia="Times New Roman" w:hAnsi="ITC Avant Garde"/>
                <w:i/>
                <w:sz w:val="20"/>
                <w:szCs w:val="20"/>
                <w:lang w:eastAsia="es-MX"/>
              </w:rPr>
              <w:t xml:space="preserve"> 150 Mbps</w:t>
            </w:r>
          </w:p>
        </w:tc>
        <w:tc>
          <w:tcPr>
            <w:tcW w:w="1600" w:type="dxa"/>
            <w:hideMark/>
          </w:tcPr>
          <w:p w14:paraId="0E8A5882" w14:textId="38BA85B3"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$31,614.00 </w:t>
            </w:r>
          </w:p>
        </w:tc>
      </w:tr>
      <w:tr w:rsidR="00FD7BCF" w:rsidRPr="00FD7BCF" w14:paraId="3261162E" w14:textId="77777777" w:rsidTr="00E046E2">
        <w:trPr>
          <w:trHeight w:val="450"/>
        </w:trPr>
        <w:tc>
          <w:tcPr>
            <w:tcW w:w="2380" w:type="dxa"/>
            <w:hideMark/>
          </w:tcPr>
          <w:p w14:paraId="72CD92DA"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STM</w:t>
            </w:r>
            <w:r w:rsidR="0017127F" w:rsidRPr="00B84EBF">
              <w:rPr>
                <w:rFonts w:ascii="ITC Avant Garde" w:eastAsia="Times New Roman" w:hAnsi="ITC Avant Garde"/>
                <w:sz w:val="20"/>
                <w:szCs w:val="20"/>
                <w:lang w:eastAsia="es-MX"/>
              </w:rPr>
              <w:t xml:space="preserve"> </w:t>
            </w:r>
            <w:r w:rsidRPr="00B84EBF">
              <w:rPr>
                <w:rFonts w:ascii="ITC Avant Garde" w:eastAsia="Times New Roman" w:hAnsi="ITC Avant Garde"/>
                <w:sz w:val="20"/>
                <w:szCs w:val="20"/>
                <w:lang w:eastAsia="es-MX"/>
              </w:rPr>
              <w:t xml:space="preserve">1 (155 Mbps) </w:t>
            </w:r>
          </w:p>
        </w:tc>
        <w:tc>
          <w:tcPr>
            <w:tcW w:w="1600" w:type="dxa"/>
            <w:tcBorders>
              <w:right w:val="single" w:sz="4" w:space="0" w:color="auto"/>
            </w:tcBorders>
            <w:hideMark/>
          </w:tcPr>
          <w:p w14:paraId="5387AF1A" w14:textId="15E2980D"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$58,789.83 </w:t>
            </w:r>
          </w:p>
        </w:tc>
        <w:tc>
          <w:tcPr>
            <w:tcW w:w="1360" w:type="dxa"/>
            <w:tcBorders>
              <w:top w:val="nil"/>
              <w:left w:val="single" w:sz="4" w:space="0" w:color="auto"/>
              <w:bottom w:val="nil"/>
              <w:right w:val="single" w:sz="4" w:space="0" w:color="auto"/>
            </w:tcBorders>
            <w:shd w:val="clear" w:color="auto" w:fill="FFFFFF" w:themeFill="background1"/>
            <w:hideMark/>
          </w:tcPr>
          <w:p w14:paraId="175566AB" w14:textId="1740419D"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42506904" w14:textId="77777777" w:rsidR="00430037" w:rsidRPr="00E046E2" w:rsidRDefault="00C67112"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Giga Ethernet</w:t>
            </w:r>
            <w:r w:rsidR="00430037" w:rsidRPr="00E046E2">
              <w:rPr>
                <w:rFonts w:ascii="ITC Avant Garde" w:eastAsia="Times New Roman" w:hAnsi="ITC Avant Garde"/>
                <w:i/>
                <w:sz w:val="20"/>
                <w:szCs w:val="20"/>
                <w:lang w:eastAsia="es-MX"/>
              </w:rPr>
              <w:t xml:space="preserve"> 200 Mbps</w:t>
            </w:r>
          </w:p>
        </w:tc>
        <w:tc>
          <w:tcPr>
            <w:tcW w:w="1600" w:type="dxa"/>
            <w:hideMark/>
          </w:tcPr>
          <w:p w14:paraId="21D98F74" w14:textId="3D41EFC9"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$40,458.00 </w:t>
            </w:r>
          </w:p>
        </w:tc>
      </w:tr>
      <w:tr w:rsidR="00FD7BCF" w:rsidRPr="00FD7BCF" w14:paraId="598473CC" w14:textId="77777777" w:rsidTr="00E046E2">
        <w:trPr>
          <w:trHeight w:val="450"/>
        </w:trPr>
        <w:tc>
          <w:tcPr>
            <w:tcW w:w="2380" w:type="dxa"/>
            <w:hideMark/>
          </w:tcPr>
          <w:p w14:paraId="519CAFA9"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STM</w:t>
            </w:r>
            <w:r w:rsidR="0017127F" w:rsidRPr="00B84EBF">
              <w:rPr>
                <w:rFonts w:ascii="ITC Avant Garde" w:eastAsia="Times New Roman" w:hAnsi="ITC Avant Garde"/>
                <w:sz w:val="20"/>
                <w:szCs w:val="20"/>
                <w:lang w:eastAsia="es-MX"/>
              </w:rPr>
              <w:t xml:space="preserve"> </w:t>
            </w:r>
            <w:r w:rsidRPr="00B84EBF">
              <w:rPr>
                <w:rFonts w:ascii="ITC Avant Garde" w:eastAsia="Times New Roman" w:hAnsi="ITC Avant Garde"/>
                <w:sz w:val="20"/>
                <w:szCs w:val="20"/>
                <w:lang w:eastAsia="es-MX"/>
              </w:rPr>
              <w:t xml:space="preserve">4 (622 Mbps) </w:t>
            </w:r>
          </w:p>
        </w:tc>
        <w:tc>
          <w:tcPr>
            <w:tcW w:w="1600" w:type="dxa"/>
            <w:tcBorders>
              <w:right w:val="single" w:sz="4" w:space="0" w:color="auto"/>
            </w:tcBorders>
            <w:hideMark/>
          </w:tcPr>
          <w:p w14:paraId="030BD525" w14:textId="12D04089"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$190,479.30 </w:t>
            </w:r>
          </w:p>
        </w:tc>
        <w:tc>
          <w:tcPr>
            <w:tcW w:w="1360" w:type="dxa"/>
            <w:tcBorders>
              <w:top w:val="nil"/>
              <w:left w:val="single" w:sz="4" w:space="0" w:color="auto"/>
              <w:bottom w:val="nil"/>
              <w:right w:val="single" w:sz="4" w:space="0" w:color="auto"/>
            </w:tcBorders>
            <w:shd w:val="clear" w:color="auto" w:fill="FFFFFF" w:themeFill="background1"/>
            <w:hideMark/>
          </w:tcPr>
          <w:p w14:paraId="77FC8B62" w14:textId="5D6C7338"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2E7C2F7B" w14:textId="77777777" w:rsidR="00430037" w:rsidRPr="00E046E2" w:rsidRDefault="00C67112"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Giga Ethernet</w:t>
            </w:r>
            <w:r w:rsidR="00430037" w:rsidRPr="00E046E2">
              <w:rPr>
                <w:rFonts w:ascii="ITC Avant Garde" w:eastAsia="Times New Roman" w:hAnsi="ITC Avant Garde"/>
                <w:i/>
                <w:sz w:val="20"/>
                <w:szCs w:val="20"/>
                <w:lang w:eastAsia="es-MX"/>
              </w:rPr>
              <w:t xml:space="preserve"> 250 Mbps</w:t>
            </w:r>
          </w:p>
        </w:tc>
        <w:tc>
          <w:tcPr>
            <w:tcW w:w="1600" w:type="dxa"/>
            <w:hideMark/>
          </w:tcPr>
          <w:p w14:paraId="6D365C6B" w14:textId="650D0FC8"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$47,520.00 </w:t>
            </w:r>
          </w:p>
        </w:tc>
      </w:tr>
      <w:tr w:rsidR="00FD7BCF" w:rsidRPr="00FD7BCF" w14:paraId="642CAA49" w14:textId="77777777" w:rsidTr="00E046E2">
        <w:trPr>
          <w:trHeight w:val="450"/>
        </w:trPr>
        <w:tc>
          <w:tcPr>
            <w:tcW w:w="2380" w:type="dxa"/>
            <w:hideMark/>
          </w:tcPr>
          <w:p w14:paraId="495B4DEC"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STM 16 (2.5 </w:t>
            </w:r>
            <w:proofErr w:type="spellStart"/>
            <w:r w:rsidR="00C67112" w:rsidRPr="00B84EBF">
              <w:rPr>
                <w:rFonts w:ascii="ITC Avant Garde" w:eastAsia="Times New Roman" w:hAnsi="ITC Avant Garde"/>
                <w:sz w:val="20"/>
                <w:szCs w:val="20"/>
                <w:lang w:eastAsia="es-MX"/>
              </w:rPr>
              <w:t>G</w:t>
            </w:r>
            <w:r w:rsidR="00244E59" w:rsidRPr="00B84EBF">
              <w:rPr>
                <w:rFonts w:ascii="ITC Avant Garde" w:eastAsia="Times New Roman" w:hAnsi="ITC Avant Garde"/>
                <w:sz w:val="20"/>
                <w:szCs w:val="20"/>
                <w:lang w:eastAsia="es-MX"/>
              </w:rPr>
              <w:t>bps</w:t>
            </w:r>
            <w:proofErr w:type="spellEnd"/>
            <w:r w:rsidRPr="00B84EBF">
              <w:rPr>
                <w:rFonts w:ascii="ITC Avant Garde" w:eastAsia="Times New Roman" w:hAnsi="ITC Avant Garde"/>
                <w:sz w:val="20"/>
                <w:szCs w:val="20"/>
                <w:lang w:eastAsia="es-MX"/>
              </w:rPr>
              <w:t xml:space="preserve">) </w:t>
            </w:r>
          </w:p>
        </w:tc>
        <w:tc>
          <w:tcPr>
            <w:tcW w:w="1600" w:type="dxa"/>
            <w:tcBorders>
              <w:right w:val="single" w:sz="4" w:space="0" w:color="auto"/>
            </w:tcBorders>
            <w:hideMark/>
          </w:tcPr>
          <w:p w14:paraId="4EC93764" w14:textId="34442BE8"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$476,198.25 </w:t>
            </w:r>
          </w:p>
        </w:tc>
        <w:tc>
          <w:tcPr>
            <w:tcW w:w="1360" w:type="dxa"/>
            <w:tcBorders>
              <w:top w:val="nil"/>
              <w:left w:val="single" w:sz="4" w:space="0" w:color="auto"/>
              <w:bottom w:val="nil"/>
              <w:right w:val="single" w:sz="4" w:space="0" w:color="auto"/>
            </w:tcBorders>
            <w:shd w:val="clear" w:color="auto" w:fill="FFFFFF" w:themeFill="background1"/>
            <w:hideMark/>
          </w:tcPr>
          <w:p w14:paraId="185EDD4F" w14:textId="773A5611"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0A5CDB59" w14:textId="77777777" w:rsidR="00430037" w:rsidRPr="00E046E2" w:rsidRDefault="00C67112"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Giga Ethernet</w:t>
            </w:r>
            <w:r w:rsidR="00430037" w:rsidRPr="00E046E2">
              <w:rPr>
                <w:rFonts w:ascii="ITC Avant Garde" w:eastAsia="Times New Roman" w:hAnsi="ITC Avant Garde"/>
                <w:i/>
                <w:sz w:val="20"/>
                <w:szCs w:val="20"/>
                <w:lang w:eastAsia="es-MX"/>
              </w:rPr>
              <w:t xml:space="preserve"> 300 Mbps</w:t>
            </w:r>
          </w:p>
        </w:tc>
        <w:tc>
          <w:tcPr>
            <w:tcW w:w="1600" w:type="dxa"/>
            <w:hideMark/>
          </w:tcPr>
          <w:p w14:paraId="275788ED" w14:textId="56336C7F"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$54,615.00 </w:t>
            </w:r>
          </w:p>
        </w:tc>
      </w:tr>
      <w:tr w:rsidR="00FD7BCF" w:rsidRPr="00FD7BCF" w14:paraId="7012CD94" w14:textId="77777777" w:rsidTr="00E046E2">
        <w:trPr>
          <w:trHeight w:val="450"/>
        </w:trPr>
        <w:tc>
          <w:tcPr>
            <w:tcW w:w="2380" w:type="dxa"/>
            <w:hideMark/>
          </w:tcPr>
          <w:p w14:paraId="208DA995"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STM 64 (10 </w:t>
            </w:r>
            <w:proofErr w:type="spellStart"/>
            <w:r w:rsidR="00C67112" w:rsidRPr="00B84EBF">
              <w:rPr>
                <w:rFonts w:ascii="ITC Avant Garde" w:eastAsia="Times New Roman" w:hAnsi="ITC Avant Garde"/>
                <w:sz w:val="20"/>
                <w:szCs w:val="20"/>
                <w:lang w:eastAsia="es-MX"/>
              </w:rPr>
              <w:t>G</w:t>
            </w:r>
            <w:r w:rsidR="00244E59" w:rsidRPr="00B84EBF">
              <w:rPr>
                <w:rFonts w:ascii="ITC Avant Garde" w:eastAsia="Times New Roman" w:hAnsi="ITC Avant Garde"/>
                <w:sz w:val="20"/>
                <w:szCs w:val="20"/>
                <w:lang w:eastAsia="es-MX"/>
              </w:rPr>
              <w:t>bps</w:t>
            </w:r>
            <w:proofErr w:type="spellEnd"/>
            <w:r w:rsidRPr="00B84EBF">
              <w:rPr>
                <w:rFonts w:ascii="ITC Avant Garde" w:eastAsia="Times New Roman" w:hAnsi="ITC Avant Garde"/>
                <w:sz w:val="20"/>
                <w:szCs w:val="20"/>
                <w:lang w:eastAsia="es-MX"/>
              </w:rPr>
              <w:t>)</w:t>
            </w:r>
          </w:p>
        </w:tc>
        <w:tc>
          <w:tcPr>
            <w:tcW w:w="1600" w:type="dxa"/>
            <w:tcBorders>
              <w:right w:val="single" w:sz="4" w:space="0" w:color="auto"/>
            </w:tcBorders>
            <w:hideMark/>
          </w:tcPr>
          <w:p w14:paraId="75AF84A7" w14:textId="229DFEC0"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$1,619,074.05 </w:t>
            </w:r>
          </w:p>
        </w:tc>
        <w:tc>
          <w:tcPr>
            <w:tcW w:w="1360" w:type="dxa"/>
            <w:tcBorders>
              <w:top w:val="nil"/>
              <w:left w:val="single" w:sz="4" w:space="0" w:color="auto"/>
              <w:bottom w:val="nil"/>
              <w:right w:val="single" w:sz="4" w:space="0" w:color="auto"/>
            </w:tcBorders>
            <w:shd w:val="clear" w:color="auto" w:fill="FFFFFF" w:themeFill="background1"/>
            <w:hideMark/>
          </w:tcPr>
          <w:p w14:paraId="6980FE77" w14:textId="6BEB1F18"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14AF088E" w14:textId="77777777" w:rsidR="00430037" w:rsidRPr="00E046E2" w:rsidRDefault="00C67112"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Giga Ethernet</w:t>
            </w:r>
            <w:r w:rsidR="00430037" w:rsidRPr="00E046E2">
              <w:rPr>
                <w:rFonts w:ascii="ITC Avant Garde" w:eastAsia="Times New Roman" w:hAnsi="ITC Avant Garde"/>
                <w:i/>
                <w:sz w:val="20"/>
                <w:szCs w:val="20"/>
                <w:lang w:eastAsia="es-MX"/>
              </w:rPr>
              <w:t xml:space="preserve"> 350 Mbps</w:t>
            </w:r>
          </w:p>
        </w:tc>
        <w:tc>
          <w:tcPr>
            <w:tcW w:w="1600" w:type="dxa"/>
            <w:hideMark/>
          </w:tcPr>
          <w:p w14:paraId="19E7E397" w14:textId="6C523F0E"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$61,743.00 </w:t>
            </w:r>
          </w:p>
        </w:tc>
      </w:tr>
      <w:tr w:rsidR="00FD7BCF" w:rsidRPr="00FD7BCF" w14:paraId="0B024BF7" w14:textId="77777777" w:rsidTr="00E046E2">
        <w:trPr>
          <w:trHeight w:val="450"/>
        </w:trPr>
        <w:tc>
          <w:tcPr>
            <w:tcW w:w="2380" w:type="dxa"/>
            <w:hideMark/>
          </w:tcPr>
          <w:p w14:paraId="1C6589AC" w14:textId="77777777" w:rsidR="00430037" w:rsidRPr="00B84EBF" w:rsidRDefault="0017127F"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STM </w:t>
            </w:r>
            <w:r w:rsidR="00430037" w:rsidRPr="00B84EBF">
              <w:rPr>
                <w:rFonts w:ascii="ITC Avant Garde" w:eastAsia="Times New Roman" w:hAnsi="ITC Avant Garde"/>
                <w:sz w:val="20"/>
                <w:szCs w:val="20"/>
                <w:lang w:eastAsia="es-MX"/>
              </w:rPr>
              <w:t>256 (</w:t>
            </w:r>
            <w:r w:rsidR="008C5D4C" w:rsidRPr="00B84EBF">
              <w:rPr>
                <w:rFonts w:ascii="ITC Avant Garde" w:eastAsia="Times New Roman" w:hAnsi="ITC Avant Garde"/>
                <w:sz w:val="20"/>
                <w:szCs w:val="20"/>
                <w:lang w:eastAsia="es-MX"/>
              </w:rPr>
              <w:t xml:space="preserve">40 </w:t>
            </w:r>
            <w:proofErr w:type="spellStart"/>
            <w:r w:rsidR="008C5D4C" w:rsidRPr="00B84EBF">
              <w:rPr>
                <w:rFonts w:ascii="ITC Avant Garde" w:eastAsia="Times New Roman" w:hAnsi="ITC Avant Garde"/>
                <w:sz w:val="20"/>
                <w:szCs w:val="20"/>
                <w:lang w:eastAsia="es-MX"/>
              </w:rPr>
              <w:t>Gbps</w:t>
            </w:r>
            <w:proofErr w:type="spellEnd"/>
            <w:r w:rsidR="00430037" w:rsidRPr="00B84EBF">
              <w:rPr>
                <w:rFonts w:ascii="ITC Avant Garde" w:eastAsia="Times New Roman" w:hAnsi="ITC Avant Garde"/>
                <w:sz w:val="20"/>
                <w:szCs w:val="20"/>
                <w:lang w:eastAsia="es-MX"/>
              </w:rPr>
              <w:t xml:space="preserve">) </w:t>
            </w:r>
          </w:p>
        </w:tc>
        <w:tc>
          <w:tcPr>
            <w:tcW w:w="1600" w:type="dxa"/>
            <w:tcBorders>
              <w:right w:val="single" w:sz="4" w:space="0" w:color="auto"/>
            </w:tcBorders>
            <w:hideMark/>
          </w:tcPr>
          <w:p w14:paraId="7E5F5C54" w14:textId="43675E1C"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$6,476,296.20 </w:t>
            </w:r>
          </w:p>
        </w:tc>
        <w:tc>
          <w:tcPr>
            <w:tcW w:w="1360" w:type="dxa"/>
            <w:tcBorders>
              <w:top w:val="nil"/>
              <w:left w:val="single" w:sz="4" w:space="0" w:color="auto"/>
              <w:bottom w:val="nil"/>
              <w:right w:val="single" w:sz="4" w:space="0" w:color="auto"/>
            </w:tcBorders>
            <w:shd w:val="clear" w:color="auto" w:fill="FFFFFF" w:themeFill="background1"/>
            <w:hideMark/>
          </w:tcPr>
          <w:p w14:paraId="2B660258" w14:textId="2320A7EF"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0374BF51" w14:textId="77777777" w:rsidR="00430037" w:rsidRPr="00E046E2" w:rsidRDefault="00C67112"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Giga Ethernet</w:t>
            </w:r>
            <w:r w:rsidR="00430037" w:rsidRPr="00E046E2">
              <w:rPr>
                <w:rFonts w:ascii="ITC Avant Garde" w:eastAsia="Times New Roman" w:hAnsi="ITC Avant Garde"/>
                <w:i/>
                <w:sz w:val="20"/>
                <w:szCs w:val="20"/>
                <w:lang w:eastAsia="es-MX"/>
              </w:rPr>
              <w:t xml:space="preserve"> 400 Mbps</w:t>
            </w:r>
          </w:p>
        </w:tc>
        <w:tc>
          <w:tcPr>
            <w:tcW w:w="1600" w:type="dxa"/>
            <w:hideMark/>
          </w:tcPr>
          <w:p w14:paraId="30DC35A2" w14:textId="4BB9FD10"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$68,805.00 </w:t>
            </w:r>
          </w:p>
        </w:tc>
      </w:tr>
      <w:tr w:rsidR="00FD7BCF" w:rsidRPr="00FD7BCF" w14:paraId="1133C5AF" w14:textId="77777777" w:rsidTr="00E046E2">
        <w:trPr>
          <w:trHeight w:val="450"/>
        </w:trPr>
        <w:tc>
          <w:tcPr>
            <w:tcW w:w="2380" w:type="dxa"/>
            <w:hideMark/>
          </w:tcPr>
          <w:p w14:paraId="7228FA79"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2 Mbps PMP</w:t>
            </w:r>
          </w:p>
        </w:tc>
        <w:tc>
          <w:tcPr>
            <w:tcW w:w="1600" w:type="dxa"/>
            <w:tcBorders>
              <w:right w:val="single" w:sz="4" w:space="0" w:color="auto"/>
            </w:tcBorders>
            <w:hideMark/>
          </w:tcPr>
          <w:p w14:paraId="291DF98E" w14:textId="7AAAED27"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$5,273.73 </w:t>
            </w:r>
          </w:p>
        </w:tc>
        <w:tc>
          <w:tcPr>
            <w:tcW w:w="1360" w:type="dxa"/>
            <w:tcBorders>
              <w:top w:val="nil"/>
              <w:left w:val="single" w:sz="4" w:space="0" w:color="auto"/>
              <w:bottom w:val="nil"/>
              <w:right w:val="single" w:sz="4" w:space="0" w:color="auto"/>
            </w:tcBorders>
            <w:shd w:val="clear" w:color="auto" w:fill="FFFFFF" w:themeFill="background1"/>
            <w:hideMark/>
          </w:tcPr>
          <w:p w14:paraId="7DFB9154" w14:textId="340357B5"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37032E11" w14:textId="77777777" w:rsidR="00430037" w:rsidRPr="00E046E2" w:rsidRDefault="00C67112"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Giga Ethernet</w:t>
            </w:r>
            <w:r w:rsidR="00430037" w:rsidRPr="00E046E2">
              <w:rPr>
                <w:rFonts w:ascii="ITC Avant Garde" w:eastAsia="Times New Roman" w:hAnsi="ITC Avant Garde"/>
                <w:i/>
                <w:sz w:val="20"/>
                <w:szCs w:val="20"/>
                <w:lang w:eastAsia="es-MX"/>
              </w:rPr>
              <w:t xml:space="preserve"> 450 Mbps</w:t>
            </w:r>
          </w:p>
        </w:tc>
        <w:tc>
          <w:tcPr>
            <w:tcW w:w="1600" w:type="dxa"/>
            <w:hideMark/>
          </w:tcPr>
          <w:p w14:paraId="100B010B" w14:textId="0E4D086B"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$75,900.00 </w:t>
            </w:r>
          </w:p>
        </w:tc>
      </w:tr>
      <w:tr w:rsidR="00FD7BCF" w:rsidRPr="00FD7BCF" w14:paraId="1EB9F34F" w14:textId="77777777" w:rsidTr="00E046E2">
        <w:trPr>
          <w:trHeight w:val="450"/>
        </w:trPr>
        <w:tc>
          <w:tcPr>
            <w:tcW w:w="2380" w:type="dxa"/>
            <w:hideMark/>
          </w:tcPr>
          <w:p w14:paraId="0A339761"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34 Mbps PMP</w:t>
            </w:r>
          </w:p>
        </w:tc>
        <w:tc>
          <w:tcPr>
            <w:tcW w:w="1600" w:type="dxa"/>
            <w:tcBorders>
              <w:right w:val="single" w:sz="4" w:space="0" w:color="auto"/>
            </w:tcBorders>
            <w:hideMark/>
          </w:tcPr>
          <w:p w14:paraId="78431EAE" w14:textId="0A676670"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$21,071.16 </w:t>
            </w:r>
          </w:p>
        </w:tc>
        <w:tc>
          <w:tcPr>
            <w:tcW w:w="1360" w:type="dxa"/>
            <w:tcBorders>
              <w:top w:val="nil"/>
              <w:left w:val="single" w:sz="4" w:space="0" w:color="auto"/>
              <w:bottom w:val="nil"/>
              <w:right w:val="single" w:sz="4" w:space="0" w:color="auto"/>
            </w:tcBorders>
            <w:shd w:val="clear" w:color="auto" w:fill="FFFFFF" w:themeFill="background1"/>
            <w:hideMark/>
          </w:tcPr>
          <w:p w14:paraId="41FCED20" w14:textId="4E0117D9"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1F21BE77" w14:textId="77777777" w:rsidR="00430037" w:rsidRPr="00E046E2" w:rsidRDefault="00C67112"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Giga Ethernet</w:t>
            </w:r>
            <w:r w:rsidR="00430037" w:rsidRPr="00E046E2">
              <w:rPr>
                <w:rFonts w:ascii="ITC Avant Garde" w:eastAsia="Times New Roman" w:hAnsi="ITC Avant Garde"/>
                <w:i/>
                <w:sz w:val="20"/>
                <w:szCs w:val="20"/>
                <w:lang w:eastAsia="es-MX"/>
              </w:rPr>
              <w:t xml:space="preserve"> 500 Mbps</w:t>
            </w:r>
          </w:p>
        </w:tc>
        <w:tc>
          <w:tcPr>
            <w:tcW w:w="1600" w:type="dxa"/>
            <w:hideMark/>
          </w:tcPr>
          <w:p w14:paraId="6C94ACE6" w14:textId="24018DB3"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$82,995.00 </w:t>
            </w:r>
          </w:p>
        </w:tc>
      </w:tr>
      <w:tr w:rsidR="00FD7BCF" w:rsidRPr="00FD7BCF" w14:paraId="63BD383E" w14:textId="77777777" w:rsidTr="00E046E2">
        <w:trPr>
          <w:trHeight w:val="450"/>
        </w:trPr>
        <w:tc>
          <w:tcPr>
            <w:tcW w:w="2380" w:type="dxa"/>
            <w:tcBorders>
              <w:bottom w:val="single" w:sz="4" w:space="0" w:color="auto"/>
            </w:tcBorders>
            <w:hideMark/>
          </w:tcPr>
          <w:p w14:paraId="5EB7EBFF" w14:textId="77777777" w:rsidR="00430037" w:rsidRPr="00B84EBF" w:rsidRDefault="00430037"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155 Mbps PMP</w:t>
            </w:r>
          </w:p>
        </w:tc>
        <w:tc>
          <w:tcPr>
            <w:tcW w:w="1600" w:type="dxa"/>
            <w:tcBorders>
              <w:bottom w:val="single" w:sz="4" w:space="0" w:color="auto"/>
              <w:right w:val="single" w:sz="4" w:space="0" w:color="auto"/>
            </w:tcBorders>
            <w:hideMark/>
          </w:tcPr>
          <w:p w14:paraId="50E58EB8" w14:textId="5CB13BFC" w:rsidR="00430037" w:rsidRPr="00E046E2" w:rsidRDefault="00430037"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$70,852.32 </w:t>
            </w:r>
          </w:p>
        </w:tc>
        <w:tc>
          <w:tcPr>
            <w:tcW w:w="1360" w:type="dxa"/>
            <w:tcBorders>
              <w:top w:val="nil"/>
              <w:left w:val="single" w:sz="4" w:space="0" w:color="auto"/>
              <w:bottom w:val="nil"/>
              <w:right w:val="single" w:sz="4" w:space="0" w:color="auto"/>
            </w:tcBorders>
            <w:shd w:val="clear" w:color="auto" w:fill="FFFFFF" w:themeFill="background1"/>
            <w:hideMark/>
          </w:tcPr>
          <w:p w14:paraId="11A11711" w14:textId="2B0E00CC" w:rsidR="00430037"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6BFEA211" w14:textId="77777777" w:rsidR="00430037" w:rsidRPr="00E046E2" w:rsidRDefault="00C67112"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Giga Ethernet</w:t>
            </w:r>
            <w:r w:rsidR="00430037" w:rsidRPr="00E046E2">
              <w:rPr>
                <w:rFonts w:ascii="ITC Avant Garde" w:eastAsia="Times New Roman" w:hAnsi="ITC Avant Garde"/>
                <w:i/>
                <w:sz w:val="20"/>
                <w:szCs w:val="20"/>
                <w:lang w:eastAsia="es-MX"/>
              </w:rPr>
              <w:t xml:space="preserve"> 550 Mbps</w:t>
            </w:r>
          </w:p>
        </w:tc>
        <w:tc>
          <w:tcPr>
            <w:tcW w:w="1600" w:type="dxa"/>
            <w:hideMark/>
          </w:tcPr>
          <w:p w14:paraId="229C5D8A" w14:textId="111FF9F7" w:rsidR="00430037" w:rsidRPr="00B84EBF" w:rsidRDefault="00430037"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$90,057.00 </w:t>
            </w:r>
          </w:p>
        </w:tc>
      </w:tr>
      <w:tr w:rsidR="00FD7BCF" w:rsidRPr="00FD7BCF" w14:paraId="1303DDCC" w14:textId="77777777" w:rsidTr="00E046E2">
        <w:trPr>
          <w:trHeight w:val="450"/>
        </w:trPr>
        <w:tc>
          <w:tcPr>
            <w:tcW w:w="2380" w:type="dxa"/>
            <w:tcBorders>
              <w:bottom w:val="single" w:sz="4" w:space="0" w:color="auto"/>
            </w:tcBorders>
            <w:hideMark/>
          </w:tcPr>
          <w:p w14:paraId="6D239CCE" w14:textId="77777777" w:rsidR="00F904A0" w:rsidRPr="00B84EBF" w:rsidRDefault="00F904A0" w:rsidP="00B42019">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622 Mbps PMP</w:t>
            </w:r>
          </w:p>
        </w:tc>
        <w:tc>
          <w:tcPr>
            <w:tcW w:w="1600" w:type="dxa"/>
            <w:tcBorders>
              <w:bottom w:val="single" w:sz="4" w:space="0" w:color="auto"/>
              <w:right w:val="single" w:sz="4" w:space="0" w:color="auto"/>
            </w:tcBorders>
            <w:hideMark/>
          </w:tcPr>
          <w:p w14:paraId="0A437576" w14:textId="0350F7DB" w:rsidR="00F904A0" w:rsidRPr="00E046E2" w:rsidRDefault="00F904A0" w:rsidP="00B84EBF">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$257,895.66 </w:t>
            </w:r>
          </w:p>
        </w:tc>
        <w:tc>
          <w:tcPr>
            <w:tcW w:w="1360" w:type="dxa"/>
            <w:tcBorders>
              <w:top w:val="nil"/>
              <w:left w:val="single" w:sz="4" w:space="0" w:color="auto"/>
              <w:bottom w:val="nil"/>
              <w:right w:val="single" w:sz="4" w:space="0" w:color="auto"/>
            </w:tcBorders>
            <w:shd w:val="clear" w:color="auto" w:fill="FFFFFF" w:themeFill="background1"/>
            <w:hideMark/>
          </w:tcPr>
          <w:p w14:paraId="58FDF5A0" w14:textId="16978412"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bottom w:val="single" w:sz="4" w:space="0" w:color="auto"/>
            </w:tcBorders>
            <w:hideMark/>
          </w:tcPr>
          <w:p w14:paraId="21C4D916" w14:textId="77777777" w:rsidR="00F904A0" w:rsidRPr="00E046E2" w:rsidRDefault="00F904A0"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Giga Ethernet 600 Mbps</w:t>
            </w:r>
          </w:p>
        </w:tc>
        <w:tc>
          <w:tcPr>
            <w:tcW w:w="1600" w:type="dxa"/>
            <w:hideMark/>
          </w:tcPr>
          <w:p w14:paraId="17C8F24B" w14:textId="090856EB" w:rsidR="00F904A0" w:rsidRPr="00B84EBF" w:rsidRDefault="00F904A0"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$97,185.00 </w:t>
            </w:r>
          </w:p>
        </w:tc>
      </w:tr>
      <w:tr w:rsidR="00FD7BCF" w:rsidRPr="00FD7BCF" w14:paraId="6D597AA4" w14:textId="77777777" w:rsidTr="00E046E2">
        <w:trPr>
          <w:trHeight w:val="450"/>
        </w:trPr>
        <w:tc>
          <w:tcPr>
            <w:tcW w:w="2380" w:type="dxa"/>
            <w:tcBorders>
              <w:top w:val="single" w:sz="4" w:space="0" w:color="auto"/>
              <w:left w:val="nil"/>
              <w:bottom w:val="nil"/>
              <w:right w:val="nil"/>
            </w:tcBorders>
          </w:tcPr>
          <w:p w14:paraId="16609794" w14:textId="07D128B5"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single" w:sz="4" w:space="0" w:color="auto"/>
              <w:left w:val="nil"/>
              <w:bottom w:val="nil"/>
              <w:right w:val="nil"/>
            </w:tcBorders>
          </w:tcPr>
          <w:p w14:paraId="12A3D2A6" w14:textId="403857A9" w:rsidR="00F904A0" w:rsidRPr="002D46C1" w:rsidRDefault="002D46C1" w:rsidP="00B42019">
            <w:pPr>
              <w:spacing w:after="0" w:line="276" w:lineRule="auto"/>
              <w:jc w:val="center"/>
              <w:rPr>
                <w:rFonts w:ascii="ITC Avant Garde" w:eastAsia="Times New Roman" w:hAnsi="ITC Avant Garde"/>
                <w:i/>
                <w:sz w:val="2"/>
                <w:szCs w:val="2"/>
                <w:lang w:eastAsia="es-MX"/>
              </w:rPr>
            </w:pPr>
            <w:r w:rsidRPr="002D46C1">
              <w:rPr>
                <w:rFonts w:ascii="ITC Avant Garde" w:eastAsia="Times New Roman" w:hAnsi="ITC Avant Garde"/>
                <w:i/>
                <w:sz w:val="2"/>
                <w:szCs w:val="2"/>
                <w:lang w:eastAsia="es-MX"/>
              </w:rPr>
              <w:t>.</w:t>
            </w:r>
          </w:p>
        </w:tc>
        <w:tc>
          <w:tcPr>
            <w:tcW w:w="1360" w:type="dxa"/>
            <w:tcBorders>
              <w:top w:val="nil"/>
              <w:left w:val="nil"/>
              <w:bottom w:val="nil"/>
              <w:right w:val="single" w:sz="4" w:space="0" w:color="auto"/>
            </w:tcBorders>
            <w:shd w:val="clear" w:color="auto" w:fill="FFFFFF" w:themeFill="background1"/>
            <w:hideMark/>
          </w:tcPr>
          <w:p w14:paraId="31D4E187" w14:textId="249013B3"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4EDCCCDC" w14:textId="77777777" w:rsidR="00F904A0" w:rsidRPr="00E046E2" w:rsidRDefault="00F904A0"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Giga Ethernet 750 Mbps</w:t>
            </w:r>
          </w:p>
        </w:tc>
        <w:tc>
          <w:tcPr>
            <w:tcW w:w="1600" w:type="dxa"/>
            <w:hideMark/>
          </w:tcPr>
          <w:p w14:paraId="07AC0571" w14:textId="3D3D8CEA" w:rsidR="00F904A0" w:rsidRPr="00B84EBF" w:rsidRDefault="00F904A0"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$131,901.00 </w:t>
            </w:r>
          </w:p>
        </w:tc>
      </w:tr>
      <w:tr w:rsidR="00FD7BCF" w:rsidRPr="00FD7BCF" w14:paraId="53E42678" w14:textId="77777777" w:rsidTr="00E046E2">
        <w:trPr>
          <w:trHeight w:val="450"/>
        </w:trPr>
        <w:tc>
          <w:tcPr>
            <w:tcW w:w="2380" w:type="dxa"/>
            <w:tcBorders>
              <w:top w:val="nil"/>
              <w:left w:val="nil"/>
              <w:bottom w:val="nil"/>
              <w:right w:val="nil"/>
            </w:tcBorders>
          </w:tcPr>
          <w:p w14:paraId="1CC2E76E" w14:textId="1EAEADA6"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tcPr>
          <w:p w14:paraId="7C35388E" w14:textId="490DD51A" w:rsidR="00F904A0" w:rsidRPr="002D46C1" w:rsidRDefault="002D46C1" w:rsidP="00B42019">
            <w:pPr>
              <w:spacing w:after="0" w:line="276" w:lineRule="auto"/>
              <w:jc w:val="center"/>
              <w:rPr>
                <w:rFonts w:ascii="ITC Avant Garde" w:eastAsia="Times New Roman" w:hAnsi="ITC Avant Garde"/>
                <w:i/>
                <w:sz w:val="2"/>
                <w:szCs w:val="2"/>
                <w:lang w:eastAsia="es-MX"/>
              </w:rPr>
            </w:pPr>
            <w:r w:rsidRPr="002D46C1">
              <w:rPr>
                <w:rFonts w:ascii="ITC Avant Garde" w:eastAsia="Times New Roman" w:hAnsi="ITC Avant Garde"/>
                <w:i/>
                <w:sz w:val="2"/>
                <w:szCs w:val="2"/>
                <w:lang w:eastAsia="es-MX"/>
              </w:rPr>
              <w:t>.</w:t>
            </w:r>
          </w:p>
        </w:tc>
        <w:tc>
          <w:tcPr>
            <w:tcW w:w="1360" w:type="dxa"/>
            <w:tcBorders>
              <w:top w:val="nil"/>
              <w:left w:val="nil"/>
              <w:bottom w:val="nil"/>
              <w:right w:val="single" w:sz="4" w:space="0" w:color="auto"/>
            </w:tcBorders>
            <w:shd w:val="clear" w:color="auto" w:fill="FFFFFF" w:themeFill="background1"/>
            <w:hideMark/>
          </w:tcPr>
          <w:p w14:paraId="20C7985F" w14:textId="31B9D197"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242D46DC" w14:textId="77777777" w:rsidR="00F904A0" w:rsidRPr="00E046E2" w:rsidRDefault="00F904A0"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Giga Ethernet 1 </w:t>
            </w:r>
            <w:proofErr w:type="spellStart"/>
            <w:r w:rsidRPr="00E046E2">
              <w:rPr>
                <w:rFonts w:ascii="ITC Avant Garde" w:eastAsia="Times New Roman" w:hAnsi="ITC Avant Garde"/>
                <w:i/>
                <w:sz w:val="20"/>
                <w:szCs w:val="20"/>
                <w:lang w:eastAsia="es-MX"/>
              </w:rPr>
              <w:t>Gbps</w:t>
            </w:r>
            <w:proofErr w:type="spellEnd"/>
          </w:p>
        </w:tc>
        <w:tc>
          <w:tcPr>
            <w:tcW w:w="1600" w:type="dxa"/>
            <w:hideMark/>
          </w:tcPr>
          <w:p w14:paraId="7804314C" w14:textId="64F92A5B" w:rsidR="00F904A0" w:rsidRPr="00B84EBF" w:rsidRDefault="00F904A0"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$167,343.00 </w:t>
            </w:r>
          </w:p>
        </w:tc>
      </w:tr>
      <w:tr w:rsidR="00FD7BCF" w:rsidRPr="00FD7BCF" w14:paraId="500B7A26" w14:textId="77777777" w:rsidTr="00E046E2">
        <w:trPr>
          <w:trHeight w:val="450"/>
        </w:trPr>
        <w:tc>
          <w:tcPr>
            <w:tcW w:w="2380" w:type="dxa"/>
            <w:tcBorders>
              <w:top w:val="nil"/>
              <w:left w:val="nil"/>
              <w:bottom w:val="nil"/>
              <w:right w:val="nil"/>
            </w:tcBorders>
          </w:tcPr>
          <w:p w14:paraId="72A4BF27" w14:textId="227A8B0D"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tcPr>
          <w:p w14:paraId="35463B25" w14:textId="7FB370D4" w:rsidR="00F904A0" w:rsidRPr="002D46C1" w:rsidRDefault="002D46C1" w:rsidP="00B42019">
            <w:pPr>
              <w:spacing w:after="0" w:line="276" w:lineRule="auto"/>
              <w:jc w:val="center"/>
              <w:rPr>
                <w:rFonts w:ascii="ITC Avant Garde" w:eastAsia="Times New Roman" w:hAnsi="ITC Avant Garde"/>
                <w:i/>
                <w:sz w:val="2"/>
                <w:szCs w:val="2"/>
                <w:lang w:eastAsia="es-MX"/>
              </w:rPr>
            </w:pPr>
            <w:r w:rsidRPr="002D46C1">
              <w:rPr>
                <w:rFonts w:ascii="ITC Avant Garde" w:eastAsia="Times New Roman" w:hAnsi="ITC Avant Garde"/>
                <w:i/>
                <w:sz w:val="2"/>
                <w:szCs w:val="2"/>
                <w:lang w:eastAsia="es-MX"/>
              </w:rPr>
              <w:t>.</w:t>
            </w:r>
          </w:p>
        </w:tc>
        <w:tc>
          <w:tcPr>
            <w:tcW w:w="1360" w:type="dxa"/>
            <w:tcBorders>
              <w:top w:val="nil"/>
              <w:left w:val="nil"/>
              <w:bottom w:val="nil"/>
              <w:right w:val="single" w:sz="4" w:space="0" w:color="auto"/>
            </w:tcBorders>
            <w:shd w:val="clear" w:color="auto" w:fill="FFFFFF" w:themeFill="background1"/>
            <w:hideMark/>
          </w:tcPr>
          <w:p w14:paraId="6257DD92" w14:textId="11BC644E"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5FDC0FCA" w14:textId="77777777" w:rsidR="00F904A0" w:rsidRPr="00E046E2" w:rsidRDefault="00F904A0"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Giga Ethernet 2 </w:t>
            </w:r>
            <w:proofErr w:type="spellStart"/>
            <w:r w:rsidRPr="00E046E2">
              <w:rPr>
                <w:rFonts w:ascii="ITC Avant Garde" w:eastAsia="Times New Roman" w:hAnsi="ITC Avant Garde"/>
                <w:i/>
                <w:sz w:val="20"/>
                <w:szCs w:val="20"/>
                <w:lang w:eastAsia="es-MX"/>
              </w:rPr>
              <w:t>Gbps</w:t>
            </w:r>
            <w:proofErr w:type="spellEnd"/>
          </w:p>
        </w:tc>
        <w:tc>
          <w:tcPr>
            <w:tcW w:w="1600" w:type="dxa"/>
            <w:hideMark/>
          </w:tcPr>
          <w:p w14:paraId="1856ABDA" w14:textId="5FCE694A" w:rsidR="00F904A0" w:rsidRPr="00B84EBF" w:rsidRDefault="00F904A0"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$190,352.58 </w:t>
            </w:r>
          </w:p>
        </w:tc>
      </w:tr>
      <w:tr w:rsidR="00FD7BCF" w:rsidRPr="00FD7BCF" w14:paraId="149AC6C9" w14:textId="77777777" w:rsidTr="00E046E2">
        <w:trPr>
          <w:trHeight w:val="450"/>
        </w:trPr>
        <w:tc>
          <w:tcPr>
            <w:tcW w:w="2380" w:type="dxa"/>
            <w:tcBorders>
              <w:top w:val="nil"/>
              <w:left w:val="nil"/>
              <w:bottom w:val="nil"/>
              <w:right w:val="nil"/>
            </w:tcBorders>
          </w:tcPr>
          <w:p w14:paraId="6359E73C" w14:textId="6C01ACF0"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tcPr>
          <w:p w14:paraId="0B08C410" w14:textId="3F5B12DD" w:rsidR="00F904A0" w:rsidRPr="002D46C1" w:rsidRDefault="002D46C1" w:rsidP="00B42019">
            <w:pPr>
              <w:spacing w:after="0" w:line="276" w:lineRule="auto"/>
              <w:jc w:val="center"/>
              <w:rPr>
                <w:rFonts w:ascii="ITC Avant Garde" w:eastAsia="Times New Roman" w:hAnsi="ITC Avant Garde"/>
                <w:i/>
                <w:sz w:val="2"/>
                <w:szCs w:val="2"/>
                <w:lang w:eastAsia="es-MX"/>
              </w:rPr>
            </w:pPr>
            <w:r w:rsidRPr="002D46C1">
              <w:rPr>
                <w:rFonts w:ascii="ITC Avant Garde" w:eastAsia="Times New Roman" w:hAnsi="ITC Avant Garde"/>
                <w:i/>
                <w:sz w:val="2"/>
                <w:szCs w:val="2"/>
                <w:lang w:eastAsia="es-MX"/>
              </w:rPr>
              <w:t>.</w:t>
            </w:r>
          </w:p>
        </w:tc>
        <w:tc>
          <w:tcPr>
            <w:tcW w:w="1360" w:type="dxa"/>
            <w:tcBorders>
              <w:top w:val="nil"/>
              <w:left w:val="nil"/>
              <w:bottom w:val="nil"/>
              <w:right w:val="single" w:sz="4" w:space="0" w:color="auto"/>
            </w:tcBorders>
            <w:shd w:val="clear" w:color="auto" w:fill="FFFFFF" w:themeFill="background1"/>
            <w:hideMark/>
          </w:tcPr>
          <w:p w14:paraId="6A56566D" w14:textId="469EF761"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0D3E91C8" w14:textId="77777777" w:rsidR="00F904A0" w:rsidRPr="00E046E2" w:rsidRDefault="00F904A0"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Giga Ethernet 4 </w:t>
            </w:r>
            <w:proofErr w:type="spellStart"/>
            <w:r w:rsidRPr="00E046E2">
              <w:rPr>
                <w:rFonts w:ascii="ITC Avant Garde" w:eastAsia="Times New Roman" w:hAnsi="ITC Avant Garde"/>
                <w:i/>
                <w:sz w:val="20"/>
                <w:szCs w:val="20"/>
                <w:lang w:eastAsia="es-MX"/>
              </w:rPr>
              <w:t>Gbps</w:t>
            </w:r>
            <w:proofErr w:type="spellEnd"/>
          </w:p>
        </w:tc>
        <w:tc>
          <w:tcPr>
            <w:tcW w:w="1600" w:type="dxa"/>
            <w:hideMark/>
          </w:tcPr>
          <w:p w14:paraId="346B54A3" w14:textId="4C983569" w:rsidR="00F904A0" w:rsidRPr="00B84EBF" w:rsidRDefault="00F904A0"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$380,705.16 </w:t>
            </w:r>
          </w:p>
        </w:tc>
      </w:tr>
      <w:tr w:rsidR="00FD7BCF" w:rsidRPr="00FD7BCF" w14:paraId="3608CC0D" w14:textId="77777777" w:rsidTr="00E046E2">
        <w:trPr>
          <w:trHeight w:val="450"/>
        </w:trPr>
        <w:tc>
          <w:tcPr>
            <w:tcW w:w="2380" w:type="dxa"/>
            <w:tcBorders>
              <w:top w:val="nil"/>
              <w:left w:val="nil"/>
              <w:bottom w:val="nil"/>
              <w:right w:val="nil"/>
            </w:tcBorders>
          </w:tcPr>
          <w:p w14:paraId="10C8D122" w14:textId="1AE2D5C0"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lastRenderedPageBreak/>
              <w:t>.</w:t>
            </w:r>
          </w:p>
        </w:tc>
        <w:tc>
          <w:tcPr>
            <w:tcW w:w="1600" w:type="dxa"/>
            <w:tcBorders>
              <w:top w:val="nil"/>
              <w:left w:val="nil"/>
              <w:bottom w:val="nil"/>
              <w:right w:val="nil"/>
            </w:tcBorders>
          </w:tcPr>
          <w:p w14:paraId="030BBD1A" w14:textId="6420DABB" w:rsidR="00F904A0" w:rsidRPr="002D46C1" w:rsidRDefault="002D46C1" w:rsidP="00B42019">
            <w:pPr>
              <w:spacing w:after="0" w:line="276" w:lineRule="auto"/>
              <w:jc w:val="center"/>
              <w:rPr>
                <w:rFonts w:ascii="ITC Avant Garde" w:eastAsia="Times New Roman" w:hAnsi="ITC Avant Garde"/>
                <w:i/>
                <w:sz w:val="2"/>
                <w:szCs w:val="2"/>
                <w:lang w:eastAsia="es-MX"/>
              </w:rPr>
            </w:pPr>
            <w:r w:rsidRPr="002D46C1">
              <w:rPr>
                <w:rFonts w:ascii="ITC Avant Garde" w:eastAsia="Times New Roman" w:hAnsi="ITC Avant Garde"/>
                <w:i/>
                <w:sz w:val="2"/>
                <w:szCs w:val="2"/>
                <w:lang w:eastAsia="es-MX"/>
              </w:rPr>
              <w:t>.</w:t>
            </w:r>
          </w:p>
        </w:tc>
        <w:tc>
          <w:tcPr>
            <w:tcW w:w="1360" w:type="dxa"/>
            <w:tcBorders>
              <w:top w:val="nil"/>
              <w:left w:val="nil"/>
              <w:bottom w:val="nil"/>
              <w:right w:val="single" w:sz="4" w:space="0" w:color="auto"/>
            </w:tcBorders>
            <w:shd w:val="clear" w:color="auto" w:fill="FFFFFF" w:themeFill="background1"/>
            <w:hideMark/>
          </w:tcPr>
          <w:p w14:paraId="74624750" w14:textId="27C49942"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7956C318" w14:textId="77777777" w:rsidR="00F904A0" w:rsidRPr="00E046E2" w:rsidRDefault="00F904A0"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Giga Ethernet 6 </w:t>
            </w:r>
            <w:proofErr w:type="spellStart"/>
            <w:r w:rsidRPr="00E046E2">
              <w:rPr>
                <w:rFonts w:ascii="ITC Avant Garde" w:eastAsia="Times New Roman" w:hAnsi="ITC Avant Garde"/>
                <w:i/>
                <w:sz w:val="20"/>
                <w:szCs w:val="20"/>
                <w:lang w:eastAsia="es-MX"/>
              </w:rPr>
              <w:t>Gbps</w:t>
            </w:r>
            <w:proofErr w:type="spellEnd"/>
          </w:p>
        </w:tc>
        <w:tc>
          <w:tcPr>
            <w:tcW w:w="1600" w:type="dxa"/>
            <w:hideMark/>
          </w:tcPr>
          <w:p w14:paraId="10876A61" w14:textId="07F4B7D8" w:rsidR="00F904A0" w:rsidRPr="00B84EBF" w:rsidRDefault="00F904A0"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$571,057.74 </w:t>
            </w:r>
          </w:p>
        </w:tc>
      </w:tr>
      <w:tr w:rsidR="00FD7BCF" w:rsidRPr="00FD7BCF" w14:paraId="54E9C084" w14:textId="77777777" w:rsidTr="00E046E2">
        <w:trPr>
          <w:trHeight w:val="450"/>
        </w:trPr>
        <w:tc>
          <w:tcPr>
            <w:tcW w:w="2380" w:type="dxa"/>
            <w:tcBorders>
              <w:top w:val="nil"/>
              <w:left w:val="nil"/>
              <w:bottom w:val="nil"/>
              <w:right w:val="nil"/>
            </w:tcBorders>
          </w:tcPr>
          <w:p w14:paraId="56E887BB" w14:textId="72B9BF6D"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tcPr>
          <w:p w14:paraId="31ABE587" w14:textId="2F6ED4DE" w:rsidR="00F904A0" w:rsidRPr="002D46C1" w:rsidRDefault="002D46C1" w:rsidP="00B42019">
            <w:pPr>
              <w:spacing w:after="0" w:line="276" w:lineRule="auto"/>
              <w:jc w:val="center"/>
              <w:rPr>
                <w:rFonts w:ascii="ITC Avant Garde" w:eastAsia="Times New Roman" w:hAnsi="ITC Avant Garde"/>
                <w:i/>
                <w:sz w:val="2"/>
                <w:szCs w:val="2"/>
                <w:lang w:eastAsia="es-MX"/>
              </w:rPr>
            </w:pPr>
            <w:r w:rsidRPr="002D46C1">
              <w:rPr>
                <w:rFonts w:ascii="ITC Avant Garde" w:eastAsia="Times New Roman" w:hAnsi="ITC Avant Garde"/>
                <w:i/>
                <w:sz w:val="2"/>
                <w:szCs w:val="2"/>
                <w:lang w:eastAsia="es-MX"/>
              </w:rPr>
              <w:t>.</w:t>
            </w:r>
          </w:p>
        </w:tc>
        <w:tc>
          <w:tcPr>
            <w:tcW w:w="1360" w:type="dxa"/>
            <w:tcBorders>
              <w:top w:val="nil"/>
              <w:left w:val="nil"/>
              <w:bottom w:val="nil"/>
              <w:right w:val="single" w:sz="4" w:space="0" w:color="auto"/>
            </w:tcBorders>
            <w:shd w:val="clear" w:color="auto" w:fill="FFFFFF" w:themeFill="background1"/>
            <w:hideMark/>
          </w:tcPr>
          <w:p w14:paraId="2A9148A8" w14:textId="17B0F0CC"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5449B065" w14:textId="77777777" w:rsidR="00E046E2" w:rsidRPr="00E046E2" w:rsidRDefault="00F904A0" w:rsidP="00E046E2">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Giga Ethernet 8</w:t>
            </w:r>
          </w:p>
          <w:p w14:paraId="229D1BFE" w14:textId="2A00F227" w:rsidR="00F904A0" w:rsidRPr="00E046E2" w:rsidRDefault="00F904A0" w:rsidP="00E046E2">
            <w:pPr>
              <w:spacing w:after="0" w:line="276" w:lineRule="auto"/>
              <w:jc w:val="center"/>
              <w:rPr>
                <w:rFonts w:ascii="ITC Avant Garde" w:eastAsia="Times New Roman" w:hAnsi="ITC Avant Garde"/>
                <w:i/>
                <w:sz w:val="20"/>
                <w:szCs w:val="20"/>
                <w:lang w:eastAsia="es-MX"/>
              </w:rPr>
            </w:pPr>
            <w:proofErr w:type="spellStart"/>
            <w:r w:rsidRPr="00E046E2">
              <w:rPr>
                <w:rFonts w:ascii="ITC Avant Garde" w:eastAsia="Times New Roman" w:hAnsi="ITC Avant Garde"/>
                <w:i/>
                <w:sz w:val="20"/>
                <w:szCs w:val="20"/>
                <w:lang w:eastAsia="es-MX"/>
              </w:rPr>
              <w:t>Gbps</w:t>
            </w:r>
            <w:proofErr w:type="spellEnd"/>
          </w:p>
        </w:tc>
        <w:tc>
          <w:tcPr>
            <w:tcW w:w="1600" w:type="dxa"/>
            <w:hideMark/>
          </w:tcPr>
          <w:p w14:paraId="00479347" w14:textId="4D73D745" w:rsidR="00F904A0" w:rsidRPr="00B84EBF" w:rsidRDefault="00F904A0"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$734,217.33 </w:t>
            </w:r>
          </w:p>
        </w:tc>
      </w:tr>
      <w:tr w:rsidR="00FD7BCF" w:rsidRPr="00FD7BCF" w14:paraId="1C27B878" w14:textId="77777777" w:rsidTr="00E046E2">
        <w:trPr>
          <w:trHeight w:val="450"/>
        </w:trPr>
        <w:tc>
          <w:tcPr>
            <w:tcW w:w="2380" w:type="dxa"/>
            <w:tcBorders>
              <w:top w:val="nil"/>
              <w:left w:val="nil"/>
              <w:bottom w:val="nil"/>
              <w:right w:val="nil"/>
            </w:tcBorders>
          </w:tcPr>
          <w:p w14:paraId="268B6ADD" w14:textId="7CEE52B1"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tcPr>
          <w:p w14:paraId="4D8F5928" w14:textId="1D2A8C65" w:rsidR="00F904A0" w:rsidRPr="002D46C1" w:rsidRDefault="002D46C1" w:rsidP="00B42019">
            <w:pPr>
              <w:spacing w:after="0" w:line="276" w:lineRule="auto"/>
              <w:jc w:val="center"/>
              <w:rPr>
                <w:rFonts w:ascii="ITC Avant Garde" w:eastAsia="Times New Roman" w:hAnsi="ITC Avant Garde"/>
                <w:i/>
                <w:sz w:val="2"/>
                <w:szCs w:val="2"/>
                <w:lang w:eastAsia="es-MX"/>
              </w:rPr>
            </w:pPr>
            <w:r w:rsidRPr="002D46C1">
              <w:rPr>
                <w:rFonts w:ascii="ITC Avant Garde" w:eastAsia="Times New Roman" w:hAnsi="ITC Avant Garde"/>
                <w:i/>
                <w:sz w:val="2"/>
                <w:szCs w:val="2"/>
                <w:lang w:eastAsia="es-MX"/>
              </w:rPr>
              <w:t>.</w:t>
            </w:r>
          </w:p>
        </w:tc>
        <w:tc>
          <w:tcPr>
            <w:tcW w:w="1360" w:type="dxa"/>
            <w:tcBorders>
              <w:top w:val="nil"/>
              <w:left w:val="nil"/>
              <w:bottom w:val="nil"/>
              <w:right w:val="single" w:sz="4" w:space="0" w:color="auto"/>
            </w:tcBorders>
            <w:shd w:val="clear" w:color="auto" w:fill="FFFFFF" w:themeFill="background1"/>
            <w:hideMark/>
          </w:tcPr>
          <w:p w14:paraId="0F5C2834" w14:textId="0FDFB89D"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5D7F101B" w14:textId="77777777" w:rsidR="00F904A0" w:rsidRPr="00E046E2" w:rsidRDefault="00F904A0" w:rsidP="00B42019">
            <w:pPr>
              <w:spacing w:after="0" w:line="276" w:lineRule="auto"/>
              <w:jc w:val="center"/>
              <w:rPr>
                <w:rFonts w:ascii="ITC Avant Garde" w:eastAsia="Times New Roman" w:hAnsi="ITC Avant Garde"/>
                <w:i/>
                <w:sz w:val="20"/>
                <w:szCs w:val="20"/>
                <w:lang w:eastAsia="es-MX"/>
              </w:rPr>
            </w:pPr>
            <w:r w:rsidRPr="00E046E2">
              <w:rPr>
                <w:rFonts w:ascii="ITC Avant Garde" w:eastAsia="Times New Roman" w:hAnsi="ITC Avant Garde"/>
                <w:i/>
                <w:sz w:val="20"/>
                <w:szCs w:val="20"/>
                <w:lang w:eastAsia="es-MX"/>
              </w:rPr>
              <w:t xml:space="preserve">Giga Ethernet 10 </w:t>
            </w:r>
            <w:proofErr w:type="spellStart"/>
            <w:r w:rsidRPr="00E046E2">
              <w:rPr>
                <w:rFonts w:ascii="ITC Avant Garde" w:eastAsia="Times New Roman" w:hAnsi="ITC Avant Garde"/>
                <w:i/>
                <w:sz w:val="20"/>
                <w:szCs w:val="20"/>
                <w:lang w:eastAsia="es-MX"/>
              </w:rPr>
              <w:t>Gbps</w:t>
            </w:r>
            <w:proofErr w:type="spellEnd"/>
          </w:p>
        </w:tc>
        <w:tc>
          <w:tcPr>
            <w:tcW w:w="1600" w:type="dxa"/>
            <w:hideMark/>
          </w:tcPr>
          <w:p w14:paraId="6E99C501" w14:textId="35C41BA4" w:rsidR="00F904A0" w:rsidRPr="00B84EBF" w:rsidRDefault="00F904A0"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$815,796.63 </w:t>
            </w:r>
          </w:p>
        </w:tc>
      </w:tr>
      <w:tr w:rsidR="00FD7BCF" w:rsidRPr="00FD7BCF" w14:paraId="288E0A2B" w14:textId="77777777" w:rsidTr="00E046E2">
        <w:trPr>
          <w:trHeight w:val="450"/>
        </w:trPr>
        <w:tc>
          <w:tcPr>
            <w:tcW w:w="2380" w:type="dxa"/>
            <w:tcBorders>
              <w:top w:val="nil"/>
              <w:left w:val="nil"/>
              <w:bottom w:val="nil"/>
              <w:right w:val="nil"/>
            </w:tcBorders>
            <w:hideMark/>
          </w:tcPr>
          <w:p w14:paraId="3ADC85DF" w14:textId="45680A7C"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hideMark/>
          </w:tcPr>
          <w:p w14:paraId="39089148" w14:textId="0FBD0DA7" w:rsidR="00F904A0" w:rsidRPr="002D46C1" w:rsidRDefault="002D46C1" w:rsidP="00B42019">
            <w:pPr>
              <w:spacing w:after="0" w:line="276" w:lineRule="auto"/>
              <w:jc w:val="center"/>
              <w:rPr>
                <w:rFonts w:ascii="ITC Avant Garde" w:eastAsia="Times New Roman" w:hAnsi="ITC Avant Garde"/>
                <w:i/>
                <w:sz w:val="2"/>
                <w:szCs w:val="2"/>
                <w:lang w:eastAsia="es-MX"/>
              </w:rPr>
            </w:pPr>
            <w:r w:rsidRPr="002D46C1">
              <w:rPr>
                <w:rFonts w:ascii="ITC Avant Garde" w:eastAsia="Times New Roman" w:hAnsi="ITC Avant Garde"/>
                <w:i/>
                <w:sz w:val="2"/>
                <w:szCs w:val="2"/>
                <w:lang w:eastAsia="es-MX"/>
              </w:rPr>
              <w:t>.</w:t>
            </w:r>
          </w:p>
        </w:tc>
        <w:tc>
          <w:tcPr>
            <w:tcW w:w="1360" w:type="dxa"/>
            <w:tcBorders>
              <w:top w:val="nil"/>
              <w:left w:val="nil"/>
              <w:bottom w:val="nil"/>
              <w:right w:val="single" w:sz="4" w:space="0" w:color="auto"/>
            </w:tcBorders>
            <w:shd w:val="clear" w:color="auto" w:fill="FFFFFF" w:themeFill="background1"/>
            <w:hideMark/>
          </w:tcPr>
          <w:p w14:paraId="18BA45C2" w14:textId="483DDF4D"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3D12EBB5" w14:textId="77777777" w:rsidR="00F904A0" w:rsidRPr="00E046E2" w:rsidRDefault="00F904A0" w:rsidP="00B42019">
            <w:pPr>
              <w:spacing w:after="0" w:line="276" w:lineRule="auto"/>
              <w:jc w:val="center"/>
              <w:rPr>
                <w:rFonts w:ascii="ITC Avant Garde" w:eastAsia="Times New Roman" w:hAnsi="ITC Avant Garde"/>
                <w:i/>
                <w:sz w:val="20"/>
                <w:szCs w:val="20"/>
                <w:lang w:eastAsia="es-MX"/>
              </w:rPr>
            </w:pPr>
            <w:proofErr w:type="spellStart"/>
            <w:r w:rsidRPr="00E046E2">
              <w:rPr>
                <w:rFonts w:ascii="ITC Avant Garde" w:eastAsia="Times New Roman" w:hAnsi="ITC Avant Garde"/>
                <w:i/>
                <w:sz w:val="20"/>
                <w:szCs w:val="20"/>
                <w:lang w:eastAsia="es-MX"/>
              </w:rPr>
              <w:t>Hub</w:t>
            </w:r>
            <w:proofErr w:type="spellEnd"/>
            <w:r w:rsidRPr="00E046E2">
              <w:rPr>
                <w:rFonts w:ascii="ITC Avant Garde" w:eastAsia="Times New Roman" w:hAnsi="ITC Avant Garde"/>
                <w:i/>
                <w:sz w:val="20"/>
                <w:szCs w:val="20"/>
                <w:lang w:eastAsia="es-MX"/>
              </w:rPr>
              <w:t xml:space="preserve"> 1 </w:t>
            </w:r>
            <w:proofErr w:type="spellStart"/>
            <w:r w:rsidRPr="00E046E2">
              <w:rPr>
                <w:rFonts w:ascii="ITC Avant Garde" w:eastAsia="Times New Roman" w:hAnsi="ITC Avant Garde"/>
                <w:i/>
                <w:sz w:val="20"/>
                <w:szCs w:val="20"/>
                <w:lang w:eastAsia="es-MX"/>
              </w:rPr>
              <w:t>Gbps</w:t>
            </w:r>
            <w:proofErr w:type="spellEnd"/>
          </w:p>
        </w:tc>
        <w:tc>
          <w:tcPr>
            <w:tcW w:w="1600" w:type="dxa"/>
            <w:hideMark/>
          </w:tcPr>
          <w:p w14:paraId="19E95C7E" w14:textId="3B024F7E" w:rsidR="00F904A0" w:rsidRPr="00B84EBF" w:rsidRDefault="00F904A0"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$167,343.00 </w:t>
            </w:r>
          </w:p>
        </w:tc>
      </w:tr>
      <w:tr w:rsidR="00FD7BCF" w:rsidRPr="00FD7BCF" w14:paraId="4DE0E3C4" w14:textId="77777777" w:rsidTr="00E046E2">
        <w:trPr>
          <w:trHeight w:val="450"/>
        </w:trPr>
        <w:tc>
          <w:tcPr>
            <w:tcW w:w="2380" w:type="dxa"/>
            <w:tcBorders>
              <w:top w:val="nil"/>
              <w:left w:val="nil"/>
              <w:bottom w:val="nil"/>
              <w:right w:val="nil"/>
            </w:tcBorders>
            <w:hideMark/>
          </w:tcPr>
          <w:p w14:paraId="6C28D688" w14:textId="4FB9C87F"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1600" w:type="dxa"/>
            <w:tcBorders>
              <w:top w:val="nil"/>
              <w:left w:val="nil"/>
              <w:bottom w:val="nil"/>
              <w:right w:val="nil"/>
            </w:tcBorders>
            <w:hideMark/>
          </w:tcPr>
          <w:p w14:paraId="75BB011C" w14:textId="254D7E37" w:rsidR="00F904A0" w:rsidRPr="002D46C1" w:rsidRDefault="002D46C1" w:rsidP="00B42019">
            <w:pPr>
              <w:spacing w:after="0" w:line="276" w:lineRule="auto"/>
              <w:jc w:val="center"/>
              <w:rPr>
                <w:rFonts w:ascii="ITC Avant Garde" w:eastAsia="Times New Roman" w:hAnsi="ITC Avant Garde"/>
                <w:i/>
                <w:sz w:val="2"/>
                <w:szCs w:val="2"/>
                <w:lang w:eastAsia="es-MX"/>
              </w:rPr>
            </w:pPr>
            <w:r w:rsidRPr="002D46C1">
              <w:rPr>
                <w:rFonts w:ascii="ITC Avant Garde" w:eastAsia="Times New Roman" w:hAnsi="ITC Avant Garde"/>
                <w:i/>
                <w:sz w:val="2"/>
                <w:szCs w:val="2"/>
                <w:lang w:eastAsia="es-MX"/>
              </w:rPr>
              <w:t>.</w:t>
            </w:r>
          </w:p>
        </w:tc>
        <w:tc>
          <w:tcPr>
            <w:tcW w:w="1360" w:type="dxa"/>
            <w:tcBorders>
              <w:top w:val="nil"/>
              <w:left w:val="nil"/>
              <w:bottom w:val="nil"/>
              <w:right w:val="single" w:sz="4" w:space="0" w:color="auto"/>
            </w:tcBorders>
            <w:shd w:val="clear" w:color="auto" w:fill="FFFFFF" w:themeFill="background1"/>
            <w:hideMark/>
          </w:tcPr>
          <w:p w14:paraId="222689FB" w14:textId="08AC57E8" w:rsidR="00F904A0" w:rsidRPr="002D46C1" w:rsidRDefault="002D46C1" w:rsidP="00B42019">
            <w:pPr>
              <w:spacing w:after="0" w:line="276" w:lineRule="auto"/>
              <w:jc w:val="center"/>
              <w:rPr>
                <w:rFonts w:ascii="ITC Avant Garde" w:eastAsia="Times New Roman" w:hAnsi="ITC Avant Garde"/>
                <w:sz w:val="2"/>
                <w:szCs w:val="2"/>
                <w:lang w:eastAsia="es-MX"/>
              </w:rPr>
            </w:pPr>
            <w:r w:rsidRPr="002D46C1">
              <w:rPr>
                <w:rFonts w:ascii="ITC Avant Garde" w:eastAsia="Times New Roman" w:hAnsi="ITC Avant Garde"/>
                <w:sz w:val="2"/>
                <w:szCs w:val="2"/>
                <w:lang w:eastAsia="es-MX"/>
              </w:rPr>
              <w:t>.</w:t>
            </w:r>
          </w:p>
        </w:tc>
        <w:tc>
          <w:tcPr>
            <w:tcW w:w="2380" w:type="dxa"/>
            <w:tcBorders>
              <w:left w:val="single" w:sz="4" w:space="0" w:color="auto"/>
            </w:tcBorders>
            <w:hideMark/>
          </w:tcPr>
          <w:p w14:paraId="3B8830EF" w14:textId="77777777" w:rsidR="00F904A0" w:rsidRPr="00E046E2" w:rsidRDefault="00F904A0" w:rsidP="00B42019">
            <w:pPr>
              <w:spacing w:after="0" w:line="276" w:lineRule="auto"/>
              <w:jc w:val="center"/>
              <w:rPr>
                <w:rFonts w:ascii="ITC Avant Garde" w:eastAsia="Times New Roman" w:hAnsi="ITC Avant Garde"/>
                <w:i/>
                <w:sz w:val="20"/>
                <w:szCs w:val="20"/>
                <w:lang w:eastAsia="es-MX"/>
              </w:rPr>
            </w:pPr>
            <w:proofErr w:type="spellStart"/>
            <w:r w:rsidRPr="00E046E2">
              <w:rPr>
                <w:rFonts w:ascii="ITC Avant Garde" w:eastAsia="Times New Roman" w:hAnsi="ITC Avant Garde"/>
                <w:i/>
                <w:sz w:val="20"/>
                <w:szCs w:val="20"/>
                <w:lang w:eastAsia="es-MX"/>
              </w:rPr>
              <w:t>Hub</w:t>
            </w:r>
            <w:proofErr w:type="spellEnd"/>
            <w:r w:rsidRPr="00E046E2">
              <w:rPr>
                <w:rFonts w:ascii="ITC Avant Garde" w:eastAsia="Times New Roman" w:hAnsi="ITC Avant Garde"/>
                <w:i/>
                <w:sz w:val="20"/>
                <w:szCs w:val="20"/>
                <w:lang w:eastAsia="es-MX"/>
              </w:rPr>
              <w:t xml:space="preserve"> 10 </w:t>
            </w:r>
            <w:proofErr w:type="spellStart"/>
            <w:r w:rsidRPr="00E046E2">
              <w:rPr>
                <w:rFonts w:ascii="ITC Avant Garde" w:eastAsia="Times New Roman" w:hAnsi="ITC Avant Garde"/>
                <w:i/>
                <w:sz w:val="20"/>
                <w:szCs w:val="20"/>
                <w:lang w:eastAsia="es-MX"/>
              </w:rPr>
              <w:t>Gbps</w:t>
            </w:r>
            <w:proofErr w:type="spellEnd"/>
          </w:p>
        </w:tc>
        <w:tc>
          <w:tcPr>
            <w:tcW w:w="1600" w:type="dxa"/>
            <w:hideMark/>
          </w:tcPr>
          <w:p w14:paraId="72CA16FD" w14:textId="7304E369" w:rsidR="00F904A0" w:rsidRPr="00B84EBF" w:rsidRDefault="00F904A0" w:rsidP="00B84EBF">
            <w:pPr>
              <w:spacing w:after="0" w:line="276" w:lineRule="auto"/>
              <w:jc w:val="center"/>
              <w:rPr>
                <w:rFonts w:ascii="ITC Avant Garde" w:eastAsia="Times New Roman" w:hAnsi="ITC Avant Garde"/>
                <w:sz w:val="20"/>
                <w:szCs w:val="20"/>
                <w:lang w:eastAsia="es-MX"/>
              </w:rPr>
            </w:pPr>
            <w:r w:rsidRPr="00B84EBF">
              <w:rPr>
                <w:rFonts w:ascii="ITC Avant Garde" w:eastAsia="Times New Roman" w:hAnsi="ITC Avant Garde"/>
                <w:sz w:val="20"/>
                <w:szCs w:val="20"/>
                <w:lang w:eastAsia="es-MX"/>
              </w:rPr>
              <w:t xml:space="preserve">$815,796.63 </w:t>
            </w:r>
          </w:p>
        </w:tc>
      </w:tr>
    </w:tbl>
    <w:p w14:paraId="38D1AED3" w14:textId="3AA612E2" w:rsidR="00F9296A" w:rsidRPr="00B42019" w:rsidRDefault="00430037" w:rsidP="00E046E2">
      <w:pPr>
        <w:spacing w:before="240" w:line="276" w:lineRule="auto"/>
        <w:jc w:val="both"/>
        <w:rPr>
          <w:rFonts w:ascii="ITC Avant Garde" w:hAnsi="ITC Avant Garde" w:cs="Helvetica"/>
          <w:lang w:eastAsia="es-MX"/>
        </w:rPr>
      </w:pPr>
      <w:r w:rsidRPr="00FD7BCF">
        <w:rPr>
          <w:rFonts w:ascii="ITC Avant Garde" w:eastAsia="Times New Roman" w:hAnsi="ITC Avant Garde" w:cs="Arial"/>
          <w:b/>
          <w:bCs/>
        </w:rPr>
        <w:fldChar w:fldCharType="end"/>
      </w:r>
      <w:r w:rsidR="0017127F" w:rsidRPr="00FD7BCF">
        <w:rPr>
          <w:rFonts w:ascii="ITC Avant Garde" w:hAnsi="ITC Avant Garde" w:cs="Arial"/>
          <w:b/>
        </w:rPr>
        <w:t>Enlaces Dedicados entre localidades</w:t>
      </w:r>
    </w:p>
    <w:tbl>
      <w:tblPr>
        <w:tblStyle w:val="Tablaconcuadrcula2"/>
        <w:tblW w:w="11199" w:type="dxa"/>
        <w:jc w:val="center"/>
        <w:tblLayout w:type="fixed"/>
        <w:tblLook w:val="04A0" w:firstRow="1" w:lastRow="0" w:firstColumn="1" w:lastColumn="0" w:noHBand="0" w:noVBand="1"/>
        <w:tblCaption w:val="Enlaces dedicados entre localidades"/>
        <w:tblDescription w:val="En una tabla de 5 columnas, 4 de ellas dividida en 2 columnas más, se proporciona la velocidad y para 4 kilometrajes divididos en Parte fija y &quot;X km&quot;"/>
      </w:tblPr>
      <w:tblGrid>
        <w:gridCol w:w="1560"/>
        <w:gridCol w:w="1418"/>
        <w:gridCol w:w="1067"/>
        <w:gridCol w:w="1288"/>
        <w:gridCol w:w="1047"/>
        <w:gridCol w:w="1417"/>
        <w:gridCol w:w="992"/>
        <w:gridCol w:w="1418"/>
        <w:gridCol w:w="992"/>
      </w:tblGrid>
      <w:tr w:rsidR="00FD7BCF" w:rsidRPr="00FD7BCF" w14:paraId="316EE65D" w14:textId="77777777" w:rsidTr="00E046E2">
        <w:trPr>
          <w:trHeight w:val="285"/>
          <w:tblHeader/>
          <w:jc w:val="center"/>
        </w:trPr>
        <w:tc>
          <w:tcPr>
            <w:tcW w:w="1560" w:type="dxa"/>
            <w:shd w:val="clear" w:color="auto" w:fill="A6A6A6" w:themeFill="background1" w:themeFillShade="A6"/>
            <w:vAlign w:val="center"/>
            <w:hideMark/>
          </w:tcPr>
          <w:p w14:paraId="1C2ABCD8" w14:textId="77777777" w:rsidR="00430037" w:rsidRPr="00FD7BCF" w:rsidRDefault="00430037" w:rsidP="00E046E2">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Velocidad</w:t>
            </w:r>
          </w:p>
        </w:tc>
        <w:tc>
          <w:tcPr>
            <w:tcW w:w="2485" w:type="dxa"/>
            <w:gridSpan w:val="2"/>
            <w:shd w:val="clear" w:color="auto" w:fill="A6A6A6" w:themeFill="background1" w:themeFillShade="A6"/>
            <w:vAlign w:val="center"/>
            <w:hideMark/>
          </w:tcPr>
          <w:p w14:paraId="2E9B710D" w14:textId="6CEED0F8" w:rsidR="00430037" w:rsidRPr="00FD7BCF" w:rsidRDefault="00430037" w:rsidP="00E046E2">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0-81 Km</w:t>
            </w:r>
          </w:p>
        </w:tc>
        <w:tc>
          <w:tcPr>
            <w:tcW w:w="2335" w:type="dxa"/>
            <w:gridSpan w:val="2"/>
            <w:shd w:val="clear" w:color="auto" w:fill="A6A6A6" w:themeFill="background1" w:themeFillShade="A6"/>
            <w:vAlign w:val="center"/>
            <w:hideMark/>
          </w:tcPr>
          <w:p w14:paraId="1C4CDD9C" w14:textId="72828B40" w:rsidR="00430037" w:rsidRPr="00FD7BCF" w:rsidRDefault="00430037" w:rsidP="00E046E2">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82-161 KM</w:t>
            </w:r>
          </w:p>
        </w:tc>
        <w:tc>
          <w:tcPr>
            <w:tcW w:w="2409" w:type="dxa"/>
            <w:gridSpan w:val="2"/>
            <w:shd w:val="clear" w:color="auto" w:fill="A6A6A6" w:themeFill="background1" w:themeFillShade="A6"/>
            <w:vAlign w:val="center"/>
            <w:hideMark/>
          </w:tcPr>
          <w:p w14:paraId="4BDE7400" w14:textId="4B794AD9" w:rsidR="00430037" w:rsidRPr="00FD7BCF" w:rsidRDefault="00430037" w:rsidP="00E046E2">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162-805 KM</w:t>
            </w:r>
          </w:p>
        </w:tc>
        <w:tc>
          <w:tcPr>
            <w:tcW w:w="2410" w:type="dxa"/>
            <w:gridSpan w:val="2"/>
            <w:shd w:val="clear" w:color="auto" w:fill="A6A6A6" w:themeFill="background1" w:themeFillShade="A6"/>
            <w:vAlign w:val="center"/>
            <w:hideMark/>
          </w:tcPr>
          <w:p w14:paraId="30150509" w14:textId="3CFF5ACD" w:rsidR="00430037" w:rsidRPr="00FD7BCF" w:rsidRDefault="00430037" w:rsidP="00E046E2">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&gt; 806</w:t>
            </w:r>
          </w:p>
        </w:tc>
      </w:tr>
      <w:tr w:rsidR="00FD7BCF" w:rsidRPr="00FD7BCF" w14:paraId="2E1186E2" w14:textId="77777777" w:rsidTr="002D46C1">
        <w:trPr>
          <w:trHeight w:val="285"/>
          <w:jc w:val="center"/>
        </w:trPr>
        <w:tc>
          <w:tcPr>
            <w:tcW w:w="1560" w:type="dxa"/>
            <w:hideMark/>
          </w:tcPr>
          <w:p w14:paraId="06884B31" w14:textId="77777777" w:rsidR="00430037" w:rsidRPr="00FD7BCF" w:rsidRDefault="00430037"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 </w:t>
            </w:r>
          </w:p>
        </w:tc>
        <w:tc>
          <w:tcPr>
            <w:tcW w:w="1418" w:type="dxa"/>
            <w:shd w:val="clear" w:color="auto" w:fill="A6A6A6" w:themeFill="background1" w:themeFillShade="A6"/>
            <w:hideMark/>
          </w:tcPr>
          <w:p w14:paraId="35B93C44" w14:textId="77777777" w:rsidR="00430037" w:rsidRPr="00FD7BCF" w:rsidRDefault="00430037"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 xml:space="preserve"> Parte Fija </w:t>
            </w:r>
          </w:p>
        </w:tc>
        <w:tc>
          <w:tcPr>
            <w:tcW w:w="1067" w:type="dxa"/>
            <w:shd w:val="clear" w:color="auto" w:fill="A6A6A6" w:themeFill="background1" w:themeFillShade="A6"/>
            <w:hideMark/>
          </w:tcPr>
          <w:p w14:paraId="1E49CFA7" w14:textId="77777777" w:rsidR="00430037" w:rsidRPr="00FD7BCF" w:rsidRDefault="00430037"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 xml:space="preserve"> X Km </w:t>
            </w:r>
          </w:p>
        </w:tc>
        <w:tc>
          <w:tcPr>
            <w:tcW w:w="1288" w:type="dxa"/>
            <w:shd w:val="clear" w:color="auto" w:fill="A6A6A6" w:themeFill="background1" w:themeFillShade="A6"/>
            <w:hideMark/>
          </w:tcPr>
          <w:p w14:paraId="10AFF012" w14:textId="77777777" w:rsidR="00430037" w:rsidRPr="00FD7BCF" w:rsidRDefault="00430037"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 xml:space="preserve"> Parte Fija </w:t>
            </w:r>
          </w:p>
        </w:tc>
        <w:tc>
          <w:tcPr>
            <w:tcW w:w="1047" w:type="dxa"/>
            <w:shd w:val="clear" w:color="auto" w:fill="A6A6A6" w:themeFill="background1" w:themeFillShade="A6"/>
            <w:hideMark/>
          </w:tcPr>
          <w:p w14:paraId="48999112" w14:textId="77777777" w:rsidR="00430037" w:rsidRPr="00FD7BCF" w:rsidRDefault="00430037"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 xml:space="preserve"> X Km </w:t>
            </w:r>
          </w:p>
        </w:tc>
        <w:tc>
          <w:tcPr>
            <w:tcW w:w="1417" w:type="dxa"/>
            <w:shd w:val="clear" w:color="auto" w:fill="A6A6A6" w:themeFill="background1" w:themeFillShade="A6"/>
            <w:hideMark/>
          </w:tcPr>
          <w:p w14:paraId="465F31A9" w14:textId="77777777" w:rsidR="00430037" w:rsidRPr="00FD7BCF" w:rsidRDefault="00430037"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 xml:space="preserve"> Parte Fija </w:t>
            </w:r>
          </w:p>
        </w:tc>
        <w:tc>
          <w:tcPr>
            <w:tcW w:w="992" w:type="dxa"/>
            <w:shd w:val="clear" w:color="auto" w:fill="A6A6A6" w:themeFill="background1" w:themeFillShade="A6"/>
            <w:hideMark/>
          </w:tcPr>
          <w:p w14:paraId="4D00FD3B" w14:textId="77777777" w:rsidR="00430037" w:rsidRPr="00FD7BCF" w:rsidRDefault="00430037"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 xml:space="preserve"> X Km </w:t>
            </w:r>
          </w:p>
        </w:tc>
        <w:tc>
          <w:tcPr>
            <w:tcW w:w="1418" w:type="dxa"/>
            <w:shd w:val="clear" w:color="auto" w:fill="A6A6A6" w:themeFill="background1" w:themeFillShade="A6"/>
            <w:hideMark/>
          </w:tcPr>
          <w:p w14:paraId="39FF9C4C" w14:textId="77777777" w:rsidR="00430037" w:rsidRPr="00FD7BCF" w:rsidRDefault="00430037"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 xml:space="preserve"> Parte Fija </w:t>
            </w:r>
          </w:p>
        </w:tc>
        <w:tc>
          <w:tcPr>
            <w:tcW w:w="992" w:type="dxa"/>
            <w:shd w:val="clear" w:color="auto" w:fill="A6A6A6" w:themeFill="background1" w:themeFillShade="A6"/>
            <w:hideMark/>
          </w:tcPr>
          <w:p w14:paraId="1E1BDD9D" w14:textId="77777777" w:rsidR="00430037" w:rsidRPr="00FD7BCF" w:rsidRDefault="00430037"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 xml:space="preserve"> X Km </w:t>
            </w:r>
          </w:p>
        </w:tc>
      </w:tr>
      <w:tr w:rsidR="00FD7BCF" w:rsidRPr="00FD7BCF" w14:paraId="1EEC0296" w14:textId="77777777" w:rsidTr="00E046E2">
        <w:trPr>
          <w:trHeight w:val="285"/>
          <w:jc w:val="center"/>
        </w:trPr>
        <w:tc>
          <w:tcPr>
            <w:tcW w:w="1560" w:type="dxa"/>
            <w:hideMark/>
          </w:tcPr>
          <w:p w14:paraId="71706470"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64 Kbps</w:t>
            </w:r>
          </w:p>
        </w:tc>
        <w:tc>
          <w:tcPr>
            <w:tcW w:w="1418" w:type="dxa"/>
            <w:hideMark/>
          </w:tcPr>
          <w:p w14:paraId="7FCA22CE"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$155.62</w:t>
            </w:r>
          </w:p>
        </w:tc>
        <w:tc>
          <w:tcPr>
            <w:tcW w:w="1067" w:type="dxa"/>
            <w:hideMark/>
          </w:tcPr>
          <w:p w14:paraId="08A63E70"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$4.03</w:t>
            </w:r>
          </w:p>
        </w:tc>
        <w:tc>
          <w:tcPr>
            <w:tcW w:w="1288" w:type="dxa"/>
            <w:hideMark/>
          </w:tcPr>
          <w:p w14:paraId="6CB5FD11"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$324.57</w:t>
            </w:r>
          </w:p>
        </w:tc>
        <w:tc>
          <w:tcPr>
            <w:tcW w:w="1047" w:type="dxa"/>
            <w:hideMark/>
          </w:tcPr>
          <w:p w14:paraId="1CBA5FBA"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$2.79</w:t>
            </w:r>
          </w:p>
        </w:tc>
        <w:tc>
          <w:tcPr>
            <w:tcW w:w="1417" w:type="dxa"/>
            <w:hideMark/>
          </w:tcPr>
          <w:p w14:paraId="34F72170"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$606.36</w:t>
            </w:r>
          </w:p>
        </w:tc>
        <w:tc>
          <w:tcPr>
            <w:tcW w:w="992" w:type="dxa"/>
            <w:hideMark/>
          </w:tcPr>
          <w:p w14:paraId="07CA8861"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$0.93</w:t>
            </w:r>
          </w:p>
        </w:tc>
        <w:tc>
          <w:tcPr>
            <w:tcW w:w="1418" w:type="dxa"/>
            <w:hideMark/>
          </w:tcPr>
          <w:p w14:paraId="7FDE97AC"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$852.81</w:t>
            </w:r>
          </w:p>
        </w:tc>
        <w:tc>
          <w:tcPr>
            <w:tcW w:w="992" w:type="dxa"/>
            <w:hideMark/>
          </w:tcPr>
          <w:p w14:paraId="196DA8A8"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$0.93</w:t>
            </w:r>
          </w:p>
        </w:tc>
      </w:tr>
      <w:tr w:rsidR="00FD7BCF" w:rsidRPr="00FD7BCF" w14:paraId="067C4F34" w14:textId="77777777" w:rsidTr="00E046E2">
        <w:trPr>
          <w:trHeight w:val="285"/>
          <w:jc w:val="center"/>
        </w:trPr>
        <w:tc>
          <w:tcPr>
            <w:tcW w:w="1560" w:type="dxa"/>
            <w:hideMark/>
          </w:tcPr>
          <w:p w14:paraId="5F2BE7E4"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128 Kbps</w:t>
            </w:r>
          </w:p>
        </w:tc>
        <w:tc>
          <w:tcPr>
            <w:tcW w:w="1418" w:type="dxa"/>
            <w:hideMark/>
          </w:tcPr>
          <w:p w14:paraId="326C06E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$296.05</w:t>
            </w:r>
          </w:p>
        </w:tc>
        <w:tc>
          <w:tcPr>
            <w:tcW w:w="1067" w:type="dxa"/>
            <w:hideMark/>
          </w:tcPr>
          <w:p w14:paraId="75515CB3"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$7.44</w:t>
            </w:r>
          </w:p>
        </w:tc>
        <w:tc>
          <w:tcPr>
            <w:tcW w:w="1288" w:type="dxa"/>
            <w:hideMark/>
          </w:tcPr>
          <w:p w14:paraId="4D5E333E"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$616.90</w:t>
            </w:r>
          </w:p>
        </w:tc>
        <w:tc>
          <w:tcPr>
            <w:tcW w:w="1047" w:type="dxa"/>
            <w:hideMark/>
          </w:tcPr>
          <w:p w14:paraId="31E0A0E0"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$5.27</w:t>
            </w:r>
          </w:p>
        </w:tc>
        <w:tc>
          <w:tcPr>
            <w:tcW w:w="1417" w:type="dxa"/>
            <w:hideMark/>
          </w:tcPr>
          <w:p w14:paraId="11887291"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$1,151.34</w:t>
            </w:r>
          </w:p>
        </w:tc>
        <w:tc>
          <w:tcPr>
            <w:tcW w:w="992" w:type="dxa"/>
            <w:hideMark/>
          </w:tcPr>
          <w:p w14:paraId="3A9FD934"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$2.17</w:t>
            </w:r>
          </w:p>
        </w:tc>
        <w:tc>
          <w:tcPr>
            <w:tcW w:w="1418" w:type="dxa"/>
            <w:hideMark/>
          </w:tcPr>
          <w:p w14:paraId="215C6008"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$1,620.37</w:t>
            </w:r>
          </w:p>
        </w:tc>
        <w:tc>
          <w:tcPr>
            <w:tcW w:w="992" w:type="dxa"/>
            <w:hideMark/>
          </w:tcPr>
          <w:p w14:paraId="6FDCD8F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$1.55</w:t>
            </w:r>
          </w:p>
        </w:tc>
      </w:tr>
      <w:tr w:rsidR="00FD7BCF" w:rsidRPr="00FD7BCF" w14:paraId="0529EC77" w14:textId="77777777" w:rsidTr="00E046E2">
        <w:trPr>
          <w:trHeight w:val="285"/>
          <w:jc w:val="center"/>
        </w:trPr>
        <w:tc>
          <w:tcPr>
            <w:tcW w:w="1560" w:type="dxa"/>
            <w:hideMark/>
          </w:tcPr>
          <w:p w14:paraId="69F73EDA"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192 Kbps</w:t>
            </w:r>
          </w:p>
        </w:tc>
        <w:tc>
          <w:tcPr>
            <w:tcW w:w="1418" w:type="dxa"/>
            <w:hideMark/>
          </w:tcPr>
          <w:p w14:paraId="4D331D8B"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$465.93</w:t>
            </w:r>
          </w:p>
        </w:tc>
        <w:tc>
          <w:tcPr>
            <w:tcW w:w="1067" w:type="dxa"/>
            <w:hideMark/>
          </w:tcPr>
          <w:p w14:paraId="3D012A00"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$11.16</w:t>
            </w:r>
          </w:p>
        </w:tc>
        <w:tc>
          <w:tcPr>
            <w:tcW w:w="1288" w:type="dxa"/>
            <w:hideMark/>
          </w:tcPr>
          <w:p w14:paraId="70B506EE"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$974.95</w:t>
            </w:r>
          </w:p>
        </w:tc>
        <w:tc>
          <w:tcPr>
            <w:tcW w:w="1047" w:type="dxa"/>
            <w:hideMark/>
          </w:tcPr>
          <w:p w14:paraId="6BD7DCDB"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$8.06</w:t>
            </w:r>
          </w:p>
        </w:tc>
        <w:tc>
          <w:tcPr>
            <w:tcW w:w="1417" w:type="dxa"/>
            <w:hideMark/>
          </w:tcPr>
          <w:p w14:paraId="5340BC43"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$1,809.78</w:t>
            </w:r>
          </w:p>
        </w:tc>
        <w:tc>
          <w:tcPr>
            <w:tcW w:w="992" w:type="dxa"/>
            <w:hideMark/>
          </w:tcPr>
          <w:p w14:paraId="7583362C"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$3.10</w:t>
            </w:r>
          </w:p>
        </w:tc>
        <w:tc>
          <w:tcPr>
            <w:tcW w:w="1418" w:type="dxa"/>
            <w:hideMark/>
          </w:tcPr>
          <w:p w14:paraId="45C21C09"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$2,573.00</w:t>
            </w:r>
          </w:p>
        </w:tc>
        <w:tc>
          <w:tcPr>
            <w:tcW w:w="992" w:type="dxa"/>
            <w:hideMark/>
          </w:tcPr>
          <w:p w14:paraId="42BA6E6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$2.17</w:t>
            </w:r>
          </w:p>
        </w:tc>
      </w:tr>
      <w:tr w:rsidR="00FD7BCF" w:rsidRPr="00FD7BCF" w14:paraId="38496081" w14:textId="77777777" w:rsidTr="00E046E2">
        <w:trPr>
          <w:trHeight w:val="285"/>
          <w:jc w:val="center"/>
        </w:trPr>
        <w:tc>
          <w:tcPr>
            <w:tcW w:w="1560" w:type="dxa"/>
            <w:hideMark/>
          </w:tcPr>
          <w:p w14:paraId="3461478E"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256 Kbps</w:t>
            </w:r>
          </w:p>
        </w:tc>
        <w:tc>
          <w:tcPr>
            <w:tcW w:w="1418" w:type="dxa"/>
            <w:hideMark/>
          </w:tcPr>
          <w:p w14:paraId="1302E084"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$670.53</w:t>
            </w:r>
          </w:p>
        </w:tc>
        <w:tc>
          <w:tcPr>
            <w:tcW w:w="1067" w:type="dxa"/>
            <w:hideMark/>
          </w:tcPr>
          <w:p w14:paraId="706BD7D4"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$15.81</w:t>
            </w:r>
          </w:p>
        </w:tc>
        <w:tc>
          <w:tcPr>
            <w:tcW w:w="1288" w:type="dxa"/>
            <w:hideMark/>
          </w:tcPr>
          <w:p w14:paraId="7443E2D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$1,404.92</w:t>
            </w:r>
          </w:p>
        </w:tc>
        <w:tc>
          <w:tcPr>
            <w:tcW w:w="1047" w:type="dxa"/>
            <w:hideMark/>
          </w:tcPr>
          <w:p w14:paraId="6B6231A3"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$11.47</w:t>
            </w:r>
          </w:p>
        </w:tc>
        <w:tc>
          <w:tcPr>
            <w:tcW w:w="1417" w:type="dxa"/>
            <w:hideMark/>
          </w:tcPr>
          <w:p w14:paraId="31172AD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$2,602.14</w:t>
            </w:r>
          </w:p>
        </w:tc>
        <w:tc>
          <w:tcPr>
            <w:tcW w:w="992" w:type="dxa"/>
            <w:hideMark/>
          </w:tcPr>
          <w:p w14:paraId="60D30784"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$4.34</w:t>
            </w:r>
          </w:p>
        </w:tc>
        <w:tc>
          <w:tcPr>
            <w:tcW w:w="1418" w:type="dxa"/>
            <w:hideMark/>
          </w:tcPr>
          <w:p w14:paraId="1AD44080"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$3,714.42</w:t>
            </w:r>
          </w:p>
        </w:tc>
        <w:tc>
          <w:tcPr>
            <w:tcW w:w="992" w:type="dxa"/>
            <w:hideMark/>
          </w:tcPr>
          <w:p w14:paraId="5BBB3767"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$3.10</w:t>
            </w:r>
          </w:p>
        </w:tc>
      </w:tr>
      <w:tr w:rsidR="00FD7BCF" w:rsidRPr="00FD7BCF" w14:paraId="04685D13" w14:textId="77777777" w:rsidTr="00E046E2">
        <w:trPr>
          <w:trHeight w:val="285"/>
          <w:jc w:val="center"/>
        </w:trPr>
        <w:tc>
          <w:tcPr>
            <w:tcW w:w="1560" w:type="dxa"/>
            <w:hideMark/>
          </w:tcPr>
          <w:p w14:paraId="720818E4"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384 Kbps</w:t>
            </w:r>
          </w:p>
        </w:tc>
        <w:tc>
          <w:tcPr>
            <w:tcW w:w="1418" w:type="dxa"/>
            <w:hideMark/>
          </w:tcPr>
          <w:p w14:paraId="3BAFCF7A"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$1,079.73</w:t>
            </w:r>
          </w:p>
        </w:tc>
        <w:tc>
          <w:tcPr>
            <w:tcW w:w="1067" w:type="dxa"/>
            <w:hideMark/>
          </w:tcPr>
          <w:p w14:paraId="62B73D7B"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$25.11</w:t>
            </w:r>
          </w:p>
        </w:tc>
        <w:tc>
          <w:tcPr>
            <w:tcW w:w="1288" w:type="dxa"/>
            <w:hideMark/>
          </w:tcPr>
          <w:p w14:paraId="2ABE806F"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$2,264.55</w:t>
            </w:r>
          </w:p>
        </w:tc>
        <w:tc>
          <w:tcPr>
            <w:tcW w:w="1047" w:type="dxa"/>
            <w:hideMark/>
          </w:tcPr>
          <w:p w14:paraId="6951F99D"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$18.60</w:t>
            </w:r>
          </w:p>
        </w:tc>
        <w:tc>
          <w:tcPr>
            <w:tcW w:w="1417" w:type="dxa"/>
            <w:hideMark/>
          </w:tcPr>
          <w:p w14:paraId="08E1ED5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$4,186.86</w:t>
            </w:r>
          </w:p>
        </w:tc>
        <w:tc>
          <w:tcPr>
            <w:tcW w:w="992" w:type="dxa"/>
            <w:hideMark/>
          </w:tcPr>
          <w:p w14:paraId="5E5A7B91"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$7.13</w:t>
            </w:r>
          </w:p>
        </w:tc>
        <w:tc>
          <w:tcPr>
            <w:tcW w:w="1418" w:type="dxa"/>
            <w:hideMark/>
          </w:tcPr>
          <w:p w14:paraId="50435187"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$5,996.95</w:t>
            </w:r>
          </w:p>
        </w:tc>
        <w:tc>
          <w:tcPr>
            <w:tcW w:w="992" w:type="dxa"/>
            <w:hideMark/>
          </w:tcPr>
          <w:p w14:paraId="419B7871"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$4.96</w:t>
            </w:r>
          </w:p>
        </w:tc>
      </w:tr>
      <w:tr w:rsidR="00FD7BCF" w:rsidRPr="00FD7BCF" w14:paraId="7A2F192F" w14:textId="77777777" w:rsidTr="00E046E2">
        <w:trPr>
          <w:trHeight w:val="285"/>
          <w:jc w:val="center"/>
        </w:trPr>
        <w:tc>
          <w:tcPr>
            <w:tcW w:w="1560" w:type="dxa"/>
            <w:hideMark/>
          </w:tcPr>
          <w:p w14:paraId="32C74319"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512 Kbps</w:t>
            </w:r>
          </w:p>
        </w:tc>
        <w:tc>
          <w:tcPr>
            <w:tcW w:w="1418" w:type="dxa"/>
            <w:hideMark/>
          </w:tcPr>
          <w:p w14:paraId="2165DB78"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$1,488.62</w:t>
            </w:r>
          </w:p>
        </w:tc>
        <w:tc>
          <w:tcPr>
            <w:tcW w:w="1067" w:type="dxa"/>
            <w:hideMark/>
          </w:tcPr>
          <w:p w14:paraId="5BA145B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$34.41</w:t>
            </w:r>
          </w:p>
        </w:tc>
        <w:tc>
          <w:tcPr>
            <w:tcW w:w="1288" w:type="dxa"/>
            <w:hideMark/>
          </w:tcPr>
          <w:p w14:paraId="54FC3D0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$3,124.49</w:t>
            </w:r>
          </w:p>
        </w:tc>
        <w:tc>
          <w:tcPr>
            <w:tcW w:w="1047" w:type="dxa"/>
            <w:hideMark/>
          </w:tcPr>
          <w:p w14:paraId="6BBDC3DA"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$25.42</w:t>
            </w:r>
          </w:p>
        </w:tc>
        <w:tc>
          <w:tcPr>
            <w:tcW w:w="1417" w:type="dxa"/>
            <w:hideMark/>
          </w:tcPr>
          <w:p w14:paraId="6A0F76A2"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$5,771.27</w:t>
            </w:r>
          </w:p>
        </w:tc>
        <w:tc>
          <w:tcPr>
            <w:tcW w:w="992" w:type="dxa"/>
            <w:hideMark/>
          </w:tcPr>
          <w:p w14:paraId="6E47092E"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$9.61</w:t>
            </w:r>
          </w:p>
        </w:tc>
        <w:tc>
          <w:tcPr>
            <w:tcW w:w="1418" w:type="dxa"/>
            <w:hideMark/>
          </w:tcPr>
          <w:p w14:paraId="36380BDE"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$8,279.48</w:t>
            </w:r>
          </w:p>
        </w:tc>
        <w:tc>
          <w:tcPr>
            <w:tcW w:w="992" w:type="dxa"/>
            <w:hideMark/>
          </w:tcPr>
          <w:p w14:paraId="1F2C1BB1"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$6.82</w:t>
            </w:r>
          </w:p>
        </w:tc>
      </w:tr>
      <w:tr w:rsidR="00FD7BCF" w:rsidRPr="00FD7BCF" w14:paraId="02C48087" w14:textId="77777777" w:rsidTr="00E046E2">
        <w:trPr>
          <w:trHeight w:val="285"/>
          <w:jc w:val="center"/>
        </w:trPr>
        <w:tc>
          <w:tcPr>
            <w:tcW w:w="1560" w:type="dxa"/>
            <w:hideMark/>
          </w:tcPr>
          <w:p w14:paraId="7BE60FA4"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768 Kbps</w:t>
            </w:r>
          </w:p>
        </w:tc>
        <w:tc>
          <w:tcPr>
            <w:tcW w:w="1418" w:type="dxa"/>
            <w:hideMark/>
          </w:tcPr>
          <w:p w14:paraId="43F2F240"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$1,897.82</w:t>
            </w:r>
          </w:p>
        </w:tc>
        <w:tc>
          <w:tcPr>
            <w:tcW w:w="1067" w:type="dxa"/>
            <w:hideMark/>
          </w:tcPr>
          <w:p w14:paraId="5A445BD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$43.40</w:t>
            </w:r>
          </w:p>
        </w:tc>
        <w:tc>
          <w:tcPr>
            <w:tcW w:w="1288" w:type="dxa"/>
            <w:hideMark/>
          </w:tcPr>
          <w:p w14:paraId="0B8411BD"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$3,984.12</w:t>
            </w:r>
          </w:p>
        </w:tc>
        <w:tc>
          <w:tcPr>
            <w:tcW w:w="1047" w:type="dxa"/>
            <w:hideMark/>
          </w:tcPr>
          <w:p w14:paraId="64A92FD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$32.24</w:t>
            </w:r>
          </w:p>
        </w:tc>
        <w:tc>
          <w:tcPr>
            <w:tcW w:w="1417" w:type="dxa"/>
            <w:hideMark/>
          </w:tcPr>
          <w:p w14:paraId="499D1D14"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$7,355.99</w:t>
            </w:r>
          </w:p>
        </w:tc>
        <w:tc>
          <w:tcPr>
            <w:tcW w:w="992" w:type="dxa"/>
            <w:hideMark/>
          </w:tcPr>
          <w:p w14:paraId="2B71572B"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$12.40</w:t>
            </w:r>
          </w:p>
        </w:tc>
        <w:tc>
          <w:tcPr>
            <w:tcW w:w="1418" w:type="dxa"/>
            <w:hideMark/>
          </w:tcPr>
          <w:p w14:paraId="3629CA5D"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$10,562.01</w:t>
            </w:r>
          </w:p>
        </w:tc>
        <w:tc>
          <w:tcPr>
            <w:tcW w:w="992" w:type="dxa"/>
            <w:hideMark/>
          </w:tcPr>
          <w:p w14:paraId="7C451F08"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$8.99</w:t>
            </w:r>
          </w:p>
        </w:tc>
      </w:tr>
      <w:tr w:rsidR="00FD7BCF" w:rsidRPr="00FD7BCF" w14:paraId="28DDCAC5" w14:textId="77777777" w:rsidTr="00E046E2">
        <w:trPr>
          <w:trHeight w:val="285"/>
          <w:jc w:val="center"/>
        </w:trPr>
        <w:tc>
          <w:tcPr>
            <w:tcW w:w="1560" w:type="dxa"/>
            <w:hideMark/>
          </w:tcPr>
          <w:p w14:paraId="47837004"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1024 Kbps</w:t>
            </w:r>
          </w:p>
        </w:tc>
        <w:tc>
          <w:tcPr>
            <w:tcW w:w="1418" w:type="dxa"/>
            <w:hideMark/>
          </w:tcPr>
          <w:p w14:paraId="186D3368"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$2,307.02</w:t>
            </w:r>
          </w:p>
        </w:tc>
        <w:tc>
          <w:tcPr>
            <w:tcW w:w="1067" w:type="dxa"/>
            <w:hideMark/>
          </w:tcPr>
          <w:p w14:paraId="3059E11E"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$52.70</w:t>
            </w:r>
          </w:p>
        </w:tc>
        <w:tc>
          <w:tcPr>
            <w:tcW w:w="1288" w:type="dxa"/>
            <w:hideMark/>
          </w:tcPr>
          <w:p w14:paraId="031E088E"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$4,844.06</w:t>
            </w:r>
          </w:p>
        </w:tc>
        <w:tc>
          <w:tcPr>
            <w:tcW w:w="1047" w:type="dxa"/>
            <w:hideMark/>
          </w:tcPr>
          <w:p w14:paraId="323ADC18"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$39.06</w:t>
            </w:r>
          </w:p>
        </w:tc>
        <w:tc>
          <w:tcPr>
            <w:tcW w:w="1417" w:type="dxa"/>
            <w:hideMark/>
          </w:tcPr>
          <w:p w14:paraId="171A5A84"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$8,940.71</w:t>
            </w:r>
          </w:p>
        </w:tc>
        <w:tc>
          <w:tcPr>
            <w:tcW w:w="992" w:type="dxa"/>
            <w:hideMark/>
          </w:tcPr>
          <w:p w14:paraId="690F439B"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$14.88</w:t>
            </w:r>
          </w:p>
        </w:tc>
        <w:tc>
          <w:tcPr>
            <w:tcW w:w="1418" w:type="dxa"/>
            <w:hideMark/>
          </w:tcPr>
          <w:p w14:paraId="09A1805B"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$12,844.54</w:t>
            </w:r>
          </w:p>
        </w:tc>
        <w:tc>
          <w:tcPr>
            <w:tcW w:w="992" w:type="dxa"/>
            <w:hideMark/>
          </w:tcPr>
          <w:p w14:paraId="13C5DDE1"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$10.85</w:t>
            </w:r>
          </w:p>
        </w:tc>
      </w:tr>
      <w:tr w:rsidR="00FD7BCF" w:rsidRPr="00FD7BCF" w14:paraId="68F07B22" w14:textId="77777777" w:rsidTr="00E046E2">
        <w:trPr>
          <w:trHeight w:val="285"/>
          <w:jc w:val="center"/>
        </w:trPr>
        <w:tc>
          <w:tcPr>
            <w:tcW w:w="1560" w:type="dxa"/>
            <w:hideMark/>
          </w:tcPr>
          <w:p w14:paraId="5FB8ACB9"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E1 (2 Mbps)</w:t>
            </w:r>
          </w:p>
        </w:tc>
        <w:tc>
          <w:tcPr>
            <w:tcW w:w="1418" w:type="dxa"/>
            <w:hideMark/>
          </w:tcPr>
          <w:p w14:paraId="4AC7282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$3,073.96</w:t>
            </w:r>
          </w:p>
        </w:tc>
        <w:tc>
          <w:tcPr>
            <w:tcW w:w="1067" w:type="dxa"/>
            <w:hideMark/>
          </w:tcPr>
          <w:p w14:paraId="555C05B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$70.06</w:t>
            </w:r>
          </w:p>
        </w:tc>
        <w:tc>
          <w:tcPr>
            <w:tcW w:w="1288" w:type="dxa"/>
            <w:hideMark/>
          </w:tcPr>
          <w:p w14:paraId="4653CAAB"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$6,457.30</w:t>
            </w:r>
          </w:p>
        </w:tc>
        <w:tc>
          <w:tcPr>
            <w:tcW w:w="1047" w:type="dxa"/>
            <w:hideMark/>
          </w:tcPr>
          <w:p w14:paraId="1792DAC4"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$52.08</w:t>
            </w:r>
          </w:p>
        </w:tc>
        <w:tc>
          <w:tcPr>
            <w:tcW w:w="1417" w:type="dxa"/>
            <w:hideMark/>
          </w:tcPr>
          <w:p w14:paraId="77DF401B"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$12,137.43</w:t>
            </w:r>
          </w:p>
        </w:tc>
        <w:tc>
          <w:tcPr>
            <w:tcW w:w="992" w:type="dxa"/>
            <w:hideMark/>
          </w:tcPr>
          <w:p w14:paraId="4AAB40C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$19.84</w:t>
            </w:r>
          </w:p>
        </w:tc>
        <w:tc>
          <w:tcPr>
            <w:tcW w:w="1418" w:type="dxa"/>
            <w:hideMark/>
          </w:tcPr>
          <w:p w14:paraId="26E0B43D"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$17,120.68</w:t>
            </w:r>
          </w:p>
        </w:tc>
        <w:tc>
          <w:tcPr>
            <w:tcW w:w="992" w:type="dxa"/>
            <w:hideMark/>
          </w:tcPr>
          <w:p w14:paraId="156F4681"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$14.26</w:t>
            </w:r>
          </w:p>
        </w:tc>
      </w:tr>
      <w:tr w:rsidR="00FD7BCF" w:rsidRPr="00FD7BCF" w14:paraId="342656D6" w14:textId="77777777" w:rsidTr="00E046E2">
        <w:trPr>
          <w:trHeight w:val="285"/>
          <w:jc w:val="center"/>
        </w:trPr>
        <w:tc>
          <w:tcPr>
            <w:tcW w:w="1560" w:type="dxa"/>
            <w:hideMark/>
          </w:tcPr>
          <w:p w14:paraId="6CB0B100"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E2 (8 Mbps)</w:t>
            </w:r>
          </w:p>
        </w:tc>
        <w:tc>
          <w:tcPr>
            <w:tcW w:w="1418" w:type="dxa"/>
            <w:hideMark/>
          </w:tcPr>
          <w:p w14:paraId="51832B2F"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$12,295.84</w:t>
            </w:r>
          </w:p>
        </w:tc>
        <w:tc>
          <w:tcPr>
            <w:tcW w:w="1067" w:type="dxa"/>
            <w:hideMark/>
          </w:tcPr>
          <w:p w14:paraId="301C905A"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$280.24</w:t>
            </w:r>
          </w:p>
        </w:tc>
        <w:tc>
          <w:tcPr>
            <w:tcW w:w="1288" w:type="dxa"/>
            <w:hideMark/>
          </w:tcPr>
          <w:p w14:paraId="52DAA43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$25,829.20</w:t>
            </w:r>
          </w:p>
        </w:tc>
        <w:tc>
          <w:tcPr>
            <w:tcW w:w="1047" w:type="dxa"/>
            <w:hideMark/>
          </w:tcPr>
          <w:p w14:paraId="28DA8B74"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$208.32</w:t>
            </w:r>
          </w:p>
        </w:tc>
        <w:tc>
          <w:tcPr>
            <w:tcW w:w="1417" w:type="dxa"/>
            <w:hideMark/>
          </w:tcPr>
          <w:p w14:paraId="6324A0D4"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$48,549.72</w:t>
            </w:r>
          </w:p>
        </w:tc>
        <w:tc>
          <w:tcPr>
            <w:tcW w:w="992" w:type="dxa"/>
            <w:hideMark/>
          </w:tcPr>
          <w:p w14:paraId="0F3ACDFE"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$79.36</w:t>
            </w:r>
          </w:p>
        </w:tc>
        <w:tc>
          <w:tcPr>
            <w:tcW w:w="1418" w:type="dxa"/>
            <w:hideMark/>
          </w:tcPr>
          <w:p w14:paraId="5DFD4F1B"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$68,482.72</w:t>
            </w:r>
          </w:p>
        </w:tc>
        <w:tc>
          <w:tcPr>
            <w:tcW w:w="992" w:type="dxa"/>
            <w:hideMark/>
          </w:tcPr>
          <w:p w14:paraId="59D0A3BC"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$57.04</w:t>
            </w:r>
          </w:p>
        </w:tc>
      </w:tr>
      <w:tr w:rsidR="00FD7BCF" w:rsidRPr="00FD7BCF" w14:paraId="6A8FAFAA" w14:textId="77777777" w:rsidTr="00E046E2">
        <w:trPr>
          <w:trHeight w:val="285"/>
          <w:jc w:val="center"/>
        </w:trPr>
        <w:tc>
          <w:tcPr>
            <w:tcW w:w="1560" w:type="dxa"/>
            <w:hideMark/>
          </w:tcPr>
          <w:p w14:paraId="3DDE2D07"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E3 (34 Mbps)</w:t>
            </w:r>
          </w:p>
        </w:tc>
        <w:tc>
          <w:tcPr>
            <w:tcW w:w="1418" w:type="dxa"/>
            <w:hideMark/>
          </w:tcPr>
          <w:p w14:paraId="0F7244DB"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$51,510.84</w:t>
            </w:r>
          </w:p>
        </w:tc>
        <w:tc>
          <w:tcPr>
            <w:tcW w:w="1067" w:type="dxa"/>
            <w:hideMark/>
          </w:tcPr>
          <w:p w14:paraId="2DC83AD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$60.97</w:t>
            </w:r>
          </w:p>
        </w:tc>
        <w:tc>
          <w:tcPr>
            <w:tcW w:w="1288" w:type="dxa"/>
            <w:hideMark/>
          </w:tcPr>
          <w:p w14:paraId="7585DCD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$51,510.84</w:t>
            </w:r>
          </w:p>
        </w:tc>
        <w:tc>
          <w:tcPr>
            <w:tcW w:w="1047" w:type="dxa"/>
            <w:hideMark/>
          </w:tcPr>
          <w:p w14:paraId="2B75E751"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$60.97</w:t>
            </w:r>
          </w:p>
        </w:tc>
        <w:tc>
          <w:tcPr>
            <w:tcW w:w="1417" w:type="dxa"/>
            <w:hideMark/>
          </w:tcPr>
          <w:p w14:paraId="6537E5B7"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$51,510.84</w:t>
            </w:r>
          </w:p>
        </w:tc>
        <w:tc>
          <w:tcPr>
            <w:tcW w:w="992" w:type="dxa"/>
            <w:hideMark/>
          </w:tcPr>
          <w:p w14:paraId="2C748EC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$60.97</w:t>
            </w:r>
          </w:p>
        </w:tc>
        <w:tc>
          <w:tcPr>
            <w:tcW w:w="1418" w:type="dxa"/>
            <w:hideMark/>
          </w:tcPr>
          <w:p w14:paraId="0E960DFC"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$51,510.84</w:t>
            </w:r>
          </w:p>
        </w:tc>
        <w:tc>
          <w:tcPr>
            <w:tcW w:w="992" w:type="dxa"/>
            <w:hideMark/>
          </w:tcPr>
          <w:p w14:paraId="2DA33E09"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$60.97</w:t>
            </w:r>
          </w:p>
        </w:tc>
      </w:tr>
      <w:tr w:rsidR="00FD7BCF" w:rsidRPr="00FD7BCF" w14:paraId="56D48EA8" w14:textId="77777777" w:rsidTr="00E046E2">
        <w:trPr>
          <w:trHeight w:val="285"/>
          <w:jc w:val="center"/>
        </w:trPr>
        <w:tc>
          <w:tcPr>
            <w:tcW w:w="1560" w:type="dxa"/>
            <w:hideMark/>
          </w:tcPr>
          <w:p w14:paraId="25530924"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 xml:space="preserve">E4 (139 Mbps) </w:t>
            </w:r>
          </w:p>
        </w:tc>
        <w:tc>
          <w:tcPr>
            <w:tcW w:w="1418" w:type="dxa"/>
            <w:hideMark/>
          </w:tcPr>
          <w:p w14:paraId="7D9271A2"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$99,383.52</w:t>
            </w:r>
          </w:p>
        </w:tc>
        <w:tc>
          <w:tcPr>
            <w:tcW w:w="1067" w:type="dxa"/>
            <w:hideMark/>
          </w:tcPr>
          <w:p w14:paraId="761E3F98"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c>
          <w:tcPr>
            <w:tcW w:w="1288" w:type="dxa"/>
            <w:hideMark/>
          </w:tcPr>
          <w:p w14:paraId="017AB238"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$99,383.52</w:t>
            </w:r>
          </w:p>
        </w:tc>
        <w:tc>
          <w:tcPr>
            <w:tcW w:w="1047" w:type="dxa"/>
            <w:hideMark/>
          </w:tcPr>
          <w:p w14:paraId="5B13B588"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c>
          <w:tcPr>
            <w:tcW w:w="1417" w:type="dxa"/>
            <w:hideMark/>
          </w:tcPr>
          <w:p w14:paraId="1E27FC2D"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$99,383.52</w:t>
            </w:r>
          </w:p>
        </w:tc>
        <w:tc>
          <w:tcPr>
            <w:tcW w:w="992" w:type="dxa"/>
            <w:hideMark/>
          </w:tcPr>
          <w:p w14:paraId="7F01FA2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c>
          <w:tcPr>
            <w:tcW w:w="1418" w:type="dxa"/>
            <w:hideMark/>
          </w:tcPr>
          <w:p w14:paraId="09E67FAA"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$99,383.52</w:t>
            </w:r>
          </w:p>
        </w:tc>
        <w:tc>
          <w:tcPr>
            <w:tcW w:w="992" w:type="dxa"/>
            <w:hideMark/>
          </w:tcPr>
          <w:p w14:paraId="6ABC59F9"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r>
      <w:tr w:rsidR="00FD7BCF" w:rsidRPr="00FD7BCF" w14:paraId="36227254" w14:textId="77777777" w:rsidTr="00E046E2">
        <w:trPr>
          <w:trHeight w:val="285"/>
          <w:jc w:val="center"/>
        </w:trPr>
        <w:tc>
          <w:tcPr>
            <w:tcW w:w="1560" w:type="dxa"/>
            <w:hideMark/>
          </w:tcPr>
          <w:p w14:paraId="33719DC5"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STM</w:t>
            </w:r>
            <w:r w:rsidR="00543FEB" w:rsidRPr="00FD7BCF">
              <w:rPr>
                <w:rFonts w:ascii="ITC Avant Garde" w:eastAsia="Times New Roman" w:hAnsi="ITC Avant Garde"/>
                <w:sz w:val="18"/>
                <w:szCs w:val="18"/>
                <w:lang w:eastAsia="es-MX"/>
              </w:rPr>
              <w:t xml:space="preserve"> </w:t>
            </w:r>
            <w:r w:rsidRPr="00FD7BCF">
              <w:rPr>
                <w:rFonts w:ascii="ITC Avant Garde" w:eastAsia="Times New Roman" w:hAnsi="ITC Avant Garde"/>
                <w:sz w:val="18"/>
                <w:szCs w:val="18"/>
                <w:lang w:eastAsia="es-MX"/>
              </w:rPr>
              <w:t xml:space="preserve">1 (155 Mbps) </w:t>
            </w:r>
          </w:p>
        </w:tc>
        <w:tc>
          <w:tcPr>
            <w:tcW w:w="1418" w:type="dxa"/>
            <w:hideMark/>
          </w:tcPr>
          <w:p w14:paraId="28BE6722"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$99,383.52</w:t>
            </w:r>
          </w:p>
        </w:tc>
        <w:tc>
          <w:tcPr>
            <w:tcW w:w="1067" w:type="dxa"/>
            <w:hideMark/>
          </w:tcPr>
          <w:p w14:paraId="2B8751A7"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c>
          <w:tcPr>
            <w:tcW w:w="1288" w:type="dxa"/>
            <w:hideMark/>
          </w:tcPr>
          <w:p w14:paraId="0154466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$99,383.52</w:t>
            </w:r>
          </w:p>
        </w:tc>
        <w:tc>
          <w:tcPr>
            <w:tcW w:w="1047" w:type="dxa"/>
            <w:hideMark/>
          </w:tcPr>
          <w:p w14:paraId="191D3230"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c>
          <w:tcPr>
            <w:tcW w:w="1417" w:type="dxa"/>
            <w:hideMark/>
          </w:tcPr>
          <w:p w14:paraId="101B165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$99,383.52</w:t>
            </w:r>
          </w:p>
        </w:tc>
        <w:tc>
          <w:tcPr>
            <w:tcW w:w="992" w:type="dxa"/>
            <w:hideMark/>
          </w:tcPr>
          <w:p w14:paraId="7A349760"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c>
          <w:tcPr>
            <w:tcW w:w="1418" w:type="dxa"/>
            <w:hideMark/>
          </w:tcPr>
          <w:p w14:paraId="4EA033ED"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$99,383.52</w:t>
            </w:r>
          </w:p>
        </w:tc>
        <w:tc>
          <w:tcPr>
            <w:tcW w:w="992" w:type="dxa"/>
            <w:hideMark/>
          </w:tcPr>
          <w:p w14:paraId="72F4D87F"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r>
      <w:tr w:rsidR="00FD7BCF" w:rsidRPr="00FD7BCF" w14:paraId="12C27F73" w14:textId="77777777" w:rsidTr="00E046E2">
        <w:trPr>
          <w:trHeight w:val="285"/>
          <w:jc w:val="center"/>
        </w:trPr>
        <w:tc>
          <w:tcPr>
            <w:tcW w:w="1560" w:type="dxa"/>
            <w:hideMark/>
          </w:tcPr>
          <w:p w14:paraId="6288D376"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STM</w:t>
            </w:r>
            <w:r w:rsidR="00543FEB" w:rsidRPr="00FD7BCF">
              <w:rPr>
                <w:rFonts w:ascii="ITC Avant Garde" w:eastAsia="Times New Roman" w:hAnsi="ITC Avant Garde"/>
                <w:sz w:val="18"/>
                <w:szCs w:val="18"/>
                <w:lang w:eastAsia="es-MX"/>
              </w:rPr>
              <w:t xml:space="preserve"> </w:t>
            </w:r>
            <w:r w:rsidRPr="00FD7BCF">
              <w:rPr>
                <w:rFonts w:ascii="ITC Avant Garde" w:eastAsia="Times New Roman" w:hAnsi="ITC Avant Garde"/>
                <w:sz w:val="18"/>
                <w:szCs w:val="18"/>
                <w:lang w:eastAsia="es-MX"/>
              </w:rPr>
              <w:t xml:space="preserve">4 (622 Mbps) </w:t>
            </w:r>
          </w:p>
        </w:tc>
        <w:tc>
          <w:tcPr>
            <w:tcW w:w="1418" w:type="dxa"/>
            <w:hideMark/>
          </w:tcPr>
          <w:p w14:paraId="362532A1"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$194,791.60</w:t>
            </w:r>
          </w:p>
        </w:tc>
        <w:tc>
          <w:tcPr>
            <w:tcW w:w="1067" w:type="dxa"/>
            <w:hideMark/>
          </w:tcPr>
          <w:p w14:paraId="4C141F62"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$230.58</w:t>
            </w:r>
          </w:p>
        </w:tc>
        <w:tc>
          <w:tcPr>
            <w:tcW w:w="1288" w:type="dxa"/>
            <w:hideMark/>
          </w:tcPr>
          <w:p w14:paraId="3B04C4B9"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$194,791.60</w:t>
            </w:r>
          </w:p>
        </w:tc>
        <w:tc>
          <w:tcPr>
            <w:tcW w:w="1047" w:type="dxa"/>
            <w:hideMark/>
          </w:tcPr>
          <w:p w14:paraId="40FBCA0B"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$230.58</w:t>
            </w:r>
          </w:p>
        </w:tc>
        <w:tc>
          <w:tcPr>
            <w:tcW w:w="1417" w:type="dxa"/>
            <w:hideMark/>
          </w:tcPr>
          <w:p w14:paraId="1682E3DC"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$194,791.60</w:t>
            </w:r>
          </w:p>
        </w:tc>
        <w:tc>
          <w:tcPr>
            <w:tcW w:w="992" w:type="dxa"/>
            <w:hideMark/>
          </w:tcPr>
          <w:p w14:paraId="366C3CEC"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$230.58</w:t>
            </w:r>
          </w:p>
        </w:tc>
        <w:tc>
          <w:tcPr>
            <w:tcW w:w="1418" w:type="dxa"/>
            <w:hideMark/>
          </w:tcPr>
          <w:p w14:paraId="716A06F1"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$194,791.60</w:t>
            </w:r>
          </w:p>
        </w:tc>
        <w:tc>
          <w:tcPr>
            <w:tcW w:w="992" w:type="dxa"/>
            <w:hideMark/>
          </w:tcPr>
          <w:p w14:paraId="0B994A42"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$230.58</w:t>
            </w:r>
          </w:p>
        </w:tc>
      </w:tr>
      <w:tr w:rsidR="00FD7BCF" w:rsidRPr="00FD7BCF" w14:paraId="740E8033" w14:textId="77777777" w:rsidTr="00E046E2">
        <w:trPr>
          <w:trHeight w:val="285"/>
          <w:jc w:val="center"/>
        </w:trPr>
        <w:tc>
          <w:tcPr>
            <w:tcW w:w="1560" w:type="dxa"/>
            <w:hideMark/>
          </w:tcPr>
          <w:p w14:paraId="4AA01E77"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 xml:space="preserve">STM 16 (2.5 </w:t>
            </w:r>
            <w:proofErr w:type="spellStart"/>
            <w:r w:rsidR="00C67112" w:rsidRPr="00FD7BCF">
              <w:rPr>
                <w:rFonts w:ascii="ITC Avant Garde" w:eastAsia="Times New Roman" w:hAnsi="ITC Avant Garde"/>
                <w:sz w:val="18"/>
                <w:szCs w:val="18"/>
                <w:lang w:eastAsia="es-MX"/>
              </w:rPr>
              <w:t>G</w:t>
            </w:r>
            <w:r w:rsidR="00244E59" w:rsidRPr="00FD7BCF">
              <w:rPr>
                <w:rFonts w:ascii="ITC Avant Garde" w:eastAsia="Times New Roman" w:hAnsi="ITC Avant Garde"/>
                <w:sz w:val="18"/>
                <w:szCs w:val="18"/>
                <w:lang w:eastAsia="es-MX"/>
              </w:rPr>
              <w:t>bps</w:t>
            </w:r>
            <w:proofErr w:type="spellEnd"/>
            <w:r w:rsidRPr="00FD7BCF">
              <w:rPr>
                <w:rFonts w:ascii="ITC Avant Garde" w:eastAsia="Times New Roman" w:hAnsi="ITC Avant Garde"/>
                <w:sz w:val="18"/>
                <w:szCs w:val="18"/>
                <w:lang w:eastAsia="es-MX"/>
              </w:rPr>
              <w:t xml:space="preserve">) </w:t>
            </w:r>
          </w:p>
        </w:tc>
        <w:tc>
          <w:tcPr>
            <w:tcW w:w="1418" w:type="dxa"/>
            <w:hideMark/>
          </w:tcPr>
          <w:p w14:paraId="7BBDA434"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$486,979.00</w:t>
            </w:r>
          </w:p>
        </w:tc>
        <w:tc>
          <w:tcPr>
            <w:tcW w:w="1067" w:type="dxa"/>
            <w:hideMark/>
          </w:tcPr>
          <w:p w14:paraId="35514B17"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$576.45</w:t>
            </w:r>
          </w:p>
        </w:tc>
        <w:tc>
          <w:tcPr>
            <w:tcW w:w="1288" w:type="dxa"/>
            <w:hideMark/>
          </w:tcPr>
          <w:p w14:paraId="0ABA6FED"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$486,979.00</w:t>
            </w:r>
          </w:p>
        </w:tc>
        <w:tc>
          <w:tcPr>
            <w:tcW w:w="1047" w:type="dxa"/>
            <w:hideMark/>
          </w:tcPr>
          <w:p w14:paraId="2D647DE9"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$576.45</w:t>
            </w:r>
          </w:p>
        </w:tc>
        <w:tc>
          <w:tcPr>
            <w:tcW w:w="1417" w:type="dxa"/>
            <w:hideMark/>
          </w:tcPr>
          <w:p w14:paraId="033F30EF"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$486,979.00</w:t>
            </w:r>
          </w:p>
        </w:tc>
        <w:tc>
          <w:tcPr>
            <w:tcW w:w="992" w:type="dxa"/>
            <w:hideMark/>
          </w:tcPr>
          <w:p w14:paraId="2A44F9C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$576.45</w:t>
            </w:r>
          </w:p>
        </w:tc>
        <w:tc>
          <w:tcPr>
            <w:tcW w:w="1418" w:type="dxa"/>
            <w:hideMark/>
          </w:tcPr>
          <w:p w14:paraId="332ED63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$486,979.00</w:t>
            </w:r>
          </w:p>
        </w:tc>
        <w:tc>
          <w:tcPr>
            <w:tcW w:w="992" w:type="dxa"/>
            <w:hideMark/>
          </w:tcPr>
          <w:p w14:paraId="26DC7F5B"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$576.45</w:t>
            </w:r>
          </w:p>
        </w:tc>
      </w:tr>
      <w:tr w:rsidR="00FD7BCF" w:rsidRPr="00FD7BCF" w14:paraId="50947309" w14:textId="77777777" w:rsidTr="00E046E2">
        <w:trPr>
          <w:trHeight w:val="285"/>
          <w:jc w:val="center"/>
        </w:trPr>
        <w:tc>
          <w:tcPr>
            <w:tcW w:w="1560" w:type="dxa"/>
            <w:hideMark/>
          </w:tcPr>
          <w:p w14:paraId="6B5922EE" w14:textId="77777777" w:rsidR="00430037" w:rsidRPr="00FD7BCF" w:rsidRDefault="00430037"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 xml:space="preserve">STM 64 (10 </w:t>
            </w:r>
            <w:proofErr w:type="spellStart"/>
            <w:r w:rsidR="00C67112" w:rsidRPr="00FD7BCF">
              <w:rPr>
                <w:rFonts w:ascii="ITC Avant Garde" w:eastAsia="Times New Roman" w:hAnsi="ITC Avant Garde"/>
                <w:sz w:val="18"/>
                <w:szCs w:val="18"/>
                <w:lang w:eastAsia="es-MX"/>
              </w:rPr>
              <w:t>G</w:t>
            </w:r>
            <w:r w:rsidR="00244E59" w:rsidRPr="00FD7BCF">
              <w:rPr>
                <w:rFonts w:ascii="ITC Avant Garde" w:eastAsia="Times New Roman" w:hAnsi="ITC Avant Garde"/>
                <w:sz w:val="18"/>
                <w:szCs w:val="18"/>
                <w:lang w:eastAsia="es-MX"/>
              </w:rPr>
              <w:t>bps</w:t>
            </w:r>
            <w:proofErr w:type="spellEnd"/>
            <w:r w:rsidRPr="00FD7BCF">
              <w:rPr>
                <w:rFonts w:ascii="ITC Avant Garde" w:eastAsia="Times New Roman" w:hAnsi="ITC Avant Garde"/>
                <w:sz w:val="18"/>
                <w:szCs w:val="18"/>
                <w:lang w:eastAsia="es-MX"/>
              </w:rPr>
              <w:t>)</w:t>
            </w:r>
          </w:p>
        </w:tc>
        <w:tc>
          <w:tcPr>
            <w:tcW w:w="1418" w:type="dxa"/>
            <w:hideMark/>
          </w:tcPr>
          <w:p w14:paraId="559DEEC8"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$1,655,728.60</w:t>
            </w:r>
          </w:p>
        </w:tc>
        <w:tc>
          <w:tcPr>
            <w:tcW w:w="1067" w:type="dxa"/>
            <w:hideMark/>
          </w:tcPr>
          <w:p w14:paraId="26DE654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$1,959.82</w:t>
            </w:r>
          </w:p>
        </w:tc>
        <w:tc>
          <w:tcPr>
            <w:tcW w:w="1288" w:type="dxa"/>
            <w:hideMark/>
          </w:tcPr>
          <w:p w14:paraId="3CDFD02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$1,655,728.60</w:t>
            </w:r>
          </w:p>
        </w:tc>
        <w:tc>
          <w:tcPr>
            <w:tcW w:w="1047" w:type="dxa"/>
            <w:hideMark/>
          </w:tcPr>
          <w:p w14:paraId="7141119A"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$1,959.82</w:t>
            </w:r>
          </w:p>
        </w:tc>
        <w:tc>
          <w:tcPr>
            <w:tcW w:w="1417" w:type="dxa"/>
            <w:hideMark/>
          </w:tcPr>
          <w:p w14:paraId="684D2BF1"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$1,655,728.60</w:t>
            </w:r>
          </w:p>
        </w:tc>
        <w:tc>
          <w:tcPr>
            <w:tcW w:w="992" w:type="dxa"/>
            <w:hideMark/>
          </w:tcPr>
          <w:p w14:paraId="739BA513"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$1,959.82</w:t>
            </w:r>
          </w:p>
        </w:tc>
        <w:tc>
          <w:tcPr>
            <w:tcW w:w="1418" w:type="dxa"/>
            <w:hideMark/>
          </w:tcPr>
          <w:p w14:paraId="3518B2A7"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$1,655,728.60</w:t>
            </w:r>
          </w:p>
        </w:tc>
        <w:tc>
          <w:tcPr>
            <w:tcW w:w="992" w:type="dxa"/>
            <w:hideMark/>
          </w:tcPr>
          <w:p w14:paraId="0F8A881D"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$1,959.82</w:t>
            </w:r>
          </w:p>
        </w:tc>
      </w:tr>
      <w:tr w:rsidR="00FD7BCF" w:rsidRPr="00FD7BCF" w14:paraId="74375A34" w14:textId="77777777" w:rsidTr="00E046E2">
        <w:trPr>
          <w:trHeight w:val="285"/>
          <w:jc w:val="center"/>
        </w:trPr>
        <w:tc>
          <w:tcPr>
            <w:tcW w:w="1560" w:type="dxa"/>
            <w:hideMark/>
          </w:tcPr>
          <w:p w14:paraId="6A0E0A71" w14:textId="77777777" w:rsidR="00430037" w:rsidRPr="00FD7BCF" w:rsidRDefault="00543FEB"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 xml:space="preserve">STM </w:t>
            </w:r>
            <w:r w:rsidR="00430037" w:rsidRPr="00FD7BCF">
              <w:rPr>
                <w:rFonts w:ascii="ITC Avant Garde" w:eastAsia="Times New Roman" w:hAnsi="ITC Avant Garde"/>
                <w:sz w:val="18"/>
                <w:szCs w:val="18"/>
                <w:lang w:eastAsia="es-MX"/>
              </w:rPr>
              <w:t>256 (</w:t>
            </w:r>
            <w:r w:rsidR="008C5D4C" w:rsidRPr="00FD7BCF">
              <w:rPr>
                <w:rFonts w:ascii="ITC Avant Garde" w:eastAsia="Times New Roman" w:hAnsi="ITC Avant Garde"/>
                <w:sz w:val="18"/>
                <w:szCs w:val="18"/>
                <w:lang w:eastAsia="es-MX"/>
              </w:rPr>
              <w:t xml:space="preserve">40 </w:t>
            </w:r>
            <w:proofErr w:type="spellStart"/>
            <w:r w:rsidR="008C5D4C" w:rsidRPr="00FD7BCF">
              <w:rPr>
                <w:rFonts w:ascii="ITC Avant Garde" w:eastAsia="Times New Roman" w:hAnsi="ITC Avant Garde"/>
                <w:sz w:val="18"/>
                <w:szCs w:val="18"/>
                <w:lang w:eastAsia="es-MX"/>
              </w:rPr>
              <w:t>Gbps</w:t>
            </w:r>
            <w:proofErr w:type="spellEnd"/>
            <w:r w:rsidR="00430037" w:rsidRPr="00FD7BCF">
              <w:rPr>
                <w:rFonts w:ascii="ITC Avant Garde" w:eastAsia="Times New Roman" w:hAnsi="ITC Avant Garde"/>
                <w:sz w:val="18"/>
                <w:szCs w:val="18"/>
                <w:lang w:eastAsia="es-MX"/>
              </w:rPr>
              <w:t xml:space="preserve">) </w:t>
            </w:r>
          </w:p>
        </w:tc>
        <w:tc>
          <w:tcPr>
            <w:tcW w:w="1418" w:type="dxa"/>
            <w:hideMark/>
          </w:tcPr>
          <w:p w14:paraId="37B379A7"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$6,622,914.40</w:t>
            </w:r>
          </w:p>
        </w:tc>
        <w:tc>
          <w:tcPr>
            <w:tcW w:w="1067" w:type="dxa"/>
            <w:hideMark/>
          </w:tcPr>
          <w:p w14:paraId="7B4EC50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$7,839.28</w:t>
            </w:r>
          </w:p>
        </w:tc>
        <w:tc>
          <w:tcPr>
            <w:tcW w:w="1288" w:type="dxa"/>
            <w:hideMark/>
          </w:tcPr>
          <w:p w14:paraId="17E94A5A"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$6,622,914.40</w:t>
            </w:r>
          </w:p>
        </w:tc>
        <w:tc>
          <w:tcPr>
            <w:tcW w:w="1047" w:type="dxa"/>
            <w:hideMark/>
          </w:tcPr>
          <w:p w14:paraId="6BD62A2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$7,839.28</w:t>
            </w:r>
          </w:p>
        </w:tc>
        <w:tc>
          <w:tcPr>
            <w:tcW w:w="1417" w:type="dxa"/>
            <w:hideMark/>
          </w:tcPr>
          <w:p w14:paraId="121BCA4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$6,622,914.40</w:t>
            </w:r>
          </w:p>
        </w:tc>
        <w:tc>
          <w:tcPr>
            <w:tcW w:w="992" w:type="dxa"/>
            <w:hideMark/>
          </w:tcPr>
          <w:p w14:paraId="4F2BAA95"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$7,839.28</w:t>
            </w:r>
          </w:p>
        </w:tc>
        <w:tc>
          <w:tcPr>
            <w:tcW w:w="1418" w:type="dxa"/>
            <w:hideMark/>
          </w:tcPr>
          <w:p w14:paraId="593BF716"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$6,622,914.40</w:t>
            </w:r>
          </w:p>
        </w:tc>
        <w:tc>
          <w:tcPr>
            <w:tcW w:w="992" w:type="dxa"/>
            <w:hideMark/>
          </w:tcPr>
          <w:p w14:paraId="6C82E27A" w14:textId="77777777" w:rsidR="00430037" w:rsidRPr="00FD7BCF" w:rsidRDefault="00430037"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$7,839.31</w:t>
            </w:r>
          </w:p>
        </w:tc>
      </w:tr>
    </w:tbl>
    <w:p w14:paraId="23BAD07F" w14:textId="77777777" w:rsidR="00E967D9" w:rsidRPr="00FD7BCF" w:rsidRDefault="00E967D9" w:rsidP="00B42019">
      <w:pPr>
        <w:tabs>
          <w:tab w:val="left" w:pos="3135"/>
        </w:tabs>
        <w:spacing w:before="240" w:line="276" w:lineRule="auto"/>
        <w:jc w:val="both"/>
        <w:rPr>
          <w:rFonts w:ascii="ITC Avant Garde" w:eastAsia="Times New Roman" w:hAnsi="ITC Avant Garde"/>
          <w:b/>
          <w:bCs/>
          <w:lang w:eastAsia="es-ES"/>
        </w:rPr>
      </w:pPr>
    </w:p>
    <w:tbl>
      <w:tblPr>
        <w:tblStyle w:val="Tablaconcuadrcula2"/>
        <w:tblW w:w="5242" w:type="dxa"/>
        <w:jc w:val="center"/>
        <w:tblLook w:val="04A0" w:firstRow="1" w:lastRow="0" w:firstColumn="1" w:lastColumn="0" w:noHBand="0" w:noVBand="1"/>
        <w:tblCaption w:val="Velocidades"/>
        <w:tblDescription w:val="En una tabla de 2 columnas, se proporciona la velocidad del lado izquierdo y del lado derecho el cargo por Km."/>
      </w:tblPr>
      <w:tblGrid>
        <w:gridCol w:w="3329"/>
        <w:gridCol w:w="1913"/>
      </w:tblGrid>
      <w:tr w:rsidR="00FD7BCF" w:rsidRPr="00FD7BCF" w14:paraId="16F6A164" w14:textId="77777777" w:rsidTr="00E046E2">
        <w:trPr>
          <w:trHeight w:val="358"/>
          <w:tblHeader/>
          <w:jc w:val="center"/>
        </w:trPr>
        <w:tc>
          <w:tcPr>
            <w:tcW w:w="3329" w:type="dxa"/>
            <w:shd w:val="clear" w:color="auto" w:fill="A6A6A6" w:themeFill="background1" w:themeFillShade="A6"/>
            <w:vAlign w:val="center"/>
          </w:tcPr>
          <w:p w14:paraId="258AED81" w14:textId="77777777" w:rsidR="00650758" w:rsidRPr="00FD7BCF" w:rsidRDefault="00650758" w:rsidP="00E046E2">
            <w:pPr>
              <w:spacing w:after="0" w:line="276" w:lineRule="auto"/>
              <w:jc w:val="center"/>
              <w:rPr>
                <w:rFonts w:ascii="ITC Avant Garde" w:eastAsia="Times New Roman" w:hAnsi="ITC Avant Garde"/>
                <w:b/>
                <w:sz w:val="20"/>
                <w:szCs w:val="20"/>
                <w:lang w:eastAsia="es-MX"/>
              </w:rPr>
            </w:pPr>
            <w:r w:rsidRPr="00FD7BCF">
              <w:rPr>
                <w:rFonts w:ascii="ITC Avant Garde" w:eastAsia="Times New Roman" w:hAnsi="ITC Avant Garde"/>
                <w:b/>
                <w:sz w:val="20"/>
                <w:szCs w:val="20"/>
                <w:lang w:eastAsia="es-MX"/>
              </w:rPr>
              <w:t>Velocidad</w:t>
            </w:r>
          </w:p>
        </w:tc>
        <w:tc>
          <w:tcPr>
            <w:tcW w:w="1913" w:type="dxa"/>
            <w:shd w:val="clear" w:color="auto" w:fill="A6A6A6" w:themeFill="background1" w:themeFillShade="A6"/>
            <w:vAlign w:val="center"/>
          </w:tcPr>
          <w:p w14:paraId="5DC62E9A" w14:textId="77777777" w:rsidR="00650758" w:rsidRPr="00FD7BCF" w:rsidRDefault="00650758" w:rsidP="00E046E2">
            <w:pPr>
              <w:spacing w:after="0" w:line="276" w:lineRule="auto"/>
              <w:jc w:val="center"/>
              <w:rPr>
                <w:rFonts w:ascii="ITC Avant Garde" w:eastAsia="Times New Roman" w:hAnsi="ITC Avant Garde"/>
                <w:b/>
                <w:sz w:val="20"/>
                <w:szCs w:val="20"/>
                <w:lang w:eastAsia="es-MX"/>
              </w:rPr>
            </w:pPr>
            <w:r w:rsidRPr="00FD7BCF">
              <w:rPr>
                <w:rFonts w:ascii="ITC Avant Garde" w:eastAsia="Times New Roman" w:hAnsi="ITC Avant Garde"/>
                <w:b/>
                <w:sz w:val="20"/>
                <w:szCs w:val="20"/>
                <w:lang w:eastAsia="es-MX"/>
              </w:rPr>
              <w:t>Cargo x Km</w:t>
            </w:r>
          </w:p>
        </w:tc>
      </w:tr>
      <w:tr w:rsidR="00FD7BCF" w:rsidRPr="00FD7BCF" w14:paraId="7A147009" w14:textId="77777777" w:rsidTr="00E046E2">
        <w:trPr>
          <w:trHeight w:val="358"/>
          <w:jc w:val="center"/>
        </w:trPr>
        <w:tc>
          <w:tcPr>
            <w:tcW w:w="3329" w:type="dxa"/>
            <w:hideMark/>
          </w:tcPr>
          <w:p w14:paraId="0E9A2BD5" w14:textId="77777777"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10 Mbps</w:t>
            </w:r>
          </w:p>
        </w:tc>
        <w:tc>
          <w:tcPr>
            <w:tcW w:w="1913" w:type="dxa"/>
            <w:hideMark/>
          </w:tcPr>
          <w:p w14:paraId="4B904E30" w14:textId="2C6D7DB6"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$35.34 </w:t>
            </w:r>
          </w:p>
        </w:tc>
      </w:tr>
      <w:tr w:rsidR="00FD7BCF" w:rsidRPr="00FD7BCF" w14:paraId="2FD431E1" w14:textId="77777777" w:rsidTr="00E046E2">
        <w:trPr>
          <w:trHeight w:val="358"/>
          <w:jc w:val="center"/>
        </w:trPr>
        <w:tc>
          <w:tcPr>
            <w:tcW w:w="3329" w:type="dxa"/>
            <w:hideMark/>
          </w:tcPr>
          <w:p w14:paraId="7D1AF8FC" w14:textId="7984901F"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20 Mbps</w:t>
            </w:r>
          </w:p>
        </w:tc>
        <w:tc>
          <w:tcPr>
            <w:tcW w:w="1913" w:type="dxa"/>
            <w:hideMark/>
          </w:tcPr>
          <w:p w14:paraId="0ECED529" w14:textId="4D1EE143" w:rsidR="00F93D11" w:rsidRPr="00FD7BCF" w:rsidRDefault="00E046E2" w:rsidP="00E046E2">
            <w:pPr>
              <w:spacing w:after="0" w:line="276" w:lineRule="auto"/>
              <w:rPr>
                <w:rFonts w:ascii="ITC Avant Garde" w:eastAsia="Times New Roman" w:hAnsi="ITC Avant Garde"/>
                <w:sz w:val="20"/>
                <w:szCs w:val="20"/>
                <w:lang w:eastAsia="es-MX"/>
              </w:rPr>
            </w:pPr>
            <w:r>
              <w:rPr>
                <w:rFonts w:ascii="ITC Avant Garde" w:eastAsia="Times New Roman" w:hAnsi="ITC Avant Garde"/>
                <w:sz w:val="20"/>
                <w:szCs w:val="20"/>
                <w:lang w:eastAsia="es-MX"/>
              </w:rPr>
              <w:t>$</w:t>
            </w:r>
            <w:r w:rsidR="00F93D11" w:rsidRPr="00FD7BCF">
              <w:rPr>
                <w:rFonts w:ascii="ITC Avant Garde" w:eastAsia="Times New Roman" w:hAnsi="ITC Avant Garde"/>
                <w:sz w:val="20"/>
                <w:szCs w:val="20"/>
                <w:lang w:eastAsia="es-MX"/>
              </w:rPr>
              <w:t xml:space="preserve">37.20 </w:t>
            </w:r>
          </w:p>
        </w:tc>
      </w:tr>
      <w:tr w:rsidR="00FD7BCF" w:rsidRPr="00FD7BCF" w14:paraId="05A23E42" w14:textId="77777777" w:rsidTr="00E046E2">
        <w:trPr>
          <w:trHeight w:val="358"/>
          <w:jc w:val="center"/>
        </w:trPr>
        <w:tc>
          <w:tcPr>
            <w:tcW w:w="3329" w:type="dxa"/>
            <w:hideMark/>
          </w:tcPr>
          <w:p w14:paraId="7A8A501D" w14:textId="77777777"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lastRenderedPageBreak/>
              <w:t>Ethernet 30 Mbps</w:t>
            </w:r>
          </w:p>
        </w:tc>
        <w:tc>
          <w:tcPr>
            <w:tcW w:w="1913" w:type="dxa"/>
            <w:hideMark/>
          </w:tcPr>
          <w:p w14:paraId="27305E66" w14:textId="7E0E33D2"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$43.40 </w:t>
            </w:r>
          </w:p>
        </w:tc>
      </w:tr>
      <w:tr w:rsidR="00FD7BCF" w:rsidRPr="00FD7BCF" w14:paraId="37B61348" w14:textId="77777777" w:rsidTr="00E046E2">
        <w:trPr>
          <w:trHeight w:val="358"/>
          <w:jc w:val="center"/>
        </w:trPr>
        <w:tc>
          <w:tcPr>
            <w:tcW w:w="3329" w:type="dxa"/>
            <w:hideMark/>
          </w:tcPr>
          <w:p w14:paraId="3C3B1D3A" w14:textId="6592ED42"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Ethernet </w:t>
            </w:r>
            <w:r w:rsidR="008C5D4C" w:rsidRPr="00FD7BCF">
              <w:rPr>
                <w:rFonts w:ascii="ITC Avant Garde" w:eastAsia="Times New Roman" w:hAnsi="ITC Avant Garde"/>
                <w:sz w:val="20"/>
                <w:szCs w:val="20"/>
                <w:lang w:eastAsia="es-MX"/>
              </w:rPr>
              <w:t xml:space="preserve">40 </w:t>
            </w:r>
            <w:r w:rsidR="00F56C32" w:rsidRPr="00FD7BCF">
              <w:rPr>
                <w:rFonts w:ascii="ITC Avant Garde" w:eastAsia="Times New Roman" w:hAnsi="ITC Avant Garde"/>
                <w:sz w:val="20"/>
                <w:szCs w:val="20"/>
                <w:lang w:eastAsia="es-MX"/>
              </w:rPr>
              <w:t>Mbps</w:t>
            </w:r>
          </w:p>
        </w:tc>
        <w:tc>
          <w:tcPr>
            <w:tcW w:w="1913" w:type="dxa"/>
            <w:hideMark/>
          </w:tcPr>
          <w:p w14:paraId="42DD1D33" w14:textId="5FE10992"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$48.36 </w:t>
            </w:r>
          </w:p>
        </w:tc>
      </w:tr>
      <w:tr w:rsidR="00FD7BCF" w:rsidRPr="00FD7BCF" w14:paraId="295CA0AD" w14:textId="77777777" w:rsidTr="00E046E2">
        <w:trPr>
          <w:trHeight w:val="358"/>
          <w:jc w:val="center"/>
        </w:trPr>
        <w:tc>
          <w:tcPr>
            <w:tcW w:w="3329" w:type="dxa"/>
            <w:hideMark/>
          </w:tcPr>
          <w:p w14:paraId="5F0E7E42" w14:textId="77777777"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50 Mbps</w:t>
            </w:r>
          </w:p>
        </w:tc>
        <w:tc>
          <w:tcPr>
            <w:tcW w:w="1913" w:type="dxa"/>
            <w:hideMark/>
          </w:tcPr>
          <w:p w14:paraId="4A0E804B" w14:textId="03E3E638"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$55.80 </w:t>
            </w:r>
          </w:p>
        </w:tc>
      </w:tr>
      <w:tr w:rsidR="00FD7BCF" w:rsidRPr="00FD7BCF" w14:paraId="304F78FC" w14:textId="77777777" w:rsidTr="00E046E2">
        <w:trPr>
          <w:trHeight w:val="358"/>
          <w:jc w:val="center"/>
        </w:trPr>
        <w:tc>
          <w:tcPr>
            <w:tcW w:w="3329" w:type="dxa"/>
            <w:hideMark/>
          </w:tcPr>
          <w:p w14:paraId="618CE81C" w14:textId="77777777"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60 Mbps</w:t>
            </w:r>
          </w:p>
        </w:tc>
        <w:tc>
          <w:tcPr>
            <w:tcW w:w="1913" w:type="dxa"/>
            <w:hideMark/>
          </w:tcPr>
          <w:p w14:paraId="75B15D26" w14:textId="13890182"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$61.38 </w:t>
            </w:r>
          </w:p>
        </w:tc>
      </w:tr>
      <w:tr w:rsidR="00FD7BCF" w:rsidRPr="00FD7BCF" w14:paraId="016DBD52" w14:textId="77777777" w:rsidTr="00E046E2">
        <w:trPr>
          <w:trHeight w:val="358"/>
          <w:jc w:val="center"/>
        </w:trPr>
        <w:tc>
          <w:tcPr>
            <w:tcW w:w="3329" w:type="dxa"/>
            <w:hideMark/>
          </w:tcPr>
          <w:p w14:paraId="73E130E3" w14:textId="6C44E50C"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70 Mbps</w:t>
            </w:r>
          </w:p>
        </w:tc>
        <w:tc>
          <w:tcPr>
            <w:tcW w:w="1913" w:type="dxa"/>
            <w:hideMark/>
          </w:tcPr>
          <w:p w14:paraId="211D7066" w14:textId="270F1849"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$65.10 </w:t>
            </w:r>
          </w:p>
        </w:tc>
      </w:tr>
      <w:tr w:rsidR="00FD7BCF" w:rsidRPr="00FD7BCF" w14:paraId="02FA1325" w14:textId="77777777" w:rsidTr="00E046E2">
        <w:trPr>
          <w:trHeight w:val="358"/>
          <w:jc w:val="center"/>
        </w:trPr>
        <w:tc>
          <w:tcPr>
            <w:tcW w:w="3329" w:type="dxa"/>
            <w:hideMark/>
          </w:tcPr>
          <w:p w14:paraId="6A04921B" w14:textId="77777777"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80 Mbps</w:t>
            </w:r>
          </w:p>
        </w:tc>
        <w:tc>
          <w:tcPr>
            <w:tcW w:w="1913" w:type="dxa"/>
            <w:hideMark/>
          </w:tcPr>
          <w:p w14:paraId="4C66132A" w14:textId="697183D5"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$66.96 </w:t>
            </w:r>
          </w:p>
        </w:tc>
      </w:tr>
      <w:tr w:rsidR="00FD7BCF" w:rsidRPr="00FD7BCF" w14:paraId="19238A27" w14:textId="77777777" w:rsidTr="00E046E2">
        <w:trPr>
          <w:trHeight w:val="358"/>
          <w:jc w:val="center"/>
        </w:trPr>
        <w:tc>
          <w:tcPr>
            <w:tcW w:w="3329" w:type="dxa"/>
            <w:hideMark/>
          </w:tcPr>
          <w:p w14:paraId="4EBD2099" w14:textId="78B59FC2"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90 Mbps</w:t>
            </w:r>
          </w:p>
        </w:tc>
        <w:tc>
          <w:tcPr>
            <w:tcW w:w="1913" w:type="dxa"/>
            <w:hideMark/>
          </w:tcPr>
          <w:p w14:paraId="4898633A" w14:textId="372693F5"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$68.20 </w:t>
            </w:r>
          </w:p>
        </w:tc>
      </w:tr>
      <w:tr w:rsidR="00FD7BCF" w:rsidRPr="00FD7BCF" w14:paraId="7B324374" w14:textId="77777777" w:rsidTr="00E046E2">
        <w:trPr>
          <w:trHeight w:val="358"/>
          <w:jc w:val="center"/>
        </w:trPr>
        <w:tc>
          <w:tcPr>
            <w:tcW w:w="3329" w:type="dxa"/>
            <w:hideMark/>
          </w:tcPr>
          <w:p w14:paraId="0377CB18" w14:textId="6ABED48D"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100 Mbps</w:t>
            </w:r>
          </w:p>
        </w:tc>
        <w:tc>
          <w:tcPr>
            <w:tcW w:w="1913" w:type="dxa"/>
            <w:hideMark/>
          </w:tcPr>
          <w:p w14:paraId="25B711CA" w14:textId="47822A35"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$69.75 </w:t>
            </w:r>
          </w:p>
        </w:tc>
      </w:tr>
      <w:tr w:rsidR="00FD7BCF" w:rsidRPr="00FD7BCF" w14:paraId="06D278DD" w14:textId="77777777" w:rsidTr="00E046E2">
        <w:trPr>
          <w:trHeight w:val="358"/>
          <w:jc w:val="center"/>
        </w:trPr>
        <w:tc>
          <w:tcPr>
            <w:tcW w:w="3329" w:type="dxa"/>
            <w:hideMark/>
          </w:tcPr>
          <w:p w14:paraId="5252A782" w14:textId="77777777"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100 Mbps</w:t>
            </w:r>
          </w:p>
        </w:tc>
        <w:tc>
          <w:tcPr>
            <w:tcW w:w="1913" w:type="dxa"/>
            <w:hideMark/>
          </w:tcPr>
          <w:p w14:paraId="47F1157F" w14:textId="24FD15CA"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$ 69.75 </w:t>
            </w:r>
          </w:p>
        </w:tc>
      </w:tr>
      <w:tr w:rsidR="00FD7BCF" w:rsidRPr="00FD7BCF" w14:paraId="5D6CCF1C" w14:textId="77777777" w:rsidTr="00E046E2">
        <w:trPr>
          <w:trHeight w:val="358"/>
          <w:jc w:val="center"/>
        </w:trPr>
        <w:tc>
          <w:tcPr>
            <w:tcW w:w="3329" w:type="dxa"/>
            <w:hideMark/>
          </w:tcPr>
          <w:p w14:paraId="537373F3" w14:textId="6D99EF51"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150 Mbps</w:t>
            </w:r>
          </w:p>
        </w:tc>
        <w:tc>
          <w:tcPr>
            <w:tcW w:w="1913" w:type="dxa"/>
            <w:hideMark/>
          </w:tcPr>
          <w:p w14:paraId="0F341DED" w14:textId="5FE5B5AE"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$97.65 </w:t>
            </w:r>
          </w:p>
        </w:tc>
      </w:tr>
      <w:tr w:rsidR="00FD7BCF" w:rsidRPr="00FD7BCF" w14:paraId="3CBD9DCF" w14:textId="77777777" w:rsidTr="00E046E2">
        <w:trPr>
          <w:trHeight w:val="358"/>
          <w:jc w:val="center"/>
        </w:trPr>
        <w:tc>
          <w:tcPr>
            <w:tcW w:w="3329" w:type="dxa"/>
            <w:hideMark/>
          </w:tcPr>
          <w:p w14:paraId="32523FFC" w14:textId="77777777"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200 Mbps</w:t>
            </w:r>
          </w:p>
        </w:tc>
        <w:tc>
          <w:tcPr>
            <w:tcW w:w="1913" w:type="dxa"/>
            <w:hideMark/>
          </w:tcPr>
          <w:p w14:paraId="186D8615" w14:textId="0A77C50E"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$130.20 </w:t>
            </w:r>
          </w:p>
        </w:tc>
      </w:tr>
      <w:tr w:rsidR="00FD7BCF" w:rsidRPr="00FD7BCF" w14:paraId="1E01E491" w14:textId="77777777" w:rsidTr="00E046E2">
        <w:trPr>
          <w:trHeight w:val="358"/>
          <w:jc w:val="center"/>
        </w:trPr>
        <w:tc>
          <w:tcPr>
            <w:tcW w:w="3329" w:type="dxa"/>
            <w:hideMark/>
          </w:tcPr>
          <w:p w14:paraId="515BE14B" w14:textId="77777777"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250 Mbps</w:t>
            </w:r>
          </w:p>
        </w:tc>
        <w:tc>
          <w:tcPr>
            <w:tcW w:w="1913" w:type="dxa"/>
            <w:hideMark/>
          </w:tcPr>
          <w:p w14:paraId="4CDEE4F2" w14:textId="2FCF72B1"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$151.28 </w:t>
            </w:r>
          </w:p>
        </w:tc>
      </w:tr>
      <w:tr w:rsidR="00FD7BCF" w:rsidRPr="00FD7BCF" w14:paraId="7AB198AE" w14:textId="77777777" w:rsidTr="00E046E2">
        <w:trPr>
          <w:trHeight w:val="358"/>
          <w:jc w:val="center"/>
        </w:trPr>
        <w:tc>
          <w:tcPr>
            <w:tcW w:w="3329" w:type="dxa"/>
            <w:hideMark/>
          </w:tcPr>
          <w:p w14:paraId="49AA618C" w14:textId="77777777"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300 Mbps</w:t>
            </w:r>
          </w:p>
        </w:tc>
        <w:tc>
          <w:tcPr>
            <w:tcW w:w="1913" w:type="dxa"/>
            <w:hideMark/>
          </w:tcPr>
          <w:p w14:paraId="286D0DA7" w14:textId="446FCA84"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$181.35 </w:t>
            </w:r>
          </w:p>
        </w:tc>
      </w:tr>
      <w:tr w:rsidR="00FD7BCF" w:rsidRPr="00FD7BCF" w14:paraId="757438C7" w14:textId="77777777" w:rsidTr="00E046E2">
        <w:trPr>
          <w:trHeight w:val="358"/>
          <w:jc w:val="center"/>
        </w:trPr>
        <w:tc>
          <w:tcPr>
            <w:tcW w:w="3329" w:type="dxa"/>
            <w:hideMark/>
          </w:tcPr>
          <w:p w14:paraId="0A3B4353" w14:textId="457EF295"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350 Mbps</w:t>
            </w:r>
          </w:p>
        </w:tc>
        <w:tc>
          <w:tcPr>
            <w:tcW w:w="1913" w:type="dxa"/>
            <w:hideMark/>
          </w:tcPr>
          <w:p w14:paraId="1E928139" w14:textId="0FB8F81B"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$211.73 </w:t>
            </w:r>
          </w:p>
        </w:tc>
      </w:tr>
      <w:tr w:rsidR="00FD7BCF" w:rsidRPr="00FD7BCF" w14:paraId="092E1B7C" w14:textId="77777777" w:rsidTr="00E046E2">
        <w:trPr>
          <w:trHeight w:val="358"/>
          <w:jc w:val="center"/>
        </w:trPr>
        <w:tc>
          <w:tcPr>
            <w:tcW w:w="3329" w:type="dxa"/>
            <w:hideMark/>
          </w:tcPr>
          <w:p w14:paraId="06B318AB" w14:textId="77777777"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400 Mbps</w:t>
            </w:r>
          </w:p>
        </w:tc>
        <w:tc>
          <w:tcPr>
            <w:tcW w:w="1913" w:type="dxa"/>
            <w:hideMark/>
          </w:tcPr>
          <w:p w14:paraId="1FC5FAAA" w14:textId="4612E898"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$241.80 </w:t>
            </w:r>
          </w:p>
        </w:tc>
      </w:tr>
      <w:tr w:rsidR="00FD7BCF" w:rsidRPr="00FD7BCF" w14:paraId="7D503436" w14:textId="77777777" w:rsidTr="00E046E2">
        <w:trPr>
          <w:trHeight w:val="358"/>
          <w:jc w:val="center"/>
        </w:trPr>
        <w:tc>
          <w:tcPr>
            <w:tcW w:w="3329" w:type="dxa"/>
            <w:hideMark/>
          </w:tcPr>
          <w:p w14:paraId="48E121B6" w14:textId="4E74E9BC"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450 Mbps</w:t>
            </w:r>
          </w:p>
        </w:tc>
        <w:tc>
          <w:tcPr>
            <w:tcW w:w="1913" w:type="dxa"/>
            <w:hideMark/>
          </w:tcPr>
          <w:p w14:paraId="7FD72FC2" w14:textId="5E71DF51"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$272.18 </w:t>
            </w:r>
          </w:p>
        </w:tc>
      </w:tr>
      <w:tr w:rsidR="00FD7BCF" w:rsidRPr="00FD7BCF" w14:paraId="0AB5F91A" w14:textId="77777777" w:rsidTr="00E046E2">
        <w:trPr>
          <w:trHeight w:val="358"/>
          <w:jc w:val="center"/>
        </w:trPr>
        <w:tc>
          <w:tcPr>
            <w:tcW w:w="3329" w:type="dxa"/>
            <w:hideMark/>
          </w:tcPr>
          <w:p w14:paraId="08EFFCDF" w14:textId="77777777"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500 Mbps</w:t>
            </w:r>
          </w:p>
        </w:tc>
        <w:tc>
          <w:tcPr>
            <w:tcW w:w="1913" w:type="dxa"/>
            <w:hideMark/>
          </w:tcPr>
          <w:p w14:paraId="79C4B739" w14:textId="519106EF"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$277.14 </w:t>
            </w:r>
          </w:p>
        </w:tc>
      </w:tr>
      <w:tr w:rsidR="00FD7BCF" w:rsidRPr="00FD7BCF" w14:paraId="576ACE7B" w14:textId="77777777" w:rsidTr="00E046E2">
        <w:trPr>
          <w:trHeight w:val="358"/>
          <w:jc w:val="center"/>
        </w:trPr>
        <w:tc>
          <w:tcPr>
            <w:tcW w:w="3329" w:type="dxa"/>
            <w:hideMark/>
          </w:tcPr>
          <w:p w14:paraId="0222036F" w14:textId="77777777"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550 Mbps</w:t>
            </w:r>
          </w:p>
        </w:tc>
        <w:tc>
          <w:tcPr>
            <w:tcW w:w="1913" w:type="dxa"/>
            <w:hideMark/>
          </w:tcPr>
          <w:p w14:paraId="6DEA7A82" w14:textId="43C3D6DD"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$304.73 </w:t>
            </w:r>
          </w:p>
        </w:tc>
      </w:tr>
      <w:tr w:rsidR="00FD7BCF" w:rsidRPr="00FD7BCF" w14:paraId="62088E05" w14:textId="77777777" w:rsidTr="00E046E2">
        <w:trPr>
          <w:trHeight w:val="358"/>
          <w:jc w:val="center"/>
        </w:trPr>
        <w:tc>
          <w:tcPr>
            <w:tcW w:w="3329" w:type="dxa"/>
            <w:hideMark/>
          </w:tcPr>
          <w:p w14:paraId="37801BD3" w14:textId="322D1738" w:rsidR="00F93D11" w:rsidRPr="00FD7BCF" w:rsidRDefault="00F93D11"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600 Mbps</w:t>
            </w:r>
          </w:p>
        </w:tc>
        <w:tc>
          <w:tcPr>
            <w:tcW w:w="1913" w:type="dxa"/>
            <w:hideMark/>
          </w:tcPr>
          <w:p w14:paraId="48B85102" w14:textId="4B16C688"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$332.63 </w:t>
            </w:r>
          </w:p>
        </w:tc>
      </w:tr>
      <w:tr w:rsidR="00FD7BCF" w:rsidRPr="00FD7BCF" w14:paraId="6C153680" w14:textId="77777777" w:rsidTr="00E046E2">
        <w:trPr>
          <w:trHeight w:val="358"/>
          <w:jc w:val="center"/>
        </w:trPr>
        <w:tc>
          <w:tcPr>
            <w:tcW w:w="3329" w:type="dxa"/>
            <w:hideMark/>
          </w:tcPr>
          <w:p w14:paraId="7D3D3CEA" w14:textId="77777777"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750 Mbps</w:t>
            </w:r>
          </w:p>
        </w:tc>
        <w:tc>
          <w:tcPr>
            <w:tcW w:w="1913" w:type="dxa"/>
            <w:hideMark/>
          </w:tcPr>
          <w:p w14:paraId="3156DAD0" w14:textId="43CB3EF9"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$415.71 </w:t>
            </w:r>
          </w:p>
        </w:tc>
      </w:tr>
      <w:tr w:rsidR="00FD7BCF" w:rsidRPr="00FD7BCF" w14:paraId="5C36C5EB" w14:textId="77777777" w:rsidTr="00E046E2">
        <w:trPr>
          <w:trHeight w:val="358"/>
          <w:jc w:val="center"/>
        </w:trPr>
        <w:tc>
          <w:tcPr>
            <w:tcW w:w="3329" w:type="dxa"/>
            <w:hideMark/>
          </w:tcPr>
          <w:p w14:paraId="04D8BDA5" w14:textId="06E09810"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1</w:t>
            </w:r>
            <w:r w:rsidR="005D150F" w:rsidRPr="00FD7BCF">
              <w:rPr>
                <w:rFonts w:ascii="ITC Avant Garde" w:eastAsia="Times New Roman" w:hAnsi="ITC Avant Garde"/>
                <w:sz w:val="20"/>
                <w:szCs w:val="20"/>
                <w:lang w:eastAsia="es-MX"/>
              </w:rPr>
              <w:t xml:space="preserve"> </w:t>
            </w:r>
            <w:proofErr w:type="spellStart"/>
            <w:r w:rsidR="00F93D11" w:rsidRPr="00FD7BCF">
              <w:rPr>
                <w:rFonts w:ascii="ITC Avant Garde" w:eastAsia="Times New Roman" w:hAnsi="ITC Avant Garde"/>
                <w:sz w:val="20"/>
                <w:szCs w:val="20"/>
                <w:lang w:eastAsia="es-MX"/>
              </w:rPr>
              <w:t>Gbps</w:t>
            </w:r>
            <w:proofErr w:type="spellEnd"/>
          </w:p>
        </w:tc>
        <w:tc>
          <w:tcPr>
            <w:tcW w:w="1913" w:type="dxa"/>
            <w:hideMark/>
          </w:tcPr>
          <w:p w14:paraId="09F02136" w14:textId="673BC20D"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$503.75 </w:t>
            </w:r>
          </w:p>
        </w:tc>
      </w:tr>
      <w:tr w:rsidR="00FD7BCF" w:rsidRPr="00FD7BCF" w14:paraId="1BB4CE31" w14:textId="77777777" w:rsidTr="00E046E2">
        <w:trPr>
          <w:trHeight w:val="358"/>
          <w:jc w:val="center"/>
        </w:trPr>
        <w:tc>
          <w:tcPr>
            <w:tcW w:w="3329" w:type="dxa"/>
            <w:hideMark/>
          </w:tcPr>
          <w:p w14:paraId="3C53B624" w14:textId="77777777"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2 </w:t>
            </w:r>
            <w:proofErr w:type="spellStart"/>
            <w:r w:rsidRPr="00FD7BCF">
              <w:rPr>
                <w:rFonts w:ascii="ITC Avant Garde" w:eastAsia="Times New Roman" w:hAnsi="ITC Avant Garde"/>
                <w:sz w:val="20"/>
                <w:szCs w:val="20"/>
                <w:lang w:eastAsia="es-MX"/>
              </w:rPr>
              <w:t>G</w:t>
            </w:r>
            <w:r w:rsidR="00244E59" w:rsidRPr="00FD7BCF">
              <w:rPr>
                <w:rFonts w:ascii="ITC Avant Garde" w:eastAsia="Times New Roman" w:hAnsi="ITC Avant Garde"/>
                <w:sz w:val="20"/>
                <w:szCs w:val="20"/>
                <w:lang w:eastAsia="es-MX"/>
              </w:rPr>
              <w:t>bps</w:t>
            </w:r>
            <w:proofErr w:type="spellEnd"/>
          </w:p>
        </w:tc>
        <w:tc>
          <w:tcPr>
            <w:tcW w:w="1913" w:type="dxa"/>
            <w:hideMark/>
          </w:tcPr>
          <w:p w14:paraId="727F60E3" w14:textId="7A9066A1"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$881.33 </w:t>
            </w:r>
          </w:p>
        </w:tc>
      </w:tr>
      <w:tr w:rsidR="00FD7BCF" w:rsidRPr="00FD7BCF" w14:paraId="4124B801" w14:textId="77777777" w:rsidTr="00E046E2">
        <w:trPr>
          <w:trHeight w:val="358"/>
          <w:jc w:val="center"/>
        </w:trPr>
        <w:tc>
          <w:tcPr>
            <w:tcW w:w="3329" w:type="dxa"/>
            <w:hideMark/>
          </w:tcPr>
          <w:p w14:paraId="0256ECAB" w14:textId="77777777"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4 </w:t>
            </w:r>
            <w:proofErr w:type="spellStart"/>
            <w:r w:rsidRPr="00FD7BCF">
              <w:rPr>
                <w:rFonts w:ascii="ITC Avant Garde" w:eastAsia="Times New Roman" w:hAnsi="ITC Avant Garde"/>
                <w:sz w:val="20"/>
                <w:szCs w:val="20"/>
                <w:lang w:eastAsia="es-MX"/>
              </w:rPr>
              <w:t>G</w:t>
            </w:r>
            <w:r w:rsidR="00244E59" w:rsidRPr="00FD7BCF">
              <w:rPr>
                <w:rFonts w:ascii="ITC Avant Garde" w:eastAsia="Times New Roman" w:hAnsi="ITC Avant Garde"/>
                <w:sz w:val="20"/>
                <w:szCs w:val="20"/>
                <w:lang w:eastAsia="es-MX"/>
              </w:rPr>
              <w:t>bps</w:t>
            </w:r>
            <w:proofErr w:type="spellEnd"/>
          </w:p>
        </w:tc>
        <w:tc>
          <w:tcPr>
            <w:tcW w:w="1913" w:type="dxa"/>
            <w:hideMark/>
          </w:tcPr>
          <w:p w14:paraId="5BC21ECE" w14:textId="10BE1CA3"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$1,762.97 </w:t>
            </w:r>
          </w:p>
        </w:tc>
      </w:tr>
      <w:tr w:rsidR="00FD7BCF" w:rsidRPr="00FD7BCF" w14:paraId="35A55DF3" w14:textId="77777777" w:rsidTr="00E046E2">
        <w:trPr>
          <w:trHeight w:val="358"/>
          <w:jc w:val="center"/>
        </w:trPr>
        <w:tc>
          <w:tcPr>
            <w:tcW w:w="3329" w:type="dxa"/>
            <w:hideMark/>
          </w:tcPr>
          <w:p w14:paraId="38B3CFD0" w14:textId="77777777"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6 </w:t>
            </w:r>
            <w:proofErr w:type="spellStart"/>
            <w:r w:rsidRPr="00FD7BCF">
              <w:rPr>
                <w:rFonts w:ascii="ITC Avant Garde" w:eastAsia="Times New Roman" w:hAnsi="ITC Avant Garde"/>
                <w:sz w:val="20"/>
                <w:szCs w:val="20"/>
                <w:lang w:eastAsia="es-MX"/>
              </w:rPr>
              <w:t>G</w:t>
            </w:r>
            <w:r w:rsidR="00244E59" w:rsidRPr="00FD7BCF">
              <w:rPr>
                <w:rFonts w:ascii="ITC Avant Garde" w:eastAsia="Times New Roman" w:hAnsi="ITC Avant Garde"/>
                <w:sz w:val="20"/>
                <w:szCs w:val="20"/>
                <w:lang w:eastAsia="es-MX"/>
              </w:rPr>
              <w:t>bps</w:t>
            </w:r>
            <w:proofErr w:type="spellEnd"/>
          </w:p>
        </w:tc>
        <w:tc>
          <w:tcPr>
            <w:tcW w:w="1913" w:type="dxa"/>
            <w:hideMark/>
          </w:tcPr>
          <w:p w14:paraId="6538230C" w14:textId="685D4D4A"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$ 2,644.61 </w:t>
            </w:r>
          </w:p>
        </w:tc>
      </w:tr>
      <w:tr w:rsidR="00FD7BCF" w:rsidRPr="00FD7BCF" w14:paraId="693C079F" w14:textId="77777777" w:rsidTr="00E046E2">
        <w:trPr>
          <w:trHeight w:val="358"/>
          <w:jc w:val="center"/>
        </w:trPr>
        <w:tc>
          <w:tcPr>
            <w:tcW w:w="3329" w:type="dxa"/>
            <w:hideMark/>
          </w:tcPr>
          <w:p w14:paraId="2411FDE8" w14:textId="77777777"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8 </w:t>
            </w:r>
            <w:proofErr w:type="spellStart"/>
            <w:r w:rsidRPr="00FD7BCF">
              <w:rPr>
                <w:rFonts w:ascii="ITC Avant Garde" w:eastAsia="Times New Roman" w:hAnsi="ITC Avant Garde"/>
                <w:sz w:val="20"/>
                <w:szCs w:val="20"/>
                <w:lang w:eastAsia="es-MX"/>
              </w:rPr>
              <w:t>G</w:t>
            </w:r>
            <w:r w:rsidR="00244E59" w:rsidRPr="00FD7BCF">
              <w:rPr>
                <w:rFonts w:ascii="ITC Avant Garde" w:eastAsia="Times New Roman" w:hAnsi="ITC Avant Garde"/>
                <w:sz w:val="20"/>
                <w:szCs w:val="20"/>
                <w:lang w:eastAsia="es-MX"/>
              </w:rPr>
              <w:t>bps</w:t>
            </w:r>
            <w:proofErr w:type="spellEnd"/>
          </w:p>
        </w:tc>
        <w:tc>
          <w:tcPr>
            <w:tcW w:w="1913" w:type="dxa"/>
            <w:hideMark/>
          </w:tcPr>
          <w:p w14:paraId="614683D2" w14:textId="5E6AF2F0"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$3,400.08 </w:t>
            </w:r>
          </w:p>
        </w:tc>
      </w:tr>
      <w:tr w:rsidR="00F93D11" w:rsidRPr="00FD7BCF" w14:paraId="230113C6" w14:textId="77777777" w:rsidTr="00E046E2">
        <w:trPr>
          <w:trHeight w:val="358"/>
          <w:jc w:val="center"/>
        </w:trPr>
        <w:tc>
          <w:tcPr>
            <w:tcW w:w="3329" w:type="dxa"/>
            <w:hideMark/>
          </w:tcPr>
          <w:p w14:paraId="3EFD5406" w14:textId="713653AF" w:rsidR="00F93D11"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F93D11" w:rsidRPr="00FD7BCF">
              <w:rPr>
                <w:rFonts w:ascii="ITC Avant Garde" w:eastAsia="Times New Roman" w:hAnsi="ITC Avant Garde"/>
                <w:sz w:val="20"/>
                <w:szCs w:val="20"/>
                <w:lang w:eastAsia="es-MX"/>
              </w:rPr>
              <w:t xml:space="preserve"> 10 </w:t>
            </w:r>
            <w:proofErr w:type="spellStart"/>
            <w:r w:rsidRPr="00FD7BCF">
              <w:rPr>
                <w:rFonts w:ascii="ITC Avant Garde" w:eastAsia="Times New Roman" w:hAnsi="ITC Avant Garde"/>
                <w:sz w:val="20"/>
                <w:szCs w:val="20"/>
                <w:lang w:eastAsia="es-MX"/>
              </w:rPr>
              <w:t>G</w:t>
            </w:r>
            <w:r w:rsidR="00244E59" w:rsidRPr="00FD7BCF">
              <w:rPr>
                <w:rFonts w:ascii="ITC Avant Garde" w:eastAsia="Times New Roman" w:hAnsi="ITC Avant Garde"/>
                <w:sz w:val="20"/>
                <w:szCs w:val="20"/>
                <w:lang w:eastAsia="es-MX"/>
              </w:rPr>
              <w:t>bps</w:t>
            </w:r>
            <w:proofErr w:type="spellEnd"/>
          </w:p>
        </w:tc>
        <w:tc>
          <w:tcPr>
            <w:tcW w:w="1913" w:type="dxa"/>
            <w:hideMark/>
          </w:tcPr>
          <w:p w14:paraId="178D4E49" w14:textId="67DA56C4" w:rsidR="00F93D11" w:rsidRPr="00FD7BCF" w:rsidRDefault="00F93D11" w:rsidP="00E046E2">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$3,778.28 </w:t>
            </w:r>
          </w:p>
        </w:tc>
      </w:tr>
    </w:tbl>
    <w:p w14:paraId="5D1F30F2" w14:textId="77777777" w:rsidR="002D46C1" w:rsidRDefault="002D46C1" w:rsidP="00B42019">
      <w:pPr>
        <w:spacing w:before="240" w:line="276" w:lineRule="auto"/>
        <w:jc w:val="center"/>
        <w:rPr>
          <w:rFonts w:ascii="ITC Avant Garde" w:hAnsi="ITC Avant Garde" w:cs="Helvetica"/>
          <w:b/>
          <w:lang w:eastAsia="es-MX"/>
        </w:rPr>
      </w:pPr>
      <w:r>
        <w:rPr>
          <w:rFonts w:ascii="ITC Avant Garde" w:hAnsi="ITC Avant Garde" w:cs="Helvetica"/>
          <w:b/>
          <w:lang w:eastAsia="es-MX"/>
        </w:rPr>
        <w:br w:type="page"/>
      </w:r>
    </w:p>
    <w:p w14:paraId="3123EEFF" w14:textId="3B6998FF" w:rsidR="00B42019" w:rsidRDefault="0017127F" w:rsidP="00B42019">
      <w:pPr>
        <w:spacing w:before="240" w:line="276" w:lineRule="auto"/>
        <w:jc w:val="center"/>
        <w:rPr>
          <w:rFonts w:ascii="ITC Avant Garde" w:hAnsi="ITC Avant Garde" w:cs="Helvetica"/>
          <w:b/>
          <w:lang w:eastAsia="es-MX"/>
        </w:rPr>
      </w:pPr>
      <w:r w:rsidRPr="00FD7BCF">
        <w:rPr>
          <w:rFonts w:ascii="ITC Avant Garde" w:hAnsi="ITC Avant Garde" w:cs="Helvetica"/>
          <w:b/>
          <w:lang w:eastAsia="es-MX"/>
        </w:rPr>
        <w:lastRenderedPageBreak/>
        <w:t>Enlaces Dedicados de larga distancia internacional</w:t>
      </w:r>
    </w:p>
    <w:tbl>
      <w:tblPr>
        <w:tblStyle w:val="Tablaconcuadrcula2"/>
        <w:tblW w:w="11199" w:type="dxa"/>
        <w:jc w:val="center"/>
        <w:tblLook w:val="04A0" w:firstRow="1" w:lastRow="0" w:firstColumn="1" w:lastColumn="0" w:noHBand="0" w:noVBand="1"/>
        <w:tblCaption w:val="Enlaces dedicado de larga distancia internacional "/>
        <w:tblDescription w:val="En una tabla de 5 columnas con 4 de ellas duplicadas, se proporcinan las velocidades y para 4 categorías de Km que se dividen en Parte fija y &quot;X Km&quot;."/>
      </w:tblPr>
      <w:tblGrid>
        <w:gridCol w:w="1526"/>
        <w:gridCol w:w="1364"/>
        <w:gridCol w:w="1094"/>
        <w:gridCol w:w="1364"/>
        <w:gridCol w:w="1014"/>
        <w:gridCol w:w="1404"/>
        <w:gridCol w:w="1014"/>
        <w:gridCol w:w="1405"/>
        <w:gridCol w:w="1014"/>
      </w:tblGrid>
      <w:tr w:rsidR="00FD7BCF" w:rsidRPr="00FD7BCF" w14:paraId="55CE2876" w14:textId="77777777" w:rsidTr="002D46C1">
        <w:trPr>
          <w:trHeight w:val="285"/>
          <w:tblHeader/>
          <w:jc w:val="center"/>
        </w:trPr>
        <w:tc>
          <w:tcPr>
            <w:tcW w:w="1690" w:type="dxa"/>
            <w:vAlign w:val="center"/>
            <w:hideMark/>
          </w:tcPr>
          <w:p w14:paraId="5EDCFBC9" w14:textId="77777777" w:rsidR="007D7BC0" w:rsidRPr="00FD7BCF" w:rsidRDefault="007D7BC0" w:rsidP="002D46C1">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Velocidad</w:t>
            </w:r>
          </w:p>
        </w:tc>
        <w:tc>
          <w:tcPr>
            <w:tcW w:w="2409" w:type="dxa"/>
            <w:gridSpan w:val="2"/>
            <w:vAlign w:val="center"/>
            <w:hideMark/>
          </w:tcPr>
          <w:p w14:paraId="5EB4277B" w14:textId="77777777" w:rsidR="007D7BC0" w:rsidRPr="00FD7BCF" w:rsidRDefault="007D7BC0" w:rsidP="002D46C1">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0-81 Km</w:t>
            </w:r>
          </w:p>
        </w:tc>
        <w:tc>
          <w:tcPr>
            <w:tcW w:w="2281" w:type="dxa"/>
            <w:gridSpan w:val="2"/>
            <w:vAlign w:val="center"/>
            <w:hideMark/>
          </w:tcPr>
          <w:p w14:paraId="405B953E" w14:textId="77777777" w:rsidR="007D7BC0" w:rsidRPr="00FD7BCF" w:rsidRDefault="007D7BC0" w:rsidP="002D46C1">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82-161 KM</w:t>
            </w:r>
          </w:p>
        </w:tc>
        <w:tc>
          <w:tcPr>
            <w:tcW w:w="2409" w:type="dxa"/>
            <w:gridSpan w:val="2"/>
            <w:vAlign w:val="center"/>
            <w:hideMark/>
          </w:tcPr>
          <w:p w14:paraId="14793328" w14:textId="77777777" w:rsidR="007D7BC0" w:rsidRPr="00FD7BCF" w:rsidRDefault="007D7BC0" w:rsidP="002D46C1">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162-805 KM</w:t>
            </w:r>
          </w:p>
        </w:tc>
        <w:tc>
          <w:tcPr>
            <w:tcW w:w="2410" w:type="dxa"/>
            <w:gridSpan w:val="2"/>
            <w:vAlign w:val="center"/>
            <w:hideMark/>
          </w:tcPr>
          <w:p w14:paraId="08AC51E3" w14:textId="77777777" w:rsidR="007D7BC0" w:rsidRPr="00FD7BCF" w:rsidRDefault="007D7BC0" w:rsidP="002D46C1">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&gt; 806</w:t>
            </w:r>
          </w:p>
        </w:tc>
      </w:tr>
      <w:tr w:rsidR="00FD7BCF" w:rsidRPr="00FD7BCF" w14:paraId="23C68BFA" w14:textId="77777777" w:rsidTr="002D46C1">
        <w:trPr>
          <w:trHeight w:val="285"/>
          <w:jc w:val="center"/>
        </w:trPr>
        <w:tc>
          <w:tcPr>
            <w:tcW w:w="1690" w:type="dxa"/>
            <w:hideMark/>
          </w:tcPr>
          <w:p w14:paraId="60F31D25" w14:textId="77777777" w:rsidR="007D7BC0" w:rsidRPr="00FD7BCF" w:rsidRDefault="007D7BC0"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 </w:t>
            </w:r>
          </w:p>
        </w:tc>
        <w:tc>
          <w:tcPr>
            <w:tcW w:w="1288" w:type="dxa"/>
            <w:hideMark/>
          </w:tcPr>
          <w:p w14:paraId="69B1EBF5" w14:textId="77777777" w:rsidR="007D7BC0" w:rsidRPr="00FD7BCF" w:rsidRDefault="007D7BC0"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Parte Fija</w:t>
            </w:r>
          </w:p>
        </w:tc>
        <w:tc>
          <w:tcPr>
            <w:tcW w:w="1121" w:type="dxa"/>
            <w:hideMark/>
          </w:tcPr>
          <w:p w14:paraId="69B5F5D6" w14:textId="77777777" w:rsidR="007D7BC0" w:rsidRPr="00FD7BCF" w:rsidRDefault="007D7BC0"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X Km</w:t>
            </w:r>
          </w:p>
        </w:tc>
        <w:tc>
          <w:tcPr>
            <w:tcW w:w="1288" w:type="dxa"/>
            <w:hideMark/>
          </w:tcPr>
          <w:p w14:paraId="04A4F8CC" w14:textId="77777777" w:rsidR="007D7BC0" w:rsidRPr="00FD7BCF" w:rsidRDefault="007D7BC0"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Parte Fija</w:t>
            </w:r>
          </w:p>
        </w:tc>
        <w:tc>
          <w:tcPr>
            <w:tcW w:w="993" w:type="dxa"/>
            <w:hideMark/>
          </w:tcPr>
          <w:p w14:paraId="47E96CB8" w14:textId="77777777" w:rsidR="007D7BC0" w:rsidRPr="00FD7BCF" w:rsidRDefault="007D7BC0"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X Km</w:t>
            </w:r>
          </w:p>
        </w:tc>
        <w:tc>
          <w:tcPr>
            <w:tcW w:w="1417" w:type="dxa"/>
            <w:hideMark/>
          </w:tcPr>
          <w:p w14:paraId="60FCBB0A" w14:textId="77777777" w:rsidR="007D7BC0" w:rsidRPr="00FD7BCF" w:rsidRDefault="007D7BC0"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Parte Fija</w:t>
            </w:r>
          </w:p>
        </w:tc>
        <w:tc>
          <w:tcPr>
            <w:tcW w:w="992" w:type="dxa"/>
            <w:hideMark/>
          </w:tcPr>
          <w:p w14:paraId="5AA0538F" w14:textId="77777777" w:rsidR="007D7BC0" w:rsidRPr="00FD7BCF" w:rsidRDefault="007D7BC0"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X Km</w:t>
            </w:r>
          </w:p>
        </w:tc>
        <w:tc>
          <w:tcPr>
            <w:tcW w:w="1418" w:type="dxa"/>
            <w:hideMark/>
          </w:tcPr>
          <w:p w14:paraId="53B2887D" w14:textId="77777777" w:rsidR="007D7BC0" w:rsidRPr="00FD7BCF" w:rsidRDefault="007D7BC0"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Parte Fija</w:t>
            </w:r>
          </w:p>
        </w:tc>
        <w:tc>
          <w:tcPr>
            <w:tcW w:w="992" w:type="dxa"/>
            <w:hideMark/>
          </w:tcPr>
          <w:p w14:paraId="032B00B3" w14:textId="77777777" w:rsidR="007D7BC0" w:rsidRPr="00FD7BCF" w:rsidRDefault="007D7BC0" w:rsidP="00B42019">
            <w:pPr>
              <w:spacing w:after="0" w:line="276" w:lineRule="auto"/>
              <w:jc w:val="center"/>
              <w:rPr>
                <w:rFonts w:ascii="ITC Avant Garde" w:eastAsia="Times New Roman" w:hAnsi="ITC Avant Garde"/>
                <w:b/>
                <w:bCs/>
                <w:sz w:val="16"/>
                <w:szCs w:val="16"/>
                <w:lang w:eastAsia="es-MX"/>
              </w:rPr>
            </w:pPr>
            <w:r w:rsidRPr="00FD7BCF">
              <w:rPr>
                <w:rFonts w:ascii="ITC Avant Garde" w:eastAsia="Times New Roman" w:hAnsi="ITC Avant Garde"/>
                <w:b/>
                <w:bCs/>
                <w:sz w:val="16"/>
                <w:szCs w:val="16"/>
                <w:lang w:eastAsia="es-MX"/>
              </w:rPr>
              <w:t>X Km</w:t>
            </w:r>
          </w:p>
        </w:tc>
      </w:tr>
      <w:tr w:rsidR="00FD7BCF" w:rsidRPr="00FD7BCF" w14:paraId="76093832" w14:textId="77777777" w:rsidTr="002D46C1">
        <w:trPr>
          <w:trHeight w:val="285"/>
          <w:jc w:val="center"/>
        </w:trPr>
        <w:tc>
          <w:tcPr>
            <w:tcW w:w="1690" w:type="dxa"/>
            <w:hideMark/>
          </w:tcPr>
          <w:p w14:paraId="12F4AB1A"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64 Kbps</w:t>
            </w:r>
          </w:p>
        </w:tc>
        <w:tc>
          <w:tcPr>
            <w:tcW w:w="1288" w:type="dxa"/>
            <w:hideMark/>
          </w:tcPr>
          <w:p w14:paraId="4F54AE2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$1,497.92</w:t>
            </w:r>
          </w:p>
        </w:tc>
        <w:tc>
          <w:tcPr>
            <w:tcW w:w="1121" w:type="dxa"/>
            <w:hideMark/>
          </w:tcPr>
          <w:p w14:paraId="7EAAFB37"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$4.03</w:t>
            </w:r>
          </w:p>
        </w:tc>
        <w:tc>
          <w:tcPr>
            <w:tcW w:w="1288" w:type="dxa"/>
            <w:hideMark/>
          </w:tcPr>
          <w:p w14:paraId="00746B64"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$1,584.10</w:t>
            </w:r>
          </w:p>
        </w:tc>
        <w:tc>
          <w:tcPr>
            <w:tcW w:w="993" w:type="dxa"/>
            <w:hideMark/>
          </w:tcPr>
          <w:p w14:paraId="0D4878E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$2.79</w:t>
            </w:r>
          </w:p>
        </w:tc>
        <w:tc>
          <w:tcPr>
            <w:tcW w:w="1417" w:type="dxa"/>
            <w:hideMark/>
          </w:tcPr>
          <w:p w14:paraId="3053EC46"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$1,874.57</w:t>
            </w:r>
          </w:p>
        </w:tc>
        <w:tc>
          <w:tcPr>
            <w:tcW w:w="992" w:type="dxa"/>
            <w:hideMark/>
          </w:tcPr>
          <w:p w14:paraId="1E9C060C"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$0.93</w:t>
            </w:r>
          </w:p>
        </w:tc>
        <w:tc>
          <w:tcPr>
            <w:tcW w:w="1418" w:type="dxa"/>
            <w:hideMark/>
          </w:tcPr>
          <w:p w14:paraId="62A0B690"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$2,106.14</w:t>
            </w:r>
          </w:p>
        </w:tc>
        <w:tc>
          <w:tcPr>
            <w:tcW w:w="992" w:type="dxa"/>
            <w:hideMark/>
          </w:tcPr>
          <w:p w14:paraId="4A889D59"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$0.93</w:t>
            </w:r>
          </w:p>
        </w:tc>
      </w:tr>
      <w:tr w:rsidR="00FD7BCF" w:rsidRPr="00FD7BCF" w14:paraId="0894C27A" w14:textId="77777777" w:rsidTr="002D46C1">
        <w:trPr>
          <w:trHeight w:val="285"/>
          <w:jc w:val="center"/>
        </w:trPr>
        <w:tc>
          <w:tcPr>
            <w:tcW w:w="1690" w:type="dxa"/>
            <w:hideMark/>
          </w:tcPr>
          <w:p w14:paraId="5ABDC056"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128 Kbps</w:t>
            </w:r>
          </w:p>
        </w:tc>
        <w:tc>
          <w:tcPr>
            <w:tcW w:w="1288" w:type="dxa"/>
            <w:hideMark/>
          </w:tcPr>
          <w:p w14:paraId="3C888BEB"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$2,846.11</w:t>
            </w:r>
          </w:p>
        </w:tc>
        <w:tc>
          <w:tcPr>
            <w:tcW w:w="1121" w:type="dxa"/>
            <w:hideMark/>
          </w:tcPr>
          <w:p w14:paraId="5D6C86B1"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$7.44</w:t>
            </w:r>
          </w:p>
        </w:tc>
        <w:tc>
          <w:tcPr>
            <w:tcW w:w="1288" w:type="dxa"/>
            <w:hideMark/>
          </w:tcPr>
          <w:p w14:paraId="277829B7"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$3,010.10</w:t>
            </w:r>
          </w:p>
        </w:tc>
        <w:tc>
          <w:tcPr>
            <w:tcW w:w="993" w:type="dxa"/>
            <w:hideMark/>
          </w:tcPr>
          <w:p w14:paraId="47E51D28"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$5.27</w:t>
            </w:r>
          </w:p>
        </w:tc>
        <w:tc>
          <w:tcPr>
            <w:tcW w:w="1417" w:type="dxa"/>
            <w:hideMark/>
          </w:tcPr>
          <w:p w14:paraId="3B9C72E7"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$3,557.25</w:t>
            </w:r>
          </w:p>
        </w:tc>
        <w:tc>
          <w:tcPr>
            <w:tcW w:w="992" w:type="dxa"/>
            <w:hideMark/>
          </w:tcPr>
          <w:p w14:paraId="7BF0ECEB"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$2.17</w:t>
            </w:r>
          </w:p>
        </w:tc>
        <w:tc>
          <w:tcPr>
            <w:tcW w:w="1418" w:type="dxa"/>
            <w:hideMark/>
          </w:tcPr>
          <w:p w14:paraId="64BDEDE0"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$4,001.48</w:t>
            </w:r>
          </w:p>
        </w:tc>
        <w:tc>
          <w:tcPr>
            <w:tcW w:w="992" w:type="dxa"/>
            <w:hideMark/>
          </w:tcPr>
          <w:p w14:paraId="655BA9FA"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$1.55</w:t>
            </w:r>
          </w:p>
        </w:tc>
      </w:tr>
      <w:tr w:rsidR="00FD7BCF" w:rsidRPr="00FD7BCF" w14:paraId="64BB6BF1" w14:textId="77777777" w:rsidTr="002D46C1">
        <w:trPr>
          <w:trHeight w:val="285"/>
          <w:jc w:val="center"/>
        </w:trPr>
        <w:tc>
          <w:tcPr>
            <w:tcW w:w="1690" w:type="dxa"/>
            <w:hideMark/>
          </w:tcPr>
          <w:p w14:paraId="4DF56FF3"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192 Kbps</w:t>
            </w:r>
          </w:p>
        </w:tc>
        <w:tc>
          <w:tcPr>
            <w:tcW w:w="1288" w:type="dxa"/>
            <w:hideMark/>
          </w:tcPr>
          <w:p w14:paraId="5BD4AED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$2,861.30</w:t>
            </w:r>
          </w:p>
        </w:tc>
        <w:tc>
          <w:tcPr>
            <w:tcW w:w="1121" w:type="dxa"/>
            <w:hideMark/>
          </w:tcPr>
          <w:p w14:paraId="09456294"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$11.16</w:t>
            </w:r>
          </w:p>
        </w:tc>
        <w:tc>
          <w:tcPr>
            <w:tcW w:w="1288" w:type="dxa"/>
            <w:hideMark/>
          </w:tcPr>
          <w:p w14:paraId="45E378C5"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$3,126.66</w:t>
            </w:r>
          </w:p>
        </w:tc>
        <w:tc>
          <w:tcPr>
            <w:tcW w:w="993" w:type="dxa"/>
            <w:hideMark/>
          </w:tcPr>
          <w:p w14:paraId="429CEF77"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$8.06</w:t>
            </w:r>
          </w:p>
        </w:tc>
        <w:tc>
          <w:tcPr>
            <w:tcW w:w="1417" w:type="dxa"/>
            <w:hideMark/>
          </w:tcPr>
          <w:p w14:paraId="199B702A"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$3,988.15</w:t>
            </w:r>
          </w:p>
        </w:tc>
        <w:tc>
          <w:tcPr>
            <w:tcW w:w="992" w:type="dxa"/>
            <w:hideMark/>
          </w:tcPr>
          <w:p w14:paraId="7B2ABD1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$3.10</w:t>
            </w:r>
          </w:p>
        </w:tc>
        <w:tc>
          <w:tcPr>
            <w:tcW w:w="1418" w:type="dxa"/>
            <w:hideMark/>
          </w:tcPr>
          <w:p w14:paraId="31A61B24"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$4,714.79</w:t>
            </w:r>
          </w:p>
        </w:tc>
        <w:tc>
          <w:tcPr>
            <w:tcW w:w="992" w:type="dxa"/>
            <w:hideMark/>
          </w:tcPr>
          <w:p w14:paraId="4C6BF5A4"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$2.17</w:t>
            </w:r>
          </w:p>
        </w:tc>
      </w:tr>
      <w:tr w:rsidR="00FD7BCF" w:rsidRPr="00FD7BCF" w14:paraId="1CDD83E4" w14:textId="77777777" w:rsidTr="002D46C1">
        <w:trPr>
          <w:trHeight w:val="285"/>
          <w:jc w:val="center"/>
        </w:trPr>
        <w:tc>
          <w:tcPr>
            <w:tcW w:w="1690" w:type="dxa"/>
            <w:hideMark/>
          </w:tcPr>
          <w:p w14:paraId="0528F4D1"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256 Kbps</w:t>
            </w:r>
          </w:p>
        </w:tc>
        <w:tc>
          <w:tcPr>
            <w:tcW w:w="1288" w:type="dxa"/>
            <w:hideMark/>
          </w:tcPr>
          <w:p w14:paraId="0F44977F"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$2,974.14</w:t>
            </w:r>
          </w:p>
        </w:tc>
        <w:tc>
          <w:tcPr>
            <w:tcW w:w="1121" w:type="dxa"/>
            <w:hideMark/>
          </w:tcPr>
          <w:p w14:paraId="5574A4FF"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$15.81</w:t>
            </w:r>
          </w:p>
        </w:tc>
        <w:tc>
          <w:tcPr>
            <w:tcW w:w="1288" w:type="dxa"/>
            <w:hideMark/>
          </w:tcPr>
          <w:p w14:paraId="76EABDE0"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$3,593.83</w:t>
            </w:r>
          </w:p>
        </w:tc>
        <w:tc>
          <w:tcPr>
            <w:tcW w:w="993" w:type="dxa"/>
            <w:hideMark/>
          </w:tcPr>
          <w:p w14:paraId="26832227"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$11.47</w:t>
            </w:r>
          </w:p>
        </w:tc>
        <w:tc>
          <w:tcPr>
            <w:tcW w:w="1417" w:type="dxa"/>
            <w:hideMark/>
          </w:tcPr>
          <w:p w14:paraId="0FC1FBAD"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$4,832.90</w:t>
            </w:r>
          </w:p>
        </w:tc>
        <w:tc>
          <w:tcPr>
            <w:tcW w:w="992" w:type="dxa"/>
            <w:hideMark/>
          </w:tcPr>
          <w:p w14:paraId="1FE0D698"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$4.34</w:t>
            </w:r>
          </w:p>
        </w:tc>
        <w:tc>
          <w:tcPr>
            <w:tcW w:w="1418" w:type="dxa"/>
            <w:hideMark/>
          </w:tcPr>
          <w:p w14:paraId="0F954848"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$5,894.03</w:t>
            </w:r>
          </w:p>
        </w:tc>
        <w:tc>
          <w:tcPr>
            <w:tcW w:w="992" w:type="dxa"/>
            <w:hideMark/>
          </w:tcPr>
          <w:p w14:paraId="6D02BB6F"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$3.10</w:t>
            </w:r>
          </w:p>
        </w:tc>
      </w:tr>
      <w:tr w:rsidR="00FD7BCF" w:rsidRPr="00FD7BCF" w14:paraId="21700F9C" w14:textId="77777777" w:rsidTr="002D46C1">
        <w:trPr>
          <w:trHeight w:val="285"/>
          <w:jc w:val="center"/>
        </w:trPr>
        <w:tc>
          <w:tcPr>
            <w:tcW w:w="1690" w:type="dxa"/>
            <w:hideMark/>
          </w:tcPr>
          <w:p w14:paraId="79199153"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384 Kbps</w:t>
            </w:r>
          </w:p>
        </w:tc>
        <w:tc>
          <w:tcPr>
            <w:tcW w:w="1288" w:type="dxa"/>
            <w:hideMark/>
          </w:tcPr>
          <w:p w14:paraId="64E912A3"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$3,522.53</w:t>
            </w:r>
          </w:p>
        </w:tc>
        <w:tc>
          <w:tcPr>
            <w:tcW w:w="1121" w:type="dxa"/>
            <w:hideMark/>
          </w:tcPr>
          <w:p w14:paraId="5C7CF039"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$30.38</w:t>
            </w:r>
          </w:p>
        </w:tc>
        <w:tc>
          <w:tcPr>
            <w:tcW w:w="1288" w:type="dxa"/>
            <w:hideMark/>
          </w:tcPr>
          <w:p w14:paraId="4018A1F5"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$4,937.99</w:t>
            </w:r>
          </w:p>
        </w:tc>
        <w:tc>
          <w:tcPr>
            <w:tcW w:w="993" w:type="dxa"/>
            <w:hideMark/>
          </w:tcPr>
          <w:p w14:paraId="0C0A1963"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$22.32</w:t>
            </w:r>
          </w:p>
        </w:tc>
        <w:tc>
          <w:tcPr>
            <w:tcW w:w="1417" w:type="dxa"/>
            <w:hideMark/>
          </w:tcPr>
          <w:p w14:paraId="7A7C9539"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$7,452.09</w:t>
            </w:r>
          </w:p>
        </w:tc>
        <w:tc>
          <w:tcPr>
            <w:tcW w:w="992" w:type="dxa"/>
            <w:hideMark/>
          </w:tcPr>
          <w:p w14:paraId="187596A2"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$9.92</w:t>
            </w:r>
          </w:p>
        </w:tc>
        <w:tc>
          <w:tcPr>
            <w:tcW w:w="1418" w:type="dxa"/>
            <w:hideMark/>
          </w:tcPr>
          <w:p w14:paraId="7220801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$10,576.89</w:t>
            </w:r>
          </w:p>
        </w:tc>
        <w:tc>
          <w:tcPr>
            <w:tcW w:w="992" w:type="dxa"/>
            <w:hideMark/>
          </w:tcPr>
          <w:p w14:paraId="63DFF2BC"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$6.20</w:t>
            </w:r>
          </w:p>
        </w:tc>
      </w:tr>
      <w:tr w:rsidR="00FD7BCF" w:rsidRPr="00FD7BCF" w14:paraId="7530B591" w14:textId="77777777" w:rsidTr="002D46C1">
        <w:trPr>
          <w:trHeight w:val="285"/>
          <w:jc w:val="center"/>
        </w:trPr>
        <w:tc>
          <w:tcPr>
            <w:tcW w:w="1690" w:type="dxa"/>
            <w:hideMark/>
          </w:tcPr>
          <w:p w14:paraId="63138A11"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512 Kbps</w:t>
            </w:r>
          </w:p>
        </w:tc>
        <w:tc>
          <w:tcPr>
            <w:tcW w:w="1288" w:type="dxa"/>
            <w:hideMark/>
          </w:tcPr>
          <w:p w14:paraId="7FA4A96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$3,752.86</w:t>
            </w:r>
          </w:p>
        </w:tc>
        <w:tc>
          <w:tcPr>
            <w:tcW w:w="1121" w:type="dxa"/>
            <w:hideMark/>
          </w:tcPr>
          <w:p w14:paraId="6B04D971"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$38.13</w:t>
            </w:r>
          </w:p>
        </w:tc>
        <w:tc>
          <w:tcPr>
            <w:tcW w:w="1288" w:type="dxa"/>
            <w:hideMark/>
          </w:tcPr>
          <w:p w14:paraId="3416C740"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$5,591.78</w:t>
            </w:r>
          </w:p>
        </w:tc>
        <w:tc>
          <w:tcPr>
            <w:tcW w:w="993" w:type="dxa"/>
            <w:hideMark/>
          </w:tcPr>
          <w:p w14:paraId="68E6BE2F"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$28.21</w:t>
            </w:r>
          </w:p>
        </w:tc>
        <w:tc>
          <w:tcPr>
            <w:tcW w:w="1417" w:type="dxa"/>
            <w:hideMark/>
          </w:tcPr>
          <w:p w14:paraId="771B0C67"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$8,782.92</w:t>
            </w:r>
          </w:p>
        </w:tc>
        <w:tc>
          <w:tcPr>
            <w:tcW w:w="992" w:type="dxa"/>
            <w:hideMark/>
          </w:tcPr>
          <w:p w14:paraId="63B7CADF"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$12.09</w:t>
            </w:r>
          </w:p>
        </w:tc>
        <w:tc>
          <w:tcPr>
            <w:tcW w:w="1418" w:type="dxa"/>
            <w:hideMark/>
          </w:tcPr>
          <w:p w14:paraId="1CEEA5C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$12,505.40</w:t>
            </w:r>
          </w:p>
        </w:tc>
        <w:tc>
          <w:tcPr>
            <w:tcW w:w="992" w:type="dxa"/>
            <w:hideMark/>
          </w:tcPr>
          <w:p w14:paraId="0A5B8CA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$7.75</w:t>
            </w:r>
          </w:p>
        </w:tc>
      </w:tr>
      <w:tr w:rsidR="00FD7BCF" w:rsidRPr="00FD7BCF" w14:paraId="0F49681C" w14:textId="77777777" w:rsidTr="002D46C1">
        <w:trPr>
          <w:trHeight w:val="285"/>
          <w:jc w:val="center"/>
        </w:trPr>
        <w:tc>
          <w:tcPr>
            <w:tcW w:w="1690" w:type="dxa"/>
            <w:hideMark/>
          </w:tcPr>
          <w:p w14:paraId="5AD66F0F"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768 Kbps</w:t>
            </w:r>
          </w:p>
        </w:tc>
        <w:tc>
          <w:tcPr>
            <w:tcW w:w="1288" w:type="dxa"/>
            <w:hideMark/>
          </w:tcPr>
          <w:p w14:paraId="6F6F817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$3,983.50</w:t>
            </w:r>
          </w:p>
        </w:tc>
        <w:tc>
          <w:tcPr>
            <w:tcW w:w="1121" w:type="dxa"/>
            <w:hideMark/>
          </w:tcPr>
          <w:p w14:paraId="23C79FF5"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$46.19</w:t>
            </w:r>
          </w:p>
        </w:tc>
        <w:tc>
          <w:tcPr>
            <w:tcW w:w="1288" w:type="dxa"/>
            <w:hideMark/>
          </w:tcPr>
          <w:p w14:paraId="3C50441C"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$6,155.98</w:t>
            </w:r>
          </w:p>
        </w:tc>
        <w:tc>
          <w:tcPr>
            <w:tcW w:w="993" w:type="dxa"/>
            <w:hideMark/>
          </w:tcPr>
          <w:p w14:paraId="6E51B24C"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$34.10</w:t>
            </w:r>
          </w:p>
        </w:tc>
        <w:tc>
          <w:tcPr>
            <w:tcW w:w="1417" w:type="dxa"/>
            <w:hideMark/>
          </w:tcPr>
          <w:p w14:paraId="4F31FC6D"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$10,113.75</w:t>
            </w:r>
          </w:p>
        </w:tc>
        <w:tc>
          <w:tcPr>
            <w:tcW w:w="992" w:type="dxa"/>
            <w:hideMark/>
          </w:tcPr>
          <w:p w14:paraId="4BADD450"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$14.26</w:t>
            </w:r>
          </w:p>
        </w:tc>
        <w:tc>
          <w:tcPr>
            <w:tcW w:w="1418" w:type="dxa"/>
            <w:hideMark/>
          </w:tcPr>
          <w:p w14:paraId="66B6DE6C"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$14,434.22</w:t>
            </w:r>
          </w:p>
        </w:tc>
        <w:tc>
          <w:tcPr>
            <w:tcW w:w="992" w:type="dxa"/>
            <w:hideMark/>
          </w:tcPr>
          <w:p w14:paraId="107FBB84"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$9.30</w:t>
            </w:r>
          </w:p>
        </w:tc>
      </w:tr>
      <w:tr w:rsidR="00FD7BCF" w:rsidRPr="00FD7BCF" w14:paraId="6C7740A1" w14:textId="77777777" w:rsidTr="002D46C1">
        <w:trPr>
          <w:trHeight w:val="285"/>
          <w:jc w:val="center"/>
        </w:trPr>
        <w:tc>
          <w:tcPr>
            <w:tcW w:w="1690" w:type="dxa"/>
            <w:hideMark/>
          </w:tcPr>
          <w:p w14:paraId="0E2BB3A5"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1024 Kbps</w:t>
            </w:r>
          </w:p>
        </w:tc>
        <w:tc>
          <w:tcPr>
            <w:tcW w:w="1288" w:type="dxa"/>
            <w:hideMark/>
          </w:tcPr>
          <w:p w14:paraId="3D9780A2"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$4,214.14</w:t>
            </w:r>
          </w:p>
        </w:tc>
        <w:tc>
          <w:tcPr>
            <w:tcW w:w="1121" w:type="dxa"/>
            <w:hideMark/>
          </w:tcPr>
          <w:p w14:paraId="782E8976"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$53.94</w:t>
            </w:r>
          </w:p>
        </w:tc>
        <w:tc>
          <w:tcPr>
            <w:tcW w:w="1288" w:type="dxa"/>
            <w:hideMark/>
          </w:tcPr>
          <w:p w14:paraId="2C5C6011"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$6,719.87</w:t>
            </w:r>
          </w:p>
        </w:tc>
        <w:tc>
          <w:tcPr>
            <w:tcW w:w="993" w:type="dxa"/>
            <w:hideMark/>
          </w:tcPr>
          <w:p w14:paraId="6EDE2ABD"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$39.99</w:t>
            </w:r>
          </w:p>
        </w:tc>
        <w:tc>
          <w:tcPr>
            <w:tcW w:w="1417" w:type="dxa"/>
            <w:hideMark/>
          </w:tcPr>
          <w:p w14:paraId="5C1A8833"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$11,444.58</w:t>
            </w:r>
          </w:p>
        </w:tc>
        <w:tc>
          <w:tcPr>
            <w:tcW w:w="992" w:type="dxa"/>
            <w:hideMark/>
          </w:tcPr>
          <w:p w14:paraId="00E7E9F8"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$16.74</w:t>
            </w:r>
          </w:p>
        </w:tc>
        <w:tc>
          <w:tcPr>
            <w:tcW w:w="1418" w:type="dxa"/>
            <w:hideMark/>
          </w:tcPr>
          <w:p w14:paraId="5C076F9C"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$16,053.04</w:t>
            </w:r>
          </w:p>
        </w:tc>
        <w:tc>
          <w:tcPr>
            <w:tcW w:w="992" w:type="dxa"/>
            <w:hideMark/>
          </w:tcPr>
          <w:p w14:paraId="2451AD6F"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$10.85</w:t>
            </w:r>
          </w:p>
        </w:tc>
      </w:tr>
      <w:tr w:rsidR="00FD7BCF" w:rsidRPr="00FD7BCF" w14:paraId="3ADCA3E5" w14:textId="77777777" w:rsidTr="002D46C1">
        <w:trPr>
          <w:trHeight w:val="285"/>
          <w:jc w:val="center"/>
        </w:trPr>
        <w:tc>
          <w:tcPr>
            <w:tcW w:w="1690" w:type="dxa"/>
            <w:hideMark/>
          </w:tcPr>
          <w:p w14:paraId="35F7615E"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E1 (2 Mbps)</w:t>
            </w:r>
          </w:p>
        </w:tc>
        <w:tc>
          <w:tcPr>
            <w:tcW w:w="1288" w:type="dxa"/>
            <w:hideMark/>
          </w:tcPr>
          <w:p w14:paraId="6E5F16C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$5,029.44</w:t>
            </w:r>
          </w:p>
        </w:tc>
        <w:tc>
          <w:tcPr>
            <w:tcW w:w="1121" w:type="dxa"/>
            <w:hideMark/>
          </w:tcPr>
          <w:p w14:paraId="50FADDDD"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$70.06</w:t>
            </w:r>
          </w:p>
        </w:tc>
        <w:tc>
          <w:tcPr>
            <w:tcW w:w="1288" w:type="dxa"/>
            <w:hideMark/>
          </w:tcPr>
          <w:p w14:paraId="431E3908"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$8,550.11</w:t>
            </w:r>
          </w:p>
        </w:tc>
        <w:tc>
          <w:tcPr>
            <w:tcW w:w="993" w:type="dxa"/>
            <w:hideMark/>
          </w:tcPr>
          <w:p w14:paraId="797EC843"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$52.08</w:t>
            </w:r>
          </w:p>
        </w:tc>
        <w:tc>
          <w:tcPr>
            <w:tcW w:w="1417" w:type="dxa"/>
            <w:hideMark/>
          </w:tcPr>
          <w:p w14:paraId="0FD5A2CF"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$14,457.78</w:t>
            </w:r>
          </w:p>
        </w:tc>
        <w:tc>
          <w:tcPr>
            <w:tcW w:w="992" w:type="dxa"/>
            <w:hideMark/>
          </w:tcPr>
          <w:p w14:paraId="11D3AB68"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$19.84</w:t>
            </w:r>
          </w:p>
        </w:tc>
        <w:tc>
          <w:tcPr>
            <w:tcW w:w="1418" w:type="dxa"/>
            <w:hideMark/>
          </w:tcPr>
          <w:p w14:paraId="00635DD9"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$19,640.36</w:t>
            </w:r>
          </w:p>
        </w:tc>
        <w:tc>
          <w:tcPr>
            <w:tcW w:w="992" w:type="dxa"/>
            <w:hideMark/>
          </w:tcPr>
          <w:p w14:paraId="7F13EF9F"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$14.26</w:t>
            </w:r>
          </w:p>
        </w:tc>
      </w:tr>
      <w:tr w:rsidR="00FD7BCF" w:rsidRPr="00FD7BCF" w14:paraId="44E8553F" w14:textId="77777777" w:rsidTr="002D46C1">
        <w:trPr>
          <w:trHeight w:val="285"/>
          <w:jc w:val="center"/>
        </w:trPr>
        <w:tc>
          <w:tcPr>
            <w:tcW w:w="1690" w:type="dxa"/>
            <w:hideMark/>
          </w:tcPr>
          <w:p w14:paraId="3D885717"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E2 (8 Mbps)</w:t>
            </w:r>
          </w:p>
        </w:tc>
        <w:tc>
          <w:tcPr>
            <w:tcW w:w="1288" w:type="dxa"/>
            <w:hideMark/>
          </w:tcPr>
          <w:p w14:paraId="3281F176"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$20,117.76</w:t>
            </w:r>
          </w:p>
        </w:tc>
        <w:tc>
          <w:tcPr>
            <w:tcW w:w="1121" w:type="dxa"/>
            <w:hideMark/>
          </w:tcPr>
          <w:p w14:paraId="3E19091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$280.24</w:t>
            </w:r>
          </w:p>
        </w:tc>
        <w:tc>
          <w:tcPr>
            <w:tcW w:w="1288" w:type="dxa"/>
            <w:hideMark/>
          </w:tcPr>
          <w:p w14:paraId="617FA827"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$34,200.44</w:t>
            </w:r>
          </w:p>
        </w:tc>
        <w:tc>
          <w:tcPr>
            <w:tcW w:w="993" w:type="dxa"/>
            <w:hideMark/>
          </w:tcPr>
          <w:p w14:paraId="7962BB5A"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$208.32</w:t>
            </w:r>
          </w:p>
        </w:tc>
        <w:tc>
          <w:tcPr>
            <w:tcW w:w="1417" w:type="dxa"/>
            <w:hideMark/>
          </w:tcPr>
          <w:p w14:paraId="5BBA6E12"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$57,831.12</w:t>
            </w:r>
          </w:p>
        </w:tc>
        <w:tc>
          <w:tcPr>
            <w:tcW w:w="992" w:type="dxa"/>
            <w:hideMark/>
          </w:tcPr>
          <w:p w14:paraId="1A1D847B"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$79.36</w:t>
            </w:r>
          </w:p>
        </w:tc>
        <w:tc>
          <w:tcPr>
            <w:tcW w:w="1418" w:type="dxa"/>
            <w:hideMark/>
          </w:tcPr>
          <w:p w14:paraId="79701149"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$78,561.44</w:t>
            </w:r>
          </w:p>
        </w:tc>
        <w:tc>
          <w:tcPr>
            <w:tcW w:w="992" w:type="dxa"/>
            <w:hideMark/>
          </w:tcPr>
          <w:p w14:paraId="5B541CF9"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$57.04</w:t>
            </w:r>
          </w:p>
        </w:tc>
      </w:tr>
      <w:tr w:rsidR="00FD7BCF" w:rsidRPr="00FD7BCF" w14:paraId="162CD5CC" w14:textId="77777777" w:rsidTr="002D46C1">
        <w:trPr>
          <w:trHeight w:val="285"/>
          <w:jc w:val="center"/>
        </w:trPr>
        <w:tc>
          <w:tcPr>
            <w:tcW w:w="1690" w:type="dxa"/>
            <w:hideMark/>
          </w:tcPr>
          <w:p w14:paraId="201B3518"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 xml:space="preserve">E4 (139 Mbps) </w:t>
            </w:r>
          </w:p>
        </w:tc>
        <w:tc>
          <w:tcPr>
            <w:tcW w:w="1288" w:type="dxa"/>
            <w:hideMark/>
          </w:tcPr>
          <w:p w14:paraId="4ED0A013"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$109,321.81</w:t>
            </w:r>
          </w:p>
        </w:tc>
        <w:tc>
          <w:tcPr>
            <w:tcW w:w="1121" w:type="dxa"/>
            <w:hideMark/>
          </w:tcPr>
          <w:p w14:paraId="3499E83F"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c>
          <w:tcPr>
            <w:tcW w:w="1288" w:type="dxa"/>
            <w:hideMark/>
          </w:tcPr>
          <w:p w14:paraId="0F6F8F95"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$109,321.81</w:t>
            </w:r>
          </w:p>
        </w:tc>
        <w:tc>
          <w:tcPr>
            <w:tcW w:w="993" w:type="dxa"/>
            <w:hideMark/>
          </w:tcPr>
          <w:p w14:paraId="45E400AC"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c>
          <w:tcPr>
            <w:tcW w:w="1417" w:type="dxa"/>
            <w:hideMark/>
          </w:tcPr>
          <w:p w14:paraId="56FAB381"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$109,321.81</w:t>
            </w:r>
          </w:p>
        </w:tc>
        <w:tc>
          <w:tcPr>
            <w:tcW w:w="992" w:type="dxa"/>
            <w:hideMark/>
          </w:tcPr>
          <w:p w14:paraId="6AC540B7"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c>
          <w:tcPr>
            <w:tcW w:w="1418" w:type="dxa"/>
            <w:hideMark/>
          </w:tcPr>
          <w:p w14:paraId="2C50990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$109,321.81</w:t>
            </w:r>
          </w:p>
        </w:tc>
        <w:tc>
          <w:tcPr>
            <w:tcW w:w="992" w:type="dxa"/>
            <w:hideMark/>
          </w:tcPr>
          <w:p w14:paraId="2B0C6935"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r>
      <w:tr w:rsidR="00FD7BCF" w:rsidRPr="00FD7BCF" w14:paraId="0218046C" w14:textId="77777777" w:rsidTr="002D46C1">
        <w:trPr>
          <w:trHeight w:val="285"/>
          <w:jc w:val="center"/>
        </w:trPr>
        <w:tc>
          <w:tcPr>
            <w:tcW w:w="1690" w:type="dxa"/>
            <w:hideMark/>
          </w:tcPr>
          <w:p w14:paraId="5112A7C9"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STM</w:t>
            </w:r>
            <w:r w:rsidR="00543FEB" w:rsidRPr="00FD7BCF">
              <w:rPr>
                <w:rFonts w:ascii="ITC Avant Garde" w:eastAsia="Times New Roman" w:hAnsi="ITC Avant Garde"/>
                <w:sz w:val="18"/>
                <w:szCs w:val="18"/>
                <w:lang w:eastAsia="es-MX"/>
              </w:rPr>
              <w:t xml:space="preserve"> </w:t>
            </w:r>
            <w:r w:rsidRPr="00FD7BCF">
              <w:rPr>
                <w:rFonts w:ascii="ITC Avant Garde" w:eastAsia="Times New Roman" w:hAnsi="ITC Avant Garde"/>
                <w:sz w:val="18"/>
                <w:szCs w:val="18"/>
                <w:lang w:eastAsia="es-MX"/>
              </w:rPr>
              <w:t xml:space="preserve">1 (155 Mbps) </w:t>
            </w:r>
          </w:p>
        </w:tc>
        <w:tc>
          <w:tcPr>
            <w:tcW w:w="1288" w:type="dxa"/>
            <w:hideMark/>
          </w:tcPr>
          <w:p w14:paraId="53BB9818"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$109,321.81</w:t>
            </w:r>
          </w:p>
        </w:tc>
        <w:tc>
          <w:tcPr>
            <w:tcW w:w="1121" w:type="dxa"/>
            <w:hideMark/>
          </w:tcPr>
          <w:p w14:paraId="5EC6B4E5"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c>
          <w:tcPr>
            <w:tcW w:w="1288" w:type="dxa"/>
            <w:hideMark/>
          </w:tcPr>
          <w:p w14:paraId="0816AFC7"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$109,321.81</w:t>
            </w:r>
          </w:p>
        </w:tc>
        <w:tc>
          <w:tcPr>
            <w:tcW w:w="993" w:type="dxa"/>
            <w:hideMark/>
          </w:tcPr>
          <w:p w14:paraId="69621F0F"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c>
          <w:tcPr>
            <w:tcW w:w="1417" w:type="dxa"/>
            <w:hideMark/>
          </w:tcPr>
          <w:p w14:paraId="744E845F"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$109,321.81</w:t>
            </w:r>
          </w:p>
        </w:tc>
        <w:tc>
          <w:tcPr>
            <w:tcW w:w="992" w:type="dxa"/>
            <w:hideMark/>
          </w:tcPr>
          <w:p w14:paraId="03392F5F"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c>
          <w:tcPr>
            <w:tcW w:w="1418" w:type="dxa"/>
            <w:hideMark/>
          </w:tcPr>
          <w:p w14:paraId="43DAF08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$109,321.81</w:t>
            </w:r>
          </w:p>
        </w:tc>
        <w:tc>
          <w:tcPr>
            <w:tcW w:w="992" w:type="dxa"/>
            <w:hideMark/>
          </w:tcPr>
          <w:p w14:paraId="414B5566"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$117.64</w:t>
            </w:r>
          </w:p>
        </w:tc>
      </w:tr>
      <w:tr w:rsidR="00FD7BCF" w:rsidRPr="00FD7BCF" w14:paraId="686ABE1E" w14:textId="77777777" w:rsidTr="002D46C1">
        <w:trPr>
          <w:trHeight w:val="285"/>
          <w:jc w:val="center"/>
        </w:trPr>
        <w:tc>
          <w:tcPr>
            <w:tcW w:w="1690" w:type="dxa"/>
            <w:hideMark/>
          </w:tcPr>
          <w:p w14:paraId="6E6E58F5"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STM</w:t>
            </w:r>
            <w:r w:rsidR="00543FEB" w:rsidRPr="00FD7BCF">
              <w:rPr>
                <w:rFonts w:ascii="ITC Avant Garde" w:eastAsia="Times New Roman" w:hAnsi="ITC Avant Garde"/>
                <w:sz w:val="18"/>
                <w:szCs w:val="18"/>
                <w:lang w:eastAsia="es-MX"/>
              </w:rPr>
              <w:t xml:space="preserve"> </w:t>
            </w:r>
            <w:r w:rsidRPr="00FD7BCF">
              <w:rPr>
                <w:rFonts w:ascii="ITC Avant Garde" w:eastAsia="Times New Roman" w:hAnsi="ITC Avant Garde"/>
                <w:sz w:val="18"/>
                <w:szCs w:val="18"/>
                <w:lang w:eastAsia="es-MX"/>
              </w:rPr>
              <w:t xml:space="preserve">4 (622 Mbps) </w:t>
            </w:r>
          </w:p>
        </w:tc>
        <w:tc>
          <w:tcPr>
            <w:tcW w:w="1288" w:type="dxa"/>
            <w:hideMark/>
          </w:tcPr>
          <w:p w14:paraId="1A5791EA"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$214,270.76</w:t>
            </w:r>
          </w:p>
        </w:tc>
        <w:tc>
          <w:tcPr>
            <w:tcW w:w="1121" w:type="dxa"/>
            <w:hideMark/>
          </w:tcPr>
          <w:p w14:paraId="2C857F92"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$230.33</w:t>
            </w:r>
          </w:p>
        </w:tc>
        <w:tc>
          <w:tcPr>
            <w:tcW w:w="1288" w:type="dxa"/>
            <w:hideMark/>
          </w:tcPr>
          <w:p w14:paraId="187BDB68"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$214,270.76</w:t>
            </w:r>
          </w:p>
        </w:tc>
        <w:tc>
          <w:tcPr>
            <w:tcW w:w="993" w:type="dxa"/>
            <w:hideMark/>
          </w:tcPr>
          <w:p w14:paraId="629CF6AD"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$230.58</w:t>
            </w:r>
          </w:p>
        </w:tc>
        <w:tc>
          <w:tcPr>
            <w:tcW w:w="1417" w:type="dxa"/>
            <w:hideMark/>
          </w:tcPr>
          <w:p w14:paraId="3AB03925"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$214,270.76</w:t>
            </w:r>
          </w:p>
        </w:tc>
        <w:tc>
          <w:tcPr>
            <w:tcW w:w="992" w:type="dxa"/>
            <w:hideMark/>
          </w:tcPr>
          <w:p w14:paraId="158D024E"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$230.58</w:t>
            </w:r>
          </w:p>
        </w:tc>
        <w:tc>
          <w:tcPr>
            <w:tcW w:w="1418" w:type="dxa"/>
            <w:hideMark/>
          </w:tcPr>
          <w:p w14:paraId="5D9E3736"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$214,270.76</w:t>
            </w:r>
          </w:p>
        </w:tc>
        <w:tc>
          <w:tcPr>
            <w:tcW w:w="992" w:type="dxa"/>
            <w:hideMark/>
          </w:tcPr>
          <w:p w14:paraId="19B8FA65"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$230.58</w:t>
            </w:r>
          </w:p>
        </w:tc>
      </w:tr>
      <w:tr w:rsidR="00FD7BCF" w:rsidRPr="00FD7BCF" w14:paraId="5A2072B9" w14:textId="77777777" w:rsidTr="002D46C1">
        <w:trPr>
          <w:trHeight w:val="285"/>
          <w:jc w:val="center"/>
        </w:trPr>
        <w:tc>
          <w:tcPr>
            <w:tcW w:w="1690" w:type="dxa"/>
            <w:hideMark/>
          </w:tcPr>
          <w:p w14:paraId="620C8566"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 xml:space="preserve">STM 16 (2.5 </w:t>
            </w:r>
            <w:proofErr w:type="spellStart"/>
            <w:r w:rsidR="00C67112" w:rsidRPr="00FD7BCF">
              <w:rPr>
                <w:rFonts w:ascii="ITC Avant Garde" w:eastAsia="Times New Roman" w:hAnsi="ITC Avant Garde"/>
                <w:sz w:val="18"/>
                <w:szCs w:val="18"/>
                <w:lang w:eastAsia="es-MX"/>
              </w:rPr>
              <w:t>G</w:t>
            </w:r>
            <w:r w:rsidR="00244E59" w:rsidRPr="00FD7BCF">
              <w:rPr>
                <w:rFonts w:ascii="ITC Avant Garde" w:eastAsia="Times New Roman" w:hAnsi="ITC Avant Garde"/>
                <w:sz w:val="18"/>
                <w:szCs w:val="18"/>
                <w:lang w:eastAsia="es-MX"/>
              </w:rPr>
              <w:t>bps</w:t>
            </w:r>
            <w:proofErr w:type="spellEnd"/>
            <w:r w:rsidRPr="00FD7BCF">
              <w:rPr>
                <w:rFonts w:ascii="ITC Avant Garde" w:eastAsia="Times New Roman" w:hAnsi="ITC Avant Garde"/>
                <w:sz w:val="18"/>
                <w:szCs w:val="18"/>
                <w:lang w:eastAsia="es-MX"/>
              </w:rPr>
              <w:t xml:space="preserve">) </w:t>
            </w:r>
          </w:p>
        </w:tc>
        <w:tc>
          <w:tcPr>
            <w:tcW w:w="1288" w:type="dxa"/>
            <w:hideMark/>
          </w:tcPr>
          <w:p w14:paraId="1566879A"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$486,979.00</w:t>
            </w:r>
          </w:p>
        </w:tc>
        <w:tc>
          <w:tcPr>
            <w:tcW w:w="1121" w:type="dxa"/>
            <w:hideMark/>
          </w:tcPr>
          <w:p w14:paraId="196CE7DA"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$576.45</w:t>
            </w:r>
          </w:p>
        </w:tc>
        <w:tc>
          <w:tcPr>
            <w:tcW w:w="1288" w:type="dxa"/>
            <w:hideMark/>
          </w:tcPr>
          <w:p w14:paraId="020765EC"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$486,979.00</w:t>
            </w:r>
          </w:p>
        </w:tc>
        <w:tc>
          <w:tcPr>
            <w:tcW w:w="993" w:type="dxa"/>
            <w:hideMark/>
          </w:tcPr>
          <w:p w14:paraId="70DDCC66"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$576.45</w:t>
            </w:r>
          </w:p>
        </w:tc>
        <w:tc>
          <w:tcPr>
            <w:tcW w:w="1417" w:type="dxa"/>
            <w:hideMark/>
          </w:tcPr>
          <w:p w14:paraId="07F751B5"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$486,979.00</w:t>
            </w:r>
          </w:p>
        </w:tc>
        <w:tc>
          <w:tcPr>
            <w:tcW w:w="992" w:type="dxa"/>
            <w:hideMark/>
          </w:tcPr>
          <w:p w14:paraId="36063F7B"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$576.45</w:t>
            </w:r>
          </w:p>
        </w:tc>
        <w:tc>
          <w:tcPr>
            <w:tcW w:w="1418" w:type="dxa"/>
            <w:hideMark/>
          </w:tcPr>
          <w:p w14:paraId="28BE2A67"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$486,979.00</w:t>
            </w:r>
          </w:p>
        </w:tc>
        <w:tc>
          <w:tcPr>
            <w:tcW w:w="992" w:type="dxa"/>
            <w:hideMark/>
          </w:tcPr>
          <w:p w14:paraId="226D674B"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$576.45</w:t>
            </w:r>
          </w:p>
        </w:tc>
      </w:tr>
      <w:tr w:rsidR="00FD7BCF" w:rsidRPr="00FD7BCF" w14:paraId="30ABABA5" w14:textId="77777777" w:rsidTr="002D46C1">
        <w:trPr>
          <w:trHeight w:val="285"/>
          <w:jc w:val="center"/>
        </w:trPr>
        <w:tc>
          <w:tcPr>
            <w:tcW w:w="1690" w:type="dxa"/>
            <w:hideMark/>
          </w:tcPr>
          <w:p w14:paraId="29DE122D" w14:textId="77777777" w:rsidR="007D7BC0" w:rsidRPr="00FD7BCF" w:rsidRDefault="007D7BC0"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 xml:space="preserve">STM 64 (10 </w:t>
            </w:r>
            <w:proofErr w:type="spellStart"/>
            <w:r w:rsidR="00C67112" w:rsidRPr="00FD7BCF">
              <w:rPr>
                <w:rFonts w:ascii="ITC Avant Garde" w:eastAsia="Times New Roman" w:hAnsi="ITC Avant Garde"/>
                <w:sz w:val="18"/>
                <w:szCs w:val="18"/>
                <w:lang w:eastAsia="es-MX"/>
              </w:rPr>
              <w:t>G</w:t>
            </w:r>
            <w:r w:rsidR="00244E59" w:rsidRPr="00FD7BCF">
              <w:rPr>
                <w:rFonts w:ascii="ITC Avant Garde" w:eastAsia="Times New Roman" w:hAnsi="ITC Avant Garde"/>
                <w:sz w:val="18"/>
                <w:szCs w:val="18"/>
                <w:lang w:eastAsia="es-MX"/>
              </w:rPr>
              <w:t>bps</w:t>
            </w:r>
            <w:proofErr w:type="spellEnd"/>
            <w:r w:rsidRPr="00FD7BCF">
              <w:rPr>
                <w:rFonts w:ascii="ITC Avant Garde" w:eastAsia="Times New Roman" w:hAnsi="ITC Avant Garde"/>
                <w:sz w:val="18"/>
                <w:szCs w:val="18"/>
                <w:lang w:eastAsia="es-MX"/>
              </w:rPr>
              <w:t>)</w:t>
            </w:r>
          </w:p>
        </w:tc>
        <w:tc>
          <w:tcPr>
            <w:tcW w:w="1288" w:type="dxa"/>
            <w:hideMark/>
          </w:tcPr>
          <w:p w14:paraId="476C2290"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$1,655,728.60</w:t>
            </w:r>
          </w:p>
        </w:tc>
        <w:tc>
          <w:tcPr>
            <w:tcW w:w="1121" w:type="dxa"/>
            <w:hideMark/>
          </w:tcPr>
          <w:p w14:paraId="1A76BC77"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$1,959.82</w:t>
            </w:r>
          </w:p>
        </w:tc>
        <w:tc>
          <w:tcPr>
            <w:tcW w:w="1288" w:type="dxa"/>
            <w:hideMark/>
          </w:tcPr>
          <w:p w14:paraId="5828E603"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$1,655,728.60</w:t>
            </w:r>
          </w:p>
        </w:tc>
        <w:tc>
          <w:tcPr>
            <w:tcW w:w="993" w:type="dxa"/>
            <w:hideMark/>
          </w:tcPr>
          <w:p w14:paraId="340CF78D"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$1,959.82</w:t>
            </w:r>
          </w:p>
        </w:tc>
        <w:tc>
          <w:tcPr>
            <w:tcW w:w="1417" w:type="dxa"/>
            <w:hideMark/>
          </w:tcPr>
          <w:p w14:paraId="7081BCBA"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$1,655,728.60</w:t>
            </w:r>
          </w:p>
        </w:tc>
        <w:tc>
          <w:tcPr>
            <w:tcW w:w="992" w:type="dxa"/>
            <w:hideMark/>
          </w:tcPr>
          <w:p w14:paraId="3C3229FA"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$1,959.82</w:t>
            </w:r>
          </w:p>
        </w:tc>
        <w:tc>
          <w:tcPr>
            <w:tcW w:w="1418" w:type="dxa"/>
            <w:hideMark/>
          </w:tcPr>
          <w:p w14:paraId="6B811FC7"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$1,655,728.60</w:t>
            </w:r>
          </w:p>
        </w:tc>
        <w:tc>
          <w:tcPr>
            <w:tcW w:w="992" w:type="dxa"/>
            <w:hideMark/>
          </w:tcPr>
          <w:p w14:paraId="53AD0BD4"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$1,959.82</w:t>
            </w:r>
          </w:p>
        </w:tc>
      </w:tr>
      <w:tr w:rsidR="00FD7BCF" w:rsidRPr="00FD7BCF" w14:paraId="2DCDE3CB" w14:textId="77777777" w:rsidTr="002D46C1">
        <w:trPr>
          <w:trHeight w:val="285"/>
          <w:jc w:val="center"/>
        </w:trPr>
        <w:tc>
          <w:tcPr>
            <w:tcW w:w="1690" w:type="dxa"/>
            <w:hideMark/>
          </w:tcPr>
          <w:p w14:paraId="44E4946F" w14:textId="77777777" w:rsidR="007D7BC0" w:rsidRPr="00FD7BCF" w:rsidRDefault="00543FEB" w:rsidP="00B42019">
            <w:pPr>
              <w:spacing w:after="0" w:line="276" w:lineRule="auto"/>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 xml:space="preserve">STM </w:t>
            </w:r>
            <w:r w:rsidR="007D7BC0" w:rsidRPr="00FD7BCF">
              <w:rPr>
                <w:rFonts w:ascii="ITC Avant Garde" w:eastAsia="Times New Roman" w:hAnsi="ITC Avant Garde"/>
                <w:sz w:val="18"/>
                <w:szCs w:val="18"/>
                <w:lang w:eastAsia="es-MX"/>
              </w:rPr>
              <w:t>256 (</w:t>
            </w:r>
            <w:r w:rsidR="008C5D4C" w:rsidRPr="00FD7BCF">
              <w:rPr>
                <w:rFonts w:ascii="ITC Avant Garde" w:eastAsia="Times New Roman" w:hAnsi="ITC Avant Garde"/>
                <w:sz w:val="18"/>
                <w:szCs w:val="18"/>
                <w:lang w:eastAsia="es-MX"/>
              </w:rPr>
              <w:t xml:space="preserve">40 </w:t>
            </w:r>
            <w:proofErr w:type="spellStart"/>
            <w:r w:rsidR="008C5D4C" w:rsidRPr="00FD7BCF">
              <w:rPr>
                <w:rFonts w:ascii="ITC Avant Garde" w:eastAsia="Times New Roman" w:hAnsi="ITC Avant Garde"/>
                <w:sz w:val="18"/>
                <w:szCs w:val="18"/>
                <w:lang w:eastAsia="es-MX"/>
              </w:rPr>
              <w:t>Gbps</w:t>
            </w:r>
            <w:proofErr w:type="spellEnd"/>
            <w:r w:rsidR="007D7BC0" w:rsidRPr="00FD7BCF">
              <w:rPr>
                <w:rFonts w:ascii="ITC Avant Garde" w:eastAsia="Times New Roman" w:hAnsi="ITC Avant Garde"/>
                <w:sz w:val="18"/>
                <w:szCs w:val="18"/>
                <w:lang w:eastAsia="es-MX"/>
              </w:rPr>
              <w:t xml:space="preserve">) </w:t>
            </w:r>
          </w:p>
        </w:tc>
        <w:tc>
          <w:tcPr>
            <w:tcW w:w="1288" w:type="dxa"/>
            <w:hideMark/>
          </w:tcPr>
          <w:p w14:paraId="101F48B5"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$6,622,914.40</w:t>
            </w:r>
          </w:p>
        </w:tc>
        <w:tc>
          <w:tcPr>
            <w:tcW w:w="1121" w:type="dxa"/>
            <w:hideMark/>
          </w:tcPr>
          <w:p w14:paraId="1B350E30"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$7,839.28</w:t>
            </w:r>
          </w:p>
        </w:tc>
        <w:tc>
          <w:tcPr>
            <w:tcW w:w="1288" w:type="dxa"/>
            <w:hideMark/>
          </w:tcPr>
          <w:p w14:paraId="5D6E1762"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$6,622,914.40</w:t>
            </w:r>
          </w:p>
        </w:tc>
        <w:tc>
          <w:tcPr>
            <w:tcW w:w="993" w:type="dxa"/>
            <w:hideMark/>
          </w:tcPr>
          <w:p w14:paraId="63840389"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$7,839.28</w:t>
            </w:r>
          </w:p>
        </w:tc>
        <w:tc>
          <w:tcPr>
            <w:tcW w:w="1417" w:type="dxa"/>
            <w:hideMark/>
          </w:tcPr>
          <w:p w14:paraId="5A887F0D"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$6,622,914.40</w:t>
            </w:r>
          </w:p>
        </w:tc>
        <w:tc>
          <w:tcPr>
            <w:tcW w:w="992" w:type="dxa"/>
            <w:hideMark/>
          </w:tcPr>
          <w:p w14:paraId="417EFF39"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$7,839.28</w:t>
            </w:r>
          </w:p>
        </w:tc>
        <w:tc>
          <w:tcPr>
            <w:tcW w:w="1418" w:type="dxa"/>
            <w:hideMark/>
          </w:tcPr>
          <w:p w14:paraId="4011FDF5"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$6,622,914.40</w:t>
            </w:r>
          </w:p>
        </w:tc>
        <w:tc>
          <w:tcPr>
            <w:tcW w:w="992" w:type="dxa"/>
            <w:hideMark/>
          </w:tcPr>
          <w:p w14:paraId="0D486817" w14:textId="77777777" w:rsidR="007D7BC0" w:rsidRPr="00FD7BCF" w:rsidRDefault="007D7BC0" w:rsidP="00B42019">
            <w:pPr>
              <w:spacing w:after="0" w:line="276" w:lineRule="auto"/>
              <w:jc w:val="center"/>
              <w:rPr>
                <w:rFonts w:ascii="ITC Avant Garde" w:eastAsia="Times New Roman" w:hAnsi="ITC Avant Garde"/>
                <w:sz w:val="18"/>
                <w:szCs w:val="18"/>
                <w:lang w:eastAsia="es-MX"/>
              </w:rPr>
            </w:pPr>
            <w:r w:rsidRPr="00FD7BCF">
              <w:rPr>
                <w:rFonts w:ascii="ITC Avant Garde" w:eastAsia="Times New Roman" w:hAnsi="ITC Avant Garde"/>
                <w:sz w:val="18"/>
                <w:szCs w:val="18"/>
                <w:lang w:eastAsia="es-MX"/>
              </w:rPr>
              <w:t>$7,839.28</w:t>
            </w:r>
          </w:p>
        </w:tc>
      </w:tr>
    </w:tbl>
    <w:p w14:paraId="4EA8A761" w14:textId="77777777" w:rsidR="00C20FE2" w:rsidRDefault="00C20FE2" w:rsidP="00B42019">
      <w:pPr>
        <w:spacing w:before="240" w:line="276" w:lineRule="auto"/>
        <w:jc w:val="both"/>
        <w:rPr>
          <w:rFonts w:ascii="ITC Avant Garde" w:hAnsi="ITC Avant Garde" w:cs="Helvetica"/>
          <w:lang w:eastAsia="es-MX"/>
        </w:rPr>
      </w:pPr>
    </w:p>
    <w:tbl>
      <w:tblPr>
        <w:tblStyle w:val="Tablaconcuadrcula2"/>
        <w:tblW w:w="4000" w:type="dxa"/>
        <w:jc w:val="center"/>
        <w:tblLook w:val="04A0" w:firstRow="1" w:lastRow="0" w:firstColumn="1" w:lastColumn="0" w:noHBand="0" w:noVBand="1"/>
        <w:tblCaption w:val="Velocidad"/>
        <w:tblDescription w:val="En una tabla d 2 columnas se proporciona del lado izquierdo las velocidades y del lado derecho el cargo por Km."/>
      </w:tblPr>
      <w:tblGrid>
        <w:gridCol w:w="2540"/>
        <w:gridCol w:w="1460"/>
      </w:tblGrid>
      <w:tr w:rsidR="00FD7BCF" w:rsidRPr="00FD7BCF" w14:paraId="55E889BB" w14:textId="77777777" w:rsidTr="002D46C1">
        <w:trPr>
          <w:trHeight w:val="285"/>
          <w:tblHeader/>
          <w:jc w:val="center"/>
        </w:trPr>
        <w:tc>
          <w:tcPr>
            <w:tcW w:w="2540" w:type="dxa"/>
            <w:vAlign w:val="center"/>
          </w:tcPr>
          <w:p w14:paraId="659E4D96" w14:textId="77777777" w:rsidR="00650758" w:rsidRPr="00FD7BCF" w:rsidRDefault="00650758" w:rsidP="002D46C1">
            <w:pPr>
              <w:spacing w:after="0" w:line="276" w:lineRule="auto"/>
              <w:jc w:val="center"/>
              <w:rPr>
                <w:rFonts w:ascii="ITC Avant Garde" w:eastAsia="Times New Roman" w:hAnsi="ITC Avant Garde"/>
                <w:b/>
                <w:sz w:val="20"/>
                <w:szCs w:val="20"/>
                <w:lang w:eastAsia="es-MX"/>
              </w:rPr>
            </w:pPr>
            <w:r w:rsidRPr="00FD7BCF">
              <w:rPr>
                <w:rFonts w:ascii="ITC Avant Garde" w:eastAsia="Times New Roman" w:hAnsi="ITC Avant Garde"/>
                <w:b/>
                <w:sz w:val="20"/>
                <w:szCs w:val="20"/>
                <w:lang w:eastAsia="es-MX"/>
              </w:rPr>
              <w:t>Velocidad</w:t>
            </w:r>
          </w:p>
        </w:tc>
        <w:tc>
          <w:tcPr>
            <w:tcW w:w="1460" w:type="dxa"/>
            <w:vAlign w:val="center"/>
          </w:tcPr>
          <w:p w14:paraId="05137127" w14:textId="77777777" w:rsidR="00650758" w:rsidRPr="00FD7BCF" w:rsidRDefault="00650758" w:rsidP="002D46C1">
            <w:pPr>
              <w:spacing w:after="0" w:line="276" w:lineRule="auto"/>
              <w:jc w:val="center"/>
              <w:rPr>
                <w:rFonts w:ascii="ITC Avant Garde" w:eastAsia="Times New Roman" w:hAnsi="ITC Avant Garde"/>
                <w:b/>
                <w:sz w:val="20"/>
                <w:szCs w:val="20"/>
                <w:lang w:eastAsia="es-MX"/>
              </w:rPr>
            </w:pPr>
            <w:r w:rsidRPr="00FD7BCF">
              <w:rPr>
                <w:rFonts w:ascii="ITC Avant Garde" w:eastAsia="Times New Roman" w:hAnsi="ITC Avant Garde"/>
                <w:b/>
                <w:sz w:val="20"/>
                <w:szCs w:val="20"/>
                <w:lang w:eastAsia="es-MX"/>
              </w:rPr>
              <w:t>Cargo x Km</w:t>
            </w:r>
          </w:p>
        </w:tc>
      </w:tr>
      <w:tr w:rsidR="00FD7BCF" w:rsidRPr="00FD7BCF" w14:paraId="36A5C679" w14:textId="77777777" w:rsidTr="002D46C1">
        <w:trPr>
          <w:trHeight w:val="285"/>
          <w:jc w:val="center"/>
        </w:trPr>
        <w:tc>
          <w:tcPr>
            <w:tcW w:w="2540" w:type="dxa"/>
            <w:hideMark/>
          </w:tcPr>
          <w:p w14:paraId="54F8BD59" w14:textId="77777777" w:rsidR="004E4546" w:rsidRPr="00FD7BCF" w:rsidRDefault="004E4546"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10 Mbps</w:t>
            </w:r>
          </w:p>
        </w:tc>
        <w:tc>
          <w:tcPr>
            <w:tcW w:w="1460" w:type="dxa"/>
            <w:hideMark/>
          </w:tcPr>
          <w:p w14:paraId="6584E72E"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$35.34</w:t>
            </w:r>
          </w:p>
        </w:tc>
      </w:tr>
      <w:tr w:rsidR="00FD7BCF" w:rsidRPr="00FD7BCF" w14:paraId="2827A1A0" w14:textId="77777777" w:rsidTr="002D46C1">
        <w:trPr>
          <w:trHeight w:val="285"/>
          <w:jc w:val="center"/>
        </w:trPr>
        <w:tc>
          <w:tcPr>
            <w:tcW w:w="2540" w:type="dxa"/>
            <w:hideMark/>
          </w:tcPr>
          <w:p w14:paraId="10BBE5FA" w14:textId="77777777" w:rsidR="004E4546" w:rsidRPr="00FD7BCF" w:rsidRDefault="004E4546"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20 Mbps</w:t>
            </w:r>
          </w:p>
        </w:tc>
        <w:tc>
          <w:tcPr>
            <w:tcW w:w="1460" w:type="dxa"/>
            <w:hideMark/>
          </w:tcPr>
          <w:p w14:paraId="13726F61"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$37.20</w:t>
            </w:r>
          </w:p>
        </w:tc>
      </w:tr>
      <w:tr w:rsidR="00FD7BCF" w:rsidRPr="00FD7BCF" w14:paraId="234DE2A3" w14:textId="77777777" w:rsidTr="002D46C1">
        <w:trPr>
          <w:trHeight w:val="285"/>
          <w:jc w:val="center"/>
        </w:trPr>
        <w:tc>
          <w:tcPr>
            <w:tcW w:w="2540" w:type="dxa"/>
            <w:hideMark/>
          </w:tcPr>
          <w:p w14:paraId="1370323F" w14:textId="77777777" w:rsidR="004E4546" w:rsidRPr="00FD7BCF" w:rsidRDefault="004E4546"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30 Mbps</w:t>
            </w:r>
          </w:p>
        </w:tc>
        <w:tc>
          <w:tcPr>
            <w:tcW w:w="1460" w:type="dxa"/>
            <w:hideMark/>
          </w:tcPr>
          <w:p w14:paraId="52445A6D"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$43.40</w:t>
            </w:r>
          </w:p>
        </w:tc>
      </w:tr>
      <w:tr w:rsidR="00FD7BCF" w:rsidRPr="00FD7BCF" w14:paraId="22E7261C" w14:textId="77777777" w:rsidTr="002D46C1">
        <w:trPr>
          <w:trHeight w:val="285"/>
          <w:jc w:val="center"/>
        </w:trPr>
        <w:tc>
          <w:tcPr>
            <w:tcW w:w="2540" w:type="dxa"/>
            <w:hideMark/>
          </w:tcPr>
          <w:p w14:paraId="7DFC5549" w14:textId="50A4E9FF" w:rsidR="004E4546" w:rsidRPr="00FD7BCF" w:rsidRDefault="004E4546"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Ethernet </w:t>
            </w:r>
            <w:r w:rsidR="008C5D4C" w:rsidRPr="00FD7BCF">
              <w:rPr>
                <w:rFonts w:ascii="ITC Avant Garde" w:eastAsia="Times New Roman" w:hAnsi="ITC Avant Garde"/>
                <w:sz w:val="20"/>
                <w:szCs w:val="20"/>
                <w:lang w:eastAsia="es-MX"/>
              </w:rPr>
              <w:t xml:space="preserve">40 </w:t>
            </w:r>
            <w:r w:rsidR="00F56C32" w:rsidRPr="00FD7BCF">
              <w:rPr>
                <w:rFonts w:ascii="ITC Avant Garde" w:eastAsia="Times New Roman" w:hAnsi="ITC Avant Garde"/>
                <w:sz w:val="20"/>
                <w:szCs w:val="20"/>
                <w:lang w:eastAsia="es-MX"/>
              </w:rPr>
              <w:t>Mbps</w:t>
            </w:r>
          </w:p>
        </w:tc>
        <w:tc>
          <w:tcPr>
            <w:tcW w:w="1460" w:type="dxa"/>
            <w:hideMark/>
          </w:tcPr>
          <w:p w14:paraId="5460DC10"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$48.36</w:t>
            </w:r>
          </w:p>
        </w:tc>
      </w:tr>
      <w:tr w:rsidR="00FD7BCF" w:rsidRPr="00FD7BCF" w14:paraId="79615EDB" w14:textId="77777777" w:rsidTr="002D46C1">
        <w:trPr>
          <w:trHeight w:val="285"/>
          <w:jc w:val="center"/>
        </w:trPr>
        <w:tc>
          <w:tcPr>
            <w:tcW w:w="2540" w:type="dxa"/>
            <w:hideMark/>
          </w:tcPr>
          <w:p w14:paraId="18ADC0EA" w14:textId="77777777" w:rsidR="004E4546" w:rsidRPr="00FD7BCF" w:rsidRDefault="004E4546"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50 Mbps</w:t>
            </w:r>
          </w:p>
        </w:tc>
        <w:tc>
          <w:tcPr>
            <w:tcW w:w="1460" w:type="dxa"/>
            <w:hideMark/>
          </w:tcPr>
          <w:p w14:paraId="5CCE8216"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$55.80</w:t>
            </w:r>
          </w:p>
        </w:tc>
      </w:tr>
      <w:tr w:rsidR="00FD7BCF" w:rsidRPr="00FD7BCF" w14:paraId="15A44FFF" w14:textId="77777777" w:rsidTr="002D46C1">
        <w:trPr>
          <w:trHeight w:val="285"/>
          <w:jc w:val="center"/>
        </w:trPr>
        <w:tc>
          <w:tcPr>
            <w:tcW w:w="2540" w:type="dxa"/>
            <w:hideMark/>
          </w:tcPr>
          <w:p w14:paraId="2780E1BC" w14:textId="77777777" w:rsidR="004E4546" w:rsidRPr="00FD7BCF" w:rsidRDefault="004E4546"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60 Mbps</w:t>
            </w:r>
          </w:p>
        </w:tc>
        <w:tc>
          <w:tcPr>
            <w:tcW w:w="1460" w:type="dxa"/>
            <w:hideMark/>
          </w:tcPr>
          <w:p w14:paraId="1660AB9C"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$61.38</w:t>
            </w:r>
          </w:p>
        </w:tc>
      </w:tr>
      <w:tr w:rsidR="00FD7BCF" w:rsidRPr="00FD7BCF" w14:paraId="706E8968" w14:textId="77777777" w:rsidTr="002D46C1">
        <w:trPr>
          <w:trHeight w:val="285"/>
          <w:jc w:val="center"/>
        </w:trPr>
        <w:tc>
          <w:tcPr>
            <w:tcW w:w="2540" w:type="dxa"/>
            <w:hideMark/>
          </w:tcPr>
          <w:p w14:paraId="5B9DB8AF" w14:textId="77777777" w:rsidR="004E4546" w:rsidRPr="00FD7BCF" w:rsidRDefault="004E4546"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70 Mbps</w:t>
            </w:r>
          </w:p>
        </w:tc>
        <w:tc>
          <w:tcPr>
            <w:tcW w:w="1460" w:type="dxa"/>
            <w:hideMark/>
          </w:tcPr>
          <w:p w14:paraId="4CC3039D"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$65.10</w:t>
            </w:r>
          </w:p>
        </w:tc>
      </w:tr>
      <w:tr w:rsidR="00FD7BCF" w:rsidRPr="00FD7BCF" w14:paraId="275DE26D" w14:textId="77777777" w:rsidTr="002D46C1">
        <w:trPr>
          <w:trHeight w:val="285"/>
          <w:jc w:val="center"/>
        </w:trPr>
        <w:tc>
          <w:tcPr>
            <w:tcW w:w="2540" w:type="dxa"/>
            <w:hideMark/>
          </w:tcPr>
          <w:p w14:paraId="5B9A3FC9" w14:textId="77777777" w:rsidR="004E4546" w:rsidRPr="00FD7BCF" w:rsidRDefault="004E4546"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80 Mbps</w:t>
            </w:r>
          </w:p>
        </w:tc>
        <w:tc>
          <w:tcPr>
            <w:tcW w:w="1460" w:type="dxa"/>
            <w:hideMark/>
          </w:tcPr>
          <w:p w14:paraId="478DD62A"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$66.96</w:t>
            </w:r>
          </w:p>
        </w:tc>
      </w:tr>
      <w:tr w:rsidR="00FD7BCF" w:rsidRPr="00FD7BCF" w14:paraId="305A6144" w14:textId="77777777" w:rsidTr="002D46C1">
        <w:trPr>
          <w:trHeight w:val="285"/>
          <w:jc w:val="center"/>
        </w:trPr>
        <w:tc>
          <w:tcPr>
            <w:tcW w:w="2540" w:type="dxa"/>
            <w:hideMark/>
          </w:tcPr>
          <w:p w14:paraId="57C428EB" w14:textId="77777777" w:rsidR="004E4546" w:rsidRPr="00FD7BCF" w:rsidRDefault="004E4546"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90 Mbps</w:t>
            </w:r>
          </w:p>
        </w:tc>
        <w:tc>
          <w:tcPr>
            <w:tcW w:w="1460" w:type="dxa"/>
            <w:hideMark/>
          </w:tcPr>
          <w:p w14:paraId="1B62977D"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$68.20</w:t>
            </w:r>
          </w:p>
        </w:tc>
      </w:tr>
      <w:tr w:rsidR="00FD7BCF" w:rsidRPr="00FD7BCF" w14:paraId="60C4C44C" w14:textId="77777777" w:rsidTr="002D46C1">
        <w:trPr>
          <w:trHeight w:val="285"/>
          <w:jc w:val="center"/>
        </w:trPr>
        <w:tc>
          <w:tcPr>
            <w:tcW w:w="2540" w:type="dxa"/>
            <w:hideMark/>
          </w:tcPr>
          <w:p w14:paraId="165232CA" w14:textId="77777777" w:rsidR="004E4546" w:rsidRPr="00FD7BCF" w:rsidRDefault="004E4546"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Ethernet 100 Mbps</w:t>
            </w:r>
          </w:p>
        </w:tc>
        <w:tc>
          <w:tcPr>
            <w:tcW w:w="1460" w:type="dxa"/>
            <w:hideMark/>
          </w:tcPr>
          <w:p w14:paraId="6A7334FD"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$69.75</w:t>
            </w:r>
          </w:p>
        </w:tc>
      </w:tr>
      <w:tr w:rsidR="00FD7BCF" w:rsidRPr="00FD7BCF" w14:paraId="08E5DFC2" w14:textId="77777777" w:rsidTr="002D46C1">
        <w:trPr>
          <w:trHeight w:val="285"/>
          <w:jc w:val="center"/>
        </w:trPr>
        <w:tc>
          <w:tcPr>
            <w:tcW w:w="2540" w:type="dxa"/>
            <w:hideMark/>
          </w:tcPr>
          <w:p w14:paraId="77AB7125" w14:textId="77777777" w:rsidR="004E4546"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4E4546" w:rsidRPr="00FD7BCF">
              <w:rPr>
                <w:rFonts w:ascii="ITC Avant Garde" w:eastAsia="Times New Roman" w:hAnsi="ITC Avant Garde"/>
                <w:sz w:val="20"/>
                <w:szCs w:val="20"/>
                <w:lang w:eastAsia="es-MX"/>
              </w:rPr>
              <w:t xml:space="preserve"> 100 Mbps</w:t>
            </w:r>
          </w:p>
        </w:tc>
        <w:tc>
          <w:tcPr>
            <w:tcW w:w="1460" w:type="dxa"/>
            <w:hideMark/>
          </w:tcPr>
          <w:p w14:paraId="07209AF8"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$69.75</w:t>
            </w:r>
          </w:p>
        </w:tc>
      </w:tr>
      <w:tr w:rsidR="00FD7BCF" w:rsidRPr="00FD7BCF" w14:paraId="428E0553" w14:textId="77777777" w:rsidTr="002D46C1">
        <w:trPr>
          <w:trHeight w:val="285"/>
          <w:jc w:val="center"/>
        </w:trPr>
        <w:tc>
          <w:tcPr>
            <w:tcW w:w="2540" w:type="dxa"/>
            <w:hideMark/>
          </w:tcPr>
          <w:p w14:paraId="75C5C9C6" w14:textId="77777777" w:rsidR="004E4546"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4E4546" w:rsidRPr="00FD7BCF">
              <w:rPr>
                <w:rFonts w:ascii="ITC Avant Garde" w:eastAsia="Times New Roman" w:hAnsi="ITC Avant Garde"/>
                <w:sz w:val="20"/>
                <w:szCs w:val="20"/>
                <w:lang w:eastAsia="es-MX"/>
              </w:rPr>
              <w:t xml:space="preserve"> 150 Mbps</w:t>
            </w:r>
          </w:p>
        </w:tc>
        <w:tc>
          <w:tcPr>
            <w:tcW w:w="1460" w:type="dxa"/>
            <w:hideMark/>
          </w:tcPr>
          <w:p w14:paraId="3FDAA8E4"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$97.65</w:t>
            </w:r>
          </w:p>
        </w:tc>
      </w:tr>
      <w:tr w:rsidR="00FD7BCF" w:rsidRPr="00FD7BCF" w14:paraId="4E935F11" w14:textId="77777777" w:rsidTr="002D46C1">
        <w:trPr>
          <w:trHeight w:val="285"/>
          <w:jc w:val="center"/>
        </w:trPr>
        <w:tc>
          <w:tcPr>
            <w:tcW w:w="2540" w:type="dxa"/>
            <w:hideMark/>
          </w:tcPr>
          <w:p w14:paraId="5D6F1A77" w14:textId="77777777" w:rsidR="004E4546"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lastRenderedPageBreak/>
              <w:t>Giga Ethernet</w:t>
            </w:r>
            <w:r w:rsidR="004E4546" w:rsidRPr="00FD7BCF">
              <w:rPr>
                <w:rFonts w:ascii="ITC Avant Garde" w:eastAsia="Times New Roman" w:hAnsi="ITC Avant Garde"/>
                <w:sz w:val="20"/>
                <w:szCs w:val="20"/>
                <w:lang w:eastAsia="es-MX"/>
              </w:rPr>
              <w:t xml:space="preserve"> 200 Mbps</w:t>
            </w:r>
          </w:p>
        </w:tc>
        <w:tc>
          <w:tcPr>
            <w:tcW w:w="1460" w:type="dxa"/>
            <w:hideMark/>
          </w:tcPr>
          <w:p w14:paraId="0A5734DB"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$130.20</w:t>
            </w:r>
          </w:p>
        </w:tc>
      </w:tr>
      <w:tr w:rsidR="00FD7BCF" w:rsidRPr="00FD7BCF" w14:paraId="50E2A5CF" w14:textId="77777777" w:rsidTr="002D46C1">
        <w:trPr>
          <w:trHeight w:val="285"/>
          <w:jc w:val="center"/>
        </w:trPr>
        <w:tc>
          <w:tcPr>
            <w:tcW w:w="2540" w:type="dxa"/>
            <w:hideMark/>
          </w:tcPr>
          <w:p w14:paraId="06B30125" w14:textId="77777777" w:rsidR="004E4546"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4E4546" w:rsidRPr="00FD7BCF">
              <w:rPr>
                <w:rFonts w:ascii="ITC Avant Garde" w:eastAsia="Times New Roman" w:hAnsi="ITC Avant Garde"/>
                <w:sz w:val="20"/>
                <w:szCs w:val="20"/>
                <w:lang w:eastAsia="es-MX"/>
              </w:rPr>
              <w:t xml:space="preserve"> 250 Mbps</w:t>
            </w:r>
          </w:p>
        </w:tc>
        <w:tc>
          <w:tcPr>
            <w:tcW w:w="1460" w:type="dxa"/>
            <w:hideMark/>
          </w:tcPr>
          <w:p w14:paraId="1C3FA67C"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$151.28</w:t>
            </w:r>
          </w:p>
        </w:tc>
      </w:tr>
      <w:tr w:rsidR="00FD7BCF" w:rsidRPr="00FD7BCF" w14:paraId="6974C594" w14:textId="77777777" w:rsidTr="002D46C1">
        <w:trPr>
          <w:trHeight w:val="285"/>
          <w:jc w:val="center"/>
        </w:trPr>
        <w:tc>
          <w:tcPr>
            <w:tcW w:w="2540" w:type="dxa"/>
            <w:hideMark/>
          </w:tcPr>
          <w:p w14:paraId="21FFC9F9" w14:textId="77777777" w:rsidR="004E4546"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4E4546" w:rsidRPr="00FD7BCF">
              <w:rPr>
                <w:rFonts w:ascii="ITC Avant Garde" w:eastAsia="Times New Roman" w:hAnsi="ITC Avant Garde"/>
                <w:sz w:val="20"/>
                <w:szCs w:val="20"/>
                <w:lang w:eastAsia="es-MX"/>
              </w:rPr>
              <w:t xml:space="preserve"> 300 Mbps</w:t>
            </w:r>
          </w:p>
        </w:tc>
        <w:tc>
          <w:tcPr>
            <w:tcW w:w="1460" w:type="dxa"/>
            <w:hideMark/>
          </w:tcPr>
          <w:p w14:paraId="6CF40BC7"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$181.35</w:t>
            </w:r>
          </w:p>
        </w:tc>
      </w:tr>
      <w:tr w:rsidR="00FD7BCF" w:rsidRPr="00FD7BCF" w14:paraId="3C67BAD7" w14:textId="77777777" w:rsidTr="002D46C1">
        <w:trPr>
          <w:trHeight w:val="285"/>
          <w:jc w:val="center"/>
        </w:trPr>
        <w:tc>
          <w:tcPr>
            <w:tcW w:w="2540" w:type="dxa"/>
            <w:hideMark/>
          </w:tcPr>
          <w:p w14:paraId="3FCCBB5F" w14:textId="77777777" w:rsidR="004E4546"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4E4546" w:rsidRPr="00FD7BCF">
              <w:rPr>
                <w:rFonts w:ascii="ITC Avant Garde" w:eastAsia="Times New Roman" w:hAnsi="ITC Avant Garde"/>
                <w:sz w:val="20"/>
                <w:szCs w:val="20"/>
                <w:lang w:eastAsia="es-MX"/>
              </w:rPr>
              <w:t xml:space="preserve"> 350 Mbps</w:t>
            </w:r>
          </w:p>
        </w:tc>
        <w:tc>
          <w:tcPr>
            <w:tcW w:w="1460" w:type="dxa"/>
            <w:hideMark/>
          </w:tcPr>
          <w:p w14:paraId="2C3D07FA"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$211.73</w:t>
            </w:r>
          </w:p>
        </w:tc>
      </w:tr>
      <w:tr w:rsidR="00FD7BCF" w:rsidRPr="00FD7BCF" w14:paraId="7B8A5529" w14:textId="77777777" w:rsidTr="002D46C1">
        <w:trPr>
          <w:trHeight w:val="285"/>
          <w:jc w:val="center"/>
        </w:trPr>
        <w:tc>
          <w:tcPr>
            <w:tcW w:w="2540" w:type="dxa"/>
            <w:hideMark/>
          </w:tcPr>
          <w:p w14:paraId="7277ACB5" w14:textId="77777777" w:rsidR="004E4546" w:rsidRPr="00FD7BCF" w:rsidRDefault="004E4546"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 400 Mbps</w:t>
            </w:r>
          </w:p>
        </w:tc>
        <w:tc>
          <w:tcPr>
            <w:tcW w:w="1460" w:type="dxa"/>
            <w:hideMark/>
          </w:tcPr>
          <w:p w14:paraId="74299D74"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$241.80</w:t>
            </w:r>
          </w:p>
        </w:tc>
      </w:tr>
      <w:tr w:rsidR="00FD7BCF" w:rsidRPr="00FD7BCF" w14:paraId="1B52A210" w14:textId="77777777" w:rsidTr="002D46C1">
        <w:trPr>
          <w:trHeight w:val="384"/>
          <w:jc w:val="center"/>
        </w:trPr>
        <w:tc>
          <w:tcPr>
            <w:tcW w:w="2540" w:type="dxa"/>
            <w:hideMark/>
          </w:tcPr>
          <w:p w14:paraId="04F20700" w14:textId="77777777" w:rsidR="004E4546"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4E4546" w:rsidRPr="00FD7BCF">
              <w:rPr>
                <w:rFonts w:ascii="ITC Avant Garde" w:eastAsia="Times New Roman" w:hAnsi="ITC Avant Garde"/>
                <w:sz w:val="20"/>
                <w:szCs w:val="20"/>
                <w:lang w:eastAsia="es-MX"/>
              </w:rPr>
              <w:t xml:space="preserve"> 450 Mbps</w:t>
            </w:r>
          </w:p>
        </w:tc>
        <w:tc>
          <w:tcPr>
            <w:tcW w:w="1460" w:type="dxa"/>
            <w:hideMark/>
          </w:tcPr>
          <w:p w14:paraId="54033D47"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$272.18</w:t>
            </w:r>
          </w:p>
        </w:tc>
      </w:tr>
      <w:tr w:rsidR="00FD7BCF" w:rsidRPr="00FD7BCF" w14:paraId="553F5494" w14:textId="77777777" w:rsidTr="002D46C1">
        <w:trPr>
          <w:trHeight w:val="285"/>
          <w:jc w:val="center"/>
        </w:trPr>
        <w:tc>
          <w:tcPr>
            <w:tcW w:w="2540" w:type="dxa"/>
          </w:tcPr>
          <w:p w14:paraId="292ED78D" w14:textId="77777777" w:rsidR="00F904A0" w:rsidRPr="00FD7BCF" w:rsidRDefault="00F904A0" w:rsidP="00B42019">
            <w:pPr>
              <w:spacing w:after="0" w:line="276" w:lineRule="auto"/>
              <w:jc w:val="center"/>
              <w:rPr>
                <w:rFonts w:ascii="ITC Avant Garde" w:eastAsia="Times New Roman" w:hAnsi="ITC Avant Garde"/>
                <w:b/>
                <w:sz w:val="20"/>
                <w:szCs w:val="20"/>
                <w:lang w:eastAsia="es-MX"/>
              </w:rPr>
            </w:pPr>
            <w:r w:rsidRPr="00FD7BCF">
              <w:rPr>
                <w:rFonts w:ascii="ITC Avant Garde" w:eastAsia="Times New Roman" w:hAnsi="ITC Avant Garde"/>
                <w:b/>
                <w:sz w:val="20"/>
                <w:szCs w:val="20"/>
                <w:lang w:eastAsia="es-MX"/>
              </w:rPr>
              <w:t>Velocidad</w:t>
            </w:r>
          </w:p>
        </w:tc>
        <w:tc>
          <w:tcPr>
            <w:tcW w:w="1460" w:type="dxa"/>
          </w:tcPr>
          <w:p w14:paraId="05101697" w14:textId="77777777" w:rsidR="00F904A0" w:rsidRPr="00FD7BCF" w:rsidRDefault="00F904A0" w:rsidP="00B42019">
            <w:pPr>
              <w:spacing w:after="0" w:line="276" w:lineRule="auto"/>
              <w:jc w:val="center"/>
              <w:rPr>
                <w:rFonts w:ascii="ITC Avant Garde" w:eastAsia="Times New Roman" w:hAnsi="ITC Avant Garde"/>
                <w:b/>
                <w:sz w:val="20"/>
                <w:szCs w:val="20"/>
                <w:lang w:eastAsia="es-MX"/>
              </w:rPr>
            </w:pPr>
            <w:r w:rsidRPr="00FD7BCF">
              <w:rPr>
                <w:rFonts w:ascii="ITC Avant Garde" w:eastAsia="Times New Roman" w:hAnsi="ITC Avant Garde"/>
                <w:b/>
                <w:sz w:val="20"/>
                <w:szCs w:val="20"/>
                <w:lang w:eastAsia="es-MX"/>
              </w:rPr>
              <w:t>Cargo x Km</w:t>
            </w:r>
          </w:p>
        </w:tc>
      </w:tr>
      <w:tr w:rsidR="00FD7BCF" w:rsidRPr="00FD7BCF" w14:paraId="174FF066" w14:textId="77777777" w:rsidTr="002D46C1">
        <w:trPr>
          <w:trHeight w:val="285"/>
          <w:jc w:val="center"/>
        </w:trPr>
        <w:tc>
          <w:tcPr>
            <w:tcW w:w="2540" w:type="dxa"/>
            <w:hideMark/>
          </w:tcPr>
          <w:p w14:paraId="4C200E69" w14:textId="77777777" w:rsidR="004E4546"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4E4546" w:rsidRPr="00FD7BCF">
              <w:rPr>
                <w:rFonts w:ascii="ITC Avant Garde" w:eastAsia="Times New Roman" w:hAnsi="ITC Avant Garde"/>
                <w:sz w:val="20"/>
                <w:szCs w:val="20"/>
                <w:lang w:eastAsia="es-MX"/>
              </w:rPr>
              <w:t xml:space="preserve"> 500 Mbps</w:t>
            </w:r>
          </w:p>
        </w:tc>
        <w:tc>
          <w:tcPr>
            <w:tcW w:w="1460" w:type="dxa"/>
            <w:hideMark/>
          </w:tcPr>
          <w:p w14:paraId="04D5C0BE"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$277.14</w:t>
            </w:r>
          </w:p>
        </w:tc>
      </w:tr>
      <w:tr w:rsidR="00FD7BCF" w:rsidRPr="00FD7BCF" w14:paraId="548124B8" w14:textId="77777777" w:rsidTr="002D46C1">
        <w:trPr>
          <w:trHeight w:val="285"/>
          <w:jc w:val="center"/>
        </w:trPr>
        <w:tc>
          <w:tcPr>
            <w:tcW w:w="2540" w:type="dxa"/>
            <w:hideMark/>
          </w:tcPr>
          <w:p w14:paraId="70C63572" w14:textId="77777777" w:rsidR="004E4546"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4E4546" w:rsidRPr="00FD7BCF">
              <w:rPr>
                <w:rFonts w:ascii="ITC Avant Garde" w:eastAsia="Times New Roman" w:hAnsi="ITC Avant Garde"/>
                <w:sz w:val="20"/>
                <w:szCs w:val="20"/>
                <w:lang w:eastAsia="es-MX"/>
              </w:rPr>
              <w:t xml:space="preserve"> 550 Mbps</w:t>
            </w:r>
          </w:p>
        </w:tc>
        <w:tc>
          <w:tcPr>
            <w:tcW w:w="1460" w:type="dxa"/>
            <w:hideMark/>
          </w:tcPr>
          <w:p w14:paraId="7EFD3FAF"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$304.73</w:t>
            </w:r>
          </w:p>
        </w:tc>
      </w:tr>
      <w:tr w:rsidR="00FD7BCF" w:rsidRPr="00FD7BCF" w14:paraId="3312E2DF" w14:textId="77777777" w:rsidTr="002D46C1">
        <w:trPr>
          <w:trHeight w:val="285"/>
          <w:jc w:val="center"/>
        </w:trPr>
        <w:tc>
          <w:tcPr>
            <w:tcW w:w="2540" w:type="dxa"/>
            <w:hideMark/>
          </w:tcPr>
          <w:p w14:paraId="796A8254" w14:textId="77777777" w:rsidR="004E4546"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4E4546" w:rsidRPr="00FD7BCF">
              <w:rPr>
                <w:rFonts w:ascii="ITC Avant Garde" w:eastAsia="Times New Roman" w:hAnsi="ITC Avant Garde"/>
                <w:sz w:val="20"/>
                <w:szCs w:val="20"/>
                <w:lang w:eastAsia="es-MX"/>
              </w:rPr>
              <w:t xml:space="preserve"> 600 Mbps</w:t>
            </w:r>
          </w:p>
        </w:tc>
        <w:tc>
          <w:tcPr>
            <w:tcW w:w="1460" w:type="dxa"/>
            <w:hideMark/>
          </w:tcPr>
          <w:p w14:paraId="0616C868"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$332.63</w:t>
            </w:r>
          </w:p>
        </w:tc>
      </w:tr>
      <w:tr w:rsidR="00FD7BCF" w:rsidRPr="00FD7BCF" w14:paraId="1A315B09" w14:textId="77777777" w:rsidTr="002D46C1">
        <w:trPr>
          <w:trHeight w:val="285"/>
          <w:jc w:val="center"/>
        </w:trPr>
        <w:tc>
          <w:tcPr>
            <w:tcW w:w="2540" w:type="dxa"/>
            <w:hideMark/>
          </w:tcPr>
          <w:p w14:paraId="76965B7A" w14:textId="77777777" w:rsidR="004E4546"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4E4546" w:rsidRPr="00FD7BCF">
              <w:rPr>
                <w:rFonts w:ascii="ITC Avant Garde" w:eastAsia="Times New Roman" w:hAnsi="ITC Avant Garde"/>
                <w:sz w:val="20"/>
                <w:szCs w:val="20"/>
                <w:lang w:eastAsia="es-MX"/>
              </w:rPr>
              <w:t xml:space="preserve"> 750 Mbps</w:t>
            </w:r>
          </w:p>
        </w:tc>
        <w:tc>
          <w:tcPr>
            <w:tcW w:w="1460" w:type="dxa"/>
            <w:hideMark/>
          </w:tcPr>
          <w:p w14:paraId="014048B1"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$415.71</w:t>
            </w:r>
          </w:p>
        </w:tc>
      </w:tr>
      <w:tr w:rsidR="00FD7BCF" w:rsidRPr="00FD7BCF" w14:paraId="3171A680" w14:textId="77777777" w:rsidTr="002D46C1">
        <w:trPr>
          <w:trHeight w:val="285"/>
          <w:jc w:val="center"/>
        </w:trPr>
        <w:tc>
          <w:tcPr>
            <w:tcW w:w="2540" w:type="dxa"/>
            <w:hideMark/>
          </w:tcPr>
          <w:p w14:paraId="727E2C9A" w14:textId="77777777" w:rsidR="004E4546" w:rsidRPr="00FD7BCF" w:rsidRDefault="00C67112"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Giga Ethernet</w:t>
            </w:r>
            <w:r w:rsidR="004E4546" w:rsidRPr="00FD7BCF">
              <w:rPr>
                <w:rFonts w:ascii="ITC Avant Garde" w:eastAsia="Times New Roman" w:hAnsi="ITC Avant Garde"/>
                <w:sz w:val="20"/>
                <w:szCs w:val="20"/>
                <w:lang w:eastAsia="es-MX"/>
              </w:rPr>
              <w:t xml:space="preserve"> 1Gbps</w:t>
            </w:r>
          </w:p>
        </w:tc>
        <w:tc>
          <w:tcPr>
            <w:tcW w:w="1460" w:type="dxa"/>
            <w:hideMark/>
          </w:tcPr>
          <w:p w14:paraId="6D820E76" w14:textId="77777777" w:rsidR="004E4546" w:rsidRPr="00FD7BCF" w:rsidRDefault="004E4546"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$503.75</w:t>
            </w:r>
          </w:p>
        </w:tc>
      </w:tr>
      <w:tr w:rsidR="00FD7BCF" w:rsidRPr="00FD7BCF" w14:paraId="5F4C907B" w14:textId="77777777" w:rsidTr="002D46C1">
        <w:trPr>
          <w:trHeight w:val="285"/>
          <w:jc w:val="center"/>
        </w:trPr>
        <w:tc>
          <w:tcPr>
            <w:tcW w:w="2540" w:type="dxa"/>
            <w:hideMark/>
          </w:tcPr>
          <w:p w14:paraId="559F0734" w14:textId="5F3CAF80" w:rsidR="00D76154" w:rsidRPr="00FD7BCF" w:rsidRDefault="00D76154"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2 </w:t>
            </w:r>
            <w:proofErr w:type="spellStart"/>
            <w:r w:rsidRPr="00FD7BCF">
              <w:rPr>
                <w:rFonts w:ascii="ITC Avant Garde" w:eastAsia="Times New Roman" w:hAnsi="ITC Avant Garde"/>
                <w:sz w:val="20"/>
                <w:szCs w:val="20"/>
                <w:lang w:eastAsia="es-MX"/>
              </w:rPr>
              <w:t>Gbps</w:t>
            </w:r>
            <w:proofErr w:type="spellEnd"/>
          </w:p>
        </w:tc>
        <w:tc>
          <w:tcPr>
            <w:tcW w:w="1460" w:type="dxa"/>
            <w:hideMark/>
          </w:tcPr>
          <w:p w14:paraId="50E43EDD" w14:textId="6B8A40BD" w:rsidR="00D76154" w:rsidRPr="00FD7BCF" w:rsidRDefault="00D76154"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$881.33</w:t>
            </w:r>
          </w:p>
        </w:tc>
      </w:tr>
      <w:tr w:rsidR="00FD7BCF" w:rsidRPr="00FD7BCF" w14:paraId="119D73E8" w14:textId="77777777" w:rsidTr="002D46C1">
        <w:trPr>
          <w:trHeight w:val="285"/>
          <w:jc w:val="center"/>
        </w:trPr>
        <w:tc>
          <w:tcPr>
            <w:tcW w:w="2540" w:type="dxa"/>
            <w:hideMark/>
          </w:tcPr>
          <w:p w14:paraId="174FA39D" w14:textId="70D52DB3" w:rsidR="00D76154" w:rsidRPr="00FD7BCF" w:rsidRDefault="00D76154"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4 </w:t>
            </w:r>
            <w:proofErr w:type="spellStart"/>
            <w:r w:rsidRPr="00FD7BCF">
              <w:rPr>
                <w:rFonts w:ascii="ITC Avant Garde" w:eastAsia="Times New Roman" w:hAnsi="ITC Avant Garde"/>
                <w:sz w:val="20"/>
                <w:szCs w:val="20"/>
                <w:lang w:eastAsia="es-MX"/>
              </w:rPr>
              <w:t>Gbps</w:t>
            </w:r>
            <w:proofErr w:type="spellEnd"/>
          </w:p>
        </w:tc>
        <w:tc>
          <w:tcPr>
            <w:tcW w:w="1460" w:type="dxa"/>
            <w:hideMark/>
          </w:tcPr>
          <w:p w14:paraId="65448B36" w14:textId="5C17BACE" w:rsidR="00D76154" w:rsidRPr="00FD7BCF" w:rsidRDefault="00D76154"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$1,762.97</w:t>
            </w:r>
          </w:p>
        </w:tc>
      </w:tr>
      <w:tr w:rsidR="00FD7BCF" w:rsidRPr="00FD7BCF" w14:paraId="72413F36" w14:textId="77777777" w:rsidTr="002D46C1">
        <w:trPr>
          <w:trHeight w:val="285"/>
          <w:jc w:val="center"/>
        </w:trPr>
        <w:tc>
          <w:tcPr>
            <w:tcW w:w="2540" w:type="dxa"/>
            <w:hideMark/>
          </w:tcPr>
          <w:p w14:paraId="6074443A" w14:textId="6CE0778B" w:rsidR="00D76154" w:rsidRPr="00FD7BCF" w:rsidRDefault="00D76154"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6 </w:t>
            </w:r>
            <w:proofErr w:type="spellStart"/>
            <w:r w:rsidRPr="00FD7BCF">
              <w:rPr>
                <w:rFonts w:ascii="ITC Avant Garde" w:eastAsia="Times New Roman" w:hAnsi="ITC Avant Garde"/>
                <w:sz w:val="20"/>
                <w:szCs w:val="20"/>
                <w:lang w:eastAsia="es-MX"/>
              </w:rPr>
              <w:t>Gbps</w:t>
            </w:r>
            <w:proofErr w:type="spellEnd"/>
          </w:p>
        </w:tc>
        <w:tc>
          <w:tcPr>
            <w:tcW w:w="1460" w:type="dxa"/>
            <w:hideMark/>
          </w:tcPr>
          <w:p w14:paraId="676A40B5" w14:textId="14FA4A98" w:rsidR="00D76154" w:rsidRPr="00FD7BCF" w:rsidRDefault="00D76154"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$2,644.61</w:t>
            </w:r>
          </w:p>
        </w:tc>
      </w:tr>
      <w:tr w:rsidR="00FD7BCF" w:rsidRPr="00FD7BCF" w14:paraId="16187AA6" w14:textId="77777777" w:rsidTr="002D46C1">
        <w:trPr>
          <w:trHeight w:val="285"/>
          <w:jc w:val="center"/>
        </w:trPr>
        <w:tc>
          <w:tcPr>
            <w:tcW w:w="2540" w:type="dxa"/>
            <w:hideMark/>
          </w:tcPr>
          <w:p w14:paraId="4C22E431" w14:textId="75B21DD9" w:rsidR="00D76154" w:rsidRPr="00FD7BCF" w:rsidRDefault="00D76154"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8 </w:t>
            </w:r>
            <w:proofErr w:type="spellStart"/>
            <w:r w:rsidRPr="00FD7BCF">
              <w:rPr>
                <w:rFonts w:ascii="ITC Avant Garde" w:eastAsia="Times New Roman" w:hAnsi="ITC Avant Garde"/>
                <w:sz w:val="20"/>
                <w:szCs w:val="20"/>
                <w:lang w:eastAsia="es-MX"/>
              </w:rPr>
              <w:t>Gbps</w:t>
            </w:r>
            <w:proofErr w:type="spellEnd"/>
          </w:p>
        </w:tc>
        <w:tc>
          <w:tcPr>
            <w:tcW w:w="1460" w:type="dxa"/>
            <w:hideMark/>
          </w:tcPr>
          <w:p w14:paraId="71990317" w14:textId="33697D89" w:rsidR="00D76154" w:rsidRPr="00FD7BCF" w:rsidRDefault="00D76154"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$3,400.08</w:t>
            </w:r>
          </w:p>
        </w:tc>
      </w:tr>
      <w:tr w:rsidR="00D76154" w:rsidRPr="00FD7BCF" w14:paraId="74AA4B0A" w14:textId="77777777" w:rsidTr="002D46C1">
        <w:trPr>
          <w:trHeight w:val="285"/>
          <w:jc w:val="center"/>
        </w:trPr>
        <w:tc>
          <w:tcPr>
            <w:tcW w:w="2540" w:type="dxa"/>
            <w:hideMark/>
          </w:tcPr>
          <w:p w14:paraId="4425FE5B" w14:textId="4D3001BF" w:rsidR="00D76154" w:rsidRPr="00FD7BCF" w:rsidRDefault="00D76154" w:rsidP="00B42019">
            <w:pPr>
              <w:spacing w:after="0" w:line="276" w:lineRule="auto"/>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 xml:space="preserve">Giga Ethernet 10 </w:t>
            </w:r>
            <w:proofErr w:type="spellStart"/>
            <w:r w:rsidRPr="00FD7BCF">
              <w:rPr>
                <w:rFonts w:ascii="ITC Avant Garde" w:eastAsia="Times New Roman" w:hAnsi="ITC Avant Garde"/>
                <w:sz w:val="20"/>
                <w:szCs w:val="20"/>
                <w:lang w:eastAsia="es-MX"/>
              </w:rPr>
              <w:t>Gbps</w:t>
            </w:r>
            <w:proofErr w:type="spellEnd"/>
          </w:p>
        </w:tc>
        <w:tc>
          <w:tcPr>
            <w:tcW w:w="1460" w:type="dxa"/>
            <w:hideMark/>
          </w:tcPr>
          <w:p w14:paraId="009BD0EA" w14:textId="690F1F26" w:rsidR="00D76154" w:rsidRPr="00FD7BCF" w:rsidRDefault="00D76154" w:rsidP="00B42019">
            <w:pPr>
              <w:spacing w:after="0" w:line="276" w:lineRule="auto"/>
              <w:jc w:val="right"/>
              <w:rPr>
                <w:rFonts w:ascii="ITC Avant Garde" w:eastAsia="Times New Roman" w:hAnsi="ITC Avant Garde"/>
                <w:sz w:val="20"/>
                <w:szCs w:val="20"/>
                <w:lang w:eastAsia="es-MX"/>
              </w:rPr>
            </w:pPr>
            <w:r w:rsidRPr="00FD7BCF">
              <w:rPr>
                <w:rFonts w:ascii="ITC Avant Garde" w:eastAsia="Times New Roman" w:hAnsi="ITC Avant Garde"/>
                <w:sz w:val="20"/>
                <w:szCs w:val="20"/>
                <w:lang w:eastAsia="es-MX"/>
              </w:rPr>
              <w:t>$3,778.28</w:t>
            </w:r>
          </w:p>
        </w:tc>
      </w:tr>
    </w:tbl>
    <w:p w14:paraId="22FC94E4" w14:textId="77777777" w:rsidR="00B42019" w:rsidRDefault="00AC312E" w:rsidP="00B42019">
      <w:pPr>
        <w:spacing w:before="240" w:line="276" w:lineRule="auto"/>
        <w:jc w:val="both"/>
        <w:rPr>
          <w:rFonts w:ascii="ITC Avant Garde" w:hAnsi="ITC Avant Garde" w:cs="Arial"/>
        </w:rPr>
      </w:pPr>
      <w:r w:rsidRPr="00FD7BCF">
        <w:rPr>
          <w:rFonts w:ascii="ITC Avant Garde" w:hAnsi="ITC Avant Garde" w:cs="Arial"/>
          <w:b/>
        </w:rPr>
        <w:t>SEGUNDO</w:t>
      </w:r>
      <w:r w:rsidR="00972C26" w:rsidRPr="00FD7BCF">
        <w:rPr>
          <w:rFonts w:ascii="ITC Avant Garde" w:hAnsi="ITC Avant Garde" w:cs="Arial"/>
          <w:b/>
        </w:rPr>
        <w:t>.-</w:t>
      </w:r>
      <w:r w:rsidR="00972C26" w:rsidRPr="00FD7BCF">
        <w:rPr>
          <w:rFonts w:ascii="ITC Avant Garde" w:hAnsi="ITC Avant Garde" w:cs="Arial"/>
        </w:rPr>
        <w:t xml:space="preserve"> </w:t>
      </w:r>
      <w:r w:rsidR="00834517" w:rsidRPr="00FD7BCF">
        <w:rPr>
          <w:rFonts w:ascii="ITC Avant Garde" w:hAnsi="ITC Avant Garde" w:cs="Arial"/>
        </w:rPr>
        <w:t>Dentro de los diez (10) días hábiles contados a partir del día siguiente en que surta efectos legales la notificación de la presente Resolución y con independencia de su obligación de cumplir co</w:t>
      </w:r>
      <w:r w:rsidR="00D31FEE" w:rsidRPr="00FD7BCF">
        <w:rPr>
          <w:rFonts w:ascii="ITC Avant Garde" w:hAnsi="ITC Avant Garde" w:cs="Arial"/>
        </w:rPr>
        <w:t>n la prestación del servicio de arrendamiento de enlaces dedicados</w:t>
      </w:r>
      <w:r w:rsidR="00834517" w:rsidRPr="00FD7BCF">
        <w:rPr>
          <w:rFonts w:ascii="ITC Avant Garde" w:hAnsi="ITC Avant Garde" w:cs="Arial"/>
        </w:rPr>
        <w:t xml:space="preserve"> conforme a las condiciones y tarifas establecidas en la presente Resolución, </w:t>
      </w:r>
      <w:proofErr w:type="spellStart"/>
      <w:r w:rsidR="00AC4400" w:rsidRPr="00FD7BCF">
        <w:rPr>
          <w:rFonts w:ascii="ITC Avant Garde" w:hAnsi="ITC Avant Garde" w:cs="Arial"/>
        </w:rPr>
        <w:t>Bestphone</w:t>
      </w:r>
      <w:proofErr w:type="spellEnd"/>
      <w:r w:rsidR="00AC4400" w:rsidRPr="00FD7BCF">
        <w:rPr>
          <w:rFonts w:ascii="ITC Avant Garde" w:hAnsi="ITC Avant Garde" w:cs="Arial"/>
        </w:rPr>
        <w:t xml:space="preserve">, S.A. de C.V., </w:t>
      </w:r>
      <w:proofErr w:type="spellStart"/>
      <w:r w:rsidR="00AC4400" w:rsidRPr="00FD7BCF">
        <w:rPr>
          <w:rFonts w:ascii="ITC Avant Garde" w:hAnsi="ITC Avant Garde" w:cs="Arial"/>
        </w:rPr>
        <w:t>Operbes</w:t>
      </w:r>
      <w:proofErr w:type="spellEnd"/>
      <w:r w:rsidR="00AC4400" w:rsidRPr="00FD7BCF">
        <w:rPr>
          <w:rFonts w:ascii="ITC Avant Garde" w:hAnsi="ITC Avant Garde" w:cs="Arial"/>
        </w:rPr>
        <w:t xml:space="preserve"> S.A. de C.V., </w:t>
      </w:r>
      <w:proofErr w:type="spellStart"/>
      <w:r w:rsidR="00AC4400" w:rsidRPr="00FD7BCF">
        <w:rPr>
          <w:rFonts w:ascii="ITC Avant Garde" w:hAnsi="ITC Avant Garde" w:cs="Arial"/>
        </w:rPr>
        <w:t>Cablemás</w:t>
      </w:r>
      <w:proofErr w:type="spellEnd"/>
      <w:r w:rsidR="00AC4400" w:rsidRPr="00FD7BCF">
        <w:rPr>
          <w:rFonts w:ascii="ITC Avant Garde" w:hAnsi="ITC Avant Garde" w:cs="Arial"/>
        </w:rPr>
        <w:t xml:space="preserve"> Telecomunicaciones, S.A. de C.V., Cable y Comunicación de Campeche, S.A. de C.V., Cablevisión Red, S.A. de C.V., México Red de Telecomunicaciones, S. de R.L. de C.V., </w:t>
      </w:r>
      <w:r w:rsidR="00417145" w:rsidRPr="00FD7BCF">
        <w:rPr>
          <w:rFonts w:ascii="ITC Avant Garde" w:eastAsia="Times New Roman" w:hAnsi="ITC Avant Garde"/>
          <w:lang w:val="es-ES" w:eastAsia="es-ES"/>
        </w:rPr>
        <w:t>Teléfonos de México, S.A.B.</w:t>
      </w:r>
      <w:r w:rsidR="00834517" w:rsidRPr="00FD7BCF">
        <w:rPr>
          <w:rFonts w:ascii="ITC Avant Garde" w:hAnsi="ITC Avant Garde" w:cs="Helvetica"/>
          <w:lang w:eastAsia="es-MX"/>
        </w:rPr>
        <w:t xml:space="preserve"> y </w:t>
      </w:r>
      <w:r w:rsidR="00417145" w:rsidRPr="00FD7BCF">
        <w:rPr>
          <w:rFonts w:ascii="ITC Avant Garde" w:hAnsi="ITC Avant Garde" w:cs="Helvetica"/>
          <w:lang w:eastAsia="es-MX"/>
        </w:rPr>
        <w:t>Teléfonos del Noroeste</w:t>
      </w:r>
      <w:r w:rsidR="00834517" w:rsidRPr="00FD7BCF">
        <w:rPr>
          <w:rFonts w:ascii="ITC Avant Garde" w:hAnsi="ITC Avant Garde" w:cs="Helvetica"/>
          <w:lang w:eastAsia="es-MX"/>
        </w:rPr>
        <w:t>, S.A. de C.V.</w:t>
      </w:r>
      <w:r w:rsidR="00834517" w:rsidRPr="00FD7BCF">
        <w:rPr>
          <w:rFonts w:ascii="ITC Avant Garde" w:eastAsia="Times New Roman" w:hAnsi="ITC Avant Garde"/>
          <w:bCs/>
          <w:lang w:val="es-ES" w:eastAsia="es-ES"/>
        </w:rPr>
        <w:t>,</w:t>
      </w:r>
      <w:r w:rsidR="00834517" w:rsidRPr="00FD7BCF">
        <w:rPr>
          <w:rFonts w:ascii="ITC Avant Garde" w:hAnsi="ITC Avant Garde"/>
        </w:rPr>
        <w:t xml:space="preserve"> </w:t>
      </w:r>
      <w:r w:rsidR="00834517" w:rsidRPr="00FD7BCF">
        <w:rPr>
          <w:rFonts w:ascii="ITC Avant Garde" w:hAnsi="ITC Avant Garde" w:cs="Arial"/>
        </w:rPr>
        <w:t xml:space="preserve">deberán </w:t>
      </w:r>
      <w:r w:rsidR="00834517" w:rsidRPr="00FD7BCF">
        <w:rPr>
          <w:rFonts w:ascii="ITC Avant Garde" w:eastAsia="Times New Roman" w:hAnsi="ITC Avant Garde" w:cs="Arial"/>
        </w:rPr>
        <w:t xml:space="preserve">suscribir </w:t>
      </w:r>
      <w:r w:rsidR="00834517" w:rsidRPr="00FD7BCF">
        <w:rPr>
          <w:rFonts w:ascii="ITC Avant Garde" w:hAnsi="ITC Avant Garde" w:cs="Arial"/>
        </w:rPr>
        <w:t xml:space="preserve">los convenios </w:t>
      </w:r>
      <w:r w:rsidR="003E6DDF" w:rsidRPr="00FD7BCF">
        <w:rPr>
          <w:rFonts w:ascii="ITC Avant Garde" w:hAnsi="ITC Avant Garde" w:cs="Arial"/>
        </w:rPr>
        <w:t xml:space="preserve">modificatorios respectivos </w:t>
      </w:r>
      <w:r w:rsidR="00834517" w:rsidRPr="00FD7BCF">
        <w:rPr>
          <w:rFonts w:ascii="ITC Avant Garde" w:hAnsi="ITC Avant Garde" w:cs="Arial"/>
        </w:rPr>
        <w:t xml:space="preserve">conforme a los términos y condiciones determinados en </w:t>
      </w:r>
      <w:r w:rsidR="00543FEB" w:rsidRPr="00FD7BCF">
        <w:rPr>
          <w:rFonts w:ascii="ITC Avant Garde" w:hAnsi="ITC Avant Garde" w:cs="Arial"/>
        </w:rPr>
        <w:t xml:space="preserve">el </w:t>
      </w:r>
      <w:r w:rsidR="00834517" w:rsidRPr="00FD7BCF">
        <w:rPr>
          <w:rFonts w:ascii="ITC Avant Garde" w:hAnsi="ITC Avant Garde" w:cs="Arial"/>
        </w:rPr>
        <w:t>Resolutivo PRIMERO</w:t>
      </w:r>
      <w:r w:rsidR="00972C26" w:rsidRPr="00FD7BCF">
        <w:rPr>
          <w:rFonts w:ascii="ITC Avant Garde" w:hAnsi="ITC Avant Garde" w:cs="Arial"/>
        </w:rPr>
        <w:t xml:space="preserve"> </w:t>
      </w:r>
      <w:r w:rsidR="00834517" w:rsidRPr="00FD7BCF">
        <w:rPr>
          <w:rFonts w:ascii="ITC Avant Garde" w:hAnsi="ITC Avant Garde" w:cs="Arial"/>
        </w:rPr>
        <w:t xml:space="preserve">de la presente Resolución. Celebrado el convenio correspondiente, deberán </w:t>
      </w:r>
      <w:r w:rsidR="00834517" w:rsidRPr="00E967D9">
        <w:rPr>
          <w:rFonts w:ascii="ITC Avant Garde" w:hAnsi="ITC Avant Garde" w:cs="Arial"/>
        </w:rPr>
        <w:t xml:space="preserve">remitir conjunta o separadamente un ejemplar original o copia certificada del mismo a este Instituto Federal de Telecomunicaciones, para efectos de su inscripción en el Registro Público de Telecomunicaciones, dentro de los treinta (30) días hábiles siguientes </w:t>
      </w:r>
      <w:r w:rsidR="00834517" w:rsidRPr="00E967D9">
        <w:rPr>
          <w:rFonts w:ascii="ITC Avant Garde" w:hAnsi="ITC Avant Garde" w:cs="Arial"/>
        </w:rPr>
        <w:lastRenderedPageBreak/>
        <w:t>a su celebración, de conformidad con los art</w:t>
      </w:r>
      <w:r w:rsidR="00C20FE2" w:rsidRPr="00E967D9">
        <w:rPr>
          <w:rFonts w:ascii="ITC Avant Garde" w:hAnsi="ITC Avant Garde" w:cs="Arial"/>
        </w:rPr>
        <w:t>ículos</w:t>
      </w:r>
      <w:r w:rsidR="009B199F" w:rsidRPr="00E967D9">
        <w:rPr>
          <w:rFonts w:ascii="ITC Avant Garde" w:hAnsi="ITC Avant Garde" w:cs="Arial"/>
        </w:rPr>
        <w:t xml:space="preserve"> 176 y 177, fracciones XVI y XXII</w:t>
      </w:r>
      <w:r w:rsidR="00834517" w:rsidRPr="00E967D9">
        <w:rPr>
          <w:rFonts w:ascii="ITC Avant Garde" w:hAnsi="ITC Avant Garde" w:cs="Arial"/>
        </w:rPr>
        <w:t xml:space="preserve"> de la Ley Federal de Telecomunicaciones y Radiodifusión.</w:t>
      </w:r>
    </w:p>
    <w:p w14:paraId="3F46FC38" w14:textId="77777777" w:rsidR="00B42019" w:rsidRDefault="00956609" w:rsidP="00B42019">
      <w:pPr>
        <w:spacing w:before="240" w:line="276" w:lineRule="auto"/>
        <w:jc w:val="both"/>
        <w:rPr>
          <w:rFonts w:ascii="ITC Avant Garde" w:hAnsi="ITC Avant Garde" w:cs="Arial"/>
        </w:rPr>
      </w:pPr>
      <w:r w:rsidRPr="00E967D9">
        <w:rPr>
          <w:rFonts w:ascii="ITC Avant Garde" w:hAnsi="ITC Avant Garde" w:cs="Arial"/>
          <w:b/>
        </w:rPr>
        <w:t>TERCERO</w:t>
      </w:r>
      <w:r w:rsidR="00834517" w:rsidRPr="00E967D9">
        <w:rPr>
          <w:rFonts w:ascii="ITC Avant Garde" w:hAnsi="ITC Avant Garde" w:cs="Arial"/>
          <w:b/>
        </w:rPr>
        <w:t xml:space="preserve">.- </w:t>
      </w:r>
      <w:r w:rsidR="00834517" w:rsidRPr="00E967D9">
        <w:rPr>
          <w:rFonts w:ascii="ITC Avant Garde" w:hAnsi="ITC Avant Garde"/>
          <w:lang w:eastAsia="es-ES"/>
        </w:rPr>
        <w:t>En cumplimiento a lo dispuesto en</w:t>
      </w:r>
      <w:r w:rsidR="007071B6" w:rsidRPr="00E967D9">
        <w:rPr>
          <w:rFonts w:ascii="ITC Avant Garde" w:hAnsi="ITC Avant Garde"/>
          <w:lang w:eastAsia="es-ES"/>
        </w:rPr>
        <w:t xml:space="preserve"> el artículo 3, fracción XV de la Ley Federal de Procedimiento Administrativo, en relación con</w:t>
      </w:r>
      <w:r w:rsidR="00834517" w:rsidRPr="00E967D9">
        <w:rPr>
          <w:rFonts w:ascii="ITC Avant Garde" w:hAnsi="ITC Avant Garde"/>
          <w:lang w:eastAsia="es-ES"/>
        </w:rPr>
        <w:t xml:space="preserve"> los artículos 312 y 313 de la Ley Federal de Telecomunicaciones y Radiodifus</w:t>
      </w:r>
      <w:r w:rsidR="00AC4400" w:rsidRPr="00E967D9">
        <w:rPr>
          <w:rFonts w:ascii="ITC Avant Garde" w:hAnsi="ITC Avant Garde"/>
          <w:lang w:eastAsia="es-ES"/>
        </w:rPr>
        <w:t>ión, se hace del conocimiento de</w:t>
      </w:r>
      <w:r w:rsidR="00AC4400" w:rsidRPr="00E967D9">
        <w:rPr>
          <w:rFonts w:ascii="ITC Avant Garde" w:hAnsi="ITC Avant Garde" w:cs="Arial"/>
        </w:rPr>
        <w:t xml:space="preserve"> </w:t>
      </w:r>
      <w:proofErr w:type="spellStart"/>
      <w:r w:rsidR="00AC4400" w:rsidRPr="00E967D9">
        <w:rPr>
          <w:rFonts w:ascii="ITC Avant Garde" w:hAnsi="ITC Avant Garde" w:cs="Arial"/>
        </w:rPr>
        <w:t>Bestphone</w:t>
      </w:r>
      <w:proofErr w:type="spellEnd"/>
      <w:r w:rsidR="00AC4400" w:rsidRPr="00E967D9">
        <w:rPr>
          <w:rFonts w:ascii="ITC Avant Garde" w:hAnsi="ITC Avant Garde" w:cs="Arial"/>
        </w:rPr>
        <w:t xml:space="preserve">, S.A. de C.V., </w:t>
      </w:r>
      <w:proofErr w:type="spellStart"/>
      <w:r w:rsidR="00AC4400" w:rsidRPr="00E967D9">
        <w:rPr>
          <w:rFonts w:ascii="ITC Avant Garde" w:hAnsi="ITC Avant Garde" w:cs="Arial"/>
        </w:rPr>
        <w:t>Operbes</w:t>
      </w:r>
      <w:proofErr w:type="spellEnd"/>
      <w:r w:rsidR="00AC4400" w:rsidRPr="00E967D9">
        <w:rPr>
          <w:rFonts w:ascii="ITC Avant Garde" w:hAnsi="ITC Avant Garde" w:cs="Arial"/>
        </w:rPr>
        <w:t xml:space="preserve"> S.A. de C.V., </w:t>
      </w:r>
      <w:proofErr w:type="spellStart"/>
      <w:r w:rsidR="00AC4400" w:rsidRPr="00E967D9">
        <w:rPr>
          <w:rFonts w:ascii="ITC Avant Garde" w:hAnsi="ITC Avant Garde" w:cs="Arial"/>
        </w:rPr>
        <w:t>Cablemás</w:t>
      </w:r>
      <w:proofErr w:type="spellEnd"/>
      <w:r w:rsidR="00AC4400" w:rsidRPr="00E967D9">
        <w:rPr>
          <w:rFonts w:ascii="ITC Avant Garde" w:hAnsi="ITC Avant Garde" w:cs="Arial"/>
        </w:rPr>
        <w:t xml:space="preserve"> Telecomunicaciones, S.A. de C.V., Cable y Comunicación de Campeche, S.A. de C.V., Cablevisión Red, S.A. de C.V., México Red de Telecomunicaciones, S. de R.L. de C.V., </w:t>
      </w:r>
      <w:r w:rsidR="009B199F" w:rsidRPr="00E967D9">
        <w:rPr>
          <w:rFonts w:ascii="ITC Avant Garde" w:eastAsia="Times New Roman" w:hAnsi="ITC Avant Garde"/>
          <w:lang w:val="es-ES" w:eastAsia="es-ES"/>
        </w:rPr>
        <w:t>Teléfonos de México, S.A.B.</w:t>
      </w:r>
      <w:r w:rsidR="009B199F" w:rsidRPr="00E967D9">
        <w:rPr>
          <w:rFonts w:ascii="ITC Avant Garde" w:hAnsi="ITC Avant Garde" w:cs="Helvetica"/>
          <w:lang w:eastAsia="es-MX"/>
        </w:rPr>
        <w:t xml:space="preserve"> y Teléfonos del Noroeste, S.A. de C.V.</w:t>
      </w:r>
      <w:r w:rsidR="009B199F" w:rsidRPr="00E967D9">
        <w:rPr>
          <w:rFonts w:ascii="ITC Avant Garde" w:eastAsia="Times New Roman" w:hAnsi="ITC Avant Garde"/>
          <w:bCs/>
          <w:lang w:val="es-ES" w:eastAsia="es-ES"/>
        </w:rPr>
        <w:t>,</w:t>
      </w:r>
      <w:r w:rsidR="009B199F" w:rsidRPr="00E967D9">
        <w:rPr>
          <w:rFonts w:ascii="ITC Avant Garde" w:hAnsi="ITC Avant Garde"/>
        </w:rPr>
        <w:t xml:space="preserve"> </w:t>
      </w:r>
      <w:r w:rsidR="00834517" w:rsidRPr="00E967D9">
        <w:rPr>
          <w:rFonts w:ascii="ITC Avant Garde" w:hAnsi="ITC Avant Garde"/>
          <w:lang w:eastAsia="es-ES"/>
        </w:rPr>
        <w:t xml:space="preserve">que la presente Resolución constituye un acto administrativo definitivo y por lo tanto, procede  ante los Juzgados de Distrito Especializados en Materia de Competencia Económica, Radiodifusión y Telecomunicaciones, con residencia en </w:t>
      </w:r>
      <w:r w:rsidR="006F4D95" w:rsidRPr="00E967D9">
        <w:rPr>
          <w:rFonts w:ascii="ITC Avant Garde" w:hAnsi="ITC Avant Garde"/>
          <w:lang w:eastAsia="es-ES"/>
        </w:rPr>
        <w:t>la Ciudad de México</w:t>
      </w:r>
      <w:r w:rsidR="00834517" w:rsidRPr="00E967D9">
        <w:rPr>
          <w:rFonts w:ascii="ITC Avant Garde" w:hAnsi="ITC Avant Garde"/>
          <w:lang w:eastAsia="es-ES"/>
        </w:rPr>
        <w:t xml:space="preserve"> y Jurisdicción territorial en toda la República, el juicio de amparo indirecto dentro del plazo</w:t>
      </w:r>
      <w:r w:rsidR="00AC4400" w:rsidRPr="00E967D9">
        <w:rPr>
          <w:rFonts w:ascii="ITC Avant Garde" w:hAnsi="ITC Avant Garde"/>
          <w:lang w:eastAsia="es-ES"/>
        </w:rPr>
        <w:t xml:space="preserve"> de quince </w:t>
      </w:r>
      <w:r w:rsidR="00227DDD" w:rsidRPr="00E967D9">
        <w:rPr>
          <w:rFonts w:ascii="ITC Avant Garde" w:hAnsi="ITC Avant Garde"/>
          <w:lang w:eastAsia="es-ES"/>
        </w:rPr>
        <w:t xml:space="preserve">(15) </w:t>
      </w:r>
      <w:r w:rsidR="00834517" w:rsidRPr="00E967D9">
        <w:rPr>
          <w:rFonts w:ascii="ITC Avant Garde" w:hAnsi="ITC Avant Garde"/>
          <w:lang w:eastAsia="es-ES"/>
        </w:rPr>
        <w:t>días hábiles contado a partir de que surta efectos la notificación de la presente Resolución, en términos del artículo 17 de la Ley de Amparo, Reglamentaria</w:t>
      </w:r>
      <w:r w:rsidR="00834517" w:rsidRPr="00FD7BCF">
        <w:rPr>
          <w:rFonts w:ascii="ITC Avant Garde" w:hAnsi="ITC Avant Garde"/>
          <w:lang w:eastAsia="es-ES"/>
        </w:rPr>
        <w:t xml:space="preserve"> de los artículos 103 y 107 de la Constitución Política de los Estados Unidos Mexicanos.</w:t>
      </w:r>
    </w:p>
    <w:p w14:paraId="325D0F0B" w14:textId="77777777" w:rsidR="00B42019" w:rsidRDefault="00956609" w:rsidP="00B42019">
      <w:pPr>
        <w:spacing w:before="240" w:line="276" w:lineRule="auto"/>
        <w:jc w:val="both"/>
        <w:rPr>
          <w:rFonts w:ascii="ITC Avant Garde" w:hAnsi="ITC Avant Garde"/>
          <w:lang w:eastAsia="es-ES"/>
        </w:rPr>
      </w:pPr>
      <w:r w:rsidRPr="00FD7BCF">
        <w:rPr>
          <w:rFonts w:ascii="ITC Avant Garde" w:hAnsi="ITC Avant Garde"/>
          <w:b/>
        </w:rPr>
        <w:t>CUARTO</w:t>
      </w:r>
      <w:r w:rsidR="00834517" w:rsidRPr="00FD7BCF">
        <w:rPr>
          <w:rFonts w:ascii="ITC Avant Garde" w:hAnsi="ITC Avant Garde"/>
          <w:b/>
        </w:rPr>
        <w:t xml:space="preserve">.- </w:t>
      </w:r>
      <w:r w:rsidR="00834517" w:rsidRPr="00FD7BCF">
        <w:rPr>
          <w:rFonts w:ascii="ITC Avant Garde" w:hAnsi="ITC Avant Garde" w:cs="Arial"/>
        </w:rPr>
        <w:t xml:space="preserve">Notifíquese personalmente a los representantes legales de </w:t>
      </w:r>
      <w:r w:rsidR="005D150F" w:rsidRPr="00FD7BCF">
        <w:rPr>
          <w:rFonts w:ascii="ITC Avant Garde" w:hAnsi="ITC Avant Garde" w:cs="Arial"/>
        </w:rPr>
        <w:t xml:space="preserve">las empresas </w:t>
      </w:r>
      <w:proofErr w:type="spellStart"/>
      <w:r w:rsidR="00AC4400" w:rsidRPr="00FD7BCF">
        <w:rPr>
          <w:rFonts w:ascii="ITC Avant Garde" w:hAnsi="ITC Avant Garde" w:cs="Arial"/>
        </w:rPr>
        <w:t>Bestphone</w:t>
      </w:r>
      <w:proofErr w:type="spellEnd"/>
      <w:r w:rsidR="00AC4400" w:rsidRPr="00FD7BCF">
        <w:rPr>
          <w:rFonts w:ascii="ITC Avant Garde" w:hAnsi="ITC Avant Garde" w:cs="Arial"/>
        </w:rPr>
        <w:t xml:space="preserve">, S.A. de C.V., </w:t>
      </w:r>
      <w:proofErr w:type="spellStart"/>
      <w:r w:rsidR="00AC4400" w:rsidRPr="00FD7BCF">
        <w:rPr>
          <w:rFonts w:ascii="ITC Avant Garde" w:hAnsi="ITC Avant Garde" w:cs="Arial"/>
        </w:rPr>
        <w:t>Operbes</w:t>
      </w:r>
      <w:proofErr w:type="spellEnd"/>
      <w:r w:rsidR="00AC4400" w:rsidRPr="00FD7BCF">
        <w:rPr>
          <w:rFonts w:ascii="ITC Avant Garde" w:hAnsi="ITC Avant Garde" w:cs="Arial"/>
        </w:rPr>
        <w:t xml:space="preserve"> S.A. de C.V., Cablemás Telecomunicaciones, S.A. de C.V., Cable y Comunicación de Campeche, S.A. de C.V., Cablevisión Red, S.A. de C.V., México Red de Telecomunicaciones, S. de R.L. de C.V.</w:t>
      </w:r>
      <w:r w:rsidR="005D150F" w:rsidRPr="00FD7BCF">
        <w:rPr>
          <w:rFonts w:ascii="ITC Avant Garde" w:hAnsi="ITC Avant Garde" w:cs="Arial"/>
        </w:rPr>
        <w:t>, así como al de las empresas</w:t>
      </w:r>
      <w:r w:rsidR="00AC4400" w:rsidRPr="00FD7BCF">
        <w:rPr>
          <w:rFonts w:ascii="ITC Avant Garde" w:hAnsi="ITC Avant Garde" w:cs="Arial"/>
        </w:rPr>
        <w:t xml:space="preserve"> </w:t>
      </w:r>
      <w:r w:rsidR="00D31FEE" w:rsidRPr="00FD7BCF">
        <w:rPr>
          <w:rFonts w:ascii="ITC Avant Garde" w:eastAsia="Times New Roman" w:hAnsi="ITC Avant Garde"/>
          <w:lang w:val="es-ES" w:eastAsia="es-ES"/>
        </w:rPr>
        <w:t>Teléfonos de México, S.A.B.</w:t>
      </w:r>
      <w:r w:rsidR="00D31FEE" w:rsidRPr="00FD7BCF">
        <w:rPr>
          <w:rFonts w:ascii="ITC Avant Garde" w:hAnsi="ITC Avant Garde" w:cs="Helvetica"/>
          <w:lang w:eastAsia="es-MX"/>
        </w:rPr>
        <w:t xml:space="preserve"> y Teléfonos del Noroeste, S.A. de C.V.</w:t>
      </w:r>
      <w:r w:rsidR="00D31FEE" w:rsidRPr="00FD7BCF">
        <w:rPr>
          <w:rFonts w:ascii="ITC Avant Garde" w:eastAsia="Times New Roman" w:hAnsi="ITC Avant Garde"/>
          <w:bCs/>
          <w:lang w:val="es-ES" w:eastAsia="es-ES"/>
        </w:rPr>
        <w:t>,</w:t>
      </w:r>
      <w:r w:rsidR="00D31FEE" w:rsidRPr="00FD7BCF">
        <w:rPr>
          <w:rFonts w:ascii="ITC Avant Garde" w:hAnsi="ITC Avant Garde"/>
        </w:rPr>
        <w:t xml:space="preserve"> </w:t>
      </w:r>
      <w:r w:rsidR="00834517" w:rsidRPr="00FD7BCF">
        <w:rPr>
          <w:rFonts w:ascii="ITC Avant Garde" w:hAnsi="ITC Avant Garde" w:cs="Arial"/>
          <w:bCs/>
        </w:rPr>
        <w:t>el</w:t>
      </w:r>
      <w:r w:rsidR="00834517" w:rsidRPr="00FD7BCF">
        <w:rPr>
          <w:rFonts w:ascii="ITC Avant Garde" w:hAnsi="ITC Avant Garde" w:cs="Arial"/>
        </w:rPr>
        <w:t xml:space="preserve"> contenido de la presente Resolución</w:t>
      </w:r>
      <w:r w:rsidR="00D31FEE" w:rsidRPr="00FD7BCF">
        <w:rPr>
          <w:rFonts w:ascii="ITC Avant Garde" w:hAnsi="ITC Avant Garde" w:cs="Arial"/>
        </w:rPr>
        <w:t>.</w:t>
      </w:r>
    </w:p>
    <w:p w14:paraId="4348F324" w14:textId="3B72ACFB" w:rsidR="00F9296A" w:rsidRPr="00B42019" w:rsidRDefault="004B5069" w:rsidP="00B42019">
      <w:pPr>
        <w:pStyle w:val="Prrafodelista"/>
        <w:spacing w:before="240" w:after="160"/>
        <w:ind w:left="0"/>
        <w:rPr>
          <w:rFonts w:ascii="ITC Avant Garde" w:hAnsi="ITC Avant Garde"/>
          <w:sz w:val="14"/>
        </w:rPr>
      </w:pPr>
      <w:r w:rsidRPr="004B5069">
        <w:rPr>
          <w:rFonts w:ascii="ITC Avant Garde" w:hAnsi="ITC Avant Garde"/>
          <w:sz w:val="14"/>
        </w:rPr>
        <w:t xml:space="preserve">La presente Resolución fue aprobada por el Pleno del Instituto Federal de Telecomunicaciones en su VII Sesión Ordinaria celebrada el 22 de febrero de 2017, por </w:t>
      </w:r>
      <w:r w:rsidRPr="004B5069">
        <w:rPr>
          <w:rFonts w:ascii="ITC Avant Garde" w:hAnsi="ITC Avant Garde"/>
          <w:bCs/>
          <w:sz w:val="14"/>
        </w:rPr>
        <w:t>unanimidad</w:t>
      </w:r>
      <w:r w:rsidRPr="004B5069">
        <w:rPr>
          <w:rFonts w:ascii="ITC Avant Garde" w:hAnsi="ITC Avant Garde"/>
          <w:sz w:val="14"/>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P/IFT/220217/92.</w:t>
      </w:r>
    </w:p>
    <w:sectPr w:rsidR="00F9296A" w:rsidRPr="00B42019" w:rsidSect="00FD7BCF">
      <w:headerReference w:type="even" r:id="rId15"/>
      <w:footerReference w:type="default" r:id="rId16"/>
      <w:headerReference w:type="first" r:id="rId17"/>
      <w:pgSz w:w="12240" w:h="15840"/>
      <w:pgMar w:top="2126" w:right="1418" w:bottom="1134" w:left="1418"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D3F7F" w14:textId="77777777" w:rsidR="009C2719" w:rsidRDefault="009C2719" w:rsidP="00072BC8">
      <w:pPr>
        <w:spacing w:after="0" w:line="240" w:lineRule="auto"/>
      </w:pPr>
      <w:r>
        <w:separator/>
      </w:r>
    </w:p>
  </w:endnote>
  <w:endnote w:type="continuationSeparator" w:id="0">
    <w:p w14:paraId="67CF2241" w14:textId="77777777" w:rsidR="009C2719" w:rsidRDefault="009C271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575785"/>
      <w:docPartObj>
        <w:docPartGallery w:val="Page Numbers (Bottom of Page)"/>
        <w:docPartUnique/>
      </w:docPartObj>
    </w:sdtPr>
    <w:sdtEndPr>
      <w:rPr>
        <w:rFonts w:ascii="ITC Avant Garde" w:hAnsi="ITC Avant Garde"/>
        <w:sz w:val="20"/>
        <w:szCs w:val="20"/>
      </w:rPr>
    </w:sdtEndPr>
    <w:sdtContent>
      <w:p w14:paraId="6571DD5B" w14:textId="77777777" w:rsidR="00E046E2" w:rsidRPr="00217404" w:rsidRDefault="00E046E2" w:rsidP="002B5891">
        <w:pPr>
          <w:pStyle w:val="Piedepgina"/>
          <w:jc w:val="right"/>
          <w:rPr>
            <w:rFonts w:ascii="ITC Avant Garde" w:hAnsi="ITC Avant Garde"/>
            <w:sz w:val="20"/>
            <w:szCs w:val="20"/>
          </w:rPr>
        </w:pPr>
        <w:r w:rsidRPr="00217404">
          <w:rPr>
            <w:rFonts w:ascii="ITC Avant Garde" w:hAnsi="ITC Avant Garde"/>
            <w:sz w:val="20"/>
            <w:szCs w:val="20"/>
          </w:rPr>
          <w:fldChar w:fldCharType="begin"/>
        </w:r>
        <w:r w:rsidRPr="00217404">
          <w:rPr>
            <w:rFonts w:ascii="ITC Avant Garde" w:hAnsi="ITC Avant Garde"/>
            <w:sz w:val="20"/>
            <w:szCs w:val="20"/>
          </w:rPr>
          <w:instrText>PAGE   \* MERGEFORMAT</w:instrText>
        </w:r>
        <w:r w:rsidRPr="00217404">
          <w:rPr>
            <w:rFonts w:ascii="ITC Avant Garde" w:hAnsi="ITC Avant Garde"/>
            <w:sz w:val="20"/>
            <w:szCs w:val="20"/>
          </w:rPr>
          <w:fldChar w:fldCharType="separate"/>
        </w:r>
        <w:r w:rsidR="00E9428F" w:rsidRPr="00E9428F">
          <w:rPr>
            <w:rFonts w:ascii="ITC Avant Garde" w:hAnsi="ITC Avant Garde"/>
            <w:noProof/>
            <w:sz w:val="20"/>
            <w:szCs w:val="20"/>
            <w:lang w:val="es-ES"/>
          </w:rPr>
          <w:t>49</w:t>
        </w:r>
        <w:r w:rsidRPr="0021740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47195" w14:textId="77777777" w:rsidR="009C2719" w:rsidRDefault="009C2719" w:rsidP="00072BC8">
      <w:pPr>
        <w:spacing w:after="0" w:line="240" w:lineRule="auto"/>
      </w:pPr>
      <w:r>
        <w:separator/>
      </w:r>
    </w:p>
  </w:footnote>
  <w:footnote w:type="continuationSeparator" w:id="0">
    <w:p w14:paraId="20564CE1" w14:textId="77777777" w:rsidR="009C2719" w:rsidRDefault="009C2719" w:rsidP="00072BC8">
      <w:pPr>
        <w:spacing w:after="0" w:line="240" w:lineRule="auto"/>
      </w:pPr>
      <w:r>
        <w:continuationSeparator/>
      </w:r>
    </w:p>
  </w:footnote>
  <w:footnote w:id="1">
    <w:p w14:paraId="1BA9F846" w14:textId="77777777" w:rsidR="00E046E2" w:rsidRPr="00C44EA4" w:rsidRDefault="00E046E2" w:rsidP="0018137B">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w:t>
      </w:r>
      <w:hyperlink r:id="rId1" w:tgtFrame="_popup" w:history="1">
        <w:r w:rsidRPr="00C44EA4">
          <w:rPr>
            <w:rFonts w:ascii="ITC Avant Garde" w:hAnsi="ITC Avant Garde" w:cs="Arial"/>
            <w:sz w:val="18"/>
            <w:szCs w:val="18"/>
            <w:u w:val="single"/>
            <w:lang w:eastAsia="es-MX"/>
          </w:rPr>
          <w:t>CONTRADICCIÓN DE TESIS 246/2011.</w:t>
        </w:r>
      </w:hyperlink>
      <w:r w:rsidRPr="00C44EA4">
        <w:rPr>
          <w:rFonts w:ascii="ITC Avant Garde" w:hAnsi="ITC Avant Garde" w:cs="Arial"/>
          <w:sz w:val="18"/>
          <w:szCs w:val="18"/>
          <w:lang w:eastAsia="es-MX"/>
        </w:rPr>
        <w:t xml:space="preserve"> Entre las sustentadas por el Tercer Tribunal Colegiado en Materia Civil del Tercer Circuito y el Primer Tribunal Colegiado del Décimo Segundo Circuito. 30 de noviembre de 2011. La votación se dividió en dos partes: mayoría de cuatro votos por lo que se refiere a la competencia. Disidente: José Ramón Cossío Díaz. Unanimidad de cinco votos en cuanto al fondo. Ponente: Guillermo I. Ortiz </w:t>
      </w:r>
      <w:proofErr w:type="spellStart"/>
      <w:r w:rsidRPr="00C44EA4">
        <w:rPr>
          <w:rFonts w:ascii="ITC Avant Garde" w:hAnsi="ITC Avant Garde" w:cs="Arial"/>
          <w:sz w:val="18"/>
          <w:szCs w:val="18"/>
          <w:lang w:eastAsia="es-MX"/>
        </w:rPr>
        <w:t>Mayagoitia</w:t>
      </w:r>
      <w:proofErr w:type="spellEnd"/>
      <w:r w:rsidRPr="00C44EA4">
        <w:rPr>
          <w:rFonts w:ascii="ITC Avant Garde" w:hAnsi="ITC Avant Garde" w:cs="Arial"/>
          <w:sz w:val="18"/>
          <w:szCs w:val="18"/>
          <w:lang w:eastAsia="es-MX"/>
        </w:rPr>
        <w:t>. Secretario: Óscar Vázquez Moreno.</w:t>
      </w:r>
    </w:p>
  </w:footnote>
  <w:footnote w:id="2">
    <w:p w14:paraId="62A64382" w14:textId="77777777" w:rsidR="00E046E2" w:rsidRPr="00F80FC0" w:rsidRDefault="00E046E2" w:rsidP="0087382C">
      <w:pPr>
        <w:pStyle w:val="Textonotapie"/>
        <w:rPr>
          <w:rFonts w:ascii="ITC Avant Garde" w:hAnsi="ITC Avant Garde" w:cs="Arial"/>
          <w:sz w:val="18"/>
          <w:szCs w:val="18"/>
          <w:lang w:val="es-MX"/>
        </w:rPr>
      </w:pPr>
      <w:r w:rsidRPr="0034386D">
        <w:rPr>
          <w:rStyle w:val="Refdenotaalpie"/>
          <w:rFonts w:ascii="ITC Avant Garde" w:hAnsi="ITC Avant Garde"/>
          <w:sz w:val="18"/>
          <w:szCs w:val="18"/>
        </w:rPr>
        <w:footnoteRef/>
      </w:r>
      <w:r w:rsidRPr="00F80FC0">
        <w:rPr>
          <w:rFonts w:ascii="ITC Avant Garde" w:hAnsi="ITC Avant Garde"/>
          <w:sz w:val="18"/>
          <w:szCs w:val="18"/>
          <w:lang w:val="es-MX"/>
        </w:rPr>
        <w:t xml:space="preserve"> </w:t>
      </w:r>
      <w:r w:rsidRPr="00F80FC0">
        <w:rPr>
          <w:rFonts w:ascii="ITC Avant Garde" w:hAnsi="ITC Avant Garde" w:cs="Arial"/>
          <w:sz w:val="18"/>
          <w:szCs w:val="18"/>
          <w:lang w:val="es-MX"/>
        </w:rPr>
        <w:t xml:space="preserve">En inglés se conoce como </w:t>
      </w:r>
      <w:proofErr w:type="spellStart"/>
      <w:r w:rsidRPr="00F80FC0">
        <w:rPr>
          <w:rFonts w:ascii="ITC Avant Garde" w:hAnsi="ITC Avant Garde" w:cs="Arial"/>
          <w:i/>
          <w:sz w:val="18"/>
          <w:szCs w:val="18"/>
          <w:lang w:val="es-MX"/>
        </w:rPr>
        <w:t>Efficient</w:t>
      </w:r>
      <w:proofErr w:type="spellEnd"/>
      <w:r w:rsidRPr="00F80FC0">
        <w:rPr>
          <w:rFonts w:ascii="ITC Avant Garde" w:hAnsi="ITC Avant Garde" w:cs="Arial"/>
          <w:i/>
          <w:sz w:val="18"/>
          <w:szCs w:val="18"/>
          <w:lang w:val="es-MX"/>
        </w:rPr>
        <w:t xml:space="preserve"> </w:t>
      </w:r>
      <w:proofErr w:type="spellStart"/>
      <w:r w:rsidRPr="00F80FC0">
        <w:rPr>
          <w:rFonts w:ascii="ITC Avant Garde" w:hAnsi="ITC Avant Garde" w:cs="Arial"/>
          <w:i/>
          <w:sz w:val="18"/>
          <w:szCs w:val="18"/>
          <w:lang w:val="es-MX"/>
        </w:rPr>
        <w:t>Component</w:t>
      </w:r>
      <w:proofErr w:type="spellEnd"/>
      <w:r w:rsidRPr="00F80FC0">
        <w:rPr>
          <w:rFonts w:ascii="ITC Avant Garde" w:hAnsi="ITC Avant Garde" w:cs="Arial"/>
          <w:i/>
          <w:sz w:val="18"/>
          <w:szCs w:val="18"/>
          <w:lang w:val="es-MX"/>
        </w:rPr>
        <w:t xml:space="preserve"> </w:t>
      </w:r>
      <w:proofErr w:type="spellStart"/>
      <w:r w:rsidRPr="00F80FC0">
        <w:rPr>
          <w:rFonts w:ascii="ITC Avant Garde" w:hAnsi="ITC Avant Garde" w:cs="Arial"/>
          <w:i/>
          <w:sz w:val="18"/>
          <w:szCs w:val="18"/>
          <w:lang w:val="es-MX"/>
        </w:rPr>
        <w:t>Pricing</w:t>
      </w:r>
      <w:proofErr w:type="spellEnd"/>
      <w:r w:rsidRPr="00F80FC0">
        <w:rPr>
          <w:rFonts w:ascii="ITC Avant Garde" w:hAnsi="ITC Avant Garde" w:cs="Arial"/>
          <w:i/>
          <w:sz w:val="18"/>
          <w:szCs w:val="18"/>
          <w:lang w:val="es-MX"/>
        </w:rPr>
        <w:t xml:space="preserve"> Rule</w:t>
      </w:r>
      <w:r w:rsidRPr="00F80FC0">
        <w:rPr>
          <w:rFonts w:ascii="ITC Avant Garde" w:hAnsi="ITC Avant Garde" w:cs="Arial"/>
          <w:sz w:val="18"/>
          <w:szCs w:val="18"/>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CDC2E" w14:textId="77777777" w:rsidR="00E046E2" w:rsidRDefault="00E046E2">
    <w:pPr>
      <w:pStyle w:val="Encabezado"/>
    </w:pPr>
    <w:r>
      <w:rPr>
        <w:noProof/>
        <w:lang w:eastAsia="es-MX"/>
      </w:rPr>
      <w:pict w14:anchorId="1469B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9BD41" w14:textId="77777777" w:rsidR="00E046E2" w:rsidRDefault="00E046E2">
    <w:pPr>
      <w:pStyle w:val="Encabezado"/>
    </w:pPr>
    <w:r>
      <w:rPr>
        <w:noProof/>
        <w:lang w:eastAsia="es-MX"/>
      </w:rPr>
      <w:pict w14:anchorId="3760E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FF6EAA"/>
    <w:multiLevelType w:val="hybridMultilevel"/>
    <w:tmpl w:val="ACAA7ED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9DD1FF8"/>
    <w:multiLevelType w:val="hybridMultilevel"/>
    <w:tmpl w:val="27AE88CA"/>
    <w:lvl w:ilvl="0" w:tplc="855ED882">
      <w:start w:val="7"/>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A53F47"/>
    <w:multiLevelType w:val="hybridMultilevel"/>
    <w:tmpl w:val="9ABA595E"/>
    <w:lvl w:ilvl="0" w:tplc="855ED882">
      <w:start w:val="7"/>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247C682C"/>
    <w:multiLevelType w:val="multilevel"/>
    <w:tmpl w:val="12C44A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D35F7C"/>
    <w:multiLevelType w:val="hybridMultilevel"/>
    <w:tmpl w:val="E27E9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0" w15:restartNumberingAfterBreak="0">
    <w:nsid w:val="32C74A9A"/>
    <w:multiLevelType w:val="hybridMultilevel"/>
    <w:tmpl w:val="A52297D8"/>
    <w:lvl w:ilvl="0" w:tplc="080A001B">
      <w:start w:val="1"/>
      <w:numFmt w:val="lowerRoman"/>
      <w:lvlText w:val="%1."/>
      <w:lvlJc w:val="right"/>
      <w:pPr>
        <w:ind w:left="720" w:hanging="360"/>
      </w:pPr>
      <w:rPr>
        <w:rFonts w:hint="default"/>
      </w:rPr>
    </w:lvl>
    <w:lvl w:ilvl="1" w:tplc="DD1622A8">
      <w:start w:val="1"/>
      <w:numFmt w:val="decimal"/>
      <w:lvlText w:val="%2."/>
      <w:lvlJc w:val="left"/>
      <w:pPr>
        <w:ind w:left="1440" w:hanging="360"/>
      </w:pPr>
      <w:rPr>
        <w:rFonts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B56939"/>
    <w:multiLevelType w:val="hybridMultilevel"/>
    <w:tmpl w:val="1392317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37771B06"/>
    <w:multiLevelType w:val="multilevel"/>
    <w:tmpl w:val="DF102276"/>
    <w:lvl w:ilvl="0">
      <w:start w:val="1"/>
      <w:numFmt w:val="decimal"/>
      <w:lvlText w:val="%1."/>
      <w:lvlJc w:val="left"/>
      <w:pPr>
        <w:ind w:left="360" w:hanging="360"/>
      </w:pPr>
    </w:lvl>
    <w:lvl w:ilvl="1">
      <w:start w:val="1"/>
      <w:numFmt w:val="decimal"/>
      <w:lvlText w:val="%1.%2."/>
      <w:lvlJc w:val="left"/>
      <w:pPr>
        <w:ind w:left="525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D8C5F01"/>
    <w:multiLevelType w:val="hybridMultilevel"/>
    <w:tmpl w:val="E7D0CEF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CD6E1F"/>
    <w:multiLevelType w:val="hybridMultilevel"/>
    <w:tmpl w:val="F40057A6"/>
    <w:lvl w:ilvl="0" w:tplc="855ED882">
      <w:start w:val="7"/>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7522131"/>
    <w:multiLevelType w:val="hybridMultilevel"/>
    <w:tmpl w:val="D370F604"/>
    <w:lvl w:ilvl="0" w:tplc="8EEC7DF6">
      <w:start w:val="1"/>
      <w:numFmt w:val="upperRoman"/>
      <w:suff w:val="space"/>
      <w:lvlText w:val="%1.-"/>
      <w:lvlJc w:val="left"/>
      <w:pPr>
        <w:ind w:left="7655" w:hanging="284"/>
      </w:pPr>
      <w:rPr>
        <w:rFonts w:ascii="Arial" w:hAnsi="Arial" w:hint="default"/>
        <w:b/>
        <w:i w:val="0"/>
        <w:sz w:val="22"/>
      </w:rPr>
    </w:lvl>
    <w:lvl w:ilvl="1" w:tplc="0A188804">
      <w:start w:val="1"/>
      <w:numFmt w:val="upperLetter"/>
      <w:lvlText w:val="%2."/>
      <w:lvlJc w:val="left"/>
      <w:pPr>
        <w:tabs>
          <w:tab w:val="num" w:pos="8811"/>
        </w:tabs>
        <w:ind w:left="8811" w:hanging="360"/>
      </w:pPr>
      <w:rPr>
        <w:rFonts w:hint="default"/>
        <w:b/>
      </w:rPr>
    </w:lvl>
    <w:lvl w:ilvl="2" w:tplc="080A0019">
      <w:start w:val="1"/>
      <w:numFmt w:val="lowerLetter"/>
      <w:lvlText w:val="%3."/>
      <w:lvlJc w:val="left"/>
      <w:pPr>
        <w:tabs>
          <w:tab w:val="num" w:pos="9531"/>
        </w:tabs>
        <w:ind w:left="9531" w:hanging="180"/>
      </w:pPr>
    </w:lvl>
    <w:lvl w:ilvl="3" w:tplc="0C0A000F">
      <w:start w:val="1"/>
      <w:numFmt w:val="decimal"/>
      <w:lvlText w:val="%4."/>
      <w:lvlJc w:val="left"/>
      <w:pPr>
        <w:tabs>
          <w:tab w:val="num" w:pos="10251"/>
        </w:tabs>
        <w:ind w:left="10251" w:hanging="360"/>
      </w:pPr>
    </w:lvl>
    <w:lvl w:ilvl="4" w:tplc="B1663A24">
      <w:start w:val="1"/>
      <w:numFmt w:val="lowerLetter"/>
      <w:lvlText w:val="%5."/>
      <w:lvlJc w:val="left"/>
      <w:pPr>
        <w:tabs>
          <w:tab w:val="num" w:pos="10971"/>
        </w:tabs>
        <w:ind w:left="10971" w:hanging="360"/>
      </w:pPr>
      <w:rPr>
        <w:i w:val="0"/>
      </w:rPr>
    </w:lvl>
    <w:lvl w:ilvl="5" w:tplc="0C0A001B">
      <w:start w:val="1"/>
      <w:numFmt w:val="lowerRoman"/>
      <w:lvlText w:val="%6."/>
      <w:lvlJc w:val="right"/>
      <w:pPr>
        <w:tabs>
          <w:tab w:val="num" w:pos="11691"/>
        </w:tabs>
        <w:ind w:left="11691" w:hanging="180"/>
      </w:pPr>
    </w:lvl>
    <w:lvl w:ilvl="6" w:tplc="0C0A000F" w:tentative="1">
      <w:start w:val="1"/>
      <w:numFmt w:val="decimal"/>
      <w:lvlText w:val="%7."/>
      <w:lvlJc w:val="left"/>
      <w:pPr>
        <w:tabs>
          <w:tab w:val="num" w:pos="12411"/>
        </w:tabs>
        <w:ind w:left="12411" w:hanging="360"/>
      </w:pPr>
    </w:lvl>
    <w:lvl w:ilvl="7" w:tplc="0C0A0019" w:tentative="1">
      <w:start w:val="1"/>
      <w:numFmt w:val="lowerLetter"/>
      <w:lvlText w:val="%8."/>
      <w:lvlJc w:val="left"/>
      <w:pPr>
        <w:tabs>
          <w:tab w:val="num" w:pos="13131"/>
        </w:tabs>
        <w:ind w:left="13131" w:hanging="360"/>
      </w:pPr>
    </w:lvl>
    <w:lvl w:ilvl="8" w:tplc="0C0A001B" w:tentative="1">
      <w:start w:val="1"/>
      <w:numFmt w:val="lowerRoman"/>
      <w:lvlText w:val="%9."/>
      <w:lvlJc w:val="right"/>
      <w:pPr>
        <w:tabs>
          <w:tab w:val="num" w:pos="13851"/>
        </w:tabs>
        <w:ind w:left="13851" w:hanging="180"/>
      </w:pPr>
    </w:lvl>
  </w:abstractNum>
  <w:abstractNum w:abstractNumId="20" w15:restartNumberingAfterBreak="0">
    <w:nsid w:val="57872B84"/>
    <w:multiLevelType w:val="multilevel"/>
    <w:tmpl w:val="080A001F"/>
    <w:lvl w:ilvl="0">
      <w:start w:val="1"/>
      <w:numFmt w:val="decimal"/>
      <w:lvlText w:val="%1."/>
      <w:lvlJc w:val="left"/>
      <w:pPr>
        <w:ind w:left="360" w:hanging="360"/>
      </w:p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CC2C65"/>
    <w:multiLevelType w:val="hybridMultilevel"/>
    <w:tmpl w:val="A52297D8"/>
    <w:lvl w:ilvl="0" w:tplc="080A001B">
      <w:start w:val="1"/>
      <w:numFmt w:val="lowerRoman"/>
      <w:lvlText w:val="%1."/>
      <w:lvlJc w:val="right"/>
      <w:pPr>
        <w:ind w:left="720" w:hanging="360"/>
      </w:pPr>
      <w:rPr>
        <w:rFonts w:hint="default"/>
      </w:rPr>
    </w:lvl>
    <w:lvl w:ilvl="1" w:tplc="DD1622A8">
      <w:start w:val="1"/>
      <w:numFmt w:val="decimal"/>
      <w:lvlText w:val="%2."/>
      <w:lvlJc w:val="left"/>
      <w:pPr>
        <w:ind w:left="1440" w:hanging="360"/>
      </w:pPr>
      <w:rPr>
        <w:rFonts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62129"/>
    <w:multiLevelType w:val="hybridMultilevel"/>
    <w:tmpl w:val="205CC0EC"/>
    <w:lvl w:ilvl="0" w:tplc="B6EA9EF4">
      <w:start w:val="1"/>
      <w:numFmt w:val="upperRoman"/>
      <w:lvlText w:val="%1."/>
      <w:lvlJc w:val="left"/>
      <w:pPr>
        <w:ind w:left="1287" w:hanging="360"/>
      </w:pPr>
      <w:rPr>
        <w:rFonts w:hint="default"/>
        <w:b/>
        <w:i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665E030D"/>
    <w:multiLevelType w:val="hybridMultilevel"/>
    <w:tmpl w:val="061011AE"/>
    <w:lvl w:ilvl="0" w:tplc="080A0015">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10B7F18"/>
    <w:multiLevelType w:val="hybridMultilevel"/>
    <w:tmpl w:val="EE2CCD04"/>
    <w:lvl w:ilvl="0" w:tplc="8AB60A7A">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5339CC"/>
    <w:multiLevelType w:val="hybridMultilevel"/>
    <w:tmpl w:val="ACAA7ED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50644F4"/>
    <w:multiLevelType w:val="hybridMultilevel"/>
    <w:tmpl w:val="ED5ECD04"/>
    <w:lvl w:ilvl="0" w:tplc="855ED882">
      <w:start w:val="7"/>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8900E9"/>
    <w:multiLevelType w:val="hybridMultilevel"/>
    <w:tmpl w:val="1ADA7838"/>
    <w:lvl w:ilvl="0" w:tplc="855ED882">
      <w:start w:val="7"/>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22"/>
  </w:num>
  <w:num w:numId="4">
    <w:abstractNumId w:val="0"/>
  </w:num>
  <w:num w:numId="5">
    <w:abstractNumId w:val="1"/>
  </w:num>
  <w:num w:numId="6">
    <w:abstractNumId w:val="16"/>
  </w:num>
  <w:num w:numId="7">
    <w:abstractNumId w:val="13"/>
  </w:num>
  <w:num w:numId="8">
    <w:abstractNumId w:val="18"/>
  </w:num>
  <w:num w:numId="9">
    <w:abstractNumId w:val="6"/>
  </w:num>
  <w:num w:numId="10">
    <w:abstractNumId w:val="15"/>
  </w:num>
  <w:num w:numId="11">
    <w:abstractNumId w:val="5"/>
  </w:num>
  <w:num w:numId="12">
    <w:abstractNumId w:val="23"/>
  </w:num>
  <w:num w:numId="13">
    <w:abstractNumId w:val="25"/>
  </w:num>
  <w:num w:numId="14">
    <w:abstractNumId w:val="2"/>
  </w:num>
  <w:num w:numId="15">
    <w:abstractNumId w:val="8"/>
  </w:num>
  <w:num w:numId="16">
    <w:abstractNumId w:val="11"/>
  </w:num>
  <w:num w:numId="17">
    <w:abstractNumId w:val="21"/>
  </w:num>
  <w:num w:numId="18">
    <w:abstractNumId w:val="26"/>
  </w:num>
  <w:num w:numId="19">
    <w:abstractNumId w:val="29"/>
  </w:num>
  <w:num w:numId="20">
    <w:abstractNumId w:val="28"/>
  </w:num>
  <w:num w:numId="21">
    <w:abstractNumId w:val="3"/>
  </w:num>
  <w:num w:numId="22">
    <w:abstractNumId w:val="4"/>
  </w:num>
  <w:num w:numId="23">
    <w:abstractNumId w:val="17"/>
  </w:num>
  <w:num w:numId="24">
    <w:abstractNumId w:val="20"/>
  </w:num>
  <w:num w:numId="25">
    <w:abstractNumId w:val="7"/>
  </w:num>
  <w:num w:numId="26">
    <w:abstractNumId w:val="12"/>
  </w:num>
  <w:num w:numId="27">
    <w:abstractNumId w:val="2"/>
  </w:num>
  <w:num w:numId="28">
    <w:abstractNumId w:val="14"/>
  </w:num>
  <w:num w:numId="29">
    <w:abstractNumId w:val="10"/>
  </w:num>
  <w:num w:numId="30">
    <w:abstractNumId w:val="27"/>
  </w:num>
  <w:num w:numId="31">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ctiveWritingStyle w:appName="MSWord" w:lang="es-ES" w:vendorID="64" w:dllVersion="131078" w:nlCheck="1" w:checkStyle="0"/>
  <w:activeWritingStyle w:appName="MSWord" w:lang="es-MX" w:vendorID="64" w:dllVersion="131078" w:nlCheck="1" w:checkStyle="1"/>
  <w:activeWritingStyle w:appName="MSWord" w:lang="es-ES_tradnl" w:vendorID="64" w:dllVersion="131078" w:nlCheck="1" w:checkStyle="1"/>
  <w:proofState w:spelling="clean" w:grammar="clean"/>
  <w:linkStyles/>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9F0"/>
    <w:rsid w:val="00000AC3"/>
    <w:rsid w:val="00001350"/>
    <w:rsid w:val="0000156E"/>
    <w:rsid w:val="000017B7"/>
    <w:rsid w:val="0000183B"/>
    <w:rsid w:val="00001B0A"/>
    <w:rsid w:val="00001C1C"/>
    <w:rsid w:val="00002BEE"/>
    <w:rsid w:val="000036B5"/>
    <w:rsid w:val="00003A4B"/>
    <w:rsid w:val="00004641"/>
    <w:rsid w:val="00006174"/>
    <w:rsid w:val="00006DA2"/>
    <w:rsid w:val="00007AB3"/>
    <w:rsid w:val="0001103B"/>
    <w:rsid w:val="00011447"/>
    <w:rsid w:val="000136DC"/>
    <w:rsid w:val="000154B0"/>
    <w:rsid w:val="00016082"/>
    <w:rsid w:val="0002011D"/>
    <w:rsid w:val="00020418"/>
    <w:rsid w:val="000208BA"/>
    <w:rsid w:val="000211BE"/>
    <w:rsid w:val="00021B04"/>
    <w:rsid w:val="00021C46"/>
    <w:rsid w:val="0002234C"/>
    <w:rsid w:val="00022E53"/>
    <w:rsid w:val="00024788"/>
    <w:rsid w:val="00025077"/>
    <w:rsid w:val="00026595"/>
    <w:rsid w:val="00026C57"/>
    <w:rsid w:val="00027F64"/>
    <w:rsid w:val="00030850"/>
    <w:rsid w:val="0003088B"/>
    <w:rsid w:val="00031706"/>
    <w:rsid w:val="000317A8"/>
    <w:rsid w:val="00031C1F"/>
    <w:rsid w:val="00033309"/>
    <w:rsid w:val="00033F41"/>
    <w:rsid w:val="00034EC4"/>
    <w:rsid w:val="000358CA"/>
    <w:rsid w:val="00036754"/>
    <w:rsid w:val="000377C2"/>
    <w:rsid w:val="00037FCD"/>
    <w:rsid w:val="00040045"/>
    <w:rsid w:val="0004035D"/>
    <w:rsid w:val="00041038"/>
    <w:rsid w:val="00042E7E"/>
    <w:rsid w:val="0004325F"/>
    <w:rsid w:val="00044840"/>
    <w:rsid w:val="000453C0"/>
    <w:rsid w:val="0004745E"/>
    <w:rsid w:val="0004752B"/>
    <w:rsid w:val="000477C5"/>
    <w:rsid w:val="000528DE"/>
    <w:rsid w:val="00052CBB"/>
    <w:rsid w:val="00052DF6"/>
    <w:rsid w:val="000534FE"/>
    <w:rsid w:val="00055DF9"/>
    <w:rsid w:val="00056380"/>
    <w:rsid w:val="000563A7"/>
    <w:rsid w:val="000577B4"/>
    <w:rsid w:val="0006032A"/>
    <w:rsid w:val="00060D36"/>
    <w:rsid w:val="00062749"/>
    <w:rsid w:val="000637E5"/>
    <w:rsid w:val="00066708"/>
    <w:rsid w:val="00066950"/>
    <w:rsid w:val="00067018"/>
    <w:rsid w:val="00071002"/>
    <w:rsid w:val="00071382"/>
    <w:rsid w:val="000718F8"/>
    <w:rsid w:val="000720EE"/>
    <w:rsid w:val="00072479"/>
    <w:rsid w:val="0007254D"/>
    <w:rsid w:val="00072910"/>
    <w:rsid w:val="00072A16"/>
    <w:rsid w:val="00072B1B"/>
    <w:rsid w:val="00072BC8"/>
    <w:rsid w:val="00073654"/>
    <w:rsid w:val="00073C19"/>
    <w:rsid w:val="00073DDC"/>
    <w:rsid w:val="00074558"/>
    <w:rsid w:val="00075F15"/>
    <w:rsid w:val="0007607F"/>
    <w:rsid w:val="0007621B"/>
    <w:rsid w:val="00076CC7"/>
    <w:rsid w:val="000772A2"/>
    <w:rsid w:val="00081503"/>
    <w:rsid w:val="00081B80"/>
    <w:rsid w:val="00081C33"/>
    <w:rsid w:val="00081CFB"/>
    <w:rsid w:val="00082B5C"/>
    <w:rsid w:val="00083300"/>
    <w:rsid w:val="000834C7"/>
    <w:rsid w:val="00083CEC"/>
    <w:rsid w:val="00083ECA"/>
    <w:rsid w:val="00084C7B"/>
    <w:rsid w:val="00084CFA"/>
    <w:rsid w:val="00085051"/>
    <w:rsid w:val="000851E0"/>
    <w:rsid w:val="00085E22"/>
    <w:rsid w:val="00085EF4"/>
    <w:rsid w:val="000901D2"/>
    <w:rsid w:val="00090BCF"/>
    <w:rsid w:val="000917BD"/>
    <w:rsid w:val="00094753"/>
    <w:rsid w:val="000956DF"/>
    <w:rsid w:val="00096122"/>
    <w:rsid w:val="00096D65"/>
    <w:rsid w:val="00096FE1"/>
    <w:rsid w:val="00097822"/>
    <w:rsid w:val="000978F0"/>
    <w:rsid w:val="000A05E5"/>
    <w:rsid w:val="000A1AAD"/>
    <w:rsid w:val="000A2091"/>
    <w:rsid w:val="000A281B"/>
    <w:rsid w:val="000A2AF8"/>
    <w:rsid w:val="000A3AB0"/>
    <w:rsid w:val="000A5790"/>
    <w:rsid w:val="000A5D6E"/>
    <w:rsid w:val="000A5E4A"/>
    <w:rsid w:val="000A6043"/>
    <w:rsid w:val="000A7797"/>
    <w:rsid w:val="000A7D62"/>
    <w:rsid w:val="000B0DC1"/>
    <w:rsid w:val="000B0E30"/>
    <w:rsid w:val="000B1F46"/>
    <w:rsid w:val="000B334C"/>
    <w:rsid w:val="000B34CF"/>
    <w:rsid w:val="000B3735"/>
    <w:rsid w:val="000B48AE"/>
    <w:rsid w:val="000C1F38"/>
    <w:rsid w:val="000C27E7"/>
    <w:rsid w:val="000C2CF4"/>
    <w:rsid w:val="000C4877"/>
    <w:rsid w:val="000C6B4B"/>
    <w:rsid w:val="000C6E06"/>
    <w:rsid w:val="000C6FC6"/>
    <w:rsid w:val="000D0335"/>
    <w:rsid w:val="000D04CA"/>
    <w:rsid w:val="000D0CA5"/>
    <w:rsid w:val="000D1440"/>
    <w:rsid w:val="000D1A16"/>
    <w:rsid w:val="000D1E2B"/>
    <w:rsid w:val="000D2F82"/>
    <w:rsid w:val="000D3419"/>
    <w:rsid w:val="000D3646"/>
    <w:rsid w:val="000D3946"/>
    <w:rsid w:val="000D4354"/>
    <w:rsid w:val="000D4A3A"/>
    <w:rsid w:val="000D4A84"/>
    <w:rsid w:val="000D5AED"/>
    <w:rsid w:val="000D5C9F"/>
    <w:rsid w:val="000D6111"/>
    <w:rsid w:val="000E044A"/>
    <w:rsid w:val="000E073F"/>
    <w:rsid w:val="000E08A0"/>
    <w:rsid w:val="000E14F4"/>
    <w:rsid w:val="000E2DBC"/>
    <w:rsid w:val="000E305E"/>
    <w:rsid w:val="000E3CC5"/>
    <w:rsid w:val="000E50A3"/>
    <w:rsid w:val="000E58A2"/>
    <w:rsid w:val="000E6467"/>
    <w:rsid w:val="000E64BE"/>
    <w:rsid w:val="000E6F53"/>
    <w:rsid w:val="000F02FF"/>
    <w:rsid w:val="000F05FA"/>
    <w:rsid w:val="000F0D2D"/>
    <w:rsid w:val="000F297F"/>
    <w:rsid w:val="000F3205"/>
    <w:rsid w:val="000F3AAC"/>
    <w:rsid w:val="000F4101"/>
    <w:rsid w:val="000F53C1"/>
    <w:rsid w:val="000F5BEC"/>
    <w:rsid w:val="00100400"/>
    <w:rsid w:val="001021C6"/>
    <w:rsid w:val="00102411"/>
    <w:rsid w:val="0010275D"/>
    <w:rsid w:val="00102C7D"/>
    <w:rsid w:val="00102E2C"/>
    <w:rsid w:val="00103319"/>
    <w:rsid w:val="00104C74"/>
    <w:rsid w:val="00106523"/>
    <w:rsid w:val="00106D4D"/>
    <w:rsid w:val="001100CF"/>
    <w:rsid w:val="0011030F"/>
    <w:rsid w:val="00110D47"/>
    <w:rsid w:val="001117FF"/>
    <w:rsid w:val="00111CD0"/>
    <w:rsid w:val="0011208D"/>
    <w:rsid w:val="00112BB0"/>
    <w:rsid w:val="00113916"/>
    <w:rsid w:val="00114892"/>
    <w:rsid w:val="00114E25"/>
    <w:rsid w:val="001153C2"/>
    <w:rsid w:val="00115649"/>
    <w:rsid w:val="001175D7"/>
    <w:rsid w:val="001217B7"/>
    <w:rsid w:val="00121C18"/>
    <w:rsid w:val="0012304B"/>
    <w:rsid w:val="0012397B"/>
    <w:rsid w:val="00125208"/>
    <w:rsid w:val="00125241"/>
    <w:rsid w:val="00125839"/>
    <w:rsid w:val="00125F77"/>
    <w:rsid w:val="0012713A"/>
    <w:rsid w:val="001272DB"/>
    <w:rsid w:val="00127741"/>
    <w:rsid w:val="00127CE4"/>
    <w:rsid w:val="00127FF9"/>
    <w:rsid w:val="00131706"/>
    <w:rsid w:val="00131761"/>
    <w:rsid w:val="00132D70"/>
    <w:rsid w:val="00132D7D"/>
    <w:rsid w:val="00134550"/>
    <w:rsid w:val="0013473E"/>
    <w:rsid w:val="00134E1F"/>
    <w:rsid w:val="0013520F"/>
    <w:rsid w:val="00136E59"/>
    <w:rsid w:val="0013723A"/>
    <w:rsid w:val="00140622"/>
    <w:rsid w:val="00140E59"/>
    <w:rsid w:val="0014228B"/>
    <w:rsid w:val="0014251D"/>
    <w:rsid w:val="00143296"/>
    <w:rsid w:val="0014348E"/>
    <w:rsid w:val="00145893"/>
    <w:rsid w:val="00145F17"/>
    <w:rsid w:val="00146498"/>
    <w:rsid w:val="0014780B"/>
    <w:rsid w:val="001501C1"/>
    <w:rsid w:val="001507E9"/>
    <w:rsid w:val="00151154"/>
    <w:rsid w:val="001514AC"/>
    <w:rsid w:val="00152500"/>
    <w:rsid w:val="00153B79"/>
    <w:rsid w:val="00153C43"/>
    <w:rsid w:val="00154701"/>
    <w:rsid w:val="00155A37"/>
    <w:rsid w:val="001572DC"/>
    <w:rsid w:val="00157BBE"/>
    <w:rsid w:val="001605E3"/>
    <w:rsid w:val="00161D2E"/>
    <w:rsid w:val="0016433D"/>
    <w:rsid w:val="00166B6D"/>
    <w:rsid w:val="001676AE"/>
    <w:rsid w:val="001704A5"/>
    <w:rsid w:val="0017127F"/>
    <w:rsid w:val="00172BEA"/>
    <w:rsid w:val="001754AC"/>
    <w:rsid w:val="001755FC"/>
    <w:rsid w:val="00175EFA"/>
    <w:rsid w:val="00176F5F"/>
    <w:rsid w:val="001772B3"/>
    <w:rsid w:val="00180940"/>
    <w:rsid w:val="001809FE"/>
    <w:rsid w:val="00180AB8"/>
    <w:rsid w:val="00181232"/>
    <w:rsid w:val="0018137B"/>
    <w:rsid w:val="001813C5"/>
    <w:rsid w:val="00182BC0"/>
    <w:rsid w:val="00183285"/>
    <w:rsid w:val="00183CC9"/>
    <w:rsid w:val="001840B6"/>
    <w:rsid w:val="00185EF2"/>
    <w:rsid w:val="00186814"/>
    <w:rsid w:val="00186CD7"/>
    <w:rsid w:val="00191375"/>
    <w:rsid w:val="00191F86"/>
    <w:rsid w:val="001937AA"/>
    <w:rsid w:val="00193A9D"/>
    <w:rsid w:val="0019438F"/>
    <w:rsid w:val="0019449A"/>
    <w:rsid w:val="00194804"/>
    <w:rsid w:val="00195DB8"/>
    <w:rsid w:val="00195DC5"/>
    <w:rsid w:val="001960F0"/>
    <w:rsid w:val="001964FE"/>
    <w:rsid w:val="00197204"/>
    <w:rsid w:val="001A0682"/>
    <w:rsid w:val="001A09C0"/>
    <w:rsid w:val="001A3FAA"/>
    <w:rsid w:val="001A48DD"/>
    <w:rsid w:val="001A49CC"/>
    <w:rsid w:val="001A4C2D"/>
    <w:rsid w:val="001A514B"/>
    <w:rsid w:val="001A6CF0"/>
    <w:rsid w:val="001A7B3A"/>
    <w:rsid w:val="001A7F98"/>
    <w:rsid w:val="001B16ED"/>
    <w:rsid w:val="001B17CF"/>
    <w:rsid w:val="001B33C4"/>
    <w:rsid w:val="001B3C0C"/>
    <w:rsid w:val="001B48C1"/>
    <w:rsid w:val="001B58A1"/>
    <w:rsid w:val="001B6768"/>
    <w:rsid w:val="001C042C"/>
    <w:rsid w:val="001C0560"/>
    <w:rsid w:val="001C229C"/>
    <w:rsid w:val="001C59F7"/>
    <w:rsid w:val="001C5A3B"/>
    <w:rsid w:val="001C5FD8"/>
    <w:rsid w:val="001C77E7"/>
    <w:rsid w:val="001D0167"/>
    <w:rsid w:val="001D0C1C"/>
    <w:rsid w:val="001D0D03"/>
    <w:rsid w:val="001D0D90"/>
    <w:rsid w:val="001D169C"/>
    <w:rsid w:val="001D1E90"/>
    <w:rsid w:val="001D1FE8"/>
    <w:rsid w:val="001D2CFF"/>
    <w:rsid w:val="001D2FA2"/>
    <w:rsid w:val="001D3BA3"/>
    <w:rsid w:val="001D552F"/>
    <w:rsid w:val="001D5636"/>
    <w:rsid w:val="001D5838"/>
    <w:rsid w:val="001D6BB4"/>
    <w:rsid w:val="001D769A"/>
    <w:rsid w:val="001E0251"/>
    <w:rsid w:val="001E2831"/>
    <w:rsid w:val="001E2CA1"/>
    <w:rsid w:val="001E3054"/>
    <w:rsid w:val="001E31B2"/>
    <w:rsid w:val="001E38D6"/>
    <w:rsid w:val="001E3CD3"/>
    <w:rsid w:val="001E3E45"/>
    <w:rsid w:val="001E5237"/>
    <w:rsid w:val="001E5A40"/>
    <w:rsid w:val="001E5B28"/>
    <w:rsid w:val="001E681E"/>
    <w:rsid w:val="001E6CE7"/>
    <w:rsid w:val="001E6D5C"/>
    <w:rsid w:val="001F033F"/>
    <w:rsid w:val="001F113D"/>
    <w:rsid w:val="001F1306"/>
    <w:rsid w:val="001F214B"/>
    <w:rsid w:val="001F266E"/>
    <w:rsid w:val="001F28A9"/>
    <w:rsid w:val="001F2F07"/>
    <w:rsid w:val="001F3BC9"/>
    <w:rsid w:val="001F3D39"/>
    <w:rsid w:val="001F421C"/>
    <w:rsid w:val="001F469E"/>
    <w:rsid w:val="001F6384"/>
    <w:rsid w:val="001F6D2A"/>
    <w:rsid w:val="001F7C7A"/>
    <w:rsid w:val="002007A5"/>
    <w:rsid w:val="002012FB"/>
    <w:rsid w:val="00201488"/>
    <w:rsid w:val="0020176B"/>
    <w:rsid w:val="00202379"/>
    <w:rsid w:val="002032A7"/>
    <w:rsid w:val="002034A0"/>
    <w:rsid w:val="0020446D"/>
    <w:rsid w:val="0020508C"/>
    <w:rsid w:val="00205FFD"/>
    <w:rsid w:val="00206E96"/>
    <w:rsid w:val="00207721"/>
    <w:rsid w:val="00207B82"/>
    <w:rsid w:val="00207FD9"/>
    <w:rsid w:val="00210625"/>
    <w:rsid w:val="00210F73"/>
    <w:rsid w:val="00213EB0"/>
    <w:rsid w:val="00217404"/>
    <w:rsid w:val="00217CF8"/>
    <w:rsid w:val="00220A0E"/>
    <w:rsid w:val="00220A9B"/>
    <w:rsid w:val="00221183"/>
    <w:rsid w:val="00221BB8"/>
    <w:rsid w:val="00222630"/>
    <w:rsid w:val="00222E01"/>
    <w:rsid w:val="00223B93"/>
    <w:rsid w:val="002250E2"/>
    <w:rsid w:val="00227DDD"/>
    <w:rsid w:val="0023288D"/>
    <w:rsid w:val="00232C04"/>
    <w:rsid w:val="0023468F"/>
    <w:rsid w:val="002356E2"/>
    <w:rsid w:val="00235714"/>
    <w:rsid w:val="00235F1E"/>
    <w:rsid w:val="00236036"/>
    <w:rsid w:val="00236813"/>
    <w:rsid w:val="00236A1F"/>
    <w:rsid w:val="00236F74"/>
    <w:rsid w:val="0023752B"/>
    <w:rsid w:val="00237713"/>
    <w:rsid w:val="00237BE3"/>
    <w:rsid w:val="002419C4"/>
    <w:rsid w:val="002429ED"/>
    <w:rsid w:val="00242C66"/>
    <w:rsid w:val="00242E42"/>
    <w:rsid w:val="00243128"/>
    <w:rsid w:val="00243E2A"/>
    <w:rsid w:val="00244DCF"/>
    <w:rsid w:val="00244E59"/>
    <w:rsid w:val="00244F4B"/>
    <w:rsid w:val="00247A43"/>
    <w:rsid w:val="0025024B"/>
    <w:rsid w:val="00250617"/>
    <w:rsid w:val="0025109B"/>
    <w:rsid w:val="0025201A"/>
    <w:rsid w:val="00252F52"/>
    <w:rsid w:val="002531AB"/>
    <w:rsid w:val="00253E94"/>
    <w:rsid w:val="00254946"/>
    <w:rsid w:val="00255B8E"/>
    <w:rsid w:val="0025629C"/>
    <w:rsid w:val="002566F2"/>
    <w:rsid w:val="00260F49"/>
    <w:rsid w:val="00262738"/>
    <w:rsid w:val="00262DD5"/>
    <w:rsid w:val="00263D02"/>
    <w:rsid w:val="00263E4A"/>
    <w:rsid w:val="00264E64"/>
    <w:rsid w:val="0026647A"/>
    <w:rsid w:val="00266F0A"/>
    <w:rsid w:val="0026701F"/>
    <w:rsid w:val="00267298"/>
    <w:rsid w:val="00267E05"/>
    <w:rsid w:val="00270CA7"/>
    <w:rsid w:val="00270E21"/>
    <w:rsid w:val="00271563"/>
    <w:rsid w:val="00271BEF"/>
    <w:rsid w:val="0027294B"/>
    <w:rsid w:val="00272B28"/>
    <w:rsid w:val="00274AEF"/>
    <w:rsid w:val="00275067"/>
    <w:rsid w:val="00275237"/>
    <w:rsid w:val="002803B3"/>
    <w:rsid w:val="00281965"/>
    <w:rsid w:val="00281D3B"/>
    <w:rsid w:val="00283405"/>
    <w:rsid w:val="0028363B"/>
    <w:rsid w:val="00283C49"/>
    <w:rsid w:val="0028402B"/>
    <w:rsid w:val="00284378"/>
    <w:rsid w:val="00285020"/>
    <w:rsid w:val="00287AAE"/>
    <w:rsid w:val="00287C7D"/>
    <w:rsid w:val="002910BD"/>
    <w:rsid w:val="0029172A"/>
    <w:rsid w:val="002920C0"/>
    <w:rsid w:val="00292DFE"/>
    <w:rsid w:val="00295461"/>
    <w:rsid w:val="00295A81"/>
    <w:rsid w:val="002962C7"/>
    <w:rsid w:val="0029760C"/>
    <w:rsid w:val="0029764E"/>
    <w:rsid w:val="002A0325"/>
    <w:rsid w:val="002A0CB7"/>
    <w:rsid w:val="002A23EE"/>
    <w:rsid w:val="002A2789"/>
    <w:rsid w:val="002A2A7A"/>
    <w:rsid w:val="002A343D"/>
    <w:rsid w:val="002A3728"/>
    <w:rsid w:val="002A4556"/>
    <w:rsid w:val="002A489F"/>
    <w:rsid w:val="002A4A98"/>
    <w:rsid w:val="002A4F0E"/>
    <w:rsid w:val="002A5A6D"/>
    <w:rsid w:val="002A6B7F"/>
    <w:rsid w:val="002B20B2"/>
    <w:rsid w:val="002B21D6"/>
    <w:rsid w:val="002B3344"/>
    <w:rsid w:val="002B353A"/>
    <w:rsid w:val="002B3554"/>
    <w:rsid w:val="002B40C1"/>
    <w:rsid w:val="002B4382"/>
    <w:rsid w:val="002B536B"/>
    <w:rsid w:val="002B5891"/>
    <w:rsid w:val="002B5A1F"/>
    <w:rsid w:val="002B603B"/>
    <w:rsid w:val="002B6986"/>
    <w:rsid w:val="002B6CED"/>
    <w:rsid w:val="002B6E96"/>
    <w:rsid w:val="002B72C8"/>
    <w:rsid w:val="002C05D5"/>
    <w:rsid w:val="002C12B0"/>
    <w:rsid w:val="002C21CB"/>
    <w:rsid w:val="002C24A6"/>
    <w:rsid w:val="002C3971"/>
    <w:rsid w:val="002C3EC8"/>
    <w:rsid w:val="002C495A"/>
    <w:rsid w:val="002C50F4"/>
    <w:rsid w:val="002C5392"/>
    <w:rsid w:val="002C5487"/>
    <w:rsid w:val="002C62A5"/>
    <w:rsid w:val="002C7E7A"/>
    <w:rsid w:val="002D00D8"/>
    <w:rsid w:val="002D0912"/>
    <w:rsid w:val="002D150A"/>
    <w:rsid w:val="002D1C38"/>
    <w:rsid w:val="002D1D4B"/>
    <w:rsid w:val="002D224C"/>
    <w:rsid w:val="002D29AD"/>
    <w:rsid w:val="002D2EF5"/>
    <w:rsid w:val="002D2F74"/>
    <w:rsid w:val="002D36B2"/>
    <w:rsid w:val="002D3B7E"/>
    <w:rsid w:val="002D46C1"/>
    <w:rsid w:val="002D4C98"/>
    <w:rsid w:val="002D6845"/>
    <w:rsid w:val="002D7FBC"/>
    <w:rsid w:val="002E015C"/>
    <w:rsid w:val="002E08E2"/>
    <w:rsid w:val="002E1682"/>
    <w:rsid w:val="002E19FA"/>
    <w:rsid w:val="002E1BF5"/>
    <w:rsid w:val="002E1DAF"/>
    <w:rsid w:val="002E20AE"/>
    <w:rsid w:val="002E24A6"/>
    <w:rsid w:val="002E5735"/>
    <w:rsid w:val="002E5C1A"/>
    <w:rsid w:val="002E6217"/>
    <w:rsid w:val="002E65F8"/>
    <w:rsid w:val="002E6C19"/>
    <w:rsid w:val="002E71F1"/>
    <w:rsid w:val="002E753B"/>
    <w:rsid w:val="002E7A2F"/>
    <w:rsid w:val="002F1D43"/>
    <w:rsid w:val="002F2C59"/>
    <w:rsid w:val="002F3705"/>
    <w:rsid w:val="002F3BC8"/>
    <w:rsid w:val="002F43AB"/>
    <w:rsid w:val="002F4765"/>
    <w:rsid w:val="002F4E5F"/>
    <w:rsid w:val="002F5795"/>
    <w:rsid w:val="002F6397"/>
    <w:rsid w:val="002F6D87"/>
    <w:rsid w:val="00301E6C"/>
    <w:rsid w:val="00302363"/>
    <w:rsid w:val="0030341D"/>
    <w:rsid w:val="00303611"/>
    <w:rsid w:val="00303648"/>
    <w:rsid w:val="00304153"/>
    <w:rsid w:val="00305DF4"/>
    <w:rsid w:val="00307595"/>
    <w:rsid w:val="00307639"/>
    <w:rsid w:val="00307F97"/>
    <w:rsid w:val="003104DC"/>
    <w:rsid w:val="00310D6E"/>
    <w:rsid w:val="00310FBA"/>
    <w:rsid w:val="00311A21"/>
    <w:rsid w:val="0031234A"/>
    <w:rsid w:val="0031277B"/>
    <w:rsid w:val="00313A0C"/>
    <w:rsid w:val="00314B47"/>
    <w:rsid w:val="00315370"/>
    <w:rsid w:val="00315919"/>
    <w:rsid w:val="00316075"/>
    <w:rsid w:val="003207F3"/>
    <w:rsid w:val="00320B37"/>
    <w:rsid w:val="003216CA"/>
    <w:rsid w:val="00321C60"/>
    <w:rsid w:val="00321DB2"/>
    <w:rsid w:val="00321E17"/>
    <w:rsid w:val="00322B45"/>
    <w:rsid w:val="00325F73"/>
    <w:rsid w:val="003274C0"/>
    <w:rsid w:val="00327D59"/>
    <w:rsid w:val="00331467"/>
    <w:rsid w:val="003320EC"/>
    <w:rsid w:val="003341D9"/>
    <w:rsid w:val="00335C25"/>
    <w:rsid w:val="00335D81"/>
    <w:rsid w:val="00337057"/>
    <w:rsid w:val="003370BC"/>
    <w:rsid w:val="003376CA"/>
    <w:rsid w:val="00340649"/>
    <w:rsid w:val="00343316"/>
    <w:rsid w:val="003433E7"/>
    <w:rsid w:val="003435E2"/>
    <w:rsid w:val="0034433C"/>
    <w:rsid w:val="00344AD9"/>
    <w:rsid w:val="00346C70"/>
    <w:rsid w:val="00347536"/>
    <w:rsid w:val="0035073C"/>
    <w:rsid w:val="0035126E"/>
    <w:rsid w:val="00351336"/>
    <w:rsid w:val="003525DE"/>
    <w:rsid w:val="0035286F"/>
    <w:rsid w:val="00353A56"/>
    <w:rsid w:val="00354D70"/>
    <w:rsid w:val="00357A75"/>
    <w:rsid w:val="00357EC1"/>
    <w:rsid w:val="003607C0"/>
    <w:rsid w:val="00360EC7"/>
    <w:rsid w:val="00360FFA"/>
    <w:rsid w:val="003617A8"/>
    <w:rsid w:val="0036191B"/>
    <w:rsid w:val="00363481"/>
    <w:rsid w:val="003649A0"/>
    <w:rsid w:val="003649DA"/>
    <w:rsid w:val="00370258"/>
    <w:rsid w:val="00370A5F"/>
    <w:rsid w:val="00370F9A"/>
    <w:rsid w:val="003719BA"/>
    <w:rsid w:val="003726CF"/>
    <w:rsid w:val="00373118"/>
    <w:rsid w:val="003755B5"/>
    <w:rsid w:val="00377125"/>
    <w:rsid w:val="003804A7"/>
    <w:rsid w:val="00381162"/>
    <w:rsid w:val="003823E3"/>
    <w:rsid w:val="00384051"/>
    <w:rsid w:val="00384423"/>
    <w:rsid w:val="00384FB1"/>
    <w:rsid w:val="00385C0C"/>
    <w:rsid w:val="00385CAB"/>
    <w:rsid w:val="00386346"/>
    <w:rsid w:val="00386EC4"/>
    <w:rsid w:val="003872FA"/>
    <w:rsid w:val="00387AD6"/>
    <w:rsid w:val="00390CDA"/>
    <w:rsid w:val="0039193D"/>
    <w:rsid w:val="0039195E"/>
    <w:rsid w:val="00391B41"/>
    <w:rsid w:val="00393BCB"/>
    <w:rsid w:val="00393BF0"/>
    <w:rsid w:val="003941F3"/>
    <w:rsid w:val="00394255"/>
    <w:rsid w:val="00394982"/>
    <w:rsid w:val="00394A6D"/>
    <w:rsid w:val="00395548"/>
    <w:rsid w:val="003956A4"/>
    <w:rsid w:val="003958C4"/>
    <w:rsid w:val="00395AF9"/>
    <w:rsid w:val="00395B73"/>
    <w:rsid w:val="00396689"/>
    <w:rsid w:val="00396B7E"/>
    <w:rsid w:val="003A00FE"/>
    <w:rsid w:val="003A06E0"/>
    <w:rsid w:val="003A0DC6"/>
    <w:rsid w:val="003A1BA9"/>
    <w:rsid w:val="003A1DA7"/>
    <w:rsid w:val="003A2FA7"/>
    <w:rsid w:val="003A356F"/>
    <w:rsid w:val="003A3C8A"/>
    <w:rsid w:val="003A45BA"/>
    <w:rsid w:val="003A49C5"/>
    <w:rsid w:val="003A4A27"/>
    <w:rsid w:val="003A4D9B"/>
    <w:rsid w:val="003A50BC"/>
    <w:rsid w:val="003A52E2"/>
    <w:rsid w:val="003A5479"/>
    <w:rsid w:val="003A5C87"/>
    <w:rsid w:val="003A70F6"/>
    <w:rsid w:val="003A784E"/>
    <w:rsid w:val="003A7B99"/>
    <w:rsid w:val="003B083D"/>
    <w:rsid w:val="003B19E9"/>
    <w:rsid w:val="003B1E82"/>
    <w:rsid w:val="003B20BE"/>
    <w:rsid w:val="003B255D"/>
    <w:rsid w:val="003B32BB"/>
    <w:rsid w:val="003B35EA"/>
    <w:rsid w:val="003B3DFE"/>
    <w:rsid w:val="003B3FCD"/>
    <w:rsid w:val="003B4E53"/>
    <w:rsid w:val="003B4F28"/>
    <w:rsid w:val="003B62A1"/>
    <w:rsid w:val="003B7161"/>
    <w:rsid w:val="003B7299"/>
    <w:rsid w:val="003B7C1F"/>
    <w:rsid w:val="003B7E2B"/>
    <w:rsid w:val="003C0597"/>
    <w:rsid w:val="003C0C79"/>
    <w:rsid w:val="003C105E"/>
    <w:rsid w:val="003C1E53"/>
    <w:rsid w:val="003C3A01"/>
    <w:rsid w:val="003C4EE0"/>
    <w:rsid w:val="003C5C93"/>
    <w:rsid w:val="003C657A"/>
    <w:rsid w:val="003C674F"/>
    <w:rsid w:val="003C6814"/>
    <w:rsid w:val="003C7D96"/>
    <w:rsid w:val="003D0AD4"/>
    <w:rsid w:val="003D0F61"/>
    <w:rsid w:val="003D1523"/>
    <w:rsid w:val="003D2034"/>
    <w:rsid w:val="003D208C"/>
    <w:rsid w:val="003D2097"/>
    <w:rsid w:val="003D32FB"/>
    <w:rsid w:val="003D5011"/>
    <w:rsid w:val="003D6FF0"/>
    <w:rsid w:val="003D71FA"/>
    <w:rsid w:val="003D73AB"/>
    <w:rsid w:val="003D7431"/>
    <w:rsid w:val="003D76AE"/>
    <w:rsid w:val="003D7B8C"/>
    <w:rsid w:val="003E0006"/>
    <w:rsid w:val="003E01F5"/>
    <w:rsid w:val="003E14D5"/>
    <w:rsid w:val="003E1504"/>
    <w:rsid w:val="003E2152"/>
    <w:rsid w:val="003E2FB9"/>
    <w:rsid w:val="003E33CD"/>
    <w:rsid w:val="003E51C3"/>
    <w:rsid w:val="003E53A0"/>
    <w:rsid w:val="003E6836"/>
    <w:rsid w:val="003E6D3C"/>
    <w:rsid w:val="003E6DDF"/>
    <w:rsid w:val="003E75E6"/>
    <w:rsid w:val="003F0531"/>
    <w:rsid w:val="003F0A40"/>
    <w:rsid w:val="003F0CB6"/>
    <w:rsid w:val="003F1BC1"/>
    <w:rsid w:val="003F2553"/>
    <w:rsid w:val="003F299E"/>
    <w:rsid w:val="003F3450"/>
    <w:rsid w:val="003F3A78"/>
    <w:rsid w:val="003F411B"/>
    <w:rsid w:val="003F412E"/>
    <w:rsid w:val="003F41D6"/>
    <w:rsid w:val="003F4565"/>
    <w:rsid w:val="003F480D"/>
    <w:rsid w:val="003F4D0A"/>
    <w:rsid w:val="003F5270"/>
    <w:rsid w:val="003F5758"/>
    <w:rsid w:val="003F5ABC"/>
    <w:rsid w:val="003F6162"/>
    <w:rsid w:val="004007ED"/>
    <w:rsid w:val="00400C1F"/>
    <w:rsid w:val="00400F9A"/>
    <w:rsid w:val="00401334"/>
    <w:rsid w:val="0040264F"/>
    <w:rsid w:val="00402936"/>
    <w:rsid w:val="00402F41"/>
    <w:rsid w:val="0040335C"/>
    <w:rsid w:val="004033C0"/>
    <w:rsid w:val="0040370A"/>
    <w:rsid w:val="00404DA2"/>
    <w:rsid w:val="00405817"/>
    <w:rsid w:val="00406494"/>
    <w:rsid w:val="00406524"/>
    <w:rsid w:val="004070E4"/>
    <w:rsid w:val="00407F6B"/>
    <w:rsid w:val="00413A3B"/>
    <w:rsid w:val="0041406C"/>
    <w:rsid w:val="0041550A"/>
    <w:rsid w:val="00416BF9"/>
    <w:rsid w:val="00417145"/>
    <w:rsid w:val="00417496"/>
    <w:rsid w:val="004203C8"/>
    <w:rsid w:val="004203FE"/>
    <w:rsid w:val="00422A86"/>
    <w:rsid w:val="00423CD8"/>
    <w:rsid w:val="00424D02"/>
    <w:rsid w:val="00424D14"/>
    <w:rsid w:val="00425C7A"/>
    <w:rsid w:val="004265EF"/>
    <w:rsid w:val="00426CFA"/>
    <w:rsid w:val="004272A6"/>
    <w:rsid w:val="0042792E"/>
    <w:rsid w:val="00427B76"/>
    <w:rsid w:val="00427BCE"/>
    <w:rsid w:val="00430037"/>
    <w:rsid w:val="00432225"/>
    <w:rsid w:val="004328EF"/>
    <w:rsid w:val="00434B05"/>
    <w:rsid w:val="00434BBB"/>
    <w:rsid w:val="00436827"/>
    <w:rsid w:val="00436B02"/>
    <w:rsid w:val="0043745F"/>
    <w:rsid w:val="00437A2F"/>
    <w:rsid w:val="0044004D"/>
    <w:rsid w:val="00440B2B"/>
    <w:rsid w:val="004432CA"/>
    <w:rsid w:val="00443BA6"/>
    <w:rsid w:val="00444739"/>
    <w:rsid w:val="0044628C"/>
    <w:rsid w:val="00446383"/>
    <w:rsid w:val="00447503"/>
    <w:rsid w:val="004478DF"/>
    <w:rsid w:val="004502FA"/>
    <w:rsid w:val="004505EC"/>
    <w:rsid w:val="004507DA"/>
    <w:rsid w:val="00450F7F"/>
    <w:rsid w:val="004511A0"/>
    <w:rsid w:val="00451230"/>
    <w:rsid w:val="00451FC4"/>
    <w:rsid w:val="00452467"/>
    <w:rsid w:val="004529C2"/>
    <w:rsid w:val="00452B16"/>
    <w:rsid w:val="00452BB1"/>
    <w:rsid w:val="0045317D"/>
    <w:rsid w:val="00453707"/>
    <w:rsid w:val="004555DB"/>
    <w:rsid w:val="00455A7B"/>
    <w:rsid w:val="0045681D"/>
    <w:rsid w:val="00456FBC"/>
    <w:rsid w:val="00457370"/>
    <w:rsid w:val="00460337"/>
    <w:rsid w:val="00460408"/>
    <w:rsid w:val="00460F82"/>
    <w:rsid w:val="00461629"/>
    <w:rsid w:val="0046234C"/>
    <w:rsid w:val="00462BD0"/>
    <w:rsid w:val="00462F99"/>
    <w:rsid w:val="004647BB"/>
    <w:rsid w:val="00464A5C"/>
    <w:rsid w:val="0046554B"/>
    <w:rsid w:val="00466E9A"/>
    <w:rsid w:val="00472289"/>
    <w:rsid w:val="00472451"/>
    <w:rsid w:val="004732C6"/>
    <w:rsid w:val="00473575"/>
    <w:rsid w:val="0047395B"/>
    <w:rsid w:val="004766D2"/>
    <w:rsid w:val="004820BE"/>
    <w:rsid w:val="004822A1"/>
    <w:rsid w:val="00482FB8"/>
    <w:rsid w:val="00483036"/>
    <w:rsid w:val="004832E6"/>
    <w:rsid w:val="00484CCD"/>
    <w:rsid w:val="00485F10"/>
    <w:rsid w:val="00486168"/>
    <w:rsid w:val="00486603"/>
    <w:rsid w:val="00486B6C"/>
    <w:rsid w:val="004902BA"/>
    <w:rsid w:val="00490789"/>
    <w:rsid w:val="00491E8B"/>
    <w:rsid w:val="00492E37"/>
    <w:rsid w:val="00493B6C"/>
    <w:rsid w:val="00493D19"/>
    <w:rsid w:val="00494048"/>
    <w:rsid w:val="00494C11"/>
    <w:rsid w:val="004955B7"/>
    <w:rsid w:val="00495AE8"/>
    <w:rsid w:val="00497331"/>
    <w:rsid w:val="00497CA5"/>
    <w:rsid w:val="00497F78"/>
    <w:rsid w:val="004A2179"/>
    <w:rsid w:val="004A2786"/>
    <w:rsid w:val="004A3929"/>
    <w:rsid w:val="004A4273"/>
    <w:rsid w:val="004A4AAF"/>
    <w:rsid w:val="004A5E80"/>
    <w:rsid w:val="004A6AA1"/>
    <w:rsid w:val="004A7B00"/>
    <w:rsid w:val="004B14E9"/>
    <w:rsid w:val="004B1E4B"/>
    <w:rsid w:val="004B2CB1"/>
    <w:rsid w:val="004B4B4F"/>
    <w:rsid w:val="004B5069"/>
    <w:rsid w:val="004B5C9B"/>
    <w:rsid w:val="004B6248"/>
    <w:rsid w:val="004B6638"/>
    <w:rsid w:val="004C0124"/>
    <w:rsid w:val="004C04C8"/>
    <w:rsid w:val="004C18F2"/>
    <w:rsid w:val="004C2199"/>
    <w:rsid w:val="004C417D"/>
    <w:rsid w:val="004C4898"/>
    <w:rsid w:val="004C4D9F"/>
    <w:rsid w:val="004C7C5F"/>
    <w:rsid w:val="004D3606"/>
    <w:rsid w:val="004D5E04"/>
    <w:rsid w:val="004D792B"/>
    <w:rsid w:val="004D7F42"/>
    <w:rsid w:val="004E0122"/>
    <w:rsid w:val="004E087E"/>
    <w:rsid w:val="004E1AE6"/>
    <w:rsid w:val="004E20D1"/>
    <w:rsid w:val="004E3B26"/>
    <w:rsid w:val="004E3C3E"/>
    <w:rsid w:val="004E3E69"/>
    <w:rsid w:val="004E41F0"/>
    <w:rsid w:val="004E4546"/>
    <w:rsid w:val="004E4767"/>
    <w:rsid w:val="004E5E44"/>
    <w:rsid w:val="004E6845"/>
    <w:rsid w:val="004E6D1A"/>
    <w:rsid w:val="004F074D"/>
    <w:rsid w:val="004F07FC"/>
    <w:rsid w:val="004F0A66"/>
    <w:rsid w:val="004F1B00"/>
    <w:rsid w:val="004F4672"/>
    <w:rsid w:val="004F5C77"/>
    <w:rsid w:val="004F6A5F"/>
    <w:rsid w:val="00500269"/>
    <w:rsid w:val="0050145B"/>
    <w:rsid w:val="00504ACA"/>
    <w:rsid w:val="00504FF0"/>
    <w:rsid w:val="00506798"/>
    <w:rsid w:val="00506B6B"/>
    <w:rsid w:val="00507DF9"/>
    <w:rsid w:val="00510987"/>
    <w:rsid w:val="005112D1"/>
    <w:rsid w:val="00511783"/>
    <w:rsid w:val="00511D73"/>
    <w:rsid w:val="005123BD"/>
    <w:rsid w:val="00513A64"/>
    <w:rsid w:val="00513DAA"/>
    <w:rsid w:val="0051432C"/>
    <w:rsid w:val="0051488F"/>
    <w:rsid w:val="005160CE"/>
    <w:rsid w:val="00516539"/>
    <w:rsid w:val="005168E6"/>
    <w:rsid w:val="00516A2D"/>
    <w:rsid w:val="00517C5B"/>
    <w:rsid w:val="00517C7D"/>
    <w:rsid w:val="00517FC6"/>
    <w:rsid w:val="00521A37"/>
    <w:rsid w:val="00523E73"/>
    <w:rsid w:val="0052481F"/>
    <w:rsid w:val="0052489D"/>
    <w:rsid w:val="005265E4"/>
    <w:rsid w:val="005269CC"/>
    <w:rsid w:val="00526B1D"/>
    <w:rsid w:val="0052785D"/>
    <w:rsid w:val="005306E4"/>
    <w:rsid w:val="00530C27"/>
    <w:rsid w:val="00531974"/>
    <w:rsid w:val="00532D4D"/>
    <w:rsid w:val="00532DC9"/>
    <w:rsid w:val="005334A8"/>
    <w:rsid w:val="0053377E"/>
    <w:rsid w:val="005339FC"/>
    <w:rsid w:val="00534DA1"/>
    <w:rsid w:val="00534E4E"/>
    <w:rsid w:val="005353D5"/>
    <w:rsid w:val="00535859"/>
    <w:rsid w:val="00536328"/>
    <w:rsid w:val="00536AD0"/>
    <w:rsid w:val="0053786D"/>
    <w:rsid w:val="00537EAE"/>
    <w:rsid w:val="00540408"/>
    <w:rsid w:val="00541AC1"/>
    <w:rsid w:val="00541D04"/>
    <w:rsid w:val="00543D44"/>
    <w:rsid w:val="00543FEB"/>
    <w:rsid w:val="005470FF"/>
    <w:rsid w:val="0054738F"/>
    <w:rsid w:val="00550026"/>
    <w:rsid w:val="00550BE4"/>
    <w:rsid w:val="005514C4"/>
    <w:rsid w:val="00551C2B"/>
    <w:rsid w:val="00551EF2"/>
    <w:rsid w:val="00552DC4"/>
    <w:rsid w:val="005542C8"/>
    <w:rsid w:val="00554CD2"/>
    <w:rsid w:val="00555F4A"/>
    <w:rsid w:val="0056010A"/>
    <w:rsid w:val="00560EC9"/>
    <w:rsid w:val="0056152E"/>
    <w:rsid w:val="005618EF"/>
    <w:rsid w:val="00563BF8"/>
    <w:rsid w:val="00563F87"/>
    <w:rsid w:val="00564005"/>
    <w:rsid w:val="00565451"/>
    <w:rsid w:val="0056638E"/>
    <w:rsid w:val="00566E80"/>
    <w:rsid w:val="00570FE1"/>
    <w:rsid w:val="00571EA1"/>
    <w:rsid w:val="00572386"/>
    <w:rsid w:val="00572734"/>
    <w:rsid w:val="00573317"/>
    <w:rsid w:val="005769DD"/>
    <w:rsid w:val="0058082A"/>
    <w:rsid w:val="005811A6"/>
    <w:rsid w:val="00581DAA"/>
    <w:rsid w:val="005839DD"/>
    <w:rsid w:val="00584582"/>
    <w:rsid w:val="00585B2F"/>
    <w:rsid w:val="00587A70"/>
    <w:rsid w:val="00590724"/>
    <w:rsid w:val="00590A91"/>
    <w:rsid w:val="005924E3"/>
    <w:rsid w:val="00592D0F"/>
    <w:rsid w:val="00595689"/>
    <w:rsid w:val="00595F33"/>
    <w:rsid w:val="00595F36"/>
    <w:rsid w:val="00596401"/>
    <w:rsid w:val="00596B06"/>
    <w:rsid w:val="00596D54"/>
    <w:rsid w:val="00597392"/>
    <w:rsid w:val="0059786F"/>
    <w:rsid w:val="00597908"/>
    <w:rsid w:val="005A076C"/>
    <w:rsid w:val="005A0AFE"/>
    <w:rsid w:val="005A115B"/>
    <w:rsid w:val="005A1685"/>
    <w:rsid w:val="005A2110"/>
    <w:rsid w:val="005A43CB"/>
    <w:rsid w:val="005A58FA"/>
    <w:rsid w:val="005A650C"/>
    <w:rsid w:val="005A66A5"/>
    <w:rsid w:val="005A688F"/>
    <w:rsid w:val="005A6CF0"/>
    <w:rsid w:val="005A74A8"/>
    <w:rsid w:val="005A7D52"/>
    <w:rsid w:val="005A7F63"/>
    <w:rsid w:val="005B021C"/>
    <w:rsid w:val="005B0A5C"/>
    <w:rsid w:val="005B0F21"/>
    <w:rsid w:val="005B1A19"/>
    <w:rsid w:val="005B21EC"/>
    <w:rsid w:val="005B2419"/>
    <w:rsid w:val="005B299D"/>
    <w:rsid w:val="005B3E53"/>
    <w:rsid w:val="005B3FDB"/>
    <w:rsid w:val="005B4394"/>
    <w:rsid w:val="005B4F1D"/>
    <w:rsid w:val="005B5B47"/>
    <w:rsid w:val="005B6D37"/>
    <w:rsid w:val="005C00B9"/>
    <w:rsid w:val="005C05FF"/>
    <w:rsid w:val="005C1F9F"/>
    <w:rsid w:val="005C2DBE"/>
    <w:rsid w:val="005C4D9E"/>
    <w:rsid w:val="005C5461"/>
    <w:rsid w:val="005D02ED"/>
    <w:rsid w:val="005D150F"/>
    <w:rsid w:val="005D2CE6"/>
    <w:rsid w:val="005D3B13"/>
    <w:rsid w:val="005D4C48"/>
    <w:rsid w:val="005D6448"/>
    <w:rsid w:val="005D64CC"/>
    <w:rsid w:val="005D6BF7"/>
    <w:rsid w:val="005E08F3"/>
    <w:rsid w:val="005E1461"/>
    <w:rsid w:val="005E1EE9"/>
    <w:rsid w:val="005E2002"/>
    <w:rsid w:val="005E3257"/>
    <w:rsid w:val="005E483A"/>
    <w:rsid w:val="005E4BCB"/>
    <w:rsid w:val="005E5B6F"/>
    <w:rsid w:val="005E5BB3"/>
    <w:rsid w:val="005E60F6"/>
    <w:rsid w:val="005E6678"/>
    <w:rsid w:val="005E6BB3"/>
    <w:rsid w:val="005E6BF9"/>
    <w:rsid w:val="005F0C9F"/>
    <w:rsid w:val="005F0E25"/>
    <w:rsid w:val="005F0FCA"/>
    <w:rsid w:val="005F1FEA"/>
    <w:rsid w:val="005F2C5B"/>
    <w:rsid w:val="005F4704"/>
    <w:rsid w:val="005F5681"/>
    <w:rsid w:val="005F6327"/>
    <w:rsid w:val="005F641C"/>
    <w:rsid w:val="005F6460"/>
    <w:rsid w:val="005F6562"/>
    <w:rsid w:val="005F7438"/>
    <w:rsid w:val="005F7783"/>
    <w:rsid w:val="005F793E"/>
    <w:rsid w:val="006031BE"/>
    <w:rsid w:val="00603609"/>
    <w:rsid w:val="00603D04"/>
    <w:rsid w:val="00603F0D"/>
    <w:rsid w:val="00604152"/>
    <w:rsid w:val="00604CCB"/>
    <w:rsid w:val="00606476"/>
    <w:rsid w:val="00607F5D"/>
    <w:rsid w:val="0061043F"/>
    <w:rsid w:val="0061075F"/>
    <w:rsid w:val="00611575"/>
    <w:rsid w:val="00613E75"/>
    <w:rsid w:val="0061535D"/>
    <w:rsid w:val="00615898"/>
    <w:rsid w:val="00615A06"/>
    <w:rsid w:val="0061601C"/>
    <w:rsid w:val="0061672B"/>
    <w:rsid w:val="00616B7B"/>
    <w:rsid w:val="00617D3E"/>
    <w:rsid w:val="00621404"/>
    <w:rsid w:val="00621B17"/>
    <w:rsid w:val="00621EFC"/>
    <w:rsid w:val="00622D5F"/>
    <w:rsid w:val="00622D73"/>
    <w:rsid w:val="00623521"/>
    <w:rsid w:val="00623576"/>
    <w:rsid w:val="006245B6"/>
    <w:rsid w:val="00624F91"/>
    <w:rsid w:val="00625030"/>
    <w:rsid w:val="00625885"/>
    <w:rsid w:val="006259FF"/>
    <w:rsid w:val="00625D13"/>
    <w:rsid w:val="00626396"/>
    <w:rsid w:val="00626BC1"/>
    <w:rsid w:val="00626E46"/>
    <w:rsid w:val="00631D55"/>
    <w:rsid w:val="00631F5B"/>
    <w:rsid w:val="0063223E"/>
    <w:rsid w:val="006334C6"/>
    <w:rsid w:val="0063579C"/>
    <w:rsid w:val="00637473"/>
    <w:rsid w:val="00637594"/>
    <w:rsid w:val="00637785"/>
    <w:rsid w:val="00640D6D"/>
    <w:rsid w:val="00640D86"/>
    <w:rsid w:val="006415FD"/>
    <w:rsid w:val="0064184F"/>
    <w:rsid w:val="00641BAE"/>
    <w:rsid w:val="00641E19"/>
    <w:rsid w:val="00642A36"/>
    <w:rsid w:val="00643238"/>
    <w:rsid w:val="00644D33"/>
    <w:rsid w:val="006451F4"/>
    <w:rsid w:val="00646E5B"/>
    <w:rsid w:val="00647AB9"/>
    <w:rsid w:val="00650758"/>
    <w:rsid w:val="006514BA"/>
    <w:rsid w:val="00652AF1"/>
    <w:rsid w:val="00653411"/>
    <w:rsid w:val="00653AA8"/>
    <w:rsid w:val="00653FD2"/>
    <w:rsid w:val="00654BF8"/>
    <w:rsid w:val="00654EC5"/>
    <w:rsid w:val="00656863"/>
    <w:rsid w:val="00657443"/>
    <w:rsid w:val="00660662"/>
    <w:rsid w:val="00660AE8"/>
    <w:rsid w:val="006615F2"/>
    <w:rsid w:val="0066244F"/>
    <w:rsid w:val="006631C7"/>
    <w:rsid w:val="00663F7D"/>
    <w:rsid w:val="006644AA"/>
    <w:rsid w:val="00664521"/>
    <w:rsid w:val="006645DC"/>
    <w:rsid w:val="006646B6"/>
    <w:rsid w:val="00664C22"/>
    <w:rsid w:val="00664FF8"/>
    <w:rsid w:val="0066641D"/>
    <w:rsid w:val="0066659E"/>
    <w:rsid w:val="0066698C"/>
    <w:rsid w:val="006721FC"/>
    <w:rsid w:val="00673A58"/>
    <w:rsid w:val="0067500B"/>
    <w:rsid w:val="00675562"/>
    <w:rsid w:val="00675A7A"/>
    <w:rsid w:val="00676A1B"/>
    <w:rsid w:val="00677524"/>
    <w:rsid w:val="00680455"/>
    <w:rsid w:val="00681FAA"/>
    <w:rsid w:val="006827F2"/>
    <w:rsid w:val="00683197"/>
    <w:rsid w:val="00683275"/>
    <w:rsid w:val="00684BD4"/>
    <w:rsid w:val="0068514D"/>
    <w:rsid w:val="006858B0"/>
    <w:rsid w:val="00685BA6"/>
    <w:rsid w:val="00685FE2"/>
    <w:rsid w:val="006876E0"/>
    <w:rsid w:val="006879CE"/>
    <w:rsid w:val="00690651"/>
    <w:rsid w:val="006910F9"/>
    <w:rsid w:val="00692AE5"/>
    <w:rsid w:val="0069339A"/>
    <w:rsid w:val="006933E7"/>
    <w:rsid w:val="0069519B"/>
    <w:rsid w:val="00696603"/>
    <w:rsid w:val="00696D02"/>
    <w:rsid w:val="00696E16"/>
    <w:rsid w:val="006979C8"/>
    <w:rsid w:val="006A003F"/>
    <w:rsid w:val="006A0C1E"/>
    <w:rsid w:val="006A0F32"/>
    <w:rsid w:val="006A1107"/>
    <w:rsid w:val="006A15A7"/>
    <w:rsid w:val="006A2848"/>
    <w:rsid w:val="006A6728"/>
    <w:rsid w:val="006A718C"/>
    <w:rsid w:val="006B001B"/>
    <w:rsid w:val="006B2B17"/>
    <w:rsid w:val="006B2C3E"/>
    <w:rsid w:val="006B32DB"/>
    <w:rsid w:val="006B3623"/>
    <w:rsid w:val="006B41BB"/>
    <w:rsid w:val="006B7290"/>
    <w:rsid w:val="006B7667"/>
    <w:rsid w:val="006B7AAE"/>
    <w:rsid w:val="006C13BC"/>
    <w:rsid w:val="006C1D5C"/>
    <w:rsid w:val="006C2424"/>
    <w:rsid w:val="006C2B29"/>
    <w:rsid w:val="006C3B66"/>
    <w:rsid w:val="006C64FC"/>
    <w:rsid w:val="006C6BF2"/>
    <w:rsid w:val="006D0C36"/>
    <w:rsid w:val="006D1131"/>
    <w:rsid w:val="006D1173"/>
    <w:rsid w:val="006D186D"/>
    <w:rsid w:val="006D463B"/>
    <w:rsid w:val="006D4A27"/>
    <w:rsid w:val="006D54FA"/>
    <w:rsid w:val="006D5FCA"/>
    <w:rsid w:val="006D67C2"/>
    <w:rsid w:val="006D7C9E"/>
    <w:rsid w:val="006E0829"/>
    <w:rsid w:val="006E176C"/>
    <w:rsid w:val="006E1A55"/>
    <w:rsid w:val="006E1F9B"/>
    <w:rsid w:val="006E40BF"/>
    <w:rsid w:val="006E5044"/>
    <w:rsid w:val="006E61A4"/>
    <w:rsid w:val="006E655A"/>
    <w:rsid w:val="006E6F42"/>
    <w:rsid w:val="006E7757"/>
    <w:rsid w:val="006E7803"/>
    <w:rsid w:val="006E7DBD"/>
    <w:rsid w:val="006F11CA"/>
    <w:rsid w:val="006F16EC"/>
    <w:rsid w:val="006F1CFD"/>
    <w:rsid w:val="006F24BB"/>
    <w:rsid w:val="006F35F9"/>
    <w:rsid w:val="006F4D95"/>
    <w:rsid w:val="006F6004"/>
    <w:rsid w:val="006F60E9"/>
    <w:rsid w:val="007000A5"/>
    <w:rsid w:val="0070018B"/>
    <w:rsid w:val="00700999"/>
    <w:rsid w:val="00703750"/>
    <w:rsid w:val="00704E98"/>
    <w:rsid w:val="00704FE4"/>
    <w:rsid w:val="0070565D"/>
    <w:rsid w:val="007059F3"/>
    <w:rsid w:val="00705BCC"/>
    <w:rsid w:val="00706D65"/>
    <w:rsid w:val="00706E09"/>
    <w:rsid w:val="007071B6"/>
    <w:rsid w:val="007101A1"/>
    <w:rsid w:val="00710FE3"/>
    <w:rsid w:val="00711D99"/>
    <w:rsid w:val="00711FEF"/>
    <w:rsid w:val="0071393E"/>
    <w:rsid w:val="00713AF1"/>
    <w:rsid w:val="0071406A"/>
    <w:rsid w:val="00714688"/>
    <w:rsid w:val="0071496E"/>
    <w:rsid w:val="00714C80"/>
    <w:rsid w:val="007153DD"/>
    <w:rsid w:val="00715703"/>
    <w:rsid w:val="007167AC"/>
    <w:rsid w:val="0071769D"/>
    <w:rsid w:val="00720B93"/>
    <w:rsid w:val="00720D51"/>
    <w:rsid w:val="007219A5"/>
    <w:rsid w:val="00721E96"/>
    <w:rsid w:val="00722068"/>
    <w:rsid w:val="007223FA"/>
    <w:rsid w:val="007226A8"/>
    <w:rsid w:val="00723322"/>
    <w:rsid w:val="00723FE5"/>
    <w:rsid w:val="0072795B"/>
    <w:rsid w:val="00732AC1"/>
    <w:rsid w:val="00732BA8"/>
    <w:rsid w:val="00733DDD"/>
    <w:rsid w:val="00733F2E"/>
    <w:rsid w:val="00737377"/>
    <w:rsid w:val="00737B76"/>
    <w:rsid w:val="007406D9"/>
    <w:rsid w:val="007415B6"/>
    <w:rsid w:val="00741C93"/>
    <w:rsid w:val="007422A3"/>
    <w:rsid w:val="00743404"/>
    <w:rsid w:val="00743530"/>
    <w:rsid w:val="00743AF1"/>
    <w:rsid w:val="0074416D"/>
    <w:rsid w:val="00745AEC"/>
    <w:rsid w:val="00746E68"/>
    <w:rsid w:val="00747C81"/>
    <w:rsid w:val="0075062F"/>
    <w:rsid w:val="00752710"/>
    <w:rsid w:val="00752CE4"/>
    <w:rsid w:val="0075370D"/>
    <w:rsid w:val="00753991"/>
    <w:rsid w:val="00753E5C"/>
    <w:rsid w:val="00754327"/>
    <w:rsid w:val="007567BB"/>
    <w:rsid w:val="00756AFA"/>
    <w:rsid w:val="00761C83"/>
    <w:rsid w:val="00763D2A"/>
    <w:rsid w:val="00764ADA"/>
    <w:rsid w:val="007660DB"/>
    <w:rsid w:val="00766317"/>
    <w:rsid w:val="007668BC"/>
    <w:rsid w:val="00767E7D"/>
    <w:rsid w:val="00770935"/>
    <w:rsid w:val="007711CF"/>
    <w:rsid w:val="007715F2"/>
    <w:rsid w:val="007716AB"/>
    <w:rsid w:val="0077341C"/>
    <w:rsid w:val="00773807"/>
    <w:rsid w:val="00773A7F"/>
    <w:rsid w:val="00774479"/>
    <w:rsid w:val="0077476A"/>
    <w:rsid w:val="00775048"/>
    <w:rsid w:val="007750C4"/>
    <w:rsid w:val="0077564F"/>
    <w:rsid w:val="007759EF"/>
    <w:rsid w:val="00775BE7"/>
    <w:rsid w:val="00780CEA"/>
    <w:rsid w:val="00781F67"/>
    <w:rsid w:val="00783C90"/>
    <w:rsid w:val="0078574E"/>
    <w:rsid w:val="00785CB9"/>
    <w:rsid w:val="00785DD8"/>
    <w:rsid w:val="007861BA"/>
    <w:rsid w:val="00786EF1"/>
    <w:rsid w:val="00787AFF"/>
    <w:rsid w:val="00787F7E"/>
    <w:rsid w:val="00792120"/>
    <w:rsid w:val="00792A91"/>
    <w:rsid w:val="00792ACE"/>
    <w:rsid w:val="00793C6E"/>
    <w:rsid w:val="007943BD"/>
    <w:rsid w:val="007946A1"/>
    <w:rsid w:val="00795AF2"/>
    <w:rsid w:val="00795E86"/>
    <w:rsid w:val="00796567"/>
    <w:rsid w:val="00796F38"/>
    <w:rsid w:val="00797108"/>
    <w:rsid w:val="007972F8"/>
    <w:rsid w:val="00797529"/>
    <w:rsid w:val="00797BB8"/>
    <w:rsid w:val="007A237A"/>
    <w:rsid w:val="007A265A"/>
    <w:rsid w:val="007A2BAA"/>
    <w:rsid w:val="007A31A5"/>
    <w:rsid w:val="007A373A"/>
    <w:rsid w:val="007A3C5C"/>
    <w:rsid w:val="007A5AAA"/>
    <w:rsid w:val="007A6567"/>
    <w:rsid w:val="007A6CA2"/>
    <w:rsid w:val="007B1C84"/>
    <w:rsid w:val="007B2A2F"/>
    <w:rsid w:val="007B374C"/>
    <w:rsid w:val="007B3D26"/>
    <w:rsid w:val="007B46D2"/>
    <w:rsid w:val="007B4C21"/>
    <w:rsid w:val="007B5B85"/>
    <w:rsid w:val="007B613D"/>
    <w:rsid w:val="007B6DE6"/>
    <w:rsid w:val="007C013E"/>
    <w:rsid w:val="007C0C30"/>
    <w:rsid w:val="007C1AD4"/>
    <w:rsid w:val="007C1B12"/>
    <w:rsid w:val="007C2603"/>
    <w:rsid w:val="007C3214"/>
    <w:rsid w:val="007C339C"/>
    <w:rsid w:val="007C3CBD"/>
    <w:rsid w:val="007C4451"/>
    <w:rsid w:val="007C5980"/>
    <w:rsid w:val="007C5F0F"/>
    <w:rsid w:val="007C63EF"/>
    <w:rsid w:val="007C641C"/>
    <w:rsid w:val="007C715C"/>
    <w:rsid w:val="007C75AA"/>
    <w:rsid w:val="007D09D9"/>
    <w:rsid w:val="007D13C8"/>
    <w:rsid w:val="007D1A32"/>
    <w:rsid w:val="007D23FA"/>
    <w:rsid w:val="007D24D6"/>
    <w:rsid w:val="007D28D0"/>
    <w:rsid w:val="007D2A03"/>
    <w:rsid w:val="007D3ACF"/>
    <w:rsid w:val="007D5B0C"/>
    <w:rsid w:val="007D7026"/>
    <w:rsid w:val="007D74D8"/>
    <w:rsid w:val="007D7BC0"/>
    <w:rsid w:val="007D7E73"/>
    <w:rsid w:val="007E0CB3"/>
    <w:rsid w:val="007E10F0"/>
    <w:rsid w:val="007E18DA"/>
    <w:rsid w:val="007E1FA7"/>
    <w:rsid w:val="007E284E"/>
    <w:rsid w:val="007E2936"/>
    <w:rsid w:val="007E2CA1"/>
    <w:rsid w:val="007E3008"/>
    <w:rsid w:val="007E4B6A"/>
    <w:rsid w:val="007E5356"/>
    <w:rsid w:val="007E5602"/>
    <w:rsid w:val="007E59C3"/>
    <w:rsid w:val="007E5BBC"/>
    <w:rsid w:val="007E5F5A"/>
    <w:rsid w:val="007E6948"/>
    <w:rsid w:val="007F042C"/>
    <w:rsid w:val="007F1C14"/>
    <w:rsid w:val="007F1F7E"/>
    <w:rsid w:val="007F2ED4"/>
    <w:rsid w:val="007F30B2"/>
    <w:rsid w:val="007F358B"/>
    <w:rsid w:val="007F3CB2"/>
    <w:rsid w:val="007F4B99"/>
    <w:rsid w:val="007F568D"/>
    <w:rsid w:val="007F62FB"/>
    <w:rsid w:val="007F7008"/>
    <w:rsid w:val="00800247"/>
    <w:rsid w:val="008051D4"/>
    <w:rsid w:val="008051EC"/>
    <w:rsid w:val="00806DA5"/>
    <w:rsid w:val="00807980"/>
    <w:rsid w:val="00807AA8"/>
    <w:rsid w:val="008103F6"/>
    <w:rsid w:val="00811915"/>
    <w:rsid w:val="0081198D"/>
    <w:rsid w:val="008124E8"/>
    <w:rsid w:val="00813158"/>
    <w:rsid w:val="00813237"/>
    <w:rsid w:val="00813A32"/>
    <w:rsid w:val="00813D61"/>
    <w:rsid w:val="00814DFF"/>
    <w:rsid w:val="0081546C"/>
    <w:rsid w:val="00816BAA"/>
    <w:rsid w:val="00821BC8"/>
    <w:rsid w:val="00823B48"/>
    <w:rsid w:val="00830F1E"/>
    <w:rsid w:val="00831745"/>
    <w:rsid w:val="008329A3"/>
    <w:rsid w:val="00832AC6"/>
    <w:rsid w:val="00833151"/>
    <w:rsid w:val="008339A0"/>
    <w:rsid w:val="00834517"/>
    <w:rsid w:val="00835073"/>
    <w:rsid w:val="0083675D"/>
    <w:rsid w:val="00837A85"/>
    <w:rsid w:val="008420BB"/>
    <w:rsid w:val="008429A2"/>
    <w:rsid w:val="00842B3D"/>
    <w:rsid w:val="00845B8E"/>
    <w:rsid w:val="00845C2E"/>
    <w:rsid w:val="00846969"/>
    <w:rsid w:val="00846B32"/>
    <w:rsid w:val="00846F5E"/>
    <w:rsid w:val="00847D19"/>
    <w:rsid w:val="008509FE"/>
    <w:rsid w:val="00851B4F"/>
    <w:rsid w:val="00852684"/>
    <w:rsid w:val="008526C3"/>
    <w:rsid w:val="00852C0D"/>
    <w:rsid w:val="008533C0"/>
    <w:rsid w:val="00853B50"/>
    <w:rsid w:val="00854040"/>
    <w:rsid w:val="008545B1"/>
    <w:rsid w:val="00854C49"/>
    <w:rsid w:val="0085566D"/>
    <w:rsid w:val="00855FAC"/>
    <w:rsid w:val="00856C37"/>
    <w:rsid w:val="0085760A"/>
    <w:rsid w:val="008576A0"/>
    <w:rsid w:val="00857B59"/>
    <w:rsid w:val="008604EC"/>
    <w:rsid w:val="00860639"/>
    <w:rsid w:val="0086084D"/>
    <w:rsid w:val="008609AD"/>
    <w:rsid w:val="008611AA"/>
    <w:rsid w:val="008628B4"/>
    <w:rsid w:val="0086480C"/>
    <w:rsid w:val="008648E7"/>
    <w:rsid w:val="00865478"/>
    <w:rsid w:val="008657B9"/>
    <w:rsid w:val="00865A8A"/>
    <w:rsid w:val="00865C99"/>
    <w:rsid w:val="00866E49"/>
    <w:rsid w:val="008702DD"/>
    <w:rsid w:val="0087166C"/>
    <w:rsid w:val="0087382C"/>
    <w:rsid w:val="00873E24"/>
    <w:rsid w:val="0087659E"/>
    <w:rsid w:val="00877922"/>
    <w:rsid w:val="00877B03"/>
    <w:rsid w:val="00880192"/>
    <w:rsid w:val="008814D3"/>
    <w:rsid w:val="00882062"/>
    <w:rsid w:val="00882D44"/>
    <w:rsid w:val="00883B29"/>
    <w:rsid w:val="00883BE7"/>
    <w:rsid w:val="00885A60"/>
    <w:rsid w:val="00885A65"/>
    <w:rsid w:val="0088639D"/>
    <w:rsid w:val="00887416"/>
    <w:rsid w:val="0089019B"/>
    <w:rsid w:val="00890B7A"/>
    <w:rsid w:val="00890C70"/>
    <w:rsid w:val="00890F67"/>
    <w:rsid w:val="00891BD9"/>
    <w:rsid w:val="0089262B"/>
    <w:rsid w:val="00892A42"/>
    <w:rsid w:val="00892BAB"/>
    <w:rsid w:val="008931EF"/>
    <w:rsid w:val="00894574"/>
    <w:rsid w:val="00895A65"/>
    <w:rsid w:val="00895C16"/>
    <w:rsid w:val="008978A7"/>
    <w:rsid w:val="008A0EDD"/>
    <w:rsid w:val="008A1492"/>
    <w:rsid w:val="008A1F1B"/>
    <w:rsid w:val="008A2CCF"/>
    <w:rsid w:val="008A32BB"/>
    <w:rsid w:val="008A40AA"/>
    <w:rsid w:val="008A4232"/>
    <w:rsid w:val="008A520A"/>
    <w:rsid w:val="008A6AA7"/>
    <w:rsid w:val="008A755C"/>
    <w:rsid w:val="008A7B3F"/>
    <w:rsid w:val="008B0482"/>
    <w:rsid w:val="008B1438"/>
    <w:rsid w:val="008B23C1"/>
    <w:rsid w:val="008B2FB1"/>
    <w:rsid w:val="008B3C14"/>
    <w:rsid w:val="008B5E64"/>
    <w:rsid w:val="008B6100"/>
    <w:rsid w:val="008B630A"/>
    <w:rsid w:val="008B669F"/>
    <w:rsid w:val="008B738D"/>
    <w:rsid w:val="008C0109"/>
    <w:rsid w:val="008C06D2"/>
    <w:rsid w:val="008C0973"/>
    <w:rsid w:val="008C0990"/>
    <w:rsid w:val="008C1596"/>
    <w:rsid w:val="008C1AEA"/>
    <w:rsid w:val="008C1CFF"/>
    <w:rsid w:val="008C2685"/>
    <w:rsid w:val="008C26D2"/>
    <w:rsid w:val="008C2754"/>
    <w:rsid w:val="008C4401"/>
    <w:rsid w:val="008C4534"/>
    <w:rsid w:val="008C4697"/>
    <w:rsid w:val="008C47C1"/>
    <w:rsid w:val="008C5231"/>
    <w:rsid w:val="008C5D4C"/>
    <w:rsid w:val="008C718A"/>
    <w:rsid w:val="008C7D84"/>
    <w:rsid w:val="008C7DA6"/>
    <w:rsid w:val="008D036F"/>
    <w:rsid w:val="008D11E0"/>
    <w:rsid w:val="008D1631"/>
    <w:rsid w:val="008D1A79"/>
    <w:rsid w:val="008D5904"/>
    <w:rsid w:val="008D5992"/>
    <w:rsid w:val="008D6659"/>
    <w:rsid w:val="008D7869"/>
    <w:rsid w:val="008E02E5"/>
    <w:rsid w:val="008E045D"/>
    <w:rsid w:val="008E11FA"/>
    <w:rsid w:val="008E1636"/>
    <w:rsid w:val="008E261A"/>
    <w:rsid w:val="008E46F2"/>
    <w:rsid w:val="008E4703"/>
    <w:rsid w:val="008E48AC"/>
    <w:rsid w:val="008E4C7B"/>
    <w:rsid w:val="008E4D30"/>
    <w:rsid w:val="008E5006"/>
    <w:rsid w:val="008E51DD"/>
    <w:rsid w:val="008E6683"/>
    <w:rsid w:val="008E694E"/>
    <w:rsid w:val="008E6E32"/>
    <w:rsid w:val="008E7682"/>
    <w:rsid w:val="008E7BFA"/>
    <w:rsid w:val="008F1728"/>
    <w:rsid w:val="008F1F51"/>
    <w:rsid w:val="008F275D"/>
    <w:rsid w:val="008F7CDD"/>
    <w:rsid w:val="00900B0F"/>
    <w:rsid w:val="00900E41"/>
    <w:rsid w:val="009023BA"/>
    <w:rsid w:val="00903D76"/>
    <w:rsid w:val="00903F78"/>
    <w:rsid w:val="00904329"/>
    <w:rsid w:val="00904E35"/>
    <w:rsid w:val="0090537E"/>
    <w:rsid w:val="00905DD1"/>
    <w:rsid w:val="00907990"/>
    <w:rsid w:val="00912195"/>
    <w:rsid w:val="00912230"/>
    <w:rsid w:val="00913A5E"/>
    <w:rsid w:val="00913DA1"/>
    <w:rsid w:val="00914050"/>
    <w:rsid w:val="00914D23"/>
    <w:rsid w:val="0091577D"/>
    <w:rsid w:val="009158A9"/>
    <w:rsid w:val="0091646C"/>
    <w:rsid w:val="00916A7E"/>
    <w:rsid w:val="00916AED"/>
    <w:rsid w:val="00916B56"/>
    <w:rsid w:val="009201F5"/>
    <w:rsid w:val="00922AB6"/>
    <w:rsid w:val="00922ED3"/>
    <w:rsid w:val="00922F06"/>
    <w:rsid w:val="009230D8"/>
    <w:rsid w:val="00923221"/>
    <w:rsid w:val="00925270"/>
    <w:rsid w:val="00925F61"/>
    <w:rsid w:val="0092685E"/>
    <w:rsid w:val="009268D8"/>
    <w:rsid w:val="00927DE5"/>
    <w:rsid w:val="00930047"/>
    <w:rsid w:val="00930672"/>
    <w:rsid w:val="00930B28"/>
    <w:rsid w:val="009315C1"/>
    <w:rsid w:val="00932834"/>
    <w:rsid w:val="00932936"/>
    <w:rsid w:val="009329D2"/>
    <w:rsid w:val="00932A37"/>
    <w:rsid w:val="00932A41"/>
    <w:rsid w:val="00932E9A"/>
    <w:rsid w:val="009336D1"/>
    <w:rsid w:val="00935C37"/>
    <w:rsid w:val="009368CE"/>
    <w:rsid w:val="009376AE"/>
    <w:rsid w:val="00940F68"/>
    <w:rsid w:val="00941AFF"/>
    <w:rsid w:val="009424F0"/>
    <w:rsid w:val="0094254B"/>
    <w:rsid w:val="00942D2F"/>
    <w:rsid w:val="00943265"/>
    <w:rsid w:val="0094347C"/>
    <w:rsid w:val="0094426B"/>
    <w:rsid w:val="009448F5"/>
    <w:rsid w:val="00944C3E"/>
    <w:rsid w:val="00945947"/>
    <w:rsid w:val="00945D02"/>
    <w:rsid w:val="00946933"/>
    <w:rsid w:val="00946B26"/>
    <w:rsid w:val="00947410"/>
    <w:rsid w:val="00950401"/>
    <w:rsid w:val="0095073F"/>
    <w:rsid w:val="009525E3"/>
    <w:rsid w:val="00953D74"/>
    <w:rsid w:val="00955093"/>
    <w:rsid w:val="00955A87"/>
    <w:rsid w:val="00956609"/>
    <w:rsid w:val="00956743"/>
    <w:rsid w:val="0095705D"/>
    <w:rsid w:val="00960191"/>
    <w:rsid w:val="009614D5"/>
    <w:rsid w:val="009624A5"/>
    <w:rsid w:val="00962602"/>
    <w:rsid w:val="009636E5"/>
    <w:rsid w:val="0096379B"/>
    <w:rsid w:val="00963C36"/>
    <w:rsid w:val="0096434E"/>
    <w:rsid w:val="009661F6"/>
    <w:rsid w:val="0096750E"/>
    <w:rsid w:val="0096775E"/>
    <w:rsid w:val="009706CA"/>
    <w:rsid w:val="00970B9F"/>
    <w:rsid w:val="00970C46"/>
    <w:rsid w:val="00971FBE"/>
    <w:rsid w:val="00972C26"/>
    <w:rsid w:val="00973367"/>
    <w:rsid w:val="00973B10"/>
    <w:rsid w:val="00973D49"/>
    <w:rsid w:val="009743D3"/>
    <w:rsid w:val="009770DF"/>
    <w:rsid w:val="009773B4"/>
    <w:rsid w:val="009806F7"/>
    <w:rsid w:val="00980C95"/>
    <w:rsid w:val="00980E64"/>
    <w:rsid w:val="0098189F"/>
    <w:rsid w:val="00981A4A"/>
    <w:rsid w:val="009829A7"/>
    <w:rsid w:val="00982A47"/>
    <w:rsid w:val="00982FAE"/>
    <w:rsid w:val="00983846"/>
    <w:rsid w:val="00984B49"/>
    <w:rsid w:val="0098553E"/>
    <w:rsid w:val="00985EF5"/>
    <w:rsid w:val="00986149"/>
    <w:rsid w:val="009862AF"/>
    <w:rsid w:val="009862B2"/>
    <w:rsid w:val="0098744C"/>
    <w:rsid w:val="0099057C"/>
    <w:rsid w:val="00991046"/>
    <w:rsid w:val="00991860"/>
    <w:rsid w:val="00991FE7"/>
    <w:rsid w:val="00992CF2"/>
    <w:rsid w:val="009932C8"/>
    <w:rsid w:val="0099404A"/>
    <w:rsid w:val="009959DA"/>
    <w:rsid w:val="009962F4"/>
    <w:rsid w:val="009973B0"/>
    <w:rsid w:val="009A09FA"/>
    <w:rsid w:val="009A1A86"/>
    <w:rsid w:val="009A2A0D"/>
    <w:rsid w:val="009A2A9F"/>
    <w:rsid w:val="009A2E39"/>
    <w:rsid w:val="009A4640"/>
    <w:rsid w:val="009A52AC"/>
    <w:rsid w:val="009A60B4"/>
    <w:rsid w:val="009A6297"/>
    <w:rsid w:val="009A7612"/>
    <w:rsid w:val="009A7FA0"/>
    <w:rsid w:val="009B07DB"/>
    <w:rsid w:val="009B100E"/>
    <w:rsid w:val="009B199F"/>
    <w:rsid w:val="009B4D17"/>
    <w:rsid w:val="009B4F78"/>
    <w:rsid w:val="009B5328"/>
    <w:rsid w:val="009B5637"/>
    <w:rsid w:val="009B6F7C"/>
    <w:rsid w:val="009B7E3F"/>
    <w:rsid w:val="009C0829"/>
    <w:rsid w:val="009C08F2"/>
    <w:rsid w:val="009C0D8F"/>
    <w:rsid w:val="009C16E2"/>
    <w:rsid w:val="009C16FD"/>
    <w:rsid w:val="009C1AB4"/>
    <w:rsid w:val="009C1BA6"/>
    <w:rsid w:val="009C2719"/>
    <w:rsid w:val="009C307B"/>
    <w:rsid w:val="009C3684"/>
    <w:rsid w:val="009C3918"/>
    <w:rsid w:val="009C4D51"/>
    <w:rsid w:val="009C6EB8"/>
    <w:rsid w:val="009D02B5"/>
    <w:rsid w:val="009D0466"/>
    <w:rsid w:val="009D07E3"/>
    <w:rsid w:val="009D0C9B"/>
    <w:rsid w:val="009D116B"/>
    <w:rsid w:val="009D368F"/>
    <w:rsid w:val="009D3ED1"/>
    <w:rsid w:val="009D44D6"/>
    <w:rsid w:val="009D5A07"/>
    <w:rsid w:val="009D6415"/>
    <w:rsid w:val="009D668D"/>
    <w:rsid w:val="009D7B22"/>
    <w:rsid w:val="009D7D03"/>
    <w:rsid w:val="009D7D42"/>
    <w:rsid w:val="009E086A"/>
    <w:rsid w:val="009E0FE0"/>
    <w:rsid w:val="009E0FF9"/>
    <w:rsid w:val="009E2E74"/>
    <w:rsid w:val="009E367D"/>
    <w:rsid w:val="009E45F3"/>
    <w:rsid w:val="009E4A70"/>
    <w:rsid w:val="009E65BF"/>
    <w:rsid w:val="009E6A7C"/>
    <w:rsid w:val="009F23FB"/>
    <w:rsid w:val="009F25F6"/>
    <w:rsid w:val="009F2DED"/>
    <w:rsid w:val="009F320E"/>
    <w:rsid w:val="009F3D3D"/>
    <w:rsid w:val="009F5B9F"/>
    <w:rsid w:val="009F605C"/>
    <w:rsid w:val="009F66BF"/>
    <w:rsid w:val="009F6B18"/>
    <w:rsid w:val="009F6ECC"/>
    <w:rsid w:val="00A01BA3"/>
    <w:rsid w:val="00A02052"/>
    <w:rsid w:val="00A0219B"/>
    <w:rsid w:val="00A03A6F"/>
    <w:rsid w:val="00A05972"/>
    <w:rsid w:val="00A06D46"/>
    <w:rsid w:val="00A0722E"/>
    <w:rsid w:val="00A1025B"/>
    <w:rsid w:val="00A103E7"/>
    <w:rsid w:val="00A10BDB"/>
    <w:rsid w:val="00A1409F"/>
    <w:rsid w:val="00A15283"/>
    <w:rsid w:val="00A15445"/>
    <w:rsid w:val="00A1606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23"/>
    <w:rsid w:val="00A26A82"/>
    <w:rsid w:val="00A27E93"/>
    <w:rsid w:val="00A31649"/>
    <w:rsid w:val="00A32112"/>
    <w:rsid w:val="00A321B5"/>
    <w:rsid w:val="00A32EAF"/>
    <w:rsid w:val="00A33134"/>
    <w:rsid w:val="00A331F1"/>
    <w:rsid w:val="00A33684"/>
    <w:rsid w:val="00A33FC9"/>
    <w:rsid w:val="00A34E41"/>
    <w:rsid w:val="00A35CCE"/>
    <w:rsid w:val="00A36073"/>
    <w:rsid w:val="00A37CC8"/>
    <w:rsid w:val="00A4045E"/>
    <w:rsid w:val="00A40995"/>
    <w:rsid w:val="00A41A12"/>
    <w:rsid w:val="00A426AC"/>
    <w:rsid w:val="00A42B58"/>
    <w:rsid w:val="00A43212"/>
    <w:rsid w:val="00A432AB"/>
    <w:rsid w:val="00A46086"/>
    <w:rsid w:val="00A4634B"/>
    <w:rsid w:val="00A46662"/>
    <w:rsid w:val="00A46A4D"/>
    <w:rsid w:val="00A478B7"/>
    <w:rsid w:val="00A50269"/>
    <w:rsid w:val="00A50B92"/>
    <w:rsid w:val="00A511EB"/>
    <w:rsid w:val="00A51417"/>
    <w:rsid w:val="00A5312F"/>
    <w:rsid w:val="00A53405"/>
    <w:rsid w:val="00A54117"/>
    <w:rsid w:val="00A54818"/>
    <w:rsid w:val="00A54D8E"/>
    <w:rsid w:val="00A5529F"/>
    <w:rsid w:val="00A601BC"/>
    <w:rsid w:val="00A60625"/>
    <w:rsid w:val="00A60C55"/>
    <w:rsid w:val="00A61D58"/>
    <w:rsid w:val="00A62A6E"/>
    <w:rsid w:val="00A62DDE"/>
    <w:rsid w:val="00A6391A"/>
    <w:rsid w:val="00A643FC"/>
    <w:rsid w:val="00A645C2"/>
    <w:rsid w:val="00A646C5"/>
    <w:rsid w:val="00A64B3F"/>
    <w:rsid w:val="00A653AD"/>
    <w:rsid w:val="00A65534"/>
    <w:rsid w:val="00A66049"/>
    <w:rsid w:val="00A67822"/>
    <w:rsid w:val="00A67924"/>
    <w:rsid w:val="00A70124"/>
    <w:rsid w:val="00A7057A"/>
    <w:rsid w:val="00A720F1"/>
    <w:rsid w:val="00A722F2"/>
    <w:rsid w:val="00A72952"/>
    <w:rsid w:val="00A74F0A"/>
    <w:rsid w:val="00A7512D"/>
    <w:rsid w:val="00A772A6"/>
    <w:rsid w:val="00A77507"/>
    <w:rsid w:val="00A77EE0"/>
    <w:rsid w:val="00A809E8"/>
    <w:rsid w:val="00A8213D"/>
    <w:rsid w:val="00A8259B"/>
    <w:rsid w:val="00A82C89"/>
    <w:rsid w:val="00A8312C"/>
    <w:rsid w:val="00A83541"/>
    <w:rsid w:val="00A837A3"/>
    <w:rsid w:val="00A83A94"/>
    <w:rsid w:val="00A8499D"/>
    <w:rsid w:val="00A850C1"/>
    <w:rsid w:val="00A851BF"/>
    <w:rsid w:val="00A856D9"/>
    <w:rsid w:val="00A8579C"/>
    <w:rsid w:val="00A85800"/>
    <w:rsid w:val="00A86A0C"/>
    <w:rsid w:val="00A91D02"/>
    <w:rsid w:val="00A91F6F"/>
    <w:rsid w:val="00A92500"/>
    <w:rsid w:val="00A937AB"/>
    <w:rsid w:val="00A938F8"/>
    <w:rsid w:val="00A95361"/>
    <w:rsid w:val="00A96234"/>
    <w:rsid w:val="00A96601"/>
    <w:rsid w:val="00A97088"/>
    <w:rsid w:val="00AA0A9C"/>
    <w:rsid w:val="00AA1914"/>
    <w:rsid w:val="00AA1D1E"/>
    <w:rsid w:val="00AA1FE7"/>
    <w:rsid w:val="00AA2941"/>
    <w:rsid w:val="00AA3670"/>
    <w:rsid w:val="00AA3E43"/>
    <w:rsid w:val="00AA53BF"/>
    <w:rsid w:val="00AA6A37"/>
    <w:rsid w:val="00AA6B14"/>
    <w:rsid w:val="00AA709D"/>
    <w:rsid w:val="00AB04AF"/>
    <w:rsid w:val="00AB195A"/>
    <w:rsid w:val="00AB218B"/>
    <w:rsid w:val="00AB2BEC"/>
    <w:rsid w:val="00AB2D5F"/>
    <w:rsid w:val="00AB2E94"/>
    <w:rsid w:val="00AB3AFA"/>
    <w:rsid w:val="00AB507A"/>
    <w:rsid w:val="00AB5312"/>
    <w:rsid w:val="00AB5525"/>
    <w:rsid w:val="00AB6907"/>
    <w:rsid w:val="00AB6E82"/>
    <w:rsid w:val="00AC035E"/>
    <w:rsid w:val="00AC04A2"/>
    <w:rsid w:val="00AC0AAF"/>
    <w:rsid w:val="00AC0E4E"/>
    <w:rsid w:val="00AC1EA7"/>
    <w:rsid w:val="00AC30E6"/>
    <w:rsid w:val="00AC312E"/>
    <w:rsid w:val="00AC3B85"/>
    <w:rsid w:val="00AC3D4A"/>
    <w:rsid w:val="00AC4400"/>
    <w:rsid w:val="00AC4A76"/>
    <w:rsid w:val="00AC4A95"/>
    <w:rsid w:val="00AC5611"/>
    <w:rsid w:val="00AC6230"/>
    <w:rsid w:val="00AC759C"/>
    <w:rsid w:val="00AD0379"/>
    <w:rsid w:val="00AD0F20"/>
    <w:rsid w:val="00AD234E"/>
    <w:rsid w:val="00AD2656"/>
    <w:rsid w:val="00AD2A27"/>
    <w:rsid w:val="00AD2BAC"/>
    <w:rsid w:val="00AD34A3"/>
    <w:rsid w:val="00AD37FE"/>
    <w:rsid w:val="00AD4C89"/>
    <w:rsid w:val="00AD4E29"/>
    <w:rsid w:val="00AD55B7"/>
    <w:rsid w:val="00AD6EA8"/>
    <w:rsid w:val="00AD7B3F"/>
    <w:rsid w:val="00AE0144"/>
    <w:rsid w:val="00AE1A75"/>
    <w:rsid w:val="00AE23F9"/>
    <w:rsid w:val="00AE29A5"/>
    <w:rsid w:val="00AE304B"/>
    <w:rsid w:val="00AE4963"/>
    <w:rsid w:val="00AE6592"/>
    <w:rsid w:val="00AE7EC9"/>
    <w:rsid w:val="00AF008F"/>
    <w:rsid w:val="00AF0882"/>
    <w:rsid w:val="00AF0992"/>
    <w:rsid w:val="00AF0F90"/>
    <w:rsid w:val="00AF11B8"/>
    <w:rsid w:val="00AF1262"/>
    <w:rsid w:val="00AF1341"/>
    <w:rsid w:val="00AF2474"/>
    <w:rsid w:val="00AF2E1F"/>
    <w:rsid w:val="00AF3180"/>
    <w:rsid w:val="00AF3F13"/>
    <w:rsid w:val="00AF4164"/>
    <w:rsid w:val="00AF4230"/>
    <w:rsid w:val="00AF4DD4"/>
    <w:rsid w:val="00AF5491"/>
    <w:rsid w:val="00AF5566"/>
    <w:rsid w:val="00AF746D"/>
    <w:rsid w:val="00AF7A69"/>
    <w:rsid w:val="00AF7A8B"/>
    <w:rsid w:val="00B00254"/>
    <w:rsid w:val="00B016AC"/>
    <w:rsid w:val="00B016B4"/>
    <w:rsid w:val="00B018AF"/>
    <w:rsid w:val="00B02156"/>
    <w:rsid w:val="00B04354"/>
    <w:rsid w:val="00B04D8E"/>
    <w:rsid w:val="00B053F4"/>
    <w:rsid w:val="00B057D7"/>
    <w:rsid w:val="00B0740C"/>
    <w:rsid w:val="00B110C1"/>
    <w:rsid w:val="00B11341"/>
    <w:rsid w:val="00B114A0"/>
    <w:rsid w:val="00B114F0"/>
    <w:rsid w:val="00B12060"/>
    <w:rsid w:val="00B12634"/>
    <w:rsid w:val="00B126F3"/>
    <w:rsid w:val="00B12A7B"/>
    <w:rsid w:val="00B12BC0"/>
    <w:rsid w:val="00B1360F"/>
    <w:rsid w:val="00B1374F"/>
    <w:rsid w:val="00B146CC"/>
    <w:rsid w:val="00B148E6"/>
    <w:rsid w:val="00B14911"/>
    <w:rsid w:val="00B15F09"/>
    <w:rsid w:val="00B1605D"/>
    <w:rsid w:val="00B17536"/>
    <w:rsid w:val="00B20E30"/>
    <w:rsid w:val="00B2111D"/>
    <w:rsid w:val="00B215E4"/>
    <w:rsid w:val="00B217FC"/>
    <w:rsid w:val="00B21FDE"/>
    <w:rsid w:val="00B2217A"/>
    <w:rsid w:val="00B222C5"/>
    <w:rsid w:val="00B2233D"/>
    <w:rsid w:val="00B2279E"/>
    <w:rsid w:val="00B23429"/>
    <w:rsid w:val="00B235C6"/>
    <w:rsid w:val="00B24239"/>
    <w:rsid w:val="00B24DB8"/>
    <w:rsid w:val="00B24FA8"/>
    <w:rsid w:val="00B253E9"/>
    <w:rsid w:val="00B2563B"/>
    <w:rsid w:val="00B25AE9"/>
    <w:rsid w:val="00B2639D"/>
    <w:rsid w:val="00B307CF"/>
    <w:rsid w:val="00B30AFD"/>
    <w:rsid w:val="00B31474"/>
    <w:rsid w:val="00B32839"/>
    <w:rsid w:val="00B32CEE"/>
    <w:rsid w:val="00B32EAF"/>
    <w:rsid w:val="00B333E6"/>
    <w:rsid w:val="00B33436"/>
    <w:rsid w:val="00B34F29"/>
    <w:rsid w:val="00B35B62"/>
    <w:rsid w:val="00B35CA3"/>
    <w:rsid w:val="00B35EE2"/>
    <w:rsid w:val="00B36079"/>
    <w:rsid w:val="00B36AC3"/>
    <w:rsid w:val="00B40924"/>
    <w:rsid w:val="00B41821"/>
    <w:rsid w:val="00B42019"/>
    <w:rsid w:val="00B42022"/>
    <w:rsid w:val="00B42FA4"/>
    <w:rsid w:val="00B43268"/>
    <w:rsid w:val="00B4338C"/>
    <w:rsid w:val="00B45493"/>
    <w:rsid w:val="00B45C4A"/>
    <w:rsid w:val="00B46022"/>
    <w:rsid w:val="00B4655A"/>
    <w:rsid w:val="00B46738"/>
    <w:rsid w:val="00B470B3"/>
    <w:rsid w:val="00B47C71"/>
    <w:rsid w:val="00B50424"/>
    <w:rsid w:val="00B5090F"/>
    <w:rsid w:val="00B50E17"/>
    <w:rsid w:val="00B514ED"/>
    <w:rsid w:val="00B51A8D"/>
    <w:rsid w:val="00B52025"/>
    <w:rsid w:val="00B5241E"/>
    <w:rsid w:val="00B54661"/>
    <w:rsid w:val="00B54DB6"/>
    <w:rsid w:val="00B54F1C"/>
    <w:rsid w:val="00B5560C"/>
    <w:rsid w:val="00B56ACF"/>
    <w:rsid w:val="00B6064D"/>
    <w:rsid w:val="00B61388"/>
    <w:rsid w:val="00B616E2"/>
    <w:rsid w:val="00B61E48"/>
    <w:rsid w:val="00B62BD2"/>
    <w:rsid w:val="00B63ABD"/>
    <w:rsid w:val="00B63D0F"/>
    <w:rsid w:val="00B647C0"/>
    <w:rsid w:val="00B65136"/>
    <w:rsid w:val="00B65A74"/>
    <w:rsid w:val="00B6691B"/>
    <w:rsid w:val="00B66F83"/>
    <w:rsid w:val="00B67744"/>
    <w:rsid w:val="00B6794F"/>
    <w:rsid w:val="00B71BC1"/>
    <w:rsid w:val="00B71C8F"/>
    <w:rsid w:val="00B71F7E"/>
    <w:rsid w:val="00B72644"/>
    <w:rsid w:val="00B7367D"/>
    <w:rsid w:val="00B73836"/>
    <w:rsid w:val="00B74523"/>
    <w:rsid w:val="00B7476A"/>
    <w:rsid w:val="00B758CF"/>
    <w:rsid w:val="00B7615B"/>
    <w:rsid w:val="00B761D6"/>
    <w:rsid w:val="00B763E3"/>
    <w:rsid w:val="00B76A12"/>
    <w:rsid w:val="00B7725B"/>
    <w:rsid w:val="00B800B6"/>
    <w:rsid w:val="00B80E56"/>
    <w:rsid w:val="00B8129F"/>
    <w:rsid w:val="00B814B0"/>
    <w:rsid w:val="00B81DDD"/>
    <w:rsid w:val="00B825DE"/>
    <w:rsid w:val="00B82C3E"/>
    <w:rsid w:val="00B83F5D"/>
    <w:rsid w:val="00B84EBF"/>
    <w:rsid w:val="00B85774"/>
    <w:rsid w:val="00B87CE1"/>
    <w:rsid w:val="00B90AEA"/>
    <w:rsid w:val="00B90F9F"/>
    <w:rsid w:val="00B91288"/>
    <w:rsid w:val="00B91504"/>
    <w:rsid w:val="00B92AE6"/>
    <w:rsid w:val="00B9335C"/>
    <w:rsid w:val="00B93596"/>
    <w:rsid w:val="00B93D94"/>
    <w:rsid w:val="00B9500F"/>
    <w:rsid w:val="00B954D3"/>
    <w:rsid w:val="00B960BB"/>
    <w:rsid w:val="00B9618E"/>
    <w:rsid w:val="00B96A82"/>
    <w:rsid w:val="00B97310"/>
    <w:rsid w:val="00BA21F7"/>
    <w:rsid w:val="00BA600B"/>
    <w:rsid w:val="00BA6EDA"/>
    <w:rsid w:val="00BA70B9"/>
    <w:rsid w:val="00BA70C1"/>
    <w:rsid w:val="00BA7508"/>
    <w:rsid w:val="00BA7770"/>
    <w:rsid w:val="00BB1103"/>
    <w:rsid w:val="00BB22C6"/>
    <w:rsid w:val="00BB2E7A"/>
    <w:rsid w:val="00BB3345"/>
    <w:rsid w:val="00BB40EC"/>
    <w:rsid w:val="00BB504D"/>
    <w:rsid w:val="00BB643E"/>
    <w:rsid w:val="00BB71F5"/>
    <w:rsid w:val="00BC1AA0"/>
    <w:rsid w:val="00BC290C"/>
    <w:rsid w:val="00BC2CD3"/>
    <w:rsid w:val="00BC3C0B"/>
    <w:rsid w:val="00BC6169"/>
    <w:rsid w:val="00BC6B82"/>
    <w:rsid w:val="00BD02E1"/>
    <w:rsid w:val="00BD056B"/>
    <w:rsid w:val="00BD11E4"/>
    <w:rsid w:val="00BD1DF5"/>
    <w:rsid w:val="00BD36B1"/>
    <w:rsid w:val="00BD3E29"/>
    <w:rsid w:val="00BD3E92"/>
    <w:rsid w:val="00BE0B08"/>
    <w:rsid w:val="00BE0D59"/>
    <w:rsid w:val="00BE1367"/>
    <w:rsid w:val="00BE24D2"/>
    <w:rsid w:val="00BE252E"/>
    <w:rsid w:val="00BE26F1"/>
    <w:rsid w:val="00BE4234"/>
    <w:rsid w:val="00BE4625"/>
    <w:rsid w:val="00BE6FA8"/>
    <w:rsid w:val="00BE79E7"/>
    <w:rsid w:val="00BE7C84"/>
    <w:rsid w:val="00BE7E9A"/>
    <w:rsid w:val="00BF1CFD"/>
    <w:rsid w:val="00BF25BF"/>
    <w:rsid w:val="00BF30D8"/>
    <w:rsid w:val="00BF55ED"/>
    <w:rsid w:val="00BF5A34"/>
    <w:rsid w:val="00BF5FB5"/>
    <w:rsid w:val="00BF751D"/>
    <w:rsid w:val="00BF7C05"/>
    <w:rsid w:val="00BF7E06"/>
    <w:rsid w:val="00C0090D"/>
    <w:rsid w:val="00C00AAD"/>
    <w:rsid w:val="00C00B7C"/>
    <w:rsid w:val="00C00F77"/>
    <w:rsid w:val="00C01CF6"/>
    <w:rsid w:val="00C01EF1"/>
    <w:rsid w:val="00C025EF"/>
    <w:rsid w:val="00C02EA5"/>
    <w:rsid w:val="00C04C28"/>
    <w:rsid w:val="00C061C1"/>
    <w:rsid w:val="00C062A0"/>
    <w:rsid w:val="00C06664"/>
    <w:rsid w:val="00C10306"/>
    <w:rsid w:val="00C10DC1"/>
    <w:rsid w:val="00C11845"/>
    <w:rsid w:val="00C121DE"/>
    <w:rsid w:val="00C12F76"/>
    <w:rsid w:val="00C13918"/>
    <w:rsid w:val="00C150E8"/>
    <w:rsid w:val="00C15F76"/>
    <w:rsid w:val="00C16345"/>
    <w:rsid w:val="00C16F49"/>
    <w:rsid w:val="00C172FC"/>
    <w:rsid w:val="00C202A9"/>
    <w:rsid w:val="00C207AE"/>
    <w:rsid w:val="00C20FE2"/>
    <w:rsid w:val="00C20FF9"/>
    <w:rsid w:val="00C21F55"/>
    <w:rsid w:val="00C22617"/>
    <w:rsid w:val="00C226C1"/>
    <w:rsid w:val="00C22824"/>
    <w:rsid w:val="00C23430"/>
    <w:rsid w:val="00C25F00"/>
    <w:rsid w:val="00C2605C"/>
    <w:rsid w:val="00C26B33"/>
    <w:rsid w:val="00C27EC5"/>
    <w:rsid w:val="00C316D3"/>
    <w:rsid w:val="00C32053"/>
    <w:rsid w:val="00C32E4A"/>
    <w:rsid w:val="00C3340C"/>
    <w:rsid w:val="00C34A36"/>
    <w:rsid w:val="00C4002C"/>
    <w:rsid w:val="00C40805"/>
    <w:rsid w:val="00C413F4"/>
    <w:rsid w:val="00C41CA6"/>
    <w:rsid w:val="00C41F4D"/>
    <w:rsid w:val="00C42C4B"/>
    <w:rsid w:val="00C42E84"/>
    <w:rsid w:val="00C43133"/>
    <w:rsid w:val="00C432E2"/>
    <w:rsid w:val="00C43A28"/>
    <w:rsid w:val="00C442AF"/>
    <w:rsid w:val="00C44D9D"/>
    <w:rsid w:val="00C44EA4"/>
    <w:rsid w:val="00C4564C"/>
    <w:rsid w:val="00C46240"/>
    <w:rsid w:val="00C50620"/>
    <w:rsid w:val="00C50B30"/>
    <w:rsid w:val="00C510F6"/>
    <w:rsid w:val="00C5296A"/>
    <w:rsid w:val="00C55E9D"/>
    <w:rsid w:val="00C5646A"/>
    <w:rsid w:val="00C565D4"/>
    <w:rsid w:val="00C57085"/>
    <w:rsid w:val="00C605FB"/>
    <w:rsid w:val="00C62307"/>
    <w:rsid w:val="00C63840"/>
    <w:rsid w:val="00C638BC"/>
    <w:rsid w:val="00C639E3"/>
    <w:rsid w:val="00C63F1D"/>
    <w:rsid w:val="00C64397"/>
    <w:rsid w:val="00C648F4"/>
    <w:rsid w:val="00C67112"/>
    <w:rsid w:val="00C67C59"/>
    <w:rsid w:val="00C70D3B"/>
    <w:rsid w:val="00C72962"/>
    <w:rsid w:val="00C73F82"/>
    <w:rsid w:val="00C745EE"/>
    <w:rsid w:val="00C75ABD"/>
    <w:rsid w:val="00C76455"/>
    <w:rsid w:val="00C766C8"/>
    <w:rsid w:val="00C771FB"/>
    <w:rsid w:val="00C77595"/>
    <w:rsid w:val="00C8065B"/>
    <w:rsid w:val="00C80855"/>
    <w:rsid w:val="00C81437"/>
    <w:rsid w:val="00C814A8"/>
    <w:rsid w:val="00C81636"/>
    <w:rsid w:val="00C818AC"/>
    <w:rsid w:val="00C82DC6"/>
    <w:rsid w:val="00C8323C"/>
    <w:rsid w:val="00C835D1"/>
    <w:rsid w:val="00C842DC"/>
    <w:rsid w:val="00C84F33"/>
    <w:rsid w:val="00C857FB"/>
    <w:rsid w:val="00C87F2F"/>
    <w:rsid w:val="00C90862"/>
    <w:rsid w:val="00C91617"/>
    <w:rsid w:val="00C92C0A"/>
    <w:rsid w:val="00C93368"/>
    <w:rsid w:val="00C93429"/>
    <w:rsid w:val="00C94B43"/>
    <w:rsid w:val="00C94D87"/>
    <w:rsid w:val="00C95888"/>
    <w:rsid w:val="00C95F4D"/>
    <w:rsid w:val="00C963B7"/>
    <w:rsid w:val="00C96409"/>
    <w:rsid w:val="00C966FD"/>
    <w:rsid w:val="00C968E2"/>
    <w:rsid w:val="00C969DD"/>
    <w:rsid w:val="00C96F27"/>
    <w:rsid w:val="00C97244"/>
    <w:rsid w:val="00C976D1"/>
    <w:rsid w:val="00CA0264"/>
    <w:rsid w:val="00CA02D1"/>
    <w:rsid w:val="00CA0AC3"/>
    <w:rsid w:val="00CA0BA9"/>
    <w:rsid w:val="00CA35FE"/>
    <w:rsid w:val="00CA3788"/>
    <w:rsid w:val="00CA3FF7"/>
    <w:rsid w:val="00CA490C"/>
    <w:rsid w:val="00CA5AEA"/>
    <w:rsid w:val="00CA6568"/>
    <w:rsid w:val="00CA797A"/>
    <w:rsid w:val="00CB006D"/>
    <w:rsid w:val="00CB15E7"/>
    <w:rsid w:val="00CB2D9F"/>
    <w:rsid w:val="00CB3BD9"/>
    <w:rsid w:val="00CB45C7"/>
    <w:rsid w:val="00CB4A2D"/>
    <w:rsid w:val="00CB523C"/>
    <w:rsid w:val="00CB598C"/>
    <w:rsid w:val="00CB6ED0"/>
    <w:rsid w:val="00CB7632"/>
    <w:rsid w:val="00CB7DD3"/>
    <w:rsid w:val="00CC1AC1"/>
    <w:rsid w:val="00CC277D"/>
    <w:rsid w:val="00CC2D59"/>
    <w:rsid w:val="00CC30F2"/>
    <w:rsid w:val="00CC3F97"/>
    <w:rsid w:val="00CC4DB6"/>
    <w:rsid w:val="00CC5B6D"/>
    <w:rsid w:val="00CC6021"/>
    <w:rsid w:val="00CC6A85"/>
    <w:rsid w:val="00CC6BAB"/>
    <w:rsid w:val="00CC7A9E"/>
    <w:rsid w:val="00CC7CC7"/>
    <w:rsid w:val="00CC7E8A"/>
    <w:rsid w:val="00CC7EB4"/>
    <w:rsid w:val="00CD2064"/>
    <w:rsid w:val="00CD3FEF"/>
    <w:rsid w:val="00CD46BA"/>
    <w:rsid w:val="00CD5B38"/>
    <w:rsid w:val="00CD74DB"/>
    <w:rsid w:val="00CD74E9"/>
    <w:rsid w:val="00CE0199"/>
    <w:rsid w:val="00CE0E73"/>
    <w:rsid w:val="00CE1D58"/>
    <w:rsid w:val="00CE2589"/>
    <w:rsid w:val="00CE26F6"/>
    <w:rsid w:val="00CE2C3A"/>
    <w:rsid w:val="00CE2E2C"/>
    <w:rsid w:val="00CE3C71"/>
    <w:rsid w:val="00CE3D30"/>
    <w:rsid w:val="00CE4998"/>
    <w:rsid w:val="00CE5029"/>
    <w:rsid w:val="00CE51BA"/>
    <w:rsid w:val="00CE52B9"/>
    <w:rsid w:val="00CE5716"/>
    <w:rsid w:val="00CE579E"/>
    <w:rsid w:val="00CE5C84"/>
    <w:rsid w:val="00CE712C"/>
    <w:rsid w:val="00CE726B"/>
    <w:rsid w:val="00CE7422"/>
    <w:rsid w:val="00CF166F"/>
    <w:rsid w:val="00CF1849"/>
    <w:rsid w:val="00CF23BD"/>
    <w:rsid w:val="00CF31ED"/>
    <w:rsid w:val="00CF35D8"/>
    <w:rsid w:val="00CF37B9"/>
    <w:rsid w:val="00CF43D2"/>
    <w:rsid w:val="00CF4534"/>
    <w:rsid w:val="00CF496D"/>
    <w:rsid w:val="00CF6C4D"/>
    <w:rsid w:val="00CF7111"/>
    <w:rsid w:val="00CF77F9"/>
    <w:rsid w:val="00D00287"/>
    <w:rsid w:val="00D031C2"/>
    <w:rsid w:val="00D03984"/>
    <w:rsid w:val="00D03C94"/>
    <w:rsid w:val="00D03CC3"/>
    <w:rsid w:val="00D064ED"/>
    <w:rsid w:val="00D078F8"/>
    <w:rsid w:val="00D1244A"/>
    <w:rsid w:val="00D12B30"/>
    <w:rsid w:val="00D13D09"/>
    <w:rsid w:val="00D15548"/>
    <w:rsid w:val="00D158A1"/>
    <w:rsid w:val="00D16D16"/>
    <w:rsid w:val="00D17918"/>
    <w:rsid w:val="00D17F3D"/>
    <w:rsid w:val="00D20C63"/>
    <w:rsid w:val="00D21618"/>
    <w:rsid w:val="00D22424"/>
    <w:rsid w:val="00D2344F"/>
    <w:rsid w:val="00D2366D"/>
    <w:rsid w:val="00D24B2D"/>
    <w:rsid w:val="00D24BDF"/>
    <w:rsid w:val="00D24CAA"/>
    <w:rsid w:val="00D24FEB"/>
    <w:rsid w:val="00D252A2"/>
    <w:rsid w:val="00D25529"/>
    <w:rsid w:val="00D25AC5"/>
    <w:rsid w:val="00D25CA6"/>
    <w:rsid w:val="00D31FEE"/>
    <w:rsid w:val="00D347BA"/>
    <w:rsid w:val="00D34FA2"/>
    <w:rsid w:val="00D3503E"/>
    <w:rsid w:val="00D35569"/>
    <w:rsid w:val="00D357C8"/>
    <w:rsid w:val="00D3597D"/>
    <w:rsid w:val="00D36164"/>
    <w:rsid w:val="00D3678E"/>
    <w:rsid w:val="00D36DB5"/>
    <w:rsid w:val="00D4008B"/>
    <w:rsid w:val="00D402DC"/>
    <w:rsid w:val="00D42C79"/>
    <w:rsid w:val="00D43880"/>
    <w:rsid w:val="00D4453A"/>
    <w:rsid w:val="00D4466C"/>
    <w:rsid w:val="00D4516C"/>
    <w:rsid w:val="00D46C0A"/>
    <w:rsid w:val="00D474D4"/>
    <w:rsid w:val="00D508A1"/>
    <w:rsid w:val="00D50E35"/>
    <w:rsid w:val="00D511D7"/>
    <w:rsid w:val="00D5250C"/>
    <w:rsid w:val="00D52B22"/>
    <w:rsid w:val="00D53241"/>
    <w:rsid w:val="00D53F28"/>
    <w:rsid w:val="00D54649"/>
    <w:rsid w:val="00D56FF3"/>
    <w:rsid w:val="00D57091"/>
    <w:rsid w:val="00D5750C"/>
    <w:rsid w:val="00D6172A"/>
    <w:rsid w:val="00D61FE9"/>
    <w:rsid w:val="00D62702"/>
    <w:rsid w:val="00D638FA"/>
    <w:rsid w:val="00D661A8"/>
    <w:rsid w:val="00D6628E"/>
    <w:rsid w:val="00D66F12"/>
    <w:rsid w:val="00D723A7"/>
    <w:rsid w:val="00D72466"/>
    <w:rsid w:val="00D73176"/>
    <w:rsid w:val="00D74F2B"/>
    <w:rsid w:val="00D75697"/>
    <w:rsid w:val="00D76001"/>
    <w:rsid w:val="00D76154"/>
    <w:rsid w:val="00D76D25"/>
    <w:rsid w:val="00D77175"/>
    <w:rsid w:val="00D77795"/>
    <w:rsid w:val="00D7788B"/>
    <w:rsid w:val="00D801BC"/>
    <w:rsid w:val="00D813D3"/>
    <w:rsid w:val="00D8151D"/>
    <w:rsid w:val="00D81BA4"/>
    <w:rsid w:val="00D82806"/>
    <w:rsid w:val="00D82CB1"/>
    <w:rsid w:val="00D82CB9"/>
    <w:rsid w:val="00D82DDB"/>
    <w:rsid w:val="00D82FD0"/>
    <w:rsid w:val="00D844D8"/>
    <w:rsid w:val="00D84EAC"/>
    <w:rsid w:val="00D85DBB"/>
    <w:rsid w:val="00D862E4"/>
    <w:rsid w:val="00D8751B"/>
    <w:rsid w:val="00D90535"/>
    <w:rsid w:val="00D913AB"/>
    <w:rsid w:val="00D929C5"/>
    <w:rsid w:val="00D92B50"/>
    <w:rsid w:val="00D93387"/>
    <w:rsid w:val="00D9361F"/>
    <w:rsid w:val="00D94F14"/>
    <w:rsid w:val="00D94FDF"/>
    <w:rsid w:val="00D95105"/>
    <w:rsid w:val="00D95B28"/>
    <w:rsid w:val="00D96107"/>
    <w:rsid w:val="00D977B1"/>
    <w:rsid w:val="00D97876"/>
    <w:rsid w:val="00D97E2E"/>
    <w:rsid w:val="00DA1E2B"/>
    <w:rsid w:val="00DA3A38"/>
    <w:rsid w:val="00DA42FB"/>
    <w:rsid w:val="00DA5497"/>
    <w:rsid w:val="00DA5B2F"/>
    <w:rsid w:val="00DA627E"/>
    <w:rsid w:val="00DA6F96"/>
    <w:rsid w:val="00DA7494"/>
    <w:rsid w:val="00DA7F6A"/>
    <w:rsid w:val="00DB05A9"/>
    <w:rsid w:val="00DB0649"/>
    <w:rsid w:val="00DB1A9F"/>
    <w:rsid w:val="00DB4FDE"/>
    <w:rsid w:val="00DB5261"/>
    <w:rsid w:val="00DB57A5"/>
    <w:rsid w:val="00DB7410"/>
    <w:rsid w:val="00DB7886"/>
    <w:rsid w:val="00DC08AF"/>
    <w:rsid w:val="00DC13A0"/>
    <w:rsid w:val="00DC13AF"/>
    <w:rsid w:val="00DC1FEF"/>
    <w:rsid w:val="00DC3E1A"/>
    <w:rsid w:val="00DC42BB"/>
    <w:rsid w:val="00DC4719"/>
    <w:rsid w:val="00DC5C9D"/>
    <w:rsid w:val="00DC5DF9"/>
    <w:rsid w:val="00DC7FAF"/>
    <w:rsid w:val="00DD0E1B"/>
    <w:rsid w:val="00DD1774"/>
    <w:rsid w:val="00DD196C"/>
    <w:rsid w:val="00DD33AB"/>
    <w:rsid w:val="00DD3B2D"/>
    <w:rsid w:val="00DD42C1"/>
    <w:rsid w:val="00DD4DDB"/>
    <w:rsid w:val="00DD5267"/>
    <w:rsid w:val="00DD5685"/>
    <w:rsid w:val="00DD5863"/>
    <w:rsid w:val="00DD5C3F"/>
    <w:rsid w:val="00DD723F"/>
    <w:rsid w:val="00DD7CF6"/>
    <w:rsid w:val="00DE19AE"/>
    <w:rsid w:val="00DE1E21"/>
    <w:rsid w:val="00DE2153"/>
    <w:rsid w:val="00DE39F6"/>
    <w:rsid w:val="00DE3D60"/>
    <w:rsid w:val="00DE4109"/>
    <w:rsid w:val="00DE45C4"/>
    <w:rsid w:val="00DE512F"/>
    <w:rsid w:val="00DE6BF7"/>
    <w:rsid w:val="00DE718B"/>
    <w:rsid w:val="00DE7CB9"/>
    <w:rsid w:val="00DE7EA2"/>
    <w:rsid w:val="00DF0EDF"/>
    <w:rsid w:val="00DF0FA4"/>
    <w:rsid w:val="00DF140A"/>
    <w:rsid w:val="00DF1D22"/>
    <w:rsid w:val="00DF1E64"/>
    <w:rsid w:val="00DF22C4"/>
    <w:rsid w:val="00DF42AC"/>
    <w:rsid w:val="00DF4BCB"/>
    <w:rsid w:val="00DF5B4B"/>
    <w:rsid w:val="00DF5BCF"/>
    <w:rsid w:val="00DF679F"/>
    <w:rsid w:val="00DF6C2C"/>
    <w:rsid w:val="00E00D3E"/>
    <w:rsid w:val="00E00F2E"/>
    <w:rsid w:val="00E03733"/>
    <w:rsid w:val="00E0391F"/>
    <w:rsid w:val="00E046E2"/>
    <w:rsid w:val="00E05FD1"/>
    <w:rsid w:val="00E05FD7"/>
    <w:rsid w:val="00E06A0B"/>
    <w:rsid w:val="00E0705F"/>
    <w:rsid w:val="00E07AD3"/>
    <w:rsid w:val="00E07C9B"/>
    <w:rsid w:val="00E11203"/>
    <w:rsid w:val="00E116A5"/>
    <w:rsid w:val="00E135BC"/>
    <w:rsid w:val="00E13633"/>
    <w:rsid w:val="00E13E7F"/>
    <w:rsid w:val="00E14195"/>
    <w:rsid w:val="00E14458"/>
    <w:rsid w:val="00E153F3"/>
    <w:rsid w:val="00E15596"/>
    <w:rsid w:val="00E15BA8"/>
    <w:rsid w:val="00E16D94"/>
    <w:rsid w:val="00E16E7E"/>
    <w:rsid w:val="00E17263"/>
    <w:rsid w:val="00E1798D"/>
    <w:rsid w:val="00E2040D"/>
    <w:rsid w:val="00E20738"/>
    <w:rsid w:val="00E2108E"/>
    <w:rsid w:val="00E229D9"/>
    <w:rsid w:val="00E2354C"/>
    <w:rsid w:val="00E26677"/>
    <w:rsid w:val="00E26DD3"/>
    <w:rsid w:val="00E279EC"/>
    <w:rsid w:val="00E27B11"/>
    <w:rsid w:val="00E306CE"/>
    <w:rsid w:val="00E31F63"/>
    <w:rsid w:val="00E3225B"/>
    <w:rsid w:val="00E325DC"/>
    <w:rsid w:val="00E342AB"/>
    <w:rsid w:val="00E342E5"/>
    <w:rsid w:val="00E34358"/>
    <w:rsid w:val="00E3444E"/>
    <w:rsid w:val="00E34452"/>
    <w:rsid w:val="00E3499A"/>
    <w:rsid w:val="00E353AA"/>
    <w:rsid w:val="00E35723"/>
    <w:rsid w:val="00E35899"/>
    <w:rsid w:val="00E35FA1"/>
    <w:rsid w:val="00E36CAB"/>
    <w:rsid w:val="00E370AF"/>
    <w:rsid w:val="00E370CF"/>
    <w:rsid w:val="00E37B9C"/>
    <w:rsid w:val="00E400B0"/>
    <w:rsid w:val="00E400F1"/>
    <w:rsid w:val="00E40EA9"/>
    <w:rsid w:val="00E41508"/>
    <w:rsid w:val="00E41834"/>
    <w:rsid w:val="00E42CBD"/>
    <w:rsid w:val="00E42DF1"/>
    <w:rsid w:val="00E42ED0"/>
    <w:rsid w:val="00E42FEB"/>
    <w:rsid w:val="00E42FF2"/>
    <w:rsid w:val="00E44093"/>
    <w:rsid w:val="00E44391"/>
    <w:rsid w:val="00E44B15"/>
    <w:rsid w:val="00E45293"/>
    <w:rsid w:val="00E46A95"/>
    <w:rsid w:val="00E46C2F"/>
    <w:rsid w:val="00E47CFA"/>
    <w:rsid w:val="00E5065F"/>
    <w:rsid w:val="00E50759"/>
    <w:rsid w:val="00E50E36"/>
    <w:rsid w:val="00E514D3"/>
    <w:rsid w:val="00E52477"/>
    <w:rsid w:val="00E52655"/>
    <w:rsid w:val="00E53369"/>
    <w:rsid w:val="00E5382F"/>
    <w:rsid w:val="00E539B2"/>
    <w:rsid w:val="00E540F9"/>
    <w:rsid w:val="00E54160"/>
    <w:rsid w:val="00E5440B"/>
    <w:rsid w:val="00E55B28"/>
    <w:rsid w:val="00E561B5"/>
    <w:rsid w:val="00E57830"/>
    <w:rsid w:val="00E6022C"/>
    <w:rsid w:val="00E60483"/>
    <w:rsid w:val="00E61383"/>
    <w:rsid w:val="00E61594"/>
    <w:rsid w:val="00E615E7"/>
    <w:rsid w:val="00E623C8"/>
    <w:rsid w:val="00E62942"/>
    <w:rsid w:val="00E62CC5"/>
    <w:rsid w:val="00E62D80"/>
    <w:rsid w:val="00E64495"/>
    <w:rsid w:val="00E6488C"/>
    <w:rsid w:val="00E6594A"/>
    <w:rsid w:val="00E65A36"/>
    <w:rsid w:val="00E65EE4"/>
    <w:rsid w:val="00E66837"/>
    <w:rsid w:val="00E66881"/>
    <w:rsid w:val="00E70613"/>
    <w:rsid w:val="00E70ADB"/>
    <w:rsid w:val="00E71517"/>
    <w:rsid w:val="00E71CEE"/>
    <w:rsid w:val="00E72DE1"/>
    <w:rsid w:val="00E747B2"/>
    <w:rsid w:val="00E74CF4"/>
    <w:rsid w:val="00E75BDF"/>
    <w:rsid w:val="00E75CCA"/>
    <w:rsid w:val="00E76D69"/>
    <w:rsid w:val="00E77A1A"/>
    <w:rsid w:val="00E8035B"/>
    <w:rsid w:val="00E81018"/>
    <w:rsid w:val="00E8115E"/>
    <w:rsid w:val="00E811EC"/>
    <w:rsid w:val="00E81A0D"/>
    <w:rsid w:val="00E82AE2"/>
    <w:rsid w:val="00E8323E"/>
    <w:rsid w:val="00E8327A"/>
    <w:rsid w:val="00E832D7"/>
    <w:rsid w:val="00E8371E"/>
    <w:rsid w:val="00E84BAF"/>
    <w:rsid w:val="00E84D1E"/>
    <w:rsid w:val="00E8727E"/>
    <w:rsid w:val="00E87B76"/>
    <w:rsid w:val="00E90754"/>
    <w:rsid w:val="00E908F1"/>
    <w:rsid w:val="00E913CD"/>
    <w:rsid w:val="00E919D4"/>
    <w:rsid w:val="00E92352"/>
    <w:rsid w:val="00E927DC"/>
    <w:rsid w:val="00E93740"/>
    <w:rsid w:val="00E93764"/>
    <w:rsid w:val="00E9428F"/>
    <w:rsid w:val="00E949BE"/>
    <w:rsid w:val="00E95170"/>
    <w:rsid w:val="00E967D9"/>
    <w:rsid w:val="00E96AD9"/>
    <w:rsid w:val="00E96C61"/>
    <w:rsid w:val="00E97538"/>
    <w:rsid w:val="00E97A92"/>
    <w:rsid w:val="00EA02D7"/>
    <w:rsid w:val="00EA133E"/>
    <w:rsid w:val="00EA17CB"/>
    <w:rsid w:val="00EA2524"/>
    <w:rsid w:val="00EA2640"/>
    <w:rsid w:val="00EA2750"/>
    <w:rsid w:val="00EA28DD"/>
    <w:rsid w:val="00EA5460"/>
    <w:rsid w:val="00EA5CD9"/>
    <w:rsid w:val="00EA7083"/>
    <w:rsid w:val="00EA7155"/>
    <w:rsid w:val="00EA77F7"/>
    <w:rsid w:val="00EB0186"/>
    <w:rsid w:val="00EB1811"/>
    <w:rsid w:val="00EB20DD"/>
    <w:rsid w:val="00EB25D3"/>
    <w:rsid w:val="00EB2ED0"/>
    <w:rsid w:val="00EB3A0D"/>
    <w:rsid w:val="00EB4022"/>
    <w:rsid w:val="00EB676D"/>
    <w:rsid w:val="00EC04BC"/>
    <w:rsid w:val="00EC1223"/>
    <w:rsid w:val="00EC176A"/>
    <w:rsid w:val="00EC2013"/>
    <w:rsid w:val="00EC2B64"/>
    <w:rsid w:val="00EC37BB"/>
    <w:rsid w:val="00EC464E"/>
    <w:rsid w:val="00EC4E55"/>
    <w:rsid w:val="00EC575C"/>
    <w:rsid w:val="00EC5D5F"/>
    <w:rsid w:val="00EC636E"/>
    <w:rsid w:val="00EC6C0B"/>
    <w:rsid w:val="00EC717F"/>
    <w:rsid w:val="00EC766F"/>
    <w:rsid w:val="00EC787C"/>
    <w:rsid w:val="00ED1D28"/>
    <w:rsid w:val="00ED2883"/>
    <w:rsid w:val="00ED2C7C"/>
    <w:rsid w:val="00ED30F1"/>
    <w:rsid w:val="00ED312D"/>
    <w:rsid w:val="00ED3460"/>
    <w:rsid w:val="00ED3B54"/>
    <w:rsid w:val="00ED6311"/>
    <w:rsid w:val="00ED7BAF"/>
    <w:rsid w:val="00EE014A"/>
    <w:rsid w:val="00EE1126"/>
    <w:rsid w:val="00EE1AAD"/>
    <w:rsid w:val="00EE1DEB"/>
    <w:rsid w:val="00EE29CF"/>
    <w:rsid w:val="00EE3892"/>
    <w:rsid w:val="00EE555E"/>
    <w:rsid w:val="00EE584A"/>
    <w:rsid w:val="00EE5B70"/>
    <w:rsid w:val="00EE6029"/>
    <w:rsid w:val="00EE60FD"/>
    <w:rsid w:val="00EE76B2"/>
    <w:rsid w:val="00EE77C6"/>
    <w:rsid w:val="00EE7B4D"/>
    <w:rsid w:val="00EE7C64"/>
    <w:rsid w:val="00EF1077"/>
    <w:rsid w:val="00EF139C"/>
    <w:rsid w:val="00EF17C0"/>
    <w:rsid w:val="00EF18DB"/>
    <w:rsid w:val="00EF1AF2"/>
    <w:rsid w:val="00EF2BE3"/>
    <w:rsid w:val="00EF2FC5"/>
    <w:rsid w:val="00EF4F8B"/>
    <w:rsid w:val="00EF5259"/>
    <w:rsid w:val="00EF6082"/>
    <w:rsid w:val="00EF63A8"/>
    <w:rsid w:val="00EF6AD5"/>
    <w:rsid w:val="00EF7322"/>
    <w:rsid w:val="00F00350"/>
    <w:rsid w:val="00F03CA2"/>
    <w:rsid w:val="00F05667"/>
    <w:rsid w:val="00F07056"/>
    <w:rsid w:val="00F07759"/>
    <w:rsid w:val="00F07792"/>
    <w:rsid w:val="00F1015B"/>
    <w:rsid w:val="00F10B0F"/>
    <w:rsid w:val="00F113A9"/>
    <w:rsid w:val="00F11878"/>
    <w:rsid w:val="00F12E73"/>
    <w:rsid w:val="00F145E2"/>
    <w:rsid w:val="00F14AE8"/>
    <w:rsid w:val="00F15193"/>
    <w:rsid w:val="00F152B1"/>
    <w:rsid w:val="00F152DC"/>
    <w:rsid w:val="00F15A38"/>
    <w:rsid w:val="00F15A86"/>
    <w:rsid w:val="00F160F2"/>
    <w:rsid w:val="00F161F1"/>
    <w:rsid w:val="00F175E5"/>
    <w:rsid w:val="00F20B26"/>
    <w:rsid w:val="00F22A9B"/>
    <w:rsid w:val="00F22B4C"/>
    <w:rsid w:val="00F240A6"/>
    <w:rsid w:val="00F2626A"/>
    <w:rsid w:val="00F26311"/>
    <w:rsid w:val="00F2748D"/>
    <w:rsid w:val="00F277D6"/>
    <w:rsid w:val="00F3083F"/>
    <w:rsid w:val="00F31563"/>
    <w:rsid w:val="00F326F4"/>
    <w:rsid w:val="00F33DD1"/>
    <w:rsid w:val="00F3404B"/>
    <w:rsid w:val="00F341FA"/>
    <w:rsid w:val="00F351B7"/>
    <w:rsid w:val="00F3569B"/>
    <w:rsid w:val="00F37433"/>
    <w:rsid w:val="00F407F3"/>
    <w:rsid w:val="00F413A3"/>
    <w:rsid w:val="00F42A47"/>
    <w:rsid w:val="00F43ED2"/>
    <w:rsid w:val="00F44769"/>
    <w:rsid w:val="00F44A38"/>
    <w:rsid w:val="00F45468"/>
    <w:rsid w:val="00F46125"/>
    <w:rsid w:val="00F46E23"/>
    <w:rsid w:val="00F47C55"/>
    <w:rsid w:val="00F5075C"/>
    <w:rsid w:val="00F51B2A"/>
    <w:rsid w:val="00F525B1"/>
    <w:rsid w:val="00F525DA"/>
    <w:rsid w:val="00F52B88"/>
    <w:rsid w:val="00F537CA"/>
    <w:rsid w:val="00F538D1"/>
    <w:rsid w:val="00F54259"/>
    <w:rsid w:val="00F55120"/>
    <w:rsid w:val="00F555DA"/>
    <w:rsid w:val="00F5666F"/>
    <w:rsid w:val="00F56C32"/>
    <w:rsid w:val="00F57BDB"/>
    <w:rsid w:val="00F57E3C"/>
    <w:rsid w:val="00F60A9D"/>
    <w:rsid w:val="00F61165"/>
    <w:rsid w:val="00F61CE7"/>
    <w:rsid w:val="00F61E7F"/>
    <w:rsid w:val="00F62BDB"/>
    <w:rsid w:val="00F62FA2"/>
    <w:rsid w:val="00F63EF6"/>
    <w:rsid w:val="00F65714"/>
    <w:rsid w:val="00F66056"/>
    <w:rsid w:val="00F66FD9"/>
    <w:rsid w:val="00F67A5C"/>
    <w:rsid w:val="00F700E1"/>
    <w:rsid w:val="00F76725"/>
    <w:rsid w:val="00F76BB3"/>
    <w:rsid w:val="00F80FC0"/>
    <w:rsid w:val="00F8182E"/>
    <w:rsid w:val="00F8187C"/>
    <w:rsid w:val="00F81BC3"/>
    <w:rsid w:val="00F82B0A"/>
    <w:rsid w:val="00F82F9A"/>
    <w:rsid w:val="00F837FE"/>
    <w:rsid w:val="00F83954"/>
    <w:rsid w:val="00F83E2F"/>
    <w:rsid w:val="00F84781"/>
    <w:rsid w:val="00F84E5E"/>
    <w:rsid w:val="00F86A86"/>
    <w:rsid w:val="00F86EAC"/>
    <w:rsid w:val="00F87354"/>
    <w:rsid w:val="00F876F7"/>
    <w:rsid w:val="00F904A0"/>
    <w:rsid w:val="00F90964"/>
    <w:rsid w:val="00F90DAD"/>
    <w:rsid w:val="00F9232F"/>
    <w:rsid w:val="00F9242F"/>
    <w:rsid w:val="00F9296A"/>
    <w:rsid w:val="00F931AD"/>
    <w:rsid w:val="00F93247"/>
    <w:rsid w:val="00F93939"/>
    <w:rsid w:val="00F93D11"/>
    <w:rsid w:val="00F94C2A"/>
    <w:rsid w:val="00F95214"/>
    <w:rsid w:val="00F95FEA"/>
    <w:rsid w:val="00F962B0"/>
    <w:rsid w:val="00F96839"/>
    <w:rsid w:val="00F96FAC"/>
    <w:rsid w:val="00F971A0"/>
    <w:rsid w:val="00F979D0"/>
    <w:rsid w:val="00FA07C5"/>
    <w:rsid w:val="00FA2178"/>
    <w:rsid w:val="00FA26A9"/>
    <w:rsid w:val="00FA2C6E"/>
    <w:rsid w:val="00FA4061"/>
    <w:rsid w:val="00FA4657"/>
    <w:rsid w:val="00FA4A59"/>
    <w:rsid w:val="00FA4B9E"/>
    <w:rsid w:val="00FA59B5"/>
    <w:rsid w:val="00FA6170"/>
    <w:rsid w:val="00FA6C23"/>
    <w:rsid w:val="00FA7C65"/>
    <w:rsid w:val="00FB005C"/>
    <w:rsid w:val="00FB0436"/>
    <w:rsid w:val="00FB086C"/>
    <w:rsid w:val="00FB1CEC"/>
    <w:rsid w:val="00FB276A"/>
    <w:rsid w:val="00FB28FE"/>
    <w:rsid w:val="00FB29A8"/>
    <w:rsid w:val="00FB2C3D"/>
    <w:rsid w:val="00FB392C"/>
    <w:rsid w:val="00FB3EE7"/>
    <w:rsid w:val="00FB483E"/>
    <w:rsid w:val="00FB4ADC"/>
    <w:rsid w:val="00FB4D4E"/>
    <w:rsid w:val="00FB4FD4"/>
    <w:rsid w:val="00FB5DC9"/>
    <w:rsid w:val="00FB603C"/>
    <w:rsid w:val="00FB603F"/>
    <w:rsid w:val="00FB6895"/>
    <w:rsid w:val="00FB7CC4"/>
    <w:rsid w:val="00FC0302"/>
    <w:rsid w:val="00FC05B7"/>
    <w:rsid w:val="00FC1370"/>
    <w:rsid w:val="00FC1836"/>
    <w:rsid w:val="00FC1D24"/>
    <w:rsid w:val="00FC266E"/>
    <w:rsid w:val="00FC4BCC"/>
    <w:rsid w:val="00FC5434"/>
    <w:rsid w:val="00FC561A"/>
    <w:rsid w:val="00FC58B6"/>
    <w:rsid w:val="00FC598D"/>
    <w:rsid w:val="00FC6C36"/>
    <w:rsid w:val="00FC75F5"/>
    <w:rsid w:val="00FC77C8"/>
    <w:rsid w:val="00FC7DEA"/>
    <w:rsid w:val="00FD0D43"/>
    <w:rsid w:val="00FD14EB"/>
    <w:rsid w:val="00FD183C"/>
    <w:rsid w:val="00FD1A69"/>
    <w:rsid w:val="00FD209D"/>
    <w:rsid w:val="00FD26DE"/>
    <w:rsid w:val="00FD5430"/>
    <w:rsid w:val="00FD6147"/>
    <w:rsid w:val="00FD7BCF"/>
    <w:rsid w:val="00FE0728"/>
    <w:rsid w:val="00FE3B13"/>
    <w:rsid w:val="00FE3FE1"/>
    <w:rsid w:val="00FE4424"/>
    <w:rsid w:val="00FE4AEA"/>
    <w:rsid w:val="00FE4F9D"/>
    <w:rsid w:val="00FE50BF"/>
    <w:rsid w:val="00FE5895"/>
    <w:rsid w:val="00FE648B"/>
    <w:rsid w:val="00FE75D7"/>
    <w:rsid w:val="00FF02BD"/>
    <w:rsid w:val="00FF0BC0"/>
    <w:rsid w:val="00FF2787"/>
    <w:rsid w:val="00FF3B1F"/>
    <w:rsid w:val="00FF3F61"/>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70497020"/>
  <w15:docId w15:val="{869FDF0E-5489-4ED7-9A19-FA19699B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019"/>
    <w:pPr>
      <w:spacing w:after="160" w:line="259" w:lineRule="auto"/>
    </w:pPr>
    <w:rPr>
      <w:rFonts w:asciiTheme="minorHAnsi" w:eastAsiaTheme="minorHAnsi" w:hAnsiTheme="minorHAnsi" w:cstheme="minorBidi"/>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rsid w:val="00B4201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B42019"/>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uiPriority w:val="99"/>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uiPriority w:val="99"/>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Style 6,Footnote Reference Superscript"/>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FTnormalCar">
    <w:name w:val="IFT normal Car"/>
    <w:basedOn w:val="Fuentedeprrafopredeter"/>
    <w:link w:val="IFTnormal"/>
    <w:rsid w:val="007D5B0C"/>
    <w:rPr>
      <w:rFonts w:ascii="ITC Avant Garde" w:eastAsia="Times New Roman" w:hAnsi="ITC Avant Garde"/>
      <w:iCs/>
      <w:sz w:val="22"/>
      <w:szCs w:val="22"/>
      <w:lang w:val="es-ES"/>
    </w:rPr>
  </w:style>
  <w:style w:type="paragraph" w:customStyle="1" w:styleId="Estilo">
    <w:name w:val="Estilo"/>
    <w:rsid w:val="00406524"/>
    <w:pPr>
      <w:widowControl w:val="0"/>
      <w:autoSpaceDE w:val="0"/>
      <w:autoSpaceDN w:val="0"/>
      <w:adjustRightInd w:val="0"/>
    </w:pPr>
    <w:rPr>
      <w:rFonts w:ascii="Times New Roman" w:eastAsia="Times New Roman" w:hAnsi="Times New Roman"/>
      <w:sz w:val="24"/>
      <w:szCs w:val="24"/>
      <w:lang w:val="es-ES" w:eastAsia="es-ES"/>
    </w:rPr>
  </w:style>
  <w:style w:type="paragraph" w:customStyle="1" w:styleId="IFTTexto">
    <w:name w:val="IFT Texto"/>
    <w:link w:val="IFTTextoCar"/>
    <w:qFormat/>
    <w:rsid w:val="001F6D2A"/>
    <w:pPr>
      <w:spacing w:after="200" w:line="276" w:lineRule="auto"/>
      <w:jc w:val="both"/>
    </w:pPr>
    <w:rPr>
      <w:rFonts w:ascii="ITC Avant Garde" w:hAnsi="ITC Avant Garde" w:cs="Arial"/>
      <w:color w:val="000000"/>
      <w:sz w:val="22"/>
      <w:szCs w:val="22"/>
      <w:lang w:val="es-ES_tradnl" w:eastAsia="es-ES"/>
    </w:rPr>
  </w:style>
  <w:style w:type="character" w:customStyle="1" w:styleId="IFTTextoCar">
    <w:name w:val="IFT Texto Car"/>
    <w:basedOn w:val="Fuentedeprrafopredeter"/>
    <w:link w:val="IFTTexto"/>
    <w:rsid w:val="001F6D2A"/>
    <w:rPr>
      <w:rFonts w:ascii="ITC Avant Garde" w:hAnsi="ITC Avant Garde"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135">
      <w:bodyDiv w:val="1"/>
      <w:marLeft w:val="0"/>
      <w:marRight w:val="0"/>
      <w:marTop w:val="0"/>
      <w:marBottom w:val="0"/>
      <w:divBdr>
        <w:top w:val="none" w:sz="0" w:space="0" w:color="auto"/>
        <w:left w:val="none" w:sz="0" w:space="0" w:color="auto"/>
        <w:bottom w:val="none" w:sz="0" w:space="0" w:color="auto"/>
        <w:right w:val="none" w:sz="0" w:space="0" w:color="auto"/>
      </w:divBdr>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28015579">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38406937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0587147">
      <w:bodyDiv w:val="1"/>
      <w:marLeft w:val="0"/>
      <w:marRight w:val="0"/>
      <w:marTop w:val="0"/>
      <w:marBottom w:val="0"/>
      <w:divBdr>
        <w:top w:val="none" w:sz="0" w:space="0" w:color="auto"/>
        <w:left w:val="none" w:sz="0" w:space="0" w:color="auto"/>
        <w:bottom w:val="none" w:sz="0" w:space="0" w:color="auto"/>
        <w:right w:val="none" w:sz="0" w:space="0" w:color="auto"/>
      </w:divBdr>
    </w:div>
    <w:div w:id="458769912">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132597727">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627052363">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35316267">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52413940">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69933504">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54429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21776873">
      <w:bodyDiv w:val="1"/>
      <w:marLeft w:val="0"/>
      <w:marRight w:val="0"/>
      <w:marTop w:val="0"/>
      <w:marBottom w:val="0"/>
      <w:divBdr>
        <w:top w:val="none" w:sz="0" w:space="0" w:color="auto"/>
        <w:left w:val="none" w:sz="0" w:space="0" w:color="auto"/>
        <w:bottom w:val="none" w:sz="0" w:space="0" w:color="auto"/>
        <w:right w:val="none" w:sz="0" w:space="0" w:color="auto"/>
      </w:divBdr>
    </w:div>
    <w:div w:id="840198510">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194290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87978571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988052043">
      <w:bodyDiv w:val="1"/>
      <w:marLeft w:val="0"/>
      <w:marRight w:val="0"/>
      <w:marTop w:val="0"/>
      <w:marBottom w:val="0"/>
      <w:divBdr>
        <w:top w:val="none" w:sz="0" w:space="0" w:color="auto"/>
        <w:left w:val="none" w:sz="0" w:space="0" w:color="auto"/>
        <w:bottom w:val="none" w:sz="0" w:space="0" w:color="auto"/>
        <w:right w:val="none" w:sz="0" w:space="0" w:color="auto"/>
      </w:divBdr>
    </w:div>
    <w:div w:id="1031806927">
      <w:bodyDiv w:val="1"/>
      <w:marLeft w:val="0"/>
      <w:marRight w:val="0"/>
      <w:marTop w:val="0"/>
      <w:marBottom w:val="0"/>
      <w:divBdr>
        <w:top w:val="none" w:sz="0" w:space="0" w:color="auto"/>
        <w:left w:val="none" w:sz="0" w:space="0" w:color="auto"/>
        <w:bottom w:val="none" w:sz="0" w:space="0" w:color="auto"/>
        <w:right w:val="none" w:sz="0" w:space="0" w:color="auto"/>
      </w:divBdr>
    </w:div>
    <w:div w:id="1032192644">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4796137">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0465413">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56302843">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27435393">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47940662">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76570004">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999383529">
      <w:bodyDiv w:val="1"/>
      <w:marLeft w:val="0"/>
      <w:marRight w:val="0"/>
      <w:marTop w:val="0"/>
      <w:marBottom w:val="0"/>
      <w:divBdr>
        <w:top w:val="none" w:sz="0" w:space="0" w:color="auto"/>
        <w:left w:val="none" w:sz="0" w:space="0" w:color="auto"/>
        <w:bottom w:val="none" w:sz="0" w:space="0" w:color="auto"/>
        <w:right w:val="none" w:sz="0" w:space="0" w:color="auto"/>
      </w:divBdr>
    </w:div>
    <w:div w:id="2017997414">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047136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72772659">
      <w:bodyDiv w:val="1"/>
      <w:marLeft w:val="0"/>
      <w:marRight w:val="0"/>
      <w:marTop w:val="0"/>
      <w:marBottom w:val="0"/>
      <w:divBdr>
        <w:top w:val="none" w:sz="0" w:space="0" w:color="auto"/>
        <w:left w:val="none" w:sz="0" w:space="0" w:color="auto"/>
        <w:bottom w:val="none" w:sz="0" w:space="0" w:color="auto"/>
        <w:right w:val="none" w:sz="0" w:space="0" w:color="auto"/>
      </w:divBdr>
    </w:div>
    <w:div w:id="2092972125">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footnotes.xml.rels><?xml version="1.0" encoding="UTF-8" standalone="yes"?>
<Relationships xmlns="http://schemas.openxmlformats.org/package/2006/relationships"><Relationship Id="rId1" Type="http://schemas.openxmlformats.org/officeDocument/2006/relationships/hyperlink" Target="http://200.38.163.178/sjfsist/Paginas/DetalleGeneralV2.aspx?id=23537&amp;Clase=DetalleTesisEjecu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9F818EDA-BB2C-4765-91A1-4EB9D7016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BD9E69-F8D9-4451-8094-9FBB42E1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17021</Words>
  <Characters>93621</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18</cp:revision>
  <cp:lastPrinted>2017-02-28T19:46:00Z</cp:lastPrinted>
  <dcterms:created xsi:type="dcterms:W3CDTF">2017-02-22T23:57:00Z</dcterms:created>
  <dcterms:modified xsi:type="dcterms:W3CDTF">2017-05-03T16:10:00Z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