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F23FA" w14:textId="04F7FD1F" w:rsidR="00F90605" w:rsidRPr="00720E71" w:rsidRDefault="004E3A91" w:rsidP="00B4594C">
      <w:pPr>
        <w:autoSpaceDE w:val="0"/>
        <w:autoSpaceDN w:val="0"/>
        <w:adjustRightInd w:val="0"/>
        <w:spacing w:after="0"/>
        <w:jc w:val="right"/>
        <w:rPr>
          <w:rFonts w:ascii="ITC Avant Garde" w:hAnsi="ITC Avant Garde" w:cs="Arial"/>
        </w:rPr>
      </w:pPr>
      <w:r w:rsidRPr="00720E71">
        <w:rPr>
          <w:rFonts w:ascii="ITC Avant Garde" w:hAnsi="ITC Avant Garde" w:cs="Arial"/>
        </w:rPr>
        <w:t xml:space="preserve">Ciudad de México, a </w:t>
      </w:r>
      <w:r w:rsidR="00F90605" w:rsidRPr="00720E71">
        <w:rPr>
          <w:rFonts w:ascii="ITC Avant Garde" w:hAnsi="ITC Avant Garde" w:cs="Arial"/>
        </w:rPr>
        <w:t>21</w:t>
      </w:r>
      <w:r w:rsidRPr="00720E71">
        <w:rPr>
          <w:rFonts w:ascii="ITC Avant Garde" w:hAnsi="ITC Avant Garde" w:cs="Arial"/>
        </w:rPr>
        <w:t xml:space="preserve"> de </w:t>
      </w:r>
      <w:r w:rsidR="00F90605" w:rsidRPr="00720E71">
        <w:rPr>
          <w:rFonts w:ascii="ITC Avant Garde" w:hAnsi="ITC Avant Garde" w:cs="Arial"/>
        </w:rPr>
        <w:t>junio</w:t>
      </w:r>
      <w:r w:rsidRPr="00720E71">
        <w:rPr>
          <w:rFonts w:ascii="ITC Avant Garde" w:hAnsi="ITC Avant Garde" w:cs="Arial"/>
        </w:rPr>
        <w:t xml:space="preserve"> de 2017</w:t>
      </w:r>
      <w:r w:rsidR="00F90605" w:rsidRPr="00720E71">
        <w:rPr>
          <w:rFonts w:ascii="ITC Avant Garde" w:hAnsi="ITC Avant Garde" w:cs="Arial"/>
        </w:rPr>
        <w:t>.</w:t>
      </w:r>
      <w:r w:rsidR="00B4594C" w:rsidRPr="00720E71">
        <w:rPr>
          <w:rFonts w:ascii="ITC Avant Garde" w:hAnsi="ITC Avant Garde" w:cs="Arial"/>
        </w:rPr>
        <w:t xml:space="preserve"> </w:t>
      </w:r>
    </w:p>
    <w:p w14:paraId="02C92BF4" w14:textId="77777777" w:rsidR="00720E71" w:rsidRPr="00720E71" w:rsidRDefault="004E3A91" w:rsidP="00C83B1C">
      <w:pPr>
        <w:spacing w:after="0"/>
        <w:jc w:val="both"/>
        <w:rPr>
          <w:rFonts w:ascii="ITC Avant Garde" w:eastAsia="Calibri" w:hAnsi="ITC Avant Garde" w:cs="Times New Roman"/>
          <w:b/>
          <w:lang w:eastAsia="es-MX"/>
        </w:rPr>
      </w:pPr>
      <w:r w:rsidRPr="00720E71">
        <w:rPr>
          <w:rFonts w:ascii="ITC Avant Garde" w:eastAsia="Calibri" w:hAnsi="ITC Avant Garde" w:cs="Times New Roman"/>
          <w:b/>
          <w:lang w:eastAsia="es-MX"/>
        </w:rPr>
        <w:t>RECURRENTE:</w:t>
      </w:r>
    </w:p>
    <w:p w14:paraId="046ADCA7" w14:textId="2942CD42" w:rsidR="004E3A91" w:rsidRPr="00720E71" w:rsidRDefault="004E3A91" w:rsidP="00C83B1C">
      <w:pPr>
        <w:spacing w:after="0"/>
        <w:jc w:val="both"/>
        <w:rPr>
          <w:rFonts w:ascii="ITC Avant Garde" w:eastAsia="Calibri" w:hAnsi="ITC Avant Garde" w:cs="Times New Roman"/>
          <w:b/>
          <w:lang w:eastAsia="es-MX"/>
        </w:rPr>
      </w:pPr>
      <w:r w:rsidRPr="00720E71">
        <w:rPr>
          <w:rFonts w:ascii="ITC Avant Garde" w:eastAsia="Calibri" w:hAnsi="ITC Avant Garde" w:cs="Times New Roman"/>
          <w:b/>
          <w:lang w:eastAsia="es-MX"/>
        </w:rPr>
        <w:t>BAJA CELULAR MEXICANA, S.A. DE C.V.</w:t>
      </w:r>
    </w:p>
    <w:p w14:paraId="129FB5BB" w14:textId="77777777" w:rsidR="004E3A91" w:rsidRPr="00720E71" w:rsidRDefault="004E3A91" w:rsidP="00C83B1C">
      <w:pPr>
        <w:spacing w:after="0"/>
        <w:jc w:val="both"/>
        <w:rPr>
          <w:rFonts w:ascii="ITC Avant Garde" w:eastAsia="Calibri" w:hAnsi="ITC Avant Garde" w:cs="Times New Roman"/>
          <w:b/>
          <w:lang w:eastAsia="es-MX"/>
        </w:rPr>
      </w:pPr>
      <w:r w:rsidRPr="00720E71">
        <w:rPr>
          <w:rFonts w:ascii="ITC Avant Garde" w:eastAsia="Calibri" w:hAnsi="ITC Avant Garde" w:cs="Times New Roman"/>
          <w:b/>
          <w:lang w:eastAsia="es-MX"/>
        </w:rPr>
        <w:t>CELULAR DE TELEFONÍA, S.A. DE C.V.</w:t>
      </w:r>
    </w:p>
    <w:p w14:paraId="140B9037" w14:textId="77777777" w:rsidR="004E3A91" w:rsidRPr="00720E71" w:rsidRDefault="004E3A91" w:rsidP="00C83B1C">
      <w:pPr>
        <w:spacing w:after="0"/>
        <w:jc w:val="both"/>
        <w:rPr>
          <w:rFonts w:ascii="ITC Avant Garde" w:eastAsia="Calibri" w:hAnsi="ITC Avant Garde" w:cs="Times New Roman"/>
          <w:b/>
          <w:lang w:eastAsia="es-MX"/>
        </w:rPr>
      </w:pPr>
      <w:r w:rsidRPr="00720E71">
        <w:rPr>
          <w:rFonts w:ascii="ITC Avant Garde" w:eastAsia="Calibri" w:hAnsi="ITC Avant Garde" w:cs="Times New Roman"/>
          <w:b/>
          <w:lang w:eastAsia="es-MX"/>
        </w:rPr>
        <w:t>MOVITEL DEL NOROESTE, S.A. DE C.V.</w:t>
      </w:r>
    </w:p>
    <w:p w14:paraId="1AA85A2F" w14:textId="77777777" w:rsidR="004E3A91" w:rsidRPr="00720E71" w:rsidRDefault="004E3A91" w:rsidP="00C83B1C">
      <w:pPr>
        <w:spacing w:after="0"/>
        <w:jc w:val="both"/>
        <w:rPr>
          <w:rFonts w:ascii="ITC Avant Garde" w:eastAsia="Calibri" w:hAnsi="ITC Avant Garde" w:cs="Times New Roman"/>
          <w:b/>
          <w:lang w:eastAsia="es-MX"/>
        </w:rPr>
      </w:pPr>
      <w:r w:rsidRPr="00720E71">
        <w:rPr>
          <w:rFonts w:ascii="ITC Avant Garde" w:eastAsia="Calibri" w:hAnsi="ITC Avant Garde" w:cs="Times New Roman"/>
          <w:b/>
          <w:lang w:eastAsia="es-MX"/>
        </w:rPr>
        <w:t>TELEFONÍA CELULAR DEL NORTE, S.A. DE C.V.</w:t>
      </w:r>
    </w:p>
    <w:p w14:paraId="47988C80" w14:textId="77777777" w:rsidR="004E3A91" w:rsidRPr="00720E71" w:rsidRDefault="004E3A91" w:rsidP="00C83B1C">
      <w:pPr>
        <w:spacing w:after="0"/>
        <w:jc w:val="both"/>
        <w:rPr>
          <w:rFonts w:ascii="ITC Avant Garde" w:eastAsia="Calibri" w:hAnsi="ITC Avant Garde" w:cs="Times New Roman"/>
          <w:b/>
          <w:lang w:eastAsia="es-MX"/>
        </w:rPr>
      </w:pPr>
      <w:r w:rsidRPr="00720E71">
        <w:rPr>
          <w:rFonts w:ascii="ITC Avant Garde" w:eastAsia="Calibri" w:hAnsi="ITC Avant Garde" w:cs="Times New Roman"/>
          <w:b/>
          <w:lang w:eastAsia="es-MX"/>
        </w:rPr>
        <w:t>PEGASO COMUNICACIONES Y SISTEMAS, S.A. DE C.V.</w:t>
      </w:r>
    </w:p>
    <w:p w14:paraId="4252D2A8" w14:textId="77777777" w:rsidR="004E3A91" w:rsidRPr="00720E71" w:rsidRDefault="004E3A91" w:rsidP="00C83B1C">
      <w:pPr>
        <w:spacing w:after="0"/>
        <w:jc w:val="both"/>
        <w:rPr>
          <w:rFonts w:ascii="ITC Avant Garde" w:eastAsia="Calibri" w:hAnsi="ITC Avant Garde" w:cs="Times New Roman"/>
          <w:b/>
          <w:lang w:eastAsia="es-MX"/>
        </w:rPr>
      </w:pPr>
      <w:r w:rsidRPr="00720E71">
        <w:rPr>
          <w:rFonts w:ascii="ITC Avant Garde" w:eastAsia="Calibri" w:hAnsi="ITC Avant Garde" w:cs="Times New Roman"/>
          <w:b/>
          <w:lang w:eastAsia="es-MX"/>
        </w:rPr>
        <w:t>HOY PEGASO PCS, S.A. DE C.V.</w:t>
      </w:r>
    </w:p>
    <w:p w14:paraId="7E684DCB" w14:textId="77777777" w:rsidR="004E3A91" w:rsidRPr="00720E71" w:rsidRDefault="004E3A91" w:rsidP="00C83B1C">
      <w:pPr>
        <w:spacing w:after="0"/>
        <w:jc w:val="both"/>
        <w:rPr>
          <w:rFonts w:ascii="ITC Avant Garde" w:eastAsia="Calibri" w:hAnsi="ITC Avant Garde" w:cs="Times New Roman"/>
          <w:lang w:eastAsia="es-MX"/>
        </w:rPr>
      </w:pPr>
      <w:r w:rsidRPr="00720E71">
        <w:rPr>
          <w:rFonts w:ascii="ITC Avant Garde" w:eastAsia="Calibri" w:hAnsi="ITC Avant Garde" w:cs="Times New Roman"/>
          <w:lang w:eastAsia="es-MX"/>
        </w:rPr>
        <w:t xml:space="preserve">BOULEVARD MANUEL ÁVILA CAMACHO, No. 24, PH, </w:t>
      </w:r>
    </w:p>
    <w:p w14:paraId="027D71FD" w14:textId="77777777" w:rsidR="004E3A91" w:rsidRPr="00720E71" w:rsidRDefault="004E3A91" w:rsidP="00C83B1C">
      <w:pPr>
        <w:spacing w:after="0"/>
        <w:jc w:val="both"/>
        <w:rPr>
          <w:rFonts w:ascii="ITC Avant Garde" w:eastAsia="Calibri" w:hAnsi="ITC Avant Garde" w:cs="Times New Roman"/>
          <w:lang w:eastAsia="es-MX"/>
        </w:rPr>
      </w:pPr>
      <w:r w:rsidRPr="00720E71">
        <w:rPr>
          <w:rFonts w:ascii="ITC Avant Garde" w:eastAsia="Calibri" w:hAnsi="ITC Avant Garde" w:cs="Times New Roman"/>
          <w:lang w:eastAsia="es-MX"/>
        </w:rPr>
        <w:t xml:space="preserve">COLONIA LOMAS DE CHAPULTEPEC </w:t>
      </w:r>
    </w:p>
    <w:p w14:paraId="218AB986" w14:textId="77777777" w:rsidR="004E3A91" w:rsidRPr="00720E71" w:rsidRDefault="004E3A91" w:rsidP="00C83B1C">
      <w:pPr>
        <w:spacing w:after="0"/>
        <w:jc w:val="both"/>
        <w:rPr>
          <w:rFonts w:ascii="ITC Avant Garde" w:eastAsia="Calibri" w:hAnsi="ITC Avant Garde" w:cs="Times New Roman"/>
          <w:lang w:eastAsia="es-MX"/>
        </w:rPr>
      </w:pPr>
      <w:r w:rsidRPr="00720E71">
        <w:rPr>
          <w:rFonts w:ascii="ITC Avant Garde" w:eastAsia="Calibri" w:hAnsi="ITC Avant Garde" w:cs="Times New Roman"/>
          <w:lang w:eastAsia="es-MX"/>
        </w:rPr>
        <w:t>DELEGACIÓN MIGUEL HIDALGO</w:t>
      </w:r>
    </w:p>
    <w:p w14:paraId="709F62FB" w14:textId="77777777" w:rsidR="00720E71" w:rsidRPr="00720E71" w:rsidRDefault="004E3A91" w:rsidP="00C83B1C">
      <w:pPr>
        <w:spacing w:after="0"/>
        <w:jc w:val="both"/>
        <w:rPr>
          <w:rFonts w:ascii="ITC Avant Garde" w:eastAsia="Calibri" w:hAnsi="ITC Avant Garde" w:cs="Times New Roman"/>
          <w:lang w:eastAsia="es-MX"/>
        </w:rPr>
      </w:pPr>
      <w:r w:rsidRPr="00720E71">
        <w:rPr>
          <w:rFonts w:ascii="ITC Avant Garde" w:eastAsia="Calibri" w:hAnsi="ITC Avant Garde" w:cs="Times New Roman"/>
          <w:lang w:eastAsia="es-MX"/>
        </w:rPr>
        <w:t>CIUDAD DE MÉXICO, C.P. 11000</w:t>
      </w:r>
    </w:p>
    <w:p w14:paraId="7E0ABF66" w14:textId="77777777" w:rsidR="00720E71" w:rsidRPr="00720E71" w:rsidRDefault="00720E71" w:rsidP="00C83B1C">
      <w:pPr>
        <w:spacing w:after="0"/>
        <w:jc w:val="both"/>
        <w:rPr>
          <w:rFonts w:ascii="ITC Avant Garde" w:eastAsia="Calibri" w:hAnsi="ITC Avant Garde" w:cs="Times New Roman"/>
          <w:lang w:eastAsia="es-MX"/>
        </w:rPr>
      </w:pPr>
    </w:p>
    <w:p w14:paraId="78A381FD" w14:textId="22389B02" w:rsidR="00720E71" w:rsidRPr="00720E71" w:rsidRDefault="004E3A91" w:rsidP="00C83B1C">
      <w:pPr>
        <w:spacing w:after="0"/>
        <w:jc w:val="both"/>
        <w:rPr>
          <w:rFonts w:ascii="ITC Avant Garde" w:eastAsia="Calibri" w:hAnsi="ITC Avant Garde" w:cs="Times New Roman"/>
          <w:b/>
          <w:lang w:eastAsia="es-MX"/>
        </w:rPr>
      </w:pPr>
      <w:r w:rsidRPr="00720E71">
        <w:rPr>
          <w:rFonts w:ascii="ITC Avant Garde" w:eastAsia="Calibri" w:hAnsi="ITC Avant Garde" w:cs="Times New Roman"/>
          <w:b/>
          <w:lang w:eastAsia="es-MX"/>
        </w:rPr>
        <w:t>TERCERO PERJUDICADO:</w:t>
      </w:r>
    </w:p>
    <w:p w14:paraId="475B6002" w14:textId="32F83F5C" w:rsidR="004E3A91" w:rsidRPr="00720E71" w:rsidRDefault="004E3A91" w:rsidP="00C83B1C">
      <w:pPr>
        <w:spacing w:after="0"/>
        <w:jc w:val="both"/>
        <w:rPr>
          <w:rFonts w:ascii="ITC Avant Garde" w:eastAsia="Calibri" w:hAnsi="ITC Avant Garde" w:cs="Times New Roman"/>
          <w:b/>
          <w:lang w:eastAsia="es-MX"/>
        </w:rPr>
      </w:pPr>
      <w:r w:rsidRPr="00720E71">
        <w:rPr>
          <w:rFonts w:ascii="ITC Avant Garde" w:eastAsia="Calibri" w:hAnsi="ITC Avant Garde" w:cs="Times New Roman"/>
          <w:b/>
          <w:lang w:eastAsia="es-MX"/>
        </w:rPr>
        <w:t>ALESTRA, S. DE R.L. DE C.V.</w:t>
      </w:r>
    </w:p>
    <w:p w14:paraId="177F0166" w14:textId="77777777" w:rsidR="004E3A91" w:rsidRPr="00720E71" w:rsidRDefault="004E3A91" w:rsidP="00C83B1C">
      <w:pPr>
        <w:spacing w:after="0"/>
        <w:jc w:val="both"/>
        <w:rPr>
          <w:rFonts w:ascii="ITC Avant Garde" w:eastAsia="Calibri" w:hAnsi="ITC Avant Garde" w:cs="Times New Roman"/>
          <w:lang w:eastAsia="es-MX"/>
        </w:rPr>
      </w:pPr>
      <w:r w:rsidRPr="00720E71">
        <w:rPr>
          <w:rFonts w:ascii="ITC Avant Garde" w:eastAsia="Calibri" w:hAnsi="ITC Avant Garde" w:cs="Times New Roman"/>
          <w:lang w:eastAsia="es-MX"/>
        </w:rPr>
        <w:t>AV. CALZADA DE LOS LEONES No. 260</w:t>
      </w:r>
    </w:p>
    <w:p w14:paraId="7E656345" w14:textId="77777777" w:rsidR="004E3A91" w:rsidRPr="00720E71" w:rsidRDefault="004E3A91" w:rsidP="00C83B1C">
      <w:pPr>
        <w:spacing w:after="0"/>
        <w:jc w:val="both"/>
        <w:rPr>
          <w:rFonts w:ascii="ITC Avant Garde" w:eastAsia="Calibri" w:hAnsi="ITC Avant Garde" w:cs="Times New Roman"/>
          <w:lang w:eastAsia="es-MX"/>
        </w:rPr>
      </w:pPr>
      <w:r w:rsidRPr="00720E71">
        <w:rPr>
          <w:rFonts w:ascii="ITC Avant Garde" w:eastAsia="Calibri" w:hAnsi="ITC Avant Garde" w:cs="Times New Roman"/>
          <w:lang w:eastAsia="es-MX"/>
        </w:rPr>
        <w:t>COL. LOS ALPES, C.P. 01010</w:t>
      </w:r>
    </w:p>
    <w:p w14:paraId="34CC53FD" w14:textId="77777777" w:rsidR="00720E71" w:rsidRPr="00720E71" w:rsidRDefault="004E3A91" w:rsidP="00C83B1C">
      <w:pPr>
        <w:spacing w:after="0"/>
        <w:jc w:val="both"/>
        <w:rPr>
          <w:rFonts w:ascii="ITC Avant Garde" w:eastAsia="Calibri" w:hAnsi="ITC Avant Garde" w:cs="Times New Roman"/>
          <w:lang w:eastAsia="es-MX"/>
        </w:rPr>
      </w:pPr>
      <w:r w:rsidRPr="00720E71">
        <w:rPr>
          <w:rFonts w:ascii="ITC Avant Garde" w:eastAsia="Calibri" w:hAnsi="ITC Avant Garde" w:cs="Times New Roman"/>
          <w:lang w:eastAsia="es-MX"/>
        </w:rPr>
        <w:t>CIUDAD DE MÉXICO</w:t>
      </w:r>
    </w:p>
    <w:p w14:paraId="173C9197" w14:textId="2DA52D6C" w:rsidR="00B4594C" w:rsidRPr="00720E71" w:rsidRDefault="004E3A91" w:rsidP="00720E71">
      <w:pPr>
        <w:pStyle w:val="Ttulo1"/>
        <w:spacing w:after="240" w:line="240" w:lineRule="auto"/>
        <w:jc w:val="both"/>
        <w:rPr>
          <w:rFonts w:ascii="ITC Avant Garde" w:hAnsi="ITC Avant Garde"/>
          <w:b/>
          <w:color w:val="000000" w:themeColor="text1"/>
          <w:sz w:val="22"/>
          <w:szCs w:val="22"/>
          <w:lang w:eastAsia="es-MX"/>
        </w:rPr>
      </w:pPr>
      <w:r w:rsidRPr="00720E71">
        <w:rPr>
          <w:rFonts w:ascii="ITC Avant Garde" w:hAnsi="ITC Avant Garde"/>
          <w:b/>
          <w:color w:val="000000" w:themeColor="text1"/>
          <w:sz w:val="22"/>
          <w:szCs w:val="22"/>
          <w:lang w:eastAsia="es-MX"/>
        </w:rPr>
        <w:t>RESOLUCIÓN DEL RECURSO ADMINISTRATIVO DE REVISIÓN INTERPUESTO POR BAJA CELULAR MEXICANA, S.A. DE C.V., CELULAR DE TELEFONIA, S.A. DE C.V., MOVITEL DEL NOROESTE, S.A. DE C.V., TELEFONIA CELULAR DEL NORTE, S.A. DE C.V. Y PEGASO COMUNICACIONES Y SISTEMAS, S.A.DE C.V., HOY PEGASO, PCS, S.A. DE C.V. (EN LO SUCESIVO LA RECURRENTE), EN CONTRA DE LA RESOLUCIÓN P/150611/198 DE FECHA QUINCE DE JUNIO DE DOS MIL ONCE (EN LO SUCESIVO LA RESOLUCIÓN RECURRIDA), EMITIDA POR EL PLENO DE LA COMISIÓN FEDERAL DE TELECOMUNICACIONES (LA COMISIÓN);</w:t>
      </w:r>
    </w:p>
    <w:p w14:paraId="0F305642" w14:textId="41550117" w:rsidR="00720E71" w:rsidRPr="00720E71" w:rsidRDefault="004E3A91" w:rsidP="00720E71">
      <w:pPr>
        <w:pStyle w:val="Ttulo2"/>
        <w:keepLines/>
        <w:numPr>
          <w:ilvl w:val="1"/>
          <w:numId w:val="0"/>
        </w:numPr>
        <w:spacing w:before="40" w:after="240" w:line="276" w:lineRule="auto"/>
        <w:rPr>
          <w:rFonts w:ascii="ITC Avant Garde" w:eastAsiaTheme="majorEastAsia" w:hAnsi="ITC Avant Garde" w:cstheme="majorBidi"/>
          <w:color w:val="000000" w:themeColor="text1"/>
          <w:sz w:val="22"/>
          <w:szCs w:val="22"/>
          <w:lang w:eastAsia="en-US"/>
        </w:rPr>
      </w:pPr>
      <w:r w:rsidRPr="00720E71">
        <w:rPr>
          <w:rFonts w:ascii="ITC Avant Garde" w:eastAsiaTheme="majorEastAsia" w:hAnsi="ITC Avant Garde" w:cstheme="majorBidi"/>
          <w:color w:val="000000" w:themeColor="text1"/>
          <w:sz w:val="22"/>
          <w:szCs w:val="22"/>
          <w:lang w:eastAsia="en-US"/>
        </w:rPr>
        <w:t>RESULTANDO</w:t>
      </w:r>
    </w:p>
    <w:p w14:paraId="14B2A35B"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El 21 de diciembre de 2010, el representante legal de Alestra, S. de R.L. de C.V. (en lo sucesivo Alestra), presentó ante la Comisión Federal de Telecomunicaciones (en lo sucesivo, la “Comisión”), escrito mediante el cual solicita la intervención de este órgano para resolver las condiciones en materia de interconexión entre Alestra y Grupo Telefónica sobre las propuestas de tarifas de interconexión por servicios de terminación móvil para el periodo comprendido entre el 1º de enero de 2011 y el 31 de diciembre de 2011.</w:t>
      </w:r>
    </w:p>
    <w:p w14:paraId="1EDB523E" w14:textId="77777777" w:rsidR="00720E71" w:rsidRPr="00720E71" w:rsidRDefault="004E3A91" w:rsidP="00C83B1C">
      <w:pPr>
        <w:spacing w:after="0"/>
        <w:ind w:left="720"/>
        <w:contextualSpacing/>
        <w:jc w:val="both"/>
        <w:rPr>
          <w:rFonts w:ascii="ITC Avant Garde" w:hAnsi="ITC Avant Garde" w:cs="Arial"/>
        </w:rPr>
      </w:pPr>
      <w:r w:rsidRPr="00720E71">
        <w:rPr>
          <w:rFonts w:ascii="ITC Avant Garde" w:hAnsi="ITC Avant Garde" w:cs="Arial"/>
        </w:rPr>
        <w:t xml:space="preserve">Para tales efectos, el representante legal de Alestra </w:t>
      </w:r>
      <w:r w:rsidR="00B963A9" w:rsidRPr="00720E71">
        <w:rPr>
          <w:rFonts w:ascii="ITC Avant Garde" w:hAnsi="ITC Avant Garde" w:cs="Arial"/>
        </w:rPr>
        <w:t>manifestó</w:t>
      </w:r>
      <w:r w:rsidRPr="00720E71">
        <w:rPr>
          <w:rFonts w:ascii="ITC Avant Garde" w:hAnsi="ITC Avant Garde" w:cs="Arial"/>
        </w:rPr>
        <w:t xml:space="preserve"> que solicitó a Grupo Telefónica el 15 de junio de 2010, las gestiones de interconexión sobre las propuestas de tarifas de interconexión por servicios de terminación móvil.  Para acreditar lo anterior, Alestra adjuntó copia certificada ante el Notario 229 del </w:t>
      </w:r>
      <w:r w:rsidRPr="00720E71">
        <w:rPr>
          <w:rFonts w:ascii="ITC Avant Garde" w:hAnsi="ITC Avant Garde" w:cs="Arial"/>
        </w:rPr>
        <w:lastRenderedPageBreak/>
        <w:t>Distrito Federal, del escrito de fecha 15 de junio de 2010 dirigido a los representantes de Baja Celular Mexicana, S.A. de C.V., Celular de Telefonía, S.A. de C.V., Movitel del Noroeste, S.A. de C.V., Telefonía Celular del Norte, S.A. de C.V. y Pegaso Comunicaciones y Sistemas, S.A. de C.V., (en lo sucesivo Grupo Telefónica), a través del cual solicitó el inicio de negociaciones de interconexión para el año 2011.</w:t>
      </w:r>
    </w:p>
    <w:p w14:paraId="0ADD09C5"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Previos trámites de ley mediante resolución emitida por el Pleno de la Comisión Federal de Telecomunicaciones mediante acuerdo P/150611/198 de fecha 15 de junio de 2011, se determinaron las condiciones de interconexión no convenidas entre Alestra, y Baja Celular Mexicana, S.A. de C.V., Celular de Telefonía, S.A. de C.V., Movitel del Noroeste, S.A. de C.V., Telefonía Celular del Norte, S.A. de C.V. y Pegaso Comunicaciones y Sistemas, S.A. de C.V.</w:t>
      </w:r>
    </w:p>
    <w:p w14:paraId="2AC1AC8B"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Previo citatorio de fecha 27 de junio de 2011, mediante instructivo de notificación de fecha 28 del mismo mes y año, se hizo del conocimiento de la Recurrente la Resolución P/150611/198 de fecha 15 de junio de 2011, emitida por el Pleno de la Comisión.</w:t>
      </w:r>
    </w:p>
    <w:p w14:paraId="546D427F"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 xml:space="preserve">Mediante escrito presentado ante la Oficialía de Partes de la Comisión el 18 de julio de 2011, la Recurrente </w:t>
      </w:r>
      <w:r w:rsidR="00C83B1C" w:rsidRPr="00720E71">
        <w:rPr>
          <w:rFonts w:ascii="ITC Avant Garde" w:hAnsi="ITC Avant Garde" w:cs="Arial"/>
        </w:rPr>
        <w:t xml:space="preserve">interpusieron </w:t>
      </w:r>
      <w:r w:rsidRPr="00720E71">
        <w:rPr>
          <w:rFonts w:ascii="ITC Avant Garde" w:hAnsi="ITC Avant Garde" w:cs="Arial"/>
        </w:rPr>
        <w:t xml:space="preserve">el recurso administrativo de revisión previsto en la Ley Federal de Procedimiento Administrativo (en lo sucesivo la LFPA), en contra de la resolución número P/150611/198 de fecha 15 de junio de 2011, emitida por el Pleno de la Comisión. </w:t>
      </w:r>
    </w:p>
    <w:p w14:paraId="63C6AAF2"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Por oficio de 21 de julio de 2011, la Comisión Federal de Telecomunicaciones determinó dar inicio al procedimiento administrativo para resolver el referido acuerdo sobre la baja de tarifas de interconexión.</w:t>
      </w:r>
    </w:p>
    <w:p w14:paraId="22141B06"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Mediante resolución emitida por el Pleno de la Comisión Federal de Telecomunicaciones de 21 de julio de 2011, se resolvió negar la suspensión solicitada por Baja Celular Mexicana, S.A. de C.V., Celular de Telefonía, S.A. de C.V., Movitel del Noroeste, S.A. de C.V., Telefonía Celular del Norte, S.A. de C.V. y Pegaso Comunicaciones y Sistemas, S.A. de C.V., por considerar no satisfacerse el requisito previsto en el artículo 87, fracción III de la Ley Federal de Procedimiento Administrativo.</w:t>
      </w:r>
    </w:p>
    <w:p w14:paraId="3616DD94"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Previo citatorio de fecha 21 de julio de 2011, mediante instructivo de notificación de fecha 22 del mismo mes y año, se hizo del conocimiento de la recurrente el acuerdo que determinó dar inicio al procedimiento administrativo.</w:t>
      </w:r>
    </w:p>
    <w:p w14:paraId="6507275C"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Previo citatorio de fecha 21 de julio de 2011, mediante instructivo de notificación de fecha 22 del mismo mes y año, se hizo del conocimiento de la Recurrente la Resolución que resolvió negar la suspensión solicitada en el recurso de referencia.</w:t>
      </w:r>
    </w:p>
    <w:p w14:paraId="1DE854C9"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lastRenderedPageBreak/>
        <w:t>Previo citatorio de fecha 2 de agosto de 2011, mediante instructivo de notificación de fecha 3 del mismo mes y año, se hizo del conocimiento de Alestra el acuerdo que determinó dar inicio al procedimiento administrativo.</w:t>
      </w:r>
    </w:p>
    <w:p w14:paraId="065E68BD"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Previo citatorio de fecha 2 de agosto de 2011, mediante instructivo de notificación de fecha 3 del mismo mes y año, se hizo del conocimiento de Alestra la resolución que resolvió negar la suspensión solicitada en el recurso de referencia.</w:t>
      </w:r>
    </w:p>
    <w:p w14:paraId="5A23EDA1"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Mediante acta circunstanciada de 1º de agosto de 2011, se hizo constar que el Licenciado Iván Díaz Barreiro Hernández, perito en Economía por la recurrente, compareció a aceptar y protestar el cargo conferido.</w:t>
      </w:r>
    </w:p>
    <w:p w14:paraId="13DDCEAC"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Por escrito presentado el 8 de agosto de 2011, Alestra se apersonó en las actuaciones del recurso de revisión de referencia, solicitando la ampliación de 10 días para manifestar lo que a su derecho correspondiera y ofrecer pruebas.</w:t>
      </w:r>
    </w:p>
    <w:p w14:paraId="3D947D0D"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Por escrito presentado el 10 de agosto de 2011, Alestra designó perito en economía de las telecomunicaciones y adicionó el cuestionario objeto de la prueba pericial admitida en el procedimiento a las recurrentes.</w:t>
      </w:r>
    </w:p>
    <w:p w14:paraId="60309565"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Mediante escrito presentado el 17 de agosto de 2011, Alestra desahogó la vista en relación con el recurso interpuesto por la Recurrente, ha</w:t>
      </w:r>
      <w:r w:rsidR="00FE75A6" w:rsidRPr="00720E71">
        <w:rPr>
          <w:rFonts w:ascii="ITC Avant Garde" w:hAnsi="ITC Avant Garde" w:cs="Arial"/>
        </w:rPr>
        <w:t>c</w:t>
      </w:r>
      <w:r w:rsidRPr="00720E71">
        <w:rPr>
          <w:rFonts w:ascii="ITC Avant Garde" w:hAnsi="ITC Avant Garde" w:cs="Arial"/>
        </w:rPr>
        <w:t>iendo valer para tal efecto diversas manifestaciones en relación a la cuestión previa y los agravios planteados en el escrito de interposición del Recurso.</w:t>
      </w:r>
    </w:p>
    <w:p w14:paraId="2D0762FE"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Mediante acuerdo de 1º de septiembre de 2011, se tuvo a Alestra</w:t>
      </w:r>
      <w:r w:rsidR="00361FEC" w:rsidRPr="00720E71">
        <w:rPr>
          <w:rFonts w:ascii="ITC Avant Garde" w:hAnsi="ITC Avant Garde" w:cs="Arial"/>
        </w:rPr>
        <w:t xml:space="preserve"> </w:t>
      </w:r>
      <w:r w:rsidRPr="00720E71">
        <w:rPr>
          <w:rFonts w:ascii="ITC Avant Garde" w:hAnsi="ITC Avant Garde" w:cs="Arial"/>
        </w:rPr>
        <w:t>presentando a su perito y adicionando preguntas al cuestionario propuesto por las recurrentes, concediéndosele el término de 10 días para que presentara a su perito a aceptar y protestar el cargo conferido.</w:t>
      </w:r>
    </w:p>
    <w:p w14:paraId="728CD697" w14:textId="77777777" w:rsidR="00720E71" w:rsidRPr="00720E71" w:rsidRDefault="004E3A91" w:rsidP="00C83B1C">
      <w:pPr>
        <w:spacing w:after="0"/>
        <w:ind w:left="720"/>
        <w:contextualSpacing/>
        <w:jc w:val="both"/>
        <w:rPr>
          <w:rFonts w:ascii="ITC Avant Garde" w:hAnsi="ITC Avant Garde" w:cs="Arial"/>
        </w:rPr>
      </w:pPr>
      <w:r w:rsidRPr="00720E71">
        <w:rPr>
          <w:rFonts w:ascii="ITC Avant Garde" w:hAnsi="ITC Avant Garde" w:cs="Arial"/>
        </w:rPr>
        <w:t>Por otra parte, concedió la ampliación del plazo para dar contestación al recurso y ofrecer pruebas, hasta por 5 días más.</w:t>
      </w:r>
    </w:p>
    <w:p w14:paraId="5475DFD6"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Previo citatorio de fecha 8 de septiembre de 2011, mediante instructivo de notificación de fecha 9 del mismo mes y año, se hizo del conocimiento de Alestra el acuerdo de 1º del mismo mes y año.</w:t>
      </w:r>
    </w:p>
    <w:p w14:paraId="5B970689"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 xml:space="preserve">Mediante acta circunstanciada de 13 de septiembre de 2011, se hizo constar que el Licenciado Héctor Daniel </w:t>
      </w:r>
      <w:proofErr w:type="spellStart"/>
      <w:r w:rsidRPr="00720E71">
        <w:rPr>
          <w:rFonts w:ascii="ITC Avant Garde" w:hAnsi="ITC Avant Garde" w:cs="Arial"/>
        </w:rPr>
        <w:t>Santillanes</w:t>
      </w:r>
      <w:proofErr w:type="spellEnd"/>
      <w:r w:rsidRPr="00720E71">
        <w:rPr>
          <w:rFonts w:ascii="ITC Avant Garde" w:hAnsi="ITC Avant Garde" w:cs="Arial"/>
        </w:rPr>
        <w:t xml:space="preserve"> Chapa, perito en Economía designado por Alestra, compareció a aceptar y protestar el cargo conferido.</w:t>
      </w:r>
    </w:p>
    <w:p w14:paraId="4D1F4BAE"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Con fecha 19 de septiembre de 2011, dentro de la ampliación del término concedido, Alestra realizó diversas manifestaciones en complemento al desahogo de vista que hizo del recurso de revisión en cuestión.</w:t>
      </w:r>
    </w:p>
    <w:p w14:paraId="5DC48FB6"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Por acuerdo de 12 de octubre de 2011, se concedió a los peritos de las partes un plazo de 10 días hábiles, con el apercibimiento que en caso de no hacerlo se estarían a lo establecido en el artículo 153 del Código Federal de Procedimientos Civiles, de aplicación supletoria en términos del artículo 2 de la LFPA.</w:t>
      </w:r>
    </w:p>
    <w:p w14:paraId="5C06AA02"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lastRenderedPageBreak/>
        <w:t>Mediante comparecencia de 25 de octubre de 2011, el autorizado de las recurrentes se dio por notificado del acuerdo de 12 del mismo mes y año.</w:t>
      </w:r>
    </w:p>
    <w:p w14:paraId="69D6FFF8"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Previo citatorio de fecha 27 de octubre de 2011, mediante instructivo de notificación de fecha 28 del mismo mes y año, se hizo del conocimiento de Alestra y del perito designado de su parte, el acuerdo de 12 del mismo mes y año.</w:t>
      </w:r>
    </w:p>
    <w:p w14:paraId="00A4F08F"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 xml:space="preserve">Con fecha 8 de noviembre de 2011, el C. Héctor Daniel </w:t>
      </w:r>
      <w:proofErr w:type="spellStart"/>
      <w:r w:rsidRPr="00720E71">
        <w:rPr>
          <w:rFonts w:ascii="ITC Avant Garde" w:hAnsi="ITC Avant Garde" w:cs="Arial"/>
        </w:rPr>
        <w:t>Santillanes</w:t>
      </w:r>
      <w:proofErr w:type="spellEnd"/>
      <w:r w:rsidRPr="00720E71">
        <w:rPr>
          <w:rFonts w:ascii="ITC Avant Garde" w:hAnsi="ITC Avant Garde" w:cs="Arial"/>
        </w:rPr>
        <w:t xml:space="preserve"> Chapa, perito designado en materia de economía de las telecomunicaciones por Alestra, rindió el dictamen pericial que le fue encomendado, ratificándolo en esa misma fecha.</w:t>
      </w:r>
    </w:p>
    <w:p w14:paraId="5AFA7839"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Con fecha 9 de noviembre de 2011, C. Iván Díaz Barreiro Hernández, perito designado en materia de economía de las telecomunicaciones por la recurrente, rindió el dictamen pericial que le fue encomendado, ratificándolo en esa misma fecha.</w:t>
      </w:r>
    </w:p>
    <w:p w14:paraId="00DCAE94"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 xml:space="preserve">Por auto de 14 de noviembre de 2011, se tuvieron por presentados los dictámenes rendidos por los peritos de las partes con el fin de desahogar el peritaje ofrecido por las recurrentes en materia de economía de las telecomunicaciones; sin embargo, al valorar que éstos difieren en los puntos esenciales, se ordenó girar oficio al Colegio Nacional de Economistas, A.C. </w:t>
      </w:r>
      <w:r w:rsidR="00C54B76" w:rsidRPr="00720E71">
        <w:rPr>
          <w:rFonts w:ascii="ITC Avant Garde" w:hAnsi="ITC Avant Garde" w:cs="Arial"/>
        </w:rPr>
        <w:t>(</w:t>
      </w:r>
      <w:r w:rsidRPr="00720E71">
        <w:rPr>
          <w:rFonts w:ascii="ITC Avant Garde" w:hAnsi="ITC Avant Garde" w:cs="Arial"/>
        </w:rPr>
        <w:t xml:space="preserve">en lo sucesivo </w:t>
      </w:r>
      <w:r w:rsidR="00D24DF3" w:rsidRPr="00720E71">
        <w:rPr>
          <w:rFonts w:ascii="ITC Avant Garde" w:hAnsi="ITC Avant Garde" w:cs="Arial"/>
        </w:rPr>
        <w:t>“</w:t>
      </w:r>
      <w:r w:rsidRPr="00720E71">
        <w:rPr>
          <w:rFonts w:ascii="ITC Avant Garde" w:hAnsi="ITC Avant Garde" w:cs="Arial"/>
        </w:rPr>
        <w:t>CNE</w:t>
      </w:r>
      <w:r w:rsidR="00D24DF3" w:rsidRPr="00720E71">
        <w:rPr>
          <w:rFonts w:ascii="ITC Avant Garde" w:hAnsi="ITC Avant Garde" w:cs="Arial"/>
        </w:rPr>
        <w:t>”</w:t>
      </w:r>
      <w:r w:rsidR="00C54B76" w:rsidRPr="00720E71">
        <w:rPr>
          <w:rFonts w:ascii="ITC Avant Garde" w:hAnsi="ITC Avant Garde" w:cs="Arial"/>
        </w:rPr>
        <w:t>)</w:t>
      </w:r>
      <w:r w:rsidRPr="00720E71">
        <w:rPr>
          <w:rFonts w:ascii="ITC Avant Garde" w:hAnsi="ITC Avant Garde" w:cs="Arial"/>
        </w:rPr>
        <w:t>, a fin de que designara perito oficial en materia de economía de las telecomunicaciones, para que actuara como perito tercero en discordia.</w:t>
      </w:r>
    </w:p>
    <w:p w14:paraId="0E41A9F4"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Mediante comparecencia de 25 de noviembre, la recurrente se dieron por notificadas del proveído de 14 del mismo mes y año.</w:t>
      </w:r>
    </w:p>
    <w:p w14:paraId="0D99EE90"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Previo citatorio de fecha 25 de noviembre de 2011, mediante instructivo de notificación de fecha 28 del mismo mes y año, se hizo del conocimiento de Alestra y del perito designado de su parte el acuerdo de 14 del mismo mes y año.</w:t>
      </w:r>
    </w:p>
    <w:p w14:paraId="71773317"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Con fecha 13 de diciembre de 2011, el CNE designó como perito tercero en discordia en materia de economía al licenciado David García Montoya.</w:t>
      </w:r>
    </w:p>
    <w:p w14:paraId="0559D3DF"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Mediante acta circunstanciada de 13 de diciembre de 2011, se hizo constar la comparecencia del licenciado David García Montoya, perito tercero en economía, nombrado por el Colegio Nacional de Economistas, A.C., a efecto de aceptar y protestar el cargo conferido.</w:t>
      </w:r>
    </w:p>
    <w:p w14:paraId="4254D898"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Por acuerdo de 14 de diciembre de 2011, se tuvo al perito tercero en economía aceptando y protestando el cargo conferido, concediéndole el término de 10 días para que presentara una propuesta de honorarios por los servicios y trabajos que se requerían para desahogar la prueba pericial de referencia.</w:t>
      </w:r>
    </w:p>
    <w:p w14:paraId="210A857A"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Mediante acta circunstanciada de 22 de diciembre de 2011, se hizo constar la comparecencia del licenciado David García Montoya, perito tercero en economía, a efecto de darse por notificado del acuerdo de 14 de diciembre del mismo año.</w:t>
      </w:r>
    </w:p>
    <w:p w14:paraId="01BA01E9"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lastRenderedPageBreak/>
        <w:t>Con escrito presentado el fecha 6 de enero de 2012, el Licenciado David García Montoya perito tercero en discordia designado por el CNE, presentó propuesta respecto al monto de sus honorarios, por los servicios y trabajos que se requieren para desahogar la prueba pericial.</w:t>
      </w:r>
    </w:p>
    <w:p w14:paraId="7A997A6C"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Por acuerdo de 9 de enero de 2012, se ordenó dar vista a las recurrentes y al tercero perjudicado para que se manifestaran respecto a la propuesta de honorarios hecha por el perito tercero en discordia en materia de economía.</w:t>
      </w:r>
    </w:p>
    <w:p w14:paraId="616CB59F"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Mediante acta circunstanciada de 20 de enero de 2012, se hizo constar la comparecencia del autorizado de las recurrentes, para darse por notificado del acuerdo de 9 de enero de 2012.</w:t>
      </w:r>
    </w:p>
    <w:p w14:paraId="37F6EF63"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Mediante acta circunstanciada de 26 de enero de 2012, se hizo constar la comparecencia del autorizado de Alestra, para darse por notificado del acuerdo de 9 de enero de 2012.</w:t>
      </w:r>
    </w:p>
    <w:p w14:paraId="21F8D9F5"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Por acuerdo de 30 de enero de 2012, se otorgó el término de 3 días hábiles a las partes para que garantizaran el monto de los honorarios del perito tercero en discordia designado por el CNE, Licenciado David García Montoya.</w:t>
      </w:r>
    </w:p>
    <w:p w14:paraId="1EC4D394"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Mediante acta circunstanciada de 13 de febrero de 2012, hizo constar la notificación personal de Alestra y al perito tercero en discordia Licenciado David García Montoya, el acuerdo de 30 de enero del mismo año.</w:t>
      </w:r>
    </w:p>
    <w:p w14:paraId="0E8BC9BE"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Con fecha 15 de febrero de 2012, el perito tercero en discordia exhibió diversa documentación, para los trámites fiscales correspondientes relacionados con el pago de sus honorarios.</w:t>
      </w:r>
    </w:p>
    <w:p w14:paraId="2E46B034"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Con fecha 15 de febrero de 2012, las recurrentes solicitaron se les concediera una prórroga de 3 días, para exhibir la garantía ordenada por auto de 30 de enero del mismo año.</w:t>
      </w:r>
    </w:p>
    <w:p w14:paraId="57036085"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Con fecha 16 de febrero de 2012, Alestra solicitó se le concediera una prórroga de 3 días, para exhibir la garantía ordenada por auto de 30 de enero del mismo año.</w:t>
      </w:r>
    </w:p>
    <w:p w14:paraId="4399538C"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Por acuerdo de 17 de febrero de 2012, se concedió por un día más la ampliación de término solicitada por la recurrente, para garantizar el pago de honorarios del perito tercero en discordia.</w:t>
      </w:r>
    </w:p>
    <w:p w14:paraId="2F450BAF"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Por acuerdo de 16 de febrero de 2012, se concedió por un día más la ampliación de término solicitada por Alestra, para garantizar el pago de honorarios del perito tercero en discordia.</w:t>
      </w:r>
    </w:p>
    <w:p w14:paraId="0C986AAC"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 xml:space="preserve">Mediante acta circunstanciada de 17 de febrero de 2012, </w:t>
      </w:r>
      <w:r w:rsidR="007D462F" w:rsidRPr="00720E71">
        <w:rPr>
          <w:rFonts w:ascii="ITC Avant Garde" w:hAnsi="ITC Avant Garde" w:cs="Arial"/>
        </w:rPr>
        <w:t xml:space="preserve">se </w:t>
      </w:r>
      <w:r w:rsidRPr="00720E71">
        <w:rPr>
          <w:rFonts w:ascii="ITC Avant Garde" w:hAnsi="ITC Avant Garde" w:cs="Arial"/>
        </w:rPr>
        <w:t>hizo constar la notificación personal de Alestra del acuerdo de 16 del mismo mes y año.</w:t>
      </w:r>
    </w:p>
    <w:p w14:paraId="2DB8A1EC"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Con fecha 17 de febrero de 2012, Alestra exhibió el billete de depósito para garantizar el pago de honorarios del perito tercero en discordia en materia de economía.</w:t>
      </w:r>
    </w:p>
    <w:p w14:paraId="731AF152"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lastRenderedPageBreak/>
        <w:t>Por auto de 20 de febrero de 2012, se pusieron a la vista de las partes, los documentos exhibidos por el perito tercero en discordia en materia de economía de las telecomunicaciones, para los trámites fiscales correspondientes.</w:t>
      </w:r>
    </w:p>
    <w:p w14:paraId="43C608A1"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 xml:space="preserve">Mediante acta circunstanciada de 22 de febrero de 2012, </w:t>
      </w:r>
      <w:r w:rsidR="007D462F" w:rsidRPr="00720E71">
        <w:rPr>
          <w:rFonts w:ascii="ITC Avant Garde" w:hAnsi="ITC Avant Garde" w:cs="Arial"/>
        </w:rPr>
        <w:t xml:space="preserve">se </w:t>
      </w:r>
      <w:r w:rsidRPr="00720E71">
        <w:rPr>
          <w:rFonts w:ascii="ITC Avant Garde" w:hAnsi="ITC Avant Garde" w:cs="Arial"/>
        </w:rPr>
        <w:t>hizo constar la notificación personal de las recurrentes del acuerdo de 17 del mismo mes y año.</w:t>
      </w:r>
    </w:p>
    <w:p w14:paraId="5678C8A7"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Con fecha 22 de febrero de 2012, las recurrentes exhibieron el billete de depósito para garantizar el pago de honorarios del perito tercero en discordia en materia de economía.</w:t>
      </w:r>
    </w:p>
    <w:p w14:paraId="61B09D1A"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 xml:space="preserve">Mediante acta circunstanciada de 24 de febrero de 2012, </w:t>
      </w:r>
      <w:r w:rsidR="000C387F" w:rsidRPr="00720E71">
        <w:rPr>
          <w:rFonts w:ascii="ITC Avant Garde" w:hAnsi="ITC Avant Garde" w:cs="Arial"/>
        </w:rPr>
        <w:t xml:space="preserve">se </w:t>
      </w:r>
      <w:r w:rsidRPr="00720E71">
        <w:rPr>
          <w:rFonts w:ascii="ITC Avant Garde" w:hAnsi="ITC Avant Garde" w:cs="Arial"/>
        </w:rPr>
        <w:t>hizo constar la notificación personal de las recurrentes del acuerdo de 22 del mismo mes y año.</w:t>
      </w:r>
    </w:p>
    <w:p w14:paraId="2868DB31"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 xml:space="preserve">Mediante acta circunstanciada de 27 de febrero de 2012, </w:t>
      </w:r>
      <w:r w:rsidR="000C387F" w:rsidRPr="00720E71">
        <w:rPr>
          <w:rFonts w:ascii="ITC Avant Garde" w:hAnsi="ITC Avant Garde" w:cs="Arial"/>
        </w:rPr>
        <w:t xml:space="preserve">se </w:t>
      </w:r>
      <w:r w:rsidRPr="00720E71">
        <w:rPr>
          <w:rFonts w:ascii="ITC Avant Garde" w:hAnsi="ITC Avant Garde" w:cs="Arial"/>
        </w:rPr>
        <w:t>hizo constar la notificación personal de Alestra del acuerdo de 22 del mismo mes y año.</w:t>
      </w:r>
    </w:p>
    <w:p w14:paraId="770C848B"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Por acuerdo de 27 de febrero de 2012, se tuvo a las recurrentes y a Alestra exhibiendo el billete de depósito para garantizar los honorarios del perito tercero en discordia, consecuentemente, se le concedió al perito un término de 10 días para que rindiera el dictamen pericial correspondiente.</w:t>
      </w:r>
    </w:p>
    <w:p w14:paraId="2E1A4DCF"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 xml:space="preserve">Mediante acta circunstanciada de 2 de marzo de 2012, </w:t>
      </w:r>
      <w:r w:rsidR="0072545A" w:rsidRPr="00720E71">
        <w:rPr>
          <w:rFonts w:ascii="ITC Avant Garde" w:hAnsi="ITC Avant Garde" w:cs="Arial"/>
        </w:rPr>
        <w:t xml:space="preserve">se </w:t>
      </w:r>
      <w:r w:rsidRPr="00720E71">
        <w:rPr>
          <w:rFonts w:ascii="ITC Avant Garde" w:hAnsi="ITC Avant Garde" w:cs="Arial"/>
        </w:rPr>
        <w:t>hizo constar la notificación personal de Alestra del acuerdo de 27 de febrero del mismo año.</w:t>
      </w:r>
    </w:p>
    <w:p w14:paraId="0DC2E75E"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 xml:space="preserve">Mediante acta circunstanciada de 9 de marzo de 2012, </w:t>
      </w:r>
      <w:r w:rsidR="0072545A" w:rsidRPr="00720E71">
        <w:rPr>
          <w:rFonts w:ascii="ITC Avant Garde" w:hAnsi="ITC Avant Garde" w:cs="Arial"/>
        </w:rPr>
        <w:t xml:space="preserve">se </w:t>
      </w:r>
      <w:r w:rsidRPr="00720E71">
        <w:rPr>
          <w:rFonts w:ascii="ITC Avant Garde" w:hAnsi="ITC Avant Garde" w:cs="Arial"/>
        </w:rPr>
        <w:t>hizo constar la notificación personal de las recurrentes y al perito tercero en discordia del acuerdo de 27 de febrero del mismo año.</w:t>
      </w:r>
    </w:p>
    <w:p w14:paraId="7B72F6D5"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Con fecha 21 de marzo de 2012, el Licenciado David García Montoya, perito tercero en discordia en materia de economía de las telecomunicaciones designado por el CNE, presentó su renuncia con carácter definitivo al cargo conferido argumentando razones de salud.</w:t>
      </w:r>
    </w:p>
    <w:p w14:paraId="7DB03A01"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Por acuerdo de 11 de abril de 2012, se solicitó de nueva cuenta por oficio al CNE designara perito oficial en materia de economía de las telecomunicaciones, para que actuara como perito tercero en discordia, a fin de desahogar la prueba pericial en el recurso de revisión.</w:t>
      </w:r>
    </w:p>
    <w:p w14:paraId="7457F200"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Mediante acta circunstanciada de 18 de abril de 2012, hizo constar la notificación personal de las recurrentes y de Alestra del acuerdo de 11 de abril del mismo año.</w:t>
      </w:r>
    </w:p>
    <w:p w14:paraId="31791F28"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Con fecha 18 de mayo de 2012, el Colegio Nacional de Economistas, promovió señalando como perito en materia de economía al Lic. Enrique Yáñez Feria.</w:t>
      </w:r>
    </w:p>
    <w:p w14:paraId="1FB57791"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Mediante comparecencia de 18 de mayo de 2012, Lic. Enrique Yáñez Feria aceptó y protestó el cargo conferido.</w:t>
      </w:r>
    </w:p>
    <w:p w14:paraId="3F6E1317"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 xml:space="preserve">Por acuerdo de 31 de mayo de 2012, se concedió a las partes el término de 3 días </w:t>
      </w:r>
      <w:r w:rsidR="00284AE8" w:rsidRPr="00720E71">
        <w:rPr>
          <w:rFonts w:ascii="ITC Avant Garde" w:hAnsi="ITC Avant Garde" w:cs="Arial"/>
        </w:rPr>
        <w:t xml:space="preserve">para que </w:t>
      </w:r>
      <w:r w:rsidRPr="00720E71">
        <w:rPr>
          <w:rFonts w:ascii="ITC Avant Garde" w:hAnsi="ITC Avant Garde" w:cs="Arial"/>
        </w:rPr>
        <w:t>manifestaran lo que a su derecho conviniera con la designación del Licenciado Enrique Yáñez Feria como perito tercero en discordia.</w:t>
      </w:r>
    </w:p>
    <w:p w14:paraId="1BCCBF0B"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lastRenderedPageBreak/>
        <w:t>Mediante comparecencia de 12 de junio de 2012, por parte del autorizado de Alestra, se le notificó personalmente el acuerdo de 31 de mayo del mismo año.</w:t>
      </w:r>
    </w:p>
    <w:p w14:paraId="0F9DB0A1"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Previo citatorio de fecha 12 de junio de 2012, mediante instructivo de notificación de fecha 13 del mismo mes y año, se notificó personalmente a las recurrentes, el acuerdo de 31 de mayo del mismo año.</w:t>
      </w:r>
    </w:p>
    <w:p w14:paraId="6FABC97B"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Previo citatorio de fecha 14 de junio de 2012, mediante instructivo de notificación de fecha 15 del mismo mes y año, se notificó personalmente al Licenciado Enrique Yáñez Feria el acuerdo de 31 de mayo del mismo año.</w:t>
      </w:r>
    </w:p>
    <w:p w14:paraId="181C9E40"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Por auto de 9 de octubre de 2012, emitido por la Comisión Federal de Telecomunicaciones, dicha autoridad se declaró competente para resolver el recurso de revisión interpuesto por las recurrentes y por lo tanto se ordenó turnar el expediente administrativo al área correspondiente para la elaboración del proyecto de resolución respectivo.</w:t>
      </w:r>
    </w:p>
    <w:p w14:paraId="3286BF4E"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Mediante comparecencia de 16 de octubre de 2012, los autorizados por las recurrentes y por Alestra, comparecieron a darse por notificados del acuerdo de 9 del mismo mes y año.</w:t>
      </w:r>
    </w:p>
    <w:p w14:paraId="3BB3B246"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Por acuerdo de 11 de octubre de 2012, se le concedió al perito tercero en discordia un plazo de 10 días para que emitiera su dictamen pericial.</w:t>
      </w:r>
    </w:p>
    <w:p w14:paraId="4377F4AB"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Mediante acta circunstanciada de 16 de octubre de 2012, hizo constar la notificación personal de las recurrentes del acuerdo de 11 del mismo mes y año.</w:t>
      </w:r>
    </w:p>
    <w:p w14:paraId="41604474"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Mediante acta circunstanciada de 18 de octubre de 2012, hizo constar la notificación personal del perito tercero en discordia del acuerdo de 11 del mismo mes y año.</w:t>
      </w:r>
    </w:p>
    <w:p w14:paraId="1679ADAF"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Con fecha 31 de octubre de 2012, el Licenciado Enrique Yáñez Feria, perito tercero en discordia en materia de economía, solicitó una prórroga de 10 días para concluir el desahogo de las periciales en economía de las telecomunicaciones.</w:t>
      </w:r>
    </w:p>
    <w:p w14:paraId="4DF5E322"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Por auto de 5 de noviembre de 2012, se ordenó ampliar por un plazo de 5 días hábiles más el término concedido al perito tercero en discordia para que emitiera su dictamen.</w:t>
      </w:r>
    </w:p>
    <w:p w14:paraId="37F739C8"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Previo citatorio de fecha 8 de noviembre de 2012, mediante instructivo de notificación de fecha 9 del mismo mes y año, se notificó personalmente al perito tercero en discordia, el acuerdo de 5 del mismo mes y año.</w:t>
      </w:r>
    </w:p>
    <w:p w14:paraId="50EB71BE"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Con fecha 16 de noviembre de 2012, el licenciado Enrique Yáñez Feria, perito tercero en discordia designado por el CNE, rindió su dictamen pericial.</w:t>
      </w:r>
    </w:p>
    <w:p w14:paraId="4418C4CE"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Mediante acta circunstanciada de 26 de noviembre de 2012, se hizo constar la comparecencia del licenciado Enrique Yáñez Feria, perito tercero en discordia en materia de economía de las telecomunicaciones, ratificando el dictamen pericial rendido.</w:t>
      </w:r>
    </w:p>
    <w:p w14:paraId="726A86EF"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lastRenderedPageBreak/>
        <w:t>Por acuerdo de 2 de mayo de 2013, se dio cuenta con el dictamen pericial rendido por licenciado Enrique Yáñez Feria, perito tercero en economía, nombrado por el Colegio Nacional de Economistas, A.C., el cual se tuvo por rendido en tiempo y forma.</w:t>
      </w:r>
    </w:p>
    <w:p w14:paraId="2B5BEF97"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Previo citatorio de fecha 7 de mayo de 2013, mediante instructivo de notificación de fecha 8 del mismo mes y año, se notificó personalmente a Alestra, el acuerdo de 2 del mismo mes y año.</w:t>
      </w:r>
    </w:p>
    <w:p w14:paraId="74A64FE8"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Previo citatorio de fecha 9 de mayo de 2013, mediante instructivo de notificación de fecha 10 del mismo mes y año, se notificó personalmente a las recurrentes, el acuerdo de 2 del mismo mes y año.</w:t>
      </w:r>
    </w:p>
    <w:p w14:paraId="5F03552A"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Con fecha 15 de mayo de 2013, la recurrente realizaron diversas manifestaciones con relación al dictamen pericial emitido por el perito tercero en discordia en materia de economía de las telecomunicaciones.</w:t>
      </w:r>
    </w:p>
    <w:p w14:paraId="44320F9F" w14:textId="77777777" w:rsidR="00720E71" w:rsidRPr="00720E71" w:rsidRDefault="009B5B65" w:rsidP="009B5B65">
      <w:pPr>
        <w:numPr>
          <w:ilvl w:val="0"/>
          <w:numId w:val="1"/>
        </w:numPr>
        <w:spacing w:after="0"/>
        <w:contextualSpacing/>
        <w:jc w:val="both"/>
        <w:rPr>
          <w:rFonts w:ascii="ITC Avant Garde" w:hAnsi="ITC Avant Garde" w:cs="Arial"/>
        </w:rPr>
      </w:pPr>
      <w:r w:rsidRPr="00720E71">
        <w:rPr>
          <w:rFonts w:ascii="ITC Avant Garde" w:hAnsi="ITC Avant Garde" w:cs="Arial"/>
        </w:rPr>
        <w:t>Mediante oficio IFT/D03/USI/941/2013 de fecha 19 de diciembre de 2013, la Unidad de Servicios a la Industria del Instituto Federal de Telecomunicaciones (en lo sucesivo, el “Instituto”) autorizó a Baja Celular Mexicana, S.A. de C.V., Celular de Telefonía, S.A. de C.V., Telefonía Celular del Norte, S.A. de C.V. y Pegaso Comunicaciones y Sistemas, S.A. de C.V., ceder los derechos y obligaciones de las concesiones de las que eran titulares, a favor de la empresa Pegaso PCS, S.A. de C.V. (en lo sucesivo, "Pegaso PCS”), adquiriendo esta última el carácter de concesionario.</w:t>
      </w:r>
    </w:p>
    <w:p w14:paraId="3E2CD159" w14:textId="77777777" w:rsidR="00720E71" w:rsidRPr="00720E71" w:rsidRDefault="009B5B65" w:rsidP="00490656">
      <w:pPr>
        <w:spacing w:after="0"/>
        <w:ind w:left="720"/>
        <w:contextualSpacing/>
        <w:jc w:val="both"/>
        <w:rPr>
          <w:rFonts w:ascii="ITC Avant Garde" w:hAnsi="ITC Avant Garde" w:cs="Arial"/>
        </w:rPr>
      </w:pPr>
      <w:r w:rsidRPr="00720E71">
        <w:rPr>
          <w:rFonts w:ascii="ITC Avant Garde" w:hAnsi="ITC Avant Garde" w:cs="Arial"/>
        </w:rPr>
        <w:t>Asimismo, en dicho oficio se resolvió que Pegaso PCS adquirió el carácter de concesionario derivado de las cesiones de derechos en comento, por lo que se dejaron sin efectos las autorizaciones emitidas por la Secretaría a dicha empresa, para prestar servicios de telecomunicaciones en su calidad de filial, afiliada o subsidiaria.</w:t>
      </w:r>
    </w:p>
    <w:p w14:paraId="49718A34" w14:textId="1DBEDCE4" w:rsidR="00720E71" w:rsidRPr="00720E71" w:rsidRDefault="004E3A91" w:rsidP="009B5B65">
      <w:pPr>
        <w:numPr>
          <w:ilvl w:val="0"/>
          <w:numId w:val="1"/>
        </w:numPr>
        <w:spacing w:after="0"/>
        <w:contextualSpacing/>
        <w:jc w:val="both"/>
        <w:rPr>
          <w:rFonts w:ascii="ITC Avant Garde" w:hAnsi="ITC Avant Garde" w:cs="Arial"/>
        </w:rPr>
      </w:pPr>
      <w:r w:rsidRPr="00720E71">
        <w:rPr>
          <w:rFonts w:ascii="ITC Avant Garde" w:hAnsi="ITC Avant Garde" w:cs="Arial"/>
        </w:rPr>
        <w:t>El día 27 de octubre de 2016, fue suscrito el Convenio Modificatorio celebrado entre Alestra, S. de R.L. de C.V. y Pegaso PCS, S.A.  de C.V., relativo a las condiciones de interconexión de las redes de servicio local fijo y de larga distancia de Alestra y Local Móvil de Pegaso, el cual fue presentado ante el Instituto Federal de Telecomunicaciones el día 14 de diciembre de 2016, mediante escrito suscrito por los representantes legales de Alestra, S. de R.L. de C.V. y de Pegaso PCS, S.A. de C.V.</w:t>
      </w:r>
    </w:p>
    <w:p w14:paraId="746F6C75" w14:textId="77777777" w:rsidR="00720E71" w:rsidRPr="00720E71" w:rsidRDefault="004E3A91" w:rsidP="00C83B1C">
      <w:pPr>
        <w:numPr>
          <w:ilvl w:val="0"/>
          <w:numId w:val="1"/>
        </w:numPr>
        <w:spacing w:after="0"/>
        <w:contextualSpacing/>
        <w:jc w:val="both"/>
        <w:rPr>
          <w:rFonts w:ascii="ITC Avant Garde" w:hAnsi="ITC Avant Garde" w:cs="Arial"/>
        </w:rPr>
      </w:pPr>
      <w:r w:rsidRPr="00720E71">
        <w:rPr>
          <w:rFonts w:ascii="ITC Avant Garde" w:hAnsi="ITC Avant Garde" w:cs="Arial"/>
        </w:rPr>
        <w:t>Mediante oficio número IFT/221/UPR/DG-RIRST/039/2017, de fecha 1 de febrero de 2017, el Director General de Regulación de Interconexión y Reventa de Servicios de Telecomunicaciones del Instituto Federal de Telecomunicaciones, remitió el escrito y Convenio a que se refiere el numeral anterior a la Unidad de Asuntos Jurídicos de dicho Instituto, a fin de que dichos documentos sean tomados en consideración al emitir la resolución al presente Recurso de Revisión.</w:t>
      </w:r>
    </w:p>
    <w:p w14:paraId="2C67DBD7" w14:textId="77777777" w:rsidR="00720E71" w:rsidRPr="00720E71" w:rsidRDefault="004E3A91" w:rsidP="00720E71">
      <w:pPr>
        <w:pStyle w:val="Ttulo2"/>
        <w:keepLines/>
        <w:numPr>
          <w:ilvl w:val="1"/>
          <w:numId w:val="0"/>
        </w:numPr>
        <w:spacing w:before="40" w:after="240" w:line="276" w:lineRule="auto"/>
        <w:rPr>
          <w:rFonts w:ascii="ITC Avant Garde" w:eastAsiaTheme="majorEastAsia" w:hAnsi="ITC Avant Garde" w:cstheme="majorBidi"/>
          <w:color w:val="000000" w:themeColor="text1"/>
          <w:sz w:val="22"/>
          <w:szCs w:val="22"/>
          <w:lang w:eastAsia="en-US"/>
        </w:rPr>
      </w:pPr>
      <w:r w:rsidRPr="00720E71">
        <w:rPr>
          <w:rFonts w:ascii="ITC Avant Garde" w:eastAsiaTheme="majorEastAsia" w:hAnsi="ITC Avant Garde" w:cstheme="majorBidi"/>
          <w:color w:val="000000" w:themeColor="text1"/>
          <w:sz w:val="22"/>
          <w:szCs w:val="22"/>
          <w:lang w:eastAsia="en-US"/>
        </w:rPr>
        <w:lastRenderedPageBreak/>
        <w:t>CONSIDERANDO</w:t>
      </w:r>
    </w:p>
    <w:p w14:paraId="2B9949F5" w14:textId="586817DA" w:rsidR="00720E71" w:rsidRPr="00720E71" w:rsidRDefault="004E3A91" w:rsidP="00C83B1C">
      <w:pPr>
        <w:adjustRightInd w:val="0"/>
        <w:spacing w:after="0"/>
        <w:jc w:val="both"/>
        <w:rPr>
          <w:rFonts w:ascii="ITC Avant Garde" w:eastAsia="Times New Roman" w:hAnsi="ITC Avant Garde" w:cs="Arial"/>
          <w:bCs/>
          <w:color w:val="000000"/>
          <w:lang w:eastAsia="es-ES"/>
        </w:rPr>
      </w:pPr>
      <w:r w:rsidRPr="00720E71">
        <w:rPr>
          <w:rFonts w:ascii="ITC Avant Garde" w:eastAsia="Times New Roman" w:hAnsi="ITC Avant Garde" w:cs="Arial"/>
          <w:b/>
          <w:bCs/>
          <w:lang w:eastAsia="es-ES"/>
        </w:rPr>
        <w:t xml:space="preserve">PRIMERO.- </w:t>
      </w:r>
      <w:r w:rsidRPr="00720E71">
        <w:rPr>
          <w:rFonts w:ascii="ITC Avant Garde" w:eastAsia="Times New Roman" w:hAnsi="ITC Avant Garde" w:cs="Arial"/>
          <w:bCs/>
          <w:lang w:eastAsia="es-ES"/>
        </w:rPr>
        <w:t xml:space="preserve">El 11 de junio de 2013, se publicó en el Diario Oficial de la Federación (en lo sucesivo, el “DOF”), el “Decreto por el que se reforman y adicionan diversas disposiciones de los artículos 6o., 7o., 27, 28, 73, 78, 94 y 105 de la Constitución Política de los Estados Unidos Mexicanos, en materia de telecomunicaciones” (en lo sucesivo, “Decreto”), mediante el cual se creó </w:t>
      </w:r>
      <w:r w:rsidRPr="00720E71">
        <w:rPr>
          <w:rFonts w:ascii="ITC Avant Garde" w:eastAsia="Times New Roman" w:hAnsi="ITC Avant Garde" w:cs="Arial"/>
          <w:bCs/>
          <w:color w:val="000000"/>
          <w:lang w:eastAsia="es-ES"/>
        </w:rPr>
        <w:t>al Instituto, como un órgano autónomo con personalidad jurídica y patrimonio propio, cuyo objeto es el desarrollo eficiente de la radiodifusión y las telecomunicaciones conforme a lo dispuesto en la propia Constitución Política de los Estados Unidos Mexicanos (en lo sucesivo, la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14:paraId="1819EF11" w14:textId="77777777" w:rsidR="00720E71" w:rsidRPr="00720E71" w:rsidRDefault="004E3A91" w:rsidP="00C83B1C">
      <w:pPr>
        <w:spacing w:after="0"/>
        <w:jc w:val="both"/>
        <w:rPr>
          <w:rFonts w:ascii="ITC Avant Garde" w:hAnsi="ITC Avant Garde" w:cs="Arial"/>
        </w:rPr>
      </w:pPr>
      <w:r w:rsidRPr="00720E71">
        <w:rPr>
          <w:rFonts w:ascii="ITC Avant Garde" w:hAnsi="ITC Avant Garde" w:cs="Arial"/>
        </w:rPr>
        <w:t>Conforme al SÉPTIMO Transitorio del Decreto, los procedimientos iniciados con anterioridad a la integración del Instituto, continuarán su trámite ante éste órgano en términos de la legislación aplicable al momento de su inicio, siendo el Instituto causahabiente de la hoy extinta Comisión.</w:t>
      </w:r>
    </w:p>
    <w:p w14:paraId="1DBF53B2" w14:textId="2769922F" w:rsidR="00720E71" w:rsidRPr="00720E71" w:rsidRDefault="004E3A91" w:rsidP="00C83B1C">
      <w:pPr>
        <w:adjustRightInd w:val="0"/>
        <w:spacing w:after="0"/>
        <w:jc w:val="both"/>
        <w:rPr>
          <w:rFonts w:ascii="ITC Avant Garde" w:eastAsia="Times New Roman" w:hAnsi="ITC Avant Garde" w:cs="Arial"/>
          <w:bCs/>
          <w:color w:val="000000"/>
          <w:lang w:eastAsia="es-ES"/>
        </w:rPr>
      </w:pPr>
      <w:r w:rsidRPr="00720E71">
        <w:rPr>
          <w:rFonts w:ascii="ITC Avant Garde" w:eastAsia="Times New Roman" w:hAnsi="ITC Avant Garde" w:cs="Arial"/>
          <w:b/>
          <w:bCs/>
          <w:color w:val="000000"/>
          <w:lang w:eastAsia="es-ES"/>
        </w:rPr>
        <w:t xml:space="preserve">SEGUNDO.- </w:t>
      </w:r>
      <w:r w:rsidRPr="00720E71">
        <w:rPr>
          <w:rFonts w:ascii="ITC Avant Garde" w:eastAsia="Times New Roman" w:hAnsi="ITC Avant Garde" w:cs="Arial"/>
          <w:bCs/>
          <w:color w:val="000000"/>
          <w:lang w:eastAsia="es-ES"/>
        </w:rPr>
        <w:t>El órgano de gobierno del Instituto se integra por siete Comisionados, incluyendo al Comisionado Presidente, designados en forma escalonada a propuesta del Ejecutivo Federal con la ratificación del Senado de la República, de conformidad con el artículo 28 párrafo vigésimo primero de la Constitución.</w:t>
      </w:r>
    </w:p>
    <w:p w14:paraId="16B6B862" w14:textId="77777777" w:rsidR="00720E71" w:rsidRPr="00720E71" w:rsidRDefault="004E3A91" w:rsidP="00C83B1C">
      <w:pPr>
        <w:adjustRightInd w:val="0"/>
        <w:spacing w:after="0"/>
        <w:jc w:val="both"/>
        <w:rPr>
          <w:rFonts w:ascii="ITC Avant Garde" w:eastAsia="Times New Roman" w:hAnsi="ITC Avant Garde" w:cs="Arial"/>
          <w:bCs/>
          <w:color w:val="000000"/>
          <w:lang w:eastAsia="es-ES"/>
        </w:rPr>
      </w:pPr>
      <w:r w:rsidRPr="00720E71">
        <w:rPr>
          <w:rFonts w:ascii="ITC Avant Garde" w:eastAsia="Times New Roman" w:hAnsi="ITC Avant Garde" w:cs="Arial"/>
          <w:bCs/>
          <w:color w:val="000000"/>
          <w:lang w:eastAsia="es-ES"/>
        </w:rPr>
        <w:t>A este respecto, el 10 de septiembre de 2013, quedó integrado el Instituto en términos de lo dispuesto por el artículo Sexto Transitorio del Decreto, mediante la ratificación por parte del Senado de la República de los nombramientos de los Comisionados que integran su órgano de gobierno y la designación de su Presidente.</w:t>
      </w:r>
    </w:p>
    <w:p w14:paraId="3B4046AD" w14:textId="35F5186C" w:rsidR="00720E71" w:rsidRPr="00720E71" w:rsidRDefault="004E3A91" w:rsidP="00C83B1C">
      <w:pPr>
        <w:spacing w:after="0"/>
        <w:jc w:val="both"/>
        <w:rPr>
          <w:rFonts w:ascii="ITC Avant Garde" w:eastAsia="Calibri" w:hAnsi="ITC Avant Garde" w:cs="Arial"/>
        </w:rPr>
      </w:pPr>
      <w:r w:rsidRPr="00720E71">
        <w:rPr>
          <w:rFonts w:ascii="ITC Avant Garde" w:eastAsia="Times New Roman" w:hAnsi="ITC Avant Garde" w:cs="Arial"/>
          <w:b/>
          <w:bCs/>
          <w:color w:val="000000"/>
          <w:lang w:eastAsia="es-ES"/>
        </w:rPr>
        <w:t xml:space="preserve">TERCERO.- </w:t>
      </w:r>
      <w:r w:rsidRPr="00720E71">
        <w:rPr>
          <w:rFonts w:ascii="ITC Avant Garde" w:eastAsia="Calibri" w:hAnsi="ITC Avant Garde" w:cs="Arial"/>
        </w:rPr>
        <w:t xml:space="preserve">De conformidad con el artículo 28 de la Constitución, el Instituto es un órgano autónomo, con personalidad jurídica y patrimonio propio, que tiene por objeto el desarrollo eficiente de la radiodifusión y las telecomunicaciones, conforme a lo dispuesto en la propia Constitución y en los términos que fijen las leyes. </w:t>
      </w:r>
    </w:p>
    <w:p w14:paraId="6E9D8066" w14:textId="77777777" w:rsidR="00720E71" w:rsidRPr="00720E71" w:rsidRDefault="004E3A91" w:rsidP="00C83B1C">
      <w:pPr>
        <w:spacing w:after="0"/>
        <w:jc w:val="both"/>
        <w:rPr>
          <w:rFonts w:ascii="ITC Avant Garde" w:eastAsia="Calibri" w:hAnsi="ITC Avant Garde" w:cs="Arial"/>
        </w:rPr>
      </w:pPr>
      <w:r w:rsidRPr="00720E71">
        <w:rPr>
          <w:rFonts w:ascii="ITC Avant Garde" w:eastAsia="Calibri" w:hAnsi="ITC Avant Garde" w:cs="Arial"/>
        </w:rPr>
        <w:t>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14:paraId="44BF245E" w14:textId="77777777" w:rsidR="00720E71" w:rsidRPr="00720E71" w:rsidRDefault="004E3A91" w:rsidP="00C83B1C">
      <w:pPr>
        <w:spacing w:after="0"/>
        <w:jc w:val="both"/>
        <w:rPr>
          <w:rFonts w:ascii="ITC Avant Garde" w:eastAsia="Times New Roman" w:hAnsi="ITC Avant Garde" w:cs="Arial"/>
          <w:bCs/>
          <w:color w:val="000000"/>
          <w:lang w:eastAsia="es-ES"/>
        </w:rPr>
      </w:pPr>
      <w:r w:rsidRPr="00720E71">
        <w:rPr>
          <w:rFonts w:ascii="ITC Avant Garde" w:eastAsia="Calibri" w:hAnsi="ITC Avant Garde" w:cs="Arial"/>
        </w:rPr>
        <w:t xml:space="preserve">En este sentido, el Instituto será independiente en sus decisiones y funcionamiento, profesional en su desempeño e imparcial en sus actuaciones, dictará sus resoluciones con plena independencia; las leyes garantizarán, dentro del Instituto, la separación entre la autoridad que conoce de la etapa de investigación y la que resuelve en los </w:t>
      </w:r>
      <w:r w:rsidRPr="00720E71">
        <w:rPr>
          <w:rFonts w:ascii="ITC Avant Garde" w:eastAsia="Calibri" w:hAnsi="ITC Avant Garde" w:cs="Arial"/>
        </w:rPr>
        <w:lastRenderedPageBreak/>
        <w:t>procedimientos que se sustancien en forma de juicio; los órganos de gobierno deliberarán en forma colegiada y decidirán los asuntos por mayoría de votos; sus sesiones, acuerdos y resoluciones serán de carácter público con las excepciones que determine la ley.</w:t>
      </w:r>
    </w:p>
    <w:p w14:paraId="65BB427D" w14:textId="77777777" w:rsidR="00720E71" w:rsidRPr="00720E71" w:rsidRDefault="004E3A91" w:rsidP="00C83B1C">
      <w:pPr>
        <w:adjustRightInd w:val="0"/>
        <w:spacing w:after="0"/>
        <w:jc w:val="both"/>
        <w:rPr>
          <w:rFonts w:ascii="ITC Avant Garde" w:eastAsia="Times New Roman" w:hAnsi="ITC Avant Garde" w:cs="Arial"/>
          <w:color w:val="000000"/>
          <w:lang w:eastAsia="es-ES"/>
        </w:rPr>
      </w:pPr>
      <w:r w:rsidRPr="00720E71">
        <w:rPr>
          <w:rFonts w:ascii="ITC Avant Garde" w:eastAsia="Times New Roman" w:hAnsi="ITC Avant Garde" w:cs="Arial"/>
          <w:bCs/>
          <w:color w:val="000000"/>
          <w:lang w:eastAsia="es-ES"/>
        </w:rPr>
        <w:t>E</w:t>
      </w:r>
      <w:r w:rsidRPr="00720E71">
        <w:rPr>
          <w:rFonts w:ascii="ITC Avant Garde" w:eastAsia="Times New Roman" w:hAnsi="ITC Avant Garde" w:cs="Arial"/>
          <w:color w:val="000000"/>
          <w:lang w:eastAsia="es-ES"/>
        </w:rPr>
        <w:t>l Pleno del Instituto mediante Acuerdo adoptado en su I Sesión, celebrada el 20 de septiembre de 2013, aprobó el “Estatuto Orgánico del Instituto Federal de Telecomunicaciones”, mismo que fue publicado en el DOF el 23 de septiembre de 2013, el cual persigue como fin, entre otras cosas, dotar a las Unidades Administrativas de facultades suficientes para conocer de los asuntos competencia del Instituto, a efecto de ejercer las facultades constitucionales y legales que le permitan sustanciar los procedimientos a cargo de éste.</w:t>
      </w:r>
    </w:p>
    <w:p w14:paraId="04994E7A" w14:textId="77777777" w:rsidR="00720E71" w:rsidRPr="00720E71" w:rsidRDefault="004E3A91" w:rsidP="00C83B1C">
      <w:pPr>
        <w:adjustRightInd w:val="0"/>
        <w:spacing w:after="0"/>
        <w:jc w:val="both"/>
        <w:rPr>
          <w:rFonts w:ascii="ITC Avant Garde" w:hAnsi="ITC Avant Garde" w:cs="Arial"/>
        </w:rPr>
      </w:pPr>
      <w:r w:rsidRPr="00720E71">
        <w:rPr>
          <w:rFonts w:ascii="ITC Avant Garde" w:eastAsia="Times New Roman" w:hAnsi="ITC Avant Garde" w:cs="Arial"/>
          <w:color w:val="000000"/>
          <w:lang w:eastAsia="es-ES"/>
        </w:rPr>
        <w:t xml:space="preserve">El 14 de julio de 2014 se publicó en el DOF la Ley Federal de Telecomunicaciones y Radiodifusión, en cuyo artículo 15, fracción X estableció como facultad indelegable del Pleno del </w:t>
      </w:r>
      <w:proofErr w:type="spellStart"/>
      <w:r w:rsidRPr="00720E71">
        <w:rPr>
          <w:rFonts w:ascii="ITC Avant Garde" w:eastAsia="Times New Roman" w:hAnsi="ITC Avant Garde" w:cs="Arial"/>
          <w:color w:val="000000"/>
          <w:lang w:eastAsia="es-ES"/>
        </w:rPr>
        <w:t>Instituto:“</w:t>
      </w:r>
      <w:r w:rsidRPr="00720E71">
        <w:rPr>
          <w:rFonts w:ascii="ITC Avant Garde" w:hAnsi="ITC Avant Garde" w:cs="Arial"/>
        </w:rPr>
        <w:t>Resolver</w:t>
      </w:r>
      <w:proofErr w:type="spellEnd"/>
      <w:r w:rsidRPr="00720E71">
        <w:rPr>
          <w:rFonts w:ascii="ITC Avant Garde" w:hAnsi="ITC Avant Garde" w:cs="Arial"/>
        </w:rPr>
        <w:t xml:space="preserve"> y establecer los términos y condiciones de interconexión que no hayan podido convenir los concesionarios respecto de sus redes públicas de telecomunicaciones conforme a lo previsto en la presente Ley”.</w:t>
      </w:r>
    </w:p>
    <w:p w14:paraId="0A949CF1" w14:textId="77777777" w:rsidR="00720E71" w:rsidRPr="00720E71" w:rsidRDefault="004E3A91" w:rsidP="00C83B1C">
      <w:pPr>
        <w:spacing w:after="0"/>
        <w:jc w:val="both"/>
        <w:rPr>
          <w:rFonts w:ascii="ITC Avant Garde" w:hAnsi="ITC Avant Garde" w:cs="Arial"/>
        </w:rPr>
      </w:pPr>
      <w:r w:rsidRPr="00720E71">
        <w:rPr>
          <w:rFonts w:ascii="ITC Avant Garde" w:eastAsia="Times New Roman" w:hAnsi="ITC Avant Garde" w:cs="Arial"/>
          <w:color w:val="000000"/>
          <w:lang w:eastAsia="es-ES"/>
        </w:rPr>
        <w:t xml:space="preserve">Asimismo, el Pleno del Instituto mediante </w:t>
      </w:r>
      <w:r w:rsidRPr="00720E71">
        <w:rPr>
          <w:rFonts w:ascii="ITC Avant Garde" w:hAnsi="ITC Avant Garde" w:cs="Arial"/>
        </w:rPr>
        <w:t xml:space="preserve">Acuerdo P/IFT/EXT/270814/209 adoptado en su XXII Sesión Extraordinaria celebrada el 27 de agosto de 2014 aprobó el </w:t>
      </w:r>
      <w:r w:rsidRPr="00720E71">
        <w:rPr>
          <w:rFonts w:ascii="ITC Avant Garde" w:eastAsia="Times New Roman" w:hAnsi="ITC Avant Garde" w:cs="Arial"/>
          <w:color w:val="000000"/>
          <w:lang w:eastAsia="es-ES"/>
        </w:rPr>
        <w:t>“Estatuto Orgánico del Instituto Federal de Telecomunicaciones”, mismo que fue publicado en el DOF el 4 de septiembre de 2014 (en lo sucesivo el “Estatuto”), por el cual quedó abrogado el Estatuto Orgánico referido en párrafo</w:t>
      </w:r>
      <w:r w:rsidR="007D462F" w:rsidRPr="00720E71">
        <w:rPr>
          <w:rFonts w:ascii="ITC Avant Garde" w:eastAsia="Times New Roman" w:hAnsi="ITC Avant Garde" w:cs="Arial"/>
          <w:color w:val="000000"/>
          <w:lang w:eastAsia="es-ES"/>
        </w:rPr>
        <w:t>s</w:t>
      </w:r>
      <w:r w:rsidRPr="00720E71">
        <w:rPr>
          <w:rFonts w:ascii="ITC Avant Garde" w:eastAsia="Times New Roman" w:hAnsi="ITC Avant Garde" w:cs="Arial"/>
          <w:color w:val="000000"/>
          <w:lang w:eastAsia="es-ES"/>
        </w:rPr>
        <w:t xml:space="preserve"> precedente</w:t>
      </w:r>
      <w:r w:rsidR="007D462F" w:rsidRPr="00720E71">
        <w:rPr>
          <w:rFonts w:ascii="ITC Avant Garde" w:eastAsia="Times New Roman" w:hAnsi="ITC Avant Garde" w:cs="Arial"/>
          <w:color w:val="000000"/>
          <w:lang w:eastAsia="es-ES"/>
        </w:rPr>
        <w:t>s</w:t>
      </w:r>
      <w:r w:rsidRPr="00720E71">
        <w:rPr>
          <w:rFonts w:ascii="ITC Avant Garde" w:eastAsia="Times New Roman" w:hAnsi="ITC Avant Garde" w:cs="Arial"/>
          <w:color w:val="000000"/>
          <w:lang w:eastAsia="es-ES"/>
        </w:rPr>
        <w:t xml:space="preserve">. El Estatuto fue reformado mediante acuerdo publicado en el DOF el 17 de octubre de 2014. </w:t>
      </w:r>
    </w:p>
    <w:p w14:paraId="0566B34C" w14:textId="08644AC2" w:rsidR="004E3A91" w:rsidRPr="00720E71" w:rsidRDefault="004E3A91" w:rsidP="00C83B1C">
      <w:pPr>
        <w:adjustRightInd w:val="0"/>
        <w:spacing w:after="0"/>
        <w:jc w:val="both"/>
        <w:rPr>
          <w:rFonts w:ascii="ITC Avant Garde" w:eastAsia="Times New Roman" w:hAnsi="ITC Avant Garde" w:cs="Arial"/>
          <w:color w:val="000000"/>
          <w:lang w:eastAsia="es-ES"/>
        </w:rPr>
      </w:pPr>
      <w:r w:rsidRPr="00720E71">
        <w:rPr>
          <w:rFonts w:ascii="ITC Avant Garde" w:eastAsia="Times New Roman" w:hAnsi="ITC Avant Garde" w:cs="Arial"/>
          <w:color w:val="000000"/>
          <w:lang w:eastAsia="es-ES"/>
        </w:rPr>
        <w:t>De conformidad con el artículo 2, fracción X del Estatuto, el Pleno es el órgano máximo de gobierno y decisión del Instituto integrado por siete Comisionados con voz y voto, incluido su Presidente.</w:t>
      </w:r>
    </w:p>
    <w:p w14:paraId="4FF91578" w14:textId="77777777" w:rsidR="004E3A91" w:rsidRPr="00720E71" w:rsidRDefault="004E3A91" w:rsidP="00C83B1C">
      <w:pPr>
        <w:adjustRightInd w:val="0"/>
        <w:spacing w:after="0"/>
        <w:jc w:val="both"/>
        <w:rPr>
          <w:rFonts w:ascii="ITC Avant Garde" w:eastAsia="Times New Roman" w:hAnsi="ITC Avant Garde" w:cs="Arial"/>
          <w:color w:val="000000"/>
          <w:highlight w:val="yellow"/>
          <w:lang w:eastAsia="es-ES"/>
        </w:rPr>
      </w:pPr>
      <w:r w:rsidRPr="00720E71">
        <w:rPr>
          <w:rFonts w:ascii="ITC Avant Garde" w:eastAsia="Times New Roman" w:hAnsi="ITC Avant Garde" w:cs="Arial"/>
          <w:color w:val="000000"/>
          <w:lang w:eastAsia="es-ES"/>
        </w:rPr>
        <w:t xml:space="preserve"> </w:t>
      </w:r>
    </w:p>
    <w:p w14:paraId="2528C187" w14:textId="77777777" w:rsidR="00720E71" w:rsidRPr="00720E71" w:rsidRDefault="004E3A91" w:rsidP="00C83B1C">
      <w:pPr>
        <w:spacing w:after="0"/>
        <w:jc w:val="both"/>
        <w:rPr>
          <w:rFonts w:ascii="ITC Avant Garde" w:eastAsia="Times New Roman" w:hAnsi="ITC Avant Garde" w:cs="Arial"/>
          <w:lang w:val="es-ES" w:eastAsia="es-ES"/>
        </w:rPr>
      </w:pPr>
      <w:r w:rsidRPr="00720E71">
        <w:rPr>
          <w:rFonts w:ascii="ITC Avant Garde" w:hAnsi="ITC Avant Garde" w:cs="Arial"/>
        </w:rPr>
        <w:t>Los artículos 83 y 86 de la Ley Federal de Procedimiento Administrativo disponen que los interesados afectados por los actos y resoluciones de las autoridades administrativas que pongan fin a un procedimiento, a una instancia o resuelvan un expediente, podrán interponer recurso de revisión ante la autoridad que emitió el acto impugnado, el que será resuelto por el superior jerárquico</w:t>
      </w:r>
      <w:r w:rsidRPr="00720E71">
        <w:rPr>
          <w:rFonts w:ascii="ITC Avant Garde" w:eastAsia="Times New Roman" w:hAnsi="ITC Avant Garde" w:cs="Arial"/>
          <w:lang w:val="es-ES" w:eastAsia="es-ES"/>
        </w:rPr>
        <w:t xml:space="preserve">, salvo que el acto impugnado provenga del titular de una dependencia, en cuyo caso será resuelto por el mismo. </w:t>
      </w:r>
    </w:p>
    <w:p w14:paraId="1D6904AA" w14:textId="77777777" w:rsidR="00720E71" w:rsidRPr="00720E71" w:rsidRDefault="004E3A91" w:rsidP="00C83B1C">
      <w:pPr>
        <w:adjustRightInd w:val="0"/>
        <w:spacing w:after="0"/>
        <w:jc w:val="both"/>
        <w:rPr>
          <w:rFonts w:ascii="ITC Avant Garde" w:eastAsia="Times New Roman" w:hAnsi="ITC Avant Garde" w:cs="Arial"/>
          <w:color w:val="000000"/>
          <w:lang w:eastAsia="es-ES"/>
        </w:rPr>
      </w:pPr>
      <w:r w:rsidRPr="00720E71">
        <w:rPr>
          <w:rFonts w:ascii="ITC Avant Garde" w:eastAsia="Times New Roman" w:hAnsi="ITC Avant Garde" w:cs="Arial"/>
          <w:color w:val="000000"/>
          <w:lang w:eastAsia="es-ES"/>
        </w:rPr>
        <w:t xml:space="preserve">Derivado de que el Pleno del Instituto es el órgano facultado para resolver los desacuerdos en materia de interconexión conforme al artículo 15, fracción X de la Ley Federal de Telecomunicaciones y Radiodifusión, y que en el caso la resolución recurrida corresponde a la decisión de un desacuerdo de esa índole, emitida en su momento por el Pleno de la entonces Comisión, y siendo el Pleno del Instituto el órgano máximo de decisión dentro del Instituto, conforme al artículo 2, fracción X del Estatuto, el Pleno del Instituto resulta competente para emitir la presente resolución, siendo la autoridad </w:t>
      </w:r>
      <w:r w:rsidRPr="00720E71">
        <w:rPr>
          <w:rFonts w:ascii="ITC Avant Garde" w:eastAsia="Times New Roman" w:hAnsi="ITC Avant Garde" w:cs="Arial"/>
          <w:color w:val="000000"/>
          <w:lang w:eastAsia="es-ES"/>
        </w:rPr>
        <w:lastRenderedPageBreak/>
        <w:t>facultada para resolver el recurso conforme a la parte final del primer párrafo del artículo 86 de la Ley Federal de Procedimiento Administrativo .</w:t>
      </w:r>
    </w:p>
    <w:p w14:paraId="0C22307A" w14:textId="77777777" w:rsidR="00720E71" w:rsidRPr="00720E71" w:rsidRDefault="004E3A91" w:rsidP="00C83B1C">
      <w:pPr>
        <w:spacing w:after="0"/>
        <w:jc w:val="both"/>
        <w:rPr>
          <w:rFonts w:ascii="ITC Avant Garde" w:eastAsia="Times New Roman" w:hAnsi="ITC Avant Garde" w:cs="Arial"/>
          <w:lang w:val="es-ES" w:eastAsia="es-MX"/>
        </w:rPr>
      </w:pPr>
      <w:r w:rsidRPr="00720E71">
        <w:rPr>
          <w:rFonts w:ascii="ITC Avant Garde" w:eastAsia="Times New Roman" w:hAnsi="ITC Avant Garde" w:cs="Arial"/>
          <w:b/>
          <w:lang w:val="es-ES" w:eastAsia="es-MX"/>
        </w:rPr>
        <w:t>CUARTO.-</w:t>
      </w:r>
      <w:r w:rsidRPr="00720E71">
        <w:rPr>
          <w:rFonts w:ascii="ITC Avant Garde" w:eastAsia="Times New Roman" w:hAnsi="ITC Avant Garde" w:cs="Arial"/>
          <w:lang w:val="es-ES" w:eastAsia="es-MX"/>
        </w:rPr>
        <w:t xml:space="preserve"> Que esta autoridad es competente para conocer y resolver el recurso de revisión interpuesto por la Recurrente, en términos de lo dispuesto por el artículo 86 de la Ley Federal de Procedimiento Administrativo, en relación con los diversos </w:t>
      </w:r>
      <w:r w:rsidRPr="00720E71">
        <w:rPr>
          <w:rFonts w:ascii="ITC Avant Garde" w:eastAsia="Times New Roman" w:hAnsi="ITC Avant Garde" w:cs="Arial"/>
          <w:color w:val="000000"/>
          <w:lang w:val="es-ES" w:eastAsia="es-ES"/>
        </w:rPr>
        <w:t>15, fracción X de la Ley Federal de Telecomunicaciones y Radiodifusión, y 2, fracción X del Estatuto</w:t>
      </w:r>
      <w:r w:rsidRPr="00720E71">
        <w:rPr>
          <w:rFonts w:ascii="ITC Avant Garde" w:eastAsia="Times New Roman" w:hAnsi="ITC Avant Garde" w:cs="Arial"/>
          <w:lang w:val="es-ES" w:eastAsia="es-MX"/>
        </w:rPr>
        <w:t>.</w:t>
      </w:r>
    </w:p>
    <w:p w14:paraId="689C96E0" w14:textId="7ACC5693" w:rsidR="00720E71" w:rsidRPr="00720E71" w:rsidRDefault="004E3A91" w:rsidP="00C83B1C">
      <w:pPr>
        <w:spacing w:after="0"/>
        <w:jc w:val="both"/>
        <w:rPr>
          <w:rFonts w:ascii="ITC Avant Garde" w:eastAsia="Times New Roman" w:hAnsi="ITC Avant Garde" w:cs="Arial"/>
          <w:lang w:val="es-ES" w:eastAsia="es-ES"/>
        </w:rPr>
      </w:pPr>
      <w:r w:rsidRPr="00720E71">
        <w:rPr>
          <w:rFonts w:ascii="ITC Avant Garde" w:eastAsia="Times New Roman" w:hAnsi="ITC Avant Garde" w:cs="Arial"/>
          <w:b/>
          <w:lang w:val="es-ES" w:eastAsia="es-ES"/>
        </w:rPr>
        <w:t>QUINTO.-</w:t>
      </w:r>
      <w:r w:rsidRPr="00720E71">
        <w:rPr>
          <w:rFonts w:ascii="ITC Avant Garde" w:eastAsia="Times New Roman" w:hAnsi="ITC Avant Garde" w:cs="Arial"/>
          <w:lang w:val="es-ES" w:eastAsia="es-ES"/>
        </w:rPr>
        <w:t xml:space="preserve"> Que el recurso de revisión interpuesto en contra de la Resolución es procedente en virtud de que no se configura ninguno de los supuestos señalados por el artículo 89 de la LFPA. </w:t>
      </w:r>
    </w:p>
    <w:p w14:paraId="0B4F28E6" w14:textId="77777777" w:rsidR="00720E71" w:rsidRPr="00720E71" w:rsidRDefault="004E3A91" w:rsidP="005479A0">
      <w:pPr>
        <w:spacing w:after="0"/>
        <w:jc w:val="both"/>
        <w:rPr>
          <w:rFonts w:ascii="ITC Avant Garde" w:hAnsi="ITC Avant Garde" w:cs="Arial"/>
        </w:rPr>
      </w:pPr>
      <w:r w:rsidRPr="00720E71">
        <w:rPr>
          <w:rFonts w:ascii="ITC Avant Garde" w:hAnsi="ITC Avant Garde" w:cs="Arial"/>
          <w:b/>
        </w:rPr>
        <w:t xml:space="preserve">SEXTO.- </w:t>
      </w:r>
      <w:r w:rsidRPr="00720E71">
        <w:rPr>
          <w:rFonts w:ascii="ITC Avant Garde" w:hAnsi="ITC Avant Garde" w:cs="Arial"/>
        </w:rPr>
        <w:t>Que conforme a lo dispuesto por el artículo 91 de la Ley Federal de Procedimiento Administrativo, la autoridad encargada de resolver el recurso podrá: I.- Desecharlo por improcedente o sobreseerlo; II.- Confirmar el acto impugnado; III.- Declarar la inexistencia, nulidad o anulabilidad del acto impugnado o revocarlo total o parcialmente; y IV.- Modificar u ordenar la modificación del acto impugnado o dictar u ordenar expedir uno nuevo que lo sustituya, cuando el recurso interpuesto sea total o parcialmente resuelto a favor del recurrente.</w:t>
      </w:r>
    </w:p>
    <w:p w14:paraId="24BCD187" w14:textId="77777777" w:rsidR="00720E71" w:rsidRPr="00720E71" w:rsidRDefault="004E3A91" w:rsidP="005479A0">
      <w:pPr>
        <w:spacing w:after="0"/>
        <w:jc w:val="both"/>
        <w:rPr>
          <w:rFonts w:ascii="ITC Avant Garde" w:eastAsia="Times New Roman" w:hAnsi="ITC Avant Garde" w:cs="Arial"/>
          <w:lang w:val="es-ES" w:eastAsia="es-MX"/>
        </w:rPr>
      </w:pPr>
      <w:r w:rsidRPr="00720E71">
        <w:rPr>
          <w:rFonts w:ascii="ITC Avant Garde" w:eastAsia="Times New Roman" w:hAnsi="ITC Avant Garde" w:cs="Arial"/>
          <w:b/>
          <w:lang w:val="es-ES" w:eastAsia="es-MX"/>
        </w:rPr>
        <w:t>SÉPTIMO.-</w:t>
      </w:r>
      <w:r w:rsidRPr="00720E71">
        <w:rPr>
          <w:rFonts w:ascii="ITC Avant Garde" w:eastAsia="Times New Roman" w:hAnsi="ITC Avant Garde" w:cs="Arial"/>
          <w:lang w:val="es-ES" w:eastAsia="es-MX"/>
        </w:rPr>
        <w:t xml:space="preserve"> Que el artículo 92 de la LFPA en sus párrafos primero y último establece que la resolución del recurso se fundará en derecho y examinará todos y cada uno de los agravios hechos valer por el recurrente teniendo la autoridad la facultad de invocar hechos notorios; pero, cuando uno de los agravios sea suficiente para desvirtuar la validez del acto impugnado bastará con el examen de dicho punto; y si la resolución ordena realizar un determinado acto o iniciar la reposición del procedimiento, deberá cumplirse en un plazo de cuatro meses.</w:t>
      </w:r>
    </w:p>
    <w:p w14:paraId="522CBA89" w14:textId="76E0AF95" w:rsidR="004E3A91" w:rsidRPr="00720E71" w:rsidRDefault="004E3A91" w:rsidP="00C83B1C">
      <w:pPr>
        <w:spacing w:after="0"/>
        <w:jc w:val="both"/>
        <w:rPr>
          <w:rFonts w:ascii="ITC Avant Garde" w:eastAsia="Times New Roman" w:hAnsi="ITC Avant Garde" w:cs="Arial"/>
          <w:color w:val="000000" w:themeColor="text1"/>
          <w:lang w:val="es-ES" w:eastAsia="es-MX"/>
        </w:rPr>
      </w:pPr>
      <w:r w:rsidRPr="00720E71">
        <w:rPr>
          <w:rFonts w:ascii="ITC Avant Garde" w:eastAsia="Times New Roman" w:hAnsi="ITC Avant Garde" w:cs="Arial"/>
          <w:b/>
          <w:lang w:val="es-ES" w:eastAsia="es-MX"/>
        </w:rPr>
        <w:t xml:space="preserve">OCTAVO.- </w:t>
      </w:r>
      <w:r w:rsidRPr="00720E71">
        <w:rPr>
          <w:rFonts w:ascii="ITC Avant Garde" w:eastAsia="Times New Roman" w:hAnsi="ITC Avant Garde" w:cs="Arial"/>
          <w:lang w:val="es-ES" w:eastAsia="es-MX"/>
        </w:rPr>
        <w:t xml:space="preserve">Del análisis de los argumentos de la Recurrente y conforme al hecho de que, con fecha </w:t>
      </w:r>
      <w:r w:rsidRPr="00720E71">
        <w:rPr>
          <w:rFonts w:ascii="ITC Avant Garde" w:eastAsia="Times New Roman" w:hAnsi="ITC Avant Garde" w:cs="Arial"/>
          <w:color w:val="000000" w:themeColor="text1"/>
          <w:lang w:val="es-ES" w:eastAsia="es-MX"/>
        </w:rPr>
        <w:t>27 de octubre de 2016, fue suscrito el Convenio Modificatorio celebrado entre Alestra, S. de R.L. de C.V. y Pegaso PCS, S.A. de C.V., relativo a las condiciones de interconexión de las redes de servicio local fijo y de larga distancia de Alestra y Local Móvil de Pegaso, en consideración al contenido de la Cláusula PRIMERA de dicho Convenio Modificatorio que al efecto señala:</w:t>
      </w:r>
    </w:p>
    <w:p w14:paraId="0C50916F" w14:textId="77777777" w:rsidR="00720E71" w:rsidRPr="00720E71" w:rsidRDefault="004E3A91" w:rsidP="00C83B1C">
      <w:pPr>
        <w:spacing w:after="0"/>
        <w:ind w:left="567" w:right="900"/>
        <w:jc w:val="both"/>
        <w:rPr>
          <w:rFonts w:ascii="ITC Avant Garde" w:eastAsia="Times New Roman" w:hAnsi="ITC Avant Garde" w:cs="Arial"/>
          <w:color w:val="000000" w:themeColor="text1"/>
          <w:lang w:val="es-ES" w:eastAsia="es-MX"/>
        </w:rPr>
      </w:pPr>
      <w:r w:rsidRPr="00720E71">
        <w:rPr>
          <w:rFonts w:ascii="ITC Avant Garde" w:eastAsia="Times New Roman" w:hAnsi="ITC Avant Garde" w:cs="Arial"/>
          <w:color w:val="000000" w:themeColor="text1"/>
          <w:lang w:val="es-ES" w:eastAsia="es-MX"/>
        </w:rPr>
        <w:t>“PRIMERA. CONTRAPRESTACIONES.</w:t>
      </w:r>
    </w:p>
    <w:p w14:paraId="23F14D75" w14:textId="77777777" w:rsidR="00720E71" w:rsidRPr="00720E71" w:rsidRDefault="004E3A91" w:rsidP="00C83B1C">
      <w:pPr>
        <w:spacing w:after="0"/>
        <w:ind w:left="567" w:right="900"/>
        <w:jc w:val="both"/>
        <w:rPr>
          <w:rFonts w:ascii="ITC Avant Garde" w:eastAsia="Times New Roman" w:hAnsi="ITC Avant Garde" w:cs="Arial"/>
          <w:color w:val="000000" w:themeColor="text1"/>
          <w:lang w:val="es-ES" w:eastAsia="es-MX"/>
        </w:rPr>
      </w:pPr>
      <w:r w:rsidRPr="00720E71">
        <w:rPr>
          <w:rFonts w:ascii="ITC Avant Garde" w:eastAsia="Times New Roman" w:hAnsi="ITC Avant Garde" w:cs="Arial"/>
          <w:color w:val="000000" w:themeColor="text1"/>
          <w:lang w:val="es-ES" w:eastAsia="es-MX"/>
        </w:rPr>
        <w:t>Las partes reconocen y están de acuerdo en que todas las contraprestaciones aplicables a los Servicios de Interconexión para el periodo comprendido del 1 de enero de 2009 al 31 de julio de 2016 ya fueron cubiertas a entera satisfacción de cada una de las Partes, por lo tanto, no hay saldo pendiente ni contraprestación aplicable que pagar en dicho periodo para ninguna de las Partes.”</w:t>
      </w:r>
    </w:p>
    <w:p w14:paraId="4765E301" w14:textId="77777777" w:rsidR="00720E71" w:rsidRPr="00720E71" w:rsidRDefault="004E3A91" w:rsidP="00C83B1C">
      <w:pPr>
        <w:spacing w:after="0"/>
        <w:ind w:right="49"/>
        <w:jc w:val="both"/>
        <w:rPr>
          <w:rFonts w:ascii="ITC Avant Garde" w:eastAsia="Times New Roman" w:hAnsi="ITC Avant Garde" w:cs="Arial"/>
          <w:lang w:val="es-ES" w:eastAsia="es-MX"/>
        </w:rPr>
      </w:pPr>
      <w:r w:rsidRPr="00720E71">
        <w:rPr>
          <w:rFonts w:ascii="ITC Avant Garde" w:eastAsia="Times New Roman" w:hAnsi="ITC Avant Garde" w:cs="Arial"/>
          <w:color w:val="000000" w:themeColor="text1"/>
          <w:lang w:val="es-ES" w:eastAsia="es-MX"/>
        </w:rPr>
        <w:t xml:space="preserve">Derivado de lo anterior se desprende que el Convenio Modificatorio citado implica un acuerdo de voluntades entre los concesionarios mencionados que pone fin al desacuerdo de interconexión denunciado por la empresa Alestra, S. de R.L. de C.V., y </w:t>
      </w:r>
      <w:r w:rsidRPr="00720E71">
        <w:rPr>
          <w:rFonts w:ascii="ITC Avant Garde" w:eastAsia="Times New Roman" w:hAnsi="ITC Avant Garde" w:cs="Arial"/>
          <w:color w:val="000000" w:themeColor="text1"/>
          <w:lang w:val="es-ES" w:eastAsia="es-MX"/>
        </w:rPr>
        <w:lastRenderedPageBreak/>
        <w:t xml:space="preserve">que dentro del periodo que abarca el Convenio Modificatorio citado (1º de enero de 2009 al 31 de julio de 2016) queda comprendido el periodo que va del 1º de enero al 31 de diciembre de 2011, materia de la Resolución  </w:t>
      </w:r>
      <w:r w:rsidRPr="00720E71">
        <w:rPr>
          <w:rFonts w:ascii="ITC Avant Garde" w:eastAsia="Times New Roman" w:hAnsi="ITC Avant Garde" w:cs="Arial"/>
          <w:lang w:val="es-ES" w:eastAsia="es-MX"/>
        </w:rPr>
        <w:t>P/150611/198 de fecha quince de junio de dos mil once, resolviendo las condiciones de interconexión no convenidas entre los concesionarios aludidos.</w:t>
      </w:r>
    </w:p>
    <w:p w14:paraId="02C84788" w14:textId="77777777" w:rsidR="00720E71" w:rsidRPr="00720E71" w:rsidRDefault="004E3A91" w:rsidP="00C83B1C">
      <w:pPr>
        <w:spacing w:after="0"/>
        <w:ind w:right="49"/>
        <w:jc w:val="both"/>
        <w:rPr>
          <w:rFonts w:ascii="ITC Avant Garde" w:eastAsia="Times New Roman" w:hAnsi="ITC Avant Garde" w:cs="Arial"/>
          <w:lang w:val="es-ES" w:eastAsia="es-MX"/>
        </w:rPr>
      </w:pPr>
      <w:r w:rsidRPr="00720E71">
        <w:rPr>
          <w:rFonts w:ascii="ITC Avant Garde" w:eastAsia="Times New Roman" w:hAnsi="ITC Avant Garde" w:cs="Arial"/>
          <w:lang w:val="es-ES" w:eastAsia="es-MX"/>
        </w:rPr>
        <w:t>De lo anterior, cabe concluir que a la fecha ya ha sido suscrito un Convenio entre los concesionarios antes mencionados, y con ello se pone fin al desacuerdo de interconexión entre las partes por el periodo de tiempo que abarca la Resolución recurrida en el presente medio de impugnación, quedando sin materia dicha Resolución Recurrida.</w:t>
      </w:r>
    </w:p>
    <w:p w14:paraId="61ED08C2" w14:textId="77777777" w:rsidR="00720E71" w:rsidRPr="00720E71" w:rsidRDefault="004E3A91" w:rsidP="00C83B1C">
      <w:pPr>
        <w:spacing w:after="0"/>
        <w:ind w:right="49"/>
        <w:jc w:val="both"/>
        <w:rPr>
          <w:rFonts w:ascii="ITC Avant Garde" w:eastAsia="Times New Roman" w:hAnsi="ITC Avant Garde" w:cs="Arial"/>
          <w:lang w:val="es-ES" w:eastAsia="es-MX"/>
        </w:rPr>
      </w:pPr>
      <w:r w:rsidRPr="00720E71">
        <w:rPr>
          <w:rFonts w:ascii="ITC Avant Garde" w:eastAsia="Times New Roman" w:hAnsi="ITC Avant Garde" w:cs="Arial"/>
          <w:lang w:val="es-ES" w:eastAsia="es-MX"/>
        </w:rPr>
        <w:t>En ese orden de ideas, se actualiza la causal de sobreseimiento del recurso de revisión contenida en la fracción V del artículo 90 de la Ley Federal Administrativo, que dispone que el recurso de revisión será sobreseído por falta materia del acto recurrido.</w:t>
      </w:r>
    </w:p>
    <w:p w14:paraId="114160D8" w14:textId="77777777" w:rsidR="00720E71" w:rsidRPr="00720E71" w:rsidRDefault="004E3A91" w:rsidP="00C83B1C">
      <w:pPr>
        <w:spacing w:after="0"/>
        <w:ind w:right="49"/>
        <w:jc w:val="both"/>
        <w:rPr>
          <w:rFonts w:ascii="ITC Avant Garde" w:eastAsia="Times New Roman" w:hAnsi="ITC Avant Garde" w:cs="Arial"/>
          <w:lang w:val="es-ES" w:eastAsia="es-MX"/>
        </w:rPr>
      </w:pPr>
      <w:r w:rsidRPr="00720E71">
        <w:rPr>
          <w:rFonts w:ascii="ITC Avant Garde" w:eastAsia="Times New Roman" w:hAnsi="ITC Avant Garde" w:cs="Arial"/>
          <w:lang w:val="es-ES" w:eastAsia="es-MX"/>
        </w:rPr>
        <w:t xml:space="preserve">De conformidad con lo manifestado, procede sobreseer el presente recurso administrativo de revisión, toda vez que ha quedado sin materia la Resolución recurrida, derivado de la firma del Convenio Modificatorio que pone fin al desacuerdo de interconexión denunciado por Alestra, dejando sin </w:t>
      </w:r>
      <w:r w:rsidR="00F65FDD" w:rsidRPr="00720E71">
        <w:rPr>
          <w:rFonts w:ascii="ITC Avant Garde" w:eastAsia="Times New Roman" w:hAnsi="ITC Avant Garde" w:cs="Arial"/>
          <w:lang w:val="es-ES" w:eastAsia="es-MX"/>
        </w:rPr>
        <w:t>materia</w:t>
      </w:r>
      <w:r w:rsidRPr="00720E71">
        <w:rPr>
          <w:rFonts w:ascii="ITC Avant Garde" w:eastAsia="Times New Roman" w:hAnsi="ITC Avant Garde" w:cs="Arial"/>
          <w:lang w:val="es-ES" w:eastAsia="es-MX"/>
        </w:rPr>
        <w:t xml:space="preserve"> la Resolución Recurrida que precisamente resolvía dicho desacuerdo de interconexión. </w:t>
      </w:r>
    </w:p>
    <w:p w14:paraId="1CC8F163" w14:textId="77777777" w:rsidR="00720E71" w:rsidRPr="00720E71" w:rsidRDefault="004E3A91" w:rsidP="00C83B1C">
      <w:pPr>
        <w:spacing w:after="0"/>
        <w:jc w:val="both"/>
        <w:rPr>
          <w:rFonts w:ascii="ITC Avant Garde" w:eastAsia="Times New Roman" w:hAnsi="ITC Avant Garde" w:cs="Arial"/>
          <w:b/>
          <w:lang w:val="es-ES" w:eastAsia="es-MX"/>
        </w:rPr>
      </w:pPr>
      <w:r w:rsidRPr="00720E71">
        <w:rPr>
          <w:rFonts w:ascii="ITC Avant Garde" w:eastAsia="Times New Roman" w:hAnsi="ITC Avant Garde" w:cs="Arial"/>
          <w:lang w:val="es-ES" w:eastAsia="es-MX"/>
        </w:rPr>
        <w:t>De lo anterior, cabe concluir que ante la actualización de la causal de sobreseimiento contenida en la fracción V, del artículo 90 de la Ley Federal de Procedimiento Administrativo, procede sobreseer el presente Recurso Administrativo de Revisión de conformidad con lo señalado en la fracción I, del artículo 9</w:t>
      </w:r>
      <w:r w:rsidR="00A023B7" w:rsidRPr="00720E71">
        <w:rPr>
          <w:rFonts w:ascii="ITC Avant Garde" w:eastAsia="Times New Roman" w:hAnsi="ITC Avant Garde" w:cs="Arial"/>
          <w:lang w:val="es-ES" w:eastAsia="es-MX"/>
        </w:rPr>
        <w:t>1</w:t>
      </w:r>
      <w:r w:rsidRPr="00720E71">
        <w:rPr>
          <w:rFonts w:ascii="ITC Avant Garde" w:eastAsia="Times New Roman" w:hAnsi="ITC Avant Garde" w:cs="Arial"/>
          <w:lang w:val="es-ES" w:eastAsia="es-MX"/>
        </w:rPr>
        <w:t xml:space="preserve"> de dicho ordenamiento.</w:t>
      </w:r>
    </w:p>
    <w:p w14:paraId="512EB04B" w14:textId="77777777" w:rsidR="00720E71" w:rsidRPr="00720E71" w:rsidRDefault="004E3A91" w:rsidP="00C83B1C">
      <w:pPr>
        <w:spacing w:after="0"/>
        <w:jc w:val="both"/>
        <w:rPr>
          <w:rFonts w:ascii="ITC Avant Garde" w:eastAsia="Times New Roman" w:hAnsi="ITC Avant Garde" w:cs="Arial"/>
          <w:lang w:val="es-ES" w:eastAsia="es-MX"/>
        </w:rPr>
      </w:pPr>
      <w:r w:rsidRPr="00720E71">
        <w:rPr>
          <w:rFonts w:ascii="ITC Avant Garde" w:eastAsia="Times New Roman" w:hAnsi="ITC Avant Garde" w:cs="Arial"/>
          <w:b/>
          <w:lang w:val="es-ES" w:eastAsia="es-MX"/>
        </w:rPr>
        <w:t>NOVENO.-</w:t>
      </w:r>
      <w:r w:rsidRPr="00720E71">
        <w:rPr>
          <w:rFonts w:ascii="ITC Avant Garde" w:eastAsia="Times New Roman" w:hAnsi="ITC Avant Garde" w:cs="Arial"/>
          <w:lang w:val="es-ES" w:eastAsia="es-MX"/>
        </w:rPr>
        <w:t xml:space="preserve"> Derivado de lo manifestado en el Considerando anterior, y conforme a los dispuesto por los artículos 90, fracción V, 91, fracción I y 92, de la Ley Federal de Procedimiento Administrativo, procede </w:t>
      </w:r>
      <w:r w:rsidRPr="00720E71">
        <w:rPr>
          <w:rFonts w:ascii="ITC Avant Garde" w:eastAsia="Times New Roman" w:hAnsi="ITC Avant Garde" w:cs="Arial"/>
          <w:b/>
          <w:lang w:val="es-ES" w:eastAsia="es-MX"/>
        </w:rPr>
        <w:t xml:space="preserve">SOBRESEER, </w:t>
      </w:r>
      <w:r w:rsidRPr="00720E71">
        <w:rPr>
          <w:rFonts w:ascii="ITC Avant Garde" w:eastAsia="Times New Roman" w:hAnsi="ITC Avant Garde" w:cs="Arial"/>
          <w:lang w:val="es-ES" w:eastAsia="es-MX"/>
        </w:rPr>
        <w:t xml:space="preserve">el presente Recurso de Revisión interpuesto por la Recurrente, al haber quedado sin materia la Resolución recurrida en el mismo, derivado de la firma del </w:t>
      </w:r>
      <w:r w:rsidRPr="00720E71">
        <w:rPr>
          <w:rFonts w:ascii="ITC Avant Garde" w:eastAsia="Times New Roman" w:hAnsi="ITC Avant Garde" w:cs="Arial"/>
          <w:color w:val="000000" w:themeColor="text1"/>
          <w:lang w:val="es-ES" w:eastAsia="es-MX"/>
        </w:rPr>
        <w:t>Convenio Modificatorio celebrado entre Alestra, S. de R.L. de C.V. y Pegaso PCS, S.A. de C.V., relativo a las condiciones de interconexión de las redes de servicio local fijo y de larga distancia de Alestra y Local Móvil de Pegaso, de fecha 27 de octubre de 2016, presentado ante el Instituto Federal de Telecomunicaciones el día 14 de diciembre de 2016.</w:t>
      </w:r>
    </w:p>
    <w:p w14:paraId="0E426C9B" w14:textId="77777777" w:rsidR="00720E71" w:rsidRPr="00720E71" w:rsidRDefault="005479A0" w:rsidP="00B4594C">
      <w:pPr>
        <w:spacing w:after="0"/>
        <w:jc w:val="both"/>
        <w:rPr>
          <w:rFonts w:ascii="ITC Avant Garde" w:eastAsia="Times New Roman" w:hAnsi="ITC Avant Garde" w:cs="Arial"/>
          <w:lang w:val="es-ES" w:eastAsia="es-MX"/>
        </w:rPr>
      </w:pPr>
      <w:r w:rsidRPr="00720E71">
        <w:rPr>
          <w:rFonts w:ascii="ITC Avant Garde" w:eastAsia="Times New Roman" w:hAnsi="ITC Avant Garde" w:cs="Arial"/>
          <w:lang w:val="es-ES" w:eastAsia="es-MX"/>
        </w:rPr>
        <w:t xml:space="preserve">Por lo expuesto y de conformidad con los RESULTANDOS Y CONSIDERANDOS precedentes, y con fundamento en los artículos 28, párrafo décimo quinto de la Constitución Política de los Estados Unidos Mexicanos, Séptimo Transitorio del “Decreto por el que se reforman y adicionan diversas disposiciones de los artículos 6o., 7o., 27, 28, 73, 78, 94 y 105 de la Constitución Política de los Estados Unidos Mexicanos, en materia de telecomunicaciones”, publicado en el DOF el 11 de junio de 2013; Sexto Transitorio del “Decreto por el que se expiden la Ley Federal de Telecomunicaciones y Radiodifusión, y la ley del Sistema Público de Radiodifusión del Estado Mexicano; y se </w:t>
      </w:r>
      <w:r w:rsidRPr="00720E71">
        <w:rPr>
          <w:rFonts w:ascii="ITC Avant Garde" w:eastAsia="Times New Roman" w:hAnsi="ITC Avant Garde" w:cs="Arial"/>
          <w:lang w:val="es-ES" w:eastAsia="es-MX"/>
        </w:rPr>
        <w:lastRenderedPageBreak/>
        <w:t>reforman, adicionan y derogan diversas disposiciones en materia de telecomunicaciones y radiodifusión, publicado en el DOF el 14 de julio de 2014; 1, 7, 15, fracciones X y LXIII, 16, 17, fracción I de la Ley Federal de Telecomunicaciones y Radiodifusión; 83, 86, 91 fracción I, y 92 de la Ley Federal de Procedimiento Administrativo; 8, fracción II y 9-A y 42 de la Ley Federal de Telecomunicaciones; 1°, 2°, fracción X, 4°, fracción I, 7, 8, y 9 del Estatuto Orgánico del Instituto Federal de Telecomunicaciones vigente, es de resolver y se:</w:t>
      </w:r>
    </w:p>
    <w:p w14:paraId="1A6E8B08" w14:textId="77777777" w:rsidR="00720E71" w:rsidRPr="00720E71" w:rsidRDefault="004E3A91" w:rsidP="00720E71">
      <w:pPr>
        <w:pStyle w:val="Ttulo2"/>
        <w:keepLines/>
        <w:numPr>
          <w:ilvl w:val="1"/>
          <w:numId w:val="0"/>
        </w:numPr>
        <w:spacing w:before="40" w:after="240" w:line="276" w:lineRule="auto"/>
        <w:rPr>
          <w:rFonts w:ascii="ITC Avant Garde" w:eastAsiaTheme="majorEastAsia" w:hAnsi="ITC Avant Garde" w:cstheme="majorBidi"/>
          <w:color w:val="000000" w:themeColor="text1"/>
          <w:sz w:val="22"/>
          <w:szCs w:val="22"/>
          <w:lang w:eastAsia="en-US"/>
        </w:rPr>
      </w:pPr>
      <w:r w:rsidRPr="00720E71">
        <w:rPr>
          <w:rFonts w:ascii="ITC Avant Garde" w:eastAsiaTheme="majorEastAsia" w:hAnsi="ITC Avant Garde" w:cstheme="majorBidi"/>
          <w:color w:val="000000" w:themeColor="text1"/>
          <w:sz w:val="22"/>
          <w:szCs w:val="22"/>
          <w:lang w:eastAsia="en-US"/>
        </w:rPr>
        <w:t>RESUELVE</w:t>
      </w:r>
      <w:bookmarkStart w:id="0" w:name="_GoBack"/>
      <w:bookmarkEnd w:id="0"/>
    </w:p>
    <w:p w14:paraId="15CF6313" w14:textId="77777777" w:rsidR="00720E71" w:rsidRPr="00720E71" w:rsidRDefault="004E3A91" w:rsidP="00C83B1C">
      <w:pPr>
        <w:spacing w:after="0"/>
        <w:jc w:val="both"/>
        <w:rPr>
          <w:rFonts w:ascii="ITC Avant Garde" w:eastAsia="Times New Roman" w:hAnsi="ITC Avant Garde" w:cs="Arial"/>
          <w:lang w:val="es-ES" w:eastAsia="es-MX"/>
        </w:rPr>
      </w:pPr>
      <w:r w:rsidRPr="00720E71">
        <w:rPr>
          <w:rFonts w:ascii="ITC Avant Garde" w:eastAsia="Times New Roman" w:hAnsi="ITC Avant Garde" w:cs="Arial"/>
          <w:b/>
          <w:lang w:val="es-ES" w:eastAsia="es-MX"/>
        </w:rPr>
        <w:t>PRIMERO.</w:t>
      </w:r>
      <w:r w:rsidRPr="00720E71">
        <w:rPr>
          <w:rFonts w:ascii="ITC Avant Garde" w:eastAsia="Times New Roman" w:hAnsi="ITC Avant Garde" w:cs="Arial"/>
          <w:lang w:val="es-ES" w:eastAsia="es-MX"/>
        </w:rPr>
        <w:t xml:space="preserve">- Se tiene por  interpuesto el recurso de revisión presentado el </w:t>
      </w:r>
      <w:r w:rsidRPr="00720E71">
        <w:rPr>
          <w:rFonts w:ascii="ITC Avant Garde" w:eastAsia="Times New Roman" w:hAnsi="ITC Avant Garde" w:cs="Arial"/>
          <w:b/>
          <w:lang w:val="es-ES" w:eastAsia="es-MX"/>
        </w:rPr>
        <w:t xml:space="preserve">dieciocho de julio de dos mil once, </w:t>
      </w:r>
      <w:r w:rsidRPr="00720E71">
        <w:rPr>
          <w:rFonts w:ascii="ITC Avant Garde" w:eastAsia="Times New Roman" w:hAnsi="ITC Avant Garde" w:cs="Arial"/>
          <w:lang w:val="es-ES" w:eastAsia="es-MX"/>
        </w:rPr>
        <w:t xml:space="preserve">por el C. Oliverio de la Garza Ugarte, en su carácter de apoderado de la Recurrente, en contra del acto especificado en el Resultando </w:t>
      </w:r>
      <w:r w:rsidRPr="00720E71">
        <w:rPr>
          <w:rFonts w:ascii="ITC Avant Garde" w:eastAsia="Times New Roman" w:hAnsi="ITC Avant Garde" w:cs="Arial"/>
          <w:b/>
          <w:lang w:val="es-ES" w:eastAsia="es-MX"/>
        </w:rPr>
        <w:t>número 2,</w:t>
      </w:r>
      <w:r w:rsidRPr="00720E71">
        <w:rPr>
          <w:rFonts w:ascii="ITC Avant Garde" w:eastAsia="Times New Roman" w:hAnsi="ITC Avant Garde" w:cs="Arial"/>
          <w:lang w:val="es-ES" w:eastAsia="es-MX"/>
        </w:rPr>
        <w:t xml:space="preserve"> de la presente resolución.</w:t>
      </w:r>
    </w:p>
    <w:p w14:paraId="56302086" w14:textId="77777777" w:rsidR="00720E71" w:rsidRPr="00720E71" w:rsidRDefault="004E3A91" w:rsidP="00C83B1C">
      <w:pPr>
        <w:spacing w:after="0"/>
        <w:jc w:val="both"/>
        <w:rPr>
          <w:rFonts w:ascii="ITC Avant Garde" w:eastAsia="Times New Roman" w:hAnsi="ITC Avant Garde" w:cs="Arial"/>
          <w:b/>
          <w:lang w:val="es-ES" w:eastAsia="es-MX"/>
        </w:rPr>
      </w:pPr>
      <w:r w:rsidRPr="00720E71">
        <w:rPr>
          <w:rFonts w:ascii="ITC Avant Garde" w:eastAsia="Times New Roman" w:hAnsi="ITC Avant Garde" w:cs="Arial"/>
          <w:b/>
          <w:lang w:val="es-ES" w:eastAsia="es-MX"/>
        </w:rPr>
        <w:t>SEGUNDO.-</w:t>
      </w:r>
      <w:r w:rsidRPr="00720E71">
        <w:rPr>
          <w:rFonts w:ascii="ITC Avant Garde" w:eastAsia="Times New Roman" w:hAnsi="ITC Avant Garde" w:cs="Arial"/>
          <w:lang w:val="es-ES" w:eastAsia="es-MX"/>
        </w:rPr>
        <w:t xml:space="preserve"> De conformidad con el Considerando Noveno, se </w:t>
      </w:r>
      <w:r w:rsidRPr="00720E71">
        <w:rPr>
          <w:rFonts w:ascii="ITC Avant Garde" w:eastAsia="Times New Roman" w:hAnsi="ITC Avant Garde" w:cs="Arial"/>
          <w:b/>
          <w:lang w:val="es-ES" w:eastAsia="es-MX"/>
        </w:rPr>
        <w:t>SOBRESEE</w:t>
      </w:r>
      <w:r w:rsidRPr="00720E71">
        <w:rPr>
          <w:rFonts w:ascii="ITC Avant Garde" w:eastAsia="Times New Roman" w:hAnsi="ITC Avant Garde" w:cs="Arial"/>
          <w:lang w:val="es-ES" w:eastAsia="es-MX"/>
        </w:rPr>
        <w:t xml:space="preserve">, el presente Recurso de Revisión, en términos del artículo 91, fracción I, de la Ley Federal de Procedimiento Administrativo. </w:t>
      </w:r>
    </w:p>
    <w:p w14:paraId="6D8F2D94" w14:textId="77777777" w:rsidR="00720E71" w:rsidRPr="00720E71" w:rsidRDefault="004E3A91" w:rsidP="00C83B1C">
      <w:pPr>
        <w:spacing w:after="0"/>
        <w:jc w:val="both"/>
        <w:rPr>
          <w:rFonts w:ascii="ITC Avant Garde" w:eastAsia="Times New Roman" w:hAnsi="ITC Avant Garde" w:cs="Arial"/>
          <w:lang w:val="es-ES" w:eastAsia="es-ES"/>
        </w:rPr>
      </w:pPr>
      <w:r w:rsidRPr="00720E71">
        <w:rPr>
          <w:rFonts w:ascii="ITC Avant Garde" w:eastAsia="Times New Roman" w:hAnsi="ITC Avant Garde" w:cs="Arial"/>
          <w:b/>
          <w:lang w:val="es-ES" w:eastAsia="es-ES"/>
        </w:rPr>
        <w:t xml:space="preserve">TERCERO.- </w:t>
      </w:r>
      <w:r w:rsidRPr="00720E71">
        <w:rPr>
          <w:rFonts w:ascii="ITC Avant Garde" w:eastAsia="Times New Roman" w:hAnsi="ITC Avant Garde" w:cs="Arial"/>
          <w:lang w:val="es-ES" w:eastAsia="es-ES"/>
        </w:rPr>
        <w:t xml:space="preserve">Notifíquese personalmente. </w:t>
      </w:r>
    </w:p>
    <w:p w14:paraId="7C534986" w14:textId="77777777" w:rsidR="00720E71" w:rsidRPr="00720E71" w:rsidRDefault="000B399B" w:rsidP="000B399B">
      <w:pPr>
        <w:spacing w:after="0" w:line="240" w:lineRule="auto"/>
        <w:jc w:val="both"/>
        <w:rPr>
          <w:rFonts w:ascii="ITC Avant Garde" w:hAnsi="ITC Avant Garde"/>
          <w:sz w:val="14"/>
          <w:lang w:val="es-ES"/>
        </w:rPr>
      </w:pPr>
      <w:r w:rsidRPr="00720E71">
        <w:rPr>
          <w:rFonts w:ascii="ITC Avant Garde" w:hAnsi="ITC Avant Garde"/>
          <w:sz w:val="14"/>
          <w:lang w:val="es-ES"/>
        </w:rPr>
        <w:t xml:space="preserve">La presente Resolución fue aprobada por el Pleno del Instituto Federal de Telecomunicaciones en su XXV Sesión Ordinaria celebrada el 21 de junio de 2017, por </w:t>
      </w:r>
      <w:r w:rsidRPr="00720E71">
        <w:rPr>
          <w:rFonts w:ascii="ITC Avant Garde" w:hAnsi="ITC Avant Garde"/>
          <w:bCs/>
          <w:sz w:val="14"/>
          <w:lang w:val="es-ES"/>
        </w:rPr>
        <w:t>unanimidad</w:t>
      </w:r>
      <w:r w:rsidRPr="00720E71">
        <w:rPr>
          <w:rFonts w:ascii="ITC Avant Garde" w:hAnsi="ITC Avant Garde"/>
          <w:sz w:val="14"/>
          <w:lang w:val="es-ES"/>
        </w:rPr>
        <w:t xml:space="preserve">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P/IFT/210617/347.</w:t>
      </w:r>
    </w:p>
    <w:p w14:paraId="7D3323A6" w14:textId="28D48732" w:rsidR="000B399B" w:rsidRPr="00720E71" w:rsidRDefault="000B399B" w:rsidP="000B399B">
      <w:pPr>
        <w:spacing w:after="0" w:line="240" w:lineRule="auto"/>
        <w:jc w:val="both"/>
        <w:rPr>
          <w:rFonts w:ascii="ITC Avant Garde" w:eastAsia="Times New Roman" w:hAnsi="ITC Avant Garde" w:cs="Arial"/>
          <w:lang w:val="es-ES" w:eastAsia="es-ES"/>
        </w:rPr>
      </w:pPr>
      <w:r w:rsidRPr="00720E71">
        <w:rPr>
          <w:rFonts w:ascii="ITC Avant Garde" w:hAnsi="ITC Avant Garde"/>
          <w:sz w:val="14"/>
          <w:lang w:val="es-ES"/>
        </w:rPr>
        <w:t>El Comisionado Presidente Gabriel Oswaldo Contreras Saldívar, la Comisionada María Elena Estavillo Flores y el Comisionado Arturo Robles Rovalo, previendo su ausencia justificada a la sesión, emitieron su voto razonado por escrito, en términos de los artículos 45 tercer párrafo de la Ley Federal de Telecomunicaciones y Radiodifusión, y 8 segundo párrafo del Estatuto Orgánico del Instituto Federal de Telecomunicaciones.</w:t>
      </w:r>
    </w:p>
    <w:sectPr w:rsidR="000B399B" w:rsidRPr="00720E71" w:rsidSect="00F90605">
      <w:headerReference w:type="even" r:id="rId7"/>
      <w:footerReference w:type="default" r:id="rId8"/>
      <w:headerReference w:type="first" r:id="rId9"/>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961C9" w14:textId="77777777" w:rsidR="00572D2E" w:rsidRDefault="00572D2E" w:rsidP="00406DF7">
      <w:pPr>
        <w:spacing w:after="0" w:line="240" w:lineRule="auto"/>
      </w:pPr>
      <w:r>
        <w:separator/>
      </w:r>
    </w:p>
  </w:endnote>
  <w:endnote w:type="continuationSeparator" w:id="0">
    <w:p w14:paraId="69C0A20A" w14:textId="77777777" w:rsidR="00572D2E" w:rsidRDefault="00572D2E" w:rsidP="00406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223042"/>
      <w:docPartObj>
        <w:docPartGallery w:val="Page Numbers (Bottom of Page)"/>
        <w:docPartUnique/>
      </w:docPartObj>
    </w:sdtPr>
    <w:sdtEndPr>
      <w:rPr>
        <w:rFonts w:ascii="ITC Avant Garde" w:hAnsi="ITC Avant Garde"/>
        <w:sz w:val="20"/>
        <w:szCs w:val="20"/>
      </w:rPr>
    </w:sdtEndPr>
    <w:sdtContent>
      <w:p w14:paraId="208DEF51" w14:textId="77777777" w:rsidR="001F669C" w:rsidRPr="00F90605" w:rsidRDefault="001F669C">
        <w:pPr>
          <w:pStyle w:val="Piedepgina"/>
          <w:jc w:val="right"/>
          <w:rPr>
            <w:rFonts w:ascii="ITC Avant Garde" w:hAnsi="ITC Avant Garde"/>
            <w:sz w:val="20"/>
            <w:szCs w:val="20"/>
          </w:rPr>
        </w:pPr>
        <w:r w:rsidRPr="00F90605">
          <w:rPr>
            <w:rFonts w:ascii="ITC Avant Garde" w:hAnsi="ITC Avant Garde"/>
            <w:sz w:val="20"/>
            <w:szCs w:val="20"/>
          </w:rPr>
          <w:fldChar w:fldCharType="begin"/>
        </w:r>
        <w:r w:rsidRPr="00F90605">
          <w:rPr>
            <w:rFonts w:ascii="ITC Avant Garde" w:hAnsi="ITC Avant Garde"/>
            <w:sz w:val="20"/>
            <w:szCs w:val="20"/>
          </w:rPr>
          <w:instrText>PAGE   \* MERGEFORMAT</w:instrText>
        </w:r>
        <w:r w:rsidRPr="00F90605">
          <w:rPr>
            <w:rFonts w:ascii="ITC Avant Garde" w:hAnsi="ITC Avant Garde"/>
            <w:sz w:val="20"/>
            <w:szCs w:val="20"/>
          </w:rPr>
          <w:fldChar w:fldCharType="separate"/>
        </w:r>
        <w:r w:rsidR="00720E71" w:rsidRPr="00720E71">
          <w:rPr>
            <w:rFonts w:ascii="ITC Avant Garde" w:hAnsi="ITC Avant Garde"/>
            <w:noProof/>
            <w:sz w:val="20"/>
            <w:szCs w:val="20"/>
            <w:lang w:val="es-ES"/>
          </w:rPr>
          <w:t>13</w:t>
        </w:r>
        <w:r w:rsidRPr="00F90605">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A90A3" w14:textId="77777777" w:rsidR="00572D2E" w:rsidRDefault="00572D2E" w:rsidP="00406DF7">
      <w:pPr>
        <w:spacing w:after="0" w:line="240" w:lineRule="auto"/>
      </w:pPr>
      <w:r>
        <w:separator/>
      </w:r>
    </w:p>
  </w:footnote>
  <w:footnote w:type="continuationSeparator" w:id="0">
    <w:p w14:paraId="4C3914D2" w14:textId="77777777" w:rsidR="00572D2E" w:rsidRDefault="00572D2E" w:rsidP="00406D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2DA47" w14:textId="77777777" w:rsidR="00406DF7" w:rsidRDefault="00572D2E">
    <w:pPr>
      <w:pStyle w:val="Encabezado"/>
    </w:pPr>
    <w:r>
      <w:rPr>
        <w:noProof/>
        <w:lang w:eastAsia="es-MX"/>
      </w:rPr>
      <w:pict w14:anchorId="586079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2498047" o:spid="_x0000_s2059" type="#_x0000_t75" style="position:absolute;margin-left:0;margin-top:0;width:612pt;height:11in;z-index:-251657216;mso-position-horizontal:center;mso-position-horizontal-relative:margin;mso-position-vertical:center;mso-position-vertical-relative:margin" o:allowincell="f">
          <v:imagedata r:id="rId1" o:title="Constitución1_bost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B3F68" w14:textId="77777777" w:rsidR="00406DF7" w:rsidRDefault="00572D2E">
    <w:pPr>
      <w:pStyle w:val="Encabezado"/>
    </w:pPr>
    <w:r>
      <w:rPr>
        <w:noProof/>
        <w:lang w:eastAsia="es-MX"/>
      </w:rPr>
      <w:pict w14:anchorId="63DE9A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2498046" o:spid="_x0000_s2058" type="#_x0000_t75" style="position:absolute;margin-left:0;margin-top:0;width:612pt;height:11in;z-index:-251658240;mso-position-horizontal:center;mso-position-horizontal-relative:margin;mso-position-vertical:center;mso-position-vertical-relative:margin" o:allowincell="f">
          <v:imagedata r:id="rId1" o:title="Constitución1_bost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AF3538"/>
    <w:multiLevelType w:val="hybridMultilevel"/>
    <w:tmpl w:val="480426C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F7"/>
    <w:rsid w:val="00057647"/>
    <w:rsid w:val="000A0FC4"/>
    <w:rsid w:val="000B399B"/>
    <w:rsid w:val="000C3799"/>
    <w:rsid w:val="000C387F"/>
    <w:rsid w:val="000E13B8"/>
    <w:rsid w:val="0010457D"/>
    <w:rsid w:val="0012281E"/>
    <w:rsid w:val="00130015"/>
    <w:rsid w:val="00181FDA"/>
    <w:rsid w:val="001856DE"/>
    <w:rsid w:val="001B39B9"/>
    <w:rsid w:val="001C1C34"/>
    <w:rsid w:val="001D35BF"/>
    <w:rsid w:val="001F2A48"/>
    <w:rsid w:val="001F669C"/>
    <w:rsid w:val="0024032C"/>
    <w:rsid w:val="00240B2C"/>
    <w:rsid w:val="00284AE8"/>
    <w:rsid w:val="002B7A8D"/>
    <w:rsid w:val="002E5066"/>
    <w:rsid w:val="00361FEC"/>
    <w:rsid w:val="003E0537"/>
    <w:rsid w:val="00406DF7"/>
    <w:rsid w:val="00452089"/>
    <w:rsid w:val="00490656"/>
    <w:rsid w:val="004E3A91"/>
    <w:rsid w:val="005479A0"/>
    <w:rsid w:val="00572D2E"/>
    <w:rsid w:val="005C290A"/>
    <w:rsid w:val="005D4EB6"/>
    <w:rsid w:val="00602174"/>
    <w:rsid w:val="00706954"/>
    <w:rsid w:val="00720E71"/>
    <w:rsid w:val="0072545A"/>
    <w:rsid w:val="007D462F"/>
    <w:rsid w:val="008423D7"/>
    <w:rsid w:val="00867369"/>
    <w:rsid w:val="009A4EB7"/>
    <w:rsid w:val="009B5B65"/>
    <w:rsid w:val="009F078A"/>
    <w:rsid w:val="00A023B7"/>
    <w:rsid w:val="00A02D10"/>
    <w:rsid w:val="00A72149"/>
    <w:rsid w:val="00AA6033"/>
    <w:rsid w:val="00AE32F2"/>
    <w:rsid w:val="00B4594C"/>
    <w:rsid w:val="00B66071"/>
    <w:rsid w:val="00B80F14"/>
    <w:rsid w:val="00B963A9"/>
    <w:rsid w:val="00BB22C6"/>
    <w:rsid w:val="00BF63DD"/>
    <w:rsid w:val="00BF709D"/>
    <w:rsid w:val="00C04174"/>
    <w:rsid w:val="00C54B76"/>
    <w:rsid w:val="00C83B1C"/>
    <w:rsid w:val="00CB41A6"/>
    <w:rsid w:val="00CC18FC"/>
    <w:rsid w:val="00D17DA9"/>
    <w:rsid w:val="00D24DF3"/>
    <w:rsid w:val="00DD017F"/>
    <w:rsid w:val="00DE09C3"/>
    <w:rsid w:val="00E02CC7"/>
    <w:rsid w:val="00E25A7F"/>
    <w:rsid w:val="00E4388F"/>
    <w:rsid w:val="00E63615"/>
    <w:rsid w:val="00E95AF2"/>
    <w:rsid w:val="00EE7C64"/>
    <w:rsid w:val="00EE7EBB"/>
    <w:rsid w:val="00EF65A9"/>
    <w:rsid w:val="00F65FDD"/>
    <w:rsid w:val="00F90605"/>
    <w:rsid w:val="00FE75A6"/>
    <w:rsid w:val="00FF25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4FA25CDD"/>
  <w15:docId w15:val="{F3A09F68-B314-426D-A493-B1CC724A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459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720E71"/>
    <w:pPr>
      <w:keepNext/>
      <w:spacing w:after="0" w:line="240" w:lineRule="auto"/>
      <w:jc w:val="center"/>
      <w:outlineLvl w:val="1"/>
    </w:pPr>
    <w:rPr>
      <w:rFonts w:ascii="Times New Roman" w:eastAsia="Times New Roman" w:hAnsi="Times New Roman" w:cs="Times New Roman"/>
      <w:b/>
      <w:sz w:val="24"/>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6D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DF7"/>
  </w:style>
  <w:style w:type="paragraph" w:styleId="Piedepgina">
    <w:name w:val="footer"/>
    <w:basedOn w:val="Normal"/>
    <w:link w:val="PiedepginaCar"/>
    <w:uiPriority w:val="99"/>
    <w:unhideWhenUsed/>
    <w:rsid w:val="00406D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DF7"/>
  </w:style>
  <w:style w:type="character" w:styleId="Refdecomentario">
    <w:name w:val="annotation reference"/>
    <w:basedOn w:val="Fuentedeprrafopredeter"/>
    <w:uiPriority w:val="99"/>
    <w:semiHidden/>
    <w:unhideWhenUsed/>
    <w:rsid w:val="001F669C"/>
    <w:rPr>
      <w:sz w:val="16"/>
      <w:szCs w:val="16"/>
    </w:rPr>
  </w:style>
  <w:style w:type="paragraph" w:styleId="Textocomentario">
    <w:name w:val="annotation text"/>
    <w:basedOn w:val="Normal"/>
    <w:link w:val="TextocomentarioCar"/>
    <w:uiPriority w:val="99"/>
    <w:semiHidden/>
    <w:unhideWhenUsed/>
    <w:rsid w:val="001F66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F669C"/>
    <w:rPr>
      <w:sz w:val="20"/>
      <w:szCs w:val="20"/>
    </w:rPr>
  </w:style>
  <w:style w:type="paragraph" w:styleId="Asuntodelcomentario">
    <w:name w:val="annotation subject"/>
    <w:basedOn w:val="Textocomentario"/>
    <w:next w:val="Textocomentario"/>
    <w:link w:val="AsuntodelcomentarioCar"/>
    <w:uiPriority w:val="99"/>
    <w:semiHidden/>
    <w:unhideWhenUsed/>
    <w:rsid w:val="001F669C"/>
    <w:rPr>
      <w:b/>
      <w:bCs/>
    </w:rPr>
  </w:style>
  <w:style w:type="character" w:customStyle="1" w:styleId="AsuntodelcomentarioCar">
    <w:name w:val="Asunto del comentario Car"/>
    <w:basedOn w:val="TextocomentarioCar"/>
    <w:link w:val="Asuntodelcomentario"/>
    <w:uiPriority w:val="99"/>
    <w:semiHidden/>
    <w:rsid w:val="001F669C"/>
    <w:rPr>
      <w:b/>
      <w:bCs/>
      <w:sz w:val="20"/>
      <w:szCs w:val="20"/>
    </w:rPr>
  </w:style>
  <w:style w:type="paragraph" w:styleId="Textodeglobo">
    <w:name w:val="Balloon Text"/>
    <w:basedOn w:val="Normal"/>
    <w:link w:val="TextodegloboCar"/>
    <w:uiPriority w:val="99"/>
    <w:semiHidden/>
    <w:unhideWhenUsed/>
    <w:rsid w:val="001F66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9C"/>
    <w:rPr>
      <w:rFonts w:ascii="Segoe UI" w:hAnsi="Segoe UI" w:cs="Segoe UI"/>
      <w:sz w:val="18"/>
      <w:szCs w:val="18"/>
    </w:rPr>
  </w:style>
  <w:style w:type="paragraph" w:styleId="Textoindependiente">
    <w:name w:val="Body Text"/>
    <w:basedOn w:val="Normal"/>
    <w:link w:val="TextoindependienteCar"/>
    <w:rsid w:val="007D462F"/>
    <w:pPr>
      <w:spacing w:after="0" w:line="240" w:lineRule="auto"/>
      <w:jc w:val="both"/>
    </w:pPr>
    <w:rPr>
      <w:rFonts w:ascii="Arial" w:eastAsia="Times New Roman" w:hAnsi="Arial" w:cs="Times New Roman"/>
      <w:sz w:val="24"/>
      <w:szCs w:val="20"/>
      <w:lang w:val="es-ES" w:eastAsia="es-MX"/>
    </w:rPr>
  </w:style>
  <w:style w:type="character" w:customStyle="1" w:styleId="TextoindependienteCar">
    <w:name w:val="Texto independiente Car"/>
    <w:basedOn w:val="Fuentedeprrafopredeter"/>
    <w:link w:val="Textoindependiente"/>
    <w:rsid w:val="007D462F"/>
    <w:rPr>
      <w:rFonts w:ascii="Arial" w:eastAsia="Times New Roman" w:hAnsi="Arial" w:cs="Times New Roman"/>
      <w:sz w:val="24"/>
      <w:szCs w:val="20"/>
      <w:lang w:val="es-ES" w:eastAsia="es-MX"/>
    </w:rPr>
  </w:style>
  <w:style w:type="paragraph" w:styleId="Prrafodelista">
    <w:name w:val="List Paragraph"/>
    <w:basedOn w:val="Normal"/>
    <w:uiPriority w:val="34"/>
    <w:qFormat/>
    <w:rsid w:val="00B963A9"/>
    <w:pPr>
      <w:ind w:left="720"/>
      <w:contextualSpacing/>
    </w:pPr>
  </w:style>
  <w:style w:type="character" w:customStyle="1" w:styleId="Ttulo1Car">
    <w:name w:val="Título 1 Car"/>
    <w:basedOn w:val="Fuentedeprrafopredeter"/>
    <w:link w:val="Ttulo1"/>
    <w:uiPriority w:val="9"/>
    <w:rsid w:val="00B4594C"/>
    <w:rPr>
      <w:rFonts w:asciiTheme="majorHAnsi" w:eastAsiaTheme="majorEastAsia" w:hAnsiTheme="majorHAnsi" w:cstheme="majorBidi"/>
      <w:color w:val="365F91" w:themeColor="accent1" w:themeShade="BF"/>
      <w:sz w:val="32"/>
      <w:szCs w:val="32"/>
    </w:rPr>
  </w:style>
  <w:style w:type="paragraph" w:styleId="Subttulo">
    <w:name w:val="Subtitle"/>
    <w:basedOn w:val="Normal"/>
    <w:next w:val="Normal"/>
    <w:link w:val="SubttuloCar"/>
    <w:uiPriority w:val="11"/>
    <w:qFormat/>
    <w:rsid w:val="00B4594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B4594C"/>
    <w:rPr>
      <w:rFonts w:eastAsiaTheme="minorEastAsia"/>
      <w:color w:val="5A5A5A" w:themeColor="text1" w:themeTint="A5"/>
      <w:spacing w:val="15"/>
    </w:rPr>
  </w:style>
  <w:style w:type="character" w:customStyle="1" w:styleId="Ttulo2Car">
    <w:name w:val="Título 2 Car"/>
    <w:basedOn w:val="Fuentedeprrafopredeter"/>
    <w:link w:val="Ttulo2"/>
    <w:uiPriority w:val="9"/>
    <w:rsid w:val="00720E71"/>
    <w:rPr>
      <w:rFonts w:ascii="Times New Roman" w:eastAsia="Times New Roman" w:hAnsi="Times New Roman" w:cs="Times New Roman"/>
      <w:b/>
      <w:sz w:val="24"/>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36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5345</Words>
  <Characters>29401</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Vicente Alejandro Patiño Ascencio</dc:creator>
  <cp:lastModifiedBy>Maria del Consuelo Gonzalez Moreno</cp:lastModifiedBy>
  <cp:revision>4</cp:revision>
  <dcterms:created xsi:type="dcterms:W3CDTF">2017-07-04T23:33:00Z</dcterms:created>
  <dcterms:modified xsi:type="dcterms:W3CDTF">2017-07-12T22:56:00Z</dcterms:modified>
</cp:coreProperties>
</file>