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FE170" w14:textId="7425F0A4" w:rsidR="00B9698B" w:rsidRPr="00B9698B" w:rsidRDefault="00B9698B" w:rsidP="00B9698B">
      <w:pPr>
        <w:pStyle w:val="Ttulo1"/>
        <w:spacing w:after="240"/>
        <w:jc w:val="both"/>
        <w:rPr>
          <w:rFonts w:ascii="ITC Avant Garde" w:eastAsia="Times New Roman" w:hAnsi="ITC Avant Garde"/>
          <w:b/>
          <w:color w:val="000000" w:themeColor="text1"/>
          <w:sz w:val="24"/>
          <w:szCs w:val="24"/>
          <w:lang w:val="es-ES_tradnl" w:eastAsia="es-ES"/>
        </w:rPr>
      </w:pPr>
      <w:r w:rsidRPr="00B9698B">
        <w:rPr>
          <w:rFonts w:ascii="ITC Avant Garde" w:eastAsia="Times New Roman" w:hAnsi="ITC Avant Garde"/>
          <w:b/>
          <w:color w:val="000000" w:themeColor="text1"/>
          <w:sz w:val="24"/>
          <w:szCs w:val="24"/>
          <w:lang w:val="es-ES_tradnl" w:eastAsia="es-ES"/>
        </w:rPr>
        <w:t>ACUERDO MEDIANTE EL CUAL EL PLENO DEL INSTITUTO FEDERAL DE TELECOMUNICACIONES DETERMINA SOMETER A CONSULTA PÚBLICA EL ANTEPROYECTO DE LINEAMIENTOS GENERALES DE ACCESIBILIDAD AL SERVICIO DE TELEVISIÓN RADIODIFUNDIDA.</w:t>
      </w:r>
    </w:p>
    <w:p w14:paraId="04092C5C" w14:textId="77777777" w:rsidR="00B9698B" w:rsidRPr="00B9698B" w:rsidRDefault="007A2E04" w:rsidP="00B9698B">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ANTECEDENTES</w:t>
      </w:r>
    </w:p>
    <w:p w14:paraId="290B5D92" w14:textId="0C78740F" w:rsidR="00B9698B" w:rsidRDefault="00F22007" w:rsidP="00B9698B">
      <w:pPr>
        <w:pStyle w:val="Prrafodelista"/>
        <w:numPr>
          <w:ilvl w:val="0"/>
          <w:numId w:val="4"/>
        </w:numPr>
        <w:suppressAutoHyphens/>
        <w:spacing w:before="240" w:line="240" w:lineRule="auto"/>
        <w:ind w:left="709"/>
        <w:contextualSpacing w:val="0"/>
        <w:jc w:val="both"/>
        <w:rPr>
          <w:color w:val="000000"/>
          <w:kern w:val="2"/>
          <w:lang w:eastAsia="ar-SA"/>
        </w:rPr>
      </w:pPr>
      <w:r w:rsidRPr="00F16453">
        <w:rPr>
          <w:color w:val="000000"/>
          <w:kern w:val="2"/>
          <w:lang w:eastAsia="ar-SA"/>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al Instituto Federal de Telecomunicaciones (Instituto) como un órgano autónomo, con personalidad jurídica y patrimonio propio, cuyo artículo Quinto Transitorio, tercer párrafo estableció que la transición a la televisión digital terrestre culminaría el 31 de diciembre de 2015;</w:t>
      </w:r>
    </w:p>
    <w:p w14:paraId="1E08CB68" w14:textId="77777777" w:rsidR="00B9698B" w:rsidRDefault="00F22007" w:rsidP="00B9698B">
      <w:pPr>
        <w:pStyle w:val="Prrafodelista"/>
        <w:numPr>
          <w:ilvl w:val="0"/>
          <w:numId w:val="4"/>
        </w:numPr>
        <w:suppressAutoHyphens/>
        <w:spacing w:before="240" w:line="240" w:lineRule="auto"/>
        <w:ind w:left="709"/>
        <w:contextualSpacing w:val="0"/>
        <w:jc w:val="both"/>
        <w:rPr>
          <w:color w:val="000000"/>
          <w:kern w:val="2"/>
          <w:lang w:eastAsia="ar-SA"/>
        </w:rPr>
      </w:pPr>
      <w:r w:rsidRPr="00F16453">
        <w:rPr>
          <w:kern w:val="2"/>
          <w:lang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(Decreto de Ley), cuya modificación, publicada en el DOF el 18 de diciembre de 2015, estableció en su artículo Décimo Noveno Transitorio que los plazos autorizados por el Instituto y las acciones derivadas del programa en él referido, no deberían exceder el 31 de diciembre de 2016;</w:t>
      </w:r>
    </w:p>
    <w:p w14:paraId="2FA8F5C3" w14:textId="77777777" w:rsidR="00B9698B" w:rsidRDefault="00F22007" w:rsidP="00B9698B">
      <w:pPr>
        <w:pStyle w:val="Prrafodelista"/>
        <w:numPr>
          <w:ilvl w:val="0"/>
          <w:numId w:val="4"/>
        </w:numPr>
        <w:suppressAutoHyphens/>
        <w:spacing w:before="240" w:line="240" w:lineRule="auto"/>
        <w:ind w:left="709"/>
        <w:contextualSpacing w:val="0"/>
        <w:jc w:val="both"/>
        <w:rPr>
          <w:kern w:val="2"/>
          <w:lang w:eastAsia="ar-SA"/>
        </w:rPr>
      </w:pPr>
      <w:r w:rsidRPr="00F16453">
        <w:rPr>
          <w:kern w:val="2"/>
          <w:lang w:eastAsia="ar-SA"/>
        </w:rPr>
        <w:t xml:space="preserve">El 11 de septiembre de 2014, se publicó en el DOF la Política para la Transición a la Televisión Digital Terrestre (Política TDT), expedida por el Pleno del Instituto mediante acuerdo </w:t>
      </w:r>
      <w:r w:rsidRPr="00F16453">
        <w:rPr>
          <w:b/>
          <w:kern w:val="2"/>
          <w:lang w:eastAsia="ar-SA"/>
        </w:rPr>
        <w:t>P/IFT/030914/259</w:t>
      </w:r>
      <w:r w:rsidRPr="00F16453">
        <w:rPr>
          <w:kern w:val="2"/>
          <w:lang w:eastAsia="ar-SA"/>
        </w:rPr>
        <w:t xml:space="preserve"> de 3 de septiembre de 2014;</w:t>
      </w:r>
    </w:p>
    <w:p w14:paraId="28661142" w14:textId="77777777" w:rsidR="00B9698B" w:rsidRDefault="00D236D2" w:rsidP="00B9698B">
      <w:pPr>
        <w:pStyle w:val="Prrafodelista"/>
        <w:numPr>
          <w:ilvl w:val="0"/>
          <w:numId w:val="4"/>
        </w:numPr>
        <w:suppressAutoHyphens/>
        <w:spacing w:before="240" w:line="240" w:lineRule="auto"/>
        <w:ind w:left="709"/>
        <w:jc w:val="both"/>
        <w:rPr>
          <w:rFonts w:cs="Arial"/>
        </w:rPr>
      </w:pPr>
      <w:r w:rsidRPr="00F16453">
        <w:rPr>
          <w:rFonts w:cs="Arial"/>
        </w:rPr>
        <w:t>El 31 de octubre de 2017</w:t>
      </w:r>
      <w:r w:rsidR="00177599">
        <w:rPr>
          <w:rFonts w:cs="Arial"/>
        </w:rPr>
        <w:t>,</w:t>
      </w:r>
      <w:r w:rsidRPr="00F16453">
        <w:rPr>
          <w:rFonts w:cs="Arial"/>
        </w:rPr>
        <w:t xml:space="preserve"> se publicó en el DOF el “Decreto por el que se reforman, adicionan y derogan diversas disposiciones de la Ley Federal de Telecomunicaciones y Radiodifusión.”</w:t>
      </w:r>
    </w:p>
    <w:p w14:paraId="1460E346" w14:textId="77777777" w:rsidR="00B9698B" w:rsidRDefault="00D236D2" w:rsidP="00B9698B">
      <w:pPr>
        <w:pStyle w:val="Prrafodelista"/>
        <w:numPr>
          <w:ilvl w:val="0"/>
          <w:numId w:val="4"/>
        </w:numPr>
        <w:suppressAutoHyphens/>
        <w:spacing w:before="240" w:line="240" w:lineRule="auto"/>
        <w:ind w:left="709"/>
        <w:jc w:val="both"/>
        <w:rPr>
          <w:rFonts w:cs="Arial"/>
        </w:rPr>
      </w:pPr>
      <w:r w:rsidRPr="00F16453">
        <w:rPr>
          <w:rFonts w:cs="Arial"/>
        </w:rPr>
        <w:t>El 14 de febrero de 2018</w:t>
      </w:r>
      <w:r w:rsidR="00177599">
        <w:rPr>
          <w:rFonts w:cs="Arial"/>
        </w:rPr>
        <w:t>,</w:t>
      </w:r>
      <w:r w:rsidRPr="00F16453">
        <w:rPr>
          <w:rFonts w:cs="Arial"/>
        </w:rPr>
        <w:t xml:space="preserve"> la Unidad de Medios y Contenidos Audiovisuales (UMCA) presentó al Pleno del Instituto un Anteproyecto de Lineamientos Generales de Accesibilidad al Servicio de Televisión Radiodifundida (Anteproyecto), a fin de que éste se someta a consulta pública.</w:t>
      </w:r>
    </w:p>
    <w:p w14:paraId="48B5BD55" w14:textId="77777777" w:rsidR="00B9698B" w:rsidRDefault="00F22007" w:rsidP="00B9698B">
      <w:pPr>
        <w:pStyle w:val="Prrafodelista"/>
        <w:autoSpaceDE w:val="0"/>
        <w:autoSpaceDN w:val="0"/>
        <w:adjustRightInd w:val="0"/>
        <w:spacing w:before="240" w:line="240" w:lineRule="auto"/>
        <w:ind w:left="0"/>
        <w:jc w:val="both"/>
        <w:rPr>
          <w:kern w:val="2"/>
          <w:lang w:val="es-ES" w:eastAsia="ar-SA"/>
        </w:rPr>
      </w:pPr>
      <w:r w:rsidRPr="00F16453">
        <w:rPr>
          <w:kern w:val="2"/>
          <w:lang w:val="es-ES" w:eastAsia="ar-SA"/>
        </w:rPr>
        <w:t>En virtud de los antecedentes señalados y,</w:t>
      </w:r>
    </w:p>
    <w:p w14:paraId="2561D2B0" w14:textId="77777777" w:rsidR="00B9698B" w:rsidRPr="00B9698B" w:rsidRDefault="00B325A6" w:rsidP="00B9698B">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lastRenderedPageBreak/>
        <w:t>CONSIDERANDO</w:t>
      </w:r>
    </w:p>
    <w:p w14:paraId="2F84182B" w14:textId="6EF76EC8" w:rsidR="00B9698B" w:rsidRDefault="007A2E04" w:rsidP="00B9698B">
      <w:pPr>
        <w:suppressAutoHyphens/>
        <w:spacing w:before="240" w:line="240" w:lineRule="auto"/>
        <w:ind w:right="-62"/>
        <w:jc w:val="both"/>
        <w:rPr>
          <w:rFonts w:ascii="ITC Avant Garde" w:hAnsi="ITC Avant Garde"/>
        </w:rPr>
      </w:pPr>
      <w:r w:rsidRPr="00F16453">
        <w:rPr>
          <w:rFonts w:ascii="ITC Avant Garde" w:hAnsi="ITC Avant Garde" w:cs="TimesNewRomanPS-BoldMT"/>
          <w:b/>
          <w:bCs/>
        </w:rPr>
        <w:t>PRIMERO.</w:t>
      </w:r>
      <w:r w:rsidR="00B53860" w:rsidRPr="00F16453">
        <w:rPr>
          <w:rFonts w:ascii="ITC Avant Garde" w:hAnsi="ITC Avant Garde" w:cs="TimesNewRomanPS-BoldMT"/>
          <w:b/>
          <w:bCs/>
        </w:rPr>
        <w:t xml:space="preserve"> </w:t>
      </w:r>
      <w:r w:rsidR="00352F79" w:rsidRPr="00F16453">
        <w:rPr>
          <w:rFonts w:ascii="ITC Avant Garde" w:hAnsi="ITC Avant Garde" w:cs="TimesNewRomanPS-BoldMT"/>
          <w:b/>
          <w:bCs/>
        </w:rPr>
        <w:t>–</w:t>
      </w:r>
      <w:r w:rsidRPr="00F16453">
        <w:rPr>
          <w:rFonts w:ascii="ITC Avant Garde" w:hAnsi="ITC Avant Garde" w:cs="TimesNewRomanPS-BoldMT"/>
          <w:b/>
          <w:bCs/>
        </w:rPr>
        <w:t xml:space="preserve"> </w:t>
      </w:r>
      <w:r w:rsidR="00D236D2" w:rsidRPr="00F16453">
        <w:rPr>
          <w:rFonts w:ascii="ITC Avant Garde" w:hAnsi="ITC Avant Garde"/>
        </w:rPr>
        <w:t>De conformidad con lo dispuesto por los artículos 6°, apartado B, fracción III, 7° y 28, párrafos décimo quinto, décimo sexto y vigésimo fracción IV, de la Constitución Política de los Estados Unidos Mexicanos (Constitución); 1, 2, 7, 15, fracciones I y LVI, 16 y 17 fracciones I y XV de la Ley Federal de Telecomunicaciones y Radiodifusión</w:t>
      </w:r>
      <w:r w:rsidR="00F16453" w:rsidRPr="00F16453">
        <w:rPr>
          <w:rFonts w:ascii="ITC Avant Garde" w:hAnsi="ITC Avant Garde"/>
        </w:rPr>
        <w:t xml:space="preserve"> (Ley)</w:t>
      </w:r>
      <w:r w:rsidR="00D236D2" w:rsidRPr="00F16453">
        <w:rPr>
          <w:rFonts w:ascii="ITC Avant Garde" w:hAnsi="ITC Avant Garde"/>
        </w:rPr>
        <w:t>, Transitorio Cuadragésimo Tercero del Decreto de Ley; y 1, 4 fracciones I y V inciso iv), 6 fracción I, 37 y 38 fracciones I, III y IV del Estatuto Orgánico del Instituto Federal de Telecomunicaciones,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08223507" w14:textId="77777777" w:rsidR="00B9698B" w:rsidRDefault="00D236D2" w:rsidP="00B9698B">
      <w:pPr>
        <w:spacing w:before="240" w:line="240" w:lineRule="auto"/>
        <w:jc w:val="both"/>
        <w:rPr>
          <w:rFonts w:ascii="ITC Avant Garde" w:hAnsi="ITC Avant Garde"/>
        </w:rPr>
      </w:pPr>
      <w:r w:rsidRPr="00F16453">
        <w:rPr>
          <w:rFonts w:ascii="ITC Avant Garde" w:hAnsi="ITC Avant Garde"/>
        </w:rPr>
        <w:t>Para tal efecto, el Instituto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2B51CE6B" w14:textId="77777777" w:rsidR="00B9698B" w:rsidRDefault="00D236D2" w:rsidP="00B9698B">
      <w:pPr>
        <w:spacing w:before="240" w:line="240" w:lineRule="auto"/>
        <w:jc w:val="both"/>
        <w:rPr>
          <w:rFonts w:ascii="ITC Avant Garde" w:hAnsi="ITC Avant Garde"/>
        </w:rPr>
      </w:pPr>
      <w:r w:rsidRPr="00F16453">
        <w:rPr>
          <w:rFonts w:ascii="ITC Avant Garde" w:hAnsi="ITC Avant Garde"/>
        </w:rPr>
        <w:t>El referido artículo 28, en la fracción IV del párrafo vigésimo, dota al Instituto de la facultad de emitir disposiciones administrativas de carácter general exclusivamente para el cumplimiento de su función regulatoria en el sector de su competencia.</w:t>
      </w:r>
    </w:p>
    <w:p w14:paraId="54C2DAFC" w14:textId="77777777" w:rsidR="00B9698B" w:rsidRDefault="00D236D2" w:rsidP="00B9698B">
      <w:pPr>
        <w:spacing w:before="240" w:line="240" w:lineRule="auto"/>
        <w:jc w:val="both"/>
        <w:rPr>
          <w:rFonts w:ascii="ITC Avant Garde" w:hAnsi="ITC Avant Garde"/>
        </w:rPr>
      </w:pPr>
      <w:r w:rsidRPr="00F16453">
        <w:rPr>
          <w:rFonts w:ascii="ITC Avant Garde" w:hAnsi="ITC Avant Garde"/>
        </w:rPr>
        <w:t>En particular, en términos de las fracciones I y LVI del artículo 15 de la Ley</w:t>
      </w:r>
      <w:r w:rsidR="00F16453" w:rsidRPr="00F16453">
        <w:rPr>
          <w:rFonts w:ascii="ITC Avant Garde" w:hAnsi="ITC Avant Garde"/>
        </w:rPr>
        <w:t xml:space="preserve"> Federal de Telecomunicaciones y Radiodifusión</w:t>
      </w:r>
      <w:r w:rsidRPr="00F16453">
        <w:rPr>
          <w:rFonts w:ascii="ITC Avant Garde" w:hAnsi="ITC Avant Garde"/>
        </w:rPr>
        <w:t>, el Instituto se encuentra facultado para expedir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lo dispuesto en la propia Ley.</w:t>
      </w:r>
    </w:p>
    <w:p w14:paraId="0CF8636F" w14:textId="77777777" w:rsidR="00B9698B" w:rsidRDefault="00D236D2" w:rsidP="00B9698B">
      <w:pPr>
        <w:suppressAutoHyphens/>
        <w:spacing w:before="240" w:line="240" w:lineRule="auto"/>
        <w:ind w:right="-62"/>
        <w:jc w:val="both"/>
        <w:rPr>
          <w:rFonts w:ascii="ITC Avant Garde" w:hAnsi="ITC Avant Garde" w:cs="TimesNewRomanPS-BoldMT"/>
          <w:b/>
          <w:bCs/>
        </w:rPr>
      </w:pPr>
      <w:r w:rsidRPr="00F16453">
        <w:rPr>
          <w:rFonts w:ascii="ITC Avant Garde" w:hAnsi="ITC Avant Garde" w:cs="TimesNewRomanPS-BoldMT"/>
          <w:bCs/>
        </w:rPr>
        <w:t xml:space="preserve">Por lo anterior y con fundamento en los artículos </w:t>
      </w:r>
      <w:r w:rsidRPr="00F16453">
        <w:rPr>
          <w:rFonts w:ascii="ITC Avant Garde" w:hAnsi="ITC Avant Garde"/>
        </w:rPr>
        <w:t>6°, apartado B, fracción III, 7° y 28, párrafos décimo quinto, décimo sexto y vigésimo fracción IV, de la Constitución Política d</w:t>
      </w:r>
      <w:r w:rsidR="00154B3F" w:rsidRPr="00F16453">
        <w:rPr>
          <w:rFonts w:ascii="ITC Avant Garde" w:hAnsi="ITC Avant Garde"/>
        </w:rPr>
        <w:t>e los Estados Unidos Mexicanos</w:t>
      </w:r>
      <w:r w:rsidRPr="00F16453">
        <w:rPr>
          <w:rFonts w:ascii="ITC Avant Garde" w:hAnsi="ITC Avant Garde"/>
        </w:rPr>
        <w:t xml:space="preserve">; 1, 2, 7, 15, fracciones I y LVI, 16 y 17 fracciones I y XV de la Ley Federal de Telecomunicaciones y Radiodifusión, Transitorio Cuadragésimo Tercero del </w:t>
      </w:r>
      <w:r w:rsidR="00F16453" w:rsidRPr="00F16453">
        <w:rPr>
          <w:rFonts w:ascii="ITC Avant Garde" w:hAnsi="ITC Avant Garde"/>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F16453">
        <w:rPr>
          <w:rFonts w:ascii="ITC Avant Garde" w:hAnsi="ITC Avant Garde"/>
        </w:rPr>
        <w:t xml:space="preserve"> y 1, 4 fracciones I y V inciso iv), 6 fracción I, 37 y 38 fracciones I, III </w:t>
      </w:r>
      <w:r w:rsidRPr="00F16453">
        <w:rPr>
          <w:rFonts w:ascii="ITC Avant Garde" w:hAnsi="ITC Avant Garde"/>
        </w:rPr>
        <w:lastRenderedPageBreak/>
        <w:t>y IV del Estatuto Orgánico del Instituto Federal de Telecomunicaciones, el Pleno, como órgano máximo de gobierno del Instituto, resulta competente para emitir el presente Acuerdo.</w:t>
      </w:r>
    </w:p>
    <w:p w14:paraId="3E3D52BF" w14:textId="77777777" w:rsidR="00B9698B" w:rsidRDefault="007A2E04" w:rsidP="00B9698B">
      <w:pPr>
        <w:spacing w:before="240" w:line="240" w:lineRule="auto"/>
        <w:jc w:val="both"/>
        <w:rPr>
          <w:rFonts w:ascii="ITC Avant Garde" w:hAnsi="ITC Avant Garde"/>
          <w:lang w:val="es-ES"/>
        </w:rPr>
      </w:pPr>
      <w:proofErr w:type="gramStart"/>
      <w:r w:rsidRPr="00F16453">
        <w:rPr>
          <w:rFonts w:ascii="ITC Avant Garde" w:eastAsia="Times New Roman" w:hAnsi="ITC Avant Garde" w:cs="Calibri"/>
          <w:b/>
          <w:kern w:val="1"/>
          <w:lang w:val="es-ES" w:eastAsia="ar-SA"/>
        </w:rPr>
        <w:t>SEGUNDO.-</w:t>
      </w:r>
      <w:proofErr w:type="gramEnd"/>
      <w:r w:rsidRPr="00F16453">
        <w:rPr>
          <w:rFonts w:ascii="ITC Avant Garde" w:eastAsia="Times New Roman" w:hAnsi="ITC Avant Garde" w:cs="Calibri"/>
          <w:b/>
          <w:kern w:val="1"/>
          <w:lang w:val="es-ES" w:eastAsia="ar-SA"/>
        </w:rPr>
        <w:t xml:space="preserve"> </w:t>
      </w:r>
      <w:r w:rsidR="007E73E8" w:rsidRPr="00F16453">
        <w:rPr>
          <w:rFonts w:ascii="ITC Avant Garde" w:hAnsi="ITC Avant Garde"/>
          <w:kern w:val="2"/>
          <w:lang w:val="es-ES" w:eastAsia="ar-SA"/>
        </w:rPr>
        <w:t>Tal y como señala la Política TDT, l</w:t>
      </w:r>
      <w:r w:rsidR="007E73E8" w:rsidRPr="00F16453">
        <w:rPr>
          <w:rFonts w:ascii="ITC Avant Garde" w:hAnsi="ITC Avant Garde"/>
          <w:lang w:val="es-ES"/>
        </w:rPr>
        <w:t>a transición a la televisión digital terrestre ha conllevado una serie de beneficios y oportunidades directas e indirectas en la población, entre los cuales se encuentra:</w:t>
      </w:r>
    </w:p>
    <w:p w14:paraId="7213E204" w14:textId="77777777" w:rsidR="00B9698B" w:rsidRDefault="007E73E8" w:rsidP="00B9698B">
      <w:pPr>
        <w:pStyle w:val="Prrafodelista"/>
        <w:numPr>
          <w:ilvl w:val="0"/>
          <w:numId w:val="3"/>
        </w:numPr>
        <w:spacing w:before="240" w:line="240" w:lineRule="auto"/>
        <w:contextualSpacing w:val="0"/>
        <w:jc w:val="both"/>
        <w:rPr>
          <w:lang w:val="es-ES"/>
        </w:rPr>
      </w:pPr>
      <w:r w:rsidRPr="00F16453">
        <w:rPr>
          <w:lang w:val="es-ES"/>
        </w:rPr>
        <w:t>La posibilidad de obtener imágenes y sonido de mayor fidelidad y/o resolución, que las que permitían las transmisiones analógicas;</w:t>
      </w:r>
    </w:p>
    <w:p w14:paraId="5079CED5" w14:textId="77777777" w:rsidR="00B9698B" w:rsidRDefault="007E73E8" w:rsidP="00B9698B">
      <w:pPr>
        <w:pStyle w:val="Prrafodelista"/>
        <w:numPr>
          <w:ilvl w:val="0"/>
          <w:numId w:val="3"/>
        </w:numPr>
        <w:spacing w:before="240" w:line="240" w:lineRule="auto"/>
        <w:contextualSpacing w:val="0"/>
        <w:jc w:val="both"/>
        <w:rPr>
          <w:lang w:val="es-ES"/>
        </w:rPr>
      </w:pPr>
      <w:r w:rsidRPr="00F16453">
        <w:rPr>
          <w:lang w:val="es-ES"/>
        </w:rPr>
        <w:t>La posibilidad de acceder a mayor variedad de contenidos, por medio de la multiprogramación, y</w:t>
      </w:r>
    </w:p>
    <w:p w14:paraId="6C895972" w14:textId="77777777" w:rsidR="00B9698B" w:rsidRDefault="007E73E8" w:rsidP="00B9698B">
      <w:pPr>
        <w:pStyle w:val="Prrafodelista"/>
        <w:numPr>
          <w:ilvl w:val="0"/>
          <w:numId w:val="3"/>
        </w:numPr>
        <w:autoSpaceDE w:val="0"/>
        <w:autoSpaceDN w:val="0"/>
        <w:adjustRightInd w:val="0"/>
        <w:spacing w:before="240" w:line="240" w:lineRule="auto"/>
        <w:contextualSpacing w:val="0"/>
        <w:jc w:val="both"/>
      </w:pPr>
      <w:r w:rsidRPr="00F16453">
        <w:rPr>
          <w:lang w:val="es-ES"/>
        </w:rPr>
        <w:t>Impulsar el uso racional y planificado del espectro radioeléctrico que favorezca la utilización eficiente del</w:t>
      </w:r>
      <w:r w:rsidRPr="00F16453">
        <w:t xml:space="preserve"> mismo.</w:t>
      </w:r>
    </w:p>
    <w:p w14:paraId="718283BB" w14:textId="77777777" w:rsidR="00B9698B" w:rsidRDefault="007E73E8" w:rsidP="00B9698B">
      <w:pPr>
        <w:spacing w:before="240" w:line="240" w:lineRule="auto"/>
        <w:jc w:val="both"/>
        <w:rPr>
          <w:rFonts w:ascii="ITC Avant Garde" w:hAnsi="ITC Avant Garde"/>
          <w:lang w:val="es-ES"/>
        </w:rPr>
      </w:pPr>
      <w:r w:rsidRPr="00F16453">
        <w:rPr>
          <w:rFonts w:ascii="ITC Avant Garde" w:hAnsi="ITC Avant Garde"/>
          <w:lang w:val="es-ES"/>
        </w:rPr>
        <w:t xml:space="preserve">De la misma forma, la transición a la televisión digital terrestre permite la prestación de servicios de accesibilidad en beneficio de las personas con discapacidad, tales como el </w:t>
      </w:r>
      <w:proofErr w:type="spellStart"/>
      <w:r w:rsidRPr="00F16453">
        <w:rPr>
          <w:rFonts w:ascii="ITC Avant Garde" w:hAnsi="ITC Avant Garde"/>
          <w:lang w:val="es-ES"/>
        </w:rPr>
        <w:t>subtitulaje</w:t>
      </w:r>
      <w:proofErr w:type="spellEnd"/>
      <w:r w:rsidRPr="00F16453">
        <w:rPr>
          <w:rFonts w:ascii="ITC Avant Garde" w:hAnsi="ITC Avant Garde"/>
          <w:lang w:val="es-ES"/>
        </w:rPr>
        <w:t xml:space="preserve"> oculto y la interpretación en Lengua de Señas Mexicana.</w:t>
      </w:r>
    </w:p>
    <w:p w14:paraId="64845DF9" w14:textId="2B201732" w:rsidR="007E73E8" w:rsidRPr="00F16453" w:rsidRDefault="007E73E8" w:rsidP="00B9698B">
      <w:pPr>
        <w:suppressAutoHyphens/>
        <w:spacing w:before="240" w:line="240" w:lineRule="auto"/>
        <w:ind w:right="-62"/>
        <w:jc w:val="both"/>
        <w:rPr>
          <w:rFonts w:ascii="ITC Avant Garde" w:hAnsi="ITC Avant Garde"/>
          <w:kern w:val="2"/>
          <w:lang w:val="es-ES" w:eastAsia="ar-SA"/>
        </w:rPr>
      </w:pPr>
      <w:r w:rsidRPr="00F16453">
        <w:rPr>
          <w:rFonts w:ascii="ITC Avant Garde" w:hAnsi="ITC Avant Garde"/>
          <w:kern w:val="2"/>
          <w:lang w:val="es-ES" w:eastAsia="ar-SA"/>
        </w:rPr>
        <w:t>En ese sentido, uno más de los beneficios que la transición a la televisión digital terrestre brinda a la población, es la posibilidad de contar con mecanismos de accesibilidad que permiten que las personas con discapacidad consuman contenidos audiovisuales en igualdad de circunstancias con las demás.</w:t>
      </w:r>
    </w:p>
    <w:p w14:paraId="4324C678" w14:textId="77777777" w:rsidR="00B9698B" w:rsidRDefault="007E73E8" w:rsidP="00B9698B">
      <w:pPr>
        <w:suppressAutoHyphens/>
        <w:spacing w:before="240" w:line="240" w:lineRule="auto"/>
        <w:ind w:right="-62"/>
        <w:jc w:val="both"/>
        <w:rPr>
          <w:rFonts w:ascii="ITC Avant Garde" w:hAnsi="ITC Avant Garde"/>
        </w:rPr>
      </w:pPr>
      <w:r w:rsidRPr="00F16453">
        <w:rPr>
          <w:rFonts w:ascii="ITC Avant Garde" w:hAnsi="ITC Avant Garde"/>
        </w:rPr>
        <w:t xml:space="preserve">Una vez expuesto lo anterior, resulta claro que el Instituto se encuentra en condiciones de regular la prestación técnica de los servicios de accesibilidad en los contenidos audiovisuales para personas con discapacidad, siendo importante precisar que </w:t>
      </w:r>
      <w:r w:rsidR="00177599">
        <w:rPr>
          <w:rFonts w:ascii="ITC Avant Garde" w:hAnsi="ITC Avant Garde"/>
        </w:rPr>
        <w:t>hoy en día</w:t>
      </w:r>
      <w:r w:rsidRPr="00F16453">
        <w:rPr>
          <w:rFonts w:ascii="ITC Avant Garde" w:hAnsi="ITC Avant Garde"/>
        </w:rPr>
        <w:t xml:space="preserve"> todas las transmisiones del servicio de televisión radiodifundida en el país se realizan de forma digital.</w:t>
      </w:r>
    </w:p>
    <w:p w14:paraId="1E6A089D" w14:textId="77777777" w:rsidR="00B9698B" w:rsidRDefault="00177599" w:rsidP="00B9698B">
      <w:pPr>
        <w:spacing w:before="240" w:line="240" w:lineRule="auto"/>
        <w:ind w:right="-7"/>
        <w:jc w:val="both"/>
        <w:rPr>
          <w:rFonts w:ascii="ITC Avant Garde" w:hAnsi="ITC Avant Garde"/>
        </w:rPr>
      </w:pPr>
      <w:r>
        <w:rPr>
          <w:rFonts w:ascii="ITC Avant Garde" w:hAnsi="ITC Avant Garde"/>
        </w:rPr>
        <w:t xml:space="preserve">En particular, el </w:t>
      </w:r>
      <w:r w:rsidR="007E73E8" w:rsidRPr="00F16453">
        <w:rPr>
          <w:rFonts w:ascii="ITC Avant Garde" w:hAnsi="ITC Avant Garde"/>
        </w:rPr>
        <w:t xml:space="preserve">artículo </w:t>
      </w:r>
      <w:r>
        <w:rPr>
          <w:rFonts w:ascii="ITC Avant Garde" w:hAnsi="ITC Avant Garde"/>
        </w:rPr>
        <w:t xml:space="preserve">Cuadragésimo Tercero del Decreto de Ley </w:t>
      </w:r>
      <w:r w:rsidR="007E73E8" w:rsidRPr="00F16453">
        <w:rPr>
          <w:rFonts w:ascii="ITC Avant Garde" w:hAnsi="ITC Avant Garde"/>
        </w:rPr>
        <w:t xml:space="preserve">establece que dentro de un plazo que no excederá de 36 meses a partir de la entrada en vigor de la Ley, es decir, a más tardar el 14 de agosto de 2017, las señales de los concesionarios de uso comercial que presten el servicio de televisión radiodifundida y que cubran 50% o más del territorio nacional deberán contar con Lenguaje de Señas Mexicana o </w:t>
      </w:r>
      <w:proofErr w:type="spellStart"/>
      <w:r w:rsidR="007E73E8" w:rsidRPr="00F16453">
        <w:rPr>
          <w:rFonts w:ascii="ITC Avant Garde" w:hAnsi="ITC Avant Garde"/>
        </w:rPr>
        <w:t>subtitulaje</w:t>
      </w:r>
      <w:proofErr w:type="spellEnd"/>
      <w:r w:rsidR="007E73E8" w:rsidRPr="00F16453">
        <w:rPr>
          <w:rFonts w:ascii="ITC Avant Garde" w:hAnsi="ITC Avant Garde"/>
        </w:rPr>
        <w:t xml:space="preserve"> oculto, en la programación que transmitan de las 6:00 a las 24:00 horas, excluyendo la publicidad. También señala que la obligación resulta aplicable a los entes públicos federales que son concesionarios de uso público de televisión radiodifundida.</w:t>
      </w:r>
    </w:p>
    <w:p w14:paraId="7C71E634" w14:textId="77777777" w:rsidR="00B9698B" w:rsidRDefault="00627D7F" w:rsidP="00B9698B">
      <w:pPr>
        <w:suppressAutoHyphens/>
        <w:spacing w:before="240" w:line="240" w:lineRule="auto"/>
        <w:jc w:val="both"/>
        <w:rPr>
          <w:rFonts w:ascii="ITC Avant Garde" w:eastAsia="Times New Roman" w:hAnsi="ITC Avant Garde" w:cs="Calibri"/>
          <w:kern w:val="1"/>
          <w:lang w:val="es-ES" w:eastAsia="ar-SA"/>
        </w:rPr>
      </w:pPr>
      <w:r w:rsidRPr="00F16453">
        <w:rPr>
          <w:rFonts w:ascii="ITC Avant Garde" w:hAnsi="ITC Avant Garde"/>
        </w:rPr>
        <w:t xml:space="preserve">Al tenor de lo referido, </w:t>
      </w:r>
      <w:r w:rsidR="00C411B2" w:rsidRPr="00F16453">
        <w:rPr>
          <w:rFonts w:ascii="ITC Avant Garde" w:hAnsi="ITC Avant Garde"/>
        </w:rPr>
        <w:t>se</w:t>
      </w:r>
      <w:r w:rsidR="00177599">
        <w:rPr>
          <w:rFonts w:ascii="ITC Avant Garde" w:hAnsi="ITC Avant Garde"/>
        </w:rPr>
        <w:t xml:space="preserve"> considera necesario realizar la consulta pública que nos ocupa.</w:t>
      </w:r>
    </w:p>
    <w:p w14:paraId="6B60DD77" w14:textId="77777777" w:rsidR="00B9698B" w:rsidRDefault="007A2E04" w:rsidP="00B9698B">
      <w:pPr>
        <w:suppressAutoHyphens/>
        <w:spacing w:before="240" w:line="240" w:lineRule="auto"/>
        <w:jc w:val="both"/>
        <w:rPr>
          <w:rFonts w:ascii="ITC Avant Garde" w:hAnsi="ITC Avant Garde"/>
        </w:rPr>
      </w:pPr>
      <w:r w:rsidRPr="00F16453">
        <w:rPr>
          <w:rFonts w:ascii="ITC Avant Garde" w:hAnsi="ITC Avant Garde"/>
          <w:b/>
        </w:rPr>
        <w:lastRenderedPageBreak/>
        <w:t>TERCERO.</w:t>
      </w:r>
      <w:r w:rsidR="00B53860" w:rsidRPr="00F16453">
        <w:rPr>
          <w:rFonts w:ascii="ITC Avant Garde" w:hAnsi="ITC Avant Garde"/>
          <w:b/>
        </w:rPr>
        <w:t xml:space="preserve"> </w:t>
      </w:r>
      <w:r w:rsidRPr="00F16453">
        <w:rPr>
          <w:rFonts w:ascii="ITC Avant Garde" w:hAnsi="ITC Avant Garde"/>
          <w:b/>
        </w:rPr>
        <w:t xml:space="preserve">- </w:t>
      </w:r>
      <w:r w:rsidR="00D377C6" w:rsidRPr="00F16453">
        <w:rPr>
          <w:rFonts w:ascii="ITC Avant Garde" w:hAnsi="ITC Avant Garde"/>
        </w:rPr>
        <w:t>El artículo 51 de la Ley señala que, para la emisión y modificación de reglas, lineamientos o disposiciones administrativas de carácter general, así como en cualquier caso que determine el Pleno, el Instituto deberá realizar consultas públicas bajo los principios de transparencia y participación ciudadana.</w:t>
      </w:r>
    </w:p>
    <w:p w14:paraId="3EAC7411" w14:textId="77777777" w:rsidR="00B9698B" w:rsidRDefault="00D377C6" w:rsidP="00B9698B">
      <w:pPr>
        <w:suppressAutoHyphens/>
        <w:spacing w:before="240" w:line="240" w:lineRule="auto"/>
        <w:jc w:val="both"/>
        <w:rPr>
          <w:rFonts w:ascii="ITC Avant Garde" w:hAnsi="ITC Avant Garde"/>
        </w:rPr>
      </w:pPr>
      <w:r w:rsidRPr="00F16453">
        <w:rPr>
          <w:rFonts w:ascii="ITC Avant Garde" w:hAnsi="ITC Avant Garde"/>
        </w:rPr>
        <w:t>En este sentido, el Pleno del Instituto de</w:t>
      </w:r>
      <w:r w:rsidR="00783E5A">
        <w:rPr>
          <w:rFonts w:ascii="ITC Avant Garde" w:hAnsi="ITC Avant Garde"/>
        </w:rPr>
        <w:t>termina</w:t>
      </w:r>
      <w:r w:rsidR="00627D7F" w:rsidRPr="00F16453">
        <w:rPr>
          <w:rFonts w:ascii="ITC Avant Garde" w:hAnsi="ITC Avant Garde"/>
        </w:rPr>
        <w:t xml:space="preserve"> someter a consulta pública el Anteproyecto por un periodo razonable a fin de transparentar y promover la participación ciudadana en los procesos de emisión de disposiciones de carácter general que genere el Instituto, a efecto de dar cabal cumplimiento a lo establecido en el dispositivo legal señalado.</w:t>
      </w:r>
    </w:p>
    <w:p w14:paraId="07CCDC98" w14:textId="77777777" w:rsidR="00B9698B" w:rsidRDefault="007A2E04" w:rsidP="00B9698B">
      <w:pPr>
        <w:spacing w:before="240" w:line="240" w:lineRule="auto"/>
        <w:jc w:val="both"/>
        <w:rPr>
          <w:rFonts w:ascii="ITC Avant Garde" w:hAnsi="ITC Avant Garde"/>
        </w:rPr>
      </w:pPr>
      <w:r w:rsidRPr="00F16453">
        <w:rPr>
          <w:rFonts w:ascii="ITC Avant Garde" w:eastAsia="Times New Roman" w:hAnsi="ITC Avant Garde"/>
          <w:kern w:val="2"/>
          <w:lang w:val="es-ES" w:eastAsia="ar-SA"/>
        </w:rPr>
        <w:t xml:space="preserve">Por lo anterior, </w:t>
      </w:r>
      <w:r w:rsidRPr="00F16453">
        <w:rPr>
          <w:rFonts w:ascii="ITC Avant Garde" w:hAnsi="ITC Avant Garde"/>
        </w:rPr>
        <w:t>con fundamento en los artículos</w:t>
      </w:r>
      <w:r w:rsidR="00C07FA2" w:rsidRPr="00F16453">
        <w:rPr>
          <w:rFonts w:ascii="ITC Avant Garde" w:hAnsi="ITC Avant Garde"/>
        </w:rPr>
        <w:t xml:space="preserve"> 6°, apartado B, fracción III y 28, párrafos décimo quinto, décimo sexto y vigésimo, fracción IV, de la Constitución Política de los Estados Unidos Mexicanos; 1, 2, 7, 15, fracciones I y LVI, 16 y 17 fracciones I y XV, 161, fracción II y 258, fracción I de la Ley Federal de Telecomunicaciones y Radiodifusión; Transitorio Cuadragésimo Tercero del “Decreto por el que se expiden la Ley Federal de Telecomunicaciones y Radiodifusión, y la Ley del Sistema Público de Radiodifusión del Estado Mexicano; y se reforman, adicionan y derogan diversas disposiciones en materia de telecomunicaciones y radiodifusión”; y 1, 4 fracciones I y V inciso iv), 6 fracción I, 37 y 38 fracciones I, III y IV del Estatuto Orgánico del Instituto Federal de Telecomunicaciones, </w:t>
      </w:r>
      <w:r w:rsidRPr="00F16453">
        <w:rPr>
          <w:rFonts w:ascii="ITC Avant Garde" w:hAnsi="ITC Avant Garde"/>
        </w:rPr>
        <w:t>el Pleno del Instituto emite el siguiente:</w:t>
      </w:r>
    </w:p>
    <w:p w14:paraId="3CF2D1C5" w14:textId="77777777" w:rsidR="00B9698B" w:rsidRPr="00B9698B" w:rsidRDefault="007A2E04" w:rsidP="00B9698B">
      <w:pPr>
        <w:pStyle w:val="Ttulo2"/>
        <w:spacing w:after="24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ACUERDO</w:t>
      </w:r>
    </w:p>
    <w:p w14:paraId="3A411085" w14:textId="5937638C" w:rsidR="00B9698B" w:rsidRDefault="007A2E04" w:rsidP="00B9698B">
      <w:pPr>
        <w:spacing w:before="240" w:line="240" w:lineRule="auto"/>
        <w:jc w:val="both"/>
        <w:rPr>
          <w:rFonts w:ascii="ITC Avant Garde" w:hAnsi="ITC Avant Garde"/>
          <w:i/>
        </w:rPr>
      </w:pPr>
      <w:r w:rsidRPr="00F16453">
        <w:rPr>
          <w:rFonts w:ascii="ITC Avant Garde" w:hAnsi="ITC Avant Garde" w:cs="TimesNewRomanPS-BoldMT"/>
          <w:b/>
          <w:bCs/>
        </w:rPr>
        <w:t xml:space="preserve">PRIMERO. - </w:t>
      </w:r>
      <w:r w:rsidRPr="00F16453">
        <w:rPr>
          <w:rFonts w:ascii="ITC Avant Garde" w:hAnsi="ITC Avant Garde" w:cs="TimesNewRomanPS-BoldMT"/>
          <w:bCs/>
        </w:rPr>
        <w:t>Se determina</w:t>
      </w:r>
      <w:r w:rsidRPr="00F16453">
        <w:rPr>
          <w:rFonts w:ascii="ITC Avant Garde" w:hAnsi="ITC Avant Garde" w:cs="TimesNewRomanPS-BoldMT"/>
          <w:b/>
          <w:bCs/>
        </w:rPr>
        <w:t xml:space="preserve"> </w:t>
      </w:r>
      <w:r w:rsidRPr="00F16453">
        <w:rPr>
          <w:rFonts w:ascii="ITC Avant Garde" w:hAnsi="ITC Avant Garde"/>
        </w:rPr>
        <w:t xml:space="preserve">someter a consulta pública, por un plazo de </w:t>
      </w:r>
      <w:r w:rsidRPr="00177599">
        <w:rPr>
          <w:rFonts w:ascii="ITC Avant Garde" w:hAnsi="ITC Avant Garde"/>
        </w:rPr>
        <w:t>20 (veinte)</w:t>
      </w:r>
      <w:r w:rsidRPr="00F16453">
        <w:rPr>
          <w:rFonts w:ascii="ITC Avant Garde" w:hAnsi="ITC Avant Garde"/>
        </w:rPr>
        <w:t xml:space="preserve"> días hábiles contados a partir del día de su publicación en el portal de Internet del Instituto Federal de Telecomunicaciones</w:t>
      </w:r>
      <w:r w:rsidRPr="00F16453">
        <w:rPr>
          <w:rFonts w:ascii="ITC Avant Garde" w:hAnsi="ITC Avant Garde" w:cs="TimesNewRomanPSMT"/>
        </w:rPr>
        <w:t xml:space="preserve">, el </w:t>
      </w:r>
      <w:r w:rsidRPr="00F16453">
        <w:rPr>
          <w:rFonts w:ascii="ITC Avant Garde" w:hAnsi="ITC Avant Garde"/>
        </w:rPr>
        <w:t>“</w:t>
      </w:r>
      <w:r w:rsidR="00C07FA2" w:rsidRPr="00F16453">
        <w:rPr>
          <w:rFonts w:ascii="ITC Avant Garde" w:hAnsi="ITC Avant Garde"/>
        </w:rPr>
        <w:t xml:space="preserve">Anteproyecto de </w:t>
      </w:r>
      <w:r w:rsidRPr="00F16453">
        <w:rPr>
          <w:rFonts w:ascii="ITC Avant Garde" w:hAnsi="ITC Avant Garde"/>
        </w:rPr>
        <w:t>Lineamientos Generales de Accesibilidad al Servic</w:t>
      </w:r>
      <w:r w:rsidR="00C07FA2" w:rsidRPr="00F16453">
        <w:rPr>
          <w:rFonts w:ascii="ITC Avant Garde" w:hAnsi="ITC Avant Garde"/>
        </w:rPr>
        <w:t>io de Televisión Radiodifundida</w:t>
      </w:r>
      <w:r w:rsidRPr="00F16453">
        <w:rPr>
          <w:rFonts w:ascii="ITC Avant Garde" w:hAnsi="ITC Avant Garde"/>
        </w:rPr>
        <w:t>”</w:t>
      </w:r>
      <w:r w:rsidR="00C07FA2" w:rsidRPr="00F16453">
        <w:rPr>
          <w:rFonts w:ascii="ITC Avant Garde" w:hAnsi="ITC Avant Garde" w:cs="TimesNewRomanPSMT"/>
        </w:rPr>
        <w:t>, con la finalidad de que</w:t>
      </w:r>
      <w:r w:rsidRPr="00F16453">
        <w:rPr>
          <w:rFonts w:ascii="ITC Avant Garde" w:hAnsi="ITC Avant Garde" w:cs="TimesNewRomanPSMT"/>
        </w:rPr>
        <w:t xml:space="preserve"> cualquier interesado presente comentarios, observaciones, propuestas y/o adiciones. </w:t>
      </w:r>
    </w:p>
    <w:p w14:paraId="4EAE248F" w14:textId="77777777" w:rsidR="00B9698B" w:rsidRDefault="007A2E04" w:rsidP="00B9698B">
      <w:pPr>
        <w:autoSpaceDE w:val="0"/>
        <w:autoSpaceDN w:val="0"/>
        <w:adjustRightInd w:val="0"/>
        <w:spacing w:before="240" w:line="240" w:lineRule="auto"/>
        <w:jc w:val="both"/>
        <w:rPr>
          <w:rFonts w:ascii="ITC Avant Garde" w:hAnsi="ITC Avant Garde" w:cs="TimesNewRomanPSMT"/>
        </w:rPr>
      </w:pPr>
      <w:r w:rsidRPr="00F16453">
        <w:rPr>
          <w:rFonts w:ascii="ITC Avant Garde" w:hAnsi="ITC Avant Garde" w:cs="TimesNewRomanPSMT"/>
          <w:b/>
        </w:rPr>
        <w:t xml:space="preserve">SEGUNDO. - </w:t>
      </w:r>
      <w:r w:rsidRPr="00F16453">
        <w:rPr>
          <w:rFonts w:ascii="ITC Avant Garde" w:hAnsi="ITC Avant Garde" w:cs="TimesNewRomanPSMT"/>
        </w:rPr>
        <w:t>Se instruye a la Unidad de Medios y Contenidos Audiovisuales, a recibir y dar la atención que corresponda, en el ámbito de sus atribuciones, a los comentarios, opiniones, propuestas y/o adiciones que sean vertidas en virtud de la consulta pública materia del presente acuerdo.</w:t>
      </w:r>
    </w:p>
    <w:p w14:paraId="4345C5B9" w14:textId="77777777" w:rsidR="00B9698B" w:rsidRDefault="00B53860" w:rsidP="00B9698B">
      <w:pPr>
        <w:autoSpaceDE w:val="0"/>
        <w:autoSpaceDN w:val="0"/>
        <w:adjustRightInd w:val="0"/>
        <w:spacing w:before="240" w:line="240" w:lineRule="auto"/>
        <w:jc w:val="both"/>
        <w:rPr>
          <w:rFonts w:ascii="ITC Avant Garde" w:hAnsi="ITC Avant Garde"/>
        </w:rPr>
      </w:pPr>
      <w:r w:rsidRPr="00F16453">
        <w:rPr>
          <w:rFonts w:ascii="ITC Avant Garde" w:hAnsi="ITC Avant Garde" w:cs="TimesNewRomanPSMT"/>
          <w:b/>
        </w:rPr>
        <w:t xml:space="preserve">TERCERO. - </w:t>
      </w:r>
      <w:r w:rsidR="007A2E04" w:rsidRPr="00F16453">
        <w:rPr>
          <w:rFonts w:ascii="ITC Avant Garde" w:hAnsi="ITC Avant Garde" w:cs="TimesNewRomanPSMT"/>
        </w:rPr>
        <w:t>Publíquese</w:t>
      </w:r>
      <w:r w:rsidR="007A2E04" w:rsidRPr="00F16453">
        <w:rPr>
          <w:rFonts w:ascii="ITC Avant Garde" w:hAnsi="ITC Avant Garde"/>
        </w:rPr>
        <w:t xml:space="preserve"> en la página de Internet del Instituto Federal de Telecomunicaciones.</w:t>
      </w:r>
    </w:p>
    <w:p w14:paraId="01F8CE3F" w14:textId="09BD6E86" w:rsidR="006B1A53" w:rsidRDefault="00A677ED" w:rsidP="00B9698B">
      <w:pPr>
        <w:spacing w:before="240" w:line="240" w:lineRule="auto"/>
        <w:ind w:right="49"/>
        <w:jc w:val="both"/>
        <w:rPr>
          <w:rFonts w:ascii="ITC Avant Garde" w:eastAsia="Calibri" w:hAnsi="ITC Avant Garde" w:cs="Calibri"/>
          <w:sz w:val="14"/>
          <w:szCs w:val="14"/>
          <w:lang w:val="es-ES"/>
        </w:rPr>
        <w:sectPr w:rsidR="006B1A53" w:rsidSect="00A677ED">
          <w:headerReference w:type="even" r:id="rId8"/>
          <w:footerReference w:type="default" r:id="rId9"/>
          <w:headerReference w:type="first" r:id="rId10"/>
          <w:pgSz w:w="12240" w:h="15840"/>
          <w:pgMar w:top="2098" w:right="1871" w:bottom="1361" w:left="1871" w:header="709" w:footer="709" w:gutter="0"/>
          <w:cols w:space="708"/>
          <w:docGrid w:linePitch="360"/>
        </w:sectPr>
      </w:pPr>
      <w:r w:rsidRPr="00A677ED">
        <w:rPr>
          <w:rFonts w:ascii="ITC Avant Garde" w:eastAsia="Calibri" w:hAnsi="ITC Avant Garde" w:cs="Calibri"/>
          <w:sz w:val="14"/>
          <w:szCs w:val="14"/>
          <w:lang w:val="es-ES"/>
        </w:rPr>
        <w:t xml:space="preserve">El presente Acuerdo fue aprobado por el Pleno del Instituto Federal de Telecomunicaciones en su VI Sesión Ordinaria celebrada el 21 de febrero de 2018, </w:t>
      </w:r>
      <w:r w:rsidRPr="00A677ED">
        <w:rPr>
          <w:rFonts w:ascii="ITC Avant Garde" w:eastAsia="Calibri" w:hAnsi="ITC Avant Garde" w:cs="Calibri"/>
          <w:bCs/>
          <w:sz w:val="14"/>
          <w:szCs w:val="14"/>
          <w:lang w:val="es-ES"/>
        </w:rPr>
        <w:t>por</w:t>
      </w:r>
      <w:r w:rsidRPr="00A677ED">
        <w:rPr>
          <w:rFonts w:ascii="ITC Avant Garde" w:eastAsia="Calibri" w:hAnsi="ITC Avant Garde" w:cs="Calibri"/>
          <w:sz w:val="14"/>
          <w:szCs w:val="14"/>
          <w:lang w:val="es-ES"/>
        </w:rPr>
        <w:t xml:space="preserve"> </w:t>
      </w:r>
      <w:r w:rsidRPr="00A677ED">
        <w:rPr>
          <w:rFonts w:ascii="ITC Avant Garde" w:eastAsia="Calibri" w:hAnsi="ITC Avant Garde" w:cs="Calibri"/>
          <w:bCs/>
          <w:sz w:val="14"/>
          <w:szCs w:val="14"/>
          <w:lang w:val="es-ES"/>
        </w:rPr>
        <w:t>unanimidad</w:t>
      </w:r>
      <w:r w:rsidRPr="00A677ED">
        <w:rPr>
          <w:rFonts w:ascii="ITC Avant Garde" w:eastAsia="Calibri" w:hAnsi="ITC Avant Garde" w:cs="Calibri"/>
          <w:sz w:val="14"/>
          <w:szCs w:val="14"/>
          <w:lang w:val="es-ES"/>
        </w:rPr>
        <w:t xml:space="preserve"> de votos de los Comisionados Gabriel Oswaldo Contreras Saldívar, Adriana Sofía Labardini </w:t>
      </w:r>
      <w:proofErr w:type="spellStart"/>
      <w:r w:rsidRPr="00A677ED">
        <w:rPr>
          <w:rFonts w:ascii="ITC Avant Garde" w:eastAsia="Calibri" w:hAnsi="ITC Avant Garde" w:cs="Calibri"/>
          <w:sz w:val="14"/>
          <w:szCs w:val="14"/>
          <w:lang w:val="es-ES"/>
        </w:rPr>
        <w:t>Inzunza</w:t>
      </w:r>
      <w:proofErr w:type="spellEnd"/>
      <w:r w:rsidRPr="00A677ED">
        <w:rPr>
          <w:rFonts w:ascii="ITC Avant Garde" w:eastAsia="Calibri" w:hAnsi="ITC Avant Garde" w:cs="Calibri"/>
          <w:sz w:val="14"/>
          <w:szCs w:val="14"/>
          <w:lang w:val="es-ES"/>
        </w:rPr>
        <w:t xml:space="preserve">, María Elena </w:t>
      </w:r>
      <w:proofErr w:type="spellStart"/>
      <w:r w:rsidRPr="00A677ED">
        <w:rPr>
          <w:rFonts w:ascii="ITC Avant Garde" w:eastAsia="Calibri" w:hAnsi="ITC Avant Garde" w:cs="Calibri"/>
          <w:sz w:val="14"/>
          <w:szCs w:val="14"/>
          <w:lang w:val="es-ES"/>
        </w:rPr>
        <w:t>Estavillo</w:t>
      </w:r>
      <w:proofErr w:type="spellEnd"/>
      <w:r w:rsidRPr="00A677ED">
        <w:rPr>
          <w:rFonts w:ascii="ITC Avant Garde" w:eastAsia="Calibri" w:hAnsi="ITC Avant Garde" w:cs="Calibri"/>
          <w:sz w:val="14"/>
          <w:szCs w:val="14"/>
          <w:lang w:val="es-ES"/>
        </w:rPr>
        <w:t xml:space="preserve"> Flores, Mario Germán </w:t>
      </w:r>
      <w:proofErr w:type="spellStart"/>
      <w:r w:rsidRPr="00A677ED">
        <w:rPr>
          <w:rFonts w:ascii="ITC Avant Garde" w:eastAsia="Calibri" w:hAnsi="ITC Avant Garde" w:cs="Calibri"/>
          <w:sz w:val="14"/>
          <w:szCs w:val="14"/>
          <w:lang w:val="es-ES"/>
        </w:rPr>
        <w:t>Fromow</w:t>
      </w:r>
      <w:proofErr w:type="spellEnd"/>
      <w:r w:rsidRPr="00A677ED">
        <w:rPr>
          <w:rFonts w:ascii="ITC Avant Garde" w:eastAsia="Calibri" w:hAnsi="ITC Avant Garde" w:cs="Calibri"/>
          <w:sz w:val="14"/>
          <w:szCs w:val="14"/>
          <w:lang w:val="es-ES"/>
        </w:rPr>
        <w:t xml:space="preserve"> Rangel, Adolfo Cuevas Teja, Javier Juárez Mojica y Arturo Robles </w:t>
      </w:r>
      <w:proofErr w:type="spellStart"/>
      <w:r w:rsidRPr="00A677ED">
        <w:rPr>
          <w:rFonts w:ascii="ITC Avant Garde" w:eastAsia="Calibri" w:hAnsi="ITC Avant Garde" w:cs="Calibri"/>
          <w:sz w:val="14"/>
          <w:szCs w:val="14"/>
          <w:lang w:val="es-ES"/>
        </w:rPr>
        <w:t>Rovalo</w:t>
      </w:r>
      <w:proofErr w:type="spellEnd"/>
      <w:r w:rsidRPr="00A677ED">
        <w:rPr>
          <w:rFonts w:ascii="ITC Avant Garde" w:eastAsia="Calibri" w:hAnsi="ITC Avant Garde" w:cs="Calibri"/>
          <w:sz w:val="14"/>
          <w:szCs w:val="14"/>
          <w:lang w:val="es-ES"/>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P/IFT/210218/121.</w:t>
      </w:r>
    </w:p>
    <w:p w14:paraId="368A98C8" w14:textId="55DF450E" w:rsidR="00B9698B" w:rsidRPr="00B9698B" w:rsidRDefault="006B1A53" w:rsidP="00B9698B">
      <w:pPr>
        <w:pStyle w:val="Ttulo1"/>
        <w:spacing w:after="240"/>
        <w:jc w:val="center"/>
        <w:rPr>
          <w:rFonts w:ascii="ITC Avant Garde" w:eastAsia="Times New Roman" w:hAnsi="ITC Avant Garde"/>
          <w:b/>
          <w:color w:val="000000" w:themeColor="text1"/>
          <w:sz w:val="24"/>
          <w:szCs w:val="24"/>
          <w:lang w:val="es-ES_tradnl" w:eastAsia="es-ES"/>
        </w:rPr>
      </w:pPr>
      <w:r w:rsidRPr="00B9698B">
        <w:rPr>
          <w:rFonts w:ascii="ITC Avant Garde" w:eastAsia="Times New Roman" w:hAnsi="ITC Avant Garde"/>
          <w:b/>
          <w:color w:val="000000" w:themeColor="text1"/>
          <w:sz w:val="24"/>
          <w:szCs w:val="24"/>
          <w:lang w:val="es-ES_tradnl" w:eastAsia="es-ES"/>
        </w:rPr>
        <w:lastRenderedPageBreak/>
        <w:t>ANTEPROYECTO DE LINEAMIENTOS GENERALES DE ACCESIBILIDAD AL SERVICIO DE TELEVISIÓN RADIODIFUNDIDA</w:t>
      </w:r>
    </w:p>
    <w:p w14:paraId="04573F5B" w14:textId="2F038ED0" w:rsidR="006B1A53" w:rsidRPr="00B9698B" w:rsidRDefault="006B1A53" w:rsidP="00B9698B">
      <w:pPr>
        <w:pStyle w:val="Ttulo2"/>
        <w:spacing w:after="24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Capítulo I</w:t>
      </w:r>
    </w:p>
    <w:p w14:paraId="5E9C2192" w14:textId="77777777" w:rsidR="00B9698B" w:rsidRDefault="006B1A53" w:rsidP="00B9698B">
      <w:pPr>
        <w:spacing w:before="240" w:line="240" w:lineRule="auto"/>
        <w:jc w:val="center"/>
        <w:rPr>
          <w:rFonts w:ascii="ITC Avant Garde" w:hAnsi="ITC Avant Garde"/>
          <w:b/>
        </w:rPr>
      </w:pPr>
      <w:r w:rsidRPr="00D245AD">
        <w:rPr>
          <w:rFonts w:ascii="ITC Avant Garde" w:hAnsi="ITC Avant Garde"/>
          <w:b/>
        </w:rPr>
        <w:t>Disposiciones Generales</w:t>
      </w:r>
    </w:p>
    <w:p w14:paraId="4C6BEC9D" w14:textId="77777777" w:rsidR="00B9698B" w:rsidRDefault="006B1A53" w:rsidP="00B9698B">
      <w:pPr>
        <w:pStyle w:val="Texto"/>
        <w:spacing w:before="240" w:after="200" w:line="240" w:lineRule="auto"/>
        <w:ind w:firstLine="0"/>
        <w:rPr>
          <w:rFonts w:ascii="ITC Avant Garde" w:hAnsi="ITC Avant Garde"/>
          <w:sz w:val="22"/>
          <w:szCs w:val="22"/>
        </w:rPr>
      </w:pPr>
      <w:r w:rsidRPr="00D245AD">
        <w:rPr>
          <w:rFonts w:ascii="ITC Avant Garde" w:hAnsi="ITC Avant Garde"/>
          <w:b/>
          <w:sz w:val="22"/>
          <w:szCs w:val="22"/>
        </w:rPr>
        <w:t xml:space="preserve">Artículo 1.- </w:t>
      </w:r>
      <w:r w:rsidRPr="00D245AD">
        <w:rPr>
          <w:rFonts w:ascii="ITC Avant Garde" w:hAnsi="ITC Avant Garde"/>
          <w:sz w:val="22"/>
          <w:szCs w:val="22"/>
        </w:rPr>
        <w:t>Los presentes Lineamientos tienen por objeto establecer los parámetros que deberán cumplir los servicios de Accesibilidad para personas con Discapacidad en el Servicio de Televisión Radiodifundida, para los efectos del artículo Cuadragésimo Tercero Transitorio del Decreto de Ley.</w:t>
      </w:r>
    </w:p>
    <w:p w14:paraId="20E5404E" w14:textId="77777777" w:rsidR="00B9698B" w:rsidRDefault="006B1A53" w:rsidP="00B9698B">
      <w:pPr>
        <w:spacing w:before="240" w:line="240" w:lineRule="auto"/>
        <w:jc w:val="both"/>
        <w:rPr>
          <w:rFonts w:ascii="ITC Avant Garde" w:hAnsi="ITC Avant Garde"/>
        </w:rPr>
      </w:pPr>
      <w:r w:rsidRPr="00D245AD">
        <w:rPr>
          <w:rFonts w:ascii="ITC Avant Garde" w:hAnsi="ITC Avant Garde"/>
          <w:b/>
        </w:rPr>
        <w:t>Artículo 2</w:t>
      </w:r>
      <w:r w:rsidRPr="00D245AD">
        <w:rPr>
          <w:rFonts w:ascii="ITC Avant Garde" w:hAnsi="ITC Avant Garde"/>
        </w:rPr>
        <w:t>.- Para efecto de los Lineamientos deberá estarse a las siguientes definiciones:</w:t>
      </w:r>
    </w:p>
    <w:p w14:paraId="6A3D8317" w14:textId="77777777" w:rsidR="00B9698B" w:rsidRDefault="006B1A53" w:rsidP="00B9698B">
      <w:pPr>
        <w:numPr>
          <w:ilvl w:val="0"/>
          <w:numId w:val="7"/>
        </w:numPr>
        <w:spacing w:before="240" w:line="240" w:lineRule="auto"/>
        <w:contextualSpacing/>
        <w:jc w:val="both"/>
        <w:rPr>
          <w:rFonts w:ascii="ITC Avant Garde" w:hAnsi="ITC Avant Garde"/>
        </w:rPr>
      </w:pPr>
      <w:proofErr w:type="gramStart"/>
      <w:r w:rsidRPr="00D245AD">
        <w:rPr>
          <w:rFonts w:ascii="ITC Avant Garde" w:hAnsi="ITC Avant Garde"/>
          <w:b/>
        </w:rPr>
        <w:t>Accesibilidad.-</w:t>
      </w:r>
      <w:proofErr w:type="gramEnd"/>
      <w:r w:rsidRPr="00D245AD">
        <w:rPr>
          <w:rFonts w:ascii="ITC Avant Garde" w:hAnsi="ITC Avant Garde"/>
          <w:b/>
        </w:rPr>
        <w:t xml:space="preserve"> </w:t>
      </w:r>
      <w:r w:rsidRPr="00D245AD">
        <w:rPr>
          <w:rFonts w:ascii="ITC Avant Garde" w:hAnsi="ITC Avant Garde"/>
        </w:rPr>
        <w:t>Las medidas pertinentes para asegurar el acceso de las personas con Discapacidad, en igualdad de condiciones con las demás, a la información y las comunicaciones, incluidos sus sistemas y tecnologías;</w:t>
      </w:r>
    </w:p>
    <w:p w14:paraId="6D41FBB6" w14:textId="77777777" w:rsidR="00B9698B" w:rsidRDefault="006B1A53" w:rsidP="00B9698B">
      <w:pPr>
        <w:numPr>
          <w:ilvl w:val="0"/>
          <w:numId w:val="7"/>
        </w:numPr>
        <w:spacing w:before="240" w:line="240" w:lineRule="auto"/>
        <w:contextualSpacing/>
        <w:jc w:val="both"/>
        <w:rPr>
          <w:rFonts w:ascii="ITC Avant Garde" w:hAnsi="ITC Avant Garde"/>
        </w:rPr>
      </w:pPr>
      <w:r w:rsidRPr="00D245AD">
        <w:rPr>
          <w:rFonts w:ascii="ITC Avant Garde" w:hAnsi="ITC Avant Garde"/>
          <w:b/>
        </w:rPr>
        <w:t xml:space="preserve">Concesionario de Televisión </w:t>
      </w:r>
      <w:proofErr w:type="gramStart"/>
      <w:r w:rsidRPr="00D245AD">
        <w:rPr>
          <w:rFonts w:ascii="ITC Avant Garde" w:hAnsi="ITC Avant Garde"/>
          <w:b/>
        </w:rPr>
        <w:t>Radiodifundida</w:t>
      </w:r>
      <w:r w:rsidRPr="00D245AD">
        <w:rPr>
          <w:rFonts w:ascii="ITC Avant Garde" w:hAnsi="ITC Avant Garde"/>
        </w:rPr>
        <w:t>.-</w:t>
      </w:r>
      <w:proofErr w:type="gramEnd"/>
      <w:r w:rsidRPr="00D245AD">
        <w:rPr>
          <w:rFonts w:ascii="ITC Avant Garde" w:hAnsi="ITC Avant Garde"/>
        </w:rPr>
        <w:t xml:space="preserve"> Persona física o moral que cuenta con un título de concesión para prestar el Servicio de Televisión Radiodifundida;</w:t>
      </w:r>
    </w:p>
    <w:p w14:paraId="35CBAD17" w14:textId="77777777" w:rsidR="00B9698B" w:rsidRDefault="006B1A53" w:rsidP="00B9698B">
      <w:pPr>
        <w:numPr>
          <w:ilvl w:val="0"/>
          <w:numId w:val="7"/>
        </w:numPr>
        <w:spacing w:before="240" w:line="240" w:lineRule="auto"/>
        <w:contextualSpacing/>
        <w:jc w:val="both"/>
        <w:rPr>
          <w:rFonts w:ascii="ITC Avant Garde" w:hAnsi="ITC Avant Garde"/>
        </w:rPr>
      </w:pPr>
      <w:proofErr w:type="gramStart"/>
      <w:r w:rsidRPr="00D245AD">
        <w:rPr>
          <w:rFonts w:ascii="ITC Avant Garde" w:hAnsi="ITC Avant Garde"/>
          <w:b/>
        </w:rPr>
        <w:t>Decreto</w:t>
      </w:r>
      <w:r w:rsidRPr="00D245AD">
        <w:rPr>
          <w:rFonts w:ascii="ITC Avant Garde" w:hAnsi="ITC Avant Garde"/>
        </w:rPr>
        <w:t>.-</w:t>
      </w:r>
      <w:proofErr w:type="gramEnd"/>
      <w:r w:rsidRPr="00D245AD">
        <w:rPr>
          <w:rFonts w:ascii="ITC Avant Garde" w:hAnsi="ITC Avant Garde"/>
        </w:rPr>
        <w:t xml:space="preserve"> Decreto por el que se expiden la Ley Federal de Telecomunicaciones y Radiodifusión, y la Ley del Sistema Público de Radiodifusión del Estado Mexicano; y se reforman, adicionan y derogan diversas disposiciones en materia de telecomunicaciones y radiodifusión;</w:t>
      </w:r>
    </w:p>
    <w:p w14:paraId="0975E624" w14:textId="77777777" w:rsidR="00B9698B" w:rsidRDefault="006B1A53" w:rsidP="00B9698B">
      <w:pPr>
        <w:numPr>
          <w:ilvl w:val="0"/>
          <w:numId w:val="7"/>
        </w:numPr>
        <w:spacing w:before="240" w:line="240" w:lineRule="auto"/>
        <w:contextualSpacing/>
        <w:jc w:val="both"/>
        <w:rPr>
          <w:rFonts w:ascii="ITC Avant Garde" w:hAnsi="ITC Avant Garde"/>
        </w:rPr>
      </w:pPr>
      <w:proofErr w:type="gramStart"/>
      <w:r w:rsidRPr="00D245AD">
        <w:rPr>
          <w:rFonts w:ascii="ITC Avant Garde" w:hAnsi="ITC Avant Garde"/>
          <w:b/>
        </w:rPr>
        <w:t>Discapacidad</w:t>
      </w:r>
      <w:r w:rsidRPr="00D245AD">
        <w:rPr>
          <w:rFonts w:ascii="ITC Avant Garde" w:hAnsi="ITC Avant Garde"/>
        </w:rPr>
        <w:t>.-</w:t>
      </w:r>
      <w:proofErr w:type="gramEnd"/>
      <w:r w:rsidRPr="00D245AD">
        <w:rPr>
          <w:rFonts w:ascii="ITC Avant Garde" w:hAnsi="ITC Avant Garde"/>
        </w:rPr>
        <w:t xml:space="preserve"> Deficiencia congénita o adquirida de carácter físico, mental, intelectual o sensorial, ya sea permanente o temporal y que en la interacción de la persona con las barreras que le impone el entorno social, pueda impedir su inclusión plena y efectiva, en igualdad de condiciones con las demás;</w:t>
      </w:r>
    </w:p>
    <w:p w14:paraId="34E62D44" w14:textId="77777777" w:rsidR="00B9698B" w:rsidRDefault="006B1A53" w:rsidP="00B9698B">
      <w:pPr>
        <w:numPr>
          <w:ilvl w:val="0"/>
          <w:numId w:val="7"/>
        </w:numPr>
        <w:spacing w:before="240" w:line="240" w:lineRule="auto"/>
        <w:contextualSpacing/>
        <w:jc w:val="both"/>
        <w:rPr>
          <w:rFonts w:ascii="ITC Avant Garde" w:hAnsi="ITC Avant Garde"/>
        </w:rPr>
      </w:pPr>
      <w:proofErr w:type="gramStart"/>
      <w:r w:rsidRPr="00D245AD">
        <w:rPr>
          <w:rFonts w:ascii="ITC Avant Garde" w:hAnsi="ITC Avant Garde"/>
          <w:b/>
        </w:rPr>
        <w:t>Instituto</w:t>
      </w:r>
      <w:r w:rsidRPr="00D245AD">
        <w:rPr>
          <w:rFonts w:ascii="ITC Avant Garde" w:hAnsi="ITC Avant Garde"/>
        </w:rPr>
        <w:t>.-</w:t>
      </w:r>
      <w:proofErr w:type="gramEnd"/>
      <w:r w:rsidRPr="00D245AD">
        <w:rPr>
          <w:rFonts w:ascii="ITC Avant Garde" w:hAnsi="ITC Avant Garde"/>
        </w:rPr>
        <w:t xml:space="preserve"> Instituto Federal de Telecomunicaciones;</w:t>
      </w:r>
    </w:p>
    <w:p w14:paraId="65766521" w14:textId="77777777" w:rsidR="00B9698B" w:rsidRDefault="006B1A53" w:rsidP="00B9698B">
      <w:pPr>
        <w:numPr>
          <w:ilvl w:val="0"/>
          <w:numId w:val="7"/>
        </w:numPr>
        <w:spacing w:before="240" w:line="240" w:lineRule="auto"/>
        <w:contextualSpacing/>
        <w:jc w:val="both"/>
        <w:rPr>
          <w:rFonts w:ascii="ITC Avant Garde" w:hAnsi="ITC Avant Garde"/>
        </w:rPr>
      </w:pPr>
      <w:r w:rsidRPr="00D245AD">
        <w:rPr>
          <w:rFonts w:ascii="ITC Avant Garde" w:hAnsi="ITC Avant Garde"/>
          <w:b/>
        </w:rPr>
        <w:t xml:space="preserve">Lengua de Señas </w:t>
      </w:r>
      <w:proofErr w:type="gramStart"/>
      <w:r w:rsidRPr="00D245AD">
        <w:rPr>
          <w:rFonts w:ascii="ITC Avant Garde" w:hAnsi="ITC Avant Garde"/>
          <w:b/>
        </w:rPr>
        <w:t>Mexicana</w:t>
      </w:r>
      <w:r w:rsidRPr="00D245AD">
        <w:rPr>
          <w:rFonts w:ascii="ITC Avant Garde" w:hAnsi="ITC Avant Garde"/>
        </w:rPr>
        <w:t>.-</w:t>
      </w:r>
      <w:proofErr w:type="gramEnd"/>
      <w:r w:rsidRPr="00D245AD">
        <w:rPr>
          <w:rFonts w:ascii="ITC Avant Garde" w:hAnsi="ITC Avant Garde"/>
        </w:rPr>
        <w:t xml:space="preserve"> Lengua de una comunidad de sordos, que consiste en una serie de signos gestuales articulados con las manos y acompañados de expresiones faciales, mirada intencional y movimiento corporal, dotados de función lingüística, que forma parte del patrimonio lingüístico de dicha comunidad y es tan rica y compleja en gramática y vocabulario como cualquier lengua oral;</w:t>
      </w:r>
    </w:p>
    <w:p w14:paraId="0359D689" w14:textId="77777777" w:rsidR="00B9698B" w:rsidRDefault="006B1A53" w:rsidP="00B9698B">
      <w:pPr>
        <w:numPr>
          <w:ilvl w:val="0"/>
          <w:numId w:val="7"/>
        </w:numPr>
        <w:spacing w:before="240" w:line="240" w:lineRule="auto"/>
        <w:contextualSpacing/>
        <w:jc w:val="both"/>
        <w:rPr>
          <w:rFonts w:ascii="ITC Avant Garde" w:hAnsi="ITC Avant Garde"/>
        </w:rPr>
      </w:pPr>
      <w:proofErr w:type="gramStart"/>
      <w:r w:rsidRPr="00D245AD">
        <w:rPr>
          <w:rFonts w:ascii="ITC Avant Garde" w:hAnsi="ITC Avant Garde"/>
          <w:b/>
        </w:rPr>
        <w:t>Lineamientos</w:t>
      </w:r>
      <w:r w:rsidRPr="00D245AD">
        <w:rPr>
          <w:rFonts w:ascii="ITC Avant Garde" w:hAnsi="ITC Avant Garde"/>
        </w:rPr>
        <w:t>.-</w:t>
      </w:r>
      <w:proofErr w:type="gramEnd"/>
      <w:r w:rsidRPr="00D245AD">
        <w:rPr>
          <w:rFonts w:ascii="ITC Avant Garde" w:hAnsi="ITC Avant Garde"/>
        </w:rPr>
        <w:t xml:space="preserve"> Lineamientos Generales de Accesibilidad al Servicio de Televisión Radiodifundida;</w:t>
      </w:r>
    </w:p>
    <w:p w14:paraId="02D0BECE" w14:textId="77777777" w:rsidR="00B9698B" w:rsidRDefault="006B1A53" w:rsidP="00B9698B">
      <w:pPr>
        <w:numPr>
          <w:ilvl w:val="0"/>
          <w:numId w:val="7"/>
        </w:numPr>
        <w:spacing w:before="240" w:line="240" w:lineRule="auto"/>
        <w:contextualSpacing/>
        <w:jc w:val="both"/>
        <w:rPr>
          <w:rFonts w:ascii="ITC Avant Garde" w:hAnsi="ITC Avant Garde"/>
        </w:rPr>
      </w:pPr>
      <w:r w:rsidRPr="00D245AD">
        <w:rPr>
          <w:rFonts w:ascii="ITC Avant Garde" w:hAnsi="ITC Avant Garde"/>
          <w:b/>
        </w:rPr>
        <w:t>Servicio de Televisión Radiodifundida</w:t>
      </w:r>
      <w:r w:rsidRPr="00D245AD">
        <w:rPr>
          <w:rFonts w:ascii="ITC Avant Garde" w:hAnsi="ITC Avant Garde"/>
        </w:rPr>
        <w:t>.- Servicio público de interés general que se presta mediante la propagación de ondas electromagnéticas de señales de audio y video asociado, haciendo uso, aprovechamiento y explotación de las bandas de frecuencias del espectro radioeléctrico, incluidas las asociadas a recursos orbitales, atribuidas por el Instituto a tal servicio; con el que la población puede recibir de manera directa y gratuita las señales de su emisor utilizando los dispositivos idóneos para ello, y</w:t>
      </w:r>
    </w:p>
    <w:p w14:paraId="05C9C67B" w14:textId="77777777" w:rsidR="00B9698B" w:rsidRDefault="006B1A53" w:rsidP="00B9698B">
      <w:pPr>
        <w:numPr>
          <w:ilvl w:val="0"/>
          <w:numId w:val="7"/>
        </w:numPr>
        <w:spacing w:before="240" w:line="240" w:lineRule="auto"/>
        <w:contextualSpacing/>
        <w:jc w:val="both"/>
        <w:rPr>
          <w:rFonts w:ascii="ITC Avant Garde" w:hAnsi="ITC Avant Garde"/>
        </w:rPr>
      </w:pPr>
      <w:proofErr w:type="spellStart"/>
      <w:r w:rsidRPr="00D245AD">
        <w:rPr>
          <w:rFonts w:ascii="ITC Avant Garde" w:hAnsi="ITC Avant Garde"/>
          <w:b/>
        </w:rPr>
        <w:t>Subtitulaje</w:t>
      </w:r>
      <w:proofErr w:type="spellEnd"/>
      <w:r w:rsidRPr="00D245AD">
        <w:rPr>
          <w:rFonts w:ascii="ITC Avant Garde" w:hAnsi="ITC Avant Garde"/>
          <w:b/>
        </w:rPr>
        <w:t xml:space="preserve"> </w:t>
      </w:r>
      <w:proofErr w:type="gramStart"/>
      <w:r w:rsidRPr="00D245AD">
        <w:rPr>
          <w:rFonts w:ascii="ITC Avant Garde" w:hAnsi="ITC Avant Garde"/>
          <w:b/>
        </w:rPr>
        <w:t>Oculto</w:t>
      </w:r>
      <w:r w:rsidRPr="00D245AD">
        <w:rPr>
          <w:rFonts w:ascii="ITC Avant Garde" w:hAnsi="ITC Avant Garde"/>
        </w:rPr>
        <w:t>.-</w:t>
      </w:r>
      <w:proofErr w:type="gramEnd"/>
      <w:r w:rsidRPr="00D245AD">
        <w:rPr>
          <w:rFonts w:ascii="ITC Avant Garde" w:hAnsi="ITC Avant Garde"/>
        </w:rPr>
        <w:t xml:space="preserve"> Inserción de texto en la pantalla que al habilitarse muestra los diálogos, la identificación de los hablantes y la descripción de los efectos de sonido y música de un programa.</w:t>
      </w:r>
    </w:p>
    <w:p w14:paraId="532DCDDD" w14:textId="77777777" w:rsidR="00B9698B" w:rsidRDefault="006B1A53" w:rsidP="00B9698B">
      <w:pPr>
        <w:autoSpaceDE w:val="0"/>
        <w:autoSpaceDN w:val="0"/>
        <w:adjustRightInd w:val="0"/>
        <w:spacing w:before="240" w:line="240" w:lineRule="auto"/>
        <w:jc w:val="both"/>
        <w:rPr>
          <w:rFonts w:ascii="ITC Avant Garde" w:hAnsi="ITC Avant Garde" w:cs="Arial"/>
          <w:color w:val="000000"/>
        </w:rPr>
      </w:pPr>
      <w:r w:rsidRPr="00D245AD">
        <w:rPr>
          <w:rFonts w:ascii="ITC Avant Garde" w:hAnsi="ITC Avant Garde" w:cs="Arial"/>
          <w:color w:val="000000"/>
        </w:rPr>
        <w:lastRenderedPageBreak/>
        <w:t>Todas las definiciones comprendidas en el presente artículo pueden ser utilizadas indistintamente en singular o plural, en masculino o femenino, según corresponda.</w:t>
      </w:r>
    </w:p>
    <w:p w14:paraId="62986B21" w14:textId="77777777" w:rsidR="00B9698B" w:rsidRDefault="006B1A53" w:rsidP="00B9698B">
      <w:pPr>
        <w:spacing w:before="240" w:line="240" w:lineRule="auto"/>
        <w:jc w:val="both"/>
        <w:rPr>
          <w:rFonts w:ascii="ITC Avant Garde" w:hAnsi="ITC Avant Garde"/>
        </w:rPr>
      </w:pPr>
      <w:r w:rsidRPr="00D245AD">
        <w:rPr>
          <w:rFonts w:ascii="ITC Avant Garde" w:hAnsi="ITC Avant Garde"/>
          <w:b/>
        </w:rPr>
        <w:t xml:space="preserve">Artículo 3.- </w:t>
      </w:r>
      <w:r w:rsidRPr="00D245AD">
        <w:rPr>
          <w:rFonts w:ascii="ITC Avant Garde" w:hAnsi="ITC Avant Garde"/>
        </w:rPr>
        <w:t>Corresponde al Pleno del Instituto la interpretación de los Lineamientos.</w:t>
      </w:r>
    </w:p>
    <w:p w14:paraId="02F64471" w14:textId="1F3F832F" w:rsidR="006B1A53" w:rsidRPr="00B9698B" w:rsidRDefault="006B1A53" w:rsidP="00B9698B">
      <w:pPr>
        <w:pStyle w:val="Ttulo2"/>
        <w:spacing w:after="24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Capítulo II</w:t>
      </w:r>
    </w:p>
    <w:p w14:paraId="5B02F217" w14:textId="77777777" w:rsidR="00B9698B" w:rsidRDefault="006B1A53" w:rsidP="00B9698B">
      <w:pPr>
        <w:pStyle w:val="Texto"/>
        <w:spacing w:before="240" w:after="200" w:line="240" w:lineRule="auto"/>
        <w:ind w:firstLine="0"/>
        <w:jc w:val="center"/>
        <w:rPr>
          <w:rFonts w:ascii="ITC Avant Garde" w:hAnsi="ITC Avant Garde"/>
          <w:b/>
          <w:sz w:val="22"/>
          <w:szCs w:val="22"/>
        </w:rPr>
      </w:pPr>
      <w:r w:rsidRPr="00D245AD">
        <w:rPr>
          <w:rFonts w:ascii="ITC Avant Garde" w:hAnsi="ITC Avant Garde"/>
          <w:b/>
          <w:sz w:val="22"/>
          <w:szCs w:val="22"/>
        </w:rPr>
        <w:t>Parámetros de los servicios de Accesibilidad</w:t>
      </w:r>
    </w:p>
    <w:p w14:paraId="0E302C16" w14:textId="77777777" w:rsidR="00B9698B" w:rsidRDefault="006B1A53" w:rsidP="00B9698B">
      <w:pPr>
        <w:spacing w:before="240" w:line="240" w:lineRule="auto"/>
        <w:jc w:val="both"/>
        <w:rPr>
          <w:rFonts w:ascii="ITC Avant Garde" w:eastAsia="Times New Roman" w:hAnsi="ITC Avant Garde" w:cs="Arial"/>
          <w:lang w:eastAsia="es-MX"/>
        </w:rPr>
      </w:pPr>
      <w:r w:rsidRPr="00D245AD">
        <w:rPr>
          <w:rFonts w:ascii="ITC Avant Garde" w:eastAsia="Times New Roman" w:hAnsi="ITC Avant Garde" w:cs="Arial"/>
          <w:b/>
          <w:lang w:eastAsia="es-MX"/>
        </w:rPr>
        <w:t xml:space="preserve">Artículo 4.- </w:t>
      </w:r>
      <w:r w:rsidRPr="00D245AD">
        <w:rPr>
          <w:rFonts w:ascii="ITC Avant Garde" w:eastAsia="Times New Roman" w:hAnsi="ITC Avant Garde" w:cs="Arial"/>
          <w:lang w:eastAsia="es-MX"/>
        </w:rPr>
        <w:t xml:space="preserve">El servicio de </w:t>
      </w:r>
      <w:proofErr w:type="spellStart"/>
      <w:r w:rsidRPr="00D245AD">
        <w:rPr>
          <w:rFonts w:ascii="ITC Avant Garde" w:eastAsia="Times New Roman" w:hAnsi="ITC Avant Garde" w:cs="Arial"/>
          <w:lang w:eastAsia="es-MX"/>
        </w:rPr>
        <w:t>Subtitulaje</w:t>
      </w:r>
      <w:proofErr w:type="spellEnd"/>
      <w:r w:rsidRPr="00D245AD">
        <w:rPr>
          <w:rFonts w:ascii="ITC Avant Garde" w:eastAsia="Times New Roman" w:hAnsi="ITC Avant Garde" w:cs="Arial"/>
          <w:lang w:eastAsia="es-MX"/>
        </w:rPr>
        <w:t xml:space="preserve"> Oculto deberá ajustarse a los siguientes parámetros de precisión y legibilidad:</w:t>
      </w:r>
    </w:p>
    <w:p w14:paraId="57CF1F7F"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ser en alguna lengua nacional y respetar las reglas de ortografía y gramática de la misma;</w:t>
      </w:r>
    </w:p>
    <w:p w14:paraId="318F0FE0"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coincidir con las palabras habladas, en el mismo orden de éstas, sin sustituciones ni parafraseo, salvo cuando sea necesario, en cuyo caso deberá transmitir fielmente el sentido de lo hablado;</w:t>
      </w:r>
    </w:p>
    <w:p w14:paraId="16CF5A71" w14:textId="77777777" w:rsidR="00B9698B" w:rsidRDefault="006B1A53" w:rsidP="00B9698B">
      <w:pPr>
        <w:numPr>
          <w:ilvl w:val="0"/>
          <w:numId w:val="5"/>
        </w:numPr>
        <w:spacing w:before="240" w:line="240" w:lineRule="auto"/>
        <w:ind w:left="714" w:hanging="357"/>
        <w:contextualSpacing/>
        <w:jc w:val="both"/>
        <w:rPr>
          <w:rFonts w:ascii="ITC Avant Garde" w:hAnsi="ITC Avant Garde"/>
        </w:rPr>
      </w:pPr>
      <w:r w:rsidRPr="00D245AD">
        <w:rPr>
          <w:rFonts w:ascii="ITC Avant Garde" w:hAnsi="ITC Avant Garde"/>
        </w:rPr>
        <w:t>Debe describir elementos no narrativos relevantes tales como la manera y el tono de las voces, así como información no narrativa y contextual del programa. Durante pausas mudas largas se deberá insertar una leyenda explicativa;</w:t>
      </w:r>
    </w:p>
    <w:p w14:paraId="7EF9F32B"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mantener sincronía con las voces habladas en la mayor medida posible, ello atendiendo a las características de las voces;</w:t>
      </w:r>
    </w:p>
    <w:p w14:paraId="5BD46688"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ser visualizado en la pantalla a una velocidad razonable que permita a las personas leer;</w:t>
      </w:r>
    </w:p>
    <w:p w14:paraId="6C3E368B"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ubicarse preferentemente en la parte inferior de la pantalla sin obstruir la cara y la boca de las personas que aparecen en la misma, así como otros elementos visuales importantes. En el supuesto de que su ubicación en la parte inferior obstruya algún elemento visual de importancia para la adecuada comprensión del programa, podrá colocarse en otra parte de la pantalla;</w:t>
      </w:r>
    </w:p>
    <w:p w14:paraId="2C787EA0"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ocupar preferentemente dos líneas de texto, y como máximo tres;</w:t>
      </w:r>
    </w:p>
    <w:p w14:paraId="5009CFF6"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Debe utilizar caracteres de un tamaño que lo haga legible por personas con buena visión a una distancia de 2.5 metros;</w:t>
      </w:r>
    </w:p>
    <w:p w14:paraId="6752BCB4"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La tipografía utilizada debe responder a criterios de máxima legibilidad;</w:t>
      </w:r>
    </w:p>
    <w:p w14:paraId="18E7C4CA" w14:textId="237C0183"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 xml:space="preserve">Debe presentarse en colores diferentes del fondo, de forma que el contraste facilite su visibilidad y lectura, y </w:t>
      </w:r>
    </w:p>
    <w:p w14:paraId="4180177F" w14:textId="77777777" w:rsidR="00B9698B" w:rsidRDefault="006B1A53" w:rsidP="00B9698B">
      <w:pPr>
        <w:numPr>
          <w:ilvl w:val="0"/>
          <w:numId w:val="5"/>
        </w:numPr>
        <w:spacing w:before="240" w:line="240" w:lineRule="auto"/>
        <w:contextualSpacing/>
        <w:jc w:val="both"/>
        <w:rPr>
          <w:rFonts w:ascii="ITC Avant Garde" w:hAnsi="ITC Avant Garde"/>
        </w:rPr>
      </w:pPr>
      <w:r w:rsidRPr="00D245AD">
        <w:rPr>
          <w:rFonts w:ascii="ITC Avant Garde" w:hAnsi="ITC Avant Garde"/>
        </w:rPr>
        <w:t xml:space="preserve"> Debe distinguir a los hablantes cuando haya más de uno en pantalla.</w:t>
      </w:r>
    </w:p>
    <w:p w14:paraId="5A5521FF" w14:textId="77777777" w:rsidR="00B9698B" w:rsidRDefault="006B1A53" w:rsidP="00B9698B">
      <w:pPr>
        <w:spacing w:before="240" w:line="240" w:lineRule="auto"/>
        <w:jc w:val="both"/>
        <w:rPr>
          <w:rFonts w:ascii="ITC Avant Garde" w:hAnsi="ITC Avant Garde"/>
        </w:rPr>
      </w:pPr>
      <w:r w:rsidRPr="00D245AD">
        <w:rPr>
          <w:rFonts w:ascii="ITC Avant Garde" w:hAnsi="ITC Avant Garde"/>
        </w:rPr>
        <w:t>En programas en vivo deberá cumplirse con todo lo anterior de la forma más precisa posible, y para el caso de la fracción IV, no deberá tener más de cinco segundos de retraso. En el supuesto de que dichos programas sean retransmitidos deberán corregirse las faltas de precisión.</w:t>
      </w:r>
    </w:p>
    <w:p w14:paraId="79DA897A" w14:textId="77777777" w:rsidR="00B9698B" w:rsidRDefault="006B1A53" w:rsidP="00B9698B">
      <w:pPr>
        <w:spacing w:before="240" w:line="240" w:lineRule="auto"/>
        <w:jc w:val="both"/>
        <w:rPr>
          <w:rFonts w:ascii="ITC Avant Garde" w:eastAsia="Times New Roman" w:hAnsi="ITC Avant Garde" w:cs="Arial"/>
          <w:lang w:eastAsia="es-MX"/>
        </w:rPr>
      </w:pPr>
      <w:r w:rsidRPr="00D245AD">
        <w:rPr>
          <w:rFonts w:ascii="ITC Avant Garde" w:eastAsia="Times New Roman" w:hAnsi="ITC Avant Garde" w:cs="Arial"/>
          <w:b/>
          <w:lang w:eastAsia="es-MX"/>
        </w:rPr>
        <w:t xml:space="preserve">Artículo 5.- </w:t>
      </w:r>
      <w:r w:rsidRPr="00D245AD">
        <w:rPr>
          <w:rFonts w:ascii="ITC Avant Garde" w:eastAsia="Times New Roman" w:hAnsi="ITC Avant Garde" w:cs="Arial"/>
          <w:lang w:eastAsia="es-MX"/>
        </w:rPr>
        <w:t>En el servicio de interpretación en Lengua de Señas Mexicana deberán respetarse los siguientes parámetros:</w:t>
      </w:r>
    </w:p>
    <w:p w14:paraId="52116038" w14:textId="77777777" w:rsidR="00B9698B" w:rsidRDefault="006B1A53" w:rsidP="00B9698B">
      <w:pPr>
        <w:numPr>
          <w:ilvl w:val="0"/>
          <w:numId w:val="6"/>
        </w:numPr>
        <w:spacing w:before="240" w:line="240" w:lineRule="auto"/>
        <w:contextualSpacing/>
        <w:jc w:val="both"/>
        <w:rPr>
          <w:rFonts w:ascii="ITC Avant Garde" w:hAnsi="ITC Avant Garde"/>
        </w:rPr>
      </w:pPr>
      <w:r w:rsidRPr="00D245AD">
        <w:rPr>
          <w:rFonts w:ascii="ITC Avant Garde" w:hAnsi="ITC Avant Garde"/>
        </w:rPr>
        <w:t>La interpretación debe ser lo más sincronizada posible con las voces, a fin de que el mensaje sea comprensible y apegado en su sentido al hablado;</w:t>
      </w:r>
    </w:p>
    <w:p w14:paraId="7F8EBFB2" w14:textId="77777777" w:rsidR="00B9698B" w:rsidRDefault="006B1A53" w:rsidP="00B9698B">
      <w:pPr>
        <w:numPr>
          <w:ilvl w:val="0"/>
          <w:numId w:val="6"/>
        </w:numPr>
        <w:spacing w:before="240" w:line="240" w:lineRule="auto"/>
        <w:contextualSpacing/>
        <w:jc w:val="both"/>
        <w:rPr>
          <w:rFonts w:ascii="ITC Avant Garde" w:hAnsi="ITC Avant Garde"/>
        </w:rPr>
      </w:pPr>
      <w:r w:rsidRPr="00D245AD">
        <w:rPr>
          <w:rFonts w:ascii="ITC Avant Garde" w:hAnsi="ITC Avant Garde"/>
        </w:rPr>
        <w:t xml:space="preserve">El intérprete debe aparecer en un recuadro superpuesto al programa original, y el recuadro se ubicará en la parte inferior derecha de la pantalla, ocupando al </w:t>
      </w:r>
      <w:r w:rsidRPr="00D245AD">
        <w:rPr>
          <w:rFonts w:ascii="ITC Avant Garde" w:hAnsi="ITC Avant Garde"/>
        </w:rPr>
        <w:lastRenderedPageBreak/>
        <w:t>menos una sexta parte de ésta. La imagen del intérprete debe abarcar desde la cabeza hasta la cintura y debe contar con espacio a los lados y por encima de la cabeza a fin de que la visibilidad de las señas no sea eliminada o disminuida;</w:t>
      </w:r>
    </w:p>
    <w:p w14:paraId="66845169" w14:textId="77777777" w:rsidR="00B9698B" w:rsidRDefault="006B1A53" w:rsidP="00B9698B">
      <w:pPr>
        <w:numPr>
          <w:ilvl w:val="0"/>
          <w:numId w:val="6"/>
        </w:numPr>
        <w:spacing w:before="240" w:line="240" w:lineRule="auto"/>
        <w:contextualSpacing/>
        <w:jc w:val="both"/>
        <w:rPr>
          <w:rFonts w:ascii="ITC Avant Garde" w:hAnsi="ITC Avant Garde"/>
        </w:rPr>
      </w:pPr>
      <w:r w:rsidRPr="00D245AD">
        <w:rPr>
          <w:rFonts w:ascii="ITC Avant Garde" w:eastAsia="Times New Roman" w:hAnsi="ITC Avant Garde" w:cs="Arial"/>
          <w:lang w:eastAsia="es-MX"/>
        </w:rPr>
        <w:t>El recuadro del intérprete debe evitar la presencia de cualquier elemento visual distractor, y</w:t>
      </w:r>
    </w:p>
    <w:p w14:paraId="5428F841" w14:textId="77777777" w:rsidR="00B9698B" w:rsidRDefault="006B1A53" w:rsidP="00B9698B">
      <w:pPr>
        <w:numPr>
          <w:ilvl w:val="0"/>
          <w:numId w:val="6"/>
        </w:numPr>
        <w:spacing w:before="240" w:line="240" w:lineRule="auto"/>
        <w:contextualSpacing/>
        <w:jc w:val="both"/>
        <w:rPr>
          <w:rFonts w:ascii="ITC Avant Garde" w:hAnsi="ITC Avant Garde"/>
        </w:rPr>
      </w:pPr>
      <w:r w:rsidRPr="00D245AD">
        <w:rPr>
          <w:rFonts w:ascii="ITC Avant Garde" w:hAnsi="ITC Avant Garde"/>
        </w:rPr>
        <w:t>Debe procurarse el contraste entre el intérprete, su vestimenta y el color de fondo, a fin de garantizar una mejor percepción de las señas.</w:t>
      </w:r>
    </w:p>
    <w:p w14:paraId="29EE3092" w14:textId="77777777" w:rsidR="00B9698B" w:rsidRDefault="006B1A53" w:rsidP="00B9698B">
      <w:pPr>
        <w:spacing w:before="240" w:line="240" w:lineRule="auto"/>
        <w:jc w:val="both"/>
        <w:rPr>
          <w:rFonts w:ascii="ITC Avant Garde" w:hAnsi="ITC Avant Garde"/>
        </w:rPr>
      </w:pPr>
      <w:r w:rsidRPr="00D245AD">
        <w:rPr>
          <w:rFonts w:ascii="ITC Avant Garde" w:eastAsia="Times New Roman" w:hAnsi="ITC Avant Garde" w:cs="Arial"/>
          <w:b/>
          <w:lang w:eastAsia="es-MX"/>
        </w:rPr>
        <w:t xml:space="preserve">Artículo 6.- </w:t>
      </w:r>
      <w:r w:rsidRPr="00D245AD">
        <w:rPr>
          <w:rFonts w:ascii="ITC Avant Garde" w:hAnsi="ITC Avant Garde"/>
        </w:rPr>
        <w:t xml:space="preserve">La existencia del servicio de </w:t>
      </w:r>
      <w:proofErr w:type="spellStart"/>
      <w:r w:rsidRPr="00D245AD">
        <w:rPr>
          <w:rFonts w:ascii="ITC Avant Garde" w:hAnsi="ITC Avant Garde"/>
        </w:rPr>
        <w:t>Subtitulaje</w:t>
      </w:r>
      <w:proofErr w:type="spellEnd"/>
      <w:r w:rsidRPr="00D245AD">
        <w:rPr>
          <w:rFonts w:ascii="ITC Avant Garde" w:hAnsi="ITC Avant Garde"/>
        </w:rPr>
        <w:t xml:space="preserve"> Oculto deberá indicarse a través de una pleca traslúcida al principio del programa, con el símbolo</w:t>
      </w:r>
      <w:r w:rsidRPr="00D245AD">
        <w:rPr>
          <w:rFonts w:ascii="ITC Avant Garde" w:hAnsi="ITC Avant Garde"/>
          <w:noProof/>
          <w:lang w:eastAsia="es-MX"/>
        </w:rPr>
        <w:drawing>
          <wp:inline distT="0" distB="0" distL="0" distR="0" wp14:anchorId="2C53F32A" wp14:editId="2BA45B3D">
            <wp:extent cx="226827" cy="210041"/>
            <wp:effectExtent l="0" t="0" r="1905" b="0"/>
            <wp:docPr id="11" name="Imagen 11" descr="D:\Usuarios\assuan.olvera\AppData\Local\Microsoft\Windows\INetCache\Content.Outlook\P4XK86VV\Logotipos Television-01 (3).jpg" title="Símbolo 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assuan.olvera\AppData\Local\Microsoft\Windows\INetCache\Content.Outlook\P4XK86VV\Logotipos Television-01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165" cy="225170"/>
                    </a:xfrm>
                    <a:prstGeom prst="rect">
                      <a:avLst/>
                    </a:prstGeom>
                    <a:noFill/>
                    <a:ln>
                      <a:noFill/>
                    </a:ln>
                  </pic:spPr>
                </pic:pic>
              </a:graphicData>
            </a:graphic>
          </wp:inline>
        </w:drawing>
      </w:r>
      <w:r w:rsidRPr="00D245AD">
        <w:rPr>
          <w:rFonts w:ascii="ITC Avant Garde" w:eastAsia="Times New Roman" w:hAnsi="ITC Avant Garde" w:cs="Arial"/>
          <w:lang w:eastAsia="es-MX"/>
        </w:rPr>
        <w:t xml:space="preserve">cuyo diseño, dimensiones y características gráficas de uso obligatorio constan en el </w:t>
      </w:r>
      <w:r w:rsidRPr="00D245AD">
        <w:rPr>
          <w:rFonts w:ascii="ITC Avant Garde" w:eastAsia="Times New Roman" w:hAnsi="ITC Avant Garde" w:cs="Arial"/>
          <w:b/>
          <w:lang w:eastAsia="es-MX"/>
        </w:rPr>
        <w:t>ANEXO 1</w:t>
      </w:r>
      <w:r w:rsidRPr="00D245AD">
        <w:rPr>
          <w:rFonts w:ascii="ITC Avant Garde" w:eastAsia="Times New Roman" w:hAnsi="ITC Avant Garde" w:cs="Arial"/>
          <w:lang w:eastAsia="es-MX"/>
        </w:rPr>
        <w:t xml:space="preserve"> a fin de que se garantice su apreciación</w:t>
      </w:r>
      <w:r w:rsidRPr="00D245AD">
        <w:rPr>
          <w:rFonts w:ascii="ITC Avant Garde" w:hAnsi="ITC Avant Garde"/>
        </w:rPr>
        <w:t>.</w:t>
      </w:r>
    </w:p>
    <w:p w14:paraId="310D2BBE" w14:textId="77777777" w:rsidR="00B9698B" w:rsidRDefault="006B1A53" w:rsidP="00B9698B">
      <w:pPr>
        <w:spacing w:before="240" w:line="240" w:lineRule="auto"/>
        <w:jc w:val="both"/>
        <w:rPr>
          <w:rFonts w:ascii="ITC Avant Garde" w:eastAsia="Times New Roman" w:hAnsi="ITC Avant Garde" w:cs="Arial"/>
          <w:b/>
          <w:lang w:eastAsia="es-MX"/>
        </w:rPr>
      </w:pPr>
      <w:r w:rsidRPr="00D245AD">
        <w:rPr>
          <w:rFonts w:ascii="ITC Avant Garde" w:eastAsia="Times New Roman" w:hAnsi="ITC Avant Garde" w:cs="Arial"/>
          <w:b/>
          <w:lang w:eastAsia="es-MX"/>
        </w:rPr>
        <w:t xml:space="preserve">Artículo 7.- </w:t>
      </w:r>
      <w:r w:rsidRPr="00D245AD">
        <w:rPr>
          <w:rFonts w:ascii="ITC Avant Garde" w:hAnsi="ITC Avant Garde"/>
        </w:rPr>
        <w:t xml:space="preserve">La existencia del servicio de interpretación en Lengua de Señas Mexicana deberá indicarse a través de una pleca traslúcida al principio del programa, con el símbolo </w:t>
      </w:r>
      <w:r w:rsidRPr="00D245AD">
        <w:rPr>
          <w:rFonts w:ascii="ITC Avant Garde" w:hAnsi="ITC Avant Garde"/>
          <w:noProof/>
          <w:lang w:eastAsia="es-MX"/>
        </w:rPr>
        <w:drawing>
          <wp:inline distT="0" distB="0" distL="0" distR="0" wp14:anchorId="5B4D09DA" wp14:editId="357FD01B">
            <wp:extent cx="301276" cy="215265"/>
            <wp:effectExtent l="0" t="0" r="3810" b="0"/>
            <wp:docPr id="12" name="Imagen 12" descr="D:\Usuarios\assuan.olvera\AppData\Local\Microsoft\Windows\INetCache\Content.Outlook\P4XK86VV\Logotipos Television-02.jpg" title="Símbolo L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uarios\assuan.olvera\AppData\Local\Microsoft\Windows\INetCache\Content.Outlook\P4XK86VV\Logotipos Television-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276" cy="215265"/>
                    </a:xfrm>
                    <a:prstGeom prst="rect">
                      <a:avLst/>
                    </a:prstGeom>
                    <a:noFill/>
                    <a:ln>
                      <a:noFill/>
                    </a:ln>
                  </pic:spPr>
                </pic:pic>
              </a:graphicData>
            </a:graphic>
          </wp:inline>
        </w:drawing>
      </w:r>
      <w:r w:rsidRPr="00D245AD">
        <w:rPr>
          <w:rFonts w:ascii="ITC Avant Garde" w:eastAsia="Times New Roman" w:hAnsi="ITC Avant Garde" w:cs="Arial"/>
          <w:lang w:eastAsia="es-MX"/>
        </w:rPr>
        <w:t xml:space="preserve"> cuyo diseño, dimensiones y características gráficas de uso obligatorio constan en el </w:t>
      </w:r>
      <w:r w:rsidRPr="00D245AD">
        <w:rPr>
          <w:rFonts w:ascii="ITC Avant Garde" w:eastAsia="Times New Roman" w:hAnsi="ITC Avant Garde" w:cs="Arial"/>
          <w:b/>
          <w:lang w:eastAsia="es-MX"/>
        </w:rPr>
        <w:t>ANEXO 2</w:t>
      </w:r>
      <w:r w:rsidRPr="00D245AD">
        <w:rPr>
          <w:rFonts w:ascii="ITC Avant Garde" w:eastAsia="Times New Roman" w:hAnsi="ITC Avant Garde" w:cs="Arial"/>
          <w:lang w:eastAsia="es-MX"/>
        </w:rPr>
        <w:t xml:space="preserve"> a fin de que se garantice su apreciación</w:t>
      </w:r>
      <w:r w:rsidRPr="00D245AD">
        <w:rPr>
          <w:rFonts w:ascii="ITC Avant Garde" w:hAnsi="ITC Avant Garde"/>
        </w:rPr>
        <w:t>.</w:t>
      </w:r>
    </w:p>
    <w:p w14:paraId="6B8C874D" w14:textId="77777777" w:rsidR="00B9698B" w:rsidRDefault="006B1A53" w:rsidP="00B9698B">
      <w:pPr>
        <w:spacing w:before="240" w:line="240" w:lineRule="auto"/>
        <w:jc w:val="both"/>
        <w:rPr>
          <w:rFonts w:ascii="ITC Avant Garde" w:hAnsi="ITC Avant Garde"/>
        </w:rPr>
      </w:pPr>
      <w:r w:rsidRPr="00D245AD">
        <w:rPr>
          <w:rFonts w:ascii="ITC Avant Garde" w:eastAsia="Times New Roman" w:hAnsi="ITC Avant Garde" w:cs="Arial"/>
          <w:b/>
          <w:lang w:eastAsia="es-MX"/>
        </w:rPr>
        <w:t>Artículo 8.-</w:t>
      </w:r>
      <w:r w:rsidRPr="00D245AD">
        <w:rPr>
          <w:rFonts w:ascii="ITC Avant Garde" w:hAnsi="ITC Avant Garde"/>
        </w:rPr>
        <w:t xml:space="preserve"> Con el uso de los símbolos a que se refieren los artículos 6 y 7 de los Lineamientos en la guía electrónica de programación, deberá indicarse que se cuenta con </w:t>
      </w:r>
      <w:proofErr w:type="spellStart"/>
      <w:r w:rsidRPr="00D245AD">
        <w:rPr>
          <w:rFonts w:ascii="ITC Avant Garde" w:hAnsi="ITC Avant Garde"/>
        </w:rPr>
        <w:t>Subtitulaje</w:t>
      </w:r>
      <w:proofErr w:type="spellEnd"/>
      <w:r w:rsidRPr="00D245AD">
        <w:rPr>
          <w:rFonts w:ascii="ITC Avant Garde" w:hAnsi="ITC Avant Garde"/>
        </w:rPr>
        <w:t xml:space="preserve"> Oculto y/o interpretación de Lengua de Señas Mexicana según corresponda.</w:t>
      </w:r>
    </w:p>
    <w:p w14:paraId="7F138CC4" w14:textId="77777777" w:rsidR="00B9698B" w:rsidRDefault="006B1A53" w:rsidP="00B9698B">
      <w:pPr>
        <w:spacing w:before="240" w:line="240" w:lineRule="auto"/>
        <w:jc w:val="both"/>
        <w:rPr>
          <w:rFonts w:ascii="ITC Avant Garde" w:hAnsi="ITC Avant Garde"/>
        </w:rPr>
      </w:pPr>
      <w:r w:rsidRPr="00D245AD">
        <w:rPr>
          <w:rFonts w:ascii="ITC Avant Garde" w:hAnsi="ITC Avant Garde"/>
        </w:rPr>
        <w:t>Los promocionales de la programación que cuente con servicios de Accesibilidad deberán hacer referencia a ello.</w:t>
      </w:r>
    </w:p>
    <w:p w14:paraId="6D38ABFA" w14:textId="77777777" w:rsidR="00B9698B" w:rsidRDefault="006B1A53" w:rsidP="00B9698B">
      <w:pPr>
        <w:spacing w:before="240" w:line="240" w:lineRule="auto"/>
        <w:jc w:val="both"/>
        <w:rPr>
          <w:rFonts w:ascii="ITC Avant Garde" w:hAnsi="ITC Avant Garde"/>
        </w:rPr>
      </w:pPr>
      <w:r w:rsidRPr="00D245AD">
        <w:rPr>
          <w:rFonts w:ascii="ITC Avant Garde" w:hAnsi="ITC Avant Garde"/>
          <w:b/>
        </w:rPr>
        <w:t xml:space="preserve">Artículo 9.- </w:t>
      </w:r>
      <w:r w:rsidRPr="00D245AD">
        <w:rPr>
          <w:rFonts w:ascii="ITC Avant Garde" w:hAnsi="ITC Avant Garde"/>
        </w:rPr>
        <w:t>Los concesionarios de uso comercial que presten el servicio de televisión radiodifundida y que cubran más del 50%</w:t>
      </w:r>
      <w:r>
        <w:rPr>
          <w:rFonts w:ascii="ITC Avant Garde" w:hAnsi="ITC Avant Garde"/>
        </w:rPr>
        <w:t xml:space="preserve"> del </w:t>
      </w:r>
      <w:r w:rsidRPr="00D245AD">
        <w:rPr>
          <w:rFonts w:ascii="ITC Avant Garde" w:hAnsi="ITC Avant Garde"/>
        </w:rPr>
        <w:t xml:space="preserve">territorio nacional, no se encontrarán obligados a </w:t>
      </w:r>
      <w:r>
        <w:rPr>
          <w:rFonts w:ascii="ITC Avant Garde" w:hAnsi="ITC Avant Garde"/>
        </w:rPr>
        <w:t xml:space="preserve">incluir </w:t>
      </w:r>
      <w:proofErr w:type="spellStart"/>
      <w:r w:rsidRPr="00D245AD">
        <w:rPr>
          <w:rFonts w:ascii="ITC Avant Garde" w:hAnsi="ITC Avant Garde"/>
        </w:rPr>
        <w:t>Subtitulaje</w:t>
      </w:r>
      <w:proofErr w:type="spellEnd"/>
      <w:r w:rsidRPr="00D245AD">
        <w:rPr>
          <w:rFonts w:ascii="ITC Avant Garde" w:hAnsi="ITC Avant Garde"/>
        </w:rPr>
        <w:t xml:space="preserve"> Oculto y/o interpretación de Lengua de Señas Mexicana</w:t>
      </w:r>
      <w:r>
        <w:rPr>
          <w:rFonts w:ascii="ITC Avant Garde" w:hAnsi="ITC Avant Garde"/>
        </w:rPr>
        <w:t xml:space="preserve"> en los contenidos locales que en su caso tenga cada estación.</w:t>
      </w:r>
    </w:p>
    <w:p w14:paraId="50A3BCF5" w14:textId="2C0C417A" w:rsidR="006B1A53" w:rsidRPr="00B9698B" w:rsidRDefault="006B1A53" w:rsidP="00B9698B">
      <w:pPr>
        <w:pStyle w:val="Ttulo2"/>
        <w:spacing w:after="24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Capítulo III</w:t>
      </w:r>
    </w:p>
    <w:p w14:paraId="22B10535" w14:textId="77777777" w:rsidR="00B9698B" w:rsidRDefault="006B1A53" w:rsidP="00B9698B">
      <w:pPr>
        <w:spacing w:before="240" w:line="240" w:lineRule="auto"/>
        <w:jc w:val="center"/>
        <w:rPr>
          <w:rFonts w:ascii="ITC Avant Garde" w:hAnsi="ITC Avant Garde"/>
          <w:b/>
        </w:rPr>
      </w:pPr>
      <w:r w:rsidRPr="00D245AD">
        <w:rPr>
          <w:rFonts w:ascii="ITC Avant Garde" w:hAnsi="ITC Avant Garde"/>
          <w:b/>
        </w:rPr>
        <w:t>Supervisión y Sanciones</w:t>
      </w:r>
    </w:p>
    <w:p w14:paraId="2DE7537E" w14:textId="77777777" w:rsidR="00B9698B" w:rsidRDefault="006B1A53" w:rsidP="00B9698B">
      <w:pPr>
        <w:spacing w:before="240" w:line="240" w:lineRule="auto"/>
        <w:jc w:val="both"/>
        <w:rPr>
          <w:rFonts w:ascii="ITC Avant Garde" w:hAnsi="ITC Avant Garde"/>
        </w:rPr>
      </w:pPr>
      <w:r>
        <w:rPr>
          <w:rFonts w:ascii="ITC Avant Garde" w:hAnsi="ITC Avant Garde"/>
          <w:b/>
        </w:rPr>
        <w:t>Artículo 10</w:t>
      </w:r>
      <w:r w:rsidRPr="00D245AD">
        <w:rPr>
          <w:rFonts w:ascii="ITC Avant Garde" w:hAnsi="ITC Avant Garde"/>
          <w:b/>
        </w:rPr>
        <w:t>.-</w:t>
      </w:r>
      <w:r w:rsidRPr="00D245AD">
        <w:rPr>
          <w:rFonts w:ascii="ITC Avant Garde" w:hAnsi="ITC Avant Garde"/>
        </w:rPr>
        <w:t xml:space="preserve"> El Instituto supervisará que los Concesionarios de Televisión Radiodifundida den cumplimiento a las obligaciones establecidas en los Lineamientos.</w:t>
      </w:r>
    </w:p>
    <w:p w14:paraId="66806A51" w14:textId="77777777" w:rsidR="00B9698B" w:rsidRDefault="006B1A53" w:rsidP="00B9698B">
      <w:pPr>
        <w:spacing w:before="240" w:line="240" w:lineRule="auto"/>
        <w:jc w:val="both"/>
        <w:rPr>
          <w:rFonts w:ascii="ITC Avant Garde" w:hAnsi="ITC Avant Garde"/>
        </w:rPr>
      </w:pPr>
      <w:r w:rsidRPr="00D245AD">
        <w:rPr>
          <w:rFonts w:ascii="ITC Avant Garde" w:hAnsi="ITC Avant Garde"/>
          <w:b/>
        </w:rPr>
        <w:t>Artículo 1</w:t>
      </w:r>
      <w:r>
        <w:rPr>
          <w:rFonts w:ascii="ITC Avant Garde" w:hAnsi="ITC Avant Garde"/>
          <w:b/>
        </w:rPr>
        <w:t>1</w:t>
      </w:r>
      <w:r w:rsidRPr="00D245AD">
        <w:rPr>
          <w:rFonts w:ascii="ITC Avant Garde" w:hAnsi="ITC Avant Garde"/>
          <w:b/>
        </w:rPr>
        <w:t xml:space="preserve">.- </w:t>
      </w:r>
      <w:r w:rsidRPr="00D245AD">
        <w:rPr>
          <w:rFonts w:ascii="ITC Avant Garde" w:hAnsi="ITC Avant Garde"/>
        </w:rPr>
        <w:t>El Instituto, en el ámbito de su competencia, previo desahogo del procedimiento administrativo respectivo, sancionará en términos de la Ley, el incumplimiento a las obligaciones contenidas en los Lineamientos.</w:t>
      </w:r>
    </w:p>
    <w:p w14:paraId="08D6997B" w14:textId="77777777" w:rsidR="00B9698B" w:rsidRPr="00B9698B" w:rsidRDefault="006B1A53" w:rsidP="00B9698B">
      <w:pPr>
        <w:pStyle w:val="Ttulo2"/>
        <w:spacing w:after="240"/>
        <w:jc w:val="center"/>
        <w:rPr>
          <w:rFonts w:ascii="ITC Avant Garde" w:hAnsi="ITC Avant Garde"/>
          <w:b/>
          <w:color w:val="000000" w:themeColor="text1"/>
          <w:sz w:val="22"/>
          <w:szCs w:val="22"/>
        </w:rPr>
      </w:pPr>
      <w:r w:rsidRPr="00B9698B">
        <w:rPr>
          <w:rFonts w:ascii="ITC Avant Garde" w:hAnsi="ITC Avant Garde"/>
          <w:b/>
          <w:color w:val="000000" w:themeColor="text1"/>
          <w:sz w:val="22"/>
          <w:szCs w:val="22"/>
        </w:rPr>
        <w:t>Transitorio</w:t>
      </w:r>
    </w:p>
    <w:p w14:paraId="513DBDA1" w14:textId="755FB033" w:rsidR="00DD27D9" w:rsidRPr="00B9698B" w:rsidRDefault="006B1A53" w:rsidP="00B9698B">
      <w:pPr>
        <w:autoSpaceDE w:val="0"/>
        <w:autoSpaceDN w:val="0"/>
        <w:adjustRightInd w:val="0"/>
        <w:spacing w:before="240" w:line="240" w:lineRule="auto"/>
        <w:jc w:val="both"/>
        <w:rPr>
          <w:rFonts w:ascii="ITC Avant Garde" w:hAnsi="ITC Avant Garde"/>
        </w:rPr>
      </w:pPr>
      <w:proofErr w:type="gramStart"/>
      <w:r w:rsidRPr="00D245AD">
        <w:rPr>
          <w:rFonts w:ascii="ITC Avant Garde" w:hAnsi="ITC Avant Garde"/>
          <w:b/>
        </w:rPr>
        <w:t>ÚNICO.-</w:t>
      </w:r>
      <w:proofErr w:type="gramEnd"/>
      <w:r w:rsidRPr="00D245AD">
        <w:rPr>
          <w:rFonts w:ascii="ITC Avant Garde" w:hAnsi="ITC Avant Garde"/>
          <w:b/>
        </w:rPr>
        <w:t xml:space="preserve"> </w:t>
      </w:r>
      <w:r w:rsidRPr="00D245AD">
        <w:rPr>
          <w:rFonts w:ascii="ITC Avant Garde" w:hAnsi="ITC Avant Garde"/>
        </w:rPr>
        <w:t xml:space="preserve">Los </w:t>
      </w:r>
      <w:r w:rsidRPr="00D245AD">
        <w:rPr>
          <w:rFonts w:ascii="ITC Avant Garde" w:eastAsia="Times New Roman" w:hAnsi="ITC Avant Garde"/>
          <w:kern w:val="2"/>
          <w:lang w:val="es-ES" w:eastAsia="ar-SA"/>
        </w:rPr>
        <w:t>Lineamientos Generales de Accesibilidad al Servicio de Televisión Radiodifundida</w:t>
      </w:r>
      <w:r w:rsidRPr="00D245AD">
        <w:rPr>
          <w:rFonts w:ascii="ITC Avant Garde" w:hAnsi="ITC Avant Garde"/>
        </w:rPr>
        <w:t xml:space="preserve"> entrarán en vigor </w:t>
      </w:r>
      <w:r>
        <w:rPr>
          <w:rFonts w:ascii="ITC Avant Garde" w:hAnsi="ITC Avant Garde"/>
        </w:rPr>
        <w:t>10 días hábiles después de su publicación en el Diario Oficial de la Federación</w:t>
      </w:r>
      <w:r w:rsidRPr="00D245AD">
        <w:rPr>
          <w:rFonts w:ascii="ITC Avant Garde" w:hAnsi="ITC Avant Garde"/>
        </w:rPr>
        <w:t>.</w:t>
      </w:r>
      <w:bookmarkStart w:id="0" w:name="_GoBack"/>
      <w:bookmarkEnd w:id="0"/>
    </w:p>
    <w:sectPr w:rsidR="00DD27D9" w:rsidRPr="00B9698B" w:rsidSect="00760E38">
      <w:headerReference w:type="even" r:id="rId13"/>
      <w:footerReference w:type="default" r:id="rId14"/>
      <w:headerReference w:type="first" r:id="rId15"/>
      <w:pgSz w:w="12240" w:h="15840"/>
      <w:pgMar w:top="1985"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0C40" w14:textId="77777777" w:rsidR="003A2AF9" w:rsidRDefault="003A2AF9" w:rsidP="007A2E04">
      <w:pPr>
        <w:spacing w:after="0" w:line="240" w:lineRule="auto"/>
      </w:pPr>
      <w:r>
        <w:separator/>
      </w:r>
    </w:p>
  </w:endnote>
  <w:endnote w:type="continuationSeparator" w:id="0">
    <w:p w14:paraId="230C60B9" w14:textId="77777777" w:rsidR="003A2AF9" w:rsidRDefault="003A2AF9" w:rsidP="007A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850024"/>
      <w:docPartObj>
        <w:docPartGallery w:val="Page Numbers (Bottom of Page)"/>
        <w:docPartUnique/>
      </w:docPartObj>
    </w:sdtPr>
    <w:sdtEndPr>
      <w:rPr>
        <w:rFonts w:ascii="ITC Avant Garde" w:hAnsi="ITC Avant Garde"/>
        <w:sz w:val="20"/>
        <w:szCs w:val="20"/>
      </w:rPr>
    </w:sdtEndPr>
    <w:sdtContent>
      <w:p w14:paraId="2C1BE5D3" w14:textId="35D7F373" w:rsidR="00A677ED" w:rsidRPr="00B9698B" w:rsidRDefault="00A677ED" w:rsidP="00B9698B">
        <w:pPr>
          <w:pStyle w:val="Piedepgina"/>
          <w:jc w:val="right"/>
          <w:rPr>
            <w:rFonts w:ascii="ITC Avant Garde" w:hAnsi="ITC Avant Garde"/>
            <w:sz w:val="20"/>
            <w:szCs w:val="20"/>
          </w:rPr>
        </w:pPr>
        <w:r w:rsidRPr="00A677ED">
          <w:rPr>
            <w:rFonts w:ascii="ITC Avant Garde" w:hAnsi="ITC Avant Garde"/>
            <w:sz w:val="20"/>
            <w:szCs w:val="20"/>
          </w:rPr>
          <w:fldChar w:fldCharType="begin"/>
        </w:r>
        <w:r w:rsidRPr="00A677ED">
          <w:rPr>
            <w:rFonts w:ascii="ITC Avant Garde" w:hAnsi="ITC Avant Garde"/>
            <w:sz w:val="20"/>
            <w:szCs w:val="20"/>
          </w:rPr>
          <w:instrText>PAGE   \* MERGEFORMAT</w:instrText>
        </w:r>
        <w:r w:rsidRPr="00A677ED">
          <w:rPr>
            <w:rFonts w:ascii="ITC Avant Garde" w:hAnsi="ITC Avant Garde"/>
            <w:sz w:val="20"/>
            <w:szCs w:val="20"/>
          </w:rPr>
          <w:fldChar w:fldCharType="separate"/>
        </w:r>
        <w:r w:rsidR="00B9698B" w:rsidRPr="00B9698B">
          <w:rPr>
            <w:rFonts w:ascii="ITC Avant Garde" w:hAnsi="ITC Avant Garde"/>
            <w:noProof/>
            <w:sz w:val="20"/>
            <w:szCs w:val="20"/>
            <w:lang w:val="es-ES"/>
          </w:rPr>
          <w:t>3</w:t>
        </w:r>
        <w:r w:rsidRPr="00A677ED">
          <w:rPr>
            <w:rFonts w:ascii="ITC Avant Garde" w:hAnsi="ITC Avant Gard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716592"/>
      <w:docPartObj>
        <w:docPartGallery w:val="Page Numbers (Bottom of Page)"/>
        <w:docPartUnique/>
      </w:docPartObj>
    </w:sdtPr>
    <w:sdtEndPr/>
    <w:sdtContent>
      <w:p w14:paraId="3BF94987" w14:textId="73B73265" w:rsidR="008150E4" w:rsidRDefault="00760E38" w:rsidP="00760E38">
        <w:pPr>
          <w:pStyle w:val="Piedepgina"/>
          <w:jc w:val="right"/>
        </w:pPr>
        <w:r>
          <w:fldChar w:fldCharType="begin"/>
        </w:r>
        <w:r>
          <w:instrText>PAGE   \* MERGEFORMAT</w:instrText>
        </w:r>
        <w:r>
          <w:fldChar w:fldCharType="separate"/>
        </w:r>
        <w:r w:rsidR="00B9698B" w:rsidRPr="00B9698B">
          <w:rPr>
            <w:noProof/>
            <w:lang w:val="es-ES"/>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CCE0F" w14:textId="77777777" w:rsidR="003A2AF9" w:rsidRDefault="003A2AF9" w:rsidP="007A2E04">
      <w:pPr>
        <w:spacing w:after="0" w:line="240" w:lineRule="auto"/>
      </w:pPr>
      <w:r>
        <w:separator/>
      </w:r>
    </w:p>
  </w:footnote>
  <w:footnote w:type="continuationSeparator" w:id="0">
    <w:p w14:paraId="1280D77E" w14:textId="77777777" w:rsidR="003A2AF9" w:rsidRDefault="003A2AF9" w:rsidP="007A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8D40" w14:textId="77777777" w:rsidR="00CC4C0B" w:rsidRDefault="003A2AF9">
    <w:pPr>
      <w:pStyle w:val="Encabezado"/>
    </w:pPr>
    <w:r>
      <w:rPr>
        <w:noProof/>
        <w:lang w:eastAsia="es-MX"/>
      </w:rPr>
      <w:pict w14:anchorId="35841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7122" o:spid="_x0000_s2049" type="#_x0000_t75" style="position:absolute;margin-left:0;margin-top:0;width:612pt;height:11in;z-index:-251656192;mso-position-horizontal:center;mso-position-horizontal-relative:margin;mso-position-vertical:center;mso-position-vertical-relative:margin" o:allowincell="f">
          <v:imagedata r:id="rId1" o:title="hoja membretada Edif2-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0629" w14:textId="77777777" w:rsidR="00CC4C0B" w:rsidRDefault="003A2AF9">
    <w:pPr>
      <w:pStyle w:val="Encabezado"/>
    </w:pPr>
    <w:r>
      <w:rPr>
        <w:noProof/>
        <w:lang w:eastAsia="es-MX"/>
      </w:rPr>
      <w:pict w14:anchorId="3CEFA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7121" o:spid="_x0000_s2050" type="#_x0000_t75" style="position:absolute;margin-left:0;margin-top:0;width:612pt;height:11in;z-index:-251655168;mso-position-horizontal:center;mso-position-horizontal-relative:margin;mso-position-vertical:center;mso-position-vertical-relative:margin" o:allowincell="f">
          <v:imagedata r:id="rId1" o:title="hoja membretada Edif2-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9633" w14:textId="77777777" w:rsidR="008150E4" w:rsidRDefault="003A2AF9">
    <w:pPr>
      <w:pStyle w:val="Encabezado"/>
    </w:pPr>
    <w:r>
      <w:rPr>
        <w:noProof/>
        <w:lang w:eastAsia="es-MX"/>
      </w:rPr>
      <w:pict w14:anchorId="035F6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3" type="#_x0000_t75" style="position:absolute;margin-left:0;margin-top:0;width:612pt;height:11in;z-index:-251653120;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F913" w14:textId="77777777" w:rsidR="008150E4" w:rsidRDefault="003A2AF9">
    <w:pPr>
      <w:pStyle w:val="Encabezado"/>
    </w:pPr>
    <w:r>
      <w:rPr>
        <w:noProof/>
        <w:lang w:eastAsia="es-MX"/>
      </w:rPr>
      <w:pict w14:anchorId="7D515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4" type="#_x0000_t75" style="position:absolute;margin-left:0;margin-top:0;width:612pt;height:11in;z-index:-25165209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34E63"/>
    <w:multiLevelType w:val="hybridMultilevel"/>
    <w:tmpl w:val="DC44C88E"/>
    <w:lvl w:ilvl="0" w:tplc="377606B0">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292B1AA1"/>
    <w:multiLevelType w:val="hybridMultilevel"/>
    <w:tmpl w:val="BC8CD552"/>
    <w:lvl w:ilvl="0" w:tplc="CBC0113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43D20676"/>
    <w:multiLevelType w:val="hybridMultilevel"/>
    <w:tmpl w:val="F1444C2E"/>
    <w:lvl w:ilvl="0" w:tplc="D3F05A74">
      <w:start w:val="1"/>
      <w:numFmt w:val="upperRoman"/>
      <w:lvlText w:val="%1."/>
      <w:lvlJc w:val="left"/>
      <w:pPr>
        <w:ind w:left="720" w:hanging="360"/>
      </w:pPr>
      <w:rPr>
        <w:rFonts w:ascii="ITC Avant Garde" w:eastAsiaTheme="minorHAnsi" w:hAnsi="ITC Avant Garde"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3A2740"/>
    <w:multiLevelType w:val="hybridMultilevel"/>
    <w:tmpl w:val="F1444C2E"/>
    <w:lvl w:ilvl="0" w:tplc="D3F05A74">
      <w:start w:val="1"/>
      <w:numFmt w:val="upperRoman"/>
      <w:lvlText w:val="%1."/>
      <w:lvlJc w:val="left"/>
      <w:pPr>
        <w:ind w:left="720" w:hanging="360"/>
      </w:pPr>
      <w:rPr>
        <w:rFonts w:ascii="ITC Avant Garde" w:eastAsiaTheme="minorHAnsi" w:hAnsi="ITC Avant Garde"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2B0699"/>
    <w:multiLevelType w:val="hybridMultilevel"/>
    <w:tmpl w:val="FFBC58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04"/>
    <w:rsid w:val="000856DE"/>
    <w:rsid w:val="000A184F"/>
    <w:rsid w:val="000A53B0"/>
    <w:rsid w:val="00154B3F"/>
    <w:rsid w:val="00176558"/>
    <w:rsid w:val="00177599"/>
    <w:rsid w:val="00243D9D"/>
    <w:rsid w:val="002968F6"/>
    <w:rsid w:val="00352F79"/>
    <w:rsid w:val="003A2AF9"/>
    <w:rsid w:val="00453D06"/>
    <w:rsid w:val="00460C11"/>
    <w:rsid w:val="004629BB"/>
    <w:rsid w:val="004879E3"/>
    <w:rsid w:val="00527DAC"/>
    <w:rsid w:val="005A4797"/>
    <w:rsid w:val="005D6A4F"/>
    <w:rsid w:val="00626595"/>
    <w:rsid w:val="00627D7F"/>
    <w:rsid w:val="00696182"/>
    <w:rsid w:val="006B1A53"/>
    <w:rsid w:val="00715798"/>
    <w:rsid w:val="00760E38"/>
    <w:rsid w:val="00783E5A"/>
    <w:rsid w:val="007A2E04"/>
    <w:rsid w:val="007E73E8"/>
    <w:rsid w:val="00850DCA"/>
    <w:rsid w:val="00883A98"/>
    <w:rsid w:val="008C4EA9"/>
    <w:rsid w:val="00986048"/>
    <w:rsid w:val="00A677ED"/>
    <w:rsid w:val="00B325A6"/>
    <w:rsid w:val="00B53860"/>
    <w:rsid w:val="00B9698B"/>
    <w:rsid w:val="00BC7007"/>
    <w:rsid w:val="00BE04E8"/>
    <w:rsid w:val="00C07FA2"/>
    <w:rsid w:val="00C411B2"/>
    <w:rsid w:val="00C87E43"/>
    <w:rsid w:val="00C96768"/>
    <w:rsid w:val="00D13F95"/>
    <w:rsid w:val="00D236D2"/>
    <w:rsid w:val="00D377C6"/>
    <w:rsid w:val="00D57A5C"/>
    <w:rsid w:val="00DB6A9A"/>
    <w:rsid w:val="00DD27D9"/>
    <w:rsid w:val="00E113A5"/>
    <w:rsid w:val="00F16453"/>
    <w:rsid w:val="00F22007"/>
    <w:rsid w:val="00F40E1D"/>
    <w:rsid w:val="00FC6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B1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04"/>
    <w:pPr>
      <w:spacing w:after="200" w:line="276" w:lineRule="auto"/>
    </w:pPr>
  </w:style>
  <w:style w:type="paragraph" w:styleId="Ttulo1">
    <w:name w:val="heading 1"/>
    <w:basedOn w:val="Normal"/>
    <w:next w:val="Normal"/>
    <w:link w:val="Ttulo1Car"/>
    <w:uiPriority w:val="9"/>
    <w:qFormat/>
    <w:rsid w:val="00B96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969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2E0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7A2E04"/>
    <w:rPr>
      <w:rFonts w:ascii="Calibri" w:eastAsia="Calibri" w:hAnsi="Calibri" w:cs="Times New Roman"/>
    </w:rPr>
  </w:style>
  <w:style w:type="paragraph" w:styleId="Prrafodelista">
    <w:name w:val="List Paragraph"/>
    <w:basedOn w:val="Normal"/>
    <w:link w:val="PrrafodelistaCar"/>
    <w:uiPriority w:val="34"/>
    <w:qFormat/>
    <w:rsid w:val="007A2E04"/>
    <w:pPr>
      <w:ind w:left="720"/>
      <w:contextualSpacing/>
    </w:pPr>
    <w:rPr>
      <w:rFonts w:ascii="ITC Avant Garde" w:eastAsia="Calibri" w:hAnsi="ITC Avant Garde" w:cs="Tahoma"/>
      <w:bCs/>
      <w:lang w:eastAsia="es-MX"/>
    </w:rPr>
  </w:style>
  <w:style w:type="character" w:styleId="Referenciasutil">
    <w:name w:val="Subtle Reference"/>
    <w:basedOn w:val="Fuentedeprrafopredeter"/>
    <w:uiPriority w:val="31"/>
    <w:qFormat/>
    <w:rsid w:val="007A2E04"/>
    <w:rPr>
      <w:smallCaps/>
      <w:color w:val="5A5A5A" w:themeColor="text1" w:themeTint="A5"/>
    </w:rPr>
  </w:style>
  <w:style w:type="character" w:customStyle="1" w:styleId="PrrafodelistaCar">
    <w:name w:val="Párrafo de lista Car"/>
    <w:link w:val="Prrafodelista"/>
    <w:uiPriority w:val="34"/>
    <w:locked/>
    <w:rsid w:val="007A2E04"/>
    <w:rPr>
      <w:rFonts w:ascii="ITC Avant Garde" w:eastAsia="Calibri" w:hAnsi="ITC Avant Garde" w:cs="Tahoma"/>
      <w:bCs/>
      <w:lang w:eastAsia="es-MX"/>
    </w:rPr>
  </w:style>
  <w:style w:type="paragraph" w:styleId="Piedepgina">
    <w:name w:val="footer"/>
    <w:basedOn w:val="Normal"/>
    <w:link w:val="PiedepginaCar"/>
    <w:uiPriority w:val="99"/>
    <w:unhideWhenUsed/>
    <w:rsid w:val="007A2E0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7A2E04"/>
    <w:rPr>
      <w:rFonts w:ascii="Calibri" w:eastAsia="Calibri" w:hAnsi="Calibri" w:cs="Times New Roman"/>
    </w:rPr>
  </w:style>
  <w:style w:type="paragraph" w:customStyle="1" w:styleId="Default">
    <w:name w:val="Default"/>
    <w:rsid w:val="007A2E04"/>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Textonotapie">
    <w:name w:val="footnote text"/>
    <w:basedOn w:val="Normal"/>
    <w:link w:val="TextonotapieCar"/>
    <w:uiPriority w:val="99"/>
    <w:unhideWhenUsed/>
    <w:rsid w:val="007A2E0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7A2E04"/>
    <w:rPr>
      <w:rFonts w:ascii="Calibri" w:eastAsia="Calibri" w:hAnsi="Calibri" w:cs="Times New Roman"/>
      <w:sz w:val="20"/>
      <w:szCs w:val="20"/>
    </w:rPr>
  </w:style>
  <w:style w:type="character" w:styleId="Refdenotaalpie">
    <w:name w:val="footnote reference"/>
    <w:basedOn w:val="Fuentedeprrafopredeter"/>
    <w:uiPriority w:val="99"/>
    <w:unhideWhenUsed/>
    <w:rsid w:val="007A2E04"/>
    <w:rPr>
      <w:vertAlign w:val="superscript"/>
    </w:rPr>
  </w:style>
  <w:style w:type="character" w:styleId="Refdecomentario">
    <w:name w:val="annotation reference"/>
    <w:basedOn w:val="Fuentedeprrafopredeter"/>
    <w:uiPriority w:val="99"/>
    <w:semiHidden/>
    <w:unhideWhenUsed/>
    <w:rsid w:val="00527DAC"/>
    <w:rPr>
      <w:sz w:val="16"/>
      <w:szCs w:val="16"/>
    </w:rPr>
  </w:style>
  <w:style w:type="paragraph" w:styleId="Textocomentario">
    <w:name w:val="annotation text"/>
    <w:basedOn w:val="Normal"/>
    <w:link w:val="TextocomentarioCar"/>
    <w:uiPriority w:val="99"/>
    <w:semiHidden/>
    <w:unhideWhenUsed/>
    <w:rsid w:val="00527D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7DAC"/>
    <w:rPr>
      <w:sz w:val="20"/>
      <w:szCs w:val="20"/>
    </w:rPr>
  </w:style>
  <w:style w:type="paragraph" w:styleId="Asuntodelcomentario">
    <w:name w:val="annotation subject"/>
    <w:basedOn w:val="Textocomentario"/>
    <w:next w:val="Textocomentario"/>
    <w:link w:val="AsuntodelcomentarioCar"/>
    <w:uiPriority w:val="99"/>
    <w:semiHidden/>
    <w:unhideWhenUsed/>
    <w:rsid w:val="00527DAC"/>
    <w:rPr>
      <w:b/>
      <w:bCs/>
    </w:rPr>
  </w:style>
  <w:style w:type="character" w:customStyle="1" w:styleId="AsuntodelcomentarioCar">
    <w:name w:val="Asunto del comentario Car"/>
    <w:basedOn w:val="TextocomentarioCar"/>
    <w:link w:val="Asuntodelcomentario"/>
    <w:uiPriority w:val="99"/>
    <w:semiHidden/>
    <w:rsid w:val="00527DAC"/>
    <w:rPr>
      <w:b/>
      <w:bCs/>
      <w:sz w:val="20"/>
      <w:szCs w:val="20"/>
    </w:rPr>
  </w:style>
  <w:style w:type="paragraph" w:styleId="Textodeglobo">
    <w:name w:val="Balloon Text"/>
    <w:basedOn w:val="Normal"/>
    <w:link w:val="TextodegloboCar"/>
    <w:uiPriority w:val="99"/>
    <w:semiHidden/>
    <w:unhideWhenUsed/>
    <w:rsid w:val="00527D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7DAC"/>
    <w:rPr>
      <w:rFonts w:ascii="Segoe UI" w:hAnsi="Segoe UI" w:cs="Segoe UI"/>
      <w:sz w:val="18"/>
      <w:szCs w:val="18"/>
    </w:rPr>
  </w:style>
  <w:style w:type="paragraph" w:customStyle="1" w:styleId="Texto">
    <w:name w:val="Texto"/>
    <w:basedOn w:val="Normal"/>
    <w:link w:val="TextoCar"/>
    <w:rsid w:val="006B1A5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B1A53"/>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9"/>
    <w:rsid w:val="00B9698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9698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8085">
      <w:bodyDiv w:val="1"/>
      <w:marLeft w:val="0"/>
      <w:marRight w:val="0"/>
      <w:marTop w:val="0"/>
      <w:marBottom w:val="0"/>
      <w:divBdr>
        <w:top w:val="none" w:sz="0" w:space="0" w:color="auto"/>
        <w:left w:val="none" w:sz="0" w:space="0" w:color="auto"/>
        <w:bottom w:val="none" w:sz="0" w:space="0" w:color="auto"/>
        <w:right w:val="none" w:sz="0" w:space="0" w:color="auto"/>
      </w:divBdr>
    </w:div>
    <w:div w:id="3708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2C554-F056-472C-A5CB-19745F45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15483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2018-03-20T22:31:00Z</dcterms:created>
  <dcterms:modified xsi:type="dcterms:W3CDTF">2018-03-21T16:11:00Z</dcterms:modified>
</cp:coreProperties>
</file>