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F215E" w14:textId="7E5ADEB2" w:rsidR="00B26E90" w:rsidRPr="006E7653" w:rsidRDefault="00B26E90" w:rsidP="006E7653">
      <w:pPr>
        <w:pStyle w:val="Ttulo1"/>
        <w:spacing w:after="240" w:line="276" w:lineRule="auto"/>
        <w:jc w:val="both"/>
        <w:rPr>
          <w:rFonts w:ascii="ITC Avant Garde" w:eastAsia="Times New Roman" w:hAnsi="ITC Avant Garde"/>
          <w:b/>
          <w:color w:val="000000" w:themeColor="text1"/>
          <w:sz w:val="20"/>
          <w:szCs w:val="20"/>
          <w:lang w:val="es-ES_tradnl"/>
        </w:rPr>
      </w:pPr>
      <w:r w:rsidRPr="006E7653">
        <w:rPr>
          <w:rFonts w:ascii="ITC Avant Garde" w:eastAsia="Times New Roman" w:hAnsi="ITC Avant Garde"/>
          <w:b/>
          <w:color w:val="000000" w:themeColor="text1"/>
          <w:sz w:val="20"/>
          <w:szCs w:val="20"/>
          <w:lang w:val="es-ES_tradnl"/>
        </w:rPr>
        <w:t xml:space="preserve">ACUERDO MEDIANTE EL CUAL EL PLENO DEL INSTITUTO FEDERAL DE TELECOMUNICACIONES </w:t>
      </w:r>
      <w:r w:rsidR="005F730C" w:rsidRPr="006E7653">
        <w:rPr>
          <w:rFonts w:ascii="ITC Avant Garde" w:eastAsia="Times New Roman" w:hAnsi="ITC Avant Garde"/>
          <w:b/>
          <w:color w:val="000000" w:themeColor="text1"/>
          <w:sz w:val="20"/>
          <w:szCs w:val="20"/>
          <w:lang w:val="es-ES_tradnl"/>
        </w:rPr>
        <w:t xml:space="preserve">APRUEBA </w:t>
      </w:r>
      <w:bookmarkStart w:id="0" w:name="OLE_LINK2"/>
      <w:r w:rsidR="005F730C" w:rsidRPr="006E7653">
        <w:rPr>
          <w:rFonts w:ascii="ITC Avant Garde" w:eastAsia="Times New Roman" w:hAnsi="ITC Avant Garde"/>
          <w:b/>
          <w:color w:val="000000" w:themeColor="text1"/>
          <w:sz w:val="20"/>
          <w:szCs w:val="20"/>
          <w:lang w:val="es-ES_tradnl"/>
        </w:rPr>
        <w:t xml:space="preserve">EL </w:t>
      </w:r>
      <w:r w:rsidR="003D4115" w:rsidRPr="006E7653">
        <w:rPr>
          <w:rFonts w:ascii="ITC Avant Garde" w:eastAsia="Times New Roman" w:hAnsi="ITC Avant Garde"/>
          <w:b/>
          <w:color w:val="000000" w:themeColor="text1"/>
          <w:sz w:val="20"/>
          <w:szCs w:val="20"/>
          <w:lang w:val="es-ES_tradnl"/>
        </w:rPr>
        <w:t>PROGRAMA ANUAL DE ACTIVIDADES</w:t>
      </w:r>
      <w:r w:rsidR="00F66298" w:rsidRPr="006E7653">
        <w:rPr>
          <w:rFonts w:ascii="ITC Avant Garde" w:eastAsia="Times New Roman" w:hAnsi="ITC Avant Garde"/>
          <w:b/>
          <w:color w:val="000000" w:themeColor="text1"/>
          <w:sz w:val="20"/>
          <w:szCs w:val="20"/>
          <w:lang w:val="es-ES_tradnl"/>
        </w:rPr>
        <w:t xml:space="preserve"> </w:t>
      </w:r>
      <w:r w:rsidR="00980833" w:rsidRPr="006E7653">
        <w:rPr>
          <w:rFonts w:ascii="ITC Avant Garde" w:eastAsia="Times New Roman" w:hAnsi="ITC Avant Garde"/>
          <w:b/>
          <w:color w:val="000000" w:themeColor="text1"/>
          <w:sz w:val="20"/>
          <w:szCs w:val="20"/>
          <w:lang w:val="es-ES_tradnl"/>
        </w:rPr>
        <w:t>201</w:t>
      </w:r>
      <w:bookmarkEnd w:id="0"/>
      <w:r w:rsidR="0081081D" w:rsidRPr="006E7653">
        <w:rPr>
          <w:rFonts w:ascii="ITC Avant Garde" w:eastAsia="Times New Roman" w:hAnsi="ITC Avant Garde"/>
          <w:b/>
          <w:color w:val="000000" w:themeColor="text1"/>
          <w:sz w:val="20"/>
          <w:szCs w:val="20"/>
          <w:lang w:val="es-ES_tradnl"/>
        </w:rPr>
        <w:t>8</w:t>
      </w:r>
      <w:r w:rsidR="00D96B97" w:rsidRPr="006E7653">
        <w:rPr>
          <w:rFonts w:ascii="ITC Avant Garde" w:eastAsia="Times New Roman" w:hAnsi="ITC Avant Garde"/>
          <w:b/>
          <w:color w:val="000000" w:themeColor="text1"/>
          <w:sz w:val="20"/>
          <w:szCs w:val="20"/>
          <w:lang w:val="es-ES_tradnl"/>
        </w:rPr>
        <w:t xml:space="preserve"> </w:t>
      </w:r>
      <w:r w:rsidR="00BB755B" w:rsidRPr="006E7653">
        <w:rPr>
          <w:rFonts w:ascii="ITC Avant Garde" w:eastAsia="Times New Roman" w:hAnsi="ITC Avant Garde"/>
          <w:b/>
          <w:color w:val="000000" w:themeColor="text1"/>
          <w:sz w:val="20"/>
          <w:szCs w:val="20"/>
          <w:lang w:val="es-ES_tradnl"/>
        </w:rPr>
        <w:t>DEL CENTRO DE ESTUDIOS</w:t>
      </w:r>
      <w:r w:rsidR="007E1D9D" w:rsidRPr="006E7653">
        <w:rPr>
          <w:rFonts w:ascii="ITC Avant Garde" w:eastAsia="Times New Roman" w:hAnsi="ITC Avant Garde"/>
          <w:b/>
          <w:color w:val="000000" w:themeColor="text1"/>
          <w:sz w:val="20"/>
          <w:szCs w:val="20"/>
          <w:lang w:val="es-ES_tradnl"/>
        </w:rPr>
        <w:t>.</w:t>
      </w:r>
    </w:p>
    <w:p w14:paraId="18C577F1" w14:textId="77777777" w:rsidR="006E7653" w:rsidRPr="006E7653" w:rsidRDefault="00B26E90" w:rsidP="006E7653">
      <w:pPr>
        <w:pStyle w:val="Ttulo2"/>
        <w:spacing w:before="240" w:after="240" w:line="276" w:lineRule="auto"/>
        <w:jc w:val="center"/>
        <w:rPr>
          <w:rFonts w:ascii="ITC Avant Garde" w:hAnsi="ITC Avant Garde"/>
          <w:b/>
          <w:color w:val="000000" w:themeColor="text1"/>
          <w:sz w:val="20"/>
          <w:szCs w:val="20"/>
          <w:lang w:val="es-MX" w:eastAsia="en-US"/>
        </w:rPr>
      </w:pPr>
      <w:r w:rsidRPr="006E7653">
        <w:rPr>
          <w:rFonts w:ascii="ITC Avant Garde" w:hAnsi="ITC Avant Garde"/>
          <w:b/>
          <w:color w:val="000000" w:themeColor="text1"/>
          <w:sz w:val="20"/>
          <w:szCs w:val="20"/>
          <w:lang w:val="es-MX" w:eastAsia="en-US"/>
        </w:rPr>
        <w:t>ANTECEDENTES</w:t>
      </w:r>
    </w:p>
    <w:p w14:paraId="72828173" w14:textId="24EFA624" w:rsidR="006E7653" w:rsidRDefault="009C5F89" w:rsidP="006E7653">
      <w:pPr>
        <w:spacing w:before="240" w:after="240"/>
        <w:jc w:val="both"/>
        <w:rPr>
          <w:rFonts w:ascii="ITC Avant Garde" w:hAnsi="ITC Avant Garde" w:cs="Arial"/>
          <w:sz w:val="20"/>
          <w:szCs w:val="20"/>
        </w:rPr>
      </w:pPr>
      <w:r w:rsidRPr="00AC313F">
        <w:rPr>
          <w:rFonts w:ascii="ITC Avant Garde" w:hAnsi="ITC Avant Garde" w:cs="Arial"/>
          <w:b/>
          <w:sz w:val="20"/>
          <w:szCs w:val="20"/>
        </w:rPr>
        <w:t>PRIMERO</w:t>
      </w:r>
      <w:r w:rsidR="00235BFE" w:rsidRPr="00AC313F">
        <w:rPr>
          <w:rFonts w:ascii="ITC Avant Garde" w:hAnsi="ITC Avant Garde" w:cs="Arial"/>
          <w:b/>
          <w:sz w:val="20"/>
          <w:szCs w:val="20"/>
        </w:rPr>
        <w:t>.</w:t>
      </w:r>
      <w:r w:rsidR="00235BFE" w:rsidRPr="00AC313F">
        <w:rPr>
          <w:rFonts w:ascii="ITC Avant Garde" w:hAnsi="ITC Avant Garde" w:cs="Arial"/>
          <w:sz w:val="20"/>
          <w:szCs w:val="20"/>
        </w:rPr>
        <w:t xml:space="preserve"> </w:t>
      </w:r>
      <w:r w:rsidR="000B1DA1" w:rsidRPr="00AC313F">
        <w:rPr>
          <w:rFonts w:ascii="ITC Avant Garde" w:hAnsi="ITC Avant Garde"/>
          <w:bCs/>
          <w:color w:val="000000"/>
          <w:sz w:val="20"/>
          <w:szCs w:val="20"/>
        </w:rPr>
        <w:t>Con fec</w:t>
      </w:r>
      <w:r w:rsidR="003F44D3" w:rsidRPr="00AC313F">
        <w:rPr>
          <w:rFonts w:ascii="ITC Avant Garde" w:hAnsi="ITC Avant Garde"/>
          <w:bCs/>
          <w:color w:val="000000"/>
          <w:sz w:val="20"/>
          <w:szCs w:val="20"/>
        </w:rPr>
        <w:t xml:space="preserve">ha </w:t>
      </w:r>
      <w:r w:rsidR="00564313" w:rsidRPr="00AC313F">
        <w:rPr>
          <w:rFonts w:ascii="ITC Avant Garde" w:hAnsi="ITC Avant Garde"/>
          <w:bCs/>
          <w:color w:val="000000"/>
          <w:sz w:val="20"/>
          <w:szCs w:val="20"/>
        </w:rPr>
        <w:t>11 de junio de 2013, fue publicado en el Diario Oficial de la Federación (en lo sucesivo “DOF”) el “Decreto por el que se reforman y adicionan diversas disposiciones de los artículos 6o., 7o., 27, 28, 73, 78, 94 y 105 de la Constitución Política de los Estados Unidos Mexicanos, en materia de telecomunicaciones</w:t>
      </w:r>
      <w:r w:rsidR="00925B68" w:rsidRPr="00AC313F">
        <w:rPr>
          <w:rFonts w:ascii="ITC Avant Garde" w:hAnsi="ITC Avant Garde"/>
          <w:bCs/>
          <w:color w:val="000000"/>
          <w:sz w:val="20"/>
          <w:szCs w:val="20"/>
        </w:rPr>
        <w:t>”</w:t>
      </w:r>
      <w:r w:rsidR="00005012" w:rsidRPr="00AC313F">
        <w:rPr>
          <w:rFonts w:ascii="ITC Avant Garde" w:hAnsi="ITC Avant Garde"/>
          <w:bCs/>
          <w:color w:val="000000"/>
          <w:sz w:val="20"/>
          <w:szCs w:val="20"/>
        </w:rPr>
        <w:t xml:space="preserve"> </w:t>
      </w:r>
      <w:r w:rsidR="0018374B" w:rsidRPr="00AC313F">
        <w:rPr>
          <w:rFonts w:ascii="ITC Avant Garde" w:hAnsi="ITC Avant Garde"/>
          <w:bCs/>
          <w:color w:val="000000"/>
          <w:sz w:val="20"/>
          <w:szCs w:val="20"/>
        </w:rPr>
        <w:t>(en lo sucesivo, el “Decreto</w:t>
      </w:r>
      <w:r w:rsidR="00D4052B" w:rsidRPr="00AC313F">
        <w:rPr>
          <w:rFonts w:ascii="ITC Avant Garde" w:hAnsi="ITC Avant Garde"/>
          <w:bCs/>
          <w:color w:val="000000"/>
          <w:sz w:val="20"/>
          <w:szCs w:val="20"/>
        </w:rPr>
        <w:t xml:space="preserve"> Constitucional</w:t>
      </w:r>
      <w:r w:rsidR="0018374B" w:rsidRPr="00AC313F">
        <w:rPr>
          <w:rFonts w:ascii="ITC Avant Garde" w:hAnsi="ITC Avant Garde"/>
          <w:bCs/>
          <w:color w:val="000000"/>
          <w:sz w:val="20"/>
          <w:szCs w:val="20"/>
        </w:rPr>
        <w:t>”),</w:t>
      </w:r>
      <w:r w:rsidR="00F71CD2" w:rsidRPr="00AC313F">
        <w:rPr>
          <w:rFonts w:ascii="ITC Avant Garde" w:hAnsi="ITC Avant Garde"/>
          <w:bCs/>
          <w:color w:val="000000"/>
          <w:sz w:val="20"/>
          <w:szCs w:val="20"/>
        </w:rPr>
        <w:t xml:space="preserve"> </w:t>
      </w:r>
      <w:r w:rsidR="00063ED9" w:rsidRPr="00AC313F">
        <w:rPr>
          <w:rFonts w:ascii="ITC Avant Garde" w:hAnsi="ITC Avant Garde"/>
          <w:bCs/>
          <w:color w:val="000000"/>
          <w:sz w:val="20"/>
          <w:szCs w:val="20"/>
        </w:rPr>
        <w:t xml:space="preserve">el cual </w:t>
      </w:r>
      <w:r w:rsidR="00D4052B" w:rsidRPr="00AC313F">
        <w:rPr>
          <w:rFonts w:ascii="ITC Avant Garde" w:hAnsi="ITC Avant Garde"/>
          <w:bCs/>
          <w:color w:val="000000"/>
          <w:sz w:val="20"/>
          <w:szCs w:val="20"/>
        </w:rPr>
        <w:t xml:space="preserve">establece </w:t>
      </w:r>
      <w:r w:rsidR="00564313" w:rsidRPr="00AC313F">
        <w:rPr>
          <w:rFonts w:ascii="ITC Avant Garde" w:hAnsi="ITC Avant Garde"/>
          <w:bCs/>
          <w:color w:val="000000"/>
          <w:sz w:val="20"/>
          <w:szCs w:val="20"/>
        </w:rPr>
        <w:t xml:space="preserve">la </w:t>
      </w:r>
      <w:r w:rsidR="00D4052B" w:rsidRPr="00AC313F">
        <w:rPr>
          <w:rFonts w:ascii="ITC Avant Garde" w:hAnsi="ITC Avant Garde"/>
          <w:bCs/>
          <w:color w:val="000000"/>
          <w:sz w:val="20"/>
          <w:szCs w:val="20"/>
        </w:rPr>
        <w:t xml:space="preserve">creación </w:t>
      </w:r>
      <w:r w:rsidR="00564313" w:rsidRPr="00AC313F">
        <w:rPr>
          <w:rFonts w:ascii="ITC Avant Garde" w:hAnsi="ITC Avant Garde"/>
          <w:bCs/>
          <w:color w:val="000000"/>
          <w:sz w:val="20"/>
          <w:szCs w:val="20"/>
        </w:rPr>
        <w:t>del</w:t>
      </w:r>
      <w:r w:rsidR="00564313" w:rsidRPr="00AC313F">
        <w:rPr>
          <w:rFonts w:ascii="ITC Avant Garde" w:hAnsi="ITC Avant Garde" w:cs="Arial"/>
          <w:sz w:val="20"/>
          <w:szCs w:val="20"/>
        </w:rPr>
        <w:t xml:space="preserve"> Instituto Federal de Telecomunicaciones (en lo sucesivo</w:t>
      </w:r>
      <w:r w:rsidR="006D449D" w:rsidRPr="00AC313F">
        <w:rPr>
          <w:rFonts w:ascii="ITC Avant Garde" w:hAnsi="ITC Avant Garde" w:cs="Arial"/>
          <w:sz w:val="20"/>
          <w:szCs w:val="20"/>
        </w:rPr>
        <w:t>, el</w:t>
      </w:r>
      <w:r w:rsidR="00564313" w:rsidRPr="00AC313F">
        <w:rPr>
          <w:rFonts w:ascii="ITC Avant Garde" w:hAnsi="ITC Avant Garde" w:cs="Arial"/>
          <w:sz w:val="20"/>
          <w:szCs w:val="20"/>
        </w:rPr>
        <w:t xml:space="preserve"> “IFT”)</w:t>
      </w:r>
      <w:r w:rsidR="00D4052B" w:rsidRPr="00AC313F">
        <w:rPr>
          <w:rFonts w:ascii="ITC Avant Garde" w:hAnsi="ITC Avant Garde" w:cs="Arial"/>
          <w:sz w:val="20"/>
          <w:szCs w:val="20"/>
        </w:rPr>
        <w:t xml:space="preserve"> como </w:t>
      </w:r>
      <w:r w:rsidR="00063ED9" w:rsidRPr="00AC313F">
        <w:rPr>
          <w:rFonts w:ascii="ITC Avant Garde" w:hAnsi="ITC Avant Garde" w:cs="Arial"/>
          <w:sz w:val="20"/>
          <w:szCs w:val="20"/>
        </w:rPr>
        <w:t>ó</w:t>
      </w:r>
      <w:r w:rsidR="00D4052B" w:rsidRPr="00AC313F">
        <w:rPr>
          <w:rFonts w:ascii="ITC Avant Garde" w:hAnsi="ITC Avant Garde" w:cs="Arial"/>
          <w:sz w:val="20"/>
          <w:szCs w:val="20"/>
        </w:rPr>
        <w:t xml:space="preserve">rgano </w:t>
      </w:r>
      <w:r w:rsidR="00063ED9" w:rsidRPr="00AC313F">
        <w:rPr>
          <w:rFonts w:ascii="ITC Avant Garde" w:hAnsi="ITC Avant Garde" w:cs="Arial"/>
          <w:sz w:val="20"/>
          <w:szCs w:val="20"/>
        </w:rPr>
        <w:t>a</w:t>
      </w:r>
      <w:r w:rsidR="00D4052B" w:rsidRPr="00AC313F">
        <w:rPr>
          <w:rFonts w:ascii="ITC Avant Garde" w:hAnsi="ITC Avant Garde" w:cs="Arial"/>
          <w:sz w:val="20"/>
          <w:szCs w:val="20"/>
        </w:rPr>
        <w:t>utónomo con personalidad jurídica y patrimonio propio</w:t>
      </w:r>
      <w:r w:rsidR="00564313" w:rsidRPr="00AC313F">
        <w:rPr>
          <w:rFonts w:ascii="ITC Avant Garde" w:hAnsi="ITC Avant Garde"/>
          <w:bCs/>
          <w:color w:val="000000"/>
          <w:sz w:val="20"/>
          <w:szCs w:val="20"/>
        </w:rPr>
        <w:t>.</w:t>
      </w:r>
    </w:p>
    <w:p w14:paraId="727EC8AF" w14:textId="77777777" w:rsidR="006E7653" w:rsidRDefault="009C5F89" w:rsidP="006E7653">
      <w:pPr>
        <w:pStyle w:val="Textoindependiente2"/>
        <w:spacing w:before="240" w:after="240"/>
        <w:rPr>
          <w:rFonts w:ascii="ITC Avant Garde" w:hAnsi="ITC Avant Garde" w:cs="Arial"/>
          <w:b w:val="0"/>
          <w:sz w:val="20"/>
          <w:szCs w:val="20"/>
        </w:rPr>
      </w:pPr>
      <w:r w:rsidRPr="00AC313F">
        <w:rPr>
          <w:rFonts w:ascii="ITC Avant Garde" w:eastAsia="Calibri" w:hAnsi="ITC Avant Garde" w:cs="Arial"/>
          <w:sz w:val="20"/>
          <w:szCs w:val="20"/>
          <w:lang w:val="es-MX" w:eastAsia="en-US"/>
        </w:rPr>
        <w:t>SEGUNDO</w:t>
      </w:r>
      <w:r w:rsidR="00B26E90" w:rsidRPr="00AC313F">
        <w:rPr>
          <w:rFonts w:ascii="ITC Avant Garde" w:eastAsia="Calibri" w:hAnsi="ITC Avant Garde" w:cs="Arial"/>
          <w:b w:val="0"/>
          <w:sz w:val="20"/>
          <w:szCs w:val="20"/>
          <w:lang w:val="es-MX" w:eastAsia="en-US"/>
        </w:rPr>
        <w:t xml:space="preserve">. </w:t>
      </w:r>
      <w:r w:rsidR="00B21E6F" w:rsidRPr="00AC313F">
        <w:rPr>
          <w:rFonts w:ascii="ITC Avant Garde" w:hAnsi="ITC Avant Garde"/>
          <w:b w:val="0"/>
          <w:bCs/>
          <w:color w:val="000000"/>
          <w:sz w:val="20"/>
          <w:szCs w:val="20"/>
        </w:rPr>
        <w:t>Con f</w:t>
      </w:r>
      <w:r w:rsidR="003F44D3" w:rsidRPr="00AC313F">
        <w:rPr>
          <w:rFonts w:ascii="ITC Avant Garde" w:hAnsi="ITC Avant Garde"/>
          <w:b w:val="0"/>
          <w:bCs/>
          <w:color w:val="000000"/>
          <w:sz w:val="20"/>
          <w:szCs w:val="20"/>
        </w:rPr>
        <w:t>echa</w:t>
      </w:r>
      <w:r w:rsidR="00564313" w:rsidRPr="00AC313F">
        <w:rPr>
          <w:rFonts w:ascii="ITC Avant Garde" w:hAnsi="ITC Avant Garde"/>
          <w:b w:val="0"/>
          <w:bCs/>
          <w:color w:val="000000"/>
          <w:sz w:val="20"/>
          <w:szCs w:val="20"/>
        </w:rPr>
        <w:t xml:space="preserve"> 10 de septiembre de 2013, en términos del vigésimo primer párrafo del artículo 28 constitucional reformado por el Decreto</w:t>
      </w:r>
      <w:r w:rsidR="00063ED9" w:rsidRPr="00AC313F">
        <w:rPr>
          <w:rFonts w:ascii="ITC Avant Garde" w:hAnsi="ITC Avant Garde"/>
          <w:b w:val="0"/>
          <w:bCs/>
          <w:color w:val="000000"/>
          <w:sz w:val="20"/>
          <w:szCs w:val="20"/>
        </w:rPr>
        <w:t xml:space="preserve"> Constitucional</w:t>
      </w:r>
      <w:r w:rsidR="00564313" w:rsidRPr="00AC313F">
        <w:rPr>
          <w:rFonts w:ascii="ITC Avant Garde" w:hAnsi="ITC Avant Garde"/>
          <w:b w:val="0"/>
          <w:bCs/>
          <w:color w:val="000000"/>
          <w:sz w:val="20"/>
          <w:szCs w:val="20"/>
        </w:rPr>
        <w:t>, con relación a</w:t>
      </w:r>
      <w:r w:rsidR="00063ED9" w:rsidRPr="00AC313F">
        <w:rPr>
          <w:rFonts w:ascii="ITC Avant Garde" w:hAnsi="ITC Avant Garde"/>
          <w:b w:val="0"/>
          <w:bCs/>
          <w:color w:val="000000"/>
          <w:sz w:val="20"/>
          <w:szCs w:val="20"/>
        </w:rPr>
        <w:t>l</w:t>
      </w:r>
      <w:r w:rsidR="00564313" w:rsidRPr="00AC313F">
        <w:rPr>
          <w:rFonts w:ascii="ITC Avant Garde" w:hAnsi="ITC Avant Garde"/>
          <w:b w:val="0"/>
          <w:bCs/>
          <w:color w:val="000000"/>
          <w:sz w:val="20"/>
          <w:szCs w:val="20"/>
        </w:rPr>
        <w:t xml:space="preserve"> artículo Sexto Transitorio</w:t>
      </w:r>
      <w:r w:rsidR="001F027F" w:rsidRPr="00AC313F">
        <w:rPr>
          <w:rFonts w:ascii="ITC Avant Garde" w:hAnsi="ITC Avant Garde"/>
          <w:b w:val="0"/>
          <w:bCs/>
          <w:color w:val="000000"/>
          <w:sz w:val="20"/>
          <w:szCs w:val="20"/>
        </w:rPr>
        <w:t xml:space="preserve"> del mismo Decreto</w:t>
      </w:r>
      <w:r w:rsidR="00564313" w:rsidRPr="00AC313F">
        <w:rPr>
          <w:rFonts w:ascii="ITC Avant Garde" w:hAnsi="ITC Avant Garde"/>
          <w:b w:val="0"/>
          <w:bCs/>
          <w:color w:val="000000"/>
          <w:sz w:val="20"/>
          <w:szCs w:val="20"/>
        </w:rPr>
        <w:t xml:space="preserve">, </w:t>
      </w:r>
      <w:r w:rsidR="00D4052B" w:rsidRPr="00AC313F">
        <w:rPr>
          <w:rFonts w:ascii="ITC Avant Garde" w:hAnsi="ITC Avant Garde" w:cs="Arial"/>
          <w:b w:val="0"/>
          <w:sz w:val="20"/>
          <w:szCs w:val="20"/>
        </w:rPr>
        <w:t>quedó debidamente integrado el IFT</w:t>
      </w:r>
      <w:r w:rsidR="00D4052B" w:rsidRPr="00AC313F">
        <w:rPr>
          <w:rFonts w:ascii="ITC Avant Garde" w:hAnsi="ITC Avant Garde"/>
          <w:b w:val="0"/>
          <w:bCs/>
          <w:color w:val="000000"/>
          <w:sz w:val="20"/>
          <w:szCs w:val="20"/>
        </w:rPr>
        <w:t xml:space="preserve"> </w:t>
      </w:r>
      <w:r w:rsidR="00D4052B" w:rsidRPr="00AC313F">
        <w:rPr>
          <w:rFonts w:ascii="ITC Avant Garde" w:hAnsi="ITC Avant Garde" w:cs="Arial"/>
          <w:b w:val="0"/>
          <w:sz w:val="20"/>
          <w:szCs w:val="20"/>
        </w:rPr>
        <w:t>mediante la ratificación por parte del Senado de la República de los nombramientos de los Comisionados que integran su Pleno como órgano máximo de gobierno</w:t>
      </w:r>
      <w:r w:rsidR="00255C74" w:rsidRPr="00AC313F">
        <w:rPr>
          <w:rFonts w:ascii="ITC Avant Garde" w:hAnsi="ITC Avant Garde"/>
          <w:b w:val="0"/>
          <w:bCs/>
          <w:color w:val="000000"/>
          <w:sz w:val="20"/>
          <w:szCs w:val="20"/>
        </w:rPr>
        <w:t xml:space="preserve">, incluyendo su </w:t>
      </w:r>
      <w:r w:rsidR="00925B68" w:rsidRPr="00AC313F">
        <w:rPr>
          <w:rFonts w:ascii="ITC Avant Garde" w:hAnsi="ITC Avant Garde"/>
          <w:b w:val="0"/>
          <w:bCs/>
          <w:color w:val="000000"/>
          <w:sz w:val="20"/>
          <w:szCs w:val="20"/>
        </w:rPr>
        <w:t>Presidente.</w:t>
      </w:r>
      <w:r w:rsidR="00564313" w:rsidRPr="00AC313F">
        <w:rPr>
          <w:rFonts w:ascii="ITC Avant Garde" w:hAnsi="ITC Avant Garde"/>
          <w:b w:val="0"/>
          <w:bCs/>
          <w:color w:val="000000"/>
          <w:sz w:val="20"/>
          <w:szCs w:val="20"/>
        </w:rPr>
        <w:t xml:space="preserve"> </w:t>
      </w:r>
    </w:p>
    <w:p w14:paraId="00A091CD" w14:textId="77777777" w:rsidR="006E7653" w:rsidRDefault="00D279A6" w:rsidP="006E7653">
      <w:pPr>
        <w:spacing w:before="240" w:after="240"/>
        <w:jc w:val="both"/>
        <w:rPr>
          <w:rFonts w:ascii="ITC Avant Garde" w:hAnsi="ITC Avant Garde"/>
          <w:bCs/>
          <w:color w:val="000000"/>
          <w:sz w:val="20"/>
          <w:szCs w:val="20"/>
        </w:rPr>
      </w:pPr>
      <w:r w:rsidRPr="00AC313F">
        <w:rPr>
          <w:rFonts w:ascii="ITC Avant Garde" w:hAnsi="ITC Avant Garde"/>
          <w:b/>
          <w:bCs/>
          <w:color w:val="000000"/>
          <w:sz w:val="20"/>
          <w:szCs w:val="20"/>
        </w:rPr>
        <w:t>TERCERO</w:t>
      </w:r>
      <w:r w:rsidR="00997495" w:rsidRPr="00AC313F">
        <w:rPr>
          <w:rFonts w:ascii="ITC Avant Garde" w:hAnsi="ITC Avant Garde"/>
          <w:b/>
          <w:bCs/>
          <w:color w:val="000000"/>
          <w:sz w:val="20"/>
          <w:szCs w:val="20"/>
        </w:rPr>
        <w:t xml:space="preserve">. </w:t>
      </w:r>
      <w:r w:rsidR="00D4052B" w:rsidRPr="00AC313F">
        <w:rPr>
          <w:rFonts w:ascii="ITC Avant Garde" w:hAnsi="ITC Avant Garde"/>
          <w:bCs/>
          <w:color w:val="000000"/>
          <w:sz w:val="20"/>
          <w:szCs w:val="20"/>
        </w:rPr>
        <w:t>Con fecha 14 de julio de 201</w:t>
      </w:r>
      <w:r w:rsidR="00063ED9" w:rsidRPr="00AC313F">
        <w:rPr>
          <w:rFonts w:ascii="ITC Avant Garde" w:hAnsi="ITC Avant Garde"/>
          <w:bCs/>
          <w:color w:val="000000"/>
          <w:sz w:val="20"/>
          <w:szCs w:val="20"/>
        </w:rPr>
        <w:t>4</w:t>
      </w:r>
      <w:r w:rsidR="001F027F" w:rsidRPr="00AC313F">
        <w:rPr>
          <w:rFonts w:ascii="ITC Avant Garde" w:hAnsi="ITC Avant Garde"/>
          <w:bCs/>
          <w:color w:val="000000"/>
          <w:sz w:val="20"/>
          <w:szCs w:val="20"/>
        </w:rPr>
        <w:t>,</w:t>
      </w:r>
      <w:r w:rsidR="00D4052B" w:rsidRPr="00AC313F">
        <w:rPr>
          <w:rFonts w:ascii="ITC Avant Garde" w:hAnsi="ITC Avant Garde"/>
          <w:bCs/>
          <w:color w:val="000000"/>
          <w:sz w:val="20"/>
          <w:szCs w:val="20"/>
        </w:rPr>
        <w:t xml:space="preserve">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w:t>
      </w:r>
      <w:r w:rsidR="00063ED9" w:rsidRPr="00AC313F">
        <w:rPr>
          <w:rFonts w:ascii="ITC Avant Garde" w:hAnsi="ITC Avant Garde"/>
          <w:bCs/>
          <w:color w:val="000000"/>
          <w:sz w:val="20"/>
          <w:szCs w:val="20"/>
        </w:rPr>
        <w:t>, que</w:t>
      </w:r>
      <w:r w:rsidR="00D4052B" w:rsidRPr="00AC313F">
        <w:rPr>
          <w:rFonts w:ascii="ITC Avant Garde" w:hAnsi="ITC Avant Garde"/>
          <w:bCs/>
          <w:color w:val="000000"/>
          <w:sz w:val="20"/>
          <w:szCs w:val="20"/>
        </w:rPr>
        <w:t xml:space="preserve"> entr</w:t>
      </w:r>
      <w:r w:rsidR="00063ED9" w:rsidRPr="00AC313F">
        <w:rPr>
          <w:rFonts w:ascii="ITC Avant Garde" w:hAnsi="ITC Avant Garde"/>
          <w:bCs/>
          <w:color w:val="000000"/>
          <w:sz w:val="20"/>
          <w:szCs w:val="20"/>
        </w:rPr>
        <w:t>ó</w:t>
      </w:r>
      <w:r w:rsidR="00D4052B" w:rsidRPr="00AC313F">
        <w:rPr>
          <w:rFonts w:ascii="ITC Avant Garde" w:hAnsi="ITC Avant Garde"/>
          <w:bCs/>
          <w:color w:val="000000"/>
          <w:sz w:val="20"/>
          <w:szCs w:val="20"/>
        </w:rPr>
        <w:t xml:space="preserve"> en vigor a los 30 días </w:t>
      </w:r>
      <w:r w:rsidR="00063ED9" w:rsidRPr="00AC313F">
        <w:rPr>
          <w:rFonts w:ascii="ITC Avant Garde" w:hAnsi="ITC Avant Garde"/>
          <w:bCs/>
          <w:color w:val="000000"/>
          <w:sz w:val="20"/>
          <w:szCs w:val="20"/>
        </w:rPr>
        <w:t>naturales siguientes a</w:t>
      </w:r>
      <w:r w:rsidR="00D4052B" w:rsidRPr="00AC313F">
        <w:rPr>
          <w:rFonts w:ascii="ITC Avant Garde" w:hAnsi="ITC Avant Garde"/>
          <w:bCs/>
          <w:color w:val="000000"/>
          <w:sz w:val="20"/>
          <w:szCs w:val="20"/>
        </w:rPr>
        <w:t xml:space="preserve"> su publicación, en términos de su art</w:t>
      </w:r>
      <w:r w:rsidR="00063ED9" w:rsidRPr="00AC313F">
        <w:rPr>
          <w:rFonts w:ascii="ITC Avant Garde" w:hAnsi="ITC Avant Garde"/>
          <w:bCs/>
          <w:color w:val="000000"/>
          <w:sz w:val="20"/>
          <w:szCs w:val="20"/>
        </w:rPr>
        <w:t>í</w:t>
      </w:r>
      <w:r w:rsidR="00D4052B" w:rsidRPr="00AC313F">
        <w:rPr>
          <w:rFonts w:ascii="ITC Avant Garde" w:hAnsi="ITC Avant Garde"/>
          <w:bCs/>
          <w:color w:val="000000"/>
          <w:sz w:val="20"/>
          <w:szCs w:val="20"/>
        </w:rPr>
        <w:t xml:space="preserve">culo </w:t>
      </w:r>
      <w:r w:rsidR="001F027F" w:rsidRPr="00AC313F">
        <w:rPr>
          <w:rFonts w:ascii="ITC Avant Garde" w:hAnsi="ITC Avant Garde"/>
          <w:bCs/>
          <w:color w:val="000000"/>
          <w:sz w:val="20"/>
          <w:szCs w:val="20"/>
        </w:rPr>
        <w:t>P</w:t>
      </w:r>
      <w:r w:rsidR="00D4052B" w:rsidRPr="00AC313F">
        <w:rPr>
          <w:rFonts w:ascii="ITC Avant Garde" w:hAnsi="ITC Avant Garde"/>
          <w:bCs/>
          <w:color w:val="000000"/>
          <w:sz w:val="20"/>
          <w:szCs w:val="20"/>
        </w:rPr>
        <w:t xml:space="preserve">rimero </w:t>
      </w:r>
      <w:r w:rsidR="001F027F" w:rsidRPr="00AC313F">
        <w:rPr>
          <w:rFonts w:ascii="ITC Avant Garde" w:hAnsi="ITC Avant Garde"/>
          <w:bCs/>
          <w:color w:val="000000"/>
          <w:sz w:val="20"/>
          <w:szCs w:val="20"/>
        </w:rPr>
        <w:t>T</w:t>
      </w:r>
      <w:r w:rsidR="00D4052B" w:rsidRPr="00AC313F">
        <w:rPr>
          <w:rFonts w:ascii="ITC Avant Garde" w:hAnsi="ITC Avant Garde"/>
          <w:bCs/>
          <w:color w:val="000000"/>
          <w:sz w:val="20"/>
          <w:szCs w:val="20"/>
        </w:rPr>
        <w:t>ransitorio</w:t>
      </w:r>
      <w:r w:rsidR="00063ED9" w:rsidRPr="00AC313F">
        <w:rPr>
          <w:rFonts w:ascii="ITC Avant Garde" w:hAnsi="ITC Avant Garde"/>
          <w:bCs/>
          <w:color w:val="000000"/>
          <w:sz w:val="20"/>
          <w:szCs w:val="20"/>
        </w:rPr>
        <w:t>, esto es,</w:t>
      </w:r>
      <w:r w:rsidR="00D4052B" w:rsidRPr="00AC313F">
        <w:rPr>
          <w:rFonts w:ascii="ITC Avant Garde" w:hAnsi="ITC Avant Garde"/>
          <w:bCs/>
          <w:color w:val="000000"/>
          <w:sz w:val="20"/>
          <w:szCs w:val="20"/>
        </w:rPr>
        <w:t xml:space="preserve"> el 13 de agosto de 2014.</w:t>
      </w:r>
    </w:p>
    <w:p w14:paraId="252B861D" w14:textId="77777777" w:rsidR="006E7653" w:rsidRDefault="00D279A6" w:rsidP="006E7653">
      <w:pPr>
        <w:pStyle w:val="Prrafodelista"/>
        <w:spacing w:before="240" w:after="240" w:line="240" w:lineRule="auto"/>
        <w:ind w:left="0"/>
        <w:jc w:val="both"/>
        <w:rPr>
          <w:rFonts w:ascii="ITC Avant Garde" w:hAnsi="ITC Avant Garde" w:cs="Arial"/>
          <w:sz w:val="20"/>
          <w:szCs w:val="20"/>
        </w:rPr>
      </w:pPr>
      <w:r w:rsidRPr="00AC313F">
        <w:rPr>
          <w:rFonts w:ascii="ITC Avant Garde" w:hAnsi="ITC Avant Garde"/>
          <w:b/>
          <w:bCs/>
          <w:color w:val="000000"/>
          <w:sz w:val="20"/>
          <w:szCs w:val="20"/>
        </w:rPr>
        <w:t>CUARTO</w:t>
      </w:r>
      <w:r w:rsidR="00F53192" w:rsidRPr="00AC313F">
        <w:rPr>
          <w:rFonts w:ascii="ITC Avant Garde" w:hAnsi="ITC Avant Garde"/>
          <w:b/>
          <w:bCs/>
          <w:color w:val="000000"/>
          <w:sz w:val="20"/>
          <w:szCs w:val="20"/>
        </w:rPr>
        <w:t xml:space="preserve">. </w:t>
      </w:r>
      <w:r w:rsidR="00D4052B" w:rsidRPr="00AC313F">
        <w:rPr>
          <w:rFonts w:ascii="ITC Avant Garde" w:hAnsi="ITC Avant Garde" w:cs="Arial"/>
          <w:sz w:val="20"/>
          <w:szCs w:val="20"/>
        </w:rPr>
        <w:t xml:space="preserve">El 4 de septiembre de 2014, se publicó en el DOF el “Estatuto Orgánico del Instituto Federal de Telecomunicaciones”, </w:t>
      </w:r>
      <w:r w:rsidR="00063ED9" w:rsidRPr="00AC313F">
        <w:rPr>
          <w:rFonts w:ascii="ITC Avant Garde" w:hAnsi="ITC Avant Garde" w:cs="Arial"/>
          <w:sz w:val="20"/>
          <w:szCs w:val="20"/>
        </w:rPr>
        <w:t xml:space="preserve">el cual </w:t>
      </w:r>
      <w:r w:rsidR="00D4052B" w:rsidRPr="00AC313F">
        <w:rPr>
          <w:rFonts w:ascii="ITC Avant Garde" w:hAnsi="ITC Avant Garde" w:cs="Arial"/>
          <w:sz w:val="20"/>
          <w:szCs w:val="20"/>
        </w:rPr>
        <w:t>entr</w:t>
      </w:r>
      <w:r w:rsidR="00063ED9" w:rsidRPr="00AC313F">
        <w:rPr>
          <w:rFonts w:ascii="ITC Avant Garde" w:hAnsi="ITC Avant Garde" w:cs="Arial"/>
          <w:sz w:val="20"/>
          <w:szCs w:val="20"/>
        </w:rPr>
        <w:t>ó</w:t>
      </w:r>
      <w:r w:rsidR="00D4052B" w:rsidRPr="00AC313F">
        <w:rPr>
          <w:rFonts w:ascii="ITC Avant Garde" w:hAnsi="ITC Avant Garde" w:cs="Arial"/>
          <w:sz w:val="20"/>
          <w:szCs w:val="20"/>
        </w:rPr>
        <w:t xml:space="preserve"> en vigor </w:t>
      </w:r>
      <w:r w:rsidR="00063ED9" w:rsidRPr="00AC313F">
        <w:rPr>
          <w:rFonts w:ascii="ITC Avant Garde" w:hAnsi="ITC Avant Garde" w:cs="Arial"/>
          <w:sz w:val="20"/>
          <w:szCs w:val="20"/>
        </w:rPr>
        <w:t xml:space="preserve">a los </w:t>
      </w:r>
      <w:r w:rsidR="00D4052B" w:rsidRPr="00AC313F">
        <w:rPr>
          <w:rFonts w:ascii="ITC Avant Garde" w:hAnsi="ITC Avant Garde" w:cs="Arial"/>
          <w:sz w:val="20"/>
          <w:szCs w:val="20"/>
        </w:rPr>
        <w:t>quince días hábiles siguientes a su publicación, en términos de su art</w:t>
      </w:r>
      <w:r w:rsidR="00063ED9" w:rsidRPr="00AC313F">
        <w:rPr>
          <w:rFonts w:ascii="ITC Avant Garde" w:hAnsi="ITC Avant Garde" w:cs="Arial"/>
          <w:sz w:val="20"/>
          <w:szCs w:val="20"/>
        </w:rPr>
        <w:t>í</w:t>
      </w:r>
      <w:r w:rsidR="00D4052B" w:rsidRPr="00AC313F">
        <w:rPr>
          <w:rFonts w:ascii="ITC Avant Garde" w:hAnsi="ITC Avant Garde" w:cs="Arial"/>
          <w:sz w:val="20"/>
          <w:szCs w:val="20"/>
        </w:rPr>
        <w:t>culo primero transitorio,</w:t>
      </w:r>
      <w:r w:rsidR="00063ED9" w:rsidRPr="00AC313F">
        <w:rPr>
          <w:rFonts w:ascii="ITC Avant Garde" w:hAnsi="ITC Avant Garde" w:cs="Arial"/>
          <w:sz w:val="20"/>
          <w:szCs w:val="20"/>
        </w:rPr>
        <w:t xml:space="preserve"> esto es,</w:t>
      </w:r>
      <w:r w:rsidR="00D4052B" w:rsidRPr="00AC313F">
        <w:rPr>
          <w:rFonts w:ascii="ITC Avant Garde" w:hAnsi="ITC Avant Garde" w:cs="Arial"/>
          <w:sz w:val="20"/>
          <w:szCs w:val="20"/>
        </w:rPr>
        <w:t xml:space="preserve"> el 26 de septiembre de 2014</w:t>
      </w:r>
      <w:r w:rsidR="0081081D" w:rsidRPr="00AC313F">
        <w:rPr>
          <w:rFonts w:ascii="ITC Avant Garde" w:hAnsi="ITC Avant Garde" w:cs="Arial"/>
          <w:sz w:val="20"/>
          <w:szCs w:val="20"/>
        </w:rPr>
        <w:t>,</w:t>
      </w:r>
      <w:r w:rsidR="0060314E" w:rsidRPr="00AC313F">
        <w:rPr>
          <w:rFonts w:ascii="ITC Avant Garde" w:hAnsi="ITC Avant Garde" w:cs="Arial"/>
          <w:sz w:val="20"/>
          <w:szCs w:val="20"/>
        </w:rPr>
        <w:t xml:space="preserve"> </w:t>
      </w:r>
      <w:r w:rsidR="002B7162" w:rsidRPr="00AC313F">
        <w:rPr>
          <w:rFonts w:ascii="ITC Avant Garde" w:hAnsi="ITC Avant Garde" w:cs="Arial"/>
          <w:sz w:val="20"/>
          <w:szCs w:val="20"/>
        </w:rPr>
        <w:t>(en lo sucesivo, el “Estatuto Orgánico”).</w:t>
      </w:r>
    </w:p>
    <w:p w14:paraId="7E3E2922" w14:textId="2B0620F8" w:rsidR="00AC313F" w:rsidRPr="009C42A6" w:rsidRDefault="001F027F" w:rsidP="006E7653">
      <w:pPr>
        <w:spacing w:before="240" w:after="240"/>
        <w:jc w:val="both"/>
        <w:rPr>
          <w:rFonts w:ascii="ITC Avant Garde" w:hAnsi="ITC Avant Garde"/>
          <w:bCs/>
          <w:color w:val="000000"/>
          <w:sz w:val="20"/>
          <w:szCs w:val="20"/>
          <w:lang w:val="es-MX" w:eastAsia="es-MX"/>
        </w:rPr>
      </w:pPr>
      <w:r w:rsidRPr="00AC313F">
        <w:rPr>
          <w:rFonts w:ascii="ITC Avant Garde" w:hAnsi="ITC Avant Garde"/>
          <w:bCs/>
          <w:color w:val="000000"/>
          <w:sz w:val="20"/>
          <w:szCs w:val="20"/>
          <w:lang w:val="es-MX" w:eastAsia="es-MX"/>
        </w:rPr>
        <w:t>En virtud de los Antecedentes referidos, y</w:t>
      </w:r>
    </w:p>
    <w:p w14:paraId="46EE0ECF" w14:textId="77777777" w:rsidR="006E7653" w:rsidRPr="006E7653" w:rsidRDefault="00B26E90" w:rsidP="006E7653">
      <w:pPr>
        <w:pStyle w:val="Ttulo2"/>
        <w:spacing w:before="240" w:after="240" w:line="276" w:lineRule="auto"/>
        <w:jc w:val="center"/>
        <w:rPr>
          <w:rFonts w:ascii="ITC Avant Garde" w:hAnsi="ITC Avant Garde"/>
          <w:b/>
          <w:color w:val="000000" w:themeColor="text1"/>
          <w:sz w:val="20"/>
          <w:szCs w:val="20"/>
          <w:lang w:val="es-MX" w:eastAsia="en-US"/>
        </w:rPr>
      </w:pPr>
      <w:r w:rsidRPr="006E7653">
        <w:rPr>
          <w:rFonts w:ascii="ITC Avant Garde" w:hAnsi="ITC Avant Garde"/>
          <w:b/>
          <w:color w:val="000000" w:themeColor="text1"/>
          <w:sz w:val="20"/>
          <w:szCs w:val="20"/>
          <w:lang w:val="es-MX" w:eastAsia="en-US"/>
        </w:rPr>
        <w:t>CONSIDERANDO</w:t>
      </w:r>
    </w:p>
    <w:p w14:paraId="517D900C" w14:textId="4CB13FEC" w:rsidR="006E7653" w:rsidRDefault="00B26E90" w:rsidP="006E7653">
      <w:pPr>
        <w:autoSpaceDE w:val="0"/>
        <w:autoSpaceDN w:val="0"/>
        <w:adjustRightInd w:val="0"/>
        <w:spacing w:before="240" w:after="240"/>
        <w:jc w:val="both"/>
        <w:rPr>
          <w:rFonts w:ascii="ITC Avant Garde" w:hAnsi="ITC Avant Garde"/>
          <w:bCs/>
          <w:sz w:val="20"/>
          <w:szCs w:val="20"/>
        </w:rPr>
      </w:pPr>
      <w:r w:rsidRPr="00AC313F">
        <w:rPr>
          <w:rFonts w:ascii="ITC Avant Garde" w:hAnsi="ITC Avant Garde" w:cs="Arial"/>
          <w:b/>
          <w:sz w:val="20"/>
          <w:szCs w:val="20"/>
        </w:rPr>
        <w:t xml:space="preserve">PRIMERO. </w:t>
      </w:r>
      <w:r w:rsidR="006B009C" w:rsidRPr="00AC313F">
        <w:rPr>
          <w:rFonts w:ascii="ITC Avant Garde" w:hAnsi="ITC Avant Garde"/>
          <w:b/>
          <w:bCs/>
          <w:sz w:val="20"/>
          <w:szCs w:val="20"/>
        </w:rPr>
        <w:t>Competencia.</w:t>
      </w:r>
      <w:r w:rsidR="006B009C" w:rsidRPr="00AC313F">
        <w:rPr>
          <w:rFonts w:ascii="ITC Avant Garde" w:hAnsi="ITC Avant Garde"/>
          <w:bCs/>
          <w:sz w:val="20"/>
          <w:szCs w:val="20"/>
        </w:rPr>
        <w:t xml:space="preserve"> Conforme lo dispone el artículo 28 párrafos décimo quinto, décimo sexto y décimo séptimo de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08F2415A" w14:textId="78AAF4C8" w:rsidR="006B009C" w:rsidRPr="00AC313F" w:rsidRDefault="006B009C" w:rsidP="006E7653">
      <w:pPr>
        <w:autoSpaceDE w:val="0"/>
        <w:autoSpaceDN w:val="0"/>
        <w:adjustRightInd w:val="0"/>
        <w:spacing w:before="240" w:after="240"/>
        <w:jc w:val="both"/>
        <w:rPr>
          <w:rFonts w:ascii="ITC Avant Garde" w:hAnsi="ITC Avant Garde"/>
          <w:bCs/>
          <w:sz w:val="20"/>
          <w:szCs w:val="20"/>
        </w:rPr>
      </w:pPr>
      <w:r w:rsidRPr="00AC313F">
        <w:rPr>
          <w:rFonts w:ascii="ITC Avant Garde" w:hAnsi="ITC Avant Garde"/>
          <w:bCs/>
          <w:sz w:val="20"/>
          <w:szCs w:val="20"/>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AC313F">
        <w:rPr>
          <w:rFonts w:ascii="ITC Avant Garde" w:hAnsi="ITC Avant Garde"/>
          <w:bCs/>
          <w:sz w:val="20"/>
          <w:szCs w:val="20"/>
        </w:rPr>
        <w:t>concesionamiento</w:t>
      </w:r>
      <w:proofErr w:type="spellEnd"/>
      <w:r w:rsidRPr="00AC313F">
        <w:rPr>
          <w:rFonts w:ascii="ITC Avant Garde" w:hAnsi="ITC Avant Garde"/>
          <w:bCs/>
          <w:sz w:val="20"/>
          <w:szCs w:val="20"/>
        </w:rPr>
        <w:t xml:space="preserve"> y a la propiedad cruzada que controle varios medios de comunicación que sean concesionarios de </w:t>
      </w:r>
      <w:r w:rsidRPr="00AC313F">
        <w:rPr>
          <w:rFonts w:ascii="ITC Avant Garde" w:hAnsi="ITC Avant Garde"/>
          <w:bCs/>
          <w:sz w:val="20"/>
          <w:szCs w:val="20"/>
        </w:rPr>
        <w:lastRenderedPageBreak/>
        <w:t>radiodifusión y telecomunicaciones que sirvan a un mismo mercado o zona de cobertura geográfica, garantizando lo dispuesto en los artículos 6o. y 7o. de la Constitución.</w:t>
      </w:r>
    </w:p>
    <w:p w14:paraId="395E664E" w14:textId="77777777" w:rsidR="006E7653" w:rsidRDefault="006B009C" w:rsidP="006E7653">
      <w:pPr>
        <w:pStyle w:val="Textoindependiente2"/>
        <w:spacing w:before="240" w:after="240"/>
        <w:ind w:right="-62"/>
        <w:rPr>
          <w:rFonts w:ascii="ITC Avant Garde" w:hAnsi="ITC Avant Garde" w:cs="Arial"/>
          <w:b w:val="0"/>
          <w:sz w:val="20"/>
          <w:szCs w:val="20"/>
        </w:rPr>
      </w:pPr>
      <w:r w:rsidRPr="00AC313F">
        <w:rPr>
          <w:rFonts w:ascii="ITC Avant Garde" w:hAnsi="ITC Avant Garde" w:cs="Arial"/>
          <w:b w:val="0"/>
          <w:sz w:val="20"/>
          <w:szCs w:val="20"/>
        </w:rPr>
        <w:t>Por su parte, el artículo 15 de la Ley Federal de Telecomunicaciones y Radiodifusión establece en su fracción XXXIX, que compete al Instituto realizar estudios e investigaciones en materia de telecomunicaciones y radiodifusión, así como elaborar proyectos de actualización de las disposiciones legales y administrativas que resulten pertinentes.</w:t>
      </w:r>
    </w:p>
    <w:p w14:paraId="6E0E0635" w14:textId="77777777" w:rsidR="006E7653" w:rsidRDefault="006B009C" w:rsidP="006E7653">
      <w:pPr>
        <w:pStyle w:val="Textoindependiente2"/>
        <w:spacing w:before="240" w:after="240"/>
        <w:ind w:right="-62"/>
        <w:rPr>
          <w:rFonts w:ascii="ITC Avant Garde" w:hAnsi="ITC Avant Garde"/>
          <w:b w:val="0"/>
          <w:sz w:val="20"/>
          <w:szCs w:val="20"/>
        </w:rPr>
      </w:pPr>
      <w:r w:rsidRPr="00AC313F">
        <w:rPr>
          <w:rFonts w:ascii="ITC Avant Garde" w:hAnsi="ITC Avant Garde" w:cs="Arial"/>
          <w:b w:val="0"/>
          <w:sz w:val="20"/>
          <w:szCs w:val="20"/>
        </w:rPr>
        <w:t>En este contexto, e</w:t>
      </w:r>
      <w:r w:rsidR="003B482F" w:rsidRPr="00AC313F">
        <w:rPr>
          <w:rFonts w:ascii="ITC Avant Garde" w:hAnsi="ITC Avant Garde"/>
          <w:b w:val="0"/>
          <w:sz w:val="20"/>
          <w:szCs w:val="20"/>
        </w:rPr>
        <w:t xml:space="preserve">l </w:t>
      </w:r>
      <w:r w:rsidR="001F027F" w:rsidRPr="00AC313F">
        <w:rPr>
          <w:rFonts w:ascii="ITC Avant Garde" w:hAnsi="ITC Avant Garde"/>
          <w:b w:val="0"/>
          <w:sz w:val="20"/>
          <w:szCs w:val="20"/>
        </w:rPr>
        <w:t>artículo</w:t>
      </w:r>
      <w:r w:rsidRPr="00AC313F">
        <w:rPr>
          <w:rFonts w:ascii="ITC Avant Garde" w:hAnsi="ITC Avant Garde"/>
          <w:b w:val="0"/>
          <w:sz w:val="20"/>
          <w:szCs w:val="20"/>
        </w:rPr>
        <w:t xml:space="preserve"> 4, fracción VII, del Estatuto Orgánico contempla que el Instituto contará con un Centro de Estudios, cuyas atribuciones se encuentran determinadas en el artículo 69 del mismo ordenamiento.</w:t>
      </w:r>
    </w:p>
    <w:p w14:paraId="47F9BF64" w14:textId="77777777" w:rsidR="006E7653" w:rsidRDefault="0060314E" w:rsidP="006E7653">
      <w:pPr>
        <w:pStyle w:val="Textoindependiente2"/>
        <w:spacing w:before="240" w:after="240"/>
        <w:ind w:right="-62"/>
        <w:rPr>
          <w:rFonts w:ascii="ITC Avant Garde" w:hAnsi="ITC Avant Garde"/>
          <w:b w:val="0"/>
          <w:bCs/>
          <w:color w:val="000000"/>
          <w:sz w:val="20"/>
          <w:szCs w:val="20"/>
        </w:rPr>
      </w:pPr>
      <w:r w:rsidRPr="00AC313F">
        <w:rPr>
          <w:rFonts w:ascii="ITC Avant Garde" w:hAnsi="ITC Avant Garde" w:cs="Arial"/>
          <w:b w:val="0"/>
          <w:sz w:val="20"/>
          <w:szCs w:val="20"/>
        </w:rPr>
        <w:t>Así, d</w:t>
      </w:r>
      <w:r w:rsidR="00F71CD2" w:rsidRPr="00AC313F">
        <w:rPr>
          <w:rFonts w:ascii="ITC Avant Garde" w:hAnsi="ITC Avant Garde"/>
          <w:b w:val="0"/>
          <w:bCs/>
          <w:color w:val="000000"/>
          <w:sz w:val="20"/>
          <w:szCs w:val="20"/>
        </w:rPr>
        <w:t xml:space="preserve">e conformidad con lo establecido en </w:t>
      </w:r>
      <w:r w:rsidR="006B009C" w:rsidRPr="00AC313F">
        <w:rPr>
          <w:rFonts w:ascii="ITC Avant Garde" w:hAnsi="ITC Avant Garde"/>
          <w:b w:val="0"/>
          <w:bCs/>
          <w:color w:val="000000"/>
          <w:sz w:val="20"/>
          <w:szCs w:val="20"/>
        </w:rPr>
        <w:t xml:space="preserve">los </w:t>
      </w:r>
      <w:r w:rsidR="00BB755B" w:rsidRPr="00AC313F">
        <w:rPr>
          <w:rFonts w:ascii="ITC Avant Garde" w:hAnsi="ITC Avant Garde"/>
          <w:b w:val="0"/>
          <w:bCs/>
          <w:color w:val="000000"/>
          <w:sz w:val="20"/>
          <w:szCs w:val="20"/>
        </w:rPr>
        <w:t>artículo</w:t>
      </w:r>
      <w:r w:rsidR="006B009C" w:rsidRPr="00AC313F">
        <w:rPr>
          <w:rFonts w:ascii="ITC Avant Garde" w:hAnsi="ITC Avant Garde"/>
          <w:b w:val="0"/>
          <w:bCs/>
          <w:color w:val="000000"/>
          <w:sz w:val="20"/>
          <w:szCs w:val="20"/>
        </w:rPr>
        <w:t>s 6, fracción XXX y</w:t>
      </w:r>
      <w:r w:rsidR="00BB755B" w:rsidRPr="00AC313F">
        <w:rPr>
          <w:rFonts w:ascii="ITC Avant Garde" w:hAnsi="ITC Avant Garde"/>
          <w:b w:val="0"/>
          <w:bCs/>
          <w:color w:val="000000"/>
          <w:sz w:val="20"/>
          <w:szCs w:val="20"/>
        </w:rPr>
        <w:t xml:space="preserve"> 69</w:t>
      </w:r>
      <w:r w:rsidR="006B009C" w:rsidRPr="00AC313F">
        <w:rPr>
          <w:rFonts w:ascii="ITC Avant Garde" w:hAnsi="ITC Avant Garde"/>
          <w:b w:val="0"/>
          <w:bCs/>
          <w:color w:val="000000"/>
          <w:sz w:val="20"/>
          <w:szCs w:val="20"/>
        </w:rPr>
        <w:t xml:space="preserve">, fracción </w:t>
      </w:r>
      <w:r w:rsidR="00BB755B" w:rsidRPr="00AC313F">
        <w:rPr>
          <w:rFonts w:ascii="ITC Avant Garde" w:hAnsi="ITC Avant Garde"/>
          <w:b w:val="0"/>
          <w:bCs/>
          <w:color w:val="000000"/>
          <w:sz w:val="20"/>
          <w:szCs w:val="20"/>
        </w:rPr>
        <w:t>I</w:t>
      </w:r>
      <w:r w:rsidR="006B009C" w:rsidRPr="00AC313F">
        <w:rPr>
          <w:rFonts w:ascii="ITC Avant Garde" w:hAnsi="ITC Avant Garde"/>
          <w:b w:val="0"/>
          <w:bCs/>
          <w:color w:val="000000"/>
          <w:sz w:val="20"/>
          <w:szCs w:val="20"/>
        </w:rPr>
        <w:t>,</w:t>
      </w:r>
      <w:r w:rsidR="00BB755B" w:rsidRPr="00AC313F">
        <w:rPr>
          <w:rFonts w:ascii="ITC Avant Garde" w:hAnsi="ITC Avant Garde"/>
          <w:b w:val="0"/>
          <w:bCs/>
          <w:color w:val="000000"/>
          <w:sz w:val="20"/>
          <w:szCs w:val="20"/>
        </w:rPr>
        <w:t xml:space="preserve"> del Estatuto Orgánico </w:t>
      </w:r>
      <w:r w:rsidR="006B009C" w:rsidRPr="00AC313F">
        <w:rPr>
          <w:rFonts w:ascii="ITC Avant Garde" w:hAnsi="ITC Avant Garde"/>
          <w:b w:val="0"/>
          <w:sz w:val="20"/>
          <w:szCs w:val="20"/>
        </w:rPr>
        <w:t>es atribución del Pleno del I</w:t>
      </w:r>
      <w:r w:rsidR="00A50B61" w:rsidRPr="00AC313F">
        <w:rPr>
          <w:rFonts w:ascii="ITC Avant Garde" w:hAnsi="ITC Avant Garde"/>
          <w:b w:val="0"/>
          <w:sz w:val="20"/>
          <w:szCs w:val="20"/>
        </w:rPr>
        <w:t>FT</w:t>
      </w:r>
      <w:r w:rsidR="006B009C" w:rsidRPr="00AC313F">
        <w:rPr>
          <w:rFonts w:ascii="ITC Avant Garde" w:hAnsi="ITC Avant Garde"/>
          <w:b w:val="0"/>
          <w:sz w:val="20"/>
          <w:szCs w:val="20"/>
        </w:rPr>
        <w:t xml:space="preserve"> autorizar el Programa Anual de Actividades del Centro de Estudios, mismo que deberá ser propuesto por el </w:t>
      </w:r>
      <w:r w:rsidR="00D168EC" w:rsidRPr="00AC313F">
        <w:rPr>
          <w:rFonts w:ascii="ITC Avant Garde" w:hAnsi="ITC Avant Garde"/>
          <w:b w:val="0"/>
          <w:bCs/>
          <w:color w:val="000000"/>
          <w:sz w:val="20"/>
          <w:szCs w:val="20"/>
        </w:rPr>
        <w:t xml:space="preserve">titular del Centro de </w:t>
      </w:r>
      <w:r w:rsidR="006B009C" w:rsidRPr="00AC313F">
        <w:rPr>
          <w:rFonts w:ascii="ITC Avant Garde" w:hAnsi="ITC Avant Garde"/>
          <w:b w:val="0"/>
          <w:bCs/>
          <w:color w:val="000000"/>
          <w:sz w:val="20"/>
          <w:szCs w:val="20"/>
        </w:rPr>
        <w:t>Estudios.</w:t>
      </w:r>
      <w:r w:rsidRPr="00AC313F">
        <w:rPr>
          <w:rFonts w:ascii="ITC Avant Garde" w:hAnsi="ITC Avant Garde"/>
          <w:b w:val="0"/>
          <w:bCs/>
          <w:color w:val="000000"/>
          <w:sz w:val="20"/>
          <w:szCs w:val="20"/>
        </w:rPr>
        <w:t xml:space="preserve"> </w:t>
      </w:r>
    </w:p>
    <w:p w14:paraId="7F18F53E" w14:textId="77777777" w:rsidR="006E7653" w:rsidRDefault="0060314E" w:rsidP="006E7653">
      <w:pPr>
        <w:autoSpaceDE w:val="0"/>
        <w:autoSpaceDN w:val="0"/>
        <w:adjustRightInd w:val="0"/>
        <w:spacing w:before="240" w:after="240"/>
        <w:ind w:right="48"/>
        <w:jc w:val="both"/>
        <w:rPr>
          <w:rFonts w:ascii="ITC Avant Garde" w:hAnsi="ITC Avant Garde"/>
          <w:bCs/>
          <w:sz w:val="20"/>
          <w:szCs w:val="20"/>
        </w:rPr>
      </w:pPr>
      <w:r w:rsidRPr="00AC313F">
        <w:rPr>
          <w:rFonts w:ascii="ITC Avant Garde" w:hAnsi="ITC Avant Garde"/>
          <w:bCs/>
          <w:color w:val="000000"/>
          <w:sz w:val="20"/>
          <w:szCs w:val="20"/>
        </w:rPr>
        <w:t xml:space="preserve">Por lo anterior, </w:t>
      </w:r>
      <w:r w:rsidRPr="00AC313F">
        <w:rPr>
          <w:rFonts w:ascii="ITC Avant Garde" w:hAnsi="ITC Avant Garde"/>
          <w:bCs/>
          <w:sz w:val="20"/>
          <w:szCs w:val="20"/>
        </w:rPr>
        <w:t>el Pleno, como órgano máximo de gobierno y decisión del I</w:t>
      </w:r>
      <w:r w:rsidR="00A50B61" w:rsidRPr="00AC313F">
        <w:rPr>
          <w:rFonts w:ascii="ITC Avant Garde" w:hAnsi="ITC Avant Garde"/>
          <w:bCs/>
          <w:sz w:val="20"/>
          <w:szCs w:val="20"/>
        </w:rPr>
        <w:t>FT</w:t>
      </w:r>
      <w:r w:rsidRPr="00AC313F">
        <w:rPr>
          <w:rFonts w:ascii="ITC Avant Garde" w:hAnsi="ITC Avant Garde"/>
          <w:bCs/>
          <w:sz w:val="20"/>
          <w:szCs w:val="20"/>
        </w:rPr>
        <w:t>, se encuentra plenamente facultado para emitir el Presente Acuerdo.</w:t>
      </w:r>
    </w:p>
    <w:p w14:paraId="4301D864" w14:textId="77777777" w:rsidR="006E7653" w:rsidRDefault="0060314E" w:rsidP="006E7653">
      <w:pPr>
        <w:pStyle w:val="Textoindependiente2"/>
        <w:spacing w:before="240" w:after="240"/>
        <w:ind w:right="-62"/>
        <w:rPr>
          <w:rFonts w:ascii="ITC Avant Garde" w:hAnsi="ITC Avant Garde"/>
          <w:bCs/>
          <w:color w:val="000000"/>
          <w:sz w:val="20"/>
          <w:szCs w:val="20"/>
          <w:lang w:val="es-MX" w:eastAsia="es-MX"/>
        </w:rPr>
      </w:pPr>
      <w:r w:rsidRPr="00AC313F">
        <w:rPr>
          <w:rFonts w:ascii="ITC Avant Garde" w:hAnsi="ITC Avant Garde" w:cs="Arial"/>
          <w:sz w:val="20"/>
          <w:szCs w:val="20"/>
        </w:rPr>
        <w:t>SEGUNDO. Programa Anual</w:t>
      </w:r>
      <w:r w:rsidR="00C956D5" w:rsidRPr="00AC313F">
        <w:rPr>
          <w:rFonts w:ascii="ITC Avant Garde" w:hAnsi="ITC Avant Garde" w:cs="Arial"/>
          <w:sz w:val="20"/>
          <w:szCs w:val="20"/>
        </w:rPr>
        <w:t xml:space="preserve"> de Actividades para el año 2018</w:t>
      </w:r>
      <w:r w:rsidRPr="00AC313F">
        <w:rPr>
          <w:rFonts w:ascii="ITC Avant Garde" w:hAnsi="ITC Avant Garde" w:cs="Arial"/>
          <w:sz w:val="20"/>
          <w:szCs w:val="20"/>
        </w:rPr>
        <w:t xml:space="preserve"> del Centro de Estudios. </w:t>
      </w:r>
      <w:r w:rsidRPr="00AC313F">
        <w:rPr>
          <w:rFonts w:ascii="ITC Avant Garde" w:hAnsi="ITC Avant Garde"/>
          <w:b w:val="0"/>
          <w:bCs/>
          <w:color w:val="000000"/>
          <w:sz w:val="20"/>
          <w:szCs w:val="20"/>
          <w:lang w:val="es-MX" w:eastAsia="es-MX"/>
        </w:rPr>
        <w:t>E</w:t>
      </w:r>
      <w:r w:rsidR="001C25C3" w:rsidRPr="00AC313F">
        <w:rPr>
          <w:rFonts w:ascii="ITC Avant Garde" w:hAnsi="ITC Avant Garde"/>
          <w:b w:val="0"/>
          <w:bCs/>
          <w:color w:val="000000"/>
          <w:sz w:val="20"/>
          <w:szCs w:val="20"/>
          <w:lang w:val="es-MX" w:eastAsia="es-MX"/>
        </w:rPr>
        <w:t xml:space="preserve">l </w:t>
      </w:r>
      <w:r w:rsidR="003B482F" w:rsidRPr="00AC313F">
        <w:rPr>
          <w:rFonts w:ascii="ITC Avant Garde" w:hAnsi="ITC Avant Garde"/>
          <w:b w:val="0"/>
          <w:bCs/>
          <w:color w:val="000000"/>
          <w:sz w:val="20"/>
          <w:szCs w:val="20"/>
          <w:lang w:val="es-MX" w:eastAsia="es-MX"/>
        </w:rPr>
        <w:t>Titular del Centro de Estudios prese</w:t>
      </w:r>
      <w:r w:rsidR="001C25C3" w:rsidRPr="00AC313F">
        <w:rPr>
          <w:rFonts w:ascii="ITC Avant Garde" w:hAnsi="ITC Avant Garde"/>
          <w:b w:val="0"/>
          <w:bCs/>
          <w:color w:val="000000"/>
          <w:sz w:val="20"/>
          <w:szCs w:val="20"/>
          <w:lang w:val="es-MX" w:eastAsia="es-MX"/>
        </w:rPr>
        <w:t>nt</w:t>
      </w:r>
      <w:r w:rsidR="006B009C" w:rsidRPr="00AC313F">
        <w:rPr>
          <w:rFonts w:ascii="ITC Avant Garde" w:hAnsi="ITC Avant Garde"/>
          <w:b w:val="0"/>
          <w:bCs/>
          <w:color w:val="000000"/>
          <w:sz w:val="20"/>
          <w:szCs w:val="20"/>
          <w:lang w:val="es-MX" w:eastAsia="es-MX"/>
        </w:rPr>
        <w:t>ó al Pleno</w:t>
      </w:r>
      <w:r w:rsidR="001C25C3" w:rsidRPr="00AC313F">
        <w:rPr>
          <w:rFonts w:ascii="ITC Avant Garde" w:hAnsi="ITC Avant Garde"/>
          <w:b w:val="0"/>
          <w:bCs/>
          <w:color w:val="000000"/>
          <w:sz w:val="20"/>
          <w:szCs w:val="20"/>
          <w:lang w:val="es-MX" w:eastAsia="es-MX"/>
        </w:rPr>
        <w:t xml:space="preserve">, para </w:t>
      </w:r>
      <w:r w:rsidRPr="00AC313F">
        <w:rPr>
          <w:rFonts w:ascii="ITC Avant Garde" w:hAnsi="ITC Avant Garde"/>
          <w:b w:val="0"/>
          <w:bCs/>
          <w:color w:val="000000"/>
          <w:sz w:val="20"/>
          <w:szCs w:val="20"/>
          <w:lang w:val="es-MX" w:eastAsia="es-MX"/>
        </w:rPr>
        <w:t xml:space="preserve">su </w:t>
      </w:r>
      <w:r w:rsidR="001C25C3" w:rsidRPr="00AC313F">
        <w:rPr>
          <w:rFonts w:ascii="ITC Avant Garde" w:hAnsi="ITC Avant Garde"/>
          <w:b w:val="0"/>
          <w:bCs/>
          <w:color w:val="000000"/>
          <w:sz w:val="20"/>
          <w:szCs w:val="20"/>
          <w:lang w:val="es-MX" w:eastAsia="es-MX"/>
        </w:rPr>
        <w:t xml:space="preserve">aprobación, el proyecto del </w:t>
      </w:r>
      <w:r w:rsidR="003B482F" w:rsidRPr="00AC313F">
        <w:rPr>
          <w:rFonts w:ascii="ITC Avant Garde" w:hAnsi="ITC Avant Garde"/>
          <w:b w:val="0"/>
          <w:bCs/>
          <w:color w:val="000000"/>
          <w:sz w:val="20"/>
          <w:szCs w:val="20"/>
          <w:lang w:val="es-MX" w:eastAsia="es-MX"/>
        </w:rPr>
        <w:t>Pr</w:t>
      </w:r>
      <w:r w:rsidR="00C956D5" w:rsidRPr="00AC313F">
        <w:rPr>
          <w:rFonts w:ascii="ITC Avant Garde" w:hAnsi="ITC Avant Garde"/>
          <w:b w:val="0"/>
          <w:bCs/>
          <w:color w:val="000000"/>
          <w:sz w:val="20"/>
          <w:szCs w:val="20"/>
          <w:lang w:val="es-MX" w:eastAsia="es-MX"/>
        </w:rPr>
        <w:t>ograma Anual de Actividades 2018</w:t>
      </w:r>
      <w:r w:rsidR="003B482F" w:rsidRPr="00AC313F">
        <w:rPr>
          <w:rFonts w:ascii="ITC Avant Garde" w:hAnsi="ITC Avant Garde"/>
          <w:b w:val="0"/>
          <w:bCs/>
          <w:color w:val="000000"/>
          <w:sz w:val="20"/>
          <w:szCs w:val="20"/>
          <w:lang w:val="es-MX" w:eastAsia="es-MX"/>
        </w:rPr>
        <w:t xml:space="preserve"> del Centro de Estudios</w:t>
      </w:r>
      <w:r w:rsidR="006B009C" w:rsidRPr="00AC313F">
        <w:rPr>
          <w:rFonts w:ascii="ITC Avant Garde" w:hAnsi="ITC Avant Garde"/>
          <w:b w:val="0"/>
          <w:bCs/>
          <w:color w:val="000000"/>
          <w:sz w:val="20"/>
          <w:szCs w:val="20"/>
          <w:lang w:val="es-MX" w:eastAsia="es-MX"/>
        </w:rPr>
        <w:t>.</w:t>
      </w:r>
    </w:p>
    <w:p w14:paraId="357A2955" w14:textId="77777777" w:rsidR="006E7653" w:rsidRDefault="0060314E" w:rsidP="006E7653">
      <w:pPr>
        <w:spacing w:before="240" w:after="240"/>
        <w:jc w:val="both"/>
        <w:rPr>
          <w:rFonts w:ascii="ITC Avant Garde" w:hAnsi="ITC Avant Garde"/>
          <w:bCs/>
          <w:color w:val="000000"/>
          <w:sz w:val="20"/>
          <w:szCs w:val="20"/>
          <w:lang w:val="es-MX" w:eastAsia="es-MX"/>
        </w:rPr>
      </w:pPr>
      <w:r w:rsidRPr="00AC313F">
        <w:rPr>
          <w:rFonts w:ascii="ITC Avant Garde" w:hAnsi="ITC Avant Garde"/>
          <w:bCs/>
          <w:color w:val="000000"/>
          <w:sz w:val="20"/>
          <w:szCs w:val="20"/>
          <w:lang w:val="es-MX" w:eastAsia="es-MX"/>
        </w:rPr>
        <w:t>El Programa Anual</w:t>
      </w:r>
      <w:r w:rsidR="00C956D5" w:rsidRPr="00AC313F">
        <w:rPr>
          <w:rFonts w:ascii="ITC Avant Garde" w:hAnsi="ITC Avant Garde"/>
          <w:bCs/>
          <w:color w:val="000000"/>
          <w:sz w:val="20"/>
          <w:szCs w:val="20"/>
          <w:lang w:val="es-MX" w:eastAsia="es-MX"/>
        </w:rPr>
        <w:t xml:space="preserve"> de Actividades para el año 2018</w:t>
      </w:r>
      <w:r w:rsidRPr="00AC313F">
        <w:rPr>
          <w:rFonts w:ascii="ITC Avant Garde" w:hAnsi="ITC Avant Garde"/>
          <w:bCs/>
          <w:color w:val="000000"/>
          <w:sz w:val="20"/>
          <w:szCs w:val="20"/>
          <w:lang w:val="es-MX" w:eastAsia="es-MX"/>
        </w:rPr>
        <w:t xml:space="preserve"> del Centro de Estudios tiene por objeto programar los estudios e investigaciones que durante el año realizarán los investigadores que integran el Centro de Estudios, así como la realización de proyecciones y estudios de prospectiva, el análisis de los mercados y las actividades de </w:t>
      </w:r>
      <w:r w:rsidR="00EF1F0E" w:rsidRPr="00AC313F">
        <w:rPr>
          <w:rFonts w:ascii="ITC Avant Garde" w:hAnsi="ITC Avant Garde"/>
          <w:bCs/>
          <w:color w:val="000000"/>
          <w:sz w:val="20"/>
          <w:szCs w:val="20"/>
          <w:lang w:val="es-MX" w:eastAsia="es-MX"/>
        </w:rPr>
        <w:t>vinculación</w:t>
      </w:r>
      <w:r w:rsidRPr="00AC313F">
        <w:rPr>
          <w:rFonts w:ascii="ITC Avant Garde" w:hAnsi="ITC Avant Garde"/>
          <w:bCs/>
          <w:color w:val="000000"/>
          <w:sz w:val="20"/>
          <w:szCs w:val="20"/>
          <w:lang w:val="es-MX" w:eastAsia="es-MX"/>
        </w:rPr>
        <w:t xml:space="preserve"> </w:t>
      </w:r>
      <w:r w:rsidR="00D15E1D" w:rsidRPr="00AC313F">
        <w:rPr>
          <w:rFonts w:ascii="ITC Avant Garde" w:hAnsi="ITC Avant Garde"/>
          <w:bCs/>
          <w:color w:val="000000"/>
          <w:sz w:val="20"/>
          <w:szCs w:val="20"/>
          <w:lang w:val="es-MX" w:eastAsia="es-MX"/>
        </w:rPr>
        <w:t xml:space="preserve">académica </w:t>
      </w:r>
      <w:r w:rsidRPr="00AC313F">
        <w:rPr>
          <w:rFonts w:ascii="ITC Avant Garde" w:hAnsi="ITC Avant Garde"/>
          <w:bCs/>
          <w:color w:val="000000"/>
          <w:sz w:val="20"/>
          <w:szCs w:val="20"/>
          <w:lang w:val="es-MX" w:eastAsia="es-MX"/>
        </w:rPr>
        <w:t>correspondientes. Con ello se busca generar información para determinar criterios</w:t>
      </w:r>
      <w:r w:rsidR="00205DE4" w:rsidRPr="00AC313F">
        <w:rPr>
          <w:rFonts w:ascii="ITC Avant Garde" w:hAnsi="ITC Avant Garde"/>
          <w:bCs/>
          <w:color w:val="000000"/>
          <w:sz w:val="20"/>
          <w:szCs w:val="20"/>
          <w:lang w:val="es-MX" w:eastAsia="es-MX"/>
        </w:rPr>
        <w:t xml:space="preserve"> para la toma de decisiones del Pleno y las acciones regulatorias del IFT</w:t>
      </w:r>
      <w:r w:rsidRPr="00AC313F">
        <w:rPr>
          <w:rFonts w:ascii="ITC Avant Garde" w:hAnsi="ITC Avant Garde"/>
          <w:bCs/>
          <w:color w:val="000000"/>
          <w:sz w:val="20"/>
          <w:szCs w:val="20"/>
          <w:lang w:val="es-MX" w:eastAsia="es-MX"/>
        </w:rPr>
        <w:t xml:space="preserve">, y </w:t>
      </w:r>
      <w:r w:rsidR="00205DE4" w:rsidRPr="00AC313F">
        <w:rPr>
          <w:rFonts w:ascii="ITC Avant Garde" w:hAnsi="ITC Avant Garde"/>
          <w:bCs/>
          <w:color w:val="000000"/>
          <w:sz w:val="20"/>
          <w:szCs w:val="20"/>
          <w:lang w:val="es-MX" w:eastAsia="es-MX"/>
        </w:rPr>
        <w:t xml:space="preserve">para </w:t>
      </w:r>
      <w:r w:rsidRPr="00AC313F">
        <w:rPr>
          <w:rFonts w:ascii="ITC Avant Garde" w:hAnsi="ITC Avant Garde"/>
          <w:bCs/>
          <w:color w:val="000000"/>
          <w:sz w:val="20"/>
          <w:szCs w:val="20"/>
          <w:lang w:val="es-MX" w:eastAsia="es-MX"/>
        </w:rPr>
        <w:t>dar elementos teóricos y metodológicos que apoyen oportunamente la operació</w:t>
      </w:r>
      <w:r w:rsidR="00205DE4" w:rsidRPr="00AC313F">
        <w:rPr>
          <w:rFonts w:ascii="ITC Avant Garde" w:hAnsi="ITC Avant Garde"/>
          <w:bCs/>
          <w:color w:val="000000"/>
          <w:sz w:val="20"/>
          <w:szCs w:val="20"/>
          <w:lang w:val="es-MX" w:eastAsia="es-MX"/>
        </w:rPr>
        <w:t>n de las unidades del organismo</w:t>
      </w:r>
      <w:r w:rsidRPr="00AC313F">
        <w:rPr>
          <w:rFonts w:ascii="ITC Avant Garde" w:hAnsi="ITC Avant Garde"/>
          <w:bCs/>
          <w:color w:val="000000"/>
          <w:sz w:val="20"/>
          <w:szCs w:val="20"/>
          <w:lang w:val="es-MX" w:eastAsia="es-MX"/>
        </w:rPr>
        <w:t>.</w:t>
      </w:r>
    </w:p>
    <w:p w14:paraId="7FED814B" w14:textId="77777777" w:rsidR="006E7653" w:rsidRDefault="0060314E" w:rsidP="006E7653">
      <w:pPr>
        <w:spacing w:before="240" w:after="240"/>
        <w:jc w:val="both"/>
        <w:rPr>
          <w:rFonts w:ascii="ITC Avant Garde" w:hAnsi="ITC Avant Garde"/>
          <w:bCs/>
          <w:color w:val="000000"/>
          <w:sz w:val="20"/>
          <w:szCs w:val="20"/>
          <w:lang w:val="es-MX" w:eastAsia="es-MX"/>
        </w:rPr>
      </w:pPr>
      <w:r w:rsidRPr="00AC313F">
        <w:rPr>
          <w:rFonts w:ascii="ITC Avant Garde" w:hAnsi="ITC Avant Garde"/>
          <w:bCs/>
          <w:color w:val="000000"/>
          <w:sz w:val="20"/>
          <w:szCs w:val="20"/>
          <w:lang w:val="es-MX" w:eastAsia="es-MX"/>
        </w:rPr>
        <w:t>El Programa Anual</w:t>
      </w:r>
      <w:r w:rsidR="00C956D5" w:rsidRPr="00AC313F">
        <w:rPr>
          <w:rFonts w:ascii="ITC Avant Garde" w:hAnsi="ITC Avant Garde"/>
          <w:bCs/>
          <w:color w:val="000000"/>
          <w:sz w:val="20"/>
          <w:szCs w:val="20"/>
          <w:lang w:val="es-MX" w:eastAsia="es-MX"/>
        </w:rPr>
        <w:t xml:space="preserve"> de Actividades para el año 2018</w:t>
      </w:r>
      <w:r w:rsidRPr="00AC313F">
        <w:rPr>
          <w:rFonts w:ascii="ITC Avant Garde" w:hAnsi="ITC Avant Garde"/>
          <w:bCs/>
          <w:color w:val="000000"/>
          <w:sz w:val="20"/>
          <w:szCs w:val="20"/>
          <w:lang w:val="es-MX" w:eastAsia="es-MX"/>
        </w:rPr>
        <w:t xml:space="preserve"> del Centro de Estudios se divide en tres apartados, los cuales describen las distintas actividades qu</w:t>
      </w:r>
      <w:r w:rsidR="00C956D5" w:rsidRPr="00AC313F">
        <w:rPr>
          <w:rFonts w:ascii="ITC Avant Garde" w:hAnsi="ITC Avant Garde"/>
          <w:bCs/>
          <w:color w:val="000000"/>
          <w:sz w:val="20"/>
          <w:szCs w:val="20"/>
          <w:lang w:val="es-MX" w:eastAsia="es-MX"/>
        </w:rPr>
        <w:t>e se programan para el año 2018</w:t>
      </w:r>
      <w:r w:rsidRPr="00AC313F">
        <w:rPr>
          <w:rFonts w:ascii="ITC Avant Garde" w:hAnsi="ITC Avant Garde"/>
          <w:bCs/>
          <w:color w:val="000000"/>
          <w:sz w:val="20"/>
          <w:szCs w:val="20"/>
          <w:lang w:val="es-MX" w:eastAsia="es-MX"/>
        </w:rPr>
        <w:t>, considerando las atribuciones establecidas en el artículo 69 del Estatuto Orgánico</w:t>
      </w:r>
      <w:r w:rsidR="00205DE4" w:rsidRPr="00AC313F">
        <w:rPr>
          <w:rFonts w:ascii="ITC Avant Garde" w:hAnsi="ITC Avant Garde"/>
          <w:bCs/>
          <w:color w:val="000000"/>
          <w:sz w:val="20"/>
          <w:szCs w:val="20"/>
          <w:lang w:val="es-MX" w:eastAsia="es-MX"/>
        </w:rPr>
        <w:t>,</w:t>
      </w:r>
      <w:r w:rsidRPr="00AC313F">
        <w:rPr>
          <w:rFonts w:ascii="ITC Avant Garde" w:hAnsi="ITC Avant Garde"/>
          <w:bCs/>
          <w:color w:val="000000"/>
          <w:sz w:val="20"/>
          <w:szCs w:val="20"/>
          <w:lang w:val="es-MX" w:eastAsia="es-MX"/>
        </w:rPr>
        <w:t xml:space="preserve"> los objetivos planteados por el Instituto en s</w:t>
      </w:r>
      <w:r w:rsidR="00C956D5" w:rsidRPr="00AC313F">
        <w:rPr>
          <w:rFonts w:ascii="ITC Avant Garde" w:hAnsi="ITC Avant Garde"/>
          <w:bCs/>
          <w:color w:val="000000"/>
          <w:sz w:val="20"/>
          <w:szCs w:val="20"/>
          <w:lang w:val="es-MX" w:eastAsia="es-MX"/>
        </w:rPr>
        <w:t>u Programa Anual de Trabajo 2018</w:t>
      </w:r>
      <w:r w:rsidR="004C4307" w:rsidRPr="00AC313F">
        <w:rPr>
          <w:rFonts w:ascii="ITC Avant Garde" w:hAnsi="ITC Avant Garde"/>
          <w:bCs/>
          <w:color w:val="000000"/>
          <w:sz w:val="20"/>
          <w:szCs w:val="20"/>
          <w:lang w:val="es-MX" w:eastAsia="es-MX"/>
        </w:rPr>
        <w:t xml:space="preserve">, </w:t>
      </w:r>
      <w:r w:rsidR="00205DE4" w:rsidRPr="00AC313F">
        <w:rPr>
          <w:rFonts w:ascii="ITC Avant Garde" w:hAnsi="ITC Avant Garde"/>
          <w:bCs/>
          <w:color w:val="000000"/>
          <w:sz w:val="20"/>
          <w:szCs w:val="20"/>
          <w:lang w:val="es-MX" w:eastAsia="es-MX"/>
        </w:rPr>
        <w:t xml:space="preserve">y </w:t>
      </w:r>
      <w:r w:rsidR="00205DE4" w:rsidRPr="00AC313F">
        <w:rPr>
          <w:rFonts w:ascii="ITC Avant Garde" w:hAnsi="ITC Avant Garde"/>
          <w:sz w:val="20"/>
          <w:szCs w:val="20"/>
        </w:rPr>
        <w:t xml:space="preserve">los temas prospectivos de relevancia para el mediano y el largo plazo, </w:t>
      </w:r>
      <w:r w:rsidR="004C4307" w:rsidRPr="00AC313F">
        <w:rPr>
          <w:rFonts w:ascii="ITC Avant Garde" w:hAnsi="ITC Avant Garde"/>
          <w:bCs/>
          <w:color w:val="000000"/>
          <w:sz w:val="20"/>
          <w:szCs w:val="20"/>
          <w:lang w:val="es-MX" w:eastAsia="es-MX"/>
        </w:rPr>
        <w:t>de acuerdo con lo siguiente:</w:t>
      </w:r>
    </w:p>
    <w:p w14:paraId="14C87E7E" w14:textId="77777777" w:rsidR="006E7653" w:rsidRDefault="00D15E1D" w:rsidP="006E7653">
      <w:pPr>
        <w:spacing w:before="240" w:after="240"/>
        <w:jc w:val="both"/>
        <w:rPr>
          <w:rFonts w:ascii="ITC Avant Garde" w:hAnsi="ITC Avant Garde"/>
          <w:bCs/>
          <w:color w:val="000000"/>
          <w:sz w:val="20"/>
          <w:szCs w:val="20"/>
          <w:lang w:val="es-MX" w:eastAsia="es-MX"/>
        </w:rPr>
      </w:pPr>
      <w:r w:rsidRPr="00AC313F">
        <w:rPr>
          <w:rFonts w:ascii="ITC Avant Garde" w:hAnsi="ITC Avant Garde"/>
          <w:bCs/>
          <w:color w:val="000000"/>
          <w:sz w:val="20"/>
          <w:szCs w:val="20"/>
          <w:lang w:val="es-MX" w:eastAsia="es-MX"/>
        </w:rPr>
        <w:t>1.</w:t>
      </w:r>
      <w:r w:rsidRPr="00AC313F">
        <w:rPr>
          <w:rFonts w:ascii="ITC Avant Garde" w:hAnsi="ITC Avant Garde"/>
          <w:bCs/>
          <w:color w:val="000000"/>
          <w:sz w:val="20"/>
          <w:szCs w:val="20"/>
          <w:lang w:val="es-MX" w:eastAsia="es-MX"/>
        </w:rPr>
        <w:tab/>
        <w:t>Labore</w:t>
      </w:r>
      <w:r w:rsidR="0060314E" w:rsidRPr="00AC313F">
        <w:rPr>
          <w:rFonts w:ascii="ITC Avant Garde" w:hAnsi="ITC Avant Garde"/>
          <w:bCs/>
          <w:color w:val="000000"/>
          <w:sz w:val="20"/>
          <w:szCs w:val="20"/>
          <w:lang w:val="es-MX" w:eastAsia="es-MX"/>
        </w:rPr>
        <w:t>s Continuas del Centro de Estudios</w:t>
      </w:r>
      <w:r w:rsidR="00205DE4" w:rsidRPr="00AC313F">
        <w:rPr>
          <w:rFonts w:ascii="ITC Avant Garde" w:hAnsi="ITC Avant Garde"/>
          <w:bCs/>
          <w:color w:val="000000"/>
          <w:sz w:val="20"/>
          <w:szCs w:val="20"/>
          <w:lang w:val="es-MX" w:eastAsia="es-MX"/>
        </w:rPr>
        <w:t>, i</w:t>
      </w:r>
      <w:r w:rsidR="0060314E" w:rsidRPr="00AC313F">
        <w:rPr>
          <w:rFonts w:ascii="ITC Avant Garde" w:hAnsi="ITC Avant Garde"/>
          <w:bCs/>
          <w:color w:val="000000"/>
          <w:sz w:val="20"/>
          <w:szCs w:val="20"/>
          <w:lang w:val="es-MX" w:eastAsia="es-MX"/>
        </w:rPr>
        <w:t>ncluyen</w:t>
      </w:r>
      <w:r w:rsidR="00205DE4" w:rsidRPr="00AC313F">
        <w:rPr>
          <w:rFonts w:ascii="ITC Avant Garde" w:hAnsi="ITC Avant Garde"/>
          <w:bCs/>
          <w:color w:val="000000"/>
          <w:sz w:val="20"/>
          <w:szCs w:val="20"/>
          <w:lang w:val="es-MX" w:eastAsia="es-MX"/>
        </w:rPr>
        <w:t>do</w:t>
      </w:r>
      <w:r w:rsidR="0060314E" w:rsidRPr="00AC313F">
        <w:rPr>
          <w:rFonts w:ascii="ITC Avant Garde" w:hAnsi="ITC Avant Garde"/>
          <w:bCs/>
          <w:color w:val="000000"/>
          <w:sz w:val="20"/>
          <w:szCs w:val="20"/>
          <w:lang w:val="es-MX" w:eastAsia="es-MX"/>
        </w:rPr>
        <w:t xml:space="preserve"> la elaboración de estudios y análisis </w:t>
      </w:r>
      <w:r w:rsidRPr="00AC313F">
        <w:rPr>
          <w:rFonts w:ascii="ITC Avant Garde" w:hAnsi="ITC Avant Garde"/>
          <w:bCs/>
          <w:color w:val="000000"/>
          <w:sz w:val="20"/>
          <w:szCs w:val="20"/>
          <w:lang w:val="es-MX" w:eastAsia="es-MX"/>
        </w:rPr>
        <w:t>sobre temas específicos</w:t>
      </w:r>
      <w:r w:rsidR="0060314E" w:rsidRPr="00AC313F">
        <w:rPr>
          <w:rFonts w:ascii="ITC Avant Garde" w:hAnsi="ITC Avant Garde"/>
          <w:bCs/>
          <w:color w:val="000000"/>
          <w:sz w:val="20"/>
          <w:szCs w:val="20"/>
          <w:lang w:val="es-MX" w:eastAsia="es-MX"/>
        </w:rPr>
        <w:t xml:space="preserve">, detallando los </w:t>
      </w:r>
      <w:r w:rsidRPr="00AC313F">
        <w:rPr>
          <w:rFonts w:ascii="ITC Avant Garde" w:hAnsi="ITC Avant Garde"/>
          <w:bCs/>
          <w:color w:val="000000"/>
          <w:sz w:val="20"/>
          <w:szCs w:val="20"/>
          <w:lang w:val="es-MX" w:eastAsia="es-MX"/>
        </w:rPr>
        <w:t>proyectos</w:t>
      </w:r>
      <w:r w:rsidR="0060314E" w:rsidRPr="00AC313F">
        <w:rPr>
          <w:rFonts w:ascii="ITC Avant Garde" w:hAnsi="ITC Avant Garde"/>
          <w:bCs/>
          <w:color w:val="000000"/>
          <w:sz w:val="20"/>
          <w:szCs w:val="20"/>
          <w:lang w:val="es-MX" w:eastAsia="es-MX"/>
        </w:rPr>
        <w:t xml:space="preserve"> que desarrollará el Centro</w:t>
      </w:r>
      <w:r w:rsidR="00C956D5" w:rsidRPr="00AC313F">
        <w:rPr>
          <w:rFonts w:ascii="ITC Avant Garde" w:hAnsi="ITC Avant Garde"/>
          <w:bCs/>
          <w:color w:val="000000"/>
          <w:sz w:val="20"/>
          <w:szCs w:val="20"/>
          <w:lang w:val="es-MX" w:eastAsia="es-MX"/>
        </w:rPr>
        <w:t xml:space="preserve"> de Estudios durante el año 2018</w:t>
      </w:r>
      <w:r w:rsidRPr="00AC313F">
        <w:rPr>
          <w:rFonts w:ascii="ITC Avant Garde" w:hAnsi="ITC Avant Garde"/>
          <w:bCs/>
          <w:color w:val="000000"/>
          <w:sz w:val="20"/>
          <w:szCs w:val="20"/>
          <w:lang w:val="es-MX" w:eastAsia="es-MX"/>
        </w:rPr>
        <w:t>. Así también, las proyecciones, la c</w:t>
      </w:r>
      <w:proofErr w:type="spellStart"/>
      <w:r w:rsidRPr="00AC313F">
        <w:rPr>
          <w:rFonts w:ascii="ITC Avant Garde" w:hAnsi="ITC Avant Garde"/>
          <w:color w:val="000000" w:themeColor="text1"/>
          <w:sz w:val="20"/>
          <w:szCs w:val="20"/>
        </w:rPr>
        <w:t>omparación</w:t>
      </w:r>
      <w:proofErr w:type="spellEnd"/>
      <w:r w:rsidRPr="00AC313F">
        <w:rPr>
          <w:rFonts w:ascii="ITC Avant Garde" w:hAnsi="ITC Avant Garde"/>
          <w:color w:val="000000" w:themeColor="text1"/>
          <w:sz w:val="20"/>
          <w:szCs w:val="20"/>
        </w:rPr>
        <w:t xml:space="preserve"> de indicadores y</w:t>
      </w:r>
      <w:r w:rsidR="0060314E" w:rsidRPr="00AC313F">
        <w:rPr>
          <w:rFonts w:ascii="ITC Avant Garde" w:hAnsi="ITC Avant Garde"/>
          <w:bCs/>
          <w:color w:val="000000"/>
          <w:sz w:val="20"/>
          <w:szCs w:val="20"/>
          <w:lang w:val="es-MX" w:eastAsia="es-MX"/>
        </w:rPr>
        <w:t xml:space="preserve"> la administración de </w:t>
      </w:r>
      <w:r w:rsidRPr="00AC313F">
        <w:rPr>
          <w:rFonts w:ascii="ITC Avant Garde" w:hAnsi="ITC Avant Garde"/>
          <w:bCs/>
          <w:color w:val="000000"/>
          <w:sz w:val="20"/>
          <w:szCs w:val="20"/>
          <w:lang w:val="es-MX" w:eastAsia="es-MX"/>
        </w:rPr>
        <w:t>los acervos documentales del Instituto</w:t>
      </w:r>
      <w:r w:rsidR="0060314E" w:rsidRPr="00AC313F">
        <w:rPr>
          <w:rFonts w:ascii="ITC Avant Garde" w:hAnsi="ITC Avant Garde"/>
          <w:bCs/>
          <w:color w:val="000000"/>
          <w:sz w:val="20"/>
          <w:szCs w:val="20"/>
          <w:lang w:val="es-MX" w:eastAsia="es-MX"/>
        </w:rPr>
        <w:t xml:space="preserve">. </w:t>
      </w:r>
    </w:p>
    <w:p w14:paraId="5B8ADF4D" w14:textId="30AB4F48" w:rsidR="0060314E" w:rsidRPr="006E7653" w:rsidRDefault="0060314E" w:rsidP="006E7653">
      <w:pPr>
        <w:spacing w:before="240" w:after="240"/>
        <w:jc w:val="both"/>
        <w:rPr>
          <w:rFonts w:ascii="ITC Avant Garde" w:hAnsi="ITC Avant Garde"/>
          <w:sz w:val="20"/>
          <w:szCs w:val="20"/>
        </w:rPr>
      </w:pPr>
      <w:r w:rsidRPr="00AC313F">
        <w:rPr>
          <w:rFonts w:ascii="ITC Avant Garde" w:hAnsi="ITC Avant Garde"/>
          <w:bCs/>
          <w:color w:val="000000"/>
          <w:sz w:val="20"/>
          <w:szCs w:val="20"/>
          <w:lang w:val="es-MX" w:eastAsia="es-MX"/>
        </w:rPr>
        <w:t>2.</w:t>
      </w:r>
      <w:r w:rsidRPr="00AC313F">
        <w:rPr>
          <w:rFonts w:ascii="ITC Avant Garde" w:hAnsi="ITC Avant Garde"/>
          <w:bCs/>
          <w:color w:val="000000"/>
          <w:sz w:val="20"/>
          <w:szCs w:val="20"/>
          <w:lang w:val="es-MX" w:eastAsia="es-MX"/>
        </w:rPr>
        <w:tab/>
        <w:t>Análisis, estudios y solicitudes de información recurrentes</w:t>
      </w:r>
      <w:r w:rsidR="00205DE4" w:rsidRPr="00AC313F">
        <w:rPr>
          <w:rFonts w:ascii="ITC Avant Garde" w:hAnsi="ITC Avant Garde"/>
          <w:bCs/>
          <w:color w:val="000000"/>
          <w:sz w:val="20"/>
          <w:szCs w:val="20"/>
          <w:lang w:val="es-MX" w:eastAsia="es-MX"/>
        </w:rPr>
        <w:t xml:space="preserve">, que </w:t>
      </w:r>
      <w:r w:rsidR="00D15E1D" w:rsidRPr="00AC313F">
        <w:rPr>
          <w:rFonts w:ascii="ITC Avant Garde" w:hAnsi="ITC Avant Garde"/>
          <w:sz w:val="20"/>
          <w:szCs w:val="20"/>
        </w:rPr>
        <w:t>incorporan</w:t>
      </w:r>
      <w:r w:rsidR="00A50B61" w:rsidRPr="00AC313F">
        <w:rPr>
          <w:rFonts w:ascii="ITC Avant Garde" w:hAnsi="ITC Avant Garde"/>
          <w:sz w:val="20"/>
          <w:szCs w:val="20"/>
        </w:rPr>
        <w:t xml:space="preserve"> los estudios, investigaciones y evaluaciones que, a solicitud expresa del Pleno, realice el CE para atender una necesidad de información concreta.</w:t>
      </w:r>
    </w:p>
    <w:p w14:paraId="7FE7835B" w14:textId="77777777" w:rsidR="006E7653" w:rsidRDefault="0060314E" w:rsidP="006E7653">
      <w:pPr>
        <w:spacing w:before="240" w:after="240"/>
        <w:jc w:val="both"/>
        <w:rPr>
          <w:rFonts w:ascii="ITC Avant Garde" w:hAnsi="ITC Avant Garde"/>
          <w:bCs/>
          <w:color w:val="000000"/>
          <w:sz w:val="20"/>
          <w:szCs w:val="20"/>
          <w:lang w:val="es-MX" w:eastAsia="es-MX"/>
        </w:rPr>
      </w:pPr>
      <w:r w:rsidRPr="00AC313F">
        <w:rPr>
          <w:rFonts w:ascii="ITC Avant Garde" w:hAnsi="ITC Avant Garde"/>
          <w:bCs/>
          <w:color w:val="000000"/>
          <w:sz w:val="20"/>
          <w:szCs w:val="20"/>
          <w:lang w:val="es-MX" w:eastAsia="es-MX"/>
        </w:rPr>
        <w:t>3.</w:t>
      </w:r>
      <w:r w:rsidRPr="00AC313F">
        <w:rPr>
          <w:rFonts w:ascii="ITC Avant Garde" w:hAnsi="ITC Avant Garde"/>
          <w:bCs/>
          <w:color w:val="000000"/>
          <w:sz w:val="20"/>
          <w:szCs w:val="20"/>
          <w:lang w:val="es-MX" w:eastAsia="es-MX"/>
        </w:rPr>
        <w:tab/>
        <w:t>Eve</w:t>
      </w:r>
      <w:r w:rsidR="00BE519C" w:rsidRPr="00AC313F">
        <w:rPr>
          <w:rFonts w:ascii="ITC Avant Garde" w:hAnsi="ITC Avant Garde"/>
          <w:bCs/>
          <w:color w:val="000000"/>
          <w:sz w:val="20"/>
          <w:szCs w:val="20"/>
          <w:lang w:val="es-MX" w:eastAsia="es-MX"/>
        </w:rPr>
        <w:t>ntos de formación y vinculación, en los que se</w:t>
      </w:r>
      <w:r w:rsidRPr="00AC313F">
        <w:rPr>
          <w:rFonts w:ascii="ITC Avant Garde" w:hAnsi="ITC Avant Garde"/>
          <w:bCs/>
          <w:color w:val="000000"/>
          <w:sz w:val="20"/>
          <w:szCs w:val="20"/>
          <w:lang w:val="es-MX" w:eastAsia="es-MX"/>
        </w:rPr>
        <w:t xml:space="preserve"> da a conocer las investigac</w:t>
      </w:r>
      <w:r w:rsidR="00D15E1D" w:rsidRPr="00AC313F">
        <w:rPr>
          <w:rFonts w:ascii="ITC Avant Garde" w:hAnsi="ITC Avant Garde"/>
          <w:bCs/>
          <w:color w:val="000000"/>
          <w:sz w:val="20"/>
          <w:szCs w:val="20"/>
          <w:lang w:val="es-MX" w:eastAsia="es-MX"/>
        </w:rPr>
        <w:t>iones y los estudios realizados, a</w:t>
      </w:r>
      <w:r w:rsidRPr="00AC313F">
        <w:rPr>
          <w:rFonts w:ascii="ITC Avant Garde" w:hAnsi="ITC Avant Garde"/>
          <w:bCs/>
          <w:color w:val="000000"/>
          <w:sz w:val="20"/>
          <w:szCs w:val="20"/>
          <w:lang w:val="es-MX" w:eastAsia="es-MX"/>
        </w:rPr>
        <w:t xml:space="preserve">sí también </w:t>
      </w:r>
      <w:r w:rsidR="00BE519C" w:rsidRPr="00AC313F">
        <w:rPr>
          <w:rFonts w:ascii="ITC Avant Garde" w:hAnsi="ITC Avant Garde"/>
          <w:bCs/>
          <w:color w:val="000000"/>
          <w:sz w:val="20"/>
          <w:szCs w:val="20"/>
          <w:lang w:val="es-MX" w:eastAsia="es-MX"/>
        </w:rPr>
        <w:t xml:space="preserve">se </w:t>
      </w:r>
      <w:r w:rsidRPr="00AC313F">
        <w:rPr>
          <w:rFonts w:ascii="ITC Avant Garde" w:hAnsi="ITC Avant Garde"/>
          <w:bCs/>
          <w:color w:val="000000"/>
          <w:sz w:val="20"/>
          <w:szCs w:val="20"/>
          <w:lang w:val="es-MX" w:eastAsia="es-MX"/>
        </w:rPr>
        <w:t>promueve la realización de eventos de corte académico que contribuyan a</w:t>
      </w:r>
      <w:r w:rsidR="00D15E1D" w:rsidRPr="00AC313F">
        <w:rPr>
          <w:rFonts w:ascii="ITC Avant Garde" w:hAnsi="ITC Avant Garde"/>
          <w:bCs/>
          <w:color w:val="000000"/>
          <w:sz w:val="20"/>
          <w:szCs w:val="20"/>
          <w:lang w:val="es-MX" w:eastAsia="es-MX"/>
        </w:rPr>
        <w:t>l conocimiento sobre el sector</w:t>
      </w:r>
      <w:r w:rsidRPr="00AC313F">
        <w:rPr>
          <w:rFonts w:ascii="ITC Avant Garde" w:hAnsi="ITC Avant Garde"/>
          <w:bCs/>
          <w:color w:val="000000"/>
          <w:sz w:val="20"/>
          <w:szCs w:val="20"/>
          <w:lang w:val="es-MX" w:eastAsia="es-MX"/>
        </w:rPr>
        <w:t xml:space="preserve">. </w:t>
      </w:r>
    </w:p>
    <w:p w14:paraId="32C6D7B5" w14:textId="6AA96729" w:rsidR="00AC313F" w:rsidRPr="00AC313F" w:rsidRDefault="003E7BED" w:rsidP="006E7653">
      <w:pPr>
        <w:pStyle w:val="estilo30"/>
        <w:spacing w:before="240" w:beforeAutospacing="0" w:after="240" w:afterAutospacing="0"/>
        <w:jc w:val="both"/>
        <w:rPr>
          <w:rFonts w:ascii="ITC Avant Garde" w:hAnsi="ITC Avant Garde"/>
          <w:bCs/>
          <w:color w:val="000000"/>
          <w:sz w:val="20"/>
          <w:szCs w:val="20"/>
        </w:rPr>
      </w:pPr>
      <w:r w:rsidRPr="00AC313F">
        <w:rPr>
          <w:rFonts w:ascii="ITC Avant Garde" w:hAnsi="ITC Avant Garde"/>
          <w:bCs/>
          <w:color w:val="000000"/>
          <w:sz w:val="20"/>
          <w:szCs w:val="20"/>
        </w:rPr>
        <w:lastRenderedPageBreak/>
        <w:t>Por lo anterior</w:t>
      </w:r>
      <w:r w:rsidR="003D2922" w:rsidRPr="00AC313F">
        <w:rPr>
          <w:rFonts w:ascii="ITC Avant Garde" w:hAnsi="ITC Avant Garde"/>
          <w:bCs/>
          <w:color w:val="000000"/>
          <w:sz w:val="20"/>
          <w:szCs w:val="20"/>
        </w:rPr>
        <w:t>,</w:t>
      </w:r>
      <w:r w:rsidR="006D449D" w:rsidRPr="00AC313F">
        <w:rPr>
          <w:rFonts w:ascii="ITC Avant Garde" w:hAnsi="ITC Avant Garde"/>
          <w:bCs/>
          <w:color w:val="000000"/>
          <w:sz w:val="20"/>
          <w:szCs w:val="20"/>
        </w:rPr>
        <w:t xml:space="preserve"> </w:t>
      </w:r>
      <w:r w:rsidR="002765A7" w:rsidRPr="00AC313F">
        <w:rPr>
          <w:rFonts w:ascii="ITC Avant Garde" w:hAnsi="ITC Avant Garde"/>
          <w:bCs/>
          <w:color w:val="000000"/>
          <w:sz w:val="20"/>
          <w:szCs w:val="20"/>
        </w:rPr>
        <w:t xml:space="preserve">con fundamento en </w:t>
      </w:r>
      <w:r w:rsidR="006D449D" w:rsidRPr="00AC313F">
        <w:rPr>
          <w:rFonts w:ascii="ITC Avant Garde" w:hAnsi="ITC Avant Garde"/>
          <w:bCs/>
          <w:color w:val="000000"/>
          <w:sz w:val="20"/>
          <w:szCs w:val="20"/>
        </w:rPr>
        <w:t>los artículos 28</w:t>
      </w:r>
      <w:r w:rsidR="008A151D" w:rsidRPr="00AC313F">
        <w:rPr>
          <w:rFonts w:ascii="ITC Avant Garde" w:hAnsi="ITC Avant Garde"/>
          <w:bCs/>
          <w:color w:val="000000"/>
          <w:sz w:val="20"/>
          <w:szCs w:val="20"/>
        </w:rPr>
        <w:t>,</w:t>
      </w:r>
      <w:r w:rsidR="006D449D" w:rsidRPr="00AC313F">
        <w:rPr>
          <w:rFonts w:ascii="ITC Avant Garde" w:hAnsi="ITC Avant Garde"/>
          <w:bCs/>
          <w:color w:val="000000"/>
          <w:sz w:val="20"/>
          <w:szCs w:val="20"/>
        </w:rPr>
        <w:t xml:space="preserve"> </w:t>
      </w:r>
      <w:proofErr w:type="gramStart"/>
      <w:r w:rsidR="001C25C3" w:rsidRPr="00AC313F">
        <w:rPr>
          <w:rFonts w:ascii="ITC Avant Garde" w:hAnsi="ITC Avant Garde"/>
          <w:bCs/>
          <w:color w:val="000000"/>
          <w:sz w:val="20"/>
          <w:szCs w:val="20"/>
        </w:rPr>
        <w:t>párrafos décimo quinto</w:t>
      </w:r>
      <w:proofErr w:type="gramEnd"/>
      <w:r w:rsidR="004C4307" w:rsidRPr="00AC313F">
        <w:rPr>
          <w:rFonts w:ascii="ITC Avant Garde" w:hAnsi="ITC Avant Garde"/>
          <w:bCs/>
          <w:color w:val="000000"/>
          <w:sz w:val="20"/>
          <w:szCs w:val="20"/>
        </w:rPr>
        <w:t xml:space="preserve"> y </w:t>
      </w:r>
      <w:r w:rsidR="001C25C3" w:rsidRPr="00AC313F">
        <w:rPr>
          <w:rFonts w:ascii="ITC Avant Garde" w:hAnsi="ITC Avant Garde"/>
          <w:bCs/>
          <w:color w:val="000000"/>
          <w:sz w:val="20"/>
          <w:szCs w:val="20"/>
        </w:rPr>
        <w:t xml:space="preserve">décimo sexto </w:t>
      </w:r>
      <w:r w:rsidR="004E7C34" w:rsidRPr="00AC313F">
        <w:rPr>
          <w:rFonts w:ascii="ITC Avant Garde" w:hAnsi="ITC Avant Garde"/>
          <w:bCs/>
          <w:color w:val="000000"/>
          <w:sz w:val="20"/>
          <w:szCs w:val="20"/>
        </w:rPr>
        <w:t xml:space="preserve">de la Constitución Política </w:t>
      </w:r>
      <w:r w:rsidR="006D449D" w:rsidRPr="00AC313F">
        <w:rPr>
          <w:rFonts w:ascii="ITC Avant Garde" w:hAnsi="ITC Avant Garde"/>
          <w:bCs/>
          <w:color w:val="000000"/>
          <w:sz w:val="20"/>
          <w:szCs w:val="20"/>
        </w:rPr>
        <w:t>de los Estados Unidos Mexicanos</w:t>
      </w:r>
      <w:r w:rsidRPr="00AC313F">
        <w:rPr>
          <w:rFonts w:ascii="ITC Avant Garde" w:hAnsi="ITC Avant Garde"/>
          <w:bCs/>
          <w:color w:val="000000"/>
          <w:sz w:val="20"/>
          <w:szCs w:val="20"/>
        </w:rPr>
        <w:t xml:space="preserve">; </w:t>
      </w:r>
      <w:r w:rsidR="00EC220C" w:rsidRPr="00AC313F">
        <w:rPr>
          <w:rFonts w:ascii="ITC Avant Garde" w:hAnsi="ITC Avant Garde"/>
          <w:bCs/>
          <w:color w:val="000000"/>
          <w:sz w:val="20"/>
          <w:szCs w:val="20"/>
        </w:rPr>
        <w:t>15</w:t>
      </w:r>
      <w:r w:rsidR="00BC2381" w:rsidRPr="00AC313F">
        <w:rPr>
          <w:rFonts w:ascii="ITC Avant Garde" w:hAnsi="ITC Avant Garde"/>
          <w:bCs/>
          <w:color w:val="000000"/>
          <w:sz w:val="20"/>
          <w:szCs w:val="20"/>
        </w:rPr>
        <w:t>, fracciones</w:t>
      </w:r>
      <w:r w:rsidR="00D15E1D" w:rsidRPr="00AC313F">
        <w:rPr>
          <w:rFonts w:ascii="ITC Avant Garde" w:hAnsi="ITC Avant Garde"/>
          <w:bCs/>
          <w:color w:val="000000"/>
          <w:sz w:val="20"/>
          <w:szCs w:val="20"/>
        </w:rPr>
        <w:t xml:space="preserve"> </w:t>
      </w:r>
      <w:r w:rsidR="00EC220C" w:rsidRPr="00AC313F">
        <w:rPr>
          <w:rFonts w:ascii="ITC Avant Garde" w:hAnsi="ITC Avant Garde"/>
          <w:bCs/>
          <w:color w:val="000000"/>
          <w:sz w:val="20"/>
          <w:szCs w:val="20"/>
        </w:rPr>
        <w:t>I</w:t>
      </w:r>
      <w:r w:rsidR="001C0ACA" w:rsidRPr="00AC313F">
        <w:rPr>
          <w:rFonts w:ascii="ITC Avant Garde" w:hAnsi="ITC Avant Garde"/>
          <w:bCs/>
          <w:color w:val="000000"/>
          <w:sz w:val="20"/>
          <w:szCs w:val="20"/>
        </w:rPr>
        <w:t>I</w:t>
      </w:r>
      <w:r w:rsidR="001C25C3" w:rsidRPr="00AC313F">
        <w:rPr>
          <w:rFonts w:ascii="ITC Avant Garde" w:hAnsi="ITC Avant Garde"/>
          <w:bCs/>
          <w:color w:val="000000"/>
          <w:sz w:val="20"/>
          <w:szCs w:val="20"/>
        </w:rPr>
        <w:t xml:space="preserve"> y </w:t>
      </w:r>
      <w:r w:rsidR="00BC2381" w:rsidRPr="00AC313F">
        <w:rPr>
          <w:rFonts w:ascii="ITC Avant Garde" w:hAnsi="ITC Avant Garde"/>
          <w:bCs/>
          <w:color w:val="000000"/>
          <w:sz w:val="20"/>
          <w:szCs w:val="20"/>
        </w:rPr>
        <w:t>XXXIX</w:t>
      </w:r>
      <w:r w:rsidR="002765A7" w:rsidRPr="00AC313F">
        <w:rPr>
          <w:rFonts w:ascii="ITC Avant Garde" w:hAnsi="ITC Avant Garde"/>
          <w:bCs/>
          <w:color w:val="000000"/>
          <w:sz w:val="20"/>
          <w:szCs w:val="20"/>
        </w:rPr>
        <w:t xml:space="preserve"> </w:t>
      </w:r>
      <w:r w:rsidR="006D449D" w:rsidRPr="00AC313F">
        <w:rPr>
          <w:rFonts w:ascii="ITC Avant Garde" w:hAnsi="ITC Avant Garde"/>
          <w:bCs/>
          <w:color w:val="000000"/>
          <w:sz w:val="20"/>
          <w:szCs w:val="20"/>
        </w:rPr>
        <w:t xml:space="preserve">de la Ley Federal de </w:t>
      </w:r>
      <w:r w:rsidR="001C0ACA" w:rsidRPr="00AC313F">
        <w:rPr>
          <w:rFonts w:ascii="ITC Avant Garde" w:hAnsi="ITC Avant Garde"/>
          <w:bCs/>
          <w:color w:val="000000"/>
          <w:sz w:val="20"/>
          <w:szCs w:val="20"/>
        </w:rPr>
        <w:t>Telecomunicaciones y Radiodifusión</w:t>
      </w:r>
      <w:r w:rsidR="008A151D" w:rsidRPr="00AC313F">
        <w:rPr>
          <w:rFonts w:ascii="ITC Avant Garde" w:hAnsi="ITC Avant Garde"/>
          <w:bCs/>
          <w:color w:val="000000"/>
          <w:sz w:val="20"/>
          <w:szCs w:val="20"/>
        </w:rPr>
        <w:t xml:space="preserve">, </w:t>
      </w:r>
      <w:r w:rsidR="004C4307" w:rsidRPr="00AC313F">
        <w:rPr>
          <w:rFonts w:ascii="ITC Avant Garde" w:hAnsi="ITC Avant Garde"/>
          <w:bCs/>
          <w:color w:val="000000"/>
          <w:sz w:val="20"/>
          <w:szCs w:val="20"/>
        </w:rPr>
        <w:t>así como el artículo 6, fracción XXX y 69, fracción I, del Estatuto Org</w:t>
      </w:r>
      <w:r w:rsidR="00EC59D8" w:rsidRPr="00AC313F">
        <w:rPr>
          <w:rFonts w:ascii="ITC Avant Garde" w:hAnsi="ITC Avant Garde"/>
          <w:bCs/>
          <w:color w:val="000000"/>
          <w:sz w:val="20"/>
          <w:szCs w:val="20"/>
        </w:rPr>
        <w:t xml:space="preserve">ánico, </w:t>
      </w:r>
      <w:r w:rsidRPr="00AC313F">
        <w:rPr>
          <w:rFonts w:ascii="ITC Avant Garde" w:hAnsi="ITC Avant Garde"/>
          <w:bCs/>
          <w:color w:val="000000"/>
          <w:sz w:val="20"/>
          <w:szCs w:val="20"/>
        </w:rPr>
        <w:t>el Pleno del Instituto Federal de Telecomunicaciones emite</w:t>
      </w:r>
      <w:r w:rsidR="004E7C34" w:rsidRPr="00AC313F">
        <w:rPr>
          <w:rFonts w:ascii="ITC Avant Garde" w:hAnsi="ITC Avant Garde"/>
          <w:bCs/>
          <w:color w:val="000000"/>
          <w:sz w:val="20"/>
          <w:szCs w:val="20"/>
        </w:rPr>
        <w:t xml:space="preserve"> </w:t>
      </w:r>
      <w:r w:rsidR="00F71CD2" w:rsidRPr="00AC313F">
        <w:rPr>
          <w:rFonts w:ascii="ITC Avant Garde" w:hAnsi="ITC Avant Garde"/>
          <w:bCs/>
          <w:color w:val="000000"/>
          <w:sz w:val="20"/>
          <w:szCs w:val="20"/>
        </w:rPr>
        <w:t>e</w:t>
      </w:r>
      <w:r w:rsidR="004E7C34" w:rsidRPr="00AC313F">
        <w:rPr>
          <w:rFonts w:ascii="ITC Avant Garde" w:hAnsi="ITC Avant Garde"/>
          <w:bCs/>
          <w:color w:val="000000"/>
          <w:sz w:val="20"/>
          <w:szCs w:val="20"/>
        </w:rPr>
        <w:t>l siguiente</w:t>
      </w:r>
    </w:p>
    <w:p w14:paraId="61E40075" w14:textId="77777777" w:rsidR="006E7653" w:rsidRPr="006E7653" w:rsidRDefault="003D4764" w:rsidP="006E7653">
      <w:pPr>
        <w:pStyle w:val="Ttulo2"/>
        <w:spacing w:before="240" w:after="240" w:line="276" w:lineRule="auto"/>
        <w:jc w:val="center"/>
        <w:rPr>
          <w:rFonts w:ascii="ITC Avant Garde" w:hAnsi="ITC Avant Garde"/>
          <w:b/>
          <w:color w:val="000000" w:themeColor="text1"/>
          <w:sz w:val="20"/>
          <w:szCs w:val="20"/>
          <w:lang w:val="es-MX" w:eastAsia="en-US"/>
        </w:rPr>
      </w:pPr>
      <w:r w:rsidRPr="006E7653">
        <w:rPr>
          <w:rFonts w:ascii="ITC Avant Garde" w:hAnsi="ITC Avant Garde"/>
          <w:b/>
          <w:color w:val="000000" w:themeColor="text1"/>
          <w:sz w:val="20"/>
          <w:szCs w:val="20"/>
          <w:lang w:val="es-MX" w:eastAsia="en-US"/>
        </w:rPr>
        <w:t>ACUERDO</w:t>
      </w:r>
    </w:p>
    <w:p w14:paraId="382EDD53" w14:textId="35BAFF61" w:rsidR="006E7653" w:rsidRDefault="005E658E" w:rsidP="006E7653">
      <w:pPr>
        <w:pStyle w:val="estilo30"/>
        <w:spacing w:before="240" w:beforeAutospacing="0" w:after="240" w:afterAutospacing="0"/>
        <w:jc w:val="both"/>
        <w:rPr>
          <w:rFonts w:ascii="ITC Avant Garde" w:hAnsi="ITC Avant Garde"/>
          <w:bCs/>
          <w:color w:val="000000"/>
          <w:sz w:val="20"/>
          <w:szCs w:val="20"/>
        </w:rPr>
      </w:pPr>
      <w:proofErr w:type="gramStart"/>
      <w:r w:rsidRPr="00AC313F">
        <w:rPr>
          <w:rFonts w:ascii="ITC Avant Garde" w:hAnsi="ITC Avant Garde" w:cs="Arial"/>
          <w:b/>
          <w:sz w:val="20"/>
          <w:szCs w:val="20"/>
        </w:rPr>
        <w:t>PRIMERO</w:t>
      </w:r>
      <w:r w:rsidR="00B26E90" w:rsidRPr="00AC313F">
        <w:rPr>
          <w:rFonts w:ascii="ITC Avant Garde" w:hAnsi="ITC Avant Garde" w:cs="Arial"/>
          <w:b/>
          <w:sz w:val="20"/>
          <w:szCs w:val="20"/>
        </w:rPr>
        <w:t>.-</w:t>
      </w:r>
      <w:proofErr w:type="gramEnd"/>
      <w:r w:rsidR="00B26E90" w:rsidRPr="00AC313F">
        <w:rPr>
          <w:rFonts w:ascii="ITC Avant Garde" w:hAnsi="ITC Avant Garde" w:cs="Arial"/>
          <w:sz w:val="20"/>
          <w:szCs w:val="20"/>
        </w:rPr>
        <w:t xml:space="preserve"> </w:t>
      </w:r>
      <w:r w:rsidR="003E7BED" w:rsidRPr="00AC313F">
        <w:rPr>
          <w:rFonts w:ascii="ITC Avant Garde" w:hAnsi="ITC Avant Garde" w:cs="Arial"/>
          <w:sz w:val="20"/>
          <w:szCs w:val="20"/>
        </w:rPr>
        <w:t xml:space="preserve">Se </w:t>
      </w:r>
      <w:r w:rsidR="00285FD3" w:rsidRPr="00AC313F">
        <w:rPr>
          <w:rFonts w:ascii="ITC Avant Garde" w:hAnsi="ITC Avant Garde" w:cs="Arial"/>
          <w:sz w:val="20"/>
          <w:szCs w:val="20"/>
        </w:rPr>
        <w:t xml:space="preserve">aprueba </w:t>
      </w:r>
      <w:r w:rsidR="001C0ACA" w:rsidRPr="00AC313F">
        <w:rPr>
          <w:rFonts w:ascii="ITC Avant Garde" w:hAnsi="ITC Avant Garde" w:cs="Arial"/>
          <w:sz w:val="20"/>
          <w:szCs w:val="20"/>
        </w:rPr>
        <w:t xml:space="preserve">el </w:t>
      </w:r>
      <w:bookmarkStart w:id="1" w:name="OLE_LINK5"/>
      <w:bookmarkStart w:id="2" w:name="OLE_LINK6"/>
      <w:r w:rsidR="00BC2381" w:rsidRPr="00AC313F">
        <w:rPr>
          <w:rFonts w:ascii="ITC Avant Garde" w:hAnsi="ITC Avant Garde" w:cs="Arial"/>
          <w:sz w:val="20"/>
          <w:szCs w:val="20"/>
        </w:rPr>
        <w:t>Programa A</w:t>
      </w:r>
      <w:r w:rsidR="00052F8D" w:rsidRPr="00AC313F">
        <w:rPr>
          <w:rFonts w:ascii="ITC Avant Garde" w:hAnsi="ITC Avant Garde" w:cs="Arial"/>
          <w:sz w:val="20"/>
          <w:szCs w:val="20"/>
        </w:rPr>
        <w:t>nual</w:t>
      </w:r>
      <w:r w:rsidR="001C0ACA" w:rsidRPr="00AC313F" w:rsidDel="00D279A6">
        <w:rPr>
          <w:rFonts w:ascii="ITC Avant Garde" w:hAnsi="ITC Avant Garde" w:cs="Arial"/>
          <w:sz w:val="20"/>
          <w:szCs w:val="20"/>
        </w:rPr>
        <w:t xml:space="preserve"> de </w:t>
      </w:r>
      <w:r w:rsidR="00BC2381" w:rsidRPr="00AC313F">
        <w:rPr>
          <w:rFonts w:ascii="ITC Avant Garde" w:hAnsi="ITC Avant Garde" w:cs="Arial"/>
          <w:sz w:val="20"/>
          <w:szCs w:val="20"/>
        </w:rPr>
        <w:t>Actividades del Centro de Estudios</w:t>
      </w:r>
      <w:r w:rsidR="00447FB4" w:rsidRPr="00AC313F">
        <w:rPr>
          <w:rFonts w:ascii="ITC Avant Garde" w:hAnsi="ITC Avant Garde" w:cs="Arial"/>
          <w:sz w:val="20"/>
          <w:szCs w:val="20"/>
        </w:rPr>
        <w:t xml:space="preserve"> </w:t>
      </w:r>
      <w:r w:rsidR="001C0ACA" w:rsidRPr="00AC313F">
        <w:rPr>
          <w:rFonts w:ascii="ITC Avant Garde" w:hAnsi="ITC Avant Garde" w:cs="Arial"/>
          <w:sz w:val="20"/>
          <w:szCs w:val="20"/>
        </w:rPr>
        <w:t xml:space="preserve">del </w:t>
      </w:r>
      <w:bookmarkStart w:id="3" w:name="OLE_LINK7"/>
      <w:bookmarkStart w:id="4" w:name="OLE_LINK8"/>
      <w:r w:rsidR="001C0ACA" w:rsidRPr="00AC313F">
        <w:rPr>
          <w:rFonts w:ascii="ITC Avant Garde" w:hAnsi="ITC Avant Garde" w:cs="Arial"/>
          <w:sz w:val="20"/>
          <w:szCs w:val="20"/>
        </w:rPr>
        <w:t xml:space="preserve">Instituto </w:t>
      </w:r>
      <w:r w:rsidR="00166C78" w:rsidRPr="00AC313F">
        <w:rPr>
          <w:rFonts w:ascii="ITC Avant Garde" w:hAnsi="ITC Avant Garde" w:cs="Arial"/>
          <w:sz w:val="20"/>
          <w:szCs w:val="20"/>
        </w:rPr>
        <w:t xml:space="preserve">Federal de Telecomunicaciones </w:t>
      </w:r>
      <w:bookmarkEnd w:id="3"/>
      <w:bookmarkEnd w:id="4"/>
      <w:r w:rsidR="001C0ACA" w:rsidRPr="00AC313F">
        <w:rPr>
          <w:rFonts w:ascii="ITC Avant Garde" w:hAnsi="ITC Avant Garde" w:cs="Arial"/>
          <w:sz w:val="20"/>
          <w:szCs w:val="20"/>
        </w:rPr>
        <w:t>correspondiente</w:t>
      </w:r>
      <w:r w:rsidR="001C0ACA" w:rsidRPr="00AC313F" w:rsidDel="003F6987">
        <w:rPr>
          <w:rFonts w:ascii="ITC Avant Garde" w:hAnsi="ITC Avant Garde" w:cs="Arial"/>
          <w:sz w:val="20"/>
          <w:szCs w:val="20"/>
        </w:rPr>
        <w:t xml:space="preserve"> al </w:t>
      </w:r>
      <w:r w:rsidR="00052F8D" w:rsidRPr="00AC313F">
        <w:rPr>
          <w:rFonts w:ascii="ITC Avant Garde" w:hAnsi="ITC Avant Garde" w:cs="Arial"/>
          <w:sz w:val="20"/>
          <w:szCs w:val="20"/>
        </w:rPr>
        <w:t>año 201</w:t>
      </w:r>
      <w:bookmarkEnd w:id="1"/>
      <w:bookmarkEnd w:id="2"/>
      <w:r w:rsidR="00DF4A63" w:rsidRPr="00AC313F">
        <w:rPr>
          <w:rFonts w:ascii="ITC Avant Garde" w:hAnsi="ITC Avant Garde" w:cs="Arial"/>
          <w:sz w:val="20"/>
          <w:szCs w:val="20"/>
        </w:rPr>
        <w:t>8</w:t>
      </w:r>
      <w:r w:rsidR="003E7BED" w:rsidRPr="00AC313F">
        <w:rPr>
          <w:rFonts w:ascii="ITC Avant Garde" w:hAnsi="ITC Avant Garde"/>
          <w:bCs/>
          <w:color w:val="000000"/>
          <w:sz w:val="20"/>
          <w:szCs w:val="20"/>
        </w:rPr>
        <w:t xml:space="preserve">, el cual se </w:t>
      </w:r>
      <w:r w:rsidR="00BC2381" w:rsidRPr="00AC313F">
        <w:rPr>
          <w:rFonts w:ascii="ITC Avant Garde" w:hAnsi="ITC Avant Garde"/>
          <w:bCs/>
          <w:color w:val="000000"/>
          <w:sz w:val="20"/>
          <w:szCs w:val="20"/>
        </w:rPr>
        <w:t>adjunta como Anexo</w:t>
      </w:r>
      <w:r w:rsidR="003E7BED" w:rsidRPr="00AC313F">
        <w:rPr>
          <w:rFonts w:ascii="ITC Avant Garde" w:hAnsi="ITC Avant Garde"/>
          <w:bCs/>
          <w:color w:val="000000"/>
          <w:sz w:val="20"/>
          <w:szCs w:val="20"/>
        </w:rPr>
        <w:t>.</w:t>
      </w:r>
    </w:p>
    <w:p w14:paraId="4D4F6A65" w14:textId="77777777" w:rsidR="006E7653" w:rsidRDefault="00E926FA" w:rsidP="006E7653">
      <w:pPr>
        <w:pStyle w:val="estilo30"/>
        <w:spacing w:before="240" w:beforeAutospacing="0" w:after="240" w:afterAutospacing="0"/>
        <w:jc w:val="both"/>
        <w:rPr>
          <w:rFonts w:ascii="ITC Avant Garde" w:hAnsi="ITC Avant Garde"/>
          <w:b/>
          <w:bCs/>
          <w:color w:val="000000"/>
          <w:sz w:val="20"/>
          <w:szCs w:val="20"/>
        </w:rPr>
      </w:pPr>
      <w:proofErr w:type="gramStart"/>
      <w:r w:rsidRPr="00AC313F">
        <w:rPr>
          <w:rFonts w:ascii="ITC Avant Garde" w:hAnsi="ITC Avant Garde"/>
          <w:b/>
          <w:bCs/>
          <w:color w:val="000000"/>
          <w:sz w:val="20"/>
          <w:szCs w:val="20"/>
        </w:rPr>
        <w:t>SEGUNDO.-</w:t>
      </w:r>
      <w:proofErr w:type="gramEnd"/>
      <w:r w:rsidRPr="00AC313F">
        <w:rPr>
          <w:rFonts w:ascii="ITC Avant Garde" w:hAnsi="ITC Avant Garde"/>
          <w:bCs/>
          <w:color w:val="000000"/>
          <w:sz w:val="20"/>
          <w:szCs w:val="20"/>
        </w:rPr>
        <w:t xml:space="preserve"> Se instruye a</w:t>
      </w:r>
      <w:r w:rsidR="007A7A44" w:rsidRPr="00AC313F">
        <w:rPr>
          <w:rFonts w:ascii="ITC Avant Garde" w:hAnsi="ITC Avant Garde"/>
          <w:bCs/>
          <w:color w:val="000000"/>
          <w:sz w:val="20"/>
          <w:szCs w:val="20"/>
        </w:rPr>
        <w:t xml:space="preserve">l Centro de Estudios </w:t>
      </w:r>
      <w:r w:rsidR="00962479" w:rsidRPr="00AC313F">
        <w:rPr>
          <w:rFonts w:ascii="ITC Avant Garde" w:hAnsi="ITC Avant Garde"/>
          <w:bCs/>
          <w:color w:val="000000"/>
          <w:sz w:val="20"/>
          <w:szCs w:val="20"/>
        </w:rPr>
        <w:t xml:space="preserve">llevar a cabo </w:t>
      </w:r>
      <w:r w:rsidR="007A7A44" w:rsidRPr="00AC313F">
        <w:rPr>
          <w:rFonts w:ascii="ITC Avant Garde" w:hAnsi="ITC Avant Garde"/>
          <w:bCs/>
          <w:color w:val="000000"/>
          <w:sz w:val="20"/>
          <w:szCs w:val="20"/>
        </w:rPr>
        <w:t>la publicación de su</w:t>
      </w:r>
      <w:r w:rsidR="00BC2381" w:rsidRPr="00AC313F">
        <w:rPr>
          <w:rFonts w:ascii="ITC Avant Garde" w:hAnsi="ITC Avant Garde"/>
          <w:bCs/>
          <w:color w:val="000000"/>
          <w:sz w:val="20"/>
          <w:szCs w:val="20"/>
        </w:rPr>
        <w:t xml:space="preserve"> Programa Anual de Actividades </w:t>
      </w:r>
      <w:r w:rsidR="00D96B97" w:rsidRPr="00AC313F">
        <w:rPr>
          <w:rFonts w:ascii="ITC Avant Garde" w:hAnsi="ITC Avant Garde"/>
          <w:bCs/>
          <w:color w:val="000000"/>
          <w:sz w:val="20"/>
          <w:szCs w:val="20"/>
        </w:rPr>
        <w:t>correspondiente al año 201</w:t>
      </w:r>
      <w:r w:rsidR="00DF4A63" w:rsidRPr="00AC313F">
        <w:rPr>
          <w:rFonts w:ascii="ITC Avant Garde" w:hAnsi="ITC Avant Garde"/>
          <w:bCs/>
          <w:color w:val="000000"/>
          <w:sz w:val="20"/>
          <w:szCs w:val="20"/>
        </w:rPr>
        <w:t>8</w:t>
      </w:r>
      <w:r w:rsidRPr="00AC313F">
        <w:rPr>
          <w:rFonts w:ascii="ITC Avant Garde" w:hAnsi="ITC Avant Garde"/>
          <w:bCs/>
          <w:color w:val="000000"/>
          <w:sz w:val="20"/>
          <w:szCs w:val="20"/>
        </w:rPr>
        <w:t xml:space="preserve"> en el portal de </w:t>
      </w:r>
      <w:r w:rsidR="00EC59D8" w:rsidRPr="00AC313F">
        <w:rPr>
          <w:rFonts w:ascii="ITC Avant Garde" w:hAnsi="ITC Avant Garde"/>
          <w:bCs/>
          <w:color w:val="000000"/>
          <w:sz w:val="20"/>
          <w:szCs w:val="20"/>
        </w:rPr>
        <w:t>I</w:t>
      </w:r>
      <w:r w:rsidRPr="00AC313F">
        <w:rPr>
          <w:rFonts w:ascii="ITC Avant Garde" w:hAnsi="ITC Avant Garde"/>
          <w:bCs/>
          <w:color w:val="000000"/>
          <w:sz w:val="20"/>
          <w:szCs w:val="20"/>
        </w:rPr>
        <w:t xml:space="preserve">nternet del </w:t>
      </w:r>
      <w:r w:rsidR="00A50B61" w:rsidRPr="00AC313F">
        <w:rPr>
          <w:rFonts w:ascii="ITC Avant Garde" w:hAnsi="ITC Avant Garde"/>
          <w:bCs/>
          <w:color w:val="000000"/>
          <w:sz w:val="20"/>
          <w:szCs w:val="20"/>
        </w:rPr>
        <w:t xml:space="preserve">IFT </w:t>
      </w:r>
      <w:r w:rsidR="00D4052B" w:rsidRPr="00AC313F">
        <w:rPr>
          <w:rFonts w:ascii="ITC Avant Garde" w:hAnsi="ITC Avant Garde"/>
          <w:bCs/>
          <w:color w:val="000000"/>
          <w:sz w:val="20"/>
          <w:szCs w:val="20"/>
        </w:rPr>
        <w:t>www.ift.org.mx</w:t>
      </w:r>
      <w:r w:rsidRPr="00AC313F">
        <w:rPr>
          <w:rFonts w:ascii="ITC Avant Garde" w:hAnsi="ITC Avant Garde"/>
          <w:bCs/>
          <w:color w:val="000000"/>
          <w:sz w:val="20"/>
          <w:szCs w:val="20"/>
        </w:rPr>
        <w:t>.</w:t>
      </w:r>
      <w:r w:rsidR="00263B6E" w:rsidRPr="002C0E5E">
        <w:rPr>
          <w:rFonts w:ascii="ITC Avant Garde" w:hAnsi="ITC Avant Garde"/>
          <w:b/>
          <w:bCs/>
          <w:color w:val="000000"/>
          <w:sz w:val="20"/>
          <w:szCs w:val="20"/>
        </w:rPr>
        <w:t xml:space="preserve"> </w:t>
      </w:r>
    </w:p>
    <w:p w14:paraId="289239A0" w14:textId="77777777" w:rsidR="006E7653" w:rsidRDefault="002C0E5E" w:rsidP="006E7653">
      <w:pPr>
        <w:spacing w:before="240" w:after="240"/>
        <w:ind w:right="49"/>
        <w:jc w:val="both"/>
        <w:rPr>
          <w:rFonts w:ascii="ITC Avant Garde" w:eastAsia="Calibri" w:hAnsi="ITC Avant Garde" w:cs="Calibri"/>
          <w:sz w:val="14"/>
          <w:szCs w:val="14"/>
          <w:lang w:eastAsia="en-US"/>
        </w:rPr>
        <w:sectPr w:rsidR="006E7653" w:rsidSect="00AC313F">
          <w:footerReference w:type="even" r:id="rId11"/>
          <w:footerReference w:type="default" r:id="rId12"/>
          <w:pgSz w:w="12240" w:h="15840" w:code="1"/>
          <w:pgMar w:top="1985" w:right="1418" w:bottom="1418" w:left="1418" w:header="720" w:footer="987" w:gutter="0"/>
          <w:pgNumType w:start="1"/>
          <w:cols w:space="720"/>
          <w:docGrid w:linePitch="326"/>
        </w:sectPr>
      </w:pPr>
      <w:r w:rsidRPr="002C0E5E">
        <w:rPr>
          <w:rFonts w:ascii="ITC Avant Garde" w:eastAsia="Calibri" w:hAnsi="ITC Avant Garde" w:cs="Calibri"/>
          <w:sz w:val="14"/>
          <w:szCs w:val="14"/>
          <w:lang w:eastAsia="en-US"/>
        </w:rPr>
        <w:t xml:space="preserve">El presente Acuerdo fue aprobado por el Pleno del Instituto Federal de Telecomunicaciones en su VI Sesión Ordinaria celebrada el 21 de febrero de 2018, </w:t>
      </w:r>
      <w:r w:rsidRPr="002C0E5E">
        <w:rPr>
          <w:rFonts w:ascii="ITC Avant Garde" w:eastAsia="Calibri" w:hAnsi="ITC Avant Garde" w:cs="Calibri"/>
          <w:bCs/>
          <w:sz w:val="14"/>
          <w:szCs w:val="14"/>
          <w:lang w:eastAsia="en-US"/>
        </w:rPr>
        <w:t>por</w:t>
      </w:r>
      <w:r w:rsidRPr="002C0E5E">
        <w:rPr>
          <w:rFonts w:ascii="ITC Avant Garde" w:eastAsia="Calibri" w:hAnsi="ITC Avant Garde" w:cs="Calibri"/>
          <w:sz w:val="14"/>
          <w:szCs w:val="14"/>
          <w:lang w:eastAsia="en-US"/>
        </w:rPr>
        <w:t xml:space="preserve"> </w:t>
      </w:r>
      <w:r w:rsidRPr="002C0E5E">
        <w:rPr>
          <w:rFonts w:ascii="ITC Avant Garde" w:eastAsia="Calibri" w:hAnsi="ITC Avant Garde" w:cs="Calibri"/>
          <w:bCs/>
          <w:sz w:val="14"/>
          <w:szCs w:val="14"/>
          <w:lang w:eastAsia="en-US"/>
        </w:rPr>
        <w:t>unanimidad</w:t>
      </w:r>
      <w:r w:rsidRPr="002C0E5E">
        <w:rPr>
          <w:rFonts w:ascii="ITC Avant Garde" w:eastAsia="Calibri" w:hAnsi="ITC Avant Garde" w:cs="Calibri"/>
          <w:sz w:val="14"/>
          <w:szCs w:val="14"/>
          <w:lang w:eastAsia="en-US"/>
        </w:rPr>
        <w:t xml:space="preserve"> de votos de los Comisionados Gabriel Oswaldo Contreras Saldívar, Adriana Sofía Labardini </w:t>
      </w:r>
      <w:proofErr w:type="spellStart"/>
      <w:r w:rsidRPr="002C0E5E">
        <w:rPr>
          <w:rFonts w:ascii="ITC Avant Garde" w:eastAsia="Calibri" w:hAnsi="ITC Avant Garde" w:cs="Calibri"/>
          <w:sz w:val="14"/>
          <w:szCs w:val="14"/>
          <w:lang w:eastAsia="en-US"/>
        </w:rPr>
        <w:t>Inzunza</w:t>
      </w:r>
      <w:proofErr w:type="spellEnd"/>
      <w:r w:rsidRPr="002C0E5E">
        <w:rPr>
          <w:rFonts w:ascii="ITC Avant Garde" w:eastAsia="Calibri" w:hAnsi="ITC Avant Garde" w:cs="Calibri"/>
          <w:sz w:val="14"/>
          <w:szCs w:val="14"/>
          <w:lang w:eastAsia="en-US"/>
        </w:rPr>
        <w:t xml:space="preserve">, María Elena </w:t>
      </w:r>
      <w:proofErr w:type="spellStart"/>
      <w:r w:rsidRPr="002C0E5E">
        <w:rPr>
          <w:rFonts w:ascii="ITC Avant Garde" w:eastAsia="Calibri" w:hAnsi="ITC Avant Garde" w:cs="Calibri"/>
          <w:sz w:val="14"/>
          <w:szCs w:val="14"/>
          <w:lang w:eastAsia="en-US"/>
        </w:rPr>
        <w:t>Estavillo</w:t>
      </w:r>
      <w:proofErr w:type="spellEnd"/>
      <w:r w:rsidRPr="002C0E5E">
        <w:rPr>
          <w:rFonts w:ascii="ITC Avant Garde" w:eastAsia="Calibri" w:hAnsi="ITC Avant Garde" w:cs="Calibri"/>
          <w:sz w:val="14"/>
          <w:szCs w:val="14"/>
          <w:lang w:eastAsia="en-US"/>
        </w:rPr>
        <w:t xml:space="preserve"> Flores, Mario Germán </w:t>
      </w:r>
      <w:proofErr w:type="spellStart"/>
      <w:r w:rsidRPr="002C0E5E">
        <w:rPr>
          <w:rFonts w:ascii="ITC Avant Garde" w:eastAsia="Calibri" w:hAnsi="ITC Avant Garde" w:cs="Calibri"/>
          <w:sz w:val="14"/>
          <w:szCs w:val="14"/>
          <w:lang w:eastAsia="en-US"/>
        </w:rPr>
        <w:t>Fromow</w:t>
      </w:r>
      <w:proofErr w:type="spellEnd"/>
      <w:r w:rsidRPr="002C0E5E">
        <w:rPr>
          <w:rFonts w:ascii="ITC Avant Garde" w:eastAsia="Calibri" w:hAnsi="ITC Avant Garde" w:cs="Calibri"/>
          <w:sz w:val="14"/>
          <w:szCs w:val="14"/>
          <w:lang w:eastAsia="en-US"/>
        </w:rPr>
        <w:t xml:space="preserve">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P/IFT/210218/120.</w:t>
      </w:r>
    </w:p>
    <w:p w14:paraId="6BC20C80" w14:textId="77777777" w:rsidR="0014509F" w:rsidRDefault="0014509F" w:rsidP="0014509F">
      <w:pPr>
        <w:keepNext/>
        <w:keepLines/>
        <w:spacing w:after="100" w:afterAutospacing="1"/>
        <w:jc w:val="center"/>
        <w:rPr>
          <w:rFonts w:asciiTheme="majorHAnsi" w:eastAsia="Avant Garde" w:hAnsiTheme="majorHAnsi" w:cs="Avant Garde"/>
          <w:b/>
          <w:color w:val="595959" w:themeColor="text1" w:themeTint="A6"/>
          <w:sz w:val="28"/>
          <w:szCs w:val="28"/>
        </w:rPr>
      </w:pPr>
      <w:bookmarkStart w:id="5" w:name="_Toc464818093"/>
      <w:bookmarkStart w:id="6" w:name="_Toc466921059"/>
      <w:bookmarkStart w:id="7" w:name="_Toc466921124"/>
      <w:bookmarkStart w:id="8" w:name="_Toc467004628"/>
      <w:bookmarkStart w:id="9" w:name="_Toc467007996"/>
      <w:bookmarkStart w:id="10" w:name="_Toc467008321"/>
      <w:bookmarkStart w:id="11" w:name="_Toc467061116"/>
      <w:bookmarkStart w:id="12" w:name="_Toc467067862"/>
      <w:bookmarkStart w:id="13" w:name="_Toc467165456"/>
      <w:bookmarkStart w:id="14" w:name="_Toc467173411"/>
      <w:bookmarkStart w:id="15" w:name="_Toc467173713"/>
      <w:bookmarkStart w:id="16" w:name="_Toc436047290"/>
      <w:bookmarkStart w:id="17" w:name="_Toc436047807"/>
      <w:bookmarkStart w:id="18" w:name="_Toc436047947"/>
      <w:bookmarkStart w:id="19" w:name="_Toc436049810"/>
      <w:bookmarkStart w:id="20" w:name="_Toc436049927"/>
      <w:bookmarkStart w:id="21" w:name="_Toc436050107"/>
      <w:bookmarkStart w:id="22" w:name="_Toc436155460"/>
      <w:bookmarkStart w:id="23" w:name="_Toc436156396"/>
      <w:bookmarkStart w:id="24" w:name="_Toc436156671"/>
      <w:bookmarkStart w:id="25" w:name="_Toc436161925"/>
      <w:bookmarkStart w:id="26" w:name="_Toc436164124"/>
      <w:bookmarkStart w:id="27" w:name="_Toc436166613"/>
      <w:bookmarkStart w:id="28" w:name="_Toc436167454"/>
      <w:bookmarkStart w:id="29" w:name="_Toc436167662"/>
      <w:bookmarkStart w:id="30" w:name="_Toc436239501"/>
      <w:bookmarkStart w:id="31" w:name="_Toc436931129"/>
      <w:bookmarkStart w:id="32" w:name="_Toc436940235"/>
      <w:bookmarkStart w:id="33" w:name="_Toc436941608"/>
      <w:bookmarkStart w:id="34" w:name="_Toc436941696"/>
      <w:bookmarkStart w:id="35" w:name="_Toc437285585"/>
      <w:r w:rsidRPr="003539C6">
        <w:rPr>
          <w:b/>
          <w:noProof/>
          <w:lang w:eastAsia="es-MX"/>
        </w:rPr>
        <w:lastRenderedPageBreak/>
        <w:drawing>
          <wp:inline distT="0" distB="0" distL="0" distR="0" wp14:anchorId="4F28B9A5" wp14:editId="6866CDA6">
            <wp:extent cx="5970905" cy="8229600"/>
            <wp:effectExtent l="0" t="0" r="0" b="0"/>
            <wp:docPr id="10" name="Imagen 10" descr="cid:845AC86A-AA90-4479-9EFB-504613524878@ift.org.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A79F04-DE3B-4233-9475-D3A9A86B3022" descr="cid:845AC86A-AA90-4479-9EFB-504613524878@ift.org.mx"/>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970905" cy="8229600"/>
                    </a:xfrm>
                    <a:prstGeom prst="rect">
                      <a:avLst/>
                    </a:prstGeom>
                    <a:noFill/>
                    <a:ln>
                      <a:noFill/>
                    </a:ln>
                  </pic:spPr>
                </pic:pic>
              </a:graphicData>
            </a:graphic>
          </wp:inline>
        </w:drawing>
      </w:r>
    </w:p>
    <w:p w14:paraId="0E667979" w14:textId="77777777" w:rsidR="0014509F" w:rsidRPr="008156F1" w:rsidRDefault="0014509F" w:rsidP="008156F1">
      <w:pPr>
        <w:keepNext/>
        <w:keepLines/>
        <w:spacing w:after="100" w:afterAutospacing="1" w:line="360" w:lineRule="auto"/>
        <w:ind w:firstLine="709"/>
        <w:jc w:val="center"/>
        <w:rPr>
          <w:rFonts w:asciiTheme="majorHAnsi" w:eastAsiaTheme="minorHAnsi" w:hAnsiTheme="majorHAnsi" w:cstheme="minorBidi"/>
          <w:b/>
          <w:smallCaps/>
          <w:color w:val="0070C0"/>
          <w:sz w:val="32"/>
          <w:szCs w:val="32"/>
          <w:lang w:val="es-MX" w:eastAsia="en-US"/>
        </w:rPr>
      </w:pPr>
      <w:r w:rsidRPr="008156F1">
        <w:rPr>
          <w:rFonts w:asciiTheme="majorHAnsi" w:eastAsiaTheme="minorHAnsi" w:hAnsiTheme="majorHAnsi" w:cstheme="minorBidi"/>
          <w:b/>
          <w:smallCaps/>
          <w:color w:val="0070C0"/>
          <w:sz w:val="32"/>
          <w:szCs w:val="32"/>
          <w:lang w:val="es-MX" w:eastAsia="en-US"/>
        </w:rPr>
        <w:lastRenderedPageBreak/>
        <w:t>Índice</w:t>
      </w:r>
    </w:p>
    <w:p w14:paraId="0C4ECAE3" w14:textId="77777777" w:rsidR="0014509F" w:rsidRPr="00A170A9" w:rsidRDefault="0014509F" w:rsidP="00A170A9">
      <w:pPr>
        <w:keepNext/>
        <w:keepLines/>
        <w:spacing w:after="100" w:afterAutospacing="1" w:line="360" w:lineRule="auto"/>
        <w:ind w:firstLine="709"/>
        <w:jc w:val="both"/>
        <w:rPr>
          <w:rFonts w:asciiTheme="majorHAnsi" w:eastAsiaTheme="minorHAnsi" w:hAnsiTheme="majorHAnsi" w:cstheme="minorBidi"/>
          <w:b/>
          <w:smallCaps/>
          <w:color w:val="0070C0"/>
          <w:sz w:val="28"/>
          <w:szCs w:val="28"/>
          <w:lang w:val="es-MX" w:eastAsia="en-US"/>
        </w:rPr>
      </w:pPr>
      <w:r w:rsidRPr="00A170A9">
        <w:rPr>
          <w:rFonts w:asciiTheme="majorHAnsi" w:eastAsiaTheme="minorHAnsi" w:hAnsiTheme="majorHAnsi" w:cstheme="minorBidi"/>
          <w:b/>
          <w:smallCaps/>
          <w:color w:val="0070C0"/>
          <w:sz w:val="28"/>
          <w:szCs w:val="28"/>
          <w:lang w:val="es-MX" w:eastAsia="en-US"/>
        </w:rPr>
        <w:t>Introducción</w:t>
      </w:r>
    </w:p>
    <w:p w14:paraId="45CA1538" w14:textId="5A78E36A" w:rsidR="0014509F" w:rsidRPr="00A170A9" w:rsidRDefault="0014509F" w:rsidP="00984ED1">
      <w:pPr>
        <w:pStyle w:val="Prrafodelista"/>
        <w:keepNext/>
        <w:keepLines/>
        <w:numPr>
          <w:ilvl w:val="0"/>
          <w:numId w:val="8"/>
        </w:numPr>
        <w:spacing w:after="100" w:afterAutospacing="1" w:line="360" w:lineRule="auto"/>
        <w:jc w:val="both"/>
        <w:rPr>
          <w:rFonts w:asciiTheme="majorHAnsi" w:eastAsiaTheme="minorHAnsi" w:hAnsiTheme="majorHAnsi" w:cstheme="minorBidi"/>
          <w:b/>
          <w:smallCaps/>
          <w:color w:val="0070C0"/>
          <w:sz w:val="28"/>
          <w:szCs w:val="28"/>
        </w:rPr>
      </w:pPr>
      <w:r w:rsidRPr="00A170A9">
        <w:rPr>
          <w:rFonts w:asciiTheme="majorHAnsi" w:eastAsiaTheme="minorHAnsi" w:hAnsiTheme="majorHAnsi" w:cstheme="minorBidi"/>
          <w:b/>
          <w:smallCaps/>
          <w:color w:val="0070C0"/>
          <w:sz w:val="28"/>
          <w:szCs w:val="28"/>
        </w:rPr>
        <w:t>Actividades Programadas para 2018</w:t>
      </w:r>
    </w:p>
    <w:p w14:paraId="749CEC5E" w14:textId="3B826FB9" w:rsidR="0014509F" w:rsidRPr="00A170A9" w:rsidRDefault="00A170A9" w:rsidP="00A170A9">
      <w:pPr>
        <w:autoSpaceDE w:val="0"/>
        <w:autoSpaceDN w:val="0"/>
        <w:adjustRightInd w:val="0"/>
        <w:spacing w:before="240" w:after="240"/>
        <w:jc w:val="both"/>
        <w:rPr>
          <w:rFonts w:ascii="ITC Avant Garde" w:hAnsi="ITC Avant Garde"/>
          <w:bCs/>
          <w:sz w:val="20"/>
          <w:szCs w:val="20"/>
        </w:rPr>
      </w:pPr>
      <w:r>
        <w:rPr>
          <w:rFonts w:ascii="ITC Avant Garde" w:hAnsi="ITC Avant Garde"/>
          <w:bCs/>
          <w:sz w:val="20"/>
          <w:szCs w:val="20"/>
        </w:rPr>
        <w:t xml:space="preserve">1. </w:t>
      </w:r>
      <w:r w:rsidR="0014509F" w:rsidRPr="00A170A9">
        <w:rPr>
          <w:rFonts w:ascii="ITC Avant Garde" w:hAnsi="ITC Avant Garde"/>
          <w:bCs/>
          <w:sz w:val="20"/>
          <w:szCs w:val="20"/>
        </w:rPr>
        <w:t xml:space="preserve">Labores Continuas del Centro de Estudios </w:t>
      </w:r>
    </w:p>
    <w:p w14:paraId="4324C8FC" w14:textId="77777777" w:rsidR="0014509F" w:rsidRPr="00A170A9" w:rsidRDefault="0014509F" w:rsidP="00A170A9">
      <w:pPr>
        <w:autoSpaceDE w:val="0"/>
        <w:autoSpaceDN w:val="0"/>
        <w:adjustRightInd w:val="0"/>
        <w:spacing w:before="240" w:after="240"/>
        <w:ind w:left="426"/>
        <w:jc w:val="both"/>
        <w:rPr>
          <w:rFonts w:ascii="ITC Avant Garde" w:hAnsi="ITC Avant Garde"/>
          <w:bCs/>
          <w:sz w:val="20"/>
          <w:szCs w:val="20"/>
        </w:rPr>
      </w:pPr>
      <w:r w:rsidRPr="00A170A9">
        <w:rPr>
          <w:rFonts w:ascii="ITC Avant Garde" w:hAnsi="ITC Avant Garde"/>
          <w:bCs/>
          <w:sz w:val="20"/>
          <w:szCs w:val="20"/>
        </w:rPr>
        <w:t>1.1 Estudios, Análisis e Investigaciones sobre Temas Específicos 2018</w:t>
      </w:r>
    </w:p>
    <w:p w14:paraId="753F48AE" w14:textId="77777777" w:rsidR="0014509F" w:rsidRPr="00A170A9" w:rsidRDefault="0014509F" w:rsidP="00A170A9">
      <w:pPr>
        <w:autoSpaceDE w:val="0"/>
        <w:autoSpaceDN w:val="0"/>
        <w:adjustRightInd w:val="0"/>
        <w:spacing w:before="240" w:after="240"/>
        <w:ind w:left="426"/>
        <w:jc w:val="both"/>
        <w:rPr>
          <w:rFonts w:ascii="ITC Avant Garde" w:hAnsi="ITC Avant Garde"/>
          <w:bCs/>
          <w:sz w:val="20"/>
          <w:szCs w:val="20"/>
        </w:rPr>
      </w:pPr>
      <w:r w:rsidRPr="00A170A9">
        <w:rPr>
          <w:rFonts w:ascii="ITC Avant Garde" w:hAnsi="ITC Avant Garde"/>
          <w:bCs/>
          <w:sz w:val="20"/>
          <w:szCs w:val="20"/>
        </w:rPr>
        <w:t>1.2 Otros Estudios Continuos</w:t>
      </w:r>
    </w:p>
    <w:p w14:paraId="17D432F3" w14:textId="77777777" w:rsidR="0014509F" w:rsidRPr="00A170A9" w:rsidRDefault="0014509F" w:rsidP="00A170A9">
      <w:pPr>
        <w:autoSpaceDE w:val="0"/>
        <w:autoSpaceDN w:val="0"/>
        <w:adjustRightInd w:val="0"/>
        <w:spacing w:before="240" w:after="240"/>
        <w:ind w:left="1134"/>
        <w:jc w:val="both"/>
        <w:rPr>
          <w:rFonts w:ascii="ITC Avant Garde" w:hAnsi="ITC Avant Garde"/>
          <w:bCs/>
          <w:sz w:val="20"/>
          <w:szCs w:val="20"/>
        </w:rPr>
      </w:pPr>
      <w:r w:rsidRPr="00A170A9">
        <w:rPr>
          <w:rFonts w:ascii="ITC Avant Garde" w:hAnsi="ITC Avant Garde"/>
          <w:bCs/>
          <w:sz w:val="20"/>
          <w:szCs w:val="20"/>
        </w:rPr>
        <w:t xml:space="preserve">Comparación de Indicadores Internacionales y Nacionales Relevantes </w:t>
      </w:r>
    </w:p>
    <w:p w14:paraId="42B351F2" w14:textId="77777777" w:rsidR="0014509F" w:rsidRPr="00A170A9" w:rsidRDefault="0014509F" w:rsidP="00A170A9">
      <w:pPr>
        <w:autoSpaceDE w:val="0"/>
        <w:autoSpaceDN w:val="0"/>
        <w:adjustRightInd w:val="0"/>
        <w:spacing w:before="240" w:after="240"/>
        <w:ind w:left="1134"/>
        <w:jc w:val="both"/>
        <w:rPr>
          <w:rFonts w:ascii="ITC Avant Garde" w:hAnsi="ITC Avant Garde"/>
          <w:bCs/>
          <w:sz w:val="20"/>
          <w:szCs w:val="20"/>
        </w:rPr>
      </w:pPr>
      <w:r w:rsidRPr="00A170A9">
        <w:rPr>
          <w:rFonts w:ascii="ITC Avant Garde" w:hAnsi="ITC Avant Garde"/>
          <w:bCs/>
          <w:sz w:val="20"/>
          <w:szCs w:val="20"/>
        </w:rPr>
        <w:t>Proyecciones de los Principales Indicadores Sectoriales</w:t>
      </w:r>
    </w:p>
    <w:p w14:paraId="745B7732" w14:textId="77777777" w:rsidR="0014509F" w:rsidRPr="00A170A9" w:rsidRDefault="0014509F" w:rsidP="00A170A9">
      <w:pPr>
        <w:autoSpaceDE w:val="0"/>
        <w:autoSpaceDN w:val="0"/>
        <w:adjustRightInd w:val="0"/>
        <w:spacing w:before="240" w:after="240"/>
        <w:ind w:left="426"/>
        <w:jc w:val="both"/>
        <w:rPr>
          <w:rFonts w:ascii="ITC Avant Garde" w:hAnsi="ITC Avant Garde"/>
          <w:bCs/>
          <w:sz w:val="20"/>
          <w:szCs w:val="20"/>
        </w:rPr>
      </w:pPr>
      <w:r w:rsidRPr="00A170A9">
        <w:rPr>
          <w:rFonts w:ascii="ITC Avant Garde" w:hAnsi="ITC Avant Garde"/>
          <w:bCs/>
          <w:sz w:val="20"/>
          <w:szCs w:val="20"/>
        </w:rPr>
        <w:t>1.3 Acervos Bibliográficos y Administración de las Bases de Datos</w:t>
      </w:r>
    </w:p>
    <w:p w14:paraId="73F8A189" w14:textId="06136C51" w:rsidR="0014509F" w:rsidRPr="00A170A9" w:rsidRDefault="00A170A9" w:rsidP="00A170A9">
      <w:pPr>
        <w:autoSpaceDE w:val="0"/>
        <w:autoSpaceDN w:val="0"/>
        <w:adjustRightInd w:val="0"/>
        <w:spacing w:before="240" w:after="240"/>
        <w:jc w:val="both"/>
        <w:rPr>
          <w:rFonts w:ascii="ITC Avant Garde" w:hAnsi="ITC Avant Garde"/>
          <w:bCs/>
          <w:sz w:val="20"/>
          <w:szCs w:val="20"/>
        </w:rPr>
      </w:pPr>
      <w:r>
        <w:rPr>
          <w:rFonts w:ascii="ITC Avant Garde" w:hAnsi="ITC Avant Garde"/>
          <w:bCs/>
          <w:sz w:val="20"/>
          <w:szCs w:val="20"/>
        </w:rPr>
        <w:t xml:space="preserve">2. </w:t>
      </w:r>
      <w:r w:rsidR="0014509F" w:rsidRPr="00A170A9">
        <w:rPr>
          <w:rFonts w:ascii="ITC Avant Garde" w:hAnsi="ITC Avant Garde"/>
          <w:bCs/>
          <w:sz w:val="20"/>
          <w:szCs w:val="20"/>
        </w:rPr>
        <w:t xml:space="preserve">Análisis, Estudios y Solicitudes de Información Recurrentes </w:t>
      </w:r>
    </w:p>
    <w:p w14:paraId="245A0606" w14:textId="28312233" w:rsidR="0014509F" w:rsidRPr="00A170A9" w:rsidRDefault="00A170A9" w:rsidP="00A170A9">
      <w:pPr>
        <w:autoSpaceDE w:val="0"/>
        <w:autoSpaceDN w:val="0"/>
        <w:adjustRightInd w:val="0"/>
        <w:spacing w:before="240" w:after="240"/>
        <w:jc w:val="both"/>
        <w:rPr>
          <w:rFonts w:ascii="ITC Avant Garde" w:hAnsi="ITC Avant Garde"/>
          <w:bCs/>
          <w:sz w:val="20"/>
          <w:szCs w:val="20"/>
        </w:rPr>
      </w:pPr>
      <w:r>
        <w:rPr>
          <w:rFonts w:ascii="ITC Avant Garde" w:hAnsi="ITC Avant Garde"/>
          <w:bCs/>
          <w:sz w:val="20"/>
          <w:szCs w:val="20"/>
        </w:rPr>
        <w:t xml:space="preserve">3. </w:t>
      </w:r>
      <w:r w:rsidR="0014509F" w:rsidRPr="00A170A9">
        <w:rPr>
          <w:rFonts w:ascii="ITC Avant Garde" w:hAnsi="ITC Avant Garde"/>
          <w:bCs/>
          <w:sz w:val="20"/>
          <w:szCs w:val="20"/>
        </w:rPr>
        <w:t xml:space="preserve">Eventos de Formación y de Vinculación </w:t>
      </w:r>
    </w:p>
    <w:p w14:paraId="2CA5D465" w14:textId="5E784716" w:rsidR="0014509F" w:rsidRPr="00A170A9" w:rsidRDefault="00A170A9" w:rsidP="00A170A9">
      <w:pPr>
        <w:autoSpaceDE w:val="0"/>
        <w:autoSpaceDN w:val="0"/>
        <w:adjustRightInd w:val="0"/>
        <w:spacing w:before="240" w:after="240"/>
        <w:ind w:left="426"/>
        <w:jc w:val="both"/>
        <w:rPr>
          <w:rFonts w:ascii="ITC Avant Garde" w:hAnsi="ITC Avant Garde"/>
          <w:bCs/>
          <w:sz w:val="20"/>
          <w:szCs w:val="20"/>
        </w:rPr>
      </w:pPr>
      <w:r>
        <w:rPr>
          <w:rFonts w:ascii="ITC Avant Garde" w:hAnsi="ITC Avant Garde"/>
          <w:bCs/>
          <w:sz w:val="20"/>
          <w:szCs w:val="20"/>
        </w:rPr>
        <w:t xml:space="preserve">3.1. </w:t>
      </w:r>
      <w:r w:rsidR="0014509F" w:rsidRPr="00A170A9">
        <w:rPr>
          <w:rFonts w:ascii="ITC Avant Garde" w:hAnsi="ITC Avant Garde"/>
          <w:bCs/>
          <w:sz w:val="20"/>
          <w:szCs w:val="20"/>
        </w:rPr>
        <w:t>Foro de Retos de Competencia en el Entorno Digital 2018</w:t>
      </w:r>
    </w:p>
    <w:p w14:paraId="70D1F3B7" w14:textId="4AFB69A3" w:rsidR="0014509F" w:rsidRPr="00A170A9" w:rsidRDefault="00A170A9" w:rsidP="00A170A9">
      <w:pPr>
        <w:autoSpaceDE w:val="0"/>
        <w:autoSpaceDN w:val="0"/>
        <w:adjustRightInd w:val="0"/>
        <w:spacing w:before="240" w:after="240"/>
        <w:ind w:left="426"/>
        <w:jc w:val="both"/>
        <w:rPr>
          <w:rFonts w:ascii="ITC Avant Garde" w:hAnsi="ITC Avant Garde"/>
          <w:bCs/>
          <w:sz w:val="20"/>
          <w:szCs w:val="20"/>
        </w:rPr>
      </w:pPr>
      <w:r>
        <w:rPr>
          <w:rFonts w:ascii="ITC Avant Garde" w:hAnsi="ITC Avant Garde"/>
          <w:bCs/>
          <w:sz w:val="20"/>
          <w:szCs w:val="20"/>
        </w:rPr>
        <w:t xml:space="preserve">3.2. </w:t>
      </w:r>
      <w:r w:rsidR="0014509F" w:rsidRPr="00A170A9">
        <w:rPr>
          <w:rFonts w:ascii="ITC Avant Garde" w:hAnsi="ITC Avant Garde"/>
          <w:bCs/>
          <w:sz w:val="20"/>
          <w:szCs w:val="20"/>
        </w:rPr>
        <w:t xml:space="preserve">Colaboración con Entidades Académicas y Afines </w:t>
      </w:r>
    </w:p>
    <w:p w14:paraId="417FA931" w14:textId="3FD49DD3" w:rsidR="0014509F" w:rsidRPr="00A170A9" w:rsidRDefault="00A170A9" w:rsidP="00A170A9">
      <w:pPr>
        <w:autoSpaceDE w:val="0"/>
        <w:autoSpaceDN w:val="0"/>
        <w:adjustRightInd w:val="0"/>
        <w:spacing w:before="240" w:after="240"/>
        <w:ind w:left="426"/>
        <w:jc w:val="both"/>
        <w:rPr>
          <w:rFonts w:ascii="ITC Avant Garde" w:hAnsi="ITC Avant Garde"/>
          <w:bCs/>
          <w:sz w:val="20"/>
          <w:szCs w:val="20"/>
        </w:rPr>
      </w:pPr>
      <w:r>
        <w:rPr>
          <w:rFonts w:ascii="ITC Avant Garde" w:hAnsi="ITC Avant Garde"/>
          <w:bCs/>
          <w:sz w:val="20"/>
          <w:szCs w:val="20"/>
        </w:rPr>
        <w:t xml:space="preserve">3.3. </w:t>
      </w:r>
      <w:r w:rsidR="0014509F" w:rsidRPr="00A170A9">
        <w:rPr>
          <w:rFonts w:ascii="ITC Avant Garde" w:hAnsi="ITC Avant Garde"/>
          <w:bCs/>
          <w:sz w:val="20"/>
          <w:szCs w:val="20"/>
        </w:rPr>
        <w:t>Publicación y difusión de estudios</w:t>
      </w:r>
    </w:p>
    <w:p w14:paraId="598AA46D" w14:textId="77777777" w:rsidR="0014509F" w:rsidRPr="00A170A9" w:rsidRDefault="0014509F" w:rsidP="00A170A9">
      <w:pPr>
        <w:autoSpaceDE w:val="0"/>
        <w:autoSpaceDN w:val="0"/>
        <w:adjustRightInd w:val="0"/>
        <w:spacing w:before="240" w:after="240"/>
        <w:ind w:left="1134"/>
        <w:jc w:val="both"/>
        <w:rPr>
          <w:rFonts w:ascii="ITC Avant Garde" w:hAnsi="ITC Avant Garde"/>
          <w:bCs/>
          <w:sz w:val="20"/>
          <w:szCs w:val="20"/>
        </w:rPr>
      </w:pPr>
      <w:r w:rsidRPr="00A170A9">
        <w:rPr>
          <w:rFonts w:ascii="ITC Avant Garde" w:hAnsi="ITC Avant Garde"/>
          <w:bCs/>
          <w:sz w:val="20"/>
          <w:szCs w:val="20"/>
        </w:rPr>
        <w:t>Revista Internacional de Telecomunicaciones y Radiodifusión</w:t>
      </w:r>
    </w:p>
    <w:p w14:paraId="36D2CB74" w14:textId="77777777" w:rsidR="0014509F" w:rsidRPr="00A170A9" w:rsidRDefault="0014509F" w:rsidP="00A170A9">
      <w:pPr>
        <w:autoSpaceDE w:val="0"/>
        <w:autoSpaceDN w:val="0"/>
        <w:adjustRightInd w:val="0"/>
        <w:spacing w:before="240" w:after="240"/>
        <w:ind w:left="1134"/>
        <w:jc w:val="both"/>
        <w:rPr>
          <w:rFonts w:ascii="ITC Avant Garde" w:hAnsi="ITC Avant Garde"/>
          <w:bCs/>
          <w:sz w:val="20"/>
          <w:szCs w:val="20"/>
        </w:rPr>
      </w:pPr>
      <w:r w:rsidRPr="00A170A9">
        <w:rPr>
          <w:rFonts w:ascii="ITC Avant Garde" w:hAnsi="ITC Avant Garde"/>
          <w:bCs/>
          <w:sz w:val="20"/>
          <w:szCs w:val="20"/>
        </w:rPr>
        <w:t>Participación en eventos académicos y publicación de estudios</w:t>
      </w:r>
    </w:p>
    <w:p w14:paraId="4FD40385" w14:textId="77777777" w:rsidR="0014509F" w:rsidRPr="00A170A9" w:rsidRDefault="0014509F" w:rsidP="00A170A9">
      <w:pPr>
        <w:autoSpaceDE w:val="0"/>
        <w:autoSpaceDN w:val="0"/>
        <w:adjustRightInd w:val="0"/>
        <w:spacing w:before="240" w:after="240"/>
        <w:ind w:left="1134"/>
        <w:jc w:val="both"/>
        <w:rPr>
          <w:rFonts w:ascii="ITC Avant Garde" w:hAnsi="ITC Avant Garde"/>
          <w:bCs/>
          <w:sz w:val="20"/>
          <w:szCs w:val="20"/>
        </w:rPr>
      </w:pPr>
      <w:r w:rsidRPr="00A170A9">
        <w:rPr>
          <w:rFonts w:ascii="ITC Avant Garde" w:hAnsi="ITC Avant Garde"/>
          <w:bCs/>
          <w:sz w:val="20"/>
          <w:szCs w:val="20"/>
        </w:rPr>
        <w:t>Seminarios del Centro de Estudios</w:t>
      </w:r>
    </w:p>
    <w:p w14:paraId="1397F21E" w14:textId="5E39EC82" w:rsidR="0014509F" w:rsidRPr="00A170A9" w:rsidRDefault="00A170A9" w:rsidP="00A170A9">
      <w:pPr>
        <w:autoSpaceDE w:val="0"/>
        <w:autoSpaceDN w:val="0"/>
        <w:adjustRightInd w:val="0"/>
        <w:spacing w:before="240" w:after="240"/>
        <w:ind w:left="426"/>
        <w:jc w:val="both"/>
        <w:rPr>
          <w:rFonts w:ascii="ITC Avant Garde" w:hAnsi="ITC Avant Garde"/>
          <w:bCs/>
          <w:sz w:val="20"/>
          <w:szCs w:val="20"/>
        </w:rPr>
      </w:pPr>
      <w:r>
        <w:rPr>
          <w:rFonts w:ascii="ITC Avant Garde" w:hAnsi="ITC Avant Garde"/>
          <w:bCs/>
          <w:sz w:val="20"/>
          <w:szCs w:val="20"/>
        </w:rPr>
        <w:t xml:space="preserve">3.4. </w:t>
      </w:r>
      <w:r w:rsidR="0014509F" w:rsidRPr="00A170A9">
        <w:rPr>
          <w:rFonts w:ascii="ITC Avant Garde" w:hAnsi="ITC Avant Garde"/>
          <w:bCs/>
          <w:sz w:val="20"/>
          <w:szCs w:val="20"/>
        </w:rPr>
        <w:t xml:space="preserve">Otras Acciones de Vinculación </w:t>
      </w:r>
    </w:p>
    <w:p w14:paraId="4730127C" w14:textId="77777777" w:rsidR="0014509F" w:rsidRPr="00A170A9" w:rsidRDefault="0014509F" w:rsidP="00A170A9">
      <w:pPr>
        <w:autoSpaceDE w:val="0"/>
        <w:autoSpaceDN w:val="0"/>
        <w:adjustRightInd w:val="0"/>
        <w:spacing w:before="240" w:after="240"/>
        <w:ind w:left="1134"/>
        <w:jc w:val="both"/>
        <w:rPr>
          <w:rFonts w:ascii="ITC Avant Garde" w:hAnsi="ITC Avant Garde"/>
          <w:bCs/>
          <w:sz w:val="20"/>
          <w:szCs w:val="20"/>
        </w:rPr>
      </w:pPr>
      <w:r w:rsidRPr="00A170A9">
        <w:rPr>
          <w:rFonts w:ascii="ITC Avant Garde" w:hAnsi="ITC Avant Garde"/>
          <w:bCs/>
          <w:sz w:val="20"/>
          <w:szCs w:val="20"/>
        </w:rPr>
        <w:t>Comité Especializado de Estudios e Investigaciones</w:t>
      </w:r>
    </w:p>
    <w:p w14:paraId="1A41F19F" w14:textId="77777777" w:rsidR="0014509F" w:rsidRPr="00A170A9" w:rsidRDefault="0014509F" w:rsidP="00984ED1">
      <w:pPr>
        <w:pStyle w:val="Prrafodelista"/>
        <w:keepNext/>
        <w:keepLines/>
        <w:numPr>
          <w:ilvl w:val="0"/>
          <w:numId w:val="8"/>
        </w:numPr>
        <w:spacing w:after="100" w:afterAutospacing="1" w:line="360" w:lineRule="auto"/>
        <w:jc w:val="both"/>
        <w:rPr>
          <w:rFonts w:asciiTheme="majorHAnsi" w:eastAsiaTheme="minorHAnsi" w:hAnsiTheme="majorHAnsi" w:cstheme="minorBidi"/>
          <w:b/>
          <w:smallCaps/>
          <w:color w:val="0070C0"/>
          <w:sz w:val="28"/>
          <w:szCs w:val="28"/>
        </w:rPr>
      </w:pPr>
      <w:r w:rsidRPr="00A170A9">
        <w:rPr>
          <w:rFonts w:asciiTheme="majorHAnsi" w:eastAsiaTheme="minorHAnsi" w:hAnsiTheme="majorHAnsi" w:cstheme="minorBidi"/>
          <w:b/>
          <w:smallCaps/>
          <w:color w:val="0070C0"/>
          <w:sz w:val="28"/>
          <w:szCs w:val="28"/>
        </w:rPr>
        <w:t>Cronograma</w:t>
      </w:r>
    </w:p>
    <w:p w14:paraId="6EDF1AAE" w14:textId="77777777" w:rsidR="0014509F" w:rsidRPr="00A170A9" w:rsidRDefault="0014509F" w:rsidP="00984ED1">
      <w:pPr>
        <w:pStyle w:val="Prrafodelista"/>
        <w:keepNext/>
        <w:keepLines/>
        <w:numPr>
          <w:ilvl w:val="0"/>
          <w:numId w:val="8"/>
        </w:numPr>
        <w:spacing w:after="100" w:afterAutospacing="1" w:line="360" w:lineRule="auto"/>
        <w:jc w:val="both"/>
        <w:rPr>
          <w:rFonts w:asciiTheme="majorHAnsi" w:eastAsiaTheme="minorHAnsi" w:hAnsiTheme="majorHAnsi" w:cstheme="minorBidi"/>
          <w:b/>
          <w:smallCaps/>
          <w:color w:val="0070C0"/>
          <w:sz w:val="28"/>
          <w:szCs w:val="28"/>
        </w:rPr>
      </w:pPr>
      <w:r w:rsidRPr="00A170A9">
        <w:rPr>
          <w:rFonts w:asciiTheme="majorHAnsi" w:eastAsiaTheme="minorHAnsi" w:hAnsiTheme="majorHAnsi" w:cstheme="minorBidi"/>
          <w:b/>
          <w:smallCaps/>
          <w:color w:val="0070C0"/>
          <w:sz w:val="28"/>
          <w:szCs w:val="28"/>
        </w:rPr>
        <w:t>Anexo. Proyectos de Investigación 2018</w:t>
      </w:r>
    </w:p>
    <w:p w14:paraId="08A95887" w14:textId="77777777" w:rsidR="00A170A9" w:rsidRDefault="00A170A9" w:rsidP="00A170A9">
      <w:pPr>
        <w:autoSpaceDE w:val="0"/>
        <w:autoSpaceDN w:val="0"/>
        <w:adjustRightInd w:val="0"/>
        <w:spacing w:before="240" w:after="240"/>
        <w:jc w:val="both"/>
        <w:rPr>
          <w:rFonts w:ascii="ITC Avant Garde" w:hAnsi="ITC Avant Garde"/>
          <w:bCs/>
          <w:sz w:val="20"/>
          <w:szCs w:val="20"/>
        </w:rPr>
        <w:sectPr w:rsidR="00A170A9" w:rsidSect="00A170A9">
          <w:footerReference w:type="default" r:id="rId15"/>
          <w:pgSz w:w="12240" w:h="15840"/>
          <w:pgMar w:top="1418" w:right="1418" w:bottom="1418" w:left="1418" w:header="708" w:footer="708" w:gutter="0"/>
          <w:cols w:space="708"/>
          <w:docGrid w:linePitch="360"/>
        </w:sectPr>
      </w:pPr>
    </w:p>
    <w:p w14:paraId="000F6EB7" w14:textId="0C8941AE" w:rsidR="0014509F" w:rsidRPr="008156F1" w:rsidRDefault="0014509F" w:rsidP="008156F1">
      <w:pPr>
        <w:keepNext/>
        <w:keepLines/>
        <w:spacing w:after="100" w:afterAutospacing="1" w:line="360" w:lineRule="auto"/>
        <w:ind w:firstLine="709"/>
        <w:jc w:val="center"/>
        <w:rPr>
          <w:rFonts w:asciiTheme="majorHAnsi" w:eastAsiaTheme="minorHAnsi" w:hAnsiTheme="majorHAnsi" w:cstheme="minorBidi"/>
          <w:b/>
          <w:smallCaps/>
          <w:color w:val="0070C0"/>
          <w:sz w:val="32"/>
          <w:szCs w:val="32"/>
          <w:lang w:val="es-MX" w:eastAsia="en-US"/>
        </w:rPr>
      </w:pPr>
      <w:r w:rsidRPr="008156F1">
        <w:rPr>
          <w:rFonts w:asciiTheme="majorHAnsi" w:eastAsiaTheme="minorHAnsi" w:hAnsiTheme="majorHAnsi" w:cstheme="minorBidi"/>
          <w:b/>
          <w:smallCaps/>
          <w:color w:val="0070C0"/>
          <w:sz w:val="32"/>
          <w:szCs w:val="32"/>
          <w:lang w:val="es-MX" w:eastAsia="en-US"/>
        </w:rPr>
        <w:lastRenderedPageBreak/>
        <w:t>Acrónimos y abreviaturas</w:t>
      </w:r>
    </w:p>
    <w:p w14:paraId="6B170C5D" w14:textId="77777777" w:rsidR="0014509F" w:rsidRPr="00A170A9" w:rsidRDefault="0014509F" w:rsidP="00A170A9">
      <w:pPr>
        <w:autoSpaceDE w:val="0"/>
        <w:autoSpaceDN w:val="0"/>
        <w:adjustRightInd w:val="0"/>
        <w:spacing w:before="240" w:after="240"/>
        <w:jc w:val="both"/>
        <w:rPr>
          <w:rFonts w:ascii="ITC Avant Garde" w:hAnsi="ITC Avant Garde"/>
          <w:b/>
          <w:bCs/>
          <w:color w:val="0070C0"/>
          <w:sz w:val="20"/>
          <w:szCs w:val="20"/>
        </w:rPr>
      </w:pPr>
      <w:r w:rsidRPr="00A170A9">
        <w:rPr>
          <w:rFonts w:ascii="ITC Avant Garde" w:hAnsi="ITC Avant Garde"/>
          <w:b/>
          <w:bCs/>
          <w:color w:val="0070C0"/>
          <w:sz w:val="20"/>
          <w:szCs w:val="20"/>
        </w:rPr>
        <w:t>A lo largo del presente documento se utilizan los siguientes acrónimos y abreviaturas:</w:t>
      </w:r>
    </w:p>
    <w:p w14:paraId="6E423A3A" w14:textId="77777777" w:rsidR="0014509F" w:rsidRDefault="0014509F" w:rsidP="0014509F">
      <w:pPr>
        <w:keepNext/>
        <w:keepLines/>
        <w:spacing w:after="100" w:afterAutospacing="1"/>
        <w:jc w:val="both"/>
        <w:rPr>
          <w:rFonts w:asciiTheme="majorHAnsi" w:hAnsiTheme="majorHAnsi"/>
          <w:bCs/>
          <w:sz w:val="28"/>
          <w:szCs w:val="28"/>
          <w:lang w:eastAsia="es-MX"/>
        </w:rPr>
        <w:sectPr w:rsidR="0014509F" w:rsidSect="00A170A9">
          <w:pgSz w:w="12240" w:h="15840"/>
          <w:pgMar w:top="1418" w:right="1418" w:bottom="1418" w:left="1418" w:header="708" w:footer="708" w:gutter="0"/>
          <w:cols w:space="708"/>
          <w:docGrid w:linePitch="360"/>
        </w:sect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CRÓNIMOS Y ABREVIATURAS"/>
        <w:tblDescription w:val="En una tabla de 2 columnas se proporcionan los acrónimos y abreviaturas"/>
      </w:tblPr>
      <w:tblGrid>
        <w:gridCol w:w="2689"/>
        <w:gridCol w:w="6705"/>
      </w:tblGrid>
      <w:tr w:rsidR="00A170A9" w:rsidRPr="00BA29F9" w14:paraId="3EAD8C4B" w14:textId="77777777" w:rsidTr="004464CD">
        <w:trPr>
          <w:tblHeader/>
        </w:trPr>
        <w:tc>
          <w:tcPr>
            <w:tcW w:w="2689" w:type="dxa"/>
          </w:tcPr>
          <w:p w14:paraId="380FF846"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bookmarkStart w:id="36" w:name="_GoBack" w:colFirst="0" w:colLast="0"/>
            <w:r w:rsidRPr="00A170A9">
              <w:rPr>
                <w:rFonts w:ascii="ITC Avant Garde" w:hAnsi="ITC Avant Garde"/>
                <w:bCs/>
                <w:color w:val="000000"/>
                <w:sz w:val="22"/>
                <w:szCs w:val="22"/>
              </w:rPr>
              <w:t>CES</w:t>
            </w:r>
          </w:p>
        </w:tc>
        <w:tc>
          <w:tcPr>
            <w:tcW w:w="6705" w:type="dxa"/>
          </w:tcPr>
          <w:p w14:paraId="57B465AD"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Centro de Estudios del IFT</w:t>
            </w:r>
          </w:p>
        </w:tc>
      </w:tr>
      <w:tr w:rsidR="00A170A9" w:rsidRPr="00BA29F9" w14:paraId="061C39CD" w14:textId="77777777" w:rsidTr="004464CD">
        <w:trPr>
          <w:tblHeader/>
        </w:trPr>
        <w:tc>
          <w:tcPr>
            <w:tcW w:w="2689" w:type="dxa"/>
          </w:tcPr>
          <w:p w14:paraId="22EBE90C"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CIDE</w:t>
            </w:r>
          </w:p>
        </w:tc>
        <w:tc>
          <w:tcPr>
            <w:tcW w:w="6705" w:type="dxa"/>
          </w:tcPr>
          <w:p w14:paraId="4F5835FE"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Centro de Investigación y Docencia Económicas</w:t>
            </w:r>
          </w:p>
        </w:tc>
      </w:tr>
      <w:tr w:rsidR="00A170A9" w:rsidRPr="00BA29F9" w14:paraId="61BD22E8" w14:textId="77777777" w:rsidTr="004464CD">
        <w:trPr>
          <w:tblHeader/>
        </w:trPr>
        <w:tc>
          <w:tcPr>
            <w:tcW w:w="2689" w:type="dxa"/>
          </w:tcPr>
          <w:p w14:paraId="03E22FDD"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Comité Especializado de Estudios e Investigaciones</w:t>
            </w:r>
          </w:p>
        </w:tc>
        <w:tc>
          <w:tcPr>
            <w:tcW w:w="6705" w:type="dxa"/>
          </w:tcPr>
          <w:p w14:paraId="1752E237"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Comité Especializado de Estudios e Investigaciones en Telecomunicaciones a que se refiere el Capítulo X de los Lineamientos de Colaboración en Materia de Seguridad y Justicia</w:t>
            </w:r>
          </w:p>
        </w:tc>
      </w:tr>
      <w:tr w:rsidR="00A170A9" w:rsidRPr="00BA29F9" w14:paraId="658EEC59" w14:textId="77777777" w:rsidTr="004464CD">
        <w:trPr>
          <w:tblHeader/>
        </w:trPr>
        <w:tc>
          <w:tcPr>
            <w:tcW w:w="2689" w:type="dxa"/>
          </w:tcPr>
          <w:p w14:paraId="2FF110B3"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CGMR</w:t>
            </w:r>
          </w:p>
        </w:tc>
        <w:tc>
          <w:tcPr>
            <w:tcW w:w="6705" w:type="dxa"/>
          </w:tcPr>
          <w:p w14:paraId="4E1A6484"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Coordinación General de Mejora Regulatoria del IFT</w:t>
            </w:r>
          </w:p>
        </w:tc>
      </w:tr>
      <w:tr w:rsidR="00A170A9" w:rsidRPr="00BA29F9" w14:paraId="7CC02703" w14:textId="77777777" w:rsidTr="004464CD">
        <w:trPr>
          <w:tblHeader/>
        </w:trPr>
        <w:tc>
          <w:tcPr>
            <w:tcW w:w="2689" w:type="dxa"/>
          </w:tcPr>
          <w:p w14:paraId="370E0EB7"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ENDUTIH</w:t>
            </w:r>
          </w:p>
        </w:tc>
        <w:tc>
          <w:tcPr>
            <w:tcW w:w="6705" w:type="dxa"/>
          </w:tcPr>
          <w:p w14:paraId="31574A0A"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Encuesta Nacional sobre Disponibilidad y Uso de las Tecnologías de la Información en los Hogares</w:t>
            </w:r>
          </w:p>
        </w:tc>
      </w:tr>
      <w:tr w:rsidR="00A170A9" w:rsidRPr="00BA29F9" w14:paraId="20C1458E" w14:textId="77777777" w:rsidTr="004464CD">
        <w:trPr>
          <w:tblHeader/>
        </w:trPr>
        <w:tc>
          <w:tcPr>
            <w:tcW w:w="2689" w:type="dxa"/>
          </w:tcPr>
          <w:p w14:paraId="72A5A5EF"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ENIGH</w:t>
            </w:r>
          </w:p>
        </w:tc>
        <w:tc>
          <w:tcPr>
            <w:tcW w:w="6705" w:type="dxa"/>
          </w:tcPr>
          <w:p w14:paraId="57DBA7CD"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Encuesta Nacional de Ingresos y Gastos de los Hogares</w:t>
            </w:r>
          </w:p>
        </w:tc>
      </w:tr>
      <w:tr w:rsidR="00A170A9" w:rsidRPr="00BA29F9" w14:paraId="25946478" w14:textId="77777777" w:rsidTr="004464CD">
        <w:trPr>
          <w:tblHeader/>
        </w:trPr>
        <w:tc>
          <w:tcPr>
            <w:tcW w:w="2689" w:type="dxa"/>
          </w:tcPr>
          <w:p w14:paraId="31962982"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EO</w:t>
            </w:r>
          </w:p>
        </w:tc>
        <w:tc>
          <w:tcPr>
            <w:tcW w:w="6705" w:type="dxa"/>
          </w:tcPr>
          <w:p w14:paraId="68C340A8"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Estatuto Orgánico del IFT</w:t>
            </w:r>
          </w:p>
        </w:tc>
      </w:tr>
      <w:tr w:rsidR="00A170A9" w:rsidRPr="00BA29F9" w14:paraId="5DFD960C" w14:textId="77777777" w:rsidTr="004464CD">
        <w:trPr>
          <w:tblHeader/>
        </w:trPr>
        <w:tc>
          <w:tcPr>
            <w:tcW w:w="2689" w:type="dxa"/>
          </w:tcPr>
          <w:p w14:paraId="48DF179A"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IFT o Instituto</w:t>
            </w:r>
          </w:p>
        </w:tc>
        <w:tc>
          <w:tcPr>
            <w:tcW w:w="6705" w:type="dxa"/>
          </w:tcPr>
          <w:p w14:paraId="319937C7"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Instituto Federal de Telecomunicaciones</w:t>
            </w:r>
          </w:p>
        </w:tc>
      </w:tr>
      <w:tr w:rsidR="00A170A9" w:rsidRPr="00BA29F9" w14:paraId="3FC2A109" w14:textId="77777777" w:rsidTr="004464CD">
        <w:trPr>
          <w:tblHeader/>
        </w:trPr>
        <w:tc>
          <w:tcPr>
            <w:tcW w:w="2689" w:type="dxa"/>
          </w:tcPr>
          <w:p w14:paraId="64723282"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INEGI</w:t>
            </w:r>
          </w:p>
        </w:tc>
        <w:tc>
          <w:tcPr>
            <w:tcW w:w="6705" w:type="dxa"/>
          </w:tcPr>
          <w:p w14:paraId="0C089180"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 xml:space="preserve">Instituto Nacional de Estadística y Geografía </w:t>
            </w:r>
          </w:p>
        </w:tc>
      </w:tr>
      <w:tr w:rsidR="00A170A9" w:rsidRPr="00BA29F9" w14:paraId="3F92D75A" w14:textId="77777777" w:rsidTr="004464CD">
        <w:trPr>
          <w:tblHeader/>
        </w:trPr>
        <w:tc>
          <w:tcPr>
            <w:tcW w:w="2689" w:type="dxa"/>
          </w:tcPr>
          <w:p w14:paraId="28A89F54"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proofErr w:type="spellStart"/>
            <w:r w:rsidRPr="00A170A9">
              <w:rPr>
                <w:rFonts w:ascii="ITC Avant Garde" w:hAnsi="ITC Avant Garde"/>
                <w:bCs/>
                <w:color w:val="000000"/>
                <w:sz w:val="22"/>
                <w:szCs w:val="22"/>
              </w:rPr>
              <w:t>IoT</w:t>
            </w:r>
            <w:proofErr w:type="spellEnd"/>
          </w:p>
        </w:tc>
        <w:tc>
          <w:tcPr>
            <w:tcW w:w="6705" w:type="dxa"/>
          </w:tcPr>
          <w:p w14:paraId="67F510D0"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 xml:space="preserve">Internet de las cosas </w:t>
            </w:r>
          </w:p>
        </w:tc>
      </w:tr>
      <w:tr w:rsidR="00A170A9" w:rsidRPr="00BA29F9" w14:paraId="586903F5" w14:textId="77777777" w:rsidTr="004464CD">
        <w:trPr>
          <w:tblHeader/>
        </w:trPr>
        <w:tc>
          <w:tcPr>
            <w:tcW w:w="2689" w:type="dxa"/>
          </w:tcPr>
          <w:p w14:paraId="7F5C5EB9"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MODUTIH</w:t>
            </w:r>
          </w:p>
        </w:tc>
        <w:tc>
          <w:tcPr>
            <w:tcW w:w="6705" w:type="dxa"/>
          </w:tcPr>
          <w:p w14:paraId="15AAE6E8"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Módulo sobre Disponibilidad y Uso de las Tecnologías de la Información en los Hogares</w:t>
            </w:r>
          </w:p>
        </w:tc>
      </w:tr>
      <w:tr w:rsidR="00A170A9" w:rsidRPr="00BA29F9" w14:paraId="24786386" w14:textId="77777777" w:rsidTr="004464CD">
        <w:trPr>
          <w:tblHeader/>
        </w:trPr>
        <w:tc>
          <w:tcPr>
            <w:tcW w:w="2689" w:type="dxa"/>
          </w:tcPr>
          <w:p w14:paraId="4FC9B840"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OCDE</w:t>
            </w:r>
          </w:p>
        </w:tc>
        <w:tc>
          <w:tcPr>
            <w:tcW w:w="6705" w:type="dxa"/>
          </w:tcPr>
          <w:p w14:paraId="08AE5ED2"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Organización para la Cooperación y el Desarrollo Económico</w:t>
            </w:r>
          </w:p>
        </w:tc>
      </w:tr>
      <w:tr w:rsidR="00A170A9" w:rsidRPr="00BA29F9" w14:paraId="2E9A347C" w14:textId="77777777" w:rsidTr="004464CD">
        <w:trPr>
          <w:tblHeader/>
        </w:trPr>
        <w:tc>
          <w:tcPr>
            <w:tcW w:w="2689" w:type="dxa"/>
          </w:tcPr>
          <w:p w14:paraId="398EDF3A"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OTT</w:t>
            </w:r>
          </w:p>
        </w:tc>
        <w:tc>
          <w:tcPr>
            <w:tcW w:w="6705" w:type="dxa"/>
          </w:tcPr>
          <w:p w14:paraId="39167BDA"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proofErr w:type="spellStart"/>
            <w:r w:rsidRPr="00A170A9">
              <w:rPr>
                <w:rFonts w:ascii="ITC Avant Garde" w:hAnsi="ITC Avant Garde"/>
                <w:bCs/>
                <w:color w:val="000000"/>
                <w:sz w:val="22"/>
                <w:szCs w:val="22"/>
              </w:rPr>
              <w:t>Over</w:t>
            </w:r>
            <w:proofErr w:type="spellEnd"/>
            <w:r w:rsidRPr="00A170A9">
              <w:rPr>
                <w:rFonts w:ascii="ITC Avant Garde" w:hAnsi="ITC Avant Garde"/>
                <w:bCs/>
                <w:color w:val="000000"/>
                <w:sz w:val="22"/>
                <w:szCs w:val="22"/>
              </w:rPr>
              <w:t>-</w:t>
            </w:r>
            <w:proofErr w:type="spellStart"/>
            <w:r w:rsidRPr="00A170A9">
              <w:rPr>
                <w:rFonts w:ascii="ITC Avant Garde" w:hAnsi="ITC Avant Garde"/>
                <w:bCs/>
                <w:color w:val="000000"/>
                <w:sz w:val="22"/>
                <w:szCs w:val="22"/>
              </w:rPr>
              <w:t>the</w:t>
            </w:r>
            <w:proofErr w:type="spellEnd"/>
            <w:r w:rsidRPr="00A170A9">
              <w:rPr>
                <w:rFonts w:ascii="ITC Avant Garde" w:hAnsi="ITC Avant Garde"/>
                <w:bCs/>
                <w:color w:val="000000"/>
                <w:sz w:val="22"/>
                <w:szCs w:val="22"/>
              </w:rPr>
              <w:t>-top</w:t>
            </w:r>
          </w:p>
        </w:tc>
      </w:tr>
      <w:tr w:rsidR="00A170A9" w:rsidRPr="00BA29F9" w14:paraId="1B0C2912" w14:textId="77777777" w:rsidTr="004464CD">
        <w:trPr>
          <w:tblHeader/>
        </w:trPr>
        <w:tc>
          <w:tcPr>
            <w:tcW w:w="2689" w:type="dxa"/>
          </w:tcPr>
          <w:p w14:paraId="6CDC4E2A"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PAA-2018</w:t>
            </w:r>
          </w:p>
        </w:tc>
        <w:tc>
          <w:tcPr>
            <w:tcW w:w="6705" w:type="dxa"/>
          </w:tcPr>
          <w:p w14:paraId="5AAF8848"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Programa Anual de Actividades del Centro de Estudios 2018</w:t>
            </w:r>
          </w:p>
        </w:tc>
      </w:tr>
      <w:tr w:rsidR="00A170A9" w:rsidRPr="00BA29F9" w14:paraId="1D9F3E42" w14:textId="77777777" w:rsidTr="004464CD">
        <w:trPr>
          <w:tblHeader/>
        </w:trPr>
        <w:tc>
          <w:tcPr>
            <w:tcW w:w="2689" w:type="dxa"/>
          </w:tcPr>
          <w:p w14:paraId="3C905521"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PIRCE</w:t>
            </w:r>
          </w:p>
        </w:tc>
        <w:tc>
          <w:tcPr>
            <w:tcW w:w="6705" w:type="dxa"/>
          </w:tcPr>
          <w:p w14:paraId="081EB8AB"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 xml:space="preserve">Programa Interdisciplinario de Regulación y Competencia Económica </w:t>
            </w:r>
          </w:p>
        </w:tc>
      </w:tr>
      <w:tr w:rsidR="00A170A9" w:rsidRPr="00BA29F9" w14:paraId="14ADA015" w14:textId="77777777" w:rsidTr="004464CD">
        <w:trPr>
          <w:tblHeader/>
        </w:trPr>
        <w:tc>
          <w:tcPr>
            <w:tcW w:w="2689" w:type="dxa"/>
          </w:tcPr>
          <w:p w14:paraId="01241E0E"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PAT 2018</w:t>
            </w:r>
          </w:p>
        </w:tc>
        <w:tc>
          <w:tcPr>
            <w:tcW w:w="6705" w:type="dxa"/>
          </w:tcPr>
          <w:p w14:paraId="61A1BBC7"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Programa Anual de Trabajo del Instituto 2018</w:t>
            </w:r>
          </w:p>
        </w:tc>
      </w:tr>
      <w:tr w:rsidR="00A170A9" w:rsidRPr="00BA29F9" w14:paraId="158BC9EC" w14:textId="77777777" w:rsidTr="004464CD">
        <w:trPr>
          <w:tblHeader/>
        </w:trPr>
        <w:tc>
          <w:tcPr>
            <w:tcW w:w="2689" w:type="dxa"/>
          </w:tcPr>
          <w:p w14:paraId="63E2FBF3"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SCT</w:t>
            </w:r>
          </w:p>
        </w:tc>
        <w:tc>
          <w:tcPr>
            <w:tcW w:w="6705" w:type="dxa"/>
          </w:tcPr>
          <w:p w14:paraId="15E88D92"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Secretaría de Comunicaciones y Transportes</w:t>
            </w:r>
          </w:p>
        </w:tc>
      </w:tr>
      <w:tr w:rsidR="00A170A9" w:rsidRPr="00BA29F9" w14:paraId="6FF45571" w14:textId="77777777" w:rsidTr="004464CD">
        <w:trPr>
          <w:tblHeader/>
        </w:trPr>
        <w:tc>
          <w:tcPr>
            <w:tcW w:w="2689" w:type="dxa"/>
          </w:tcPr>
          <w:p w14:paraId="2ECE18D5"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TIC</w:t>
            </w:r>
          </w:p>
        </w:tc>
        <w:tc>
          <w:tcPr>
            <w:tcW w:w="6705" w:type="dxa"/>
          </w:tcPr>
          <w:p w14:paraId="339B82C4"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Tecnologías de la Información y Comunicaciones</w:t>
            </w:r>
          </w:p>
        </w:tc>
      </w:tr>
      <w:tr w:rsidR="00A170A9" w:rsidRPr="00BA29F9" w14:paraId="3F283298" w14:textId="77777777" w:rsidTr="004464CD">
        <w:trPr>
          <w:tblHeader/>
        </w:trPr>
        <w:tc>
          <w:tcPr>
            <w:tcW w:w="2689" w:type="dxa"/>
          </w:tcPr>
          <w:p w14:paraId="0B7ED1C1"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UCE</w:t>
            </w:r>
          </w:p>
        </w:tc>
        <w:tc>
          <w:tcPr>
            <w:tcW w:w="6705" w:type="dxa"/>
          </w:tcPr>
          <w:p w14:paraId="1B419CC7" w14:textId="77777777" w:rsidR="00A170A9" w:rsidRPr="00A170A9" w:rsidRDefault="00A170A9" w:rsidP="00A170A9">
            <w:pPr>
              <w:pStyle w:val="estilo30"/>
              <w:spacing w:before="0" w:beforeAutospacing="0" w:after="240" w:afterAutospacing="0"/>
              <w:jc w:val="both"/>
              <w:rPr>
                <w:rFonts w:ascii="ITC Avant Garde" w:hAnsi="ITC Avant Garde"/>
                <w:bCs/>
                <w:color w:val="000000"/>
                <w:sz w:val="22"/>
                <w:szCs w:val="22"/>
              </w:rPr>
            </w:pPr>
            <w:r w:rsidRPr="00A170A9">
              <w:rPr>
                <w:rFonts w:ascii="ITC Avant Garde" w:hAnsi="ITC Avant Garde"/>
                <w:bCs/>
                <w:color w:val="000000"/>
                <w:sz w:val="22"/>
                <w:szCs w:val="22"/>
              </w:rPr>
              <w:t>Unidad de Competencia Económica del IFT</w:t>
            </w:r>
          </w:p>
        </w:tc>
      </w:tr>
      <w:bookmarkEnd w:id="36"/>
    </w:tbl>
    <w:p w14:paraId="502C11CC" w14:textId="77777777" w:rsidR="00A170A9" w:rsidRDefault="00A170A9" w:rsidP="0014509F">
      <w:pPr>
        <w:keepNext/>
        <w:keepLines/>
        <w:spacing w:after="100" w:afterAutospacing="1"/>
        <w:ind w:right="-2456"/>
        <w:jc w:val="both"/>
        <w:rPr>
          <w:rFonts w:asciiTheme="majorHAnsi" w:hAnsiTheme="majorHAnsi"/>
          <w:bCs/>
          <w:sz w:val="28"/>
          <w:szCs w:val="28"/>
          <w:lang w:eastAsia="es-MX"/>
        </w:rPr>
        <w:sectPr w:rsidR="00A170A9" w:rsidSect="00A170A9">
          <w:type w:val="continuous"/>
          <w:pgSz w:w="12240" w:h="15840"/>
          <w:pgMar w:top="1418" w:right="1418" w:bottom="1418" w:left="1418" w:header="708" w:footer="708" w:gutter="0"/>
          <w:cols w:space="802"/>
          <w:docGrid w:linePitch="360"/>
        </w:sectPr>
      </w:pPr>
    </w:p>
    <w:p w14:paraId="7D61463F" w14:textId="03AC77F0" w:rsidR="0014509F" w:rsidRDefault="0014509F" w:rsidP="0014509F">
      <w:pPr>
        <w:keepNext/>
        <w:keepLines/>
        <w:spacing w:after="100" w:afterAutospacing="1"/>
        <w:ind w:right="-2456"/>
        <w:jc w:val="both"/>
        <w:rPr>
          <w:rFonts w:asciiTheme="majorHAnsi" w:hAnsiTheme="majorHAnsi"/>
          <w:bCs/>
          <w:sz w:val="28"/>
          <w:szCs w:val="28"/>
          <w:lang w:eastAsia="es-MX"/>
        </w:rPr>
      </w:pPr>
    </w:p>
    <w:p w14:paraId="17D0E83C" w14:textId="77777777" w:rsidR="0014509F" w:rsidRDefault="0014509F" w:rsidP="0014509F">
      <w:pPr>
        <w:keepNext/>
        <w:keepLines/>
        <w:spacing w:after="100" w:afterAutospacing="1"/>
        <w:jc w:val="both"/>
        <w:rPr>
          <w:rFonts w:asciiTheme="majorHAnsi" w:hAnsiTheme="majorHAnsi"/>
          <w:sz w:val="28"/>
          <w:szCs w:val="28"/>
        </w:rPr>
        <w:sectPr w:rsidR="0014509F" w:rsidSect="00A170A9">
          <w:type w:val="continuous"/>
          <w:pgSz w:w="12240" w:h="15840"/>
          <w:pgMar w:top="1418" w:right="1418" w:bottom="1418" w:left="1418" w:header="708" w:footer="708" w:gutter="0"/>
          <w:cols w:num="2" w:space="802"/>
          <w:docGrid w:linePitch="360"/>
        </w:sectPr>
      </w:pPr>
    </w:p>
    <w:p w14:paraId="4469F753" w14:textId="77777777" w:rsidR="0014509F" w:rsidRPr="00A170A9" w:rsidRDefault="0014509F" w:rsidP="00A170A9">
      <w:pPr>
        <w:pStyle w:val="estilo30"/>
        <w:spacing w:before="240" w:beforeAutospacing="0" w:after="240" w:afterAutospacing="0" w:line="276" w:lineRule="auto"/>
        <w:jc w:val="both"/>
        <w:rPr>
          <w:rFonts w:asciiTheme="majorHAnsi" w:hAnsiTheme="majorHAnsi"/>
          <w:sz w:val="28"/>
          <w:szCs w:val="28"/>
        </w:rPr>
      </w:pPr>
      <w:r w:rsidRPr="00A170A9">
        <w:rPr>
          <w:rFonts w:asciiTheme="majorHAnsi" w:hAnsiTheme="majorHAnsi"/>
          <w:sz w:val="28"/>
          <w:szCs w:val="28"/>
        </w:rPr>
        <w:t>El artículo 6 del Estatuto Orgánico del Instituto Federal de Telecomunicaciones señala, en su fracción XXX, que es atribución del Pleno del organismo, “Autorizar el Programa Anual de Actividades del Centro de Estudios”. Por su parte, la fracción I del artículo 69 del mismo Estatuto Orgánico, señala que es atribución del Titular del Centro de Estudios, “proponer al Pleno, para su aprobación, su Programa Anual de Actividades”.</w:t>
      </w:r>
    </w:p>
    <w:p w14:paraId="30420777" w14:textId="77777777" w:rsidR="0014509F" w:rsidRPr="00A170A9" w:rsidRDefault="0014509F" w:rsidP="00A170A9">
      <w:pPr>
        <w:pStyle w:val="estilo30"/>
        <w:spacing w:before="240" w:beforeAutospacing="0" w:after="240" w:afterAutospacing="0" w:line="276" w:lineRule="auto"/>
        <w:jc w:val="both"/>
        <w:rPr>
          <w:rFonts w:asciiTheme="majorHAnsi" w:hAnsiTheme="majorHAnsi"/>
          <w:sz w:val="28"/>
          <w:szCs w:val="28"/>
        </w:rPr>
      </w:pPr>
      <w:r w:rsidRPr="00A170A9">
        <w:rPr>
          <w:rFonts w:asciiTheme="majorHAnsi" w:hAnsiTheme="majorHAnsi"/>
          <w:sz w:val="28"/>
          <w:szCs w:val="28"/>
        </w:rPr>
        <w:t>Con base en lo anterior, el suscrito, Titular del Centro de Estudios, respetuosamente se dirige a los integrantes del Pleno del Instituto para poner a su digna consideración, la siguiente propuesta de Programa Anual de Actividades del Centro de Estudios para el año 2018.</w:t>
      </w:r>
    </w:p>
    <w:p w14:paraId="702531AD" w14:textId="77777777" w:rsidR="0014509F" w:rsidRPr="00A170A9" w:rsidRDefault="0014509F" w:rsidP="00A170A9">
      <w:pPr>
        <w:pStyle w:val="estilo30"/>
        <w:spacing w:before="240" w:beforeAutospacing="0" w:after="240" w:afterAutospacing="0" w:line="276" w:lineRule="auto"/>
        <w:jc w:val="both"/>
        <w:rPr>
          <w:rFonts w:ascii="ITC Avant Garde" w:hAnsi="ITC Avant Garde"/>
          <w:bCs/>
          <w:color w:val="000000"/>
          <w:sz w:val="20"/>
          <w:szCs w:val="20"/>
        </w:rPr>
      </w:pPr>
      <w:r w:rsidRPr="00A170A9">
        <w:rPr>
          <w:rFonts w:ascii="ITC Avant Garde" w:hAnsi="ITC Avant Garde"/>
          <w:bCs/>
          <w:color w:val="000000"/>
          <w:sz w:val="20"/>
          <w:szCs w:val="20"/>
        </w:rPr>
        <w:br w:type="page"/>
      </w:r>
    </w:p>
    <w:p w14:paraId="4D8E1B67" w14:textId="4169EF22" w:rsidR="0014509F" w:rsidRPr="008156F1" w:rsidRDefault="0014509F" w:rsidP="008156F1">
      <w:pPr>
        <w:pStyle w:val="Ttulo1"/>
        <w:jc w:val="center"/>
        <w:rPr>
          <w:rFonts w:ascii="Calibri Light" w:eastAsia="Calibri" w:hAnsi="Calibri Light" w:cs="Calibri Light"/>
          <w:b/>
          <w:color w:val="3476B1"/>
        </w:rPr>
      </w:pPr>
      <w:r w:rsidRPr="008156F1">
        <w:rPr>
          <w:rFonts w:ascii="Calibri Light" w:eastAsia="Calibri" w:hAnsi="Calibri Light" w:cs="Calibri Light"/>
          <w:b/>
          <w:color w:val="3476B1"/>
        </w:rPr>
        <w:lastRenderedPageBreak/>
        <w:t>PROGRAMA ANUAL DE ACTIVIDADES DEL CENTRO DE ESTUDIOS 2018</w:t>
      </w:r>
    </w:p>
    <w:p w14:paraId="5FBE16FB" w14:textId="77777777" w:rsidR="0014509F" w:rsidRPr="008156F1" w:rsidRDefault="0014509F" w:rsidP="008156F1">
      <w:pPr>
        <w:pStyle w:val="Ttulo2"/>
        <w:spacing w:before="240" w:after="240" w:line="276" w:lineRule="auto"/>
        <w:rPr>
          <w:rFonts w:ascii="ITC Avant Garde" w:hAnsi="ITC Avant Garde"/>
          <w:b/>
          <w:color w:val="0070C0"/>
          <w:sz w:val="28"/>
          <w:szCs w:val="28"/>
          <w:lang w:val="es-MX" w:eastAsia="en-US"/>
        </w:rPr>
      </w:pPr>
      <w:r w:rsidRPr="008156F1">
        <w:rPr>
          <w:rFonts w:ascii="ITC Avant Garde" w:hAnsi="ITC Avant Garde"/>
          <w:b/>
          <w:color w:val="0070C0"/>
          <w:sz w:val="28"/>
          <w:szCs w:val="28"/>
          <w:lang w:val="es-MX" w:eastAsia="en-US"/>
        </w:rPr>
        <w:t>Introducción</w:t>
      </w:r>
    </w:p>
    <w:p w14:paraId="1A848FD9" w14:textId="77777777" w:rsidR="0014509F" w:rsidRPr="00A170A9" w:rsidRDefault="0014509F" w:rsidP="00A170A9">
      <w:pPr>
        <w:pStyle w:val="estilo30"/>
        <w:spacing w:before="240" w:beforeAutospacing="0" w:after="240" w:afterAutospacing="0" w:line="276" w:lineRule="auto"/>
        <w:jc w:val="both"/>
        <w:rPr>
          <w:rFonts w:asciiTheme="majorHAnsi" w:hAnsiTheme="majorHAnsi"/>
          <w:sz w:val="28"/>
          <w:szCs w:val="28"/>
        </w:rPr>
      </w:pPr>
      <w:r w:rsidRPr="00A170A9">
        <w:rPr>
          <w:rFonts w:asciiTheme="majorHAnsi" w:hAnsiTheme="majorHAnsi"/>
          <w:sz w:val="28"/>
          <w:szCs w:val="28"/>
        </w:rPr>
        <w:t>El artículo 15 de la Ley Federal de Telecomunicaciones y Radiodifusión, establece en su fracción XXXIX, que el Instituto Federal de Telecomunicaciones (IFT) realizará estudios e investigaciones en materia de telecomunicaciones y radiodifusión, así como los proyectos de actualización de las disposiciones legales y administrativas que resulten pertinentes. Para contribuir a dar cumplimiento con esa obligación, en 2015, el Pleno del Instituto promovió la integración del Centro de Estudios del IFT (CES) como una unidad de corte académico, abocada a desarrollar los proyectos de investigación en materia de los sectores regulados por el Instituto.</w:t>
      </w:r>
    </w:p>
    <w:p w14:paraId="6A8F4A8D" w14:textId="77777777" w:rsidR="0014509F" w:rsidRPr="00A170A9" w:rsidRDefault="0014509F" w:rsidP="00A170A9">
      <w:pPr>
        <w:pStyle w:val="estilo30"/>
        <w:spacing w:before="240" w:beforeAutospacing="0" w:after="240" w:afterAutospacing="0" w:line="276" w:lineRule="auto"/>
        <w:jc w:val="both"/>
        <w:rPr>
          <w:rFonts w:asciiTheme="majorHAnsi" w:hAnsiTheme="majorHAnsi"/>
          <w:sz w:val="28"/>
          <w:szCs w:val="28"/>
        </w:rPr>
      </w:pPr>
      <w:r w:rsidRPr="00A170A9">
        <w:rPr>
          <w:rFonts w:asciiTheme="majorHAnsi" w:hAnsiTheme="majorHAnsi"/>
          <w:sz w:val="28"/>
          <w:szCs w:val="28"/>
        </w:rPr>
        <w:t>El Estatuto Orgánico del IFT</w:t>
      </w:r>
      <w:r w:rsidRPr="00A170A9">
        <w:rPr>
          <w:rFonts w:asciiTheme="majorHAnsi" w:hAnsiTheme="majorHAnsi"/>
          <w:sz w:val="28"/>
          <w:szCs w:val="28"/>
        </w:rPr>
        <w:footnoteReference w:id="2"/>
      </w:r>
      <w:r w:rsidRPr="00A170A9">
        <w:rPr>
          <w:rFonts w:asciiTheme="majorHAnsi" w:hAnsiTheme="majorHAnsi"/>
          <w:sz w:val="28"/>
          <w:szCs w:val="28"/>
        </w:rPr>
        <w:t xml:space="preserve"> (EO) dicta las funciones del CES, especificando su operación como una unidad de reflexión y análisis, enfocada al desarrollo y la implementación de estudios e investigaciones en materia de los sectores de telecomunicaciones y radiodifusión, incluyendo aspectos de regulación y de competencia económica en dichos sectores. En aras de fortalecer la visión prospectiva del IFT, su actuación no está acotada por la operación cotidiana del Instituto, sino que el CES ha sido diseñado de tal manera que se privilegia su autonomía técnica en la realización de los estudios. </w:t>
      </w:r>
    </w:p>
    <w:p w14:paraId="162BF172" w14:textId="77777777" w:rsidR="0014509F" w:rsidRPr="00A170A9" w:rsidRDefault="0014509F" w:rsidP="00A170A9">
      <w:pPr>
        <w:pStyle w:val="estilo30"/>
        <w:spacing w:before="240" w:beforeAutospacing="0" w:after="240" w:afterAutospacing="0" w:line="276" w:lineRule="auto"/>
        <w:jc w:val="both"/>
        <w:rPr>
          <w:rFonts w:asciiTheme="majorHAnsi" w:hAnsiTheme="majorHAnsi"/>
          <w:sz w:val="28"/>
          <w:szCs w:val="28"/>
        </w:rPr>
      </w:pPr>
      <w:r w:rsidRPr="00A170A9">
        <w:rPr>
          <w:rFonts w:asciiTheme="majorHAnsi" w:hAnsiTheme="majorHAnsi"/>
          <w:sz w:val="28"/>
          <w:szCs w:val="28"/>
        </w:rPr>
        <w:t>El enfoque académico del CES le permite abordar con independencia y rigor metodológico, el estudio de temas diversos sobre los mercados, las mejores prácticas nacionales e internacionales, la regulación y el impacto de ésta, aportando al trabajo de las áreas sustantivas del IFT.</w:t>
      </w:r>
    </w:p>
    <w:p w14:paraId="2EDA5D4F" w14:textId="77777777" w:rsidR="0014509F" w:rsidRPr="00A170A9" w:rsidRDefault="0014509F" w:rsidP="00A170A9">
      <w:pPr>
        <w:pStyle w:val="estilo30"/>
        <w:spacing w:before="240" w:beforeAutospacing="0" w:after="240" w:afterAutospacing="0" w:line="276" w:lineRule="auto"/>
        <w:jc w:val="both"/>
        <w:rPr>
          <w:rFonts w:asciiTheme="majorHAnsi" w:hAnsiTheme="majorHAnsi"/>
          <w:sz w:val="28"/>
          <w:szCs w:val="28"/>
        </w:rPr>
      </w:pPr>
      <w:r w:rsidRPr="00A170A9">
        <w:rPr>
          <w:rFonts w:asciiTheme="majorHAnsi" w:hAnsiTheme="majorHAnsi"/>
          <w:sz w:val="28"/>
          <w:szCs w:val="28"/>
        </w:rPr>
        <w:t xml:space="preserve">El Programa Anual de Actividades 2018 (PAA-2018) tiene por objeto determinar los estudios e investigaciones que durante 2018 realizarán los investigadores que integran el CES, así como la realización de proyecciones y estudios de prospectiva, el análisis de los sectores y mercados nacionales e internacionales, así como las actividades de difusión, formación y vinculación académica correspondientes. Con </w:t>
      </w:r>
      <w:r w:rsidRPr="00A170A9">
        <w:rPr>
          <w:rFonts w:asciiTheme="majorHAnsi" w:hAnsiTheme="majorHAnsi"/>
          <w:sz w:val="28"/>
          <w:szCs w:val="28"/>
        </w:rPr>
        <w:lastRenderedPageBreak/>
        <w:t>ello se busca generar información y conocimiento para determinar criterios para la toma de decisiones del Pleno y las acciones regulatorias del IFT, y para dar elementos teóricos y metodológicos que apoyen oportunamente la elaboración de proyectos, resoluciones, lineamientos o cualquier otra disposición administrativa del IFT.</w:t>
      </w:r>
    </w:p>
    <w:p w14:paraId="0A3A70B3" w14:textId="77777777" w:rsidR="0014509F" w:rsidRPr="004A02BB" w:rsidRDefault="0014509F" w:rsidP="00A170A9">
      <w:pPr>
        <w:pStyle w:val="estilo30"/>
        <w:spacing w:before="240" w:beforeAutospacing="0" w:after="240" w:afterAutospacing="0" w:line="276" w:lineRule="auto"/>
        <w:jc w:val="both"/>
        <w:rPr>
          <w:rFonts w:asciiTheme="majorHAnsi" w:hAnsiTheme="majorHAnsi"/>
          <w:sz w:val="28"/>
        </w:rPr>
      </w:pPr>
      <w:r w:rsidRPr="009C200D">
        <w:rPr>
          <w:rFonts w:asciiTheme="majorHAnsi" w:hAnsiTheme="majorHAnsi"/>
          <w:sz w:val="28"/>
          <w:szCs w:val="28"/>
        </w:rPr>
        <w:t>El PAA-</w:t>
      </w:r>
      <w:r>
        <w:rPr>
          <w:rFonts w:asciiTheme="majorHAnsi" w:hAnsiTheme="majorHAnsi"/>
          <w:sz w:val="28"/>
          <w:szCs w:val="28"/>
        </w:rPr>
        <w:t>2018</w:t>
      </w:r>
      <w:r w:rsidRPr="009C200D">
        <w:rPr>
          <w:rFonts w:asciiTheme="majorHAnsi" w:hAnsiTheme="majorHAnsi"/>
          <w:sz w:val="28"/>
          <w:szCs w:val="28"/>
        </w:rPr>
        <w:t xml:space="preserve"> ha sido e</w:t>
      </w:r>
      <w:r>
        <w:rPr>
          <w:rFonts w:asciiTheme="majorHAnsi" w:hAnsiTheme="majorHAnsi"/>
          <w:sz w:val="28"/>
          <w:szCs w:val="28"/>
        </w:rPr>
        <w:t>laborado dentro del ámbito de lo</w:t>
      </w:r>
      <w:r w:rsidRPr="009C200D">
        <w:rPr>
          <w:rFonts w:asciiTheme="majorHAnsi" w:hAnsiTheme="majorHAnsi"/>
          <w:sz w:val="28"/>
          <w:szCs w:val="28"/>
        </w:rPr>
        <w:t xml:space="preserve">s </w:t>
      </w:r>
      <w:r>
        <w:rPr>
          <w:rFonts w:asciiTheme="majorHAnsi" w:hAnsiTheme="majorHAnsi"/>
          <w:sz w:val="28"/>
          <w:szCs w:val="28"/>
        </w:rPr>
        <w:t>propósitos</w:t>
      </w:r>
      <w:r w:rsidRPr="009C200D">
        <w:rPr>
          <w:rFonts w:asciiTheme="majorHAnsi" w:hAnsiTheme="majorHAnsi"/>
          <w:sz w:val="28"/>
          <w:szCs w:val="28"/>
        </w:rPr>
        <w:t xml:space="preserve"> que el </w:t>
      </w:r>
      <w:r>
        <w:rPr>
          <w:rFonts w:asciiTheme="majorHAnsi" w:hAnsiTheme="majorHAnsi"/>
          <w:sz w:val="28"/>
          <w:szCs w:val="28"/>
        </w:rPr>
        <w:t xml:space="preserve">Pleno del </w:t>
      </w:r>
      <w:r w:rsidRPr="00A170A9">
        <w:rPr>
          <w:rFonts w:ascii="ITC Avant Garde" w:hAnsi="ITC Avant Garde"/>
          <w:bCs/>
          <w:color w:val="000000"/>
          <w:sz w:val="20"/>
          <w:szCs w:val="20"/>
        </w:rPr>
        <w:t>Instituto</w:t>
      </w:r>
      <w:r>
        <w:rPr>
          <w:rFonts w:asciiTheme="majorHAnsi" w:hAnsiTheme="majorHAnsi"/>
          <w:sz w:val="28"/>
          <w:szCs w:val="28"/>
        </w:rPr>
        <w:t xml:space="preserve"> le ha asignado al CES y</w:t>
      </w:r>
      <w:r w:rsidRPr="009C200D">
        <w:rPr>
          <w:rFonts w:asciiTheme="majorHAnsi" w:hAnsiTheme="majorHAnsi"/>
          <w:sz w:val="28"/>
          <w:szCs w:val="28"/>
        </w:rPr>
        <w:t xml:space="preserve"> </w:t>
      </w:r>
      <w:r>
        <w:rPr>
          <w:rFonts w:asciiTheme="majorHAnsi" w:hAnsiTheme="majorHAnsi"/>
          <w:sz w:val="28"/>
          <w:szCs w:val="28"/>
        </w:rPr>
        <w:t>en estricto apego a las atribuciones que el EO le confiere al CES. Toma</w:t>
      </w:r>
      <w:r w:rsidRPr="009C200D">
        <w:rPr>
          <w:rFonts w:asciiTheme="majorHAnsi" w:hAnsiTheme="majorHAnsi"/>
          <w:sz w:val="28"/>
          <w:szCs w:val="28"/>
        </w:rPr>
        <w:t xml:space="preserve"> en consideración </w:t>
      </w:r>
      <w:r>
        <w:rPr>
          <w:rFonts w:asciiTheme="majorHAnsi" w:hAnsiTheme="majorHAnsi"/>
          <w:sz w:val="28"/>
          <w:szCs w:val="28"/>
        </w:rPr>
        <w:t>los objetivos del IFT</w:t>
      </w:r>
      <w:r>
        <w:rPr>
          <w:rStyle w:val="Refdenotaalpie"/>
          <w:rFonts w:asciiTheme="majorHAnsi" w:hAnsiTheme="majorHAnsi"/>
          <w:sz w:val="28"/>
          <w:szCs w:val="28"/>
          <w:lang w:val="es-ES"/>
        </w:rPr>
        <w:footnoteReference w:id="3"/>
      </w:r>
      <w:r>
        <w:rPr>
          <w:rFonts w:asciiTheme="majorHAnsi" w:hAnsiTheme="majorHAnsi"/>
          <w:sz w:val="28"/>
        </w:rPr>
        <w:t>, se circunscribe a lo previsto en e</w:t>
      </w:r>
      <w:r w:rsidRPr="004A02BB">
        <w:rPr>
          <w:rFonts w:asciiTheme="majorHAnsi" w:hAnsiTheme="majorHAnsi"/>
          <w:sz w:val="28"/>
        </w:rPr>
        <w:t xml:space="preserve">l </w:t>
      </w:r>
      <w:r w:rsidRPr="00D23E4C">
        <w:rPr>
          <w:rFonts w:asciiTheme="majorHAnsi" w:hAnsiTheme="majorHAnsi"/>
          <w:sz w:val="28"/>
        </w:rPr>
        <w:t xml:space="preserve">Programa </w:t>
      </w:r>
      <w:r w:rsidRPr="00D23E4C">
        <w:rPr>
          <w:rFonts w:asciiTheme="majorHAnsi" w:hAnsiTheme="majorHAnsi"/>
          <w:sz w:val="28"/>
          <w:szCs w:val="28"/>
        </w:rPr>
        <w:t xml:space="preserve">Anual </w:t>
      </w:r>
      <w:r w:rsidRPr="00D23E4C">
        <w:rPr>
          <w:rFonts w:asciiTheme="majorHAnsi" w:hAnsiTheme="majorHAnsi"/>
          <w:sz w:val="28"/>
        </w:rPr>
        <w:t>de Trabajo del Instituto 2018</w:t>
      </w:r>
      <w:r w:rsidRPr="00D23E4C">
        <w:rPr>
          <w:rFonts w:asciiTheme="majorHAnsi" w:hAnsiTheme="majorHAnsi"/>
          <w:sz w:val="28"/>
          <w:szCs w:val="28"/>
        </w:rPr>
        <w:t xml:space="preserve"> (PAT-2018), aprobado por el Pleno</w:t>
      </w:r>
      <w:r>
        <w:rPr>
          <w:rFonts w:asciiTheme="majorHAnsi" w:hAnsiTheme="majorHAnsi"/>
          <w:sz w:val="28"/>
          <w:szCs w:val="28"/>
        </w:rPr>
        <w:t>, así como en los temas prospectivos de relevancia para el mediano y el largo plazo.</w:t>
      </w:r>
    </w:p>
    <w:p w14:paraId="7F024410" w14:textId="77777777" w:rsidR="0014509F" w:rsidRDefault="0014509F" w:rsidP="00A170A9">
      <w:pPr>
        <w:pStyle w:val="estilo30"/>
        <w:spacing w:before="240" w:beforeAutospacing="0" w:after="240" w:afterAutospacing="0" w:line="276" w:lineRule="auto"/>
        <w:jc w:val="both"/>
        <w:rPr>
          <w:rStyle w:val="Hipervnculo"/>
          <w:rFonts w:asciiTheme="majorHAnsi" w:hAnsiTheme="majorHAnsi"/>
          <w:sz w:val="28"/>
          <w:szCs w:val="28"/>
        </w:rPr>
      </w:pPr>
      <w:r w:rsidRPr="00044421">
        <w:rPr>
          <w:rStyle w:val="Hipervnculo"/>
          <w:rFonts w:asciiTheme="majorHAnsi" w:hAnsiTheme="majorHAnsi"/>
          <w:color w:val="000000" w:themeColor="text1"/>
          <w:sz w:val="28"/>
          <w:szCs w:val="28"/>
          <w:lang w:val="es-ES"/>
        </w:rPr>
        <w:t>El objetivo</w:t>
      </w:r>
      <w:r w:rsidRPr="001507A7">
        <w:rPr>
          <w:rStyle w:val="Hipervnculo"/>
          <w:rFonts w:asciiTheme="majorHAnsi" w:hAnsiTheme="majorHAnsi"/>
          <w:color w:val="000000" w:themeColor="text1"/>
          <w:sz w:val="28"/>
          <w:szCs w:val="28"/>
          <w:lang w:val="es-ES"/>
        </w:rPr>
        <w:t xml:space="preserve"> </w:t>
      </w:r>
      <w:r>
        <w:rPr>
          <w:rStyle w:val="Hipervnculo"/>
          <w:rFonts w:asciiTheme="majorHAnsi" w:hAnsiTheme="majorHAnsi"/>
          <w:color w:val="000000" w:themeColor="text1"/>
          <w:sz w:val="28"/>
          <w:szCs w:val="28"/>
          <w:lang w:val="es-ES"/>
        </w:rPr>
        <w:t>que el Pleno del IFT ha determinado para el CES,</w:t>
      </w:r>
      <w:r w:rsidRPr="00044421">
        <w:rPr>
          <w:rFonts w:asciiTheme="majorHAnsi" w:hAnsiTheme="majorHAnsi"/>
          <w:sz w:val="28"/>
          <w:szCs w:val="28"/>
        </w:rPr>
        <w:t xml:space="preserve"> es el elemento que identifica la finalidad hacia la cual deben dirigirse sus recursos y esfuerzos, para dar cumplimiento a su misión de apoyo a las funciones sustantivas del IFT, bajo una visión académica, de largo plazo y sujeta a los principios y valores institucionales.</w:t>
      </w:r>
      <w:r>
        <w:t xml:space="preserve"> </w:t>
      </w:r>
      <w:r>
        <w:rPr>
          <w:rFonts w:asciiTheme="majorHAnsi" w:hAnsiTheme="majorHAnsi"/>
          <w:sz w:val="28"/>
          <w:szCs w:val="28"/>
        </w:rPr>
        <w:t>Este objetivo consiste en realizar, bajo un enfoque prospectivo</w:t>
      </w:r>
      <w:r w:rsidRPr="00844EF5">
        <w:rPr>
          <w:rFonts w:asciiTheme="majorHAnsi" w:hAnsiTheme="majorHAnsi"/>
          <w:sz w:val="28"/>
          <w:szCs w:val="28"/>
        </w:rPr>
        <w:t>, estudios e investigaciones sobre temas de interés</w:t>
      </w:r>
      <w:r>
        <w:rPr>
          <w:rFonts w:asciiTheme="majorHAnsi" w:hAnsiTheme="majorHAnsi"/>
          <w:sz w:val="28"/>
          <w:szCs w:val="28"/>
        </w:rPr>
        <w:t xml:space="preserve"> actual, </w:t>
      </w:r>
      <w:r w:rsidRPr="00844EF5">
        <w:rPr>
          <w:rFonts w:asciiTheme="majorHAnsi" w:hAnsiTheme="majorHAnsi"/>
          <w:sz w:val="28"/>
          <w:szCs w:val="28"/>
        </w:rPr>
        <w:t xml:space="preserve">teniendo como fin </w:t>
      </w:r>
      <w:r>
        <w:rPr>
          <w:rFonts w:asciiTheme="majorHAnsi" w:hAnsiTheme="majorHAnsi"/>
          <w:sz w:val="28"/>
          <w:szCs w:val="28"/>
        </w:rPr>
        <w:t xml:space="preserve">último </w:t>
      </w:r>
      <w:r w:rsidRPr="00844EF5">
        <w:rPr>
          <w:rFonts w:asciiTheme="majorHAnsi" w:hAnsiTheme="majorHAnsi"/>
          <w:sz w:val="28"/>
          <w:szCs w:val="28"/>
        </w:rPr>
        <w:t xml:space="preserve">sustentar las acciones y decisiones del Instituto y contribuir al desarrollo de los sectores </w:t>
      </w:r>
      <w:r>
        <w:rPr>
          <w:rFonts w:asciiTheme="majorHAnsi" w:hAnsiTheme="majorHAnsi"/>
          <w:sz w:val="28"/>
          <w:szCs w:val="28"/>
        </w:rPr>
        <w:t xml:space="preserve">que regula. Dicho </w:t>
      </w:r>
      <w:r w:rsidRPr="00A170A9">
        <w:rPr>
          <w:rFonts w:ascii="ITC Avant Garde" w:hAnsi="ITC Avant Garde"/>
          <w:bCs/>
          <w:color w:val="000000"/>
          <w:sz w:val="20"/>
          <w:szCs w:val="20"/>
        </w:rPr>
        <w:t>objeto</w:t>
      </w:r>
      <w:r>
        <w:rPr>
          <w:rFonts w:asciiTheme="majorHAnsi" w:hAnsiTheme="majorHAnsi"/>
          <w:sz w:val="28"/>
          <w:szCs w:val="28"/>
        </w:rPr>
        <w:t xml:space="preserve"> se precisa a través de los objetivos colectivos específicos del CES, los cuales guían su acción durante 2018. Estos incluyen: la elaboración de estudios e investigaciones programados en los sectores regulados y en materia de competencia económica de los mismos; las investigaciones por solicitud del Pleno del IFT; la contribución al conocimiento y la realización de acciones de vinculación con centros de investigación, instituciones académicas nacionales y extranjeras, y la contratación y administración de bases de datos necesarias para la operación del organismo (Véase Cuadro 1).</w:t>
      </w:r>
    </w:p>
    <w:tbl>
      <w:tblPr>
        <w:tblStyle w:val="Tablaconcuadrcula"/>
        <w:tblW w:w="9416" w:type="dxa"/>
        <w:tblInd w:w="5" w:type="dxa"/>
        <w:tblLook w:val="04A0" w:firstRow="1" w:lastRow="0" w:firstColumn="1" w:lastColumn="0" w:noHBand="0" w:noVBand="1"/>
        <w:tblCaption w:val="cuadro 1 objetivos del IFT y CES"/>
        <w:tblDescription w:val="cuadro 1 objetivos del IFT y CES"/>
      </w:tblPr>
      <w:tblGrid>
        <w:gridCol w:w="9416"/>
      </w:tblGrid>
      <w:tr w:rsidR="0014509F" w14:paraId="7BAF64B1" w14:textId="77777777" w:rsidTr="00A170A9">
        <w:trPr>
          <w:trHeight w:val="562"/>
          <w:tblHeader/>
        </w:trPr>
        <w:tc>
          <w:tcPr>
            <w:tcW w:w="9416" w:type="dxa"/>
            <w:tcBorders>
              <w:top w:val="double" w:sz="4" w:space="0" w:color="297FD5"/>
              <w:left w:val="nil"/>
              <w:bottom w:val="double" w:sz="4" w:space="0" w:color="A5A5A5" w:themeColor="accent3"/>
              <w:right w:val="nil"/>
            </w:tcBorders>
            <w:vAlign w:val="center"/>
          </w:tcPr>
          <w:p w14:paraId="14FA0D21" w14:textId="77777777" w:rsidR="0014509F" w:rsidRPr="005F02DC" w:rsidRDefault="0014509F" w:rsidP="00A170A9">
            <w:pPr>
              <w:keepNext/>
              <w:keepLines/>
              <w:spacing w:after="100" w:afterAutospacing="1"/>
              <w:jc w:val="both"/>
              <w:rPr>
                <w:rFonts w:asciiTheme="majorHAnsi" w:hAnsiTheme="majorHAnsi"/>
                <w:b/>
                <w:color w:val="7B7B7B" w:themeColor="accent3" w:themeShade="BF"/>
                <w:sz w:val="16"/>
                <w:szCs w:val="16"/>
              </w:rPr>
            </w:pPr>
          </w:p>
          <w:p w14:paraId="57D67371" w14:textId="77777777" w:rsidR="0014509F" w:rsidRPr="00A170A9" w:rsidRDefault="0014509F" w:rsidP="00A170A9">
            <w:pPr>
              <w:keepNext/>
              <w:keepLines/>
              <w:spacing w:after="100" w:afterAutospacing="1"/>
              <w:jc w:val="center"/>
              <w:rPr>
                <w:rFonts w:asciiTheme="majorHAnsi" w:hAnsiTheme="majorHAnsi"/>
                <w:b/>
                <w:color w:val="0070C0"/>
                <w:sz w:val="28"/>
                <w:szCs w:val="28"/>
              </w:rPr>
            </w:pPr>
            <w:r w:rsidRPr="00A170A9">
              <w:rPr>
                <w:rFonts w:asciiTheme="majorHAnsi" w:hAnsiTheme="majorHAnsi"/>
                <w:b/>
                <w:color w:val="0070C0"/>
                <w:sz w:val="28"/>
                <w:szCs w:val="28"/>
              </w:rPr>
              <w:t>Cuadro 1. Objetivos del IFT y CES</w:t>
            </w:r>
          </w:p>
          <w:p w14:paraId="5917A8B1" w14:textId="77777777" w:rsidR="0014509F" w:rsidRPr="005F02DC" w:rsidRDefault="0014509F" w:rsidP="00A170A9">
            <w:pPr>
              <w:keepNext/>
              <w:keepLines/>
              <w:spacing w:after="100" w:afterAutospacing="1"/>
              <w:jc w:val="both"/>
              <w:rPr>
                <w:b/>
                <w:color w:val="7B7B7B" w:themeColor="accent3" w:themeShade="BF"/>
                <w:sz w:val="16"/>
                <w:szCs w:val="16"/>
              </w:rPr>
            </w:pPr>
          </w:p>
        </w:tc>
      </w:tr>
      <w:tr w:rsidR="0014509F" w14:paraId="37EBFAFA" w14:textId="77777777" w:rsidTr="00A170A9">
        <w:trPr>
          <w:trHeight w:val="6505"/>
        </w:trPr>
        <w:tc>
          <w:tcPr>
            <w:tcW w:w="9416" w:type="dxa"/>
            <w:tcBorders>
              <w:top w:val="double" w:sz="4" w:space="0" w:color="A5A5A5" w:themeColor="accent3"/>
              <w:left w:val="nil"/>
              <w:bottom w:val="double" w:sz="4" w:space="0" w:color="A5A5A5" w:themeColor="accent3"/>
              <w:right w:val="nil"/>
            </w:tcBorders>
          </w:tcPr>
          <w:p w14:paraId="12B6C4B4" w14:textId="77777777" w:rsidR="0014509F" w:rsidRPr="00170A75" w:rsidRDefault="0014509F" w:rsidP="00A170A9">
            <w:pPr>
              <w:keepNext/>
              <w:keepLines/>
              <w:spacing w:after="100" w:afterAutospacing="1"/>
              <w:jc w:val="both"/>
              <w:rPr>
                <w:rFonts w:asciiTheme="majorHAnsi" w:hAnsiTheme="majorHAnsi"/>
              </w:rPr>
            </w:pPr>
            <w:r>
              <w:rPr>
                <w:rFonts w:asciiTheme="majorHAnsi" w:hAnsiTheme="majorHAnsi"/>
                <w:noProof/>
                <w:sz w:val="28"/>
                <w:szCs w:val="28"/>
                <w:lang w:eastAsia="es-MX"/>
              </w:rPr>
              <w:drawing>
                <wp:inline distT="0" distB="0" distL="0" distR="0" wp14:anchorId="4AEC49EC" wp14:editId="65DCBCCC">
                  <wp:extent cx="5691188" cy="3819525"/>
                  <wp:effectExtent l="0" t="0" r="5080" b="9525"/>
                  <wp:docPr id="7" name="Diagrama 7" descr="Cuadro 1. Objetivos del IFT y CES&#10;" title="Cuadro 1. Objetivos del IFT y C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8A4DE2C" w14:textId="77777777" w:rsidR="0014509F" w:rsidRPr="00463A49" w:rsidRDefault="0014509F" w:rsidP="00A170A9">
            <w:pPr>
              <w:keepNext/>
              <w:keepLines/>
              <w:spacing w:after="100" w:afterAutospacing="1"/>
              <w:jc w:val="both"/>
              <w:rPr>
                <w:rFonts w:asciiTheme="majorHAnsi" w:hAnsiTheme="majorHAnsi"/>
              </w:rPr>
            </w:pPr>
            <w:r w:rsidRPr="00463A49">
              <w:rPr>
                <w:rFonts w:asciiTheme="majorHAnsi" w:hAnsiTheme="majorHAnsi"/>
              </w:rPr>
              <w:t xml:space="preserve">Fuente: </w:t>
            </w:r>
            <w:r>
              <w:rPr>
                <w:rFonts w:asciiTheme="majorHAnsi" w:hAnsiTheme="majorHAnsi"/>
              </w:rPr>
              <w:t>Programa Anual de Trabajo 2017, IFT.</w:t>
            </w:r>
          </w:p>
        </w:tc>
      </w:tr>
    </w:tbl>
    <w:p w14:paraId="1951C8A4" w14:textId="77777777" w:rsidR="0014509F" w:rsidRDefault="0014509F" w:rsidP="0014509F">
      <w:pPr>
        <w:jc w:val="both"/>
        <w:rPr>
          <w:rFonts w:asciiTheme="majorHAnsi" w:hAnsiTheme="majorHAnsi"/>
          <w:sz w:val="28"/>
          <w:szCs w:val="28"/>
        </w:rPr>
      </w:pPr>
      <w:r>
        <w:rPr>
          <w:rFonts w:asciiTheme="majorHAnsi" w:hAnsiTheme="majorHAnsi"/>
          <w:sz w:val="28"/>
          <w:szCs w:val="28"/>
        </w:rPr>
        <w:br w:type="page"/>
      </w:r>
    </w:p>
    <w:p w14:paraId="718AECA7" w14:textId="77777777" w:rsidR="0014509F" w:rsidRPr="007C1B14" w:rsidRDefault="0014509F" w:rsidP="0014509F">
      <w:pPr>
        <w:keepNext/>
        <w:keepLines/>
        <w:spacing w:after="100" w:afterAutospacing="1"/>
        <w:jc w:val="both"/>
        <w:rPr>
          <w:rFonts w:asciiTheme="majorHAnsi" w:hAnsiTheme="majorHAnsi"/>
          <w:sz w:val="28"/>
          <w:szCs w:val="28"/>
        </w:rPr>
      </w:pPr>
      <w:r>
        <w:rPr>
          <w:rFonts w:asciiTheme="majorHAnsi" w:hAnsiTheme="majorHAnsi"/>
          <w:sz w:val="28"/>
          <w:szCs w:val="28"/>
        </w:rPr>
        <w:lastRenderedPageBreak/>
        <w:t>E</w:t>
      </w:r>
      <w:r w:rsidRPr="007C1B14">
        <w:rPr>
          <w:rFonts w:asciiTheme="majorHAnsi" w:hAnsiTheme="majorHAnsi"/>
          <w:sz w:val="28"/>
          <w:szCs w:val="28"/>
        </w:rPr>
        <w:t>l PAA-</w:t>
      </w:r>
      <w:r>
        <w:rPr>
          <w:rFonts w:asciiTheme="majorHAnsi" w:hAnsiTheme="majorHAnsi"/>
          <w:sz w:val="28"/>
          <w:szCs w:val="28"/>
        </w:rPr>
        <w:t>2018 integra en tres</w:t>
      </w:r>
      <w:r w:rsidRPr="007C1B14">
        <w:rPr>
          <w:rFonts w:asciiTheme="majorHAnsi" w:hAnsiTheme="majorHAnsi"/>
          <w:sz w:val="28"/>
          <w:szCs w:val="28"/>
        </w:rPr>
        <w:t xml:space="preserve"> secciones las acciones a realizar durante </w:t>
      </w:r>
      <w:r>
        <w:rPr>
          <w:rFonts w:asciiTheme="majorHAnsi" w:hAnsiTheme="majorHAnsi"/>
          <w:sz w:val="28"/>
          <w:szCs w:val="28"/>
        </w:rPr>
        <w:t>el año</w:t>
      </w:r>
      <w:r w:rsidRPr="007C1B14">
        <w:rPr>
          <w:rFonts w:asciiTheme="majorHAnsi" w:hAnsiTheme="majorHAnsi"/>
          <w:sz w:val="28"/>
          <w:szCs w:val="28"/>
        </w:rPr>
        <w:t>:</w:t>
      </w:r>
    </w:p>
    <w:p w14:paraId="79A5C1E5" w14:textId="77777777" w:rsidR="0014509F" w:rsidRPr="00A170A9" w:rsidRDefault="0014509F" w:rsidP="00984ED1">
      <w:pPr>
        <w:pStyle w:val="Prrafodelista"/>
        <w:keepNext/>
        <w:keepLines/>
        <w:numPr>
          <w:ilvl w:val="0"/>
          <w:numId w:val="4"/>
        </w:numPr>
        <w:spacing w:after="100" w:afterAutospacing="1" w:line="264" w:lineRule="auto"/>
        <w:ind w:left="0" w:firstLine="851"/>
        <w:jc w:val="both"/>
        <w:rPr>
          <w:rFonts w:asciiTheme="majorHAnsi" w:hAnsiTheme="majorHAnsi"/>
          <w:b/>
          <w:color w:val="0070C0"/>
          <w:sz w:val="28"/>
          <w:szCs w:val="28"/>
        </w:rPr>
      </w:pPr>
      <w:r w:rsidRPr="00A170A9">
        <w:rPr>
          <w:rFonts w:asciiTheme="majorHAnsi" w:hAnsiTheme="majorHAnsi"/>
          <w:b/>
          <w:color w:val="0070C0"/>
          <w:sz w:val="28"/>
          <w:szCs w:val="28"/>
        </w:rPr>
        <w:t>Labores continuas (fracciones II y V a XIX del artículo 69 del EO).</w:t>
      </w:r>
    </w:p>
    <w:p w14:paraId="670C5883" w14:textId="77777777" w:rsidR="0014509F" w:rsidRDefault="0014509F" w:rsidP="00A170A9">
      <w:pPr>
        <w:pStyle w:val="estilo30"/>
        <w:spacing w:before="240" w:beforeAutospacing="0" w:after="240" w:afterAutospacing="0" w:line="276" w:lineRule="auto"/>
        <w:jc w:val="both"/>
        <w:rPr>
          <w:rFonts w:asciiTheme="majorHAnsi" w:hAnsiTheme="majorHAnsi"/>
          <w:b/>
          <w:color w:val="7B7B7B" w:themeColor="accent3" w:themeShade="BF"/>
          <w:sz w:val="28"/>
          <w:szCs w:val="28"/>
        </w:rPr>
      </w:pPr>
      <w:r w:rsidRPr="00C93E1C">
        <w:rPr>
          <w:rFonts w:asciiTheme="majorHAnsi" w:hAnsiTheme="majorHAnsi"/>
          <w:sz w:val="28"/>
          <w:szCs w:val="28"/>
        </w:rPr>
        <w:t xml:space="preserve">Incluye la elaboración de estudios </w:t>
      </w:r>
      <w:r>
        <w:rPr>
          <w:rFonts w:asciiTheme="majorHAnsi" w:hAnsiTheme="majorHAnsi"/>
          <w:sz w:val="28"/>
          <w:szCs w:val="28"/>
        </w:rPr>
        <w:t xml:space="preserve">e investigaciones </w:t>
      </w:r>
      <w:r w:rsidRPr="00C93E1C">
        <w:rPr>
          <w:rFonts w:asciiTheme="majorHAnsi" w:hAnsiTheme="majorHAnsi"/>
          <w:sz w:val="28"/>
          <w:szCs w:val="28"/>
        </w:rPr>
        <w:t xml:space="preserve">específicos aprobados por el Pleno, detallando los temas que el CES desarrollará de manera programada durante el 2018, la administración de la biblioteca y la compilación y publicación de </w:t>
      </w:r>
      <w:r>
        <w:rPr>
          <w:rFonts w:asciiTheme="majorHAnsi" w:hAnsiTheme="majorHAnsi"/>
          <w:sz w:val="28"/>
          <w:szCs w:val="28"/>
        </w:rPr>
        <w:t>estudios e investigaciones</w:t>
      </w:r>
      <w:r w:rsidRPr="00C93E1C">
        <w:rPr>
          <w:rFonts w:asciiTheme="majorHAnsi" w:hAnsiTheme="majorHAnsi"/>
          <w:sz w:val="28"/>
          <w:szCs w:val="28"/>
        </w:rPr>
        <w:t>.</w:t>
      </w:r>
    </w:p>
    <w:p w14:paraId="5FAC9033" w14:textId="77777777" w:rsidR="0014509F" w:rsidRPr="00A170A9" w:rsidRDefault="0014509F" w:rsidP="00984ED1">
      <w:pPr>
        <w:pStyle w:val="Prrafodelista"/>
        <w:keepNext/>
        <w:keepLines/>
        <w:numPr>
          <w:ilvl w:val="0"/>
          <w:numId w:val="4"/>
        </w:numPr>
        <w:spacing w:after="100" w:afterAutospacing="1" w:line="264" w:lineRule="auto"/>
        <w:ind w:left="0" w:firstLine="851"/>
        <w:jc w:val="both"/>
        <w:rPr>
          <w:rFonts w:asciiTheme="majorHAnsi" w:hAnsiTheme="majorHAnsi"/>
          <w:b/>
          <w:color w:val="0070C0"/>
          <w:sz w:val="28"/>
          <w:szCs w:val="28"/>
        </w:rPr>
      </w:pPr>
      <w:r w:rsidRPr="00A170A9">
        <w:rPr>
          <w:rFonts w:asciiTheme="majorHAnsi" w:hAnsiTheme="majorHAnsi"/>
          <w:b/>
          <w:color w:val="0070C0"/>
          <w:sz w:val="28"/>
          <w:szCs w:val="28"/>
        </w:rPr>
        <w:t>Estudios, análisis y solicitudes de información recurrentes (fracciones II y III del artículo 69 del EO).</w:t>
      </w:r>
    </w:p>
    <w:p w14:paraId="7A24E2F8"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Pr>
          <w:rFonts w:asciiTheme="majorHAnsi" w:hAnsiTheme="majorHAnsi"/>
          <w:sz w:val="28"/>
          <w:szCs w:val="28"/>
        </w:rPr>
        <w:t xml:space="preserve">Cubre los estudios, investigaciones y evaluaciones, </w:t>
      </w:r>
      <w:r w:rsidRPr="00844EF5">
        <w:rPr>
          <w:rFonts w:asciiTheme="majorHAnsi" w:hAnsiTheme="majorHAnsi"/>
          <w:sz w:val="28"/>
          <w:szCs w:val="28"/>
        </w:rPr>
        <w:t xml:space="preserve">que a solicitud </w:t>
      </w:r>
      <w:r>
        <w:rPr>
          <w:rFonts w:asciiTheme="majorHAnsi" w:hAnsiTheme="majorHAnsi"/>
          <w:sz w:val="28"/>
          <w:szCs w:val="28"/>
        </w:rPr>
        <w:t xml:space="preserve">expresa del Pleno </w:t>
      </w:r>
      <w:r w:rsidRPr="00844EF5">
        <w:rPr>
          <w:rFonts w:asciiTheme="majorHAnsi" w:hAnsiTheme="majorHAnsi"/>
          <w:sz w:val="28"/>
          <w:szCs w:val="28"/>
        </w:rPr>
        <w:t>realice el</w:t>
      </w:r>
      <w:r>
        <w:rPr>
          <w:rFonts w:asciiTheme="majorHAnsi" w:hAnsiTheme="majorHAnsi"/>
          <w:sz w:val="28"/>
          <w:szCs w:val="28"/>
        </w:rPr>
        <w:t xml:space="preserve"> CES</w:t>
      </w:r>
      <w:r w:rsidRPr="00844EF5">
        <w:rPr>
          <w:rFonts w:asciiTheme="majorHAnsi" w:hAnsiTheme="majorHAnsi"/>
          <w:sz w:val="28"/>
          <w:szCs w:val="28"/>
        </w:rPr>
        <w:t xml:space="preserve"> par</w:t>
      </w:r>
      <w:r>
        <w:rPr>
          <w:rFonts w:asciiTheme="majorHAnsi" w:hAnsiTheme="majorHAnsi"/>
          <w:sz w:val="28"/>
          <w:szCs w:val="28"/>
        </w:rPr>
        <w:t>a atender una petición concreta. Así también, cuando corresponda hacer la actualización de las investigaciones y las proyecciones realizadas con anterioridad</w:t>
      </w:r>
      <w:r w:rsidRPr="00844EF5">
        <w:rPr>
          <w:rFonts w:asciiTheme="majorHAnsi" w:hAnsiTheme="majorHAnsi"/>
          <w:sz w:val="28"/>
          <w:szCs w:val="28"/>
        </w:rPr>
        <w:t>, ya sea por la disponibilidad de nueva información en cuanto a datos o por la introducción de nuevas políticas</w:t>
      </w:r>
      <w:r>
        <w:rPr>
          <w:rFonts w:asciiTheme="majorHAnsi" w:hAnsiTheme="majorHAnsi"/>
          <w:sz w:val="28"/>
          <w:szCs w:val="28"/>
        </w:rPr>
        <w:t xml:space="preserve"> y regulaciones.</w:t>
      </w:r>
    </w:p>
    <w:p w14:paraId="74243A41" w14:textId="77777777" w:rsidR="0014509F" w:rsidRPr="00A170A9" w:rsidRDefault="0014509F" w:rsidP="00984ED1">
      <w:pPr>
        <w:pStyle w:val="Prrafodelista"/>
        <w:keepNext/>
        <w:keepLines/>
        <w:numPr>
          <w:ilvl w:val="0"/>
          <w:numId w:val="4"/>
        </w:numPr>
        <w:spacing w:after="100" w:afterAutospacing="1" w:line="264" w:lineRule="auto"/>
        <w:ind w:left="0" w:firstLine="851"/>
        <w:jc w:val="both"/>
        <w:rPr>
          <w:rFonts w:asciiTheme="majorHAnsi" w:hAnsiTheme="majorHAnsi"/>
          <w:b/>
          <w:color w:val="0070C0"/>
          <w:sz w:val="28"/>
          <w:szCs w:val="28"/>
        </w:rPr>
      </w:pPr>
      <w:r w:rsidRPr="00A170A9">
        <w:rPr>
          <w:rFonts w:asciiTheme="majorHAnsi" w:hAnsiTheme="majorHAnsi"/>
          <w:b/>
          <w:color w:val="0070C0"/>
          <w:sz w:val="28"/>
          <w:szCs w:val="28"/>
        </w:rPr>
        <w:t xml:space="preserve">Eventos de formación y vinculación (fracciones IV y V del artículo 69 del EO). </w:t>
      </w:r>
    </w:p>
    <w:p w14:paraId="2CDBBAB0"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Pr>
          <w:rFonts w:asciiTheme="majorHAnsi" w:hAnsiTheme="majorHAnsi"/>
          <w:sz w:val="28"/>
          <w:szCs w:val="28"/>
        </w:rPr>
        <w:t>Se refiere a los eventos y publicaciones mediante los cuales e</w:t>
      </w:r>
      <w:r w:rsidRPr="00844EF5">
        <w:rPr>
          <w:rFonts w:asciiTheme="majorHAnsi" w:hAnsiTheme="majorHAnsi"/>
          <w:sz w:val="28"/>
          <w:szCs w:val="28"/>
        </w:rPr>
        <w:t>l</w:t>
      </w:r>
      <w:r>
        <w:rPr>
          <w:rFonts w:asciiTheme="majorHAnsi" w:hAnsiTheme="majorHAnsi"/>
          <w:sz w:val="28"/>
          <w:szCs w:val="28"/>
        </w:rPr>
        <w:t xml:space="preserve"> CES </w:t>
      </w:r>
      <w:r w:rsidRPr="00844EF5">
        <w:rPr>
          <w:rFonts w:asciiTheme="majorHAnsi" w:hAnsiTheme="majorHAnsi"/>
          <w:sz w:val="28"/>
          <w:szCs w:val="28"/>
        </w:rPr>
        <w:t>da a conocer las investigac</w:t>
      </w:r>
      <w:r>
        <w:rPr>
          <w:rFonts w:asciiTheme="majorHAnsi" w:hAnsiTheme="majorHAnsi"/>
          <w:sz w:val="28"/>
          <w:szCs w:val="28"/>
        </w:rPr>
        <w:t>iones y los estudios realizados</w:t>
      </w:r>
      <w:r>
        <w:rPr>
          <w:rStyle w:val="Refdenotaalpie"/>
          <w:rFonts w:asciiTheme="majorHAnsi" w:hAnsiTheme="majorHAnsi"/>
          <w:sz w:val="28"/>
          <w:szCs w:val="28"/>
        </w:rPr>
        <w:footnoteReference w:id="4"/>
      </w:r>
      <w:r>
        <w:rPr>
          <w:rFonts w:asciiTheme="majorHAnsi" w:hAnsiTheme="majorHAnsi"/>
          <w:sz w:val="28"/>
          <w:szCs w:val="28"/>
        </w:rPr>
        <w:t xml:space="preserve">, e incluye </w:t>
      </w:r>
      <w:r w:rsidRPr="00844EF5">
        <w:rPr>
          <w:rFonts w:asciiTheme="majorHAnsi" w:hAnsiTheme="majorHAnsi"/>
          <w:sz w:val="28"/>
          <w:szCs w:val="28"/>
        </w:rPr>
        <w:t xml:space="preserve">la realización de eventos de corte académico que contribuyan a la formación del personal del </w:t>
      </w:r>
      <w:r>
        <w:rPr>
          <w:rFonts w:asciiTheme="majorHAnsi" w:hAnsiTheme="majorHAnsi"/>
          <w:sz w:val="28"/>
          <w:szCs w:val="28"/>
        </w:rPr>
        <w:t>Instituto</w:t>
      </w:r>
      <w:r w:rsidRPr="00844EF5">
        <w:rPr>
          <w:rFonts w:asciiTheme="majorHAnsi" w:hAnsiTheme="majorHAnsi"/>
          <w:sz w:val="28"/>
          <w:szCs w:val="28"/>
        </w:rPr>
        <w:t xml:space="preserve">. </w:t>
      </w:r>
      <w:r>
        <w:rPr>
          <w:rFonts w:asciiTheme="majorHAnsi" w:hAnsiTheme="majorHAnsi"/>
          <w:sz w:val="28"/>
          <w:szCs w:val="28"/>
        </w:rPr>
        <w:t xml:space="preserve">En materia de vinculación, contempla las </w:t>
      </w:r>
      <w:r w:rsidRPr="00574570">
        <w:rPr>
          <w:rFonts w:asciiTheme="majorHAnsi" w:hAnsiTheme="majorHAnsi"/>
          <w:sz w:val="28"/>
          <w:szCs w:val="28"/>
        </w:rPr>
        <w:t xml:space="preserve">acciones de colaboración académica </w:t>
      </w:r>
      <w:r>
        <w:rPr>
          <w:rFonts w:asciiTheme="majorHAnsi" w:hAnsiTheme="majorHAnsi"/>
          <w:sz w:val="28"/>
          <w:szCs w:val="28"/>
        </w:rPr>
        <w:t xml:space="preserve">con instituciones de investigación y la participación con los agentes regulados para ayudarles a cumplir con alguna obligación derivada del marco jurídico aplicable, en especial la colaboración y coordinación de labores del Comité Especializado de Estudios e Investigaciones en Telecomunicaciones y Radiodifusión en materia de Seguridad y </w:t>
      </w:r>
      <w:r>
        <w:rPr>
          <w:rFonts w:asciiTheme="majorHAnsi" w:hAnsiTheme="majorHAnsi"/>
          <w:sz w:val="28"/>
          <w:szCs w:val="28"/>
        </w:rPr>
        <w:lastRenderedPageBreak/>
        <w:t>Justicia</w:t>
      </w:r>
      <w:r>
        <w:rPr>
          <w:rStyle w:val="Refdenotaalpie"/>
          <w:rFonts w:asciiTheme="majorHAnsi" w:hAnsiTheme="majorHAnsi"/>
          <w:sz w:val="28"/>
          <w:szCs w:val="28"/>
        </w:rPr>
        <w:footnoteReference w:id="5"/>
      </w:r>
      <w:r>
        <w:rPr>
          <w:rFonts w:asciiTheme="majorHAnsi" w:hAnsiTheme="majorHAnsi"/>
          <w:sz w:val="28"/>
          <w:szCs w:val="28"/>
        </w:rPr>
        <w:t xml:space="preserve"> (el Comité Especializado </w:t>
      </w:r>
      <w:r w:rsidRPr="002E6D97">
        <w:rPr>
          <w:rFonts w:asciiTheme="majorHAnsi" w:hAnsiTheme="majorHAnsi"/>
          <w:sz w:val="28"/>
          <w:szCs w:val="28"/>
        </w:rPr>
        <w:t>de Estudios e Investigaciones</w:t>
      </w:r>
      <w:r>
        <w:rPr>
          <w:rFonts w:asciiTheme="majorHAnsi" w:hAnsiTheme="majorHAnsi"/>
          <w:sz w:val="28"/>
          <w:szCs w:val="28"/>
        </w:rPr>
        <w:t>), que se describe más delante.</w:t>
      </w:r>
    </w:p>
    <w:p w14:paraId="0495BB25" w14:textId="7F61F0E8" w:rsidR="0014509F" w:rsidRPr="00A170A9" w:rsidRDefault="0014509F" w:rsidP="008156F1">
      <w:pPr>
        <w:pStyle w:val="Ttulo2"/>
        <w:spacing w:before="240" w:after="240" w:line="276" w:lineRule="auto"/>
        <w:ind w:left="851"/>
        <w:rPr>
          <w:b/>
          <w:smallCaps/>
          <w:color w:val="0070C0"/>
          <w:sz w:val="32"/>
          <w:szCs w:val="32"/>
        </w:rPr>
      </w:pPr>
      <w:r w:rsidRPr="00051D38">
        <w:rPr>
          <w:sz w:val="28"/>
          <w:szCs w:val="28"/>
        </w:rPr>
        <w:br w:type="page"/>
      </w:r>
      <w:r w:rsidR="008156F1" w:rsidRPr="008156F1">
        <w:rPr>
          <w:rFonts w:ascii="ITC Avant Garde" w:hAnsi="ITC Avant Garde"/>
          <w:b/>
          <w:color w:val="0070C0"/>
          <w:sz w:val="28"/>
          <w:szCs w:val="28"/>
          <w:lang w:val="es-MX" w:eastAsia="en-US"/>
        </w:rPr>
        <w:lastRenderedPageBreak/>
        <w:t xml:space="preserve">I. </w:t>
      </w:r>
      <w:r w:rsidRPr="008156F1">
        <w:rPr>
          <w:rFonts w:ascii="ITC Avant Garde" w:hAnsi="ITC Avant Garde"/>
          <w:b/>
          <w:color w:val="0070C0"/>
          <w:sz w:val="28"/>
          <w:szCs w:val="28"/>
          <w:lang w:val="es-MX" w:eastAsia="en-US"/>
        </w:rPr>
        <w:t>Actividades Programadas para 2018</w:t>
      </w:r>
    </w:p>
    <w:p w14:paraId="7F393FAC" w14:textId="52F809BA" w:rsidR="0014509F" w:rsidRPr="008156F1" w:rsidRDefault="008156F1" w:rsidP="008156F1">
      <w:pPr>
        <w:pStyle w:val="Ttulo3"/>
        <w:ind w:left="851"/>
        <w:rPr>
          <w:b/>
          <w:color w:val="0070C0"/>
          <w:sz w:val="28"/>
          <w:szCs w:val="28"/>
        </w:rPr>
      </w:pPr>
      <w:r w:rsidRPr="008156F1">
        <w:rPr>
          <w:b/>
          <w:color w:val="0070C0"/>
          <w:sz w:val="28"/>
          <w:szCs w:val="28"/>
        </w:rPr>
        <w:t xml:space="preserve">1. </w:t>
      </w:r>
      <w:r w:rsidR="0014509F" w:rsidRPr="008156F1">
        <w:rPr>
          <w:b/>
          <w:color w:val="0070C0"/>
          <w:sz w:val="28"/>
          <w:szCs w:val="28"/>
        </w:rPr>
        <w:t>Labores continuas del Centro de Estudios</w:t>
      </w:r>
    </w:p>
    <w:p w14:paraId="524CA364"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Pr>
          <w:rFonts w:asciiTheme="majorHAnsi" w:hAnsiTheme="majorHAnsi"/>
          <w:sz w:val="28"/>
          <w:szCs w:val="28"/>
        </w:rPr>
        <w:t>L</w:t>
      </w:r>
      <w:r w:rsidRPr="00225EDB">
        <w:rPr>
          <w:rFonts w:asciiTheme="majorHAnsi" w:hAnsiTheme="majorHAnsi"/>
          <w:sz w:val="28"/>
          <w:szCs w:val="28"/>
        </w:rPr>
        <w:t xml:space="preserve">a función sustantiva del CES </w:t>
      </w:r>
      <w:r>
        <w:rPr>
          <w:rFonts w:asciiTheme="majorHAnsi" w:hAnsiTheme="majorHAnsi"/>
          <w:sz w:val="28"/>
          <w:szCs w:val="28"/>
        </w:rPr>
        <w:t xml:space="preserve">es </w:t>
      </w:r>
      <w:r w:rsidRPr="00225EDB">
        <w:rPr>
          <w:rFonts w:asciiTheme="majorHAnsi" w:hAnsiTheme="majorHAnsi"/>
          <w:sz w:val="28"/>
          <w:szCs w:val="28"/>
        </w:rPr>
        <w:t xml:space="preserve">la elaboración de estudios </w:t>
      </w:r>
      <w:r>
        <w:rPr>
          <w:rFonts w:asciiTheme="majorHAnsi" w:hAnsiTheme="majorHAnsi"/>
          <w:sz w:val="28"/>
          <w:szCs w:val="28"/>
        </w:rPr>
        <w:t xml:space="preserve">e investigaciones </w:t>
      </w:r>
      <w:r w:rsidRPr="00225EDB">
        <w:rPr>
          <w:rFonts w:asciiTheme="majorHAnsi" w:hAnsiTheme="majorHAnsi"/>
          <w:sz w:val="28"/>
          <w:szCs w:val="28"/>
        </w:rPr>
        <w:t>de los sectores de telecomunicaciones y radio</w:t>
      </w:r>
      <w:r>
        <w:rPr>
          <w:rFonts w:asciiTheme="majorHAnsi" w:hAnsiTheme="majorHAnsi"/>
          <w:sz w:val="28"/>
          <w:szCs w:val="28"/>
        </w:rPr>
        <w:t>difusión</w:t>
      </w:r>
      <w:r w:rsidRPr="00225EDB">
        <w:rPr>
          <w:rFonts w:asciiTheme="majorHAnsi" w:hAnsiTheme="majorHAnsi"/>
          <w:sz w:val="28"/>
          <w:szCs w:val="28"/>
        </w:rPr>
        <w:t xml:space="preserve">, </w:t>
      </w:r>
      <w:r>
        <w:rPr>
          <w:rFonts w:asciiTheme="majorHAnsi" w:hAnsiTheme="majorHAnsi"/>
          <w:sz w:val="28"/>
          <w:szCs w:val="28"/>
        </w:rPr>
        <w:t xml:space="preserve">desde los enfoques </w:t>
      </w:r>
      <w:r w:rsidRPr="00225EDB">
        <w:rPr>
          <w:rFonts w:asciiTheme="majorHAnsi" w:hAnsiTheme="majorHAnsi"/>
          <w:sz w:val="28"/>
          <w:szCs w:val="28"/>
        </w:rPr>
        <w:t>de competencia econ</w:t>
      </w:r>
      <w:r>
        <w:rPr>
          <w:rFonts w:asciiTheme="majorHAnsi" w:hAnsiTheme="majorHAnsi"/>
          <w:sz w:val="28"/>
          <w:szCs w:val="28"/>
        </w:rPr>
        <w:t xml:space="preserve">ómica y regulación de dichos sectores. </w:t>
      </w:r>
      <w:r w:rsidRPr="00A818D0">
        <w:rPr>
          <w:rFonts w:asciiTheme="majorHAnsi" w:hAnsiTheme="majorHAnsi"/>
          <w:sz w:val="28"/>
          <w:szCs w:val="28"/>
        </w:rPr>
        <w:t>Los estudios incluyen investigaciones y evaluaciones</w:t>
      </w:r>
      <w:r>
        <w:rPr>
          <w:rFonts w:asciiTheme="majorHAnsi" w:hAnsiTheme="majorHAnsi"/>
          <w:sz w:val="28"/>
          <w:szCs w:val="28"/>
        </w:rPr>
        <w:t xml:space="preserve"> sectoriales, así como proyecciones y estimaciones de sus indicadores. Como se señaló en la sección anterior, esta función se realiza bajo una óptica de </w:t>
      </w:r>
      <w:r w:rsidRPr="00225EDB">
        <w:rPr>
          <w:rFonts w:asciiTheme="majorHAnsi" w:hAnsiTheme="majorHAnsi"/>
          <w:sz w:val="28"/>
          <w:szCs w:val="28"/>
        </w:rPr>
        <w:t xml:space="preserve">largo plazo, </w:t>
      </w:r>
      <w:r>
        <w:rPr>
          <w:rFonts w:asciiTheme="majorHAnsi" w:hAnsiTheme="majorHAnsi"/>
          <w:sz w:val="28"/>
          <w:szCs w:val="28"/>
        </w:rPr>
        <w:t>pero siempre vinculada</w:t>
      </w:r>
      <w:r w:rsidRPr="00225EDB">
        <w:rPr>
          <w:rFonts w:asciiTheme="majorHAnsi" w:hAnsiTheme="majorHAnsi"/>
          <w:sz w:val="28"/>
          <w:szCs w:val="28"/>
        </w:rPr>
        <w:t xml:space="preserve"> a los temas de las resoluciones del Pleno y de las áreas sustantivas del Instituto.</w:t>
      </w:r>
      <w:r w:rsidRPr="00153213">
        <w:rPr>
          <w:rFonts w:asciiTheme="majorHAnsi" w:hAnsiTheme="majorHAnsi"/>
          <w:sz w:val="28"/>
          <w:szCs w:val="28"/>
        </w:rPr>
        <w:t xml:space="preserve"> </w:t>
      </w:r>
      <w:r>
        <w:rPr>
          <w:rFonts w:asciiTheme="majorHAnsi" w:hAnsiTheme="majorHAnsi"/>
          <w:sz w:val="28"/>
          <w:szCs w:val="28"/>
        </w:rPr>
        <w:t>Así también, las investigaciones buscan aportar elementos de evaluación de la política dictada por el Instituto, para enriquecerla a partir de los resultados empíricos que se van generando en su aplicación.</w:t>
      </w:r>
    </w:p>
    <w:p w14:paraId="6125218C"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Pr>
          <w:rFonts w:asciiTheme="majorHAnsi" w:hAnsiTheme="majorHAnsi"/>
          <w:sz w:val="28"/>
          <w:szCs w:val="28"/>
        </w:rPr>
        <w:t>Los estudios e investigaciones que se proponen para 2018, tienen por objeto</w:t>
      </w:r>
      <w:r w:rsidRPr="00844EF5">
        <w:rPr>
          <w:rFonts w:asciiTheme="majorHAnsi" w:hAnsiTheme="majorHAnsi"/>
          <w:sz w:val="28"/>
          <w:szCs w:val="28"/>
        </w:rPr>
        <w:t xml:space="preserve"> </w:t>
      </w:r>
      <w:r>
        <w:rPr>
          <w:rFonts w:asciiTheme="majorHAnsi" w:hAnsiTheme="majorHAnsi"/>
          <w:sz w:val="28"/>
          <w:szCs w:val="28"/>
        </w:rPr>
        <w:t xml:space="preserve">recabar y </w:t>
      </w:r>
      <w:r w:rsidRPr="00844EF5">
        <w:rPr>
          <w:rFonts w:asciiTheme="majorHAnsi" w:hAnsiTheme="majorHAnsi"/>
          <w:sz w:val="28"/>
          <w:szCs w:val="28"/>
        </w:rPr>
        <w:t>generar información</w:t>
      </w:r>
      <w:r>
        <w:rPr>
          <w:rFonts w:asciiTheme="majorHAnsi" w:hAnsiTheme="majorHAnsi"/>
          <w:sz w:val="28"/>
          <w:szCs w:val="28"/>
        </w:rPr>
        <w:t xml:space="preserve"> y conocimiento</w:t>
      </w:r>
      <w:r w:rsidRPr="00844EF5">
        <w:rPr>
          <w:rFonts w:asciiTheme="majorHAnsi" w:hAnsiTheme="majorHAnsi"/>
          <w:sz w:val="28"/>
          <w:szCs w:val="28"/>
        </w:rPr>
        <w:t xml:space="preserve"> para determinar criterios, y dar elementos teóricos</w:t>
      </w:r>
      <w:r>
        <w:rPr>
          <w:rFonts w:asciiTheme="majorHAnsi" w:hAnsiTheme="majorHAnsi"/>
          <w:sz w:val="28"/>
          <w:szCs w:val="28"/>
        </w:rPr>
        <w:t>, empíricos</w:t>
      </w:r>
      <w:r w:rsidRPr="00844EF5">
        <w:rPr>
          <w:rFonts w:asciiTheme="majorHAnsi" w:hAnsiTheme="majorHAnsi"/>
          <w:sz w:val="28"/>
          <w:szCs w:val="28"/>
        </w:rPr>
        <w:t xml:space="preserve"> y metodológicos que apoyen oportunamente </w:t>
      </w:r>
      <w:r w:rsidRPr="00A170A9">
        <w:rPr>
          <w:rFonts w:asciiTheme="majorHAnsi" w:hAnsiTheme="majorHAnsi"/>
          <w:sz w:val="28"/>
          <w:szCs w:val="28"/>
        </w:rPr>
        <w:t xml:space="preserve">la elaboración de proyectos, resoluciones, lineamientos o cualquier otra disposición administrativa y </w:t>
      </w:r>
      <w:r w:rsidRPr="00844EF5">
        <w:rPr>
          <w:rFonts w:asciiTheme="majorHAnsi" w:hAnsiTheme="majorHAnsi"/>
          <w:sz w:val="28"/>
          <w:szCs w:val="28"/>
        </w:rPr>
        <w:t>regulatoria del IFT.</w:t>
      </w:r>
      <w:r>
        <w:rPr>
          <w:rFonts w:asciiTheme="majorHAnsi" w:hAnsiTheme="majorHAnsi"/>
          <w:sz w:val="28"/>
          <w:szCs w:val="28"/>
        </w:rPr>
        <w:t xml:space="preserve"> </w:t>
      </w:r>
    </w:p>
    <w:p w14:paraId="6884D91D"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sidRPr="00A76D0C">
        <w:rPr>
          <w:rFonts w:asciiTheme="majorHAnsi" w:hAnsiTheme="majorHAnsi"/>
          <w:sz w:val="28"/>
          <w:szCs w:val="28"/>
        </w:rPr>
        <w:t xml:space="preserve">Para fortalecer y colaborar con la operación del IFT, el CES se encarga </w:t>
      </w:r>
      <w:r>
        <w:rPr>
          <w:rFonts w:asciiTheme="majorHAnsi" w:hAnsiTheme="majorHAnsi"/>
          <w:sz w:val="28"/>
          <w:szCs w:val="28"/>
        </w:rPr>
        <w:t xml:space="preserve">también </w:t>
      </w:r>
      <w:r w:rsidRPr="00A76D0C">
        <w:rPr>
          <w:rFonts w:asciiTheme="majorHAnsi" w:hAnsiTheme="majorHAnsi"/>
          <w:sz w:val="28"/>
          <w:szCs w:val="28"/>
        </w:rPr>
        <w:t xml:space="preserve">de la administración de las bases de datos que el Instituto adquiere de proveedores externos, y </w:t>
      </w:r>
      <w:r>
        <w:rPr>
          <w:rFonts w:asciiTheme="majorHAnsi" w:hAnsiTheme="majorHAnsi"/>
          <w:sz w:val="28"/>
          <w:szCs w:val="28"/>
        </w:rPr>
        <w:t>realiza</w:t>
      </w:r>
      <w:r w:rsidRPr="00A76D0C">
        <w:rPr>
          <w:rFonts w:asciiTheme="majorHAnsi" w:hAnsiTheme="majorHAnsi"/>
          <w:sz w:val="28"/>
          <w:szCs w:val="28"/>
        </w:rPr>
        <w:t xml:space="preserve"> la compilación de los estudios que </w:t>
      </w:r>
      <w:r>
        <w:rPr>
          <w:rFonts w:asciiTheme="majorHAnsi" w:hAnsiTheme="majorHAnsi"/>
          <w:sz w:val="28"/>
          <w:szCs w:val="28"/>
        </w:rPr>
        <w:t xml:space="preserve">realizan los investigadores del CES y los que </w:t>
      </w:r>
      <w:r w:rsidRPr="00A76D0C">
        <w:rPr>
          <w:rFonts w:asciiTheme="majorHAnsi" w:hAnsiTheme="majorHAnsi"/>
          <w:sz w:val="28"/>
          <w:szCs w:val="28"/>
        </w:rPr>
        <w:t xml:space="preserve">las distintas áreas </w:t>
      </w:r>
      <w:r>
        <w:rPr>
          <w:rFonts w:asciiTheme="majorHAnsi" w:hAnsiTheme="majorHAnsi"/>
          <w:sz w:val="28"/>
          <w:szCs w:val="28"/>
        </w:rPr>
        <w:t>requieren a consultores independientes</w:t>
      </w:r>
      <w:r w:rsidRPr="00A76D0C">
        <w:rPr>
          <w:rFonts w:asciiTheme="majorHAnsi" w:hAnsiTheme="majorHAnsi"/>
          <w:sz w:val="28"/>
          <w:szCs w:val="28"/>
        </w:rPr>
        <w:t>. Para sistematizar estas labores, el CES administra una biblioteca digital que sirv</w:t>
      </w:r>
      <w:r>
        <w:rPr>
          <w:rFonts w:asciiTheme="majorHAnsi" w:hAnsiTheme="majorHAnsi"/>
          <w:sz w:val="28"/>
          <w:szCs w:val="28"/>
        </w:rPr>
        <w:t>e</w:t>
      </w:r>
      <w:r w:rsidRPr="00A76D0C">
        <w:rPr>
          <w:rFonts w:asciiTheme="majorHAnsi" w:hAnsiTheme="majorHAnsi"/>
          <w:sz w:val="28"/>
          <w:szCs w:val="28"/>
        </w:rPr>
        <w:t xml:space="preserve"> de repositorio de los mencionados materiales, así como de otros de tipo bibliográfico en materia de telecomunicaciones y radiodifusión (artículo 69, fracciones VII, VIII y XVIII del EO).</w:t>
      </w:r>
    </w:p>
    <w:tbl>
      <w:tblPr>
        <w:tblStyle w:val="Tablaconcuadrcula"/>
        <w:tblW w:w="9407" w:type="dxa"/>
        <w:tblLook w:val="04A0" w:firstRow="1" w:lastRow="0" w:firstColumn="1" w:lastColumn="0" w:noHBand="0" w:noVBand="1"/>
        <w:tblCaption w:val="Descripción de las acciones continuas programadas a realizar en 2018"/>
        <w:tblDescription w:val="Descripción de las acciones continuas programadas a realizar en 2018"/>
      </w:tblPr>
      <w:tblGrid>
        <w:gridCol w:w="9407"/>
      </w:tblGrid>
      <w:tr w:rsidR="0014509F" w:rsidRPr="00844EF5" w14:paraId="751B7D79" w14:textId="77777777" w:rsidTr="00A170A9">
        <w:trPr>
          <w:trHeight w:val="9510"/>
          <w:tblHeader/>
        </w:trPr>
        <w:tc>
          <w:tcPr>
            <w:tcW w:w="9407" w:type="dxa"/>
            <w:tcBorders>
              <w:top w:val="double" w:sz="4" w:space="0" w:color="297FD5"/>
              <w:left w:val="nil"/>
              <w:bottom w:val="double" w:sz="4" w:space="0" w:color="297FD5"/>
              <w:right w:val="nil"/>
            </w:tcBorders>
          </w:tcPr>
          <w:p w14:paraId="0DB64C99" w14:textId="77777777" w:rsidR="0014509F" w:rsidRDefault="0014509F" w:rsidP="008156F1">
            <w:pPr>
              <w:pStyle w:val="Prrafodelista"/>
              <w:keepNext/>
              <w:keepLines/>
              <w:spacing w:before="240" w:after="100" w:afterAutospacing="1"/>
              <w:ind w:left="851" w:right="340"/>
              <w:jc w:val="both"/>
              <w:rPr>
                <w:rFonts w:asciiTheme="majorHAnsi" w:hAnsiTheme="majorHAnsi"/>
                <w:b/>
                <w:color w:val="7B7B7B" w:themeColor="accent3" w:themeShade="BF"/>
                <w:sz w:val="28"/>
                <w:szCs w:val="28"/>
              </w:rPr>
            </w:pPr>
            <w:r w:rsidRPr="00EC26B5">
              <w:rPr>
                <w:rFonts w:asciiTheme="majorHAnsi" w:hAnsiTheme="majorHAnsi"/>
                <w:b/>
                <w:color w:val="7B7B7B" w:themeColor="accent3" w:themeShade="BF"/>
                <w:sz w:val="28"/>
                <w:szCs w:val="28"/>
              </w:rPr>
              <w:lastRenderedPageBreak/>
              <w:t>D</w:t>
            </w:r>
            <w:r>
              <w:rPr>
                <w:rFonts w:asciiTheme="majorHAnsi" w:hAnsiTheme="majorHAnsi"/>
                <w:b/>
                <w:color w:val="7B7B7B" w:themeColor="accent3" w:themeShade="BF"/>
                <w:sz w:val="28"/>
                <w:szCs w:val="28"/>
              </w:rPr>
              <w:t xml:space="preserve">escripción de las acciones </w:t>
            </w:r>
            <w:proofErr w:type="gramStart"/>
            <w:r>
              <w:rPr>
                <w:rFonts w:asciiTheme="majorHAnsi" w:hAnsiTheme="majorHAnsi"/>
                <w:b/>
                <w:color w:val="7B7B7B" w:themeColor="accent3" w:themeShade="BF"/>
                <w:sz w:val="28"/>
                <w:szCs w:val="28"/>
              </w:rPr>
              <w:t>conti</w:t>
            </w:r>
            <w:r w:rsidRPr="00EC26B5">
              <w:rPr>
                <w:rFonts w:asciiTheme="majorHAnsi" w:hAnsiTheme="majorHAnsi"/>
                <w:b/>
                <w:color w:val="7B7B7B" w:themeColor="accent3" w:themeShade="BF"/>
                <w:sz w:val="28"/>
                <w:szCs w:val="28"/>
              </w:rPr>
              <w:t>nuas</w:t>
            </w:r>
            <w:proofErr w:type="gramEnd"/>
            <w:r w:rsidRPr="00EC26B5">
              <w:rPr>
                <w:rFonts w:asciiTheme="majorHAnsi" w:hAnsiTheme="majorHAnsi"/>
                <w:b/>
                <w:color w:val="7B7B7B" w:themeColor="accent3" w:themeShade="BF"/>
                <w:sz w:val="28"/>
                <w:szCs w:val="28"/>
              </w:rPr>
              <w:t xml:space="preserve"> programadas a realizar en 2018</w:t>
            </w:r>
          </w:p>
          <w:p w14:paraId="25A5302C" w14:textId="77777777" w:rsidR="0014509F" w:rsidRDefault="0014509F" w:rsidP="00984ED1">
            <w:pPr>
              <w:pStyle w:val="Prrafodelista"/>
              <w:keepNext/>
              <w:keepLines/>
              <w:numPr>
                <w:ilvl w:val="0"/>
                <w:numId w:val="1"/>
              </w:numPr>
              <w:spacing w:before="240" w:after="100" w:afterAutospacing="1"/>
              <w:ind w:left="794" w:right="340" w:hanging="357"/>
              <w:jc w:val="both"/>
              <w:rPr>
                <w:rFonts w:asciiTheme="majorHAnsi" w:hAnsiTheme="majorHAnsi"/>
                <w:sz w:val="28"/>
                <w:szCs w:val="28"/>
              </w:rPr>
            </w:pPr>
            <w:r>
              <w:rPr>
                <w:rFonts w:asciiTheme="majorHAnsi" w:hAnsiTheme="majorHAnsi"/>
                <w:sz w:val="28"/>
                <w:szCs w:val="28"/>
              </w:rPr>
              <w:t xml:space="preserve">Elaborar estudios, investigaciones y evaluaciones sobre el desarrollo, evolución y prospectiva en materia de telecomunicaciones y radiodifusión, desde los enfoques </w:t>
            </w:r>
            <w:r w:rsidRPr="00225EDB">
              <w:rPr>
                <w:rFonts w:asciiTheme="majorHAnsi" w:hAnsiTheme="majorHAnsi"/>
                <w:sz w:val="28"/>
                <w:szCs w:val="28"/>
              </w:rPr>
              <w:t>de competencia econ</w:t>
            </w:r>
            <w:r>
              <w:rPr>
                <w:rFonts w:asciiTheme="majorHAnsi" w:hAnsiTheme="majorHAnsi"/>
                <w:sz w:val="28"/>
                <w:szCs w:val="28"/>
              </w:rPr>
              <w:t>ómica y regulación</w:t>
            </w:r>
            <w:r w:rsidRPr="00FE4EB9">
              <w:rPr>
                <w:rFonts w:asciiTheme="majorHAnsi" w:hAnsiTheme="majorHAnsi"/>
                <w:sz w:val="28"/>
                <w:szCs w:val="28"/>
              </w:rPr>
              <w:t xml:space="preserve">, que solicite y autorice el Pleno del IFT, para el mejor descargo de las funciones que tiene encomendadas (fracción II del artículo 69 del EO). </w:t>
            </w:r>
          </w:p>
          <w:p w14:paraId="4D35D05D" w14:textId="77777777" w:rsidR="0014509F" w:rsidRDefault="0014509F" w:rsidP="00984ED1">
            <w:pPr>
              <w:pStyle w:val="Prrafodelista"/>
              <w:keepNext/>
              <w:keepLines/>
              <w:numPr>
                <w:ilvl w:val="0"/>
                <w:numId w:val="1"/>
              </w:numPr>
              <w:spacing w:after="100" w:afterAutospacing="1"/>
              <w:ind w:left="794" w:right="340"/>
              <w:jc w:val="both"/>
              <w:rPr>
                <w:rFonts w:asciiTheme="majorHAnsi" w:hAnsiTheme="majorHAnsi"/>
                <w:sz w:val="28"/>
                <w:szCs w:val="28"/>
              </w:rPr>
            </w:pPr>
            <w:r w:rsidRPr="00844EF5">
              <w:rPr>
                <w:rFonts w:asciiTheme="majorHAnsi" w:hAnsiTheme="majorHAnsi"/>
                <w:sz w:val="28"/>
                <w:szCs w:val="28"/>
              </w:rPr>
              <w:t>Desarrollar análisis co</w:t>
            </w:r>
            <w:r>
              <w:rPr>
                <w:rFonts w:asciiTheme="majorHAnsi" w:hAnsiTheme="majorHAnsi"/>
                <w:sz w:val="28"/>
                <w:szCs w:val="28"/>
              </w:rPr>
              <w:t>mparativos de las políticas y</w:t>
            </w:r>
            <w:r w:rsidRPr="00844EF5">
              <w:rPr>
                <w:rFonts w:asciiTheme="majorHAnsi" w:hAnsiTheme="majorHAnsi"/>
                <w:sz w:val="28"/>
                <w:szCs w:val="28"/>
              </w:rPr>
              <w:t xml:space="preserve"> la evolución de las principales variables de los sectores de las telecomunicaciones y la rad</w:t>
            </w:r>
            <w:r>
              <w:rPr>
                <w:rFonts w:asciiTheme="majorHAnsi" w:hAnsiTheme="majorHAnsi"/>
                <w:sz w:val="28"/>
                <w:szCs w:val="28"/>
              </w:rPr>
              <w:t>iodifusión a nivel nacional e internacional (f</w:t>
            </w:r>
            <w:r w:rsidRPr="00844EF5">
              <w:rPr>
                <w:rFonts w:asciiTheme="majorHAnsi" w:hAnsiTheme="majorHAnsi"/>
                <w:sz w:val="28"/>
                <w:szCs w:val="28"/>
              </w:rPr>
              <w:t>racciones IX</w:t>
            </w:r>
            <w:r>
              <w:rPr>
                <w:rFonts w:asciiTheme="majorHAnsi" w:hAnsiTheme="majorHAnsi"/>
                <w:sz w:val="28"/>
                <w:szCs w:val="28"/>
              </w:rPr>
              <w:t>, XIII</w:t>
            </w:r>
            <w:r w:rsidRPr="00844EF5">
              <w:rPr>
                <w:rFonts w:asciiTheme="majorHAnsi" w:hAnsiTheme="majorHAnsi"/>
                <w:sz w:val="28"/>
                <w:szCs w:val="28"/>
              </w:rPr>
              <w:t xml:space="preserve"> y XVI del </w:t>
            </w:r>
            <w:r>
              <w:rPr>
                <w:rFonts w:asciiTheme="majorHAnsi" w:hAnsiTheme="majorHAnsi"/>
                <w:sz w:val="28"/>
                <w:szCs w:val="28"/>
              </w:rPr>
              <w:t>artículo</w:t>
            </w:r>
            <w:r w:rsidRPr="00844EF5">
              <w:rPr>
                <w:rFonts w:asciiTheme="majorHAnsi" w:hAnsiTheme="majorHAnsi"/>
                <w:sz w:val="28"/>
                <w:szCs w:val="28"/>
              </w:rPr>
              <w:t xml:space="preserve"> 69 del EO)</w:t>
            </w:r>
            <w:r>
              <w:rPr>
                <w:rFonts w:asciiTheme="majorHAnsi" w:hAnsiTheme="majorHAnsi"/>
                <w:sz w:val="28"/>
                <w:szCs w:val="28"/>
              </w:rPr>
              <w:t>.</w:t>
            </w:r>
          </w:p>
          <w:p w14:paraId="24876B76" w14:textId="77777777" w:rsidR="0014509F" w:rsidRDefault="0014509F" w:rsidP="00984ED1">
            <w:pPr>
              <w:pStyle w:val="Prrafodelista"/>
              <w:keepNext/>
              <w:keepLines/>
              <w:numPr>
                <w:ilvl w:val="0"/>
                <w:numId w:val="1"/>
              </w:numPr>
              <w:spacing w:after="100" w:afterAutospacing="1"/>
              <w:ind w:left="794" w:right="340"/>
              <w:jc w:val="both"/>
              <w:rPr>
                <w:rFonts w:asciiTheme="majorHAnsi" w:hAnsiTheme="majorHAnsi"/>
                <w:sz w:val="28"/>
                <w:szCs w:val="28"/>
              </w:rPr>
            </w:pPr>
            <w:r w:rsidRPr="00844EF5">
              <w:rPr>
                <w:rFonts w:asciiTheme="majorHAnsi" w:hAnsiTheme="majorHAnsi"/>
                <w:sz w:val="28"/>
                <w:szCs w:val="28"/>
              </w:rPr>
              <w:t>Realizar proyecciones del comportamiento esperado de las principales variables del sector de las telecomunic</w:t>
            </w:r>
            <w:r>
              <w:rPr>
                <w:rFonts w:asciiTheme="majorHAnsi" w:hAnsiTheme="majorHAnsi"/>
                <w:sz w:val="28"/>
                <w:szCs w:val="28"/>
              </w:rPr>
              <w:t>aciones y de la radiodifusión (fracciones II,</w:t>
            </w:r>
            <w:r w:rsidRPr="00844EF5">
              <w:rPr>
                <w:rFonts w:asciiTheme="majorHAnsi" w:hAnsiTheme="majorHAnsi"/>
                <w:sz w:val="28"/>
                <w:szCs w:val="28"/>
              </w:rPr>
              <w:t xml:space="preserve"> XI</w:t>
            </w:r>
            <w:r>
              <w:rPr>
                <w:rFonts w:asciiTheme="majorHAnsi" w:hAnsiTheme="majorHAnsi"/>
                <w:sz w:val="28"/>
                <w:szCs w:val="28"/>
              </w:rPr>
              <w:t xml:space="preserve"> y XIII</w:t>
            </w:r>
            <w:r w:rsidRPr="00844EF5">
              <w:rPr>
                <w:rFonts w:asciiTheme="majorHAnsi" w:hAnsiTheme="majorHAnsi"/>
                <w:sz w:val="28"/>
                <w:szCs w:val="28"/>
              </w:rPr>
              <w:t xml:space="preserve"> del </w:t>
            </w:r>
            <w:r>
              <w:rPr>
                <w:rFonts w:asciiTheme="majorHAnsi" w:hAnsiTheme="majorHAnsi"/>
                <w:sz w:val="28"/>
                <w:szCs w:val="28"/>
              </w:rPr>
              <w:t>artículo</w:t>
            </w:r>
            <w:r w:rsidRPr="00844EF5">
              <w:rPr>
                <w:rFonts w:asciiTheme="majorHAnsi" w:hAnsiTheme="majorHAnsi"/>
                <w:sz w:val="28"/>
                <w:szCs w:val="28"/>
              </w:rPr>
              <w:t xml:space="preserve"> 69 del EO)</w:t>
            </w:r>
            <w:r>
              <w:rPr>
                <w:rFonts w:asciiTheme="majorHAnsi" w:hAnsiTheme="majorHAnsi"/>
                <w:sz w:val="28"/>
                <w:szCs w:val="28"/>
              </w:rPr>
              <w:t>.</w:t>
            </w:r>
            <w:r w:rsidRPr="00844EF5">
              <w:rPr>
                <w:rFonts w:asciiTheme="majorHAnsi" w:hAnsiTheme="majorHAnsi"/>
                <w:sz w:val="28"/>
                <w:szCs w:val="28"/>
              </w:rPr>
              <w:t xml:space="preserve"> </w:t>
            </w:r>
          </w:p>
          <w:p w14:paraId="7A324204" w14:textId="77777777" w:rsidR="0014509F" w:rsidRPr="00064749" w:rsidRDefault="0014509F" w:rsidP="00984ED1">
            <w:pPr>
              <w:pStyle w:val="Prrafodelista"/>
              <w:keepNext/>
              <w:keepLines/>
              <w:numPr>
                <w:ilvl w:val="0"/>
                <w:numId w:val="1"/>
              </w:numPr>
              <w:spacing w:after="100" w:afterAutospacing="1"/>
              <w:ind w:left="794" w:right="340"/>
              <w:jc w:val="both"/>
              <w:rPr>
                <w:rFonts w:asciiTheme="majorHAnsi" w:hAnsiTheme="majorHAnsi"/>
                <w:sz w:val="28"/>
                <w:szCs w:val="28"/>
              </w:rPr>
            </w:pPr>
            <w:r w:rsidRPr="00064749">
              <w:rPr>
                <w:rFonts w:asciiTheme="majorHAnsi" w:hAnsiTheme="majorHAnsi"/>
                <w:sz w:val="28"/>
                <w:szCs w:val="28"/>
              </w:rPr>
              <w:t>Recabar, organizar y compilar información sobre los sectores regulados y la competencia en los mismos; además de mantener</w:t>
            </w:r>
            <w:r>
              <w:rPr>
                <w:rFonts w:asciiTheme="majorHAnsi" w:hAnsiTheme="majorHAnsi"/>
                <w:sz w:val="28"/>
                <w:szCs w:val="28"/>
              </w:rPr>
              <w:t>la</w:t>
            </w:r>
            <w:r w:rsidRPr="00064749">
              <w:rPr>
                <w:rFonts w:asciiTheme="majorHAnsi" w:hAnsiTheme="majorHAnsi"/>
                <w:sz w:val="28"/>
                <w:szCs w:val="28"/>
              </w:rPr>
              <w:t xml:space="preserve"> actualizada y desarrollar políticas y estrategias para administrar los acervos de datos del IFT, estableciendo mejores prácticas para su uso </w:t>
            </w:r>
            <w:r>
              <w:rPr>
                <w:rFonts w:asciiTheme="majorHAnsi" w:hAnsiTheme="majorHAnsi"/>
                <w:sz w:val="28"/>
                <w:szCs w:val="28"/>
              </w:rPr>
              <w:t xml:space="preserve">por parte de </w:t>
            </w:r>
            <w:r w:rsidRPr="00064749">
              <w:rPr>
                <w:rFonts w:asciiTheme="majorHAnsi" w:hAnsiTheme="majorHAnsi"/>
                <w:sz w:val="28"/>
                <w:szCs w:val="28"/>
              </w:rPr>
              <w:t>las áreas sustantivas del IFT (fracciones VII, VIII y XVII del artículo 69 del EO).</w:t>
            </w:r>
          </w:p>
        </w:tc>
      </w:tr>
    </w:tbl>
    <w:p w14:paraId="156EF418"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Pr>
          <w:rFonts w:asciiTheme="majorHAnsi" w:hAnsiTheme="majorHAnsi"/>
          <w:sz w:val="28"/>
          <w:szCs w:val="28"/>
        </w:rPr>
        <w:t>Las acciones antes descritas integran las funciones sustantivas de estudio, y de recopilación y administración de información que tiene el CES, que se realizan de manera continua. Estas ocupaciones dan lugar a los tres ejes de acción permanente del CES, a saber</w:t>
      </w:r>
      <w:r w:rsidRPr="00225EDB">
        <w:rPr>
          <w:rFonts w:asciiTheme="majorHAnsi" w:hAnsiTheme="majorHAnsi"/>
          <w:sz w:val="28"/>
          <w:szCs w:val="28"/>
        </w:rPr>
        <w:t xml:space="preserve">: </w:t>
      </w:r>
      <w:r>
        <w:rPr>
          <w:rFonts w:asciiTheme="majorHAnsi" w:hAnsiTheme="majorHAnsi"/>
          <w:sz w:val="28"/>
          <w:szCs w:val="28"/>
        </w:rPr>
        <w:t>elaboración de estudios e investigaciones; las</w:t>
      </w:r>
      <w:r w:rsidRPr="00225EDB">
        <w:rPr>
          <w:rFonts w:asciiTheme="majorHAnsi" w:hAnsiTheme="majorHAnsi"/>
          <w:sz w:val="28"/>
          <w:szCs w:val="28"/>
        </w:rPr>
        <w:t xml:space="preserve"> </w:t>
      </w:r>
      <w:r>
        <w:rPr>
          <w:rFonts w:asciiTheme="majorHAnsi" w:hAnsiTheme="majorHAnsi"/>
          <w:sz w:val="28"/>
          <w:szCs w:val="28"/>
        </w:rPr>
        <w:t>proyecciones y la comparación de</w:t>
      </w:r>
      <w:r w:rsidRPr="00225EDB">
        <w:rPr>
          <w:rFonts w:asciiTheme="majorHAnsi" w:hAnsiTheme="majorHAnsi"/>
          <w:sz w:val="28"/>
          <w:szCs w:val="28"/>
        </w:rPr>
        <w:t xml:space="preserve"> indicadores </w:t>
      </w:r>
      <w:r>
        <w:rPr>
          <w:rFonts w:asciiTheme="majorHAnsi" w:hAnsiTheme="majorHAnsi"/>
          <w:sz w:val="28"/>
          <w:szCs w:val="28"/>
        </w:rPr>
        <w:t xml:space="preserve">nacionales e </w:t>
      </w:r>
      <w:r w:rsidRPr="00225EDB">
        <w:rPr>
          <w:rFonts w:asciiTheme="majorHAnsi" w:hAnsiTheme="majorHAnsi"/>
          <w:sz w:val="28"/>
          <w:szCs w:val="28"/>
        </w:rPr>
        <w:t>internacionales</w:t>
      </w:r>
      <w:r>
        <w:rPr>
          <w:rFonts w:asciiTheme="majorHAnsi" w:hAnsiTheme="majorHAnsi"/>
          <w:sz w:val="28"/>
          <w:szCs w:val="28"/>
        </w:rPr>
        <w:t>, y la generación, contratación y gestión de</w:t>
      </w:r>
      <w:r w:rsidRPr="00225EDB">
        <w:rPr>
          <w:rFonts w:asciiTheme="majorHAnsi" w:hAnsiTheme="majorHAnsi"/>
          <w:sz w:val="28"/>
          <w:szCs w:val="28"/>
        </w:rPr>
        <w:t xml:space="preserve"> </w:t>
      </w:r>
      <w:r>
        <w:rPr>
          <w:rFonts w:asciiTheme="majorHAnsi" w:hAnsiTheme="majorHAnsi"/>
          <w:sz w:val="28"/>
          <w:szCs w:val="28"/>
        </w:rPr>
        <w:t>acervos bibliográficos y bases de d</w:t>
      </w:r>
      <w:r w:rsidRPr="00225EDB">
        <w:rPr>
          <w:rFonts w:asciiTheme="majorHAnsi" w:hAnsiTheme="majorHAnsi"/>
          <w:sz w:val="28"/>
          <w:szCs w:val="28"/>
        </w:rPr>
        <w:t>atos</w:t>
      </w:r>
      <w:r>
        <w:rPr>
          <w:rFonts w:asciiTheme="majorHAnsi" w:hAnsiTheme="majorHAnsi"/>
          <w:sz w:val="28"/>
          <w:szCs w:val="28"/>
        </w:rPr>
        <w:t xml:space="preserve">. </w:t>
      </w:r>
    </w:p>
    <w:p w14:paraId="5C96EB9F" w14:textId="77777777" w:rsidR="0014509F" w:rsidRPr="008156F1" w:rsidRDefault="0014509F" w:rsidP="008156F1">
      <w:pPr>
        <w:pStyle w:val="Ttulo4"/>
        <w:ind w:left="426"/>
        <w:rPr>
          <w:b/>
          <w:color w:val="0070C0"/>
          <w:sz w:val="28"/>
          <w:szCs w:val="28"/>
        </w:rPr>
      </w:pPr>
      <w:r w:rsidRPr="008156F1">
        <w:rPr>
          <w:b/>
          <w:color w:val="0070C0"/>
          <w:sz w:val="28"/>
          <w:szCs w:val="28"/>
        </w:rPr>
        <w:lastRenderedPageBreak/>
        <w:t>1.1 Estudios, Análisis e Investigaciones sobre Temas Específicos 2018</w:t>
      </w:r>
      <w:r w:rsidRPr="008156F1">
        <w:rPr>
          <w:b/>
          <w:color w:val="0070C0"/>
          <w:sz w:val="28"/>
          <w:szCs w:val="28"/>
        </w:rPr>
        <w:tab/>
      </w:r>
    </w:p>
    <w:p w14:paraId="24DA27BA" w14:textId="77777777" w:rsidR="0014509F" w:rsidRPr="00A170A9" w:rsidRDefault="0014509F" w:rsidP="00A170A9">
      <w:pPr>
        <w:pStyle w:val="estilo30"/>
        <w:spacing w:before="240" w:beforeAutospacing="0" w:after="240" w:afterAutospacing="0" w:line="276" w:lineRule="auto"/>
        <w:jc w:val="both"/>
        <w:rPr>
          <w:rFonts w:asciiTheme="majorHAnsi" w:hAnsiTheme="majorHAnsi"/>
          <w:sz w:val="28"/>
          <w:szCs w:val="28"/>
        </w:rPr>
      </w:pPr>
      <w:r>
        <w:rPr>
          <w:rFonts w:asciiTheme="majorHAnsi" w:hAnsiTheme="majorHAnsi"/>
          <w:sz w:val="28"/>
          <w:szCs w:val="28"/>
        </w:rPr>
        <w:t>El objetivo</w:t>
      </w:r>
      <w:r w:rsidRPr="00225EDB">
        <w:rPr>
          <w:rFonts w:asciiTheme="majorHAnsi" w:hAnsiTheme="majorHAnsi"/>
          <w:sz w:val="28"/>
          <w:szCs w:val="28"/>
        </w:rPr>
        <w:t xml:space="preserve"> de los estudios, </w:t>
      </w:r>
      <w:r>
        <w:rPr>
          <w:rFonts w:asciiTheme="majorHAnsi" w:hAnsiTheme="majorHAnsi"/>
          <w:sz w:val="28"/>
          <w:szCs w:val="28"/>
        </w:rPr>
        <w:t xml:space="preserve">investigaciones, </w:t>
      </w:r>
      <w:r w:rsidRPr="00225EDB">
        <w:rPr>
          <w:rFonts w:asciiTheme="majorHAnsi" w:hAnsiTheme="majorHAnsi"/>
          <w:sz w:val="28"/>
          <w:szCs w:val="28"/>
        </w:rPr>
        <w:t xml:space="preserve">proyecciones y estimación de indicadores </w:t>
      </w:r>
      <w:r>
        <w:rPr>
          <w:rFonts w:asciiTheme="majorHAnsi" w:hAnsiTheme="majorHAnsi"/>
          <w:sz w:val="28"/>
          <w:szCs w:val="28"/>
        </w:rPr>
        <w:t xml:space="preserve">nacionales e </w:t>
      </w:r>
      <w:r w:rsidRPr="00225EDB">
        <w:rPr>
          <w:rFonts w:asciiTheme="majorHAnsi" w:hAnsiTheme="majorHAnsi"/>
          <w:sz w:val="28"/>
          <w:szCs w:val="28"/>
        </w:rPr>
        <w:t>internacion</w:t>
      </w:r>
      <w:r>
        <w:rPr>
          <w:rFonts w:asciiTheme="majorHAnsi" w:hAnsiTheme="majorHAnsi"/>
          <w:sz w:val="28"/>
          <w:szCs w:val="28"/>
        </w:rPr>
        <w:t>a</w:t>
      </w:r>
      <w:r w:rsidRPr="00225EDB">
        <w:rPr>
          <w:rFonts w:asciiTheme="majorHAnsi" w:hAnsiTheme="majorHAnsi"/>
          <w:sz w:val="28"/>
          <w:szCs w:val="28"/>
        </w:rPr>
        <w:t xml:space="preserve">les que se </w:t>
      </w:r>
      <w:r>
        <w:rPr>
          <w:rFonts w:asciiTheme="majorHAnsi" w:hAnsiTheme="majorHAnsi"/>
          <w:sz w:val="28"/>
          <w:szCs w:val="28"/>
        </w:rPr>
        <w:t>realizarán</w:t>
      </w:r>
      <w:r w:rsidRPr="00225EDB">
        <w:rPr>
          <w:rFonts w:asciiTheme="majorHAnsi" w:hAnsiTheme="majorHAnsi"/>
          <w:sz w:val="28"/>
          <w:szCs w:val="28"/>
        </w:rPr>
        <w:t xml:space="preserve"> en </w:t>
      </w:r>
      <w:r>
        <w:rPr>
          <w:rFonts w:asciiTheme="majorHAnsi" w:hAnsiTheme="majorHAnsi"/>
          <w:sz w:val="28"/>
          <w:szCs w:val="28"/>
        </w:rPr>
        <w:t>2018</w:t>
      </w:r>
      <w:r w:rsidRPr="00225EDB">
        <w:rPr>
          <w:rFonts w:asciiTheme="majorHAnsi" w:hAnsiTheme="majorHAnsi"/>
          <w:sz w:val="28"/>
          <w:szCs w:val="28"/>
        </w:rPr>
        <w:t xml:space="preserve">, es proporcionar al Pleno elementos adicionales sobre el desarrollo, evolución y prospectiva en materia de </w:t>
      </w:r>
      <w:r>
        <w:rPr>
          <w:rFonts w:asciiTheme="majorHAnsi" w:hAnsiTheme="majorHAnsi"/>
          <w:sz w:val="28"/>
          <w:szCs w:val="28"/>
        </w:rPr>
        <w:t>telecomunicaciones y</w:t>
      </w:r>
      <w:r w:rsidRPr="00225EDB">
        <w:rPr>
          <w:rFonts w:asciiTheme="majorHAnsi" w:hAnsiTheme="majorHAnsi"/>
          <w:sz w:val="28"/>
          <w:szCs w:val="28"/>
        </w:rPr>
        <w:t xml:space="preserve"> radiodifusión, su regulación y </w:t>
      </w:r>
      <w:r>
        <w:rPr>
          <w:rFonts w:asciiTheme="majorHAnsi" w:hAnsiTheme="majorHAnsi"/>
          <w:sz w:val="28"/>
          <w:szCs w:val="28"/>
        </w:rPr>
        <w:t>la competencia económica en esto</w:t>
      </w:r>
      <w:r w:rsidRPr="00225EDB">
        <w:rPr>
          <w:rFonts w:asciiTheme="majorHAnsi" w:hAnsiTheme="majorHAnsi"/>
          <w:sz w:val="28"/>
          <w:szCs w:val="28"/>
        </w:rPr>
        <w:t xml:space="preserve">s </w:t>
      </w:r>
      <w:r>
        <w:rPr>
          <w:rFonts w:asciiTheme="majorHAnsi" w:hAnsiTheme="majorHAnsi"/>
          <w:sz w:val="28"/>
          <w:szCs w:val="28"/>
        </w:rPr>
        <w:t>sectores</w:t>
      </w:r>
      <w:r w:rsidRPr="00225EDB">
        <w:rPr>
          <w:rFonts w:asciiTheme="majorHAnsi" w:hAnsiTheme="majorHAnsi"/>
          <w:sz w:val="28"/>
          <w:szCs w:val="28"/>
        </w:rPr>
        <w:t>, para contribuir al mejor ejercicio de sus atribuciones</w:t>
      </w:r>
      <w:r>
        <w:rPr>
          <w:rFonts w:asciiTheme="majorHAnsi" w:hAnsiTheme="majorHAnsi"/>
          <w:sz w:val="28"/>
          <w:szCs w:val="28"/>
        </w:rPr>
        <w:t>,</w:t>
      </w:r>
      <w:r w:rsidRPr="00225EDB">
        <w:rPr>
          <w:rFonts w:asciiTheme="majorHAnsi" w:hAnsiTheme="majorHAnsi"/>
          <w:sz w:val="28"/>
          <w:szCs w:val="28"/>
        </w:rPr>
        <w:t xml:space="preserve"> y al desarrollo de l</w:t>
      </w:r>
      <w:r>
        <w:rPr>
          <w:rFonts w:asciiTheme="majorHAnsi" w:hAnsiTheme="majorHAnsi"/>
          <w:sz w:val="28"/>
          <w:szCs w:val="28"/>
        </w:rPr>
        <w:t>as actividades</w:t>
      </w:r>
      <w:r w:rsidRPr="00225EDB">
        <w:rPr>
          <w:rFonts w:asciiTheme="majorHAnsi" w:hAnsiTheme="majorHAnsi"/>
          <w:sz w:val="28"/>
          <w:szCs w:val="28"/>
        </w:rPr>
        <w:t xml:space="preserve"> que el IFT regula. Así también, se busca </w:t>
      </w:r>
      <w:r>
        <w:rPr>
          <w:rFonts w:asciiTheme="majorHAnsi" w:hAnsiTheme="majorHAnsi"/>
          <w:sz w:val="28"/>
          <w:szCs w:val="28"/>
        </w:rPr>
        <w:t>aportar</w:t>
      </w:r>
      <w:r w:rsidRPr="00225EDB">
        <w:rPr>
          <w:rFonts w:asciiTheme="majorHAnsi" w:hAnsiTheme="majorHAnsi"/>
          <w:sz w:val="28"/>
          <w:szCs w:val="28"/>
        </w:rPr>
        <w:t xml:space="preserve"> al conocimiento y comprensión de la</w:t>
      </w:r>
      <w:r>
        <w:rPr>
          <w:rFonts w:asciiTheme="majorHAnsi" w:hAnsiTheme="majorHAnsi"/>
          <w:sz w:val="28"/>
          <w:szCs w:val="28"/>
        </w:rPr>
        <w:t>s políticas públicas que diseña</w:t>
      </w:r>
      <w:r w:rsidRPr="00225EDB">
        <w:rPr>
          <w:rFonts w:asciiTheme="majorHAnsi" w:hAnsiTheme="majorHAnsi"/>
          <w:sz w:val="28"/>
          <w:szCs w:val="28"/>
        </w:rPr>
        <w:t xml:space="preserve"> e implementa el </w:t>
      </w:r>
      <w:r>
        <w:rPr>
          <w:rFonts w:asciiTheme="majorHAnsi" w:hAnsiTheme="majorHAnsi"/>
          <w:sz w:val="28"/>
          <w:szCs w:val="28"/>
        </w:rPr>
        <w:t>Instituto</w:t>
      </w:r>
      <w:r w:rsidRPr="00225EDB">
        <w:rPr>
          <w:rFonts w:asciiTheme="majorHAnsi" w:hAnsiTheme="majorHAnsi"/>
          <w:sz w:val="28"/>
          <w:szCs w:val="28"/>
        </w:rPr>
        <w:t>.</w:t>
      </w:r>
    </w:p>
    <w:p w14:paraId="6032D2CD"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sidRPr="00844EF5">
        <w:rPr>
          <w:rFonts w:asciiTheme="majorHAnsi" w:hAnsiTheme="majorHAnsi"/>
          <w:sz w:val="28"/>
          <w:szCs w:val="28"/>
        </w:rPr>
        <w:t xml:space="preserve">Los temas </w:t>
      </w:r>
      <w:r>
        <w:rPr>
          <w:rFonts w:asciiTheme="majorHAnsi" w:hAnsiTheme="majorHAnsi"/>
          <w:sz w:val="28"/>
          <w:szCs w:val="28"/>
        </w:rPr>
        <w:t xml:space="preserve">de investigación que han sido incluidos </w:t>
      </w:r>
      <w:r w:rsidRPr="00844EF5">
        <w:rPr>
          <w:rFonts w:asciiTheme="majorHAnsi" w:hAnsiTheme="majorHAnsi"/>
          <w:sz w:val="28"/>
          <w:szCs w:val="28"/>
        </w:rPr>
        <w:t xml:space="preserve">revisten </w:t>
      </w:r>
      <w:r>
        <w:rPr>
          <w:rFonts w:asciiTheme="majorHAnsi" w:hAnsiTheme="majorHAnsi"/>
          <w:sz w:val="28"/>
          <w:szCs w:val="28"/>
        </w:rPr>
        <w:t xml:space="preserve">una gran relevancia para la agenda regulatoria y de política pública del Instituto en este y los siguientes años; han sido definidos de acuerdo con los objetivos planteados por el IFT y se presentan en el </w:t>
      </w:r>
      <w:r w:rsidRPr="0049609D">
        <w:rPr>
          <w:rFonts w:asciiTheme="majorHAnsi" w:hAnsiTheme="majorHAnsi"/>
          <w:sz w:val="28"/>
          <w:szCs w:val="28"/>
        </w:rPr>
        <w:t>Cuadro No. 2.</w:t>
      </w:r>
    </w:p>
    <w:p w14:paraId="18CDE036" w14:textId="77777777" w:rsidR="0014509F" w:rsidRPr="008156F1" w:rsidRDefault="0014509F" w:rsidP="008156F1">
      <w:pPr>
        <w:keepNext/>
        <w:keepLines/>
        <w:spacing w:after="100" w:afterAutospacing="1"/>
        <w:jc w:val="center"/>
        <w:rPr>
          <w:rFonts w:asciiTheme="majorHAnsi" w:hAnsiTheme="majorHAnsi"/>
          <w:color w:val="0070C0"/>
          <w:sz w:val="28"/>
          <w:szCs w:val="28"/>
        </w:rPr>
      </w:pPr>
      <w:r w:rsidRPr="008156F1">
        <w:rPr>
          <w:rFonts w:asciiTheme="majorHAnsi" w:hAnsiTheme="majorHAnsi"/>
          <w:b/>
          <w:color w:val="0070C0"/>
          <w:sz w:val="28"/>
          <w:szCs w:val="28"/>
        </w:rPr>
        <w:lastRenderedPageBreak/>
        <w:t>Cuadro 2 Estudios sobre Temas Específicos para 2018</w:t>
      </w:r>
    </w:p>
    <w:tbl>
      <w:tblPr>
        <w:tblStyle w:val="Tablaconcuadrcula1"/>
        <w:tblW w:w="9397" w:type="dxa"/>
        <w:tblLook w:val="04A0" w:firstRow="1" w:lastRow="0" w:firstColumn="1" w:lastColumn="0" w:noHBand="0" w:noVBand="1"/>
        <w:tblCaption w:val="Cuadro 2 Estudios sobre Temas Específicos para 2018"/>
        <w:tblDescription w:val="Cuadro 2 Estudios sobre Temas Específicos para 2018"/>
      </w:tblPr>
      <w:tblGrid>
        <w:gridCol w:w="1051"/>
        <w:gridCol w:w="8346"/>
      </w:tblGrid>
      <w:tr w:rsidR="0014509F" w14:paraId="27C153B5" w14:textId="77777777" w:rsidTr="00A170A9">
        <w:trPr>
          <w:trHeight w:val="724"/>
          <w:tblHeader/>
        </w:trPr>
        <w:tc>
          <w:tcPr>
            <w:tcW w:w="1051" w:type="dxa"/>
          </w:tcPr>
          <w:p w14:paraId="2D1F3403" w14:textId="77777777" w:rsidR="0014509F" w:rsidRPr="00755E31" w:rsidRDefault="0014509F" w:rsidP="00A170A9">
            <w:pPr>
              <w:keepNext/>
              <w:keepLines/>
              <w:spacing w:after="100" w:afterAutospacing="1"/>
              <w:jc w:val="both"/>
              <w:rPr>
                <w:rFonts w:asciiTheme="majorHAnsi" w:hAnsiTheme="majorHAnsi" w:cstheme="majorHAnsi"/>
                <w:sz w:val="28"/>
                <w:szCs w:val="28"/>
              </w:rPr>
            </w:pPr>
            <w:r w:rsidRPr="00755E31">
              <w:rPr>
                <w:rFonts w:asciiTheme="majorHAnsi" w:hAnsiTheme="majorHAnsi" w:cstheme="majorHAnsi"/>
                <w:sz w:val="28"/>
                <w:szCs w:val="28"/>
              </w:rPr>
              <w:t>2</w:t>
            </w:r>
          </w:p>
        </w:tc>
        <w:tc>
          <w:tcPr>
            <w:tcW w:w="8346" w:type="dxa"/>
          </w:tcPr>
          <w:p w14:paraId="211B1A01" w14:textId="77777777" w:rsidR="0014509F" w:rsidRPr="00305BF7" w:rsidRDefault="0014509F" w:rsidP="00A170A9">
            <w:pPr>
              <w:keepNext/>
              <w:keepLines/>
              <w:spacing w:after="100" w:afterAutospacing="1"/>
              <w:jc w:val="both"/>
              <w:rPr>
                <w:rFonts w:asciiTheme="majorHAnsi" w:hAnsiTheme="majorHAnsi" w:cstheme="majorHAnsi"/>
                <w:sz w:val="28"/>
                <w:szCs w:val="28"/>
              </w:rPr>
            </w:pPr>
            <w:r w:rsidRPr="00305BF7">
              <w:rPr>
                <w:rFonts w:asciiTheme="majorHAnsi" w:hAnsiTheme="majorHAnsi" w:cstheme="majorHAnsi"/>
                <w:sz w:val="28"/>
                <w:szCs w:val="28"/>
              </w:rPr>
              <w:t>Experiencia internacional reciente en la utilización de subastas de espectro y otros criterios para su asignación</w:t>
            </w:r>
          </w:p>
        </w:tc>
      </w:tr>
      <w:tr w:rsidR="0014509F" w14:paraId="10B59418" w14:textId="77777777" w:rsidTr="00A170A9">
        <w:trPr>
          <w:trHeight w:val="865"/>
          <w:tblHeader/>
        </w:trPr>
        <w:tc>
          <w:tcPr>
            <w:tcW w:w="1051" w:type="dxa"/>
          </w:tcPr>
          <w:p w14:paraId="3EB51B33" w14:textId="77777777" w:rsidR="0014509F" w:rsidRPr="00755E31" w:rsidRDefault="0014509F" w:rsidP="00A170A9">
            <w:pPr>
              <w:keepNext/>
              <w:keepLines/>
              <w:spacing w:after="100" w:afterAutospacing="1"/>
              <w:jc w:val="both"/>
              <w:rPr>
                <w:rFonts w:asciiTheme="majorHAnsi" w:hAnsiTheme="majorHAnsi" w:cstheme="majorHAnsi"/>
                <w:sz w:val="28"/>
                <w:szCs w:val="28"/>
              </w:rPr>
            </w:pPr>
            <w:r w:rsidRPr="00755E31">
              <w:rPr>
                <w:rFonts w:asciiTheme="majorHAnsi" w:hAnsiTheme="majorHAnsi" w:cstheme="majorHAnsi"/>
                <w:sz w:val="28"/>
                <w:szCs w:val="28"/>
              </w:rPr>
              <w:t>3</w:t>
            </w:r>
          </w:p>
        </w:tc>
        <w:tc>
          <w:tcPr>
            <w:tcW w:w="8346" w:type="dxa"/>
          </w:tcPr>
          <w:p w14:paraId="44E14234" w14:textId="77777777" w:rsidR="0014509F" w:rsidRPr="00305BF7" w:rsidRDefault="0014509F" w:rsidP="00A170A9">
            <w:pPr>
              <w:keepNext/>
              <w:keepLines/>
              <w:spacing w:after="100" w:afterAutospacing="1"/>
              <w:jc w:val="both"/>
              <w:rPr>
                <w:rFonts w:asciiTheme="majorHAnsi" w:hAnsiTheme="majorHAnsi" w:cstheme="majorHAnsi"/>
                <w:sz w:val="28"/>
                <w:szCs w:val="28"/>
              </w:rPr>
            </w:pPr>
            <w:r w:rsidRPr="00305BF7">
              <w:rPr>
                <w:rFonts w:asciiTheme="majorHAnsi" w:hAnsiTheme="majorHAnsi" w:cstheme="majorHAnsi"/>
                <w:sz w:val="28"/>
                <w:szCs w:val="28"/>
              </w:rPr>
              <w:t xml:space="preserve">Estimación de los precios </w:t>
            </w:r>
            <w:r>
              <w:rPr>
                <w:rFonts w:asciiTheme="majorHAnsi" w:hAnsiTheme="majorHAnsi" w:cstheme="majorHAnsi"/>
                <w:sz w:val="28"/>
                <w:szCs w:val="28"/>
              </w:rPr>
              <w:t xml:space="preserve">implícitos </w:t>
            </w:r>
            <w:r w:rsidRPr="00305BF7">
              <w:rPr>
                <w:rFonts w:asciiTheme="majorHAnsi" w:hAnsiTheme="majorHAnsi" w:cstheme="majorHAnsi"/>
                <w:sz w:val="28"/>
                <w:szCs w:val="28"/>
              </w:rPr>
              <w:t>de servicios de telecomunicaciones incluidos en paquetes en México</w:t>
            </w:r>
          </w:p>
        </w:tc>
      </w:tr>
      <w:tr w:rsidR="0014509F" w14:paraId="5187F075" w14:textId="77777777" w:rsidTr="00A170A9">
        <w:trPr>
          <w:trHeight w:val="836"/>
          <w:tblHeader/>
        </w:trPr>
        <w:tc>
          <w:tcPr>
            <w:tcW w:w="1051" w:type="dxa"/>
          </w:tcPr>
          <w:p w14:paraId="20FF0FF9" w14:textId="77777777" w:rsidR="0014509F" w:rsidRPr="00755E31" w:rsidRDefault="0014509F" w:rsidP="00A170A9">
            <w:pPr>
              <w:keepNext/>
              <w:keepLines/>
              <w:spacing w:after="100" w:afterAutospacing="1"/>
              <w:jc w:val="both"/>
              <w:rPr>
                <w:rFonts w:asciiTheme="majorHAnsi" w:hAnsiTheme="majorHAnsi" w:cstheme="majorHAnsi"/>
                <w:sz w:val="28"/>
                <w:szCs w:val="28"/>
              </w:rPr>
            </w:pPr>
            <w:r>
              <w:rPr>
                <w:rFonts w:asciiTheme="majorHAnsi" w:hAnsiTheme="majorHAnsi" w:cstheme="majorHAnsi"/>
                <w:sz w:val="28"/>
                <w:szCs w:val="28"/>
              </w:rPr>
              <w:t>4</w:t>
            </w:r>
          </w:p>
        </w:tc>
        <w:tc>
          <w:tcPr>
            <w:tcW w:w="8346" w:type="dxa"/>
          </w:tcPr>
          <w:p w14:paraId="74148039" w14:textId="77777777" w:rsidR="0014509F" w:rsidRPr="00305BF7" w:rsidRDefault="0014509F" w:rsidP="00A170A9">
            <w:pPr>
              <w:keepNext/>
              <w:keepLines/>
              <w:spacing w:after="100" w:afterAutospacing="1"/>
              <w:jc w:val="both"/>
              <w:rPr>
                <w:rFonts w:asciiTheme="majorHAnsi" w:hAnsiTheme="majorHAnsi" w:cstheme="majorHAnsi"/>
                <w:sz w:val="28"/>
                <w:szCs w:val="28"/>
              </w:rPr>
            </w:pPr>
            <w:r w:rsidRPr="00AD6A47">
              <w:rPr>
                <w:rFonts w:asciiTheme="majorHAnsi" w:hAnsiTheme="majorHAnsi" w:cstheme="majorHAnsi"/>
                <w:sz w:val="28"/>
                <w:szCs w:val="28"/>
              </w:rPr>
              <w:t>Mejores prácticas de abogacía de la competencia en telecomunicaciones</w:t>
            </w:r>
          </w:p>
        </w:tc>
      </w:tr>
      <w:tr w:rsidR="0014509F" w14:paraId="70B8B65A" w14:textId="77777777" w:rsidTr="00A170A9">
        <w:trPr>
          <w:trHeight w:val="864"/>
          <w:tblHeader/>
        </w:trPr>
        <w:tc>
          <w:tcPr>
            <w:tcW w:w="1051" w:type="dxa"/>
          </w:tcPr>
          <w:p w14:paraId="6720AC1E" w14:textId="77777777" w:rsidR="0014509F" w:rsidRPr="00755E31" w:rsidRDefault="0014509F" w:rsidP="00A170A9">
            <w:pPr>
              <w:keepNext/>
              <w:keepLines/>
              <w:spacing w:after="100" w:afterAutospacing="1"/>
              <w:jc w:val="both"/>
              <w:rPr>
                <w:rFonts w:asciiTheme="majorHAnsi" w:hAnsiTheme="majorHAnsi" w:cstheme="majorHAnsi"/>
                <w:sz w:val="28"/>
                <w:szCs w:val="28"/>
              </w:rPr>
            </w:pPr>
            <w:r w:rsidRPr="00755E31">
              <w:rPr>
                <w:rFonts w:asciiTheme="majorHAnsi" w:hAnsiTheme="majorHAnsi" w:cstheme="majorHAnsi"/>
                <w:sz w:val="28"/>
                <w:szCs w:val="28"/>
              </w:rPr>
              <w:t>5</w:t>
            </w:r>
          </w:p>
        </w:tc>
        <w:tc>
          <w:tcPr>
            <w:tcW w:w="8346" w:type="dxa"/>
          </w:tcPr>
          <w:p w14:paraId="6B77DF26" w14:textId="77777777" w:rsidR="0014509F" w:rsidRPr="00AD6A47" w:rsidRDefault="0014509F" w:rsidP="00A170A9">
            <w:pPr>
              <w:keepNext/>
              <w:keepLines/>
              <w:spacing w:after="100" w:afterAutospacing="1"/>
              <w:jc w:val="both"/>
              <w:rPr>
                <w:rFonts w:asciiTheme="majorHAnsi" w:hAnsiTheme="majorHAnsi" w:cstheme="majorHAnsi"/>
                <w:sz w:val="28"/>
                <w:szCs w:val="28"/>
              </w:rPr>
            </w:pPr>
            <w:r w:rsidRPr="00305BF7">
              <w:rPr>
                <w:rFonts w:asciiTheme="majorHAnsi" w:hAnsiTheme="majorHAnsi" w:cstheme="majorHAnsi"/>
                <w:sz w:val="28"/>
                <w:szCs w:val="28"/>
              </w:rPr>
              <w:t>Experiencia internacional reciente en la regulación de acceso a la red local fija</w:t>
            </w:r>
          </w:p>
        </w:tc>
      </w:tr>
      <w:tr w:rsidR="0014509F" w14:paraId="497F4220" w14:textId="77777777" w:rsidTr="00A170A9">
        <w:trPr>
          <w:trHeight w:val="862"/>
          <w:tblHeader/>
        </w:trPr>
        <w:tc>
          <w:tcPr>
            <w:tcW w:w="1051" w:type="dxa"/>
          </w:tcPr>
          <w:p w14:paraId="79389D24" w14:textId="77777777" w:rsidR="0014509F" w:rsidRPr="00755E31" w:rsidRDefault="0014509F" w:rsidP="00A170A9">
            <w:pPr>
              <w:keepNext/>
              <w:keepLines/>
              <w:spacing w:after="100" w:afterAutospacing="1"/>
              <w:jc w:val="both"/>
              <w:rPr>
                <w:rFonts w:asciiTheme="majorHAnsi" w:hAnsiTheme="majorHAnsi" w:cstheme="majorHAnsi"/>
                <w:sz w:val="28"/>
                <w:szCs w:val="28"/>
              </w:rPr>
            </w:pPr>
            <w:r w:rsidRPr="00755E31">
              <w:rPr>
                <w:rFonts w:asciiTheme="majorHAnsi" w:hAnsiTheme="majorHAnsi" w:cstheme="majorHAnsi"/>
                <w:sz w:val="28"/>
                <w:szCs w:val="28"/>
              </w:rPr>
              <w:t>6</w:t>
            </w:r>
          </w:p>
        </w:tc>
        <w:tc>
          <w:tcPr>
            <w:tcW w:w="8346" w:type="dxa"/>
          </w:tcPr>
          <w:p w14:paraId="0BF1776D" w14:textId="77777777" w:rsidR="0014509F" w:rsidRPr="00305BF7" w:rsidRDefault="0014509F" w:rsidP="00A170A9">
            <w:pPr>
              <w:keepNext/>
              <w:keepLines/>
              <w:spacing w:after="100" w:afterAutospacing="1"/>
              <w:jc w:val="both"/>
              <w:rPr>
                <w:rFonts w:asciiTheme="majorHAnsi" w:hAnsiTheme="majorHAnsi" w:cstheme="majorHAnsi"/>
                <w:sz w:val="28"/>
                <w:szCs w:val="28"/>
              </w:rPr>
            </w:pPr>
            <w:r w:rsidRPr="00305BF7">
              <w:rPr>
                <w:rFonts w:asciiTheme="majorHAnsi" w:hAnsiTheme="majorHAnsi" w:cstheme="majorHAnsi"/>
                <w:sz w:val="28"/>
                <w:szCs w:val="28"/>
              </w:rPr>
              <w:t>Efecto de la competenci</w:t>
            </w:r>
            <w:r>
              <w:rPr>
                <w:rFonts w:asciiTheme="majorHAnsi" w:hAnsiTheme="majorHAnsi" w:cstheme="majorHAnsi"/>
                <w:sz w:val="28"/>
                <w:szCs w:val="28"/>
              </w:rPr>
              <w:t>a en infraestructura</w:t>
            </w:r>
            <w:r w:rsidRPr="00305BF7">
              <w:rPr>
                <w:rFonts w:asciiTheme="majorHAnsi" w:hAnsiTheme="majorHAnsi" w:cstheme="majorHAnsi"/>
                <w:sz w:val="28"/>
                <w:szCs w:val="28"/>
              </w:rPr>
              <w:t xml:space="preserve"> y servicios sobre la inversión en redes en un entorno digital</w:t>
            </w:r>
          </w:p>
        </w:tc>
      </w:tr>
      <w:tr w:rsidR="0014509F" w14:paraId="5CC142B3" w14:textId="77777777" w:rsidTr="00A170A9">
        <w:trPr>
          <w:trHeight w:val="1024"/>
          <w:tblHeader/>
        </w:trPr>
        <w:tc>
          <w:tcPr>
            <w:tcW w:w="1051" w:type="dxa"/>
          </w:tcPr>
          <w:p w14:paraId="3218A1F0" w14:textId="77777777" w:rsidR="0014509F" w:rsidRPr="00755E31" w:rsidRDefault="0014509F" w:rsidP="00A170A9">
            <w:pPr>
              <w:keepNext/>
              <w:keepLines/>
              <w:spacing w:after="100" w:afterAutospacing="1"/>
              <w:jc w:val="both"/>
              <w:rPr>
                <w:rFonts w:asciiTheme="majorHAnsi" w:hAnsiTheme="majorHAnsi" w:cstheme="majorHAnsi"/>
                <w:sz w:val="28"/>
                <w:szCs w:val="28"/>
              </w:rPr>
            </w:pPr>
            <w:r w:rsidRPr="00755E31">
              <w:rPr>
                <w:rFonts w:asciiTheme="majorHAnsi" w:hAnsiTheme="majorHAnsi" w:cstheme="majorHAnsi"/>
                <w:sz w:val="28"/>
                <w:szCs w:val="28"/>
              </w:rPr>
              <w:t>7</w:t>
            </w:r>
          </w:p>
        </w:tc>
        <w:tc>
          <w:tcPr>
            <w:tcW w:w="8346" w:type="dxa"/>
          </w:tcPr>
          <w:p w14:paraId="760945A2" w14:textId="77777777" w:rsidR="0014509F" w:rsidRPr="00305BF7" w:rsidRDefault="0014509F" w:rsidP="00A170A9">
            <w:pPr>
              <w:keepNext/>
              <w:keepLines/>
              <w:spacing w:after="100" w:afterAutospacing="1"/>
              <w:jc w:val="both"/>
              <w:rPr>
                <w:rFonts w:asciiTheme="majorHAnsi" w:hAnsiTheme="majorHAnsi" w:cstheme="majorHAnsi"/>
                <w:sz w:val="28"/>
                <w:szCs w:val="28"/>
              </w:rPr>
            </w:pPr>
            <w:r>
              <w:rPr>
                <w:rFonts w:asciiTheme="majorHAnsi" w:hAnsiTheme="majorHAnsi" w:cstheme="majorHAnsi"/>
                <w:sz w:val="28"/>
                <w:szCs w:val="28"/>
              </w:rPr>
              <w:t>Competencia e inversión extranjera directa en las telecomunicaciones: evidencia de los países de la OCDE en concentración y precios del sector</w:t>
            </w:r>
          </w:p>
        </w:tc>
      </w:tr>
      <w:tr w:rsidR="0014509F" w14:paraId="1EE06E05" w14:textId="77777777" w:rsidTr="00A170A9">
        <w:trPr>
          <w:trHeight w:val="845"/>
          <w:tblHeader/>
        </w:trPr>
        <w:tc>
          <w:tcPr>
            <w:tcW w:w="1051" w:type="dxa"/>
          </w:tcPr>
          <w:p w14:paraId="7D28A7C3" w14:textId="77777777" w:rsidR="0014509F" w:rsidRPr="00755E31" w:rsidRDefault="0014509F" w:rsidP="00A170A9">
            <w:pPr>
              <w:keepNext/>
              <w:keepLines/>
              <w:spacing w:after="100" w:afterAutospacing="1"/>
              <w:jc w:val="both"/>
              <w:rPr>
                <w:rFonts w:asciiTheme="majorHAnsi" w:hAnsiTheme="majorHAnsi" w:cstheme="majorHAnsi"/>
                <w:sz w:val="28"/>
                <w:szCs w:val="28"/>
              </w:rPr>
            </w:pPr>
            <w:r w:rsidRPr="00755E31">
              <w:rPr>
                <w:rFonts w:asciiTheme="majorHAnsi" w:hAnsiTheme="majorHAnsi" w:cstheme="majorHAnsi"/>
                <w:sz w:val="28"/>
                <w:szCs w:val="28"/>
              </w:rPr>
              <w:t>8</w:t>
            </w:r>
          </w:p>
        </w:tc>
        <w:tc>
          <w:tcPr>
            <w:tcW w:w="8346" w:type="dxa"/>
          </w:tcPr>
          <w:p w14:paraId="1BB8E2C5" w14:textId="77777777" w:rsidR="0014509F" w:rsidRPr="00305BF7" w:rsidRDefault="0014509F" w:rsidP="00A170A9">
            <w:pPr>
              <w:keepNext/>
              <w:keepLines/>
              <w:spacing w:after="100" w:afterAutospacing="1"/>
              <w:jc w:val="both"/>
              <w:rPr>
                <w:rFonts w:asciiTheme="majorHAnsi" w:hAnsiTheme="majorHAnsi" w:cstheme="majorHAnsi"/>
                <w:sz w:val="28"/>
                <w:szCs w:val="28"/>
              </w:rPr>
            </w:pPr>
            <w:r w:rsidRPr="001278C8">
              <w:rPr>
                <w:rFonts w:asciiTheme="majorHAnsi" w:hAnsiTheme="majorHAnsi" w:cstheme="majorHAnsi"/>
                <w:sz w:val="28"/>
                <w:szCs w:val="28"/>
              </w:rPr>
              <w:t>Nuevos modelos disruptivos para los operadores de telecomunicac</w:t>
            </w:r>
            <w:r>
              <w:rPr>
                <w:rFonts w:asciiTheme="majorHAnsi" w:hAnsiTheme="majorHAnsi" w:cstheme="majorHAnsi"/>
                <w:sz w:val="28"/>
                <w:szCs w:val="28"/>
              </w:rPr>
              <w:t>iones en un nuevo entorno digital</w:t>
            </w:r>
            <w:r w:rsidRPr="00305BF7">
              <w:rPr>
                <w:rFonts w:asciiTheme="majorHAnsi" w:hAnsiTheme="majorHAnsi" w:cstheme="majorHAnsi"/>
                <w:sz w:val="28"/>
                <w:szCs w:val="28"/>
              </w:rPr>
              <w:t xml:space="preserve"> </w:t>
            </w:r>
          </w:p>
        </w:tc>
      </w:tr>
      <w:tr w:rsidR="0014509F" w14:paraId="4AD13BD0" w14:textId="77777777" w:rsidTr="00A170A9">
        <w:trPr>
          <w:trHeight w:val="532"/>
          <w:tblHeader/>
        </w:trPr>
        <w:tc>
          <w:tcPr>
            <w:tcW w:w="1051" w:type="dxa"/>
          </w:tcPr>
          <w:p w14:paraId="22E9701D" w14:textId="77777777" w:rsidR="0014509F" w:rsidRPr="00755E31" w:rsidRDefault="0014509F" w:rsidP="00A170A9">
            <w:pPr>
              <w:keepNext/>
              <w:keepLines/>
              <w:spacing w:after="100" w:afterAutospacing="1"/>
              <w:jc w:val="both"/>
              <w:rPr>
                <w:rFonts w:asciiTheme="majorHAnsi" w:hAnsiTheme="majorHAnsi" w:cstheme="majorHAnsi"/>
                <w:sz w:val="28"/>
                <w:szCs w:val="28"/>
              </w:rPr>
            </w:pPr>
            <w:r w:rsidRPr="00755E31">
              <w:rPr>
                <w:rFonts w:asciiTheme="majorHAnsi" w:hAnsiTheme="majorHAnsi" w:cstheme="majorHAnsi"/>
                <w:sz w:val="28"/>
                <w:szCs w:val="28"/>
              </w:rPr>
              <w:t>9</w:t>
            </w:r>
          </w:p>
        </w:tc>
        <w:tc>
          <w:tcPr>
            <w:tcW w:w="8346" w:type="dxa"/>
          </w:tcPr>
          <w:p w14:paraId="707EC826" w14:textId="77777777" w:rsidR="0014509F" w:rsidRPr="00305BF7" w:rsidRDefault="0014509F" w:rsidP="00A170A9">
            <w:pPr>
              <w:keepNext/>
              <w:keepLines/>
              <w:spacing w:after="100" w:afterAutospacing="1"/>
              <w:jc w:val="both"/>
              <w:rPr>
                <w:rFonts w:asciiTheme="majorHAnsi" w:hAnsiTheme="majorHAnsi" w:cstheme="majorHAnsi"/>
                <w:sz w:val="28"/>
                <w:szCs w:val="28"/>
              </w:rPr>
            </w:pPr>
            <w:r>
              <w:rPr>
                <w:rFonts w:asciiTheme="majorHAnsi" w:hAnsiTheme="majorHAnsi" w:cstheme="majorHAnsi"/>
                <w:sz w:val="28"/>
                <w:szCs w:val="28"/>
              </w:rPr>
              <w:t>Equidad de género en el sector de las telecomunicaciones en México</w:t>
            </w:r>
          </w:p>
        </w:tc>
      </w:tr>
      <w:tr w:rsidR="0014509F" w14:paraId="71194BEC" w14:textId="77777777" w:rsidTr="00A170A9">
        <w:trPr>
          <w:trHeight w:val="510"/>
          <w:tblHeader/>
        </w:trPr>
        <w:tc>
          <w:tcPr>
            <w:tcW w:w="1051" w:type="dxa"/>
          </w:tcPr>
          <w:p w14:paraId="57F06484" w14:textId="77777777" w:rsidR="0014509F" w:rsidRPr="00755E31" w:rsidRDefault="0014509F" w:rsidP="00A170A9">
            <w:pPr>
              <w:keepNext/>
              <w:keepLines/>
              <w:spacing w:after="100" w:afterAutospacing="1"/>
              <w:jc w:val="both"/>
              <w:rPr>
                <w:rFonts w:asciiTheme="majorHAnsi" w:hAnsiTheme="majorHAnsi" w:cstheme="majorHAnsi"/>
                <w:sz w:val="28"/>
                <w:szCs w:val="28"/>
              </w:rPr>
            </w:pPr>
            <w:r w:rsidRPr="00755E31">
              <w:rPr>
                <w:rFonts w:asciiTheme="majorHAnsi" w:hAnsiTheme="majorHAnsi" w:cstheme="majorHAnsi"/>
                <w:sz w:val="28"/>
                <w:szCs w:val="28"/>
              </w:rPr>
              <w:t>10</w:t>
            </w:r>
          </w:p>
        </w:tc>
        <w:tc>
          <w:tcPr>
            <w:tcW w:w="8346" w:type="dxa"/>
          </w:tcPr>
          <w:p w14:paraId="3C4D0082" w14:textId="77777777" w:rsidR="0014509F" w:rsidRPr="00DB7ACC" w:rsidRDefault="0014509F" w:rsidP="00A170A9">
            <w:pPr>
              <w:keepNext/>
              <w:keepLines/>
              <w:spacing w:after="100" w:afterAutospacing="1"/>
              <w:jc w:val="both"/>
              <w:rPr>
                <w:rFonts w:asciiTheme="majorHAnsi" w:hAnsiTheme="majorHAnsi" w:cstheme="majorHAnsi"/>
                <w:sz w:val="28"/>
                <w:szCs w:val="28"/>
              </w:rPr>
            </w:pPr>
            <w:r w:rsidRPr="001278C8">
              <w:rPr>
                <w:rFonts w:asciiTheme="majorHAnsi" w:hAnsiTheme="majorHAnsi" w:cstheme="majorHAnsi"/>
                <w:sz w:val="28"/>
                <w:szCs w:val="28"/>
              </w:rPr>
              <w:t>Requerimientos de espectr</w:t>
            </w:r>
            <w:r>
              <w:rPr>
                <w:rFonts w:asciiTheme="majorHAnsi" w:hAnsiTheme="majorHAnsi" w:cstheme="majorHAnsi"/>
                <w:sz w:val="28"/>
                <w:szCs w:val="28"/>
              </w:rPr>
              <w:t>o para el Internet de las Cosas</w:t>
            </w:r>
          </w:p>
        </w:tc>
      </w:tr>
      <w:tr w:rsidR="0014509F" w14:paraId="2CC5F445" w14:textId="77777777" w:rsidTr="00A170A9">
        <w:trPr>
          <w:trHeight w:val="907"/>
          <w:tblHeader/>
        </w:trPr>
        <w:tc>
          <w:tcPr>
            <w:tcW w:w="1051" w:type="dxa"/>
          </w:tcPr>
          <w:p w14:paraId="72828E9F" w14:textId="77777777" w:rsidR="0014509F" w:rsidRPr="00755E31" w:rsidRDefault="0014509F" w:rsidP="00A170A9">
            <w:pPr>
              <w:keepNext/>
              <w:keepLines/>
              <w:spacing w:after="100" w:afterAutospacing="1"/>
              <w:jc w:val="both"/>
              <w:rPr>
                <w:rFonts w:asciiTheme="majorHAnsi" w:hAnsiTheme="majorHAnsi" w:cstheme="majorHAnsi"/>
                <w:sz w:val="28"/>
                <w:szCs w:val="28"/>
              </w:rPr>
            </w:pPr>
            <w:r w:rsidRPr="00755E31">
              <w:rPr>
                <w:rFonts w:asciiTheme="majorHAnsi" w:hAnsiTheme="majorHAnsi" w:cstheme="majorHAnsi"/>
                <w:sz w:val="28"/>
                <w:szCs w:val="28"/>
              </w:rPr>
              <w:t>11</w:t>
            </w:r>
          </w:p>
        </w:tc>
        <w:tc>
          <w:tcPr>
            <w:tcW w:w="8346" w:type="dxa"/>
          </w:tcPr>
          <w:p w14:paraId="15A66D90" w14:textId="77777777" w:rsidR="0014509F" w:rsidRPr="00305BF7" w:rsidRDefault="0014509F" w:rsidP="00A170A9">
            <w:pPr>
              <w:keepNext/>
              <w:keepLines/>
              <w:spacing w:after="100" w:afterAutospacing="1"/>
              <w:jc w:val="both"/>
              <w:rPr>
                <w:rFonts w:asciiTheme="majorHAnsi" w:hAnsiTheme="majorHAnsi" w:cstheme="majorHAnsi"/>
                <w:sz w:val="28"/>
                <w:szCs w:val="28"/>
              </w:rPr>
            </w:pPr>
            <w:r w:rsidRPr="00305BF7">
              <w:rPr>
                <w:rFonts w:asciiTheme="majorHAnsi" w:hAnsiTheme="majorHAnsi" w:cstheme="majorHAnsi"/>
                <w:sz w:val="28"/>
                <w:szCs w:val="28"/>
              </w:rPr>
              <w:t>Compartición espectral como estrategia para contribuir en la solución de la mayor demanda de este insumo para servicios móviles terrestres</w:t>
            </w:r>
          </w:p>
        </w:tc>
      </w:tr>
      <w:tr w:rsidR="0014509F" w14:paraId="74ECD58C" w14:textId="77777777" w:rsidTr="00A170A9">
        <w:trPr>
          <w:trHeight w:val="283"/>
          <w:tblHeader/>
        </w:trPr>
        <w:tc>
          <w:tcPr>
            <w:tcW w:w="1051" w:type="dxa"/>
          </w:tcPr>
          <w:p w14:paraId="4138D56E" w14:textId="77777777" w:rsidR="0014509F" w:rsidRPr="00755E31" w:rsidRDefault="0014509F" w:rsidP="00A170A9">
            <w:pPr>
              <w:keepNext/>
              <w:keepLines/>
              <w:spacing w:after="100" w:afterAutospacing="1"/>
              <w:jc w:val="both"/>
              <w:rPr>
                <w:rFonts w:asciiTheme="majorHAnsi" w:hAnsiTheme="majorHAnsi" w:cstheme="majorHAnsi"/>
                <w:sz w:val="28"/>
                <w:szCs w:val="28"/>
              </w:rPr>
            </w:pPr>
            <w:r w:rsidRPr="00755E31">
              <w:rPr>
                <w:rFonts w:asciiTheme="majorHAnsi" w:hAnsiTheme="majorHAnsi" w:cstheme="majorHAnsi"/>
                <w:sz w:val="28"/>
                <w:szCs w:val="28"/>
              </w:rPr>
              <w:t>12</w:t>
            </w:r>
          </w:p>
        </w:tc>
        <w:tc>
          <w:tcPr>
            <w:tcW w:w="8346" w:type="dxa"/>
          </w:tcPr>
          <w:sdt>
            <w:sdtPr>
              <w:rPr>
                <w:rFonts w:asciiTheme="majorHAnsi" w:hAnsiTheme="majorHAnsi" w:cstheme="majorHAnsi"/>
                <w:sz w:val="28"/>
                <w:szCs w:val="28"/>
              </w:rPr>
              <w:alias w:val="Nombre del Proyecto"/>
              <w:tag w:val="Nombre_x0020_del_x0020_Proyecto"/>
              <w:id w:val="837429770"/>
              <w:placeholder>
                <w:docPart w:val="145A916FB73F4322AFF6F3DBE9F037F8"/>
              </w:placeholder>
              <w:dataBinding w:prefixMappings="xmlns:ns0='http://schemas.microsoft.com/office/2006/metadata/properties' xmlns:ns1='http://www.w3.org/2001/XMLSchema-instance' xmlns:ns2='http://schemas.microsoft.com/office/infopath/2007/PartnerControls' xmlns:ns3='293807b6-12d3-42cc-a250-7bb708d556b9' " w:xpath="/ns0:properties[1]/documentManagement[1]/ns3:Nombre_x0020_del_x0020_Proyecto[1]" w:storeItemID="{D43C7FE1-1104-4286-B957-32265D6B0D08}"/>
              <w:text/>
            </w:sdtPr>
            <w:sdtContent>
              <w:p w14:paraId="65A7E443" w14:textId="2827A49B" w:rsidR="0014509F" w:rsidRPr="00305BF7" w:rsidRDefault="0014509F" w:rsidP="00A170A9">
                <w:pPr>
                  <w:keepNext/>
                  <w:keepLines/>
                  <w:spacing w:after="100" w:afterAutospacing="1"/>
                  <w:jc w:val="both"/>
                  <w:rPr>
                    <w:rFonts w:asciiTheme="majorHAnsi" w:hAnsiTheme="majorHAnsi" w:cstheme="majorHAnsi"/>
                    <w:sz w:val="28"/>
                    <w:szCs w:val="28"/>
                  </w:rPr>
                </w:pPr>
                <w:r>
                  <w:rPr>
                    <w:rFonts w:asciiTheme="majorHAnsi" w:hAnsiTheme="majorHAnsi" w:cstheme="majorHAnsi"/>
                    <w:sz w:val="28"/>
                    <w:szCs w:val="28"/>
                  </w:rPr>
                  <w:t>Políticas y regulación para la explotación legítima de los datos y la privacidad</w:t>
                </w:r>
              </w:p>
            </w:sdtContent>
          </w:sdt>
        </w:tc>
      </w:tr>
    </w:tbl>
    <w:p w14:paraId="13CF4449"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sidRPr="00844EF5">
        <w:rPr>
          <w:rFonts w:asciiTheme="majorHAnsi" w:hAnsiTheme="majorHAnsi"/>
          <w:sz w:val="28"/>
          <w:szCs w:val="28"/>
        </w:rPr>
        <w:t xml:space="preserve">Las </w:t>
      </w:r>
      <w:r>
        <w:rPr>
          <w:rFonts w:asciiTheme="majorHAnsi" w:hAnsiTheme="majorHAnsi"/>
          <w:sz w:val="28"/>
          <w:szCs w:val="28"/>
        </w:rPr>
        <w:t xml:space="preserve">opiniones y </w:t>
      </w:r>
      <w:r w:rsidRPr="00844EF5">
        <w:rPr>
          <w:rFonts w:asciiTheme="majorHAnsi" w:hAnsiTheme="majorHAnsi"/>
          <w:sz w:val="28"/>
          <w:szCs w:val="28"/>
        </w:rPr>
        <w:t xml:space="preserve">conclusiones </w:t>
      </w:r>
      <w:r>
        <w:rPr>
          <w:rFonts w:asciiTheme="majorHAnsi" w:hAnsiTheme="majorHAnsi"/>
          <w:sz w:val="28"/>
          <w:szCs w:val="28"/>
        </w:rPr>
        <w:t>que se derivan de cada estudio</w:t>
      </w:r>
      <w:r w:rsidRPr="00844EF5">
        <w:rPr>
          <w:rFonts w:asciiTheme="majorHAnsi" w:hAnsiTheme="majorHAnsi"/>
          <w:sz w:val="28"/>
          <w:szCs w:val="28"/>
        </w:rPr>
        <w:t xml:space="preserve"> son autónomas y de responsabilidad exclusiva </w:t>
      </w:r>
      <w:r>
        <w:rPr>
          <w:rFonts w:asciiTheme="majorHAnsi" w:hAnsiTheme="majorHAnsi"/>
          <w:sz w:val="28"/>
          <w:szCs w:val="28"/>
        </w:rPr>
        <w:t>de</w:t>
      </w:r>
      <w:r w:rsidRPr="00844EF5">
        <w:rPr>
          <w:rFonts w:asciiTheme="majorHAnsi" w:hAnsiTheme="majorHAnsi"/>
          <w:sz w:val="28"/>
          <w:szCs w:val="28"/>
        </w:rPr>
        <w:t xml:space="preserve"> los investigadores que las realizan, esto es, en ningún caso se compromete el punto de vista institucional del IFT. En este contexto, corresponde al titular del CE</w:t>
      </w:r>
      <w:r>
        <w:rPr>
          <w:rFonts w:asciiTheme="majorHAnsi" w:hAnsiTheme="majorHAnsi"/>
          <w:sz w:val="28"/>
          <w:szCs w:val="28"/>
        </w:rPr>
        <w:t>S</w:t>
      </w:r>
      <w:r w:rsidRPr="00844EF5">
        <w:rPr>
          <w:rFonts w:asciiTheme="majorHAnsi" w:hAnsiTheme="majorHAnsi"/>
          <w:sz w:val="28"/>
          <w:szCs w:val="28"/>
        </w:rPr>
        <w:t xml:space="preserve"> cuidar y supervisar que los estudios sean rigurosos en la metodología, así como balanceados y que aquilaten en su caso</w:t>
      </w:r>
      <w:r>
        <w:rPr>
          <w:rFonts w:asciiTheme="majorHAnsi" w:hAnsiTheme="majorHAnsi"/>
          <w:sz w:val="28"/>
          <w:szCs w:val="28"/>
        </w:rPr>
        <w:t>,</w:t>
      </w:r>
      <w:r w:rsidRPr="00844EF5">
        <w:rPr>
          <w:rFonts w:asciiTheme="majorHAnsi" w:hAnsiTheme="majorHAnsi"/>
          <w:sz w:val="28"/>
          <w:szCs w:val="28"/>
        </w:rPr>
        <w:t xml:space="preserve"> la diversidad de opiniones con objetividad y responsabilidad, de manera que los estudios sean de utilidad aun para quienes no concuerden con sus conclusiones finales.</w:t>
      </w:r>
    </w:p>
    <w:p w14:paraId="117B53BA" w14:textId="76D093A5" w:rsidR="0014509F" w:rsidRPr="008156F1" w:rsidRDefault="0014509F" w:rsidP="008156F1">
      <w:pPr>
        <w:pStyle w:val="Ttulo4"/>
        <w:ind w:left="426"/>
        <w:rPr>
          <w:b/>
          <w:color w:val="0070C0"/>
          <w:sz w:val="28"/>
          <w:szCs w:val="28"/>
        </w:rPr>
      </w:pPr>
      <w:r w:rsidRPr="008156F1">
        <w:rPr>
          <w:b/>
          <w:color w:val="0070C0"/>
          <w:sz w:val="28"/>
          <w:szCs w:val="28"/>
        </w:rPr>
        <w:lastRenderedPageBreak/>
        <w:t xml:space="preserve">1.2 </w:t>
      </w:r>
      <w:r w:rsidR="008156F1">
        <w:rPr>
          <w:b/>
          <w:color w:val="0070C0"/>
          <w:sz w:val="28"/>
          <w:szCs w:val="28"/>
        </w:rPr>
        <w:t>Otros Estudios Continuos</w:t>
      </w:r>
    </w:p>
    <w:p w14:paraId="4347CAAE" w14:textId="77777777" w:rsidR="0014509F" w:rsidRPr="00590A47" w:rsidRDefault="0014509F" w:rsidP="0014509F">
      <w:pPr>
        <w:keepNext/>
        <w:keepLines/>
        <w:spacing w:after="100" w:afterAutospacing="1"/>
        <w:contextualSpacing/>
        <w:jc w:val="both"/>
        <w:rPr>
          <w:rFonts w:asciiTheme="majorHAnsi" w:hAnsiTheme="majorHAnsi" w:cstheme="majorHAnsi"/>
          <w:color w:val="C45911" w:themeColor="accent2" w:themeShade="BF"/>
          <w:sz w:val="28"/>
          <w:szCs w:val="28"/>
        </w:rPr>
      </w:pPr>
      <w:r w:rsidRPr="00590A47">
        <w:rPr>
          <w:rFonts w:asciiTheme="majorHAnsi" w:hAnsiTheme="majorHAnsi" w:cstheme="majorHAnsi"/>
          <w:color w:val="C45911" w:themeColor="accent2" w:themeShade="BF"/>
          <w:sz w:val="28"/>
          <w:szCs w:val="28"/>
        </w:rPr>
        <w:t>Comparación de Indicadores Internacionales y Nacionales Relevantes</w:t>
      </w:r>
    </w:p>
    <w:p w14:paraId="34375352"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sidRPr="00590A47">
        <w:rPr>
          <w:rFonts w:asciiTheme="majorHAnsi" w:hAnsiTheme="majorHAnsi" w:cstheme="majorHAnsi"/>
          <w:sz w:val="28"/>
          <w:szCs w:val="28"/>
        </w:rPr>
        <w:t>Las fracciones</w:t>
      </w:r>
      <w:r w:rsidRPr="00590A47">
        <w:rPr>
          <w:rFonts w:asciiTheme="majorHAnsi" w:hAnsiTheme="majorHAnsi"/>
          <w:sz w:val="28"/>
          <w:szCs w:val="28"/>
        </w:rPr>
        <w:t xml:space="preserve"> </w:t>
      </w:r>
      <w:r w:rsidRPr="00844EF5">
        <w:rPr>
          <w:rFonts w:asciiTheme="majorHAnsi" w:hAnsiTheme="majorHAnsi"/>
          <w:sz w:val="28"/>
          <w:szCs w:val="28"/>
        </w:rPr>
        <w:t>X</w:t>
      </w:r>
      <w:r>
        <w:rPr>
          <w:rFonts w:asciiTheme="majorHAnsi" w:hAnsiTheme="majorHAnsi"/>
          <w:sz w:val="28"/>
          <w:szCs w:val="28"/>
        </w:rPr>
        <w:t>I</w:t>
      </w:r>
      <w:r w:rsidRPr="00844EF5">
        <w:rPr>
          <w:rFonts w:asciiTheme="majorHAnsi" w:hAnsiTheme="majorHAnsi"/>
          <w:sz w:val="28"/>
          <w:szCs w:val="28"/>
        </w:rPr>
        <w:t xml:space="preserve"> </w:t>
      </w:r>
      <w:r>
        <w:rPr>
          <w:rFonts w:asciiTheme="majorHAnsi" w:hAnsiTheme="majorHAnsi"/>
          <w:sz w:val="28"/>
          <w:szCs w:val="28"/>
        </w:rPr>
        <w:t xml:space="preserve">y XIII </w:t>
      </w:r>
      <w:r w:rsidRPr="00844EF5">
        <w:rPr>
          <w:rFonts w:asciiTheme="majorHAnsi" w:hAnsiTheme="majorHAnsi"/>
          <w:sz w:val="28"/>
          <w:szCs w:val="28"/>
        </w:rPr>
        <w:t xml:space="preserve">del </w:t>
      </w:r>
      <w:r>
        <w:rPr>
          <w:rFonts w:asciiTheme="majorHAnsi" w:hAnsiTheme="majorHAnsi"/>
          <w:sz w:val="28"/>
          <w:szCs w:val="28"/>
        </w:rPr>
        <w:t>artículo</w:t>
      </w:r>
      <w:r w:rsidRPr="00844EF5">
        <w:rPr>
          <w:rFonts w:asciiTheme="majorHAnsi" w:hAnsiTheme="majorHAnsi"/>
          <w:sz w:val="28"/>
          <w:szCs w:val="28"/>
        </w:rPr>
        <w:t xml:space="preserve"> 69 del EO, prevén que el</w:t>
      </w:r>
      <w:r>
        <w:rPr>
          <w:rFonts w:asciiTheme="majorHAnsi" w:hAnsiTheme="majorHAnsi"/>
          <w:sz w:val="28"/>
          <w:szCs w:val="28"/>
        </w:rPr>
        <w:t xml:space="preserve"> CES, en colaboración con la Coordinación General de Planeación Estratégica, </w:t>
      </w:r>
      <w:r w:rsidRPr="00844EF5">
        <w:rPr>
          <w:rFonts w:asciiTheme="majorHAnsi" w:hAnsiTheme="majorHAnsi"/>
          <w:sz w:val="28"/>
          <w:szCs w:val="28"/>
        </w:rPr>
        <w:t xml:space="preserve">realice estudios comparativos </w:t>
      </w:r>
      <w:r>
        <w:rPr>
          <w:rFonts w:asciiTheme="majorHAnsi" w:hAnsiTheme="majorHAnsi"/>
          <w:sz w:val="28"/>
          <w:szCs w:val="28"/>
        </w:rPr>
        <w:t xml:space="preserve">en materia de telecomunicaciones y radiodifusión </w:t>
      </w:r>
      <w:r w:rsidRPr="00844EF5">
        <w:rPr>
          <w:rFonts w:asciiTheme="majorHAnsi" w:hAnsiTheme="majorHAnsi"/>
          <w:sz w:val="28"/>
          <w:szCs w:val="28"/>
        </w:rPr>
        <w:t>respecto de otros países</w:t>
      </w:r>
      <w:r>
        <w:rPr>
          <w:rFonts w:asciiTheme="majorHAnsi" w:hAnsiTheme="majorHAnsi"/>
          <w:sz w:val="28"/>
          <w:szCs w:val="28"/>
        </w:rPr>
        <w:t>, así como estudios de mercado, análisis de impacto, tendencias globales, entre otros.</w:t>
      </w:r>
    </w:p>
    <w:p w14:paraId="49845006"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Pr>
          <w:rFonts w:asciiTheme="majorHAnsi" w:hAnsiTheme="majorHAnsi"/>
          <w:sz w:val="28"/>
          <w:szCs w:val="28"/>
        </w:rPr>
        <w:t>De conformidad con lo anterior, e</w:t>
      </w:r>
      <w:r w:rsidRPr="00844EF5">
        <w:rPr>
          <w:rFonts w:asciiTheme="majorHAnsi" w:hAnsiTheme="majorHAnsi"/>
          <w:sz w:val="28"/>
          <w:szCs w:val="28"/>
        </w:rPr>
        <w:t>l</w:t>
      </w:r>
      <w:r>
        <w:rPr>
          <w:rFonts w:asciiTheme="majorHAnsi" w:hAnsiTheme="majorHAnsi"/>
          <w:sz w:val="28"/>
          <w:szCs w:val="28"/>
        </w:rPr>
        <w:t xml:space="preserve"> CES</w:t>
      </w:r>
      <w:r w:rsidRPr="00844EF5">
        <w:rPr>
          <w:rFonts w:asciiTheme="majorHAnsi" w:hAnsiTheme="majorHAnsi"/>
          <w:sz w:val="28"/>
          <w:szCs w:val="28"/>
        </w:rPr>
        <w:t xml:space="preserve"> realiza </w:t>
      </w:r>
      <w:r>
        <w:rPr>
          <w:rFonts w:asciiTheme="majorHAnsi" w:hAnsiTheme="majorHAnsi"/>
          <w:sz w:val="28"/>
          <w:szCs w:val="28"/>
        </w:rPr>
        <w:t xml:space="preserve">trimestralmente </w:t>
      </w:r>
      <w:r w:rsidRPr="00844EF5">
        <w:rPr>
          <w:rFonts w:asciiTheme="majorHAnsi" w:hAnsiTheme="majorHAnsi"/>
          <w:sz w:val="28"/>
          <w:szCs w:val="28"/>
        </w:rPr>
        <w:t xml:space="preserve">una comparación estadística de los principales indicadores del sector de las telecomunicaciones en México, </w:t>
      </w:r>
      <w:r>
        <w:rPr>
          <w:rFonts w:asciiTheme="majorHAnsi" w:hAnsiTheme="majorHAnsi"/>
          <w:sz w:val="28"/>
          <w:szCs w:val="28"/>
        </w:rPr>
        <w:t xml:space="preserve">países de </w:t>
      </w:r>
      <w:r w:rsidRPr="00844EF5">
        <w:rPr>
          <w:rFonts w:asciiTheme="majorHAnsi" w:hAnsiTheme="majorHAnsi"/>
          <w:sz w:val="28"/>
          <w:szCs w:val="28"/>
        </w:rPr>
        <w:t>la OCDE, América Latina y una selección de países de reciente industrialización. Lo anterior, a fin de</w:t>
      </w:r>
      <w:r>
        <w:rPr>
          <w:rFonts w:asciiTheme="majorHAnsi" w:hAnsiTheme="majorHAnsi"/>
          <w:sz w:val="28"/>
          <w:szCs w:val="28"/>
        </w:rPr>
        <w:t xml:space="preserve"> proporcionar al Pleno y a las unidades sustantivas del IFT </w:t>
      </w:r>
      <w:r w:rsidRPr="00844EF5">
        <w:rPr>
          <w:rFonts w:asciiTheme="majorHAnsi" w:hAnsiTheme="majorHAnsi"/>
          <w:sz w:val="28"/>
          <w:szCs w:val="28"/>
        </w:rPr>
        <w:t>información oportuna y confiable sobr</w:t>
      </w:r>
      <w:r>
        <w:rPr>
          <w:rFonts w:asciiTheme="majorHAnsi" w:hAnsiTheme="majorHAnsi"/>
          <w:sz w:val="28"/>
          <w:szCs w:val="28"/>
        </w:rPr>
        <w:t>e el desarrollo relativo de estos</w:t>
      </w:r>
      <w:r w:rsidRPr="00844EF5">
        <w:rPr>
          <w:rFonts w:asciiTheme="majorHAnsi" w:hAnsiTheme="majorHAnsi"/>
          <w:sz w:val="28"/>
          <w:szCs w:val="28"/>
        </w:rPr>
        <w:t xml:space="preserve"> sector</w:t>
      </w:r>
      <w:r>
        <w:rPr>
          <w:rFonts w:asciiTheme="majorHAnsi" w:hAnsiTheme="majorHAnsi"/>
          <w:sz w:val="28"/>
          <w:szCs w:val="28"/>
        </w:rPr>
        <w:t>es.</w:t>
      </w:r>
    </w:p>
    <w:p w14:paraId="73FECAD9"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Pr>
          <w:rFonts w:asciiTheme="majorHAnsi" w:hAnsiTheme="majorHAnsi"/>
          <w:sz w:val="28"/>
          <w:szCs w:val="28"/>
        </w:rPr>
        <w:t>La actividad que realizará el CES para cumplir esta función es la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laboración de un Comparativo Internacional de las Principales Variables e Indicadores de Telecomunicaciones y Radiodifusión"/>
        <w:tblDescription w:val="Elaboración de un Comparativo Internacional de las Principales Variables e Indicadores de Telecomunicaciones y Radiodifusión&#10;Periodicidad trimestral: febrero, mayo, agosto y noviembre.&#10;"/>
      </w:tblPr>
      <w:tblGrid>
        <w:gridCol w:w="9071"/>
      </w:tblGrid>
      <w:tr w:rsidR="0014509F" w:rsidRPr="00844EF5" w14:paraId="793B7593" w14:textId="77777777" w:rsidTr="00A170A9">
        <w:trPr>
          <w:tblHeader/>
        </w:trPr>
        <w:tc>
          <w:tcPr>
            <w:tcW w:w="9071" w:type="dxa"/>
            <w:tcBorders>
              <w:top w:val="double" w:sz="4" w:space="0" w:color="A5A5A5" w:themeColor="accent3"/>
              <w:bottom w:val="double" w:sz="4" w:space="0" w:color="A5A5A5" w:themeColor="accent3"/>
            </w:tcBorders>
            <w:vAlign w:val="center"/>
          </w:tcPr>
          <w:p w14:paraId="10B8CA6A" w14:textId="77777777" w:rsidR="0014509F" w:rsidRDefault="0014509F" w:rsidP="00A170A9">
            <w:pPr>
              <w:keepNext/>
              <w:keepLines/>
              <w:spacing w:after="100" w:afterAutospacing="1"/>
              <w:jc w:val="both"/>
              <w:rPr>
                <w:rFonts w:asciiTheme="majorHAnsi" w:hAnsiTheme="majorHAnsi"/>
                <w:sz w:val="28"/>
                <w:szCs w:val="28"/>
              </w:rPr>
            </w:pPr>
            <w:r>
              <w:rPr>
                <w:rFonts w:asciiTheme="majorHAnsi" w:hAnsiTheme="majorHAnsi"/>
                <w:sz w:val="28"/>
                <w:szCs w:val="28"/>
              </w:rPr>
              <w:t>Elaboración de un Comparativo Internacional</w:t>
            </w:r>
            <w:r w:rsidRPr="00914F67">
              <w:rPr>
                <w:rFonts w:asciiTheme="majorHAnsi" w:hAnsiTheme="majorHAnsi"/>
                <w:sz w:val="28"/>
                <w:szCs w:val="28"/>
              </w:rPr>
              <w:t xml:space="preserve"> de las Principales Variables e Indicadores de Telecomunicaciones y Radiodifusión</w:t>
            </w:r>
          </w:p>
          <w:p w14:paraId="1C3A076C" w14:textId="77777777" w:rsidR="0014509F" w:rsidRPr="00844EF5" w:rsidRDefault="0014509F" w:rsidP="00A170A9">
            <w:pPr>
              <w:keepNext/>
              <w:keepLines/>
              <w:spacing w:after="100" w:afterAutospacing="1"/>
              <w:jc w:val="both"/>
              <w:rPr>
                <w:rFonts w:asciiTheme="majorHAnsi" w:hAnsiTheme="majorHAnsi"/>
                <w:sz w:val="28"/>
                <w:szCs w:val="28"/>
              </w:rPr>
            </w:pPr>
            <w:r>
              <w:rPr>
                <w:rFonts w:asciiTheme="majorHAnsi" w:hAnsiTheme="majorHAnsi"/>
                <w:sz w:val="28"/>
                <w:szCs w:val="28"/>
              </w:rPr>
              <w:t>Periodicidad trimestral: febrero, mayo, agosto y noviembre.</w:t>
            </w:r>
          </w:p>
        </w:tc>
      </w:tr>
      <w:tr w:rsidR="0014509F" w:rsidRPr="00553103" w14:paraId="09287D5F" w14:textId="77777777" w:rsidTr="00A170A9">
        <w:tc>
          <w:tcPr>
            <w:tcW w:w="9071" w:type="dxa"/>
            <w:tcBorders>
              <w:top w:val="double" w:sz="4" w:space="0" w:color="A5A5A5" w:themeColor="accent3"/>
              <w:bottom w:val="double" w:sz="4" w:space="0" w:color="A5A5A5" w:themeColor="accent3"/>
            </w:tcBorders>
            <w:vAlign w:val="center"/>
          </w:tcPr>
          <w:p w14:paraId="791A8335" w14:textId="77777777" w:rsidR="0014509F" w:rsidRPr="00553103" w:rsidRDefault="0014509F" w:rsidP="00A170A9">
            <w:pPr>
              <w:keepNext/>
              <w:keepLines/>
              <w:spacing w:after="100" w:afterAutospacing="1"/>
              <w:jc w:val="both"/>
              <w:rPr>
                <w:rFonts w:asciiTheme="majorHAnsi" w:hAnsiTheme="majorHAnsi"/>
              </w:rPr>
            </w:pPr>
            <w:r w:rsidRPr="00553103">
              <w:rPr>
                <w:rFonts w:asciiTheme="majorHAnsi" w:hAnsiTheme="majorHAnsi"/>
              </w:rPr>
              <w:t xml:space="preserve">Nota: Esta actividad se realiza en colaboración con la </w:t>
            </w:r>
            <w:r w:rsidRPr="00685880">
              <w:rPr>
                <w:rFonts w:asciiTheme="majorHAnsi" w:hAnsiTheme="majorHAnsi"/>
              </w:rPr>
              <w:t xml:space="preserve">CGPE </w:t>
            </w:r>
          </w:p>
        </w:tc>
      </w:tr>
    </w:tbl>
    <w:p w14:paraId="4AFEB9CA" w14:textId="77777777" w:rsidR="0014509F" w:rsidRDefault="0014509F" w:rsidP="0014509F">
      <w:pPr>
        <w:jc w:val="both"/>
        <w:rPr>
          <w:rFonts w:asciiTheme="majorHAnsi" w:hAnsiTheme="majorHAnsi"/>
          <w:b/>
          <w:color w:val="538135" w:themeColor="accent6" w:themeShade="BF"/>
        </w:rPr>
      </w:pPr>
      <w:r>
        <w:rPr>
          <w:rFonts w:asciiTheme="majorHAnsi" w:hAnsiTheme="majorHAnsi"/>
          <w:b/>
          <w:color w:val="538135" w:themeColor="accent6" w:themeShade="BF"/>
        </w:rPr>
        <w:br w:type="page"/>
      </w:r>
    </w:p>
    <w:p w14:paraId="292A59EB" w14:textId="77777777" w:rsidR="0014509F" w:rsidRPr="00051D38" w:rsidRDefault="0014509F" w:rsidP="0014509F">
      <w:pPr>
        <w:keepNext/>
        <w:keepLines/>
        <w:spacing w:after="100" w:afterAutospacing="1"/>
        <w:contextualSpacing/>
        <w:jc w:val="both"/>
        <w:rPr>
          <w:rFonts w:asciiTheme="majorHAnsi" w:hAnsiTheme="majorHAnsi" w:cstheme="majorHAnsi"/>
          <w:color w:val="C45911" w:themeColor="accent2" w:themeShade="BF"/>
          <w:sz w:val="28"/>
          <w:szCs w:val="28"/>
        </w:rPr>
      </w:pPr>
      <w:r w:rsidRPr="00051D38">
        <w:rPr>
          <w:rFonts w:asciiTheme="majorHAnsi" w:hAnsiTheme="majorHAnsi" w:cstheme="majorHAnsi"/>
          <w:color w:val="C45911" w:themeColor="accent2" w:themeShade="BF"/>
          <w:sz w:val="28"/>
          <w:szCs w:val="28"/>
        </w:rPr>
        <w:lastRenderedPageBreak/>
        <w:t>Proyecciones de los Principales Indicadores Sectoriales</w:t>
      </w:r>
    </w:p>
    <w:p w14:paraId="58C8568D" w14:textId="77777777" w:rsidR="0014509F" w:rsidRPr="00844EF5" w:rsidRDefault="0014509F" w:rsidP="00A170A9">
      <w:pPr>
        <w:pStyle w:val="estilo30"/>
        <w:spacing w:before="240" w:beforeAutospacing="0" w:after="240" w:afterAutospacing="0" w:line="276" w:lineRule="auto"/>
        <w:jc w:val="both"/>
        <w:rPr>
          <w:rFonts w:asciiTheme="majorHAnsi" w:hAnsiTheme="majorHAnsi"/>
          <w:sz w:val="28"/>
          <w:szCs w:val="28"/>
        </w:rPr>
      </w:pPr>
      <w:r w:rsidRPr="00844EF5">
        <w:rPr>
          <w:rFonts w:asciiTheme="majorHAnsi" w:hAnsiTheme="majorHAnsi"/>
          <w:sz w:val="28"/>
          <w:szCs w:val="28"/>
        </w:rPr>
        <w:t xml:space="preserve">Las fracciones XI y XIII del </w:t>
      </w:r>
      <w:r>
        <w:rPr>
          <w:rFonts w:asciiTheme="majorHAnsi" w:hAnsiTheme="majorHAnsi"/>
          <w:sz w:val="28"/>
          <w:szCs w:val="28"/>
        </w:rPr>
        <w:t>artículo</w:t>
      </w:r>
      <w:r w:rsidRPr="00844EF5">
        <w:rPr>
          <w:rFonts w:asciiTheme="majorHAnsi" w:hAnsiTheme="majorHAnsi"/>
          <w:sz w:val="28"/>
          <w:szCs w:val="28"/>
        </w:rPr>
        <w:t xml:space="preserve"> 69 del EO prevén que el</w:t>
      </w:r>
      <w:r>
        <w:rPr>
          <w:rFonts w:asciiTheme="majorHAnsi" w:hAnsiTheme="majorHAnsi"/>
          <w:sz w:val="28"/>
          <w:szCs w:val="28"/>
        </w:rPr>
        <w:t xml:space="preserve"> CES</w:t>
      </w:r>
      <w:r w:rsidRPr="00844EF5">
        <w:rPr>
          <w:rFonts w:asciiTheme="majorHAnsi" w:hAnsiTheme="majorHAnsi"/>
          <w:sz w:val="28"/>
          <w:szCs w:val="28"/>
        </w:rPr>
        <w:t xml:space="preserve">, junto con la Coordinación General de Planeación Estratégica, elabore proyecciones y estudios sobre las tendencias globales en las materias propias del IFT. Por lo anterior, durante </w:t>
      </w:r>
      <w:r>
        <w:rPr>
          <w:rFonts w:asciiTheme="majorHAnsi" w:hAnsiTheme="majorHAnsi"/>
          <w:sz w:val="28"/>
          <w:szCs w:val="28"/>
        </w:rPr>
        <w:t>2018</w:t>
      </w:r>
      <w:r w:rsidRPr="00844EF5">
        <w:rPr>
          <w:rFonts w:asciiTheme="majorHAnsi" w:hAnsiTheme="majorHAnsi"/>
          <w:sz w:val="28"/>
          <w:szCs w:val="28"/>
        </w:rPr>
        <w:t xml:space="preserve"> se realizarán las proyecciones que se desprenda</w:t>
      </w:r>
      <w:r>
        <w:rPr>
          <w:rFonts w:asciiTheme="majorHAnsi" w:hAnsiTheme="majorHAnsi"/>
          <w:sz w:val="28"/>
          <w:szCs w:val="28"/>
        </w:rPr>
        <w:t xml:space="preserve">n de las tendencias inerciales </w:t>
      </w:r>
      <w:r w:rsidRPr="00844EF5">
        <w:rPr>
          <w:rFonts w:asciiTheme="majorHAnsi" w:hAnsiTheme="majorHAnsi"/>
          <w:sz w:val="28"/>
          <w:szCs w:val="28"/>
        </w:rPr>
        <w:t>mediante el uso de las técnicas má</w:t>
      </w:r>
      <w:r>
        <w:rPr>
          <w:rFonts w:asciiTheme="majorHAnsi" w:hAnsiTheme="majorHAnsi"/>
          <w:sz w:val="28"/>
          <w:szCs w:val="28"/>
        </w:rPr>
        <w:t>s avanzadas de series de tiempo,</w:t>
      </w:r>
      <w:r w:rsidRPr="00844EF5">
        <w:rPr>
          <w:rFonts w:asciiTheme="majorHAnsi" w:hAnsiTheme="majorHAnsi"/>
          <w:sz w:val="28"/>
          <w:szCs w:val="28"/>
        </w:rPr>
        <w:t xml:space="preserve"> así como otras que consideren la evolución del contexto económico y social del país y del mundo, y en especial el avance en la instrumentación de las políticas gubernamentales, tanto las propias del sector, como las que inciden a través del contexto económico y social, interno y externo.</w:t>
      </w:r>
    </w:p>
    <w:p w14:paraId="18AD3252" w14:textId="77777777" w:rsidR="0014509F" w:rsidRDefault="0014509F" w:rsidP="0014509F">
      <w:pPr>
        <w:keepNext/>
        <w:keepLines/>
        <w:spacing w:after="100" w:afterAutospacing="1" w:line="276" w:lineRule="auto"/>
        <w:jc w:val="both"/>
        <w:rPr>
          <w:rFonts w:asciiTheme="majorHAnsi" w:hAnsiTheme="majorHAnsi"/>
          <w:b/>
          <w:sz w:val="28"/>
          <w:szCs w:val="28"/>
        </w:rPr>
      </w:pPr>
      <w:r>
        <w:rPr>
          <w:rFonts w:asciiTheme="majorHAnsi" w:hAnsiTheme="majorHAnsi"/>
          <w:sz w:val="28"/>
          <w:szCs w:val="28"/>
        </w:rPr>
        <w:t>La actividad que realizará el CES para cumplir esta función es la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stimación Trimestral de Proyecciones sobre las Principales Variables e Indicadores de Telecomunicaciones y Radiodifusión."/>
        <w:tblDescription w:val="Estimación Trimestral de Proyecciones sobre las Principales Variables e Indicadores de Telecomunicaciones y Radiodifusión.&#10;Periodicidad trimestral: marzo, junio, septiembre y diciembre&#10;"/>
      </w:tblPr>
      <w:tblGrid>
        <w:gridCol w:w="9356"/>
      </w:tblGrid>
      <w:tr w:rsidR="0014509F" w:rsidRPr="00844EF5" w14:paraId="457FA6AA" w14:textId="77777777" w:rsidTr="00A170A9">
        <w:trPr>
          <w:tblHeader/>
        </w:trPr>
        <w:tc>
          <w:tcPr>
            <w:tcW w:w="9356" w:type="dxa"/>
            <w:tcBorders>
              <w:top w:val="double" w:sz="4" w:space="0" w:color="A5A5A5" w:themeColor="accent3"/>
              <w:bottom w:val="double" w:sz="4" w:space="0" w:color="A5A5A5" w:themeColor="accent3"/>
            </w:tcBorders>
          </w:tcPr>
          <w:p w14:paraId="47703820" w14:textId="77777777" w:rsidR="0014509F" w:rsidRDefault="0014509F" w:rsidP="00A170A9">
            <w:pPr>
              <w:pStyle w:val="Prrafodelista"/>
              <w:keepNext/>
              <w:keepLines/>
              <w:spacing w:after="100" w:afterAutospacing="1"/>
              <w:ind w:left="0"/>
              <w:contextualSpacing w:val="0"/>
              <w:jc w:val="both"/>
              <w:rPr>
                <w:rFonts w:asciiTheme="majorHAnsi" w:hAnsiTheme="majorHAnsi"/>
                <w:sz w:val="28"/>
                <w:szCs w:val="28"/>
              </w:rPr>
            </w:pPr>
            <w:r>
              <w:rPr>
                <w:rFonts w:asciiTheme="majorHAnsi" w:hAnsiTheme="majorHAnsi"/>
                <w:sz w:val="28"/>
                <w:szCs w:val="28"/>
              </w:rPr>
              <w:t>Estimación Trimestral de Proyecciones s</w:t>
            </w:r>
            <w:r w:rsidRPr="001A4C7F">
              <w:rPr>
                <w:rFonts w:asciiTheme="majorHAnsi" w:hAnsiTheme="majorHAnsi"/>
                <w:sz w:val="28"/>
                <w:szCs w:val="28"/>
              </w:rPr>
              <w:t>o</w:t>
            </w:r>
            <w:r>
              <w:rPr>
                <w:rFonts w:asciiTheme="majorHAnsi" w:hAnsiTheme="majorHAnsi"/>
                <w:sz w:val="28"/>
                <w:szCs w:val="28"/>
              </w:rPr>
              <w:t xml:space="preserve">bre las Principales Variables e </w:t>
            </w:r>
            <w:r w:rsidRPr="001A4C7F">
              <w:rPr>
                <w:rFonts w:asciiTheme="majorHAnsi" w:hAnsiTheme="majorHAnsi"/>
                <w:sz w:val="28"/>
                <w:szCs w:val="28"/>
              </w:rPr>
              <w:t>Indicadores de Telecomunicaciones y Radiodifusión</w:t>
            </w:r>
            <w:r>
              <w:rPr>
                <w:rFonts w:asciiTheme="majorHAnsi" w:hAnsiTheme="majorHAnsi"/>
                <w:sz w:val="28"/>
                <w:szCs w:val="28"/>
              </w:rPr>
              <w:t>.</w:t>
            </w:r>
          </w:p>
          <w:p w14:paraId="3725F047" w14:textId="77777777" w:rsidR="0014509F" w:rsidRPr="001452CC" w:rsidRDefault="0014509F" w:rsidP="00A170A9">
            <w:pPr>
              <w:keepNext/>
              <w:keepLines/>
              <w:spacing w:after="100" w:afterAutospacing="1"/>
              <w:jc w:val="both"/>
              <w:rPr>
                <w:rFonts w:asciiTheme="majorHAnsi" w:hAnsiTheme="majorHAnsi"/>
                <w:sz w:val="28"/>
                <w:szCs w:val="28"/>
              </w:rPr>
            </w:pPr>
            <w:r>
              <w:rPr>
                <w:rFonts w:asciiTheme="majorHAnsi" w:hAnsiTheme="majorHAnsi"/>
                <w:sz w:val="28"/>
                <w:szCs w:val="28"/>
              </w:rPr>
              <w:t>Periodicidad trimestral: marzo, junio, septiembre y diciembre.</w:t>
            </w:r>
          </w:p>
        </w:tc>
      </w:tr>
      <w:tr w:rsidR="0014509F" w:rsidRPr="00844EF5" w14:paraId="508E033D" w14:textId="77777777" w:rsidTr="00A170A9">
        <w:trPr>
          <w:trHeight w:val="353"/>
        </w:trPr>
        <w:tc>
          <w:tcPr>
            <w:tcW w:w="9356" w:type="dxa"/>
            <w:tcBorders>
              <w:top w:val="double" w:sz="4" w:space="0" w:color="A5A5A5" w:themeColor="accent3"/>
              <w:bottom w:val="double" w:sz="4" w:space="0" w:color="A5A5A5" w:themeColor="accent3"/>
            </w:tcBorders>
            <w:vAlign w:val="center"/>
          </w:tcPr>
          <w:p w14:paraId="4D299D8D" w14:textId="77777777" w:rsidR="0014509F" w:rsidRPr="00880142" w:rsidRDefault="0014509F" w:rsidP="00A170A9">
            <w:pPr>
              <w:keepNext/>
              <w:keepLines/>
              <w:spacing w:after="100" w:afterAutospacing="1"/>
              <w:jc w:val="both"/>
              <w:rPr>
                <w:rFonts w:asciiTheme="majorHAnsi" w:hAnsiTheme="majorHAnsi"/>
              </w:rPr>
            </w:pPr>
            <w:r>
              <w:rPr>
                <w:rFonts w:asciiTheme="majorHAnsi" w:hAnsiTheme="majorHAnsi"/>
              </w:rPr>
              <w:t>Nota: Esta a</w:t>
            </w:r>
            <w:r w:rsidRPr="00880142">
              <w:rPr>
                <w:rFonts w:asciiTheme="majorHAnsi" w:hAnsiTheme="majorHAnsi"/>
              </w:rPr>
              <w:t xml:space="preserve">ctividad </w:t>
            </w:r>
            <w:r>
              <w:rPr>
                <w:rFonts w:asciiTheme="majorHAnsi" w:hAnsiTheme="majorHAnsi"/>
              </w:rPr>
              <w:t xml:space="preserve">se realiza </w:t>
            </w:r>
            <w:r w:rsidRPr="00880142">
              <w:rPr>
                <w:rFonts w:asciiTheme="majorHAnsi" w:hAnsiTheme="majorHAnsi"/>
              </w:rPr>
              <w:t xml:space="preserve">en Colaboración con la </w:t>
            </w:r>
            <w:r w:rsidRPr="00685880">
              <w:rPr>
                <w:rFonts w:asciiTheme="majorHAnsi" w:hAnsiTheme="majorHAnsi"/>
              </w:rPr>
              <w:t>CGPE</w:t>
            </w:r>
          </w:p>
        </w:tc>
      </w:tr>
    </w:tbl>
    <w:p w14:paraId="093F00A5" w14:textId="31A699A8" w:rsidR="0014509F" w:rsidRPr="008156F1" w:rsidRDefault="0014509F" w:rsidP="008156F1">
      <w:pPr>
        <w:pStyle w:val="Ttulo4"/>
        <w:spacing w:line="276" w:lineRule="auto"/>
        <w:ind w:left="426"/>
        <w:rPr>
          <w:b/>
          <w:color w:val="0070C0"/>
          <w:sz w:val="28"/>
          <w:szCs w:val="28"/>
        </w:rPr>
      </w:pPr>
      <w:r w:rsidRPr="008156F1">
        <w:rPr>
          <w:b/>
          <w:color w:val="0070C0"/>
          <w:sz w:val="28"/>
          <w:szCs w:val="28"/>
        </w:rPr>
        <w:t>1.3 Acervos Bibliográficos y Administración de las</w:t>
      </w:r>
      <w:r w:rsidR="008156F1">
        <w:rPr>
          <w:b/>
          <w:color w:val="0070C0"/>
          <w:sz w:val="28"/>
          <w:szCs w:val="28"/>
        </w:rPr>
        <w:t xml:space="preserve"> Bases de Datos</w:t>
      </w:r>
    </w:p>
    <w:p w14:paraId="51085DD5" w14:textId="77777777" w:rsidR="0014509F" w:rsidRPr="00792030" w:rsidRDefault="0014509F" w:rsidP="00A170A9">
      <w:pPr>
        <w:pStyle w:val="estilo30"/>
        <w:spacing w:before="240" w:beforeAutospacing="0" w:after="240" w:afterAutospacing="0" w:line="276" w:lineRule="auto"/>
        <w:jc w:val="both"/>
        <w:rPr>
          <w:rFonts w:asciiTheme="majorHAnsi" w:hAnsiTheme="majorHAnsi"/>
          <w:sz w:val="28"/>
          <w:szCs w:val="28"/>
        </w:rPr>
      </w:pPr>
      <w:r w:rsidRPr="00844EF5">
        <w:rPr>
          <w:rFonts w:asciiTheme="majorHAnsi" w:hAnsiTheme="majorHAnsi"/>
          <w:sz w:val="28"/>
          <w:szCs w:val="28"/>
        </w:rPr>
        <w:t>De ac</w:t>
      </w:r>
      <w:r>
        <w:rPr>
          <w:rFonts w:asciiTheme="majorHAnsi" w:hAnsiTheme="majorHAnsi"/>
          <w:sz w:val="28"/>
          <w:szCs w:val="28"/>
        </w:rPr>
        <w:t>uerdo con lo establecido en el artículo 69, fracciones VII,</w:t>
      </w:r>
      <w:r w:rsidRPr="00844EF5">
        <w:rPr>
          <w:rFonts w:asciiTheme="majorHAnsi" w:hAnsiTheme="majorHAnsi"/>
          <w:sz w:val="28"/>
          <w:szCs w:val="28"/>
        </w:rPr>
        <w:t xml:space="preserve"> VIII</w:t>
      </w:r>
      <w:r>
        <w:rPr>
          <w:rFonts w:asciiTheme="majorHAnsi" w:hAnsiTheme="majorHAnsi"/>
          <w:sz w:val="28"/>
          <w:szCs w:val="28"/>
        </w:rPr>
        <w:t xml:space="preserve"> y XVII del EO, </w:t>
      </w:r>
      <w:r w:rsidRPr="00844EF5">
        <w:rPr>
          <w:rFonts w:asciiTheme="majorHAnsi" w:hAnsiTheme="majorHAnsi"/>
          <w:sz w:val="28"/>
          <w:szCs w:val="28"/>
        </w:rPr>
        <w:t>el</w:t>
      </w:r>
      <w:r>
        <w:rPr>
          <w:rFonts w:asciiTheme="majorHAnsi" w:hAnsiTheme="majorHAnsi"/>
          <w:sz w:val="28"/>
          <w:szCs w:val="28"/>
        </w:rPr>
        <w:t xml:space="preserve"> CES</w:t>
      </w:r>
      <w:r w:rsidRPr="00844EF5">
        <w:rPr>
          <w:rFonts w:asciiTheme="majorHAnsi" w:hAnsiTheme="majorHAnsi"/>
          <w:sz w:val="28"/>
          <w:szCs w:val="28"/>
        </w:rPr>
        <w:t xml:space="preserve"> administra los acervos bibliográficos y las bases de datos que el IFT adquiere de proveedores </w:t>
      </w:r>
      <w:r>
        <w:rPr>
          <w:rFonts w:asciiTheme="majorHAnsi" w:hAnsiTheme="majorHAnsi"/>
          <w:sz w:val="28"/>
          <w:szCs w:val="28"/>
        </w:rPr>
        <w:t xml:space="preserve">externos. Con base en el ordenamiento señalado, también tiene a su cargo </w:t>
      </w:r>
      <w:r w:rsidRPr="00844EF5">
        <w:rPr>
          <w:rFonts w:asciiTheme="majorHAnsi" w:hAnsiTheme="majorHAnsi"/>
          <w:sz w:val="28"/>
          <w:szCs w:val="28"/>
        </w:rPr>
        <w:t xml:space="preserve">la compilación de los estudios que </w:t>
      </w:r>
      <w:r>
        <w:rPr>
          <w:rFonts w:asciiTheme="majorHAnsi" w:hAnsiTheme="majorHAnsi"/>
          <w:sz w:val="28"/>
          <w:szCs w:val="28"/>
        </w:rPr>
        <w:t xml:space="preserve">realizan los investigadores y los que </w:t>
      </w:r>
      <w:r w:rsidRPr="00844EF5">
        <w:rPr>
          <w:rFonts w:asciiTheme="majorHAnsi" w:hAnsiTheme="majorHAnsi"/>
          <w:sz w:val="28"/>
          <w:szCs w:val="28"/>
        </w:rPr>
        <w:t xml:space="preserve">las distintas áreas del IFT encargan a consultores externos. </w:t>
      </w:r>
    </w:p>
    <w:p w14:paraId="49048E71" w14:textId="77777777" w:rsidR="0014509F" w:rsidRPr="00844EF5" w:rsidRDefault="0014509F" w:rsidP="00A170A9">
      <w:pPr>
        <w:pStyle w:val="estilo30"/>
        <w:spacing w:before="240" w:beforeAutospacing="0" w:after="240" w:afterAutospacing="0" w:line="276" w:lineRule="auto"/>
        <w:jc w:val="both"/>
        <w:rPr>
          <w:rFonts w:asciiTheme="majorHAnsi" w:hAnsiTheme="majorHAnsi"/>
          <w:sz w:val="28"/>
          <w:szCs w:val="28"/>
        </w:rPr>
      </w:pPr>
      <w:r>
        <w:rPr>
          <w:rFonts w:asciiTheme="majorHAnsi" w:hAnsiTheme="majorHAnsi"/>
          <w:sz w:val="28"/>
          <w:szCs w:val="28"/>
        </w:rPr>
        <w:t>Para sistematizar es</w:t>
      </w:r>
      <w:r w:rsidRPr="00844EF5">
        <w:rPr>
          <w:rFonts w:asciiTheme="majorHAnsi" w:hAnsiTheme="majorHAnsi"/>
          <w:sz w:val="28"/>
          <w:szCs w:val="28"/>
        </w:rPr>
        <w:t>as labores, el</w:t>
      </w:r>
      <w:r>
        <w:rPr>
          <w:rFonts w:asciiTheme="majorHAnsi" w:hAnsiTheme="majorHAnsi"/>
          <w:sz w:val="28"/>
          <w:szCs w:val="28"/>
        </w:rPr>
        <w:t xml:space="preserve"> CES</w:t>
      </w:r>
      <w:r w:rsidRPr="00844EF5">
        <w:rPr>
          <w:rFonts w:asciiTheme="majorHAnsi" w:hAnsiTheme="majorHAnsi"/>
          <w:sz w:val="28"/>
          <w:szCs w:val="28"/>
        </w:rPr>
        <w:t xml:space="preserve"> c</w:t>
      </w:r>
      <w:r>
        <w:rPr>
          <w:rFonts w:asciiTheme="majorHAnsi" w:hAnsiTheme="majorHAnsi"/>
          <w:sz w:val="28"/>
          <w:szCs w:val="28"/>
        </w:rPr>
        <w:t>uenta con una biblioteca que incluye, dentro de su acervo el</w:t>
      </w:r>
      <w:r w:rsidRPr="00844EF5">
        <w:rPr>
          <w:rFonts w:asciiTheme="majorHAnsi" w:hAnsiTheme="majorHAnsi"/>
          <w:sz w:val="28"/>
          <w:szCs w:val="28"/>
        </w:rPr>
        <w:t xml:space="preserve"> repositorio </w:t>
      </w:r>
      <w:r>
        <w:rPr>
          <w:rFonts w:asciiTheme="majorHAnsi" w:hAnsiTheme="majorHAnsi"/>
          <w:sz w:val="28"/>
          <w:szCs w:val="28"/>
        </w:rPr>
        <w:t xml:space="preserve">digitalizado </w:t>
      </w:r>
      <w:r w:rsidRPr="00844EF5">
        <w:rPr>
          <w:rFonts w:asciiTheme="majorHAnsi" w:hAnsiTheme="majorHAnsi"/>
          <w:sz w:val="28"/>
          <w:szCs w:val="28"/>
        </w:rPr>
        <w:t>de los mencionados materia</w:t>
      </w:r>
      <w:r>
        <w:rPr>
          <w:rFonts w:asciiTheme="majorHAnsi" w:hAnsiTheme="majorHAnsi"/>
          <w:sz w:val="28"/>
          <w:szCs w:val="28"/>
        </w:rPr>
        <w:t xml:space="preserve">les. Además de lo anterior, la biblioteca cuenta con materiales impresos y digitales </w:t>
      </w:r>
      <w:r w:rsidRPr="00844EF5">
        <w:rPr>
          <w:rFonts w:asciiTheme="majorHAnsi" w:hAnsiTheme="majorHAnsi"/>
          <w:sz w:val="28"/>
          <w:szCs w:val="28"/>
        </w:rPr>
        <w:t>en materia de telecomunicaciones, radiodifusión y competencia económica</w:t>
      </w:r>
      <w:r>
        <w:rPr>
          <w:rFonts w:asciiTheme="majorHAnsi" w:hAnsiTheme="majorHAnsi"/>
          <w:sz w:val="28"/>
          <w:szCs w:val="28"/>
        </w:rPr>
        <w:t xml:space="preserve"> en dichos sectores</w:t>
      </w:r>
      <w:r w:rsidRPr="00844EF5">
        <w:rPr>
          <w:rFonts w:asciiTheme="majorHAnsi" w:hAnsiTheme="majorHAnsi"/>
          <w:sz w:val="28"/>
          <w:szCs w:val="28"/>
        </w:rPr>
        <w:t>. A</w:t>
      </w:r>
      <w:r>
        <w:rPr>
          <w:rFonts w:asciiTheme="majorHAnsi" w:hAnsiTheme="majorHAnsi"/>
          <w:sz w:val="28"/>
          <w:szCs w:val="28"/>
        </w:rPr>
        <w:t>sí también, el CES</w:t>
      </w:r>
      <w:r w:rsidRPr="00844EF5">
        <w:rPr>
          <w:rFonts w:asciiTheme="majorHAnsi" w:hAnsiTheme="majorHAnsi"/>
          <w:sz w:val="28"/>
          <w:szCs w:val="28"/>
        </w:rPr>
        <w:t xml:space="preserve"> administra y pone a disposición del personal del IFT, las bases de datos de proveedores nacionales y extranjero</w:t>
      </w:r>
      <w:r>
        <w:rPr>
          <w:rFonts w:asciiTheme="majorHAnsi" w:hAnsiTheme="majorHAnsi"/>
          <w:sz w:val="28"/>
          <w:szCs w:val="28"/>
        </w:rPr>
        <w:t>s</w:t>
      </w:r>
      <w:r w:rsidRPr="00844EF5">
        <w:rPr>
          <w:rFonts w:asciiTheme="majorHAnsi" w:hAnsiTheme="majorHAnsi"/>
          <w:sz w:val="28"/>
          <w:szCs w:val="28"/>
        </w:rPr>
        <w:t>.</w:t>
      </w:r>
    </w:p>
    <w:p w14:paraId="4ED96BA1" w14:textId="77777777" w:rsidR="0014509F" w:rsidRDefault="0014509F" w:rsidP="0014509F">
      <w:pPr>
        <w:keepNext/>
        <w:keepLines/>
        <w:spacing w:after="100" w:afterAutospacing="1" w:line="276" w:lineRule="auto"/>
        <w:jc w:val="both"/>
        <w:rPr>
          <w:rFonts w:asciiTheme="majorHAnsi" w:hAnsiTheme="majorHAnsi"/>
          <w:sz w:val="28"/>
          <w:szCs w:val="28"/>
        </w:rPr>
      </w:pPr>
      <w:r w:rsidRPr="00844EF5">
        <w:rPr>
          <w:rFonts w:asciiTheme="majorHAnsi" w:hAnsiTheme="majorHAnsi"/>
          <w:sz w:val="28"/>
          <w:szCs w:val="28"/>
        </w:rPr>
        <w:lastRenderedPageBreak/>
        <w:t>Por lo anterior, el</w:t>
      </w:r>
      <w:r>
        <w:rPr>
          <w:rFonts w:asciiTheme="majorHAnsi" w:hAnsiTheme="majorHAnsi"/>
          <w:sz w:val="28"/>
          <w:szCs w:val="28"/>
        </w:rPr>
        <w:t xml:space="preserve"> CES</w:t>
      </w:r>
      <w:r w:rsidRPr="00844EF5">
        <w:rPr>
          <w:rFonts w:asciiTheme="majorHAnsi" w:hAnsiTheme="majorHAnsi"/>
          <w:sz w:val="28"/>
          <w:szCs w:val="28"/>
        </w:rPr>
        <w:t xml:space="preserve"> programa las siguientes </w:t>
      </w:r>
      <w:r>
        <w:rPr>
          <w:rFonts w:asciiTheme="majorHAnsi" w:hAnsiTheme="majorHAnsi"/>
          <w:sz w:val="28"/>
          <w:szCs w:val="28"/>
        </w:rPr>
        <w:t xml:space="preserve">actividades </w:t>
      </w:r>
      <w:r w:rsidRPr="00844EF5">
        <w:rPr>
          <w:rFonts w:asciiTheme="majorHAnsi" w:hAnsiTheme="majorHAnsi"/>
          <w:sz w:val="28"/>
          <w:szCs w:val="28"/>
        </w:rPr>
        <w:t xml:space="preserve">a realizar durante </w:t>
      </w:r>
      <w:r>
        <w:rPr>
          <w:rFonts w:asciiTheme="majorHAnsi" w:hAnsiTheme="majorHAnsi"/>
          <w:sz w:val="28"/>
          <w:szCs w:val="28"/>
        </w:rPr>
        <w:t>2018</w:t>
      </w:r>
      <w:r w:rsidRPr="00844EF5">
        <w:rPr>
          <w:rFonts w:asciiTheme="majorHAnsi" w:hAnsiTheme="majorHAnsi"/>
          <w:sz w:val="28"/>
          <w:szCs w:val="28"/>
        </w:rPr>
        <w:t>:</w:t>
      </w:r>
    </w:p>
    <w:p w14:paraId="0602CC85" w14:textId="77777777" w:rsidR="0014509F" w:rsidRDefault="0014509F" w:rsidP="00984ED1">
      <w:pPr>
        <w:pStyle w:val="Prrafodelista"/>
        <w:keepNext/>
        <w:keepLines/>
        <w:numPr>
          <w:ilvl w:val="0"/>
          <w:numId w:val="3"/>
        </w:numPr>
        <w:spacing w:after="100" w:afterAutospacing="1"/>
        <w:ind w:left="867" w:right="340" w:hanging="510"/>
        <w:jc w:val="both"/>
        <w:rPr>
          <w:rFonts w:asciiTheme="majorHAnsi" w:hAnsiTheme="majorHAnsi"/>
          <w:sz w:val="28"/>
          <w:szCs w:val="28"/>
        </w:rPr>
      </w:pPr>
      <w:r w:rsidRPr="00167FB1">
        <w:rPr>
          <w:rFonts w:asciiTheme="majorHAnsi" w:hAnsiTheme="majorHAnsi"/>
          <w:sz w:val="28"/>
          <w:szCs w:val="28"/>
        </w:rPr>
        <w:t>Administrar las bases de datos externas adquiridas de proveedores diversos</w:t>
      </w:r>
      <w:r>
        <w:rPr>
          <w:rFonts w:asciiTheme="majorHAnsi" w:hAnsiTheme="majorHAnsi"/>
          <w:sz w:val="28"/>
          <w:szCs w:val="28"/>
        </w:rPr>
        <w:t>.</w:t>
      </w:r>
    </w:p>
    <w:p w14:paraId="346CB34E" w14:textId="77777777" w:rsidR="0014509F" w:rsidRPr="00167FB1" w:rsidRDefault="0014509F" w:rsidP="00984ED1">
      <w:pPr>
        <w:pStyle w:val="Prrafodelista"/>
        <w:keepNext/>
        <w:keepLines/>
        <w:numPr>
          <w:ilvl w:val="0"/>
          <w:numId w:val="3"/>
        </w:numPr>
        <w:spacing w:after="100" w:afterAutospacing="1"/>
        <w:ind w:left="867" w:right="340" w:hanging="510"/>
        <w:jc w:val="both"/>
        <w:rPr>
          <w:rFonts w:asciiTheme="majorHAnsi" w:hAnsiTheme="majorHAnsi"/>
          <w:sz w:val="28"/>
          <w:szCs w:val="28"/>
        </w:rPr>
      </w:pPr>
      <w:r>
        <w:rPr>
          <w:rFonts w:asciiTheme="majorHAnsi" w:hAnsiTheme="majorHAnsi"/>
          <w:sz w:val="28"/>
          <w:szCs w:val="28"/>
        </w:rPr>
        <w:t>Determinar e implementar mejores prácticas para dar a las áreas sustantivas el mejor acceso a los acervos.</w:t>
      </w:r>
    </w:p>
    <w:p w14:paraId="49277886" w14:textId="77777777" w:rsidR="0014509F" w:rsidRPr="0002797C" w:rsidRDefault="0014509F" w:rsidP="00984ED1">
      <w:pPr>
        <w:pStyle w:val="Prrafodelista"/>
        <w:keepNext/>
        <w:keepLines/>
        <w:numPr>
          <w:ilvl w:val="0"/>
          <w:numId w:val="3"/>
        </w:numPr>
        <w:spacing w:after="100" w:afterAutospacing="1"/>
        <w:ind w:left="867" w:right="340" w:hanging="510"/>
        <w:jc w:val="both"/>
        <w:rPr>
          <w:rFonts w:asciiTheme="majorHAnsi" w:hAnsiTheme="majorHAnsi"/>
          <w:sz w:val="28"/>
          <w:szCs w:val="28"/>
        </w:rPr>
      </w:pPr>
      <w:r w:rsidRPr="0002797C">
        <w:rPr>
          <w:rFonts w:asciiTheme="majorHAnsi" w:hAnsiTheme="majorHAnsi"/>
          <w:sz w:val="28"/>
          <w:szCs w:val="28"/>
        </w:rPr>
        <w:t>Adquirir en su caso nuevas bases de datos que sean solicitadas por las áreas del IFT</w:t>
      </w:r>
      <w:r>
        <w:rPr>
          <w:rFonts w:asciiTheme="majorHAnsi" w:hAnsiTheme="majorHAnsi"/>
          <w:sz w:val="28"/>
          <w:szCs w:val="28"/>
        </w:rPr>
        <w:t>,</w:t>
      </w:r>
      <w:r w:rsidRPr="0002797C">
        <w:rPr>
          <w:rFonts w:asciiTheme="majorHAnsi" w:hAnsiTheme="majorHAnsi"/>
          <w:sz w:val="28"/>
          <w:szCs w:val="28"/>
        </w:rPr>
        <w:t xml:space="preserve"> </w:t>
      </w:r>
      <w:r>
        <w:rPr>
          <w:rFonts w:asciiTheme="majorHAnsi" w:hAnsiTheme="majorHAnsi"/>
          <w:sz w:val="28"/>
          <w:szCs w:val="28"/>
        </w:rPr>
        <w:t>siempre y cuando se cuente</w:t>
      </w:r>
      <w:r w:rsidRPr="0002797C">
        <w:rPr>
          <w:rFonts w:asciiTheme="majorHAnsi" w:hAnsiTheme="majorHAnsi"/>
          <w:sz w:val="28"/>
          <w:szCs w:val="28"/>
        </w:rPr>
        <w:t xml:space="preserve"> con la justificación y autorización</w:t>
      </w:r>
      <w:r>
        <w:rPr>
          <w:rFonts w:asciiTheme="majorHAnsi" w:hAnsiTheme="majorHAnsi"/>
          <w:sz w:val="28"/>
          <w:szCs w:val="28"/>
        </w:rPr>
        <w:t xml:space="preserve"> necesarias, y con los recursos presupuestales correspondientes.</w:t>
      </w:r>
    </w:p>
    <w:p w14:paraId="0A478792" w14:textId="77777777" w:rsidR="0014509F" w:rsidRPr="0002797C" w:rsidRDefault="0014509F" w:rsidP="00984ED1">
      <w:pPr>
        <w:pStyle w:val="Prrafodelista"/>
        <w:keepNext/>
        <w:keepLines/>
        <w:numPr>
          <w:ilvl w:val="0"/>
          <w:numId w:val="3"/>
        </w:numPr>
        <w:spacing w:after="100" w:afterAutospacing="1"/>
        <w:ind w:left="867" w:right="340" w:hanging="510"/>
        <w:jc w:val="both"/>
        <w:rPr>
          <w:rFonts w:asciiTheme="majorHAnsi" w:hAnsiTheme="majorHAnsi"/>
          <w:sz w:val="28"/>
          <w:szCs w:val="28"/>
        </w:rPr>
      </w:pPr>
      <w:r>
        <w:rPr>
          <w:rFonts w:asciiTheme="majorHAnsi" w:hAnsiTheme="majorHAnsi"/>
          <w:sz w:val="28"/>
          <w:szCs w:val="28"/>
        </w:rPr>
        <w:t>Recabar y dar seguimiento a los avisos que las diferentes áreas del IFT dan al CES respecto a sus solicitudes de estudios de</w:t>
      </w:r>
      <w:r w:rsidRPr="0002797C">
        <w:rPr>
          <w:rFonts w:asciiTheme="majorHAnsi" w:hAnsiTheme="majorHAnsi"/>
          <w:sz w:val="28"/>
          <w:szCs w:val="28"/>
        </w:rPr>
        <w:t xml:space="preserve"> consultores externos</w:t>
      </w:r>
      <w:r>
        <w:rPr>
          <w:rFonts w:asciiTheme="majorHAnsi" w:hAnsiTheme="majorHAnsi"/>
          <w:sz w:val="28"/>
          <w:szCs w:val="28"/>
        </w:rPr>
        <w:t>.</w:t>
      </w:r>
    </w:p>
    <w:p w14:paraId="7528AC2D" w14:textId="77777777" w:rsidR="0014509F" w:rsidRPr="0002797C" w:rsidRDefault="0014509F" w:rsidP="00984ED1">
      <w:pPr>
        <w:pStyle w:val="Prrafodelista"/>
        <w:keepNext/>
        <w:keepLines/>
        <w:numPr>
          <w:ilvl w:val="0"/>
          <w:numId w:val="3"/>
        </w:numPr>
        <w:spacing w:after="100" w:afterAutospacing="1"/>
        <w:ind w:left="867" w:right="340" w:hanging="510"/>
        <w:jc w:val="both"/>
        <w:rPr>
          <w:rFonts w:asciiTheme="majorHAnsi" w:hAnsiTheme="majorHAnsi"/>
          <w:sz w:val="28"/>
          <w:szCs w:val="28"/>
        </w:rPr>
      </w:pPr>
      <w:r w:rsidRPr="0002797C">
        <w:rPr>
          <w:rFonts w:asciiTheme="majorHAnsi" w:hAnsiTheme="majorHAnsi"/>
          <w:sz w:val="28"/>
          <w:szCs w:val="28"/>
        </w:rPr>
        <w:t>Compilar los análisis encargados a consultores externos por las diferentes áreas del Instituto</w:t>
      </w:r>
      <w:r>
        <w:rPr>
          <w:rFonts w:asciiTheme="majorHAnsi" w:hAnsiTheme="majorHAnsi"/>
          <w:sz w:val="28"/>
          <w:szCs w:val="28"/>
        </w:rPr>
        <w:t>.</w:t>
      </w:r>
      <w:r w:rsidRPr="0002797C">
        <w:rPr>
          <w:rFonts w:asciiTheme="majorHAnsi" w:hAnsiTheme="majorHAnsi"/>
          <w:sz w:val="28"/>
          <w:szCs w:val="28"/>
        </w:rPr>
        <w:t xml:space="preserve"> </w:t>
      </w:r>
    </w:p>
    <w:p w14:paraId="346226C5" w14:textId="77777777" w:rsidR="0014509F" w:rsidRPr="0002797C" w:rsidRDefault="0014509F" w:rsidP="00984ED1">
      <w:pPr>
        <w:pStyle w:val="Prrafodelista"/>
        <w:keepNext/>
        <w:keepLines/>
        <w:numPr>
          <w:ilvl w:val="0"/>
          <w:numId w:val="3"/>
        </w:numPr>
        <w:spacing w:after="100" w:afterAutospacing="1"/>
        <w:ind w:left="867" w:right="340" w:hanging="510"/>
        <w:jc w:val="both"/>
        <w:rPr>
          <w:rFonts w:asciiTheme="majorHAnsi" w:hAnsiTheme="majorHAnsi"/>
          <w:sz w:val="28"/>
          <w:szCs w:val="28"/>
        </w:rPr>
      </w:pPr>
      <w:r w:rsidRPr="0002797C">
        <w:rPr>
          <w:rFonts w:asciiTheme="majorHAnsi" w:hAnsiTheme="majorHAnsi"/>
          <w:sz w:val="28"/>
          <w:szCs w:val="28"/>
        </w:rPr>
        <w:t>Actualizar los estudios, libros y manuales de la biblioteca del IFT, así como ate</w:t>
      </w:r>
      <w:r>
        <w:rPr>
          <w:rFonts w:asciiTheme="majorHAnsi" w:hAnsiTheme="majorHAnsi"/>
          <w:sz w:val="28"/>
          <w:szCs w:val="28"/>
        </w:rPr>
        <w:t>nder a la operación de la misma.</w:t>
      </w:r>
    </w:p>
    <w:p w14:paraId="3476271D" w14:textId="77777777" w:rsidR="0014509F" w:rsidRPr="0002797C" w:rsidRDefault="0014509F" w:rsidP="00984ED1">
      <w:pPr>
        <w:pStyle w:val="Prrafodelista"/>
        <w:keepNext/>
        <w:keepLines/>
        <w:numPr>
          <w:ilvl w:val="0"/>
          <w:numId w:val="3"/>
        </w:numPr>
        <w:spacing w:after="100" w:afterAutospacing="1"/>
        <w:ind w:left="867" w:right="340" w:hanging="510"/>
        <w:jc w:val="both"/>
        <w:rPr>
          <w:rFonts w:asciiTheme="majorHAnsi" w:hAnsiTheme="majorHAnsi"/>
          <w:sz w:val="28"/>
          <w:szCs w:val="28"/>
        </w:rPr>
      </w:pPr>
      <w:r w:rsidRPr="0002797C">
        <w:rPr>
          <w:rFonts w:asciiTheme="majorHAnsi" w:hAnsiTheme="majorHAnsi"/>
          <w:sz w:val="28"/>
          <w:szCs w:val="28"/>
        </w:rPr>
        <w:t>Compilar el material bibliográfico que las áreas del Instituto tengan en existencia y recomienden que sea administrado por la biblioteca</w:t>
      </w:r>
      <w:r>
        <w:rPr>
          <w:rFonts w:asciiTheme="majorHAnsi" w:hAnsiTheme="majorHAnsi"/>
          <w:sz w:val="28"/>
          <w:szCs w:val="28"/>
        </w:rPr>
        <w:t>, a fin de hacerlo disponible al personal del Instituto.</w:t>
      </w:r>
    </w:p>
    <w:p w14:paraId="33C74B51" w14:textId="77777777" w:rsidR="0014509F" w:rsidRDefault="0014509F" w:rsidP="00984ED1">
      <w:pPr>
        <w:pStyle w:val="Prrafodelista"/>
        <w:keepNext/>
        <w:keepLines/>
        <w:numPr>
          <w:ilvl w:val="0"/>
          <w:numId w:val="3"/>
        </w:numPr>
        <w:spacing w:after="100" w:afterAutospacing="1"/>
        <w:ind w:left="867" w:right="340" w:hanging="510"/>
        <w:jc w:val="both"/>
        <w:rPr>
          <w:rFonts w:asciiTheme="majorHAnsi" w:hAnsiTheme="majorHAnsi"/>
          <w:sz w:val="28"/>
          <w:szCs w:val="28"/>
        </w:rPr>
      </w:pPr>
      <w:r w:rsidRPr="0002797C">
        <w:rPr>
          <w:rFonts w:asciiTheme="majorHAnsi" w:hAnsiTheme="majorHAnsi"/>
          <w:sz w:val="28"/>
          <w:szCs w:val="28"/>
        </w:rPr>
        <w:t xml:space="preserve">Actualizar el sitio electrónico </w:t>
      </w:r>
      <w:r>
        <w:rPr>
          <w:rFonts w:asciiTheme="majorHAnsi" w:hAnsiTheme="majorHAnsi"/>
          <w:sz w:val="28"/>
          <w:szCs w:val="28"/>
        </w:rPr>
        <w:t xml:space="preserve">del CES </w:t>
      </w:r>
      <w:r w:rsidRPr="0002797C">
        <w:rPr>
          <w:rFonts w:asciiTheme="majorHAnsi" w:hAnsiTheme="majorHAnsi"/>
          <w:sz w:val="28"/>
          <w:szCs w:val="28"/>
        </w:rPr>
        <w:t xml:space="preserve">para facilitar la </w:t>
      </w:r>
      <w:r>
        <w:rPr>
          <w:rFonts w:asciiTheme="majorHAnsi" w:hAnsiTheme="majorHAnsi"/>
          <w:sz w:val="28"/>
          <w:szCs w:val="28"/>
        </w:rPr>
        <w:t>difusión</w:t>
      </w:r>
      <w:r w:rsidRPr="0002797C">
        <w:rPr>
          <w:rFonts w:asciiTheme="majorHAnsi" w:hAnsiTheme="majorHAnsi"/>
          <w:sz w:val="28"/>
          <w:szCs w:val="28"/>
        </w:rPr>
        <w:t xml:space="preserve"> de los </w:t>
      </w:r>
      <w:r>
        <w:rPr>
          <w:rFonts w:asciiTheme="majorHAnsi" w:hAnsiTheme="majorHAnsi"/>
          <w:sz w:val="28"/>
          <w:szCs w:val="28"/>
        </w:rPr>
        <w:t xml:space="preserve">estudios realizados y la consulta de los </w:t>
      </w:r>
      <w:r w:rsidRPr="0002797C">
        <w:rPr>
          <w:rFonts w:asciiTheme="majorHAnsi" w:hAnsiTheme="majorHAnsi"/>
          <w:sz w:val="28"/>
          <w:szCs w:val="28"/>
        </w:rPr>
        <w:t>materiales compilados</w:t>
      </w:r>
      <w:r>
        <w:rPr>
          <w:rFonts w:asciiTheme="majorHAnsi" w:hAnsiTheme="majorHAnsi"/>
          <w:sz w:val="28"/>
          <w:szCs w:val="28"/>
        </w:rPr>
        <w:t>.</w:t>
      </w:r>
    </w:p>
    <w:p w14:paraId="7FA13CB6" w14:textId="3C2EDD81" w:rsidR="0014509F" w:rsidRPr="008156F1" w:rsidRDefault="008156F1" w:rsidP="008156F1">
      <w:pPr>
        <w:pStyle w:val="Ttulo3"/>
        <w:ind w:left="851"/>
        <w:rPr>
          <w:b/>
          <w:color w:val="0070C0"/>
          <w:sz w:val="28"/>
          <w:szCs w:val="28"/>
        </w:rPr>
      </w:pPr>
      <w:r>
        <w:rPr>
          <w:b/>
          <w:color w:val="0070C0"/>
          <w:sz w:val="28"/>
          <w:szCs w:val="28"/>
        </w:rPr>
        <w:t xml:space="preserve">2. </w:t>
      </w:r>
      <w:r w:rsidR="0014509F" w:rsidRPr="008156F1">
        <w:rPr>
          <w:b/>
          <w:color w:val="0070C0"/>
          <w:sz w:val="28"/>
          <w:szCs w:val="28"/>
        </w:rPr>
        <w:t>Análisis, Estudios y Solicitudes de Información Recurrentes</w:t>
      </w:r>
    </w:p>
    <w:p w14:paraId="67A30D99"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Pr>
          <w:rFonts w:asciiTheme="majorHAnsi" w:hAnsiTheme="majorHAnsi"/>
          <w:sz w:val="28"/>
          <w:szCs w:val="28"/>
        </w:rPr>
        <w:t>D</w:t>
      </w:r>
      <w:r w:rsidRPr="00844EF5">
        <w:rPr>
          <w:rFonts w:asciiTheme="majorHAnsi" w:hAnsiTheme="majorHAnsi"/>
          <w:sz w:val="28"/>
          <w:szCs w:val="28"/>
        </w:rPr>
        <w:t xml:space="preserve">e acuerdo con lo dispuesto en el </w:t>
      </w:r>
      <w:r>
        <w:rPr>
          <w:rFonts w:asciiTheme="majorHAnsi" w:hAnsiTheme="majorHAnsi"/>
          <w:sz w:val="28"/>
          <w:szCs w:val="28"/>
        </w:rPr>
        <w:t>artículo</w:t>
      </w:r>
      <w:r w:rsidRPr="00844EF5">
        <w:rPr>
          <w:rFonts w:asciiTheme="majorHAnsi" w:hAnsiTheme="majorHAnsi"/>
          <w:sz w:val="28"/>
          <w:szCs w:val="28"/>
        </w:rPr>
        <w:t xml:space="preserve"> 69, fracción II del E</w:t>
      </w:r>
      <w:r>
        <w:rPr>
          <w:rFonts w:asciiTheme="majorHAnsi" w:hAnsiTheme="majorHAnsi"/>
          <w:sz w:val="28"/>
          <w:szCs w:val="28"/>
        </w:rPr>
        <w:t>O</w:t>
      </w:r>
      <w:r w:rsidRPr="00844EF5">
        <w:rPr>
          <w:rFonts w:asciiTheme="majorHAnsi" w:hAnsiTheme="majorHAnsi"/>
          <w:sz w:val="28"/>
          <w:szCs w:val="28"/>
        </w:rPr>
        <w:t xml:space="preserve">, el CE deberá llevar a cabo tareas recurrentes, además de atender de manera puntual solicitudes que explícitamente le sean planteadas por el Pleno del IFT. Para </w:t>
      </w:r>
      <w:r>
        <w:rPr>
          <w:rFonts w:asciiTheme="majorHAnsi" w:hAnsiTheme="majorHAnsi"/>
          <w:sz w:val="28"/>
          <w:szCs w:val="28"/>
        </w:rPr>
        <w:t>ello</w:t>
      </w:r>
      <w:r w:rsidRPr="00844EF5">
        <w:rPr>
          <w:rFonts w:asciiTheme="majorHAnsi" w:hAnsiTheme="majorHAnsi"/>
          <w:sz w:val="28"/>
          <w:szCs w:val="28"/>
        </w:rPr>
        <w:t xml:space="preserve"> se prevén las siguientes actividades</w:t>
      </w:r>
      <w:r>
        <w:rPr>
          <w:rFonts w:asciiTheme="majorHAnsi" w:hAnsiTheme="majorHAnsi"/>
          <w:sz w:val="28"/>
          <w:szCs w:val="28"/>
        </w:rPr>
        <w:t xml:space="preserve"> de contribución o </w:t>
      </w:r>
      <w:proofErr w:type="spellStart"/>
      <w:r>
        <w:rPr>
          <w:rFonts w:asciiTheme="majorHAnsi" w:hAnsiTheme="majorHAnsi"/>
          <w:sz w:val="28"/>
          <w:szCs w:val="28"/>
        </w:rPr>
        <w:t>coadyuvancia</w:t>
      </w:r>
      <w:proofErr w:type="spellEnd"/>
      <w:r>
        <w:rPr>
          <w:rFonts w:asciiTheme="majorHAnsi" w:hAnsiTheme="majorHAnsi"/>
          <w:sz w:val="28"/>
          <w:szCs w:val="28"/>
        </w:rPr>
        <w:t xml:space="preserve"> con las distintas unidades administrativas:</w:t>
      </w:r>
    </w:p>
    <w:p w14:paraId="754D8D9B" w14:textId="77777777" w:rsidR="0014509F" w:rsidRDefault="0014509F" w:rsidP="00984ED1">
      <w:pPr>
        <w:pStyle w:val="Prrafodelista"/>
        <w:keepNext/>
        <w:keepLines/>
        <w:numPr>
          <w:ilvl w:val="0"/>
          <w:numId w:val="2"/>
        </w:numPr>
        <w:spacing w:after="100" w:afterAutospacing="1" w:line="264" w:lineRule="auto"/>
        <w:ind w:left="867" w:hanging="510"/>
        <w:jc w:val="both"/>
        <w:rPr>
          <w:rFonts w:asciiTheme="majorHAnsi" w:hAnsiTheme="majorHAnsi"/>
          <w:sz w:val="28"/>
          <w:szCs w:val="28"/>
        </w:rPr>
      </w:pPr>
      <w:r w:rsidRPr="004D247E">
        <w:rPr>
          <w:rFonts w:asciiTheme="majorHAnsi" w:hAnsiTheme="majorHAnsi"/>
          <w:sz w:val="28"/>
          <w:szCs w:val="28"/>
        </w:rPr>
        <w:lastRenderedPageBreak/>
        <w:t xml:space="preserve">Realizar los estudios y análisis que le solicite el Pleno del IFT, para el mejor descargo de las funciones que tiene encomendadas el </w:t>
      </w:r>
      <w:r>
        <w:rPr>
          <w:rFonts w:asciiTheme="majorHAnsi" w:hAnsiTheme="majorHAnsi"/>
          <w:sz w:val="28"/>
          <w:szCs w:val="28"/>
        </w:rPr>
        <w:t>Instituto</w:t>
      </w:r>
      <w:r w:rsidRPr="004D247E">
        <w:rPr>
          <w:rFonts w:asciiTheme="majorHAnsi" w:hAnsiTheme="majorHAnsi"/>
          <w:sz w:val="28"/>
          <w:szCs w:val="28"/>
        </w:rPr>
        <w:t xml:space="preserve">. </w:t>
      </w:r>
    </w:p>
    <w:p w14:paraId="3B3E6A25" w14:textId="77777777" w:rsidR="0014509F" w:rsidRDefault="0014509F" w:rsidP="00984ED1">
      <w:pPr>
        <w:pStyle w:val="Prrafodelista"/>
        <w:keepNext/>
        <w:keepLines/>
        <w:numPr>
          <w:ilvl w:val="0"/>
          <w:numId w:val="2"/>
        </w:numPr>
        <w:spacing w:after="100" w:afterAutospacing="1" w:line="264" w:lineRule="auto"/>
        <w:ind w:left="867" w:hanging="510"/>
        <w:jc w:val="both"/>
        <w:rPr>
          <w:rFonts w:asciiTheme="majorHAnsi" w:hAnsiTheme="majorHAnsi"/>
          <w:sz w:val="28"/>
          <w:szCs w:val="28"/>
        </w:rPr>
      </w:pPr>
      <w:r w:rsidRPr="00844EF5">
        <w:rPr>
          <w:rFonts w:asciiTheme="majorHAnsi" w:hAnsiTheme="majorHAnsi"/>
          <w:sz w:val="28"/>
          <w:szCs w:val="28"/>
        </w:rPr>
        <w:t xml:space="preserve">Recopilar información de estudios e investigaciones que requiera el Pleno para el mejor </w:t>
      </w:r>
      <w:r>
        <w:rPr>
          <w:rFonts w:asciiTheme="majorHAnsi" w:hAnsiTheme="majorHAnsi"/>
          <w:sz w:val="28"/>
          <w:szCs w:val="28"/>
        </w:rPr>
        <w:t>ejercicio de sus atribuciones (f</w:t>
      </w:r>
      <w:r w:rsidRPr="00844EF5">
        <w:rPr>
          <w:rFonts w:asciiTheme="majorHAnsi" w:hAnsiTheme="majorHAnsi"/>
          <w:sz w:val="28"/>
          <w:szCs w:val="28"/>
        </w:rPr>
        <w:t xml:space="preserve">racción III del </w:t>
      </w:r>
      <w:r>
        <w:rPr>
          <w:rFonts w:asciiTheme="majorHAnsi" w:hAnsiTheme="majorHAnsi"/>
          <w:sz w:val="28"/>
          <w:szCs w:val="28"/>
        </w:rPr>
        <w:t>artículo</w:t>
      </w:r>
      <w:r w:rsidRPr="00844EF5">
        <w:rPr>
          <w:rFonts w:asciiTheme="majorHAnsi" w:hAnsiTheme="majorHAnsi"/>
          <w:sz w:val="28"/>
          <w:szCs w:val="28"/>
        </w:rPr>
        <w:t xml:space="preserve"> 69 del EO)</w:t>
      </w:r>
      <w:r>
        <w:rPr>
          <w:rFonts w:asciiTheme="majorHAnsi" w:hAnsiTheme="majorHAnsi"/>
          <w:sz w:val="28"/>
          <w:szCs w:val="28"/>
        </w:rPr>
        <w:t>.</w:t>
      </w:r>
    </w:p>
    <w:p w14:paraId="647AEA93"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sidRPr="00BA33E6">
        <w:rPr>
          <w:rFonts w:asciiTheme="majorHAnsi" w:hAnsiTheme="majorHAnsi"/>
          <w:sz w:val="28"/>
          <w:szCs w:val="28"/>
        </w:rPr>
        <w:t>Esta</w:t>
      </w:r>
      <w:r>
        <w:rPr>
          <w:rFonts w:asciiTheme="majorHAnsi" w:hAnsiTheme="majorHAnsi"/>
          <w:sz w:val="28"/>
          <w:szCs w:val="28"/>
        </w:rPr>
        <w:t>s</w:t>
      </w:r>
      <w:r w:rsidRPr="00BA33E6">
        <w:rPr>
          <w:rFonts w:asciiTheme="majorHAnsi" w:hAnsiTheme="majorHAnsi"/>
          <w:sz w:val="28"/>
          <w:szCs w:val="28"/>
        </w:rPr>
        <w:t xml:space="preserve"> labor</w:t>
      </w:r>
      <w:r>
        <w:rPr>
          <w:rFonts w:asciiTheme="majorHAnsi" w:hAnsiTheme="majorHAnsi"/>
          <w:sz w:val="28"/>
          <w:szCs w:val="28"/>
        </w:rPr>
        <w:t>es son</w:t>
      </w:r>
      <w:r w:rsidRPr="00BA33E6">
        <w:rPr>
          <w:rFonts w:asciiTheme="majorHAnsi" w:hAnsiTheme="majorHAnsi"/>
          <w:sz w:val="28"/>
          <w:szCs w:val="28"/>
        </w:rPr>
        <w:t xml:space="preserve"> de carácter recurrente ya que depende</w:t>
      </w:r>
      <w:r>
        <w:rPr>
          <w:rFonts w:asciiTheme="majorHAnsi" w:hAnsiTheme="majorHAnsi"/>
          <w:sz w:val="28"/>
          <w:szCs w:val="28"/>
        </w:rPr>
        <w:t>n</w:t>
      </w:r>
      <w:r w:rsidRPr="00BA33E6">
        <w:rPr>
          <w:rFonts w:asciiTheme="majorHAnsi" w:hAnsiTheme="majorHAnsi"/>
          <w:sz w:val="28"/>
          <w:szCs w:val="28"/>
        </w:rPr>
        <w:t xml:space="preserve"> de que se haga el encargo correspondiente al CES. </w:t>
      </w:r>
      <w:r>
        <w:rPr>
          <w:rFonts w:asciiTheme="majorHAnsi" w:hAnsiTheme="majorHAnsi"/>
          <w:sz w:val="28"/>
          <w:szCs w:val="28"/>
        </w:rPr>
        <w:t>Para el presente año, el Pleno del Instituto ya ha aprobado a través de la resolución aprobatoria del PAT-2018, que el CES coadyuve con las áreas sustantivas a la realización de los siguientes estudios:</w:t>
      </w:r>
    </w:p>
    <w:p w14:paraId="5A860123" w14:textId="77777777" w:rsidR="0014509F" w:rsidRPr="008156F1" w:rsidRDefault="0014509F" w:rsidP="0014509F">
      <w:pPr>
        <w:keepNext/>
        <w:keepLines/>
        <w:spacing w:after="100" w:afterAutospacing="1"/>
        <w:ind w:firstLine="471"/>
        <w:jc w:val="both"/>
        <w:rPr>
          <w:rFonts w:asciiTheme="majorHAnsi" w:hAnsiTheme="majorHAnsi"/>
          <w:color w:val="0070C0"/>
          <w:sz w:val="28"/>
          <w:szCs w:val="28"/>
        </w:rPr>
      </w:pPr>
      <w:r w:rsidRPr="008156F1">
        <w:rPr>
          <w:rFonts w:asciiTheme="majorHAnsi" w:hAnsiTheme="majorHAnsi"/>
          <w:b/>
          <w:color w:val="0070C0"/>
          <w:sz w:val="28"/>
          <w:szCs w:val="28"/>
        </w:rPr>
        <w:t xml:space="preserve">Cuadro 3 Estudios en los que participa el CES en </w:t>
      </w:r>
      <w:proofErr w:type="spellStart"/>
      <w:r w:rsidRPr="008156F1">
        <w:rPr>
          <w:rFonts w:asciiTheme="majorHAnsi" w:hAnsiTheme="majorHAnsi"/>
          <w:b/>
          <w:color w:val="0070C0"/>
          <w:sz w:val="28"/>
          <w:szCs w:val="28"/>
        </w:rPr>
        <w:t>coadyuvancia</w:t>
      </w:r>
      <w:proofErr w:type="spellEnd"/>
      <w:r w:rsidRPr="008156F1">
        <w:rPr>
          <w:rFonts w:asciiTheme="majorHAnsi" w:hAnsiTheme="majorHAnsi"/>
          <w:b/>
          <w:color w:val="0070C0"/>
          <w:sz w:val="28"/>
          <w:szCs w:val="28"/>
        </w:rPr>
        <w:t xml:space="preserve"> con otras Unidades del IFT, 2018</w:t>
      </w:r>
    </w:p>
    <w:tbl>
      <w:tblPr>
        <w:tblStyle w:val="Tablaconcuadrcula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studios en los que participa el CES en coadyuvancia con otras Unidades del IFT, 2018"/>
        <w:tblDescription w:val="UCE Criterios para definir control e influencia por parte de agentes económicos de los sectores de las telecomunicaciones y radiodifusión&#10;UPR Sistema electrónico de administración de los análisis de impacto regulatorio&#10;"/>
      </w:tblPr>
      <w:tblGrid>
        <w:gridCol w:w="1683"/>
        <w:gridCol w:w="2391"/>
        <w:gridCol w:w="5145"/>
      </w:tblGrid>
      <w:tr w:rsidR="0014509F" w:rsidRPr="008156F1" w14:paraId="07B72514" w14:textId="77777777" w:rsidTr="00A170A9">
        <w:trPr>
          <w:tblHeader/>
        </w:trPr>
        <w:tc>
          <w:tcPr>
            <w:tcW w:w="1683" w:type="dxa"/>
          </w:tcPr>
          <w:p w14:paraId="61E67F98" w14:textId="77777777" w:rsidR="0014509F" w:rsidRPr="008156F1" w:rsidRDefault="0014509F" w:rsidP="00A170A9">
            <w:pPr>
              <w:keepNext/>
              <w:keepLines/>
              <w:spacing w:after="100" w:afterAutospacing="1"/>
              <w:jc w:val="both"/>
              <w:rPr>
                <w:rFonts w:asciiTheme="majorHAnsi" w:hAnsiTheme="majorHAnsi"/>
                <w:color w:val="0070C0"/>
              </w:rPr>
            </w:pPr>
          </w:p>
        </w:tc>
        <w:tc>
          <w:tcPr>
            <w:tcW w:w="2391" w:type="dxa"/>
          </w:tcPr>
          <w:p w14:paraId="0C5E1CB8" w14:textId="7EBC9026" w:rsidR="0014509F" w:rsidRPr="008156F1" w:rsidRDefault="0014509F" w:rsidP="008156F1">
            <w:pPr>
              <w:keepNext/>
              <w:keepLines/>
              <w:spacing w:after="100" w:afterAutospacing="1"/>
              <w:jc w:val="both"/>
              <w:rPr>
                <w:rFonts w:asciiTheme="majorHAnsi" w:hAnsiTheme="majorHAnsi"/>
                <w:b/>
                <w:color w:val="0070C0"/>
              </w:rPr>
            </w:pPr>
            <w:r w:rsidRPr="008156F1">
              <w:rPr>
                <w:rFonts w:asciiTheme="majorHAnsi" w:hAnsiTheme="majorHAnsi"/>
                <w:b/>
                <w:color w:val="0070C0"/>
              </w:rPr>
              <w:t>Unidad</w:t>
            </w:r>
            <w:r w:rsidR="008156F1">
              <w:rPr>
                <w:rFonts w:asciiTheme="majorHAnsi" w:hAnsiTheme="majorHAnsi"/>
                <w:b/>
                <w:color w:val="0070C0"/>
              </w:rPr>
              <w:t xml:space="preserve"> </w:t>
            </w:r>
            <w:r w:rsidRPr="008156F1">
              <w:rPr>
                <w:rFonts w:asciiTheme="majorHAnsi" w:hAnsiTheme="majorHAnsi"/>
                <w:b/>
                <w:color w:val="0070C0"/>
              </w:rPr>
              <w:t>Coordinadora</w:t>
            </w:r>
          </w:p>
        </w:tc>
        <w:tc>
          <w:tcPr>
            <w:tcW w:w="5145" w:type="dxa"/>
          </w:tcPr>
          <w:p w14:paraId="1180728C" w14:textId="77777777" w:rsidR="0014509F" w:rsidRPr="008156F1" w:rsidRDefault="0014509F" w:rsidP="00A170A9">
            <w:pPr>
              <w:keepNext/>
              <w:keepLines/>
              <w:spacing w:after="100" w:afterAutospacing="1"/>
              <w:jc w:val="both"/>
              <w:rPr>
                <w:rFonts w:asciiTheme="majorHAnsi" w:hAnsiTheme="majorHAnsi"/>
                <w:b/>
                <w:color w:val="0070C0"/>
                <w:sz w:val="28"/>
                <w:szCs w:val="28"/>
              </w:rPr>
            </w:pPr>
            <w:r w:rsidRPr="008156F1">
              <w:rPr>
                <w:rFonts w:asciiTheme="majorHAnsi" w:hAnsiTheme="majorHAnsi"/>
                <w:b/>
                <w:color w:val="0070C0"/>
                <w:sz w:val="28"/>
                <w:szCs w:val="28"/>
              </w:rPr>
              <w:t>Tema</w:t>
            </w:r>
          </w:p>
        </w:tc>
      </w:tr>
      <w:tr w:rsidR="0014509F" w:rsidRPr="00CA4049" w14:paraId="4428CBA3" w14:textId="77777777" w:rsidTr="00A170A9">
        <w:tc>
          <w:tcPr>
            <w:tcW w:w="1683" w:type="dxa"/>
          </w:tcPr>
          <w:p w14:paraId="181616EE" w14:textId="77777777" w:rsidR="0014509F" w:rsidRPr="00732151" w:rsidRDefault="0014509F" w:rsidP="00A170A9">
            <w:pPr>
              <w:keepNext/>
              <w:keepLines/>
              <w:spacing w:after="100" w:afterAutospacing="1" w:line="276" w:lineRule="auto"/>
              <w:jc w:val="both"/>
              <w:rPr>
                <w:rFonts w:asciiTheme="majorHAnsi" w:hAnsiTheme="majorHAnsi"/>
              </w:rPr>
            </w:pPr>
            <w:r>
              <w:rPr>
                <w:rFonts w:asciiTheme="majorHAnsi" w:hAnsiTheme="majorHAnsi"/>
              </w:rPr>
              <w:t>1</w:t>
            </w:r>
          </w:p>
        </w:tc>
        <w:tc>
          <w:tcPr>
            <w:tcW w:w="2391" w:type="dxa"/>
          </w:tcPr>
          <w:p w14:paraId="227A77D0" w14:textId="77777777" w:rsidR="0014509F" w:rsidRPr="007F2E93" w:rsidRDefault="0014509F" w:rsidP="00A170A9">
            <w:pPr>
              <w:keepNext/>
              <w:keepLines/>
              <w:spacing w:after="100" w:afterAutospacing="1" w:line="276" w:lineRule="auto"/>
              <w:jc w:val="both"/>
              <w:rPr>
                <w:rFonts w:asciiTheme="majorHAnsi" w:hAnsiTheme="majorHAnsi"/>
                <w:b/>
              </w:rPr>
            </w:pPr>
            <w:r w:rsidRPr="007F2E93">
              <w:rPr>
                <w:rFonts w:asciiTheme="majorHAnsi" w:hAnsiTheme="majorHAnsi"/>
                <w:b/>
              </w:rPr>
              <w:t>UCE</w:t>
            </w:r>
          </w:p>
        </w:tc>
        <w:tc>
          <w:tcPr>
            <w:tcW w:w="5145" w:type="dxa"/>
          </w:tcPr>
          <w:p w14:paraId="4F5327C0" w14:textId="77777777" w:rsidR="0014509F" w:rsidRPr="00595AFB" w:rsidRDefault="0014509F" w:rsidP="00A170A9">
            <w:pPr>
              <w:keepNext/>
              <w:keepLines/>
              <w:spacing w:after="100" w:afterAutospacing="1" w:line="276" w:lineRule="auto"/>
              <w:jc w:val="both"/>
              <w:rPr>
                <w:rFonts w:asciiTheme="majorHAnsi" w:hAnsiTheme="majorHAnsi" w:cstheme="majorHAnsi"/>
                <w:sz w:val="28"/>
                <w:szCs w:val="28"/>
              </w:rPr>
            </w:pPr>
            <w:r w:rsidRPr="007F2E93">
              <w:rPr>
                <w:rFonts w:asciiTheme="majorHAnsi" w:hAnsiTheme="majorHAnsi"/>
                <w:sz w:val="28"/>
                <w:szCs w:val="28"/>
              </w:rPr>
              <w:t>C</w:t>
            </w:r>
            <w:r>
              <w:rPr>
                <w:rFonts w:asciiTheme="majorHAnsi" w:hAnsiTheme="majorHAnsi"/>
                <w:sz w:val="28"/>
                <w:szCs w:val="28"/>
              </w:rPr>
              <w:t>riterios para definir control e</w:t>
            </w:r>
            <w:r w:rsidRPr="007F2E93">
              <w:rPr>
                <w:rFonts w:asciiTheme="majorHAnsi" w:hAnsiTheme="majorHAnsi"/>
                <w:sz w:val="28"/>
                <w:szCs w:val="28"/>
              </w:rPr>
              <w:t xml:space="preserve"> influencia</w:t>
            </w:r>
            <w:r>
              <w:rPr>
                <w:rFonts w:asciiTheme="majorHAnsi" w:hAnsiTheme="majorHAnsi"/>
                <w:sz w:val="28"/>
                <w:szCs w:val="28"/>
              </w:rPr>
              <w:t xml:space="preserve"> por parte de agentes económicos de los sectores de las telecomunicaciones y radiodifusión</w:t>
            </w:r>
          </w:p>
        </w:tc>
      </w:tr>
      <w:tr w:rsidR="0014509F" w:rsidRPr="00CA4049" w14:paraId="52531C03" w14:textId="77777777" w:rsidTr="00A170A9">
        <w:trPr>
          <w:trHeight w:val="850"/>
        </w:trPr>
        <w:tc>
          <w:tcPr>
            <w:tcW w:w="1683" w:type="dxa"/>
          </w:tcPr>
          <w:p w14:paraId="6C1912B7" w14:textId="77777777" w:rsidR="0014509F" w:rsidRPr="00732151" w:rsidRDefault="0014509F" w:rsidP="00A170A9">
            <w:pPr>
              <w:keepNext/>
              <w:keepLines/>
              <w:spacing w:after="100" w:afterAutospacing="1" w:line="276" w:lineRule="auto"/>
              <w:jc w:val="both"/>
              <w:rPr>
                <w:rFonts w:asciiTheme="majorHAnsi" w:hAnsiTheme="majorHAnsi"/>
              </w:rPr>
            </w:pPr>
            <w:r>
              <w:rPr>
                <w:rFonts w:asciiTheme="majorHAnsi" w:hAnsiTheme="majorHAnsi"/>
              </w:rPr>
              <w:t>2</w:t>
            </w:r>
          </w:p>
        </w:tc>
        <w:tc>
          <w:tcPr>
            <w:tcW w:w="2391" w:type="dxa"/>
          </w:tcPr>
          <w:p w14:paraId="18EFE2E8" w14:textId="77777777" w:rsidR="0014509F" w:rsidRPr="007F2E93" w:rsidRDefault="0014509F" w:rsidP="00A170A9">
            <w:pPr>
              <w:keepNext/>
              <w:keepLines/>
              <w:spacing w:after="100" w:afterAutospacing="1" w:line="276" w:lineRule="auto"/>
              <w:jc w:val="both"/>
              <w:rPr>
                <w:rFonts w:asciiTheme="majorHAnsi" w:hAnsiTheme="majorHAnsi"/>
                <w:b/>
              </w:rPr>
            </w:pPr>
            <w:r>
              <w:rPr>
                <w:rFonts w:asciiTheme="majorHAnsi" w:hAnsiTheme="majorHAnsi"/>
                <w:b/>
              </w:rPr>
              <w:t>UPR</w:t>
            </w:r>
          </w:p>
        </w:tc>
        <w:tc>
          <w:tcPr>
            <w:tcW w:w="5145" w:type="dxa"/>
          </w:tcPr>
          <w:p w14:paraId="45E08B77" w14:textId="77777777" w:rsidR="0014509F" w:rsidRPr="00FC2B23" w:rsidRDefault="0014509F" w:rsidP="00A170A9">
            <w:pPr>
              <w:keepNext/>
              <w:keepLines/>
              <w:spacing w:after="100" w:afterAutospacing="1"/>
              <w:jc w:val="both"/>
              <w:rPr>
                <w:rFonts w:asciiTheme="majorHAnsi" w:hAnsiTheme="majorHAnsi" w:cstheme="majorHAnsi"/>
                <w:sz w:val="28"/>
                <w:szCs w:val="28"/>
              </w:rPr>
            </w:pPr>
            <w:r w:rsidRPr="007F2E93">
              <w:rPr>
                <w:rFonts w:asciiTheme="majorHAnsi" w:hAnsiTheme="majorHAnsi" w:cstheme="majorHAnsi"/>
                <w:sz w:val="28"/>
                <w:szCs w:val="28"/>
              </w:rPr>
              <w:t xml:space="preserve">Sistema electrónico de administración de los </w:t>
            </w:r>
            <w:r>
              <w:rPr>
                <w:rFonts w:asciiTheme="majorHAnsi" w:hAnsiTheme="majorHAnsi" w:cstheme="majorHAnsi"/>
                <w:sz w:val="28"/>
                <w:szCs w:val="28"/>
              </w:rPr>
              <w:t>a</w:t>
            </w:r>
            <w:r w:rsidRPr="007F2E93">
              <w:rPr>
                <w:rFonts w:asciiTheme="majorHAnsi" w:hAnsiTheme="majorHAnsi" w:cstheme="majorHAnsi"/>
                <w:sz w:val="28"/>
                <w:szCs w:val="28"/>
              </w:rPr>
              <w:t xml:space="preserve">nálisis de </w:t>
            </w:r>
            <w:r>
              <w:rPr>
                <w:rFonts w:asciiTheme="majorHAnsi" w:hAnsiTheme="majorHAnsi" w:cstheme="majorHAnsi"/>
                <w:sz w:val="28"/>
                <w:szCs w:val="28"/>
              </w:rPr>
              <w:t>i</w:t>
            </w:r>
            <w:r w:rsidRPr="007F2E93">
              <w:rPr>
                <w:rFonts w:asciiTheme="majorHAnsi" w:hAnsiTheme="majorHAnsi" w:cstheme="majorHAnsi"/>
                <w:sz w:val="28"/>
                <w:szCs w:val="28"/>
              </w:rPr>
              <w:t xml:space="preserve">mpacto </w:t>
            </w:r>
            <w:r>
              <w:rPr>
                <w:rFonts w:asciiTheme="majorHAnsi" w:hAnsiTheme="majorHAnsi" w:cstheme="majorHAnsi"/>
                <w:sz w:val="28"/>
                <w:szCs w:val="28"/>
              </w:rPr>
              <w:t>r</w:t>
            </w:r>
            <w:r w:rsidRPr="007F2E93">
              <w:rPr>
                <w:rFonts w:asciiTheme="majorHAnsi" w:hAnsiTheme="majorHAnsi" w:cstheme="majorHAnsi"/>
                <w:sz w:val="28"/>
                <w:szCs w:val="28"/>
              </w:rPr>
              <w:t>egulatorio</w:t>
            </w:r>
          </w:p>
        </w:tc>
      </w:tr>
    </w:tbl>
    <w:p w14:paraId="59667961" w14:textId="77777777" w:rsidR="0014509F" w:rsidRDefault="0014509F" w:rsidP="0014509F">
      <w:pPr>
        <w:keepNext/>
        <w:keepLines/>
        <w:spacing w:after="100" w:afterAutospacing="1" w:line="276" w:lineRule="auto"/>
        <w:jc w:val="both"/>
        <w:rPr>
          <w:rFonts w:asciiTheme="majorHAnsi" w:hAnsiTheme="majorHAnsi"/>
          <w:b/>
          <w:sz w:val="28"/>
          <w:szCs w:val="28"/>
        </w:rPr>
      </w:pPr>
      <w:r w:rsidRPr="00732151">
        <w:rPr>
          <w:rFonts w:asciiTheme="majorHAnsi" w:hAnsiTheme="majorHAnsi"/>
        </w:rPr>
        <w:t>Fuente: PAT-2018</w:t>
      </w:r>
    </w:p>
    <w:p w14:paraId="4B4B535B"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sidRPr="0006113F">
        <w:rPr>
          <w:rFonts w:asciiTheme="majorHAnsi" w:hAnsiTheme="majorHAnsi"/>
          <w:sz w:val="28"/>
          <w:szCs w:val="28"/>
        </w:rPr>
        <w:t>El número de estudios que realice el CES de mane</w:t>
      </w:r>
      <w:r>
        <w:rPr>
          <w:rFonts w:asciiTheme="majorHAnsi" w:hAnsiTheme="majorHAnsi"/>
          <w:sz w:val="28"/>
          <w:szCs w:val="28"/>
        </w:rPr>
        <w:t xml:space="preserve">ra integral o coadyuvando con </w:t>
      </w:r>
      <w:r w:rsidRPr="0006113F">
        <w:rPr>
          <w:rFonts w:asciiTheme="majorHAnsi" w:hAnsiTheme="majorHAnsi"/>
          <w:sz w:val="28"/>
          <w:szCs w:val="28"/>
        </w:rPr>
        <w:t xml:space="preserve">otras unidades del IFT, puede ser más amplio de lo señalado. </w:t>
      </w:r>
      <w:r>
        <w:rPr>
          <w:rFonts w:asciiTheme="majorHAnsi" w:hAnsiTheme="majorHAnsi"/>
          <w:sz w:val="28"/>
          <w:szCs w:val="28"/>
        </w:rPr>
        <w:t>Lo anterior, si el Pleno del Instituto, en uso de sus atribuciones, así lo determina.</w:t>
      </w:r>
    </w:p>
    <w:p w14:paraId="23C9B116" w14:textId="77777777" w:rsidR="0014509F" w:rsidRDefault="0014509F" w:rsidP="0014509F">
      <w:pPr>
        <w:jc w:val="both"/>
        <w:rPr>
          <w:rFonts w:asciiTheme="majorHAnsi" w:hAnsiTheme="majorHAnsi"/>
          <w:sz w:val="28"/>
          <w:szCs w:val="28"/>
        </w:rPr>
      </w:pPr>
      <w:r>
        <w:rPr>
          <w:rFonts w:asciiTheme="majorHAnsi" w:hAnsiTheme="majorHAnsi"/>
          <w:sz w:val="28"/>
          <w:szCs w:val="28"/>
        </w:rPr>
        <w:br w:type="page"/>
      </w:r>
    </w:p>
    <w:p w14:paraId="0B9B6978" w14:textId="5F9AED01" w:rsidR="0014509F" w:rsidRPr="008156F1" w:rsidRDefault="008156F1" w:rsidP="008156F1">
      <w:pPr>
        <w:pStyle w:val="Ttulo3"/>
        <w:ind w:left="851"/>
        <w:rPr>
          <w:b/>
          <w:color w:val="0070C0"/>
          <w:sz w:val="28"/>
          <w:szCs w:val="28"/>
        </w:rPr>
      </w:pPr>
      <w:r>
        <w:rPr>
          <w:b/>
          <w:color w:val="0070C0"/>
          <w:sz w:val="28"/>
          <w:szCs w:val="28"/>
        </w:rPr>
        <w:lastRenderedPageBreak/>
        <w:t xml:space="preserve">3. </w:t>
      </w:r>
      <w:r w:rsidR="0014509F" w:rsidRPr="008156F1">
        <w:rPr>
          <w:b/>
          <w:color w:val="0070C0"/>
          <w:sz w:val="28"/>
          <w:szCs w:val="28"/>
        </w:rPr>
        <w:t xml:space="preserve">Eventos de Formación y de Vinculación </w:t>
      </w:r>
    </w:p>
    <w:p w14:paraId="6429D737"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sidRPr="00944E49">
        <w:rPr>
          <w:rFonts w:asciiTheme="majorHAnsi" w:hAnsiTheme="majorHAnsi"/>
          <w:sz w:val="28"/>
          <w:szCs w:val="28"/>
        </w:rPr>
        <w:t xml:space="preserve">El artículo 69 del EO establece funciones de vinculación </w:t>
      </w:r>
      <w:r>
        <w:rPr>
          <w:rFonts w:asciiTheme="majorHAnsi" w:hAnsiTheme="majorHAnsi"/>
          <w:sz w:val="28"/>
          <w:szCs w:val="28"/>
        </w:rPr>
        <w:t xml:space="preserve">del CES </w:t>
      </w:r>
      <w:r w:rsidRPr="00944E49">
        <w:rPr>
          <w:rFonts w:asciiTheme="majorHAnsi" w:hAnsiTheme="majorHAnsi"/>
          <w:sz w:val="28"/>
          <w:szCs w:val="28"/>
        </w:rPr>
        <w:t>con otras instituciones de corte académico</w:t>
      </w:r>
      <w:r w:rsidRPr="002433CD">
        <w:rPr>
          <w:rFonts w:asciiTheme="majorHAnsi" w:hAnsiTheme="majorHAnsi"/>
          <w:sz w:val="28"/>
          <w:szCs w:val="28"/>
        </w:rPr>
        <w:t xml:space="preserve"> </w:t>
      </w:r>
      <w:r>
        <w:rPr>
          <w:rFonts w:asciiTheme="majorHAnsi" w:hAnsiTheme="majorHAnsi"/>
          <w:sz w:val="28"/>
          <w:szCs w:val="28"/>
        </w:rPr>
        <w:t>e investigación</w:t>
      </w:r>
      <w:r w:rsidRPr="00944E49">
        <w:rPr>
          <w:rFonts w:asciiTheme="majorHAnsi" w:hAnsiTheme="majorHAnsi"/>
          <w:sz w:val="28"/>
          <w:szCs w:val="28"/>
        </w:rPr>
        <w:t>, así como de difusión de los estudios que realizan los investigadores. Específicamente, la fracci</w:t>
      </w:r>
      <w:r>
        <w:rPr>
          <w:rFonts w:asciiTheme="majorHAnsi" w:hAnsiTheme="majorHAnsi"/>
          <w:sz w:val="28"/>
          <w:szCs w:val="28"/>
        </w:rPr>
        <w:t>ón</w:t>
      </w:r>
      <w:r w:rsidRPr="00944E49">
        <w:rPr>
          <w:rFonts w:asciiTheme="majorHAnsi" w:hAnsiTheme="majorHAnsi"/>
          <w:sz w:val="28"/>
          <w:szCs w:val="28"/>
        </w:rPr>
        <w:t xml:space="preserve"> V del artículo </w:t>
      </w:r>
      <w:r>
        <w:rPr>
          <w:rFonts w:asciiTheme="majorHAnsi" w:hAnsiTheme="majorHAnsi"/>
          <w:sz w:val="28"/>
          <w:szCs w:val="28"/>
        </w:rPr>
        <w:t>señalado</w:t>
      </w:r>
      <w:r w:rsidRPr="00944E49">
        <w:rPr>
          <w:rFonts w:asciiTheme="majorHAnsi" w:hAnsiTheme="majorHAnsi"/>
          <w:sz w:val="28"/>
          <w:szCs w:val="28"/>
        </w:rPr>
        <w:t xml:space="preserve"> establece que corresponde al CES promover por si </w:t>
      </w:r>
      <w:r>
        <w:rPr>
          <w:rFonts w:asciiTheme="majorHAnsi" w:hAnsiTheme="majorHAnsi"/>
          <w:sz w:val="28"/>
          <w:szCs w:val="28"/>
        </w:rPr>
        <w:t xml:space="preserve">sólo </w:t>
      </w:r>
      <w:r w:rsidRPr="00944E49">
        <w:rPr>
          <w:rFonts w:asciiTheme="majorHAnsi" w:hAnsiTheme="majorHAnsi"/>
          <w:sz w:val="28"/>
          <w:szCs w:val="28"/>
        </w:rPr>
        <w:t>o en coordinación con dependencias, entidades competentes, centros de investigación</w:t>
      </w:r>
      <w:r>
        <w:rPr>
          <w:rFonts w:asciiTheme="majorHAnsi" w:hAnsiTheme="majorHAnsi"/>
          <w:sz w:val="28"/>
          <w:szCs w:val="28"/>
        </w:rPr>
        <w:t>, instituciones académicas de educación superior nacionales y extranjeras, y organismos y entidades extranjeras con funciones afines a las del Instituto</w:t>
      </w:r>
      <w:r w:rsidRPr="00944E49">
        <w:rPr>
          <w:rFonts w:asciiTheme="majorHAnsi" w:hAnsiTheme="majorHAnsi"/>
          <w:sz w:val="28"/>
          <w:szCs w:val="28"/>
        </w:rPr>
        <w:t>, la realización</w:t>
      </w:r>
      <w:r>
        <w:rPr>
          <w:rFonts w:asciiTheme="majorHAnsi" w:hAnsiTheme="majorHAnsi"/>
          <w:sz w:val="28"/>
          <w:szCs w:val="28"/>
        </w:rPr>
        <w:t xml:space="preserve"> </w:t>
      </w:r>
      <w:r w:rsidRPr="00944E49">
        <w:rPr>
          <w:rFonts w:asciiTheme="majorHAnsi" w:hAnsiTheme="majorHAnsi"/>
          <w:sz w:val="28"/>
          <w:szCs w:val="28"/>
        </w:rPr>
        <w:t>de actividades encaminadas a la elaboración</w:t>
      </w:r>
      <w:r>
        <w:rPr>
          <w:rFonts w:asciiTheme="majorHAnsi" w:hAnsiTheme="majorHAnsi"/>
          <w:sz w:val="28"/>
          <w:szCs w:val="28"/>
        </w:rPr>
        <w:t>, entre otros,</w:t>
      </w:r>
      <w:r w:rsidRPr="00944E49">
        <w:rPr>
          <w:rFonts w:asciiTheme="majorHAnsi" w:hAnsiTheme="majorHAnsi"/>
          <w:sz w:val="28"/>
          <w:szCs w:val="28"/>
        </w:rPr>
        <w:t xml:space="preserve"> de estudios e investigaciones </w:t>
      </w:r>
      <w:r>
        <w:rPr>
          <w:rFonts w:asciiTheme="majorHAnsi" w:hAnsiTheme="majorHAnsi"/>
          <w:sz w:val="28"/>
          <w:szCs w:val="28"/>
        </w:rPr>
        <w:t>sobre</w:t>
      </w:r>
      <w:r w:rsidRPr="00944E49">
        <w:rPr>
          <w:rFonts w:asciiTheme="majorHAnsi" w:hAnsiTheme="majorHAnsi"/>
          <w:sz w:val="28"/>
          <w:szCs w:val="28"/>
        </w:rPr>
        <w:t xml:space="preserve"> temas de prospectiva regulatoria. </w:t>
      </w:r>
      <w:r>
        <w:rPr>
          <w:rFonts w:asciiTheme="majorHAnsi" w:hAnsiTheme="majorHAnsi"/>
          <w:sz w:val="28"/>
          <w:szCs w:val="28"/>
        </w:rPr>
        <w:t xml:space="preserve">Lo anterior, a fin de </w:t>
      </w:r>
      <w:r w:rsidRPr="00844EF5">
        <w:rPr>
          <w:rFonts w:asciiTheme="majorHAnsi" w:hAnsiTheme="majorHAnsi"/>
          <w:sz w:val="28"/>
          <w:szCs w:val="28"/>
        </w:rPr>
        <w:t>fortalecer y potenciar la capacidad de estudio y de investigación del</w:t>
      </w:r>
      <w:r>
        <w:rPr>
          <w:rFonts w:asciiTheme="majorHAnsi" w:hAnsiTheme="majorHAnsi"/>
          <w:sz w:val="28"/>
          <w:szCs w:val="28"/>
        </w:rPr>
        <w:t xml:space="preserve"> CES</w:t>
      </w:r>
      <w:r w:rsidRPr="00944E49">
        <w:rPr>
          <w:rFonts w:asciiTheme="majorHAnsi" w:hAnsiTheme="majorHAnsi"/>
          <w:sz w:val="28"/>
          <w:szCs w:val="28"/>
        </w:rPr>
        <w:t xml:space="preserve"> </w:t>
      </w:r>
      <w:r w:rsidRPr="00844EF5">
        <w:rPr>
          <w:rFonts w:asciiTheme="majorHAnsi" w:hAnsiTheme="majorHAnsi"/>
          <w:sz w:val="28"/>
          <w:szCs w:val="28"/>
        </w:rPr>
        <w:t>en las materias reguladas por el IFT</w:t>
      </w:r>
      <w:r>
        <w:rPr>
          <w:rFonts w:asciiTheme="majorHAnsi" w:hAnsiTheme="majorHAnsi"/>
          <w:sz w:val="28"/>
          <w:szCs w:val="28"/>
        </w:rPr>
        <w:t>.</w:t>
      </w:r>
    </w:p>
    <w:p w14:paraId="343242C8"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sidRPr="00944E49">
        <w:rPr>
          <w:rFonts w:asciiTheme="majorHAnsi" w:hAnsiTheme="majorHAnsi"/>
          <w:sz w:val="28"/>
          <w:szCs w:val="28"/>
        </w:rPr>
        <w:t>Por su parte, la fracción X prevé la elaboración y publicación de documentos, boletines y reportes en materia de telecomunicaciones, radiodifusión y competencia económica en dichos sectores. Para dar cumplimiento a esa disposición, el CE</w:t>
      </w:r>
      <w:r>
        <w:rPr>
          <w:rFonts w:asciiTheme="majorHAnsi" w:hAnsiTheme="majorHAnsi"/>
          <w:sz w:val="28"/>
          <w:szCs w:val="28"/>
        </w:rPr>
        <w:t>S</w:t>
      </w:r>
      <w:r w:rsidRPr="00944E49">
        <w:rPr>
          <w:rFonts w:asciiTheme="majorHAnsi" w:hAnsiTheme="majorHAnsi"/>
          <w:sz w:val="28"/>
          <w:szCs w:val="28"/>
        </w:rPr>
        <w:t xml:space="preserve"> realizará las siguientes acciones durante el 2018:</w:t>
      </w:r>
    </w:p>
    <w:p w14:paraId="0738B86B" w14:textId="6A87B773" w:rsidR="0014509F" w:rsidRPr="008156F1" w:rsidRDefault="0014509F" w:rsidP="00984ED1">
      <w:pPr>
        <w:pStyle w:val="Ttulo4"/>
        <w:numPr>
          <w:ilvl w:val="1"/>
          <w:numId w:val="8"/>
        </w:numPr>
        <w:rPr>
          <w:b/>
          <w:color w:val="0070C0"/>
          <w:sz w:val="28"/>
          <w:szCs w:val="28"/>
        </w:rPr>
      </w:pPr>
      <w:r w:rsidRPr="008156F1">
        <w:rPr>
          <w:b/>
          <w:color w:val="0070C0"/>
          <w:sz w:val="28"/>
          <w:szCs w:val="28"/>
        </w:rPr>
        <w:t>Foro de Retos de Competencia en el Entorno Digital 2018</w:t>
      </w:r>
    </w:p>
    <w:p w14:paraId="26079878" w14:textId="77777777" w:rsidR="0014509F" w:rsidRDefault="0014509F" w:rsidP="00A170A9">
      <w:pPr>
        <w:pStyle w:val="estilo30"/>
        <w:spacing w:before="240" w:beforeAutospacing="0" w:after="240" w:afterAutospacing="0" w:line="276" w:lineRule="auto"/>
        <w:jc w:val="both"/>
        <w:rPr>
          <w:rFonts w:ascii="Calibri Light" w:hAnsi="Calibri Light"/>
          <w:sz w:val="28"/>
          <w:szCs w:val="28"/>
        </w:rPr>
      </w:pPr>
      <w:r w:rsidRPr="00595E12">
        <w:rPr>
          <w:rFonts w:asciiTheme="majorHAnsi" w:hAnsiTheme="majorHAnsi"/>
          <w:sz w:val="28"/>
          <w:szCs w:val="28"/>
        </w:rPr>
        <w:t>El CES, en colaboración con las áreas competentes, programa para el cuarto trimestre del año, la organización y celebración de un foro</w:t>
      </w:r>
      <w:r w:rsidRPr="00595E12">
        <w:rPr>
          <w:rFonts w:asciiTheme="majorHAnsi" w:hAnsiTheme="majorHAnsi"/>
          <w:b/>
          <w:i/>
          <w:sz w:val="28"/>
          <w:szCs w:val="28"/>
        </w:rPr>
        <w:t xml:space="preserve"> </w:t>
      </w:r>
      <w:r w:rsidRPr="00595E12">
        <w:rPr>
          <w:rFonts w:asciiTheme="majorHAnsi" w:hAnsiTheme="majorHAnsi"/>
          <w:sz w:val="28"/>
          <w:szCs w:val="28"/>
        </w:rPr>
        <w:t>sobre</w:t>
      </w:r>
      <w:r w:rsidRPr="00595E12">
        <w:rPr>
          <w:rFonts w:asciiTheme="majorHAnsi" w:hAnsiTheme="majorHAnsi"/>
          <w:b/>
          <w:i/>
          <w:sz w:val="28"/>
          <w:szCs w:val="28"/>
        </w:rPr>
        <w:t xml:space="preserve"> Retos de Competencia en</w:t>
      </w:r>
      <w:r>
        <w:rPr>
          <w:rFonts w:asciiTheme="majorHAnsi" w:hAnsiTheme="majorHAnsi"/>
          <w:b/>
          <w:i/>
          <w:sz w:val="28"/>
          <w:szCs w:val="28"/>
        </w:rPr>
        <w:t xml:space="preserve"> el Entorno Digital</w:t>
      </w:r>
      <w:r w:rsidRPr="00595E12">
        <w:rPr>
          <w:rFonts w:asciiTheme="majorHAnsi" w:hAnsiTheme="majorHAnsi"/>
          <w:sz w:val="28"/>
          <w:szCs w:val="28"/>
        </w:rPr>
        <w:t xml:space="preserve">. El foro </w:t>
      </w:r>
      <w:r>
        <w:rPr>
          <w:rFonts w:asciiTheme="majorHAnsi" w:hAnsiTheme="majorHAnsi"/>
          <w:sz w:val="28"/>
          <w:szCs w:val="28"/>
        </w:rPr>
        <w:t xml:space="preserve">de competencia </w:t>
      </w:r>
      <w:r w:rsidRPr="00595E12">
        <w:rPr>
          <w:rFonts w:asciiTheme="majorHAnsi" w:hAnsiTheme="majorHAnsi"/>
          <w:sz w:val="28"/>
          <w:szCs w:val="28"/>
        </w:rPr>
        <w:t xml:space="preserve">se organiza por cuarta ocasión y reunirá a reconocidos expertos de la academia y de la industria, nacionales y extranjeros, </w:t>
      </w:r>
      <w:r w:rsidRPr="00595E12">
        <w:rPr>
          <w:rFonts w:ascii="Calibri Light" w:eastAsia="Calibri" w:hAnsi="Calibri Light"/>
          <w:sz w:val="28"/>
          <w:szCs w:val="28"/>
        </w:rPr>
        <w:t xml:space="preserve">con el objeto de propiciar el diálogo sobre los desafíos que enfrenta la competencia </w:t>
      </w:r>
      <w:r w:rsidRPr="00A170A9">
        <w:rPr>
          <w:rFonts w:asciiTheme="majorHAnsi" w:hAnsiTheme="majorHAnsi"/>
          <w:sz w:val="28"/>
          <w:szCs w:val="28"/>
        </w:rPr>
        <w:t>en</w:t>
      </w:r>
      <w:r w:rsidRPr="00595E12">
        <w:rPr>
          <w:rFonts w:ascii="Calibri Light" w:eastAsia="Calibri" w:hAnsi="Calibri Light"/>
          <w:sz w:val="28"/>
          <w:szCs w:val="28"/>
        </w:rPr>
        <w:t xml:space="preserve"> los sectores regulados por el IFT, enfatizand</w:t>
      </w:r>
      <w:r>
        <w:rPr>
          <w:rFonts w:ascii="Calibri Light" w:eastAsia="Calibri" w:hAnsi="Calibri Light"/>
          <w:sz w:val="28"/>
          <w:szCs w:val="28"/>
        </w:rPr>
        <w:t>o los temas de relevancia en los mercados digitales</w:t>
      </w:r>
      <w:r w:rsidRPr="00595E12">
        <w:rPr>
          <w:rFonts w:ascii="Calibri Light" w:hAnsi="Calibri Light"/>
          <w:sz w:val="28"/>
          <w:szCs w:val="28"/>
        </w:rPr>
        <w:t>.</w:t>
      </w:r>
    </w:p>
    <w:p w14:paraId="0C7104E5" w14:textId="77777777" w:rsidR="0014509F" w:rsidRDefault="0014509F" w:rsidP="00A170A9">
      <w:pPr>
        <w:pStyle w:val="estilo30"/>
        <w:spacing w:before="240" w:beforeAutospacing="0" w:after="240" w:afterAutospacing="0" w:line="276" w:lineRule="auto"/>
        <w:jc w:val="both"/>
        <w:rPr>
          <w:rFonts w:ascii="Calibri Light" w:hAnsi="Calibri Light"/>
          <w:sz w:val="28"/>
          <w:szCs w:val="28"/>
        </w:rPr>
      </w:pPr>
      <w:r>
        <w:rPr>
          <w:rFonts w:ascii="Calibri Light" w:hAnsi="Calibri Light"/>
          <w:sz w:val="28"/>
          <w:szCs w:val="28"/>
        </w:rPr>
        <w:t xml:space="preserve">El foro proveerá una memoria con los comentarios vertidos y las recomendaciones concretas </w:t>
      </w:r>
      <w:r w:rsidRPr="00A170A9">
        <w:rPr>
          <w:rFonts w:asciiTheme="majorHAnsi" w:hAnsiTheme="majorHAnsi"/>
          <w:sz w:val="28"/>
          <w:szCs w:val="28"/>
        </w:rPr>
        <w:t>dirigidas</w:t>
      </w:r>
      <w:r>
        <w:rPr>
          <w:rFonts w:ascii="Calibri Light" w:hAnsi="Calibri Light"/>
          <w:sz w:val="28"/>
          <w:szCs w:val="28"/>
        </w:rPr>
        <w:t xml:space="preserve"> al desarrollo eficiente de los sectores de telecomunicaciones y radiodifusión, en el ámbito de las atribuciones que el IFT tiene en materia de regulación y política de competencia. </w:t>
      </w:r>
    </w:p>
    <w:p w14:paraId="66D57BBD" w14:textId="77777777" w:rsidR="0014509F" w:rsidRDefault="0014509F" w:rsidP="0014509F">
      <w:pPr>
        <w:jc w:val="both"/>
        <w:rPr>
          <w:rFonts w:ascii="Calibri Light" w:hAnsi="Calibri Light"/>
          <w:sz w:val="28"/>
          <w:szCs w:val="28"/>
        </w:rPr>
      </w:pPr>
      <w:r>
        <w:rPr>
          <w:rFonts w:ascii="Calibri Light" w:hAnsi="Calibri Light"/>
          <w:sz w:val="28"/>
          <w:szCs w:val="28"/>
        </w:rPr>
        <w:br w:type="page"/>
      </w:r>
    </w:p>
    <w:p w14:paraId="26F8E47E" w14:textId="77777777" w:rsidR="0014509F" w:rsidRPr="008156F1" w:rsidRDefault="0014509F" w:rsidP="00984ED1">
      <w:pPr>
        <w:pStyle w:val="Ttulo4"/>
        <w:numPr>
          <w:ilvl w:val="1"/>
          <w:numId w:val="8"/>
        </w:numPr>
        <w:rPr>
          <w:b/>
          <w:color w:val="0070C0"/>
          <w:sz w:val="28"/>
          <w:szCs w:val="28"/>
        </w:rPr>
      </w:pPr>
      <w:r w:rsidRPr="008156F1">
        <w:rPr>
          <w:b/>
          <w:color w:val="0070C0"/>
          <w:sz w:val="28"/>
          <w:szCs w:val="28"/>
        </w:rPr>
        <w:lastRenderedPageBreak/>
        <w:t>Colaboración con Entidades Académicas y Afines</w:t>
      </w:r>
    </w:p>
    <w:p w14:paraId="35627FA7" w14:textId="77777777" w:rsidR="0014509F" w:rsidRDefault="0014509F" w:rsidP="00A170A9">
      <w:pPr>
        <w:pStyle w:val="estilo30"/>
        <w:spacing w:before="240" w:beforeAutospacing="0" w:after="240" w:afterAutospacing="0" w:line="276" w:lineRule="auto"/>
        <w:jc w:val="both"/>
        <w:rPr>
          <w:rFonts w:asciiTheme="majorHAnsi" w:hAnsiTheme="majorHAnsi"/>
          <w:b/>
          <w:color w:val="7B7B7B" w:themeColor="accent3" w:themeShade="BF"/>
          <w:sz w:val="28"/>
          <w:szCs w:val="28"/>
        </w:rPr>
      </w:pPr>
      <w:r w:rsidRPr="001B5936">
        <w:rPr>
          <w:rFonts w:asciiTheme="majorHAnsi" w:hAnsiTheme="majorHAnsi"/>
          <w:sz w:val="28"/>
          <w:szCs w:val="28"/>
        </w:rPr>
        <w:t xml:space="preserve">Para fortalecer el conocimiento en materia de regulación y competencia en los sectores de telecomunicaciones y radiodifusión, el CES implementará en 2018 acciones de colaboración académica y difusión del conocimiento con el </w:t>
      </w:r>
      <w:r w:rsidRPr="001B5936">
        <w:rPr>
          <w:rFonts w:asciiTheme="majorHAnsi" w:hAnsiTheme="majorHAnsi"/>
          <w:i/>
          <w:sz w:val="28"/>
          <w:szCs w:val="28"/>
        </w:rPr>
        <w:t>Centro de Investigación y Docencia Económicas (CIDE)</w:t>
      </w:r>
      <w:r w:rsidRPr="001B5936">
        <w:rPr>
          <w:rFonts w:asciiTheme="majorHAnsi" w:hAnsiTheme="majorHAnsi"/>
          <w:sz w:val="28"/>
          <w:szCs w:val="28"/>
        </w:rPr>
        <w:t xml:space="preserve">, a través de su </w:t>
      </w:r>
      <w:r w:rsidRPr="001B5936">
        <w:rPr>
          <w:rFonts w:asciiTheme="majorHAnsi" w:hAnsiTheme="majorHAnsi"/>
          <w:i/>
          <w:sz w:val="28"/>
          <w:szCs w:val="28"/>
        </w:rPr>
        <w:t>Programa Interdisciplinario de Regulación y Competencia Económica (PIRCE).</w:t>
      </w:r>
      <w:r w:rsidRPr="001B5936">
        <w:rPr>
          <w:rFonts w:asciiTheme="majorHAnsi" w:hAnsiTheme="majorHAnsi"/>
          <w:sz w:val="28"/>
          <w:szCs w:val="28"/>
        </w:rPr>
        <w:t xml:space="preserve"> Específicamente se prevé realizar una mesa redonda sobre </w:t>
      </w:r>
      <w:r w:rsidRPr="001B5936">
        <w:rPr>
          <w:rFonts w:ascii="Calibri Light" w:hAnsi="Calibri Light" w:cs="Calibri Light"/>
          <w:sz w:val="28"/>
          <w:szCs w:val="28"/>
        </w:rPr>
        <w:t>“</w:t>
      </w:r>
      <w:r w:rsidRPr="001B5936">
        <w:rPr>
          <w:rFonts w:ascii="Calibri Light" w:hAnsi="Calibri Light" w:cs="Calibri Light"/>
          <w:i/>
          <w:sz w:val="28"/>
          <w:szCs w:val="28"/>
        </w:rPr>
        <w:t>El avance tecnológico y las nuevas oportunidades de mercado en las comunicaciones vía satélite</w:t>
      </w:r>
      <w:r w:rsidRPr="001B5936">
        <w:rPr>
          <w:rFonts w:ascii="Calibri Light" w:hAnsi="Calibri Light" w:cs="Calibri Light"/>
          <w:sz w:val="28"/>
          <w:szCs w:val="28"/>
        </w:rPr>
        <w:t xml:space="preserve">”, </w:t>
      </w:r>
      <w:r w:rsidRPr="001B5936">
        <w:rPr>
          <w:rFonts w:asciiTheme="majorHAnsi" w:hAnsiTheme="majorHAnsi"/>
          <w:sz w:val="28"/>
          <w:szCs w:val="28"/>
        </w:rPr>
        <w:t>evento de fomento a la investigación científica y técnica en materia de los sectores regulados por el IFT, en beneficio del personal del organismo y otros agentes clave en su regulación y desempeño. Del evento se integrará una memoria, a manera de nota didáctica, útil para el personal del IFT y la formación académica.</w:t>
      </w:r>
    </w:p>
    <w:p w14:paraId="1EC80741" w14:textId="77777777" w:rsidR="0014509F" w:rsidRPr="008156F1" w:rsidRDefault="0014509F" w:rsidP="00984ED1">
      <w:pPr>
        <w:pStyle w:val="Ttulo4"/>
        <w:numPr>
          <w:ilvl w:val="1"/>
          <w:numId w:val="8"/>
        </w:numPr>
        <w:rPr>
          <w:b/>
          <w:color w:val="0070C0"/>
          <w:sz w:val="28"/>
          <w:szCs w:val="28"/>
        </w:rPr>
      </w:pPr>
      <w:r w:rsidRPr="008156F1">
        <w:rPr>
          <w:b/>
          <w:color w:val="0070C0"/>
          <w:sz w:val="28"/>
          <w:szCs w:val="28"/>
        </w:rPr>
        <w:t>Publicación y difusión de estudios</w:t>
      </w:r>
    </w:p>
    <w:p w14:paraId="7ACB1D6E" w14:textId="77777777" w:rsidR="0014509F" w:rsidRDefault="0014509F" w:rsidP="00A170A9">
      <w:pPr>
        <w:pStyle w:val="estilo30"/>
        <w:spacing w:before="240" w:beforeAutospacing="0" w:after="240" w:afterAutospacing="0" w:line="276" w:lineRule="auto"/>
        <w:jc w:val="both"/>
        <w:rPr>
          <w:rFonts w:asciiTheme="majorHAnsi" w:hAnsiTheme="majorHAnsi"/>
          <w:b/>
          <w:color w:val="7B7B7B" w:themeColor="accent3" w:themeShade="BF"/>
          <w:sz w:val="28"/>
          <w:szCs w:val="28"/>
        </w:rPr>
      </w:pPr>
      <w:r w:rsidRPr="001B5936">
        <w:rPr>
          <w:rFonts w:asciiTheme="majorHAnsi" w:hAnsiTheme="majorHAnsi"/>
          <w:sz w:val="28"/>
          <w:szCs w:val="28"/>
        </w:rPr>
        <w:t>Corresponde al CES elaborar y publicar, en su caso, documentos, boletines y reportes en materia de telecomunicaciones, radiodifusión y competencia económica de dichos sectores. Para dar cumplimiento a esa disposición, el CES realizará las siguientes acciones durante el 2018:</w:t>
      </w:r>
    </w:p>
    <w:p w14:paraId="5D34F67A" w14:textId="77777777" w:rsidR="0014509F" w:rsidRPr="00051D38" w:rsidRDefault="0014509F" w:rsidP="0014509F">
      <w:pPr>
        <w:contextualSpacing/>
        <w:jc w:val="both"/>
        <w:rPr>
          <w:rFonts w:asciiTheme="majorHAnsi" w:hAnsiTheme="majorHAnsi" w:cstheme="majorHAnsi"/>
          <w:color w:val="C45911" w:themeColor="accent2" w:themeShade="BF"/>
          <w:sz w:val="28"/>
          <w:szCs w:val="28"/>
        </w:rPr>
      </w:pPr>
      <w:r w:rsidRPr="00051D38">
        <w:rPr>
          <w:rFonts w:asciiTheme="majorHAnsi" w:hAnsiTheme="majorHAnsi" w:cstheme="majorHAnsi"/>
          <w:color w:val="C45911" w:themeColor="accent2" w:themeShade="BF"/>
          <w:sz w:val="28"/>
          <w:szCs w:val="28"/>
        </w:rPr>
        <w:t xml:space="preserve">Revista Internacional de Telecomunicaciones y </w:t>
      </w:r>
      <w:r w:rsidRPr="00697377">
        <w:rPr>
          <w:rFonts w:asciiTheme="majorHAnsi" w:hAnsiTheme="majorHAnsi" w:cstheme="majorHAnsi"/>
          <w:color w:val="C45911" w:themeColor="accent2" w:themeShade="BF"/>
          <w:sz w:val="28"/>
          <w:szCs w:val="28"/>
        </w:rPr>
        <w:t>Radiodifusión</w:t>
      </w:r>
      <w:r w:rsidRPr="00697377">
        <w:rPr>
          <w:rFonts w:cstheme="majorHAnsi"/>
          <w:color w:val="C45911" w:themeColor="accent2" w:themeShade="BF"/>
          <w:sz w:val="28"/>
          <w:szCs w:val="28"/>
          <w:vertAlign w:val="superscript"/>
        </w:rPr>
        <w:footnoteReference w:id="6"/>
      </w:r>
      <w:r w:rsidRPr="00697377">
        <w:rPr>
          <w:rFonts w:asciiTheme="majorHAnsi" w:hAnsiTheme="majorHAnsi" w:cstheme="majorHAnsi"/>
          <w:color w:val="C45911" w:themeColor="accent2" w:themeShade="BF"/>
          <w:sz w:val="28"/>
          <w:szCs w:val="28"/>
          <w:vertAlign w:val="superscript"/>
        </w:rPr>
        <w:tab/>
      </w:r>
    </w:p>
    <w:p w14:paraId="53E0875A" w14:textId="77777777" w:rsidR="0014509F" w:rsidRDefault="0014509F" w:rsidP="00A170A9">
      <w:pPr>
        <w:pStyle w:val="estilo30"/>
        <w:spacing w:before="240" w:beforeAutospacing="0" w:after="240" w:afterAutospacing="0" w:line="276" w:lineRule="auto"/>
        <w:jc w:val="both"/>
        <w:rPr>
          <w:rFonts w:asciiTheme="majorHAnsi" w:hAnsiTheme="majorHAnsi"/>
          <w:color w:val="7B7B7B" w:themeColor="accent3" w:themeShade="BF"/>
          <w:sz w:val="28"/>
          <w:szCs w:val="28"/>
        </w:rPr>
      </w:pPr>
      <w:r>
        <w:rPr>
          <w:rFonts w:asciiTheme="majorHAnsi" w:hAnsiTheme="majorHAnsi"/>
          <w:sz w:val="28"/>
          <w:szCs w:val="28"/>
        </w:rPr>
        <w:t xml:space="preserve">Es </w:t>
      </w:r>
      <w:r w:rsidRPr="00844EF5">
        <w:rPr>
          <w:rFonts w:asciiTheme="majorHAnsi" w:hAnsiTheme="majorHAnsi"/>
          <w:sz w:val="28"/>
          <w:szCs w:val="28"/>
        </w:rPr>
        <w:t xml:space="preserve">una publicación </w:t>
      </w:r>
      <w:r>
        <w:rPr>
          <w:rFonts w:asciiTheme="majorHAnsi" w:hAnsiTheme="majorHAnsi"/>
          <w:sz w:val="28"/>
          <w:szCs w:val="28"/>
        </w:rPr>
        <w:t xml:space="preserve">digital </w:t>
      </w:r>
      <w:r w:rsidRPr="00844EF5">
        <w:rPr>
          <w:rFonts w:asciiTheme="majorHAnsi" w:hAnsiTheme="majorHAnsi"/>
          <w:sz w:val="28"/>
          <w:szCs w:val="28"/>
        </w:rPr>
        <w:t>internacional y especializada en tele</w:t>
      </w:r>
      <w:r>
        <w:rPr>
          <w:rFonts w:asciiTheme="majorHAnsi" w:hAnsiTheme="majorHAnsi"/>
          <w:sz w:val="28"/>
          <w:szCs w:val="28"/>
        </w:rPr>
        <w:t>comunicaciones y radiodifusión. En ella se dan a conocer</w:t>
      </w:r>
      <w:r w:rsidRPr="00844EF5">
        <w:rPr>
          <w:rFonts w:asciiTheme="majorHAnsi" w:hAnsiTheme="majorHAnsi"/>
          <w:sz w:val="28"/>
          <w:szCs w:val="28"/>
        </w:rPr>
        <w:t xml:space="preserve"> los </w:t>
      </w:r>
      <w:r>
        <w:rPr>
          <w:rFonts w:asciiTheme="majorHAnsi" w:hAnsiTheme="majorHAnsi"/>
          <w:sz w:val="28"/>
          <w:szCs w:val="28"/>
        </w:rPr>
        <w:t>artículo</w:t>
      </w:r>
      <w:r w:rsidRPr="00844EF5">
        <w:rPr>
          <w:rFonts w:asciiTheme="majorHAnsi" w:hAnsiTheme="majorHAnsi"/>
          <w:sz w:val="28"/>
          <w:szCs w:val="28"/>
        </w:rPr>
        <w:t>s de expertos</w:t>
      </w:r>
      <w:r>
        <w:rPr>
          <w:rFonts w:asciiTheme="majorHAnsi" w:hAnsiTheme="majorHAnsi"/>
          <w:sz w:val="28"/>
          <w:szCs w:val="28"/>
        </w:rPr>
        <w:t xml:space="preserve">, </w:t>
      </w:r>
      <w:r w:rsidRPr="00844EF5">
        <w:rPr>
          <w:rFonts w:asciiTheme="majorHAnsi" w:hAnsiTheme="majorHAnsi"/>
          <w:sz w:val="28"/>
          <w:szCs w:val="28"/>
        </w:rPr>
        <w:t>que, por invitación del</w:t>
      </w:r>
      <w:r>
        <w:rPr>
          <w:rFonts w:asciiTheme="majorHAnsi" w:hAnsiTheme="majorHAnsi"/>
          <w:sz w:val="28"/>
          <w:szCs w:val="28"/>
        </w:rPr>
        <w:t xml:space="preserve"> CES</w:t>
      </w:r>
      <w:r w:rsidRPr="00844EF5">
        <w:rPr>
          <w:rFonts w:asciiTheme="majorHAnsi" w:hAnsiTheme="majorHAnsi"/>
          <w:sz w:val="28"/>
          <w:szCs w:val="28"/>
        </w:rPr>
        <w:t xml:space="preserve">, deseen contribuir al conocimiento en </w:t>
      </w:r>
      <w:r>
        <w:rPr>
          <w:rFonts w:asciiTheme="majorHAnsi" w:hAnsiTheme="majorHAnsi"/>
          <w:sz w:val="28"/>
          <w:szCs w:val="28"/>
        </w:rPr>
        <w:t>los sectores regulados por el Instituto o la competencia en los mismos</w:t>
      </w:r>
      <w:r w:rsidRPr="00844EF5">
        <w:rPr>
          <w:rFonts w:asciiTheme="majorHAnsi" w:hAnsiTheme="majorHAnsi"/>
          <w:sz w:val="28"/>
          <w:szCs w:val="28"/>
        </w:rPr>
        <w:t xml:space="preserve">; así </w:t>
      </w:r>
      <w:r>
        <w:rPr>
          <w:rFonts w:asciiTheme="majorHAnsi" w:hAnsiTheme="majorHAnsi"/>
          <w:sz w:val="28"/>
          <w:szCs w:val="28"/>
        </w:rPr>
        <w:t>también, se hacen públicas</w:t>
      </w:r>
      <w:r w:rsidRPr="00844EF5">
        <w:rPr>
          <w:rFonts w:asciiTheme="majorHAnsi" w:hAnsiTheme="majorHAnsi"/>
          <w:sz w:val="28"/>
          <w:szCs w:val="28"/>
        </w:rPr>
        <w:t xml:space="preserve"> las aportaciones de los integrantes del</w:t>
      </w:r>
      <w:r>
        <w:rPr>
          <w:rFonts w:asciiTheme="majorHAnsi" w:hAnsiTheme="majorHAnsi"/>
          <w:sz w:val="28"/>
          <w:szCs w:val="28"/>
        </w:rPr>
        <w:t xml:space="preserve"> CES</w:t>
      </w:r>
      <w:r>
        <w:t xml:space="preserve"> </w:t>
      </w:r>
      <w:r w:rsidRPr="00844EF5">
        <w:rPr>
          <w:rFonts w:asciiTheme="majorHAnsi" w:hAnsiTheme="majorHAnsi"/>
          <w:sz w:val="28"/>
          <w:szCs w:val="28"/>
        </w:rPr>
        <w:t>y de ot</w:t>
      </w:r>
      <w:r>
        <w:rPr>
          <w:rFonts w:asciiTheme="majorHAnsi" w:hAnsiTheme="majorHAnsi"/>
          <w:sz w:val="28"/>
          <w:szCs w:val="28"/>
        </w:rPr>
        <w:t>ras unidades del IFT</w:t>
      </w:r>
      <w:r w:rsidRPr="00844EF5">
        <w:rPr>
          <w:rFonts w:asciiTheme="majorHAnsi" w:hAnsiTheme="majorHAnsi"/>
          <w:sz w:val="28"/>
          <w:szCs w:val="28"/>
        </w:rPr>
        <w:t>.</w:t>
      </w:r>
      <w:r>
        <w:rPr>
          <w:rFonts w:asciiTheme="majorHAnsi" w:hAnsiTheme="majorHAnsi"/>
          <w:sz w:val="28"/>
          <w:szCs w:val="28"/>
        </w:rPr>
        <w:t xml:space="preserve"> </w:t>
      </w:r>
    </w:p>
    <w:p w14:paraId="67B56A26" w14:textId="77777777" w:rsidR="0014509F" w:rsidRPr="00051D38" w:rsidRDefault="0014509F" w:rsidP="0014509F">
      <w:pPr>
        <w:pStyle w:val="Prrafodelista"/>
        <w:ind w:left="0"/>
        <w:jc w:val="both"/>
        <w:rPr>
          <w:rFonts w:asciiTheme="majorHAnsi" w:hAnsiTheme="majorHAnsi" w:cstheme="majorHAnsi"/>
          <w:color w:val="C45911" w:themeColor="accent2" w:themeShade="BF"/>
          <w:sz w:val="28"/>
          <w:szCs w:val="28"/>
        </w:rPr>
      </w:pPr>
      <w:r w:rsidRPr="00051D38">
        <w:rPr>
          <w:rFonts w:asciiTheme="majorHAnsi" w:hAnsiTheme="majorHAnsi" w:cstheme="majorHAnsi"/>
          <w:color w:val="C45911" w:themeColor="accent2" w:themeShade="BF"/>
          <w:sz w:val="28"/>
          <w:szCs w:val="28"/>
        </w:rPr>
        <w:t xml:space="preserve">Participación en eventos académicos y publicación de estudios </w:t>
      </w:r>
    </w:p>
    <w:p w14:paraId="35B62792"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sidRPr="00663E23">
        <w:rPr>
          <w:rFonts w:asciiTheme="majorHAnsi" w:hAnsiTheme="majorHAnsi"/>
          <w:sz w:val="28"/>
          <w:szCs w:val="28"/>
        </w:rPr>
        <w:t xml:space="preserve">Los investigadores cuentan </w:t>
      </w:r>
      <w:r w:rsidRPr="005745F8">
        <w:rPr>
          <w:rFonts w:asciiTheme="majorHAnsi" w:hAnsiTheme="majorHAnsi"/>
          <w:sz w:val="28"/>
          <w:szCs w:val="28"/>
        </w:rPr>
        <w:t>entre sus funciones, la de participar en seminarios, congresos, simposios</w:t>
      </w:r>
      <w:r>
        <w:rPr>
          <w:rFonts w:asciiTheme="majorHAnsi" w:hAnsiTheme="majorHAnsi"/>
          <w:sz w:val="28"/>
          <w:szCs w:val="28"/>
        </w:rPr>
        <w:t>, cursos</w:t>
      </w:r>
      <w:r w:rsidRPr="005745F8">
        <w:rPr>
          <w:rFonts w:asciiTheme="majorHAnsi" w:hAnsiTheme="majorHAnsi"/>
          <w:sz w:val="28"/>
          <w:szCs w:val="28"/>
        </w:rPr>
        <w:t xml:space="preserve"> y talleres sobre temas de interés para el IFT, </w:t>
      </w:r>
      <w:r w:rsidRPr="005745F8">
        <w:rPr>
          <w:rFonts w:asciiTheme="majorHAnsi" w:hAnsiTheme="majorHAnsi"/>
          <w:sz w:val="28"/>
          <w:szCs w:val="28"/>
        </w:rPr>
        <w:lastRenderedPageBreak/>
        <w:t>organizados por instituc</w:t>
      </w:r>
      <w:r>
        <w:rPr>
          <w:rFonts w:asciiTheme="majorHAnsi" w:hAnsiTheme="majorHAnsi"/>
          <w:sz w:val="28"/>
          <w:szCs w:val="28"/>
        </w:rPr>
        <w:t>iones nacionales y extranjeras</w:t>
      </w:r>
      <w:r w:rsidRPr="005745F8">
        <w:rPr>
          <w:rFonts w:asciiTheme="majorHAnsi" w:hAnsiTheme="majorHAnsi"/>
          <w:sz w:val="28"/>
          <w:szCs w:val="28"/>
        </w:rPr>
        <w:t xml:space="preserve"> que p</w:t>
      </w:r>
      <w:r>
        <w:rPr>
          <w:rFonts w:asciiTheme="majorHAnsi" w:hAnsiTheme="majorHAnsi"/>
          <w:sz w:val="28"/>
          <w:szCs w:val="28"/>
        </w:rPr>
        <w:t>uede</w:t>
      </w:r>
      <w:r w:rsidRPr="005745F8">
        <w:rPr>
          <w:rFonts w:asciiTheme="majorHAnsi" w:hAnsiTheme="majorHAnsi"/>
          <w:sz w:val="28"/>
          <w:szCs w:val="28"/>
        </w:rPr>
        <w:t>n enriquecer la capacidad del CE</w:t>
      </w:r>
      <w:r>
        <w:rPr>
          <w:rFonts w:asciiTheme="majorHAnsi" w:hAnsiTheme="majorHAnsi"/>
          <w:sz w:val="28"/>
          <w:szCs w:val="28"/>
        </w:rPr>
        <w:t>S</w:t>
      </w:r>
      <w:r w:rsidRPr="005745F8">
        <w:rPr>
          <w:rFonts w:asciiTheme="majorHAnsi" w:hAnsiTheme="majorHAnsi"/>
          <w:sz w:val="28"/>
          <w:szCs w:val="28"/>
        </w:rPr>
        <w:t xml:space="preserve"> para realizar los análisis de investigación y estudios que le han sido encomendados.</w:t>
      </w:r>
      <w:r>
        <w:rPr>
          <w:rFonts w:asciiTheme="majorHAnsi" w:hAnsiTheme="majorHAnsi"/>
          <w:sz w:val="28"/>
          <w:szCs w:val="28"/>
        </w:rPr>
        <w:t xml:space="preserve"> </w:t>
      </w:r>
      <w:r w:rsidRPr="005745F8">
        <w:rPr>
          <w:rFonts w:asciiTheme="majorHAnsi" w:hAnsiTheme="majorHAnsi"/>
          <w:sz w:val="28"/>
          <w:szCs w:val="28"/>
        </w:rPr>
        <w:t xml:space="preserve">Estas funciones contribuyen </w:t>
      </w:r>
      <w:r>
        <w:rPr>
          <w:rFonts w:asciiTheme="majorHAnsi" w:hAnsiTheme="majorHAnsi"/>
          <w:sz w:val="28"/>
          <w:szCs w:val="28"/>
        </w:rPr>
        <w:t xml:space="preserve">también </w:t>
      </w:r>
      <w:r w:rsidRPr="005745F8">
        <w:rPr>
          <w:rFonts w:asciiTheme="majorHAnsi" w:hAnsiTheme="majorHAnsi"/>
          <w:sz w:val="28"/>
          <w:szCs w:val="28"/>
        </w:rPr>
        <w:t>a la mejor comprensión de las acciones regulatorias y de promoción de la competencia económica que realiza el IFT.</w:t>
      </w:r>
    </w:p>
    <w:p w14:paraId="2818D7DE"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Pr>
          <w:rFonts w:asciiTheme="majorHAnsi" w:hAnsiTheme="majorHAnsi"/>
          <w:sz w:val="28"/>
          <w:szCs w:val="28"/>
        </w:rPr>
        <w:t>Los estudios que</w:t>
      </w:r>
      <w:r w:rsidRPr="005745F8">
        <w:rPr>
          <w:rFonts w:asciiTheme="majorHAnsi" w:hAnsiTheme="majorHAnsi"/>
          <w:sz w:val="28"/>
          <w:szCs w:val="28"/>
        </w:rPr>
        <w:t xml:space="preserve"> exponen </w:t>
      </w:r>
      <w:r>
        <w:rPr>
          <w:rFonts w:asciiTheme="majorHAnsi" w:hAnsiTheme="majorHAnsi"/>
          <w:sz w:val="28"/>
          <w:szCs w:val="28"/>
        </w:rPr>
        <w:t xml:space="preserve">los integrantes del CES </w:t>
      </w:r>
      <w:r w:rsidRPr="005745F8">
        <w:rPr>
          <w:rFonts w:asciiTheme="majorHAnsi" w:hAnsiTheme="majorHAnsi"/>
          <w:sz w:val="28"/>
          <w:szCs w:val="28"/>
        </w:rPr>
        <w:t xml:space="preserve">en los eventos señalados, son publicados </w:t>
      </w:r>
      <w:r>
        <w:rPr>
          <w:rFonts w:asciiTheme="majorHAnsi" w:hAnsiTheme="majorHAnsi"/>
          <w:sz w:val="28"/>
          <w:szCs w:val="28"/>
        </w:rPr>
        <w:t>en las m</w:t>
      </w:r>
      <w:r w:rsidRPr="005745F8">
        <w:rPr>
          <w:rFonts w:asciiTheme="majorHAnsi" w:hAnsiTheme="majorHAnsi"/>
          <w:sz w:val="28"/>
          <w:szCs w:val="28"/>
        </w:rPr>
        <w:t xml:space="preserve">emorias correspondientes cuando así lo prevén las instituciones organizadoras. </w:t>
      </w:r>
      <w:r>
        <w:rPr>
          <w:rFonts w:asciiTheme="majorHAnsi" w:hAnsiTheme="majorHAnsi"/>
          <w:sz w:val="28"/>
          <w:szCs w:val="28"/>
        </w:rPr>
        <w:t>Esta difusión ofrece una plataforma adicional para propiciar el diálogo con los agentes regulados y la academia.</w:t>
      </w:r>
    </w:p>
    <w:p w14:paraId="5C1E3298"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Pr>
          <w:rFonts w:asciiTheme="majorHAnsi" w:hAnsiTheme="majorHAnsi"/>
          <w:sz w:val="28"/>
          <w:szCs w:val="28"/>
        </w:rPr>
        <w:t>La participación de los investigadores se sujeta a la autorización explícita por parte del Titular del CES y las autoridades del IFT, así como, en su caso, a la disponibilidad presupuestal del organismo.</w:t>
      </w:r>
    </w:p>
    <w:p w14:paraId="0D87CDFC" w14:textId="77777777" w:rsidR="0014509F" w:rsidRPr="00051D38" w:rsidRDefault="0014509F" w:rsidP="0014509F">
      <w:pPr>
        <w:pStyle w:val="Prrafodelista"/>
        <w:keepNext/>
        <w:keepLines/>
        <w:ind w:left="0"/>
        <w:jc w:val="both"/>
        <w:rPr>
          <w:rFonts w:asciiTheme="majorHAnsi" w:hAnsiTheme="majorHAnsi" w:cstheme="majorHAnsi"/>
          <w:color w:val="C45911" w:themeColor="accent2" w:themeShade="BF"/>
          <w:sz w:val="28"/>
          <w:szCs w:val="28"/>
        </w:rPr>
      </w:pPr>
      <w:r w:rsidRPr="00051D38">
        <w:rPr>
          <w:rFonts w:asciiTheme="majorHAnsi" w:hAnsiTheme="majorHAnsi" w:cstheme="majorHAnsi"/>
          <w:color w:val="C45911" w:themeColor="accent2" w:themeShade="BF"/>
          <w:sz w:val="28"/>
          <w:szCs w:val="28"/>
        </w:rPr>
        <w:t>Seminarios del CES</w:t>
      </w:r>
    </w:p>
    <w:p w14:paraId="2DF5EB14"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Pr>
          <w:rFonts w:asciiTheme="majorHAnsi" w:hAnsiTheme="majorHAnsi"/>
          <w:sz w:val="28"/>
          <w:szCs w:val="28"/>
        </w:rPr>
        <w:t>El CES</w:t>
      </w:r>
      <w:r w:rsidRPr="00844EF5">
        <w:rPr>
          <w:rFonts w:asciiTheme="majorHAnsi" w:hAnsiTheme="majorHAnsi"/>
          <w:sz w:val="28"/>
          <w:szCs w:val="28"/>
        </w:rPr>
        <w:t xml:space="preserve"> organizará </w:t>
      </w:r>
      <w:r>
        <w:rPr>
          <w:rFonts w:asciiTheme="majorHAnsi" w:hAnsiTheme="majorHAnsi"/>
          <w:sz w:val="28"/>
          <w:szCs w:val="28"/>
        </w:rPr>
        <w:t xml:space="preserve">durante el año, </w:t>
      </w:r>
      <w:r w:rsidRPr="00844EF5">
        <w:rPr>
          <w:rFonts w:asciiTheme="majorHAnsi" w:hAnsiTheme="majorHAnsi"/>
          <w:sz w:val="28"/>
          <w:szCs w:val="28"/>
        </w:rPr>
        <w:t xml:space="preserve">seminarios para que los investigadores den a conocer y discutan sus </w:t>
      </w:r>
      <w:r>
        <w:rPr>
          <w:rFonts w:asciiTheme="majorHAnsi" w:hAnsiTheme="majorHAnsi"/>
          <w:sz w:val="28"/>
          <w:szCs w:val="28"/>
        </w:rPr>
        <w:t>estudios e investigaciones</w:t>
      </w:r>
      <w:r w:rsidRPr="00844EF5">
        <w:rPr>
          <w:rFonts w:asciiTheme="majorHAnsi" w:hAnsiTheme="majorHAnsi"/>
          <w:sz w:val="28"/>
          <w:szCs w:val="28"/>
        </w:rPr>
        <w:t xml:space="preserve">, </w:t>
      </w:r>
      <w:r>
        <w:rPr>
          <w:rFonts w:asciiTheme="majorHAnsi" w:hAnsiTheme="majorHAnsi"/>
          <w:sz w:val="28"/>
          <w:szCs w:val="28"/>
        </w:rPr>
        <w:t>y los discutan y analicen a través d</w:t>
      </w:r>
      <w:r w:rsidRPr="00844EF5">
        <w:rPr>
          <w:rFonts w:asciiTheme="majorHAnsi" w:hAnsiTheme="majorHAnsi"/>
          <w:sz w:val="28"/>
          <w:szCs w:val="28"/>
        </w:rPr>
        <w:t>el intercambio de opiniones con expertos. Estos seminarios podrán ser internos del CE</w:t>
      </w:r>
      <w:r>
        <w:rPr>
          <w:rFonts w:asciiTheme="majorHAnsi" w:hAnsiTheme="majorHAnsi"/>
          <w:sz w:val="28"/>
          <w:szCs w:val="28"/>
        </w:rPr>
        <w:t>S</w:t>
      </w:r>
      <w:r w:rsidRPr="00844EF5">
        <w:rPr>
          <w:rFonts w:asciiTheme="majorHAnsi" w:hAnsiTheme="majorHAnsi"/>
          <w:sz w:val="28"/>
          <w:szCs w:val="28"/>
        </w:rPr>
        <w:t>, cuando se refieran a avances preliminares, o de mayor difusión, dentro del IFT, o incluso a</w:t>
      </w:r>
      <w:r>
        <w:rPr>
          <w:rFonts w:asciiTheme="majorHAnsi" w:hAnsiTheme="majorHAnsi"/>
          <w:sz w:val="28"/>
          <w:szCs w:val="28"/>
        </w:rPr>
        <w:t>biertos al público en general.</w:t>
      </w:r>
    </w:p>
    <w:p w14:paraId="4E483063" w14:textId="37424EEF" w:rsidR="0014509F" w:rsidRPr="008156F1" w:rsidRDefault="008156F1" w:rsidP="00984ED1">
      <w:pPr>
        <w:pStyle w:val="Ttulo4"/>
        <w:numPr>
          <w:ilvl w:val="1"/>
          <w:numId w:val="8"/>
        </w:numPr>
        <w:rPr>
          <w:b/>
          <w:color w:val="0070C0"/>
          <w:sz w:val="28"/>
          <w:szCs w:val="28"/>
        </w:rPr>
      </w:pPr>
      <w:r>
        <w:rPr>
          <w:b/>
          <w:color w:val="0070C0"/>
          <w:sz w:val="28"/>
          <w:szCs w:val="28"/>
        </w:rPr>
        <w:t>Otras Acciones de Vinculación</w:t>
      </w:r>
    </w:p>
    <w:p w14:paraId="427522CD" w14:textId="77777777" w:rsidR="0014509F" w:rsidRDefault="0014509F" w:rsidP="0014509F">
      <w:pPr>
        <w:pStyle w:val="Prrafodelista"/>
        <w:ind w:left="0"/>
        <w:contextualSpacing w:val="0"/>
        <w:jc w:val="both"/>
        <w:rPr>
          <w:rFonts w:ascii="Calibri Light" w:hAnsi="Calibri Light"/>
          <w:color w:val="7B7B7B" w:themeColor="accent3" w:themeShade="BF"/>
          <w:sz w:val="28"/>
          <w:szCs w:val="28"/>
        </w:rPr>
      </w:pPr>
      <w:r w:rsidRPr="00051D38">
        <w:rPr>
          <w:rFonts w:asciiTheme="majorHAnsi" w:hAnsiTheme="majorHAnsi" w:cstheme="majorHAnsi"/>
          <w:color w:val="C45911" w:themeColor="accent2" w:themeShade="BF"/>
          <w:sz w:val="28"/>
          <w:szCs w:val="28"/>
        </w:rPr>
        <w:t xml:space="preserve">Comité </w:t>
      </w:r>
      <w:r>
        <w:rPr>
          <w:rFonts w:asciiTheme="majorHAnsi" w:hAnsiTheme="majorHAnsi" w:cstheme="majorHAnsi"/>
          <w:color w:val="C45911" w:themeColor="accent2" w:themeShade="BF"/>
          <w:sz w:val="28"/>
          <w:szCs w:val="28"/>
        </w:rPr>
        <w:t>Especializado de Estudios e Investigaciones</w:t>
      </w:r>
      <w:r w:rsidRPr="00051D38">
        <w:rPr>
          <w:rFonts w:asciiTheme="majorHAnsi" w:hAnsiTheme="majorHAnsi" w:cstheme="majorHAnsi"/>
          <w:color w:val="C45911" w:themeColor="accent2" w:themeShade="BF"/>
          <w:sz w:val="28"/>
          <w:szCs w:val="28"/>
        </w:rPr>
        <w:t xml:space="preserve"> a que se refieren los Lineamientos de Colaboración en Materia de Seguridad y Justicia</w:t>
      </w:r>
      <w:r>
        <w:rPr>
          <w:rFonts w:asciiTheme="majorHAnsi" w:hAnsiTheme="majorHAnsi" w:cstheme="majorHAnsi"/>
          <w:color w:val="C45911" w:themeColor="accent2" w:themeShade="BF"/>
          <w:sz w:val="28"/>
          <w:szCs w:val="28"/>
        </w:rPr>
        <w:t xml:space="preserve"> (el </w:t>
      </w:r>
      <w:r w:rsidRPr="00FB1EAD">
        <w:rPr>
          <w:rFonts w:ascii="Calibri Light" w:hAnsi="Calibri Light"/>
          <w:color w:val="7B7B7B" w:themeColor="accent3" w:themeShade="BF"/>
          <w:sz w:val="28"/>
          <w:szCs w:val="28"/>
        </w:rPr>
        <w:t>Comité Especializado de Estudios e Investigaciones)</w:t>
      </w:r>
    </w:p>
    <w:p w14:paraId="22C4EE56" w14:textId="77777777" w:rsidR="0014509F" w:rsidRPr="00DF5BF3" w:rsidRDefault="0014509F" w:rsidP="00A170A9">
      <w:pPr>
        <w:pStyle w:val="estilo30"/>
        <w:spacing w:before="240" w:beforeAutospacing="0" w:after="240" w:afterAutospacing="0" w:line="276" w:lineRule="auto"/>
        <w:jc w:val="both"/>
        <w:rPr>
          <w:rFonts w:ascii="Calibri Light" w:hAnsi="Calibri Light"/>
          <w:color w:val="7B7B7B" w:themeColor="accent3" w:themeShade="BF"/>
          <w:sz w:val="28"/>
          <w:szCs w:val="28"/>
        </w:rPr>
      </w:pPr>
      <w:r>
        <w:rPr>
          <w:rFonts w:ascii="Calibri Light" w:hAnsi="Calibri Light"/>
          <w:sz w:val="28"/>
          <w:szCs w:val="28"/>
        </w:rPr>
        <w:t>Por mandato del Presidente del IFT</w:t>
      </w:r>
      <w:r>
        <w:rPr>
          <w:rStyle w:val="Refdenotaalpie"/>
          <w:rFonts w:ascii="Calibri Light" w:hAnsi="Calibri Light"/>
          <w:sz w:val="28"/>
          <w:szCs w:val="28"/>
        </w:rPr>
        <w:footnoteReference w:id="7"/>
      </w:r>
      <w:r>
        <w:rPr>
          <w:rFonts w:ascii="Calibri Light" w:hAnsi="Calibri Light"/>
          <w:sz w:val="28"/>
          <w:szCs w:val="28"/>
        </w:rPr>
        <w:t xml:space="preserve">, el Titular del CES coordina los trabajos del Comité Especializado de Estudios e Investigaciones, a que se refieren los Lineamientos de Colaboración en Materia de Seguridad y Justicia, publicados en el </w:t>
      </w:r>
      <w:r>
        <w:rPr>
          <w:rFonts w:ascii="Calibri Light" w:hAnsi="Calibri Light"/>
          <w:sz w:val="28"/>
          <w:szCs w:val="28"/>
        </w:rPr>
        <w:lastRenderedPageBreak/>
        <w:t>Diario Oficial de la Federación el dos de diciembre de 2015</w:t>
      </w:r>
      <w:r>
        <w:rPr>
          <w:rStyle w:val="Refdenotaalpie"/>
          <w:rFonts w:ascii="Calibri Light" w:hAnsi="Calibri Light"/>
          <w:sz w:val="28"/>
          <w:szCs w:val="28"/>
        </w:rPr>
        <w:footnoteReference w:id="8"/>
      </w:r>
      <w:r>
        <w:rPr>
          <w:rFonts w:ascii="Calibri Light" w:hAnsi="Calibri Light"/>
          <w:sz w:val="28"/>
          <w:szCs w:val="28"/>
        </w:rPr>
        <w:t>, en el cual participan los concesionarios, autorizados a que se refiere Artículo 190, fracción XII, de la Ley Federal de Telecomunicaciones y Radiodifusión y, en su caso, las organizaciones, cámaras y asociaciones u otros entes gremiales en que estén aglutinados los concesionarios.</w:t>
      </w:r>
    </w:p>
    <w:p w14:paraId="77F8273D" w14:textId="77777777" w:rsidR="0014509F" w:rsidRDefault="0014509F" w:rsidP="0014509F">
      <w:pPr>
        <w:jc w:val="both"/>
        <w:rPr>
          <w:lang w:eastAsia="es-MX"/>
        </w:rPr>
      </w:pPr>
      <w:r>
        <w:rPr>
          <w:rFonts w:ascii="Calibri Light" w:hAnsi="Calibri Light"/>
          <w:sz w:val="28"/>
          <w:szCs w:val="28"/>
        </w:rPr>
        <w:t>Durante 2018 se promoverán los trabajos y tareas relacionados con el Comité Especializado, incluyendo la elaboración de un plan de trabajo que contempla el calendario de labores y el seguimiento de los trabajos que se realizarán durante el año. Así también, la realización de estudios e investigaciones por parte de los participantes; la definición, en su caso, de los mecanismos de financiamiento de los estudios y trabajos de investigación y la creación de grupos de trabajo para el mejor desarrollo de sus funciones. En el tercer trimestre del año, se emitirá un informe anual de los resultados de las actividades realizadas.</w:t>
      </w:r>
      <w:r>
        <w:rPr>
          <w:lang w:eastAsia="es-MX"/>
        </w:rPr>
        <w:t xml:space="preserve"> </w:t>
      </w:r>
    </w:p>
    <w:p w14:paraId="060652BD" w14:textId="77777777" w:rsidR="0014509F" w:rsidRDefault="0014509F" w:rsidP="0014509F">
      <w:pPr>
        <w:pStyle w:val="Textocomentario"/>
        <w:keepNext/>
        <w:keepLines/>
        <w:spacing w:after="100" w:afterAutospacing="1" w:line="259" w:lineRule="auto"/>
        <w:jc w:val="both"/>
        <w:rPr>
          <w:rFonts w:asciiTheme="majorHAnsi" w:hAnsiTheme="majorHAnsi"/>
          <w:sz w:val="28"/>
          <w:szCs w:val="28"/>
        </w:rPr>
      </w:pPr>
    </w:p>
    <w:tbl>
      <w:tblPr>
        <w:tblStyle w:val="Tablaconcuadrcula"/>
        <w:tblW w:w="9379" w:type="dxa"/>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iones de Vinculación Académica y Otras"/>
        <w:tblDescription w:val="Acciones de Vinculación Académica y Otras&#10; Foro de Retos de Competencia en el Entorno Digital 2018&#10; Colaboración para el fomento del Conocimiento Científico y Técnico&#10; Revista Internacional de Telecomunicaciones y Radiodifusión&#10;Publicación digital Vol. III. Noviembre 2018&#10;&#10; Participación en seminarios, congresos, simposios y talleres &#10;De acuerdo con las fechas de realización de los eventos&#10;&#10; Comité Especializado de Estudios e Investigaciones &#10; Reuniones diversas a lo largo del 2018&#10; Estudios elaborados por concesionarios&#10; Informe de actividades del Comité Especializado de Estudios e Investigación&#10; Informe de resultados al Ejecutivo y al Congreso de la Unión &#10;"/>
      </w:tblPr>
      <w:tblGrid>
        <w:gridCol w:w="9379"/>
      </w:tblGrid>
      <w:tr w:rsidR="0014509F" w14:paraId="232422FA" w14:textId="77777777" w:rsidTr="00A170A9">
        <w:trPr>
          <w:trHeight w:val="737"/>
          <w:tblHeader/>
        </w:trPr>
        <w:tc>
          <w:tcPr>
            <w:tcW w:w="9379" w:type="dxa"/>
            <w:tcBorders>
              <w:top w:val="double" w:sz="4" w:space="0" w:color="A5A5A5" w:themeColor="accent3"/>
            </w:tcBorders>
            <w:vAlign w:val="center"/>
          </w:tcPr>
          <w:p w14:paraId="3BA0CEA3" w14:textId="77777777" w:rsidR="0014509F" w:rsidRDefault="0014509F" w:rsidP="00A170A9">
            <w:pPr>
              <w:keepNext/>
              <w:keepLines/>
              <w:spacing w:after="100" w:afterAutospacing="1"/>
              <w:jc w:val="both"/>
              <w:rPr>
                <w:rFonts w:asciiTheme="majorHAnsi" w:hAnsiTheme="majorHAnsi"/>
                <w:b/>
                <w:sz w:val="28"/>
                <w:szCs w:val="28"/>
              </w:rPr>
            </w:pPr>
            <w:r w:rsidRPr="008156F1">
              <w:rPr>
                <w:rFonts w:asciiTheme="majorHAnsi" w:hAnsiTheme="majorHAnsi"/>
                <w:b/>
                <w:color w:val="0070C0"/>
                <w:sz w:val="28"/>
                <w:szCs w:val="28"/>
              </w:rPr>
              <w:t>Acciones de Vinculación Académica y Otras</w:t>
            </w:r>
          </w:p>
        </w:tc>
      </w:tr>
      <w:tr w:rsidR="0014509F" w14:paraId="692FF710" w14:textId="77777777" w:rsidTr="00A170A9">
        <w:trPr>
          <w:trHeight w:val="737"/>
        </w:trPr>
        <w:tc>
          <w:tcPr>
            <w:tcW w:w="9379" w:type="dxa"/>
            <w:vAlign w:val="center"/>
          </w:tcPr>
          <w:p w14:paraId="3C5E898B" w14:textId="77777777" w:rsidR="0014509F" w:rsidRPr="008156F1" w:rsidRDefault="0014509F" w:rsidP="00984ED1">
            <w:pPr>
              <w:pStyle w:val="Prrafodelista"/>
              <w:keepNext/>
              <w:keepLines/>
              <w:numPr>
                <w:ilvl w:val="0"/>
                <w:numId w:val="5"/>
              </w:numPr>
              <w:spacing w:after="0" w:line="240" w:lineRule="auto"/>
              <w:ind w:left="851" w:hanging="567"/>
              <w:contextualSpacing w:val="0"/>
              <w:jc w:val="both"/>
              <w:rPr>
                <w:rFonts w:asciiTheme="majorHAnsi" w:hAnsiTheme="majorHAnsi"/>
                <w:b/>
                <w:color w:val="0070C0"/>
                <w:sz w:val="28"/>
                <w:szCs w:val="28"/>
              </w:rPr>
            </w:pPr>
            <w:r w:rsidRPr="008156F1">
              <w:rPr>
                <w:rFonts w:asciiTheme="majorHAnsi" w:hAnsiTheme="majorHAnsi"/>
                <w:b/>
                <w:color w:val="0070C0"/>
                <w:sz w:val="28"/>
                <w:szCs w:val="28"/>
              </w:rPr>
              <w:t>Foro de Retos de Competencia en el Entorno Digital 2018</w:t>
            </w:r>
          </w:p>
          <w:p w14:paraId="11CF603B" w14:textId="77777777" w:rsidR="0014509F" w:rsidRDefault="0014509F" w:rsidP="00A170A9">
            <w:pPr>
              <w:pStyle w:val="Prrafodelista"/>
              <w:keepNext/>
              <w:keepLines/>
              <w:ind w:left="851"/>
              <w:contextualSpacing w:val="0"/>
              <w:jc w:val="both"/>
              <w:rPr>
                <w:rFonts w:ascii="Calibri Light" w:hAnsi="Calibri Light"/>
                <w:sz w:val="28"/>
                <w:szCs w:val="28"/>
              </w:rPr>
            </w:pPr>
            <w:r>
              <w:rPr>
                <w:rFonts w:asciiTheme="majorHAnsi" w:hAnsiTheme="majorHAnsi"/>
                <w:sz w:val="28"/>
                <w:szCs w:val="28"/>
              </w:rPr>
              <w:t xml:space="preserve">Diálogo entre </w:t>
            </w:r>
            <w:r w:rsidRPr="00844EF5">
              <w:rPr>
                <w:rFonts w:asciiTheme="majorHAnsi" w:hAnsiTheme="majorHAnsi"/>
                <w:sz w:val="28"/>
                <w:szCs w:val="28"/>
              </w:rPr>
              <w:t>expertos</w:t>
            </w:r>
            <w:r>
              <w:rPr>
                <w:rFonts w:asciiTheme="majorHAnsi" w:hAnsiTheme="majorHAnsi"/>
                <w:sz w:val="28"/>
                <w:szCs w:val="28"/>
              </w:rPr>
              <w:t xml:space="preserve"> de la academia y la industria en torno a </w:t>
            </w:r>
            <w:r w:rsidRPr="00BD7BB3">
              <w:rPr>
                <w:rFonts w:ascii="Calibri Light" w:hAnsi="Calibri Light"/>
                <w:sz w:val="28"/>
                <w:szCs w:val="28"/>
              </w:rPr>
              <w:t>los desafíos que enfrenta la competencia en los sectores</w:t>
            </w:r>
            <w:r>
              <w:rPr>
                <w:rFonts w:ascii="Calibri Light" w:hAnsi="Calibri Light"/>
                <w:sz w:val="28"/>
                <w:szCs w:val="28"/>
              </w:rPr>
              <w:t xml:space="preserve"> regulados, en el contexto de los mercados digitales. Cuarto trimestre.</w:t>
            </w:r>
          </w:p>
          <w:p w14:paraId="5BAB7CE4" w14:textId="77777777" w:rsidR="0014509F" w:rsidRPr="008156F1" w:rsidRDefault="0014509F" w:rsidP="00984ED1">
            <w:pPr>
              <w:pStyle w:val="Prrafodelista"/>
              <w:keepNext/>
              <w:keepLines/>
              <w:numPr>
                <w:ilvl w:val="0"/>
                <w:numId w:val="5"/>
              </w:numPr>
              <w:spacing w:after="0" w:line="240" w:lineRule="auto"/>
              <w:ind w:left="851" w:hanging="567"/>
              <w:contextualSpacing w:val="0"/>
              <w:jc w:val="both"/>
              <w:rPr>
                <w:rFonts w:asciiTheme="majorHAnsi" w:hAnsiTheme="majorHAnsi"/>
                <w:b/>
                <w:color w:val="0070C0"/>
                <w:sz w:val="28"/>
                <w:szCs w:val="28"/>
              </w:rPr>
            </w:pPr>
            <w:r w:rsidRPr="008156F1">
              <w:rPr>
                <w:rFonts w:asciiTheme="majorHAnsi" w:hAnsiTheme="majorHAnsi"/>
                <w:b/>
                <w:color w:val="0070C0"/>
                <w:sz w:val="28"/>
                <w:szCs w:val="28"/>
              </w:rPr>
              <w:t>Colaboración para el fomento del Conocimiento Científico y Técnico</w:t>
            </w:r>
          </w:p>
          <w:p w14:paraId="5CE31F47" w14:textId="77777777" w:rsidR="0014509F" w:rsidRDefault="0014509F" w:rsidP="008156F1">
            <w:pPr>
              <w:pStyle w:val="Prrafodelista"/>
              <w:keepNext/>
              <w:keepLines/>
              <w:ind w:left="851"/>
              <w:contextualSpacing w:val="0"/>
              <w:jc w:val="both"/>
              <w:rPr>
                <w:rFonts w:asciiTheme="majorHAnsi" w:hAnsiTheme="majorHAnsi"/>
                <w:sz w:val="28"/>
                <w:szCs w:val="28"/>
              </w:rPr>
            </w:pPr>
            <w:r>
              <w:rPr>
                <w:rFonts w:asciiTheme="majorHAnsi" w:hAnsiTheme="majorHAnsi"/>
                <w:sz w:val="28"/>
                <w:szCs w:val="28"/>
              </w:rPr>
              <w:t>Evento</w:t>
            </w:r>
            <w:r w:rsidRPr="007C2BB2">
              <w:rPr>
                <w:rFonts w:asciiTheme="majorHAnsi" w:hAnsiTheme="majorHAnsi"/>
                <w:sz w:val="28"/>
                <w:szCs w:val="28"/>
              </w:rPr>
              <w:t xml:space="preserve"> </w:t>
            </w:r>
            <w:r w:rsidRPr="008156F1">
              <w:rPr>
                <w:rFonts w:ascii="Calibri Light" w:hAnsi="Calibri Light"/>
                <w:sz w:val="28"/>
                <w:szCs w:val="28"/>
              </w:rPr>
              <w:t>de</w:t>
            </w:r>
            <w:r w:rsidRPr="007C2BB2">
              <w:rPr>
                <w:rFonts w:asciiTheme="majorHAnsi" w:hAnsiTheme="majorHAnsi"/>
                <w:sz w:val="28"/>
                <w:szCs w:val="28"/>
              </w:rPr>
              <w:t xml:space="preserve"> vinculación académica con PRICE</w:t>
            </w:r>
            <w:r>
              <w:rPr>
                <w:rFonts w:asciiTheme="majorHAnsi" w:hAnsiTheme="majorHAnsi"/>
                <w:sz w:val="28"/>
                <w:szCs w:val="28"/>
              </w:rPr>
              <w:t>. Primer se</w:t>
            </w:r>
            <w:r w:rsidRPr="00144E56">
              <w:rPr>
                <w:rFonts w:asciiTheme="majorHAnsi" w:hAnsiTheme="majorHAnsi"/>
                <w:sz w:val="28"/>
                <w:szCs w:val="28"/>
              </w:rPr>
              <w:t>mestre</w:t>
            </w:r>
          </w:p>
          <w:p w14:paraId="1033C894" w14:textId="77777777" w:rsidR="0014509F" w:rsidRPr="008156F1" w:rsidRDefault="0014509F" w:rsidP="00984ED1">
            <w:pPr>
              <w:pStyle w:val="Prrafodelista"/>
              <w:keepNext/>
              <w:keepLines/>
              <w:numPr>
                <w:ilvl w:val="0"/>
                <w:numId w:val="5"/>
              </w:numPr>
              <w:spacing w:after="0" w:line="240" w:lineRule="auto"/>
              <w:ind w:left="851" w:hanging="567"/>
              <w:contextualSpacing w:val="0"/>
              <w:jc w:val="both"/>
              <w:rPr>
                <w:rFonts w:asciiTheme="majorHAnsi" w:hAnsiTheme="majorHAnsi"/>
                <w:b/>
                <w:color w:val="0070C0"/>
                <w:sz w:val="28"/>
                <w:szCs w:val="28"/>
              </w:rPr>
            </w:pPr>
            <w:r w:rsidRPr="008156F1">
              <w:rPr>
                <w:rFonts w:asciiTheme="majorHAnsi" w:hAnsiTheme="majorHAnsi"/>
                <w:b/>
                <w:color w:val="0070C0"/>
                <w:sz w:val="28"/>
                <w:szCs w:val="28"/>
              </w:rPr>
              <w:t>Revista Internacional de Telecomunicaciones y Radiodifusión</w:t>
            </w:r>
          </w:p>
          <w:p w14:paraId="2DA28AD1" w14:textId="77777777" w:rsidR="0014509F" w:rsidRDefault="0014509F" w:rsidP="008156F1">
            <w:pPr>
              <w:pStyle w:val="Prrafodelista"/>
              <w:keepNext/>
              <w:keepLines/>
              <w:ind w:left="851"/>
              <w:contextualSpacing w:val="0"/>
              <w:jc w:val="both"/>
              <w:rPr>
                <w:rFonts w:asciiTheme="majorHAnsi" w:hAnsiTheme="majorHAnsi"/>
                <w:sz w:val="28"/>
                <w:szCs w:val="28"/>
              </w:rPr>
            </w:pPr>
            <w:r w:rsidRPr="00EC26B5">
              <w:rPr>
                <w:rFonts w:asciiTheme="majorHAnsi" w:hAnsiTheme="majorHAnsi"/>
                <w:sz w:val="28"/>
                <w:szCs w:val="28"/>
              </w:rPr>
              <w:t xml:space="preserve">Publicación </w:t>
            </w:r>
            <w:r w:rsidRPr="008156F1">
              <w:rPr>
                <w:rFonts w:ascii="Calibri Light" w:hAnsi="Calibri Light"/>
                <w:sz w:val="28"/>
                <w:szCs w:val="28"/>
              </w:rPr>
              <w:t>digital</w:t>
            </w:r>
            <w:r w:rsidRPr="00EC26B5">
              <w:rPr>
                <w:rFonts w:asciiTheme="majorHAnsi" w:hAnsiTheme="majorHAnsi"/>
                <w:sz w:val="28"/>
                <w:szCs w:val="28"/>
              </w:rPr>
              <w:t xml:space="preserve"> Vol. III</w:t>
            </w:r>
            <w:r>
              <w:rPr>
                <w:rFonts w:asciiTheme="majorHAnsi" w:hAnsiTheme="majorHAnsi"/>
                <w:sz w:val="28"/>
                <w:szCs w:val="28"/>
              </w:rPr>
              <w:t xml:space="preserve">. </w:t>
            </w:r>
            <w:r w:rsidRPr="00EC26B5">
              <w:rPr>
                <w:rFonts w:asciiTheme="majorHAnsi" w:hAnsiTheme="majorHAnsi"/>
                <w:sz w:val="28"/>
                <w:szCs w:val="28"/>
              </w:rPr>
              <w:t>Noviembre 2018</w:t>
            </w:r>
          </w:p>
          <w:p w14:paraId="4FB43E7B" w14:textId="77777777" w:rsidR="0014509F" w:rsidRPr="008156F1" w:rsidRDefault="0014509F" w:rsidP="00984ED1">
            <w:pPr>
              <w:pStyle w:val="Prrafodelista"/>
              <w:keepNext/>
              <w:keepLines/>
              <w:numPr>
                <w:ilvl w:val="0"/>
                <w:numId w:val="5"/>
              </w:numPr>
              <w:spacing w:after="0" w:line="240" w:lineRule="auto"/>
              <w:ind w:left="851" w:hanging="567"/>
              <w:contextualSpacing w:val="0"/>
              <w:jc w:val="both"/>
              <w:rPr>
                <w:rFonts w:asciiTheme="majorHAnsi" w:hAnsiTheme="majorHAnsi"/>
                <w:color w:val="0070C0"/>
                <w:sz w:val="28"/>
                <w:szCs w:val="28"/>
              </w:rPr>
            </w:pPr>
            <w:r w:rsidRPr="008156F1">
              <w:rPr>
                <w:rFonts w:asciiTheme="majorHAnsi" w:hAnsiTheme="majorHAnsi"/>
                <w:b/>
                <w:color w:val="0070C0"/>
                <w:sz w:val="28"/>
                <w:szCs w:val="28"/>
              </w:rPr>
              <w:t xml:space="preserve">Participación en seminarios, congresos, simposios y talleres </w:t>
            </w:r>
          </w:p>
          <w:p w14:paraId="00EEEE13" w14:textId="6FB7E04A" w:rsidR="0014509F" w:rsidRPr="00091BC3" w:rsidRDefault="0014509F" w:rsidP="008156F1">
            <w:pPr>
              <w:pStyle w:val="Prrafodelista"/>
              <w:keepNext/>
              <w:keepLines/>
              <w:ind w:left="851"/>
              <w:contextualSpacing w:val="0"/>
              <w:jc w:val="both"/>
              <w:rPr>
                <w:rFonts w:asciiTheme="majorHAnsi" w:hAnsiTheme="majorHAnsi"/>
                <w:sz w:val="28"/>
                <w:szCs w:val="28"/>
              </w:rPr>
            </w:pPr>
            <w:r>
              <w:rPr>
                <w:rFonts w:asciiTheme="majorHAnsi" w:hAnsiTheme="majorHAnsi"/>
                <w:sz w:val="28"/>
                <w:szCs w:val="28"/>
              </w:rPr>
              <w:t xml:space="preserve">De acuerdo con </w:t>
            </w:r>
            <w:r w:rsidRPr="008156F1">
              <w:rPr>
                <w:rFonts w:ascii="Calibri Light" w:hAnsi="Calibri Light"/>
                <w:sz w:val="28"/>
                <w:szCs w:val="28"/>
              </w:rPr>
              <w:t>las</w:t>
            </w:r>
            <w:r>
              <w:rPr>
                <w:rFonts w:asciiTheme="majorHAnsi" w:hAnsiTheme="majorHAnsi"/>
                <w:sz w:val="28"/>
                <w:szCs w:val="28"/>
              </w:rPr>
              <w:t xml:space="preserve"> fecha</w:t>
            </w:r>
            <w:r w:rsidR="008156F1">
              <w:rPr>
                <w:rFonts w:asciiTheme="majorHAnsi" w:hAnsiTheme="majorHAnsi"/>
                <w:sz w:val="28"/>
                <w:szCs w:val="28"/>
              </w:rPr>
              <w:t>s de realización de los eventos</w:t>
            </w:r>
          </w:p>
        </w:tc>
      </w:tr>
      <w:tr w:rsidR="0014509F" w14:paraId="4A500DD1" w14:textId="77777777" w:rsidTr="00A170A9">
        <w:trPr>
          <w:trHeight w:val="2386"/>
        </w:trPr>
        <w:tc>
          <w:tcPr>
            <w:tcW w:w="9379" w:type="dxa"/>
            <w:tcBorders>
              <w:bottom w:val="double" w:sz="2" w:space="0" w:color="7B7B7B" w:themeColor="accent3" w:themeShade="BF"/>
            </w:tcBorders>
          </w:tcPr>
          <w:p w14:paraId="70260870" w14:textId="77777777" w:rsidR="0014509F" w:rsidRPr="008156F1" w:rsidRDefault="0014509F" w:rsidP="00984ED1">
            <w:pPr>
              <w:pStyle w:val="Prrafodelista"/>
              <w:keepNext/>
              <w:keepLines/>
              <w:numPr>
                <w:ilvl w:val="0"/>
                <w:numId w:val="5"/>
              </w:numPr>
              <w:spacing w:after="100" w:afterAutospacing="1" w:line="240" w:lineRule="auto"/>
              <w:ind w:left="851" w:hanging="567"/>
              <w:jc w:val="both"/>
              <w:rPr>
                <w:rFonts w:asciiTheme="majorHAnsi" w:hAnsiTheme="majorHAnsi"/>
                <w:b/>
                <w:color w:val="0070C0"/>
                <w:sz w:val="28"/>
                <w:szCs w:val="28"/>
              </w:rPr>
            </w:pPr>
            <w:r w:rsidRPr="008156F1">
              <w:rPr>
                <w:rFonts w:ascii="Calibri Light" w:hAnsi="Calibri Light"/>
                <w:b/>
                <w:color w:val="0070C0"/>
                <w:sz w:val="28"/>
                <w:szCs w:val="28"/>
              </w:rPr>
              <w:t>Comité Especializado de Estudios e Investigaciones</w:t>
            </w:r>
            <w:r w:rsidRPr="008156F1">
              <w:rPr>
                <w:rFonts w:asciiTheme="majorHAnsi" w:hAnsiTheme="majorHAnsi"/>
                <w:b/>
                <w:color w:val="0070C0"/>
                <w:sz w:val="28"/>
                <w:szCs w:val="28"/>
              </w:rPr>
              <w:t xml:space="preserve"> </w:t>
            </w:r>
          </w:p>
          <w:p w14:paraId="7E1E9E01" w14:textId="77777777" w:rsidR="0014509F" w:rsidRPr="00FB1EAD" w:rsidRDefault="0014509F" w:rsidP="00984ED1">
            <w:pPr>
              <w:pStyle w:val="Prrafodelista"/>
              <w:keepNext/>
              <w:keepLines/>
              <w:numPr>
                <w:ilvl w:val="0"/>
                <w:numId w:val="5"/>
              </w:numPr>
              <w:spacing w:after="100" w:afterAutospacing="1" w:line="240" w:lineRule="auto"/>
              <w:ind w:left="1531" w:hanging="340"/>
              <w:jc w:val="both"/>
              <w:rPr>
                <w:rFonts w:asciiTheme="majorHAnsi" w:hAnsiTheme="majorHAnsi"/>
                <w:sz w:val="28"/>
                <w:szCs w:val="28"/>
              </w:rPr>
            </w:pPr>
            <w:r w:rsidRPr="00FB1EAD">
              <w:rPr>
                <w:rFonts w:asciiTheme="majorHAnsi" w:hAnsiTheme="majorHAnsi"/>
                <w:sz w:val="28"/>
                <w:szCs w:val="28"/>
              </w:rPr>
              <w:t>Reuniones diversas a lo largo del 2018</w:t>
            </w:r>
          </w:p>
          <w:p w14:paraId="77A08D29" w14:textId="77777777" w:rsidR="0014509F" w:rsidRPr="00766ADB" w:rsidRDefault="0014509F" w:rsidP="00984ED1">
            <w:pPr>
              <w:pStyle w:val="Prrafodelista"/>
              <w:keepNext/>
              <w:keepLines/>
              <w:numPr>
                <w:ilvl w:val="0"/>
                <w:numId w:val="6"/>
              </w:numPr>
              <w:spacing w:after="100" w:afterAutospacing="1" w:line="240" w:lineRule="auto"/>
              <w:ind w:left="1531" w:hanging="340"/>
              <w:jc w:val="both"/>
              <w:rPr>
                <w:rFonts w:asciiTheme="majorHAnsi" w:hAnsiTheme="majorHAnsi"/>
                <w:b/>
                <w:sz w:val="28"/>
                <w:szCs w:val="28"/>
              </w:rPr>
            </w:pPr>
            <w:r w:rsidRPr="00766ADB">
              <w:rPr>
                <w:rFonts w:asciiTheme="majorHAnsi" w:hAnsiTheme="majorHAnsi"/>
                <w:sz w:val="28"/>
                <w:szCs w:val="28"/>
              </w:rPr>
              <w:t>Estudios elaborados por concesionarios</w:t>
            </w:r>
          </w:p>
          <w:p w14:paraId="65546763" w14:textId="77777777" w:rsidR="0014509F" w:rsidRPr="00766ADB" w:rsidRDefault="0014509F" w:rsidP="00984ED1">
            <w:pPr>
              <w:pStyle w:val="Prrafodelista"/>
              <w:keepNext/>
              <w:keepLines/>
              <w:numPr>
                <w:ilvl w:val="0"/>
                <w:numId w:val="6"/>
              </w:numPr>
              <w:spacing w:after="100" w:afterAutospacing="1" w:line="240" w:lineRule="auto"/>
              <w:ind w:left="1531" w:hanging="340"/>
              <w:jc w:val="both"/>
              <w:rPr>
                <w:rFonts w:asciiTheme="majorHAnsi" w:hAnsiTheme="majorHAnsi"/>
                <w:b/>
                <w:sz w:val="28"/>
                <w:szCs w:val="28"/>
              </w:rPr>
            </w:pPr>
            <w:r w:rsidRPr="00766ADB">
              <w:rPr>
                <w:rFonts w:asciiTheme="majorHAnsi" w:hAnsiTheme="majorHAnsi"/>
                <w:sz w:val="28"/>
                <w:szCs w:val="28"/>
              </w:rPr>
              <w:t>Informe de actividades del Comité</w:t>
            </w:r>
            <w:r>
              <w:rPr>
                <w:rFonts w:asciiTheme="majorHAnsi" w:hAnsiTheme="majorHAnsi"/>
                <w:sz w:val="28"/>
                <w:szCs w:val="28"/>
              </w:rPr>
              <w:t xml:space="preserve"> Especializado de Estudios e Investigación</w:t>
            </w:r>
          </w:p>
          <w:p w14:paraId="720F26CA" w14:textId="77777777" w:rsidR="0014509F" w:rsidRPr="00766ADB" w:rsidRDefault="0014509F" w:rsidP="00984ED1">
            <w:pPr>
              <w:pStyle w:val="Prrafodelista"/>
              <w:keepNext/>
              <w:keepLines/>
              <w:numPr>
                <w:ilvl w:val="0"/>
                <w:numId w:val="6"/>
              </w:numPr>
              <w:spacing w:after="100" w:afterAutospacing="1" w:line="240" w:lineRule="auto"/>
              <w:ind w:left="1531" w:hanging="340"/>
              <w:jc w:val="both"/>
              <w:rPr>
                <w:rFonts w:asciiTheme="majorHAnsi" w:hAnsiTheme="majorHAnsi"/>
                <w:b/>
                <w:sz w:val="28"/>
                <w:szCs w:val="28"/>
              </w:rPr>
            </w:pPr>
            <w:r w:rsidRPr="00766ADB">
              <w:rPr>
                <w:rFonts w:asciiTheme="majorHAnsi" w:hAnsiTheme="majorHAnsi"/>
                <w:b/>
                <w:sz w:val="28"/>
                <w:szCs w:val="28"/>
              </w:rPr>
              <w:t>I</w:t>
            </w:r>
            <w:r w:rsidRPr="00766ADB">
              <w:rPr>
                <w:rFonts w:asciiTheme="majorHAnsi" w:hAnsiTheme="majorHAnsi"/>
                <w:sz w:val="28"/>
                <w:szCs w:val="28"/>
              </w:rPr>
              <w:t xml:space="preserve">nforme </w:t>
            </w:r>
            <w:r>
              <w:rPr>
                <w:rFonts w:asciiTheme="majorHAnsi" w:hAnsiTheme="majorHAnsi"/>
                <w:sz w:val="28"/>
                <w:szCs w:val="28"/>
              </w:rPr>
              <w:t>de resultados al Ejecutivo y</w:t>
            </w:r>
            <w:r w:rsidRPr="00766ADB">
              <w:rPr>
                <w:rFonts w:asciiTheme="majorHAnsi" w:hAnsiTheme="majorHAnsi"/>
                <w:sz w:val="28"/>
                <w:szCs w:val="28"/>
              </w:rPr>
              <w:t xml:space="preserve"> al Congreso de la Unión </w:t>
            </w:r>
          </w:p>
        </w:tc>
      </w:tr>
    </w:tbl>
    <w:p w14:paraId="2CEB91CF" w14:textId="77777777" w:rsidR="0014509F" w:rsidRDefault="0014509F" w:rsidP="0014509F">
      <w:pPr>
        <w:keepNext/>
        <w:keepLines/>
        <w:spacing w:after="100" w:afterAutospacing="1"/>
        <w:jc w:val="both"/>
        <w:rPr>
          <w:smallCaps/>
          <w:noProof/>
          <w:color w:val="808080" w:themeColor="background1" w:themeShade="80"/>
          <w:sz w:val="36"/>
          <w:szCs w:val="36"/>
          <w:lang w:eastAsia="es-MX"/>
        </w:rPr>
      </w:pPr>
      <w:r>
        <w:rPr>
          <w:smallCaps/>
          <w:noProof/>
          <w:color w:val="808080" w:themeColor="background1" w:themeShade="80"/>
          <w:sz w:val="36"/>
          <w:szCs w:val="36"/>
          <w:lang w:eastAsia="es-MX"/>
        </w:rPr>
        <w:br w:type="page"/>
      </w:r>
    </w:p>
    <w:p w14:paraId="644581D9" w14:textId="31C96E17" w:rsidR="0014509F" w:rsidRPr="008156F1" w:rsidRDefault="008156F1" w:rsidP="008156F1">
      <w:pPr>
        <w:pStyle w:val="Ttulo2"/>
        <w:spacing w:before="240" w:after="240" w:line="276" w:lineRule="auto"/>
        <w:ind w:left="851"/>
        <w:rPr>
          <w:rFonts w:ascii="ITC Avant Garde" w:hAnsi="ITC Avant Garde"/>
          <w:b/>
          <w:color w:val="0070C0"/>
          <w:sz w:val="28"/>
          <w:szCs w:val="28"/>
          <w:lang w:val="es-MX" w:eastAsia="en-US"/>
        </w:rPr>
      </w:pPr>
      <w:r>
        <w:rPr>
          <w:rFonts w:ascii="ITC Avant Garde" w:hAnsi="ITC Avant Garde"/>
          <w:b/>
          <w:color w:val="0070C0"/>
          <w:sz w:val="28"/>
          <w:szCs w:val="28"/>
          <w:lang w:val="es-MX" w:eastAsia="en-US"/>
        </w:rPr>
        <w:lastRenderedPageBreak/>
        <w:t xml:space="preserve">II. </w:t>
      </w:r>
      <w:r w:rsidR="0014509F" w:rsidRPr="008156F1">
        <w:rPr>
          <w:rFonts w:ascii="ITC Avant Garde" w:hAnsi="ITC Avant Garde"/>
          <w:b/>
          <w:color w:val="0070C0"/>
          <w:sz w:val="28"/>
          <w:szCs w:val="28"/>
          <w:lang w:val="es-MX" w:eastAsia="en-US"/>
        </w:rPr>
        <w:t>Cronograma</w:t>
      </w:r>
    </w:p>
    <w:p w14:paraId="59933EE4" w14:textId="77777777" w:rsidR="0014509F" w:rsidRDefault="0014509F" w:rsidP="00A170A9">
      <w:pPr>
        <w:pStyle w:val="estilo30"/>
        <w:spacing w:before="240" w:beforeAutospacing="0" w:after="240" w:afterAutospacing="0" w:line="276" w:lineRule="auto"/>
        <w:jc w:val="both"/>
        <w:rPr>
          <w:rFonts w:asciiTheme="majorHAnsi" w:hAnsiTheme="majorHAnsi" w:cstheme="majorHAnsi"/>
          <w:sz w:val="28"/>
          <w:szCs w:val="28"/>
        </w:rPr>
      </w:pPr>
      <w:r w:rsidRPr="00DF35EB">
        <w:rPr>
          <w:rFonts w:asciiTheme="majorHAnsi" w:hAnsiTheme="majorHAnsi" w:cstheme="majorHAnsi"/>
          <w:sz w:val="28"/>
          <w:szCs w:val="28"/>
        </w:rPr>
        <w:t>Se presentan a continuación las fechas de conclusión previstas de las diferentes etapas de formulación de los proyectos, así como de la realización de otras actividades.</w:t>
      </w:r>
    </w:p>
    <w:p w14:paraId="00E0A199" w14:textId="77777777" w:rsidR="0014509F" w:rsidRDefault="0014509F" w:rsidP="0014509F">
      <w:pPr>
        <w:keepNext/>
        <w:keepLines/>
        <w:spacing w:after="100" w:afterAutospacing="1" w:line="276" w:lineRule="auto"/>
        <w:jc w:val="both"/>
        <w:rPr>
          <w:rFonts w:asciiTheme="majorHAnsi" w:hAnsiTheme="majorHAnsi" w:cstheme="majorHAnsi"/>
          <w:sz w:val="28"/>
          <w:szCs w:val="28"/>
        </w:rPr>
      </w:pPr>
      <w:r w:rsidRPr="002E6587">
        <w:rPr>
          <w:noProof/>
          <w:lang w:eastAsia="es-MX"/>
        </w:rPr>
        <w:lastRenderedPageBreak/>
        <w:drawing>
          <wp:inline distT="0" distB="0" distL="0" distR="0" wp14:anchorId="6043C4AF" wp14:editId="22DD60F7">
            <wp:extent cx="5970905" cy="6148388"/>
            <wp:effectExtent l="0" t="0" r="0" b="5080"/>
            <wp:docPr id="8" name="Imagen 8" descr="Se presentan a continuación las fechas de conclusión previstas de las diferentes etapas de formulación de los proyectos, así como de la realización de otras actividades.&#10;&#10;&#10;&#10;" title="II. CRONOGRA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73730" cy="6151297"/>
                    </a:xfrm>
                    <a:prstGeom prst="rect">
                      <a:avLst/>
                    </a:prstGeom>
                    <a:noFill/>
                    <a:ln>
                      <a:noFill/>
                    </a:ln>
                  </pic:spPr>
                </pic:pic>
              </a:graphicData>
            </a:graphic>
          </wp:inline>
        </w:drawing>
      </w:r>
    </w:p>
    <w:p w14:paraId="44A42C38" w14:textId="77777777" w:rsidR="0014509F" w:rsidRDefault="0014509F" w:rsidP="0014509F">
      <w:pPr>
        <w:keepNext/>
        <w:keepLines/>
        <w:spacing w:after="100" w:afterAutospacing="1" w:line="276" w:lineRule="auto"/>
        <w:jc w:val="both"/>
        <w:rPr>
          <w:rFonts w:asciiTheme="majorHAnsi" w:hAnsiTheme="majorHAnsi" w:cstheme="majorHAnsi"/>
          <w:sz w:val="28"/>
          <w:szCs w:val="28"/>
        </w:rPr>
      </w:pPr>
      <w:r w:rsidRPr="00B84949">
        <w:rPr>
          <w:noProof/>
          <w:lang w:eastAsia="es-MX"/>
        </w:rPr>
        <w:lastRenderedPageBreak/>
        <w:drawing>
          <wp:inline distT="0" distB="0" distL="0" distR="0" wp14:anchorId="21DDB315" wp14:editId="512BEDD1">
            <wp:extent cx="5971414" cy="8119242"/>
            <wp:effectExtent l="0" t="0" r="0" b="0"/>
            <wp:docPr id="16" name="Imagen 16" descr="estudios sobre temas especificos&#10;" title="estudios sobre temas especif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74085" cy="8122874"/>
                    </a:xfrm>
                    <a:prstGeom prst="rect">
                      <a:avLst/>
                    </a:prstGeom>
                    <a:noFill/>
                    <a:ln>
                      <a:noFill/>
                    </a:ln>
                  </pic:spPr>
                </pic:pic>
              </a:graphicData>
            </a:graphic>
          </wp:inline>
        </w:drawing>
      </w:r>
    </w:p>
    <w:p w14:paraId="69413EAD" w14:textId="77777777" w:rsidR="0014509F" w:rsidRDefault="0014509F" w:rsidP="0014509F">
      <w:pPr>
        <w:pStyle w:val="Prrafodelista"/>
        <w:keepNext/>
        <w:keepLines/>
        <w:spacing w:after="100" w:afterAutospacing="1"/>
        <w:ind w:left="0"/>
        <w:jc w:val="both"/>
      </w:pPr>
      <w:r w:rsidRPr="00FB1EAD">
        <w:rPr>
          <w:noProof/>
          <w:lang w:eastAsia="es-MX"/>
        </w:rPr>
        <w:lastRenderedPageBreak/>
        <w:drawing>
          <wp:inline distT="0" distB="0" distL="0" distR="0" wp14:anchorId="1D4F45D1" wp14:editId="05362311">
            <wp:extent cx="5970905" cy="3163613"/>
            <wp:effectExtent l="0" t="0" r="0" b="0"/>
            <wp:docPr id="6" name="Imagen 6" descr="Análisis, estudios y solicitudes de información recurrente&#10;" title="Análisis, estudios y solicitudes de información recurren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84002" cy="3170552"/>
                    </a:xfrm>
                    <a:prstGeom prst="rect">
                      <a:avLst/>
                    </a:prstGeom>
                    <a:noFill/>
                    <a:ln>
                      <a:noFill/>
                    </a:ln>
                  </pic:spPr>
                </pic:pic>
              </a:graphicData>
            </a:graphic>
          </wp:inline>
        </w:drawing>
      </w:r>
    </w:p>
    <w:p w14:paraId="070E7274" w14:textId="77777777" w:rsidR="0014509F" w:rsidRDefault="0014509F" w:rsidP="0014509F">
      <w:pPr>
        <w:keepNext/>
        <w:keepLines/>
        <w:spacing w:after="100" w:afterAutospacing="1"/>
        <w:jc w:val="both"/>
        <w:rPr>
          <w:rFonts w:asciiTheme="majorHAnsi" w:hAnsiTheme="majorHAnsi"/>
          <w:b/>
          <w:smallCaps/>
          <w:color w:val="7B7B7B" w:themeColor="accent3" w:themeShade="BF"/>
          <w:sz w:val="32"/>
          <w:szCs w:val="32"/>
        </w:rPr>
      </w:pPr>
      <w:r w:rsidRPr="008570FB">
        <w:t xml:space="preserve"> </w:t>
      </w:r>
      <w:r>
        <w:rPr>
          <w:rFonts w:asciiTheme="majorHAnsi" w:hAnsiTheme="majorHAnsi"/>
          <w:b/>
          <w:smallCaps/>
          <w:color w:val="7B7B7B" w:themeColor="accent3" w:themeShade="BF"/>
          <w:sz w:val="32"/>
          <w:szCs w:val="32"/>
        </w:rPr>
        <w:br w:type="page"/>
      </w: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14:paraId="50498C6E" w14:textId="032A89D3" w:rsidR="0014509F" w:rsidRPr="008156F1" w:rsidRDefault="008156F1" w:rsidP="008156F1">
      <w:pPr>
        <w:pStyle w:val="Ttulo2"/>
        <w:spacing w:before="240" w:after="240" w:line="276" w:lineRule="auto"/>
        <w:ind w:left="851"/>
        <w:rPr>
          <w:rFonts w:ascii="ITC Avant Garde" w:hAnsi="ITC Avant Garde"/>
          <w:b/>
          <w:color w:val="0070C0"/>
          <w:sz w:val="28"/>
          <w:szCs w:val="28"/>
          <w:lang w:val="es-MX" w:eastAsia="en-US"/>
        </w:rPr>
      </w:pPr>
      <w:r>
        <w:rPr>
          <w:rFonts w:ascii="ITC Avant Garde" w:hAnsi="ITC Avant Garde"/>
          <w:b/>
          <w:color w:val="0070C0"/>
          <w:sz w:val="28"/>
          <w:szCs w:val="28"/>
          <w:lang w:val="es-MX" w:eastAsia="en-US"/>
        </w:rPr>
        <w:lastRenderedPageBreak/>
        <w:t xml:space="preserve">III. </w:t>
      </w:r>
      <w:r w:rsidR="0014509F" w:rsidRPr="008156F1">
        <w:rPr>
          <w:rFonts w:ascii="ITC Avant Garde" w:hAnsi="ITC Avant Garde"/>
          <w:b/>
          <w:color w:val="0070C0"/>
          <w:sz w:val="28"/>
          <w:szCs w:val="28"/>
          <w:lang w:val="es-MX" w:eastAsia="en-US"/>
        </w:rPr>
        <w:t>Anexo. Proyectos de Investigación 2018</w:t>
      </w:r>
    </w:p>
    <w:p w14:paraId="309D2BF5" w14:textId="77777777" w:rsidR="0014509F" w:rsidRPr="00E231AF" w:rsidRDefault="0014509F" w:rsidP="00A170A9">
      <w:pPr>
        <w:pStyle w:val="estilo30"/>
        <w:spacing w:before="240" w:beforeAutospacing="0" w:after="240" w:afterAutospacing="0" w:line="276" w:lineRule="auto"/>
        <w:jc w:val="both"/>
        <w:rPr>
          <w:rFonts w:asciiTheme="majorHAnsi" w:hAnsiTheme="majorHAnsi"/>
          <w:sz w:val="28"/>
          <w:szCs w:val="28"/>
        </w:rPr>
      </w:pPr>
      <w:r>
        <w:rPr>
          <w:rFonts w:asciiTheme="majorHAnsi" w:hAnsiTheme="majorHAnsi"/>
          <w:sz w:val="28"/>
          <w:szCs w:val="28"/>
        </w:rPr>
        <w:t xml:space="preserve">Los estudios sobre temas específicos </w:t>
      </w:r>
      <w:r w:rsidRPr="00E231AF">
        <w:rPr>
          <w:rFonts w:asciiTheme="majorHAnsi" w:hAnsiTheme="majorHAnsi"/>
          <w:sz w:val="28"/>
          <w:szCs w:val="28"/>
        </w:rPr>
        <w:t xml:space="preserve">que se </w:t>
      </w:r>
      <w:r>
        <w:rPr>
          <w:rFonts w:asciiTheme="majorHAnsi" w:hAnsiTheme="majorHAnsi"/>
          <w:sz w:val="28"/>
          <w:szCs w:val="28"/>
        </w:rPr>
        <w:t>consideran para</w:t>
      </w:r>
      <w:r w:rsidRPr="00E231AF">
        <w:rPr>
          <w:rFonts w:asciiTheme="majorHAnsi" w:hAnsiTheme="majorHAnsi"/>
          <w:sz w:val="28"/>
          <w:szCs w:val="28"/>
        </w:rPr>
        <w:t xml:space="preserve"> 2018</w:t>
      </w:r>
      <w:r>
        <w:rPr>
          <w:rFonts w:asciiTheme="majorHAnsi" w:hAnsiTheme="majorHAnsi"/>
          <w:sz w:val="28"/>
          <w:szCs w:val="28"/>
        </w:rPr>
        <w:t xml:space="preserve"> se resumen en los proyectos que se presentan a continuación.</w:t>
      </w:r>
      <w:r w:rsidRPr="00E231AF">
        <w:rPr>
          <w:rFonts w:asciiTheme="majorHAnsi" w:hAnsiTheme="majorHAnsi"/>
          <w:sz w:val="28"/>
          <w:szCs w:val="28"/>
        </w:rPr>
        <w:t xml:space="preserve"> Los temas </w:t>
      </w:r>
      <w:r>
        <w:rPr>
          <w:rFonts w:asciiTheme="majorHAnsi" w:hAnsiTheme="majorHAnsi"/>
          <w:sz w:val="28"/>
          <w:szCs w:val="28"/>
        </w:rPr>
        <w:t xml:space="preserve">que cubren </w:t>
      </w:r>
      <w:r w:rsidRPr="00E231AF">
        <w:rPr>
          <w:rFonts w:asciiTheme="majorHAnsi" w:hAnsiTheme="majorHAnsi"/>
          <w:sz w:val="28"/>
          <w:szCs w:val="28"/>
        </w:rPr>
        <w:t xml:space="preserve">no deben tomarse como vinculantes, sino que antes bien, </w:t>
      </w:r>
      <w:r>
        <w:rPr>
          <w:rFonts w:asciiTheme="majorHAnsi" w:hAnsiTheme="majorHAnsi"/>
          <w:sz w:val="28"/>
          <w:szCs w:val="28"/>
        </w:rPr>
        <w:t xml:space="preserve">de acuerdo con las mejores prácticas de investigación, </w:t>
      </w:r>
      <w:r w:rsidRPr="00E231AF">
        <w:rPr>
          <w:rFonts w:asciiTheme="majorHAnsi" w:hAnsiTheme="majorHAnsi"/>
          <w:sz w:val="28"/>
          <w:szCs w:val="28"/>
        </w:rPr>
        <w:t xml:space="preserve">debe </w:t>
      </w:r>
      <w:r w:rsidRPr="00A170A9">
        <w:rPr>
          <w:rFonts w:asciiTheme="majorHAnsi" w:hAnsiTheme="majorHAnsi" w:cstheme="majorHAnsi"/>
          <w:sz w:val="28"/>
          <w:szCs w:val="28"/>
        </w:rPr>
        <w:t>asegurarse</w:t>
      </w:r>
      <w:r w:rsidRPr="00E231AF">
        <w:rPr>
          <w:rFonts w:asciiTheme="majorHAnsi" w:hAnsiTheme="majorHAnsi"/>
          <w:sz w:val="28"/>
          <w:szCs w:val="28"/>
        </w:rPr>
        <w:t xml:space="preserve"> un mecanismo ágil de adaptación ante el descubrimiento de rutas de </w:t>
      </w:r>
      <w:r>
        <w:rPr>
          <w:rFonts w:asciiTheme="majorHAnsi" w:hAnsiTheme="majorHAnsi"/>
          <w:sz w:val="28"/>
          <w:szCs w:val="28"/>
        </w:rPr>
        <w:t>investigación más promisorias,</w:t>
      </w:r>
      <w:r w:rsidRPr="00E231AF">
        <w:rPr>
          <w:rFonts w:asciiTheme="majorHAnsi" w:hAnsiTheme="majorHAnsi"/>
          <w:sz w:val="28"/>
          <w:szCs w:val="28"/>
        </w:rPr>
        <w:t xml:space="preserve"> la detección de errores en los modelos o </w:t>
      </w:r>
      <w:r>
        <w:rPr>
          <w:rFonts w:asciiTheme="majorHAnsi" w:hAnsiTheme="majorHAnsi"/>
          <w:sz w:val="28"/>
          <w:szCs w:val="28"/>
        </w:rPr>
        <w:t xml:space="preserve">en </w:t>
      </w:r>
      <w:r w:rsidRPr="00E231AF">
        <w:rPr>
          <w:rFonts w:asciiTheme="majorHAnsi" w:hAnsiTheme="majorHAnsi"/>
          <w:sz w:val="28"/>
          <w:szCs w:val="28"/>
        </w:rPr>
        <w:t xml:space="preserve">las hipótesis. Incluso, </w:t>
      </w:r>
      <w:r>
        <w:rPr>
          <w:rFonts w:asciiTheme="majorHAnsi" w:hAnsiTheme="majorHAnsi"/>
          <w:sz w:val="28"/>
          <w:szCs w:val="28"/>
        </w:rPr>
        <w:t>a los investigadores se les deb</w:t>
      </w:r>
      <w:r w:rsidRPr="00E231AF">
        <w:rPr>
          <w:rFonts w:asciiTheme="majorHAnsi" w:hAnsiTheme="majorHAnsi"/>
          <w:sz w:val="28"/>
          <w:szCs w:val="28"/>
        </w:rPr>
        <w:t xml:space="preserve">e permitir redefinir los estudios si descubren que llegaron, en la temática originalmente planteada, a lo que se conoce como callejón sin salida. Al final, la evaluación de la labor de los investigadores en este tipo de estudios depende no tanto de que se adhieran de manera inflexible a un programa detallado de investigación, sino que el producto final sea de calidad tal que </w:t>
      </w:r>
      <w:r>
        <w:rPr>
          <w:rFonts w:asciiTheme="majorHAnsi" w:hAnsiTheme="majorHAnsi"/>
          <w:sz w:val="28"/>
          <w:szCs w:val="28"/>
        </w:rPr>
        <w:t xml:space="preserve">se contribuya con la información útil para la toma de decisiones del Instituto, y se pueda cumplir con los requisitos de las </w:t>
      </w:r>
      <w:r w:rsidRPr="00E231AF">
        <w:rPr>
          <w:rFonts w:asciiTheme="majorHAnsi" w:hAnsiTheme="majorHAnsi"/>
          <w:sz w:val="28"/>
          <w:szCs w:val="28"/>
        </w:rPr>
        <w:t>revista</w:t>
      </w:r>
      <w:r>
        <w:rPr>
          <w:rFonts w:asciiTheme="majorHAnsi" w:hAnsiTheme="majorHAnsi"/>
          <w:sz w:val="28"/>
          <w:szCs w:val="28"/>
        </w:rPr>
        <w:t>s</w:t>
      </w:r>
      <w:r w:rsidRPr="00E231AF">
        <w:rPr>
          <w:rFonts w:asciiTheme="majorHAnsi" w:hAnsiTheme="majorHAnsi"/>
          <w:sz w:val="28"/>
          <w:szCs w:val="28"/>
        </w:rPr>
        <w:t xml:space="preserve"> de prestigio para su publicación. El mecanismo de ajuste de las investigaciones estará sujeto a la aprobación del Titular del CE</w:t>
      </w:r>
      <w:r>
        <w:rPr>
          <w:rFonts w:asciiTheme="majorHAnsi" w:hAnsiTheme="majorHAnsi"/>
          <w:sz w:val="28"/>
          <w:szCs w:val="28"/>
        </w:rPr>
        <w:t>S</w:t>
      </w:r>
      <w:r w:rsidRPr="00E231AF">
        <w:rPr>
          <w:rFonts w:asciiTheme="majorHAnsi" w:hAnsiTheme="majorHAnsi"/>
          <w:sz w:val="28"/>
          <w:szCs w:val="28"/>
        </w:rPr>
        <w:t>, quien considerará los objetivos del IFT en la adecuación de los proyectos.</w:t>
      </w:r>
    </w:p>
    <w:p w14:paraId="18AC213C"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Pr>
          <w:rFonts w:asciiTheme="majorHAnsi" w:hAnsiTheme="majorHAnsi"/>
          <w:sz w:val="28"/>
          <w:szCs w:val="28"/>
        </w:rPr>
        <w:t>Las propuestas de investigación</w:t>
      </w:r>
      <w:r w:rsidRPr="00E231AF">
        <w:rPr>
          <w:rFonts w:asciiTheme="majorHAnsi" w:hAnsiTheme="majorHAnsi"/>
          <w:sz w:val="28"/>
          <w:szCs w:val="28"/>
        </w:rPr>
        <w:t xml:space="preserve"> que se incluyen a continuación son responsabilidad de cada autor, por lo que su contenido, alcance y presentación son de su exclusiva responsabilidad.</w:t>
      </w:r>
    </w:p>
    <w:p w14:paraId="1E83BC5D" w14:textId="77777777" w:rsidR="0014509F" w:rsidRDefault="0014509F" w:rsidP="00A170A9">
      <w:pPr>
        <w:pStyle w:val="estilo30"/>
        <w:spacing w:before="240" w:beforeAutospacing="0" w:after="240" w:afterAutospacing="0" w:line="276" w:lineRule="auto"/>
        <w:jc w:val="both"/>
        <w:rPr>
          <w:rFonts w:asciiTheme="majorHAnsi" w:hAnsiTheme="majorHAnsi"/>
          <w:smallCaps/>
          <w:noProof/>
          <w:color w:val="808080" w:themeColor="background1" w:themeShade="80"/>
          <w:sz w:val="36"/>
          <w:szCs w:val="36"/>
        </w:rPr>
      </w:pPr>
      <w:r>
        <w:rPr>
          <w:rFonts w:asciiTheme="majorHAnsi" w:hAnsiTheme="majorHAnsi"/>
          <w:smallCaps/>
          <w:noProof/>
          <w:color w:val="808080" w:themeColor="background1" w:themeShade="80"/>
          <w:sz w:val="36"/>
          <w:szCs w:val="36"/>
        </w:rPr>
        <w:br w:type="page"/>
      </w:r>
    </w:p>
    <w:p w14:paraId="3EDDECCA" w14:textId="77777777" w:rsidR="0014509F" w:rsidRDefault="0014509F" w:rsidP="0014509F">
      <w:pPr>
        <w:keepNext/>
        <w:spacing w:after="100" w:afterAutospacing="1"/>
        <w:jc w:val="both"/>
        <w:rPr>
          <w:rFonts w:asciiTheme="majorHAnsi" w:hAnsiTheme="majorHAnsi"/>
          <w:color w:val="C45911" w:themeColor="accent2" w:themeShade="BF"/>
          <w:sz w:val="28"/>
          <w:szCs w:val="28"/>
        </w:rPr>
      </w:pPr>
      <w:sdt>
        <w:sdtPr>
          <w:rPr>
            <w:rFonts w:asciiTheme="majorHAnsi" w:hAnsiTheme="majorHAnsi"/>
            <w:color w:val="C45911" w:themeColor="accent2" w:themeShade="BF"/>
            <w:sz w:val="28"/>
            <w:szCs w:val="28"/>
          </w:rPr>
          <w:alias w:val="Nombre del Proyecto"/>
          <w:tag w:val="Nombre_x0020_del_x0020_Proyecto"/>
          <w:id w:val="1752464520"/>
          <w:placeholder>
            <w:docPart w:val="3395FACE80864B9DBC2B3256CE8EFD4C"/>
          </w:placeholder>
          <w:dataBinding w:prefixMappings="xmlns:ns0='http://schemas.microsoft.com/office/2006/metadata/properties' xmlns:ns1='http://www.w3.org/2001/XMLSchema-instance' xmlns:ns2='http://schemas.microsoft.com/office/infopath/2007/PartnerControls' xmlns:ns3='293807b6-12d3-42cc-a250-7bb708d556b9' " w:xpath="/ns0:properties[1]/documentManagement[1]/ns3:Nombre_x0020_del_x0020_Proyecto[1]" w:storeItemID="{D43C7FE1-1104-4286-B957-32265D6B0D08}"/>
          <w:text/>
        </w:sdtPr>
        <w:sdtContent>
          <w:r>
            <w:rPr>
              <w:rFonts w:asciiTheme="majorHAnsi" w:hAnsiTheme="majorHAnsi"/>
              <w:color w:val="C45911" w:themeColor="accent2" w:themeShade="BF"/>
              <w:sz w:val="28"/>
              <w:szCs w:val="28"/>
            </w:rPr>
            <w:t>Experiencia internacional reciente en la utilización de subastas de espectro y otros criterios para su asignación</w:t>
          </w:r>
        </w:sdtContent>
      </w:sdt>
    </w:p>
    <w:p w14:paraId="62D1D347" w14:textId="77777777" w:rsidR="0014509F" w:rsidRPr="0091364E" w:rsidRDefault="0014509F" w:rsidP="0014509F">
      <w:pPr>
        <w:keepNext/>
        <w:spacing w:after="100" w:afterAutospacing="1"/>
        <w:jc w:val="both"/>
        <w:rPr>
          <w:rFonts w:asciiTheme="majorHAnsi" w:hAnsiTheme="majorHAnsi"/>
          <w:color w:val="C45911" w:themeColor="accent2" w:themeShade="BF"/>
          <w:sz w:val="28"/>
          <w:szCs w:val="28"/>
        </w:rPr>
      </w:pPr>
      <w:r w:rsidRPr="0091364E">
        <w:rPr>
          <w:rFonts w:asciiTheme="majorHAnsi" w:hAnsiTheme="majorHAnsi"/>
          <w:color w:val="C45911" w:themeColor="accent2" w:themeShade="BF"/>
          <w:sz w:val="28"/>
          <w:szCs w:val="28"/>
        </w:rPr>
        <w:t>Ramiro Camacho Castillo</w:t>
      </w:r>
      <w:r w:rsidRPr="0091364E">
        <w:rPr>
          <w:rStyle w:val="Refdenotaalpie"/>
          <w:color w:val="C45911" w:themeColor="accent2" w:themeShade="BF"/>
          <w:sz w:val="28"/>
          <w:szCs w:val="28"/>
        </w:rPr>
        <w:footnoteReference w:id="9"/>
      </w:r>
    </w:p>
    <w:p w14:paraId="26A33917" w14:textId="77777777" w:rsidR="0014509F" w:rsidRPr="0091364E" w:rsidRDefault="0014509F" w:rsidP="0014509F">
      <w:pPr>
        <w:keepNext/>
        <w:spacing w:after="100" w:afterAutospacing="1"/>
        <w:contextualSpacing/>
        <w:jc w:val="both"/>
        <w:rPr>
          <w:rFonts w:asciiTheme="majorHAnsi" w:hAnsiTheme="majorHAnsi" w:cstheme="majorHAnsi"/>
          <w:color w:val="C45911" w:themeColor="accent2" w:themeShade="BF"/>
          <w:sz w:val="28"/>
          <w:szCs w:val="28"/>
        </w:rPr>
      </w:pPr>
      <w:r w:rsidRPr="0091364E">
        <w:rPr>
          <w:rFonts w:asciiTheme="majorHAnsi" w:hAnsiTheme="majorHAnsi" w:cstheme="majorHAnsi"/>
          <w:color w:val="C45911" w:themeColor="accent2" w:themeShade="BF"/>
          <w:sz w:val="28"/>
          <w:szCs w:val="28"/>
        </w:rPr>
        <w:t>Introducción</w:t>
      </w:r>
    </w:p>
    <w:p w14:paraId="5ED1E937"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sidRPr="00AB7399">
        <w:rPr>
          <w:rFonts w:asciiTheme="majorHAnsi" w:hAnsiTheme="majorHAnsi"/>
          <w:sz w:val="28"/>
          <w:szCs w:val="28"/>
        </w:rPr>
        <w:t xml:space="preserve">La asignación de espectro requiere un mecanismo que revele los usos posibles y los agentes interesados </w:t>
      </w:r>
      <w:r>
        <w:rPr>
          <w:rFonts w:asciiTheme="majorHAnsi" w:hAnsiTheme="majorHAnsi"/>
          <w:sz w:val="28"/>
          <w:szCs w:val="28"/>
        </w:rPr>
        <w:t xml:space="preserve">que </w:t>
      </w:r>
      <w:r w:rsidRPr="00AB7399">
        <w:rPr>
          <w:rFonts w:asciiTheme="majorHAnsi" w:hAnsiTheme="majorHAnsi"/>
          <w:sz w:val="28"/>
          <w:szCs w:val="28"/>
        </w:rPr>
        <w:t>están en condiciones de generar</w:t>
      </w:r>
      <w:r>
        <w:rPr>
          <w:rFonts w:asciiTheme="majorHAnsi" w:hAnsiTheme="majorHAnsi"/>
          <w:sz w:val="28"/>
          <w:szCs w:val="28"/>
        </w:rPr>
        <w:t xml:space="preserve"> </w:t>
      </w:r>
      <w:r w:rsidRPr="00AB7399">
        <w:rPr>
          <w:rFonts w:asciiTheme="majorHAnsi" w:hAnsiTheme="majorHAnsi"/>
          <w:sz w:val="28"/>
          <w:szCs w:val="28"/>
        </w:rPr>
        <w:t xml:space="preserve">el mayor valor social posible, especialmente cuando el espectro tiene usos alternativos que compiten por su utilización. </w:t>
      </w:r>
    </w:p>
    <w:p w14:paraId="35ECD639"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Pr>
          <w:rFonts w:asciiTheme="majorHAnsi" w:hAnsiTheme="majorHAnsi"/>
          <w:sz w:val="28"/>
          <w:szCs w:val="28"/>
        </w:rPr>
        <w:t>Las</w:t>
      </w:r>
      <w:r w:rsidRPr="00AB7399">
        <w:rPr>
          <w:rFonts w:asciiTheme="majorHAnsi" w:hAnsiTheme="majorHAnsi"/>
          <w:sz w:val="28"/>
          <w:szCs w:val="28"/>
        </w:rPr>
        <w:t xml:space="preserve"> licitaciones públicas o subastas</w:t>
      </w:r>
      <w:r>
        <w:rPr>
          <w:rFonts w:asciiTheme="majorHAnsi" w:hAnsiTheme="majorHAnsi"/>
          <w:sz w:val="28"/>
          <w:szCs w:val="28"/>
        </w:rPr>
        <w:t xml:space="preserve"> de</w:t>
      </w:r>
      <w:r w:rsidRPr="00AB7399">
        <w:rPr>
          <w:rFonts w:asciiTheme="majorHAnsi" w:hAnsiTheme="majorHAnsi"/>
          <w:sz w:val="28"/>
          <w:szCs w:val="28"/>
        </w:rPr>
        <w:t xml:space="preserve"> </w:t>
      </w:r>
      <w:r>
        <w:rPr>
          <w:rFonts w:asciiTheme="majorHAnsi" w:hAnsiTheme="majorHAnsi"/>
          <w:sz w:val="28"/>
          <w:szCs w:val="28"/>
        </w:rPr>
        <w:t>espe</w:t>
      </w:r>
      <w:r w:rsidRPr="00AB7399">
        <w:rPr>
          <w:rFonts w:asciiTheme="majorHAnsi" w:hAnsiTheme="majorHAnsi"/>
          <w:sz w:val="28"/>
          <w:szCs w:val="28"/>
        </w:rPr>
        <w:t xml:space="preserve">ctro </w:t>
      </w:r>
      <w:r>
        <w:rPr>
          <w:rFonts w:asciiTheme="majorHAnsi" w:hAnsiTheme="majorHAnsi"/>
          <w:sz w:val="28"/>
          <w:szCs w:val="28"/>
        </w:rPr>
        <w:t>son</w:t>
      </w:r>
      <w:r w:rsidRPr="00AB7399">
        <w:rPr>
          <w:rFonts w:asciiTheme="majorHAnsi" w:hAnsiTheme="majorHAnsi"/>
          <w:sz w:val="28"/>
          <w:szCs w:val="28"/>
        </w:rPr>
        <w:t xml:space="preserve"> </w:t>
      </w:r>
      <w:r>
        <w:rPr>
          <w:rFonts w:asciiTheme="majorHAnsi" w:hAnsiTheme="majorHAnsi"/>
          <w:sz w:val="28"/>
          <w:szCs w:val="28"/>
        </w:rPr>
        <w:t xml:space="preserve">usadas ampliamente </w:t>
      </w:r>
      <w:r w:rsidRPr="00AB7399">
        <w:rPr>
          <w:rFonts w:asciiTheme="majorHAnsi" w:hAnsiTheme="majorHAnsi"/>
          <w:sz w:val="28"/>
          <w:szCs w:val="28"/>
        </w:rPr>
        <w:t xml:space="preserve">a nivel internacional </w:t>
      </w:r>
      <w:r>
        <w:rPr>
          <w:rFonts w:asciiTheme="majorHAnsi" w:hAnsiTheme="majorHAnsi"/>
          <w:sz w:val="28"/>
          <w:szCs w:val="28"/>
        </w:rPr>
        <w:t>como mecanismo para</w:t>
      </w:r>
      <w:r w:rsidRPr="00AB7399">
        <w:rPr>
          <w:rFonts w:asciiTheme="majorHAnsi" w:hAnsiTheme="majorHAnsi"/>
          <w:sz w:val="28"/>
          <w:szCs w:val="28"/>
        </w:rPr>
        <w:t xml:space="preserve"> asignar bandas de espectro radioeléctrico</w:t>
      </w:r>
      <w:r>
        <w:rPr>
          <w:rFonts w:asciiTheme="majorHAnsi" w:hAnsiTheme="majorHAnsi"/>
          <w:sz w:val="28"/>
          <w:szCs w:val="28"/>
        </w:rPr>
        <w:t>,</w:t>
      </w:r>
      <w:r w:rsidRPr="00AB7399">
        <w:rPr>
          <w:rFonts w:asciiTheme="majorHAnsi" w:hAnsiTheme="majorHAnsi"/>
          <w:sz w:val="28"/>
          <w:szCs w:val="28"/>
        </w:rPr>
        <w:t xml:space="preserve"> </w:t>
      </w:r>
      <w:r>
        <w:rPr>
          <w:rFonts w:asciiTheme="majorHAnsi" w:hAnsiTheme="majorHAnsi"/>
          <w:sz w:val="28"/>
          <w:szCs w:val="28"/>
        </w:rPr>
        <w:t>especialmente</w:t>
      </w:r>
      <w:r w:rsidRPr="00AB7399">
        <w:rPr>
          <w:rFonts w:asciiTheme="majorHAnsi" w:hAnsiTheme="majorHAnsi"/>
          <w:sz w:val="28"/>
          <w:szCs w:val="28"/>
        </w:rPr>
        <w:t xml:space="preserve"> para usos comerciales. </w:t>
      </w:r>
      <w:r>
        <w:rPr>
          <w:rFonts w:asciiTheme="majorHAnsi" w:hAnsiTheme="majorHAnsi"/>
          <w:sz w:val="28"/>
          <w:szCs w:val="28"/>
        </w:rPr>
        <w:t xml:space="preserve">No obstante, </w:t>
      </w:r>
      <w:r w:rsidRPr="00AB7399">
        <w:rPr>
          <w:rFonts w:asciiTheme="majorHAnsi" w:hAnsiTheme="majorHAnsi"/>
          <w:sz w:val="28"/>
          <w:szCs w:val="28"/>
        </w:rPr>
        <w:t>mecanismos</w:t>
      </w:r>
      <w:r>
        <w:rPr>
          <w:rFonts w:asciiTheme="majorHAnsi" w:hAnsiTheme="majorHAnsi"/>
          <w:sz w:val="28"/>
          <w:szCs w:val="28"/>
        </w:rPr>
        <w:t xml:space="preserve"> como</w:t>
      </w:r>
      <w:r w:rsidRPr="00AB7399">
        <w:rPr>
          <w:rFonts w:asciiTheme="majorHAnsi" w:hAnsiTheme="majorHAnsi"/>
          <w:sz w:val="28"/>
          <w:szCs w:val="28"/>
        </w:rPr>
        <w:t xml:space="preserve"> la </w:t>
      </w:r>
      <w:r>
        <w:rPr>
          <w:rFonts w:asciiTheme="majorHAnsi" w:hAnsiTheme="majorHAnsi"/>
          <w:sz w:val="28"/>
          <w:szCs w:val="28"/>
        </w:rPr>
        <w:t>clasificación</w:t>
      </w:r>
      <w:r w:rsidRPr="00AB7399">
        <w:rPr>
          <w:rFonts w:asciiTheme="majorHAnsi" w:hAnsiTheme="majorHAnsi"/>
          <w:sz w:val="28"/>
          <w:szCs w:val="28"/>
        </w:rPr>
        <w:t xml:space="preserve"> de bandas de espectro libre</w:t>
      </w:r>
      <w:r>
        <w:rPr>
          <w:rFonts w:asciiTheme="majorHAnsi" w:hAnsiTheme="majorHAnsi"/>
          <w:sz w:val="28"/>
          <w:szCs w:val="28"/>
        </w:rPr>
        <w:t>, o el espectro compartido son o podrían convertirse en alternativas eficientes a medida que avanza el desarrollo tecnológico.</w:t>
      </w:r>
    </w:p>
    <w:p w14:paraId="59E30A1E"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sidRPr="00AB7399">
        <w:rPr>
          <w:rFonts w:asciiTheme="majorHAnsi" w:hAnsiTheme="majorHAnsi"/>
          <w:sz w:val="28"/>
          <w:szCs w:val="28"/>
        </w:rPr>
        <w:t xml:space="preserve">Dada la complejidad de </w:t>
      </w:r>
      <w:r>
        <w:rPr>
          <w:rFonts w:asciiTheme="majorHAnsi" w:hAnsiTheme="majorHAnsi"/>
          <w:sz w:val="28"/>
          <w:szCs w:val="28"/>
        </w:rPr>
        <w:t>la elección del mecanismo especí</w:t>
      </w:r>
      <w:r w:rsidRPr="00AB7399">
        <w:rPr>
          <w:rFonts w:asciiTheme="majorHAnsi" w:hAnsiTheme="majorHAnsi"/>
          <w:sz w:val="28"/>
          <w:szCs w:val="28"/>
        </w:rPr>
        <w:t xml:space="preserve">fico de </w:t>
      </w:r>
      <w:r>
        <w:rPr>
          <w:rFonts w:asciiTheme="majorHAnsi" w:hAnsiTheme="majorHAnsi"/>
          <w:sz w:val="28"/>
          <w:szCs w:val="28"/>
        </w:rPr>
        <w:t>asignación</w:t>
      </w:r>
      <w:r w:rsidRPr="00AB7399">
        <w:rPr>
          <w:rFonts w:asciiTheme="majorHAnsi" w:hAnsiTheme="majorHAnsi"/>
          <w:sz w:val="28"/>
          <w:szCs w:val="28"/>
        </w:rPr>
        <w:t xml:space="preserve"> y la cantidad de contingencias que pueden surgir durante su implementación, es necesario que el regulador sectorial esté al tanto de la mejor práctica internacional sobre el tema, incluyendo los principios en que se basa la selección del </w:t>
      </w:r>
      <w:r>
        <w:rPr>
          <w:rFonts w:asciiTheme="majorHAnsi" w:hAnsiTheme="majorHAnsi"/>
          <w:sz w:val="28"/>
          <w:szCs w:val="28"/>
        </w:rPr>
        <w:t>mecanismo de asignación,</w:t>
      </w:r>
      <w:r w:rsidRPr="00AB7399">
        <w:rPr>
          <w:rFonts w:asciiTheme="majorHAnsi" w:hAnsiTheme="majorHAnsi"/>
          <w:sz w:val="28"/>
          <w:szCs w:val="28"/>
        </w:rPr>
        <w:t xml:space="preserve"> de acuerdo al tipo de espectro, su relación con las condiciones del mercado, dificultades de implementación, así como las consecuencias de las asignaciones de</w:t>
      </w:r>
      <w:r>
        <w:rPr>
          <w:rFonts w:asciiTheme="majorHAnsi" w:hAnsiTheme="majorHAnsi"/>
          <w:sz w:val="28"/>
          <w:szCs w:val="28"/>
        </w:rPr>
        <w:t>l recurso</w:t>
      </w:r>
      <w:r w:rsidRPr="00AB7399">
        <w:rPr>
          <w:rFonts w:asciiTheme="majorHAnsi" w:hAnsiTheme="majorHAnsi"/>
          <w:sz w:val="28"/>
          <w:szCs w:val="28"/>
        </w:rPr>
        <w:t xml:space="preserve">. </w:t>
      </w:r>
    </w:p>
    <w:p w14:paraId="760810B0" w14:textId="77777777" w:rsidR="0014509F" w:rsidRPr="00051D38" w:rsidRDefault="0014509F" w:rsidP="0014509F">
      <w:pPr>
        <w:keepNext/>
        <w:spacing w:after="100" w:afterAutospacing="1"/>
        <w:contextualSpacing/>
        <w:jc w:val="both"/>
        <w:rPr>
          <w:rFonts w:asciiTheme="majorHAnsi" w:hAnsiTheme="majorHAnsi" w:cstheme="majorHAnsi"/>
          <w:color w:val="C45911" w:themeColor="accent2" w:themeShade="BF"/>
          <w:sz w:val="28"/>
          <w:szCs w:val="28"/>
        </w:rPr>
      </w:pPr>
      <w:r w:rsidRPr="00051D38">
        <w:rPr>
          <w:rFonts w:asciiTheme="majorHAnsi" w:hAnsiTheme="majorHAnsi" w:cstheme="majorHAnsi"/>
          <w:color w:val="C45911" w:themeColor="accent2" w:themeShade="BF"/>
          <w:sz w:val="28"/>
          <w:szCs w:val="28"/>
        </w:rPr>
        <w:lastRenderedPageBreak/>
        <w:t xml:space="preserve">Objetivo </w:t>
      </w:r>
    </w:p>
    <w:p w14:paraId="2E753071"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sidRPr="00AB7399">
        <w:rPr>
          <w:rFonts w:asciiTheme="majorHAnsi" w:hAnsiTheme="majorHAnsi"/>
          <w:sz w:val="28"/>
          <w:szCs w:val="28"/>
        </w:rPr>
        <w:t xml:space="preserve">Analizar casos recientes a nivel internacional sobre </w:t>
      </w:r>
      <w:r>
        <w:rPr>
          <w:rFonts w:asciiTheme="majorHAnsi" w:hAnsiTheme="majorHAnsi"/>
          <w:sz w:val="28"/>
          <w:szCs w:val="28"/>
        </w:rPr>
        <w:t xml:space="preserve">mecanismos de asignación, incluyendo </w:t>
      </w:r>
      <w:r w:rsidRPr="00AB7399">
        <w:rPr>
          <w:rFonts w:asciiTheme="majorHAnsi" w:hAnsiTheme="majorHAnsi"/>
          <w:sz w:val="28"/>
          <w:szCs w:val="28"/>
        </w:rPr>
        <w:t>la utilización de subastas</w:t>
      </w:r>
      <w:r>
        <w:rPr>
          <w:rFonts w:asciiTheme="majorHAnsi" w:hAnsiTheme="majorHAnsi"/>
          <w:sz w:val="28"/>
          <w:szCs w:val="28"/>
        </w:rPr>
        <w:t>, asignación directa, clasificación de espectro libre o esquemas de espectro compartido, de</w:t>
      </w:r>
      <w:r w:rsidRPr="00AB7399">
        <w:rPr>
          <w:rFonts w:asciiTheme="majorHAnsi" w:hAnsiTheme="majorHAnsi"/>
          <w:sz w:val="28"/>
          <w:szCs w:val="28"/>
        </w:rPr>
        <w:t xml:space="preserve"> bandas para </w:t>
      </w:r>
      <w:r>
        <w:rPr>
          <w:rFonts w:asciiTheme="majorHAnsi" w:hAnsiTheme="majorHAnsi"/>
          <w:sz w:val="28"/>
          <w:szCs w:val="28"/>
        </w:rPr>
        <w:t xml:space="preserve">uso de los </w:t>
      </w:r>
      <w:r w:rsidRPr="00AB7399">
        <w:rPr>
          <w:rFonts w:asciiTheme="majorHAnsi" w:hAnsiTheme="majorHAnsi"/>
          <w:sz w:val="28"/>
          <w:szCs w:val="28"/>
        </w:rPr>
        <w:t xml:space="preserve">servicios de </w:t>
      </w:r>
      <w:r>
        <w:rPr>
          <w:rFonts w:asciiTheme="majorHAnsi" w:hAnsiTheme="majorHAnsi"/>
          <w:sz w:val="28"/>
          <w:szCs w:val="28"/>
        </w:rPr>
        <w:t>telecomunicación</w:t>
      </w:r>
      <w:r w:rsidRPr="00AB7399">
        <w:rPr>
          <w:rFonts w:asciiTheme="majorHAnsi" w:hAnsiTheme="majorHAnsi"/>
          <w:sz w:val="28"/>
          <w:szCs w:val="28"/>
        </w:rPr>
        <w:t xml:space="preserve"> móvil y radiodifusión. El análisis se centrará en los </w:t>
      </w:r>
      <w:r>
        <w:rPr>
          <w:rFonts w:asciiTheme="majorHAnsi" w:hAnsiTheme="majorHAnsi"/>
          <w:sz w:val="28"/>
          <w:szCs w:val="28"/>
        </w:rPr>
        <w:t>mecanismos elegidos y las razones</w:t>
      </w:r>
      <w:r w:rsidRPr="00AB7399">
        <w:rPr>
          <w:rFonts w:asciiTheme="majorHAnsi" w:hAnsiTheme="majorHAnsi"/>
          <w:sz w:val="28"/>
          <w:szCs w:val="28"/>
        </w:rPr>
        <w:t xml:space="preserve"> </w:t>
      </w:r>
      <w:r>
        <w:rPr>
          <w:rFonts w:asciiTheme="majorHAnsi" w:hAnsiTheme="majorHAnsi"/>
          <w:sz w:val="28"/>
          <w:szCs w:val="28"/>
        </w:rPr>
        <w:t xml:space="preserve">de la </w:t>
      </w:r>
      <w:r w:rsidRPr="00AB7399">
        <w:rPr>
          <w:rFonts w:asciiTheme="majorHAnsi" w:hAnsiTheme="majorHAnsi"/>
          <w:sz w:val="28"/>
          <w:szCs w:val="28"/>
        </w:rPr>
        <w:t>elección</w:t>
      </w:r>
      <w:r>
        <w:rPr>
          <w:rFonts w:asciiTheme="majorHAnsi" w:hAnsiTheme="majorHAnsi"/>
          <w:sz w:val="28"/>
          <w:szCs w:val="28"/>
        </w:rPr>
        <w:t xml:space="preserve">, incluyendo </w:t>
      </w:r>
      <w:r w:rsidRPr="00AB7399">
        <w:rPr>
          <w:rFonts w:asciiTheme="majorHAnsi" w:hAnsiTheme="majorHAnsi"/>
          <w:sz w:val="28"/>
          <w:szCs w:val="28"/>
        </w:rPr>
        <w:t>los parámetros relevantes, las restricciones establecidas</w:t>
      </w:r>
      <w:r>
        <w:rPr>
          <w:rFonts w:asciiTheme="majorHAnsi" w:hAnsiTheme="majorHAnsi"/>
          <w:sz w:val="28"/>
          <w:szCs w:val="28"/>
        </w:rPr>
        <w:t>,</w:t>
      </w:r>
      <w:r w:rsidRPr="00AB7399">
        <w:rPr>
          <w:rFonts w:asciiTheme="majorHAnsi" w:hAnsiTheme="majorHAnsi"/>
          <w:sz w:val="28"/>
          <w:szCs w:val="28"/>
        </w:rPr>
        <w:t xml:space="preserve"> las experiencias obtenidas durante su implementación,</w:t>
      </w:r>
      <w:r>
        <w:rPr>
          <w:rFonts w:asciiTheme="majorHAnsi" w:hAnsiTheme="majorHAnsi"/>
          <w:sz w:val="28"/>
          <w:szCs w:val="28"/>
        </w:rPr>
        <w:t xml:space="preserve"> </w:t>
      </w:r>
      <w:r w:rsidRPr="00AB7399">
        <w:rPr>
          <w:rFonts w:asciiTheme="majorHAnsi" w:hAnsiTheme="majorHAnsi"/>
          <w:sz w:val="28"/>
          <w:szCs w:val="28"/>
        </w:rPr>
        <w:t>así como las contingencias e</w:t>
      </w:r>
      <w:r>
        <w:rPr>
          <w:rFonts w:asciiTheme="majorHAnsi" w:hAnsiTheme="majorHAnsi"/>
          <w:sz w:val="28"/>
          <w:szCs w:val="28"/>
        </w:rPr>
        <w:t xml:space="preserve">n la fase de implementación y </w:t>
      </w:r>
      <w:r w:rsidRPr="00AB7399">
        <w:rPr>
          <w:rFonts w:asciiTheme="majorHAnsi" w:hAnsiTheme="majorHAnsi"/>
          <w:sz w:val="28"/>
          <w:szCs w:val="28"/>
        </w:rPr>
        <w:t>asignación final del espectro. En el análisis ex post, se revisará</w:t>
      </w:r>
      <w:r>
        <w:rPr>
          <w:rFonts w:asciiTheme="majorHAnsi" w:hAnsiTheme="majorHAnsi"/>
          <w:sz w:val="28"/>
          <w:szCs w:val="28"/>
        </w:rPr>
        <w:t xml:space="preserve">n </w:t>
      </w:r>
      <w:r w:rsidRPr="00AB7399">
        <w:rPr>
          <w:rFonts w:asciiTheme="majorHAnsi" w:hAnsiTheme="majorHAnsi"/>
          <w:sz w:val="28"/>
          <w:szCs w:val="28"/>
        </w:rPr>
        <w:t xml:space="preserve">los efectos </w:t>
      </w:r>
      <w:r>
        <w:rPr>
          <w:rFonts w:asciiTheme="majorHAnsi" w:hAnsiTheme="majorHAnsi"/>
          <w:sz w:val="28"/>
          <w:szCs w:val="28"/>
        </w:rPr>
        <w:t xml:space="preserve">observados </w:t>
      </w:r>
      <w:r w:rsidRPr="00AB7399">
        <w:rPr>
          <w:rFonts w:asciiTheme="majorHAnsi" w:hAnsiTheme="majorHAnsi"/>
          <w:sz w:val="28"/>
          <w:szCs w:val="28"/>
        </w:rPr>
        <w:t xml:space="preserve">sobre los mercados de servicios de telecomunicaciones. El estudio contará con una sección introductoria que revisará la </w:t>
      </w:r>
      <w:r>
        <w:rPr>
          <w:rFonts w:asciiTheme="majorHAnsi" w:hAnsiTheme="majorHAnsi"/>
          <w:sz w:val="28"/>
          <w:szCs w:val="28"/>
        </w:rPr>
        <w:t xml:space="preserve">teoría sobre </w:t>
      </w:r>
      <w:r w:rsidRPr="00AB7399">
        <w:rPr>
          <w:rFonts w:asciiTheme="majorHAnsi" w:hAnsiTheme="majorHAnsi"/>
          <w:sz w:val="28"/>
          <w:szCs w:val="28"/>
        </w:rPr>
        <w:t xml:space="preserve">subastas y </w:t>
      </w:r>
      <w:r>
        <w:rPr>
          <w:rFonts w:asciiTheme="majorHAnsi" w:hAnsiTheme="majorHAnsi"/>
          <w:sz w:val="28"/>
          <w:szCs w:val="28"/>
        </w:rPr>
        <w:t xml:space="preserve">las </w:t>
      </w:r>
      <w:r w:rsidRPr="00AB7399">
        <w:rPr>
          <w:rFonts w:asciiTheme="majorHAnsi" w:hAnsiTheme="majorHAnsi"/>
          <w:sz w:val="28"/>
          <w:szCs w:val="28"/>
        </w:rPr>
        <w:t xml:space="preserve">experiencias históricas </w:t>
      </w:r>
      <w:r>
        <w:rPr>
          <w:rFonts w:asciiTheme="majorHAnsi" w:hAnsiTheme="majorHAnsi"/>
          <w:sz w:val="28"/>
          <w:szCs w:val="28"/>
        </w:rPr>
        <w:t>relevantes.</w:t>
      </w:r>
    </w:p>
    <w:p w14:paraId="60D0264E" w14:textId="77777777" w:rsidR="0014509F" w:rsidRPr="0091364E" w:rsidRDefault="0014509F" w:rsidP="0014509F">
      <w:pPr>
        <w:keepNext/>
        <w:contextualSpacing/>
        <w:jc w:val="both"/>
        <w:rPr>
          <w:rFonts w:asciiTheme="majorHAnsi" w:hAnsiTheme="majorHAnsi" w:cstheme="majorHAnsi"/>
          <w:color w:val="C45911" w:themeColor="accent2" w:themeShade="BF"/>
          <w:sz w:val="28"/>
          <w:szCs w:val="28"/>
        </w:rPr>
      </w:pPr>
      <w:r w:rsidRPr="0091364E">
        <w:rPr>
          <w:rFonts w:asciiTheme="majorHAnsi" w:hAnsiTheme="majorHAnsi" w:cstheme="majorHAnsi"/>
          <w:color w:val="C45911" w:themeColor="accent2" w:themeShade="BF"/>
          <w:sz w:val="28"/>
          <w:szCs w:val="28"/>
        </w:rPr>
        <w:t>Metodología</w:t>
      </w:r>
    </w:p>
    <w:p w14:paraId="2C5A7493"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Pr>
          <w:rFonts w:asciiTheme="majorHAnsi" w:hAnsiTheme="majorHAnsi"/>
          <w:sz w:val="28"/>
          <w:szCs w:val="28"/>
        </w:rPr>
        <w:t>Se</w:t>
      </w:r>
      <w:r w:rsidRPr="00AB7399">
        <w:rPr>
          <w:rFonts w:asciiTheme="majorHAnsi" w:hAnsiTheme="majorHAnsi"/>
          <w:sz w:val="28"/>
          <w:szCs w:val="28"/>
        </w:rPr>
        <w:t xml:space="preserve"> realizará el análisis de un conjunto de </w:t>
      </w:r>
      <w:r>
        <w:rPr>
          <w:rFonts w:asciiTheme="majorHAnsi" w:hAnsiTheme="majorHAnsi"/>
          <w:sz w:val="28"/>
          <w:szCs w:val="28"/>
        </w:rPr>
        <w:t xml:space="preserve">experiencias de procesos de asignación, subastas, clasificación de espectro libre </w:t>
      </w:r>
      <w:r w:rsidRPr="00AB7399">
        <w:rPr>
          <w:rFonts w:asciiTheme="majorHAnsi" w:hAnsiTheme="majorHAnsi"/>
          <w:sz w:val="28"/>
          <w:szCs w:val="28"/>
        </w:rPr>
        <w:t>realizadas</w:t>
      </w:r>
      <w:r>
        <w:rPr>
          <w:rFonts w:asciiTheme="majorHAnsi" w:hAnsiTheme="majorHAnsi"/>
          <w:sz w:val="28"/>
          <w:szCs w:val="28"/>
        </w:rPr>
        <w:t xml:space="preserve"> y esquemas de espectro compartido,</w:t>
      </w:r>
      <w:r w:rsidRPr="00AB7399">
        <w:rPr>
          <w:rFonts w:asciiTheme="majorHAnsi" w:hAnsiTheme="majorHAnsi"/>
          <w:sz w:val="28"/>
          <w:szCs w:val="28"/>
        </w:rPr>
        <w:t xml:space="preserve"> en los últimos diez años en distintos paí</w:t>
      </w:r>
      <w:r>
        <w:rPr>
          <w:rFonts w:asciiTheme="majorHAnsi" w:hAnsiTheme="majorHAnsi"/>
          <w:sz w:val="28"/>
          <w:szCs w:val="28"/>
        </w:rPr>
        <w:t>ses. La elección se realizará con base en</w:t>
      </w:r>
      <w:r w:rsidRPr="00AB7399">
        <w:rPr>
          <w:rFonts w:asciiTheme="majorHAnsi" w:hAnsiTheme="majorHAnsi"/>
          <w:sz w:val="28"/>
          <w:szCs w:val="28"/>
        </w:rPr>
        <w:t xml:space="preserve"> criterios de importancia (</w:t>
      </w:r>
      <w:r>
        <w:rPr>
          <w:rFonts w:asciiTheme="majorHAnsi" w:hAnsiTheme="majorHAnsi"/>
          <w:sz w:val="28"/>
          <w:szCs w:val="28"/>
        </w:rPr>
        <w:t xml:space="preserve">asignación </w:t>
      </w:r>
      <w:r w:rsidRPr="00AB7399">
        <w:rPr>
          <w:rFonts w:asciiTheme="majorHAnsi" w:hAnsiTheme="majorHAnsi"/>
          <w:sz w:val="28"/>
          <w:szCs w:val="28"/>
        </w:rPr>
        <w:t xml:space="preserve">de bandas a nivel nacional, segmentos de espectro importantes o estratégicos) en países de la OECD o en países latinoamericanos de </w:t>
      </w:r>
      <w:r>
        <w:rPr>
          <w:rFonts w:asciiTheme="majorHAnsi" w:hAnsiTheme="majorHAnsi"/>
          <w:sz w:val="28"/>
          <w:szCs w:val="28"/>
        </w:rPr>
        <w:t xml:space="preserve">tamaño y </w:t>
      </w:r>
      <w:r w:rsidRPr="00AB7399">
        <w:rPr>
          <w:rFonts w:asciiTheme="majorHAnsi" w:hAnsiTheme="majorHAnsi"/>
          <w:sz w:val="28"/>
          <w:szCs w:val="28"/>
        </w:rPr>
        <w:t xml:space="preserve">nivel de desarrollo similar a México. </w:t>
      </w:r>
    </w:p>
    <w:p w14:paraId="2536F702" w14:textId="77777777" w:rsidR="0014509F" w:rsidRDefault="0014509F" w:rsidP="00A170A9">
      <w:pPr>
        <w:pStyle w:val="estilo30"/>
        <w:spacing w:before="240" w:beforeAutospacing="0" w:after="240" w:afterAutospacing="0" w:line="276" w:lineRule="auto"/>
        <w:ind w:firstLine="708"/>
        <w:jc w:val="both"/>
        <w:rPr>
          <w:rFonts w:asciiTheme="majorHAnsi" w:hAnsiTheme="majorHAnsi"/>
          <w:sz w:val="28"/>
          <w:szCs w:val="28"/>
        </w:rPr>
      </w:pPr>
      <w:r w:rsidRPr="00AB7399">
        <w:rPr>
          <w:rFonts w:asciiTheme="majorHAnsi" w:hAnsiTheme="majorHAnsi"/>
          <w:sz w:val="28"/>
          <w:szCs w:val="28"/>
        </w:rPr>
        <w:t>En particular, en una sección aparte, se realizará un análisis de las subastas realizadas en México con posterioridad a la reforma del sector, IFT-1 a IFT-6, y se compararán las experiencias con los</w:t>
      </w:r>
      <w:r>
        <w:rPr>
          <w:rFonts w:asciiTheme="majorHAnsi" w:hAnsiTheme="majorHAnsi"/>
          <w:sz w:val="28"/>
          <w:szCs w:val="28"/>
        </w:rPr>
        <w:t xml:space="preserve"> casos a nivel internacional.</w:t>
      </w:r>
    </w:p>
    <w:p w14:paraId="48AEC5C4" w14:textId="77777777" w:rsidR="0014509F" w:rsidRDefault="0014509F" w:rsidP="00A170A9">
      <w:pPr>
        <w:pStyle w:val="estilo30"/>
        <w:spacing w:before="240" w:beforeAutospacing="0" w:after="240" w:afterAutospacing="0" w:line="276" w:lineRule="auto"/>
        <w:ind w:firstLine="708"/>
        <w:jc w:val="both"/>
        <w:rPr>
          <w:rFonts w:asciiTheme="majorHAnsi" w:hAnsiTheme="majorHAnsi"/>
          <w:sz w:val="28"/>
          <w:szCs w:val="28"/>
        </w:rPr>
      </w:pPr>
      <w:r>
        <w:rPr>
          <w:rFonts w:asciiTheme="majorHAnsi" w:hAnsiTheme="majorHAnsi"/>
          <w:sz w:val="28"/>
          <w:szCs w:val="28"/>
        </w:rPr>
        <w:t>Las variables y elementos para el análisis de casos incluirán: e</w:t>
      </w:r>
      <w:r w:rsidRPr="007A7E81">
        <w:rPr>
          <w:rFonts w:asciiTheme="majorHAnsi" w:hAnsiTheme="majorHAnsi"/>
          <w:sz w:val="28"/>
          <w:szCs w:val="28"/>
        </w:rPr>
        <w:t>l mercado y entorno regulatorio en que se realiza la subasta</w:t>
      </w:r>
      <w:r>
        <w:rPr>
          <w:rFonts w:asciiTheme="majorHAnsi" w:hAnsiTheme="majorHAnsi"/>
          <w:sz w:val="28"/>
          <w:szCs w:val="28"/>
        </w:rPr>
        <w:t xml:space="preserve"> o se asigna el espectro; t</w:t>
      </w:r>
      <w:r w:rsidRPr="007A7E81">
        <w:rPr>
          <w:rFonts w:asciiTheme="majorHAnsi" w:hAnsiTheme="majorHAnsi"/>
          <w:sz w:val="28"/>
          <w:szCs w:val="28"/>
        </w:rPr>
        <w:t xml:space="preserve">ipo de subasta </w:t>
      </w:r>
      <w:r>
        <w:rPr>
          <w:rFonts w:asciiTheme="majorHAnsi" w:hAnsiTheme="majorHAnsi"/>
          <w:sz w:val="28"/>
          <w:szCs w:val="28"/>
        </w:rPr>
        <w:t xml:space="preserve">o proceso </w:t>
      </w:r>
      <w:r w:rsidRPr="007A7E81">
        <w:rPr>
          <w:rFonts w:asciiTheme="majorHAnsi" w:hAnsiTheme="majorHAnsi"/>
          <w:sz w:val="28"/>
          <w:szCs w:val="28"/>
        </w:rPr>
        <w:t>utilizado en función del servicio (móvil, radiodifusión)</w:t>
      </w:r>
      <w:r>
        <w:rPr>
          <w:rFonts w:asciiTheme="majorHAnsi" w:hAnsiTheme="majorHAnsi"/>
          <w:sz w:val="28"/>
          <w:szCs w:val="28"/>
        </w:rPr>
        <w:t xml:space="preserve"> o uso; los p</w:t>
      </w:r>
      <w:r w:rsidRPr="007A7E81">
        <w:rPr>
          <w:rFonts w:asciiTheme="majorHAnsi" w:hAnsiTheme="majorHAnsi"/>
          <w:sz w:val="28"/>
          <w:szCs w:val="28"/>
        </w:rPr>
        <w:t>arámetros utilizados, incluyendo valores mínimos de re</w:t>
      </w:r>
      <w:r>
        <w:rPr>
          <w:rFonts w:asciiTheme="majorHAnsi" w:hAnsiTheme="majorHAnsi"/>
          <w:sz w:val="28"/>
          <w:szCs w:val="28"/>
        </w:rPr>
        <w:t>ferencia, garantías de seriedad; r</w:t>
      </w:r>
      <w:r w:rsidRPr="007A7E81">
        <w:rPr>
          <w:rFonts w:asciiTheme="majorHAnsi" w:hAnsiTheme="majorHAnsi"/>
          <w:sz w:val="28"/>
          <w:szCs w:val="28"/>
        </w:rPr>
        <w:t>estricciones a la part</w:t>
      </w:r>
      <w:r>
        <w:rPr>
          <w:rFonts w:asciiTheme="majorHAnsi" w:hAnsiTheme="majorHAnsi"/>
          <w:sz w:val="28"/>
          <w:szCs w:val="28"/>
        </w:rPr>
        <w:t>icipación o acumulación; e</w:t>
      </w:r>
      <w:r w:rsidRPr="007A7E81">
        <w:rPr>
          <w:rFonts w:asciiTheme="majorHAnsi" w:hAnsiTheme="majorHAnsi"/>
          <w:sz w:val="28"/>
          <w:szCs w:val="28"/>
        </w:rPr>
        <w:t>xperiencias en la implementación, incidentes, du</w:t>
      </w:r>
      <w:r>
        <w:rPr>
          <w:rFonts w:asciiTheme="majorHAnsi" w:hAnsiTheme="majorHAnsi"/>
          <w:sz w:val="28"/>
          <w:szCs w:val="28"/>
        </w:rPr>
        <w:t>ración, etapas, descalificación; bandas de espectro subastado y sus características técnicas; número de participantes; p</w:t>
      </w:r>
      <w:r w:rsidRPr="007A7E81">
        <w:rPr>
          <w:rFonts w:asciiTheme="majorHAnsi" w:hAnsiTheme="majorHAnsi"/>
          <w:sz w:val="28"/>
          <w:szCs w:val="28"/>
        </w:rPr>
        <w:t>recios pagados</w:t>
      </w:r>
      <w:r>
        <w:rPr>
          <w:rFonts w:asciiTheme="majorHAnsi" w:hAnsiTheme="majorHAnsi"/>
          <w:sz w:val="28"/>
          <w:szCs w:val="28"/>
        </w:rPr>
        <w:t>,</w:t>
      </w:r>
      <w:r w:rsidRPr="00FF61B9">
        <w:t xml:space="preserve"> </w:t>
      </w:r>
      <w:r w:rsidRPr="00FF61B9">
        <w:rPr>
          <w:rFonts w:asciiTheme="majorHAnsi" w:hAnsiTheme="majorHAnsi"/>
          <w:sz w:val="28"/>
          <w:szCs w:val="28"/>
        </w:rPr>
        <w:lastRenderedPageBreak/>
        <w:t>valor implícito del espectro ($/MHZ/pop),</w:t>
      </w:r>
      <w:r>
        <w:rPr>
          <w:rFonts w:asciiTheme="majorHAnsi" w:hAnsiTheme="majorHAnsi"/>
          <w:sz w:val="28"/>
          <w:szCs w:val="28"/>
        </w:rPr>
        <w:t xml:space="preserve"> r</w:t>
      </w:r>
      <w:r w:rsidRPr="007A7E81">
        <w:rPr>
          <w:rFonts w:asciiTheme="majorHAnsi" w:hAnsiTheme="majorHAnsi"/>
          <w:sz w:val="28"/>
          <w:szCs w:val="28"/>
        </w:rPr>
        <w:t>esultados neg</w:t>
      </w:r>
      <w:r>
        <w:rPr>
          <w:rFonts w:asciiTheme="majorHAnsi" w:hAnsiTheme="majorHAnsi"/>
          <w:sz w:val="28"/>
          <w:szCs w:val="28"/>
        </w:rPr>
        <w:t>ativos, positivos o inesperados; p</w:t>
      </w:r>
      <w:r w:rsidRPr="007A7E81">
        <w:rPr>
          <w:rFonts w:asciiTheme="majorHAnsi" w:hAnsiTheme="majorHAnsi"/>
          <w:sz w:val="28"/>
          <w:szCs w:val="28"/>
        </w:rPr>
        <w:t>ercepción del regulador y de la opinión pública</w:t>
      </w:r>
      <w:r>
        <w:rPr>
          <w:rFonts w:asciiTheme="majorHAnsi" w:hAnsiTheme="majorHAnsi"/>
          <w:sz w:val="28"/>
          <w:szCs w:val="28"/>
        </w:rPr>
        <w:t>.</w:t>
      </w:r>
    </w:p>
    <w:p w14:paraId="73E5D953" w14:textId="77777777" w:rsidR="0014509F" w:rsidRPr="0091364E" w:rsidRDefault="0014509F" w:rsidP="0014509F">
      <w:pPr>
        <w:keepNext/>
        <w:spacing w:after="100" w:afterAutospacing="1"/>
        <w:contextualSpacing/>
        <w:jc w:val="both"/>
        <w:rPr>
          <w:rFonts w:asciiTheme="majorHAnsi" w:hAnsiTheme="majorHAnsi" w:cstheme="majorHAnsi"/>
          <w:color w:val="C45911" w:themeColor="accent2" w:themeShade="BF"/>
          <w:sz w:val="28"/>
          <w:szCs w:val="28"/>
        </w:rPr>
      </w:pPr>
      <w:r w:rsidRPr="0091364E">
        <w:rPr>
          <w:rFonts w:asciiTheme="majorHAnsi" w:hAnsiTheme="majorHAnsi" w:cstheme="majorHAnsi"/>
          <w:color w:val="C45911" w:themeColor="accent2" w:themeShade="BF"/>
          <w:sz w:val="28"/>
          <w:szCs w:val="28"/>
        </w:rPr>
        <w:t>Resultados esperados y utilidad para el Instituto</w:t>
      </w:r>
    </w:p>
    <w:p w14:paraId="53CF3F49"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Pr>
          <w:rFonts w:asciiTheme="majorHAnsi" w:hAnsiTheme="majorHAnsi"/>
          <w:sz w:val="28"/>
          <w:szCs w:val="28"/>
        </w:rPr>
        <w:t xml:space="preserve">El documento proporcionará un análisis de los retos y oportunidades que han enfrentado autoridades en los últimos años al elegir el mecanismo de asignación por licitaciones, asignación directa, o clasificación como espectro libre. En particular, se elaborarán </w:t>
      </w:r>
      <w:r w:rsidRPr="007A7E81">
        <w:rPr>
          <w:rFonts w:asciiTheme="majorHAnsi" w:hAnsiTheme="majorHAnsi"/>
          <w:sz w:val="28"/>
          <w:szCs w:val="28"/>
        </w:rPr>
        <w:t xml:space="preserve">recomendaciones específicas para </w:t>
      </w:r>
      <w:r>
        <w:rPr>
          <w:rFonts w:asciiTheme="majorHAnsi" w:hAnsiTheme="majorHAnsi"/>
          <w:sz w:val="28"/>
          <w:szCs w:val="28"/>
        </w:rPr>
        <w:t xml:space="preserve">la implementación de </w:t>
      </w:r>
      <w:r w:rsidRPr="007A7E81">
        <w:rPr>
          <w:rFonts w:asciiTheme="majorHAnsi" w:hAnsiTheme="majorHAnsi"/>
          <w:sz w:val="28"/>
          <w:szCs w:val="28"/>
        </w:rPr>
        <w:t xml:space="preserve">las licitaciones </w:t>
      </w:r>
      <w:r>
        <w:rPr>
          <w:rFonts w:asciiTheme="majorHAnsi" w:hAnsiTheme="majorHAnsi"/>
          <w:sz w:val="28"/>
          <w:szCs w:val="28"/>
        </w:rPr>
        <w:t xml:space="preserve">u otro tipo de proceso de asignación para servicios móviles o radiodifusión </w:t>
      </w:r>
      <w:r w:rsidRPr="007A7E81">
        <w:rPr>
          <w:rFonts w:asciiTheme="majorHAnsi" w:hAnsiTheme="majorHAnsi"/>
          <w:sz w:val="28"/>
          <w:szCs w:val="28"/>
        </w:rPr>
        <w:t xml:space="preserve">que el Instituto </w:t>
      </w:r>
      <w:r>
        <w:rPr>
          <w:rFonts w:asciiTheme="majorHAnsi" w:hAnsiTheme="majorHAnsi"/>
          <w:sz w:val="28"/>
          <w:szCs w:val="28"/>
        </w:rPr>
        <w:t>realizará</w:t>
      </w:r>
      <w:r w:rsidRPr="007A7E81">
        <w:rPr>
          <w:rFonts w:asciiTheme="majorHAnsi" w:hAnsiTheme="majorHAnsi"/>
          <w:sz w:val="28"/>
          <w:szCs w:val="28"/>
        </w:rPr>
        <w:t xml:space="preserve"> en el futuro cercano de acuerdo a los Programas Anuales de Bandas de Frecuencias.</w:t>
      </w:r>
    </w:p>
    <w:p w14:paraId="50BBB05B" w14:textId="77777777" w:rsidR="0014509F" w:rsidRPr="008156F1" w:rsidRDefault="0014509F" w:rsidP="0014509F">
      <w:pPr>
        <w:keepNext/>
        <w:contextualSpacing/>
        <w:jc w:val="both"/>
        <w:rPr>
          <w:rFonts w:asciiTheme="majorHAnsi" w:hAnsiTheme="majorHAnsi" w:cstheme="majorHAnsi"/>
          <w:color w:val="0070C0"/>
          <w:sz w:val="28"/>
          <w:szCs w:val="28"/>
        </w:rPr>
      </w:pPr>
      <w:r w:rsidRPr="008156F1">
        <w:rPr>
          <w:rFonts w:asciiTheme="majorHAnsi" w:hAnsiTheme="majorHAnsi" w:cstheme="majorHAnsi"/>
          <w:color w:val="0070C0"/>
          <w:sz w:val="28"/>
          <w:szCs w:val="28"/>
        </w:rPr>
        <w:t>Cronograma</w:t>
      </w:r>
    </w:p>
    <w:tbl>
      <w:tblPr>
        <w:tblStyle w:val="Tablaconcuadrcula1"/>
        <w:tblW w:w="0" w:type="auto"/>
        <w:tblLook w:val="04A0" w:firstRow="1" w:lastRow="0" w:firstColumn="1" w:lastColumn="0" w:noHBand="0" w:noVBand="1"/>
        <w:tblCaption w:val="Cronograma "/>
        <w:tblDescription w:val="Etapas del Estudio&#10;Revisión bibliográfica y formulación de metodología. Fecha de conclusión Febrero&#10;Recopilación y análisis de datos.Fecha de conclusión Marzo&#10;Análisis de datos y formulación de resultados.Fecha de conclusión Mayo&#10;Elaboración de primer borrador con los resultados de la investigación. Fecha de conclusión Junio&#10;Circulación entre evaluadores y atención a comentarios.Fecha de conclusión Julio&#10;Elaboración de versión para publicación y envío Fecha de conclusión Agosto&#10;"/>
      </w:tblPr>
      <w:tblGrid>
        <w:gridCol w:w="6799"/>
        <w:gridCol w:w="2595"/>
      </w:tblGrid>
      <w:tr w:rsidR="0014509F" w:rsidRPr="008156F1" w14:paraId="40080682" w14:textId="77777777" w:rsidTr="00A170A9">
        <w:trPr>
          <w:tblHeader/>
        </w:trPr>
        <w:tc>
          <w:tcPr>
            <w:tcW w:w="6799" w:type="dxa"/>
          </w:tcPr>
          <w:p w14:paraId="4B696EEC" w14:textId="77777777" w:rsidR="0014509F" w:rsidRPr="008156F1" w:rsidRDefault="0014509F" w:rsidP="00A170A9">
            <w:pPr>
              <w:keepNext/>
              <w:spacing w:after="100" w:afterAutospacing="1"/>
              <w:jc w:val="both"/>
              <w:rPr>
                <w:rFonts w:asciiTheme="majorHAnsi" w:hAnsiTheme="majorHAnsi"/>
                <w:color w:val="0070C0"/>
                <w:sz w:val="28"/>
                <w:szCs w:val="28"/>
              </w:rPr>
            </w:pPr>
            <w:r w:rsidRPr="008156F1">
              <w:rPr>
                <w:rFonts w:asciiTheme="majorHAnsi" w:hAnsiTheme="majorHAnsi"/>
                <w:color w:val="0070C0"/>
                <w:sz w:val="28"/>
                <w:szCs w:val="28"/>
              </w:rPr>
              <w:t>Etapas del Estudio</w:t>
            </w:r>
          </w:p>
        </w:tc>
        <w:tc>
          <w:tcPr>
            <w:tcW w:w="2595" w:type="dxa"/>
          </w:tcPr>
          <w:p w14:paraId="26D121BD" w14:textId="77777777" w:rsidR="0014509F" w:rsidRPr="008156F1" w:rsidRDefault="0014509F" w:rsidP="00A170A9">
            <w:pPr>
              <w:keepNext/>
              <w:spacing w:after="100" w:afterAutospacing="1"/>
              <w:jc w:val="both"/>
              <w:rPr>
                <w:rFonts w:asciiTheme="majorHAnsi" w:hAnsiTheme="majorHAnsi"/>
                <w:color w:val="0070C0"/>
                <w:sz w:val="28"/>
                <w:szCs w:val="28"/>
              </w:rPr>
            </w:pPr>
            <w:r w:rsidRPr="008156F1">
              <w:rPr>
                <w:rFonts w:asciiTheme="majorHAnsi" w:hAnsiTheme="majorHAnsi"/>
                <w:color w:val="0070C0"/>
                <w:sz w:val="28"/>
                <w:szCs w:val="28"/>
              </w:rPr>
              <w:t>Fecha de conclusión</w:t>
            </w:r>
          </w:p>
        </w:tc>
      </w:tr>
      <w:tr w:rsidR="0014509F" w:rsidRPr="00342FE3" w14:paraId="270BBC69" w14:textId="77777777" w:rsidTr="00A170A9">
        <w:tc>
          <w:tcPr>
            <w:tcW w:w="6799" w:type="dxa"/>
          </w:tcPr>
          <w:p w14:paraId="0EEE8192" w14:textId="77777777" w:rsidR="0014509F" w:rsidRPr="00342FE3" w:rsidRDefault="0014509F" w:rsidP="00A170A9">
            <w:pPr>
              <w:keepNext/>
              <w:spacing w:after="100" w:afterAutospacing="1"/>
              <w:jc w:val="both"/>
              <w:rPr>
                <w:rFonts w:asciiTheme="majorHAnsi" w:hAnsiTheme="majorHAnsi"/>
                <w:sz w:val="28"/>
                <w:szCs w:val="28"/>
              </w:rPr>
            </w:pPr>
            <w:r w:rsidRPr="00342FE3">
              <w:rPr>
                <w:rFonts w:asciiTheme="majorHAnsi" w:hAnsiTheme="majorHAnsi"/>
                <w:sz w:val="28"/>
                <w:szCs w:val="28"/>
              </w:rPr>
              <w:t>Revisión bibliográfica y formulación de metodología</w:t>
            </w:r>
            <w:r>
              <w:rPr>
                <w:rFonts w:asciiTheme="majorHAnsi" w:hAnsiTheme="majorHAnsi"/>
                <w:sz w:val="28"/>
                <w:szCs w:val="28"/>
              </w:rPr>
              <w:t>.</w:t>
            </w:r>
          </w:p>
        </w:tc>
        <w:tc>
          <w:tcPr>
            <w:tcW w:w="2595" w:type="dxa"/>
          </w:tcPr>
          <w:p w14:paraId="6EED776E" w14:textId="77777777" w:rsidR="0014509F" w:rsidRPr="00342FE3" w:rsidRDefault="0014509F" w:rsidP="00A170A9">
            <w:pPr>
              <w:keepNext/>
              <w:spacing w:after="100" w:afterAutospacing="1"/>
              <w:jc w:val="both"/>
              <w:rPr>
                <w:rFonts w:asciiTheme="majorHAnsi" w:hAnsiTheme="majorHAnsi"/>
                <w:sz w:val="28"/>
                <w:szCs w:val="28"/>
              </w:rPr>
            </w:pPr>
            <w:r w:rsidRPr="00342FE3">
              <w:rPr>
                <w:rFonts w:asciiTheme="majorHAnsi" w:hAnsiTheme="majorHAnsi"/>
                <w:sz w:val="28"/>
                <w:szCs w:val="28"/>
              </w:rPr>
              <w:t>Febrero</w:t>
            </w:r>
          </w:p>
        </w:tc>
      </w:tr>
      <w:tr w:rsidR="0014509F" w:rsidRPr="00342FE3" w14:paraId="0542F782" w14:textId="77777777" w:rsidTr="00A170A9">
        <w:tc>
          <w:tcPr>
            <w:tcW w:w="6799" w:type="dxa"/>
          </w:tcPr>
          <w:p w14:paraId="0847CEF5" w14:textId="77777777" w:rsidR="0014509F" w:rsidRPr="00342FE3" w:rsidRDefault="0014509F" w:rsidP="00A170A9">
            <w:pPr>
              <w:keepNext/>
              <w:spacing w:after="100" w:afterAutospacing="1"/>
              <w:jc w:val="both"/>
              <w:rPr>
                <w:rFonts w:asciiTheme="majorHAnsi" w:hAnsiTheme="majorHAnsi"/>
                <w:sz w:val="28"/>
                <w:szCs w:val="28"/>
              </w:rPr>
            </w:pPr>
            <w:r w:rsidRPr="00342FE3">
              <w:rPr>
                <w:rFonts w:asciiTheme="majorHAnsi" w:hAnsiTheme="majorHAnsi"/>
                <w:sz w:val="28"/>
                <w:szCs w:val="28"/>
              </w:rPr>
              <w:t>Recopilación y análisis de datos</w:t>
            </w:r>
            <w:r>
              <w:rPr>
                <w:rFonts w:asciiTheme="majorHAnsi" w:hAnsiTheme="majorHAnsi"/>
                <w:sz w:val="28"/>
                <w:szCs w:val="28"/>
              </w:rPr>
              <w:t>.</w:t>
            </w:r>
          </w:p>
        </w:tc>
        <w:tc>
          <w:tcPr>
            <w:tcW w:w="2595" w:type="dxa"/>
          </w:tcPr>
          <w:p w14:paraId="45DB3311" w14:textId="77777777" w:rsidR="0014509F" w:rsidRPr="00342FE3" w:rsidRDefault="0014509F" w:rsidP="00A170A9">
            <w:pPr>
              <w:keepNext/>
              <w:spacing w:after="100" w:afterAutospacing="1"/>
              <w:jc w:val="both"/>
              <w:rPr>
                <w:rFonts w:asciiTheme="majorHAnsi" w:hAnsiTheme="majorHAnsi"/>
                <w:sz w:val="28"/>
                <w:szCs w:val="28"/>
              </w:rPr>
            </w:pPr>
            <w:r w:rsidRPr="00342FE3">
              <w:rPr>
                <w:rFonts w:asciiTheme="majorHAnsi" w:hAnsiTheme="majorHAnsi"/>
                <w:sz w:val="28"/>
                <w:szCs w:val="28"/>
              </w:rPr>
              <w:t>Marzo</w:t>
            </w:r>
          </w:p>
        </w:tc>
      </w:tr>
      <w:tr w:rsidR="0014509F" w:rsidRPr="00342FE3" w14:paraId="11AED925" w14:textId="77777777" w:rsidTr="00A170A9">
        <w:tc>
          <w:tcPr>
            <w:tcW w:w="6799" w:type="dxa"/>
          </w:tcPr>
          <w:p w14:paraId="751DF204" w14:textId="77777777" w:rsidR="0014509F" w:rsidRPr="00342FE3" w:rsidRDefault="0014509F" w:rsidP="00A170A9">
            <w:pPr>
              <w:keepNext/>
              <w:spacing w:after="100" w:afterAutospacing="1"/>
              <w:jc w:val="both"/>
              <w:rPr>
                <w:rFonts w:asciiTheme="majorHAnsi" w:hAnsiTheme="majorHAnsi"/>
                <w:sz w:val="28"/>
                <w:szCs w:val="28"/>
              </w:rPr>
            </w:pPr>
            <w:r w:rsidRPr="00342FE3">
              <w:rPr>
                <w:rFonts w:asciiTheme="majorHAnsi" w:hAnsiTheme="majorHAnsi"/>
                <w:sz w:val="28"/>
                <w:szCs w:val="28"/>
              </w:rPr>
              <w:t>Análisis de datos y formulación de resultados</w:t>
            </w:r>
            <w:r>
              <w:rPr>
                <w:rFonts w:asciiTheme="majorHAnsi" w:hAnsiTheme="majorHAnsi"/>
                <w:sz w:val="28"/>
                <w:szCs w:val="28"/>
              </w:rPr>
              <w:t>.</w:t>
            </w:r>
          </w:p>
        </w:tc>
        <w:tc>
          <w:tcPr>
            <w:tcW w:w="2595" w:type="dxa"/>
          </w:tcPr>
          <w:p w14:paraId="18DA81B6" w14:textId="77777777" w:rsidR="0014509F" w:rsidRPr="00342FE3" w:rsidRDefault="0014509F" w:rsidP="00A170A9">
            <w:pPr>
              <w:keepNext/>
              <w:spacing w:after="100" w:afterAutospacing="1"/>
              <w:jc w:val="both"/>
              <w:rPr>
                <w:rFonts w:asciiTheme="majorHAnsi" w:hAnsiTheme="majorHAnsi"/>
                <w:sz w:val="28"/>
                <w:szCs w:val="28"/>
              </w:rPr>
            </w:pPr>
            <w:r w:rsidRPr="00342FE3">
              <w:rPr>
                <w:rFonts w:asciiTheme="majorHAnsi" w:hAnsiTheme="majorHAnsi"/>
                <w:sz w:val="28"/>
                <w:szCs w:val="28"/>
              </w:rPr>
              <w:t>Mayo</w:t>
            </w:r>
          </w:p>
        </w:tc>
      </w:tr>
      <w:tr w:rsidR="0014509F" w:rsidRPr="00342FE3" w14:paraId="35A8D38A" w14:textId="77777777" w:rsidTr="00A170A9">
        <w:tc>
          <w:tcPr>
            <w:tcW w:w="6799" w:type="dxa"/>
          </w:tcPr>
          <w:p w14:paraId="7BCD127D" w14:textId="77777777" w:rsidR="0014509F" w:rsidRPr="00342FE3" w:rsidRDefault="0014509F" w:rsidP="00A170A9">
            <w:pPr>
              <w:keepNext/>
              <w:spacing w:after="100" w:afterAutospacing="1"/>
              <w:jc w:val="both"/>
              <w:rPr>
                <w:rFonts w:asciiTheme="majorHAnsi" w:hAnsiTheme="majorHAnsi"/>
                <w:sz w:val="28"/>
                <w:szCs w:val="28"/>
              </w:rPr>
            </w:pPr>
            <w:r w:rsidRPr="00342FE3">
              <w:rPr>
                <w:rFonts w:asciiTheme="majorHAnsi" w:hAnsiTheme="majorHAnsi"/>
                <w:sz w:val="28"/>
                <w:szCs w:val="28"/>
              </w:rPr>
              <w:t>Elaboración de primer borrador con los resultados de la investigación</w:t>
            </w:r>
            <w:r>
              <w:rPr>
                <w:rFonts w:asciiTheme="majorHAnsi" w:hAnsiTheme="majorHAnsi"/>
                <w:sz w:val="28"/>
                <w:szCs w:val="28"/>
              </w:rPr>
              <w:t>.</w:t>
            </w:r>
          </w:p>
        </w:tc>
        <w:tc>
          <w:tcPr>
            <w:tcW w:w="2595" w:type="dxa"/>
          </w:tcPr>
          <w:p w14:paraId="054B5281" w14:textId="77777777" w:rsidR="0014509F" w:rsidRPr="00342FE3" w:rsidRDefault="0014509F" w:rsidP="00A170A9">
            <w:pPr>
              <w:keepNext/>
              <w:spacing w:after="100" w:afterAutospacing="1"/>
              <w:jc w:val="both"/>
              <w:rPr>
                <w:rFonts w:asciiTheme="majorHAnsi" w:hAnsiTheme="majorHAnsi"/>
                <w:sz w:val="28"/>
                <w:szCs w:val="28"/>
              </w:rPr>
            </w:pPr>
            <w:r w:rsidRPr="00342FE3">
              <w:rPr>
                <w:rFonts w:asciiTheme="majorHAnsi" w:hAnsiTheme="majorHAnsi"/>
                <w:sz w:val="28"/>
                <w:szCs w:val="28"/>
              </w:rPr>
              <w:t>Junio</w:t>
            </w:r>
          </w:p>
        </w:tc>
      </w:tr>
      <w:tr w:rsidR="0014509F" w:rsidRPr="00342FE3" w14:paraId="6D47528B" w14:textId="77777777" w:rsidTr="00A170A9">
        <w:tc>
          <w:tcPr>
            <w:tcW w:w="6799" w:type="dxa"/>
          </w:tcPr>
          <w:p w14:paraId="28C82336" w14:textId="77777777" w:rsidR="0014509F" w:rsidRPr="00342FE3" w:rsidRDefault="0014509F" w:rsidP="00A170A9">
            <w:pPr>
              <w:keepNext/>
              <w:spacing w:after="100" w:afterAutospacing="1"/>
              <w:jc w:val="both"/>
              <w:rPr>
                <w:rFonts w:asciiTheme="majorHAnsi" w:hAnsiTheme="majorHAnsi"/>
                <w:sz w:val="28"/>
                <w:szCs w:val="28"/>
              </w:rPr>
            </w:pPr>
            <w:r w:rsidRPr="00342FE3">
              <w:rPr>
                <w:rFonts w:asciiTheme="majorHAnsi" w:hAnsiTheme="majorHAnsi"/>
                <w:sz w:val="28"/>
                <w:szCs w:val="28"/>
              </w:rPr>
              <w:t>Circulación entre evaluadores y atención a comentarios</w:t>
            </w:r>
            <w:r>
              <w:rPr>
                <w:rFonts w:asciiTheme="majorHAnsi" w:hAnsiTheme="majorHAnsi"/>
                <w:sz w:val="28"/>
                <w:szCs w:val="28"/>
              </w:rPr>
              <w:t>.</w:t>
            </w:r>
          </w:p>
        </w:tc>
        <w:tc>
          <w:tcPr>
            <w:tcW w:w="2595" w:type="dxa"/>
          </w:tcPr>
          <w:p w14:paraId="20FB8C6F" w14:textId="77777777" w:rsidR="0014509F" w:rsidRPr="00342FE3" w:rsidRDefault="0014509F" w:rsidP="00A170A9">
            <w:pPr>
              <w:keepNext/>
              <w:spacing w:after="100" w:afterAutospacing="1"/>
              <w:jc w:val="both"/>
              <w:rPr>
                <w:rFonts w:asciiTheme="majorHAnsi" w:hAnsiTheme="majorHAnsi"/>
                <w:sz w:val="28"/>
                <w:szCs w:val="28"/>
              </w:rPr>
            </w:pPr>
            <w:r w:rsidRPr="00342FE3">
              <w:rPr>
                <w:rFonts w:asciiTheme="majorHAnsi" w:hAnsiTheme="majorHAnsi"/>
                <w:sz w:val="28"/>
                <w:szCs w:val="28"/>
              </w:rPr>
              <w:t>Julio</w:t>
            </w:r>
          </w:p>
        </w:tc>
      </w:tr>
      <w:tr w:rsidR="0014509F" w:rsidRPr="00342FE3" w14:paraId="60B82515" w14:textId="77777777" w:rsidTr="00A170A9">
        <w:tc>
          <w:tcPr>
            <w:tcW w:w="6799" w:type="dxa"/>
          </w:tcPr>
          <w:p w14:paraId="64367EA1" w14:textId="77777777" w:rsidR="0014509F" w:rsidRPr="00342FE3" w:rsidRDefault="0014509F" w:rsidP="00A170A9">
            <w:pPr>
              <w:keepNext/>
              <w:spacing w:after="100" w:afterAutospacing="1"/>
              <w:jc w:val="both"/>
              <w:rPr>
                <w:rFonts w:asciiTheme="majorHAnsi" w:hAnsiTheme="majorHAnsi"/>
                <w:sz w:val="28"/>
                <w:szCs w:val="28"/>
              </w:rPr>
            </w:pPr>
            <w:r w:rsidRPr="00342FE3">
              <w:rPr>
                <w:rFonts w:asciiTheme="majorHAnsi" w:hAnsiTheme="majorHAnsi"/>
                <w:sz w:val="28"/>
                <w:szCs w:val="28"/>
              </w:rPr>
              <w:t>Elaboración de versión para publicación y envío.</w:t>
            </w:r>
          </w:p>
        </w:tc>
        <w:tc>
          <w:tcPr>
            <w:tcW w:w="2595" w:type="dxa"/>
          </w:tcPr>
          <w:p w14:paraId="19A4C221" w14:textId="77777777" w:rsidR="0014509F" w:rsidRPr="00342FE3" w:rsidRDefault="0014509F" w:rsidP="00A170A9">
            <w:pPr>
              <w:keepNext/>
              <w:spacing w:after="100" w:afterAutospacing="1"/>
              <w:jc w:val="both"/>
              <w:rPr>
                <w:rFonts w:asciiTheme="majorHAnsi" w:hAnsiTheme="majorHAnsi"/>
                <w:sz w:val="28"/>
                <w:szCs w:val="28"/>
              </w:rPr>
            </w:pPr>
            <w:r w:rsidRPr="00342FE3">
              <w:rPr>
                <w:rFonts w:asciiTheme="majorHAnsi" w:hAnsiTheme="majorHAnsi"/>
                <w:sz w:val="28"/>
                <w:szCs w:val="28"/>
              </w:rPr>
              <w:t>Agosto</w:t>
            </w:r>
          </w:p>
        </w:tc>
      </w:tr>
    </w:tbl>
    <w:p w14:paraId="510A221B" w14:textId="77777777" w:rsidR="0014509F" w:rsidRDefault="0014509F" w:rsidP="0014509F">
      <w:pPr>
        <w:keepNext/>
        <w:spacing w:after="100" w:afterAutospacing="1"/>
        <w:jc w:val="both"/>
        <w:rPr>
          <w:rFonts w:asciiTheme="majorHAnsi" w:hAnsiTheme="majorHAnsi" w:cstheme="majorHAnsi"/>
          <w:color w:val="2F5496" w:themeColor="accent5" w:themeShade="BF"/>
          <w:sz w:val="28"/>
          <w:szCs w:val="28"/>
        </w:rPr>
      </w:pPr>
      <w:r>
        <w:rPr>
          <w:rFonts w:asciiTheme="majorHAnsi" w:hAnsiTheme="majorHAnsi" w:cstheme="majorHAnsi"/>
          <w:color w:val="2F5496" w:themeColor="accent5" w:themeShade="BF"/>
          <w:sz w:val="28"/>
          <w:szCs w:val="28"/>
        </w:rPr>
        <w:br w:type="page"/>
      </w:r>
    </w:p>
    <w:p w14:paraId="0CCB5023" w14:textId="77777777" w:rsidR="0014509F" w:rsidRDefault="0014509F" w:rsidP="0014509F">
      <w:pPr>
        <w:keepNext/>
        <w:spacing w:after="100" w:afterAutospacing="1"/>
        <w:jc w:val="both"/>
        <w:rPr>
          <w:rFonts w:asciiTheme="majorHAnsi" w:hAnsiTheme="majorHAnsi" w:cstheme="majorHAnsi"/>
          <w:color w:val="C45911" w:themeColor="accent2" w:themeShade="BF"/>
          <w:sz w:val="28"/>
          <w:szCs w:val="28"/>
        </w:rPr>
      </w:pPr>
      <w:r>
        <w:rPr>
          <w:rFonts w:asciiTheme="majorHAnsi" w:hAnsiTheme="majorHAnsi" w:cstheme="majorHAnsi"/>
          <w:color w:val="C45911" w:themeColor="accent2" w:themeShade="BF"/>
          <w:sz w:val="28"/>
          <w:szCs w:val="28"/>
        </w:rPr>
        <w:lastRenderedPageBreak/>
        <w:t>Análisis de la competencia en el entorno de servicios c</w:t>
      </w:r>
      <w:r w:rsidRPr="001278C8">
        <w:rPr>
          <w:rFonts w:asciiTheme="majorHAnsi" w:hAnsiTheme="majorHAnsi" w:cstheme="majorHAnsi"/>
          <w:color w:val="C45911" w:themeColor="accent2" w:themeShade="BF"/>
          <w:sz w:val="28"/>
          <w:szCs w:val="28"/>
        </w:rPr>
        <w:t>onvergentes</w:t>
      </w:r>
    </w:p>
    <w:p w14:paraId="6ECDF886" w14:textId="77777777" w:rsidR="0014509F" w:rsidRDefault="0014509F" w:rsidP="0014509F">
      <w:pPr>
        <w:keepNext/>
        <w:spacing w:after="100" w:afterAutospacing="1"/>
        <w:jc w:val="both"/>
        <w:rPr>
          <w:rFonts w:asciiTheme="majorHAnsi" w:hAnsiTheme="majorHAnsi" w:cstheme="majorHAnsi"/>
          <w:color w:val="C45911" w:themeColor="accent2" w:themeShade="BF"/>
          <w:sz w:val="28"/>
          <w:szCs w:val="28"/>
        </w:rPr>
      </w:pPr>
      <w:r w:rsidRPr="0091364E">
        <w:rPr>
          <w:rFonts w:asciiTheme="majorHAnsi" w:hAnsiTheme="majorHAnsi" w:cstheme="majorHAnsi"/>
          <w:color w:val="C45911" w:themeColor="accent2" w:themeShade="BF"/>
          <w:sz w:val="28"/>
          <w:szCs w:val="28"/>
        </w:rPr>
        <w:t>Rebeca Escobar Briones</w:t>
      </w:r>
      <w:r w:rsidRPr="0091364E">
        <w:rPr>
          <w:rStyle w:val="Refdenotaalpie"/>
          <w:rFonts w:cstheme="majorHAnsi"/>
          <w:color w:val="C45911" w:themeColor="accent2" w:themeShade="BF"/>
          <w:sz w:val="28"/>
          <w:szCs w:val="28"/>
        </w:rPr>
        <w:footnoteReference w:id="10"/>
      </w:r>
    </w:p>
    <w:p w14:paraId="6EC41427" w14:textId="77777777" w:rsidR="0014509F" w:rsidRPr="0091364E" w:rsidRDefault="0014509F" w:rsidP="0014509F">
      <w:pPr>
        <w:keepNext/>
        <w:spacing w:after="100" w:afterAutospacing="1"/>
        <w:contextualSpacing/>
        <w:jc w:val="both"/>
        <w:rPr>
          <w:rFonts w:asciiTheme="majorHAnsi" w:hAnsiTheme="majorHAnsi" w:cstheme="majorHAnsi"/>
          <w:color w:val="C45911" w:themeColor="accent2" w:themeShade="BF"/>
          <w:sz w:val="28"/>
          <w:szCs w:val="28"/>
        </w:rPr>
      </w:pPr>
      <w:r w:rsidRPr="0091364E">
        <w:rPr>
          <w:rFonts w:asciiTheme="majorHAnsi" w:hAnsiTheme="majorHAnsi" w:cstheme="majorHAnsi"/>
          <w:color w:val="C45911" w:themeColor="accent2" w:themeShade="BF"/>
          <w:sz w:val="28"/>
          <w:szCs w:val="28"/>
        </w:rPr>
        <w:t>Introducción</w:t>
      </w:r>
    </w:p>
    <w:p w14:paraId="73461686" w14:textId="77777777" w:rsidR="0014509F" w:rsidRPr="00DA70DD" w:rsidRDefault="0014509F" w:rsidP="00A170A9">
      <w:pPr>
        <w:pStyle w:val="estilo30"/>
        <w:spacing w:before="240" w:beforeAutospacing="0" w:after="240" w:afterAutospacing="0" w:line="276" w:lineRule="auto"/>
        <w:jc w:val="both"/>
        <w:rPr>
          <w:rFonts w:asciiTheme="majorHAnsi" w:hAnsiTheme="majorHAnsi" w:cstheme="majorHAnsi"/>
          <w:color w:val="222222"/>
          <w:sz w:val="28"/>
          <w:szCs w:val="28"/>
          <w:lang w:val="es-ES"/>
        </w:rPr>
      </w:pPr>
      <w:r w:rsidRPr="00DA70DD">
        <w:rPr>
          <w:rFonts w:asciiTheme="majorHAnsi" w:hAnsiTheme="majorHAnsi" w:cstheme="majorHAnsi"/>
          <w:sz w:val="28"/>
          <w:szCs w:val="28"/>
        </w:rPr>
        <w:t xml:space="preserve">En la medida en que los servicios de banda ancha se expanden y se generalizan entre la población, los servicios y aplicaciones </w:t>
      </w:r>
      <w:proofErr w:type="spellStart"/>
      <w:r w:rsidRPr="00DA70DD">
        <w:rPr>
          <w:rFonts w:asciiTheme="majorHAnsi" w:hAnsiTheme="majorHAnsi" w:cstheme="majorHAnsi"/>
          <w:i/>
          <w:sz w:val="28"/>
          <w:szCs w:val="28"/>
        </w:rPr>
        <w:t>Over</w:t>
      </w:r>
      <w:proofErr w:type="spellEnd"/>
      <w:r w:rsidRPr="00DA70DD">
        <w:rPr>
          <w:rFonts w:asciiTheme="majorHAnsi" w:hAnsiTheme="majorHAnsi" w:cstheme="majorHAnsi"/>
          <w:i/>
          <w:sz w:val="28"/>
          <w:szCs w:val="28"/>
        </w:rPr>
        <w:t>-</w:t>
      </w:r>
      <w:proofErr w:type="spellStart"/>
      <w:r w:rsidRPr="00DA70DD">
        <w:rPr>
          <w:rFonts w:asciiTheme="majorHAnsi" w:hAnsiTheme="majorHAnsi" w:cstheme="majorHAnsi"/>
          <w:i/>
          <w:sz w:val="28"/>
          <w:szCs w:val="28"/>
        </w:rPr>
        <w:t>the</w:t>
      </w:r>
      <w:proofErr w:type="spellEnd"/>
      <w:r w:rsidRPr="00DA70DD">
        <w:rPr>
          <w:rFonts w:asciiTheme="majorHAnsi" w:hAnsiTheme="majorHAnsi" w:cstheme="majorHAnsi"/>
          <w:i/>
          <w:sz w:val="28"/>
          <w:szCs w:val="28"/>
        </w:rPr>
        <w:t xml:space="preserve">-top (OTT </w:t>
      </w:r>
      <w:r w:rsidRPr="00DA70DD">
        <w:rPr>
          <w:rFonts w:asciiTheme="majorHAnsi" w:hAnsiTheme="majorHAnsi" w:cstheme="majorHAnsi"/>
          <w:sz w:val="28"/>
          <w:szCs w:val="28"/>
        </w:rPr>
        <w:t xml:space="preserve">en lo sucesivo) cobran relevancia en el consumo y la actividad económica. Esta tendencia </w:t>
      </w:r>
      <w:r w:rsidRPr="00DA70DD">
        <w:rPr>
          <w:rFonts w:asciiTheme="majorHAnsi" w:hAnsiTheme="majorHAnsi" w:cstheme="majorHAnsi"/>
          <w:color w:val="222222"/>
          <w:sz w:val="28"/>
          <w:szCs w:val="28"/>
          <w:lang w:val="es-ES"/>
        </w:rPr>
        <w:t xml:space="preserve">genera múltiples beneficios, pero impone, asimismo, nuevos retos que incluyen el de la competencia entre los </w:t>
      </w:r>
      <w:r w:rsidRPr="00A170A9">
        <w:rPr>
          <w:rFonts w:asciiTheme="majorHAnsi" w:hAnsiTheme="majorHAnsi"/>
          <w:sz w:val="28"/>
          <w:szCs w:val="28"/>
        </w:rPr>
        <w:t>servicios</w:t>
      </w:r>
      <w:r w:rsidRPr="00DA70DD">
        <w:rPr>
          <w:rFonts w:asciiTheme="majorHAnsi" w:hAnsiTheme="majorHAnsi" w:cstheme="majorHAnsi"/>
          <w:color w:val="222222"/>
          <w:sz w:val="28"/>
          <w:szCs w:val="28"/>
          <w:lang w:val="es-ES"/>
        </w:rPr>
        <w:t xml:space="preserve"> tradicionales y las nuevas tecnologías y el de la regulación que busca ser neutra</w:t>
      </w:r>
      <w:r>
        <w:rPr>
          <w:rFonts w:asciiTheme="majorHAnsi" w:hAnsiTheme="majorHAnsi" w:cstheme="majorHAnsi"/>
          <w:color w:val="222222"/>
          <w:sz w:val="28"/>
          <w:szCs w:val="28"/>
          <w:lang w:val="es-ES"/>
        </w:rPr>
        <w:t>l</w:t>
      </w:r>
      <w:r w:rsidRPr="00DA70DD">
        <w:rPr>
          <w:rFonts w:asciiTheme="majorHAnsi" w:hAnsiTheme="majorHAnsi" w:cstheme="majorHAnsi"/>
          <w:color w:val="222222"/>
          <w:sz w:val="28"/>
          <w:szCs w:val="28"/>
          <w:lang w:val="es-ES"/>
        </w:rPr>
        <w:t xml:space="preserve"> frente a </w:t>
      </w:r>
      <w:r>
        <w:rPr>
          <w:rFonts w:asciiTheme="majorHAnsi" w:hAnsiTheme="majorHAnsi" w:cstheme="majorHAnsi"/>
          <w:color w:val="222222"/>
          <w:sz w:val="28"/>
          <w:szCs w:val="28"/>
          <w:lang w:val="es-ES"/>
        </w:rPr>
        <w:t>estas</w:t>
      </w:r>
      <w:r w:rsidRPr="00DA70DD">
        <w:rPr>
          <w:rFonts w:asciiTheme="majorHAnsi" w:hAnsiTheme="majorHAnsi" w:cstheme="majorHAnsi"/>
          <w:color w:val="222222"/>
          <w:sz w:val="28"/>
          <w:szCs w:val="28"/>
          <w:lang w:val="es-ES"/>
        </w:rPr>
        <w:t xml:space="preserve">.  </w:t>
      </w:r>
    </w:p>
    <w:p w14:paraId="62DB0458" w14:textId="77777777" w:rsidR="0014509F" w:rsidRPr="00DA70DD" w:rsidRDefault="0014509F" w:rsidP="00A170A9">
      <w:pPr>
        <w:pStyle w:val="estilo30"/>
        <w:spacing w:before="240" w:beforeAutospacing="0" w:after="240" w:afterAutospacing="0" w:line="276" w:lineRule="auto"/>
        <w:jc w:val="both"/>
        <w:rPr>
          <w:rFonts w:asciiTheme="majorHAnsi" w:hAnsiTheme="majorHAnsi" w:cstheme="majorHAnsi"/>
          <w:sz w:val="28"/>
          <w:szCs w:val="28"/>
        </w:rPr>
      </w:pPr>
      <w:r w:rsidRPr="00DA70DD">
        <w:rPr>
          <w:rFonts w:asciiTheme="majorHAnsi" w:hAnsiTheme="majorHAnsi" w:cstheme="majorHAnsi"/>
          <w:color w:val="222222"/>
          <w:sz w:val="28"/>
          <w:szCs w:val="28"/>
          <w:lang w:val="es-ES"/>
        </w:rPr>
        <w:t>Específicamente</w:t>
      </w:r>
      <w:r w:rsidRPr="00DA70DD">
        <w:rPr>
          <w:rFonts w:asciiTheme="majorHAnsi" w:hAnsiTheme="majorHAnsi" w:cstheme="majorHAnsi"/>
          <w:sz w:val="28"/>
          <w:szCs w:val="28"/>
        </w:rPr>
        <w:t xml:space="preserve"> los servicios tradicionales de telecomunicación y los OTT, presentan una serie de complementariedades entre los diferentes niveles de la cadena </w:t>
      </w:r>
      <w:r w:rsidRPr="00A170A9">
        <w:rPr>
          <w:rFonts w:asciiTheme="majorHAnsi" w:hAnsiTheme="majorHAnsi"/>
          <w:sz w:val="28"/>
          <w:szCs w:val="28"/>
        </w:rPr>
        <w:t>productiva</w:t>
      </w:r>
      <w:r w:rsidRPr="00DA70DD">
        <w:rPr>
          <w:rFonts w:asciiTheme="majorHAnsi" w:hAnsiTheme="majorHAnsi" w:cstheme="majorHAnsi"/>
          <w:sz w:val="28"/>
          <w:szCs w:val="28"/>
        </w:rPr>
        <w:t xml:space="preserve">, pero también características de sustitución respecto a los primeros, lo que replantea el </w:t>
      </w:r>
      <w:r w:rsidRPr="00DA70DD">
        <w:rPr>
          <w:rFonts w:asciiTheme="majorHAnsi" w:hAnsiTheme="majorHAnsi" w:cstheme="majorHAnsi"/>
          <w:i/>
          <w:sz w:val="28"/>
          <w:szCs w:val="28"/>
        </w:rPr>
        <w:t>ecosistema</w:t>
      </w:r>
      <w:r w:rsidRPr="00DA70DD">
        <w:rPr>
          <w:rFonts w:asciiTheme="majorHAnsi" w:hAnsiTheme="majorHAnsi" w:cstheme="majorHAnsi"/>
          <w:sz w:val="28"/>
          <w:szCs w:val="28"/>
        </w:rPr>
        <w:t xml:space="preserve"> en el que compiten los diferentes servicios.  </w:t>
      </w:r>
    </w:p>
    <w:p w14:paraId="074292F1" w14:textId="77777777" w:rsidR="0014509F" w:rsidRDefault="0014509F" w:rsidP="00A170A9">
      <w:pPr>
        <w:pStyle w:val="estilo30"/>
        <w:spacing w:before="240" w:beforeAutospacing="0" w:after="240" w:afterAutospacing="0" w:line="276" w:lineRule="auto"/>
        <w:jc w:val="both"/>
        <w:rPr>
          <w:rFonts w:asciiTheme="majorHAnsi" w:hAnsiTheme="majorHAnsi" w:cstheme="majorHAnsi"/>
          <w:sz w:val="28"/>
          <w:szCs w:val="28"/>
        </w:rPr>
      </w:pPr>
      <w:r w:rsidRPr="00DA70DD">
        <w:rPr>
          <w:rFonts w:asciiTheme="majorHAnsi" w:hAnsiTheme="majorHAnsi" w:cstheme="majorHAnsi"/>
          <w:sz w:val="28"/>
          <w:szCs w:val="28"/>
        </w:rPr>
        <w:t>Además, los servicios OTT pueden ser vistos como plataformas de dos lados</w:t>
      </w:r>
      <w:r>
        <w:rPr>
          <w:rStyle w:val="Refdenotaalpie"/>
          <w:rFonts w:asciiTheme="majorHAnsi" w:hAnsiTheme="majorHAnsi" w:cstheme="majorHAnsi"/>
          <w:sz w:val="28"/>
          <w:szCs w:val="28"/>
        </w:rPr>
        <w:footnoteReference w:id="11"/>
      </w:r>
      <w:r w:rsidRPr="00DA70DD">
        <w:rPr>
          <w:rFonts w:asciiTheme="majorHAnsi" w:hAnsiTheme="majorHAnsi" w:cstheme="majorHAnsi"/>
          <w:sz w:val="28"/>
          <w:szCs w:val="28"/>
        </w:rPr>
        <w:t>, que en ocasiones también acopian importante y abundant</w:t>
      </w:r>
      <w:r>
        <w:rPr>
          <w:rFonts w:asciiTheme="majorHAnsi" w:hAnsiTheme="majorHAnsi" w:cstheme="majorHAnsi"/>
          <w:sz w:val="28"/>
          <w:szCs w:val="28"/>
        </w:rPr>
        <w:t>e información de los usuarios</w:t>
      </w:r>
      <w:r w:rsidRPr="00DA70DD">
        <w:rPr>
          <w:rFonts w:asciiTheme="majorHAnsi" w:hAnsiTheme="majorHAnsi" w:cstheme="majorHAnsi"/>
          <w:sz w:val="28"/>
          <w:szCs w:val="28"/>
        </w:rPr>
        <w:t xml:space="preserve"> lo que les permite incursionar en el mercado de mega-datos (</w:t>
      </w:r>
      <w:proofErr w:type="spellStart"/>
      <w:r w:rsidRPr="00DA70DD">
        <w:rPr>
          <w:rFonts w:asciiTheme="majorHAnsi" w:hAnsiTheme="majorHAnsi" w:cstheme="majorHAnsi"/>
          <w:i/>
          <w:sz w:val="28"/>
          <w:szCs w:val="28"/>
        </w:rPr>
        <w:t>big</w:t>
      </w:r>
      <w:proofErr w:type="spellEnd"/>
      <w:r w:rsidRPr="00DA70DD">
        <w:rPr>
          <w:rFonts w:asciiTheme="majorHAnsi" w:hAnsiTheme="majorHAnsi" w:cstheme="majorHAnsi"/>
          <w:i/>
          <w:sz w:val="28"/>
          <w:szCs w:val="28"/>
        </w:rPr>
        <w:t xml:space="preserve"> data</w:t>
      </w:r>
      <w:r w:rsidRPr="00DA70DD">
        <w:rPr>
          <w:rFonts w:asciiTheme="majorHAnsi" w:hAnsiTheme="majorHAnsi" w:cstheme="majorHAnsi"/>
          <w:sz w:val="28"/>
          <w:szCs w:val="28"/>
        </w:rPr>
        <w:t xml:space="preserve">). </w:t>
      </w:r>
      <w:r>
        <w:rPr>
          <w:rFonts w:asciiTheme="majorHAnsi" w:hAnsiTheme="majorHAnsi" w:cstheme="majorHAnsi"/>
          <w:sz w:val="28"/>
          <w:szCs w:val="28"/>
        </w:rPr>
        <w:t>S</w:t>
      </w:r>
      <w:r w:rsidRPr="00DA70DD">
        <w:rPr>
          <w:rFonts w:asciiTheme="majorHAnsi" w:hAnsiTheme="majorHAnsi" w:cstheme="majorHAnsi"/>
          <w:sz w:val="28"/>
          <w:szCs w:val="28"/>
        </w:rPr>
        <w:t xml:space="preserve">u rápido crecimiento ha determinado que en los últimos años ese tipo de plataformas se diversifique y tienda a ser un modelo dominante en diversas industrias.  Ejemplos de ellas son el Facebook, Google y </w:t>
      </w:r>
      <w:proofErr w:type="spellStart"/>
      <w:r w:rsidRPr="00DA70DD">
        <w:rPr>
          <w:rFonts w:asciiTheme="majorHAnsi" w:hAnsiTheme="majorHAnsi" w:cstheme="majorHAnsi"/>
          <w:sz w:val="28"/>
          <w:szCs w:val="28"/>
        </w:rPr>
        <w:t>Youtube</w:t>
      </w:r>
      <w:proofErr w:type="spellEnd"/>
      <w:r w:rsidRPr="00DA70DD">
        <w:rPr>
          <w:rFonts w:asciiTheme="majorHAnsi" w:hAnsiTheme="majorHAnsi" w:cstheme="majorHAnsi"/>
          <w:sz w:val="28"/>
          <w:szCs w:val="28"/>
        </w:rPr>
        <w:t xml:space="preserve">, que dan servicios a los usuarios finales y a </w:t>
      </w:r>
      <w:r w:rsidRPr="00DA70DD">
        <w:rPr>
          <w:rFonts w:asciiTheme="majorHAnsi" w:hAnsiTheme="majorHAnsi" w:cstheme="majorHAnsi"/>
          <w:sz w:val="28"/>
          <w:szCs w:val="28"/>
        </w:rPr>
        <w:lastRenderedPageBreak/>
        <w:t>las empresas de publicidad que anuncian productos</w:t>
      </w:r>
      <w:r>
        <w:rPr>
          <w:rFonts w:asciiTheme="majorHAnsi" w:hAnsiTheme="majorHAnsi" w:cstheme="majorHAnsi"/>
          <w:sz w:val="28"/>
          <w:szCs w:val="28"/>
        </w:rPr>
        <w:t xml:space="preserve">; al mismo tiempo, esos agentes </w:t>
      </w:r>
      <w:r w:rsidRPr="00DA70DD">
        <w:rPr>
          <w:rFonts w:asciiTheme="majorHAnsi" w:hAnsiTheme="majorHAnsi" w:cstheme="majorHAnsi"/>
          <w:sz w:val="28"/>
          <w:szCs w:val="28"/>
        </w:rPr>
        <w:t xml:space="preserve">recaban información relevante de los hábitos de los usuarios, la cual tiene valor comercial. </w:t>
      </w:r>
    </w:p>
    <w:p w14:paraId="200BDB67" w14:textId="77777777" w:rsidR="0014509F" w:rsidRDefault="0014509F" w:rsidP="00A170A9">
      <w:pPr>
        <w:pStyle w:val="estilo30"/>
        <w:spacing w:before="240" w:beforeAutospacing="0" w:after="240" w:afterAutospacing="0" w:line="276" w:lineRule="auto"/>
        <w:jc w:val="both"/>
        <w:rPr>
          <w:rFonts w:asciiTheme="majorHAnsi" w:hAnsiTheme="majorHAnsi" w:cstheme="majorHAnsi"/>
          <w:sz w:val="28"/>
          <w:szCs w:val="28"/>
        </w:rPr>
      </w:pPr>
      <w:r>
        <w:rPr>
          <w:rFonts w:asciiTheme="majorHAnsi" w:hAnsiTheme="majorHAnsi" w:cstheme="majorHAnsi"/>
          <w:sz w:val="28"/>
          <w:szCs w:val="28"/>
        </w:rPr>
        <w:t>O</w:t>
      </w:r>
      <w:r w:rsidRPr="00DA70DD">
        <w:rPr>
          <w:rFonts w:asciiTheme="majorHAnsi" w:hAnsiTheme="majorHAnsi" w:cstheme="majorHAnsi"/>
          <w:sz w:val="28"/>
          <w:szCs w:val="28"/>
        </w:rPr>
        <w:t xml:space="preserve">tros casos más tradicionales de plataformas de dos lados son la televisión abierta y la televisión restringida. </w:t>
      </w:r>
    </w:p>
    <w:p w14:paraId="01ECCC93"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sidRPr="00DA70DD">
        <w:rPr>
          <w:rFonts w:asciiTheme="majorHAnsi" w:hAnsiTheme="majorHAnsi" w:cstheme="majorHAnsi"/>
          <w:sz w:val="28"/>
          <w:szCs w:val="28"/>
        </w:rPr>
        <w:t xml:space="preserve">Las características especiales de esas plataformas constituyen hoy en día un reto para las autoridades de competencia y regulatorias, así como para la academia, ya que </w:t>
      </w:r>
      <w:r>
        <w:rPr>
          <w:rFonts w:asciiTheme="majorHAnsi" w:hAnsiTheme="majorHAnsi" w:cstheme="majorHAnsi"/>
          <w:sz w:val="28"/>
          <w:szCs w:val="28"/>
        </w:rPr>
        <w:t>la evaluación de las concentraciones y prácticas anticompetitivas resulta más compleja que la que aplica a los mercados simples</w:t>
      </w:r>
      <w:r w:rsidRPr="00DA70DD">
        <w:rPr>
          <w:rFonts w:asciiTheme="majorHAnsi" w:hAnsiTheme="majorHAnsi" w:cstheme="majorHAnsi"/>
          <w:sz w:val="28"/>
          <w:szCs w:val="28"/>
        </w:rPr>
        <w:t>.</w:t>
      </w:r>
      <w:r>
        <w:rPr>
          <w:rFonts w:asciiTheme="majorHAnsi" w:hAnsiTheme="majorHAnsi" w:cstheme="majorHAnsi"/>
          <w:sz w:val="28"/>
          <w:szCs w:val="28"/>
        </w:rPr>
        <w:t xml:space="preserve">  </w:t>
      </w:r>
      <w:r w:rsidRPr="00C02F3E">
        <w:rPr>
          <w:rFonts w:asciiTheme="majorHAnsi" w:hAnsiTheme="majorHAnsi" w:cstheme="majorHAnsi"/>
          <w:color w:val="000000"/>
          <w:sz w:val="28"/>
          <w:szCs w:val="28"/>
          <w:lang w:val="es-ES_tradnl" w:eastAsia="es-ES_tradnl"/>
        </w:rPr>
        <w:t xml:space="preserve">El estudio está motivado por la premisa de que las herramientas regulatorias </w:t>
      </w:r>
      <w:r>
        <w:rPr>
          <w:rFonts w:asciiTheme="majorHAnsi" w:hAnsiTheme="majorHAnsi" w:cstheme="majorHAnsi"/>
          <w:color w:val="000000"/>
          <w:sz w:val="28"/>
          <w:szCs w:val="28"/>
          <w:lang w:val="es-ES_tradnl" w:eastAsia="es-ES_tradnl"/>
        </w:rPr>
        <w:t>y de análisis</w:t>
      </w:r>
      <w:r w:rsidRPr="00C02F3E">
        <w:rPr>
          <w:rFonts w:asciiTheme="majorHAnsi" w:hAnsiTheme="majorHAnsi" w:cstheme="majorHAnsi"/>
          <w:color w:val="000000"/>
          <w:sz w:val="28"/>
          <w:szCs w:val="28"/>
          <w:lang w:val="es-ES_tradnl" w:eastAsia="es-ES_tradnl"/>
        </w:rPr>
        <w:t xml:space="preserve"> de competencia que actualmente </w:t>
      </w:r>
      <w:r>
        <w:rPr>
          <w:rFonts w:asciiTheme="majorHAnsi" w:hAnsiTheme="majorHAnsi" w:cstheme="majorHAnsi"/>
          <w:color w:val="000000"/>
          <w:sz w:val="28"/>
          <w:szCs w:val="28"/>
          <w:lang w:val="es-ES_tradnl" w:eastAsia="es-ES_tradnl"/>
        </w:rPr>
        <w:t xml:space="preserve">el </w:t>
      </w:r>
      <w:r w:rsidRPr="00C02F3E">
        <w:rPr>
          <w:rFonts w:asciiTheme="majorHAnsi" w:hAnsiTheme="majorHAnsi" w:cstheme="majorHAnsi"/>
          <w:color w:val="000000"/>
          <w:sz w:val="28"/>
          <w:szCs w:val="28"/>
          <w:lang w:val="es-ES_tradnl" w:eastAsia="es-ES_tradnl"/>
        </w:rPr>
        <w:t xml:space="preserve">marco regulatorio proporciona </w:t>
      </w:r>
      <w:r>
        <w:rPr>
          <w:rFonts w:asciiTheme="majorHAnsi" w:hAnsiTheme="majorHAnsi" w:cstheme="majorHAnsi"/>
          <w:color w:val="000000"/>
          <w:sz w:val="28"/>
          <w:szCs w:val="28"/>
          <w:lang w:val="es-ES_tradnl" w:eastAsia="es-ES_tradnl"/>
        </w:rPr>
        <w:t>al IFT puede tener</w:t>
      </w:r>
      <w:r w:rsidRPr="00C02F3E">
        <w:rPr>
          <w:rFonts w:asciiTheme="majorHAnsi" w:hAnsiTheme="majorHAnsi" w:cstheme="majorHAnsi"/>
          <w:color w:val="000000"/>
          <w:sz w:val="28"/>
          <w:szCs w:val="28"/>
          <w:lang w:val="es-ES_tradnl" w:eastAsia="es-ES_tradnl"/>
        </w:rPr>
        <w:t xml:space="preserve"> límites </w:t>
      </w:r>
      <w:r>
        <w:rPr>
          <w:rFonts w:asciiTheme="majorHAnsi" w:hAnsiTheme="majorHAnsi" w:cstheme="majorHAnsi"/>
          <w:color w:val="000000"/>
          <w:sz w:val="28"/>
          <w:szCs w:val="28"/>
          <w:lang w:val="es-ES_tradnl" w:eastAsia="es-ES_tradnl"/>
        </w:rPr>
        <w:t>para la evaluación de</w:t>
      </w:r>
      <w:r w:rsidRPr="00C02F3E">
        <w:rPr>
          <w:rFonts w:asciiTheme="majorHAnsi" w:hAnsiTheme="majorHAnsi" w:cstheme="majorHAnsi"/>
          <w:color w:val="000000"/>
          <w:sz w:val="28"/>
          <w:szCs w:val="28"/>
          <w:lang w:val="es-ES_tradnl" w:eastAsia="es-ES_tradnl"/>
        </w:rPr>
        <w:t xml:space="preserve"> los mercados convergentes. Es</w:t>
      </w:r>
      <w:r>
        <w:rPr>
          <w:rFonts w:asciiTheme="majorHAnsi" w:hAnsiTheme="majorHAnsi" w:cstheme="majorHAnsi"/>
          <w:color w:val="000000"/>
          <w:sz w:val="28"/>
          <w:szCs w:val="28"/>
          <w:lang w:val="es-ES_tradnl" w:eastAsia="es-ES_tradnl"/>
        </w:rPr>
        <w:t xml:space="preserve"> relevante plantear si es</w:t>
      </w:r>
      <w:r w:rsidRPr="00C02F3E">
        <w:rPr>
          <w:rFonts w:asciiTheme="majorHAnsi" w:hAnsiTheme="majorHAnsi" w:cstheme="majorHAnsi"/>
          <w:color w:val="000000"/>
          <w:sz w:val="28"/>
          <w:szCs w:val="28"/>
          <w:lang w:val="es-ES_tradnl" w:eastAsia="es-ES_tradnl"/>
        </w:rPr>
        <w:t xml:space="preserve">ta </w:t>
      </w:r>
      <w:r>
        <w:rPr>
          <w:rFonts w:asciiTheme="majorHAnsi" w:hAnsiTheme="majorHAnsi" w:cstheme="majorHAnsi"/>
          <w:color w:val="000000"/>
          <w:sz w:val="28"/>
          <w:szCs w:val="28"/>
          <w:lang w:val="es-ES_tradnl" w:eastAsia="es-ES_tradnl"/>
        </w:rPr>
        <w:t xml:space="preserve">circunstancia requiere replantear los </w:t>
      </w:r>
      <w:r w:rsidRPr="001323FD">
        <w:rPr>
          <w:rFonts w:asciiTheme="majorHAnsi" w:hAnsiTheme="majorHAnsi"/>
          <w:sz w:val="28"/>
          <w:szCs w:val="28"/>
        </w:rPr>
        <w:t xml:space="preserve">instrumentos de la política de competencia. </w:t>
      </w:r>
    </w:p>
    <w:p w14:paraId="7470C1D2" w14:textId="77777777" w:rsidR="0014509F" w:rsidRPr="0091364E" w:rsidRDefault="0014509F" w:rsidP="0014509F">
      <w:pPr>
        <w:keepNext/>
        <w:contextualSpacing/>
        <w:jc w:val="both"/>
        <w:rPr>
          <w:rFonts w:asciiTheme="majorHAnsi" w:hAnsiTheme="majorHAnsi" w:cstheme="majorHAnsi"/>
          <w:color w:val="C45911" w:themeColor="accent2" w:themeShade="BF"/>
          <w:sz w:val="28"/>
          <w:szCs w:val="28"/>
        </w:rPr>
      </w:pPr>
      <w:r w:rsidRPr="00051D38">
        <w:rPr>
          <w:rFonts w:asciiTheme="majorHAnsi" w:hAnsiTheme="majorHAnsi" w:cstheme="majorHAnsi"/>
          <w:color w:val="C45911" w:themeColor="accent2" w:themeShade="BF"/>
          <w:sz w:val="28"/>
          <w:szCs w:val="28"/>
        </w:rPr>
        <w:t>Objetivo</w:t>
      </w:r>
    </w:p>
    <w:p w14:paraId="24C88BC1" w14:textId="77777777" w:rsidR="0014509F" w:rsidRDefault="0014509F" w:rsidP="00A170A9">
      <w:pPr>
        <w:pStyle w:val="estilo30"/>
        <w:spacing w:before="240" w:beforeAutospacing="0" w:after="240" w:afterAutospacing="0" w:line="276" w:lineRule="auto"/>
        <w:jc w:val="both"/>
        <w:rPr>
          <w:rFonts w:asciiTheme="majorHAnsi" w:hAnsiTheme="majorHAnsi" w:cstheme="majorHAnsi"/>
          <w:sz w:val="28"/>
          <w:szCs w:val="28"/>
        </w:rPr>
      </w:pPr>
      <w:r w:rsidRPr="00DA70DD">
        <w:rPr>
          <w:rFonts w:asciiTheme="majorHAnsi" w:hAnsiTheme="majorHAnsi" w:cstheme="majorHAnsi"/>
          <w:sz w:val="28"/>
          <w:szCs w:val="28"/>
        </w:rPr>
        <w:t xml:space="preserve">El </w:t>
      </w:r>
      <w:r>
        <w:rPr>
          <w:rFonts w:asciiTheme="majorHAnsi" w:hAnsiTheme="majorHAnsi" w:cstheme="majorHAnsi"/>
          <w:sz w:val="28"/>
          <w:szCs w:val="28"/>
        </w:rPr>
        <w:t xml:space="preserve">propósito del </w:t>
      </w:r>
      <w:r w:rsidRPr="00DA70DD">
        <w:rPr>
          <w:rFonts w:asciiTheme="majorHAnsi" w:hAnsiTheme="majorHAnsi" w:cstheme="majorHAnsi"/>
          <w:sz w:val="28"/>
          <w:szCs w:val="28"/>
        </w:rPr>
        <w:t xml:space="preserve">artículo es determinar el grado de sustitución y complementariedad entre los servicios tradicionales y OTT, y determinar las principales acciones regulatorias que se realizan en el </w:t>
      </w:r>
      <w:r>
        <w:rPr>
          <w:rFonts w:asciiTheme="majorHAnsi" w:hAnsiTheme="majorHAnsi" w:cstheme="majorHAnsi"/>
          <w:sz w:val="28"/>
          <w:szCs w:val="28"/>
        </w:rPr>
        <w:t>ámbito</w:t>
      </w:r>
      <w:r w:rsidRPr="00DA70DD">
        <w:rPr>
          <w:rFonts w:asciiTheme="majorHAnsi" w:hAnsiTheme="majorHAnsi" w:cstheme="majorHAnsi"/>
          <w:sz w:val="28"/>
          <w:szCs w:val="28"/>
        </w:rPr>
        <w:t xml:space="preserve"> internacional respecto a estos servicios</w:t>
      </w:r>
      <w:r>
        <w:rPr>
          <w:rFonts w:asciiTheme="majorHAnsi" w:hAnsiTheme="majorHAnsi" w:cstheme="majorHAnsi"/>
          <w:sz w:val="28"/>
          <w:szCs w:val="28"/>
        </w:rPr>
        <w:t xml:space="preserve"> y determinar si las herramientas analíticas de la política de competencia son eficaces en el entorno convergente</w:t>
      </w:r>
      <w:r w:rsidRPr="00DA70DD">
        <w:rPr>
          <w:rFonts w:asciiTheme="majorHAnsi" w:hAnsiTheme="majorHAnsi" w:cstheme="majorHAnsi"/>
          <w:sz w:val="28"/>
          <w:szCs w:val="28"/>
        </w:rPr>
        <w:t xml:space="preserve">. </w:t>
      </w:r>
    </w:p>
    <w:p w14:paraId="3CA63C43" w14:textId="77777777" w:rsidR="0014509F" w:rsidRPr="0091364E" w:rsidRDefault="0014509F" w:rsidP="0014509F">
      <w:pPr>
        <w:keepNext/>
        <w:contextualSpacing/>
        <w:jc w:val="both"/>
        <w:rPr>
          <w:rFonts w:asciiTheme="majorHAnsi" w:hAnsiTheme="majorHAnsi" w:cstheme="majorHAnsi"/>
          <w:color w:val="C45911" w:themeColor="accent2" w:themeShade="BF"/>
          <w:sz w:val="28"/>
          <w:szCs w:val="28"/>
        </w:rPr>
      </w:pPr>
      <w:r w:rsidRPr="0091364E">
        <w:rPr>
          <w:rFonts w:asciiTheme="majorHAnsi" w:hAnsiTheme="majorHAnsi" w:cstheme="majorHAnsi"/>
          <w:color w:val="C45911" w:themeColor="accent2" w:themeShade="BF"/>
          <w:sz w:val="28"/>
          <w:szCs w:val="28"/>
        </w:rPr>
        <w:t>Metodología</w:t>
      </w:r>
    </w:p>
    <w:p w14:paraId="5062A550" w14:textId="77777777" w:rsidR="0014509F" w:rsidRPr="00DA70DD" w:rsidRDefault="0014509F" w:rsidP="00A170A9">
      <w:pPr>
        <w:pStyle w:val="estilo30"/>
        <w:spacing w:before="240" w:beforeAutospacing="0" w:after="240" w:afterAutospacing="0" w:line="276" w:lineRule="auto"/>
        <w:jc w:val="both"/>
        <w:rPr>
          <w:rFonts w:asciiTheme="majorHAnsi" w:hAnsiTheme="majorHAnsi" w:cstheme="majorHAnsi"/>
          <w:sz w:val="28"/>
          <w:szCs w:val="28"/>
        </w:rPr>
      </w:pPr>
      <w:r w:rsidRPr="00DA70DD">
        <w:rPr>
          <w:rFonts w:asciiTheme="majorHAnsi" w:hAnsiTheme="majorHAnsi" w:cstheme="majorHAnsi"/>
          <w:sz w:val="28"/>
          <w:szCs w:val="28"/>
        </w:rPr>
        <w:t xml:space="preserve">Se realizará una revisión bibliográfica sobre la materia objeto de estudio, analizando los planteamientos académicos recientes, así como los que han realizado las autoridades de competencia y regulatorias en el sector de las telecomunicaciones y la radiodifusión en el análisis de casos sobre concentraciones y prácticas monopólicas. </w:t>
      </w:r>
    </w:p>
    <w:p w14:paraId="736CD922" w14:textId="77777777" w:rsidR="0014509F" w:rsidRDefault="0014509F" w:rsidP="00A170A9">
      <w:pPr>
        <w:pStyle w:val="estilo30"/>
        <w:spacing w:before="240" w:beforeAutospacing="0" w:after="240" w:afterAutospacing="0" w:line="276" w:lineRule="auto"/>
        <w:jc w:val="both"/>
        <w:rPr>
          <w:rFonts w:asciiTheme="majorHAnsi" w:hAnsiTheme="majorHAnsi" w:cstheme="majorHAnsi"/>
          <w:sz w:val="28"/>
          <w:szCs w:val="28"/>
        </w:rPr>
      </w:pPr>
      <w:r w:rsidRPr="00DA70DD">
        <w:rPr>
          <w:rFonts w:asciiTheme="majorHAnsi" w:hAnsiTheme="majorHAnsi" w:cstheme="majorHAnsi"/>
          <w:sz w:val="28"/>
          <w:szCs w:val="28"/>
        </w:rPr>
        <w:t>Con la información estadística disponible se determinará la dinámica en los mercados en que coexisten los servicios tradicionales y los OTT.</w:t>
      </w:r>
    </w:p>
    <w:p w14:paraId="31D2DCD9" w14:textId="77777777" w:rsidR="0014509F" w:rsidRPr="0091364E" w:rsidRDefault="0014509F" w:rsidP="0014509F">
      <w:pPr>
        <w:keepNext/>
        <w:spacing w:after="100" w:afterAutospacing="1"/>
        <w:contextualSpacing/>
        <w:jc w:val="both"/>
        <w:rPr>
          <w:rFonts w:asciiTheme="majorHAnsi" w:hAnsiTheme="majorHAnsi" w:cstheme="majorHAnsi"/>
          <w:color w:val="C45911" w:themeColor="accent2" w:themeShade="BF"/>
          <w:sz w:val="28"/>
          <w:szCs w:val="28"/>
        </w:rPr>
      </w:pPr>
      <w:r w:rsidRPr="0091364E">
        <w:rPr>
          <w:rFonts w:asciiTheme="majorHAnsi" w:hAnsiTheme="majorHAnsi" w:cstheme="majorHAnsi"/>
          <w:color w:val="C45911" w:themeColor="accent2" w:themeShade="BF"/>
          <w:sz w:val="28"/>
          <w:szCs w:val="28"/>
        </w:rPr>
        <w:lastRenderedPageBreak/>
        <w:t>Resultados esperados</w:t>
      </w:r>
    </w:p>
    <w:p w14:paraId="016F2F1A" w14:textId="77777777" w:rsidR="0014509F" w:rsidRPr="00DA70DD" w:rsidRDefault="0014509F" w:rsidP="00A170A9">
      <w:pPr>
        <w:pStyle w:val="estilo30"/>
        <w:spacing w:before="240" w:beforeAutospacing="0" w:after="240" w:afterAutospacing="0" w:line="276" w:lineRule="auto"/>
        <w:jc w:val="both"/>
        <w:rPr>
          <w:rFonts w:asciiTheme="majorHAnsi" w:hAnsiTheme="majorHAnsi" w:cstheme="majorHAnsi"/>
          <w:sz w:val="28"/>
          <w:szCs w:val="28"/>
        </w:rPr>
      </w:pPr>
      <w:r w:rsidRPr="00DA70DD">
        <w:rPr>
          <w:rFonts w:asciiTheme="majorHAnsi" w:hAnsiTheme="majorHAnsi" w:cstheme="majorHAnsi"/>
          <w:sz w:val="28"/>
          <w:szCs w:val="28"/>
        </w:rPr>
        <w:t>El estudio generará información cuantitativa y regulatoria útil, sobre el estado de los mercados de las tecnologías de la información y la comunicación, destacando la situación competitiva y de complementariedad entre los servicios</w:t>
      </w:r>
      <w:r>
        <w:rPr>
          <w:rFonts w:asciiTheme="majorHAnsi" w:hAnsiTheme="majorHAnsi" w:cstheme="majorHAnsi"/>
          <w:sz w:val="28"/>
          <w:szCs w:val="28"/>
        </w:rPr>
        <w:t>, así como sus efectos de red</w:t>
      </w:r>
      <w:r w:rsidRPr="00DA70DD">
        <w:rPr>
          <w:rFonts w:asciiTheme="majorHAnsi" w:hAnsiTheme="majorHAnsi" w:cstheme="majorHAnsi"/>
          <w:sz w:val="28"/>
          <w:szCs w:val="28"/>
        </w:rPr>
        <w:t xml:space="preserve">. </w:t>
      </w:r>
    </w:p>
    <w:p w14:paraId="216EA9C0" w14:textId="77777777" w:rsidR="0014509F" w:rsidRDefault="0014509F" w:rsidP="00A170A9">
      <w:pPr>
        <w:pStyle w:val="estilo30"/>
        <w:spacing w:before="240" w:beforeAutospacing="0" w:after="240" w:afterAutospacing="0" w:line="276" w:lineRule="auto"/>
        <w:jc w:val="both"/>
        <w:rPr>
          <w:rFonts w:asciiTheme="majorHAnsi" w:hAnsiTheme="majorHAnsi" w:cstheme="majorHAnsi"/>
          <w:sz w:val="28"/>
          <w:szCs w:val="28"/>
        </w:rPr>
      </w:pPr>
      <w:r w:rsidRPr="00DA70DD">
        <w:rPr>
          <w:rFonts w:asciiTheme="majorHAnsi" w:hAnsiTheme="majorHAnsi" w:cstheme="majorHAnsi"/>
          <w:sz w:val="28"/>
          <w:szCs w:val="28"/>
        </w:rPr>
        <w:t xml:space="preserve">El desarrollo de los OTT promueve la revisión del marco legal </w:t>
      </w:r>
      <w:r>
        <w:rPr>
          <w:rFonts w:asciiTheme="majorHAnsi" w:hAnsiTheme="majorHAnsi" w:cstheme="majorHAnsi"/>
          <w:sz w:val="28"/>
          <w:szCs w:val="28"/>
        </w:rPr>
        <w:t xml:space="preserve">de </w:t>
      </w:r>
      <w:r w:rsidRPr="00DA70DD">
        <w:rPr>
          <w:rFonts w:asciiTheme="majorHAnsi" w:hAnsiTheme="majorHAnsi" w:cstheme="majorHAnsi"/>
          <w:sz w:val="28"/>
          <w:szCs w:val="28"/>
        </w:rPr>
        <w:t xml:space="preserve">las empresas tradicionales de telecomunicaciones y </w:t>
      </w:r>
      <w:r>
        <w:rPr>
          <w:rFonts w:asciiTheme="majorHAnsi" w:hAnsiTheme="majorHAnsi" w:cstheme="majorHAnsi"/>
          <w:sz w:val="28"/>
          <w:szCs w:val="28"/>
        </w:rPr>
        <w:t>el que aplica a los OTT.</w:t>
      </w:r>
      <w:r w:rsidRPr="00DA70DD">
        <w:rPr>
          <w:rFonts w:asciiTheme="majorHAnsi" w:hAnsiTheme="majorHAnsi" w:cstheme="majorHAnsi"/>
          <w:sz w:val="28"/>
          <w:szCs w:val="28"/>
        </w:rPr>
        <w:t xml:space="preserve"> En el corto y mediano plazos, se estima que diversos países estarán revisando y refor</w:t>
      </w:r>
      <w:r>
        <w:rPr>
          <w:rFonts w:asciiTheme="majorHAnsi" w:hAnsiTheme="majorHAnsi" w:cstheme="majorHAnsi"/>
          <w:sz w:val="28"/>
          <w:szCs w:val="28"/>
        </w:rPr>
        <w:t xml:space="preserve">mando sus esquemas regulatorios. Lo anterior, a fin de </w:t>
      </w:r>
      <w:r w:rsidRPr="00DA70DD">
        <w:rPr>
          <w:rFonts w:asciiTheme="majorHAnsi" w:hAnsiTheme="majorHAnsi" w:cstheme="majorHAnsi"/>
          <w:sz w:val="28"/>
          <w:szCs w:val="28"/>
        </w:rPr>
        <w:t>garantizar la protección y la privacidad de datos, fomentar la igualdad de condiciones en la competencia de los servicios OTT y los tradicionales</w:t>
      </w:r>
      <w:r>
        <w:rPr>
          <w:rFonts w:asciiTheme="majorHAnsi" w:hAnsiTheme="majorHAnsi" w:cstheme="majorHAnsi"/>
          <w:sz w:val="28"/>
          <w:szCs w:val="28"/>
        </w:rPr>
        <w:t xml:space="preserve">, así como la innovación y el pleno desarrollo de los mismos. </w:t>
      </w:r>
      <w:r w:rsidRPr="00DA70DD">
        <w:rPr>
          <w:rFonts w:asciiTheme="majorHAnsi" w:hAnsiTheme="majorHAnsi" w:cstheme="majorHAnsi"/>
          <w:sz w:val="28"/>
          <w:szCs w:val="28"/>
        </w:rPr>
        <w:t>El estudio bu</w:t>
      </w:r>
      <w:r>
        <w:rPr>
          <w:rFonts w:asciiTheme="majorHAnsi" w:hAnsiTheme="majorHAnsi" w:cstheme="majorHAnsi"/>
          <w:sz w:val="28"/>
          <w:szCs w:val="28"/>
        </w:rPr>
        <w:t>sca generar recomendaciones concretas que puedan</w:t>
      </w:r>
      <w:r w:rsidRPr="00DA70DD">
        <w:rPr>
          <w:rFonts w:asciiTheme="majorHAnsi" w:hAnsiTheme="majorHAnsi" w:cstheme="majorHAnsi"/>
          <w:sz w:val="28"/>
          <w:szCs w:val="28"/>
        </w:rPr>
        <w:t xml:space="preserve"> </w:t>
      </w:r>
      <w:r>
        <w:rPr>
          <w:rFonts w:asciiTheme="majorHAnsi" w:hAnsiTheme="majorHAnsi" w:cstheme="majorHAnsi"/>
          <w:sz w:val="28"/>
          <w:szCs w:val="28"/>
        </w:rPr>
        <w:t>implementarse en los ejercicios de análisis regulatorio y de política de competencia del IFT, así como reformas legislativas, en su caso</w:t>
      </w:r>
      <w:r w:rsidRPr="00DA70DD">
        <w:rPr>
          <w:rFonts w:asciiTheme="majorHAnsi" w:hAnsiTheme="majorHAnsi" w:cstheme="majorHAnsi"/>
          <w:sz w:val="28"/>
          <w:szCs w:val="28"/>
        </w:rPr>
        <w:t>.</w:t>
      </w:r>
    </w:p>
    <w:p w14:paraId="2D72F229" w14:textId="77777777" w:rsidR="0014509F" w:rsidRPr="0091364E" w:rsidRDefault="0014509F" w:rsidP="0014509F">
      <w:pPr>
        <w:keepNext/>
        <w:contextualSpacing/>
        <w:jc w:val="both"/>
        <w:rPr>
          <w:rFonts w:asciiTheme="majorHAnsi" w:hAnsiTheme="majorHAnsi" w:cstheme="majorHAnsi"/>
          <w:color w:val="C45911" w:themeColor="accent2" w:themeShade="BF"/>
          <w:sz w:val="28"/>
          <w:szCs w:val="28"/>
        </w:rPr>
      </w:pPr>
      <w:r>
        <w:rPr>
          <w:rFonts w:asciiTheme="majorHAnsi" w:hAnsiTheme="majorHAnsi" w:cstheme="majorHAnsi"/>
          <w:color w:val="C45911" w:themeColor="accent2" w:themeShade="BF"/>
          <w:sz w:val="28"/>
          <w:szCs w:val="28"/>
        </w:rPr>
        <w:t xml:space="preserve">Utilidad del </w:t>
      </w:r>
      <w:r w:rsidRPr="0091364E">
        <w:rPr>
          <w:rFonts w:asciiTheme="majorHAnsi" w:hAnsiTheme="majorHAnsi" w:cstheme="majorHAnsi"/>
          <w:color w:val="C45911" w:themeColor="accent2" w:themeShade="BF"/>
          <w:sz w:val="28"/>
          <w:szCs w:val="28"/>
        </w:rPr>
        <w:t>estudio</w:t>
      </w:r>
      <w:r>
        <w:rPr>
          <w:rFonts w:asciiTheme="majorHAnsi" w:hAnsiTheme="majorHAnsi" w:cstheme="majorHAnsi"/>
          <w:color w:val="C45911" w:themeColor="accent2" w:themeShade="BF"/>
          <w:sz w:val="28"/>
          <w:szCs w:val="28"/>
        </w:rPr>
        <w:t xml:space="preserve"> para el Instituto</w:t>
      </w:r>
    </w:p>
    <w:p w14:paraId="2DC0D1D8" w14:textId="77777777" w:rsidR="0014509F" w:rsidRDefault="0014509F" w:rsidP="00A170A9">
      <w:pPr>
        <w:pStyle w:val="estilo30"/>
        <w:spacing w:before="240" w:beforeAutospacing="0" w:after="240" w:afterAutospacing="0" w:line="276" w:lineRule="auto"/>
        <w:jc w:val="both"/>
        <w:rPr>
          <w:rFonts w:asciiTheme="majorHAnsi" w:hAnsiTheme="majorHAnsi" w:cstheme="majorHAnsi"/>
          <w:sz w:val="28"/>
          <w:szCs w:val="28"/>
        </w:rPr>
      </w:pPr>
      <w:r w:rsidRPr="00DA70DD">
        <w:rPr>
          <w:rFonts w:asciiTheme="majorHAnsi" w:hAnsiTheme="majorHAnsi" w:cstheme="majorHAnsi"/>
          <w:sz w:val="28"/>
          <w:szCs w:val="28"/>
        </w:rPr>
        <w:t>La rápida expansión de los servicios OTT y el alcance de su acción a diversos aspectos de la vida de las personas y la actividad económica, requiere d</w:t>
      </w:r>
      <w:r>
        <w:rPr>
          <w:rFonts w:asciiTheme="majorHAnsi" w:hAnsiTheme="majorHAnsi" w:cstheme="majorHAnsi"/>
          <w:sz w:val="28"/>
          <w:szCs w:val="28"/>
        </w:rPr>
        <w:t>el estudio</w:t>
      </w:r>
      <w:r w:rsidRPr="00DA70DD">
        <w:rPr>
          <w:rFonts w:asciiTheme="majorHAnsi" w:hAnsiTheme="majorHAnsi" w:cstheme="majorHAnsi"/>
          <w:sz w:val="28"/>
          <w:szCs w:val="28"/>
        </w:rPr>
        <w:t xml:space="preserve"> de </w:t>
      </w:r>
      <w:r>
        <w:rPr>
          <w:rFonts w:asciiTheme="majorHAnsi" w:hAnsiTheme="majorHAnsi" w:cstheme="majorHAnsi"/>
          <w:sz w:val="28"/>
          <w:szCs w:val="28"/>
        </w:rPr>
        <w:t xml:space="preserve">las </w:t>
      </w:r>
      <w:r w:rsidRPr="00DA70DD">
        <w:rPr>
          <w:rFonts w:asciiTheme="majorHAnsi" w:hAnsiTheme="majorHAnsi" w:cstheme="majorHAnsi"/>
          <w:sz w:val="28"/>
          <w:szCs w:val="28"/>
        </w:rPr>
        <w:t xml:space="preserve">propuestas teóricas </w:t>
      </w:r>
      <w:r>
        <w:rPr>
          <w:rFonts w:asciiTheme="majorHAnsi" w:hAnsiTheme="majorHAnsi" w:cstheme="majorHAnsi"/>
          <w:sz w:val="28"/>
          <w:szCs w:val="28"/>
        </w:rPr>
        <w:t xml:space="preserve">y las implementadas por otras agencias regulatorias, </w:t>
      </w:r>
      <w:r w:rsidRPr="00DA70DD">
        <w:rPr>
          <w:rFonts w:asciiTheme="majorHAnsi" w:hAnsiTheme="majorHAnsi" w:cstheme="majorHAnsi"/>
          <w:sz w:val="28"/>
          <w:szCs w:val="28"/>
        </w:rPr>
        <w:t xml:space="preserve">para la </w:t>
      </w:r>
      <w:r>
        <w:rPr>
          <w:rFonts w:asciiTheme="majorHAnsi" w:hAnsiTheme="majorHAnsi" w:cstheme="majorHAnsi"/>
          <w:sz w:val="28"/>
          <w:szCs w:val="28"/>
        </w:rPr>
        <w:t>formulación</w:t>
      </w:r>
      <w:r w:rsidRPr="00DA70DD">
        <w:rPr>
          <w:rFonts w:asciiTheme="majorHAnsi" w:hAnsiTheme="majorHAnsi" w:cstheme="majorHAnsi"/>
          <w:sz w:val="28"/>
          <w:szCs w:val="28"/>
        </w:rPr>
        <w:t xml:space="preserve"> de un adecuado marco regulatorio que permita tanto el desarrollo de las redes, como el de los servicios que se prestan a través de la banda ancha, fomentando la innovación en un entorno de protección de los usuarios. </w:t>
      </w:r>
    </w:p>
    <w:p w14:paraId="593F1D7A" w14:textId="77777777" w:rsidR="0014509F" w:rsidRPr="008156F1" w:rsidRDefault="0014509F" w:rsidP="0014509F">
      <w:pPr>
        <w:keepNext/>
        <w:contextualSpacing/>
        <w:jc w:val="both"/>
        <w:rPr>
          <w:rFonts w:asciiTheme="majorHAnsi" w:hAnsiTheme="majorHAnsi" w:cstheme="majorHAnsi"/>
          <w:color w:val="0070C0"/>
          <w:sz w:val="28"/>
          <w:szCs w:val="28"/>
        </w:rPr>
      </w:pPr>
      <w:r w:rsidRPr="008156F1">
        <w:rPr>
          <w:rFonts w:asciiTheme="majorHAnsi" w:hAnsiTheme="majorHAnsi" w:cstheme="majorHAnsi"/>
          <w:color w:val="0070C0"/>
          <w:sz w:val="28"/>
          <w:szCs w:val="28"/>
        </w:rPr>
        <w:t>Cronograma</w:t>
      </w:r>
    </w:p>
    <w:tbl>
      <w:tblPr>
        <w:tblStyle w:val="Tablaconcuadrcula"/>
        <w:tblW w:w="0" w:type="auto"/>
        <w:tblLook w:val="04A0" w:firstRow="1" w:lastRow="0" w:firstColumn="1" w:lastColumn="0" w:noHBand="0" w:noVBand="1"/>
        <w:tblCaption w:val="Cronograma "/>
        <w:tblDescription w:val="Etapa de Estudio Formulación de hipótesis y revisión bibliográfica. Fecha de conclusión Marzo&#10;Análisis de la experiencia nacional e internacional. Fecha de conclusión Abril&#10;Formulación de modelos e interpretación de los resultados. Fecha de conclusión Mayo&#10;Elaboración del reporte final. Fecha de conclusión Junio&#10;"/>
      </w:tblPr>
      <w:tblGrid>
        <w:gridCol w:w="6658"/>
        <w:gridCol w:w="2693"/>
      </w:tblGrid>
      <w:tr w:rsidR="0014509F" w:rsidRPr="008156F1" w14:paraId="45038105" w14:textId="77777777" w:rsidTr="00A170A9">
        <w:trPr>
          <w:tblHeader/>
        </w:trPr>
        <w:tc>
          <w:tcPr>
            <w:tcW w:w="6658" w:type="dxa"/>
          </w:tcPr>
          <w:p w14:paraId="655AB6E2" w14:textId="77777777" w:rsidR="0014509F" w:rsidRPr="008156F1" w:rsidRDefault="0014509F" w:rsidP="00A170A9">
            <w:pPr>
              <w:spacing w:after="100" w:afterAutospacing="1"/>
              <w:jc w:val="both"/>
              <w:rPr>
                <w:rFonts w:asciiTheme="majorHAnsi" w:hAnsiTheme="majorHAnsi"/>
                <w:color w:val="0070C0"/>
                <w:sz w:val="28"/>
                <w:szCs w:val="28"/>
              </w:rPr>
            </w:pPr>
            <w:r w:rsidRPr="008156F1">
              <w:rPr>
                <w:rFonts w:asciiTheme="majorHAnsi" w:hAnsiTheme="majorHAnsi"/>
                <w:color w:val="0070C0"/>
                <w:sz w:val="28"/>
                <w:szCs w:val="28"/>
              </w:rPr>
              <w:t>Etapa de Estudio</w:t>
            </w:r>
          </w:p>
        </w:tc>
        <w:tc>
          <w:tcPr>
            <w:tcW w:w="2693" w:type="dxa"/>
          </w:tcPr>
          <w:p w14:paraId="6426F14A" w14:textId="77777777" w:rsidR="0014509F" w:rsidRPr="008156F1" w:rsidRDefault="0014509F" w:rsidP="00A170A9">
            <w:pPr>
              <w:spacing w:after="100" w:afterAutospacing="1"/>
              <w:jc w:val="both"/>
              <w:rPr>
                <w:rFonts w:asciiTheme="majorHAnsi" w:hAnsiTheme="majorHAnsi"/>
                <w:color w:val="0070C0"/>
                <w:sz w:val="28"/>
                <w:szCs w:val="28"/>
              </w:rPr>
            </w:pPr>
            <w:r w:rsidRPr="008156F1">
              <w:rPr>
                <w:rFonts w:asciiTheme="majorHAnsi" w:hAnsiTheme="majorHAnsi"/>
                <w:color w:val="0070C0"/>
                <w:sz w:val="28"/>
                <w:szCs w:val="28"/>
              </w:rPr>
              <w:t>Fecha de Conclusión</w:t>
            </w:r>
          </w:p>
        </w:tc>
      </w:tr>
      <w:tr w:rsidR="0014509F" w:rsidRPr="009C079F" w14:paraId="46100123" w14:textId="77777777" w:rsidTr="00A170A9">
        <w:tc>
          <w:tcPr>
            <w:tcW w:w="6658" w:type="dxa"/>
          </w:tcPr>
          <w:p w14:paraId="32796E31" w14:textId="77777777" w:rsidR="0014509F" w:rsidRPr="009C079F" w:rsidRDefault="0014509F" w:rsidP="00A170A9">
            <w:pPr>
              <w:spacing w:after="100" w:afterAutospacing="1"/>
              <w:jc w:val="both"/>
              <w:rPr>
                <w:rFonts w:asciiTheme="majorHAnsi" w:hAnsiTheme="majorHAnsi"/>
                <w:sz w:val="28"/>
                <w:szCs w:val="28"/>
              </w:rPr>
            </w:pPr>
            <w:r w:rsidRPr="009C079F">
              <w:rPr>
                <w:rFonts w:asciiTheme="majorHAnsi" w:hAnsiTheme="majorHAnsi"/>
                <w:sz w:val="28"/>
                <w:szCs w:val="28"/>
              </w:rPr>
              <w:t>Formulación de hipótesis y revisión bibliográfica</w:t>
            </w:r>
            <w:r>
              <w:rPr>
                <w:rFonts w:asciiTheme="majorHAnsi" w:hAnsiTheme="majorHAnsi"/>
                <w:sz w:val="28"/>
                <w:szCs w:val="28"/>
              </w:rPr>
              <w:t>.</w:t>
            </w:r>
          </w:p>
        </w:tc>
        <w:tc>
          <w:tcPr>
            <w:tcW w:w="2693" w:type="dxa"/>
          </w:tcPr>
          <w:p w14:paraId="77850B50" w14:textId="77777777" w:rsidR="0014509F" w:rsidRPr="009C079F" w:rsidRDefault="0014509F" w:rsidP="00A170A9">
            <w:pPr>
              <w:spacing w:after="100" w:afterAutospacing="1"/>
              <w:jc w:val="both"/>
              <w:rPr>
                <w:rFonts w:asciiTheme="majorHAnsi" w:hAnsiTheme="majorHAnsi"/>
                <w:sz w:val="28"/>
                <w:szCs w:val="28"/>
              </w:rPr>
            </w:pPr>
            <w:r>
              <w:rPr>
                <w:rFonts w:asciiTheme="majorHAnsi" w:hAnsiTheme="majorHAnsi"/>
                <w:sz w:val="28"/>
                <w:szCs w:val="28"/>
              </w:rPr>
              <w:t>Marzo</w:t>
            </w:r>
          </w:p>
        </w:tc>
      </w:tr>
      <w:tr w:rsidR="0014509F" w:rsidRPr="009C079F" w14:paraId="23FEA643" w14:textId="77777777" w:rsidTr="00A170A9">
        <w:tc>
          <w:tcPr>
            <w:tcW w:w="6658" w:type="dxa"/>
          </w:tcPr>
          <w:p w14:paraId="6F0865F7" w14:textId="77777777" w:rsidR="0014509F" w:rsidRPr="009C079F" w:rsidRDefault="0014509F" w:rsidP="00A170A9">
            <w:pPr>
              <w:spacing w:after="100" w:afterAutospacing="1"/>
              <w:jc w:val="both"/>
              <w:rPr>
                <w:rFonts w:asciiTheme="majorHAnsi" w:hAnsiTheme="majorHAnsi"/>
                <w:sz w:val="28"/>
                <w:szCs w:val="28"/>
              </w:rPr>
            </w:pPr>
            <w:r w:rsidRPr="009C079F">
              <w:rPr>
                <w:rFonts w:asciiTheme="majorHAnsi" w:hAnsiTheme="majorHAnsi"/>
                <w:sz w:val="28"/>
                <w:szCs w:val="28"/>
              </w:rPr>
              <w:t>Análisis de la experiencia nacional e internacional.</w:t>
            </w:r>
          </w:p>
        </w:tc>
        <w:tc>
          <w:tcPr>
            <w:tcW w:w="2693" w:type="dxa"/>
          </w:tcPr>
          <w:p w14:paraId="303CB529" w14:textId="77777777" w:rsidR="0014509F" w:rsidRPr="009C079F" w:rsidRDefault="0014509F" w:rsidP="00A170A9">
            <w:pPr>
              <w:spacing w:after="100" w:afterAutospacing="1"/>
              <w:jc w:val="both"/>
              <w:rPr>
                <w:rFonts w:asciiTheme="majorHAnsi" w:hAnsiTheme="majorHAnsi"/>
                <w:sz w:val="28"/>
                <w:szCs w:val="28"/>
              </w:rPr>
            </w:pPr>
            <w:r>
              <w:rPr>
                <w:rFonts w:asciiTheme="majorHAnsi" w:hAnsiTheme="majorHAnsi"/>
                <w:sz w:val="28"/>
                <w:szCs w:val="28"/>
              </w:rPr>
              <w:t>Abril</w:t>
            </w:r>
          </w:p>
        </w:tc>
      </w:tr>
      <w:tr w:rsidR="0014509F" w:rsidRPr="009C079F" w14:paraId="068B5569" w14:textId="77777777" w:rsidTr="00A170A9">
        <w:tc>
          <w:tcPr>
            <w:tcW w:w="6658" w:type="dxa"/>
          </w:tcPr>
          <w:p w14:paraId="7B3D0CF0" w14:textId="77777777" w:rsidR="0014509F" w:rsidRPr="009C079F" w:rsidRDefault="0014509F" w:rsidP="00A170A9">
            <w:pPr>
              <w:spacing w:after="100" w:afterAutospacing="1"/>
              <w:jc w:val="both"/>
              <w:rPr>
                <w:rFonts w:asciiTheme="majorHAnsi" w:hAnsiTheme="majorHAnsi"/>
                <w:sz w:val="28"/>
                <w:szCs w:val="28"/>
              </w:rPr>
            </w:pPr>
            <w:r w:rsidRPr="009C079F">
              <w:rPr>
                <w:rFonts w:asciiTheme="majorHAnsi" w:hAnsiTheme="majorHAnsi"/>
                <w:sz w:val="28"/>
                <w:szCs w:val="28"/>
              </w:rPr>
              <w:t>Formulación de modelos e interpretación de los resultados</w:t>
            </w:r>
            <w:r>
              <w:rPr>
                <w:rFonts w:asciiTheme="majorHAnsi" w:hAnsiTheme="majorHAnsi"/>
                <w:sz w:val="28"/>
                <w:szCs w:val="28"/>
              </w:rPr>
              <w:t>.</w:t>
            </w:r>
          </w:p>
        </w:tc>
        <w:tc>
          <w:tcPr>
            <w:tcW w:w="2693" w:type="dxa"/>
          </w:tcPr>
          <w:p w14:paraId="702640A8" w14:textId="77777777" w:rsidR="0014509F" w:rsidRPr="009C079F" w:rsidRDefault="0014509F" w:rsidP="00A170A9">
            <w:pPr>
              <w:spacing w:after="100" w:afterAutospacing="1"/>
              <w:jc w:val="both"/>
              <w:rPr>
                <w:rFonts w:asciiTheme="majorHAnsi" w:hAnsiTheme="majorHAnsi"/>
                <w:sz w:val="28"/>
                <w:szCs w:val="28"/>
              </w:rPr>
            </w:pPr>
            <w:r>
              <w:rPr>
                <w:rFonts w:asciiTheme="majorHAnsi" w:hAnsiTheme="majorHAnsi"/>
                <w:sz w:val="28"/>
                <w:szCs w:val="28"/>
              </w:rPr>
              <w:t>Mayo</w:t>
            </w:r>
          </w:p>
        </w:tc>
      </w:tr>
      <w:tr w:rsidR="0014509F" w:rsidRPr="009C079F" w14:paraId="122C0730" w14:textId="77777777" w:rsidTr="00A170A9">
        <w:tc>
          <w:tcPr>
            <w:tcW w:w="6658" w:type="dxa"/>
          </w:tcPr>
          <w:p w14:paraId="2A5851AC" w14:textId="77777777" w:rsidR="0014509F" w:rsidRPr="009C079F" w:rsidRDefault="0014509F" w:rsidP="00A170A9">
            <w:pPr>
              <w:spacing w:after="100" w:afterAutospacing="1"/>
              <w:jc w:val="both"/>
              <w:rPr>
                <w:rFonts w:asciiTheme="majorHAnsi" w:hAnsiTheme="majorHAnsi"/>
                <w:sz w:val="28"/>
                <w:szCs w:val="28"/>
              </w:rPr>
            </w:pPr>
            <w:r w:rsidRPr="009C079F">
              <w:rPr>
                <w:rFonts w:asciiTheme="majorHAnsi" w:hAnsiTheme="majorHAnsi"/>
                <w:sz w:val="28"/>
                <w:szCs w:val="28"/>
              </w:rPr>
              <w:t>Elaboración del reporte final.</w:t>
            </w:r>
          </w:p>
        </w:tc>
        <w:tc>
          <w:tcPr>
            <w:tcW w:w="2693" w:type="dxa"/>
          </w:tcPr>
          <w:p w14:paraId="1941F3A0" w14:textId="77777777" w:rsidR="0014509F" w:rsidRPr="009C079F" w:rsidRDefault="0014509F" w:rsidP="00A170A9">
            <w:pPr>
              <w:spacing w:after="100" w:afterAutospacing="1"/>
              <w:jc w:val="both"/>
              <w:rPr>
                <w:rFonts w:asciiTheme="majorHAnsi" w:hAnsiTheme="majorHAnsi"/>
                <w:sz w:val="28"/>
                <w:szCs w:val="28"/>
              </w:rPr>
            </w:pPr>
            <w:r>
              <w:rPr>
                <w:rFonts w:asciiTheme="majorHAnsi" w:hAnsiTheme="majorHAnsi"/>
                <w:sz w:val="28"/>
                <w:szCs w:val="28"/>
              </w:rPr>
              <w:t>Junio</w:t>
            </w:r>
          </w:p>
        </w:tc>
      </w:tr>
    </w:tbl>
    <w:p w14:paraId="3E1C698B" w14:textId="77777777" w:rsidR="0014509F" w:rsidRPr="009C079F" w:rsidRDefault="0014509F" w:rsidP="0014509F">
      <w:pPr>
        <w:spacing w:after="100" w:afterAutospacing="1"/>
        <w:jc w:val="both"/>
        <w:rPr>
          <w:rFonts w:asciiTheme="majorHAnsi" w:hAnsiTheme="majorHAnsi"/>
          <w:color w:val="0070C0"/>
          <w:sz w:val="28"/>
          <w:szCs w:val="28"/>
        </w:rPr>
      </w:pPr>
    </w:p>
    <w:p w14:paraId="6309E0AC" w14:textId="77777777" w:rsidR="0014509F" w:rsidRDefault="0014509F" w:rsidP="0014509F">
      <w:pPr>
        <w:keepNext/>
        <w:spacing w:after="100" w:afterAutospacing="1"/>
        <w:jc w:val="both"/>
        <w:rPr>
          <w:rFonts w:ascii="Calibri Light" w:eastAsia="Calibri" w:hAnsi="Calibri Light"/>
          <w:color w:val="C45911" w:themeColor="accent2" w:themeShade="BF"/>
          <w:sz w:val="28"/>
          <w:szCs w:val="28"/>
        </w:rPr>
      </w:pPr>
      <w:sdt>
        <w:sdtPr>
          <w:rPr>
            <w:rFonts w:ascii="Calibri Light" w:eastAsia="Calibri" w:hAnsi="Calibri Light"/>
            <w:color w:val="C45911" w:themeColor="accent2" w:themeShade="BF"/>
            <w:sz w:val="28"/>
            <w:szCs w:val="28"/>
          </w:rPr>
          <w:alias w:val="Nombre del Proyecto"/>
          <w:tag w:val="Nombre_x0020_del_x0020_Proyecto"/>
          <w:id w:val="-1018384217"/>
          <w:placeholder>
            <w:docPart w:val="324CB4EE2ECE415CA26120AC40A88AC6"/>
          </w:placeholder>
          <w:dataBinding w:prefixMappings="xmlns:ns0='http://schemas.microsoft.com/office/2006/metadata/properties' xmlns:ns1='http://www.w3.org/2001/XMLSchema-instance' xmlns:ns2='http://schemas.microsoft.com/office/infopath/2007/PartnerControls' xmlns:ns3='293807b6-12d3-42cc-a250-7bb708d556b9' " w:xpath="/ns0:properties[1]/documentManagement[1]/ns3:Nombre_x0020_del_x0020_Proyecto[1]" w:storeItemID="{D43C7FE1-1104-4286-B957-32265D6B0D08}"/>
          <w:text/>
        </w:sdtPr>
        <w:sdtContent>
          <w:r>
            <w:rPr>
              <w:rFonts w:ascii="Calibri Light" w:eastAsia="Calibri" w:hAnsi="Calibri Light"/>
              <w:color w:val="C45911" w:themeColor="accent2" w:themeShade="BF"/>
              <w:sz w:val="28"/>
              <w:szCs w:val="28"/>
            </w:rPr>
            <w:t>Estimación de los precios implícitos de servicios de telecomunicaciones incluidos en paquetes en México</w:t>
          </w:r>
        </w:sdtContent>
      </w:sdt>
    </w:p>
    <w:p w14:paraId="0CFD04E6" w14:textId="77777777" w:rsidR="0014509F" w:rsidRDefault="0014509F" w:rsidP="0014509F">
      <w:pPr>
        <w:keepNext/>
        <w:spacing w:after="100" w:afterAutospacing="1"/>
        <w:jc w:val="both"/>
        <w:rPr>
          <w:rFonts w:ascii="Calibri Light" w:eastAsia="Calibri" w:hAnsi="Calibri Light"/>
          <w:color w:val="C45911" w:themeColor="accent2" w:themeShade="BF"/>
          <w:sz w:val="28"/>
          <w:szCs w:val="28"/>
        </w:rPr>
      </w:pPr>
      <w:r w:rsidRPr="0091364E">
        <w:rPr>
          <w:rFonts w:ascii="Calibri Light" w:eastAsia="Calibri" w:hAnsi="Calibri Light"/>
          <w:color w:val="C45911" w:themeColor="accent2" w:themeShade="BF"/>
          <w:sz w:val="28"/>
          <w:szCs w:val="28"/>
        </w:rPr>
        <w:t>Esperanza Sainz López</w:t>
      </w:r>
      <w:r w:rsidRPr="0091364E">
        <w:rPr>
          <w:rFonts w:ascii="Calibri Light" w:eastAsia="Calibri" w:hAnsi="Calibri Light"/>
          <w:color w:val="C45911" w:themeColor="accent2" w:themeShade="BF"/>
          <w:sz w:val="28"/>
          <w:szCs w:val="28"/>
          <w:vertAlign w:val="superscript"/>
        </w:rPr>
        <w:footnoteReference w:id="12"/>
      </w:r>
    </w:p>
    <w:p w14:paraId="61B199EF" w14:textId="77777777" w:rsidR="0014509F" w:rsidRPr="00C75296" w:rsidRDefault="0014509F" w:rsidP="0014509F">
      <w:pPr>
        <w:contextualSpacing/>
        <w:jc w:val="both"/>
        <w:rPr>
          <w:rFonts w:asciiTheme="majorHAnsi" w:hAnsiTheme="majorHAnsi" w:cstheme="majorHAnsi"/>
          <w:color w:val="C45911" w:themeColor="accent2" w:themeShade="BF"/>
          <w:sz w:val="28"/>
          <w:szCs w:val="28"/>
        </w:rPr>
      </w:pPr>
      <w:r w:rsidRPr="00C75296">
        <w:rPr>
          <w:rFonts w:asciiTheme="majorHAnsi" w:hAnsiTheme="majorHAnsi" w:cstheme="majorHAnsi"/>
          <w:color w:val="C45911" w:themeColor="accent2" w:themeShade="BF"/>
          <w:sz w:val="28"/>
          <w:szCs w:val="28"/>
        </w:rPr>
        <w:t>Introducción</w:t>
      </w:r>
    </w:p>
    <w:p w14:paraId="756B505F" w14:textId="77777777" w:rsidR="0014509F"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sidRPr="00FE07A6">
        <w:rPr>
          <w:rFonts w:ascii="Calibri Light" w:eastAsia="Calibri" w:hAnsi="Calibri Light"/>
          <w:color w:val="000000"/>
          <w:sz w:val="28"/>
          <w:szCs w:val="28"/>
        </w:rPr>
        <w:t xml:space="preserve">En México, a partir de la reforma constitucional en materia de telecomunicaciones y radiodifusión que fue aprobada el 6 de junio de 2013, los precios de los servicios de </w:t>
      </w:r>
      <w:r w:rsidRPr="00A170A9">
        <w:rPr>
          <w:rFonts w:asciiTheme="majorHAnsi" w:hAnsiTheme="majorHAnsi" w:cstheme="majorHAnsi"/>
          <w:sz w:val="28"/>
          <w:szCs w:val="28"/>
        </w:rPr>
        <w:t>telecomunicaciones</w:t>
      </w:r>
      <w:r w:rsidRPr="00FE07A6">
        <w:rPr>
          <w:rFonts w:ascii="Calibri Light" w:eastAsia="Calibri" w:hAnsi="Calibri Light"/>
          <w:color w:val="000000"/>
          <w:sz w:val="28"/>
          <w:szCs w:val="28"/>
        </w:rPr>
        <w:t xml:space="preserve"> se han reducido sustancialmente y la calidad de estos ha mejorado, debido a la inversión en tecnologías de mayor capacidad por parte de los operadores.</w:t>
      </w:r>
    </w:p>
    <w:p w14:paraId="30F73197" w14:textId="77777777" w:rsidR="0014509F"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sidRPr="00FE07A6">
        <w:rPr>
          <w:rFonts w:ascii="Calibri Light" w:eastAsia="Calibri" w:hAnsi="Calibri Light"/>
          <w:color w:val="000000"/>
          <w:sz w:val="28"/>
          <w:szCs w:val="28"/>
        </w:rPr>
        <w:t xml:space="preserve">Los proveedores de servicios de telecomunicaciones ofrecen a los clientes cada vez más paquetes integrales con diferentes servicios (telefonía fija, banda ancha fija, televisión de paga, telefonía móvil y banda ancha móvil), para aprovechar el poder del mercado, pero también como una forma eficiente de asignar costos fijos entre servicios, reducir la complejidad de la oferta y proporcionar características </w:t>
      </w:r>
      <w:r w:rsidRPr="00A170A9">
        <w:rPr>
          <w:rFonts w:asciiTheme="majorHAnsi" w:hAnsiTheme="majorHAnsi" w:cstheme="majorHAnsi"/>
          <w:sz w:val="28"/>
          <w:szCs w:val="28"/>
        </w:rPr>
        <w:t>innovadoras</w:t>
      </w:r>
      <w:r w:rsidRPr="00FE07A6">
        <w:rPr>
          <w:rFonts w:ascii="Calibri Light" w:eastAsia="Calibri" w:hAnsi="Calibri Light"/>
          <w:color w:val="000000"/>
          <w:sz w:val="28"/>
          <w:szCs w:val="28"/>
        </w:rPr>
        <w:t xml:space="preserve"> y facturación unificada. Los paquetes son cada vez más importantes como instrumento para posicionarse en el mercado. Además, incluyen más servicios, por lo que plantean desafíos a las autoridades, ya que no se puede conocer fácilmente el costo imputable de cada uno de los servicios, </w:t>
      </w:r>
      <w:r w:rsidRPr="007F70B6">
        <w:rPr>
          <w:rFonts w:ascii="Calibri Light" w:eastAsia="Calibri" w:hAnsi="Calibri Light"/>
          <w:color w:val="000000"/>
          <w:sz w:val="28"/>
          <w:szCs w:val="28"/>
        </w:rPr>
        <w:t>más aú</w:t>
      </w:r>
      <w:r w:rsidRPr="00FE07A6">
        <w:rPr>
          <w:rFonts w:ascii="Calibri Light" w:eastAsia="Calibri" w:hAnsi="Calibri Light"/>
          <w:color w:val="000000"/>
          <w:sz w:val="28"/>
          <w:szCs w:val="28"/>
        </w:rPr>
        <w:t>n que sus características cambian rápidamente.</w:t>
      </w:r>
    </w:p>
    <w:p w14:paraId="1636490C" w14:textId="77777777" w:rsidR="0014509F" w:rsidRDefault="0014509F" w:rsidP="0014509F">
      <w:pPr>
        <w:contextualSpacing/>
        <w:jc w:val="both"/>
        <w:rPr>
          <w:rFonts w:ascii="Calibri Light" w:eastAsia="Calibri" w:hAnsi="Calibri Light"/>
          <w:color w:val="000000"/>
          <w:sz w:val="28"/>
          <w:szCs w:val="28"/>
        </w:rPr>
      </w:pPr>
      <w:r w:rsidRPr="00FE07A6">
        <w:rPr>
          <w:rFonts w:ascii="Calibri Light" w:eastAsia="Calibri" w:hAnsi="Calibri Light"/>
          <w:color w:val="000000"/>
          <w:sz w:val="28"/>
          <w:szCs w:val="28"/>
        </w:rPr>
        <w:t xml:space="preserve">La comparación de precios de los paquetes de servicios de telecomunicaciones ha sido un largo reto para los reguladores y los consumidores, por lo que es de gran </w:t>
      </w:r>
      <w:r w:rsidRPr="00FE07A6">
        <w:rPr>
          <w:rFonts w:ascii="Calibri Light" w:eastAsia="Calibri" w:hAnsi="Calibri Light"/>
          <w:color w:val="000000"/>
          <w:sz w:val="28"/>
          <w:szCs w:val="28"/>
        </w:rPr>
        <w:lastRenderedPageBreak/>
        <w:t>importancia estimar los precios de cada uno de los servicios incluidos en los paquetes.</w:t>
      </w:r>
    </w:p>
    <w:p w14:paraId="3B9D0702" w14:textId="77777777" w:rsidR="0014509F" w:rsidRPr="00014398" w:rsidRDefault="0014509F" w:rsidP="0014509F">
      <w:pPr>
        <w:contextualSpacing/>
        <w:jc w:val="both"/>
        <w:rPr>
          <w:rFonts w:asciiTheme="majorHAnsi" w:hAnsiTheme="majorHAnsi" w:cstheme="majorHAnsi"/>
          <w:color w:val="C45911" w:themeColor="accent2" w:themeShade="BF"/>
          <w:sz w:val="28"/>
          <w:szCs w:val="28"/>
        </w:rPr>
      </w:pPr>
      <w:r w:rsidRPr="00014398">
        <w:rPr>
          <w:rFonts w:asciiTheme="majorHAnsi" w:hAnsiTheme="majorHAnsi" w:cstheme="majorHAnsi"/>
          <w:color w:val="C45911" w:themeColor="accent2" w:themeShade="BF"/>
          <w:sz w:val="28"/>
          <w:szCs w:val="28"/>
        </w:rPr>
        <w:t>Objetivo</w:t>
      </w:r>
    </w:p>
    <w:p w14:paraId="1222B3AB" w14:textId="77777777" w:rsidR="0014509F"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sidRPr="00FE07A6">
        <w:rPr>
          <w:rFonts w:ascii="Calibri Light" w:eastAsia="Calibri" w:hAnsi="Calibri Light"/>
          <w:color w:val="000000"/>
          <w:sz w:val="28"/>
          <w:szCs w:val="28"/>
        </w:rPr>
        <w:t xml:space="preserve">Un importante aspecto de los paquetes es el precio imputable a cada uno de los servicios de telecomunicaciones incluidos, en particular conocer como las diferentes características de calidad de estos servicios afectan el precio que pagan los </w:t>
      </w:r>
      <w:r w:rsidRPr="00A170A9">
        <w:rPr>
          <w:rFonts w:asciiTheme="majorHAnsi" w:hAnsiTheme="majorHAnsi" w:cstheme="majorHAnsi"/>
          <w:sz w:val="28"/>
          <w:szCs w:val="28"/>
        </w:rPr>
        <w:t>consumidores</w:t>
      </w:r>
      <w:r w:rsidRPr="00FE07A6">
        <w:rPr>
          <w:rFonts w:ascii="Calibri Light" w:eastAsia="Calibri" w:hAnsi="Calibri Light"/>
          <w:color w:val="000000"/>
          <w:sz w:val="28"/>
          <w:szCs w:val="28"/>
        </w:rPr>
        <w:t>.</w:t>
      </w:r>
    </w:p>
    <w:p w14:paraId="585355BA" w14:textId="77777777" w:rsidR="0014509F"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sidRPr="00FE07A6">
        <w:rPr>
          <w:rFonts w:ascii="Calibri Light" w:eastAsia="Calibri" w:hAnsi="Calibri Light"/>
          <w:color w:val="000000"/>
          <w:sz w:val="28"/>
          <w:szCs w:val="28"/>
        </w:rPr>
        <w:t xml:space="preserve">Por lo anterior, se estimarán los precios de cada uno de los servicios de </w:t>
      </w:r>
      <w:r w:rsidRPr="00A170A9">
        <w:rPr>
          <w:rFonts w:asciiTheme="majorHAnsi" w:hAnsiTheme="majorHAnsi" w:cstheme="majorHAnsi"/>
          <w:sz w:val="28"/>
          <w:szCs w:val="28"/>
        </w:rPr>
        <w:t>telecomunicaciones</w:t>
      </w:r>
      <w:r w:rsidRPr="00FE07A6">
        <w:rPr>
          <w:rFonts w:ascii="Calibri Light" w:eastAsia="Calibri" w:hAnsi="Calibri Light"/>
          <w:color w:val="000000"/>
          <w:sz w:val="28"/>
          <w:szCs w:val="28"/>
        </w:rPr>
        <w:t xml:space="preserve"> incluidos en los diferentes planes que ofrecen y han ofrecido los operadores de telecomunicaciones en México, considerando el ajuste por calidad.</w:t>
      </w:r>
    </w:p>
    <w:p w14:paraId="100C99AA" w14:textId="77777777" w:rsidR="0014509F" w:rsidRPr="00C75296" w:rsidRDefault="0014509F" w:rsidP="0014509F">
      <w:pPr>
        <w:contextualSpacing/>
        <w:jc w:val="both"/>
        <w:rPr>
          <w:rFonts w:asciiTheme="majorHAnsi" w:hAnsiTheme="majorHAnsi" w:cstheme="majorHAnsi"/>
          <w:color w:val="C45911" w:themeColor="accent2" w:themeShade="BF"/>
          <w:sz w:val="28"/>
          <w:szCs w:val="28"/>
        </w:rPr>
      </w:pPr>
      <w:r w:rsidRPr="00C75296">
        <w:rPr>
          <w:rFonts w:asciiTheme="majorHAnsi" w:hAnsiTheme="majorHAnsi" w:cstheme="majorHAnsi"/>
          <w:color w:val="C45911" w:themeColor="accent2" w:themeShade="BF"/>
          <w:sz w:val="28"/>
          <w:szCs w:val="28"/>
        </w:rPr>
        <w:t>Metodología</w:t>
      </w:r>
    </w:p>
    <w:p w14:paraId="4E6FC11C" w14:textId="77777777" w:rsidR="0014509F"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sidRPr="00FE07A6">
        <w:rPr>
          <w:rFonts w:ascii="Calibri Light" w:eastAsia="Calibri" w:hAnsi="Calibri Light"/>
          <w:color w:val="000000"/>
          <w:sz w:val="28"/>
          <w:szCs w:val="28"/>
        </w:rPr>
        <w:t xml:space="preserve">En esta investigación se utilizará análisis econométrico para estimar la función de precios hedónicos, de acuerdo a las mejores prácticas a nivel internacional y las recomendaciones de la OCDE, considerando las características cualitativas y </w:t>
      </w:r>
      <w:r w:rsidRPr="00A170A9">
        <w:rPr>
          <w:rFonts w:asciiTheme="majorHAnsi" w:hAnsiTheme="majorHAnsi" w:cstheme="majorHAnsi"/>
          <w:sz w:val="28"/>
          <w:szCs w:val="28"/>
        </w:rPr>
        <w:t>cuantitativas</w:t>
      </w:r>
      <w:r w:rsidRPr="00FE07A6">
        <w:rPr>
          <w:rFonts w:ascii="Calibri Light" w:eastAsia="Calibri" w:hAnsi="Calibri Light"/>
          <w:color w:val="000000"/>
          <w:sz w:val="28"/>
          <w:szCs w:val="28"/>
        </w:rPr>
        <w:t xml:space="preserve"> de los servicios de telecomunicaciones incluidos en los diferentes paquetes que los operadores ofrecen y han ofrecido en México.</w:t>
      </w:r>
    </w:p>
    <w:p w14:paraId="30502B69" w14:textId="77777777" w:rsidR="0014509F"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sidRPr="00FE07A6">
        <w:rPr>
          <w:rFonts w:ascii="Calibri Light" w:eastAsia="Calibri" w:hAnsi="Calibri Light"/>
          <w:color w:val="000000"/>
          <w:sz w:val="28"/>
          <w:szCs w:val="28"/>
        </w:rPr>
        <w:t xml:space="preserve">Como parte de la investigación, se determinarán las principales características para cada uno de los servicios de telecomunicaciones </w:t>
      </w:r>
      <w:proofErr w:type="spellStart"/>
      <w:r>
        <w:rPr>
          <w:rFonts w:ascii="Calibri Light" w:eastAsia="Calibri" w:hAnsi="Calibri Light"/>
          <w:color w:val="000000"/>
          <w:sz w:val="28"/>
          <w:szCs w:val="28"/>
        </w:rPr>
        <w:t>fíjas</w:t>
      </w:r>
      <w:proofErr w:type="spellEnd"/>
      <w:r>
        <w:rPr>
          <w:rFonts w:ascii="Calibri Light" w:eastAsia="Calibri" w:hAnsi="Calibri Light"/>
          <w:color w:val="000000"/>
          <w:sz w:val="28"/>
          <w:szCs w:val="28"/>
        </w:rPr>
        <w:t xml:space="preserve"> y móviles </w:t>
      </w:r>
      <w:r w:rsidRPr="00FE07A6">
        <w:rPr>
          <w:rFonts w:ascii="Calibri Light" w:eastAsia="Calibri" w:hAnsi="Calibri Light"/>
          <w:color w:val="000000"/>
          <w:sz w:val="28"/>
          <w:szCs w:val="28"/>
        </w:rPr>
        <w:t xml:space="preserve">que influyen en los </w:t>
      </w:r>
      <w:r w:rsidRPr="00A170A9">
        <w:rPr>
          <w:rFonts w:asciiTheme="majorHAnsi" w:hAnsiTheme="majorHAnsi" w:cstheme="majorHAnsi"/>
          <w:sz w:val="28"/>
          <w:szCs w:val="28"/>
        </w:rPr>
        <w:t>precios</w:t>
      </w:r>
      <w:r w:rsidRPr="00FE07A6">
        <w:rPr>
          <w:rFonts w:ascii="Calibri Light" w:eastAsia="Calibri" w:hAnsi="Calibri Light"/>
          <w:color w:val="000000"/>
          <w:sz w:val="28"/>
          <w:szCs w:val="28"/>
        </w:rPr>
        <w:t xml:space="preserve"> de los diferentes empaquetamientos que ofrecen </w:t>
      </w:r>
      <w:r>
        <w:rPr>
          <w:rFonts w:ascii="Calibri Light" w:eastAsia="Calibri" w:hAnsi="Calibri Light"/>
          <w:color w:val="000000"/>
          <w:sz w:val="28"/>
          <w:szCs w:val="28"/>
        </w:rPr>
        <w:t xml:space="preserve">y han ofrecido </w:t>
      </w:r>
      <w:r w:rsidRPr="00FE07A6">
        <w:rPr>
          <w:rFonts w:ascii="Calibri Light" w:eastAsia="Calibri" w:hAnsi="Calibri Light"/>
          <w:color w:val="000000"/>
          <w:sz w:val="28"/>
          <w:szCs w:val="28"/>
        </w:rPr>
        <w:t>los operadores. Entre las características que se van a considerar en el análisis se encuentran la tecnología, la velocidad de descarga, longitud y tipo del contrato, llamadas locales a teléfono celular e internacionales incluidas, número de canales de definición estándar, de alta definición y Premium, número de SMS y megabytes incluidos, y si se incluyen redes sociales.</w:t>
      </w:r>
    </w:p>
    <w:p w14:paraId="0E9E25A0" w14:textId="77777777" w:rsidR="0014509F"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Pr>
          <w:rFonts w:ascii="Calibri Light" w:eastAsia="Calibri" w:hAnsi="Calibri Light"/>
          <w:color w:val="000000"/>
          <w:sz w:val="28"/>
          <w:szCs w:val="28"/>
        </w:rPr>
        <w:t>La metodología permitirá hacer comparaciones internacionales sobre los precios de los servicios de telecomunicaciones en países con condiciones similares.</w:t>
      </w:r>
    </w:p>
    <w:p w14:paraId="641633BB" w14:textId="77777777" w:rsidR="0014509F" w:rsidRPr="00C75296" w:rsidRDefault="0014509F" w:rsidP="0014509F">
      <w:pPr>
        <w:contextualSpacing/>
        <w:jc w:val="both"/>
        <w:rPr>
          <w:rFonts w:asciiTheme="majorHAnsi" w:hAnsiTheme="majorHAnsi" w:cstheme="majorHAnsi"/>
          <w:color w:val="C45911" w:themeColor="accent2" w:themeShade="BF"/>
          <w:sz w:val="28"/>
          <w:szCs w:val="28"/>
        </w:rPr>
      </w:pPr>
      <w:r w:rsidRPr="00C75296">
        <w:rPr>
          <w:rFonts w:asciiTheme="majorHAnsi" w:hAnsiTheme="majorHAnsi" w:cstheme="majorHAnsi"/>
          <w:color w:val="C45911" w:themeColor="accent2" w:themeShade="BF"/>
          <w:sz w:val="28"/>
          <w:szCs w:val="28"/>
        </w:rPr>
        <w:t xml:space="preserve">Resultados Esperados </w:t>
      </w:r>
    </w:p>
    <w:p w14:paraId="42CB6726" w14:textId="77777777" w:rsidR="0014509F"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Pr>
          <w:rFonts w:ascii="Calibri Light" w:eastAsia="Calibri" w:hAnsi="Calibri Light"/>
          <w:color w:val="000000"/>
          <w:sz w:val="28"/>
          <w:szCs w:val="28"/>
        </w:rPr>
        <w:lastRenderedPageBreak/>
        <w:t>En este estudio</w:t>
      </w:r>
      <w:r w:rsidRPr="00FE07A6">
        <w:rPr>
          <w:rFonts w:ascii="Calibri Light" w:eastAsia="Calibri" w:hAnsi="Calibri Light"/>
          <w:color w:val="000000"/>
          <w:sz w:val="28"/>
          <w:szCs w:val="28"/>
        </w:rPr>
        <w:t xml:space="preserve"> se </w:t>
      </w:r>
      <w:r>
        <w:rPr>
          <w:rFonts w:ascii="Calibri Light" w:eastAsia="Calibri" w:hAnsi="Calibri Light"/>
          <w:color w:val="000000"/>
          <w:sz w:val="28"/>
          <w:szCs w:val="28"/>
        </w:rPr>
        <w:t xml:space="preserve">obtendrán las estimaciones de los precios </w:t>
      </w:r>
      <w:r w:rsidRPr="00FE07A6">
        <w:rPr>
          <w:rFonts w:ascii="Calibri Light" w:eastAsia="Calibri" w:hAnsi="Calibri Light"/>
          <w:color w:val="000000"/>
          <w:sz w:val="28"/>
          <w:szCs w:val="28"/>
        </w:rPr>
        <w:t>de cada uno de los servicios de telecomunicaciones</w:t>
      </w:r>
      <w:r>
        <w:rPr>
          <w:rFonts w:ascii="Calibri Light" w:eastAsia="Calibri" w:hAnsi="Calibri Light"/>
          <w:color w:val="000000"/>
          <w:sz w:val="28"/>
          <w:szCs w:val="28"/>
        </w:rPr>
        <w:t xml:space="preserve"> fijos y móviles</w:t>
      </w:r>
      <w:r w:rsidRPr="00FE07A6">
        <w:rPr>
          <w:rFonts w:ascii="Calibri Light" w:eastAsia="Calibri" w:hAnsi="Calibri Light"/>
          <w:color w:val="000000"/>
          <w:sz w:val="28"/>
          <w:szCs w:val="28"/>
        </w:rPr>
        <w:t xml:space="preserve"> incluidos en los diferentes planes que ofrecen </w:t>
      </w:r>
      <w:r>
        <w:rPr>
          <w:rFonts w:ascii="Calibri Light" w:eastAsia="Calibri" w:hAnsi="Calibri Light"/>
          <w:color w:val="000000"/>
          <w:sz w:val="28"/>
          <w:szCs w:val="28"/>
        </w:rPr>
        <w:t xml:space="preserve">y han ofrecido </w:t>
      </w:r>
      <w:r w:rsidRPr="00FE07A6">
        <w:rPr>
          <w:rFonts w:ascii="Calibri Light" w:eastAsia="Calibri" w:hAnsi="Calibri Light"/>
          <w:color w:val="000000"/>
          <w:sz w:val="28"/>
          <w:szCs w:val="28"/>
        </w:rPr>
        <w:t>los operadores de telecomunicaciones en México, considerando el ajuste por calidad.</w:t>
      </w:r>
      <w:r>
        <w:rPr>
          <w:rFonts w:ascii="Calibri Light" w:eastAsia="Calibri" w:hAnsi="Calibri Light"/>
          <w:color w:val="000000"/>
          <w:sz w:val="28"/>
          <w:szCs w:val="28"/>
        </w:rPr>
        <w:t xml:space="preserve"> </w:t>
      </w:r>
    </w:p>
    <w:p w14:paraId="1040EAF5" w14:textId="77777777" w:rsidR="0014509F"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Pr>
          <w:rFonts w:ascii="Calibri Light" w:eastAsia="Calibri" w:hAnsi="Calibri Light"/>
          <w:color w:val="000000"/>
          <w:sz w:val="28"/>
          <w:szCs w:val="28"/>
        </w:rPr>
        <w:t xml:space="preserve">Además, se espera estimar el efecto de los precios de cada servicio en un periodo de tiempo, mostrando la reducción de los mismos. </w:t>
      </w:r>
    </w:p>
    <w:p w14:paraId="25827DCA" w14:textId="77777777" w:rsidR="0014509F" w:rsidRPr="00C75296" w:rsidRDefault="0014509F" w:rsidP="0014509F">
      <w:pPr>
        <w:spacing w:after="100" w:afterAutospacing="1"/>
        <w:contextualSpacing/>
        <w:jc w:val="both"/>
        <w:rPr>
          <w:rFonts w:asciiTheme="majorHAnsi" w:hAnsiTheme="majorHAnsi" w:cstheme="majorHAnsi"/>
          <w:color w:val="C45911" w:themeColor="accent2" w:themeShade="BF"/>
          <w:sz w:val="28"/>
          <w:szCs w:val="28"/>
        </w:rPr>
      </w:pPr>
      <w:r w:rsidRPr="00C75296">
        <w:rPr>
          <w:rFonts w:asciiTheme="majorHAnsi" w:hAnsiTheme="majorHAnsi" w:cstheme="majorHAnsi"/>
          <w:color w:val="C45911" w:themeColor="accent2" w:themeShade="BF"/>
          <w:sz w:val="28"/>
          <w:szCs w:val="28"/>
        </w:rPr>
        <w:t>Utilidad del estudio para el Instituto</w:t>
      </w:r>
    </w:p>
    <w:p w14:paraId="1A207E7C" w14:textId="77777777" w:rsidR="0014509F"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Pr>
          <w:rFonts w:ascii="Calibri Light" w:eastAsia="Calibri" w:hAnsi="Calibri Light"/>
          <w:color w:val="000000"/>
          <w:sz w:val="28"/>
          <w:szCs w:val="28"/>
        </w:rPr>
        <w:t xml:space="preserve">El poder cuantificar los precios de los servicios de telecomunicaciones incluidos en los diferentes paquetes, aporta información para que el IFT pueda realizar un monitoreo general de los precios. Esa información permite precisar los beneficios y efectos de las medidas y políticas que está aplicando el Instituto. </w:t>
      </w:r>
    </w:p>
    <w:p w14:paraId="6BA11530" w14:textId="77777777" w:rsidR="0014509F" w:rsidRPr="008156F1" w:rsidRDefault="0014509F" w:rsidP="0014509F">
      <w:pPr>
        <w:contextualSpacing/>
        <w:jc w:val="both"/>
        <w:rPr>
          <w:rFonts w:asciiTheme="majorHAnsi" w:hAnsiTheme="majorHAnsi" w:cstheme="majorHAnsi"/>
          <w:color w:val="0070C0"/>
          <w:sz w:val="28"/>
          <w:szCs w:val="28"/>
        </w:rPr>
      </w:pPr>
      <w:r w:rsidRPr="008156F1">
        <w:rPr>
          <w:rFonts w:asciiTheme="majorHAnsi" w:hAnsiTheme="majorHAnsi" w:cstheme="majorHAnsi"/>
          <w:color w:val="0070C0"/>
          <w:sz w:val="28"/>
          <w:szCs w:val="28"/>
        </w:rPr>
        <w:t>Cronograma</w:t>
      </w:r>
    </w:p>
    <w:tbl>
      <w:tblPr>
        <w:tblStyle w:val="Tablaconcuadrcula"/>
        <w:tblW w:w="0" w:type="auto"/>
        <w:tblLayout w:type="fixed"/>
        <w:tblLook w:val="04A0" w:firstRow="1" w:lastRow="0" w:firstColumn="1" w:lastColumn="0" w:noHBand="0" w:noVBand="1"/>
        <w:tblCaption w:val="Cronograma "/>
        <w:tblDescription w:val="Etapas del Estudio&#10;Revisión Bibliográfica. Fecha de conclusión Febrero&#10;Recopilación de información y datos.Fecha de conclusión Marzo&#10;Formulación y evaluación de modelos. Fecha de conclusión Abril&#10;Análisis y formulación de resultados. Fecha de conclusión Mayo&#10;Elaboración del reporte final.Fecha de conclusión Junio&#10;Envío a dictamen para publicación.Fecha de conclusión Julio&#10;Elaboración de cambios y atención a comentarios de publicación, congreso y/o evaluador. Fecha de conclusión En función de las publicaciones o congresos&#10;"/>
      </w:tblPr>
      <w:tblGrid>
        <w:gridCol w:w="6516"/>
        <w:gridCol w:w="2835"/>
      </w:tblGrid>
      <w:tr w:rsidR="0014509F" w:rsidRPr="00FE07A6" w14:paraId="29A7F623" w14:textId="77777777" w:rsidTr="00A170A9">
        <w:trPr>
          <w:trHeight w:val="455"/>
          <w:tblHeader/>
        </w:trPr>
        <w:tc>
          <w:tcPr>
            <w:tcW w:w="6516" w:type="dxa"/>
            <w:vAlign w:val="center"/>
          </w:tcPr>
          <w:p w14:paraId="1DB6D0D8" w14:textId="77777777" w:rsidR="0014509F" w:rsidRPr="00FE07A6" w:rsidRDefault="0014509F" w:rsidP="00A170A9">
            <w:pPr>
              <w:spacing w:after="100" w:afterAutospacing="1"/>
              <w:jc w:val="both"/>
              <w:rPr>
                <w:rFonts w:ascii="Calibri Light" w:eastAsia="Calibri" w:hAnsi="Calibri Light"/>
                <w:color w:val="1E5E9F"/>
                <w:sz w:val="28"/>
                <w:szCs w:val="28"/>
              </w:rPr>
            </w:pPr>
            <w:r w:rsidRPr="00FE07A6">
              <w:rPr>
                <w:rFonts w:ascii="Calibri Light" w:eastAsia="Calibri" w:hAnsi="Calibri Light"/>
                <w:color w:val="1E5E9F"/>
                <w:sz w:val="28"/>
                <w:szCs w:val="28"/>
              </w:rPr>
              <w:t>Etapas del Estudio</w:t>
            </w:r>
          </w:p>
        </w:tc>
        <w:tc>
          <w:tcPr>
            <w:tcW w:w="2835" w:type="dxa"/>
            <w:vAlign w:val="center"/>
          </w:tcPr>
          <w:p w14:paraId="0976B26F" w14:textId="77777777" w:rsidR="0014509F" w:rsidRPr="00FE07A6" w:rsidRDefault="0014509F" w:rsidP="00A170A9">
            <w:pPr>
              <w:spacing w:after="100" w:afterAutospacing="1"/>
              <w:jc w:val="both"/>
              <w:rPr>
                <w:rFonts w:ascii="Calibri Light" w:eastAsia="Calibri" w:hAnsi="Calibri Light"/>
                <w:color w:val="1E5E9F"/>
                <w:sz w:val="28"/>
                <w:szCs w:val="28"/>
              </w:rPr>
            </w:pPr>
            <w:r w:rsidRPr="00FE07A6">
              <w:rPr>
                <w:rFonts w:ascii="Calibri Light" w:eastAsia="Calibri" w:hAnsi="Calibri Light"/>
                <w:color w:val="1E5E9F"/>
                <w:sz w:val="28"/>
                <w:szCs w:val="28"/>
              </w:rPr>
              <w:t>Fecha de Conclusión</w:t>
            </w:r>
          </w:p>
        </w:tc>
      </w:tr>
      <w:tr w:rsidR="0014509F" w:rsidRPr="00FE07A6" w14:paraId="2ECFF873" w14:textId="77777777" w:rsidTr="00A170A9">
        <w:tc>
          <w:tcPr>
            <w:tcW w:w="6516" w:type="dxa"/>
          </w:tcPr>
          <w:p w14:paraId="2B9A5DD4" w14:textId="77777777" w:rsidR="0014509F" w:rsidRPr="00FE07A6" w:rsidRDefault="0014509F" w:rsidP="00A170A9">
            <w:pPr>
              <w:spacing w:after="100" w:afterAutospacing="1"/>
              <w:jc w:val="both"/>
              <w:rPr>
                <w:rFonts w:ascii="Calibri Light" w:eastAsia="Calibri" w:hAnsi="Calibri Light"/>
                <w:color w:val="0070C0"/>
                <w:sz w:val="28"/>
                <w:szCs w:val="28"/>
              </w:rPr>
            </w:pPr>
            <w:r w:rsidRPr="00FE07A6">
              <w:rPr>
                <w:rFonts w:ascii="Calibri Light" w:eastAsia="Calibri" w:hAnsi="Calibri Light"/>
                <w:color w:val="000000"/>
                <w:sz w:val="28"/>
                <w:szCs w:val="28"/>
              </w:rPr>
              <w:t>Revisión Bibliográfica</w:t>
            </w:r>
            <w:r>
              <w:rPr>
                <w:rFonts w:ascii="Calibri Light" w:eastAsia="Calibri" w:hAnsi="Calibri Light"/>
                <w:color w:val="000000"/>
                <w:sz w:val="28"/>
                <w:szCs w:val="28"/>
              </w:rPr>
              <w:t>.</w:t>
            </w:r>
          </w:p>
        </w:tc>
        <w:tc>
          <w:tcPr>
            <w:tcW w:w="2835" w:type="dxa"/>
          </w:tcPr>
          <w:p w14:paraId="5C0E61EF" w14:textId="77777777" w:rsidR="0014509F" w:rsidRPr="00FE07A6" w:rsidRDefault="0014509F" w:rsidP="00A170A9">
            <w:pPr>
              <w:spacing w:after="100" w:afterAutospacing="1"/>
              <w:jc w:val="both"/>
              <w:rPr>
                <w:rFonts w:ascii="Calibri Light" w:eastAsia="Calibri" w:hAnsi="Calibri Light"/>
                <w:color w:val="0070C0"/>
                <w:sz w:val="28"/>
                <w:szCs w:val="28"/>
              </w:rPr>
            </w:pPr>
            <w:r w:rsidRPr="00FE07A6">
              <w:rPr>
                <w:rFonts w:ascii="Calibri Light" w:eastAsia="Calibri" w:hAnsi="Calibri Light"/>
                <w:color w:val="000000"/>
                <w:sz w:val="28"/>
                <w:szCs w:val="28"/>
              </w:rPr>
              <w:t>Febrero</w:t>
            </w:r>
          </w:p>
        </w:tc>
      </w:tr>
      <w:tr w:rsidR="0014509F" w:rsidRPr="00FE07A6" w14:paraId="791DBF69" w14:textId="77777777" w:rsidTr="00A170A9">
        <w:tc>
          <w:tcPr>
            <w:tcW w:w="6516" w:type="dxa"/>
          </w:tcPr>
          <w:p w14:paraId="7B7B1975" w14:textId="77777777" w:rsidR="0014509F" w:rsidRPr="00FE07A6" w:rsidRDefault="0014509F" w:rsidP="00A170A9">
            <w:pPr>
              <w:spacing w:after="100" w:afterAutospacing="1"/>
              <w:jc w:val="both"/>
              <w:rPr>
                <w:rFonts w:ascii="Calibri Light" w:eastAsia="Calibri" w:hAnsi="Calibri Light"/>
                <w:color w:val="0070C0"/>
                <w:sz w:val="28"/>
                <w:szCs w:val="28"/>
              </w:rPr>
            </w:pPr>
            <w:r w:rsidRPr="00FE07A6">
              <w:rPr>
                <w:rFonts w:ascii="Calibri Light" w:eastAsia="Calibri" w:hAnsi="Calibri Light"/>
                <w:color w:val="000000"/>
                <w:sz w:val="28"/>
                <w:szCs w:val="28"/>
              </w:rPr>
              <w:t>Recopilación de información y datos</w:t>
            </w:r>
            <w:r>
              <w:rPr>
                <w:rFonts w:ascii="Calibri Light" w:eastAsia="Calibri" w:hAnsi="Calibri Light"/>
                <w:color w:val="000000"/>
                <w:sz w:val="28"/>
                <w:szCs w:val="28"/>
              </w:rPr>
              <w:t>.</w:t>
            </w:r>
          </w:p>
        </w:tc>
        <w:tc>
          <w:tcPr>
            <w:tcW w:w="2835" w:type="dxa"/>
          </w:tcPr>
          <w:p w14:paraId="3C8C9ADC" w14:textId="77777777" w:rsidR="0014509F" w:rsidRPr="00FE07A6" w:rsidRDefault="0014509F" w:rsidP="00A170A9">
            <w:pPr>
              <w:spacing w:after="100" w:afterAutospacing="1"/>
              <w:jc w:val="both"/>
              <w:rPr>
                <w:rFonts w:ascii="Calibri Light" w:eastAsia="Calibri" w:hAnsi="Calibri Light"/>
                <w:color w:val="0070C0"/>
                <w:sz w:val="28"/>
                <w:szCs w:val="28"/>
              </w:rPr>
            </w:pPr>
            <w:r w:rsidRPr="00FE07A6">
              <w:rPr>
                <w:rFonts w:ascii="Calibri Light" w:eastAsia="Calibri" w:hAnsi="Calibri Light"/>
                <w:color w:val="000000"/>
                <w:sz w:val="28"/>
                <w:szCs w:val="28"/>
              </w:rPr>
              <w:t>Marzo</w:t>
            </w:r>
          </w:p>
        </w:tc>
      </w:tr>
      <w:tr w:rsidR="0014509F" w:rsidRPr="00FE07A6" w14:paraId="33213AA6" w14:textId="77777777" w:rsidTr="00A170A9">
        <w:tc>
          <w:tcPr>
            <w:tcW w:w="6516" w:type="dxa"/>
          </w:tcPr>
          <w:p w14:paraId="05452904" w14:textId="77777777" w:rsidR="0014509F" w:rsidRPr="00FE07A6" w:rsidRDefault="0014509F" w:rsidP="00A170A9">
            <w:pPr>
              <w:spacing w:after="100" w:afterAutospacing="1"/>
              <w:jc w:val="both"/>
              <w:rPr>
                <w:rFonts w:ascii="Calibri Light" w:eastAsia="Calibri" w:hAnsi="Calibri Light"/>
                <w:color w:val="0070C0"/>
                <w:sz w:val="28"/>
                <w:szCs w:val="28"/>
              </w:rPr>
            </w:pPr>
            <w:r w:rsidRPr="00FE07A6">
              <w:rPr>
                <w:rFonts w:ascii="Calibri Light" w:eastAsia="Calibri" w:hAnsi="Calibri Light"/>
                <w:color w:val="000000"/>
                <w:sz w:val="28"/>
                <w:szCs w:val="28"/>
              </w:rPr>
              <w:t>Formulación y evaluación de modelos</w:t>
            </w:r>
            <w:r>
              <w:rPr>
                <w:rFonts w:ascii="Calibri Light" w:eastAsia="Calibri" w:hAnsi="Calibri Light"/>
                <w:color w:val="000000"/>
                <w:sz w:val="28"/>
                <w:szCs w:val="28"/>
              </w:rPr>
              <w:t>.</w:t>
            </w:r>
          </w:p>
        </w:tc>
        <w:tc>
          <w:tcPr>
            <w:tcW w:w="2835" w:type="dxa"/>
          </w:tcPr>
          <w:p w14:paraId="49433A52" w14:textId="77777777" w:rsidR="0014509F" w:rsidRPr="00FE07A6" w:rsidRDefault="0014509F" w:rsidP="00A170A9">
            <w:pPr>
              <w:spacing w:after="100" w:afterAutospacing="1"/>
              <w:jc w:val="both"/>
              <w:rPr>
                <w:rFonts w:ascii="Calibri Light" w:eastAsia="Calibri" w:hAnsi="Calibri Light"/>
                <w:color w:val="0070C0"/>
                <w:sz w:val="28"/>
                <w:szCs w:val="28"/>
              </w:rPr>
            </w:pPr>
            <w:r w:rsidRPr="00FE07A6">
              <w:rPr>
                <w:rFonts w:ascii="Calibri Light" w:eastAsia="Calibri" w:hAnsi="Calibri Light"/>
                <w:color w:val="000000"/>
                <w:sz w:val="28"/>
                <w:szCs w:val="28"/>
              </w:rPr>
              <w:t>Abril</w:t>
            </w:r>
          </w:p>
        </w:tc>
      </w:tr>
      <w:tr w:rsidR="0014509F" w:rsidRPr="00FE07A6" w14:paraId="64650D54" w14:textId="77777777" w:rsidTr="00A170A9">
        <w:tc>
          <w:tcPr>
            <w:tcW w:w="6516" w:type="dxa"/>
          </w:tcPr>
          <w:p w14:paraId="1CD3CA7F" w14:textId="77777777" w:rsidR="0014509F" w:rsidRPr="00FE07A6" w:rsidRDefault="0014509F" w:rsidP="00A170A9">
            <w:pPr>
              <w:spacing w:after="100" w:afterAutospacing="1"/>
              <w:jc w:val="both"/>
              <w:rPr>
                <w:rFonts w:ascii="Calibri Light" w:eastAsia="Calibri" w:hAnsi="Calibri Light"/>
                <w:color w:val="0070C0"/>
                <w:sz w:val="28"/>
                <w:szCs w:val="28"/>
              </w:rPr>
            </w:pPr>
            <w:r w:rsidRPr="00FE07A6">
              <w:rPr>
                <w:rFonts w:ascii="Calibri Light" w:eastAsia="Calibri" w:hAnsi="Calibri Light"/>
                <w:color w:val="000000"/>
                <w:sz w:val="28"/>
                <w:szCs w:val="28"/>
              </w:rPr>
              <w:t>Análisis y formulación de resultados</w:t>
            </w:r>
            <w:r>
              <w:rPr>
                <w:rFonts w:ascii="Calibri Light" w:eastAsia="Calibri" w:hAnsi="Calibri Light"/>
                <w:color w:val="000000"/>
                <w:sz w:val="28"/>
                <w:szCs w:val="28"/>
              </w:rPr>
              <w:t>.</w:t>
            </w:r>
          </w:p>
        </w:tc>
        <w:tc>
          <w:tcPr>
            <w:tcW w:w="2835" w:type="dxa"/>
          </w:tcPr>
          <w:p w14:paraId="040C3BF6" w14:textId="77777777" w:rsidR="0014509F" w:rsidRPr="00FE07A6" w:rsidRDefault="0014509F" w:rsidP="00A170A9">
            <w:pPr>
              <w:spacing w:after="100" w:afterAutospacing="1"/>
              <w:jc w:val="both"/>
              <w:rPr>
                <w:rFonts w:ascii="Calibri Light" w:eastAsia="Calibri" w:hAnsi="Calibri Light"/>
                <w:color w:val="0070C0"/>
                <w:sz w:val="28"/>
                <w:szCs w:val="28"/>
              </w:rPr>
            </w:pPr>
            <w:r w:rsidRPr="00FE07A6">
              <w:rPr>
                <w:rFonts w:ascii="Calibri Light" w:eastAsia="Calibri" w:hAnsi="Calibri Light"/>
                <w:color w:val="000000"/>
                <w:sz w:val="28"/>
                <w:szCs w:val="28"/>
              </w:rPr>
              <w:t>Mayo</w:t>
            </w:r>
          </w:p>
        </w:tc>
      </w:tr>
      <w:tr w:rsidR="0014509F" w:rsidRPr="00FE07A6" w14:paraId="04B75F52" w14:textId="77777777" w:rsidTr="00A170A9">
        <w:tc>
          <w:tcPr>
            <w:tcW w:w="6516" w:type="dxa"/>
          </w:tcPr>
          <w:p w14:paraId="13BD3BDD" w14:textId="77777777" w:rsidR="0014509F" w:rsidRPr="00FE07A6" w:rsidRDefault="0014509F" w:rsidP="00A170A9">
            <w:pPr>
              <w:spacing w:after="100" w:afterAutospacing="1"/>
              <w:jc w:val="both"/>
              <w:rPr>
                <w:rFonts w:ascii="Calibri Light" w:eastAsia="Calibri" w:hAnsi="Calibri Light"/>
                <w:color w:val="000000"/>
                <w:sz w:val="28"/>
                <w:szCs w:val="28"/>
              </w:rPr>
            </w:pPr>
            <w:r w:rsidRPr="00FE07A6">
              <w:rPr>
                <w:rFonts w:ascii="Calibri Light" w:eastAsia="Calibri" w:hAnsi="Calibri Light"/>
                <w:color w:val="000000"/>
                <w:sz w:val="28"/>
                <w:szCs w:val="28"/>
              </w:rPr>
              <w:t>Elaboración del reporte final</w:t>
            </w:r>
            <w:r>
              <w:rPr>
                <w:rFonts w:ascii="Calibri Light" w:eastAsia="Calibri" w:hAnsi="Calibri Light"/>
                <w:color w:val="000000"/>
                <w:sz w:val="28"/>
                <w:szCs w:val="28"/>
              </w:rPr>
              <w:t>.</w:t>
            </w:r>
          </w:p>
        </w:tc>
        <w:tc>
          <w:tcPr>
            <w:tcW w:w="2835" w:type="dxa"/>
          </w:tcPr>
          <w:p w14:paraId="5DAE59C9" w14:textId="77777777" w:rsidR="0014509F" w:rsidRPr="00FE07A6" w:rsidRDefault="0014509F" w:rsidP="00A170A9">
            <w:pPr>
              <w:spacing w:after="100" w:afterAutospacing="1"/>
              <w:jc w:val="both"/>
              <w:rPr>
                <w:rFonts w:ascii="Calibri Light" w:eastAsia="Calibri" w:hAnsi="Calibri Light"/>
                <w:color w:val="000000"/>
                <w:sz w:val="28"/>
                <w:szCs w:val="28"/>
              </w:rPr>
            </w:pPr>
            <w:r w:rsidRPr="00FE07A6">
              <w:rPr>
                <w:rFonts w:ascii="Calibri Light" w:eastAsia="Calibri" w:hAnsi="Calibri Light"/>
                <w:color w:val="000000"/>
                <w:sz w:val="28"/>
                <w:szCs w:val="28"/>
              </w:rPr>
              <w:t>Junio</w:t>
            </w:r>
          </w:p>
        </w:tc>
      </w:tr>
      <w:tr w:rsidR="0014509F" w:rsidRPr="00FE07A6" w14:paraId="1F5EA025" w14:textId="77777777" w:rsidTr="00A170A9">
        <w:tc>
          <w:tcPr>
            <w:tcW w:w="6516" w:type="dxa"/>
          </w:tcPr>
          <w:p w14:paraId="09D08477" w14:textId="77777777" w:rsidR="0014509F" w:rsidRPr="00FE07A6" w:rsidRDefault="0014509F" w:rsidP="00A170A9">
            <w:pPr>
              <w:spacing w:after="100" w:afterAutospacing="1"/>
              <w:jc w:val="both"/>
              <w:rPr>
                <w:rFonts w:ascii="Calibri Light" w:eastAsia="Calibri" w:hAnsi="Calibri Light"/>
                <w:color w:val="000000"/>
                <w:sz w:val="28"/>
                <w:szCs w:val="28"/>
              </w:rPr>
            </w:pPr>
            <w:r w:rsidRPr="00FE07A6">
              <w:rPr>
                <w:rFonts w:ascii="Calibri Light" w:eastAsia="Calibri" w:hAnsi="Calibri Light"/>
                <w:color w:val="000000"/>
                <w:sz w:val="28"/>
                <w:szCs w:val="28"/>
              </w:rPr>
              <w:t>Envío a dictamen para publicación</w:t>
            </w:r>
            <w:r>
              <w:rPr>
                <w:rFonts w:ascii="Calibri Light" w:eastAsia="Calibri" w:hAnsi="Calibri Light"/>
                <w:color w:val="000000"/>
                <w:sz w:val="28"/>
                <w:szCs w:val="28"/>
              </w:rPr>
              <w:t>.</w:t>
            </w:r>
          </w:p>
        </w:tc>
        <w:tc>
          <w:tcPr>
            <w:tcW w:w="2835" w:type="dxa"/>
          </w:tcPr>
          <w:p w14:paraId="1F767B23" w14:textId="77777777" w:rsidR="0014509F" w:rsidRPr="00FE07A6" w:rsidRDefault="0014509F" w:rsidP="00A170A9">
            <w:pPr>
              <w:spacing w:after="100" w:afterAutospacing="1"/>
              <w:jc w:val="both"/>
              <w:rPr>
                <w:rFonts w:ascii="Calibri Light" w:eastAsia="Calibri" w:hAnsi="Calibri Light"/>
                <w:color w:val="000000"/>
                <w:sz w:val="28"/>
                <w:szCs w:val="28"/>
              </w:rPr>
            </w:pPr>
            <w:r w:rsidRPr="00FE07A6">
              <w:rPr>
                <w:rFonts w:ascii="Calibri Light" w:eastAsia="Calibri" w:hAnsi="Calibri Light"/>
                <w:color w:val="000000"/>
                <w:sz w:val="28"/>
                <w:szCs w:val="28"/>
              </w:rPr>
              <w:t>Julio</w:t>
            </w:r>
          </w:p>
        </w:tc>
      </w:tr>
      <w:tr w:rsidR="0014509F" w:rsidRPr="00FE07A6" w14:paraId="5A2B46B8" w14:textId="77777777" w:rsidTr="00A170A9">
        <w:tc>
          <w:tcPr>
            <w:tcW w:w="6516" w:type="dxa"/>
          </w:tcPr>
          <w:p w14:paraId="0C326849" w14:textId="77777777" w:rsidR="0014509F" w:rsidRPr="00FE07A6" w:rsidRDefault="0014509F" w:rsidP="00A170A9">
            <w:pPr>
              <w:spacing w:after="100" w:afterAutospacing="1"/>
              <w:jc w:val="both"/>
              <w:rPr>
                <w:rFonts w:ascii="Calibri Light" w:eastAsia="Calibri" w:hAnsi="Calibri Light"/>
                <w:color w:val="0070C0"/>
                <w:sz w:val="28"/>
                <w:szCs w:val="28"/>
              </w:rPr>
            </w:pPr>
            <w:r w:rsidRPr="00FE07A6">
              <w:rPr>
                <w:rFonts w:ascii="Calibri Light" w:eastAsia="Calibri" w:hAnsi="Calibri Light"/>
                <w:color w:val="000000"/>
                <w:sz w:val="28"/>
                <w:szCs w:val="28"/>
              </w:rPr>
              <w:t>Elaboración de cambios y atención a comentarios de publicación, congreso y/o evaluador</w:t>
            </w:r>
            <w:r>
              <w:rPr>
                <w:rFonts w:ascii="Calibri Light" w:eastAsia="Calibri" w:hAnsi="Calibri Light"/>
                <w:color w:val="000000"/>
                <w:sz w:val="28"/>
                <w:szCs w:val="28"/>
              </w:rPr>
              <w:t>.</w:t>
            </w:r>
          </w:p>
        </w:tc>
        <w:tc>
          <w:tcPr>
            <w:tcW w:w="2835" w:type="dxa"/>
          </w:tcPr>
          <w:p w14:paraId="04D77EE2" w14:textId="77777777" w:rsidR="0014509F" w:rsidRPr="00FE07A6" w:rsidRDefault="0014509F" w:rsidP="00A170A9">
            <w:pPr>
              <w:spacing w:after="100" w:afterAutospacing="1"/>
              <w:jc w:val="both"/>
              <w:rPr>
                <w:rFonts w:ascii="Calibri Light" w:eastAsia="Calibri" w:hAnsi="Calibri Light"/>
                <w:color w:val="0070C0"/>
                <w:sz w:val="28"/>
                <w:szCs w:val="28"/>
              </w:rPr>
            </w:pPr>
            <w:r w:rsidRPr="00FE07A6">
              <w:rPr>
                <w:rFonts w:ascii="Calibri Light" w:eastAsia="Calibri" w:hAnsi="Calibri Light"/>
                <w:color w:val="000000"/>
                <w:sz w:val="28"/>
                <w:szCs w:val="28"/>
              </w:rPr>
              <w:t>E</w:t>
            </w:r>
            <w:r>
              <w:rPr>
                <w:rFonts w:ascii="Calibri Light" w:eastAsia="Calibri" w:hAnsi="Calibri Light"/>
                <w:color w:val="000000"/>
                <w:sz w:val="28"/>
                <w:szCs w:val="28"/>
              </w:rPr>
              <w:t>n función de las publicaciones o</w:t>
            </w:r>
            <w:r w:rsidRPr="00FE07A6">
              <w:rPr>
                <w:rFonts w:ascii="Calibri Light" w:eastAsia="Calibri" w:hAnsi="Calibri Light"/>
                <w:color w:val="000000"/>
                <w:sz w:val="28"/>
                <w:szCs w:val="28"/>
              </w:rPr>
              <w:t xml:space="preserve"> congresos</w:t>
            </w:r>
          </w:p>
        </w:tc>
      </w:tr>
    </w:tbl>
    <w:p w14:paraId="6A2D4384" w14:textId="77777777" w:rsidR="008156F1" w:rsidRDefault="008156F1" w:rsidP="008156F1">
      <w:pPr>
        <w:spacing w:after="100" w:afterAutospacing="1"/>
        <w:jc w:val="both"/>
        <w:sectPr w:rsidR="008156F1" w:rsidSect="00A170A9">
          <w:type w:val="continuous"/>
          <w:pgSz w:w="12240" w:h="15840"/>
          <w:pgMar w:top="1418" w:right="1418" w:bottom="1418" w:left="1418" w:header="708" w:footer="708" w:gutter="0"/>
          <w:cols w:space="708"/>
          <w:docGrid w:linePitch="360"/>
        </w:sectPr>
      </w:pPr>
    </w:p>
    <w:sdt>
      <w:sdtPr>
        <w:rPr>
          <w:rFonts w:ascii="Calibri Light" w:eastAsia="Calibri" w:hAnsi="Calibri Light"/>
          <w:color w:val="3476B1"/>
          <w:sz w:val="28"/>
          <w:szCs w:val="28"/>
        </w:rPr>
        <w:alias w:val="Nombre del Proyecto"/>
        <w:tag w:val="Nombre_x0020_del_x0020_Proyecto"/>
        <w:id w:val="735285167"/>
        <w:placeholder>
          <w:docPart w:val="FCE037FF30BC417AAF090C02008DE071"/>
        </w:placeholder>
        <w:dataBinding w:prefixMappings="xmlns:ns0='http://schemas.microsoft.com/office/2006/metadata/properties' xmlns:ns1='http://www.w3.org/2001/XMLSchema-instance' xmlns:ns2='http://schemas.microsoft.com/office/infopath/2007/PartnerControls' xmlns:ns3='293807b6-12d3-42cc-a250-7bb708d556b9' " w:xpath="/ns0:properties[1]/documentManagement[1]/ns3:Nombre_x0020_del_x0020_Proyecto[1]" w:storeItemID="{D43C7FE1-1104-4286-B957-32265D6B0D08}"/>
        <w:text/>
      </w:sdtPr>
      <w:sdtContent>
        <w:p w14:paraId="710D82AD" w14:textId="77777777" w:rsidR="0014509F" w:rsidRDefault="0014509F" w:rsidP="0014509F">
          <w:pPr>
            <w:keepNext/>
            <w:jc w:val="both"/>
            <w:rPr>
              <w:rFonts w:ascii="Calibri Light" w:eastAsia="Calibri" w:hAnsi="Calibri Light"/>
              <w:color w:val="3476B1"/>
              <w:sz w:val="28"/>
              <w:szCs w:val="28"/>
            </w:rPr>
          </w:pPr>
          <w:r>
            <w:rPr>
              <w:rFonts w:ascii="Calibri Light" w:eastAsia="Calibri" w:hAnsi="Calibri Light"/>
              <w:color w:val="3476B1"/>
              <w:sz w:val="28"/>
              <w:szCs w:val="28"/>
            </w:rPr>
            <w:t>Mejores prácticas de abogacía de la competencia en telecomunicaciones</w:t>
          </w:r>
        </w:p>
      </w:sdtContent>
    </w:sdt>
    <w:p w14:paraId="2E5B13DF" w14:textId="77777777" w:rsidR="0014509F" w:rsidRDefault="0014509F" w:rsidP="0014509F">
      <w:pPr>
        <w:keepNext/>
        <w:jc w:val="both"/>
        <w:rPr>
          <w:rFonts w:ascii="Calibri Light" w:eastAsia="Calibri" w:hAnsi="Calibri Light"/>
          <w:color w:val="3476B1"/>
          <w:sz w:val="28"/>
          <w:szCs w:val="28"/>
        </w:rPr>
      </w:pPr>
      <w:r w:rsidRPr="00B62A77">
        <w:rPr>
          <w:rFonts w:ascii="Calibri Light" w:eastAsia="Calibri" w:hAnsi="Calibri Light"/>
          <w:color w:val="3476B1"/>
          <w:sz w:val="28"/>
          <w:szCs w:val="28"/>
        </w:rPr>
        <w:t>Jesús Zurita González</w:t>
      </w:r>
      <w:r w:rsidRPr="00B62A77">
        <w:rPr>
          <w:rFonts w:ascii="Calibri Light" w:eastAsia="Calibri" w:hAnsi="Calibri Light"/>
          <w:color w:val="3476B1"/>
          <w:sz w:val="28"/>
          <w:szCs w:val="28"/>
          <w:vertAlign w:val="superscript"/>
        </w:rPr>
        <w:footnoteReference w:id="13"/>
      </w:r>
    </w:p>
    <w:p w14:paraId="77161093" w14:textId="77777777" w:rsidR="0014509F" w:rsidRPr="00697377" w:rsidRDefault="0014509F" w:rsidP="0014509F">
      <w:pPr>
        <w:spacing w:after="100" w:afterAutospacing="1"/>
        <w:contextualSpacing/>
        <w:jc w:val="both"/>
        <w:rPr>
          <w:rFonts w:asciiTheme="majorHAnsi" w:hAnsiTheme="majorHAnsi" w:cstheme="majorHAnsi"/>
          <w:color w:val="C45911" w:themeColor="accent2" w:themeShade="BF"/>
          <w:sz w:val="28"/>
          <w:szCs w:val="28"/>
        </w:rPr>
      </w:pPr>
      <w:r w:rsidRPr="00697377">
        <w:rPr>
          <w:rFonts w:asciiTheme="majorHAnsi" w:hAnsiTheme="majorHAnsi" w:cstheme="majorHAnsi"/>
          <w:color w:val="C45911" w:themeColor="accent2" w:themeShade="BF"/>
          <w:sz w:val="28"/>
          <w:szCs w:val="28"/>
        </w:rPr>
        <w:t>Introducción</w:t>
      </w:r>
    </w:p>
    <w:p w14:paraId="2486CAF2" w14:textId="77777777" w:rsidR="0014509F"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Pr>
          <w:rFonts w:ascii="Calibri Light" w:eastAsia="Calibri" w:hAnsi="Calibri Light"/>
          <w:color w:val="000000"/>
          <w:sz w:val="28"/>
          <w:szCs w:val="28"/>
        </w:rPr>
        <w:t>Impulsar la competencia requiere que los organismos encargados de aplicar las leyes en la materia no solamente se restrinjan a ello, sino que también intervengan activamente para evitar que las normas de distintas autoridades del orden municipal, estatal o federal interfieran con el proceso de competencia. Las autoridades de competencia deben participar en la formulación de políticas públicas que incidan favorablemente en la competencia.</w:t>
      </w:r>
    </w:p>
    <w:p w14:paraId="62245CFC" w14:textId="77777777" w:rsidR="0014509F" w:rsidRDefault="0014509F" w:rsidP="0014509F">
      <w:pPr>
        <w:spacing w:after="100" w:afterAutospacing="1"/>
        <w:jc w:val="both"/>
        <w:rPr>
          <w:rFonts w:ascii="Calibri Light" w:eastAsia="Calibri" w:hAnsi="Calibri Light"/>
          <w:color w:val="000000"/>
          <w:sz w:val="28"/>
          <w:szCs w:val="28"/>
        </w:rPr>
      </w:pPr>
      <w:r>
        <w:rPr>
          <w:rFonts w:ascii="Calibri Light" w:eastAsia="Calibri" w:hAnsi="Calibri Light"/>
          <w:color w:val="000000"/>
          <w:sz w:val="28"/>
          <w:szCs w:val="28"/>
        </w:rPr>
        <w:t>Deben actuar proactivamente para procurar políticas públicas que disminuyan las barreras a la entrada, promover medidas que eviten regulaciones innecesarias que impacten desfavorablemente la competencia y, en general, minimizar la intervención innecesaria de las autoridades municipales, estatales o federales en la actividad económica.</w:t>
      </w:r>
    </w:p>
    <w:p w14:paraId="28101CCB" w14:textId="77777777" w:rsidR="0014509F" w:rsidRDefault="0014509F" w:rsidP="0014509F">
      <w:pPr>
        <w:spacing w:after="100" w:afterAutospacing="1"/>
        <w:contextualSpacing/>
        <w:jc w:val="both"/>
        <w:rPr>
          <w:rFonts w:ascii="Calibri Light" w:eastAsia="Calibri" w:hAnsi="Calibri Light"/>
          <w:color w:val="000000"/>
          <w:sz w:val="28"/>
          <w:szCs w:val="28"/>
        </w:rPr>
      </w:pPr>
      <w:r>
        <w:rPr>
          <w:rFonts w:ascii="Calibri Light" w:eastAsia="Calibri" w:hAnsi="Calibri Light"/>
          <w:color w:val="000000"/>
          <w:sz w:val="28"/>
          <w:szCs w:val="28"/>
        </w:rPr>
        <w:t>Con frecuencia podría ser posible,</w:t>
      </w:r>
      <w:r w:rsidRPr="00D07F52">
        <w:rPr>
          <w:rFonts w:ascii="Calibri Light" w:eastAsia="Calibri" w:hAnsi="Calibri Light"/>
          <w:color w:val="000000"/>
          <w:sz w:val="28"/>
          <w:szCs w:val="28"/>
        </w:rPr>
        <w:t xml:space="preserve"> mediante acciones de abogacía</w:t>
      </w:r>
      <w:r>
        <w:rPr>
          <w:rFonts w:ascii="Calibri Light" w:eastAsia="Calibri" w:hAnsi="Calibri Light"/>
          <w:color w:val="000000"/>
          <w:sz w:val="28"/>
          <w:szCs w:val="28"/>
        </w:rPr>
        <w:t>,</w:t>
      </w:r>
      <w:r w:rsidRPr="00D07F52">
        <w:rPr>
          <w:rFonts w:ascii="Calibri Light" w:eastAsia="Calibri" w:hAnsi="Calibri Light"/>
          <w:color w:val="000000"/>
          <w:sz w:val="28"/>
          <w:szCs w:val="28"/>
        </w:rPr>
        <w:t xml:space="preserve"> alerta</w:t>
      </w:r>
      <w:r>
        <w:rPr>
          <w:rFonts w:ascii="Calibri Light" w:eastAsia="Calibri" w:hAnsi="Calibri Light"/>
          <w:color w:val="000000"/>
          <w:sz w:val="28"/>
          <w:szCs w:val="28"/>
        </w:rPr>
        <w:t>r</w:t>
      </w:r>
      <w:r w:rsidRPr="00D07F52">
        <w:rPr>
          <w:rFonts w:ascii="Calibri Light" w:eastAsia="Calibri" w:hAnsi="Calibri Light"/>
          <w:color w:val="000000"/>
          <w:sz w:val="28"/>
          <w:szCs w:val="28"/>
        </w:rPr>
        <w:t xml:space="preserve"> y sensibiliza</w:t>
      </w:r>
      <w:r>
        <w:rPr>
          <w:rFonts w:ascii="Calibri Light" w:eastAsia="Calibri" w:hAnsi="Calibri Light"/>
          <w:color w:val="000000"/>
          <w:sz w:val="28"/>
          <w:szCs w:val="28"/>
        </w:rPr>
        <w:t>r</w:t>
      </w:r>
      <w:r w:rsidRPr="00D07F52">
        <w:rPr>
          <w:rFonts w:ascii="Calibri Light" w:eastAsia="Calibri" w:hAnsi="Calibri Light"/>
          <w:color w:val="000000"/>
          <w:sz w:val="28"/>
          <w:szCs w:val="28"/>
        </w:rPr>
        <w:t xml:space="preserve"> a los distintos actores de los mercados, particularmente a los gobiernos estatales y municipales, reguladores sectoriales y otros organismos públicos, así como a la industria</w:t>
      </w:r>
      <w:r>
        <w:rPr>
          <w:rFonts w:ascii="Calibri Light" w:eastAsia="Calibri" w:hAnsi="Calibri Light"/>
          <w:color w:val="000000"/>
          <w:sz w:val="28"/>
          <w:szCs w:val="28"/>
        </w:rPr>
        <w:t>, para que entre todos se fortalezca la competencia económica</w:t>
      </w:r>
      <w:r w:rsidRPr="00D07F52">
        <w:rPr>
          <w:rFonts w:ascii="Calibri Light" w:eastAsia="Calibri" w:hAnsi="Calibri Light"/>
          <w:color w:val="000000"/>
          <w:sz w:val="28"/>
          <w:szCs w:val="28"/>
        </w:rPr>
        <w:t>.</w:t>
      </w:r>
    </w:p>
    <w:p w14:paraId="0D2D6B25" w14:textId="77777777" w:rsidR="0014509F" w:rsidRPr="00697377" w:rsidRDefault="0014509F" w:rsidP="0014509F">
      <w:pPr>
        <w:spacing w:after="100" w:afterAutospacing="1"/>
        <w:contextualSpacing/>
        <w:jc w:val="both"/>
        <w:rPr>
          <w:rFonts w:asciiTheme="majorHAnsi" w:hAnsiTheme="majorHAnsi" w:cstheme="majorHAnsi"/>
          <w:color w:val="C45911" w:themeColor="accent2" w:themeShade="BF"/>
          <w:sz w:val="28"/>
          <w:szCs w:val="28"/>
        </w:rPr>
      </w:pPr>
      <w:r w:rsidRPr="00B62A77">
        <w:rPr>
          <w:rFonts w:ascii="Calibri Light" w:eastAsia="Calibri" w:hAnsi="Calibri Light" w:cs="Calibri Light"/>
          <w:color w:val="3476B1"/>
          <w:sz w:val="28"/>
          <w:szCs w:val="28"/>
        </w:rPr>
        <w:t>O</w:t>
      </w:r>
      <w:r w:rsidRPr="00697377">
        <w:rPr>
          <w:rFonts w:asciiTheme="majorHAnsi" w:hAnsiTheme="majorHAnsi" w:cstheme="majorHAnsi"/>
          <w:color w:val="C45911" w:themeColor="accent2" w:themeShade="BF"/>
          <w:sz w:val="28"/>
          <w:szCs w:val="28"/>
        </w:rPr>
        <w:t>bjetivo</w:t>
      </w:r>
    </w:p>
    <w:p w14:paraId="2274244A" w14:textId="77777777" w:rsidR="0014509F" w:rsidRPr="00B62A77" w:rsidRDefault="0014509F" w:rsidP="0014509F">
      <w:pPr>
        <w:spacing w:after="100" w:afterAutospacing="1"/>
        <w:jc w:val="both"/>
        <w:rPr>
          <w:rFonts w:ascii="Calibri Light" w:eastAsia="Calibri" w:hAnsi="Calibri Light"/>
          <w:color w:val="000000"/>
          <w:sz w:val="28"/>
          <w:szCs w:val="28"/>
        </w:rPr>
      </w:pPr>
      <w:r w:rsidRPr="00B62A77">
        <w:rPr>
          <w:rFonts w:ascii="Calibri Light" w:eastAsia="Calibri" w:hAnsi="Calibri Light"/>
          <w:color w:val="000000"/>
          <w:sz w:val="28"/>
          <w:szCs w:val="28"/>
        </w:rPr>
        <w:t xml:space="preserve">El estudio tiene el propósito de </w:t>
      </w:r>
      <w:r>
        <w:rPr>
          <w:rFonts w:ascii="Calibri Light" w:eastAsia="Calibri" w:hAnsi="Calibri Light"/>
          <w:color w:val="000000"/>
          <w:sz w:val="28"/>
          <w:szCs w:val="28"/>
        </w:rPr>
        <w:t>investigar</w:t>
      </w:r>
      <w:r w:rsidRPr="00B62A77">
        <w:rPr>
          <w:rFonts w:ascii="Calibri Light" w:eastAsia="Calibri" w:hAnsi="Calibri Light"/>
          <w:color w:val="000000"/>
          <w:sz w:val="28"/>
          <w:szCs w:val="28"/>
        </w:rPr>
        <w:t xml:space="preserve"> </w:t>
      </w:r>
      <w:r>
        <w:rPr>
          <w:rFonts w:ascii="Calibri Light" w:eastAsia="Calibri" w:hAnsi="Calibri Light"/>
          <w:color w:val="000000"/>
          <w:sz w:val="28"/>
          <w:szCs w:val="28"/>
        </w:rPr>
        <w:t>las mejores prácticas utilizadas internacionalmente en materia de abogacía de la competencia.</w:t>
      </w:r>
      <w:r w:rsidRPr="00B62A77">
        <w:rPr>
          <w:rFonts w:ascii="Calibri Light" w:eastAsia="Calibri" w:hAnsi="Calibri Light"/>
          <w:color w:val="000000"/>
          <w:sz w:val="28"/>
          <w:szCs w:val="28"/>
        </w:rPr>
        <w:t xml:space="preserve"> </w:t>
      </w:r>
    </w:p>
    <w:p w14:paraId="5CA0E70C" w14:textId="77777777" w:rsidR="0014509F" w:rsidRDefault="0014509F" w:rsidP="0014509F">
      <w:pPr>
        <w:spacing w:after="100" w:afterAutospacing="1"/>
        <w:jc w:val="both"/>
        <w:rPr>
          <w:rFonts w:ascii="Calibri Light" w:eastAsia="Calibri" w:hAnsi="Calibri Light"/>
          <w:color w:val="000000"/>
          <w:sz w:val="28"/>
          <w:szCs w:val="28"/>
        </w:rPr>
      </w:pPr>
      <w:r w:rsidRPr="00B62A77">
        <w:rPr>
          <w:rFonts w:ascii="Calibri Light" w:eastAsia="Calibri" w:hAnsi="Calibri Light"/>
          <w:color w:val="000000"/>
          <w:sz w:val="28"/>
          <w:szCs w:val="28"/>
        </w:rPr>
        <w:lastRenderedPageBreak/>
        <w:t>En particular, se estudiarán l</w:t>
      </w:r>
      <w:r>
        <w:rPr>
          <w:rFonts w:ascii="Calibri Light" w:eastAsia="Calibri" w:hAnsi="Calibri Light"/>
          <w:color w:val="000000"/>
          <w:sz w:val="28"/>
          <w:szCs w:val="28"/>
        </w:rPr>
        <w:t>as experiencias de la Unión Europea, Inglaterra y Estados Unidos, enfatizando los beneficios que la abogacía de la competencia genera para los consumidores</w:t>
      </w:r>
      <w:r w:rsidRPr="00B62A77">
        <w:rPr>
          <w:rFonts w:ascii="Calibri Light" w:eastAsia="Calibri" w:hAnsi="Calibri Light"/>
          <w:color w:val="000000"/>
          <w:sz w:val="28"/>
          <w:szCs w:val="28"/>
        </w:rPr>
        <w:t>.</w:t>
      </w:r>
    </w:p>
    <w:p w14:paraId="23CCB218" w14:textId="77777777" w:rsidR="0014509F" w:rsidRPr="00B62A77" w:rsidRDefault="0014509F" w:rsidP="0014509F">
      <w:pPr>
        <w:spacing w:after="100" w:afterAutospacing="1"/>
        <w:contextualSpacing/>
        <w:jc w:val="both"/>
        <w:rPr>
          <w:rFonts w:ascii="Calibri Light" w:eastAsia="Calibri" w:hAnsi="Calibri Light" w:cs="Calibri Light"/>
          <w:color w:val="3476B1"/>
          <w:sz w:val="28"/>
          <w:szCs w:val="28"/>
        </w:rPr>
      </w:pPr>
      <w:r w:rsidRPr="00B62A77">
        <w:rPr>
          <w:rFonts w:ascii="Calibri Light" w:eastAsia="Calibri" w:hAnsi="Calibri Light" w:cs="Calibri Light"/>
          <w:color w:val="3476B1"/>
          <w:sz w:val="28"/>
          <w:szCs w:val="28"/>
        </w:rPr>
        <w:t>Metodología</w:t>
      </w:r>
    </w:p>
    <w:p w14:paraId="7ED90A6C" w14:textId="77777777" w:rsidR="0014509F"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sidRPr="00B62A77">
        <w:rPr>
          <w:rFonts w:ascii="Calibri Light" w:eastAsia="Calibri" w:hAnsi="Calibri Light"/>
          <w:color w:val="000000"/>
          <w:sz w:val="28"/>
          <w:szCs w:val="28"/>
        </w:rPr>
        <w:t xml:space="preserve">Se </w:t>
      </w:r>
      <w:r>
        <w:rPr>
          <w:rFonts w:ascii="Calibri Light" w:eastAsia="Calibri" w:hAnsi="Calibri Light"/>
          <w:color w:val="000000"/>
          <w:sz w:val="28"/>
          <w:szCs w:val="28"/>
        </w:rPr>
        <w:t>hará una revisión de la literatura académica, así como de las directivas, normas y procedimientos establecidos a nivel internacional para impulsar la abogacía de la competencia y hacerla parte integral de la política de competencia</w:t>
      </w:r>
      <w:r w:rsidRPr="00B62A77">
        <w:rPr>
          <w:rFonts w:ascii="Calibri Light" w:eastAsia="Calibri" w:hAnsi="Calibri Light"/>
          <w:color w:val="000000"/>
          <w:sz w:val="28"/>
          <w:szCs w:val="28"/>
        </w:rPr>
        <w:t>.</w:t>
      </w:r>
      <w:r>
        <w:rPr>
          <w:rFonts w:ascii="Calibri Light" w:eastAsia="Calibri" w:hAnsi="Calibri Light"/>
          <w:color w:val="000000"/>
          <w:sz w:val="28"/>
          <w:szCs w:val="28"/>
        </w:rPr>
        <w:t xml:space="preserve"> Se integrará asimismo la evidencia empírica existente sobre los efectos que la abogacía de la competencia tiene sobre el bienestar de los consumidores.</w:t>
      </w:r>
    </w:p>
    <w:p w14:paraId="6771CAEA" w14:textId="77777777" w:rsidR="0014509F" w:rsidRPr="00B62A77" w:rsidRDefault="0014509F" w:rsidP="0014509F">
      <w:pPr>
        <w:spacing w:after="100" w:afterAutospacing="1"/>
        <w:contextualSpacing/>
        <w:jc w:val="both"/>
        <w:rPr>
          <w:rFonts w:ascii="Calibri Light" w:eastAsia="Calibri" w:hAnsi="Calibri Light" w:cs="Calibri Light"/>
          <w:color w:val="3476B1"/>
          <w:sz w:val="28"/>
          <w:szCs w:val="28"/>
        </w:rPr>
      </w:pPr>
      <w:r w:rsidRPr="00B62A77">
        <w:rPr>
          <w:rFonts w:ascii="Calibri Light" w:eastAsia="Calibri" w:hAnsi="Calibri Light" w:cs="Calibri Light"/>
          <w:color w:val="3476B1"/>
          <w:sz w:val="28"/>
          <w:szCs w:val="28"/>
        </w:rPr>
        <w:t>Resultados esperados</w:t>
      </w:r>
    </w:p>
    <w:p w14:paraId="1382729D" w14:textId="77777777" w:rsidR="0014509F"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sidRPr="00B62A77">
        <w:rPr>
          <w:rFonts w:ascii="Calibri Light" w:eastAsia="Calibri" w:hAnsi="Calibri Light"/>
          <w:color w:val="000000"/>
          <w:sz w:val="28"/>
          <w:szCs w:val="28"/>
        </w:rPr>
        <w:t xml:space="preserve">Se espera </w:t>
      </w:r>
      <w:r>
        <w:rPr>
          <w:rFonts w:ascii="Calibri Light" w:eastAsia="Calibri" w:hAnsi="Calibri Light"/>
          <w:color w:val="000000"/>
          <w:sz w:val="28"/>
          <w:szCs w:val="28"/>
        </w:rPr>
        <w:t>que al analizar las mejores prácticas e integrar la evidencia internacional sobre abogacía de la competencia se tenga un panorama amplio sobre lo que se ha hecho y se está haciendo en este importante tema, tanto lo reportado por la academia como por las autoridades de competencia.</w:t>
      </w:r>
    </w:p>
    <w:p w14:paraId="0E73B154" w14:textId="77777777" w:rsidR="0014509F" w:rsidRPr="00B62A77" w:rsidRDefault="0014509F" w:rsidP="0014509F">
      <w:pPr>
        <w:spacing w:after="100" w:afterAutospacing="1"/>
        <w:contextualSpacing/>
        <w:jc w:val="both"/>
        <w:rPr>
          <w:rFonts w:ascii="Calibri Light" w:eastAsia="Calibri" w:hAnsi="Calibri Light" w:cs="Calibri Light"/>
          <w:color w:val="3476B1"/>
          <w:sz w:val="28"/>
          <w:szCs w:val="28"/>
        </w:rPr>
      </w:pPr>
      <w:r w:rsidRPr="00B62A77">
        <w:rPr>
          <w:rFonts w:ascii="Calibri Light" w:eastAsia="Calibri" w:hAnsi="Calibri Light" w:cs="Calibri Light"/>
          <w:color w:val="3476B1"/>
          <w:sz w:val="28"/>
          <w:szCs w:val="28"/>
        </w:rPr>
        <w:t xml:space="preserve">Utilidad del estudio para el Instituto </w:t>
      </w:r>
    </w:p>
    <w:p w14:paraId="07669127" w14:textId="77777777" w:rsidR="0014509F"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sidRPr="00B62A77">
        <w:rPr>
          <w:rFonts w:ascii="Calibri Light" w:eastAsia="Calibri" w:hAnsi="Calibri Light"/>
          <w:color w:val="000000"/>
          <w:sz w:val="28"/>
          <w:szCs w:val="28"/>
        </w:rPr>
        <w:t xml:space="preserve">A casi cinco años de la reforma del sector es fundamental para el IFT </w:t>
      </w:r>
      <w:r>
        <w:rPr>
          <w:rFonts w:ascii="Calibri Light" w:eastAsia="Calibri" w:hAnsi="Calibri Light"/>
          <w:color w:val="000000"/>
          <w:sz w:val="28"/>
          <w:szCs w:val="28"/>
        </w:rPr>
        <w:t>abordar nuevas formas de favorecer la competencia que ya han sido exitosas en otros países</w:t>
      </w:r>
      <w:r w:rsidRPr="00B62A77">
        <w:rPr>
          <w:rFonts w:ascii="Calibri Light" w:eastAsia="Calibri" w:hAnsi="Calibri Light"/>
          <w:color w:val="000000"/>
          <w:sz w:val="28"/>
          <w:szCs w:val="28"/>
        </w:rPr>
        <w:t>.</w:t>
      </w:r>
      <w:r>
        <w:rPr>
          <w:rFonts w:ascii="Calibri Light" w:eastAsia="Calibri" w:hAnsi="Calibri Light"/>
          <w:color w:val="000000"/>
          <w:sz w:val="28"/>
          <w:szCs w:val="28"/>
        </w:rPr>
        <w:t xml:space="preserve"> Esto permitiría además aprovechar la valiosa información que</w:t>
      </w:r>
      <w:r w:rsidRPr="00D07F52">
        <w:rPr>
          <w:rFonts w:ascii="Calibri Light" w:eastAsia="Calibri" w:hAnsi="Calibri Light"/>
          <w:color w:val="000000"/>
          <w:sz w:val="28"/>
          <w:szCs w:val="28"/>
        </w:rPr>
        <w:t xml:space="preserve"> el IFT</w:t>
      </w:r>
      <w:r>
        <w:rPr>
          <w:rFonts w:ascii="Calibri Light" w:eastAsia="Calibri" w:hAnsi="Calibri Light"/>
          <w:color w:val="000000"/>
          <w:sz w:val="28"/>
          <w:szCs w:val="28"/>
        </w:rPr>
        <w:t xml:space="preserve"> obtiene sobre las telecomunicaciones, para prevenir</w:t>
      </w:r>
      <w:r w:rsidRPr="00D07F52">
        <w:rPr>
          <w:rFonts w:ascii="Calibri Light" w:eastAsia="Calibri" w:hAnsi="Calibri Light"/>
          <w:color w:val="000000"/>
          <w:sz w:val="28"/>
          <w:szCs w:val="28"/>
        </w:rPr>
        <w:t xml:space="preserve"> posibles distorsiones al proceso de competencia y libre concurrencia</w:t>
      </w:r>
      <w:r>
        <w:rPr>
          <w:rFonts w:ascii="Calibri Light" w:eastAsia="Calibri" w:hAnsi="Calibri Light"/>
          <w:color w:val="000000"/>
          <w:sz w:val="28"/>
          <w:szCs w:val="28"/>
        </w:rPr>
        <w:t xml:space="preserve"> a causa de actos que realizan o pueden realizar distintos agentes de la actividad económica. </w:t>
      </w:r>
    </w:p>
    <w:p w14:paraId="04DB2A09" w14:textId="77777777" w:rsidR="0014509F" w:rsidRDefault="0014509F" w:rsidP="0014509F">
      <w:pPr>
        <w:jc w:val="both"/>
        <w:rPr>
          <w:rFonts w:ascii="Calibri Light" w:eastAsia="Calibri" w:hAnsi="Calibri Light" w:cs="Calibri Light"/>
          <w:color w:val="3476B1"/>
          <w:sz w:val="28"/>
          <w:szCs w:val="28"/>
        </w:rPr>
      </w:pPr>
      <w:r>
        <w:rPr>
          <w:rFonts w:ascii="Calibri Light" w:eastAsia="Calibri" w:hAnsi="Calibri Light" w:cs="Calibri Light"/>
          <w:color w:val="3476B1"/>
          <w:sz w:val="28"/>
          <w:szCs w:val="28"/>
        </w:rPr>
        <w:br w:type="page"/>
      </w:r>
    </w:p>
    <w:p w14:paraId="66E85CD4" w14:textId="77777777" w:rsidR="0014509F" w:rsidRPr="00B62A77" w:rsidRDefault="0014509F" w:rsidP="0014509F">
      <w:pPr>
        <w:spacing w:after="100" w:afterAutospacing="1"/>
        <w:contextualSpacing/>
        <w:jc w:val="both"/>
        <w:rPr>
          <w:rFonts w:ascii="Calibri Light" w:eastAsia="Calibri" w:hAnsi="Calibri Light" w:cs="Calibri Light"/>
          <w:color w:val="3476B1"/>
          <w:sz w:val="28"/>
          <w:szCs w:val="28"/>
        </w:rPr>
      </w:pPr>
      <w:r w:rsidRPr="00B62A77">
        <w:rPr>
          <w:rFonts w:ascii="Calibri Light" w:eastAsia="Calibri" w:hAnsi="Calibri Light" w:cs="Calibri Light"/>
          <w:color w:val="3476B1"/>
          <w:sz w:val="28"/>
          <w:szCs w:val="28"/>
        </w:rPr>
        <w:lastRenderedPageBreak/>
        <w:t>Cronograma</w:t>
      </w:r>
    </w:p>
    <w:tbl>
      <w:tblPr>
        <w:tblStyle w:val="Tablaconcuadrcula"/>
        <w:tblW w:w="9493" w:type="dxa"/>
        <w:tblLook w:val="04A0" w:firstRow="1" w:lastRow="0" w:firstColumn="1" w:lastColumn="0" w:noHBand="0" w:noVBand="1"/>
        <w:tblCaption w:val="Cronograma "/>
        <w:tblDescription w:val="Etapas del Estudio&#10;Revisión bibliográfica y formulación de hipótesis. Fecha de conclusión Marzo&#10;Análisis de la experiencia documental internacional. Fecha de conclusión Abril&#10;Análisis de la evidencia empírica disponible. Fecha de conclusión Mayo&#10;Elaboración del reporte final. Fecha de conclusión Junio&#10;"/>
      </w:tblPr>
      <w:tblGrid>
        <w:gridCol w:w="6658"/>
        <w:gridCol w:w="2835"/>
      </w:tblGrid>
      <w:tr w:rsidR="0014509F" w:rsidRPr="00B62A77" w14:paraId="1DB3E387" w14:textId="77777777" w:rsidTr="00A170A9">
        <w:trPr>
          <w:tblHeader/>
        </w:trPr>
        <w:tc>
          <w:tcPr>
            <w:tcW w:w="6658" w:type="dxa"/>
            <w:tcBorders>
              <w:top w:val="single" w:sz="4" w:space="0" w:color="auto"/>
              <w:left w:val="single" w:sz="4" w:space="0" w:color="auto"/>
              <w:bottom w:val="single" w:sz="4" w:space="0" w:color="auto"/>
              <w:right w:val="single" w:sz="4" w:space="0" w:color="auto"/>
            </w:tcBorders>
            <w:hideMark/>
          </w:tcPr>
          <w:p w14:paraId="7B3E2EBE" w14:textId="77777777" w:rsidR="0014509F" w:rsidRPr="00B62A77" w:rsidRDefault="0014509F" w:rsidP="00A170A9">
            <w:pPr>
              <w:jc w:val="both"/>
              <w:rPr>
                <w:rFonts w:ascii="Calibri Light" w:eastAsia="Calibri" w:hAnsi="Calibri Light"/>
                <w:color w:val="3476B1"/>
                <w:sz w:val="28"/>
                <w:szCs w:val="28"/>
              </w:rPr>
            </w:pPr>
            <w:r>
              <w:rPr>
                <w:rFonts w:ascii="Calibri Light" w:eastAsia="Calibri" w:hAnsi="Calibri Light"/>
                <w:color w:val="3476B1"/>
                <w:sz w:val="28"/>
                <w:szCs w:val="28"/>
              </w:rPr>
              <w:t>Etapas del Estudio</w:t>
            </w:r>
          </w:p>
        </w:tc>
        <w:tc>
          <w:tcPr>
            <w:tcW w:w="2835" w:type="dxa"/>
            <w:tcBorders>
              <w:top w:val="single" w:sz="4" w:space="0" w:color="auto"/>
              <w:left w:val="single" w:sz="4" w:space="0" w:color="auto"/>
              <w:bottom w:val="single" w:sz="4" w:space="0" w:color="auto"/>
              <w:right w:val="single" w:sz="4" w:space="0" w:color="auto"/>
            </w:tcBorders>
            <w:hideMark/>
          </w:tcPr>
          <w:p w14:paraId="1B942749" w14:textId="77777777" w:rsidR="0014509F" w:rsidRPr="00B62A77" w:rsidRDefault="0014509F" w:rsidP="00A170A9">
            <w:pPr>
              <w:jc w:val="both"/>
              <w:rPr>
                <w:rFonts w:ascii="Calibri Light" w:eastAsia="Calibri" w:hAnsi="Calibri Light"/>
                <w:color w:val="3476B1"/>
                <w:sz w:val="28"/>
                <w:szCs w:val="28"/>
              </w:rPr>
            </w:pPr>
            <w:r>
              <w:rPr>
                <w:rFonts w:ascii="Calibri Light" w:eastAsia="Calibri" w:hAnsi="Calibri Light"/>
                <w:color w:val="3476B1"/>
                <w:sz w:val="28"/>
                <w:szCs w:val="28"/>
              </w:rPr>
              <w:t>Fecha de Conclusión</w:t>
            </w:r>
          </w:p>
        </w:tc>
      </w:tr>
      <w:tr w:rsidR="0014509F" w:rsidRPr="00B62A77" w14:paraId="7C425623" w14:textId="77777777" w:rsidTr="00A170A9">
        <w:tc>
          <w:tcPr>
            <w:tcW w:w="6658" w:type="dxa"/>
            <w:tcBorders>
              <w:top w:val="single" w:sz="4" w:space="0" w:color="auto"/>
              <w:left w:val="single" w:sz="4" w:space="0" w:color="auto"/>
              <w:bottom w:val="single" w:sz="4" w:space="0" w:color="auto"/>
              <w:right w:val="single" w:sz="4" w:space="0" w:color="auto"/>
            </w:tcBorders>
            <w:hideMark/>
          </w:tcPr>
          <w:p w14:paraId="192C7AE0" w14:textId="77777777" w:rsidR="0014509F" w:rsidRPr="00B62A77" w:rsidRDefault="0014509F" w:rsidP="00A170A9">
            <w:pPr>
              <w:jc w:val="both"/>
              <w:rPr>
                <w:rFonts w:ascii="Calibri Light" w:eastAsia="Calibri" w:hAnsi="Calibri Light"/>
                <w:color w:val="0070C0"/>
                <w:sz w:val="28"/>
                <w:szCs w:val="28"/>
              </w:rPr>
            </w:pPr>
            <w:r>
              <w:rPr>
                <w:rFonts w:ascii="Calibri Light" w:eastAsia="Calibri" w:hAnsi="Calibri Light"/>
                <w:color w:val="000000"/>
                <w:sz w:val="28"/>
                <w:szCs w:val="28"/>
              </w:rPr>
              <w:t>Revisión bibliográfica y formulación de hipótesis.</w:t>
            </w:r>
          </w:p>
        </w:tc>
        <w:tc>
          <w:tcPr>
            <w:tcW w:w="2835" w:type="dxa"/>
            <w:tcBorders>
              <w:top w:val="single" w:sz="4" w:space="0" w:color="auto"/>
              <w:left w:val="single" w:sz="4" w:space="0" w:color="auto"/>
              <w:bottom w:val="single" w:sz="4" w:space="0" w:color="auto"/>
              <w:right w:val="single" w:sz="4" w:space="0" w:color="auto"/>
            </w:tcBorders>
            <w:hideMark/>
          </w:tcPr>
          <w:p w14:paraId="5A72AC21" w14:textId="77777777" w:rsidR="0014509F" w:rsidRPr="00B62A77" w:rsidRDefault="0014509F" w:rsidP="00A170A9">
            <w:pPr>
              <w:jc w:val="both"/>
              <w:rPr>
                <w:rFonts w:ascii="Calibri Light" w:eastAsia="Calibri" w:hAnsi="Calibri Light"/>
                <w:color w:val="0070C0"/>
                <w:sz w:val="28"/>
                <w:szCs w:val="28"/>
              </w:rPr>
            </w:pPr>
            <w:r>
              <w:rPr>
                <w:rFonts w:ascii="Calibri Light" w:eastAsia="Calibri" w:hAnsi="Calibri Light"/>
                <w:color w:val="000000"/>
                <w:sz w:val="28"/>
                <w:szCs w:val="28"/>
              </w:rPr>
              <w:t>Marzo</w:t>
            </w:r>
          </w:p>
        </w:tc>
      </w:tr>
      <w:tr w:rsidR="0014509F" w:rsidRPr="00B62A77" w14:paraId="2544F957" w14:textId="77777777" w:rsidTr="00A170A9">
        <w:tc>
          <w:tcPr>
            <w:tcW w:w="6658" w:type="dxa"/>
            <w:tcBorders>
              <w:top w:val="single" w:sz="4" w:space="0" w:color="auto"/>
              <w:left w:val="single" w:sz="4" w:space="0" w:color="auto"/>
              <w:bottom w:val="single" w:sz="4" w:space="0" w:color="auto"/>
              <w:right w:val="single" w:sz="4" w:space="0" w:color="auto"/>
            </w:tcBorders>
            <w:hideMark/>
          </w:tcPr>
          <w:p w14:paraId="17EF68FD" w14:textId="77777777" w:rsidR="0014509F" w:rsidRPr="00B62A77" w:rsidRDefault="0014509F" w:rsidP="00A170A9">
            <w:pPr>
              <w:jc w:val="both"/>
              <w:rPr>
                <w:rFonts w:ascii="Calibri Light" w:eastAsia="Calibri" w:hAnsi="Calibri Light"/>
                <w:color w:val="0070C0"/>
                <w:sz w:val="28"/>
                <w:szCs w:val="28"/>
              </w:rPr>
            </w:pPr>
            <w:r>
              <w:rPr>
                <w:rFonts w:ascii="Calibri Light" w:eastAsia="Calibri" w:hAnsi="Calibri Light"/>
                <w:color w:val="000000"/>
                <w:sz w:val="28"/>
                <w:szCs w:val="28"/>
              </w:rPr>
              <w:t>Análisis de la experiencia documental internacional.</w:t>
            </w:r>
          </w:p>
        </w:tc>
        <w:tc>
          <w:tcPr>
            <w:tcW w:w="2835" w:type="dxa"/>
            <w:tcBorders>
              <w:top w:val="single" w:sz="4" w:space="0" w:color="auto"/>
              <w:left w:val="single" w:sz="4" w:space="0" w:color="auto"/>
              <w:bottom w:val="single" w:sz="4" w:space="0" w:color="auto"/>
              <w:right w:val="single" w:sz="4" w:space="0" w:color="auto"/>
            </w:tcBorders>
            <w:hideMark/>
          </w:tcPr>
          <w:p w14:paraId="569B7784" w14:textId="77777777" w:rsidR="0014509F" w:rsidRPr="00B62A77" w:rsidRDefault="0014509F" w:rsidP="00A170A9">
            <w:pPr>
              <w:jc w:val="both"/>
              <w:rPr>
                <w:rFonts w:ascii="Calibri Light" w:eastAsia="Calibri" w:hAnsi="Calibri Light"/>
                <w:color w:val="0070C0"/>
                <w:sz w:val="28"/>
                <w:szCs w:val="28"/>
              </w:rPr>
            </w:pPr>
            <w:r>
              <w:rPr>
                <w:rFonts w:ascii="Calibri Light" w:eastAsia="Calibri" w:hAnsi="Calibri Light"/>
                <w:color w:val="000000"/>
                <w:sz w:val="28"/>
                <w:szCs w:val="28"/>
              </w:rPr>
              <w:t>Abril</w:t>
            </w:r>
          </w:p>
        </w:tc>
      </w:tr>
      <w:tr w:rsidR="0014509F" w:rsidRPr="00B62A77" w14:paraId="44E880D2" w14:textId="77777777" w:rsidTr="00A170A9">
        <w:tc>
          <w:tcPr>
            <w:tcW w:w="6658" w:type="dxa"/>
            <w:tcBorders>
              <w:top w:val="single" w:sz="4" w:space="0" w:color="auto"/>
              <w:left w:val="single" w:sz="4" w:space="0" w:color="auto"/>
              <w:bottom w:val="single" w:sz="4" w:space="0" w:color="auto"/>
              <w:right w:val="single" w:sz="4" w:space="0" w:color="auto"/>
            </w:tcBorders>
            <w:hideMark/>
          </w:tcPr>
          <w:p w14:paraId="621E5825" w14:textId="77777777" w:rsidR="0014509F" w:rsidRPr="00B62A77" w:rsidRDefault="0014509F" w:rsidP="00A170A9">
            <w:pPr>
              <w:jc w:val="both"/>
              <w:rPr>
                <w:rFonts w:ascii="Calibri Light" w:eastAsia="Calibri" w:hAnsi="Calibri Light"/>
                <w:color w:val="0070C0"/>
                <w:sz w:val="28"/>
                <w:szCs w:val="28"/>
              </w:rPr>
            </w:pPr>
            <w:r>
              <w:rPr>
                <w:rFonts w:ascii="Calibri Light" w:eastAsia="Calibri" w:hAnsi="Calibri Light"/>
                <w:color w:val="000000"/>
                <w:sz w:val="28"/>
                <w:szCs w:val="28"/>
              </w:rPr>
              <w:t>Análisis de la evidencia empírica disponible.</w:t>
            </w:r>
          </w:p>
        </w:tc>
        <w:tc>
          <w:tcPr>
            <w:tcW w:w="2835" w:type="dxa"/>
            <w:tcBorders>
              <w:top w:val="single" w:sz="4" w:space="0" w:color="auto"/>
              <w:left w:val="single" w:sz="4" w:space="0" w:color="auto"/>
              <w:bottom w:val="single" w:sz="4" w:space="0" w:color="auto"/>
              <w:right w:val="single" w:sz="4" w:space="0" w:color="auto"/>
            </w:tcBorders>
            <w:hideMark/>
          </w:tcPr>
          <w:p w14:paraId="41285F9A" w14:textId="77777777" w:rsidR="0014509F" w:rsidRPr="00B62A77" w:rsidRDefault="0014509F" w:rsidP="00A170A9">
            <w:pPr>
              <w:jc w:val="both"/>
              <w:rPr>
                <w:rFonts w:ascii="Calibri Light" w:eastAsia="Calibri" w:hAnsi="Calibri Light"/>
                <w:color w:val="0070C0"/>
                <w:sz w:val="28"/>
                <w:szCs w:val="28"/>
              </w:rPr>
            </w:pPr>
            <w:r>
              <w:rPr>
                <w:rFonts w:ascii="Calibri Light" w:eastAsia="Calibri" w:hAnsi="Calibri Light"/>
                <w:color w:val="000000"/>
                <w:sz w:val="28"/>
                <w:szCs w:val="28"/>
              </w:rPr>
              <w:t>Mayo</w:t>
            </w:r>
          </w:p>
        </w:tc>
      </w:tr>
      <w:tr w:rsidR="0014509F" w:rsidRPr="00B62A77" w14:paraId="6A4A82EA" w14:textId="77777777" w:rsidTr="00A170A9">
        <w:tc>
          <w:tcPr>
            <w:tcW w:w="6658" w:type="dxa"/>
            <w:tcBorders>
              <w:top w:val="single" w:sz="4" w:space="0" w:color="auto"/>
              <w:left w:val="single" w:sz="4" w:space="0" w:color="auto"/>
              <w:bottom w:val="single" w:sz="4" w:space="0" w:color="auto"/>
              <w:right w:val="single" w:sz="4" w:space="0" w:color="auto"/>
            </w:tcBorders>
            <w:hideMark/>
          </w:tcPr>
          <w:p w14:paraId="26A2C504" w14:textId="77777777" w:rsidR="0014509F" w:rsidRPr="00B62A77" w:rsidRDefault="0014509F" w:rsidP="00A170A9">
            <w:pPr>
              <w:jc w:val="both"/>
              <w:rPr>
                <w:rFonts w:ascii="Calibri Light" w:eastAsia="Calibri" w:hAnsi="Calibri Light"/>
                <w:color w:val="0070C0"/>
                <w:sz w:val="28"/>
                <w:szCs w:val="28"/>
              </w:rPr>
            </w:pPr>
            <w:r>
              <w:rPr>
                <w:rFonts w:ascii="Calibri Light" w:eastAsia="Calibri" w:hAnsi="Calibri Light"/>
                <w:color w:val="000000"/>
                <w:sz w:val="28"/>
                <w:szCs w:val="28"/>
              </w:rPr>
              <w:t>Elaboración del reporte final.</w:t>
            </w:r>
          </w:p>
        </w:tc>
        <w:tc>
          <w:tcPr>
            <w:tcW w:w="2835" w:type="dxa"/>
            <w:tcBorders>
              <w:top w:val="single" w:sz="4" w:space="0" w:color="auto"/>
              <w:left w:val="single" w:sz="4" w:space="0" w:color="auto"/>
              <w:bottom w:val="single" w:sz="4" w:space="0" w:color="auto"/>
              <w:right w:val="single" w:sz="4" w:space="0" w:color="auto"/>
            </w:tcBorders>
            <w:hideMark/>
          </w:tcPr>
          <w:p w14:paraId="4D6D044B" w14:textId="77777777" w:rsidR="0014509F" w:rsidRPr="00B62A77" w:rsidRDefault="0014509F" w:rsidP="00A170A9">
            <w:pPr>
              <w:jc w:val="both"/>
              <w:rPr>
                <w:rFonts w:ascii="Calibri Light" w:eastAsia="Calibri" w:hAnsi="Calibri Light"/>
                <w:color w:val="0070C0"/>
                <w:sz w:val="28"/>
                <w:szCs w:val="28"/>
              </w:rPr>
            </w:pPr>
            <w:r>
              <w:rPr>
                <w:rFonts w:ascii="Calibri Light" w:eastAsia="Calibri" w:hAnsi="Calibri Light"/>
                <w:color w:val="000000"/>
                <w:sz w:val="28"/>
                <w:szCs w:val="28"/>
              </w:rPr>
              <w:t>Junio</w:t>
            </w:r>
          </w:p>
        </w:tc>
      </w:tr>
    </w:tbl>
    <w:p w14:paraId="1279E911" w14:textId="77777777" w:rsidR="0014509F" w:rsidRDefault="0014509F" w:rsidP="0014509F">
      <w:pPr>
        <w:keepNext/>
        <w:spacing w:after="100" w:afterAutospacing="1"/>
        <w:jc w:val="both"/>
      </w:pPr>
      <w:r>
        <w:br w:type="page"/>
      </w:r>
    </w:p>
    <w:p w14:paraId="69EEFCED" w14:textId="77777777" w:rsidR="0014509F" w:rsidRDefault="0014509F" w:rsidP="0014509F">
      <w:pPr>
        <w:keepNext/>
        <w:spacing w:after="100" w:afterAutospacing="1"/>
        <w:jc w:val="both"/>
        <w:rPr>
          <w:rFonts w:asciiTheme="majorHAnsi" w:hAnsiTheme="majorHAnsi"/>
          <w:color w:val="C45911" w:themeColor="accent2" w:themeShade="BF"/>
          <w:sz w:val="28"/>
          <w:szCs w:val="28"/>
        </w:rPr>
      </w:pPr>
      <w:sdt>
        <w:sdtPr>
          <w:rPr>
            <w:rFonts w:asciiTheme="majorHAnsi" w:hAnsiTheme="majorHAnsi"/>
            <w:color w:val="C45911" w:themeColor="accent2" w:themeShade="BF"/>
            <w:sz w:val="28"/>
            <w:szCs w:val="28"/>
          </w:rPr>
          <w:alias w:val="Nombre del Proyecto"/>
          <w:tag w:val="Nombre_x0020_del_x0020_Proyecto"/>
          <w:id w:val="-1416620305"/>
          <w:placeholder>
            <w:docPart w:val="8410C910F0F1405DAEABC4BFBBE97802"/>
          </w:placeholder>
          <w:dataBinding w:prefixMappings="xmlns:ns0='http://schemas.microsoft.com/office/2006/metadata/properties' xmlns:ns1='http://www.w3.org/2001/XMLSchema-instance' xmlns:ns2='http://schemas.microsoft.com/office/infopath/2007/PartnerControls' xmlns:ns3='293807b6-12d3-42cc-a250-7bb708d556b9' " w:xpath="/ns0:properties[1]/documentManagement[1]/ns3:Nombre_x0020_del_x0020_Proyecto[1]" w:storeItemID="{D43C7FE1-1104-4286-B957-32265D6B0D08}"/>
          <w:text/>
        </w:sdtPr>
        <w:sdtContent>
          <w:r>
            <w:rPr>
              <w:rFonts w:asciiTheme="majorHAnsi" w:hAnsiTheme="majorHAnsi"/>
              <w:color w:val="C45911" w:themeColor="accent2" w:themeShade="BF"/>
              <w:sz w:val="28"/>
              <w:szCs w:val="28"/>
            </w:rPr>
            <w:t>Experiencia internacional reciente en la regulación de acceso a la red local fija</w:t>
          </w:r>
        </w:sdtContent>
      </w:sdt>
    </w:p>
    <w:p w14:paraId="106A0271" w14:textId="77777777" w:rsidR="0014509F" w:rsidRDefault="0014509F" w:rsidP="0014509F">
      <w:pPr>
        <w:keepNext/>
        <w:spacing w:after="100" w:afterAutospacing="1"/>
        <w:jc w:val="both"/>
        <w:rPr>
          <w:rFonts w:asciiTheme="majorHAnsi" w:hAnsiTheme="majorHAnsi"/>
          <w:color w:val="C45911" w:themeColor="accent2" w:themeShade="BF"/>
          <w:sz w:val="28"/>
          <w:szCs w:val="28"/>
        </w:rPr>
      </w:pPr>
      <w:r w:rsidRPr="00A05CDC">
        <w:rPr>
          <w:rFonts w:asciiTheme="majorHAnsi" w:hAnsiTheme="majorHAnsi"/>
          <w:color w:val="C45911" w:themeColor="accent2" w:themeShade="BF"/>
          <w:sz w:val="28"/>
          <w:szCs w:val="28"/>
        </w:rPr>
        <w:t>Ramiro Camacho Castillo</w:t>
      </w:r>
      <w:r w:rsidRPr="00A05CDC">
        <w:rPr>
          <w:rStyle w:val="Refdenotaalpie"/>
          <w:color w:val="C45911" w:themeColor="accent2" w:themeShade="BF"/>
          <w:sz w:val="28"/>
          <w:szCs w:val="28"/>
        </w:rPr>
        <w:footnoteReference w:id="14"/>
      </w:r>
    </w:p>
    <w:p w14:paraId="4DEC6392" w14:textId="77777777" w:rsidR="0014509F" w:rsidRPr="00697377" w:rsidRDefault="0014509F" w:rsidP="0014509F">
      <w:pPr>
        <w:keepNext/>
        <w:spacing w:after="100" w:afterAutospacing="1"/>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Introducción</w:t>
      </w:r>
    </w:p>
    <w:p w14:paraId="00B4AC90"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sidRPr="004C25EF">
        <w:rPr>
          <w:rFonts w:asciiTheme="majorHAnsi" w:hAnsiTheme="majorHAnsi"/>
          <w:sz w:val="28"/>
          <w:szCs w:val="28"/>
        </w:rPr>
        <w:t xml:space="preserve">La desagregación de la red local fija tiene como objeto </w:t>
      </w:r>
      <w:r>
        <w:rPr>
          <w:rFonts w:asciiTheme="majorHAnsi" w:hAnsiTheme="majorHAnsi"/>
          <w:sz w:val="28"/>
          <w:szCs w:val="28"/>
        </w:rPr>
        <w:t>promover</w:t>
      </w:r>
      <w:r w:rsidRPr="004C25EF">
        <w:rPr>
          <w:rFonts w:asciiTheme="majorHAnsi" w:hAnsiTheme="majorHAnsi"/>
          <w:sz w:val="28"/>
          <w:szCs w:val="28"/>
        </w:rPr>
        <w:t xml:space="preserve"> condiciones de </w:t>
      </w:r>
      <w:r w:rsidRPr="00A170A9">
        <w:rPr>
          <w:rFonts w:ascii="Calibri Light" w:eastAsia="Calibri" w:hAnsi="Calibri Light"/>
          <w:color w:val="000000"/>
          <w:sz w:val="28"/>
          <w:szCs w:val="28"/>
        </w:rPr>
        <w:t>competencia</w:t>
      </w:r>
      <w:r w:rsidRPr="004C25EF">
        <w:rPr>
          <w:rFonts w:asciiTheme="majorHAnsi" w:hAnsiTheme="majorHAnsi"/>
          <w:sz w:val="28"/>
          <w:szCs w:val="28"/>
        </w:rPr>
        <w:t xml:space="preserve"> en el acceso fijo a las redes de telecomunicaciones, al menos de manera provisional</w:t>
      </w:r>
      <w:r>
        <w:rPr>
          <w:rFonts w:asciiTheme="majorHAnsi" w:hAnsiTheme="majorHAnsi"/>
          <w:sz w:val="28"/>
          <w:szCs w:val="28"/>
        </w:rPr>
        <w:t>,</w:t>
      </w:r>
      <w:r w:rsidRPr="004C25EF">
        <w:rPr>
          <w:rFonts w:asciiTheme="majorHAnsi" w:hAnsiTheme="majorHAnsi"/>
          <w:sz w:val="28"/>
          <w:szCs w:val="28"/>
        </w:rPr>
        <w:t xml:space="preserve"> mientras los competidores </w:t>
      </w:r>
      <w:r>
        <w:rPr>
          <w:rFonts w:asciiTheme="majorHAnsi" w:hAnsiTheme="majorHAnsi"/>
          <w:sz w:val="28"/>
          <w:szCs w:val="28"/>
        </w:rPr>
        <w:t>despliegan</w:t>
      </w:r>
      <w:r w:rsidRPr="004C25EF">
        <w:rPr>
          <w:rFonts w:asciiTheme="majorHAnsi" w:hAnsiTheme="majorHAnsi"/>
          <w:sz w:val="28"/>
          <w:szCs w:val="28"/>
        </w:rPr>
        <w:t xml:space="preserve"> infraestructura </w:t>
      </w:r>
      <w:r>
        <w:rPr>
          <w:rFonts w:asciiTheme="majorHAnsi" w:hAnsiTheme="majorHAnsi"/>
          <w:sz w:val="28"/>
          <w:szCs w:val="28"/>
        </w:rPr>
        <w:t>propia en los lugares donde la duplicación de la misma</w:t>
      </w:r>
      <w:r w:rsidRPr="004C25EF">
        <w:rPr>
          <w:rFonts w:asciiTheme="majorHAnsi" w:hAnsiTheme="majorHAnsi"/>
          <w:sz w:val="28"/>
          <w:szCs w:val="28"/>
        </w:rPr>
        <w:t xml:space="preserve"> </w:t>
      </w:r>
      <w:r>
        <w:rPr>
          <w:rFonts w:asciiTheme="majorHAnsi" w:hAnsiTheme="majorHAnsi"/>
          <w:sz w:val="28"/>
          <w:szCs w:val="28"/>
        </w:rPr>
        <w:t>sea</w:t>
      </w:r>
      <w:r w:rsidRPr="004C25EF">
        <w:rPr>
          <w:rFonts w:asciiTheme="majorHAnsi" w:hAnsiTheme="majorHAnsi"/>
          <w:sz w:val="28"/>
          <w:szCs w:val="28"/>
        </w:rPr>
        <w:t xml:space="preserve"> eficiente y deseable. </w:t>
      </w:r>
    </w:p>
    <w:p w14:paraId="2E4CBF98"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sidRPr="004C25EF">
        <w:rPr>
          <w:rFonts w:asciiTheme="majorHAnsi" w:hAnsiTheme="majorHAnsi"/>
          <w:sz w:val="28"/>
          <w:szCs w:val="28"/>
        </w:rPr>
        <w:t>Cada dos años, el I</w:t>
      </w:r>
      <w:r>
        <w:rPr>
          <w:rFonts w:asciiTheme="majorHAnsi" w:hAnsiTheme="majorHAnsi"/>
          <w:sz w:val="28"/>
          <w:szCs w:val="28"/>
        </w:rPr>
        <w:t>FT</w:t>
      </w:r>
      <w:r w:rsidRPr="004C25EF">
        <w:rPr>
          <w:rFonts w:asciiTheme="majorHAnsi" w:hAnsiTheme="majorHAnsi"/>
          <w:sz w:val="28"/>
          <w:szCs w:val="28"/>
        </w:rPr>
        <w:t xml:space="preserve"> lleva a cabo la revisión de la regulación asimétrica, en particular la de desagregación de la red fija local del Age</w:t>
      </w:r>
      <w:r>
        <w:rPr>
          <w:rFonts w:asciiTheme="majorHAnsi" w:hAnsiTheme="majorHAnsi"/>
          <w:sz w:val="28"/>
          <w:szCs w:val="28"/>
        </w:rPr>
        <w:t xml:space="preserve">nte Económico Preponderante en </w:t>
      </w:r>
      <w:r w:rsidRPr="00A170A9">
        <w:rPr>
          <w:rFonts w:ascii="Calibri Light" w:eastAsia="Calibri" w:hAnsi="Calibri Light"/>
          <w:color w:val="000000"/>
          <w:sz w:val="28"/>
          <w:szCs w:val="28"/>
        </w:rPr>
        <w:t>telecomunicaciones</w:t>
      </w:r>
      <w:r w:rsidRPr="004C25EF">
        <w:rPr>
          <w:rFonts w:asciiTheme="majorHAnsi" w:hAnsiTheme="majorHAnsi"/>
          <w:sz w:val="28"/>
          <w:szCs w:val="28"/>
        </w:rPr>
        <w:t xml:space="preserve">. Dicha revisión permite al Instituto, en su caso, suprimir o modificar medidas, o establecer nuevas </w:t>
      </w:r>
      <w:r>
        <w:rPr>
          <w:rFonts w:asciiTheme="majorHAnsi" w:hAnsiTheme="majorHAnsi"/>
          <w:sz w:val="28"/>
          <w:szCs w:val="28"/>
        </w:rPr>
        <w:t>disposiciones</w:t>
      </w:r>
      <w:r w:rsidRPr="004C25EF">
        <w:rPr>
          <w:rFonts w:asciiTheme="majorHAnsi" w:hAnsiTheme="majorHAnsi"/>
          <w:sz w:val="28"/>
          <w:szCs w:val="28"/>
        </w:rPr>
        <w:t>, para lo cual debe motivar que su determinación resulta proporcional y conducente con los fines que originalmente buscaba cada medida.</w:t>
      </w:r>
    </w:p>
    <w:p w14:paraId="515EF54C" w14:textId="77777777" w:rsidR="0014509F" w:rsidRPr="004C25EF" w:rsidRDefault="0014509F" w:rsidP="00A170A9">
      <w:pPr>
        <w:pStyle w:val="estilo30"/>
        <w:spacing w:before="240" w:beforeAutospacing="0" w:after="240" w:afterAutospacing="0" w:line="276" w:lineRule="auto"/>
        <w:jc w:val="both"/>
        <w:rPr>
          <w:rFonts w:asciiTheme="majorHAnsi" w:hAnsiTheme="majorHAnsi"/>
          <w:sz w:val="28"/>
          <w:szCs w:val="28"/>
        </w:rPr>
      </w:pPr>
      <w:r w:rsidRPr="004C25EF">
        <w:rPr>
          <w:rFonts w:asciiTheme="majorHAnsi" w:hAnsiTheme="majorHAnsi"/>
          <w:sz w:val="28"/>
          <w:szCs w:val="28"/>
        </w:rPr>
        <w:t>La regulación de acceso a la red fija local puede dar incentivos mayores o menores para la inversión, en particular para el despliegue de fibra óptica o la entrada basada en infraestructura. Por ello, es importante analizar las experiencias internacionales recientes de regulación de acceso a la red fija local y las variables relevantes de crecimiento de la cobertura, innovación, calidad y precio.</w:t>
      </w:r>
    </w:p>
    <w:p w14:paraId="42F54A1A" w14:textId="77777777" w:rsidR="0014509F" w:rsidRDefault="0014509F" w:rsidP="0014509F">
      <w:pPr>
        <w:keepNext/>
        <w:spacing w:after="100" w:afterAutospacing="1"/>
        <w:jc w:val="both"/>
        <w:rPr>
          <w:rFonts w:asciiTheme="majorHAnsi" w:hAnsiTheme="majorHAnsi"/>
          <w:color w:val="7B7B7B" w:themeColor="accent3" w:themeShade="BF"/>
          <w:sz w:val="28"/>
          <w:szCs w:val="28"/>
        </w:rPr>
      </w:pPr>
      <w:r>
        <w:rPr>
          <w:rFonts w:asciiTheme="majorHAnsi" w:hAnsiTheme="majorHAnsi"/>
          <w:color w:val="7B7B7B" w:themeColor="accent3" w:themeShade="BF"/>
          <w:sz w:val="28"/>
          <w:szCs w:val="28"/>
        </w:rPr>
        <w:br w:type="page"/>
      </w:r>
    </w:p>
    <w:p w14:paraId="57288F60" w14:textId="77777777" w:rsidR="0014509F" w:rsidRPr="00697377" w:rsidRDefault="0014509F" w:rsidP="0014509F">
      <w:pPr>
        <w:keepNext/>
        <w:spacing w:after="100" w:afterAutospacing="1"/>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lastRenderedPageBreak/>
        <w:t>Objetivo</w:t>
      </w:r>
    </w:p>
    <w:p w14:paraId="4A113E1A"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sidRPr="004C25EF">
        <w:rPr>
          <w:rFonts w:asciiTheme="majorHAnsi" w:hAnsiTheme="majorHAnsi"/>
          <w:sz w:val="28"/>
          <w:szCs w:val="28"/>
        </w:rPr>
        <w:t>El estudio realizará un análisis de casos recientes en la regulación de acceso a las redes fijas locales para un conjunto de países de la OECD y latinoamericanos que hayan implementado este tipo de regulación.</w:t>
      </w:r>
    </w:p>
    <w:p w14:paraId="12883853"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sidRPr="004C25EF">
        <w:rPr>
          <w:rFonts w:asciiTheme="majorHAnsi" w:hAnsiTheme="majorHAnsi"/>
          <w:sz w:val="28"/>
          <w:szCs w:val="28"/>
        </w:rPr>
        <w:t xml:space="preserve">En cada experiencia, se describirá la regulación implementada, los servicios incluidos, los objetivos establecidos, y se valorarán los resultados obtenidos, en particular las variables relevantes de crecimiento de la cobertura, innovación, calidad y precio. </w:t>
      </w:r>
    </w:p>
    <w:p w14:paraId="0EE58991" w14:textId="77777777" w:rsidR="0014509F" w:rsidRPr="00697377" w:rsidRDefault="0014509F" w:rsidP="0014509F">
      <w:pPr>
        <w:keepNext/>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Metodología</w:t>
      </w:r>
    </w:p>
    <w:p w14:paraId="16DB491C"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sidRPr="004C25EF">
        <w:rPr>
          <w:rFonts w:asciiTheme="majorHAnsi" w:hAnsiTheme="majorHAnsi"/>
          <w:sz w:val="28"/>
          <w:szCs w:val="28"/>
        </w:rPr>
        <w:t xml:space="preserve">Se revisará la regulación </w:t>
      </w:r>
      <w:r>
        <w:rPr>
          <w:rFonts w:asciiTheme="majorHAnsi" w:hAnsiTheme="majorHAnsi"/>
          <w:sz w:val="28"/>
          <w:szCs w:val="28"/>
        </w:rPr>
        <w:t>de acceso</w:t>
      </w:r>
      <w:r w:rsidRPr="004C25EF">
        <w:rPr>
          <w:rFonts w:asciiTheme="majorHAnsi" w:hAnsiTheme="majorHAnsi"/>
          <w:sz w:val="28"/>
          <w:szCs w:val="28"/>
        </w:rPr>
        <w:t xml:space="preserve"> implementada</w:t>
      </w:r>
      <w:r>
        <w:rPr>
          <w:rFonts w:asciiTheme="majorHAnsi" w:hAnsiTheme="majorHAnsi"/>
          <w:sz w:val="28"/>
          <w:szCs w:val="28"/>
        </w:rPr>
        <w:t xml:space="preserve"> en un conjunto de países a determinar</w:t>
      </w:r>
      <w:r w:rsidRPr="004C25EF">
        <w:rPr>
          <w:rFonts w:asciiTheme="majorHAnsi" w:hAnsiTheme="majorHAnsi"/>
          <w:sz w:val="28"/>
          <w:szCs w:val="28"/>
        </w:rPr>
        <w:t xml:space="preserve">, </w:t>
      </w:r>
      <w:r>
        <w:rPr>
          <w:rFonts w:asciiTheme="majorHAnsi" w:hAnsiTheme="majorHAnsi"/>
          <w:sz w:val="28"/>
          <w:szCs w:val="28"/>
        </w:rPr>
        <w:t xml:space="preserve">así como </w:t>
      </w:r>
      <w:r w:rsidRPr="004C25EF">
        <w:rPr>
          <w:rFonts w:asciiTheme="majorHAnsi" w:hAnsiTheme="majorHAnsi"/>
          <w:sz w:val="28"/>
          <w:szCs w:val="28"/>
        </w:rPr>
        <w:t>las medidas adoptadas y los estudios de desempeño realizados por el regulador</w:t>
      </w:r>
      <w:r>
        <w:rPr>
          <w:rFonts w:asciiTheme="majorHAnsi" w:hAnsiTheme="majorHAnsi"/>
          <w:sz w:val="28"/>
          <w:szCs w:val="28"/>
        </w:rPr>
        <w:t xml:space="preserve"> o por un tercero. Se valorará el c</w:t>
      </w:r>
      <w:r w:rsidRPr="004C25EF">
        <w:rPr>
          <w:rFonts w:asciiTheme="majorHAnsi" w:hAnsiTheme="majorHAnsi"/>
          <w:sz w:val="28"/>
          <w:szCs w:val="28"/>
        </w:rPr>
        <w:t xml:space="preserve">ontexto específico del país, existencia de agentes dominantes, regulación simétrica o asimétrica, justificaciones y la racionalidad </w:t>
      </w:r>
      <w:r>
        <w:rPr>
          <w:rFonts w:asciiTheme="majorHAnsi" w:hAnsiTheme="majorHAnsi"/>
          <w:sz w:val="28"/>
          <w:szCs w:val="28"/>
        </w:rPr>
        <w:t xml:space="preserve">expresada por </w:t>
      </w:r>
      <w:r w:rsidRPr="004C25EF">
        <w:rPr>
          <w:rFonts w:asciiTheme="majorHAnsi" w:hAnsiTheme="majorHAnsi"/>
          <w:sz w:val="28"/>
          <w:szCs w:val="28"/>
        </w:rPr>
        <w:t>el regulador o legislador.</w:t>
      </w:r>
    </w:p>
    <w:p w14:paraId="75906AF2"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sidRPr="004C25EF">
        <w:rPr>
          <w:rFonts w:asciiTheme="majorHAnsi" w:hAnsiTheme="majorHAnsi"/>
          <w:sz w:val="28"/>
          <w:szCs w:val="28"/>
        </w:rPr>
        <w:t xml:space="preserve">Se analizará la entrada de nuevos proveedores de servicios </w:t>
      </w:r>
      <w:r>
        <w:rPr>
          <w:rFonts w:asciiTheme="majorHAnsi" w:hAnsiTheme="majorHAnsi"/>
          <w:sz w:val="28"/>
          <w:szCs w:val="28"/>
        </w:rPr>
        <w:t>y de operadores</w:t>
      </w:r>
      <w:r w:rsidRPr="004C25EF">
        <w:rPr>
          <w:rFonts w:asciiTheme="majorHAnsi" w:hAnsiTheme="majorHAnsi"/>
          <w:sz w:val="28"/>
          <w:szCs w:val="28"/>
        </w:rPr>
        <w:t xml:space="preserve"> </w:t>
      </w:r>
      <w:r>
        <w:rPr>
          <w:rFonts w:asciiTheme="majorHAnsi" w:hAnsiTheme="majorHAnsi"/>
          <w:sz w:val="28"/>
          <w:szCs w:val="28"/>
        </w:rPr>
        <w:t>con</w:t>
      </w:r>
      <w:r w:rsidRPr="004C25EF">
        <w:rPr>
          <w:rFonts w:asciiTheme="majorHAnsi" w:hAnsiTheme="majorHAnsi"/>
          <w:sz w:val="28"/>
          <w:szCs w:val="28"/>
        </w:rPr>
        <w:t xml:space="preserve"> infraestructura, su crecimiento, el incremento de la cobertura de fibra, los problemas percibidos y la valoración de los diversos interesados (</w:t>
      </w:r>
      <w:proofErr w:type="spellStart"/>
      <w:r w:rsidRPr="004C25EF">
        <w:rPr>
          <w:rFonts w:asciiTheme="majorHAnsi" w:hAnsiTheme="majorHAnsi"/>
          <w:i/>
          <w:sz w:val="28"/>
          <w:szCs w:val="28"/>
        </w:rPr>
        <w:t>stakeholders</w:t>
      </w:r>
      <w:proofErr w:type="spellEnd"/>
      <w:r w:rsidRPr="004C25EF">
        <w:rPr>
          <w:rFonts w:asciiTheme="majorHAnsi" w:hAnsiTheme="majorHAnsi"/>
          <w:sz w:val="28"/>
          <w:szCs w:val="28"/>
        </w:rPr>
        <w:t>) sobre el desempeño de las obligaciones de acceso.</w:t>
      </w:r>
    </w:p>
    <w:p w14:paraId="4063B376" w14:textId="77777777" w:rsidR="0014509F" w:rsidRPr="00FF61B9" w:rsidRDefault="0014509F" w:rsidP="00A170A9">
      <w:pPr>
        <w:pStyle w:val="estilo30"/>
        <w:spacing w:before="240" w:beforeAutospacing="0" w:after="240" w:afterAutospacing="0" w:line="276" w:lineRule="auto"/>
        <w:jc w:val="both"/>
        <w:rPr>
          <w:rFonts w:asciiTheme="majorHAnsi" w:hAnsiTheme="majorHAnsi"/>
          <w:sz w:val="28"/>
          <w:szCs w:val="28"/>
        </w:rPr>
      </w:pPr>
      <w:r w:rsidRPr="004C25EF">
        <w:rPr>
          <w:rFonts w:asciiTheme="majorHAnsi" w:hAnsiTheme="majorHAnsi"/>
          <w:sz w:val="28"/>
          <w:szCs w:val="28"/>
        </w:rPr>
        <w:t xml:space="preserve">El estudio contará con una sección introductoria que expondrá los aspectos técnicos y los principios regulatorios y </w:t>
      </w:r>
      <w:proofErr w:type="spellStart"/>
      <w:r w:rsidRPr="004C25EF">
        <w:rPr>
          <w:rFonts w:asciiTheme="majorHAnsi" w:hAnsiTheme="majorHAnsi"/>
          <w:i/>
          <w:sz w:val="28"/>
          <w:szCs w:val="28"/>
        </w:rPr>
        <w:t>trade-offs</w:t>
      </w:r>
      <w:proofErr w:type="spellEnd"/>
      <w:r w:rsidRPr="004C25EF">
        <w:rPr>
          <w:rFonts w:asciiTheme="majorHAnsi" w:hAnsiTheme="majorHAnsi"/>
          <w:sz w:val="28"/>
          <w:szCs w:val="28"/>
        </w:rPr>
        <w:t xml:space="preserve"> involucrados</w:t>
      </w:r>
      <w:r>
        <w:rPr>
          <w:rFonts w:asciiTheme="majorHAnsi" w:hAnsiTheme="majorHAnsi"/>
          <w:sz w:val="28"/>
          <w:szCs w:val="28"/>
        </w:rPr>
        <w:t xml:space="preserve">, incluyendo el contexto  </w:t>
      </w:r>
      <w:r w:rsidRPr="00FF61B9">
        <w:rPr>
          <w:rFonts w:asciiTheme="majorHAnsi" w:hAnsiTheme="majorHAnsi"/>
          <w:sz w:val="28"/>
          <w:szCs w:val="28"/>
        </w:rPr>
        <w:t xml:space="preserve">específico del país, existencia de agentes dominantes, regulación simétrica o asimétrica, justificaciones y racionalidad de la regulación dadas por el regulador o legislador; separación estructural o funcional, regulación de equivalencia de insumos, </w:t>
      </w:r>
      <w:proofErr w:type="spellStart"/>
      <w:r w:rsidRPr="00FF61B9">
        <w:rPr>
          <w:rFonts w:asciiTheme="majorHAnsi" w:hAnsiTheme="majorHAnsi"/>
          <w:sz w:val="28"/>
          <w:szCs w:val="28"/>
        </w:rPr>
        <w:t>replicabilidad</w:t>
      </w:r>
      <w:proofErr w:type="spellEnd"/>
      <w:r w:rsidRPr="00FF61B9">
        <w:rPr>
          <w:rFonts w:asciiTheme="majorHAnsi" w:hAnsiTheme="majorHAnsi"/>
          <w:sz w:val="28"/>
          <w:szCs w:val="28"/>
        </w:rPr>
        <w:t xml:space="preserve">, mecanismos para su verificación; obligaciones de prestar servicios de acceso físico y servicios virtuales, acceso a infraestructura pasiva, ductos, </w:t>
      </w:r>
      <w:r>
        <w:rPr>
          <w:rFonts w:asciiTheme="majorHAnsi" w:hAnsiTheme="majorHAnsi"/>
          <w:sz w:val="28"/>
          <w:szCs w:val="28"/>
        </w:rPr>
        <w:t>postes, etc., y derechos de vía.</w:t>
      </w:r>
      <w:r w:rsidRPr="00FF61B9">
        <w:rPr>
          <w:rFonts w:asciiTheme="majorHAnsi" w:hAnsiTheme="majorHAnsi"/>
          <w:sz w:val="28"/>
          <w:szCs w:val="28"/>
        </w:rPr>
        <w:t xml:space="preserve"> </w:t>
      </w:r>
    </w:p>
    <w:p w14:paraId="4BE87EEC" w14:textId="77777777" w:rsidR="0014509F" w:rsidRDefault="0014509F" w:rsidP="00A170A9">
      <w:pPr>
        <w:pStyle w:val="estilo30"/>
        <w:spacing w:before="240" w:beforeAutospacing="0" w:after="240" w:afterAutospacing="0" w:line="276" w:lineRule="auto"/>
        <w:jc w:val="both"/>
        <w:rPr>
          <w:rFonts w:asciiTheme="majorHAnsi" w:hAnsiTheme="majorHAnsi"/>
          <w:b/>
          <w:color w:val="538135" w:themeColor="accent6" w:themeShade="BF"/>
          <w:sz w:val="28"/>
          <w:szCs w:val="28"/>
        </w:rPr>
      </w:pPr>
      <w:r w:rsidRPr="00FF61B9">
        <w:rPr>
          <w:rFonts w:asciiTheme="majorHAnsi" w:hAnsiTheme="majorHAnsi"/>
          <w:sz w:val="28"/>
          <w:szCs w:val="28"/>
        </w:rPr>
        <w:t xml:space="preserve">Por su parte, las variables que se utilizarán para valorar la efectividad de la regulación incluyen: entrada de nuevos proveedores y si están basados en reventa, desagregación o infraestructura propia; incremento de la cobertura de fibra, efectos </w:t>
      </w:r>
      <w:r w:rsidRPr="00FF61B9">
        <w:rPr>
          <w:rFonts w:asciiTheme="majorHAnsi" w:hAnsiTheme="majorHAnsi"/>
          <w:sz w:val="28"/>
          <w:szCs w:val="28"/>
        </w:rPr>
        <w:lastRenderedPageBreak/>
        <w:t xml:space="preserve">sobre la inversión y la innovación, efectos sobre los precios finales, calidad y disponibilidad; problemas percibidos por el regulador o por terceros; y </w:t>
      </w:r>
      <w:r>
        <w:rPr>
          <w:rFonts w:asciiTheme="majorHAnsi" w:hAnsiTheme="majorHAnsi"/>
          <w:sz w:val="28"/>
          <w:szCs w:val="28"/>
        </w:rPr>
        <w:t xml:space="preserve">la </w:t>
      </w:r>
      <w:r w:rsidRPr="00FF61B9">
        <w:rPr>
          <w:rFonts w:asciiTheme="majorHAnsi" w:hAnsiTheme="majorHAnsi"/>
          <w:sz w:val="28"/>
          <w:szCs w:val="28"/>
        </w:rPr>
        <w:t xml:space="preserve">valoración de </w:t>
      </w:r>
      <w:r>
        <w:rPr>
          <w:rFonts w:asciiTheme="majorHAnsi" w:hAnsiTheme="majorHAnsi"/>
          <w:sz w:val="28"/>
          <w:szCs w:val="28"/>
        </w:rPr>
        <w:t>los</w:t>
      </w:r>
      <w:r w:rsidRPr="00FF61B9">
        <w:rPr>
          <w:rFonts w:asciiTheme="majorHAnsi" w:hAnsiTheme="majorHAnsi"/>
          <w:sz w:val="28"/>
          <w:szCs w:val="28"/>
        </w:rPr>
        <w:t xml:space="preserve"> usuarios y el desempeño </w:t>
      </w:r>
      <w:r>
        <w:rPr>
          <w:rFonts w:asciiTheme="majorHAnsi" w:hAnsiTheme="majorHAnsi"/>
          <w:sz w:val="28"/>
          <w:szCs w:val="28"/>
        </w:rPr>
        <w:t>de los servicios y obligaciones de los op</w:t>
      </w:r>
      <w:r w:rsidRPr="00FF61B9">
        <w:rPr>
          <w:rFonts w:asciiTheme="majorHAnsi" w:hAnsiTheme="majorHAnsi"/>
          <w:sz w:val="28"/>
          <w:szCs w:val="28"/>
        </w:rPr>
        <w:t>eradores.</w:t>
      </w:r>
    </w:p>
    <w:p w14:paraId="315A0165" w14:textId="77777777" w:rsidR="0014509F" w:rsidRPr="00697377" w:rsidRDefault="0014509F" w:rsidP="0014509F">
      <w:pPr>
        <w:keepNext/>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Resultados esperados y utilidad para el Instituto</w:t>
      </w:r>
    </w:p>
    <w:p w14:paraId="64F45B7A"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sidRPr="00B0264A">
        <w:rPr>
          <w:rFonts w:asciiTheme="majorHAnsi" w:hAnsiTheme="majorHAnsi"/>
          <w:sz w:val="28"/>
          <w:szCs w:val="28"/>
        </w:rPr>
        <w:t xml:space="preserve">El documento hará recomendaciones específicas aplicables a la oferta de referencias de desagregación del bucle del Agente Económico Preponderante en telecomunicaciones que regularmente se sujetan a la aprobación del Instituto, así como recomendaciones aplicables al proceso de revisión bienal de las medidas de preponderancia que comenzará en 2019. </w:t>
      </w:r>
      <w:r>
        <w:rPr>
          <w:rFonts w:asciiTheme="majorHAnsi" w:hAnsiTheme="majorHAnsi"/>
          <w:sz w:val="28"/>
          <w:szCs w:val="28"/>
        </w:rPr>
        <w:t>Lo anterior contribuye a</w:t>
      </w:r>
      <w:r w:rsidRPr="00B0264A">
        <w:rPr>
          <w:rFonts w:asciiTheme="majorHAnsi" w:hAnsiTheme="majorHAnsi"/>
          <w:sz w:val="28"/>
          <w:szCs w:val="28"/>
        </w:rPr>
        <w:t xml:space="preserve"> una mejor calibr</w:t>
      </w:r>
      <w:r>
        <w:rPr>
          <w:rFonts w:asciiTheme="majorHAnsi" w:hAnsiTheme="majorHAnsi"/>
          <w:sz w:val="28"/>
          <w:szCs w:val="28"/>
        </w:rPr>
        <w:t>ación de las medidas que permite</w:t>
      </w:r>
      <w:r w:rsidRPr="00B0264A">
        <w:rPr>
          <w:rFonts w:asciiTheme="majorHAnsi" w:hAnsiTheme="majorHAnsi"/>
          <w:sz w:val="28"/>
          <w:szCs w:val="28"/>
        </w:rPr>
        <w:t xml:space="preserve">n maximizar los efectos de eficiencia y competencia </w:t>
      </w:r>
      <w:r>
        <w:rPr>
          <w:rFonts w:asciiTheme="majorHAnsi" w:hAnsiTheme="majorHAnsi"/>
          <w:sz w:val="28"/>
          <w:szCs w:val="28"/>
        </w:rPr>
        <w:t>en</w:t>
      </w:r>
      <w:r w:rsidRPr="00B0264A">
        <w:rPr>
          <w:rFonts w:asciiTheme="majorHAnsi" w:hAnsiTheme="majorHAnsi"/>
          <w:sz w:val="28"/>
          <w:szCs w:val="28"/>
        </w:rPr>
        <w:t xml:space="preserve"> los mercados.</w:t>
      </w:r>
    </w:p>
    <w:p w14:paraId="0D6644B8" w14:textId="77777777" w:rsidR="0014509F" w:rsidRPr="00697377" w:rsidRDefault="0014509F" w:rsidP="0014509F">
      <w:pPr>
        <w:keepNext/>
        <w:spacing w:after="100" w:afterAutospacing="1"/>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Cronograma</w:t>
      </w:r>
    </w:p>
    <w:tbl>
      <w:tblPr>
        <w:tblStyle w:val="Tablaconcuadrcula"/>
        <w:tblW w:w="0" w:type="auto"/>
        <w:tblLook w:val="04A0" w:firstRow="1" w:lastRow="0" w:firstColumn="1" w:lastColumn="0" w:noHBand="0" w:noVBand="1"/>
        <w:tblCaption w:val="Cronograma "/>
        <w:tblDescription w:val="Etapas del Estudio&#10;Revisión bibliográfica y Formulación de Metodología. Fecha de conclusión Junio&#10;Recopilación de información y datos. Fecha de conclusión Agosto&#10;Elaboración de primer borrador con los resultados de la investigación. Fecha de conclusión Octubre&#10;Circulación entre evaluadores y atención a comentarios.  Fecha de conclusión Noviembre&#10;Elaboración de versión final del estudio y versión para publicación. Fecha de conclusión Diciembre&#10;"/>
      </w:tblPr>
      <w:tblGrid>
        <w:gridCol w:w="6799"/>
        <w:gridCol w:w="2595"/>
      </w:tblGrid>
      <w:tr w:rsidR="0014509F" w:rsidRPr="00A05CDC" w14:paraId="3D2CFE53" w14:textId="77777777" w:rsidTr="00A170A9">
        <w:trPr>
          <w:tblHeader/>
        </w:trPr>
        <w:tc>
          <w:tcPr>
            <w:tcW w:w="6799" w:type="dxa"/>
          </w:tcPr>
          <w:p w14:paraId="276701D0" w14:textId="77777777" w:rsidR="0014509F" w:rsidRPr="008156F1" w:rsidRDefault="0014509F" w:rsidP="00A170A9">
            <w:pPr>
              <w:keepNext/>
              <w:spacing w:after="100" w:afterAutospacing="1"/>
              <w:jc w:val="both"/>
              <w:rPr>
                <w:rFonts w:asciiTheme="majorHAnsi" w:hAnsiTheme="majorHAnsi"/>
                <w:color w:val="0070C0"/>
                <w:sz w:val="28"/>
                <w:szCs w:val="28"/>
              </w:rPr>
            </w:pPr>
            <w:r w:rsidRPr="008156F1">
              <w:rPr>
                <w:rFonts w:asciiTheme="majorHAnsi" w:hAnsiTheme="majorHAnsi"/>
                <w:color w:val="0070C0"/>
                <w:sz w:val="28"/>
                <w:szCs w:val="28"/>
              </w:rPr>
              <w:t>Etapas del Estudio</w:t>
            </w:r>
          </w:p>
        </w:tc>
        <w:tc>
          <w:tcPr>
            <w:tcW w:w="2595" w:type="dxa"/>
          </w:tcPr>
          <w:p w14:paraId="35BD6087" w14:textId="77777777" w:rsidR="0014509F" w:rsidRPr="008156F1" w:rsidRDefault="0014509F" w:rsidP="00A170A9">
            <w:pPr>
              <w:keepNext/>
              <w:spacing w:after="100" w:afterAutospacing="1"/>
              <w:jc w:val="both"/>
              <w:rPr>
                <w:rFonts w:asciiTheme="majorHAnsi" w:hAnsiTheme="majorHAnsi"/>
                <w:color w:val="0070C0"/>
                <w:sz w:val="28"/>
                <w:szCs w:val="28"/>
              </w:rPr>
            </w:pPr>
            <w:r w:rsidRPr="008156F1">
              <w:rPr>
                <w:rFonts w:asciiTheme="majorHAnsi" w:hAnsiTheme="majorHAnsi"/>
                <w:color w:val="0070C0"/>
                <w:sz w:val="28"/>
                <w:szCs w:val="28"/>
              </w:rPr>
              <w:t>Fecha de conclusión</w:t>
            </w:r>
          </w:p>
        </w:tc>
      </w:tr>
      <w:tr w:rsidR="0014509F" w:rsidRPr="004C25EF" w14:paraId="35340D91" w14:textId="77777777" w:rsidTr="00A170A9">
        <w:tc>
          <w:tcPr>
            <w:tcW w:w="6799" w:type="dxa"/>
          </w:tcPr>
          <w:p w14:paraId="0225837C" w14:textId="77777777" w:rsidR="0014509F" w:rsidRPr="004C25EF" w:rsidRDefault="0014509F" w:rsidP="00A170A9">
            <w:pPr>
              <w:keepNext/>
              <w:spacing w:after="100" w:afterAutospacing="1"/>
              <w:jc w:val="both"/>
              <w:rPr>
                <w:rFonts w:asciiTheme="majorHAnsi" w:hAnsiTheme="majorHAnsi"/>
                <w:sz w:val="28"/>
                <w:szCs w:val="28"/>
              </w:rPr>
            </w:pPr>
            <w:r w:rsidRPr="004C25EF">
              <w:rPr>
                <w:rFonts w:asciiTheme="majorHAnsi" w:hAnsiTheme="majorHAnsi"/>
                <w:sz w:val="28"/>
                <w:szCs w:val="28"/>
              </w:rPr>
              <w:t>Revisión bibliográfica y Formulación de metodología</w:t>
            </w:r>
            <w:r>
              <w:rPr>
                <w:rFonts w:asciiTheme="majorHAnsi" w:hAnsiTheme="majorHAnsi"/>
                <w:sz w:val="28"/>
                <w:szCs w:val="28"/>
              </w:rPr>
              <w:t>.</w:t>
            </w:r>
          </w:p>
        </w:tc>
        <w:tc>
          <w:tcPr>
            <w:tcW w:w="2595" w:type="dxa"/>
          </w:tcPr>
          <w:p w14:paraId="7431CA8A" w14:textId="77777777" w:rsidR="0014509F" w:rsidRPr="004C25EF" w:rsidRDefault="0014509F" w:rsidP="00A170A9">
            <w:pPr>
              <w:keepNext/>
              <w:spacing w:after="100" w:afterAutospacing="1"/>
              <w:jc w:val="both"/>
              <w:rPr>
                <w:rFonts w:asciiTheme="majorHAnsi" w:hAnsiTheme="majorHAnsi"/>
                <w:sz w:val="28"/>
                <w:szCs w:val="28"/>
              </w:rPr>
            </w:pPr>
            <w:r w:rsidRPr="004C25EF">
              <w:rPr>
                <w:rFonts w:asciiTheme="majorHAnsi" w:hAnsiTheme="majorHAnsi"/>
                <w:sz w:val="28"/>
                <w:szCs w:val="28"/>
              </w:rPr>
              <w:t>Junio</w:t>
            </w:r>
          </w:p>
        </w:tc>
      </w:tr>
      <w:tr w:rsidR="0014509F" w:rsidRPr="004C25EF" w14:paraId="3E868C1A" w14:textId="77777777" w:rsidTr="00A170A9">
        <w:tc>
          <w:tcPr>
            <w:tcW w:w="6799" w:type="dxa"/>
          </w:tcPr>
          <w:p w14:paraId="28F940C7" w14:textId="77777777" w:rsidR="0014509F" w:rsidRPr="004C25EF" w:rsidRDefault="0014509F" w:rsidP="00A170A9">
            <w:pPr>
              <w:keepNext/>
              <w:spacing w:after="100" w:afterAutospacing="1"/>
              <w:jc w:val="both"/>
              <w:rPr>
                <w:rFonts w:asciiTheme="majorHAnsi" w:hAnsiTheme="majorHAnsi"/>
                <w:sz w:val="28"/>
                <w:szCs w:val="28"/>
              </w:rPr>
            </w:pPr>
            <w:r w:rsidRPr="004C25EF">
              <w:rPr>
                <w:rFonts w:asciiTheme="majorHAnsi" w:hAnsiTheme="majorHAnsi"/>
                <w:sz w:val="28"/>
                <w:szCs w:val="28"/>
              </w:rPr>
              <w:t>Recopilación de información y datos</w:t>
            </w:r>
            <w:r>
              <w:rPr>
                <w:rFonts w:asciiTheme="majorHAnsi" w:hAnsiTheme="majorHAnsi"/>
                <w:sz w:val="28"/>
                <w:szCs w:val="28"/>
              </w:rPr>
              <w:t>.</w:t>
            </w:r>
          </w:p>
        </w:tc>
        <w:tc>
          <w:tcPr>
            <w:tcW w:w="2595" w:type="dxa"/>
          </w:tcPr>
          <w:p w14:paraId="7D36E89B" w14:textId="77777777" w:rsidR="0014509F" w:rsidRPr="004C25EF" w:rsidRDefault="0014509F" w:rsidP="00A170A9">
            <w:pPr>
              <w:keepNext/>
              <w:spacing w:after="100" w:afterAutospacing="1"/>
              <w:jc w:val="both"/>
              <w:rPr>
                <w:rFonts w:asciiTheme="majorHAnsi" w:hAnsiTheme="majorHAnsi"/>
                <w:sz w:val="28"/>
                <w:szCs w:val="28"/>
              </w:rPr>
            </w:pPr>
            <w:r w:rsidRPr="004C25EF">
              <w:rPr>
                <w:rFonts w:asciiTheme="majorHAnsi" w:hAnsiTheme="majorHAnsi"/>
                <w:sz w:val="28"/>
                <w:szCs w:val="28"/>
              </w:rPr>
              <w:t>Agosto</w:t>
            </w:r>
          </w:p>
        </w:tc>
      </w:tr>
      <w:tr w:rsidR="0014509F" w:rsidRPr="004C25EF" w14:paraId="6F2BA400" w14:textId="77777777" w:rsidTr="00A170A9">
        <w:tc>
          <w:tcPr>
            <w:tcW w:w="6799" w:type="dxa"/>
          </w:tcPr>
          <w:p w14:paraId="4AB99CC8" w14:textId="77777777" w:rsidR="0014509F" w:rsidRPr="004C25EF" w:rsidRDefault="0014509F" w:rsidP="00A170A9">
            <w:pPr>
              <w:keepNext/>
              <w:spacing w:after="100" w:afterAutospacing="1"/>
              <w:jc w:val="both"/>
              <w:rPr>
                <w:rFonts w:asciiTheme="majorHAnsi" w:hAnsiTheme="majorHAnsi"/>
                <w:sz w:val="28"/>
                <w:szCs w:val="28"/>
              </w:rPr>
            </w:pPr>
            <w:r w:rsidRPr="004C25EF">
              <w:rPr>
                <w:rFonts w:asciiTheme="majorHAnsi" w:hAnsiTheme="majorHAnsi"/>
                <w:sz w:val="28"/>
                <w:szCs w:val="28"/>
              </w:rPr>
              <w:t>Elaboración de primer borrador con los resultados de la investigación</w:t>
            </w:r>
            <w:r>
              <w:rPr>
                <w:rFonts w:asciiTheme="majorHAnsi" w:hAnsiTheme="majorHAnsi"/>
                <w:sz w:val="28"/>
                <w:szCs w:val="28"/>
              </w:rPr>
              <w:t>.</w:t>
            </w:r>
          </w:p>
        </w:tc>
        <w:tc>
          <w:tcPr>
            <w:tcW w:w="2595" w:type="dxa"/>
          </w:tcPr>
          <w:p w14:paraId="4DC08E9B" w14:textId="77777777" w:rsidR="0014509F" w:rsidRPr="004C25EF" w:rsidRDefault="0014509F" w:rsidP="00A170A9">
            <w:pPr>
              <w:keepNext/>
              <w:spacing w:after="100" w:afterAutospacing="1"/>
              <w:jc w:val="both"/>
              <w:rPr>
                <w:rFonts w:asciiTheme="majorHAnsi" w:hAnsiTheme="majorHAnsi"/>
                <w:sz w:val="28"/>
                <w:szCs w:val="28"/>
              </w:rPr>
            </w:pPr>
            <w:r w:rsidRPr="004C25EF">
              <w:rPr>
                <w:rFonts w:asciiTheme="majorHAnsi" w:hAnsiTheme="majorHAnsi"/>
                <w:sz w:val="28"/>
                <w:szCs w:val="28"/>
              </w:rPr>
              <w:t>Octubre</w:t>
            </w:r>
          </w:p>
        </w:tc>
      </w:tr>
      <w:tr w:rsidR="0014509F" w:rsidRPr="004C25EF" w14:paraId="15D58DCB" w14:textId="77777777" w:rsidTr="00A170A9">
        <w:tc>
          <w:tcPr>
            <w:tcW w:w="6799" w:type="dxa"/>
          </w:tcPr>
          <w:p w14:paraId="783F9014" w14:textId="77777777" w:rsidR="0014509F" w:rsidRPr="004C25EF" w:rsidRDefault="0014509F" w:rsidP="00A170A9">
            <w:pPr>
              <w:keepNext/>
              <w:spacing w:after="100" w:afterAutospacing="1"/>
              <w:jc w:val="both"/>
              <w:rPr>
                <w:rFonts w:asciiTheme="majorHAnsi" w:hAnsiTheme="majorHAnsi"/>
                <w:sz w:val="28"/>
                <w:szCs w:val="28"/>
              </w:rPr>
            </w:pPr>
            <w:r w:rsidRPr="004C25EF">
              <w:rPr>
                <w:rFonts w:asciiTheme="majorHAnsi" w:hAnsiTheme="majorHAnsi"/>
                <w:sz w:val="28"/>
                <w:szCs w:val="28"/>
              </w:rPr>
              <w:t>Circulación entre evaluadores y atención a comentarios</w:t>
            </w:r>
            <w:r>
              <w:rPr>
                <w:rFonts w:asciiTheme="majorHAnsi" w:hAnsiTheme="majorHAnsi"/>
                <w:sz w:val="28"/>
                <w:szCs w:val="28"/>
              </w:rPr>
              <w:t>.</w:t>
            </w:r>
          </w:p>
        </w:tc>
        <w:tc>
          <w:tcPr>
            <w:tcW w:w="2595" w:type="dxa"/>
          </w:tcPr>
          <w:p w14:paraId="398747AD" w14:textId="77777777" w:rsidR="0014509F" w:rsidRPr="004C25EF" w:rsidRDefault="0014509F" w:rsidP="00A170A9">
            <w:pPr>
              <w:keepNext/>
              <w:spacing w:after="100" w:afterAutospacing="1"/>
              <w:jc w:val="both"/>
              <w:rPr>
                <w:rFonts w:asciiTheme="majorHAnsi" w:hAnsiTheme="majorHAnsi"/>
                <w:sz w:val="28"/>
                <w:szCs w:val="28"/>
              </w:rPr>
            </w:pPr>
            <w:r w:rsidRPr="004C25EF">
              <w:rPr>
                <w:rFonts w:asciiTheme="majorHAnsi" w:hAnsiTheme="majorHAnsi"/>
                <w:sz w:val="28"/>
                <w:szCs w:val="28"/>
              </w:rPr>
              <w:t>Noviembre</w:t>
            </w:r>
          </w:p>
        </w:tc>
      </w:tr>
      <w:tr w:rsidR="0014509F" w:rsidRPr="004C25EF" w14:paraId="45BA497E" w14:textId="77777777" w:rsidTr="00A170A9">
        <w:tc>
          <w:tcPr>
            <w:tcW w:w="6799" w:type="dxa"/>
          </w:tcPr>
          <w:p w14:paraId="3CAD6556" w14:textId="77777777" w:rsidR="0014509F" w:rsidRPr="004C25EF" w:rsidRDefault="0014509F" w:rsidP="00A170A9">
            <w:pPr>
              <w:keepNext/>
              <w:spacing w:after="100" w:afterAutospacing="1"/>
              <w:jc w:val="both"/>
              <w:rPr>
                <w:rFonts w:asciiTheme="majorHAnsi" w:hAnsiTheme="majorHAnsi"/>
                <w:sz w:val="28"/>
                <w:szCs w:val="28"/>
              </w:rPr>
            </w:pPr>
            <w:r w:rsidRPr="004C25EF">
              <w:rPr>
                <w:rFonts w:asciiTheme="majorHAnsi" w:hAnsiTheme="majorHAnsi"/>
                <w:sz w:val="28"/>
                <w:szCs w:val="28"/>
              </w:rPr>
              <w:t>Elaboración de versión final del estudio y versión para publicación.</w:t>
            </w:r>
          </w:p>
        </w:tc>
        <w:tc>
          <w:tcPr>
            <w:tcW w:w="2595" w:type="dxa"/>
          </w:tcPr>
          <w:p w14:paraId="63155DBF" w14:textId="77777777" w:rsidR="0014509F" w:rsidRPr="004C25EF" w:rsidRDefault="0014509F" w:rsidP="00A170A9">
            <w:pPr>
              <w:keepNext/>
              <w:spacing w:after="100" w:afterAutospacing="1"/>
              <w:jc w:val="both"/>
              <w:rPr>
                <w:rFonts w:asciiTheme="majorHAnsi" w:hAnsiTheme="majorHAnsi"/>
                <w:sz w:val="28"/>
                <w:szCs w:val="28"/>
              </w:rPr>
            </w:pPr>
            <w:r w:rsidRPr="004C25EF">
              <w:rPr>
                <w:rFonts w:asciiTheme="majorHAnsi" w:hAnsiTheme="majorHAnsi"/>
                <w:sz w:val="28"/>
                <w:szCs w:val="28"/>
              </w:rPr>
              <w:t>Diciembre</w:t>
            </w:r>
          </w:p>
        </w:tc>
      </w:tr>
    </w:tbl>
    <w:p w14:paraId="6BEB7DCE" w14:textId="77777777" w:rsidR="0014509F" w:rsidRDefault="0014509F" w:rsidP="0014509F">
      <w:pPr>
        <w:keepNext/>
        <w:spacing w:after="100" w:afterAutospacing="1"/>
        <w:jc w:val="both"/>
        <w:rPr>
          <w:rFonts w:asciiTheme="majorHAnsi" w:hAnsiTheme="majorHAnsi"/>
          <w:color w:val="C45911" w:themeColor="accent2" w:themeShade="BF"/>
          <w:sz w:val="28"/>
          <w:szCs w:val="28"/>
        </w:rPr>
      </w:pPr>
      <w:r>
        <w:rPr>
          <w:rFonts w:asciiTheme="majorHAnsi" w:hAnsiTheme="majorHAnsi"/>
          <w:color w:val="C45911" w:themeColor="accent2" w:themeShade="BF"/>
          <w:sz w:val="28"/>
          <w:szCs w:val="28"/>
        </w:rPr>
        <w:br w:type="page"/>
      </w:r>
    </w:p>
    <w:p w14:paraId="44463A67" w14:textId="77777777" w:rsidR="0014509F" w:rsidRDefault="0014509F" w:rsidP="0014509F">
      <w:pPr>
        <w:keepNext/>
        <w:spacing w:after="100" w:afterAutospacing="1"/>
        <w:jc w:val="both"/>
        <w:rPr>
          <w:rFonts w:asciiTheme="majorHAnsi" w:hAnsiTheme="majorHAnsi" w:cstheme="majorHAnsi"/>
          <w:color w:val="C45911" w:themeColor="accent2" w:themeShade="BF"/>
          <w:sz w:val="28"/>
          <w:szCs w:val="28"/>
        </w:rPr>
      </w:pPr>
      <w:sdt>
        <w:sdtPr>
          <w:rPr>
            <w:rFonts w:asciiTheme="majorHAnsi" w:hAnsiTheme="majorHAnsi" w:cstheme="majorHAnsi"/>
            <w:color w:val="C45911" w:themeColor="accent2" w:themeShade="BF"/>
            <w:sz w:val="28"/>
            <w:szCs w:val="28"/>
          </w:rPr>
          <w:alias w:val="Nombre del Proyecto"/>
          <w:tag w:val="Nombre_x0020_del_x0020_Proyecto"/>
          <w:id w:val="577177634"/>
          <w:placeholder>
            <w:docPart w:val="722CAC5D477E41F997E5BE14F395EA84"/>
          </w:placeholder>
          <w:dataBinding w:prefixMappings="xmlns:ns0='http://schemas.microsoft.com/office/2006/metadata/properties' xmlns:ns1='http://www.w3.org/2001/XMLSchema-instance' xmlns:ns2='http://schemas.microsoft.com/office/infopath/2007/PartnerControls' xmlns:ns3='293807b6-12d3-42cc-a250-7bb708d556b9' " w:xpath="/ns0:properties[1]/documentManagement[1]/ns3:Nombre_x0020_del_x0020_Proyecto[1]" w:storeItemID="{D43C7FE1-1104-4286-B957-32265D6B0D08}"/>
          <w:text/>
        </w:sdtPr>
        <w:sdtContent>
          <w:r>
            <w:rPr>
              <w:rFonts w:asciiTheme="majorHAnsi" w:hAnsiTheme="majorHAnsi" w:cstheme="majorHAnsi"/>
              <w:color w:val="C45911" w:themeColor="accent2" w:themeShade="BF"/>
              <w:sz w:val="28"/>
              <w:szCs w:val="28"/>
            </w:rPr>
            <w:t>Efecto de la competencia en infraestructura y servicios sobre la inversión en redes en un entorno digital</w:t>
          </w:r>
        </w:sdtContent>
      </w:sdt>
    </w:p>
    <w:p w14:paraId="553B50EA" w14:textId="77777777" w:rsidR="0014509F" w:rsidRPr="00A05CDC" w:rsidRDefault="0014509F" w:rsidP="0014509F">
      <w:pPr>
        <w:keepNext/>
        <w:spacing w:after="100" w:afterAutospacing="1"/>
        <w:jc w:val="both"/>
        <w:rPr>
          <w:rFonts w:asciiTheme="majorHAnsi" w:hAnsiTheme="majorHAnsi"/>
          <w:color w:val="C45911" w:themeColor="accent2" w:themeShade="BF"/>
          <w:sz w:val="28"/>
          <w:szCs w:val="28"/>
        </w:rPr>
      </w:pPr>
      <w:r w:rsidRPr="00A05CDC">
        <w:rPr>
          <w:rFonts w:asciiTheme="majorHAnsi" w:hAnsiTheme="majorHAnsi"/>
          <w:color w:val="C45911" w:themeColor="accent2" w:themeShade="BF"/>
          <w:sz w:val="28"/>
          <w:szCs w:val="28"/>
        </w:rPr>
        <w:t>Rebeca Escobar Briones</w:t>
      </w:r>
      <w:r w:rsidRPr="00A05CDC">
        <w:rPr>
          <w:rStyle w:val="Refdenotaalpie"/>
          <w:color w:val="C45911" w:themeColor="accent2" w:themeShade="BF"/>
          <w:sz w:val="28"/>
          <w:szCs w:val="28"/>
        </w:rPr>
        <w:footnoteReference w:id="15"/>
      </w:r>
    </w:p>
    <w:p w14:paraId="5F9C167E" w14:textId="77777777" w:rsidR="0014509F" w:rsidRPr="00697377" w:rsidRDefault="0014509F" w:rsidP="0014509F">
      <w:pPr>
        <w:keepNext/>
        <w:spacing w:after="100" w:afterAutospacing="1"/>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Introducción</w:t>
      </w:r>
    </w:p>
    <w:p w14:paraId="0217D8C9"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sidRPr="008C7FE1">
        <w:rPr>
          <w:rFonts w:asciiTheme="majorHAnsi" w:hAnsiTheme="majorHAnsi"/>
          <w:sz w:val="28"/>
          <w:szCs w:val="28"/>
        </w:rPr>
        <w:t xml:space="preserve">Estudios diversos sugieren que el desarrollo de las telecomunicaciones y de los servicios de banda ancha son un factor fundamental en el </w:t>
      </w:r>
      <w:r>
        <w:rPr>
          <w:rFonts w:asciiTheme="majorHAnsi" w:hAnsiTheme="majorHAnsi"/>
          <w:sz w:val="28"/>
          <w:szCs w:val="28"/>
        </w:rPr>
        <w:t xml:space="preserve">crecimiento y la productividad. Por ello, </w:t>
      </w:r>
      <w:r w:rsidRPr="008C7FE1">
        <w:rPr>
          <w:rFonts w:asciiTheme="majorHAnsi" w:hAnsiTheme="majorHAnsi"/>
          <w:sz w:val="28"/>
          <w:szCs w:val="28"/>
        </w:rPr>
        <w:t xml:space="preserve">los gobiernos se han preocupado por promover </w:t>
      </w:r>
      <w:r>
        <w:rPr>
          <w:rFonts w:asciiTheme="majorHAnsi" w:hAnsiTheme="majorHAnsi"/>
          <w:sz w:val="28"/>
          <w:szCs w:val="28"/>
        </w:rPr>
        <w:t xml:space="preserve">la expansión y modernización de las redes, a la vez que se fomenta un entorno competitivo para incentivar la innovación y la diversidad en los servicios, así como precios accesibles a la población. </w:t>
      </w:r>
    </w:p>
    <w:p w14:paraId="67E457E8"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Pr>
          <w:rFonts w:asciiTheme="majorHAnsi" w:hAnsiTheme="majorHAnsi"/>
          <w:sz w:val="28"/>
          <w:szCs w:val="28"/>
        </w:rPr>
        <w:t xml:space="preserve">Para la consecución de esos objetivos, las autoridades han recurrido </w:t>
      </w:r>
      <w:r w:rsidRPr="008C7FE1">
        <w:rPr>
          <w:rFonts w:asciiTheme="majorHAnsi" w:hAnsiTheme="majorHAnsi"/>
          <w:sz w:val="28"/>
          <w:szCs w:val="28"/>
        </w:rPr>
        <w:t>a medidas regulatorias</w:t>
      </w:r>
      <w:r>
        <w:rPr>
          <w:rFonts w:asciiTheme="majorHAnsi" w:hAnsiTheme="majorHAnsi"/>
          <w:sz w:val="28"/>
          <w:szCs w:val="28"/>
        </w:rPr>
        <w:t xml:space="preserve"> </w:t>
      </w:r>
      <w:r w:rsidRPr="008C7FE1">
        <w:rPr>
          <w:rFonts w:asciiTheme="majorHAnsi" w:hAnsiTheme="majorHAnsi"/>
          <w:sz w:val="28"/>
          <w:szCs w:val="28"/>
        </w:rPr>
        <w:t xml:space="preserve">como </w:t>
      </w:r>
      <w:r>
        <w:rPr>
          <w:rFonts w:asciiTheme="majorHAnsi" w:hAnsiTheme="majorHAnsi"/>
          <w:sz w:val="28"/>
          <w:szCs w:val="28"/>
        </w:rPr>
        <w:t xml:space="preserve">la compartición de infraestructura y </w:t>
      </w:r>
      <w:r w:rsidRPr="008C7FE1">
        <w:rPr>
          <w:rFonts w:asciiTheme="majorHAnsi" w:hAnsiTheme="majorHAnsi"/>
          <w:sz w:val="28"/>
          <w:szCs w:val="28"/>
        </w:rPr>
        <w:t xml:space="preserve">el acceso desagregado </w:t>
      </w:r>
      <w:r>
        <w:rPr>
          <w:rFonts w:asciiTheme="majorHAnsi" w:hAnsiTheme="majorHAnsi"/>
          <w:sz w:val="28"/>
          <w:szCs w:val="28"/>
        </w:rPr>
        <w:t>d</w:t>
      </w:r>
      <w:r w:rsidRPr="008C7FE1">
        <w:rPr>
          <w:rFonts w:asciiTheme="majorHAnsi" w:hAnsiTheme="majorHAnsi"/>
          <w:sz w:val="28"/>
          <w:szCs w:val="28"/>
        </w:rPr>
        <w:t>el bucle local</w:t>
      </w:r>
      <w:r>
        <w:rPr>
          <w:rFonts w:asciiTheme="majorHAnsi" w:hAnsiTheme="majorHAnsi"/>
          <w:sz w:val="28"/>
          <w:szCs w:val="28"/>
        </w:rPr>
        <w:t>, que propician el surgimiento de prestadores de servicios de telecomunicaciones que no necesitan realizar fuertes inversiones para incursionar al mercado. Paralelamente, han impulsado la competencia entre infraestructuras, fomentando su ampliación y capacidad. Lo anterior con el objeto de llevar los servicios de banda ancha a una mayor proporción de la población y facilitar el acceso a los servicios OTT y otras aplicaciones, que también generan una importante demanda de capacidad de las redes.</w:t>
      </w:r>
    </w:p>
    <w:p w14:paraId="3E0D44A9"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Pr>
          <w:rFonts w:asciiTheme="majorHAnsi" w:hAnsiTheme="majorHAnsi"/>
          <w:sz w:val="28"/>
          <w:szCs w:val="28"/>
        </w:rPr>
        <w:t xml:space="preserve">La combinación de política ha generado resultados con diferente grado de éxito, en términos de la penetración y calidad de los servicios, así como en relación a la </w:t>
      </w:r>
      <w:r>
        <w:rPr>
          <w:rFonts w:asciiTheme="majorHAnsi" w:hAnsiTheme="majorHAnsi"/>
          <w:sz w:val="28"/>
          <w:szCs w:val="28"/>
        </w:rPr>
        <w:lastRenderedPageBreak/>
        <w:t>inversión y la consolidación de la competencia en el mercado</w:t>
      </w:r>
      <w:r w:rsidRPr="008C7FE1">
        <w:rPr>
          <w:rFonts w:asciiTheme="majorHAnsi" w:hAnsiTheme="majorHAnsi"/>
          <w:sz w:val="28"/>
          <w:szCs w:val="28"/>
        </w:rPr>
        <w:t xml:space="preserve">. </w:t>
      </w:r>
      <w:r>
        <w:rPr>
          <w:rFonts w:asciiTheme="majorHAnsi" w:hAnsiTheme="majorHAnsi"/>
          <w:sz w:val="28"/>
          <w:szCs w:val="28"/>
        </w:rPr>
        <w:t xml:space="preserve">Algunos países han sido altamente exitosos, mientras que en otros el avance es más moderado. </w:t>
      </w:r>
    </w:p>
    <w:p w14:paraId="1E0FEF06"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Pr>
          <w:rFonts w:asciiTheme="majorHAnsi" w:hAnsiTheme="majorHAnsi"/>
          <w:sz w:val="28"/>
          <w:szCs w:val="28"/>
        </w:rPr>
        <w:t>Si bien e</w:t>
      </w:r>
      <w:r w:rsidRPr="008C7FE1">
        <w:rPr>
          <w:rFonts w:asciiTheme="majorHAnsi" w:hAnsiTheme="majorHAnsi"/>
          <w:sz w:val="28"/>
          <w:szCs w:val="28"/>
        </w:rPr>
        <w:t xml:space="preserve">n la academia se han realizado una serie de estudios que buscan establecer </w:t>
      </w:r>
      <w:r>
        <w:rPr>
          <w:rFonts w:asciiTheme="majorHAnsi" w:hAnsiTheme="majorHAnsi"/>
          <w:sz w:val="28"/>
          <w:szCs w:val="28"/>
        </w:rPr>
        <w:t>el impacto de</w:t>
      </w:r>
      <w:r w:rsidRPr="008C7FE1">
        <w:rPr>
          <w:rFonts w:asciiTheme="majorHAnsi" w:hAnsiTheme="majorHAnsi"/>
          <w:sz w:val="28"/>
          <w:szCs w:val="28"/>
        </w:rPr>
        <w:t xml:space="preserve"> </w:t>
      </w:r>
      <w:r>
        <w:rPr>
          <w:rFonts w:asciiTheme="majorHAnsi" w:hAnsiTheme="majorHAnsi"/>
          <w:sz w:val="28"/>
          <w:szCs w:val="28"/>
        </w:rPr>
        <w:t xml:space="preserve">los diferentes instrumentos de regulación y </w:t>
      </w:r>
      <w:r w:rsidRPr="008C7FE1">
        <w:rPr>
          <w:rFonts w:asciiTheme="majorHAnsi" w:hAnsiTheme="majorHAnsi"/>
          <w:sz w:val="28"/>
          <w:szCs w:val="28"/>
        </w:rPr>
        <w:t xml:space="preserve">de acceso </w:t>
      </w:r>
      <w:r>
        <w:rPr>
          <w:rFonts w:asciiTheme="majorHAnsi" w:hAnsiTheme="majorHAnsi"/>
          <w:sz w:val="28"/>
          <w:szCs w:val="28"/>
        </w:rPr>
        <w:t xml:space="preserve">respecto de diferentes indicadores de desempeño del mercado, </w:t>
      </w:r>
      <w:r w:rsidRPr="008C7FE1">
        <w:rPr>
          <w:rFonts w:asciiTheme="majorHAnsi" w:hAnsiTheme="majorHAnsi"/>
          <w:sz w:val="28"/>
          <w:szCs w:val="28"/>
        </w:rPr>
        <w:t>a la fecha los estudios no son</w:t>
      </w:r>
      <w:r>
        <w:rPr>
          <w:rFonts w:asciiTheme="majorHAnsi" w:hAnsiTheme="majorHAnsi"/>
          <w:sz w:val="28"/>
          <w:szCs w:val="28"/>
        </w:rPr>
        <w:t xml:space="preserve"> unánimes en cuanto a su impacto, además de que el acelerado dinamismo de los mercados hace necesario actualizar el análisis a fin de considerar el contexto digital de hoy en día</w:t>
      </w:r>
      <w:r w:rsidRPr="008C7FE1">
        <w:rPr>
          <w:rFonts w:asciiTheme="majorHAnsi" w:hAnsiTheme="majorHAnsi"/>
          <w:sz w:val="28"/>
          <w:szCs w:val="28"/>
        </w:rPr>
        <w:t>.</w:t>
      </w:r>
    </w:p>
    <w:p w14:paraId="645174AC" w14:textId="77777777" w:rsidR="0014509F" w:rsidRPr="00697377" w:rsidRDefault="0014509F" w:rsidP="0014509F">
      <w:pPr>
        <w:keepNext/>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Objetivo</w:t>
      </w:r>
    </w:p>
    <w:p w14:paraId="23F5CCDE" w14:textId="77777777" w:rsidR="0014509F" w:rsidRDefault="0014509F" w:rsidP="00A170A9">
      <w:pPr>
        <w:pStyle w:val="estilo30"/>
        <w:spacing w:before="240" w:beforeAutospacing="0" w:after="240" w:afterAutospacing="0" w:line="276" w:lineRule="auto"/>
        <w:jc w:val="both"/>
        <w:rPr>
          <w:rFonts w:asciiTheme="majorHAnsi" w:hAnsiTheme="majorHAnsi"/>
          <w:color w:val="538135" w:themeColor="accent6" w:themeShade="BF"/>
          <w:sz w:val="28"/>
          <w:szCs w:val="28"/>
        </w:rPr>
      </w:pPr>
      <w:r>
        <w:rPr>
          <w:rFonts w:asciiTheme="majorHAnsi" w:hAnsiTheme="majorHAnsi"/>
          <w:sz w:val="28"/>
          <w:szCs w:val="28"/>
        </w:rPr>
        <w:t xml:space="preserve">El estudio que se propone tiene por objeto aportar evidencia sobre el efecto de la competencia entre infraestructuras y prestadores de servicios de telecomunicación que no cuentan con redes sobre la inversión sectorial. Así también, se realizará una aplicación para determinar su impacto sobre la estructura del mercado. Lo anterior considerando el crecimiento de los servicios OTT y otras aplicaciones. </w:t>
      </w:r>
    </w:p>
    <w:p w14:paraId="27C12715" w14:textId="77777777" w:rsidR="0014509F" w:rsidRPr="00697377" w:rsidRDefault="0014509F" w:rsidP="0014509F">
      <w:pPr>
        <w:keepNext/>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Metodología</w:t>
      </w:r>
    </w:p>
    <w:p w14:paraId="38052094"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Pr>
          <w:rFonts w:asciiTheme="majorHAnsi" w:hAnsiTheme="majorHAnsi"/>
          <w:sz w:val="28"/>
          <w:szCs w:val="28"/>
        </w:rPr>
        <w:t>Se</w:t>
      </w:r>
      <w:r w:rsidRPr="001A2F11">
        <w:rPr>
          <w:rFonts w:asciiTheme="majorHAnsi" w:hAnsiTheme="majorHAnsi"/>
          <w:sz w:val="28"/>
          <w:szCs w:val="28"/>
        </w:rPr>
        <w:t xml:space="preserve"> llevará a cabo una investigación documental de los </w:t>
      </w:r>
      <w:r>
        <w:rPr>
          <w:rFonts w:asciiTheme="majorHAnsi" w:hAnsiTheme="majorHAnsi"/>
          <w:sz w:val="28"/>
          <w:szCs w:val="28"/>
        </w:rPr>
        <w:t>trabajos realizados en el ámbito internacional. A través de un ejercicio econométrico se estimará la relación entre los diferentes instrumentos regulatorios y la inversión en distintos servicios. Se incluyen indicadores sobre los servicios OTT y otras aplicaciones.</w:t>
      </w:r>
    </w:p>
    <w:p w14:paraId="37BFA056" w14:textId="77777777" w:rsidR="0014509F" w:rsidRPr="00697377" w:rsidRDefault="0014509F" w:rsidP="0014509F">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Resultados esperados</w:t>
      </w:r>
    </w:p>
    <w:p w14:paraId="4D76E386" w14:textId="77777777" w:rsidR="0014509F" w:rsidRDefault="0014509F" w:rsidP="00A170A9">
      <w:pPr>
        <w:pStyle w:val="estilo30"/>
        <w:spacing w:before="240" w:beforeAutospacing="0" w:after="240" w:afterAutospacing="0" w:line="276" w:lineRule="auto"/>
        <w:jc w:val="both"/>
        <w:rPr>
          <w:rFonts w:asciiTheme="majorHAnsi" w:hAnsiTheme="majorHAnsi"/>
          <w:b/>
          <w:color w:val="0070C0"/>
          <w:sz w:val="28"/>
          <w:szCs w:val="28"/>
        </w:rPr>
      </w:pPr>
      <w:r>
        <w:rPr>
          <w:rFonts w:asciiTheme="majorHAnsi" w:hAnsiTheme="majorHAnsi"/>
          <w:sz w:val="28"/>
          <w:szCs w:val="28"/>
        </w:rPr>
        <w:t xml:space="preserve">Contar con elementos para determinar el efecto sobre la inversión de la competencia entre infraestructura y </w:t>
      </w:r>
      <w:r w:rsidRPr="002C47E8">
        <w:rPr>
          <w:rFonts w:asciiTheme="majorHAnsi" w:hAnsiTheme="majorHAnsi"/>
          <w:sz w:val="28"/>
          <w:szCs w:val="28"/>
        </w:rPr>
        <w:t>prestadores de servicios de telecomunicación que no cuentan con redes</w:t>
      </w:r>
      <w:r>
        <w:rPr>
          <w:rFonts w:asciiTheme="majorHAnsi" w:hAnsiTheme="majorHAnsi"/>
          <w:sz w:val="28"/>
          <w:szCs w:val="28"/>
        </w:rPr>
        <w:t xml:space="preserve">, tomando en consideración la evolución reciente de los mercados y la creciente demanda de servicios de banda ancha derivada del crecimiento de los OTT y nuevas aplicaciones.  </w:t>
      </w:r>
    </w:p>
    <w:p w14:paraId="6503752D" w14:textId="77777777" w:rsidR="0014509F" w:rsidRPr="00697377" w:rsidRDefault="0014509F" w:rsidP="0014509F">
      <w:pPr>
        <w:keepNext/>
        <w:spacing w:after="100" w:afterAutospacing="1"/>
        <w:contextualSpacing/>
        <w:jc w:val="both"/>
        <w:rPr>
          <w:rFonts w:ascii="Calibri Light" w:eastAsia="Calibri" w:hAnsi="Calibri Light" w:cs="Calibri Light"/>
          <w:color w:val="3476B1"/>
          <w:sz w:val="28"/>
          <w:szCs w:val="28"/>
        </w:rPr>
      </w:pPr>
      <w:r>
        <w:rPr>
          <w:rFonts w:ascii="Calibri Light" w:eastAsia="Calibri" w:hAnsi="Calibri Light" w:cs="Calibri Light"/>
          <w:color w:val="3476B1"/>
          <w:sz w:val="28"/>
          <w:szCs w:val="28"/>
        </w:rPr>
        <w:t>Utilidad del estudio para el Instituto</w:t>
      </w:r>
      <w:r w:rsidRPr="00697377">
        <w:rPr>
          <w:rFonts w:ascii="Calibri Light" w:eastAsia="Calibri" w:hAnsi="Calibri Light" w:cs="Calibri Light"/>
          <w:color w:val="3476B1"/>
          <w:sz w:val="28"/>
          <w:szCs w:val="28"/>
        </w:rPr>
        <w:t xml:space="preserve"> </w:t>
      </w:r>
    </w:p>
    <w:p w14:paraId="50B335F5" w14:textId="77777777" w:rsidR="0014509F" w:rsidRDefault="0014509F" w:rsidP="00A170A9">
      <w:pPr>
        <w:pStyle w:val="estilo30"/>
        <w:spacing w:before="240" w:beforeAutospacing="0" w:after="240" w:afterAutospacing="0" w:line="276" w:lineRule="auto"/>
        <w:jc w:val="both"/>
        <w:rPr>
          <w:rFonts w:asciiTheme="majorHAnsi" w:hAnsiTheme="majorHAnsi"/>
          <w:color w:val="2F5496" w:themeColor="accent5" w:themeShade="BF"/>
          <w:sz w:val="28"/>
          <w:szCs w:val="28"/>
        </w:rPr>
      </w:pPr>
      <w:r w:rsidRPr="00E8420D">
        <w:rPr>
          <w:rFonts w:asciiTheme="majorHAnsi" w:hAnsiTheme="majorHAnsi"/>
          <w:sz w:val="28"/>
          <w:szCs w:val="28"/>
        </w:rPr>
        <w:t xml:space="preserve">El estudio </w:t>
      </w:r>
      <w:r>
        <w:rPr>
          <w:rFonts w:asciiTheme="majorHAnsi" w:hAnsiTheme="majorHAnsi"/>
          <w:sz w:val="28"/>
          <w:szCs w:val="28"/>
        </w:rPr>
        <w:t xml:space="preserve">aportará información útil para el diseño de política pública, en cuanto al rol de los proveedores de servicios y los operadores de infraestructura sobre la </w:t>
      </w:r>
      <w:r>
        <w:rPr>
          <w:rFonts w:asciiTheme="majorHAnsi" w:hAnsiTheme="majorHAnsi"/>
          <w:sz w:val="28"/>
          <w:szCs w:val="28"/>
        </w:rPr>
        <w:lastRenderedPageBreak/>
        <w:t>inversión en redes, así como el impacto de los OTT y nuevas aplicaciones en esa materia.</w:t>
      </w:r>
    </w:p>
    <w:p w14:paraId="0629E674" w14:textId="77777777" w:rsidR="0014509F" w:rsidRPr="00697377" w:rsidRDefault="0014509F" w:rsidP="0014509F">
      <w:pPr>
        <w:keepNext/>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Cronograma</w:t>
      </w:r>
    </w:p>
    <w:tbl>
      <w:tblPr>
        <w:tblStyle w:val="Tablaconcuadrcula"/>
        <w:tblW w:w="9493" w:type="dxa"/>
        <w:tblLook w:val="04A0" w:firstRow="1" w:lastRow="0" w:firstColumn="1" w:lastColumn="0" w:noHBand="0" w:noVBand="1"/>
        <w:tblCaption w:val="Cronograma "/>
        <w:tblDescription w:val="Etapa de Estudio&#10;Formulación de hipótesis y revisión bibliográfica. Fecha de Conclusión Septiembre&#10;Análisis de la experiencia nacional e internacional. Fecha de Conclusión Octubre&#10;Formulación de modelos teóricos y econométricos e interpretación de los resultados.Fecha de Conclusión Noviembre&#10;Elaboración del reporte final. Fecha de Conclusión Diciembre&#10;"/>
      </w:tblPr>
      <w:tblGrid>
        <w:gridCol w:w="6799"/>
        <w:gridCol w:w="2694"/>
      </w:tblGrid>
      <w:tr w:rsidR="0014509F" w:rsidRPr="00A05CDC" w14:paraId="40F13C94" w14:textId="77777777" w:rsidTr="00A170A9">
        <w:trPr>
          <w:tblHeader/>
        </w:trPr>
        <w:tc>
          <w:tcPr>
            <w:tcW w:w="6799" w:type="dxa"/>
          </w:tcPr>
          <w:p w14:paraId="107A9994" w14:textId="77777777" w:rsidR="0014509F" w:rsidRPr="008156F1" w:rsidRDefault="0014509F" w:rsidP="00A170A9">
            <w:pPr>
              <w:keepNext/>
              <w:spacing w:after="100" w:afterAutospacing="1"/>
              <w:jc w:val="both"/>
              <w:rPr>
                <w:rFonts w:asciiTheme="majorHAnsi" w:hAnsiTheme="majorHAnsi"/>
                <w:color w:val="0070C0"/>
                <w:sz w:val="28"/>
                <w:szCs w:val="28"/>
              </w:rPr>
            </w:pPr>
            <w:r w:rsidRPr="008156F1">
              <w:rPr>
                <w:rFonts w:asciiTheme="majorHAnsi" w:hAnsiTheme="majorHAnsi"/>
                <w:color w:val="0070C0"/>
                <w:sz w:val="28"/>
                <w:szCs w:val="28"/>
              </w:rPr>
              <w:t>Etapa de Estudio</w:t>
            </w:r>
          </w:p>
        </w:tc>
        <w:tc>
          <w:tcPr>
            <w:tcW w:w="2694" w:type="dxa"/>
          </w:tcPr>
          <w:p w14:paraId="4A628766" w14:textId="77777777" w:rsidR="0014509F" w:rsidRPr="008156F1" w:rsidRDefault="0014509F" w:rsidP="00A170A9">
            <w:pPr>
              <w:keepNext/>
              <w:spacing w:after="100" w:afterAutospacing="1"/>
              <w:jc w:val="both"/>
              <w:rPr>
                <w:rFonts w:asciiTheme="majorHAnsi" w:hAnsiTheme="majorHAnsi"/>
                <w:color w:val="0070C0"/>
                <w:sz w:val="28"/>
                <w:szCs w:val="28"/>
              </w:rPr>
            </w:pPr>
            <w:r w:rsidRPr="008156F1">
              <w:rPr>
                <w:rFonts w:asciiTheme="majorHAnsi" w:hAnsiTheme="majorHAnsi"/>
                <w:color w:val="0070C0"/>
                <w:sz w:val="28"/>
                <w:szCs w:val="28"/>
              </w:rPr>
              <w:t>Fecha de Conclusión</w:t>
            </w:r>
          </w:p>
        </w:tc>
      </w:tr>
      <w:tr w:rsidR="0014509F" w:rsidRPr="009C079F" w14:paraId="1CEA70D2" w14:textId="77777777" w:rsidTr="00A170A9">
        <w:tc>
          <w:tcPr>
            <w:tcW w:w="6799" w:type="dxa"/>
          </w:tcPr>
          <w:p w14:paraId="01ADE285" w14:textId="77777777" w:rsidR="0014509F" w:rsidRPr="009C079F" w:rsidRDefault="0014509F" w:rsidP="00A170A9">
            <w:pPr>
              <w:keepNext/>
              <w:spacing w:after="100" w:afterAutospacing="1"/>
              <w:jc w:val="both"/>
              <w:rPr>
                <w:rFonts w:asciiTheme="majorHAnsi" w:hAnsiTheme="majorHAnsi"/>
                <w:sz w:val="28"/>
                <w:szCs w:val="28"/>
              </w:rPr>
            </w:pPr>
            <w:r w:rsidRPr="009C079F">
              <w:rPr>
                <w:rFonts w:asciiTheme="majorHAnsi" w:hAnsiTheme="majorHAnsi"/>
                <w:sz w:val="28"/>
                <w:szCs w:val="28"/>
              </w:rPr>
              <w:t>Formulación de hipótesis y revisión bibliográfica</w:t>
            </w:r>
            <w:r>
              <w:rPr>
                <w:rFonts w:asciiTheme="majorHAnsi" w:hAnsiTheme="majorHAnsi"/>
                <w:sz w:val="28"/>
                <w:szCs w:val="28"/>
              </w:rPr>
              <w:t>.</w:t>
            </w:r>
          </w:p>
        </w:tc>
        <w:tc>
          <w:tcPr>
            <w:tcW w:w="2694" w:type="dxa"/>
          </w:tcPr>
          <w:p w14:paraId="06D7B940" w14:textId="77777777" w:rsidR="0014509F" w:rsidRPr="009C079F" w:rsidRDefault="0014509F" w:rsidP="00A170A9">
            <w:pPr>
              <w:keepNext/>
              <w:spacing w:after="100" w:afterAutospacing="1"/>
              <w:jc w:val="both"/>
              <w:rPr>
                <w:rFonts w:asciiTheme="majorHAnsi" w:hAnsiTheme="majorHAnsi"/>
                <w:sz w:val="28"/>
                <w:szCs w:val="28"/>
              </w:rPr>
            </w:pPr>
            <w:r>
              <w:rPr>
                <w:rFonts w:asciiTheme="majorHAnsi" w:hAnsiTheme="majorHAnsi"/>
                <w:sz w:val="28"/>
                <w:szCs w:val="28"/>
              </w:rPr>
              <w:t>Septiembre</w:t>
            </w:r>
          </w:p>
        </w:tc>
      </w:tr>
      <w:tr w:rsidR="0014509F" w:rsidRPr="009C079F" w14:paraId="392F3D07" w14:textId="77777777" w:rsidTr="00A170A9">
        <w:tc>
          <w:tcPr>
            <w:tcW w:w="6799" w:type="dxa"/>
          </w:tcPr>
          <w:p w14:paraId="68F6E4F8" w14:textId="77777777" w:rsidR="0014509F" w:rsidRPr="009C079F" w:rsidRDefault="0014509F" w:rsidP="00A170A9">
            <w:pPr>
              <w:keepNext/>
              <w:spacing w:after="100" w:afterAutospacing="1"/>
              <w:jc w:val="both"/>
              <w:rPr>
                <w:rFonts w:asciiTheme="majorHAnsi" w:hAnsiTheme="majorHAnsi"/>
                <w:sz w:val="28"/>
                <w:szCs w:val="28"/>
              </w:rPr>
            </w:pPr>
            <w:r w:rsidRPr="009C079F">
              <w:rPr>
                <w:rFonts w:asciiTheme="majorHAnsi" w:hAnsiTheme="majorHAnsi"/>
                <w:sz w:val="28"/>
                <w:szCs w:val="28"/>
              </w:rPr>
              <w:t>Análisis de la experiencia nacional e internacional.</w:t>
            </w:r>
          </w:p>
        </w:tc>
        <w:tc>
          <w:tcPr>
            <w:tcW w:w="2694" w:type="dxa"/>
          </w:tcPr>
          <w:p w14:paraId="62BAF3FE" w14:textId="77777777" w:rsidR="0014509F" w:rsidRPr="009C079F" w:rsidRDefault="0014509F" w:rsidP="00A170A9">
            <w:pPr>
              <w:keepNext/>
              <w:spacing w:after="100" w:afterAutospacing="1"/>
              <w:jc w:val="both"/>
              <w:rPr>
                <w:rFonts w:asciiTheme="majorHAnsi" w:hAnsiTheme="majorHAnsi"/>
                <w:sz w:val="28"/>
                <w:szCs w:val="28"/>
              </w:rPr>
            </w:pPr>
            <w:r>
              <w:rPr>
                <w:rFonts w:asciiTheme="majorHAnsi" w:hAnsiTheme="majorHAnsi"/>
                <w:sz w:val="28"/>
                <w:szCs w:val="28"/>
              </w:rPr>
              <w:t>Octubre</w:t>
            </w:r>
          </w:p>
        </w:tc>
      </w:tr>
      <w:tr w:rsidR="0014509F" w:rsidRPr="009C079F" w14:paraId="35C4A968" w14:textId="77777777" w:rsidTr="00A170A9">
        <w:tc>
          <w:tcPr>
            <w:tcW w:w="6799" w:type="dxa"/>
          </w:tcPr>
          <w:p w14:paraId="644502A4" w14:textId="77777777" w:rsidR="0014509F" w:rsidRPr="009C079F" w:rsidRDefault="0014509F" w:rsidP="00A170A9">
            <w:pPr>
              <w:keepNext/>
              <w:spacing w:after="100" w:afterAutospacing="1"/>
              <w:jc w:val="both"/>
              <w:rPr>
                <w:rFonts w:asciiTheme="majorHAnsi" w:hAnsiTheme="majorHAnsi"/>
                <w:sz w:val="28"/>
                <w:szCs w:val="28"/>
              </w:rPr>
            </w:pPr>
            <w:r w:rsidRPr="009C079F">
              <w:rPr>
                <w:rFonts w:asciiTheme="majorHAnsi" w:hAnsiTheme="majorHAnsi"/>
                <w:sz w:val="28"/>
                <w:szCs w:val="28"/>
              </w:rPr>
              <w:t>Formulación de modelos teóricos y econométricos e interpretación de los resultados</w:t>
            </w:r>
            <w:r>
              <w:rPr>
                <w:rFonts w:asciiTheme="majorHAnsi" w:hAnsiTheme="majorHAnsi"/>
                <w:sz w:val="28"/>
                <w:szCs w:val="28"/>
              </w:rPr>
              <w:t>.</w:t>
            </w:r>
          </w:p>
        </w:tc>
        <w:tc>
          <w:tcPr>
            <w:tcW w:w="2694" w:type="dxa"/>
          </w:tcPr>
          <w:p w14:paraId="46834A42" w14:textId="77777777" w:rsidR="0014509F" w:rsidRPr="009C079F" w:rsidRDefault="0014509F" w:rsidP="00A170A9">
            <w:pPr>
              <w:keepNext/>
              <w:spacing w:after="100" w:afterAutospacing="1"/>
              <w:jc w:val="both"/>
              <w:rPr>
                <w:rFonts w:asciiTheme="majorHAnsi" w:hAnsiTheme="majorHAnsi"/>
                <w:sz w:val="28"/>
                <w:szCs w:val="28"/>
              </w:rPr>
            </w:pPr>
            <w:r>
              <w:rPr>
                <w:rFonts w:asciiTheme="majorHAnsi" w:hAnsiTheme="majorHAnsi"/>
                <w:sz w:val="28"/>
                <w:szCs w:val="28"/>
              </w:rPr>
              <w:t>Noviembre</w:t>
            </w:r>
          </w:p>
        </w:tc>
      </w:tr>
      <w:tr w:rsidR="0014509F" w:rsidRPr="009C079F" w14:paraId="2B4ABCA3" w14:textId="77777777" w:rsidTr="00A170A9">
        <w:tc>
          <w:tcPr>
            <w:tcW w:w="6799" w:type="dxa"/>
          </w:tcPr>
          <w:p w14:paraId="54A3D60B" w14:textId="77777777" w:rsidR="0014509F" w:rsidRPr="009C079F" w:rsidRDefault="0014509F" w:rsidP="00A170A9">
            <w:pPr>
              <w:keepNext/>
              <w:spacing w:after="100" w:afterAutospacing="1"/>
              <w:jc w:val="both"/>
              <w:rPr>
                <w:rFonts w:asciiTheme="majorHAnsi" w:hAnsiTheme="majorHAnsi"/>
                <w:sz w:val="28"/>
                <w:szCs w:val="28"/>
              </w:rPr>
            </w:pPr>
            <w:r w:rsidRPr="009C079F">
              <w:rPr>
                <w:rFonts w:asciiTheme="majorHAnsi" w:hAnsiTheme="majorHAnsi"/>
                <w:sz w:val="28"/>
                <w:szCs w:val="28"/>
              </w:rPr>
              <w:t>Elaboración del reporte final.</w:t>
            </w:r>
          </w:p>
        </w:tc>
        <w:tc>
          <w:tcPr>
            <w:tcW w:w="2694" w:type="dxa"/>
          </w:tcPr>
          <w:p w14:paraId="2C5746FA" w14:textId="77777777" w:rsidR="0014509F" w:rsidRPr="009C079F" w:rsidRDefault="0014509F" w:rsidP="00A170A9">
            <w:pPr>
              <w:keepNext/>
              <w:spacing w:after="100" w:afterAutospacing="1"/>
              <w:jc w:val="both"/>
              <w:rPr>
                <w:rFonts w:asciiTheme="majorHAnsi" w:hAnsiTheme="majorHAnsi"/>
                <w:sz w:val="28"/>
                <w:szCs w:val="28"/>
              </w:rPr>
            </w:pPr>
            <w:r>
              <w:rPr>
                <w:rFonts w:asciiTheme="majorHAnsi" w:hAnsiTheme="majorHAnsi"/>
                <w:sz w:val="28"/>
                <w:szCs w:val="28"/>
              </w:rPr>
              <w:t>Diciembre</w:t>
            </w:r>
          </w:p>
        </w:tc>
      </w:tr>
    </w:tbl>
    <w:p w14:paraId="6DF0D984" w14:textId="77777777" w:rsidR="0014509F" w:rsidRDefault="0014509F" w:rsidP="0014509F">
      <w:pPr>
        <w:keepNext/>
        <w:jc w:val="both"/>
        <w:rPr>
          <w:rFonts w:asciiTheme="majorHAnsi" w:hAnsiTheme="majorHAnsi"/>
          <w:sz w:val="28"/>
          <w:szCs w:val="28"/>
        </w:rPr>
      </w:pPr>
      <w:r>
        <w:rPr>
          <w:rFonts w:asciiTheme="majorHAnsi" w:hAnsiTheme="majorHAnsi"/>
          <w:sz w:val="28"/>
          <w:szCs w:val="28"/>
        </w:rPr>
        <w:br w:type="page"/>
      </w:r>
    </w:p>
    <w:p w14:paraId="4BD58793" w14:textId="77777777" w:rsidR="0014509F" w:rsidRDefault="0014509F" w:rsidP="0014509F">
      <w:pPr>
        <w:keepNext/>
        <w:jc w:val="both"/>
        <w:rPr>
          <w:rFonts w:asciiTheme="majorHAnsi" w:hAnsiTheme="majorHAnsi" w:cstheme="majorHAnsi"/>
          <w:color w:val="C45911" w:themeColor="accent2" w:themeShade="BF"/>
          <w:sz w:val="28"/>
          <w:szCs w:val="28"/>
        </w:rPr>
      </w:pPr>
      <w:sdt>
        <w:sdtPr>
          <w:rPr>
            <w:rFonts w:asciiTheme="majorHAnsi" w:hAnsiTheme="majorHAnsi" w:cstheme="majorHAnsi"/>
            <w:color w:val="C45911" w:themeColor="accent2" w:themeShade="BF"/>
            <w:sz w:val="28"/>
            <w:szCs w:val="28"/>
          </w:rPr>
          <w:alias w:val="Nombre del Proyecto"/>
          <w:tag w:val="Nombre_x0020_del_x0020_Proyecto"/>
          <w:id w:val="543570198"/>
          <w:placeholder>
            <w:docPart w:val="AC1EE0CACF834BE6A86472D9BF248E5D"/>
          </w:placeholder>
          <w:dataBinding w:prefixMappings="xmlns:ns0='http://schemas.microsoft.com/office/2006/metadata/properties' xmlns:ns1='http://www.w3.org/2001/XMLSchema-instance' xmlns:ns2='http://schemas.microsoft.com/office/infopath/2007/PartnerControls' xmlns:ns3='293807b6-12d3-42cc-a250-7bb708d556b9' " w:xpath="/ns0:properties[1]/documentManagement[1]/ns3:Nombre_x0020_del_x0020_Proyecto[1]" w:storeItemID="{D43C7FE1-1104-4286-B957-32265D6B0D08}"/>
          <w:text/>
        </w:sdtPr>
        <w:sdtContent>
          <w:r>
            <w:rPr>
              <w:rFonts w:asciiTheme="majorHAnsi" w:hAnsiTheme="majorHAnsi" w:cstheme="majorHAnsi"/>
              <w:color w:val="C45911" w:themeColor="accent2" w:themeShade="BF"/>
              <w:sz w:val="28"/>
              <w:szCs w:val="28"/>
            </w:rPr>
            <w:t>Competencia e inversión extranjera directa en las telecomunicaciones: evidencia de los países de la OCDE en concentración y precios del sector</w:t>
          </w:r>
        </w:sdtContent>
      </w:sdt>
    </w:p>
    <w:p w14:paraId="59BEFE86" w14:textId="77777777" w:rsidR="0014509F" w:rsidRDefault="0014509F" w:rsidP="0014509F">
      <w:pPr>
        <w:keepNext/>
        <w:jc w:val="both"/>
        <w:rPr>
          <w:rFonts w:ascii="Calibri Light" w:eastAsia="Calibri" w:hAnsi="Calibri Light"/>
          <w:color w:val="0070C0"/>
          <w:sz w:val="28"/>
          <w:szCs w:val="28"/>
        </w:rPr>
      </w:pPr>
      <w:r w:rsidRPr="002E6587">
        <w:rPr>
          <w:rFonts w:asciiTheme="majorHAnsi" w:hAnsiTheme="majorHAnsi"/>
          <w:color w:val="C45911" w:themeColor="accent2" w:themeShade="BF"/>
          <w:sz w:val="28"/>
          <w:szCs w:val="28"/>
        </w:rPr>
        <w:t>Jesús Zurita González</w:t>
      </w:r>
      <w:r w:rsidRPr="00DE1609">
        <w:rPr>
          <w:rFonts w:ascii="Calibri Light" w:eastAsia="Calibri" w:hAnsi="Calibri Light"/>
          <w:color w:val="0070C0"/>
          <w:sz w:val="28"/>
          <w:szCs w:val="28"/>
          <w:vertAlign w:val="superscript"/>
        </w:rPr>
        <w:footnoteReference w:id="16"/>
      </w:r>
    </w:p>
    <w:p w14:paraId="0F3738A5" w14:textId="77777777" w:rsidR="0014509F" w:rsidRPr="00697377" w:rsidRDefault="0014509F" w:rsidP="0014509F">
      <w:pPr>
        <w:ind w:firstLine="709"/>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Introducción</w:t>
      </w:r>
    </w:p>
    <w:p w14:paraId="5484BCE0" w14:textId="77777777" w:rsidR="0014509F"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Pr>
          <w:rFonts w:ascii="Calibri Light" w:eastAsia="Calibri" w:hAnsi="Calibri Light"/>
          <w:color w:val="000000"/>
          <w:sz w:val="28"/>
          <w:szCs w:val="28"/>
        </w:rPr>
        <w:t>La inversión extranjera directa puede contribuir a elevar la productividad y el desarrollo del sector de las telecomunicaciones a través de la transferencia de tecnología, así como de las mejores prácticas de gestión que usualmente despliegan las empresas competitivas a nivel internacional.</w:t>
      </w:r>
    </w:p>
    <w:p w14:paraId="034EBA4A" w14:textId="77777777" w:rsidR="0014509F"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Pr>
          <w:rFonts w:ascii="Calibri Light" w:eastAsia="Calibri" w:hAnsi="Calibri Light"/>
          <w:color w:val="000000"/>
          <w:sz w:val="28"/>
          <w:szCs w:val="28"/>
        </w:rPr>
        <w:t xml:space="preserve">Además, al ingresar al </w:t>
      </w:r>
      <w:r w:rsidRPr="00A170A9">
        <w:rPr>
          <w:rFonts w:asciiTheme="majorHAnsi" w:hAnsiTheme="majorHAnsi"/>
          <w:sz w:val="28"/>
          <w:szCs w:val="28"/>
        </w:rPr>
        <w:t>mercado</w:t>
      </w:r>
      <w:r>
        <w:rPr>
          <w:rFonts w:ascii="Calibri Light" w:eastAsia="Calibri" w:hAnsi="Calibri Light"/>
          <w:color w:val="000000"/>
          <w:sz w:val="28"/>
          <w:szCs w:val="28"/>
        </w:rPr>
        <w:t xml:space="preserve"> interno empresas altamente competitivas esta inversión puede impulsar una mayor competencia que se refleje en menores precios y concentración de los mercados domésticos de telecomunicaciones.</w:t>
      </w:r>
    </w:p>
    <w:p w14:paraId="7E4D6559" w14:textId="77777777" w:rsidR="0014509F"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Pr>
          <w:rFonts w:ascii="Calibri Light" w:eastAsia="Calibri" w:hAnsi="Calibri Light"/>
          <w:color w:val="000000"/>
          <w:sz w:val="28"/>
          <w:szCs w:val="28"/>
        </w:rPr>
        <w:t xml:space="preserve">En México esto es particularmente relevante para los servicios más dinámicos de las telecomunicaciones: los servicios de telefonía móvil.  </w:t>
      </w:r>
    </w:p>
    <w:p w14:paraId="7A35F793" w14:textId="77777777" w:rsidR="0014509F" w:rsidRPr="00697377" w:rsidRDefault="0014509F" w:rsidP="0014509F">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Objetivo</w:t>
      </w:r>
    </w:p>
    <w:p w14:paraId="0367B712" w14:textId="77777777" w:rsidR="0014509F"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sidRPr="00296054">
        <w:rPr>
          <w:rFonts w:ascii="Calibri Light" w:eastAsia="Calibri" w:hAnsi="Calibri Light"/>
          <w:color w:val="000000"/>
          <w:sz w:val="28"/>
          <w:szCs w:val="28"/>
        </w:rPr>
        <w:t>El estudio tiene el propósito de evaluar la evidencia internacional en materia de inversión extranjera directa en telecomunicaciones de las economías de los países miembros de la OCDE</w:t>
      </w:r>
      <w:r>
        <w:rPr>
          <w:rFonts w:ascii="Calibri Light" w:eastAsia="Calibri" w:hAnsi="Calibri Light"/>
          <w:color w:val="000000"/>
          <w:sz w:val="28"/>
          <w:szCs w:val="28"/>
        </w:rPr>
        <w:t xml:space="preserve">. </w:t>
      </w:r>
      <w:r w:rsidRPr="00296054">
        <w:rPr>
          <w:rFonts w:ascii="Calibri Light" w:eastAsia="Calibri" w:hAnsi="Calibri Light"/>
          <w:color w:val="000000"/>
          <w:sz w:val="28"/>
          <w:szCs w:val="28"/>
        </w:rPr>
        <w:t>En particular, se estudiarán los efectos de la inversión extranjera directa sobre la concentración y los precios en el sector de las telecomunicaciones</w:t>
      </w:r>
      <w:r>
        <w:rPr>
          <w:rFonts w:ascii="Calibri Light" w:eastAsia="Calibri" w:hAnsi="Calibri Light"/>
          <w:color w:val="000000"/>
          <w:sz w:val="28"/>
          <w:szCs w:val="28"/>
        </w:rPr>
        <w:t>, especialmente en los servicios de la comunicación móvil</w:t>
      </w:r>
      <w:r w:rsidRPr="00296054">
        <w:rPr>
          <w:rFonts w:ascii="Calibri Light" w:eastAsia="Calibri" w:hAnsi="Calibri Light"/>
          <w:color w:val="000000"/>
          <w:sz w:val="28"/>
          <w:szCs w:val="28"/>
        </w:rPr>
        <w:t>.</w:t>
      </w:r>
    </w:p>
    <w:p w14:paraId="3CE6D9F9" w14:textId="77777777" w:rsidR="0014509F" w:rsidRPr="00697377" w:rsidRDefault="0014509F" w:rsidP="0014509F">
      <w:pPr>
        <w:keepNext/>
        <w:spacing w:after="100" w:afterAutospacing="1"/>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lastRenderedPageBreak/>
        <w:t>Metodología</w:t>
      </w:r>
    </w:p>
    <w:p w14:paraId="7F44F447" w14:textId="77777777" w:rsidR="0014509F"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sidRPr="00296054">
        <w:rPr>
          <w:rFonts w:ascii="Calibri Light" w:eastAsia="Calibri" w:hAnsi="Calibri Light"/>
          <w:color w:val="000000"/>
          <w:sz w:val="28"/>
          <w:szCs w:val="28"/>
        </w:rPr>
        <w:t>Se realizará un análisis estadístico y econométrico para detectar los efectos de la inversión extranjera directa sobre la concentración, los precios y el desarrollo del sector de las telecomunicaciones en los países miembros de la OCDE.</w:t>
      </w:r>
    </w:p>
    <w:p w14:paraId="135C4B4C" w14:textId="77777777" w:rsidR="0014509F" w:rsidRPr="00697377" w:rsidRDefault="0014509F" w:rsidP="0014509F">
      <w:pPr>
        <w:keepNext/>
        <w:spacing w:after="100" w:afterAutospacing="1"/>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Resultados esperados</w:t>
      </w:r>
    </w:p>
    <w:p w14:paraId="56C14DB1" w14:textId="77777777" w:rsidR="0014509F" w:rsidRPr="00F57CA6"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Pr>
          <w:rFonts w:ascii="Calibri Light" w:eastAsia="Calibri" w:hAnsi="Calibri Light"/>
          <w:color w:val="000000"/>
          <w:sz w:val="28"/>
          <w:szCs w:val="28"/>
        </w:rPr>
        <w:t>Utilizando la información sobre inversión extranjera directa tanto de México como de los países miembros de la OCDE, se contará con información y análisis sobre la contribución que la inversión haya tenido en el desarrollo del sector de las telecomunicaciones, y sobre los precios y la concentración de los mercados domésticos de dichos servicios.</w:t>
      </w:r>
    </w:p>
    <w:p w14:paraId="50CE6A26" w14:textId="77777777" w:rsidR="0014509F" w:rsidRPr="00F57CA6" w:rsidRDefault="0014509F" w:rsidP="008156F1">
      <w:pPr>
        <w:keepNext/>
        <w:spacing w:after="100" w:afterAutospacing="1"/>
        <w:contextualSpacing/>
        <w:jc w:val="both"/>
        <w:rPr>
          <w:rFonts w:ascii="Calibri Light" w:eastAsia="Calibri" w:hAnsi="Calibri Light" w:cs="Calibri Light"/>
          <w:color w:val="3476B1"/>
          <w:sz w:val="28"/>
          <w:szCs w:val="28"/>
        </w:rPr>
      </w:pPr>
      <w:r w:rsidRPr="00F57CA6">
        <w:rPr>
          <w:rFonts w:ascii="Calibri Light" w:eastAsia="Calibri" w:hAnsi="Calibri Light" w:cs="Calibri Light"/>
          <w:color w:val="3476B1"/>
          <w:sz w:val="28"/>
          <w:szCs w:val="28"/>
        </w:rPr>
        <w:t>Utilidad del estudio para el Instituto</w:t>
      </w:r>
    </w:p>
    <w:p w14:paraId="19CB0E65" w14:textId="77777777" w:rsidR="0014509F"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Pr>
          <w:rFonts w:ascii="Calibri Light" w:eastAsia="Calibri" w:hAnsi="Calibri Light"/>
          <w:color w:val="000000"/>
          <w:sz w:val="28"/>
          <w:szCs w:val="28"/>
        </w:rPr>
        <w:t>Una de las medidas de política pública instrumentada con la reforma constitucional de 2013 en el sector de las telecomunicaciones fue abrir el sector a la inversión extranjera directa. A casi cinco años de la reforma y de la consecuente apertura a la inversión extranjera directa es importante realizar un análisis de los efectos de esta medida sobre el sector.</w:t>
      </w:r>
    </w:p>
    <w:p w14:paraId="1DF40353" w14:textId="77777777" w:rsidR="0014509F" w:rsidRPr="00697377" w:rsidRDefault="0014509F" w:rsidP="0014509F">
      <w:pPr>
        <w:keepNext/>
        <w:spacing w:after="100" w:afterAutospacing="1"/>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Cronograma</w:t>
      </w:r>
    </w:p>
    <w:tbl>
      <w:tblPr>
        <w:tblStyle w:val="Tablaconcuadrcula"/>
        <w:tblW w:w="0" w:type="auto"/>
        <w:tblLook w:val="04A0" w:firstRow="1" w:lastRow="0" w:firstColumn="1" w:lastColumn="0" w:noHBand="0" w:noVBand="1"/>
        <w:tblCaption w:val="Cronograma "/>
        <w:tblDescription w:val="Etapas del EstudioRevisión Bibliográfica. Fecha de conclusión&#10;Septiembre&#10;Recopilación de información y datos. Fecha de conclusión&#10;Octubre&#10;Formulación y evaluación de modelos y metodologías. Fecha de conclusión Noviembre&#10;Análisis y formulación de resultados. Fecha de conclusión Diciembre&#10;Elaboración de cambios y atención a comentarios de publicación, congreso y/o evaluador. Fecha de conclusión En función de las publicaciones o congresos&#10;"/>
      </w:tblPr>
      <w:tblGrid>
        <w:gridCol w:w="6658"/>
        <w:gridCol w:w="2693"/>
      </w:tblGrid>
      <w:tr w:rsidR="0014509F" w:rsidRPr="00DE1609" w14:paraId="23003F19" w14:textId="77777777" w:rsidTr="00A170A9">
        <w:trPr>
          <w:tblHeader/>
        </w:trPr>
        <w:tc>
          <w:tcPr>
            <w:tcW w:w="6658" w:type="dxa"/>
            <w:tcBorders>
              <w:top w:val="single" w:sz="4" w:space="0" w:color="auto"/>
              <w:left w:val="single" w:sz="4" w:space="0" w:color="auto"/>
              <w:bottom w:val="single" w:sz="4" w:space="0" w:color="auto"/>
              <w:right w:val="single" w:sz="4" w:space="0" w:color="auto"/>
            </w:tcBorders>
            <w:hideMark/>
          </w:tcPr>
          <w:p w14:paraId="35303755" w14:textId="77777777" w:rsidR="0014509F" w:rsidRPr="00697377" w:rsidRDefault="0014509F" w:rsidP="00A170A9">
            <w:pPr>
              <w:keepNext/>
              <w:spacing w:after="100" w:afterAutospacing="1"/>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Etapas del Estudio</w:t>
            </w:r>
          </w:p>
        </w:tc>
        <w:tc>
          <w:tcPr>
            <w:tcW w:w="2693" w:type="dxa"/>
            <w:tcBorders>
              <w:top w:val="single" w:sz="4" w:space="0" w:color="auto"/>
              <w:left w:val="single" w:sz="4" w:space="0" w:color="auto"/>
              <w:bottom w:val="single" w:sz="4" w:space="0" w:color="auto"/>
              <w:right w:val="single" w:sz="4" w:space="0" w:color="auto"/>
            </w:tcBorders>
            <w:hideMark/>
          </w:tcPr>
          <w:p w14:paraId="15C789DA" w14:textId="77777777" w:rsidR="0014509F" w:rsidRPr="00DE1609" w:rsidRDefault="0014509F" w:rsidP="00A170A9">
            <w:pPr>
              <w:keepNext/>
              <w:spacing w:after="100" w:afterAutospacing="1"/>
              <w:contextualSpacing/>
              <w:jc w:val="both"/>
              <w:rPr>
                <w:rFonts w:ascii="Calibri Light" w:eastAsia="Calibri" w:hAnsi="Calibri Light"/>
                <w:color w:val="0070C0"/>
                <w:sz w:val="28"/>
                <w:szCs w:val="28"/>
              </w:rPr>
            </w:pPr>
            <w:r w:rsidRPr="00697377">
              <w:rPr>
                <w:rFonts w:ascii="Calibri Light" w:eastAsia="Calibri" w:hAnsi="Calibri Light" w:cs="Calibri Light"/>
                <w:color w:val="3476B1"/>
                <w:sz w:val="28"/>
                <w:szCs w:val="28"/>
              </w:rPr>
              <w:t>Fecha de conclusión</w:t>
            </w:r>
          </w:p>
        </w:tc>
      </w:tr>
      <w:tr w:rsidR="0014509F" w:rsidRPr="00296054" w14:paraId="4EEAF82C" w14:textId="77777777" w:rsidTr="00A170A9">
        <w:tc>
          <w:tcPr>
            <w:tcW w:w="6658" w:type="dxa"/>
            <w:tcBorders>
              <w:top w:val="single" w:sz="4" w:space="0" w:color="auto"/>
              <w:left w:val="single" w:sz="4" w:space="0" w:color="auto"/>
              <w:bottom w:val="single" w:sz="4" w:space="0" w:color="auto"/>
              <w:right w:val="single" w:sz="4" w:space="0" w:color="auto"/>
            </w:tcBorders>
            <w:hideMark/>
          </w:tcPr>
          <w:p w14:paraId="5B815FD2" w14:textId="77777777" w:rsidR="0014509F" w:rsidRPr="00296054" w:rsidRDefault="0014509F" w:rsidP="00A170A9">
            <w:pPr>
              <w:jc w:val="both"/>
              <w:rPr>
                <w:rFonts w:ascii="Calibri Light" w:eastAsia="Calibri" w:hAnsi="Calibri Light"/>
                <w:color w:val="0070C0"/>
                <w:sz w:val="28"/>
                <w:szCs w:val="28"/>
              </w:rPr>
            </w:pPr>
            <w:r w:rsidRPr="00296054">
              <w:rPr>
                <w:rFonts w:ascii="Calibri Light" w:eastAsia="Calibri" w:hAnsi="Calibri Light"/>
                <w:color w:val="000000"/>
                <w:sz w:val="28"/>
                <w:szCs w:val="28"/>
              </w:rPr>
              <w:t>Revisión Bibliográfica</w:t>
            </w:r>
            <w:r>
              <w:rPr>
                <w:rFonts w:ascii="Calibri Light" w:eastAsia="Calibri" w:hAnsi="Calibri Light"/>
                <w:color w:val="000000"/>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14:paraId="0D45EEE8" w14:textId="77777777" w:rsidR="0014509F" w:rsidRPr="00296054" w:rsidRDefault="0014509F" w:rsidP="00A170A9">
            <w:pPr>
              <w:jc w:val="both"/>
              <w:rPr>
                <w:rFonts w:ascii="Calibri Light" w:eastAsia="Calibri" w:hAnsi="Calibri Light"/>
                <w:color w:val="0070C0"/>
                <w:sz w:val="28"/>
                <w:szCs w:val="28"/>
              </w:rPr>
            </w:pPr>
            <w:r w:rsidRPr="00296054">
              <w:rPr>
                <w:rFonts w:ascii="Calibri Light" w:eastAsia="Calibri" w:hAnsi="Calibri Light"/>
                <w:color w:val="000000"/>
                <w:sz w:val="28"/>
                <w:szCs w:val="28"/>
              </w:rPr>
              <w:t>Septiembre</w:t>
            </w:r>
          </w:p>
        </w:tc>
      </w:tr>
      <w:tr w:rsidR="0014509F" w:rsidRPr="00296054" w14:paraId="43D8FC93" w14:textId="77777777" w:rsidTr="00A170A9">
        <w:tc>
          <w:tcPr>
            <w:tcW w:w="6658" w:type="dxa"/>
            <w:tcBorders>
              <w:top w:val="single" w:sz="4" w:space="0" w:color="auto"/>
              <w:left w:val="single" w:sz="4" w:space="0" w:color="auto"/>
              <w:bottom w:val="single" w:sz="4" w:space="0" w:color="auto"/>
              <w:right w:val="single" w:sz="4" w:space="0" w:color="auto"/>
            </w:tcBorders>
            <w:hideMark/>
          </w:tcPr>
          <w:p w14:paraId="273F8B2D" w14:textId="77777777" w:rsidR="0014509F" w:rsidRPr="00296054" w:rsidRDefault="0014509F" w:rsidP="00A170A9">
            <w:pPr>
              <w:jc w:val="both"/>
              <w:rPr>
                <w:rFonts w:ascii="Calibri Light" w:eastAsia="Calibri" w:hAnsi="Calibri Light"/>
                <w:color w:val="0070C0"/>
                <w:sz w:val="28"/>
                <w:szCs w:val="28"/>
              </w:rPr>
            </w:pPr>
            <w:r w:rsidRPr="00296054">
              <w:rPr>
                <w:rFonts w:ascii="Calibri Light" w:eastAsia="Calibri" w:hAnsi="Calibri Light"/>
                <w:color w:val="000000"/>
                <w:sz w:val="28"/>
                <w:szCs w:val="28"/>
              </w:rPr>
              <w:t>Recopilación de información y datos</w:t>
            </w:r>
            <w:r>
              <w:rPr>
                <w:rFonts w:ascii="Calibri Light" w:eastAsia="Calibri" w:hAnsi="Calibri Light"/>
                <w:color w:val="000000"/>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14:paraId="4BCAF2FF" w14:textId="77777777" w:rsidR="0014509F" w:rsidRPr="00296054" w:rsidRDefault="0014509F" w:rsidP="00A170A9">
            <w:pPr>
              <w:jc w:val="both"/>
              <w:rPr>
                <w:rFonts w:ascii="Calibri Light" w:eastAsia="Calibri" w:hAnsi="Calibri Light"/>
                <w:color w:val="0070C0"/>
                <w:sz w:val="28"/>
                <w:szCs w:val="28"/>
              </w:rPr>
            </w:pPr>
            <w:r w:rsidRPr="00296054">
              <w:rPr>
                <w:rFonts w:ascii="Calibri Light" w:eastAsia="Calibri" w:hAnsi="Calibri Light"/>
                <w:color w:val="000000"/>
                <w:sz w:val="28"/>
                <w:szCs w:val="28"/>
              </w:rPr>
              <w:t>Octubre</w:t>
            </w:r>
          </w:p>
        </w:tc>
      </w:tr>
      <w:tr w:rsidR="0014509F" w:rsidRPr="00296054" w14:paraId="340035BD" w14:textId="77777777" w:rsidTr="00A170A9">
        <w:tc>
          <w:tcPr>
            <w:tcW w:w="6658" w:type="dxa"/>
            <w:tcBorders>
              <w:top w:val="single" w:sz="4" w:space="0" w:color="auto"/>
              <w:left w:val="single" w:sz="4" w:space="0" w:color="auto"/>
              <w:bottom w:val="single" w:sz="4" w:space="0" w:color="auto"/>
              <w:right w:val="single" w:sz="4" w:space="0" w:color="auto"/>
            </w:tcBorders>
            <w:hideMark/>
          </w:tcPr>
          <w:p w14:paraId="765E685E" w14:textId="77777777" w:rsidR="0014509F" w:rsidRPr="00296054" w:rsidRDefault="0014509F" w:rsidP="00A170A9">
            <w:pPr>
              <w:jc w:val="both"/>
              <w:rPr>
                <w:rFonts w:ascii="Calibri Light" w:eastAsia="Calibri" w:hAnsi="Calibri Light"/>
                <w:color w:val="0070C0"/>
                <w:sz w:val="28"/>
                <w:szCs w:val="28"/>
              </w:rPr>
            </w:pPr>
            <w:r w:rsidRPr="00296054">
              <w:rPr>
                <w:rFonts w:ascii="Calibri Light" w:eastAsia="Calibri" w:hAnsi="Calibri Light"/>
                <w:color w:val="000000"/>
                <w:sz w:val="28"/>
                <w:szCs w:val="28"/>
              </w:rPr>
              <w:t>Formulación y evaluación de modelos y metodologías</w:t>
            </w:r>
            <w:r>
              <w:rPr>
                <w:rFonts w:ascii="Calibri Light" w:eastAsia="Calibri" w:hAnsi="Calibri Light"/>
                <w:color w:val="000000"/>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14:paraId="1ED6DD9B" w14:textId="77777777" w:rsidR="0014509F" w:rsidRPr="00296054" w:rsidRDefault="0014509F" w:rsidP="00A170A9">
            <w:pPr>
              <w:jc w:val="both"/>
              <w:rPr>
                <w:rFonts w:ascii="Calibri Light" w:eastAsia="Calibri" w:hAnsi="Calibri Light"/>
                <w:color w:val="0070C0"/>
                <w:sz w:val="28"/>
                <w:szCs w:val="28"/>
              </w:rPr>
            </w:pPr>
            <w:r w:rsidRPr="00296054">
              <w:rPr>
                <w:rFonts w:ascii="Calibri Light" w:eastAsia="Calibri" w:hAnsi="Calibri Light"/>
                <w:color w:val="000000"/>
                <w:sz w:val="28"/>
                <w:szCs w:val="28"/>
              </w:rPr>
              <w:t>Noviembre</w:t>
            </w:r>
          </w:p>
        </w:tc>
      </w:tr>
      <w:tr w:rsidR="0014509F" w:rsidRPr="00296054" w14:paraId="6A79F2AF" w14:textId="77777777" w:rsidTr="00A170A9">
        <w:tc>
          <w:tcPr>
            <w:tcW w:w="6658" w:type="dxa"/>
            <w:tcBorders>
              <w:top w:val="single" w:sz="4" w:space="0" w:color="auto"/>
              <w:left w:val="single" w:sz="4" w:space="0" w:color="auto"/>
              <w:bottom w:val="single" w:sz="4" w:space="0" w:color="auto"/>
              <w:right w:val="single" w:sz="4" w:space="0" w:color="auto"/>
            </w:tcBorders>
            <w:hideMark/>
          </w:tcPr>
          <w:p w14:paraId="071A5081" w14:textId="77777777" w:rsidR="0014509F" w:rsidRPr="00296054" w:rsidRDefault="0014509F" w:rsidP="00A170A9">
            <w:pPr>
              <w:jc w:val="both"/>
              <w:rPr>
                <w:rFonts w:ascii="Calibri Light" w:eastAsia="Calibri" w:hAnsi="Calibri Light"/>
                <w:color w:val="0070C0"/>
                <w:sz w:val="28"/>
                <w:szCs w:val="28"/>
              </w:rPr>
            </w:pPr>
            <w:r w:rsidRPr="00296054">
              <w:rPr>
                <w:rFonts w:ascii="Calibri Light" w:eastAsia="Calibri" w:hAnsi="Calibri Light"/>
                <w:color w:val="000000"/>
                <w:sz w:val="28"/>
                <w:szCs w:val="28"/>
              </w:rPr>
              <w:t>Análisis y formulación de resultados</w:t>
            </w:r>
            <w:r>
              <w:rPr>
                <w:rFonts w:ascii="Calibri Light" w:eastAsia="Calibri" w:hAnsi="Calibri Light"/>
                <w:color w:val="000000"/>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14:paraId="178F2B39" w14:textId="77777777" w:rsidR="0014509F" w:rsidRPr="00296054" w:rsidRDefault="0014509F" w:rsidP="00A170A9">
            <w:pPr>
              <w:jc w:val="both"/>
              <w:rPr>
                <w:rFonts w:ascii="Calibri Light" w:eastAsia="Calibri" w:hAnsi="Calibri Light"/>
                <w:color w:val="0070C0"/>
                <w:sz w:val="28"/>
                <w:szCs w:val="28"/>
              </w:rPr>
            </w:pPr>
            <w:r w:rsidRPr="00296054">
              <w:rPr>
                <w:rFonts w:ascii="Calibri Light" w:eastAsia="Calibri" w:hAnsi="Calibri Light"/>
                <w:color w:val="000000"/>
                <w:sz w:val="28"/>
                <w:szCs w:val="28"/>
              </w:rPr>
              <w:t>Diciembre</w:t>
            </w:r>
          </w:p>
        </w:tc>
      </w:tr>
      <w:tr w:rsidR="0014509F" w:rsidRPr="00296054" w14:paraId="53A62FB6" w14:textId="77777777" w:rsidTr="00A170A9">
        <w:tc>
          <w:tcPr>
            <w:tcW w:w="6658" w:type="dxa"/>
            <w:tcBorders>
              <w:top w:val="single" w:sz="4" w:space="0" w:color="auto"/>
              <w:left w:val="single" w:sz="4" w:space="0" w:color="auto"/>
              <w:bottom w:val="single" w:sz="4" w:space="0" w:color="auto"/>
              <w:right w:val="single" w:sz="4" w:space="0" w:color="auto"/>
            </w:tcBorders>
            <w:hideMark/>
          </w:tcPr>
          <w:p w14:paraId="636020A1" w14:textId="77777777" w:rsidR="0014509F" w:rsidRPr="00296054" w:rsidRDefault="0014509F" w:rsidP="00A170A9">
            <w:pPr>
              <w:jc w:val="both"/>
              <w:rPr>
                <w:rFonts w:ascii="Calibri Light" w:eastAsia="Calibri" w:hAnsi="Calibri Light"/>
                <w:color w:val="0070C0"/>
                <w:sz w:val="28"/>
                <w:szCs w:val="28"/>
              </w:rPr>
            </w:pPr>
            <w:r w:rsidRPr="00296054">
              <w:rPr>
                <w:rFonts w:ascii="Calibri Light" w:eastAsia="Calibri" w:hAnsi="Calibri Light"/>
                <w:color w:val="000000"/>
                <w:sz w:val="28"/>
                <w:szCs w:val="28"/>
              </w:rPr>
              <w:t>Elaboración de cambios y atención a comentarios de publicación, congreso y/o evaluador</w:t>
            </w:r>
            <w:r>
              <w:rPr>
                <w:rFonts w:ascii="Calibri Light" w:eastAsia="Calibri" w:hAnsi="Calibri Light"/>
                <w:color w:val="000000"/>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14:paraId="79D0A065" w14:textId="77777777" w:rsidR="0014509F" w:rsidRPr="00296054" w:rsidRDefault="0014509F" w:rsidP="00A170A9">
            <w:pPr>
              <w:jc w:val="both"/>
              <w:rPr>
                <w:rFonts w:ascii="Calibri Light" w:eastAsia="Calibri" w:hAnsi="Calibri Light"/>
                <w:color w:val="0070C0"/>
                <w:sz w:val="28"/>
                <w:szCs w:val="28"/>
              </w:rPr>
            </w:pPr>
            <w:r>
              <w:rPr>
                <w:rFonts w:ascii="Calibri Light" w:eastAsia="Calibri" w:hAnsi="Calibri Light"/>
                <w:color w:val="000000"/>
                <w:sz w:val="28"/>
                <w:szCs w:val="28"/>
              </w:rPr>
              <w:t xml:space="preserve">En función de las publicaciones o </w:t>
            </w:r>
            <w:r w:rsidRPr="00296054">
              <w:rPr>
                <w:rFonts w:ascii="Calibri Light" w:eastAsia="Calibri" w:hAnsi="Calibri Light"/>
                <w:color w:val="000000"/>
                <w:sz w:val="28"/>
                <w:szCs w:val="28"/>
              </w:rPr>
              <w:t>congresos</w:t>
            </w:r>
          </w:p>
        </w:tc>
      </w:tr>
    </w:tbl>
    <w:sdt>
      <w:sdtPr>
        <w:rPr>
          <w:rFonts w:asciiTheme="majorHAnsi" w:hAnsiTheme="majorHAnsi" w:cstheme="majorHAnsi"/>
          <w:color w:val="C45911" w:themeColor="accent2" w:themeShade="BF"/>
          <w:sz w:val="28"/>
          <w:szCs w:val="28"/>
        </w:rPr>
        <w:alias w:val="Nombre del Proyecto"/>
        <w:tag w:val="Nombre_x0020_del_x0020_Proyecto"/>
        <w:id w:val="1064214204"/>
        <w:placeholder>
          <w:docPart w:val="783CCD616EC749858E761E67260DE422"/>
        </w:placeholder>
        <w:dataBinding w:prefixMappings="xmlns:ns0='http://schemas.microsoft.com/office/2006/metadata/properties' xmlns:ns1='http://www.w3.org/2001/XMLSchema-instance' xmlns:ns2='http://schemas.microsoft.com/office/infopath/2007/PartnerControls' xmlns:ns3='293807b6-12d3-42cc-a250-7bb708d556b9' " w:xpath="/ns0:properties[1]/documentManagement[1]/ns3:Nombre_x0020_del_x0020_Proyecto[1]" w:storeItemID="{D43C7FE1-1104-4286-B957-32265D6B0D08}"/>
        <w:text/>
      </w:sdtPr>
      <w:sdtContent>
        <w:p w14:paraId="29813E0C" w14:textId="77777777" w:rsidR="0014509F" w:rsidRDefault="0014509F" w:rsidP="0014509F">
          <w:pPr>
            <w:keepNext/>
            <w:spacing w:after="100" w:afterAutospacing="1"/>
            <w:jc w:val="both"/>
            <w:rPr>
              <w:rFonts w:asciiTheme="majorHAnsi" w:hAnsiTheme="majorHAnsi" w:cstheme="majorHAnsi"/>
              <w:color w:val="C45911" w:themeColor="accent2" w:themeShade="BF"/>
              <w:sz w:val="28"/>
              <w:szCs w:val="28"/>
            </w:rPr>
          </w:pPr>
          <w:r>
            <w:rPr>
              <w:rFonts w:asciiTheme="majorHAnsi" w:hAnsiTheme="majorHAnsi" w:cstheme="majorHAnsi"/>
              <w:color w:val="C45911" w:themeColor="accent2" w:themeShade="BF"/>
              <w:sz w:val="28"/>
              <w:szCs w:val="28"/>
            </w:rPr>
            <w:t>Nuevos modelos disruptivos para los operadores de telecomunicaciones en un nuevo entorno digital</w:t>
          </w:r>
        </w:p>
      </w:sdtContent>
    </w:sdt>
    <w:p w14:paraId="5E361F89" w14:textId="77777777" w:rsidR="0014509F" w:rsidRDefault="0014509F" w:rsidP="0014509F">
      <w:pPr>
        <w:keepNext/>
        <w:spacing w:after="100" w:afterAutospacing="1"/>
        <w:jc w:val="both"/>
        <w:rPr>
          <w:rFonts w:asciiTheme="majorHAnsi" w:hAnsiTheme="majorHAnsi" w:cstheme="majorHAnsi"/>
          <w:color w:val="C45911" w:themeColor="accent2" w:themeShade="BF"/>
          <w:sz w:val="28"/>
          <w:szCs w:val="28"/>
        </w:rPr>
      </w:pPr>
      <w:r w:rsidRPr="00401FDE">
        <w:rPr>
          <w:rFonts w:asciiTheme="majorHAnsi" w:hAnsiTheme="majorHAnsi" w:cstheme="majorHAnsi"/>
          <w:color w:val="C45911" w:themeColor="accent2" w:themeShade="BF"/>
          <w:sz w:val="28"/>
          <w:szCs w:val="28"/>
        </w:rPr>
        <w:t xml:space="preserve">Dr. Oscar </w:t>
      </w:r>
      <w:proofErr w:type="spellStart"/>
      <w:r w:rsidRPr="00401FDE">
        <w:rPr>
          <w:rFonts w:asciiTheme="majorHAnsi" w:hAnsiTheme="majorHAnsi" w:cstheme="majorHAnsi"/>
          <w:color w:val="C45911" w:themeColor="accent2" w:themeShade="BF"/>
          <w:sz w:val="28"/>
          <w:szCs w:val="28"/>
        </w:rPr>
        <w:t>Saenz</w:t>
      </w:r>
      <w:proofErr w:type="spellEnd"/>
      <w:r w:rsidRPr="00401FDE">
        <w:rPr>
          <w:rFonts w:asciiTheme="majorHAnsi" w:hAnsiTheme="majorHAnsi" w:cstheme="majorHAnsi"/>
          <w:color w:val="C45911" w:themeColor="accent2" w:themeShade="BF"/>
          <w:sz w:val="28"/>
          <w:szCs w:val="28"/>
        </w:rPr>
        <w:t xml:space="preserve"> de Miera </w:t>
      </w:r>
      <w:proofErr w:type="spellStart"/>
      <w:r w:rsidRPr="00401FDE">
        <w:rPr>
          <w:rFonts w:asciiTheme="majorHAnsi" w:hAnsiTheme="majorHAnsi" w:cstheme="majorHAnsi"/>
          <w:color w:val="C45911" w:themeColor="accent2" w:themeShade="BF"/>
          <w:sz w:val="28"/>
          <w:szCs w:val="28"/>
        </w:rPr>
        <w:t>Berglind</w:t>
      </w:r>
      <w:proofErr w:type="spellEnd"/>
      <w:r w:rsidRPr="00401FDE">
        <w:rPr>
          <w:rStyle w:val="Refdenotaalpie"/>
          <w:rFonts w:asciiTheme="majorHAnsi" w:hAnsiTheme="majorHAnsi" w:cstheme="majorHAnsi"/>
          <w:color w:val="C45911" w:themeColor="accent2" w:themeShade="BF"/>
          <w:sz w:val="28"/>
          <w:szCs w:val="28"/>
        </w:rPr>
        <w:footnoteReference w:id="17"/>
      </w:r>
    </w:p>
    <w:p w14:paraId="5D64A80E" w14:textId="77777777" w:rsidR="0014509F" w:rsidRPr="00697377" w:rsidRDefault="0014509F" w:rsidP="0014509F">
      <w:pPr>
        <w:keepNext/>
        <w:spacing w:after="100" w:afterAutospacing="1"/>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Introducción</w:t>
      </w:r>
    </w:p>
    <w:p w14:paraId="79900064" w14:textId="77777777" w:rsidR="0014509F" w:rsidRDefault="0014509F" w:rsidP="00A170A9">
      <w:pPr>
        <w:pStyle w:val="estilo30"/>
        <w:spacing w:before="240" w:beforeAutospacing="0" w:after="240" w:afterAutospacing="0" w:line="276" w:lineRule="auto"/>
        <w:jc w:val="both"/>
        <w:rPr>
          <w:rFonts w:asciiTheme="majorHAnsi" w:hAnsiTheme="majorHAnsi" w:cstheme="majorHAnsi"/>
          <w:sz w:val="28"/>
          <w:szCs w:val="28"/>
        </w:rPr>
      </w:pPr>
      <w:r>
        <w:rPr>
          <w:rFonts w:asciiTheme="majorHAnsi" w:hAnsiTheme="majorHAnsi" w:cstheme="majorHAnsi"/>
          <w:sz w:val="28"/>
          <w:szCs w:val="28"/>
        </w:rPr>
        <w:t>Tradicionalmente,</w:t>
      </w:r>
      <w:r w:rsidRPr="00B477A4">
        <w:rPr>
          <w:rFonts w:asciiTheme="majorHAnsi" w:hAnsiTheme="majorHAnsi" w:cstheme="majorHAnsi"/>
          <w:sz w:val="28"/>
          <w:szCs w:val="28"/>
        </w:rPr>
        <w:t xml:space="preserve"> los operadores de redes telecomunicaciones </w:t>
      </w:r>
      <w:r>
        <w:rPr>
          <w:rFonts w:asciiTheme="majorHAnsi" w:hAnsiTheme="majorHAnsi" w:cstheme="majorHAnsi"/>
          <w:sz w:val="28"/>
          <w:szCs w:val="28"/>
        </w:rPr>
        <w:t>basaron su</w:t>
      </w:r>
      <w:r w:rsidRPr="00B477A4">
        <w:rPr>
          <w:rFonts w:asciiTheme="majorHAnsi" w:hAnsiTheme="majorHAnsi" w:cstheme="majorHAnsi"/>
          <w:sz w:val="28"/>
          <w:szCs w:val="28"/>
        </w:rPr>
        <w:t xml:space="preserve"> modelo de negocios en </w:t>
      </w:r>
      <w:r>
        <w:rPr>
          <w:rFonts w:asciiTheme="majorHAnsi" w:hAnsiTheme="majorHAnsi" w:cstheme="majorHAnsi"/>
          <w:sz w:val="28"/>
          <w:szCs w:val="28"/>
        </w:rPr>
        <w:t xml:space="preserve">la </w:t>
      </w:r>
      <w:r w:rsidRPr="00B477A4">
        <w:rPr>
          <w:rFonts w:asciiTheme="majorHAnsi" w:hAnsiTheme="majorHAnsi" w:cstheme="majorHAnsi"/>
          <w:sz w:val="28"/>
          <w:szCs w:val="28"/>
        </w:rPr>
        <w:t>monetiza</w:t>
      </w:r>
      <w:r>
        <w:rPr>
          <w:rFonts w:asciiTheme="majorHAnsi" w:hAnsiTheme="majorHAnsi" w:cstheme="majorHAnsi"/>
          <w:sz w:val="28"/>
          <w:szCs w:val="28"/>
        </w:rPr>
        <w:t>ción</w:t>
      </w:r>
      <w:r w:rsidRPr="00B477A4">
        <w:rPr>
          <w:rFonts w:asciiTheme="majorHAnsi" w:hAnsiTheme="majorHAnsi" w:cstheme="majorHAnsi"/>
          <w:sz w:val="28"/>
          <w:szCs w:val="28"/>
        </w:rPr>
        <w:t xml:space="preserve"> </w:t>
      </w:r>
      <w:r>
        <w:rPr>
          <w:rFonts w:asciiTheme="majorHAnsi" w:hAnsiTheme="majorHAnsi" w:cstheme="majorHAnsi"/>
          <w:sz w:val="28"/>
          <w:szCs w:val="28"/>
        </w:rPr>
        <w:t xml:space="preserve">de </w:t>
      </w:r>
      <w:r w:rsidRPr="00B477A4">
        <w:rPr>
          <w:rFonts w:asciiTheme="majorHAnsi" w:hAnsiTheme="majorHAnsi" w:cstheme="majorHAnsi"/>
          <w:sz w:val="28"/>
          <w:szCs w:val="28"/>
        </w:rPr>
        <w:t xml:space="preserve">servicios </w:t>
      </w:r>
      <w:r>
        <w:rPr>
          <w:rFonts w:asciiTheme="majorHAnsi" w:hAnsiTheme="majorHAnsi" w:cstheme="majorHAnsi"/>
          <w:sz w:val="28"/>
          <w:szCs w:val="28"/>
        </w:rPr>
        <w:t xml:space="preserve">de </w:t>
      </w:r>
      <w:r w:rsidRPr="00B477A4">
        <w:rPr>
          <w:rFonts w:asciiTheme="majorHAnsi" w:hAnsiTheme="majorHAnsi" w:cstheme="majorHAnsi"/>
          <w:sz w:val="28"/>
          <w:szCs w:val="28"/>
        </w:rPr>
        <w:t>voz, mensajes cortos, canales y contenidos de televisión restringida, compras de</w:t>
      </w:r>
      <w:r>
        <w:rPr>
          <w:rFonts w:asciiTheme="majorHAnsi" w:hAnsiTheme="majorHAnsi" w:cstheme="majorHAnsi"/>
          <w:sz w:val="28"/>
          <w:szCs w:val="28"/>
        </w:rPr>
        <w:t xml:space="preserve"> tonos, llamada tripartita, etc.,</w:t>
      </w:r>
      <w:r w:rsidRPr="00B477A4">
        <w:rPr>
          <w:rFonts w:asciiTheme="majorHAnsi" w:hAnsiTheme="majorHAnsi" w:cstheme="majorHAnsi"/>
          <w:sz w:val="28"/>
          <w:szCs w:val="28"/>
        </w:rPr>
        <w:t xml:space="preserve"> </w:t>
      </w:r>
      <w:r w:rsidRPr="00A170A9">
        <w:rPr>
          <w:rFonts w:ascii="Calibri Light" w:eastAsia="Calibri" w:hAnsi="Calibri Light"/>
          <w:color w:val="000000"/>
          <w:sz w:val="28"/>
          <w:szCs w:val="28"/>
        </w:rPr>
        <w:t>generando</w:t>
      </w:r>
      <w:r w:rsidRPr="00B477A4">
        <w:rPr>
          <w:rFonts w:asciiTheme="majorHAnsi" w:hAnsiTheme="majorHAnsi" w:cstheme="majorHAnsi"/>
          <w:sz w:val="28"/>
          <w:szCs w:val="28"/>
        </w:rPr>
        <w:t xml:space="preserve"> </w:t>
      </w:r>
      <w:r>
        <w:rPr>
          <w:rFonts w:asciiTheme="majorHAnsi" w:hAnsiTheme="majorHAnsi" w:cstheme="majorHAnsi"/>
          <w:sz w:val="28"/>
          <w:szCs w:val="28"/>
        </w:rPr>
        <w:t xml:space="preserve">sus </w:t>
      </w:r>
      <w:r w:rsidRPr="00B477A4">
        <w:rPr>
          <w:rFonts w:asciiTheme="majorHAnsi" w:hAnsiTheme="majorHAnsi" w:cstheme="majorHAnsi"/>
          <w:sz w:val="28"/>
          <w:szCs w:val="28"/>
        </w:rPr>
        <w:t xml:space="preserve">ingresos </w:t>
      </w:r>
      <w:r>
        <w:rPr>
          <w:rFonts w:asciiTheme="majorHAnsi" w:hAnsiTheme="majorHAnsi" w:cstheme="majorHAnsi"/>
          <w:sz w:val="28"/>
          <w:szCs w:val="28"/>
        </w:rPr>
        <w:t>a partir de</w:t>
      </w:r>
      <w:r w:rsidRPr="00B477A4">
        <w:rPr>
          <w:rFonts w:asciiTheme="majorHAnsi" w:hAnsiTheme="majorHAnsi" w:cstheme="majorHAnsi"/>
          <w:sz w:val="28"/>
          <w:szCs w:val="28"/>
        </w:rPr>
        <w:t xml:space="preserve"> la comercialización de dichos servicios y contenidos</w:t>
      </w:r>
      <w:r>
        <w:rPr>
          <w:rFonts w:asciiTheme="majorHAnsi" w:hAnsiTheme="majorHAnsi" w:cstheme="majorHAnsi"/>
          <w:sz w:val="28"/>
          <w:szCs w:val="28"/>
        </w:rPr>
        <w:t xml:space="preserve">. </w:t>
      </w:r>
      <w:r w:rsidRPr="00B477A4">
        <w:rPr>
          <w:rFonts w:asciiTheme="majorHAnsi" w:hAnsiTheme="majorHAnsi" w:cstheme="majorHAnsi"/>
          <w:sz w:val="28"/>
          <w:szCs w:val="28"/>
        </w:rPr>
        <w:t xml:space="preserve"> </w:t>
      </w:r>
      <w:r>
        <w:rPr>
          <w:rFonts w:asciiTheme="majorHAnsi" w:hAnsiTheme="majorHAnsi" w:cstheme="majorHAnsi"/>
          <w:sz w:val="28"/>
          <w:szCs w:val="28"/>
        </w:rPr>
        <w:t>D</w:t>
      </w:r>
      <w:r w:rsidRPr="00B477A4">
        <w:rPr>
          <w:rFonts w:asciiTheme="majorHAnsi" w:hAnsiTheme="majorHAnsi" w:cstheme="majorHAnsi"/>
          <w:sz w:val="28"/>
          <w:szCs w:val="28"/>
        </w:rPr>
        <w:t xml:space="preserve">urante los últimos años </w:t>
      </w:r>
      <w:r>
        <w:rPr>
          <w:rFonts w:asciiTheme="majorHAnsi" w:hAnsiTheme="majorHAnsi" w:cstheme="majorHAnsi"/>
          <w:sz w:val="28"/>
          <w:szCs w:val="28"/>
        </w:rPr>
        <w:t xml:space="preserve">han visto una transición </w:t>
      </w:r>
      <w:r w:rsidRPr="00B477A4">
        <w:rPr>
          <w:rFonts w:asciiTheme="majorHAnsi" w:hAnsiTheme="majorHAnsi" w:cstheme="majorHAnsi"/>
          <w:sz w:val="28"/>
          <w:szCs w:val="28"/>
        </w:rPr>
        <w:t xml:space="preserve">hacia un modelo </w:t>
      </w:r>
      <w:r>
        <w:rPr>
          <w:rFonts w:asciiTheme="majorHAnsi" w:hAnsiTheme="majorHAnsi" w:cstheme="majorHAnsi"/>
          <w:sz w:val="28"/>
          <w:szCs w:val="28"/>
        </w:rPr>
        <w:t>basado principalmente en la</w:t>
      </w:r>
      <w:r w:rsidRPr="00B477A4">
        <w:rPr>
          <w:rFonts w:asciiTheme="majorHAnsi" w:hAnsiTheme="majorHAnsi" w:cstheme="majorHAnsi"/>
          <w:sz w:val="28"/>
          <w:szCs w:val="28"/>
        </w:rPr>
        <w:t xml:space="preserve"> provisión de datos y acceso a internet</w:t>
      </w:r>
      <w:r>
        <w:rPr>
          <w:rFonts w:asciiTheme="majorHAnsi" w:hAnsiTheme="majorHAnsi" w:cstheme="majorHAnsi"/>
          <w:sz w:val="28"/>
          <w:szCs w:val="28"/>
        </w:rPr>
        <w:t>,</w:t>
      </w:r>
      <w:r w:rsidRPr="00B477A4">
        <w:rPr>
          <w:rFonts w:asciiTheme="majorHAnsi" w:hAnsiTheme="majorHAnsi" w:cstheme="majorHAnsi"/>
          <w:sz w:val="28"/>
          <w:szCs w:val="28"/>
        </w:rPr>
        <w:t xml:space="preserve"> en el </w:t>
      </w:r>
      <w:r>
        <w:rPr>
          <w:rFonts w:asciiTheme="majorHAnsi" w:hAnsiTheme="majorHAnsi" w:cstheme="majorHAnsi"/>
          <w:sz w:val="28"/>
          <w:szCs w:val="28"/>
        </w:rPr>
        <w:t>que</w:t>
      </w:r>
      <w:r w:rsidRPr="00B477A4">
        <w:rPr>
          <w:rFonts w:asciiTheme="majorHAnsi" w:hAnsiTheme="majorHAnsi" w:cstheme="majorHAnsi"/>
          <w:sz w:val="28"/>
          <w:szCs w:val="28"/>
        </w:rPr>
        <w:t xml:space="preserve"> no </w:t>
      </w:r>
      <w:r>
        <w:rPr>
          <w:rFonts w:asciiTheme="majorHAnsi" w:hAnsiTheme="majorHAnsi" w:cstheme="majorHAnsi"/>
          <w:sz w:val="28"/>
          <w:szCs w:val="28"/>
        </w:rPr>
        <w:t xml:space="preserve">son los principales beneficiarios del creciente desarrollo </w:t>
      </w:r>
      <w:r w:rsidRPr="00B477A4">
        <w:rPr>
          <w:rFonts w:asciiTheme="majorHAnsi" w:hAnsiTheme="majorHAnsi" w:cstheme="majorHAnsi"/>
          <w:sz w:val="28"/>
          <w:szCs w:val="28"/>
        </w:rPr>
        <w:t xml:space="preserve">de </w:t>
      </w:r>
      <w:r>
        <w:rPr>
          <w:rFonts w:asciiTheme="majorHAnsi" w:hAnsiTheme="majorHAnsi" w:cstheme="majorHAnsi"/>
          <w:sz w:val="28"/>
          <w:szCs w:val="28"/>
        </w:rPr>
        <w:t xml:space="preserve">los </w:t>
      </w:r>
      <w:r w:rsidRPr="00B477A4">
        <w:rPr>
          <w:rFonts w:asciiTheme="majorHAnsi" w:hAnsiTheme="majorHAnsi" w:cstheme="majorHAnsi"/>
          <w:sz w:val="28"/>
          <w:szCs w:val="28"/>
        </w:rPr>
        <w:t xml:space="preserve">servicios y aplicaciones </w:t>
      </w:r>
      <w:r>
        <w:rPr>
          <w:rFonts w:asciiTheme="majorHAnsi" w:hAnsiTheme="majorHAnsi" w:cstheme="majorHAnsi"/>
          <w:sz w:val="28"/>
          <w:szCs w:val="28"/>
        </w:rPr>
        <w:t xml:space="preserve">que ahora presentan un mayor valor agregado </w:t>
      </w:r>
      <w:r w:rsidRPr="00B477A4">
        <w:rPr>
          <w:rFonts w:asciiTheme="majorHAnsi" w:hAnsiTheme="majorHAnsi" w:cstheme="majorHAnsi"/>
          <w:sz w:val="28"/>
          <w:szCs w:val="28"/>
        </w:rPr>
        <w:t>(</w:t>
      </w:r>
      <w:r>
        <w:rPr>
          <w:rFonts w:asciiTheme="majorHAnsi" w:hAnsiTheme="majorHAnsi" w:cstheme="majorHAnsi"/>
          <w:sz w:val="28"/>
          <w:szCs w:val="28"/>
        </w:rPr>
        <w:t>servicios OTT</w:t>
      </w:r>
      <w:r w:rsidRPr="00B477A4">
        <w:rPr>
          <w:rFonts w:asciiTheme="majorHAnsi" w:hAnsiTheme="majorHAnsi" w:cstheme="majorHAnsi"/>
          <w:sz w:val="28"/>
          <w:szCs w:val="28"/>
        </w:rPr>
        <w:t xml:space="preserve">, </w:t>
      </w:r>
      <w:r w:rsidRPr="00071255">
        <w:rPr>
          <w:rFonts w:asciiTheme="majorHAnsi" w:hAnsiTheme="majorHAnsi" w:cstheme="majorHAnsi"/>
          <w:i/>
          <w:sz w:val="28"/>
          <w:szCs w:val="28"/>
        </w:rPr>
        <w:t>e-</w:t>
      </w:r>
      <w:proofErr w:type="spellStart"/>
      <w:r w:rsidRPr="00071255">
        <w:rPr>
          <w:rFonts w:asciiTheme="majorHAnsi" w:hAnsiTheme="majorHAnsi" w:cstheme="majorHAnsi"/>
          <w:i/>
          <w:sz w:val="28"/>
          <w:szCs w:val="28"/>
        </w:rPr>
        <w:t>commerce</w:t>
      </w:r>
      <w:proofErr w:type="spellEnd"/>
      <w:r w:rsidRPr="00B477A4">
        <w:rPr>
          <w:rFonts w:asciiTheme="majorHAnsi" w:hAnsiTheme="majorHAnsi" w:cstheme="majorHAnsi"/>
          <w:sz w:val="28"/>
          <w:szCs w:val="28"/>
        </w:rPr>
        <w:t>, servicios basados en localización, mega buscadores, etc</w:t>
      </w:r>
      <w:r>
        <w:rPr>
          <w:rFonts w:asciiTheme="majorHAnsi" w:hAnsiTheme="majorHAnsi" w:cstheme="majorHAnsi"/>
          <w:sz w:val="28"/>
          <w:szCs w:val="28"/>
        </w:rPr>
        <w:t>.</w:t>
      </w:r>
      <w:r w:rsidRPr="00B477A4">
        <w:rPr>
          <w:rFonts w:asciiTheme="majorHAnsi" w:hAnsiTheme="majorHAnsi" w:cstheme="majorHAnsi"/>
          <w:sz w:val="28"/>
          <w:szCs w:val="28"/>
        </w:rPr>
        <w:t>)</w:t>
      </w:r>
      <w:r>
        <w:rPr>
          <w:rFonts w:asciiTheme="majorHAnsi" w:hAnsiTheme="majorHAnsi" w:cstheme="majorHAnsi"/>
          <w:sz w:val="28"/>
          <w:szCs w:val="28"/>
        </w:rPr>
        <w:t>. En este nuevo esquema,</w:t>
      </w:r>
      <w:r w:rsidRPr="00B477A4">
        <w:rPr>
          <w:rFonts w:asciiTheme="majorHAnsi" w:hAnsiTheme="majorHAnsi" w:cstheme="majorHAnsi"/>
          <w:sz w:val="28"/>
          <w:szCs w:val="28"/>
        </w:rPr>
        <w:t xml:space="preserve"> sus ingresos dependen básicamente de la conectividad contratada </w:t>
      </w:r>
      <w:r>
        <w:rPr>
          <w:rFonts w:asciiTheme="majorHAnsi" w:hAnsiTheme="majorHAnsi" w:cstheme="majorHAnsi"/>
          <w:sz w:val="28"/>
          <w:szCs w:val="28"/>
        </w:rPr>
        <w:t xml:space="preserve">y no tanto </w:t>
      </w:r>
      <w:r w:rsidRPr="00B477A4">
        <w:rPr>
          <w:rFonts w:asciiTheme="majorHAnsi" w:hAnsiTheme="majorHAnsi" w:cstheme="majorHAnsi"/>
          <w:sz w:val="28"/>
          <w:szCs w:val="28"/>
        </w:rPr>
        <w:t xml:space="preserve">de la comercialización de los servicios y contenidos que se </w:t>
      </w:r>
      <w:r>
        <w:rPr>
          <w:rFonts w:asciiTheme="majorHAnsi" w:hAnsiTheme="majorHAnsi" w:cstheme="majorHAnsi"/>
          <w:sz w:val="28"/>
          <w:szCs w:val="28"/>
        </w:rPr>
        <w:t>consumen</w:t>
      </w:r>
      <w:r w:rsidRPr="00B477A4">
        <w:rPr>
          <w:rFonts w:asciiTheme="majorHAnsi" w:hAnsiTheme="majorHAnsi" w:cstheme="majorHAnsi"/>
          <w:sz w:val="28"/>
          <w:szCs w:val="28"/>
        </w:rPr>
        <w:t xml:space="preserve"> </w:t>
      </w:r>
      <w:r>
        <w:rPr>
          <w:rFonts w:asciiTheme="majorHAnsi" w:hAnsiTheme="majorHAnsi" w:cstheme="majorHAnsi"/>
          <w:sz w:val="28"/>
          <w:szCs w:val="28"/>
        </w:rPr>
        <w:t xml:space="preserve">gracias a la conectividad y transmisión de datos a través de </w:t>
      </w:r>
      <w:r w:rsidRPr="00B477A4">
        <w:rPr>
          <w:rFonts w:asciiTheme="majorHAnsi" w:hAnsiTheme="majorHAnsi" w:cstheme="majorHAnsi"/>
          <w:sz w:val="28"/>
          <w:szCs w:val="28"/>
        </w:rPr>
        <w:t>la</w:t>
      </w:r>
      <w:r>
        <w:rPr>
          <w:rFonts w:asciiTheme="majorHAnsi" w:hAnsiTheme="majorHAnsi" w:cstheme="majorHAnsi"/>
          <w:sz w:val="28"/>
          <w:szCs w:val="28"/>
        </w:rPr>
        <w:t>s</w:t>
      </w:r>
      <w:r w:rsidRPr="00B477A4">
        <w:rPr>
          <w:rFonts w:asciiTheme="majorHAnsi" w:hAnsiTheme="majorHAnsi" w:cstheme="majorHAnsi"/>
          <w:sz w:val="28"/>
          <w:szCs w:val="28"/>
        </w:rPr>
        <w:t xml:space="preserve"> red</w:t>
      </w:r>
      <w:r>
        <w:rPr>
          <w:rFonts w:asciiTheme="majorHAnsi" w:hAnsiTheme="majorHAnsi" w:cstheme="majorHAnsi"/>
          <w:sz w:val="28"/>
          <w:szCs w:val="28"/>
        </w:rPr>
        <w:t>es</w:t>
      </w:r>
      <w:r w:rsidRPr="00B477A4">
        <w:rPr>
          <w:rFonts w:asciiTheme="majorHAnsi" w:hAnsiTheme="majorHAnsi" w:cstheme="majorHAnsi"/>
          <w:sz w:val="28"/>
          <w:szCs w:val="28"/>
        </w:rPr>
        <w:t>.</w:t>
      </w:r>
      <w:r>
        <w:rPr>
          <w:rFonts w:asciiTheme="majorHAnsi" w:hAnsiTheme="majorHAnsi" w:cstheme="majorHAnsi"/>
          <w:sz w:val="28"/>
          <w:szCs w:val="28"/>
        </w:rPr>
        <w:t xml:space="preserve"> </w:t>
      </w:r>
    </w:p>
    <w:p w14:paraId="246BFE55" w14:textId="77777777" w:rsidR="0014509F" w:rsidRDefault="0014509F" w:rsidP="00A170A9">
      <w:pPr>
        <w:pStyle w:val="estilo30"/>
        <w:spacing w:before="240" w:beforeAutospacing="0" w:after="240" w:afterAutospacing="0" w:line="276" w:lineRule="auto"/>
        <w:jc w:val="both"/>
        <w:rPr>
          <w:rFonts w:asciiTheme="majorHAnsi" w:hAnsiTheme="majorHAnsi" w:cstheme="majorHAnsi"/>
          <w:sz w:val="28"/>
          <w:szCs w:val="28"/>
        </w:rPr>
      </w:pPr>
      <w:r w:rsidRPr="00C820DA">
        <w:rPr>
          <w:rFonts w:asciiTheme="majorHAnsi" w:hAnsiTheme="majorHAnsi" w:cstheme="majorHAnsi"/>
          <w:sz w:val="28"/>
          <w:szCs w:val="28"/>
        </w:rPr>
        <w:t>Este fenómeno ha prevalecido</w:t>
      </w:r>
      <w:r>
        <w:rPr>
          <w:rFonts w:asciiTheme="majorHAnsi" w:hAnsiTheme="majorHAnsi" w:cstheme="majorHAnsi"/>
          <w:sz w:val="28"/>
          <w:szCs w:val="28"/>
        </w:rPr>
        <w:t>,</w:t>
      </w:r>
      <w:r w:rsidRPr="00C820DA">
        <w:rPr>
          <w:rFonts w:asciiTheme="majorHAnsi" w:hAnsiTheme="majorHAnsi" w:cstheme="majorHAnsi"/>
          <w:sz w:val="28"/>
          <w:szCs w:val="28"/>
        </w:rPr>
        <w:t xml:space="preserve"> en </w:t>
      </w:r>
      <w:r>
        <w:rPr>
          <w:rFonts w:asciiTheme="majorHAnsi" w:hAnsiTheme="majorHAnsi" w:cstheme="majorHAnsi"/>
          <w:sz w:val="28"/>
          <w:szCs w:val="28"/>
        </w:rPr>
        <w:t>buena medida</w:t>
      </w:r>
      <w:r w:rsidRPr="00C820DA">
        <w:rPr>
          <w:rFonts w:asciiTheme="majorHAnsi" w:hAnsiTheme="majorHAnsi" w:cstheme="majorHAnsi"/>
          <w:sz w:val="28"/>
          <w:szCs w:val="28"/>
        </w:rPr>
        <w:t xml:space="preserve">, </w:t>
      </w:r>
      <w:r>
        <w:rPr>
          <w:rFonts w:asciiTheme="majorHAnsi" w:hAnsiTheme="majorHAnsi" w:cstheme="majorHAnsi"/>
          <w:sz w:val="28"/>
          <w:szCs w:val="28"/>
        </w:rPr>
        <w:t>gracias a</w:t>
      </w:r>
      <w:r w:rsidRPr="00C820DA">
        <w:rPr>
          <w:rFonts w:asciiTheme="majorHAnsi" w:hAnsiTheme="majorHAnsi" w:cstheme="majorHAnsi"/>
          <w:sz w:val="28"/>
          <w:szCs w:val="28"/>
        </w:rPr>
        <w:t xml:space="preserve">l </w:t>
      </w:r>
      <w:r>
        <w:rPr>
          <w:rFonts w:asciiTheme="majorHAnsi" w:hAnsiTheme="majorHAnsi" w:cstheme="majorHAnsi"/>
          <w:sz w:val="28"/>
          <w:szCs w:val="28"/>
        </w:rPr>
        <w:t>esquema</w:t>
      </w:r>
      <w:r w:rsidRPr="00C820DA">
        <w:rPr>
          <w:rFonts w:asciiTheme="majorHAnsi" w:hAnsiTheme="majorHAnsi" w:cstheme="majorHAnsi"/>
          <w:sz w:val="28"/>
          <w:szCs w:val="28"/>
        </w:rPr>
        <w:t xml:space="preserve"> de internet abierto</w:t>
      </w:r>
      <w:r>
        <w:rPr>
          <w:rFonts w:asciiTheme="majorHAnsi" w:hAnsiTheme="majorHAnsi" w:cstheme="majorHAnsi"/>
          <w:sz w:val="28"/>
          <w:szCs w:val="28"/>
        </w:rPr>
        <w:t xml:space="preserve"> y</w:t>
      </w:r>
      <w:r w:rsidRPr="00C820DA">
        <w:rPr>
          <w:rFonts w:asciiTheme="majorHAnsi" w:hAnsiTheme="majorHAnsi" w:cstheme="majorHAnsi"/>
          <w:sz w:val="28"/>
          <w:szCs w:val="28"/>
        </w:rPr>
        <w:t xml:space="preserve"> </w:t>
      </w:r>
      <w:r>
        <w:rPr>
          <w:rFonts w:asciiTheme="majorHAnsi" w:hAnsiTheme="majorHAnsi" w:cstheme="majorHAnsi"/>
          <w:sz w:val="28"/>
          <w:szCs w:val="28"/>
        </w:rPr>
        <w:t xml:space="preserve">a </w:t>
      </w:r>
      <w:r w:rsidRPr="00C820DA">
        <w:rPr>
          <w:rFonts w:asciiTheme="majorHAnsi" w:hAnsiTheme="majorHAnsi" w:cstheme="majorHAnsi"/>
          <w:sz w:val="28"/>
          <w:szCs w:val="28"/>
        </w:rPr>
        <w:t>mecanismos como la neutralidad</w:t>
      </w:r>
      <w:r>
        <w:rPr>
          <w:rFonts w:asciiTheme="majorHAnsi" w:hAnsiTheme="majorHAnsi" w:cstheme="majorHAnsi"/>
          <w:sz w:val="28"/>
          <w:szCs w:val="28"/>
        </w:rPr>
        <w:t xml:space="preserve"> de las redes, los cuales</w:t>
      </w:r>
      <w:r w:rsidRPr="00C820DA">
        <w:rPr>
          <w:rFonts w:asciiTheme="majorHAnsi" w:hAnsiTheme="majorHAnsi" w:cstheme="majorHAnsi"/>
          <w:sz w:val="28"/>
          <w:szCs w:val="28"/>
        </w:rPr>
        <w:t xml:space="preserve"> </w:t>
      </w:r>
      <w:r>
        <w:rPr>
          <w:rFonts w:asciiTheme="majorHAnsi" w:hAnsiTheme="majorHAnsi" w:cstheme="majorHAnsi"/>
          <w:sz w:val="28"/>
          <w:szCs w:val="28"/>
        </w:rPr>
        <w:t xml:space="preserve">fueron </w:t>
      </w:r>
      <w:r w:rsidRPr="00C820DA">
        <w:rPr>
          <w:rFonts w:asciiTheme="majorHAnsi" w:hAnsiTheme="majorHAnsi" w:cstheme="majorHAnsi"/>
          <w:sz w:val="28"/>
          <w:szCs w:val="28"/>
        </w:rPr>
        <w:t xml:space="preserve">gestados </w:t>
      </w:r>
      <w:r w:rsidRPr="00A170A9">
        <w:rPr>
          <w:rFonts w:ascii="Calibri Light" w:eastAsia="Calibri" w:hAnsi="Calibri Light"/>
          <w:color w:val="000000"/>
          <w:sz w:val="28"/>
          <w:szCs w:val="28"/>
        </w:rPr>
        <w:t>inicialmente</w:t>
      </w:r>
      <w:r>
        <w:rPr>
          <w:rFonts w:asciiTheme="majorHAnsi" w:hAnsiTheme="majorHAnsi" w:cstheme="majorHAnsi"/>
          <w:sz w:val="28"/>
          <w:szCs w:val="28"/>
        </w:rPr>
        <w:t xml:space="preserve"> para proteger la competencia</w:t>
      </w:r>
      <w:r w:rsidRPr="00C820DA">
        <w:rPr>
          <w:rFonts w:asciiTheme="majorHAnsi" w:hAnsiTheme="majorHAnsi" w:cstheme="majorHAnsi"/>
          <w:sz w:val="28"/>
          <w:szCs w:val="28"/>
        </w:rPr>
        <w:t xml:space="preserve">, los derechos de los usuarios y la “libertad” de </w:t>
      </w:r>
      <w:r>
        <w:rPr>
          <w:rFonts w:asciiTheme="majorHAnsi" w:hAnsiTheme="majorHAnsi" w:cstheme="majorHAnsi"/>
          <w:sz w:val="28"/>
          <w:szCs w:val="28"/>
        </w:rPr>
        <w:t>I</w:t>
      </w:r>
      <w:r w:rsidRPr="00C820DA">
        <w:rPr>
          <w:rFonts w:asciiTheme="majorHAnsi" w:hAnsiTheme="majorHAnsi" w:cstheme="majorHAnsi"/>
          <w:sz w:val="28"/>
          <w:szCs w:val="28"/>
        </w:rPr>
        <w:t>nternet</w:t>
      </w:r>
      <w:r>
        <w:rPr>
          <w:rFonts w:asciiTheme="majorHAnsi" w:hAnsiTheme="majorHAnsi" w:cstheme="majorHAnsi"/>
          <w:sz w:val="28"/>
          <w:szCs w:val="28"/>
        </w:rPr>
        <w:t>. Es más, se reconoce que esta última</w:t>
      </w:r>
      <w:r w:rsidRPr="00C820DA">
        <w:rPr>
          <w:rFonts w:asciiTheme="majorHAnsi" w:hAnsiTheme="majorHAnsi" w:cstheme="majorHAnsi"/>
          <w:sz w:val="28"/>
          <w:szCs w:val="28"/>
        </w:rPr>
        <w:t xml:space="preserve"> ha favorecido la innovación y el surgimiento de nuevas aplicaciones y servicios. </w:t>
      </w:r>
      <w:r>
        <w:rPr>
          <w:rFonts w:asciiTheme="majorHAnsi" w:hAnsiTheme="majorHAnsi" w:cstheme="majorHAnsi"/>
          <w:sz w:val="28"/>
          <w:szCs w:val="28"/>
        </w:rPr>
        <w:t xml:space="preserve">Pese a ello, con el incremento en el </w:t>
      </w:r>
      <w:r w:rsidRPr="00C820DA">
        <w:rPr>
          <w:rFonts w:asciiTheme="majorHAnsi" w:hAnsiTheme="majorHAnsi" w:cstheme="majorHAnsi"/>
          <w:sz w:val="28"/>
          <w:szCs w:val="28"/>
        </w:rPr>
        <w:t>consumo de datos</w:t>
      </w:r>
      <w:r>
        <w:rPr>
          <w:rFonts w:asciiTheme="majorHAnsi" w:hAnsiTheme="majorHAnsi" w:cstheme="majorHAnsi"/>
          <w:sz w:val="28"/>
          <w:szCs w:val="28"/>
        </w:rPr>
        <w:t>,</w:t>
      </w:r>
      <w:r w:rsidRPr="00C820DA">
        <w:rPr>
          <w:rFonts w:asciiTheme="majorHAnsi" w:hAnsiTheme="majorHAnsi" w:cstheme="majorHAnsi"/>
          <w:sz w:val="28"/>
          <w:szCs w:val="28"/>
        </w:rPr>
        <w:t xml:space="preserve"> </w:t>
      </w:r>
      <w:r>
        <w:rPr>
          <w:rFonts w:asciiTheme="majorHAnsi" w:hAnsiTheme="majorHAnsi" w:cstheme="majorHAnsi"/>
          <w:sz w:val="28"/>
          <w:szCs w:val="28"/>
        </w:rPr>
        <w:t>los operad</w:t>
      </w:r>
      <w:r w:rsidRPr="00C820DA">
        <w:rPr>
          <w:rFonts w:asciiTheme="majorHAnsi" w:hAnsiTheme="majorHAnsi" w:cstheme="majorHAnsi"/>
          <w:sz w:val="28"/>
          <w:szCs w:val="28"/>
        </w:rPr>
        <w:t xml:space="preserve">ores argumentan que sus incentivos </w:t>
      </w:r>
      <w:r w:rsidRPr="00C820DA">
        <w:rPr>
          <w:rFonts w:asciiTheme="majorHAnsi" w:hAnsiTheme="majorHAnsi" w:cstheme="majorHAnsi"/>
          <w:sz w:val="28"/>
          <w:szCs w:val="28"/>
        </w:rPr>
        <w:lastRenderedPageBreak/>
        <w:t>a invertir se ven mermados ya que la monetización indirecta</w:t>
      </w:r>
      <w:r>
        <w:rPr>
          <w:rFonts w:asciiTheme="majorHAnsi" w:hAnsiTheme="majorHAnsi" w:cstheme="majorHAnsi"/>
          <w:sz w:val="28"/>
          <w:szCs w:val="28"/>
        </w:rPr>
        <w:t xml:space="preserve"> que les corresponde como resultado</w:t>
      </w:r>
      <w:r w:rsidRPr="00C820DA">
        <w:rPr>
          <w:rFonts w:asciiTheme="majorHAnsi" w:hAnsiTheme="majorHAnsi" w:cstheme="majorHAnsi"/>
          <w:sz w:val="28"/>
          <w:szCs w:val="28"/>
        </w:rPr>
        <w:t xml:space="preserve"> </w:t>
      </w:r>
      <w:r>
        <w:rPr>
          <w:rFonts w:asciiTheme="majorHAnsi" w:hAnsiTheme="majorHAnsi" w:cstheme="majorHAnsi"/>
          <w:sz w:val="28"/>
          <w:szCs w:val="28"/>
        </w:rPr>
        <w:t>de</w:t>
      </w:r>
      <w:r w:rsidRPr="00C820DA">
        <w:rPr>
          <w:rFonts w:asciiTheme="majorHAnsi" w:hAnsiTheme="majorHAnsi" w:cstheme="majorHAnsi"/>
          <w:sz w:val="28"/>
          <w:szCs w:val="28"/>
        </w:rPr>
        <w:t xml:space="preserve"> este mayor consumo no es suficiente.</w:t>
      </w:r>
    </w:p>
    <w:p w14:paraId="5E08BC0C" w14:textId="77777777" w:rsidR="0014509F" w:rsidRDefault="0014509F" w:rsidP="00A170A9">
      <w:pPr>
        <w:pStyle w:val="estilo30"/>
        <w:spacing w:before="240" w:beforeAutospacing="0" w:after="240" w:afterAutospacing="0" w:line="276" w:lineRule="auto"/>
        <w:jc w:val="both"/>
        <w:rPr>
          <w:rFonts w:asciiTheme="majorHAnsi" w:hAnsiTheme="majorHAnsi" w:cstheme="majorHAnsi"/>
          <w:sz w:val="28"/>
          <w:szCs w:val="28"/>
        </w:rPr>
      </w:pPr>
      <w:r>
        <w:rPr>
          <w:rFonts w:asciiTheme="majorHAnsi" w:hAnsiTheme="majorHAnsi" w:cstheme="majorHAnsi"/>
          <w:sz w:val="28"/>
          <w:szCs w:val="28"/>
        </w:rPr>
        <w:t xml:space="preserve">El </w:t>
      </w:r>
      <w:proofErr w:type="spellStart"/>
      <w:r>
        <w:rPr>
          <w:rFonts w:asciiTheme="majorHAnsi" w:hAnsiTheme="majorHAnsi" w:cstheme="majorHAnsi"/>
          <w:sz w:val="28"/>
          <w:szCs w:val="28"/>
        </w:rPr>
        <w:t>IoT</w:t>
      </w:r>
      <w:proofErr w:type="spellEnd"/>
      <w:r w:rsidRPr="00C820DA">
        <w:rPr>
          <w:rFonts w:asciiTheme="majorHAnsi" w:hAnsiTheme="majorHAnsi" w:cstheme="majorHAnsi"/>
          <w:sz w:val="28"/>
          <w:szCs w:val="28"/>
        </w:rPr>
        <w:t>, las redes de 5G y los servicios basados en la nube p</w:t>
      </w:r>
      <w:r>
        <w:rPr>
          <w:rFonts w:asciiTheme="majorHAnsi" w:hAnsiTheme="majorHAnsi" w:cstheme="majorHAnsi"/>
          <w:sz w:val="28"/>
          <w:szCs w:val="28"/>
        </w:rPr>
        <w:t>odrían cambiar este paradigma, planteando oportunidades para que los operadores de redes puedan participar en el nuevo entorno mediante la implementación de nuevos modelos de negocio.</w:t>
      </w:r>
      <w:r w:rsidRPr="00C820DA">
        <w:rPr>
          <w:rFonts w:asciiTheme="majorHAnsi" w:hAnsiTheme="majorHAnsi" w:cstheme="majorHAnsi"/>
          <w:sz w:val="28"/>
          <w:szCs w:val="28"/>
        </w:rPr>
        <w:t xml:space="preserve"> </w:t>
      </w:r>
      <w:r>
        <w:rPr>
          <w:rFonts w:asciiTheme="majorHAnsi" w:hAnsiTheme="majorHAnsi" w:cstheme="majorHAnsi"/>
          <w:sz w:val="28"/>
          <w:szCs w:val="28"/>
        </w:rPr>
        <w:t xml:space="preserve">Por ejemplo, </w:t>
      </w:r>
      <w:r w:rsidRPr="00C820DA">
        <w:rPr>
          <w:rFonts w:asciiTheme="majorHAnsi" w:hAnsiTheme="majorHAnsi" w:cstheme="majorHAnsi"/>
          <w:sz w:val="28"/>
          <w:szCs w:val="28"/>
        </w:rPr>
        <w:t xml:space="preserve">podrán ofrecer conexiones o </w:t>
      </w:r>
      <w:r>
        <w:rPr>
          <w:rFonts w:asciiTheme="majorHAnsi" w:hAnsiTheme="majorHAnsi" w:cstheme="majorHAnsi"/>
          <w:sz w:val="28"/>
          <w:szCs w:val="28"/>
        </w:rPr>
        <w:t>servicios de conectividad especí</w:t>
      </w:r>
      <w:r w:rsidRPr="00C820DA">
        <w:rPr>
          <w:rFonts w:asciiTheme="majorHAnsi" w:hAnsiTheme="majorHAnsi" w:cstheme="majorHAnsi"/>
          <w:sz w:val="28"/>
          <w:szCs w:val="28"/>
        </w:rPr>
        <w:t>fica requerida para los nuevos servicios especializados (vehículos autónomos, distribución de contenidos 4K, monitorización de salud, etc</w:t>
      </w:r>
      <w:r>
        <w:rPr>
          <w:rFonts w:asciiTheme="majorHAnsi" w:hAnsiTheme="majorHAnsi" w:cstheme="majorHAnsi"/>
          <w:sz w:val="28"/>
          <w:szCs w:val="28"/>
        </w:rPr>
        <w:t>.</w:t>
      </w:r>
      <w:r w:rsidRPr="00C820DA">
        <w:rPr>
          <w:rFonts w:asciiTheme="majorHAnsi" w:hAnsiTheme="majorHAnsi" w:cstheme="majorHAnsi"/>
          <w:sz w:val="28"/>
          <w:szCs w:val="28"/>
        </w:rPr>
        <w:t>)</w:t>
      </w:r>
      <w:r>
        <w:rPr>
          <w:rFonts w:asciiTheme="majorHAnsi" w:hAnsiTheme="majorHAnsi" w:cstheme="majorHAnsi"/>
          <w:sz w:val="28"/>
          <w:szCs w:val="28"/>
        </w:rPr>
        <w:t>,</w:t>
      </w:r>
      <w:r w:rsidRPr="00C820DA">
        <w:rPr>
          <w:rFonts w:asciiTheme="majorHAnsi" w:hAnsiTheme="majorHAnsi" w:cstheme="majorHAnsi"/>
          <w:sz w:val="28"/>
          <w:szCs w:val="28"/>
        </w:rPr>
        <w:t xml:space="preserve"> los cuales estarán vinculados a </w:t>
      </w:r>
      <w:r w:rsidRPr="00A170A9">
        <w:rPr>
          <w:rFonts w:ascii="Calibri Light" w:eastAsia="Calibri" w:hAnsi="Calibri Light"/>
          <w:color w:val="000000"/>
          <w:sz w:val="28"/>
          <w:szCs w:val="28"/>
        </w:rPr>
        <w:t>dispositivos</w:t>
      </w:r>
      <w:r w:rsidRPr="00C820DA">
        <w:rPr>
          <w:rFonts w:asciiTheme="majorHAnsi" w:hAnsiTheme="majorHAnsi" w:cstheme="majorHAnsi"/>
          <w:sz w:val="28"/>
          <w:szCs w:val="28"/>
        </w:rPr>
        <w:t xml:space="preserve"> especializado (sensores, </w:t>
      </w:r>
      <w:r w:rsidRPr="00071255">
        <w:rPr>
          <w:rFonts w:asciiTheme="majorHAnsi" w:hAnsiTheme="majorHAnsi" w:cstheme="majorHAnsi"/>
          <w:i/>
          <w:sz w:val="28"/>
          <w:szCs w:val="28"/>
        </w:rPr>
        <w:t>set up boxes</w:t>
      </w:r>
      <w:r w:rsidRPr="00C820DA">
        <w:rPr>
          <w:rFonts w:asciiTheme="majorHAnsi" w:hAnsiTheme="majorHAnsi" w:cstheme="majorHAnsi"/>
          <w:sz w:val="28"/>
          <w:szCs w:val="28"/>
        </w:rPr>
        <w:t xml:space="preserve">, transmisores de vehículos autónomos, sensores </w:t>
      </w:r>
      <w:r w:rsidRPr="00071255">
        <w:rPr>
          <w:rFonts w:asciiTheme="majorHAnsi" w:hAnsiTheme="majorHAnsi" w:cstheme="majorHAnsi"/>
          <w:i/>
          <w:sz w:val="28"/>
          <w:szCs w:val="28"/>
        </w:rPr>
        <w:t>wearables</w:t>
      </w:r>
      <w:r w:rsidRPr="00C820DA">
        <w:rPr>
          <w:rFonts w:asciiTheme="majorHAnsi" w:hAnsiTheme="majorHAnsi" w:cstheme="majorHAnsi"/>
          <w:sz w:val="28"/>
          <w:szCs w:val="28"/>
        </w:rPr>
        <w:t>, etc</w:t>
      </w:r>
      <w:r>
        <w:rPr>
          <w:rFonts w:asciiTheme="majorHAnsi" w:hAnsiTheme="majorHAnsi" w:cstheme="majorHAnsi"/>
          <w:sz w:val="28"/>
          <w:szCs w:val="28"/>
        </w:rPr>
        <w:t>.</w:t>
      </w:r>
      <w:r w:rsidRPr="00C820DA">
        <w:rPr>
          <w:rFonts w:asciiTheme="majorHAnsi" w:hAnsiTheme="majorHAnsi" w:cstheme="majorHAnsi"/>
          <w:sz w:val="28"/>
          <w:szCs w:val="28"/>
        </w:rPr>
        <w:t>)</w:t>
      </w:r>
      <w:r>
        <w:rPr>
          <w:rFonts w:asciiTheme="majorHAnsi" w:hAnsiTheme="majorHAnsi" w:cstheme="majorHAnsi"/>
          <w:sz w:val="28"/>
          <w:szCs w:val="28"/>
        </w:rPr>
        <w:t>. Lo anterior,</w:t>
      </w:r>
      <w:r w:rsidRPr="00C820DA">
        <w:rPr>
          <w:rFonts w:asciiTheme="majorHAnsi" w:hAnsiTheme="majorHAnsi" w:cstheme="majorHAnsi"/>
          <w:sz w:val="28"/>
          <w:szCs w:val="28"/>
        </w:rPr>
        <w:t xml:space="preserve"> en</w:t>
      </w:r>
      <w:r>
        <w:rPr>
          <w:rFonts w:asciiTheme="majorHAnsi" w:hAnsiTheme="majorHAnsi" w:cstheme="majorHAnsi"/>
          <w:sz w:val="28"/>
          <w:szCs w:val="28"/>
        </w:rPr>
        <w:t xml:space="preserve"> vez de simplemente</w:t>
      </w:r>
      <w:r w:rsidRPr="00C820DA">
        <w:rPr>
          <w:rFonts w:asciiTheme="majorHAnsi" w:hAnsiTheme="majorHAnsi" w:cstheme="majorHAnsi"/>
          <w:sz w:val="28"/>
          <w:szCs w:val="28"/>
        </w:rPr>
        <w:t xml:space="preserve"> ofrecer servicios de acceso a internet de distinta capacidad de transición. Esto resulta en un escenario en el que los usuarios en lugar de contratar única</w:t>
      </w:r>
      <w:r>
        <w:rPr>
          <w:rFonts w:asciiTheme="majorHAnsi" w:hAnsiTheme="majorHAnsi" w:cstheme="majorHAnsi"/>
          <w:sz w:val="28"/>
          <w:szCs w:val="28"/>
        </w:rPr>
        <w:t>mente</w:t>
      </w:r>
      <w:r w:rsidRPr="00C820DA">
        <w:rPr>
          <w:rFonts w:asciiTheme="majorHAnsi" w:hAnsiTheme="majorHAnsi" w:cstheme="majorHAnsi"/>
          <w:sz w:val="28"/>
          <w:szCs w:val="28"/>
        </w:rPr>
        <w:t xml:space="preserve"> una conexión a Internet de cierta capacidad mediante la cual consumen los distintos servicios (OTT, LBS, mega</w:t>
      </w:r>
      <w:r>
        <w:rPr>
          <w:rFonts w:asciiTheme="majorHAnsi" w:hAnsiTheme="majorHAnsi" w:cstheme="majorHAnsi"/>
          <w:sz w:val="28"/>
          <w:szCs w:val="28"/>
        </w:rPr>
        <w:t xml:space="preserve"> </w:t>
      </w:r>
      <w:r w:rsidRPr="00C820DA">
        <w:rPr>
          <w:rFonts w:asciiTheme="majorHAnsi" w:hAnsiTheme="majorHAnsi" w:cstheme="majorHAnsi"/>
          <w:sz w:val="28"/>
          <w:szCs w:val="28"/>
        </w:rPr>
        <w:t>buscadores), tendrán diversas conexiones con características distintas (una para la conducción de autos, otra para la recepción de contenido 4K, etc</w:t>
      </w:r>
      <w:r>
        <w:rPr>
          <w:rFonts w:asciiTheme="majorHAnsi" w:hAnsiTheme="majorHAnsi" w:cstheme="majorHAnsi"/>
          <w:sz w:val="28"/>
          <w:szCs w:val="28"/>
        </w:rPr>
        <w:t>.).</w:t>
      </w:r>
    </w:p>
    <w:p w14:paraId="102308E8" w14:textId="77777777" w:rsidR="0014509F" w:rsidRDefault="0014509F" w:rsidP="00AC05DA">
      <w:pPr>
        <w:contextualSpacing/>
        <w:jc w:val="both"/>
        <w:rPr>
          <w:rFonts w:asciiTheme="majorHAnsi" w:hAnsiTheme="majorHAnsi" w:cstheme="majorHAnsi"/>
          <w:sz w:val="28"/>
          <w:szCs w:val="28"/>
        </w:rPr>
      </w:pPr>
      <w:r>
        <w:rPr>
          <w:rFonts w:ascii="Calibri Light" w:eastAsia="Calibri" w:hAnsi="Calibri Light" w:cs="Calibri Light"/>
          <w:color w:val="3476B1"/>
          <w:sz w:val="28"/>
          <w:szCs w:val="28"/>
        </w:rPr>
        <w:t>Objetivo</w:t>
      </w:r>
    </w:p>
    <w:p w14:paraId="2B195904" w14:textId="77777777" w:rsidR="0014509F" w:rsidRDefault="0014509F" w:rsidP="00A170A9">
      <w:pPr>
        <w:pStyle w:val="estilo30"/>
        <w:spacing w:before="240" w:beforeAutospacing="0" w:after="240" w:afterAutospacing="0" w:line="276" w:lineRule="auto"/>
        <w:jc w:val="both"/>
        <w:rPr>
          <w:rFonts w:asciiTheme="majorHAnsi" w:hAnsiTheme="majorHAnsi" w:cstheme="majorHAnsi"/>
          <w:sz w:val="28"/>
          <w:szCs w:val="28"/>
        </w:rPr>
      </w:pPr>
      <w:r>
        <w:rPr>
          <w:rFonts w:asciiTheme="majorHAnsi" w:hAnsiTheme="majorHAnsi" w:cstheme="majorHAnsi"/>
          <w:sz w:val="28"/>
          <w:szCs w:val="28"/>
        </w:rPr>
        <w:t>En virtud de lo recién expuesto, s</w:t>
      </w:r>
      <w:r w:rsidRPr="00C820DA">
        <w:rPr>
          <w:rFonts w:asciiTheme="majorHAnsi" w:hAnsiTheme="majorHAnsi" w:cstheme="majorHAnsi"/>
          <w:sz w:val="28"/>
          <w:szCs w:val="28"/>
        </w:rPr>
        <w:t>e propone realizar un estudio que caracterice estos nuevos modelos disruptivos</w:t>
      </w:r>
      <w:r>
        <w:rPr>
          <w:rFonts w:asciiTheme="majorHAnsi" w:hAnsiTheme="majorHAnsi" w:cstheme="majorHAnsi"/>
          <w:sz w:val="28"/>
          <w:szCs w:val="28"/>
        </w:rPr>
        <w:t>,</w:t>
      </w:r>
      <w:r w:rsidRPr="00C820DA">
        <w:rPr>
          <w:rFonts w:asciiTheme="majorHAnsi" w:hAnsiTheme="majorHAnsi" w:cstheme="majorHAnsi"/>
          <w:sz w:val="28"/>
          <w:szCs w:val="28"/>
        </w:rPr>
        <w:t xml:space="preserve"> así como el potencial </w:t>
      </w:r>
      <w:r>
        <w:rPr>
          <w:rFonts w:asciiTheme="majorHAnsi" w:hAnsiTheme="majorHAnsi" w:cstheme="majorHAnsi"/>
          <w:sz w:val="28"/>
          <w:szCs w:val="28"/>
        </w:rPr>
        <w:t xml:space="preserve">de los mismos </w:t>
      </w:r>
      <w:r w:rsidRPr="00C820DA">
        <w:rPr>
          <w:rFonts w:asciiTheme="majorHAnsi" w:hAnsiTheme="majorHAnsi" w:cstheme="majorHAnsi"/>
          <w:sz w:val="28"/>
          <w:szCs w:val="28"/>
        </w:rPr>
        <w:t>para la monetización de las redes de los operadores</w:t>
      </w:r>
      <w:r>
        <w:rPr>
          <w:rFonts w:asciiTheme="majorHAnsi" w:hAnsiTheme="majorHAnsi" w:cstheme="majorHAnsi"/>
          <w:sz w:val="28"/>
          <w:szCs w:val="28"/>
        </w:rPr>
        <w:t xml:space="preserve">. Esto se hará con el objetivo de </w:t>
      </w:r>
      <w:r w:rsidRPr="00C820DA">
        <w:rPr>
          <w:rFonts w:asciiTheme="majorHAnsi" w:hAnsiTheme="majorHAnsi" w:cstheme="majorHAnsi"/>
          <w:sz w:val="28"/>
          <w:szCs w:val="28"/>
        </w:rPr>
        <w:t xml:space="preserve">identificar los </w:t>
      </w:r>
      <w:r w:rsidRPr="00A170A9">
        <w:rPr>
          <w:rFonts w:ascii="Calibri Light" w:eastAsia="Calibri" w:hAnsi="Calibri Light"/>
          <w:color w:val="000000"/>
          <w:sz w:val="28"/>
          <w:szCs w:val="28"/>
        </w:rPr>
        <w:t>desafíos</w:t>
      </w:r>
      <w:r w:rsidRPr="00C820DA">
        <w:rPr>
          <w:rFonts w:asciiTheme="majorHAnsi" w:hAnsiTheme="majorHAnsi" w:cstheme="majorHAnsi"/>
          <w:sz w:val="28"/>
          <w:szCs w:val="28"/>
        </w:rPr>
        <w:t xml:space="preserve"> </w:t>
      </w:r>
      <w:r>
        <w:rPr>
          <w:rFonts w:asciiTheme="majorHAnsi" w:hAnsiTheme="majorHAnsi" w:cstheme="majorHAnsi"/>
          <w:sz w:val="28"/>
          <w:szCs w:val="28"/>
        </w:rPr>
        <w:t xml:space="preserve">correspondientes en materia </w:t>
      </w:r>
      <w:r w:rsidRPr="00C820DA">
        <w:rPr>
          <w:rFonts w:asciiTheme="majorHAnsi" w:hAnsiTheme="majorHAnsi" w:cstheme="majorHAnsi"/>
          <w:sz w:val="28"/>
          <w:szCs w:val="28"/>
        </w:rPr>
        <w:t>de regulación y de política pública en México.</w:t>
      </w:r>
    </w:p>
    <w:p w14:paraId="0678B2CB" w14:textId="77777777" w:rsidR="0014509F" w:rsidRPr="00697377" w:rsidRDefault="0014509F" w:rsidP="0014509F">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Metodología</w:t>
      </w:r>
    </w:p>
    <w:p w14:paraId="5F6FBC08" w14:textId="77777777" w:rsidR="0014509F" w:rsidRDefault="0014509F" w:rsidP="00A170A9">
      <w:pPr>
        <w:pStyle w:val="estilo30"/>
        <w:spacing w:before="240" w:beforeAutospacing="0" w:after="240" w:afterAutospacing="0" w:line="276" w:lineRule="auto"/>
        <w:jc w:val="both"/>
        <w:rPr>
          <w:rFonts w:asciiTheme="majorHAnsi" w:hAnsiTheme="majorHAnsi" w:cstheme="majorHAnsi"/>
          <w:sz w:val="28"/>
          <w:szCs w:val="28"/>
        </w:rPr>
      </w:pPr>
      <w:r w:rsidRPr="00E67E00">
        <w:rPr>
          <w:rFonts w:asciiTheme="majorHAnsi" w:hAnsiTheme="majorHAnsi" w:cstheme="majorHAnsi"/>
          <w:sz w:val="28"/>
          <w:szCs w:val="28"/>
        </w:rPr>
        <w:t xml:space="preserve">Se realizará el análisis de un conjunto de </w:t>
      </w:r>
      <w:r w:rsidRPr="007D1400">
        <w:rPr>
          <w:rFonts w:asciiTheme="majorHAnsi" w:hAnsiTheme="majorHAnsi" w:cstheme="majorHAnsi"/>
          <w:sz w:val="28"/>
          <w:szCs w:val="28"/>
        </w:rPr>
        <w:t>aplicaciones prácticas y/o modelos de negocio</w:t>
      </w:r>
      <w:r>
        <w:rPr>
          <w:rFonts w:asciiTheme="majorHAnsi" w:hAnsiTheme="majorHAnsi" w:cstheme="majorHAnsi"/>
          <w:sz w:val="28"/>
          <w:szCs w:val="28"/>
        </w:rPr>
        <w:t xml:space="preserve"> que son posibles gracias a la economía digital, y cuyo desarrollo es crucial para que se beneficien todos los actores del ecosistema. Dicho análisis consistirá en recopilar experiencias y casos prácticos de distintos países, evaluando a partir de ello: la relevancia de este tipo de desarrollos tecnológicos, en términos del modo en que plantean opciones para que los operadores de redes puedan ser partícipes de las oportunidades que presenta la economía digital; prácticas de mercado y desafíos </w:t>
      </w:r>
      <w:r>
        <w:rPr>
          <w:rFonts w:asciiTheme="majorHAnsi" w:hAnsiTheme="majorHAnsi" w:cstheme="majorHAnsi"/>
          <w:sz w:val="28"/>
          <w:szCs w:val="28"/>
        </w:rPr>
        <w:lastRenderedPageBreak/>
        <w:t>en materia de competencia económica; y cómo determinadas decisiones en materia regulatoria y de política pública pueden afectar al desarrollo de dichas posibilidades tecnológicas, en un entorno de competencia que beneficie a los usuarios en cuanto a sus derechos básicos, así como la calidad, accesibilidad y asequibilidad de los servicios</w:t>
      </w:r>
      <w:r w:rsidRPr="00E67E00">
        <w:rPr>
          <w:rFonts w:asciiTheme="majorHAnsi" w:hAnsiTheme="majorHAnsi" w:cstheme="majorHAnsi"/>
          <w:sz w:val="28"/>
          <w:szCs w:val="28"/>
        </w:rPr>
        <w:t>.</w:t>
      </w:r>
    </w:p>
    <w:p w14:paraId="5C8D7824" w14:textId="77777777" w:rsidR="0014509F" w:rsidRPr="00697377" w:rsidRDefault="0014509F" w:rsidP="0014509F">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Resultados esperados</w:t>
      </w:r>
    </w:p>
    <w:p w14:paraId="3A46D2DF" w14:textId="77777777" w:rsidR="0014509F" w:rsidRDefault="0014509F" w:rsidP="00A170A9">
      <w:pPr>
        <w:pStyle w:val="estilo30"/>
        <w:spacing w:before="240" w:beforeAutospacing="0" w:after="240" w:afterAutospacing="0" w:line="276" w:lineRule="auto"/>
        <w:jc w:val="both"/>
        <w:rPr>
          <w:rFonts w:asciiTheme="majorHAnsi" w:hAnsiTheme="majorHAnsi" w:cstheme="majorHAnsi"/>
          <w:sz w:val="28"/>
          <w:szCs w:val="28"/>
        </w:rPr>
      </w:pPr>
      <w:r w:rsidRPr="00C820DA">
        <w:rPr>
          <w:rFonts w:asciiTheme="majorHAnsi" w:hAnsiTheme="majorHAnsi" w:cstheme="majorHAnsi"/>
          <w:sz w:val="28"/>
          <w:szCs w:val="28"/>
        </w:rPr>
        <w:t>Los resultados permitirán identificar las posibilidades de</w:t>
      </w:r>
      <w:r>
        <w:rPr>
          <w:rFonts w:asciiTheme="majorHAnsi" w:hAnsiTheme="majorHAnsi" w:cstheme="majorHAnsi"/>
          <w:sz w:val="28"/>
          <w:szCs w:val="28"/>
        </w:rPr>
        <w:t>l</w:t>
      </w:r>
      <w:r w:rsidRPr="00C820DA">
        <w:rPr>
          <w:rFonts w:asciiTheme="majorHAnsi" w:hAnsiTheme="majorHAnsi" w:cstheme="majorHAnsi"/>
          <w:sz w:val="28"/>
          <w:szCs w:val="28"/>
        </w:rPr>
        <w:t xml:space="preserve"> </w:t>
      </w:r>
      <w:proofErr w:type="spellStart"/>
      <w:r w:rsidRPr="00C820DA">
        <w:rPr>
          <w:rFonts w:asciiTheme="majorHAnsi" w:hAnsiTheme="majorHAnsi" w:cstheme="majorHAnsi"/>
          <w:sz w:val="28"/>
          <w:szCs w:val="28"/>
        </w:rPr>
        <w:t>IoT</w:t>
      </w:r>
      <w:proofErr w:type="spellEnd"/>
      <w:r w:rsidRPr="00C820DA">
        <w:rPr>
          <w:rFonts w:asciiTheme="majorHAnsi" w:hAnsiTheme="majorHAnsi" w:cstheme="majorHAnsi"/>
          <w:sz w:val="28"/>
          <w:szCs w:val="28"/>
        </w:rPr>
        <w:t xml:space="preserve"> y de las redes 5G para incentivar las inversiones por parte de los operadores, así como formular estrategias para favorecer el desarrollo del nuevo entorno digital en México.</w:t>
      </w:r>
    </w:p>
    <w:p w14:paraId="4A148E07" w14:textId="77777777" w:rsidR="0014509F" w:rsidRPr="00697377" w:rsidRDefault="0014509F" w:rsidP="0014509F">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Utilidad del estudio para el Instituto</w:t>
      </w:r>
    </w:p>
    <w:p w14:paraId="1199744B" w14:textId="77777777" w:rsidR="0014509F" w:rsidRDefault="0014509F" w:rsidP="00A170A9">
      <w:pPr>
        <w:pStyle w:val="estilo30"/>
        <w:spacing w:before="240" w:beforeAutospacing="0" w:after="240" w:afterAutospacing="0" w:line="276" w:lineRule="auto"/>
        <w:jc w:val="both"/>
        <w:rPr>
          <w:rFonts w:asciiTheme="majorHAnsi" w:hAnsiTheme="majorHAnsi" w:cstheme="majorHAnsi"/>
          <w:sz w:val="28"/>
          <w:szCs w:val="28"/>
        </w:rPr>
      </w:pPr>
      <w:r w:rsidRPr="007D1400">
        <w:rPr>
          <w:rFonts w:asciiTheme="majorHAnsi" w:hAnsiTheme="majorHAnsi" w:cstheme="majorHAnsi"/>
          <w:sz w:val="28"/>
          <w:szCs w:val="28"/>
        </w:rPr>
        <w:t>El estudio se plantea con la finalidad de proporcionar un panorama que permita a las autoridades gubernamentales fungir como facilitadoras e impulsoras de los desarrollos tecnológicos disruptivos de las telecomunicaciones</w:t>
      </w:r>
      <w:r>
        <w:rPr>
          <w:rFonts w:asciiTheme="majorHAnsi" w:hAnsiTheme="majorHAnsi" w:cstheme="majorHAnsi"/>
          <w:sz w:val="28"/>
          <w:szCs w:val="28"/>
        </w:rPr>
        <w:t xml:space="preserve">. Esto en un entorno convergente que dé lugar a mayores oportunidades para todos los actores involucrados y que éstas, a su vez, se traduzcan en mayores beneficios para la sociedad en su conjunto. </w:t>
      </w:r>
    </w:p>
    <w:p w14:paraId="470F1B3E" w14:textId="77777777" w:rsidR="0014509F" w:rsidRPr="00697377" w:rsidRDefault="0014509F" w:rsidP="0014509F">
      <w:pPr>
        <w:keepNext/>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Cronograma</w:t>
      </w:r>
    </w:p>
    <w:tbl>
      <w:tblPr>
        <w:tblStyle w:val="Tablaconcuadrcula"/>
        <w:tblW w:w="0" w:type="auto"/>
        <w:tblLook w:val="04A0" w:firstRow="1" w:lastRow="0" w:firstColumn="1" w:lastColumn="0" w:noHBand="0" w:noVBand="1"/>
        <w:tblCaption w:val="Cronograma "/>
        <w:tblDescription w:val="Etapa del Estudio &#10;Revisión Bibliográfica. Fecha de Conclusión Enero&#10;Recopilación de información y datos. Fecha de Conclusión Febrero&#10;Formulación y evaluación de modelos y metodologías. Fecha de Conclusión Marzo&#10;Implementación de la metodología seleccionada.Fecha de Conclusión Abril&#10;Análisis y formulación con base en los resultados.Fecha de Conclusión Mayo&#10;Elaboración de cambios y atención a comentarios de publicación, congreso y/o evaluador. Fecha de Conclusión En función de las publicaciones o congresos&#10;"/>
      </w:tblPr>
      <w:tblGrid>
        <w:gridCol w:w="6799"/>
        <w:gridCol w:w="2552"/>
      </w:tblGrid>
      <w:tr w:rsidR="0014509F" w:rsidRPr="00697377" w14:paraId="61136CDA" w14:textId="77777777" w:rsidTr="00A170A9">
        <w:trPr>
          <w:tblHeader/>
        </w:trPr>
        <w:tc>
          <w:tcPr>
            <w:tcW w:w="6799" w:type="dxa"/>
          </w:tcPr>
          <w:p w14:paraId="2994E3A1" w14:textId="77777777" w:rsidR="0014509F" w:rsidRPr="00697377" w:rsidRDefault="0014509F" w:rsidP="00A170A9">
            <w:pPr>
              <w:keepNext/>
              <w:spacing w:after="160" w:line="259" w:lineRule="auto"/>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Etapa del Estudio</w:t>
            </w:r>
          </w:p>
        </w:tc>
        <w:tc>
          <w:tcPr>
            <w:tcW w:w="2552" w:type="dxa"/>
          </w:tcPr>
          <w:p w14:paraId="4FED639D" w14:textId="77777777" w:rsidR="0014509F" w:rsidRPr="00697377" w:rsidRDefault="0014509F" w:rsidP="00A170A9">
            <w:pPr>
              <w:keepNext/>
              <w:spacing w:after="160" w:line="259" w:lineRule="auto"/>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Fecha de Conclusión</w:t>
            </w:r>
          </w:p>
        </w:tc>
      </w:tr>
      <w:tr w:rsidR="0014509F" w:rsidRPr="00D168C4" w14:paraId="614CABBF" w14:textId="77777777" w:rsidTr="00A170A9">
        <w:tc>
          <w:tcPr>
            <w:tcW w:w="6799" w:type="dxa"/>
          </w:tcPr>
          <w:p w14:paraId="4143D9D6" w14:textId="77777777" w:rsidR="0014509F" w:rsidRPr="00D168C4" w:rsidRDefault="0014509F" w:rsidP="00A170A9">
            <w:pPr>
              <w:keepNext/>
              <w:spacing w:after="100" w:afterAutospacing="1"/>
              <w:jc w:val="both"/>
              <w:rPr>
                <w:rFonts w:asciiTheme="majorHAnsi" w:hAnsiTheme="majorHAnsi" w:cstheme="majorHAnsi"/>
                <w:color w:val="0070C0"/>
                <w:sz w:val="28"/>
                <w:szCs w:val="28"/>
              </w:rPr>
            </w:pPr>
            <w:r w:rsidRPr="00D168C4">
              <w:rPr>
                <w:rFonts w:asciiTheme="majorHAnsi" w:hAnsiTheme="majorHAnsi" w:cstheme="majorHAnsi"/>
                <w:sz w:val="28"/>
                <w:szCs w:val="28"/>
              </w:rPr>
              <w:t>Revisión Bibliográfica</w:t>
            </w:r>
            <w:r>
              <w:rPr>
                <w:rFonts w:asciiTheme="majorHAnsi" w:hAnsiTheme="majorHAnsi" w:cstheme="majorHAnsi"/>
                <w:sz w:val="28"/>
                <w:szCs w:val="28"/>
              </w:rPr>
              <w:t>.</w:t>
            </w:r>
          </w:p>
        </w:tc>
        <w:tc>
          <w:tcPr>
            <w:tcW w:w="2552" w:type="dxa"/>
          </w:tcPr>
          <w:p w14:paraId="6308BD22" w14:textId="77777777" w:rsidR="0014509F" w:rsidRPr="00D168C4" w:rsidRDefault="0014509F" w:rsidP="00A170A9">
            <w:pPr>
              <w:keepNext/>
              <w:spacing w:after="100" w:afterAutospacing="1"/>
              <w:jc w:val="both"/>
              <w:rPr>
                <w:rFonts w:asciiTheme="majorHAnsi" w:hAnsiTheme="majorHAnsi" w:cstheme="majorHAnsi"/>
                <w:color w:val="0070C0"/>
                <w:sz w:val="28"/>
                <w:szCs w:val="28"/>
              </w:rPr>
            </w:pPr>
            <w:r>
              <w:rPr>
                <w:rFonts w:asciiTheme="majorHAnsi" w:hAnsiTheme="majorHAnsi" w:cstheme="majorHAnsi"/>
                <w:sz w:val="28"/>
                <w:szCs w:val="28"/>
              </w:rPr>
              <w:t>Enero</w:t>
            </w:r>
          </w:p>
        </w:tc>
      </w:tr>
      <w:tr w:rsidR="0014509F" w:rsidRPr="00D168C4" w14:paraId="242EC85F" w14:textId="77777777" w:rsidTr="00A170A9">
        <w:tc>
          <w:tcPr>
            <w:tcW w:w="6799" w:type="dxa"/>
          </w:tcPr>
          <w:p w14:paraId="5565BBE4" w14:textId="77777777" w:rsidR="0014509F" w:rsidRPr="00D168C4" w:rsidRDefault="0014509F" w:rsidP="00A170A9">
            <w:pPr>
              <w:keepNext/>
              <w:spacing w:after="100" w:afterAutospacing="1"/>
              <w:jc w:val="both"/>
              <w:rPr>
                <w:rFonts w:asciiTheme="majorHAnsi" w:hAnsiTheme="majorHAnsi" w:cstheme="majorHAnsi"/>
                <w:color w:val="0070C0"/>
                <w:sz w:val="28"/>
                <w:szCs w:val="28"/>
              </w:rPr>
            </w:pPr>
            <w:r w:rsidRPr="00D168C4">
              <w:rPr>
                <w:rFonts w:asciiTheme="majorHAnsi" w:hAnsiTheme="majorHAnsi" w:cstheme="majorHAnsi"/>
                <w:sz w:val="28"/>
                <w:szCs w:val="28"/>
              </w:rPr>
              <w:t>Recopilación de información y datos</w:t>
            </w:r>
            <w:r>
              <w:rPr>
                <w:rFonts w:asciiTheme="majorHAnsi" w:hAnsiTheme="majorHAnsi" w:cstheme="majorHAnsi"/>
                <w:sz w:val="28"/>
                <w:szCs w:val="28"/>
              </w:rPr>
              <w:t>.</w:t>
            </w:r>
          </w:p>
        </w:tc>
        <w:tc>
          <w:tcPr>
            <w:tcW w:w="2552" w:type="dxa"/>
          </w:tcPr>
          <w:p w14:paraId="3AE5FD2F" w14:textId="77777777" w:rsidR="0014509F" w:rsidRPr="00D168C4" w:rsidRDefault="0014509F" w:rsidP="00A170A9">
            <w:pPr>
              <w:keepNext/>
              <w:spacing w:after="100" w:afterAutospacing="1"/>
              <w:jc w:val="both"/>
              <w:rPr>
                <w:rFonts w:asciiTheme="majorHAnsi" w:hAnsiTheme="majorHAnsi" w:cstheme="majorHAnsi"/>
                <w:color w:val="0070C0"/>
                <w:sz w:val="28"/>
                <w:szCs w:val="28"/>
              </w:rPr>
            </w:pPr>
            <w:r>
              <w:rPr>
                <w:rFonts w:asciiTheme="majorHAnsi" w:hAnsiTheme="majorHAnsi" w:cstheme="majorHAnsi"/>
                <w:sz w:val="28"/>
                <w:szCs w:val="28"/>
              </w:rPr>
              <w:t>Febrero</w:t>
            </w:r>
          </w:p>
        </w:tc>
      </w:tr>
      <w:tr w:rsidR="0014509F" w:rsidRPr="00D168C4" w14:paraId="57C4E22A" w14:textId="77777777" w:rsidTr="00A170A9">
        <w:tc>
          <w:tcPr>
            <w:tcW w:w="6799" w:type="dxa"/>
          </w:tcPr>
          <w:p w14:paraId="31C9A540" w14:textId="77777777" w:rsidR="0014509F" w:rsidRPr="00D168C4" w:rsidRDefault="0014509F" w:rsidP="00A170A9">
            <w:pPr>
              <w:keepNext/>
              <w:spacing w:after="100" w:afterAutospacing="1"/>
              <w:jc w:val="both"/>
              <w:rPr>
                <w:rFonts w:asciiTheme="majorHAnsi" w:hAnsiTheme="majorHAnsi" w:cstheme="majorHAnsi"/>
                <w:color w:val="0070C0"/>
                <w:sz w:val="28"/>
                <w:szCs w:val="28"/>
              </w:rPr>
            </w:pPr>
            <w:r w:rsidRPr="00D168C4">
              <w:rPr>
                <w:rFonts w:asciiTheme="majorHAnsi" w:hAnsiTheme="majorHAnsi" w:cstheme="majorHAnsi"/>
                <w:sz w:val="28"/>
                <w:szCs w:val="28"/>
              </w:rPr>
              <w:t>Formulación y evaluación de modelos y metodologías</w:t>
            </w:r>
            <w:r>
              <w:rPr>
                <w:rFonts w:asciiTheme="majorHAnsi" w:hAnsiTheme="majorHAnsi" w:cstheme="majorHAnsi"/>
                <w:sz w:val="28"/>
                <w:szCs w:val="28"/>
              </w:rPr>
              <w:t>.</w:t>
            </w:r>
          </w:p>
        </w:tc>
        <w:tc>
          <w:tcPr>
            <w:tcW w:w="2552" w:type="dxa"/>
          </w:tcPr>
          <w:p w14:paraId="1FD55FB2" w14:textId="77777777" w:rsidR="0014509F" w:rsidRPr="00D168C4" w:rsidRDefault="0014509F" w:rsidP="00A170A9">
            <w:pPr>
              <w:keepNext/>
              <w:spacing w:after="100" w:afterAutospacing="1"/>
              <w:jc w:val="both"/>
              <w:rPr>
                <w:rFonts w:asciiTheme="majorHAnsi" w:hAnsiTheme="majorHAnsi" w:cstheme="majorHAnsi"/>
                <w:color w:val="0070C0"/>
                <w:sz w:val="28"/>
                <w:szCs w:val="28"/>
              </w:rPr>
            </w:pPr>
            <w:r>
              <w:rPr>
                <w:rFonts w:asciiTheme="majorHAnsi" w:hAnsiTheme="majorHAnsi" w:cstheme="majorHAnsi"/>
                <w:sz w:val="28"/>
                <w:szCs w:val="28"/>
              </w:rPr>
              <w:t>Marzo</w:t>
            </w:r>
          </w:p>
        </w:tc>
      </w:tr>
      <w:tr w:rsidR="0014509F" w:rsidRPr="00D168C4" w14:paraId="1A45B8AC" w14:textId="77777777" w:rsidTr="00A170A9">
        <w:tc>
          <w:tcPr>
            <w:tcW w:w="6799" w:type="dxa"/>
          </w:tcPr>
          <w:p w14:paraId="37254F6F" w14:textId="77777777" w:rsidR="0014509F" w:rsidRPr="00D168C4" w:rsidRDefault="0014509F" w:rsidP="00A170A9">
            <w:pPr>
              <w:keepNext/>
              <w:spacing w:after="100" w:afterAutospacing="1"/>
              <w:jc w:val="both"/>
              <w:rPr>
                <w:rFonts w:asciiTheme="majorHAnsi" w:hAnsiTheme="majorHAnsi" w:cstheme="majorHAnsi"/>
                <w:color w:val="0070C0"/>
                <w:sz w:val="28"/>
                <w:szCs w:val="28"/>
              </w:rPr>
            </w:pPr>
            <w:r>
              <w:rPr>
                <w:rFonts w:asciiTheme="majorHAnsi" w:hAnsiTheme="majorHAnsi" w:cstheme="majorHAnsi"/>
                <w:sz w:val="28"/>
                <w:szCs w:val="28"/>
              </w:rPr>
              <w:t>Implementación de la metodología seleccionada.</w:t>
            </w:r>
          </w:p>
        </w:tc>
        <w:tc>
          <w:tcPr>
            <w:tcW w:w="2552" w:type="dxa"/>
          </w:tcPr>
          <w:p w14:paraId="2D651790" w14:textId="77777777" w:rsidR="0014509F" w:rsidRPr="00D168C4" w:rsidRDefault="0014509F" w:rsidP="00A170A9">
            <w:pPr>
              <w:keepNext/>
              <w:spacing w:after="100" w:afterAutospacing="1"/>
              <w:jc w:val="both"/>
              <w:rPr>
                <w:rFonts w:asciiTheme="majorHAnsi" w:hAnsiTheme="majorHAnsi" w:cstheme="majorHAnsi"/>
                <w:color w:val="0070C0"/>
                <w:sz w:val="28"/>
                <w:szCs w:val="28"/>
              </w:rPr>
            </w:pPr>
            <w:r>
              <w:rPr>
                <w:rFonts w:asciiTheme="majorHAnsi" w:hAnsiTheme="majorHAnsi" w:cstheme="majorHAnsi"/>
                <w:sz w:val="28"/>
                <w:szCs w:val="28"/>
              </w:rPr>
              <w:t>Abril</w:t>
            </w:r>
          </w:p>
        </w:tc>
      </w:tr>
      <w:tr w:rsidR="0014509F" w:rsidRPr="00D168C4" w14:paraId="2840B4D4" w14:textId="77777777" w:rsidTr="00A170A9">
        <w:tc>
          <w:tcPr>
            <w:tcW w:w="6799" w:type="dxa"/>
          </w:tcPr>
          <w:p w14:paraId="7FCA4B4A" w14:textId="77777777" w:rsidR="0014509F" w:rsidRPr="00D168C4" w:rsidRDefault="0014509F" w:rsidP="00A170A9">
            <w:pPr>
              <w:keepNext/>
              <w:spacing w:after="100" w:afterAutospacing="1"/>
              <w:jc w:val="both"/>
              <w:rPr>
                <w:rFonts w:asciiTheme="majorHAnsi" w:hAnsiTheme="majorHAnsi" w:cstheme="majorHAnsi"/>
                <w:sz w:val="28"/>
                <w:szCs w:val="28"/>
              </w:rPr>
            </w:pPr>
            <w:r w:rsidRPr="00D168C4">
              <w:rPr>
                <w:rFonts w:asciiTheme="majorHAnsi" w:hAnsiTheme="majorHAnsi" w:cstheme="majorHAnsi"/>
                <w:sz w:val="28"/>
                <w:szCs w:val="28"/>
              </w:rPr>
              <w:t xml:space="preserve">Análisis </w:t>
            </w:r>
            <w:r>
              <w:rPr>
                <w:rFonts w:asciiTheme="majorHAnsi" w:hAnsiTheme="majorHAnsi" w:cstheme="majorHAnsi"/>
                <w:sz w:val="28"/>
                <w:szCs w:val="28"/>
              </w:rPr>
              <w:t>y formulación con base en los</w:t>
            </w:r>
            <w:r w:rsidRPr="00D168C4">
              <w:rPr>
                <w:rFonts w:asciiTheme="majorHAnsi" w:hAnsiTheme="majorHAnsi" w:cstheme="majorHAnsi"/>
                <w:sz w:val="28"/>
                <w:szCs w:val="28"/>
              </w:rPr>
              <w:t xml:space="preserve"> resultados</w:t>
            </w:r>
            <w:r>
              <w:rPr>
                <w:rFonts w:asciiTheme="majorHAnsi" w:hAnsiTheme="majorHAnsi" w:cstheme="majorHAnsi"/>
                <w:sz w:val="28"/>
                <w:szCs w:val="28"/>
              </w:rPr>
              <w:t>.</w:t>
            </w:r>
          </w:p>
        </w:tc>
        <w:tc>
          <w:tcPr>
            <w:tcW w:w="2552" w:type="dxa"/>
          </w:tcPr>
          <w:p w14:paraId="0EB7478D" w14:textId="77777777" w:rsidR="0014509F" w:rsidRDefault="0014509F" w:rsidP="00A170A9">
            <w:pPr>
              <w:keepNext/>
              <w:spacing w:after="100" w:afterAutospacing="1"/>
              <w:jc w:val="both"/>
              <w:rPr>
                <w:rFonts w:asciiTheme="majorHAnsi" w:hAnsiTheme="majorHAnsi" w:cstheme="majorHAnsi"/>
                <w:sz w:val="28"/>
                <w:szCs w:val="28"/>
              </w:rPr>
            </w:pPr>
            <w:r>
              <w:rPr>
                <w:rFonts w:asciiTheme="majorHAnsi" w:hAnsiTheme="majorHAnsi" w:cstheme="majorHAnsi"/>
                <w:sz w:val="28"/>
                <w:szCs w:val="28"/>
              </w:rPr>
              <w:t>Mayo</w:t>
            </w:r>
          </w:p>
        </w:tc>
      </w:tr>
      <w:tr w:rsidR="0014509F" w:rsidRPr="00D168C4" w14:paraId="42CD8B47" w14:textId="77777777" w:rsidTr="00A170A9">
        <w:tc>
          <w:tcPr>
            <w:tcW w:w="6799" w:type="dxa"/>
          </w:tcPr>
          <w:p w14:paraId="5566033A" w14:textId="77777777" w:rsidR="0014509F" w:rsidRPr="00D168C4" w:rsidRDefault="0014509F" w:rsidP="00A170A9">
            <w:pPr>
              <w:keepNext/>
              <w:spacing w:after="100" w:afterAutospacing="1"/>
              <w:jc w:val="both"/>
              <w:rPr>
                <w:rFonts w:asciiTheme="majorHAnsi" w:hAnsiTheme="majorHAnsi" w:cstheme="majorHAnsi"/>
                <w:color w:val="0070C0"/>
                <w:sz w:val="28"/>
                <w:szCs w:val="28"/>
              </w:rPr>
            </w:pPr>
            <w:r w:rsidRPr="00D168C4">
              <w:rPr>
                <w:rFonts w:asciiTheme="majorHAnsi" w:hAnsiTheme="majorHAnsi" w:cstheme="majorHAnsi"/>
                <w:sz w:val="28"/>
                <w:szCs w:val="28"/>
              </w:rPr>
              <w:t>Elaboración de cambios y atención a comentarios de publicación, congreso y/o evaluador</w:t>
            </w:r>
            <w:r>
              <w:rPr>
                <w:rFonts w:asciiTheme="majorHAnsi" w:hAnsiTheme="majorHAnsi" w:cstheme="majorHAnsi"/>
                <w:sz w:val="28"/>
                <w:szCs w:val="28"/>
              </w:rPr>
              <w:t>.</w:t>
            </w:r>
            <w:r w:rsidRPr="00D168C4">
              <w:rPr>
                <w:rFonts w:asciiTheme="majorHAnsi" w:hAnsiTheme="majorHAnsi" w:cstheme="majorHAnsi"/>
                <w:sz w:val="28"/>
                <w:szCs w:val="28"/>
              </w:rPr>
              <w:tab/>
            </w:r>
          </w:p>
        </w:tc>
        <w:tc>
          <w:tcPr>
            <w:tcW w:w="2552" w:type="dxa"/>
          </w:tcPr>
          <w:p w14:paraId="4596BC95" w14:textId="77777777" w:rsidR="0014509F" w:rsidRPr="00D168C4" w:rsidRDefault="0014509F" w:rsidP="00A170A9">
            <w:pPr>
              <w:keepNext/>
              <w:spacing w:after="100" w:afterAutospacing="1"/>
              <w:jc w:val="both"/>
              <w:rPr>
                <w:rFonts w:asciiTheme="majorHAnsi" w:hAnsiTheme="majorHAnsi" w:cstheme="majorHAnsi"/>
                <w:color w:val="0070C0"/>
                <w:sz w:val="28"/>
                <w:szCs w:val="28"/>
              </w:rPr>
            </w:pPr>
            <w:r>
              <w:rPr>
                <w:rFonts w:asciiTheme="majorHAnsi" w:hAnsiTheme="majorHAnsi" w:cstheme="majorHAnsi"/>
                <w:sz w:val="28"/>
                <w:szCs w:val="28"/>
              </w:rPr>
              <w:t xml:space="preserve">En función de las publicaciones o </w:t>
            </w:r>
            <w:r w:rsidRPr="00D168C4">
              <w:rPr>
                <w:rFonts w:asciiTheme="majorHAnsi" w:hAnsiTheme="majorHAnsi" w:cstheme="majorHAnsi"/>
                <w:sz w:val="28"/>
                <w:szCs w:val="28"/>
              </w:rPr>
              <w:t>congresos</w:t>
            </w:r>
          </w:p>
        </w:tc>
      </w:tr>
    </w:tbl>
    <w:p w14:paraId="55C6F556" w14:textId="77777777" w:rsidR="0014509F" w:rsidRDefault="0014509F" w:rsidP="0014509F">
      <w:pPr>
        <w:keepNext/>
        <w:spacing w:after="100" w:afterAutospacing="1"/>
        <w:jc w:val="both"/>
        <w:rPr>
          <w:rFonts w:ascii="Calibri Light" w:eastAsia="Calibri" w:hAnsi="Calibri Light"/>
          <w:color w:val="1E5E9F"/>
          <w:sz w:val="28"/>
          <w:szCs w:val="28"/>
        </w:rPr>
      </w:pPr>
      <w:r>
        <w:rPr>
          <w:rFonts w:asciiTheme="majorHAnsi" w:hAnsiTheme="majorHAnsi" w:cstheme="majorHAnsi"/>
          <w:color w:val="0070C0"/>
          <w:sz w:val="28"/>
          <w:szCs w:val="28"/>
        </w:rPr>
        <w:br w:type="page"/>
      </w:r>
      <w:sdt>
        <w:sdtPr>
          <w:rPr>
            <w:rFonts w:ascii="Calibri Light" w:eastAsia="Calibri" w:hAnsi="Calibri Light"/>
            <w:color w:val="1E5E9F"/>
            <w:sz w:val="28"/>
            <w:szCs w:val="28"/>
          </w:rPr>
          <w:alias w:val="Nombre del Proyecto"/>
          <w:tag w:val="Nombre_x0020_del_x0020_Proyecto"/>
          <w:id w:val="608473461"/>
          <w:placeholder>
            <w:docPart w:val="C9DB57C985E04E6586A69063FF9C20BA"/>
          </w:placeholder>
          <w:dataBinding w:prefixMappings="xmlns:ns0='http://schemas.microsoft.com/office/2006/metadata/properties' xmlns:ns1='http://www.w3.org/2001/XMLSchema-instance' xmlns:ns2='http://schemas.microsoft.com/office/infopath/2007/PartnerControls' xmlns:ns3='293807b6-12d3-42cc-a250-7bb708d556b9' " w:xpath="/ns0:properties[1]/documentManagement[1]/ns3:Nombre_x0020_del_x0020_Proyecto[1]" w:storeItemID="{D43C7FE1-1104-4286-B957-32265D6B0D08}"/>
          <w:text/>
        </w:sdtPr>
        <w:sdtContent>
          <w:r>
            <w:rPr>
              <w:rFonts w:ascii="Calibri Light" w:eastAsia="Calibri" w:hAnsi="Calibri Light"/>
              <w:color w:val="1E5E9F"/>
              <w:sz w:val="28"/>
              <w:szCs w:val="28"/>
            </w:rPr>
            <w:t>Equidad de género en el sector de las telecomunicaciones en México</w:t>
          </w:r>
        </w:sdtContent>
      </w:sdt>
    </w:p>
    <w:p w14:paraId="4CBEBC48" w14:textId="77777777" w:rsidR="0014509F" w:rsidRDefault="0014509F" w:rsidP="0014509F">
      <w:pPr>
        <w:keepNext/>
        <w:spacing w:after="100" w:afterAutospacing="1"/>
        <w:jc w:val="both"/>
        <w:rPr>
          <w:rFonts w:ascii="Calibri Light" w:eastAsia="Calibri" w:hAnsi="Calibri Light"/>
          <w:color w:val="1E5E9F"/>
          <w:sz w:val="28"/>
          <w:szCs w:val="28"/>
        </w:rPr>
      </w:pPr>
      <w:r w:rsidRPr="006C0D1C">
        <w:rPr>
          <w:rFonts w:ascii="Calibri Light" w:eastAsia="Calibri" w:hAnsi="Calibri Light"/>
          <w:color w:val="1E5E9F"/>
          <w:sz w:val="28"/>
          <w:szCs w:val="28"/>
        </w:rPr>
        <w:t>Esperanza Sainz López</w:t>
      </w:r>
      <w:r w:rsidRPr="006C0D1C">
        <w:rPr>
          <w:rFonts w:ascii="Calibri Light" w:eastAsia="Calibri" w:hAnsi="Calibri Light"/>
          <w:color w:val="1E5E9F"/>
          <w:sz w:val="28"/>
          <w:szCs w:val="28"/>
          <w:vertAlign w:val="superscript"/>
        </w:rPr>
        <w:footnoteReference w:id="18"/>
      </w:r>
    </w:p>
    <w:p w14:paraId="4C4A0067" w14:textId="77777777" w:rsidR="0014509F" w:rsidRPr="00697377" w:rsidRDefault="0014509F" w:rsidP="0014509F">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Introducción</w:t>
      </w:r>
    </w:p>
    <w:p w14:paraId="4DFE5EFC" w14:textId="77777777" w:rsidR="0014509F"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Pr>
          <w:rFonts w:ascii="Calibri Light" w:eastAsia="Calibri" w:hAnsi="Calibri Light"/>
          <w:color w:val="000000"/>
          <w:sz w:val="28"/>
          <w:szCs w:val="28"/>
        </w:rPr>
        <w:t xml:space="preserve">La equidad de género ha cobrado importancia en la agenda de política pública internacional y nacional, ya que se le ha reconocido como componente fundamental en el diseño de estrategias de desarrollo. El que se haya dado un pleno </w:t>
      </w:r>
      <w:r w:rsidRPr="00A170A9">
        <w:rPr>
          <w:rFonts w:asciiTheme="majorHAnsi" w:hAnsiTheme="majorHAnsi" w:cstheme="majorHAnsi"/>
          <w:sz w:val="28"/>
          <w:szCs w:val="28"/>
        </w:rPr>
        <w:t>reconocimiento</w:t>
      </w:r>
      <w:r>
        <w:rPr>
          <w:rFonts w:ascii="Calibri Light" w:eastAsia="Calibri" w:hAnsi="Calibri Light"/>
          <w:color w:val="000000"/>
          <w:sz w:val="28"/>
          <w:szCs w:val="28"/>
        </w:rPr>
        <w:t xml:space="preserve"> de las desigualdades de género como objeto de atención de política pública ha sido fruto de la prolongada e intensa labor de organizaciones de mujeres, movimientos de promoción de la mujer, comunidades académicas, organismos de Naciones Unidas, instituciones financieras internacionales y organismos no gubernamentales.</w:t>
      </w:r>
    </w:p>
    <w:p w14:paraId="328ED525" w14:textId="77777777" w:rsidR="0014509F"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Pr>
          <w:rFonts w:ascii="Calibri Light" w:eastAsia="Calibri" w:hAnsi="Calibri Light"/>
          <w:color w:val="000000"/>
          <w:sz w:val="28"/>
          <w:szCs w:val="28"/>
        </w:rPr>
        <w:t xml:space="preserve">En septiembre de 2015 los 193 Estados Miembros de las Naciones Unidas adoptaron la Agenda 2030 </w:t>
      </w:r>
      <w:r w:rsidRPr="00A170A9">
        <w:rPr>
          <w:rFonts w:asciiTheme="majorHAnsi" w:hAnsiTheme="majorHAnsi" w:cstheme="majorHAnsi"/>
          <w:sz w:val="28"/>
          <w:szCs w:val="28"/>
        </w:rPr>
        <w:t>para</w:t>
      </w:r>
      <w:r>
        <w:rPr>
          <w:rFonts w:ascii="Calibri Light" w:eastAsia="Calibri" w:hAnsi="Calibri Light"/>
          <w:color w:val="000000"/>
          <w:sz w:val="28"/>
          <w:szCs w:val="28"/>
        </w:rPr>
        <w:t xml:space="preserve"> el Desarrollo Sostenible, un plan de acción compuesto por 17 Objetivos de Desarrollo Sostenible (ODS) y 169 metas, cuyo propósito es poner fin a la pobreza, luchar contra la desigualdad y hacer frente al cambio climático para el 2030. </w:t>
      </w:r>
    </w:p>
    <w:p w14:paraId="2C93BFFD" w14:textId="77777777" w:rsidR="0014509F"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Pr>
          <w:rFonts w:ascii="Calibri Light" w:eastAsia="Calibri" w:hAnsi="Calibri Light"/>
          <w:color w:val="000000"/>
          <w:sz w:val="28"/>
          <w:szCs w:val="28"/>
        </w:rPr>
        <w:t xml:space="preserve">En esta agenda se identifican las </w:t>
      </w:r>
      <w:r w:rsidRPr="006C0D1C">
        <w:rPr>
          <w:rFonts w:ascii="Calibri Light" w:eastAsia="Calibri" w:hAnsi="Calibri Light"/>
          <w:color w:val="000000"/>
          <w:sz w:val="28"/>
          <w:szCs w:val="28"/>
        </w:rPr>
        <w:t>tecnologías de la información y comunicaciones</w:t>
      </w:r>
      <w:r>
        <w:rPr>
          <w:rFonts w:ascii="Calibri Light" w:eastAsia="Calibri" w:hAnsi="Calibri Light"/>
          <w:color w:val="000000"/>
          <w:sz w:val="28"/>
          <w:szCs w:val="28"/>
        </w:rPr>
        <w:t xml:space="preserve"> (</w:t>
      </w:r>
      <w:r w:rsidRPr="00B14E6D">
        <w:rPr>
          <w:rFonts w:ascii="Calibri Light" w:eastAsia="Calibri" w:hAnsi="Calibri Light"/>
          <w:color w:val="000000"/>
          <w:sz w:val="28"/>
          <w:szCs w:val="28"/>
        </w:rPr>
        <w:t>TIC</w:t>
      </w:r>
      <w:r>
        <w:rPr>
          <w:rFonts w:ascii="Calibri Light" w:eastAsia="Calibri" w:hAnsi="Calibri Light"/>
          <w:color w:val="000000"/>
          <w:sz w:val="28"/>
          <w:szCs w:val="28"/>
        </w:rPr>
        <w:t xml:space="preserve">) como un </w:t>
      </w:r>
      <w:r w:rsidRPr="00A170A9">
        <w:rPr>
          <w:rFonts w:asciiTheme="majorHAnsi" w:hAnsiTheme="majorHAnsi" w:cstheme="majorHAnsi"/>
          <w:sz w:val="28"/>
          <w:szCs w:val="28"/>
        </w:rPr>
        <w:t>facilitador</w:t>
      </w:r>
      <w:r>
        <w:rPr>
          <w:rFonts w:ascii="Calibri Light" w:eastAsia="Calibri" w:hAnsi="Calibri Light"/>
          <w:color w:val="000000"/>
          <w:sz w:val="28"/>
          <w:szCs w:val="28"/>
        </w:rPr>
        <w:t xml:space="preserve"> clave del desarrollo y como un componente esencial de las soluciones transformadoras para enfrentar los desafíos actuales del desarrollo. Es importante considerar que se reconoce</w:t>
      </w:r>
      <w:r w:rsidRPr="00B14E6D">
        <w:rPr>
          <w:rFonts w:ascii="Calibri Light" w:eastAsia="Calibri" w:hAnsi="Calibri Light"/>
          <w:color w:val="000000"/>
          <w:sz w:val="28"/>
          <w:szCs w:val="28"/>
        </w:rPr>
        <w:t xml:space="preserve"> el poder catalítico de las</w:t>
      </w:r>
      <w:r w:rsidRPr="001077CC">
        <w:rPr>
          <w:rFonts w:ascii="Calibri Light" w:eastAsia="Calibri" w:hAnsi="Calibri Light"/>
          <w:color w:val="000000"/>
          <w:sz w:val="28"/>
          <w:szCs w:val="28"/>
        </w:rPr>
        <w:t xml:space="preserve"> </w:t>
      </w:r>
      <w:r>
        <w:rPr>
          <w:rFonts w:ascii="Calibri Light" w:eastAsia="Calibri" w:hAnsi="Calibri Light"/>
          <w:color w:val="000000"/>
          <w:sz w:val="28"/>
          <w:szCs w:val="28"/>
        </w:rPr>
        <w:t>TIC</w:t>
      </w:r>
      <w:r w:rsidRPr="00B14E6D">
        <w:rPr>
          <w:rFonts w:ascii="Calibri Light" w:eastAsia="Calibri" w:hAnsi="Calibri Light"/>
          <w:color w:val="000000"/>
          <w:sz w:val="28"/>
          <w:szCs w:val="28"/>
        </w:rPr>
        <w:t xml:space="preserve"> para el desarrollo</w:t>
      </w:r>
      <w:r>
        <w:rPr>
          <w:rFonts w:ascii="Calibri Light" w:eastAsia="Calibri" w:hAnsi="Calibri Light"/>
          <w:color w:val="000000"/>
          <w:sz w:val="28"/>
          <w:szCs w:val="28"/>
        </w:rPr>
        <w:t>, ya que se considera</w:t>
      </w:r>
      <w:r w:rsidRPr="00B14E6D">
        <w:rPr>
          <w:rFonts w:ascii="Calibri Light" w:eastAsia="Calibri" w:hAnsi="Calibri Light"/>
          <w:color w:val="000000"/>
          <w:sz w:val="28"/>
          <w:szCs w:val="28"/>
        </w:rPr>
        <w:t xml:space="preserve"> </w:t>
      </w:r>
      <w:r>
        <w:rPr>
          <w:rFonts w:ascii="Calibri Light" w:eastAsia="Calibri" w:hAnsi="Calibri Light"/>
          <w:color w:val="000000"/>
          <w:sz w:val="28"/>
          <w:szCs w:val="28"/>
        </w:rPr>
        <w:t>como</w:t>
      </w:r>
      <w:r w:rsidRPr="00B14E6D">
        <w:rPr>
          <w:rFonts w:ascii="Calibri Light" w:eastAsia="Calibri" w:hAnsi="Calibri Light"/>
          <w:color w:val="000000"/>
          <w:sz w:val="28"/>
          <w:szCs w:val="28"/>
        </w:rPr>
        <w:t xml:space="preserve"> "una gran promesa para el progreso humano"</w:t>
      </w:r>
      <w:r>
        <w:rPr>
          <w:rFonts w:ascii="Calibri Light" w:eastAsia="Calibri" w:hAnsi="Calibri Light"/>
          <w:color w:val="000000"/>
          <w:sz w:val="28"/>
          <w:szCs w:val="28"/>
        </w:rPr>
        <w:t>,</w:t>
      </w:r>
      <w:r w:rsidRPr="00B14E6D">
        <w:rPr>
          <w:rFonts w:ascii="Calibri Light" w:eastAsia="Calibri" w:hAnsi="Calibri Light"/>
          <w:color w:val="000000"/>
          <w:sz w:val="28"/>
          <w:szCs w:val="28"/>
        </w:rPr>
        <w:t xml:space="preserve"> </w:t>
      </w:r>
      <w:r w:rsidRPr="00B14E6D">
        <w:rPr>
          <w:rFonts w:ascii="Calibri Light" w:eastAsia="Calibri" w:hAnsi="Calibri Light"/>
          <w:color w:val="000000"/>
          <w:sz w:val="28"/>
          <w:szCs w:val="28"/>
        </w:rPr>
        <w:lastRenderedPageBreak/>
        <w:t>se menciona específicamente en 4 de los 17 objetivos y se indica como una herramienta transversal que se utilizará para el logro de todos los ODS.</w:t>
      </w:r>
      <w:r>
        <w:rPr>
          <w:rFonts w:ascii="Calibri Light" w:eastAsia="Calibri" w:hAnsi="Calibri Light"/>
          <w:color w:val="000000"/>
          <w:sz w:val="28"/>
          <w:szCs w:val="28"/>
        </w:rPr>
        <w:t xml:space="preserve"> </w:t>
      </w:r>
    </w:p>
    <w:p w14:paraId="3B3914B1" w14:textId="77777777" w:rsidR="0014509F" w:rsidRDefault="0014509F" w:rsidP="0014509F">
      <w:pPr>
        <w:spacing w:after="100" w:afterAutospacing="1"/>
        <w:jc w:val="both"/>
        <w:rPr>
          <w:rFonts w:ascii="Calibri Light" w:eastAsia="Calibri" w:hAnsi="Calibri Light"/>
          <w:color w:val="000000"/>
          <w:sz w:val="28"/>
          <w:szCs w:val="28"/>
        </w:rPr>
      </w:pPr>
      <w:r>
        <w:rPr>
          <w:rFonts w:ascii="Calibri Light" w:eastAsia="Calibri" w:hAnsi="Calibri Light"/>
          <w:color w:val="000000"/>
          <w:sz w:val="28"/>
          <w:szCs w:val="28"/>
        </w:rPr>
        <w:t>En particular el ODS 5 “Lograr la Igualdad de Género y Empoderar a todas las Mujeres y las Niñas”, considera una meta que menciona el papel de las TIC para la equidad de género: “Mejorar el uso de la tecnología instrumental, en particular las tecnologías de la información y las comunicaciones, para promover el empoderamiento de la mujer” (ODS 5b).</w:t>
      </w:r>
    </w:p>
    <w:p w14:paraId="17DBA498" w14:textId="77777777" w:rsidR="0014509F" w:rsidRDefault="0014509F" w:rsidP="0014509F">
      <w:pPr>
        <w:spacing w:after="100" w:afterAutospacing="1"/>
        <w:jc w:val="both"/>
        <w:rPr>
          <w:rFonts w:ascii="Calibri Light" w:eastAsia="Calibri" w:hAnsi="Calibri Light"/>
          <w:color w:val="000000"/>
          <w:sz w:val="28"/>
          <w:szCs w:val="28"/>
        </w:rPr>
      </w:pPr>
      <w:r>
        <w:rPr>
          <w:rFonts w:ascii="Calibri Light" w:eastAsia="Calibri" w:hAnsi="Calibri Light"/>
          <w:color w:val="000000"/>
          <w:sz w:val="28"/>
          <w:szCs w:val="28"/>
        </w:rPr>
        <w:t>A</w:t>
      </w:r>
      <w:r w:rsidRPr="00356F84">
        <w:rPr>
          <w:rFonts w:ascii="Calibri Light" w:eastAsia="Calibri" w:hAnsi="Calibri Light"/>
          <w:color w:val="000000"/>
          <w:sz w:val="28"/>
          <w:szCs w:val="28"/>
        </w:rPr>
        <w:t xml:space="preserve"> lo largo de las últimas décadas se ha reconocido ampliamente que la inclusión de las mujeres es vital para el cambio hacia el desarrollo y la erradicación de la pobreza.</w:t>
      </w:r>
      <w:r>
        <w:rPr>
          <w:rFonts w:ascii="Calibri Light" w:eastAsia="Calibri" w:hAnsi="Calibri Light"/>
          <w:color w:val="000000"/>
          <w:sz w:val="28"/>
          <w:szCs w:val="28"/>
        </w:rPr>
        <w:t xml:space="preserve"> Sin embargo, de acuerdo a</w:t>
      </w:r>
      <w:r w:rsidRPr="00A63AE5">
        <w:rPr>
          <w:rFonts w:ascii="Calibri Light" w:eastAsia="Calibri" w:hAnsi="Calibri Light"/>
          <w:color w:val="000000"/>
          <w:sz w:val="28"/>
          <w:szCs w:val="28"/>
        </w:rPr>
        <w:t xml:space="preserve"> estimaciones de Intel</w:t>
      </w:r>
      <w:r>
        <w:rPr>
          <w:rFonts w:ascii="Calibri Light" w:eastAsia="Calibri" w:hAnsi="Calibri Light"/>
          <w:color w:val="000000"/>
          <w:sz w:val="28"/>
          <w:szCs w:val="28"/>
        </w:rPr>
        <w:t>,</w:t>
      </w:r>
      <w:r w:rsidRPr="00A63AE5">
        <w:rPr>
          <w:rFonts w:ascii="Calibri Light" w:eastAsia="Calibri" w:hAnsi="Calibri Light"/>
          <w:color w:val="000000"/>
          <w:sz w:val="28"/>
          <w:szCs w:val="28"/>
        </w:rPr>
        <w:t xml:space="preserve"> </w:t>
      </w:r>
      <w:r>
        <w:rPr>
          <w:rFonts w:ascii="Calibri Light" w:eastAsia="Calibri" w:hAnsi="Calibri Light"/>
          <w:color w:val="000000"/>
          <w:sz w:val="28"/>
          <w:szCs w:val="28"/>
        </w:rPr>
        <w:t xml:space="preserve">la brecha digital </w:t>
      </w:r>
      <w:r w:rsidRPr="00A63AE5">
        <w:rPr>
          <w:rFonts w:ascii="Calibri Light" w:eastAsia="Calibri" w:hAnsi="Calibri Light"/>
          <w:color w:val="000000"/>
          <w:sz w:val="28"/>
          <w:szCs w:val="28"/>
        </w:rPr>
        <w:t>p</w:t>
      </w:r>
      <w:r>
        <w:rPr>
          <w:rFonts w:ascii="Calibri Light" w:eastAsia="Calibri" w:hAnsi="Calibri Light"/>
          <w:color w:val="000000"/>
          <w:sz w:val="28"/>
          <w:szCs w:val="28"/>
        </w:rPr>
        <w:t>odría estar</w:t>
      </w:r>
      <w:r w:rsidRPr="00A63AE5">
        <w:rPr>
          <w:rFonts w:ascii="Calibri Light" w:eastAsia="Calibri" w:hAnsi="Calibri Light"/>
          <w:color w:val="000000"/>
          <w:sz w:val="28"/>
          <w:szCs w:val="28"/>
        </w:rPr>
        <w:t xml:space="preserve"> </w:t>
      </w:r>
      <w:r>
        <w:rPr>
          <w:rFonts w:ascii="Calibri Light" w:eastAsia="Calibri" w:hAnsi="Calibri Light"/>
          <w:color w:val="000000"/>
          <w:sz w:val="28"/>
          <w:szCs w:val="28"/>
        </w:rPr>
        <w:t>aumentando,</w:t>
      </w:r>
      <w:r w:rsidRPr="00A63AE5">
        <w:rPr>
          <w:rFonts w:ascii="Calibri Light" w:eastAsia="Calibri" w:hAnsi="Calibri Light"/>
          <w:color w:val="000000"/>
          <w:sz w:val="28"/>
          <w:szCs w:val="28"/>
        </w:rPr>
        <w:t xml:space="preserve"> </w:t>
      </w:r>
      <w:r>
        <w:rPr>
          <w:rFonts w:ascii="Calibri Light" w:eastAsia="Calibri" w:hAnsi="Calibri Light"/>
          <w:color w:val="000000"/>
          <w:sz w:val="28"/>
          <w:szCs w:val="28"/>
        </w:rPr>
        <w:t>y</w:t>
      </w:r>
      <w:r w:rsidRPr="00A63AE5">
        <w:rPr>
          <w:rFonts w:ascii="Calibri Light" w:eastAsia="Calibri" w:hAnsi="Calibri Light"/>
          <w:color w:val="000000"/>
          <w:sz w:val="28"/>
          <w:szCs w:val="28"/>
        </w:rPr>
        <w:t>a</w:t>
      </w:r>
      <w:r>
        <w:rPr>
          <w:rFonts w:ascii="Calibri Light" w:eastAsia="Calibri" w:hAnsi="Calibri Light"/>
          <w:color w:val="000000"/>
          <w:sz w:val="28"/>
          <w:szCs w:val="28"/>
        </w:rPr>
        <w:t xml:space="preserve"> que esta cifra fue de</w:t>
      </w:r>
      <w:r w:rsidRPr="00A63AE5">
        <w:rPr>
          <w:rFonts w:ascii="Calibri Light" w:eastAsia="Calibri" w:hAnsi="Calibri Light"/>
          <w:color w:val="000000"/>
          <w:sz w:val="28"/>
          <w:szCs w:val="28"/>
        </w:rPr>
        <w:t xml:space="preserve"> 350 millones en 2016</w:t>
      </w:r>
      <w:r>
        <w:rPr>
          <w:rFonts w:ascii="Calibri Light" w:eastAsia="Calibri" w:hAnsi="Calibri Light"/>
          <w:color w:val="000000"/>
          <w:sz w:val="28"/>
          <w:szCs w:val="28"/>
        </w:rPr>
        <w:t xml:space="preserve"> a nivel mundial. Por lo que, como la tecnología está presente en la sociedad actual y dado</w:t>
      </w:r>
      <w:r w:rsidRPr="008341B7">
        <w:rPr>
          <w:rFonts w:ascii="Calibri Light" w:eastAsia="Calibri" w:hAnsi="Calibri Light"/>
          <w:color w:val="000000"/>
          <w:sz w:val="28"/>
          <w:szCs w:val="28"/>
        </w:rPr>
        <w:t xml:space="preserve"> </w:t>
      </w:r>
      <w:r>
        <w:rPr>
          <w:rFonts w:ascii="Calibri Light" w:eastAsia="Calibri" w:hAnsi="Calibri Light"/>
          <w:color w:val="000000"/>
          <w:sz w:val="28"/>
          <w:szCs w:val="28"/>
        </w:rPr>
        <w:t>que</w:t>
      </w:r>
      <w:r w:rsidRPr="008341B7">
        <w:rPr>
          <w:rFonts w:ascii="Calibri Light" w:eastAsia="Calibri" w:hAnsi="Calibri Light"/>
          <w:color w:val="000000"/>
          <w:sz w:val="28"/>
          <w:szCs w:val="28"/>
        </w:rPr>
        <w:t xml:space="preserve"> más del 95 por ciento de los empleos </w:t>
      </w:r>
      <w:r>
        <w:rPr>
          <w:rFonts w:ascii="Calibri Light" w:eastAsia="Calibri" w:hAnsi="Calibri Light"/>
          <w:color w:val="000000"/>
          <w:sz w:val="28"/>
          <w:szCs w:val="28"/>
        </w:rPr>
        <w:t>tienen</w:t>
      </w:r>
      <w:r w:rsidRPr="00C35C60">
        <w:rPr>
          <w:rFonts w:ascii="Calibri Light" w:eastAsia="Calibri" w:hAnsi="Calibri Light"/>
          <w:color w:val="000000"/>
          <w:sz w:val="28"/>
          <w:szCs w:val="28"/>
        </w:rPr>
        <w:t xml:space="preserve"> </w:t>
      </w:r>
      <w:r>
        <w:rPr>
          <w:rFonts w:ascii="Calibri Light" w:eastAsia="Calibri" w:hAnsi="Calibri Light"/>
          <w:color w:val="000000"/>
          <w:sz w:val="28"/>
          <w:szCs w:val="28"/>
        </w:rPr>
        <w:t>un componente digital</w:t>
      </w:r>
      <w:r w:rsidRPr="00C35C60">
        <w:rPr>
          <w:rFonts w:ascii="Calibri Light" w:eastAsia="Calibri" w:hAnsi="Calibri Light"/>
          <w:color w:val="000000"/>
          <w:sz w:val="28"/>
          <w:szCs w:val="28"/>
        </w:rPr>
        <w:t>, si las mujeres no están adecuadamente capacitadas, tendrán un acceso red</w:t>
      </w:r>
      <w:r>
        <w:rPr>
          <w:rFonts w:ascii="Calibri Light" w:eastAsia="Calibri" w:hAnsi="Calibri Light"/>
          <w:color w:val="000000"/>
          <w:sz w:val="28"/>
          <w:szCs w:val="28"/>
        </w:rPr>
        <w:t>ucido al empleo, lo que podría tener</w:t>
      </w:r>
      <w:r w:rsidRPr="008341B7">
        <w:rPr>
          <w:rFonts w:ascii="Calibri Light" w:eastAsia="Calibri" w:hAnsi="Calibri Light"/>
          <w:color w:val="000000"/>
          <w:sz w:val="28"/>
          <w:szCs w:val="28"/>
        </w:rPr>
        <w:t xml:space="preserve"> amplias repercusiones</w:t>
      </w:r>
      <w:r>
        <w:rPr>
          <w:rFonts w:ascii="Calibri Light" w:eastAsia="Calibri" w:hAnsi="Calibri Light"/>
          <w:color w:val="000000"/>
          <w:sz w:val="28"/>
          <w:szCs w:val="28"/>
        </w:rPr>
        <w:t xml:space="preserve"> en</w:t>
      </w:r>
      <w:r w:rsidRPr="008341B7">
        <w:rPr>
          <w:rFonts w:ascii="Calibri Light" w:eastAsia="Calibri" w:hAnsi="Calibri Light"/>
          <w:color w:val="000000"/>
          <w:sz w:val="28"/>
          <w:szCs w:val="28"/>
        </w:rPr>
        <w:t xml:space="preserve"> </w:t>
      </w:r>
      <w:r w:rsidRPr="00C35C60">
        <w:rPr>
          <w:rFonts w:ascii="Calibri Light" w:eastAsia="Calibri" w:hAnsi="Calibri Light"/>
          <w:color w:val="000000"/>
          <w:sz w:val="28"/>
          <w:szCs w:val="28"/>
        </w:rPr>
        <w:t>su inclusión social, económica y política.</w:t>
      </w:r>
    </w:p>
    <w:p w14:paraId="604609F9" w14:textId="77777777" w:rsidR="0014509F" w:rsidRPr="00697377" w:rsidRDefault="0014509F" w:rsidP="0014509F">
      <w:pPr>
        <w:spacing w:after="100" w:afterAutospacing="1"/>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Objetivo</w:t>
      </w:r>
    </w:p>
    <w:p w14:paraId="79F97C7B" w14:textId="77777777" w:rsidR="0014509F"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sidRPr="006C0D1C">
        <w:rPr>
          <w:rFonts w:ascii="Calibri Light" w:eastAsia="Calibri" w:hAnsi="Calibri Light"/>
          <w:color w:val="000000"/>
          <w:sz w:val="28"/>
          <w:szCs w:val="28"/>
        </w:rPr>
        <w:t>En los últimos años, las TI</w:t>
      </w:r>
      <w:r>
        <w:rPr>
          <w:rFonts w:ascii="Calibri Light" w:eastAsia="Calibri" w:hAnsi="Calibri Light"/>
          <w:color w:val="000000"/>
          <w:sz w:val="28"/>
          <w:szCs w:val="28"/>
        </w:rPr>
        <w:t>C</w:t>
      </w:r>
      <w:r w:rsidRPr="006C0D1C">
        <w:rPr>
          <w:rFonts w:ascii="Calibri Light" w:eastAsia="Calibri" w:hAnsi="Calibri Light"/>
          <w:color w:val="000000"/>
          <w:sz w:val="28"/>
          <w:szCs w:val="28"/>
        </w:rPr>
        <w:t xml:space="preserve"> han aumentado su importancia en el desarrollo y crecimiento económico, por lo que un factor de gran relevancia para la toma de decisiones es el conocimiento de la tendencia de los indicadores, de su uso y disponibilidad. </w:t>
      </w:r>
    </w:p>
    <w:p w14:paraId="73297184" w14:textId="77777777" w:rsidR="0014509F" w:rsidRPr="006C0D1C"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sidRPr="006C0D1C">
        <w:rPr>
          <w:rFonts w:ascii="Calibri Light" w:eastAsia="Calibri" w:hAnsi="Calibri Light"/>
          <w:color w:val="000000"/>
          <w:sz w:val="28"/>
          <w:szCs w:val="28"/>
        </w:rPr>
        <w:t xml:space="preserve">En este análisis se </w:t>
      </w:r>
      <w:r>
        <w:rPr>
          <w:rFonts w:ascii="Calibri Light" w:eastAsia="Calibri" w:hAnsi="Calibri Light"/>
          <w:color w:val="000000"/>
          <w:sz w:val="28"/>
          <w:szCs w:val="28"/>
        </w:rPr>
        <w:t>generarán</w:t>
      </w:r>
      <w:r w:rsidRPr="006C0D1C">
        <w:rPr>
          <w:rFonts w:ascii="Calibri Light" w:eastAsia="Calibri" w:hAnsi="Calibri Light"/>
          <w:color w:val="000000"/>
          <w:sz w:val="28"/>
          <w:szCs w:val="28"/>
        </w:rPr>
        <w:t xml:space="preserve"> los indicadores de disponibilidad de las TIC en los hogares</w:t>
      </w:r>
      <w:r>
        <w:rPr>
          <w:rFonts w:ascii="Calibri Light" w:eastAsia="Calibri" w:hAnsi="Calibri Light"/>
          <w:color w:val="000000"/>
          <w:sz w:val="28"/>
          <w:szCs w:val="28"/>
        </w:rPr>
        <w:t xml:space="preserve"> según el sexo de la jefatura del hogar y</w:t>
      </w:r>
      <w:r w:rsidRPr="006C0D1C">
        <w:rPr>
          <w:rFonts w:ascii="Calibri Light" w:eastAsia="Calibri" w:hAnsi="Calibri Light"/>
          <w:color w:val="000000"/>
          <w:sz w:val="28"/>
          <w:szCs w:val="28"/>
        </w:rPr>
        <w:t xml:space="preserve"> los de uso de éstas para lo</w:t>
      </w:r>
      <w:r>
        <w:rPr>
          <w:rFonts w:ascii="Calibri Light" w:eastAsia="Calibri" w:hAnsi="Calibri Light"/>
          <w:color w:val="000000"/>
          <w:sz w:val="28"/>
          <w:szCs w:val="28"/>
        </w:rPr>
        <w:t xml:space="preserve">s individuos de seis años o más de acuerdo a su género, de los </w:t>
      </w:r>
      <w:r w:rsidRPr="006C0D1C">
        <w:rPr>
          <w:rFonts w:ascii="Calibri Light" w:eastAsia="Calibri" w:hAnsi="Calibri Light"/>
          <w:color w:val="000000"/>
          <w:sz w:val="28"/>
          <w:szCs w:val="28"/>
        </w:rPr>
        <w:t>Módulo</w:t>
      </w:r>
      <w:r>
        <w:rPr>
          <w:rFonts w:ascii="Calibri Light" w:eastAsia="Calibri" w:hAnsi="Calibri Light"/>
          <w:color w:val="000000"/>
          <w:sz w:val="28"/>
          <w:szCs w:val="28"/>
        </w:rPr>
        <w:t>s</w:t>
      </w:r>
      <w:r w:rsidRPr="006C0D1C">
        <w:rPr>
          <w:rFonts w:ascii="Calibri Light" w:eastAsia="Calibri" w:hAnsi="Calibri Light"/>
          <w:color w:val="000000"/>
          <w:sz w:val="28"/>
          <w:szCs w:val="28"/>
        </w:rPr>
        <w:t xml:space="preserve"> sobre Disponibilidad y Uso de las Tecnologías de la Inform</w:t>
      </w:r>
      <w:r>
        <w:rPr>
          <w:rFonts w:ascii="Calibri Light" w:eastAsia="Calibri" w:hAnsi="Calibri Light"/>
          <w:color w:val="000000"/>
          <w:sz w:val="28"/>
          <w:szCs w:val="28"/>
        </w:rPr>
        <w:t xml:space="preserve">ación y Comunicaciones (MODUTIH) y de las </w:t>
      </w:r>
      <w:r w:rsidRPr="006C0D1C">
        <w:rPr>
          <w:rFonts w:ascii="Calibri Light" w:eastAsia="Calibri" w:hAnsi="Calibri Light"/>
          <w:color w:val="000000"/>
          <w:sz w:val="28"/>
          <w:szCs w:val="28"/>
        </w:rPr>
        <w:t>Encuesta</w:t>
      </w:r>
      <w:r>
        <w:rPr>
          <w:rFonts w:ascii="Calibri Light" w:eastAsia="Calibri" w:hAnsi="Calibri Light"/>
          <w:color w:val="000000"/>
          <w:sz w:val="28"/>
          <w:szCs w:val="28"/>
        </w:rPr>
        <w:t>s</w:t>
      </w:r>
      <w:r w:rsidRPr="006C0D1C">
        <w:rPr>
          <w:rFonts w:ascii="Calibri Light" w:eastAsia="Calibri" w:hAnsi="Calibri Light"/>
          <w:color w:val="000000"/>
          <w:sz w:val="28"/>
          <w:szCs w:val="28"/>
        </w:rPr>
        <w:t xml:space="preserve"> Nacional</w:t>
      </w:r>
      <w:r>
        <w:rPr>
          <w:rFonts w:ascii="Calibri Light" w:eastAsia="Calibri" w:hAnsi="Calibri Light"/>
          <w:color w:val="000000"/>
          <w:sz w:val="28"/>
          <w:szCs w:val="28"/>
        </w:rPr>
        <w:t>es</w:t>
      </w:r>
      <w:r w:rsidRPr="006C0D1C">
        <w:rPr>
          <w:rFonts w:ascii="Calibri Light" w:eastAsia="Calibri" w:hAnsi="Calibri Light"/>
          <w:color w:val="000000"/>
          <w:sz w:val="28"/>
          <w:szCs w:val="28"/>
        </w:rPr>
        <w:t xml:space="preserve"> sobre Disponibilidad y Uso de las Tecnologías de la Información en los Hogares (ENDUTIH)</w:t>
      </w:r>
      <w:r>
        <w:rPr>
          <w:rFonts w:ascii="Calibri Light" w:eastAsia="Calibri" w:hAnsi="Calibri Light"/>
          <w:color w:val="000000"/>
          <w:sz w:val="28"/>
          <w:szCs w:val="28"/>
        </w:rPr>
        <w:t xml:space="preserve"> que ha realizado el INEGI con la participación del</w:t>
      </w:r>
      <w:r w:rsidRPr="006C0D1C">
        <w:rPr>
          <w:rFonts w:ascii="Calibri Light" w:eastAsia="Calibri" w:hAnsi="Calibri Light"/>
          <w:color w:val="000000"/>
          <w:sz w:val="28"/>
          <w:szCs w:val="28"/>
        </w:rPr>
        <w:t xml:space="preserve"> IFT y</w:t>
      </w:r>
      <w:r>
        <w:rPr>
          <w:rFonts w:ascii="Calibri Light" w:eastAsia="Calibri" w:hAnsi="Calibri Light"/>
          <w:color w:val="000000"/>
          <w:sz w:val="28"/>
          <w:szCs w:val="28"/>
        </w:rPr>
        <w:t xml:space="preserve"> de</w:t>
      </w:r>
      <w:r w:rsidRPr="006C0D1C">
        <w:rPr>
          <w:rFonts w:ascii="Calibri Light" w:eastAsia="Calibri" w:hAnsi="Calibri Light"/>
          <w:color w:val="000000"/>
          <w:sz w:val="28"/>
          <w:szCs w:val="28"/>
        </w:rPr>
        <w:t xml:space="preserve"> la SCT</w:t>
      </w:r>
      <w:r w:rsidRPr="00486E29">
        <w:rPr>
          <w:rFonts w:ascii="Calibri Light" w:eastAsia="Calibri" w:hAnsi="Calibri Light"/>
          <w:color w:val="000000"/>
          <w:sz w:val="28"/>
          <w:szCs w:val="28"/>
        </w:rPr>
        <w:t xml:space="preserve"> </w:t>
      </w:r>
      <w:r>
        <w:rPr>
          <w:rFonts w:ascii="Calibri Light" w:eastAsia="Calibri" w:hAnsi="Calibri Light"/>
          <w:color w:val="000000"/>
          <w:sz w:val="28"/>
          <w:szCs w:val="28"/>
        </w:rPr>
        <w:t>en algunos de estos proyectos.</w:t>
      </w:r>
    </w:p>
    <w:p w14:paraId="17F4D874" w14:textId="77777777" w:rsidR="0014509F"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sidRPr="00890174">
        <w:rPr>
          <w:rFonts w:ascii="Calibri Light" w:eastAsia="Calibri" w:hAnsi="Calibri Light"/>
          <w:color w:val="000000"/>
          <w:sz w:val="28"/>
          <w:szCs w:val="28"/>
        </w:rPr>
        <w:t xml:space="preserve">Adicionalmente, es importante determinar si en el sector telecomunicaciones y radiodifusión se está promoviendo la igualdad de oportunidades para que las mujeres y los hombres accedan a un trabajo </w:t>
      </w:r>
      <w:r>
        <w:rPr>
          <w:rFonts w:ascii="Calibri Light" w:eastAsia="Calibri" w:hAnsi="Calibri Light"/>
          <w:color w:val="000000"/>
          <w:sz w:val="28"/>
          <w:szCs w:val="28"/>
        </w:rPr>
        <w:t>digno</w:t>
      </w:r>
      <w:r w:rsidRPr="00890174">
        <w:rPr>
          <w:rFonts w:ascii="Calibri Light" w:eastAsia="Calibri" w:hAnsi="Calibri Light"/>
          <w:color w:val="000000"/>
          <w:sz w:val="28"/>
          <w:szCs w:val="28"/>
        </w:rPr>
        <w:t>.</w:t>
      </w:r>
    </w:p>
    <w:p w14:paraId="2720AB97" w14:textId="77777777" w:rsidR="0014509F" w:rsidRDefault="0014509F" w:rsidP="0014509F">
      <w:pPr>
        <w:spacing w:after="100" w:afterAutospacing="1"/>
        <w:jc w:val="both"/>
        <w:rPr>
          <w:rFonts w:ascii="Calibri Light" w:eastAsia="Calibri" w:hAnsi="Calibri Light"/>
          <w:color w:val="000000"/>
          <w:sz w:val="28"/>
          <w:szCs w:val="28"/>
        </w:rPr>
      </w:pPr>
      <w:r>
        <w:rPr>
          <w:rFonts w:ascii="Calibri Light" w:eastAsia="Calibri" w:hAnsi="Calibri Light"/>
          <w:color w:val="000000"/>
          <w:sz w:val="28"/>
          <w:szCs w:val="28"/>
        </w:rPr>
        <w:lastRenderedPageBreak/>
        <w:t>Finalmente, se propondrá un conjunto de indicadores clave para dar seguimiento a la equidad de género en el sector de telecomunicaciones y de radiodifusión.</w:t>
      </w:r>
    </w:p>
    <w:p w14:paraId="2B638457" w14:textId="77777777" w:rsidR="0014509F" w:rsidRPr="00697377" w:rsidRDefault="0014509F" w:rsidP="0014509F">
      <w:pPr>
        <w:spacing w:after="100" w:afterAutospacing="1"/>
        <w:ind w:firstLine="709"/>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Metodología</w:t>
      </w:r>
    </w:p>
    <w:p w14:paraId="23D8D832" w14:textId="77777777" w:rsidR="0014509F"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sidRPr="006C0D1C">
        <w:rPr>
          <w:rFonts w:ascii="Calibri Light" w:eastAsia="Calibri" w:hAnsi="Calibri Light"/>
          <w:color w:val="000000"/>
          <w:sz w:val="28"/>
          <w:szCs w:val="28"/>
        </w:rPr>
        <w:t xml:space="preserve">En este </w:t>
      </w:r>
      <w:r>
        <w:rPr>
          <w:rFonts w:ascii="Calibri Light" w:eastAsia="Calibri" w:hAnsi="Calibri Light"/>
          <w:color w:val="000000"/>
          <w:sz w:val="28"/>
          <w:szCs w:val="28"/>
        </w:rPr>
        <w:t>estudio</w:t>
      </w:r>
      <w:r w:rsidRPr="006C0D1C">
        <w:rPr>
          <w:rFonts w:ascii="Calibri Light" w:eastAsia="Calibri" w:hAnsi="Calibri Light"/>
          <w:color w:val="000000"/>
          <w:sz w:val="28"/>
          <w:szCs w:val="28"/>
        </w:rPr>
        <w:t xml:space="preserve"> se construirán los indicadores de disponibilidad en los hogares de radio, televisor analógico, televisor digital, computadora y servicios de telefonía, internet y TV de paga con base en los resultados del MODUTIH, de 2001 a 2014, y con los de la ENDUTIH, de 2015 a 2017</w:t>
      </w:r>
      <w:r>
        <w:rPr>
          <w:rFonts w:ascii="Calibri Light" w:eastAsia="Calibri" w:hAnsi="Calibri Light"/>
          <w:color w:val="000000"/>
          <w:sz w:val="28"/>
          <w:szCs w:val="28"/>
        </w:rPr>
        <w:t xml:space="preserve"> según el sexo de la jefatura del hogar, con el mayor desglose posible.</w:t>
      </w:r>
      <w:r w:rsidRPr="006C0D1C">
        <w:rPr>
          <w:rFonts w:ascii="Calibri Light" w:eastAsia="Calibri" w:hAnsi="Calibri Light"/>
          <w:color w:val="000000"/>
          <w:sz w:val="28"/>
          <w:szCs w:val="28"/>
        </w:rPr>
        <w:t xml:space="preserve"> </w:t>
      </w:r>
    </w:p>
    <w:p w14:paraId="50EAC0CB" w14:textId="77777777" w:rsidR="0014509F"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sidRPr="006C0D1C">
        <w:rPr>
          <w:rFonts w:ascii="Calibri Light" w:eastAsia="Calibri" w:hAnsi="Calibri Light"/>
          <w:color w:val="000000"/>
          <w:sz w:val="28"/>
          <w:szCs w:val="28"/>
        </w:rPr>
        <w:t>Tratándose de</w:t>
      </w:r>
      <w:r>
        <w:rPr>
          <w:rFonts w:ascii="Calibri Light" w:eastAsia="Calibri" w:hAnsi="Calibri Light"/>
          <w:color w:val="000000"/>
          <w:sz w:val="28"/>
          <w:szCs w:val="28"/>
        </w:rPr>
        <w:t xml:space="preserve"> </w:t>
      </w:r>
      <w:r w:rsidRPr="006C0D1C">
        <w:rPr>
          <w:rFonts w:ascii="Calibri Light" w:eastAsia="Calibri" w:hAnsi="Calibri Light"/>
          <w:color w:val="000000"/>
          <w:sz w:val="28"/>
          <w:szCs w:val="28"/>
        </w:rPr>
        <w:t>l</w:t>
      </w:r>
      <w:r>
        <w:rPr>
          <w:rFonts w:ascii="Calibri Light" w:eastAsia="Calibri" w:hAnsi="Calibri Light"/>
          <w:color w:val="000000"/>
          <w:sz w:val="28"/>
          <w:szCs w:val="28"/>
        </w:rPr>
        <w:t>os indicadores de los usuarios</w:t>
      </w:r>
      <w:r w:rsidRPr="006C0D1C">
        <w:rPr>
          <w:rFonts w:ascii="Calibri Light" w:eastAsia="Calibri" w:hAnsi="Calibri Light"/>
          <w:color w:val="000000"/>
          <w:sz w:val="28"/>
          <w:szCs w:val="28"/>
        </w:rPr>
        <w:t xml:space="preserve"> de telefonía celular, internet y computadora </w:t>
      </w:r>
      <w:r>
        <w:rPr>
          <w:rFonts w:ascii="Calibri Light" w:eastAsia="Calibri" w:hAnsi="Calibri Light"/>
          <w:color w:val="000000"/>
          <w:sz w:val="28"/>
          <w:szCs w:val="28"/>
        </w:rPr>
        <w:t xml:space="preserve">de acuerdo al género </w:t>
      </w:r>
      <w:r w:rsidRPr="006C0D1C">
        <w:rPr>
          <w:rFonts w:ascii="Calibri Light" w:eastAsia="Calibri" w:hAnsi="Calibri Light"/>
          <w:color w:val="000000"/>
          <w:sz w:val="28"/>
          <w:szCs w:val="28"/>
        </w:rPr>
        <w:t>sólo se podrán construir las series a partir de los resultados de la ENDUTIH, de 2015 a 2017. Lo anterior, debido al cambio metodológico que la encuesta tiene respecto al módulo, de seleccionar aleatoriamente al informante.</w:t>
      </w:r>
    </w:p>
    <w:p w14:paraId="58F30249" w14:textId="77777777" w:rsidR="0014509F"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sidRPr="00890174">
        <w:rPr>
          <w:rFonts w:ascii="Calibri Light" w:eastAsia="Calibri" w:hAnsi="Calibri Light"/>
          <w:color w:val="000000"/>
          <w:sz w:val="28"/>
          <w:szCs w:val="28"/>
        </w:rPr>
        <w:t>En lo que respecta a poder conocer las condiciones del empleo y los salarios para las mujeres y los hombres en el sector de telecomunicaciones y de radiodifusión, se buscará la información disponible para las empresas de estos sectores en México.</w:t>
      </w:r>
    </w:p>
    <w:p w14:paraId="7DABA2DA" w14:textId="77777777" w:rsidR="0014509F"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Pr>
          <w:rFonts w:ascii="Calibri Light" w:eastAsia="Calibri" w:hAnsi="Calibri Light"/>
          <w:color w:val="000000"/>
          <w:sz w:val="28"/>
          <w:szCs w:val="28"/>
        </w:rPr>
        <w:t>Se definirá conceptualmente un conjunto de indicadores de participación de género para el sector de telecomunicaciones y de radiodifusión, considerando las mejores prácticas y recomendaciones de organismos internacionales como OIT, UIT y UNESCO.</w:t>
      </w:r>
    </w:p>
    <w:p w14:paraId="3C937A75" w14:textId="77777777" w:rsidR="0014509F" w:rsidRDefault="0014509F" w:rsidP="0014509F">
      <w:pPr>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Resultados Esperados</w:t>
      </w:r>
    </w:p>
    <w:p w14:paraId="701913CA" w14:textId="11F6D969" w:rsidR="0014509F" w:rsidRPr="00AC05DA" w:rsidRDefault="0014509F" w:rsidP="00AC05DA">
      <w:pPr>
        <w:pStyle w:val="estilo30"/>
        <w:spacing w:before="240" w:beforeAutospacing="0" w:after="240" w:afterAutospacing="0" w:line="276" w:lineRule="auto"/>
        <w:jc w:val="both"/>
        <w:rPr>
          <w:rFonts w:ascii="Calibri Light" w:eastAsia="Calibri" w:hAnsi="Calibri Light" w:cs="Calibri Light"/>
          <w:color w:val="3476B1"/>
          <w:sz w:val="28"/>
          <w:szCs w:val="28"/>
        </w:rPr>
      </w:pPr>
      <w:r>
        <w:rPr>
          <w:rFonts w:ascii="Calibri Light" w:eastAsia="Calibri" w:hAnsi="Calibri Light"/>
          <w:color w:val="000000"/>
          <w:sz w:val="28"/>
          <w:szCs w:val="28"/>
        </w:rPr>
        <w:t>El análisis estadístico de l</w:t>
      </w:r>
      <w:r w:rsidRPr="00D64C64">
        <w:rPr>
          <w:rFonts w:ascii="Calibri Light" w:eastAsia="Calibri" w:hAnsi="Calibri Light"/>
          <w:color w:val="000000"/>
          <w:sz w:val="28"/>
          <w:szCs w:val="28"/>
        </w:rPr>
        <w:t xml:space="preserve">os indicadores </w:t>
      </w:r>
      <w:r>
        <w:rPr>
          <w:rFonts w:ascii="Calibri Light" w:eastAsia="Calibri" w:hAnsi="Calibri Light"/>
          <w:color w:val="000000"/>
          <w:sz w:val="28"/>
          <w:szCs w:val="28"/>
        </w:rPr>
        <w:t>obtenidos en esta investigación permitirá conocer el estado actual de la equidad de género en la disponibilidad y uso de las TIC y del empleo en el sector de telecomunicaciones y de radiodifusión</w:t>
      </w:r>
      <w:r w:rsidRPr="00890174">
        <w:rPr>
          <w:rFonts w:ascii="Calibri Light" w:eastAsia="Calibri" w:hAnsi="Calibri Light"/>
          <w:color w:val="000000"/>
          <w:sz w:val="28"/>
          <w:szCs w:val="28"/>
        </w:rPr>
        <w:t xml:space="preserve"> </w:t>
      </w:r>
      <w:r>
        <w:rPr>
          <w:rFonts w:ascii="Calibri Light" w:eastAsia="Calibri" w:hAnsi="Calibri Light"/>
          <w:color w:val="000000"/>
          <w:sz w:val="28"/>
          <w:szCs w:val="28"/>
        </w:rPr>
        <w:t>en México. Así también, se determinarán indicadores clave para poder dar el seguimiento correspondiente.</w:t>
      </w:r>
    </w:p>
    <w:p w14:paraId="0D1932E2" w14:textId="77777777" w:rsidR="0014509F" w:rsidRPr="00697377" w:rsidRDefault="0014509F" w:rsidP="0014509F">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Utilidad del estudio para el Instituto</w:t>
      </w:r>
    </w:p>
    <w:p w14:paraId="1AC1C8EB" w14:textId="77777777" w:rsidR="0014509F"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Pr>
          <w:rFonts w:ascii="Calibri Light" w:eastAsia="Calibri" w:hAnsi="Calibri Light"/>
          <w:color w:val="000000"/>
          <w:sz w:val="28"/>
          <w:szCs w:val="28"/>
        </w:rPr>
        <w:lastRenderedPageBreak/>
        <w:t>El conocer la situación en la que se encuentran las mujeres en México con respecto a la disponibilidad y uso de las TIC, b</w:t>
      </w:r>
      <w:r w:rsidRPr="00D27513">
        <w:rPr>
          <w:rFonts w:ascii="Calibri Light" w:eastAsia="Calibri" w:hAnsi="Calibri Light"/>
          <w:color w:val="000000"/>
          <w:sz w:val="28"/>
          <w:szCs w:val="28"/>
        </w:rPr>
        <w:t>rindará la oportunidad de identificar y revisar posibles soluciones para abordar el empoderamiento de las mujeres en la era digital y establecer un compromiso político para tomar medidas para cerrar la brecha digital de géne</w:t>
      </w:r>
      <w:r>
        <w:rPr>
          <w:rFonts w:ascii="Calibri Light" w:eastAsia="Calibri" w:hAnsi="Calibri Light"/>
          <w:color w:val="000000"/>
          <w:sz w:val="28"/>
          <w:szCs w:val="28"/>
        </w:rPr>
        <w:t xml:space="preserve">ro en sus distintas dimensiones: </w:t>
      </w:r>
      <w:r w:rsidRPr="00F7624B">
        <w:rPr>
          <w:rFonts w:ascii="Calibri Light" w:eastAsia="Calibri" w:hAnsi="Calibri Light"/>
          <w:color w:val="000000"/>
          <w:sz w:val="28"/>
          <w:szCs w:val="28"/>
        </w:rPr>
        <w:t xml:space="preserve">en acceso, en uso, en contenido, </w:t>
      </w:r>
      <w:r>
        <w:rPr>
          <w:rFonts w:ascii="Calibri Light" w:eastAsia="Calibri" w:hAnsi="Calibri Light"/>
          <w:color w:val="000000"/>
          <w:sz w:val="28"/>
          <w:szCs w:val="28"/>
        </w:rPr>
        <w:t>en liderazgo y en oportunidades.</w:t>
      </w:r>
    </w:p>
    <w:p w14:paraId="1745976C" w14:textId="77777777" w:rsidR="0014509F" w:rsidRPr="00697377" w:rsidRDefault="0014509F" w:rsidP="0014509F">
      <w:pPr>
        <w:keepNext/>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Cronograma</w:t>
      </w:r>
    </w:p>
    <w:tbl>
      <w:tblPr>
        <w:tblStyle w:val="Tablaconcuadrcula"/>
        <w:tblW w:w="0" w:type="auto"/>
        <w:tblLayout w:type="fixed"/>
        <w:tblLook w:val="04A0" w:firstRow="1" w:lastRow="0" w:firstColumn="1" w:lastColumn="0" w:noHBand="0" w:noVBand="1"/>
        <w:tblCaption w:val="Cronograma "/>
        <w:tblDescription w:val="Etapas del Estudio &#10;Revisión Bibliográfica.Fecha de Conclusión Agosto&#10;Recopilación de información y datos.Fecha de Conclusión Septiembre&#10;Formulación y evaluación de modelos. Fecha de Conclusión Octubre&#10;Análisis y formulación de resultados.Fecha de Conclusión Noviembre&#10;Elaboración del reporte final.Fecha de Conclusión Diciembre&#10;Envío a dictamen para publicación.Fecha de Conclusión Diciembre&#10;"/>
      </w:tblPr>
      <w:tblGrid>
        <w:gridCol w:w="6658"/>
        <w:gridCol w:w="2693"/>
      </w:tblGrid>
      <w:tr w:rsidR="0014509F" w:rsidRPr="00697377" w14:paraId="234CBE36" w14:textId="77777777" w:rsidTr="00A170A9">
        <w:trPr>
          <w:tblHeader/>
        </w:trPr>
        <w:tc>
          <w:tcPr>
            <w:tcW w:w="6658" w:type="dxa"/>
          </w:tcPr>
          <w:p w14:paraId="63CEB89D" w14:textId="77777777" w:rsidR="0014509F" w:rsidRPr="00697377" w:rsidRDefault="0014509F" w:rsidP="00A170A9">
            <w:pPr>
              <w:keepNext/>
              <w:spacing w:after="100" w:afterAutospacing="1"/>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Etapas del Estudio</w:t>
            </w:r>
          </w:p>
        </w:tc>
        <w:tc>
          <w:tcPr>
            <w:tcW w:w="2693" w:type="dxa"/>
          </w:tcPr>
          <w:p w14:paraId="0C8D4996" w14:textId="77777777" w:rsidR="0014509F" w:rsidRPr="00697377" w:rsidRDefault="0014509F" w:rsidP="00A170A9">
            <w:pPr>
              <w:keepNext/>
              <w:spacing w:after="100" w:afterAutospacing="1"/>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Fecha de Conclusión</w:t>
            </w:r>
          </w:p>
        </w:tc>
      </w:tr>
      <w:tr w:rsidR="0014509F" w:rsidRPr="006C0D1C" w14:paraId="039D78DD" w14:textId="77777777" w:rsidTr="00A170A9">
        <w:tc>
          <w:tcPr>
            <w:tcW w:w="6658" w:type="dxa"/>
          </w:tcPr>
          <w:p w14:paraId="5229D25E" w14:textId="77777777" w:rsidR="0014509F" w:rsidRPr="006C0D1C" w:rsidRDefault="0014509F" w:rsidP="00A170A9">
            <w:pPr>
              <w:spacing w:after="100" w:afterAutospacing="1"/>
              <w:jc w:val="both"/>
              <w:rPr>
                <w:rFonts w:ascii="Calibri Light" w:eastAsia="Calibri" w:hAnsi="Calibri Light"/>
                <w:color w:val="0070C0"/>
                <w:sz w:val="28"/>
                <w:szCs w:val="28"/>
              </w:rPr>
            </w:pPr>
            <w:r w:rsidRPr="006C0D1C">
              <w:rPr>
                <w:rFonts w:ascii="Calibri Light" w:eastAsia="Calibri" w:hAnsi="Calibri Light"/>
                <w:color w:val="000000"/>
                <w:sz w:val="28"/>
                <w:szCs w:val="28"/>
              </w:rPr>
              <w:t>Revisión Bibliográfica</w:t>
            </w:r>
            <w:r>
              <w:rPr>
                <w:rFonts w:ascii="Calibri Light" w:eastAsia="Calibri" w:hAnsi="Calibri Light"/>
                <w:color w:val="000000"/>
                <w:sz w:val="28"/>
                <w:szCs w:val="28"/>
              </w:rPr>
              <w:t>.</w:t>
            </w:r>
          </w:p>
        </w:tc>
        <w:tc>
          <w:tcPr>
            <w:tcW w:w="2693" w:type="dxa"/>
          </w:tcPr>
          <w:p w14:paraId="29783532" w14:textId="77777777" w:rsidR="0014509F" w:rsidRPr="006C0D1C" w:rsidRDefault="0014509F" w:rsidP="00A170A9">
            <w:pPr>
              <w:spacing w:after="100" w:afterAutospacing="1"/>
              <w:jc w:val="both"/>
              <w:rPr>
                <w:rFonts w:ascii="Calibri Light" w:eastAsia="Calibri" w:hAnsi="Calibri Light"/>
                <w:color w:val="0070C0"/>
                <w:sz w:val="28"/>
                <w:szCs w:val="28"/>
              </w:rPr>
            </w:pPr>
            <w:r w:rsidRPr="006C0D1C">
              <w:rPr>
                <w:rFonts w:ascii="Calibri Light" w:eastAsia="Calibri" w:hAnsi="Calibri Light"/>
                <w:color w:val="000000"/>
                <w:sz w:val="28"/>
                <w:szCs w:val="28"/>
              </w:rPr>
              <w:t>Agosto</w:t>
            </w:r>
          </w:p>
        </w:tc>
      </w:tr>
      <w:tr w:rsidR="0014509F" w:rsidRPr="006C0D1C" w14:paraId="28BA99A2" w14:textId="77777777" w:rsidTr="00A170A9">
        <w:tc>
          <w:tcPr>
            <w:tcW w:w="6658" w:type="dxa"/>
          </w:tcPr>
          <w:p w14:paraId="4B326484" w14:textId="77777777" w:rsidR="0014509F" w:rsidRPr="006C0D1C" w:rsidRDefault="0014509F" w:rsidP="00A170A9">
            <w:pPr>
              <w:spacing w:after="100" w:afterAutospacing="1"/>
              <w:jc w:val="both"/>
              <w:rPr>
                <w:rFonts w:ascii="Calibri Light" w:eastAsia="Calibri" w:hAnsi="Calibri Light"/>
                <w:color w:val="0070C0"/>
                <w:sz w:val="28"/>
                <w:szCs w:val="28"/>
              </w:rPr>
            </w:pPr>
            <w:r w:rsidRPr="006C0D1C">
              <w:rPr>
                <w:rFonts w:ascii="Calibri Light" w:eastAsia="Calibri" w:hAnsi="Calibri Light"/>
                <w:color w:val="000000"/>
                <w:sz w:val="28"/>
                <w:szCs w:val="28"/>
              </w:rPr>
              <w:t>Recopilación de información y datos</w:t>
            </w:r>
            <w:r>
              <w:rPr>
                <w:rFonts w:ascii="Calibri Light" w:eastAsia="Calibri" w:hAnsi="Calibri Light"/>
                <w:color w:val="000000"/>
                <w:sz w:val="28"/>
                <w:szCs w:val="28"/>
              </w:rPr>
              <w:t>.</w:t>
            </w:r>
          </w:p>
        </w:tc>
        <w:tc>
          <w:tcPr>
            <w:tcW w:w="2693" w:type="dxa"/>
          </w:tcPr>
          <w:p w14:paraId="6746F890" w14:textId="77777777" w:rsidR="0014509F" w:rsidRPr="006C0D1C" w:rsidRDefault="0014509F" w:rsidP="00A170A9">
            <w:pPr>
              <w:spacing w:after="100" w:afterAutospacing="1"/>
              <w:jc w:val="both"/>
              <w:rPr>
                <w:rFonts w:ascii="Calibri Light" w:eastAsia="Calibri" w:hAnsi="Calibri Light"/>
                <w:color w:val="0070C0"/>
                <w:sz w:val="28"/>
                <w:szCs w:val="28"/>
              </w:rPr>
            </w:pPr>
            <w:r w:rsidRPr="006C0D1C">
              <w:rPr>
                <w:rFonts w:ascii="Calibri Light" w:eastAsia="Calibri" w:hAnsi="Calibri Light"/>
                <w:color w:val="000000"/>
                <w:sz w:val="28"/>
                <w:szCs w:val="28"/>
              </w:rPr>
              <w:t>Septiembre</w:t>
            </w:r>
          </w:p>
        </w:tc>
      </w:tr>
      <w:tr w:rsidR="0014509F" w:rsidRPr="006C0D1C" w14:paraId="1A46C715" w14:textId="77777777" w:rsidTr="00A170A9">
        <w:tc>
          <w:tcPr>
            <w:tcW w:w="6658" w:type="dxa"/>
          </w:tcPr>
          <w:p w14:paraId="19A4B638" w14:textId="77777777" w:rsidR="0014509F" w:rsidRPr="006C0D1C" w:rsidRDefault="0014509F" w:rsidP="00A170A9">
            <w:pPr>
              <w:spacing w:after="100" w:afterAutospacing="1"/>
              <w:jc w:val="both"/>
              <w:rPr>
                <w:rFonts w:ascii="Calibri Light" w:eastAsia="Calibri" w:hAnsi="Calibri Light"/>
                <w:color w:val="0070C0"/>
                <w:sz w:val="28"/>
                <w:szCs w:val="28"/>
              </w:rPr>
            </w:pPr>
            <w:r w:rsidRPr="006C0D1C">
              <w:rPr>
                <w:rFonts w:ascii="Calibri Light" w:eastAsia="Calibri" w:hAnsi="Calibri Light"/>
                <w:color w:val="000000"/>
                <w:sz w:val="28"/>
                <w:szCs w:val="28"/>
              </w:rPr>
              <w:t>Formulación y evaluación de modelos</w:t>
            </w:r>
            <w:r>
              <w:rPr>
                <w:rFonts w:ascii="Calibri Light" w:eastAsia="Calibri" w:hAnsi="Calibri Light"/>
                <w:color w:val="000000"/>
                <w:sz w:val="28"/>
                <w:szCs w:val="28"/>
              </w:rPr>
              <w:t>.</w:t>
            </w:r>
            <w:r w:rsidRPr="006C0D1C">
              <w:rPr>
                <w:rFonts w:ascii="Calibri Light" w:eastAsia="Calibri" w:hAnsi="Calibri Light"/>
                <w:color w:val="000000"/>
                <w:sz w:val="28"/>
                <w:szCs w:val="28"/>
              </w:rPr>
              <w:t xml:space="preserve"> </w:t>
            </w:r>
          </w:p>
        </w:tc>
        <w:tc>
          <w:tcPr>
            <w:tcW w:w="2693" w:type="dxa"/>
          </w:tcPr>
          <w:p w14:paraId="5EEF3811" w14:textId="77777777" w:rsidR="0014509F" w:rsidRPr="006C0D1C" w:rsidRDefault="0014509F" w:rsidP="00A170A9">
            <w:pPr>
              <w:spacing w:after="100" w:afterAutospacing="1"/>
              <w:jc w:val="both"/>
              <w:rPr>
                <w:rFonts w:ascii="Calibri Light" w:eastAsia="Calibri" w:hAnsi="Calibri Light"/>
                <w:color w:val="0070C0"/>
                <w:sz w:val="28"/>
                <w:szCs w:val="28"/>
              </w:rPr>
            </w:pPr>
            <w:r w:rsidRPr="006C0D1C">
              <w:rPr>
                <w:rFonts w:ascii="Calibri Light" w:eastAsia="Calibri" w:hAnsi="Calibri Light"/>
                <w:color w:val="000000"/>
                <w:sz w:val="28"/>
                <w:szCs w:val="28"/>
              </w:rPr>
              <w:t>Octubre</w:t>
            </w:r>
          </w:p>
        </w:tc>
      </w:tr>
      <w:tr w:rsidR="0014509F" w:rsidRPr="006C0D1C" w14:paraId="7A5FFA36" w14:textId="77777777" w:rsidTr="00A170A9">
        <w:tc>
          <w:tcPr>
            <w:tcW w:w="6658" w:type="dxa"/>
          </w:tcPr>
          <w:p w14:paraId="2850417A" w14:textId="77777777" w:rsidR="0014509F" w:rsidRPr="006C0D1C" w:rsidRDefault="0014509F" w:rsidP="00A170A9">
            <w:pPr>
              <w:spacing w:after="100" w:afterAutospacing="1"/>
              <w:jc w:val="both"/>
              <w:rPr>
                <w:rFonts w:ascii="Calibri Light" w:eastAsia="Calibri" w:hAnsi="Calibri Light"/>
                <w:color w:val="0070C0"/>
                <w:sz w:val="28"/>
                <w:szCs w:val="28"/>
              </w:rPr>
            </w:pPr>
            <w:r w:rsidRPr="006C0D1C">
              <w:rPr>
                <w:rFonts w:ascii="Calibri Light" w:eastAsia="Calibri" w:hAnsi="Calibri Light"/>
                <w:color w:val="000000"/>
                <w:sz w:val="28"/>
                <w:szCs w:val="28"/>
              </w:rPr>
              <w:t>Análisis y formulación de resultados</w:t>
            </w:r>
            <w:r>
              <w:rPr>
                <w:rFonts w:ascii="Calibri Light" w:eastAsia="Calibri" w:hAnsi="Calibri Light"/>
                <w:color w:val="000000"/>
                <w:sz w:val="28"/>
                <w:szCs w:val="28"/>
              </w:rPr>
              <w:t>.</w:t>
            </w:r>
          </w:p>
        </w:tc>
        <w:tc>
          <w:tcPr>
            <w:tcW w:w="2693" w:type="dxa"/>
          </w:tcPr>
          <w:p w14:paraId="29ECBEC9" w14:textId="77777777" w:rsidR="0014509F" w:rsidRPr="006C0D1C" w:rsidRDefault="0014509F" w:rsidP="00A170A9">
            <w:pPr>
              <w:spacing w:after="100" w:afterAutospacing="1"/>
              <w:jc w:val="both"/>
              <w:rPr>
                <w:rFonts w:ascii="Calibri Light" w:eastAsia="Calibri" w:hAnsi="Calibri Light"/>
                <w:color w:val="0070C0"/>
                <w:sz w:val="28"/>
                <w:szCs w:val="28"/>
              </w:rPr>
            </w:pPr>
            <w:r w:rsidRPr="006C0D1C">
              <w:rPr>
                <w:rFonts w:ascii="Calibri Light" w:eastAsia="Calibri" w:hAnsi="Calibri Light"/>
                <w:color w:val="000000"/>
                <w:sz w:val="28"/>
                <w:szCs w:val="28"/>
              </w:rPr>
              <w:t>Noviembre</w:t>
            </w:r>
          </w:p>
        </w:tc>
      </w:tr>
      <w:tr w:rsidR="0014509F" w:rsidRPr="006C0D1C" w14:paraId="4C01A953" w14:textId="77777777" w:rsidTr="00A170A9">
        <w:tc>
          <w:tcPr>
            <w:tcW w:w="6658" w:type="dxa"/>
          </w:tcPr>
          <w:p w14:paraId="4F0ED79C" w14:textId="77777777" w:rsidR="0014509F" w:rsidRPr="006C0D1C" w:rsidRDefault="0014509F" w:rsidP="00A170A9">
            <w:pPr>
              <w:spacing w:after="100" w:afterAutospacing="1"/>
              <w:jc w:val="both"/>
              <w:rPr>
                <w:rFonts w:ascii="Calibri Light" w:eastAsia="Calibri" w:hAnsi="Calibri Light"/>
                <w:color w:val="000000"/>
                <w:sz w:val="28"/>
                <w:szCs w:val="28"/>
              </w:rPr>
            </w:pPr>
            <w:r w:rsidRPr="006C0D1C">
              <w:rPr>
                <w:rFonts w:ascii="Calibri Light" w:eastAsia="Calibri" w:hAnsi="Calibri Light"/>
                <w:color w:val="000000"/>
                <w:sz w:val="28"/>
                <w:szCs w:val="28"/>
              </w:rPr>
              <w:t>Elaboración del reporte final</w:t>
            </w:r>
            <w:r>
              <w:rPr>
                <w:rFonts w:ascii="Calibri Light" w:eastAsia="Calibri" w:hAnsi="Calibri Light"/>
                <w:color w:val="000000"/>
                <w:sz w:val="28"/>
                <w:szCs w:val="28"/>
              </w:rPr>
              <w:t>.</w:t>
            </w:r>
          </w:p>
        </w:tc>
        <w:tc>
          <w:tcPr>
            <w:tcW w:w="2693" w:type="dxa"/>
          </w:tcPr>
          <w:p w14:paraId="07726E64" w14:textId="77777777" w:rsidR="0014509F" w:rsidRPr="006C0D1C" w:rsidRDefault="0014509F" w:rsidP="00A170A9">
            <w:pPr>
              <w:spacing w:after="100" w:afterAutospacing="1"/>
              <w:jc w:val="both"/>
              <w:rPr>
                <w:rFonts w:ascii="Calibri Light" w:eastAsia="Calibri" w:hAnsi="Calibri Light"/>
                <w:color w:val="000000"/>
                <w:sz w:val="28"/>
                <w:szCs w:val="28"/>
              </w:rPr>
            </w:pPr>
            <w:r w:rsidRPr="006C0D1C">
              <w:rPr>
                <w:rFonts w:ascii="Calibri Light" w:eastAsia="Calibri" w:hAnsi="Calibri Light"/>
                <w:color w:val="000000"/>
                <w:sz w:val="28"/>
                <w:szCs w:val="28"/>
              </w:rPr>
              <w:t>Diciembre</w:t>
            </w:r>
          </w:p>
        </w:tc>
      </w:tr>
      <w:tr w:rsidR="0014509F" w:rsidRPr="006C0D1C" w14:paraId="078B2228" w14:textId="77777777" w:rsidTr="00A170A9">
        <w:tc>
          <w:tcPr>
            <w:tcW w:w="6658" w:type="dxa"/>
          </w:tcPr>
          <w:p w14:paraId="76C9BB6D" w14:textId="77777777" w:rsidR="0014509F" w:rsidRPr="006C0D1C" w:rsidRDefault="0014509F" w:rsidP="00A170A9">
            <w:pPr>
              <w:spacing w:after="100" w:afterAutospacing="1"/>
              <w:jc w:val="both"/>
              <w:rPr>
                <w:rFonts w:ascii="Calibri Light" w:eastAsia="Calibri" w:hAnsi="Calibri Light"/>
                <w:color w:val="000000"/>
                <w:sz w:val="28"/>
                <w:szCs w:val="28"/>
              </w:rPr>
            </w:pPr>
            <w:r w:rsidRPr="006C0D1C">
              <w:rPr>
                <w:rFonts w:ascii="Calibri Light" w:eastAsia="Calibri" w:hAnsi="Calibri Light"/>
                <w:color w:val="000000"/>
                <w:sz w:val="28"/>
                <w:szCs w:val="28"/>
              </w:rPr>
              <w:t>Envío a dictamen para publicación</w:t>
            </w:r>
            <w:r>
              <w:rPr>
                <w:rFonts w:ascii="Calibri Light" w:eastAsia="Calibri" w:hAnsi="Calibri Light"/>
                <w:color w:val="000000"/>
                <w:sz w:val="28"/>
                <w:szCs w:val="28"/>
              </w:rPr>
              <w:t>.</w:t>
            </w:r>
          </w:p>
        </w:tc>
        <w:tc>
          <w:tcPr>
            <w:tcW w:w="2693" w:type="dxa"/>
          </w:tcPr>
          <w:p w14:paraId="3428427A" w14:textId="77777777" w:rsidR="0014509F" w:rsidRPr="006C0D1C" w:rsidRDefault="0014509F" w:rsidP="00A170A9">
            <w:pPr>
              <w:spacing w:after="100" w:afterAutospacing="1"/>
              <w:jc w:val="both"/>
              <w:rPr>
                <w:rFonts w:ascii="Calibri Light" w:eastAsia="Calibri" w:hAnsi="Calibri Light"/>
                <w:color w:val="000000"/>
                <w:sz w:val="28"/>
                <w:szCs w:val="28"/>
              </w:rPr>
            </w:pPr>
            <w:r w:rsidRPr="006C0D1C">
              <w:rPr>
                <w:rFonts w:ascii="Calibri Light" w:eastAsia="Calibri" w:hAnsi="Calibri Light"/>
                <w:color w:val="000000"/>
                <w:sz w:val="28"/>
                <w:szCs w:val="28"/>
              </w:rPr>
              <w:t>Diciembre</w:t>
            </w:r>
          </w:p>
        </w:tc>
      </w:tr>
    </w:tbl>
    <w:p w14:paraId="3B700552" w14:textId="77777777" w:rsidR="0014509F" w:rsidRDefault="0014509F" w:rsidP="0014509F">
      <w:pPr>
        <w:jc w:val="both"/>
      </w:pPr>
      <w:r>
        <w:br w:type="page"/>
      </w:r>
    </w:p>
    <w:sdt>
      <w:sdtPr>
        <w:rPr>
          <w:rFonts w:asciiTheme="majorHAnsi" w:hAnsiTheme="majorHAnsi"/>
          <w:color w:val="C45911" w:themeColor="accent2" w:themeShade="BF"/>
          <w:sz w:val="28"/>
          <w:szCs w:val="28"/>
        </w:rPr>
        <w:alias w:val="Nombre del Proyecto"/>
        <w:tag w:val="Nombre_x0020_del_x0020_Proyecto"/>
        <w:id w:val="1703516722"/>
        <w:placeholder>
          <w:docPart w:val="F3E31C7B581C4402BC53D7392F0D554B"/>
        </w:placeholder>
        <w:dataBinding w:prefixMappings="xmlns:ns0='http://schemas.microsoft.com/office/2006/metadata/properties' xmlns:ns1='http://www.w3.org/2001/XMLSchema-instance' xmlns:ns2='http://schemas.microsoft.com/office/infopath/2007/PartnerControls' xmlns:ns3='293807b6-12d3-42cc-a250-7bb708d556b9' " w:xpath="/ns0:properties[1]/documentManagement[1]/ns3:Nombre_x0020_del_x0020_Proyecto[1]" w:storeItemID="{D43C7FE1-1104-4286-B957-32265D6B0D08}"/>
        <w:text/>
      </w:sdtPr>
      <w:sdtContent>
        <w:p w14:paraId="5388E0B2" w14:textId="77777777" w:rsidR="0014509F" w:rsidRDefault="0014509F" w:rsidP="0014509F">
          <w:pPr>
            <w:keepNext/>
            <w:spacing w:after="100" w:afterAutospacing="1"/>
            <w:jc w:val="center"/>
            <w:rPr>
              <w:rFonts w:asciiTheme="majorHAnsi" w:hAnsiTheme="majorHAnsi"/>
              <w:color w:val="C45911" w:themeColor="accent2" w:themeShade="BF"/>
              <w:sz w:val="28"/>
              <w:szCs w:val="28"/>
            </w:rPr>
          </w:pPr>
          <w:r>
            <w:rPr>
              <w:rFonts w:asciiTheme="majorHAnsi" w:hAnsiTheme="majorHAnsi"/>
              <w:color w:val="C45911" w:themeColor="accent2" w:themeShade="BF"/>
              <w:sz w:val="28"/>
              <w:szCs w:val="28"/>
            </w:rPr>
            <w:t>Requerimientos de espectro para el Internet de las Cosas</w:t>
          </w:r>
        </w:p>
      </w:sdtContent>
    </w:sdt>
    <w:p w14:paraId="4520F890" w14:textId="77777777" w:rsidR="0014509F" w:rsidRDefault="0014509F" w:rsidP="0014509F">
      <w:pPr>
        <w:keepNext/>
        <w:spacing w:after="100" w:afterAutospacing="1"/>
        <w:jc w:val="right"/>
        <w:rPr>
          <w:rFonts w:asciiTheme="majorHAnsi" w:hAnsiTheme="majorHAnsi"/>
          <w:color w:val="C45911" w:themeColor="accent2" w:themeShade="BF"/>
          <w:sz w:val="28"/>
          <w:szCs w:val="28"/>
        </w:rPr>
      </w:pPr>
      <w:r w:rsidRPr="0091364E">
        <w:rPr>
          <w:rFonts w:asciiTheme="majorHAnsi" w:hAnsiTheme="majorHAnsi"/>
          <w:color w:val="C45911" w:themeColor="accent2" w:themeShade="BF"/>
          <w:sz w:val="28"/>
          <w:szCs w:val="28"/>
        </w:rPr>
        <w:t>José Luis Cuevas Ruíz</w:t>
      </w:r>
      <w:r w:rsidRPr="0091364E">
        <w:rPr>
          <w:rStyle w:val="Refdenotaalpie"/>
          <w:color w:val="C45911" w:themeColor="accent2" w:themeShade="BF"/>
          <w:sz w:val="28"/>
          <w:szCs w:val="28"/>
        </w:rPr>
        <w:footnoteReference w:id="19"/>
      </w:r>
    </w:p>
    <w:p w14:paraId="1CEC755F" w14:textId="77777777" w:rsidR="0014509F" w:rsidRPr="00697377" w:rsidRDefault="0014509F" w:rsidP="0014509F">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Resumen</w:t>
      </w:r>
    </w:p>
    <w:p w14:paraId="365F74CF" w14:textId="77777777" w:rsidR="0014509F" w:rsidRPr="00A170A9"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Pr>
          <w:rFonts w:asciiTheme="majorHAnsi" w:hAnsiTheme="majorHAnsi"/>
          <w:sz w:val="28"/>
          <w:szCs w:val="28"/>
        </w:rPr>
        <w:t>El Internet de las Cosas (</w:t>
      </w:r>
      <w:proofErr w:type="spellStart"/>
      <w:r>
        <w:rPr>
          <w:rFonts w:asciiTheme="majorHAnsi" w:hAnsiTheme="majorHAnsi"/>
          <w:sz w:val="28"/>
          <w:szCs w:val="28"/>
        </w:rPr>
        <w:t>IoT</w:t>
      </w:r>
      <w:proofErr w:type="spellEnd"/>
      <w:r>
        <w:rPr>
          <w:rFonts w:asciiTheme="majorHAnsi" w:hAnsiTheme="majorHAnsi"/>
          <w:sz w:val="28"/>
          <w:szCs w:val="28"/>
        </w:rPr>
        <w:t xml:space="preserve">, por sus siglas en inglés) se presenta como una de las tecnologías </w:t>
      </w:r>
      <w:r w:rsidRPr="00A170A9">
        <w:rPr>
          <w:rFonts w:ascii="Calibri Light" w:eastAsia="Calibri" w:hAnsi="Calibri Light"/>
          <w:color w:val="000000"/>
          <w:sz w:val="28"/>
          <w:szCs w:val="28"/>
        </w:rPr>
        <w:t xml:space="preserve">disruptivas que mayor impacto tendrá en el mundo hacia el 2020, de acuerdo a un análisis presentado en el </w:t>
      </w:r>
      <w:proofErr w:type="spellStart"/>
      <w:r w:rsidRPr="00A170A9">
        <w:rPr>
          <w:rFonts w:ascii="Calibri Light" w:eastAsia="Calibri" w:hAnsi="Calibri Light"/>
          <w:color w:val="000000"/>
          <w:sz w:val="28"/>
          <w:szCs w:val="28"/>
        </w:rPr>
        <w:t>World</w:t>
      </w:r>
      <w:proofErr w:type="spellEnd"/>
      <w:r w:rsidRPr="00A170A9">
        <w:rPr>
          <w:rFonts w:ascii="Calibri Light" w:eastAsia="Calibri" w:hAnsi="Calibri Light"/>
          <w:color w:val="000000"/>
          <w:sz w:val="28"/>
          <w:szCs w:val="28"/>
        </w:rPr>
        <w:t xml:space="preserve"> </w:t>
      </w:r>
      <w:proofErr w:type="spellStart"/>
      <w:r w:rsidRPr="00A170A9">
        <w:rPr>
          <w:rFonts w:ascii="Calibri Light" w:eastAsia="Calibri" w:hAnsi="Calibri Light"/>
          <w:color w:val="000000"/>
          <w:sz w:val="28"/>
          <w:szCs w:val="28"/>
        </w:rPr>
        <w:t>Ecomomic</w:t>
      </w:r>
      <w:proofErr w:type="spellEnd"/>
      <w:r w:rsidRPr="00A170A9">
        <w:rPr>
          <w:rFonts w:ascii="Calibri Light" w:eastAsia="Calibri" w:hAnsi="Calibri Light"/>
          <w:color w:val="000000"/>
          <w:sz w:val="28"/>
          <w:szCs w:val="28"/>
        </w:rPr>
        <w:t xml:space="preserve"> </w:t>
      </w:r>
      <w:proofErr w:type="spellStart"/>
      <w:r w:rsidRPr="00A170A9">
        <w:rPr>
          <w:rFonts w:ascii="Calibri Light" w:eastAsia="Calibri" w:hAnsi="Calibri Light"/>
          <w:color w:val="000000"/>
          <w:sz w:val="28"/>
          <w:szCs w:val="28"/>
        </w:rPr>
        <w:t>Forum</w:t>
      </w:r>
      <w:proofErr w:type="spellEnd"/>
      <w:r w:rsidRPr="00A170A9">
        <w:rPr>
          <w:rFonts w:ascii="Calibri Light" w:eastAsia="Calibri" w:hAnsi="Calibri Light"/>
          <w:color w:val="000000"/>
          <w:sz w:val="28"/>
          <w:szCs w:val="28"/>
        </w:rPr>
        <w:t>. Para ese mismo año, se estima que las inversiones para el desarrollo de esta tecnología podrían alcanzar los 1.29 trillones de dólares.</w:t>
      </w:r>
    </w:p>
    <w:p w14:paraId="071104FD"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sidRPr="00A170A9">
        <w:rPr>
          <w:rFonts w:ascii="Calibri Light" w:eastAsia="Calibri" w:hAnsi="Calibri Light"/>
          <w:color w:val="000000"/>
          <w:sz w:val="28"/>
          <w:szCs w:val="28"/>
        </w:rPr>
        <w:t>Las principales industrias donde se prevé que haya un mayor impacto son: manufactura, monitoreo de transporte, edificios y casas inteligentes, aseguradoras, monitoreo remoto</w:t>
      </w:r>
      <w:r>
        <w:rPr>
          <w:rFonts w:asciiTheme="majorHAnsi" w:hAnsiTheme="majorHAnsi"/>
          <w:sz w:val="28"/>
          <w:szCs w:val="28"/>
        </w:rPr>
        <w:t xml:space="preserve"> de salud y ventas al menudeo (</w:t>
      </w:r>
      <w:proofErr w:type="spellStart"/>
      <w:r>
        <w:rPr>
          <w:rFonts w:asciiTheme="majorHAnsi" w:hAnsiTheme="majorHAnsi"/>
          <w:sz w:val="28"/>
          <w:szCs w:val="28"/>
        </w:rPr>
        <w:t>retail</w:t>
      </w:r>
      <w:proofErr w:type="spellEnd"/>
      <w:r>
        <w:rPr>
          <w:rFonts w:asciiTheme="majorHAnsi" w:hAnsiTheme="majorHAnsi"/>
          <w:sz w:val="28"/>
          <w:szCs w:val="28"/>
        </w:rPr>
        <w:t>), entre otras.</w:t>
      </w:r>
    </w:p>
    <w:p w14:paraId="32F924F1" w14:textId="77777777" w:rsidR="0014509F" w:rsidRPr="00A170A9" w:rsidRDefault="0014509F" w:rsidP="00A170A9">
      <w:pPr>
        <w:pStyle w:val="estilo30"/>
        <w:spacing w:before="240" w:beforeAutospacing="0" w:after="240" w:afterAutospacing="0" w:line="276" w:lineRule="auto"/>
        <w:jc w:val="both"/>
        <w:rPr>
          <w:rFonts w:ascii="Calibri Light" w:eastAsia="Calibri" w:hAnsi="Calibri Light"/>
          <w:color w:val="000000"/>
          <w:sz w:val="28"/>
          <w:szCs w:val="28"/>
        </w:rPr>
      </w:pPr>
      <w:r>
        <w:rPr>
          <w:rFonts w:asciiTheme="majorHAnsi" w:hAnsiTheme="majorHAnsi"/>
          <w:sz w:val="28"/>
          <w:szCs w:val="28"/>
        </w:rPr>
        <w:t xml:space="preserve">La conectividad necesaria para el </w:t>
      </w:r>
      <w:proofErr w:type="spellStart"/>
      <w:r>
        <w:rPr>
          <w:rFonts w:asciiTheme="majorHAnsi" w:hAnsiTheme="majorHAnsi"/>
          <w:sz w:val="28"/>
          <w:szCs w:val="28"/>
        </w:rPr>
        <w:t>IoT</w:t>
      </w:r>
      <w:proofErr w:type="spellEnd"/>
      <w:r>
        <w:rPr>
          <w:rFonts w:asciiTheme="majorHAnsi" w:hAnsiTheme="majorHAnsi"/>
          <w:sz w:val="28"/>
          <w:szCs w:val="28"/>
        </w:rPr>
        <w:t xml:space="preserve"> puede llevarse a cabo haciendo uso de varias de las tecnologías disponibles en el mercado, como RFID (Radio </w:t>
      </w:r>
      <w:proofErr w:type="spellStart"/>
      <w:r>
        <w:rPr>
          <w:rFonts w:asciiTheme="majorHAnsi" w:hAnsiTheme="majorHAnsi"/>
          <w:sz w:val="28"/>
          <w:szCs w:val="28"/>
        </w:rPr>
        <w:t>Frequency</w:t>
      </w:r>
      <w:proofErr w:type="spellEnd"/>
      <w:r>
        <w:rPr>
          <w:rFonts w:asciiTheme="majorHAnsi" w:hAnsiTheme="majorHAnsi"/>
          <w:sz w:val="28"/>
          <w:szCs w:val="28"/>
        </w:rPr>
        <w:t xml:space="preserve"> </w:t>
      </w:r>
      <w:proofErr w:type="spellStart"/>
      <w:r>
        <w:rPr>
          <w:rFonts w:asciiTheme="majorHAnsi" w:hAnsiTheme="majorHAnsi"/>
          <w:sz w:val="28"/>
          <w:szCs w:val="28"/>
        </w:rPr>
        <w:t>Identification</w:t>
      </w:r>
      <w:proofErr w:type="spellEnd"/>
      <w:r>
        <w:rPr>
          <w:rFonts w:asciiTheme="majorHAnsi" w:hAnsiTheme="majorHAnsi"/>
          <w:sz w:val="28"/>
          <w:szCs w:val="28"/>
        </w:rPr>
        <w:t xml:space="preserve">, por sus siglas en inglés), Bluetooth o </w:t>
      </w:r>
      <w:proofErr w:type="spellStart"/>
      <w:r>
        <w:rPr>
          <w:rFonts w:asciiTheme="majorHAnsi" w:hAnsiTheme="majorHAnsi"/>
          <w:sz w:val="28"/>
          <w:szCs w:val="28"/>
        </w:rPr>
        <w:t>Near</w:t>
      </w:r>
      <w:proofErr w:type="spellEnd"/>
      <w:r>
        <w:rPr>
          <w:rFonts w:asciiTheme="majorHAnsi" w:hAnsiTheme="majorHAnsi"/>
          <w:sz w:val="28"/>
          <w:szCs w:val="28"/>
        </w:rPr>
        <w:t xml:space="preserve"> Field </w:t>
      </w:r>
      <w:proofErr w:type="spellStart"/>
      <w:r>
        <w:rPr>
          <w:rFonts w:asciiTheme="majorHAnsi" w:hAnsiTheme="majorHAnsi"/>
          <w:sz w:val="28"/>
          <w:szCs w:val="28"/>
        </w:rPr>
        <w:t>Communication</w:t>
      </w:r>
      <w:proofErr w:type="spellEnd"/>
      <w:r>
        <w:rPr>
          <w:rFonts w:asciiTheme="majorHAnsi" w:hAnsiTheme="majorHAnsi"/>
          <w:sz w:val="28"/>
          <w:szCs w:val="28"/>
        </w:rPr>
        <w:t xml:space="preserve"> (NFC). Para escenarios con una mayor área de cobertura es viable hacer uso de </w:t>
      </w:r>
      <w:proofErr w:type="spellStart"/>
      <w:r>
        <w:rPr>
          <w:rFonts w:asciiTheme="majorHAnsi" w:hAnsiTheme="majorHAnsi"/>
          <w:sz w:val="28"/>
          <w:szCs w:val="28"/>
        </w:rPr>
        <w:t>WiFi</w:t>
      </w:r>
      <w:proofErr w:type="spellEnd"/>
      <w:r>
        <w:rPr>
          <w:rFonts w:asciiTheme="majorHAnsi" w:hAnsiTheme="majorHAnsi"/>
          <w:sz w:val="28"/>
          <w:szCs w:val="28"/>
        </w:rPr>
        <w:t xml:space="preserve">, el estándar IEEE </w:t>
      </w:r>
      <w:r w:rsidRPr="00A170A9">
        <w:rPr>
          <w:rFonts w:ascii="Calibri Light" w:eastAsia="Calibri" w:hAnsi="Calibri Light"/>
          <w:color w:val="000000"/>
          <w:sz w:val="28"/>
          <w:szCs w:val="28"/>
        </w:rPr>
        <w:t xml:space="preserve">802.15.4, Z-wave, Lora, </w:t>
      </w:r>
      <w:proofErr w:type="spellStart"/>
      <w:proofErr w:type="gramStart"/>
      <w:r w:rsidRPr="00A170A9">
        <w:rPr>
          <w:rFonts w:ascii="Calibri Light" w:eastAsia="Calibri" w:hAnsi="Calibri Light"/>
          <w:color w:val="000000"/>
          <w:sz w:val="28"/>
          <w:szCs w:val="28"/>
        </w:rPr>
        <w:t>SigFox</w:t>
      </w:r>
      <w:proofErr w:type="spellEnd"/>
      <w:proofErr w:type="gramEnd"/>
      <w:r w:rsidRPr="00A170A9">
        <w:rPr>
          <w:rFonts w:ascii="Calibri Light" w:eastAsia="Calibri" w:hAnsi="Calibri Light"/>
          <w:color w:val="000000"/>
          <w:sz w:val="28"/>
          <w:szCs w:val="28"/>
        </w:rPr>
        <w:t xml:space="preserve"> así como LTE-A, entre otros. Todos los estándares mencionados operan en bandas libres que no requieren licencia de operación, excepto LTE-A, que hace uso del espectro IMT para comunicaciones móviles en banda ancha. </w:t>
      </w:r>
    </w:p>
    <w:p w14:paraId="1B0B12E3"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sidRPr="00A170A9">
        <w:rPr>
          <w:rFonts w:ascii="Calibri Light" w:eastAsia="Calibri" w:hAnsi="Calibri Light"/>
          <w:color w:val="000000"/>
          <w:sz w:val="28"/>
          <w:szCs w:val="28"/>
        </w:rPr>
        <w:t>De acuerdo con Ericsson, en 2022, a nivel global el 70% de los dispositivos conectados en</w:t>
      </w:r>
      <w:r>
        <w:rPr>
          <w:rFonts w:asciiTheme="majorHAnsi" w:hAnsiTheme="majorHAnsi"/>
          <w:sz w:val="28"/>
          <w:szCs w:val="28"/>
        </w:rPr>
        <w:t xml:space="preserve"> redes de amplia cobertura harán uso de tecnología celular (como LTE </w:t>
      </w:r>
      <w:r>
        <w:rPr>
          <w:rFonts w:asciiTheme="majorHAnsi" w:hAnsiTheme="majorHAnsi"/>
          <w:sz w:val="28"/>
          <w:szCs w:val="28"/>
        </w:rPr>
        <w:lastRenderedPageBreak/>
        <w:t xml:space="preserve">o 5G), y en el 2018 la cantidad de dispositivos conectados por medio de </w:t>
      </w:r>
      <w:proofErr w:type="spellStart"/>
      <w:r>
        <w:rPr>
          <w:rFonts w:asciiTheme="majorHAnsi" w:hAnsiTheme="majorHAnsi"/>
          <w:sz w:val="28"/>
          <w:szCs w:val="28"/>
        </w:rPr>
        <w:t>IoT</w:t>
      </w:r>
      <w:proofErr w:type="spellEnd"/>
      <w:r>
        <w:rPr>
          <w:rFonts w:asciiTheme="majorHAnsi" w:hAnsiTheme="majorHAnsi"/>
          <w:sz w:val="28"/>
          <w:szCs w:val="28"/>
        </w:rPr>
        <w:t xml:space="preserve"> superará en número al de los teléfonos móviles.</w:t>
      </w:r>
    </w:p>
    <w:p w14:paraId="12E04012"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Pr>
          <w:rFonts w:asciiTheme="majorHAnsi" w:hAnsiTheme="majorHAnsi"/>
          <w:sz w:val="28"/>
          <w:szCs w:val="28"/>
        </w:rPr>
        <w:t xml:space="preserve">Con este panorama, la estimación de la cantidad de espectro necesario, tanto para operaciones con licencia o sin esta, es de vital importancia para el desarrollo y el aprovechamiento de las posibilidades que </w:t>
      </w:r>
      <w:proofErr w:type="spellStart"/>
      <w:r>
        <w:rPr>
          <w:rFonts w:asciiTheme="majorHAnsi" w:hAnsiTheme="majorHAnsi"/>
          <w:sz w:val="28"/>
          <w:szCs w:val="28"/>
        </w:rPr>
        <w:t>IoT</w:t>
      </w:r>
      <w:proofErr w:type="spellEnd"/>
      <w:r>
        <w:rPr>
          <w:rFonts w:asciiTheme="majorHAnsi" w:hAnsiTheme="majorHAnsi"/>
          <w:sz w:val="28"/>
          <w:szCs w:val="28"/>
        </w:rPr>
        <w:t xml:space="preserve"> ofrece.</w:t>
      </w:r>
    </w:p>
    <w:p w14:paraId="4006AF75" w14:textId="77777777" w:rsidR="0014509F" w:rsidRPr="00697377" w:rsidRDefault="0014509F" w:rsidP="0014509F">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Introducción</w:t>
      </w:r>
    </w:p>
    <w:p w14:paraId="5B85E8D4"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Pr>
          <w:rFonts w:asciiTheme="majorHAnsi" w:hAnsiTheme="majorHAnsi"/>
          <w:sz w:val="28"/>
          <w:szCs w:val="28"/>
        </w:rPr>
        <w:t xml:space="preserve">En el diseño de las redes de </w:t>
      </w:r>
      <w:proofErr w:type="spellStart"/>
      <w:r>
        <w:rPr>
          <w:rFonts w:asciiTheme="majorHAnsi" w:hAnsiTheme="majorHAnsi"/>
          <w:sz w:val="28"/>
          <w:szCs w:val="28"/>
        </w:rPr>
        <w:t>IoT</w:t>
      </w:r>
      <w:proofErr w:type="spellEnd"/>
      <w:r>
        <w:rPr>
          <w:rFonts w:asciiTheme="majorHAnsi" w:hAnsiTheme="majorHAnsi"/>
          <w:sz w:val="28"/>
          <w:szCs w:val="28"/>
        </w:rPr>
        <w:t xml:space="preserve"> de cobertura amplia, es posible distinguir dos segmentos con diferentes requerimientos de operación. Uno de estos es considerado como masivo, y se caracteriza por los grandes volúmenes de conexiones requeridas, las cuales pueden demandar poco ancho de banda debido a que la información es transmitida por medio de ráfagas. Así mismo, la exigencia de una baja latencia no es crítica. En este segmento se encuentra, por ejemplo, el estándar de </w:t>
      </w:r>
      <w:proofErr w:type="spellStart"/>
      <w:r>
        <w:rPr>
          <w:rFonts w:asciiTheme="majorHAnsi" w:hAnsiTheme="majorHAnsi"/>
          <w:sz w:val="28"/>
          <w:szCs w:val="28"/>
        </w:rPr>
        <w:t>SigFox</w:t>
      </w:r>
      <w:proofErr w:type="spellEnd"/>
      <w:r>
        <w:rPr>
          <w:rFonts w:asciiTheme="majorHAnsi" w:hAnsiTheme="majorHAnsi"/>
          <w:sz w:val="28"/>
          <w:szCs w:val="28"/>
        </w:rPr>
        <w:t>, que establece una configuración para sus dispositivos que permite enviar poco más de 100 mensajes de 12 bytes durante el día, lo que es suficiente para aplicaciones de monitoreo de consumo energético o temperatura.</w:t>
      </w:r>
    </w:p>
    <w:p w14:paraId="3B41F83D" w14:textId="77777777" w:rsidR="0014509F" w:rsidRDefault="0014509F" w:rsidP="0014509F">
      <w:pPr>
        <w:spacing w:after="100" w:afterAutospacing="1"/>
        <w:jc w:val="both"/>
        <w:rPr>
          <w:rFonts w:asciiTheme="majorHAnsi" w:hAnsiTheme="majorHAnsi"/>
          <w:sz w:val="28"/>
          <w:szCs w:val="28"/>
        </w:rPr>
      </w:pPr>
      <w:r>
        <w:rPr>
          <w:rFonts w:asciiTheme="majorHAnsi" w:hAnsiTheme="majorHAnsi"/>
          <w:sz w:val="28"/>
          <w:szCs w:val="28"/>
        </w:rPr>
        <w:t>Por otro lado, están las conexiones para aplicaciones críticas, donde es requerido un mayor ancho de banda que soporte altas tasas de transmisión, los bajos tiempos de latencia y altos porcentajes de disponibilidad (vehículos autónomos, algunas aplicaciones de e-</w:t>
      </w:r>
      <w:proofErr w:type="spellStart"/>
      <w:r>
        <w:rPr>
          <w:rFonts w:asciiTheme="majorHAnsi" w:hAnsiTheme="majorHAnsi"/>
          <w:sz w:val="28"/>
          <w:szCs w:val="28"/>
        </w:rPr>
        <w:t>Health</w:t>
      </w:r>
      <w:proofErr w:type="spellEnd"/>
      <w:r>
        <w:rPr>
          <w:rFonts w:asciiTheme="majorHAnsi" w:hAnsiTheme="majorHAnsi"/>
          <w:sz w:val="28"/>
          <w:szCs w:val="28"/>
        </w:rPr>
        <w:t xml:space="preserve">, etc.). </w:t>
      </w:r>
    </w:p>
    <w:p w14:paraId="6CDD1339" w14:textId="77777777" w:rsidR="0014509F" w:rsidRDefault="0014509F" w:rsidP="00A170A9">
      <w:pPr>
        <w:spacing w:after="100" w:afterAutospacing="1"/>
        <w:jc w:val="both"/>
        <w:rPr>
          <w:rFonts w:asciiTheme="majorHAnsi" w:hAnsiTheme="majorHAnsi"/>
          <w:sz w:val="28"/>
          <w:szCs w:val="28"/>
        </w:rPr>
      </w:pPr>
      <w:r>
        <w:rPr>
          <w:rFonts w:asciiTheme="majorHAnsi" w:hAnsiTheme="majorHAnsi"/>
          <w:sz w:val="28"/>
          <w:szCs w:val="28"/>
        </w:rPr>
        <w:t>La masificación del uso de estos dispositivos demandará una mayor cantidad de espectro, así como redes que permitan satisfacer la calidad de servicio particular demandada para cada aplicación.</w:t>
      </w:r>
    </w:p>
    <w:p w14:paraId="78377474" w14:textId="77777777" w:rsidR="0014509F" w:rsidRPr="00697377" w:rsidRDefault="0014509F" w:rsidP="0014509F">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Objetivo</w:t>
      </w:r>
    </w:p>
    <w:p w14:paraId="027B8500" w14:textId="77777777" w:rsidR="0014509F" w:rsidRDefault="0014509F" w:rsidP="00A170A9">
      <w:pPr>
        <w:pStyle w:val="estilo30"/>
        <w:spacing w:before="240" w:beforeAutospacing="0" w:after="240" w:afterAutospacing="0" w:line="276" w:lineRule="auto"/>
        <w:jc w:val="both"/>
        <w:rPr>
          <w:rFonts w:asciiTheme="majorHAnsi" w:hAnsiTheme="majorHAnsi"/>
          <w:color w:val="538135" w:themeColor="accent6" w:themeShade="BF"/>
          <w:sz w:val="28"/>
          <w:szCs w:val="28"/>
        </w:rPr>
      </w:pPr>
      <w:r w:rsidRPr="007776AB">
        <w:rPr>
          <w:rFonts w:asciiTheme="majorHAnsi" w:hAnsiTheme="majorHAnsi"/>
          <w:sz w:val="28"/>
          <w:szCs w:val="28"/>
        </w:rPr>
        <w:t>Cuantificar la cantidad de espectro necesario para satisfacer la demanda pro</w:t>
      </w:r>
      <w:r>
        <w:rPr>
          <w:rFonts w:asciiTheme="majorHAnsi" w:hAnsiTheme="majorHAnsi"/>
          <w:sz w:val="28"/>
          <w:szCs w:val="28"/>
        </w:rPr>
        <w:t>yectada</w:t>
      </w:r>
      <w:r w:rsidRPr="007776AB">
        <w:rPr>
          <w:rFonts w:asciiTheme="majorHAnsi" w:hAnsiTheme="majorHAnsi"/>
          <w:sz w:val="28"/>
          <w:szCs w:val="28"/>
        </w:rPr>
        <w:t xml:space="preserve"> debido al desarrollo del </w:t>
      </w:r>
      <w:proofErr w:type="spellStart"/>
      <w:r w:rsidRPr="007776AB">
        <w:rPr>
          <w:rFonts w:asciiTheme="majorHAnsi" w:hAnsiTheme="majorHAnsi"/>
          <w:sz w:val="28"/>
          <w:szCs w:val="28"/>
        </w:rPr>
        <w:t>IoT</w:t>
      </w:r>
      <w:proofErr w:type="spellEnd"/>
      <w:r w:rsidRPr="007776AB">
        <w:rPr>
          <w:rFonts w:asciiTheme="majorHAnsi" w:hAnsiTheme="majorHAnsi"/>
          <w:sz w:val="28"/>
          <w:szCs w:val="28"/>
        </w:rPr>
        <w:t xml:space="preserve"> en México.</w:t>
      </w:r>
    </w:p>
    <w:p w14:paraId="57A9F20B" w14:textId="77777777" w:rsidR="0014509F" w:rsidRPr="00697377" w:rsidRDefault="0014509F" w:rsidP="0014509F">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Metodología</w:t>
      </w:r>
    </w:p>
    <w:p w14:paraId="2DB76DCF"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sidRPr="001A2F11">
        <w:rPr>
          <w:rFonts w:asciiTheme="majorHAnsi" w:hAnsiTheme="majorHAnsi"/>
          <w:sz w:val="28"/>
          <w:szCs w:val="28"/>
        </w:rPr>
        <w:t xml:space="preserve">Se llevará a cabo una investigación documental </w:t>
      </w:r>
      <w:r>
        <w:rPr>
          <w:rFonts w:asciiTheme="majorHAnsi" w:hAnsiTheme="majorHAnsi"/>
          <w:sz w:val="28"/>
          <w:szCs w:val="28"/>
        </w:rPr>
        <w:t xml:space="preserve">del estado del arte del </w:t>
      </w:r>
      <w:proofErr w:type="spellStart"/>
      <w:r>
        <w:rPr>
          <w:rFonts w:asciiTheme="majorHAnsi" w:hAnsiTheme="majorHAnsi"/>
          <w:sz w:val="28"/>
          <w:szCs w:val="28"/>
        </w:rPr>
        <w:t>IoT</w:t>
      </w:r>
      <w:proofErr w:type="spellEnd"/>
      <w:r>
        <w:rPr>
          <w:rFonts w:asciiTheme="majorHAnsi" w:hAnsiTheme="majorHAnsi"/>
          <w:sz w:val="28"/>
          <w:szCs w:val="28"/>
        </w:rPr>
        <w:t xml:space="preserve"> en el mundo, analizando los casos particulares de reguladores y grupos de investigación </w:t>
      </w:r>
      <w:r>
        <w:rPr>
          <w:rFonts w:asciiTheme="majorHAnsi" w:hAnsiTheme="majorHAnsi"/>
          <w:sz w:val="28"/>
          <w:szCs w:val="28"/>
        </w:rPr>
        <w:lastRenderedPageBreak/>
        <w:t xml:space="preserve">que proponen incrementar la cantidad espectral para satisfacer la demanda de servicios de </w:t>
      </w:r>
      <w:proofErr w:type="spellStart"/>
      <w:r>
        <w:rPr>
          <w:rFonts w:asciiTheme="majorHAnsi" w:hAnsiTheme="majorHAnsi"/>
          <w:sz w:val="28"/>
          <w:szCs w:val="28"/>
        </w:rPr>
        <w:t>IoT</w:t>
      </w:r>
      <w:proofErr w:type="spellEnd"/>
      <w:r>
        <w:rPr>
          <w:rFonts w:asciiTheme="majorHAnsi" w:hAnsiTheme="majorHAnsi"/>
          <w:sz w:val="28"/>
          <w:szCs w:val="28"/>
        </w:rPr>
        <w:t>.</w:t>
      </w:r>
    </w:p>
    <w:p w14:paraId="70FC788F"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Pr>
          <w:rFonts w:asciiTheme="majorHAnsi" w:hAnsiTheme="majorHAnsi"/>
          <w:sz w:val="28"/>
          <w:szCs w:val="28"/>
        </w:rPr>
        <w:t xml:space="preserve">Para el caso de México, se analizará el mercado actual y potencial para el </w:t>
      </w:r>
      <w:proofErr w:type="spellStart"/>
      <w:r>
        <w:rPr>
          <w:rFonts w:asciiTheme="majorHAnsi" w:hAnsiTheme="majorHAnsi"/>
          <w:sz w:val="28"/>
          <w:szCs w:val="28"/>
        </w:rPr>
        <w:t>IoT</w:t>
      </w:r>
      <w:proofErr w:type="spellEnd"/>
      <w:r>
        <w:rPr>
          <w:rFonts w:asciiTheme="majorHAnsi" w:hAnsiTheme="majorHAnsi"/>
          <w:sz w:val="28"/>
          <w:szCs w:val="28"/>
        </w:rPr>
        <w:t>, y se clasificarán en función de la calidad de los servicios demanda (básicamente tasa de transmisión y potenciales consumidores). Haciendo un análisis prospectivo de la cantidad de conexiones, se estimará el ancho de banda necesario para diferentes grupos de interés, como pueden ser:</w:t>
      </w:r>
    </w:p>
    <w:p w14:paraId="20AA0867" w14:textId="77777777" w:rsidR="0014509F" w:rsidRPr="00123521" w:rsidRDefault="0014509F" w:rsidP="00984ED1">
      <w:pPr>
        <w:pStyle w:val="Prrafodelista"/>
        <w:numPr>
          <w:ilvl w:val="0"/>
          <w:numId w:val="7"/>
        </w:numPr>
        <w:spacing w:after="100" w:afterAutospacing="1" w:line="264" w:lineRule="auto"/>
        <w:jc w:val="both"/>
        <w:rPr>
          <w:rFonts w:asciiTheme="majorHAnsi" w:hAnsiTheme="majorHAnsi"/>
          <w:sz w:val="28"/>
          <w:szCs w:val="28"/>
        </w:rPr>
      </w:pPr>
      <w:r w:rsidRPr="00123521">
        <w:rPr>
          <w:rFonts w:asciiTheme="majorHAnsi" w:hAnsiTheme="majorHAnsi"/>
          <w:sz w:val="28"/>
          <w:szCs w:val="28"/>
        </w:rPr>
        <w:t xml:space="preserve">Casas inteligentes.  Actualmente empresas como Samsung, TP Links, </w:t>
      </w:r>
      <w:proofErr w:type="spellStart"/>
      <w:r w:rsidRPr="00123521">
        <w:rPr>
          <w:rFonts w:asciiTheme="majorHAnsi" w:hAnsiTheme="majorHAnsi"/>
          <w:sz w:val="28"/>
          <w:szCs w:val="28"/>
        </w:rPr>
        <w:t>Linksys</w:t>
      </w:r>
      <w:proofErr w:type="spellEnd"/>
      <w:r w:rsidRPr="00123521">
        <w:rPr>
          <w:rFonts w:asciiTheme="majorHAnsi" w:hAnsiTheme="majorHAnsi"/>
          <w:sz w:val="28"/>
          <w:szCs w:val="28"/>
        </w:rPr>
        <w:t xml:space="preserve"> y </w:t>
      </w:r>
      <w:proofErr w:type="spellStart"/>
      <w:r w:rsidRPr="00123521">
        <w:rPr>
          <w:rFonts w:asciiTheme="majorHAnsi" w:hAnsiTheme="majorHAnsi"/>
          <w:sz w:val="28"/>
          <w:szCs w:val="28"/>
        </w:rPr>
        <w:t>Techzone</w:t>
      </w:r>
      <w:proofErr w:type="spellEnd"/>
      <w:r w:rsidRPr="00123521">
        <w:rPr>
          <w:rFonts w:asciiTheme="majorHAnsi" w:hAnsiTheme="majorHAnsi"/>
          <w:sz w:val="28"/>
          <w:szCs w:val="28"/>
        </w:rPr>
        <w:t xml:space="preserve"> ofertan en México soluciones para conectar cámaras web, luminarias, equipos electrónicos, sensores de presencia, etc.</w:t>
      </w:r>
    </w:p>
    <w:p w14:paraId="36111409" w14:textId="77777777" w:rsidR="0014509F" w:rsidRPr="00123521" w:rsidRDefault="0014509F" w:rsidP="00984ED1">
      <w:pPr>
        <w:pStyle w:val="Prrafodelista"/>
        <w:numPr>
          <w:ilvl w:val="0"/>
          <w:numId w:val="7"/>
        </w:numPr>
        <w:spacing w:after="100" w:afterAutospacing="1" w:line="264" w:lineRule="auto"/>
        <w:jc w:val="both"/>
        <w:rPr>
          <w:rFonts w:asciiTheme="majorHAnsi" w:hAnsiTheme="majorHAnsi"/>
          <w:sz w:val="28"/>
          <w:szCs w:val="28"/>
        </w:rPr>
      </w:pPr>
      <w:r w:rsidRPr="00123521">
        <w:rPr>
          <w:rFonts w:asciiTheme="majorHAnsi" w:hAnsiTheme="majorHAnsi"/>
          <w:sz w:val="28"/>
          <w:szCs w:val="28"/>
        </w:rPr>
        <w:t>Movilidad. La tendencia a la movilidad como servicio implica todo un ecosistema que permita la interconexión entre usuarios y todos los objetos relacionados con su movilidad. Aplicaciones como autos autónomos, control de tráfico, compra de boletos, eficiencia en los tiempos de transporte, aplicaciones en el transporte público, etc.</w:t>
      </w:r>
    </w:p>
    <w:p w14:paraId="483A7516" w14:textId="77777777" w:rsidR="0014509F" w:rsidRPr="0030455D" w:rsidRDefault="0014509F" w:rsidP="00984ED1">
      <w:pPr>
        <w:pStyle w:val="Prrafodelista"/>
        <w:numPr>
          <w:ilvl w:val="0"/>
          <w:numId w:val="7"/>
        </w:numPr>
        <w:spacing w:after="100" w:afterAutospacing="1" w:line="264" w:lineRule="auto"/>
        <w:jc w:val="both"/>
        <w:rPr>
          <w:rFonts w:asciiTheme="majorHAnsi" w:hAnsiTheme="majorHAnsi"/>
          <w:i/>
          <w:sz w:val="28"/>
          <w:szCs w:val="28"/>
        </w:rPr>
      </w:pPr>
      <w:r w:rsidRPr="00123521">
        <w:rPr>
          <w:rFonts w:asciiTheme="majorHAnsi" w:hAnsiTheme="majorHAnsi"/>
          <w:sz w:val="28"/>
          <w:szCs w:val="28"/>
        </w:rPr>
        <w:t xml:space="preserve">Industria. El uso del </w:t>
      </w:r>
      <w:proofErr w:type="spellStart"/>
      <w:r w:rsidRPr="00123521">
        <w:rPr>
          <w:rFonts w:asciiTheme="majorHAnsi" w:hAnsiTheme="majorHAnsi"/>
          <w:sz w:val="28"/>
          <w:szCs w:val="28"/>
        </w:rPr>
        <w:t>IoT</w:t>
      </w:r>
      <w:proofErr w:type="spellEnd"/>
      <w:r w:rsidRPr="00123521">
        <w:rPr>
          <w:rFonts w:asciiTheme="majorHAnsi" w:hAnsiTheme="majorHAnsi"/>
          <w:sz w:val="28"/>
          <w:szCs w:val="28"/>
        </w:rPr>
        <w:t xml:space="preserve"> permitirá una mayor optimización y eficacia en los proceso</w:t>
      </w:r>
      <w:r>
        <w:rPr>
          <w:rFonts w:asciiTheme="majorHAnsi" w:hAnsiTheme="majorHAnsi"/>
          <w:sz w:val="28"/>
          <w:szCs w:val="28"/>
        </w:rPr>
        <w:t>s mediante el monitoreo y automatización.</w:t>
      </w:r>
    </w:p>
    <w:p w14:paraId="05AAA257"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Pr>
          <w:rFonts w:asciiTheme="majorHAnsi" w:hAnsiTheme="majorHAnsi"/>
          <w:sz w:val="28"/>
          <w:szCs w:val="28"/>
        </w:rPr>
        <w:t>La estimación del espectro requerido para cada grupo se hará con base en la información de campo colectada disponible, nivel de uso y tráfico, o en su defecto en base a estimaciones o experiencias de otros casos de estudio.</w:t>
      </w:r>
    </w:p>
    <w:p w14:paraId="7E2292CF" w14:textId="77777777" w:rsidR="0014509F" w:rsidRPr="00697377" w:rsidRDefault="0014509F" w:rsidP="0014509F">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Resultados esperados</w:t>
      </w:r>
    </w:p>
    <w:p w14:paraId="0F66F9AD"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sidRPr="008E0224">
        <w:rPr>
          <w:rFonts w:asciiTheme="majorHAnsi" w:hAnsiTheme="majorHAnsi"/>
          <w:sz w:val="28"/>
          <w:szCs w:val="28"/>
        </w:rPr>
        <w:t xml:space="preserve">Se espera </w:t>
      </w:r>
      <w:r>
        <w:rPr>
          <w:rFonts w:asciiTheme="majorHAnsi" w:hAnsiTheme="majorHAnsi"/>
          <w:sz w:val="28"/>
          <w:szCs w:val="28"/>
        </w:rPr>
        <w:t xml:space="preserve">obtener una cuantificación de la cantidad espectral necesaria, basado en las condiciones de demanda de servicios de </w:t>
      </w:r>
      <w:proofErr w:type="spellStart"/>
      <w:r>
        <w:rPr>
          <w:rFonts w:asciiTheme="majorHAnsi" w:hAnsiTheme="majorHAnsi"/>
          <w:sz w:val="28"/>
          <w:szCs w:val="28"/>
        </w:rPr>
        <w:t>IoT</w:t>
      </w:r>
      <w:proofErr w:type="spellEnd"/>
      <w:r>
        <w:rPr>
          <w:rFonts w:asciiTheme="majorHAnsi" w:hAnsiTheme="majorHAnsi"/>
          <w:sz w:val="28"/>
          <w:szCs w:val="28"/>
        </w:rPr>
        <w:t>.</w:t>
      </w:r>
    </w:p>
    <w:p w14:paraId="7C8519AA" w14:textId="77777777" w:rsidR="0014509F" w:rsidRPr="00697377" w:rsidRDefault="0014509F" w:rsidP="0014509F">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 xml:space="preserve">Utilidad del estudio para el Instituto </w:t>
      </w:r>
    </w:p>
    <w:p w14:paraId="19369B53"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Pr>
          <w:rFonts w:asciiTheme="majorHAnsi" w:hAnsiTheme="majorHAnsi"/>
          <w:sz w:val="28"/>
          <w:szCs w:val="28"/>
        </w:rPr>
        <w:t xml:space="preserve">La estimación del espectro necesario para aplicaciones de </w:t>
      </w:r>
      <w:proofErr w:type="spellStart"/>
      <w:r>
        <w:rPr>
          <w:rFonts w:asciiTheme="majorHAnsi" w:hAnsiTheme="majorHAnsi"/>
          <w:sz w:val="28"/>
          <w:szCs w:val="28"/>
        </w:rPr>
        <w:t>IoT</w:t>
      </w:r>
      <w:proofErr w:type="spellEnd"/>
      <w:r>
        <w:rPr>
          <w:rFonts w:asciiTheme="majorHAnsi" w:hAnsiTheme="majorHAnsi"/>
          <w:sz w:val="28"/>
          <w:szCs w:val="28"/>
        </w:rPr>
        <w:t xml:space="preserve"> en México para los siguientes años permitirá al IFT considerar acciones y decisiones para satisfacer la demanda.</w:t>
      </w:r>
    </w:p>
    <w:p w14:paraId="5EF18FB3" w14:textId="77777777" w:rsidR="0014509F" w:rsidRPr="00697377" w:rsidRDefault="0014509F" w:rsidP="0014509F">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Cronograma</w:t>
      </w:r>
    </w:p>
    <w:tbl>
      <w:tblPr>
        <w:tblStyle w:val="Tablaconcuadrcula"/>
        <w:tblW w:w="0" w:type="auto"/>
        <w:tblLook w:val="04A0" w:firstRow="1" w:lastRow="0" w:firstColumn="1" w:lastColumn="0" w:noHBand="0" w:noVBand="1"/>
        <w:tblCaption w:val="Cronograma "/>
        <w:tblDescription w:val="Etapa del Estudio &#10;Revisión Bibliográfica.Fecha de Conclusión Enero&#10;Identificación de los principales estudios, experiencias internacionales y fuentes de información de tráfico de redes de sensores integradas a redes de IoT.Fecha de Conclusión Febrero&#10;Cuantificación del espectro requerido para las aplicaciones más usadas. Fecha de Conclusión Mayo&#10;Presentación de primeros resultados y elaboración de borrador para posible publicación.Fecha de Conclusión Junio&#10;Presentación de resultados. Fecha de Conclusión Julio&#10;Envío a revisión para su posible publicación.Fecha de Conclusión&#10; En función de las publicaciones o congresos&#10;"/>
      </w:tblPr>
      <w:tblGrid>
        <w:gridCol w:w="6658"/>
        <w:gridCol w:w="2693"/>
      </w:tblGrid>
      <w:tr w:rsidR="0014509F" w:rsidRPr="0091364E" w14:paraId="58CECF7E" w14:textId="77777777" w:rsidTr="00A170A9">
        <w:trPr>
          <w:tblHeader/>
        </w:trPr>
        <w:tc>
          <w:tcPr>
            <w:tcW w:w="6658" w:type="dxa"/>
          </w:tcPr>
          <w:p w14:paraId="7422A9FB" w14:textId="77777777" w:rsidR="0014509F" w:rsidRPr="00697377" w:rsidRDefault="0014509F" w:rsidP="00A170A9">
            <w:pPr>
              <w:spacing w:after="160" w:line="259" w:lineRule="auto"/>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lastRenderedPageBreak/>
              <w:t>Etapa del Estudio</w:t>
            </w:r>
          </w:p>
        </w:tc>
        <w:tc>
          <w:tcPr>
            <w:tcW w:w="2693" w:type="dxa"/>
          </w:tcPr>
          <w:p w14:paraId="70DFE7DC" w14:textId="77777777" w:rsidR="0014509F" w:rsidRPr="0091364E" w:rsidRDefault="0014509F" w:rsidP="00A170A9">
            <w:pPr>
              <w:spacing w:after="160" w:line="259" w:lineRule="auto"/>
              <w:contextualSpacing/>
              <w:jc w:val="both"/>
              <w:rPr>
                <w:rFonts w:asciiTheme="majorHAnsi" w:hAnsiTheme="majorHAnsi"/>
                <w:color w:val="C45911" w:themeColor="accent2" w:themeShade="BF"/>
                <w:sz w:val="28"/>
                <w:szCs w:val="28"/>
              </w:rPr>
            </w:pPr>
            <w:r w:rsidRPr="0091364E">
              <w:rPr>
                <w:rFonts w:asciiTheme="majorHAnsi" w:hAnsiTheme="majorHAnsi"/>
                <w:color w:val="C45911" w:themeColor="accent2" w:themeShade="BF"/>
                <w:sz w:val="28"/>
                <w:szCs w:val="28"/>
              </w:rPr>
              <w:t>Fecha de Conclusión</w:t>
            </w:r>
          </w:p>
        </w:tc>
      </w:tr>
      <w:tr w:rsidR="0014509F" w:rsidRPr="009C079F" w14:paraId="7534FFFD" w14:textId="77777777" w:rsidTr="00A170A9">
        <w:tc>
          <w:tcPr>
            <w:tcW w:w="6658" w:type="dxa"/>
          </w:tcPr>
          <w:p w14:paraId="10FAF642" w14:textId="77777777" w:rsidR="0014509F" w:rsidRPr="009C079F" w:rsidRDefault="0014509F" w:rsidP="00A170A9">
            <w:pPr>
              <w:spacing w:after="100" w:afterAutospacing="1"/>
              <w:jc w:val="both"/>
              <w:rPr>
                <w:rFonts w:asciiTheme="majorHAnsi" w:hAnsiTheme="majorHAnsi"/>
                <w:color w:val="0070C0"/>
                <w:sz w:val="28"/>
                <w:szCs w:val="28"/>
              </w:rPr>
            </w:pPr>
            <w:r w:rsidRPr="009C079F">
              <w:rPr>
                <w:rFonts w:asciiTheme="majorHAnsi" w:hAnsiTheme="majorHAnsi"/>
                <w:sz w:val="28"/>
                <w:szCs w:val="28"/>
              </w:rPr>
              <w:t>Revisión Bibliográfica</w:t>
            </w:r>
            <w:r>
              <w:rPr>
                <w:rFonts w:asciiTheme="majorHAnsi" w:hAnsiTheme="majorHAnsi"/>
                <w:sz w:val="28"/>
                <w:szCs w:val="28"/>
              </w:rPr>
              <w:t>.</w:t>
            </w:r>
          </w:p>
        </w:tc>
        <w:tc>
          <w:tcPr>
            <w:tcW w:w="2693" w:type="dxa"/>
          </w:tcPr>
          <w:p w14:paraId="06C60185" w14:textId="77777777" w:rsidR="0014509F" w:rsidRPr="009C079F" w:rsidRDefault="0014509F" w:rsidP="00A170A9">
            <w:pPr>
              <w:spacing w:after="100" w:afterAutospacing="1"/>
              <w:jc w:val="both"/>
              <w:rPr>
                <w:rFonts w:asciiTheme="majorHAnsi" w:hAnsiTheme="majorHAnsi"/>
                <w:color w:val="0070C0"/>
                <w:sz w:val="28"/>
                <w:szCs w:val="28"/>
              </w:rPr>
            </w:pPr>
            <w:r>
              <w:rPr>
                <w:rFonts w:asciiTheme="majorHAnsi" w:hAnsiTheme="majorHAnsi"/>
                <w:sz w:val="28"/>
                <w:szCs w:val="28"/>
              </w:rPr>
              <w:t>Enero</w:t>
            </w:r>
          </w:p>
        </w:tc>
      </w:tr>
      <w:tr w:rsidR="0014509F" w:rsidRPr="009C079F" w14:paraId="4160908D" w14:textId="77777777" w:rsidTr="00A170A9">
        <w:tc>
          <w:tcPr>
            <w:tcW w:w="6658" w:type="dxa"/>
          </w:tcPr>
          <w:p w14:paraId="0D4D815A" w14:textId="77777777" w:rsidR="0014509F" w:rsidRPr="009C079F" w:rsidRDefault="0014509F" w:rsidP="00A170A9">
            <w:pPr>
              <w:spacing w:after="100" w:afterAutospacing="1"/>
              <w:jc w:val="both"/>
              <w:rPr>
                <w:rFonts w:asciiTheme="majorHAnsi" w:hAnsiTheme="majorHAnsi"/>
                <w:color w:val="0070C0"/>
                <w:sz w:val="28"/>
                <w:szCs w:val="28"/>
              </w:rPr>
            </w:pPr>
            <w:r w:rsidRPr="009C079F">
              <w:rPr>
                <w:rFonts w:asciiTheme="majorHAnsi" w:hAnsiTheme="majorHAnsi"/>
                <w:sz w:val="28"/>
                <w:szCs w:val="28"/>
              </w:rPr>
              <w:t xml:space="preserve">Identificación </w:t>
            </w:r>
            <w:r>
              <w:rPr>
                <w:rFonts w:asciiTheme="majorHAnsi" w:hAnsiTheme="majorHAnsi"/>
                <w:sz w:val="28"/>
                <w:szCs w:val="28"/>
              </w:rPr>
              <w:t xml:space="preserve">de los principales estudios, experiencias internacionales y fuentes de información de tráfico de redes de sensores integradas a redes de </w:t>
            </w:r>
            <w:proofErr w:type="spellStart"/>
            <w:r>
              <w:rPr>
                <w:rFonts w:asciiTheme="majorHAnsi" w:hAnsiTheme="majorHAnsi"/>
                <w:sz w:val="28"/>
                <w:szCs w:val="28"/>
              </w:rPr>
              <w:t>IoT</w:t>
            </w:r>
            <w:proofErr w:type="spellEnd"/>
            <w:r>
              <w:rPr>
                <w:rFonts w:asciiTheme="majorHAnsi" w:hAnsiTheme="majorHAnsi"/>
                <w:sz w:val="28"/>
                <w:szCs w:val="28"/>
              </w:rPr>
              <w:t>.</w:t>
            </w:r>
          </w:p>
        </w:tc>
        <w:tc>
          <w:tcPr>
            <w:tcW w:w="2693" w:type="dxa"/>
          </w:tcPr>
          <w:p w14:paraId="716817A9" w14:textId="77777777" w:rsidR="0014509F" w:rsidRPr="009C079F" w:rsidRDefault="0014509F" w:rsidP="00A170A9">
            <w:pPr>
              <w:spacing w:after="100" w:afterAutospacing="1"/>
              <w:jc w:val="both"/>
              <w:rPr>
                <w:rFonts w:asciiTheme="majorHAnsi" w:hAnsiTheme="majorHAnsi"/>
                <w:color w:val="0070C0"/>
                <w:sz w:val="28"/>
                <w:szCs w:val="28"/>
              </w:rPr>
            </w:pPr>
            <w:r>
              <w:rPr>
                <w:rFonts w:asciiTheme="majorHAnsi" w:hAnsiTheme="majorHAnsi"/>
                <w:sz w:val="28"/>
                <w:szCs w:val="28"/>
              </w:rPr>
              <w:t>Febrero</w:t>
            </w:r>
          </w:p>
        </w:tc>
      </w:tr>
      <w:tr w:rsidR="0014509F" w:rsidRPr="009C079F" w14:paraId="6B965F0F" w14:textId="77777777" w:rsidTr="00A170A9">
        <w:trPr>
          <w:trHeight w:val="858"/>
        </w:trPr>
        <w:tc>
          <w:tcPr>
            <w:tcW w:w="6658" w:type="dxa"/>
          </w:tcPr>
          <w:p w14:paraId="30964944" w14:textId="77777777" w:rsidR="0014509F" w:rsidRPr="009C079F" w:rsidRDefault="0014509F" w:rsidP="00A170A9">
            <w:pPr>
              <w:spacing w:after="100" w:afterAutospacing="1"/>
              <w:jc w:val="both"/>
              <w:rPr>
                <w:rFonts w:asciiTheme="majorHAnsi" w:hAnsiTheme="majorHAnsi"/>
                <w:color w:val="0070C0"/>
                <w:sz w:val="28"/>
                <w:szCs w:val="28"/>
              </w:rPr>
            </w:pPr>
            <w:r>
              <w:rPr>
                <w:rFonts w:asciiTheme="majorHAnsi" w:hAnsiTheme="majorHAnsi"/>
                <w:sz w:val="28"/>
                <w:szCs w:val="28"/>
              </w:rPr>
              <w:t>Cuantificación del espectro requerido para las aplicaciones más usadas.</w:t>
            </w:r>
          </w:p>
        </w:tc>
        <w:tc>
          <w:tcPr>
            <w:tcW w:w="2693" w:type="dxa"/>
          </w:tcPr>
          <w:p w14:paraId="10857997" w14:textId="77777777" w:rsidR="0014509F" w:rsidRPr="009C079F" w:rsidRDefault="0014509F" w:rsidP="00A170A9">
            <w:pPr>
              <w:spacing w:after="100" w:afterAutospacing="1"/>
              <w:jc w:val="both"/>
              <w:rPr>
                <w:rFonts w:asciiTheme="majorHAnsi" w:hAnsiTheme="majorHAnsi"/>
                <w:color w:val="0070C0"/>
                <w:sz w:val="28"/>
                <w:szCs w:val="28"/>
              </w:rPr>
            </w:pPr>
            <w:r>
              <w:rPr>
                <w:rFonts w:asciiTheme="majorHAnsi" w:hAnsiTheme="majorHAnsi"/>
                <w:sz w:val="28"/>
                <w:szCs w:val="28"/>
              </w:rPr>
              <w:t>Mayo</w:t>
            </w:r>
          </w:p>
        </w:tc>
      </w:tr>
      <w:tr w:rsidR="0014509F" w:rsidRPr="009C079F" w14:paraId="02E8ED12" w14:textId="77777777" w:rsidTr="00A170A9">
        <w:tc>
          <w:tcPr>
            <w:tcW w:w="6658" w:type="dxa"/>
          </w:tcPr>
          <w:p w14:paraId="02C9AE0D" w14:textId="77777777" w:rsidR="0014509F" w:rsidRPr="009C079F" w:rsidRDefault="0014509F" w:rsidP="00A170A9">
            <w:pPr>
              <w:spacing w:after="100" w:afterAutospacing="1"/>
              <w:jc w:val="both"/>
              <w:rPr>
                <w:rFonts w:asciiTheme="majorHAnsi" w:hAnsiTheme="majorHAnsi"/>
                <w:color w:val="0070C0"/>
                <w:sz w:val="28"/>
                <w:szCs w:val="28"/>
              </w:rPr>
            </w:pPr>
            <w:r w:rsidRPr="009C079F">
              <w:rPr>
                <w:rFonts w:asciiTheme="majorHAnsi" w:hAnsiTheme="majorHAnsi"/>
                <w:sz w:val="28"/>
                <w:szCs w:val="28"/>
              </w:rPr>
              <w:t xml:space="preserve">Presentación de </w:t>
            </w:r>
            <w:r>
              <w:rPr>
                <w:rFonts w:asciiTheme="majorHAnsi" w:hAnsiTheme="majorHAnsi"/>
                <w:sz w:val="28"/>
                <w:szCs w:val="28"/>
              </w:rPr>
              <w:t>primeros resultados y e</w:t>
            </w:r>
            <w:r w:rsidRPr="009C079F">
              <w:rPr>
                <w:rFonts w:asciiTheme="majorHAnsi" w:hAnsiTheme="majorHAnsi"/>
                <w:sz w:val="28"/>
                <w:szCs w:val="28"/>
              </w:rPr>
              <w:t>laboración de borrador para posible publicación</w:t>
            </w:r>
            <w:r>
              <w:rPr>
                <w:rFonts w:asciiTheme="majorHAnsi" w:hAnsiTheme="majorHAnsi"/>
                <w:sz w:val="28"/>
                <w:szCs w:val="28"/>
              </w:rPr>
              <w:t>.</w:t>
            </w:r>
          </w:p>
        </w:tc>
        <w:tc>
          <w:tcPr>
            <w:tcW w:w="2693" w:type="dxa"/>
          </w:tcPr>
          <w:p w14:paraId="0E26D5E8" w14:textId="77777777" w:rsidR="0014509F" w:rsidRPr="009C079F" w:rsidRDefault="0014509F" w:rsidP="00A170A9">
            <w:pPr>
              <w:spacing w:after="100" w:afterAutospacing="1"/>
              <w:jc w:val="both"/>
              <w:rPr>
                <w:rFonts w:asciiTheme="majorHAnsi" w:hAnsiTheme="majorHAnsi"/>
                <w:color w:val="0070C0"/>
                <w:sz w:val="28"/>
                <w:szCs w:val="28"/>
              </w:rPr>
            </w:pPr>
            <w:r>
              <w:rPr>
                <w:rFonts w:asciiTheme="majorHAnsi" w:hAnsiTheme="majorHAnsi"/>
                <w:sz w:val="28"/>
                <w:szCs w:val="28"/>
              </w:rPr>
              <w:t>Junio</w:t>
            </w:r>
          </w:p>
        </w:tc>
      </w:tr>
      <w:tr w:rsidR="0014509F" w:rsidRPr="009C079F" w14:paraId="4A3101C6" w14:textId="77777777" w:rsidTr="00A170A9">
        <w:tc>
          <w:tcPr>
            <w:tcW w:w="6658" w:type="dxa"/>
          </w:tcPr>
          <w:p w14:paraId="3CDB701B" w14:textId="77777777" w:rsidR="0014509F" w:rsidRPr="009C079F" w:rsidRDefault="0014509F" w:rsidP="00A170A9">
            <w:pPr>
              <w:spacing w:after="100" w:afterAutospacing="1"/>
              <w:jc w:val="both"/>
              <w:rPr>
                <w:rFonts w:asciiTheme="majorHAnsi" w:hAnsiTheme="majorHAnsi"/>
                <w:sz w:val="28"/>
                <w:szCs w:val="28"/>
              </w:rPr>
            </w:pPr>
            <w:r>
              <w:rPr>
                <w:rFonts w:asciiTheme="majorHAnsi" w:hAnsiTheme="majorHAnsi"/>
                <w:sz w:val="28"/>
                <w:szCs w:val="28"/>
              </w:rPr>
              <w:t>Presentación de resultados.</w:t>
            </w:r>
          </w:p>
        </w:tc>
        <w:tc>
          <w:tcPr>
            <w:tcW w:w="2693" w:type="dxa"/>
          </w:tcPr>
          <w:p w14:paraId="496887DD" w14:textId="77777777" w:rsidR="0014509F" w:rsidRPr="009C079F" w:rsidRDefault="0014509F" w:rsidP="00A170A9">
            <w:pPr>
              <w:spacing w:after="100" w:afterAutospacing="1"/>
              <w:jc w:val="both"/>
              <w:rPr>
                <w:rFonts w:asciiTheme="majorHAnsi" w:hAnsiTheme="majorHAnsi"/>
                <w:sz w:val="28"/>
                <w:szCs w:val="28"/>
              </w:rPr>
            </w:pPr>
            <w:r>
              <w:rPr>
                <w:rFonts w:asciiTheme="majorHAnsi" w:hAnsiTheme="majorHAnsi"/>
                <w:sz w:val="28"/>
                <w:szCs w:val="28"/>
              </w:rPr>
              <w:t>Julio</w:t>
            </w:r>
          </w:p>
        </w:tc>
      </w:tr>
      <w:tr w:rsidR="0014509F" w:rsidRPr="009C079F" w14:paraId="6B95A793" w14:textId="77777777" w:rsidTr="00A170A9">
        <w:tc>
          <w:tcPr>
            <w:tcW w:w="6658" w:type="dxa"/>
          </w:tcPr>
          <w:p w14:paraId="551DF6A0" w14:textId="77777777" w:rsidR="0014509F" w:rsidRPr="009C079F" w:rsidRDefault="0014509F" w:rsidP="00A170A9">
            <w:pPr>
              <w:spacing w:after="100" w:afterAutospacing="1"/>
              <w:jc w:val="both"/>
              <w:rPr>
                <w:rFonts w:asciiTheme="majorHAnsi" w:hAnsiTheme="majorHAnsi"/>
                <w:color w:val="0070C0"/>
                <w:sz w:val="28"/>
                <w:szCs w:val="28"/>
              </w:rPr>
            </w:pPr>
            <w:r w:rsidRPr="009C079F">
              <w:rPr>
                <w:rFonts w:asciiTheme="majorHAnsi" w:hAnsiTheme="majorHAnsi"/>
                <w:sz w:val="28"/>
                <w:szCs w:val="28"/>
              </w:rPr>
              <w:t>Envío a revisión para su posible publicación</w:t>
            </w:r>
            <w:r>
              <w:rPr>
                <w:rFonts w:asciiTheme="majorHAnsi" w:hAnsiTheme="majorHAnsi"/>
                <w:sz w:val="28"/>
                <w:szCs w:val="28"/>
              </w:rPr>
              <w:t>.</w:t>
            </w:r>
          </w:p>
        </w:tc>
        <w:tc>
          <w:tcPr>
            <w:tcW w:w="2693" w:type="dxa"/>
          </w:tcPr>
          <w:p w14:paraId="798B2EF7" w14:textId="77777777" w:rsidR="0014509F" w:rsidRPr="009C079F" w:rsidRDefault="0014509F" w:rsidP="00A170A9">
            <w:pPr>
              <w:spacing w:after="100" w:afterAutospacing="1"/>
              <w:jc w:val="both"/>
              <w:rPr>
                <w:rFonts w:asciiTheme="majorHAnsi" w:hAnsiTheme="majorHAnsi"/>
                <w:color w:val="0070C0"/>
                <w:sz w:val="28"/>
                <w:szCs w:val="28"/>
              </w:rPr>
            </w:pPr>
            <w:r w:rsidRPr="009C079F">
              <w:rPr>
                <w:rFonts w:asciiTheme="majorHAnsi" w:hAnsiTheme="majorHAnsi"/>
                <w:sz w:val="28"/>
                <w:szCs w:val="28"/>
              </w:rPr>
              <w:t xml:space="preserve">En función de las </w:t>
            </w:r>
            <w:r>
              <w:rPr>
                <w:rFonts w:asciiTheme="majorHAnsi" w:hAnsiTheme="majorHAnsi"/>
                <w:sz w:val="28"/>
                <w:szCs w:val="28"/>
              </w:rPr>
              <w:t xml:space="preserve">publicaciones o </w:t>
            </w:r>
            <w:r w:rsidRPr="009C079F">
              <w:rPr>
                <w:rFonts w:asciiTheme="majorHAnsi" w:hAnsiTheme="majorHAnsi"/>
                <w:sz w:val="28"/>
                <w:szCs w:val="28"/>
              </w:rPr>
              <w:t>congresos</w:t>
            </w:r>
          </w:p>
        </w:tc>
      </w:tr>
    </w:tbl>
    <w:p w14:paraId="674A9754" w14:textId="77777777" w:rsidR="0014509F" w:rsidRDefault="0014509F" w:rsidP="0014509F">
      <w:pPr>
        <w:keepNext/>
        <w:spacing w:after="100" w:afterAutospacing="1"/>
        <w:jc w:val="both"/>
      </w:pPr>
      <w:r>
        <w:br w:type="page"/>
      </w:r>
    </w:p>
    <w:sdt>
      <w:sdtPr>
        <w:rPr>
          <w:rFonts w:asciiTheme="majorHAnsi" w:hAnsiTheme="majorHAnsi"/>
          <w:color w:val="C45911" w:themeColor="accent2" w:themeShade="BF"/>
          <w:sz w:val="28"/>
          <w:szCs w:val="28"/>
        </w:rPr>
        <w:alias w:val="Nombre del Proyecto"/>
        <w:tag w:val="Nombre_x0020_del_x0020_Proyecto"/>
        <w:id w:val="-1573956298"/>
        <w:placeholder>
          <w:docPart w:val="FC2E6919F40C4063B7FFBBC1A4CBF49C"/>
        </w:placeholder>
        <w:dataBinding w:prefixMappings="xmlns:ns0='http://schemas.microsoft.com/office/2006/metadata/properties' xmlns:ns1='http://www.w3.org/2001/XMLSchema-instance' xmlns:ns2='http://schemas.microsoft.com/office/infopath/2007/PartnerControls' xmlns:ns3='293807b6-12d3-42cc-a250-7bb708d556b9' " w:xpath="/ns0:properties[1]/documentManagement[1]/ns3:Nombre_x0020_del_x0020_Proyecto[1]" w:storeItemID="{D43C7FE1-1104-4286-B957-32265D6B0D08}"/>
        <w:text/>
      </w:sdtPr>
      <w:sdtContent>
        <w:p w14:paraId="339C6522" w14:textId="77777777" w:rsidR="0014509F" w:rsidRDefault="0014509F" w:rsidP="0014509F">
          <w:pPr>
            <w:keepNext/>
            <w:spacing w:after="100" w:afterAutospacing="1"/>
            <w:jc w:val="both"/>
            <w:rPr>
              <w:rFonts w:asciiTheme="majorHAnsi" w:hAnsiTheme="majorHAnsi"/>
              <w:color w:val="C45911" w:themeColor="accent2" w:themeShade="BF"/>
              <w:sz w:val="28"/>
              <w:szCs w:val="28"/>
            </w:rPr>
          </w:pPr>
          <w:r>
            <w:rPr>
              <w:rFonts w:asciiTheme="majorHAnsi" w:hAnsiTheme="majorHAnsi"/>
              <w:color w:val="C45911" w:themeColor="accent2" w:themeShade="BF"/>
              <w:sz w:val="28"/>
              <w:szCs w:val="28"/>
            </w:rPr>
            <w:t>Compartición espectral como estrategia para contribuir en la solución de la mayor demanda de este insumo para servicios móviles terrestres</w:t>
          </w:r>
        </w:p>
      </w:sdtContent>
    </w:sdt>
    <w:p w14:paraId="6DB130B5" w14:textId="0CB6C00D" w:rsidR="0014509F" w:rsidRPr="00401FDE" w:rsidRDefault="0014509F" w:rsidP="00A170A9">
      <w:pPr>
        <w:keepNext/>
        <w:spacing w:after="100" w:afterAutospacing="1"/>
        <w:jc w:val="both"/>
        <w:rPr>
          <w:rFonts w:asciiTheme="majorHAnsi" w:hAnsiTheme="majorHAnsi"/>
          <w:color w:val="C45911" w:themeColor="accent2" w:themeShade="BF"/>
          <w:sz w:val="28"/>
          <w:szCs w:val="28"/>
        </w:rPr>
      </w:pPr>
      <w:r w:rsidRPr="00401FDE">
        <w:rPr>
          <w:rFonts w:asciiTheme="majorHAnsi" w:hAnsiTheme="majorHAnsi"/>
          <w:color w:val="C45911" w:themeColor="accent2" w:themeShade="BF"/>
          <w:sz w:val="28"/>
          <w:szCs w:val="28"/>
        </w:rPr>
        <w:t>José Luis Cuevas Ruíz</w:t>
      </w:r>
      <w:r w:rsidRPr="00401FDE">
        <w:rPr>
          <w:rStyle w:val="Refdenotaalpie"/>
          <w:color w:val="C45911" w:themeColor="accent2" w:themeShade="BF"/>
          <w:sz w:val="28"/>
          <w:szCs w:val="28"/>
        </w:rPr>
        <w:footnoteReference w:id="20"/>
      </w:r>
    </w:p>
    <w:p w14:paraId="41A69221" w14:textId="77777777" w:rsidR="0014509F" w:rsidRPr="00697377" w:rsidRDefault="0014509F" w:rsidP="0014509F">
      <w:pPr>
        <w:keepNext/>
        <w:spacing w:after="100" w:afterAutospacing="1"/>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Resumen</w:t>
      </w:r>
    </w:p>
    <w:p w14:paraId="2E40D7ED"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sidRPr="009063B1">
        <w:rPr>
          <w:rFonts w:asciiTheme="majorHAnsi" w:hAnsiTheme="majorHAnsi"/>
          <w:sz w:val="28"/>
          <w:szCs w:val="28"/>
        </w:rPr>
        <w:t>La</w:t>
      </w:r>
      <w:r w:rsidRPr="004C25EF">
        <w:rPr>
          <w:rFonts w:asciiTheme="majorHAnsi" w:hAnsiTheme="majorHAnsi"/>
          <w:sz w:val="28"/>
          <w:szCs w:val="28"/>
        </w:rPr>
        <w:t xml:space="preserve"> creciente demanda en cantidad y calidad de servicios de telecomunicaciones móviles ha estimulado la necesidad de contar con una mayor cantidad de espectro disponible. El espectro radioeléctrico es un recurso limitado, y una de las funciones primordiales de las entidades regulatorias es posibilitar su uso eficiente, en beneficio de la población. Esta escasez dificulta la asignación de más espectro como</w:t>
      </w:r>
      <w:r>
        <w:rPr>
          <w:rFonts w:asciiTheme="majorHAnsi" w:hAnsiTheme="majorHAnsi"/>
          <w:sz w:val="28"/>
          <w:szCs w:val="28"/>
        </w:rPr>
        <w:t xml:space="preserve"> una solución inmediata ante la demanda. En este contexto, </w:t>
      </w:r>
      <w:r w:rsidRPr="004C25EF">
        <w:rPr>
          <w:rFonts w:asciiTheme="majorHAnsi" w:hAnsiTheme="majorHAnsi"/>
          <w:sz w:val="28"/>
          <w:szCs w:val="28"/>
        </w:rPr>
        <w:t>la alternativa del uso de técnicas de com</w:t>
      </w:r>
      <w:r>
        <w:rPr>
          <w:rFonts w:asciiTheme="majorHAnsi" w:hAnsiTheme="majorHAnsi"/>
          <w:sz w:val="28"/>
          <w:szCs w:val="28"/>
        </w:rPr>
        <w:t>partición espectral se presenta</w:t>
      </w:r>
      <w:r w:rsidRPr="004C25EF">
        <w:rPr>
          <w:rFonts w:asciiTheme="majorHAnsi" w:hAnsiTheme="majorHAnsi"/>
          <w:sz w:val="28"/>
          <w:szCs w:val="28"/>
        </w:rPr>
        <w:t xml:space="preserve"> como una opción tecnológicamente viable para la obtención de mayor espectro disponible y </w:t>
      </w:r>
      <w:r>
        <w:rPr>
          <w:rFonts w:asciiTheme="majorHAnsi" w:hAnsiTheme="majorHAnsi"/>
          <w:sz w:val="28"/>
          <w:szCs w:val="28"/>
        </w:rPr>
        <w:t xml:space="preserve">para </w:t>
      </w:r>
      <w:r w:rsidRPr="004C25EF">
        <w:rPr>
          <w:rFonts w:asciiTheme="majorHAnsi" w:hAnsiTheme="majorHAnsi"/>
          <w:sz w:val="28"/>
          <w:szCs w:val="28"/>
        </w:rPr>
        <w:t>contribuir a la so</w:t>
      </w:r>
      <w:r>
        <w:rPr>
          <w:rFonts w:asciiTheme="majorHAnsi" w:hAnsiTheme="majorHAnsi"/>
          <w:sz w:val="28"/>
          <w:szCs w:val="28"/>
        </w:rPr>
        <w:t>lución en la satisfacción de l</w:t>
      </w:r>
      <w:r w:rsidRPr="004C25EF">
        <w:rPr>
          <w:rFonts w:asciiTheme="majorHAnsi" w:hAnsiTheme="majorHAnsi"/>
          <w:sz w:val="28"/>
          <w:szCs w:val="28"/>
        </w:rPr>
        <w:t>a demanda.</w:t>
      </w:r>
    </w:p>
    <w:p w14:paraId="08A87412" w14:textId="77777777" w:rsidR="0014509F" w:rsidRPr="00697377" w:rsidRDefault="0014509F" w:rsidP="0014509F">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Introducción</w:t>
      </w:r>
    </w:p>
    <w:p w14:paraId="41798944" w14:textId="77777777" w:rsidR="0014509F" w:rsidRPr="004C25EF" w:rsidRDefault="0014509F" w:rsidP="00A170A9">
      <w:pPr>
        <w:pStyle w:val="estilo30"/>
        <w:spacing w:before="240" w:beforeAutospacing="0" w:after="240" w:afterAutospacing="0" w:line="276" w:lineRule="auto"/>
        <w:jc w:val="both"/>
        <w:rPr>
          <w:rFonts w:asciiTheme="majorHAnsi" w:hAnsiTheme="majorHAnsi"/>
          <w:sz w:val="28"/>
          <w:szCs w:val="28"/>
        </w:rPr>
      </w:pPr>
      <w:r>
        <w:rPr>
          <w:rFonts w:asciiTheme="majorHAnsi" w:hAnsiTheme="majorHAnsi"/>
          <w:sz w:val="28"/>
          <w:szCs w:val="28"/>
        </w:rPr>
        <w:t>El</w:t>
      </w:r>
      <w:r w:rsidRPr="004C25EF">
        <w:rPr>
          <w:rFonts w:asciiTheme="majorHAnsi" w:hAnsiTheme="majorHAnsi"/>
          <w:sz w:val="28"/>
          <w:szCs w:val="28"/>
        </w:rPr>
        <w:t xml:space="preserve"> incremento en la demanda espectral obedece a </w:t>
      </w:r>
      <w:r>
        <w:rPr>
          <w:rFonts w:asciiTheme="majorHAnsi" w:hAnsiTheme="majorHAnsi"/>
          <w:sz w:val="28"/>
          <w:szCs w:val="28"/>
        </w:rPr>
        <w:t>la presencia de diversos factores propios de</w:t>
      </w:r>
      <w:r w:rsidRPr="004C25EF">
        <w:rPr>
          <w:rFonts w:asciiTheme="majorHAnsi" w:hAnsiTheme="majorHAnsi"/>
          <w:sz w:val="28"/>
          <w:szCs w:val="28"/>
        </w:rPr>
        <w:t xml:space="preserve"> los se</w:t>
      </w:r>
      <w:r>
        <w:rPr>
          <w:rFonts w:asciiTheme="majorHAnsi" w:hAnsiTheme="majorHAnsi"/>
          <w:sz w:val="28"/>
          <w:szCs w:val="28"/>
        </w:rPr>
        <w:t>rvicios de comunicación móviles,</w:t>
      </w:r>
      <w:r w:rsidRPr="004C25EF">
        <w:rPr>
          <w:rFonts w:asciiTheme="majorHAnsi" w:hAnsiTheme="majorHAnsi"/>
          <w:sz w:val="28"/>
          <w:szCs w:val="28"/>
        </w:rPr>
        <w:t xml:space="preserve"> entre ellos</w:t>
      </w:r>
      <w:r>
        <w:rPr>
          <w:rFonts w:asciiTheme="majorHAnsi" w:hAnsiTheme="majorHAnsi"/>
          <w:sz w:val="28"/>
          <w:szCs w:val="28"/>
        </w:rPr>
        <w:t xml:space="preserve"> es posible mencionar: a) las c</w:t>
      </w:r>
      <w:r w:rsidRPr="004C25EF">
        <w:rPr>
          <w:rFonts w:asciiTheme="majorHAnsi" w:hAnsiTheme="majorHAnsi"/>
          <w:sz w:val="28"/>
          <w:szCs w:val="28"/>
        </w:rPr>
        <w:t>apacidades de las redes actuales</w:t>
      </w:r>
      <w:r>
        <w:rPr>
          <w:rFonts w:asciiTheme="majorHAnsi" w:hAnsiTheme="majorHAnsi"/>
          <w:sz w:val="28"/>
          <w:szCs w:val="28"/>
        </w:rPr>
        <w:t>, que son limitadas frente a la demanda de mayor velocidad; b) la c</w:t>
      </w:r>
      <w:r w:rsidRPr="004C25EF">
        <w:rPr>
          <w:rFonts w:asciiTheme="majorHAnsi" w:hAnsiTheme="majorHAnsi"/>
          <w:sz w:val="28"/>
          <w:szCs w:val="28"/>
        </w:rPr>
        <w:t xml:space="preserve">obertura </w:t>
      </w:r>
      <w:r>
        <w:rPr>
          <w:rFonts w:asciiTheme="majorHAnsi" w:hAnsiTheme="majorHAnsi"/>
          <w:sz w:val="28"/>
          <w:szCs w:val="28"/>
        </w:rPr>
        <w:t>de las redes, inadecuada en zonas marginadas;</w:t>
      </w:r>
      <w:r w:rsidRPr="004C25EF">
        <w:rPr>
          <w:rFonts w:asciiTheme="majorHAnsi" w:hAnsiTheme="majorHAnsi"/>
          <w:sz w:val="28"/>
          <w:szCs w:val="28"/>
        </w:rPr>
        <w:t xml:space="preserve"> c) </w:t>
      </w:r>
      <w:r>
        <w:rPr>
          <w:rFonts w:asciiTheme="majorHAnsi" w:hAnsiTheme="majorHAnsi"/>
          <w:sz w:val="28"/>
          <w:szCs w:val="28"/>
        </w:rPr>
        <w:t xml:space="preserve">el desarrollo del </w:t>
      </w:r>
      <w:proofErr w:type="spellStart"/>
      <w:r>
        <w:rPr>
          <w:rFonts w:asciiTheme="majorHAnsi" w:hAnsiTheme="majorHAnsi"/>
          <w:sz w:val="28"/>
          <w:szCs w:val="28"/>
        </w:rPr>
        <w:t>IoT</w:t>
      </w:r>
      <w:proofErr w:type="spellEnd"/>
      <w:r w:rsidRPr="004C25EF">
        <w:rPr>
          <w:rFonts w:asciiTheme="majorHAnsi" w:hAnsiTheme="majorHAnsi"/>
          <w:sz w:val="28"/>
          <w:szCs w:val="28"/>
        </w:rPr>
        <w:t>,</w:t>
      </w:r>
      <w:r>
        <w:rPr>
          <w:rFonts w:asciiTheme="majorHAnsi" w:hAnsiTheme="majorHAnsi"/>
          <w:sz w:val="28"/>
          <w:szCs w:val="28"/>
        </w:rPr>
        <w:t xml:space="preserve"> y</w:t>
      </w:r>
      <w:r w:rsidRPr="004C25EF">
        <w:rPr>
          <w:rFonts w:asciiTheme="majorHAnsi" w:hAnsiTheme="majorHAnsi"/>
          <w:sz w:val="28"/>
          <w:szCs w:val="28"/>
        </w:rPr>
        <w:t xml:space="preserve"> d) </w:t>
      </w:r>
      <w:r>
        <w:rPr>
          <w:rFonts w:asciiTheme="majorHAnsi" w:hAnsiTheme="majorHAnsi"/>
          <w:sz w:val="28"/>
          <w:szCs w:val="28"/>
        </w:rPr>
        <w:t xml:space="preserve">el </w:t>
      </w:r>
      <w:r w:rsidRPr="004C25EF">
        <w:rPr>
          <w:rFonts w:asciiTheme="majorHAnsi" w:hAnsiTheme="majorHAnsi"/>
          <w:sz w:val="28"/>
          <w:szCs w:val="28"/>
        </w:rPr>
        <w:t>desarrollo de redes troncales inalámbricas, entre otras.</w:t>
      </w:r>
    </w:p>
    <w:p w14:paraId="6E93CE6A" w14:textId="77777777" w:rsidR="0014509F" w:rsidRPr="004C25EF" w:rsidRDefault="0014509F" w:rsidP="00A170A9">
      <w:pPr>
        <w:pStyle w:val="estilo30"/>
        <w:spacing w:before="240" w:beforeAutospacing="0" w:after="240" w:afterAutospacing="0" w:line="276" w:lineRule="auto"/>
        <w:jc w:val="both"/>
        <w:rPr>
          <w:rFonts w:asciiTheme="majorHAnsi" w:hAnsiTheme="majorHAnsi"/>
          <w:sz w:val="28"/>
          <w:szCs w:val="28"/>
        </w:rPr>
      </w:pPr>
      <w:r w:rsidRPr="004C25EF">
        <w:rPr>
          <w:rFonts w:asciiTheme="majorHAnsi" w:hAnsiTheme="majorHAnsi"/>
          <w:sz w:val="28"/>
          <w:szCs w:val="28"/>
        </w:rPr>
        <w:t xml:space="preserve">La compartición de espectro en bandas </w:t>
      </w:r>
      <w:r>
        <w:rPr>
          <w:rFonts w:asciiTheme="majorHAnsi" w:hAnsiTheme="majorHAnsi"/>
          <w:sz w:val="28"/>
          <w:szCs w:val="28"/>
        </w:rPr>
        <w:t>ocupadas por</w:t>
      </w:r>
      <w:r w:rsidRPr="004C25EF">
        <w:rPr>
          <w:rFonts w:asciiTheme="majorHAnsi" w:hAnsiTheme="majorHAnsi"/>
          <w:sz w:val="28"/>
          <w:szCs w:val="28"/>
        </w:rPr>
        <w:t xml:space="preserve"> usuarios primarios puede implementarse </w:t>
      </w:r>
      <w:r>
        <w:rPr>
          <w:rFonts w:asciiTheme="majorHAnsi" w:hAnsiTheme="majorHAnsi"/>
          <w:sz w:val="28"/>
          <w:szCs w:val="28"/>
        </w:rPr>
        <w:t xml:space="preserve">cuando se presenta </w:t>
      </w:r>
      <w:r w:rsidRPr="004C25EF">
        <w:rPr>
          <w:rFonts w:asciiTheme="majorHAnsi" w:hAnsiTheme="majorHAnsi"/>
          <w:sz w:val="28"/>
          <w:szCs w:val="28"/>
        </w:rPr>
        <w:t xml:space="preserve">alguna </w:t>
      </w:r>
      <w:r>
        <w:rPr>
          <w:rFonts w:asciiTheme="majorHAnsi" w:hAnsiTheme="majorHAnsi"/>
          <w:sz w:val="28"/>
          <w:szCs w:val="28"/>
        </w:rPr>
        <w:t>de las siguientes condiciones: a) b</w:t>
      </w:r>
      <w:r w:rsidRPr="004C25EF">
        <w:rPr>
          <w:rFonts w:asciiTheme="majorHAnsi" w:hAnsiTheme="majorHAnsi"/>
          <w:sz w:val="28"/>
          <w:szCs w:val="28"/>
        </w:rPr>
        <w:t xml:space="preserve">andas </w:t>
      </w:r>
      <w:r w:rsidRPr="004C25EF">
        <w:rPr>
          <w:rFonts w:asciiTheme="majorHAnsi" w:hAnsiTheme="majorHAnsi"/>
          <w:sz w:val="28"/>
          <w:szCs w:val="28"/>
        </w:rPr>
        <w:lastRenderedPageBreak/>
        <w:t xml:space="preserve">de frecuencia no usadas </w:t>
      </w:r>
      <w:r>
        <w:rPr>
          <w:rFonts w:asciiTheme="majorHAnsi" w:hAnsiTheme="majorHAnsi"/>
          <w:sz w:val="28"/>
          <w:szCs w:val="28"/>
        </w:rPr>
        <w:t>en ciertos intervalos de tiempo, y b) b</w:t>
      </w:r>
      <w:r w:rsidRPr="004C25EF">
        <w:rPr>
          <w:rFonts w:asciiTheme="majorHAnsi" w:hAnsiTheme="majorHAnsi"/>
          <w:sz w:val="28"/>
          <w:szCs w:val="28"/>
        </w:rPr>
        <w:t>andas de frecuencia no usadas en determinadas zona</w:t>
      </w:r>
      <w:r>
        <w:rPr>
          <w:rFonts w:asciiTheme="majorHAnsi" w:hAnsiTheme="majorHAnsi"/>
          <w:sz w:val="28"/>
          <w:szCs w:val="28"/>
        </w:rPr>
        <w:t>s</w:t>
      </w:r>
      <w:r w:rsidRPr="004C25EF">
        <w:rPr>
          <w:rFonts w:asciiTheme="majorHAnsi" w:hAnsiTheme="majorHAnsi"/>
          <w:sz w:val="28"/>
          <w:szCs w:val="28"/>
        </w:rPr>
        <w:t xml:space="preserve"> geográfi</w:t>
      </w:r>
      <w:r>
        <w:rPr>
          <w:rFonts w:asciiTheme="majorHAnsi" w:hAnsiTheme="majorHAnsi"/>
          <w:sz w:val="28"/>
          <w:szCs w:val="28"/>
        </w:rPr>
        <w:t>cas.</w:t>
      </w:r>
    </w:p>
    <w:p w14:paraId="3762BB1C" w14:textId="77777777" w:rsidR="0014509F" w:rsidRPr="004C25EF" w:rsidRDefault="0014509F" w:rsidP="00A170A9">
      <w:pPr>
        <w:pStyle w:val="estilo30"/>
        <w:spacing w:before="240" w:beforeAutospacing="0" w:after="240" w:afterAutospacing="0" w:line="276" w:lineRule="auto"/>
        <w:jc w:val="both"/>
        <w:rPr>
          <w:rFonts w:asciiTheme="majorHAnsi" w:hAnsiTheme="majorHAnsi"/>
          <w:sz w:val="28"/>
          <w:szCs w:val="28"/>
        </w:rPr>
      </w:pPr>
      <w:r w:rsidRPr="004C25EF">
        <w:rPr>
          <w:rFonts w:asciiTheme="majorHAnsi" w:hAnsiTheme="majorHAnsi"/>
          <w:sz w:val="28"/>
          <w:szCs w:val="28"/>
        </w:rPr>
        <w:t>De manera tradicional, la asignación de espectro ha seguid</w:t>
      </w:r>
      <w:r>
        <w:rPr>
          <w:rFonts w:asciiTheme="majorHAnsi" w:hAnsiTheme="majorHAnsi"/>
          <w:sz w:val="28"/>
          <w:szCs w:val="28"/>
        </w:rPr>
        <w:t>o dos tipos de estrategias: 1) a</w:t>
      </w:r>
      <w:r w:rsidRPr="004C25EF">
        <w:rPr>
          <w:rFonts w:asciiTheme="majorHAnsi" w:hAnsiTheme="majorHAnsi"/>
          <w:sz w:val="28"/>
          <w:szCs w:val="28"/>
        </w:rPr>
        <w:t>signación de banda</w:t>
      </w:r>
      <w:r>
        <w:rPr>
          <w:rFonts w:asciiTheme="majorHAnsi" w:hAnsiTheme="majorHAnsi"/>
          <w:sz w:val="28"/>
          <w:szCs w:val="28"/>
        </w:rPr>
        <w:t xml:space="preserve"> para su uso con licencias, 2) bandas de acceso libre. </w:t>
      </w:r>
      <w:r w:rsidRPr="004C25EF">
        <w:rPr>
          <w:rFonts w:asciiTheme="majorHAnsi" w:hAnsiTheme="majorHAnsi"/>
          <w:sz w:val="28"/>
          <w:szCs w:val="28"/>
        </w:rPr>
        <w:t>No obstante, el avance tecnológico permite la implementación de modelos de asignación mixtos, que permitirán compartir el espectro cumpliendo con condiciones técnicas específicas. Entre otras podemos mencionar el Acceso Compartido con Licencia (LSA, por sus siglas en inglés) y el Acceso Oportunistas al Espectro (OSA, por sus siglas en inglés). Así mismo, el uso de bases de datos geo-localizadas, donde el potencial usuario secundario pueda verificar las bandas de frecuencia libre en la posición geográfica que se encuentra, es otra alternativa de compartición que permitirá el uso de banda de frecuencia en zonas geográficas donde no se usen. Es claro que una regulación detallada y específica para cada caso será clave en la implementación de estas estrategias.</w:t>
      </w:r>
    </w:p>
    <w:p w14:paraId="61B0EBB9"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sidRPr="004C25EF">
        <w:rPr>
          <w:rFonts w:asciiTheme="majorHAnsi" w:hAnsiTheme="majorHAnsi"/>
          <w:sz w:val="28"/>
          <w:szCs w:val="28"/>
        </w:rPr>
        <w:t>No son pocos los especialistas que muestra</w:t>
      </w:r>
      <w:r>
        <w:rPr>
          <w:rFonts w:asciiTheme="majorHAnsi" w:hAnsiTheme="majorHAnsi"/>
          <w:sz w:val="28"/>
          <w:szCs w:val="28"/>
        </w:rPr>
        <w:t>n</w:t>
      </w:r>
      <w:r w:rsidRPr="004C25EF">
        <w:rPr>
          <w:rFonts w:asciiTheme="majorHAnsi" w:hAnsiTheme="majorHAnsi"/>
          <w:sz w:val="28"/>
          <w:szCs w:val="28"/>
        </w:rPr>
        <w:t xml:space="preserve"> escepticismo respecto a los resultados que la implementación de este tipo de estrategias traería consigo; por un lado</w:t>
      </w:r>
      <w:r>
        <w:rPr>
          <w:rFonts w:asciiTheme="majorHAnsi" w:hAnsiTheme="majorHAnsi"/>
          <w:sz w:val="28"/>
          <w:szCs w:val="28"/>
        </w:rPr>
        <w:t>,</w:t>
      </w:r>
      <w:r w:rsidRPr="004C25EF">
        <w:rPr>
          <w:rFonts w:asciiTheme="majorHAnsi" w:hAnsiTheme="majorHAnsi"/>
          <w:sz w:val="28"/>
          <w:szCs w:val="28"/>
        </w:rPr>
        <w:t xml:space="preserve"> se ve como favorable que un operador pueda acceder a una mayor cant</w:t>
      </w:r>
      <w:r>
        <w:rPr>
          <w:rFonts w:asciiTheme="majorHAnsi" w:hAnsiTheme="majorHAnsi"/>
          <w:sz w:val="28"/>
          <w:szCs w:val="28"/>
        </w:rPr>
        <w:t>idad de espectro para ofertar má</w:t>
      </w:r>
      <w:r w:rsidRPr="004C25EF">
        <w:rPr>
          <w:rFonts w:asciiTheme="majorHAnsi" w:hAnsiTheme="majorHAnsi"/>
          <w:sz w:val="28"/>
          <w:szCs w:val="28"/>
        </w:rPr>
        <w:t xml:space="preserve">s servicios, pero </w:t>
      </w:r>
      <w:r>
        <w:rPr>
          <w:rFonts w:asciiTheme="majorHAnsi" w:hAnsiTheme="majorHAnsi"/>
          <w:sz w:val="28"/>
          <w:szCs w:val="28"/>
        </w:rPr>
        <w:t xml:space="preserve">por otro, </w:t>
      </w:r>
      <w:r w:rsidRPr="004C25EF">
        <w:rPr>
          <w:rFonts w:asciiTheme="majorHAnsi" w:hAnsiTheme="majorHAnsi"/>
          <w:sz w:val="28"/>
          <w:szCs w:val="28"/>
        </w:rPr>
        <w:t xml:space="preserve">se debe mantener el modelo de operación bajo licenciamiento. Aspectos regulatorios, como normas para evitar que un operador </w:t>
      </w:r>
      <w:r w:rsidRPr="006E7E76">
        <w:rPr>
          <w:rFonts w:asciiTheme="majorHAnsi" w:hAnsiTheme="majorHAnsi"/>
          <w:sz w:val="28"/>
          <w:szCs w:val="28"/>
        </w:rPr>
        <w:t>acapare el espectro secundario</w:t>
      </w:r>
      <w:r w:rsidRPr="004C25EF">
        <w:rPr>
          <w:rFonts w:asciiTheme="majorHAnsi" w:hAnsiTheme="majorHAnsi"/>
          <w:sz w:val="28"/>
          <w:szCs w:val="28"/>
        </w:rPr>
        <w:t xml:space="preserve"> o la definición y garantía en la eliminación de interferencia perjudicial a los u</w:t>
      </w:r>
      <w:r>
        <w:rPr>
          <w:rFonts w:asciiTheme="majorHAnsi" w:hAnsiTheme="majorHAnsi"/>
          <w:sz w:val="28"/>
          <w:szCs w:val="28"/>
        </w:rPr>
        <w:t>suarios primarios, son vitales.</w:t>
      </w:r>
    </w:p>
    <w:p w14:paraId="5B500E25" w14:textId="77777777" w:rsidR="0014509F" w:rsidRPr="00697377" w:rsidRDefault="0014509F" w:rsidP="0014509F">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Objetivo</w:t>
      </w:r>
    </w:p>
    <w:sdt>
      <w:sdtPr>
        <w:rPr>
          <w:rFonts w:asciiTheme="majorHAnsi" w:hAnsiTheme="majorHAnsi"/>
          <w:sz w:val="28"/>
          <w:szCs w:val="28"/>
        </w:rPr>
        <w:alias w:val="Beneficios Potenciales"/>
        <w:tag w:val="Beneficios_x0020_Potenciales"/>
        <w:id w:val="1594203387"/>
        <w:placeholder>
          <w:docPart w:val="54F7DD6843B94678BA402070C8C1E6F9"/>
        </w:placeholder>
        <w:dataBinding w:prefixMappings="xmlns:ns0='http://schemas.microsoft.com/office/2006/metadata/properties' xmlns:ns1='http://www.w3.org/2001/XMLSchema-instance' xmlns:ns2='http://schemas.microsoft.com/office/infopath/2007/PartnerControls' xmlns:ns3='293807b6-12d3-42cc-a250-7bb708d556b9' " w:xpath="/ns0:properties[1]/documentManagement[1]/ns3:Beneficios_x0020_Potenciales[1]" w:storeItemID="{D43C7FE1-1104-4286-B957-32265D6B0D08}"/>
        <w:text w:multiLine="1"/>
      </w:sdtPr>
      <w:sdtContent>
        <w:p w14:paraId="293B7789" w14:textId="77777777" w:rsidR="0014509F" w:rsidRDefault="0014509F" w:rsidP="0014509F">
          <w:pPr>
            <w:jc w:val="both"/>
            <w:rPr>
              <w:rFonts w:asciiTheme="majorHAnsi" w:hAnsiTheme="majorHAnsi"/>
              <w:sz w:val="28"/>
              <w:szCs w:val="28"/>
            </w:rPr>
          </w:pPr>
          <w:r>
            <w:rPr>
              <w:rFonts w:asciiTheme="majorHAnsi" w:hAnsiTheme="majorHAnsi"/>
              <w:sz w:val="28"/>
              <w:szCs w:val="28"/>
            </w:rPr>
            <w:t xml:space="preserve">Analizar la compartición de espectro como estrategia para contribuir en la solución de la mayor demanda espectral para servicios móviles terrestres. </w:t>
          </w:r>
        </w:p>
      </w:sdtContent>
    </w:sdt>
    <w:p w14:paraId="6965914B" w14:textId="77777777" w:rsidR="0014509F" w:rsidRPr="00697377" w:rsidRDefault="0014509F" w:rsidP="00A170A9">
      <w:pPr>
        <w:spacing w:before="240"/>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Metodología</w:t>
      </w:r>
    </w:p>
    <w:p w14:paraId="7883D1DE" w14:textId="77777777" w:rsidR="0014509F" w:rsidRPr="004C25EF" w:rsidRDefault="0014509F" w:rsidP="00A170A9">
      <w:pPr>
        <w:pStyle w:val="estilo30"/>
        <w:spacing w:before="240" w:beforeAutospacing="0" w:after="240" w:afterAutospacing="0" w:line="276" w:lineRule="auto"/>
        <w:jc w:val="both"/>
        <w:rPr>
          <w:rFonts w:asciiTheme="majorHAnsi" w:hAnsiTheme="majorHAnsi"/>
          <w:sz w:val="28"/>
          <w:szCs w:val="28"/>
        </w:rPr>
      </w:pPr>
      <w:r w:rsidRPr="004C25EF">
        <w:rPr>
          <w:rFonts w:asciiTheme="majorHAnsi" w:hAnsiTheme="majorHAnsi"/>
          <w:sz w:val="28"/>
          <w:szCs w:val="28"/>
        </w:rPr>
        <w:t xml:space="preserve">Se llevará a cabo una investigación documental de los principios de operación de las principales estrategias de compartición de espectro recomendadas por las principales entidades regulatorias, así como las recomendaciones que al respecto se han hecho en diversos foros internacionales. </w:t>
      </w:r>
    </w:p>
    <w:p w14:paraId="741739DD" w14:textId="77777777" w:rsidR="0014509F" w:rsidRPr="004C25EF" w:rsidRDefault="0014509F" w:rsidP="00A170A9">
      <w:pPr>
        <w:pStyle w:val="estilo30"/>
        <w:spacing w:before="240" w:beforeAutospacing="0" w:after="240" w:afterAutospacing="0" w:line="276" w:lineRule="auto"/>
        <w:jc w:val="both"/>
        <w:rPr>
          <w:rFonts w:asciiTheme="majorHAnsi" w:hAnsiTheme="majorHAnsi"/>
          <w:sz w:val="28"/>
          <w:szCs w:val="28"/>
        </w:rPr>
      </w:pPr>
      <w:r w:rsidRPr="004C25EF">
        <w:rPr>
          <w:rFonts w:asciiTheme="majorHAnsi" w:hAnsiTheme="majorHAnsi"/>
          <w:sz w:val="28"/>
          <w:szCs w:val="28"/>
        </w:rPr>
        <w:lastRenderedPageBreak/>
        <w:t>Analizando las bandas por debajo de los 6 GHz</w:t>
      </w:r>
      <w:r>
        <w:rPr>
          <w:rFonts w:asciiTheme="majorHAnsi" w:hAnsiTheme="majorHAnsi"/>
          <w:sz w:val="28"/>
          <w:szCs w:val="28"/>
        </w:rPr>
        <w:t xml:space="preserve"> y las bandas 24 a 28 GHz,</w:t>
      </w:r>
      <w:r w:rsidRPr="004C25EF">
        <w:rPr>
          <w:rFonts w:asciiTheme="majorHAnsi" w:hAnsiTheme="majorHAnsi"/>
          <w:sz w:val="28"/>
          <w:szCs w:val="28"/>
        </w:rPr>
        <w:t xml:space="preserve"> se estimará el impacto y la factibilidad de la compartición de espectro, así como se analizarán las condiciones regulatorias existentes. </w:t>
      </w:r>
    </w:p>
    <w:p w14:paraId="3A13DC2E"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sidRPr="004C25EF">
        <w:rPr>
          <w:rFonts w:asciiTheme="majorHAnsi" w:hAnsiTheme="majorHAnsi"/>
          <w:sz w:val="28"/>
          <w:szCs w:val="28"/>
        </w:rPr>
        <w:t>Se presentarán los resultados de las estimaciones llevadas a cabo, evaluando el impacto del uso de</w:t>
      </w:r>
      <w:r>
        <w:rPr>
          <w:rFonts w:asciiTheme="majorHAnsi" w:hAnsiTheme="majorHAnsi"/>
          <w:sz w:val="28"/>
          <w:szCs w:val="28"/>
        </w:rPr>
        <w:t xml:space="preserve"> estrategias de este tipo en la </w:t>
      </w:r>
      <w:r w:rsidRPr="004C25EF">
        <w:rPr>
          <w:rFonts w:asciiTheme="majorHAnsi" w:hAnsiTheme="majorHAnsi"/>
          <w:sz w:val="28"/>
          <w:szCs w:val="28"/>
        </w:rPr>
        <w:t xml:space="preserve">gestión espectral. </w:t>
      </w:r>
    </w:p>
    <w:p w14:paraId="26F2A528" w14:textId="77777777" w:rsidR="0014509F" w:rsidRPr="00697377" w:rsidRDefault="0014509F" w:rsidP="0014509F">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Resultados esperados</w:t>
      </w:r>
    </w:p>
    <w:p w14:paraId="45B6BE35"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Pr>
          <w:rFonts w:asciiTheme="majorHAnsi" w:hAnsiTheme="majorHAnsi"/>
          <w:sz w:val="28"/>
          <w:szCs w:val="28"/>
        </w:rPr>
        <w:t xml:space="preserve">Se espera identificar las ventajas y principales recomendaciones respecto a las alternativas de compartición de espectro, estimando el posible impacto sobre la gestión espectral tradicional. </w:t>
      </w:r>
    </w:p>
    <w:p w14:paraId="0EABC675" w14:textId="77777777" w:rsidR="0014509F" w:rsidRPr="00697377" w:rsidRDefault="0014509F" w:rsidP="0014509F">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 xml:space="preserve">Utilidad del estudio para el Instituto </w:t>
      </w:r>
    </w:p>
    <w:p w14:paraId="6EE929C1" w14:textId="77777777" w:rsidR="0014509F" w:rsidRDefault="0014509F" w:rsidP="00A170A9">
      <w:pPr>
        <w:pStyle w:val="estilo30"/>
        <w:spacing w:before="240" w:beforeAutospacing="0" w:after="240" w:afterAutospacing="0" w:line="276" w:lineRule="auto"/>
        <w:jc w:val="both"/>
        <w:rPr>
          <w:rFonts w:asciiTheme="majorHAnsi" w:hAnsiTheme="majorHAnsi"/>
          <w:sz w:val="28"/>
          <w:szCs w:val="28"/>
        </w:rPr>
      </w:pPr>
      <w:r>
        <w:rPr>
          <w:rFonts w:asciiTheme="majorHAnsi" w:hAnsiTheme="majorHAnsi"/>
          <w:sz w:val="28"/>
          <w:szCs w:val="28"/>
        </w:rPr>
        <w:t xml:space="preserve">La estimación del posible impacto de las diferentes estrategias de compartición de espectro en la eficiencia del uso espectral, proporcionará al IFT un panorama de estas estrategias como un medio para complementar la gestión espectral. </w:t>
      </w:r>
    </w:p>
    <w:p w14:paraId="01F3B43F" w14:textId="77777777" w:rsidR="0014509F" w:rsidRPr="00697377" w:rsidRDefault="0014509F" w:rsidP="0014509F">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Cronograma</w:t>
      </w:r>
    </w:p>
    <w:tbl>
      <w:tblPr>
        <w:tblStyle w:val="Tablaconcuadrcula"/>
        <w:tblW w:w="0" w:type="auto"/>
        <w:tblLayout w:type="fixed"/>
        <w:tblLook w:val="04A0" w:firstRow="1" w:lastRow="0" w:firstColumn="1" w:lastColumn="0" w:noHBand="0" w:noVBand="1"/>
        <w:tblCaption w:val="Cronograma "/>
        <w:tblDescription w:val="Etapas del Estudio&#10;Revisión Bibliográfica. Fecha de Conclusión Julio&#10;Identificación de los principales estudios, experiencias internacionales y recomendaciones de entidades regulatorias. Fecha de Conclusión Agosto&#10;Análisis de las recomendaciones y consideración para la aplicación de la compartición de espectro.Fecha de Conclusión Octubre&#10;Presentación de primeros resultados y elaboración de borrador para posible publicación. Fecha de Conclusión Noviembre&#10;Presentación de resultados. Fecha de Conclusión Diciembre&#10;Envío a revisión para su posible publicación. Fecha de Conclusión En función de las publicaciones o congresos.&#10;"/>
      </w:tblPr>
      <w:tblGrid>
        <w:gridCol w:w="6799"/>
        <w:gridCol w:w="2552"/>
      </w:tblGrid>
      <w:tr w:rsidR="0014509F" w:rsidRPr="00697377" w14:paraId="1BD78C7B" w14:textId="77777777" w:rsidTr="00A170A9">
        <w:trPr>
          <w:tblHeader/>
        </w:trPr>
        <w:tc>
          <w:tcPr>
            <w:tcW w:w="6799" w:type="dxa"/>
          </w:tcPr>
          <w:p w14:paraId="7D569459" w14:textId="77777777" w:rsidR="0014509F" w:rsidRPr="00697377" w:rsidRDefault="0014509F" w:rsidP="00A170A9">
            <w:pPr>
              <w:spacing w:after="160" w:line="259" w:lineRule="auto"/>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Etapas del Estudio</w:t>
            </w:r>
          </w:p>
        </w:tc>
        <w:tc>
          <w:tcPr>
            <w:tcW w:w="2552" w:type="dxa"/>
          </w:tcPr>
          <w:p w14:paraId="7D8614C4" w14:textId="77777777" w:rsidR="0014509F" w:rsidRPr="00697377" w:rsidRDefault="0014509F" w:rsidP="00A170A9">
            <w:pPr>
              <w:spacing w:after="160" w:line="259" w:lineRule="auto"/>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Fecha de Conclusión</w:t>
            </w:r>
          </w:p>
        </w:tc>
      </w:tr>
      <w:tr w:rsidR="0014509F" w:rsidRPr="004C25EF" w14:paraId="64D33879" w14:textId="77777777" w:rsidTr="00A170A9">
        <w:tc>
          <w:tcPr>
            <w:tcW w:w="6799" w:type="dxa"/>
          </w:tcPr>
          <w:p w14:paraId="3735061A" w14:textId="77777777" w:rsidR="0014509F" w:rsidRPr="004C25EF" w:rsidRDefault="0014509F" w:rsidP="00A170A9">
            <w:pPr>
              <w:spacing w:after="160" w:line="259" w:lineRule="auto"/>
              <w:jc w:val="both"/>
              <w:rPr>
                <w:rFonts w:asciiTheme="majorHAnsi" w:hAnsiTheme="majorHAnsi"/>
                <w:color w:val="0070C0"/>
                <w:sz w:val="28"/>
                <w:szCs w:val="28"/>
              </w:rPr>
            </w:pPr>
            <w:r w:rsidRPr="004C25EF">
              <w:rPr>
                <w:rFonts w:asciiTheme="majorHAnsi" w:hAnsiTheme="majorHAnsi"/>
                <w:sz w:val="28"/>
                <w:szCs w:val="28"/>
              </w:rPr>
              <w:t>Revisión Bibliográfica</w:t>
            </w:r>
            <w:r>
              <w:rPr>
                <w:rFonts w:asciiTheme="majorHAnsi" w:hAnsiTheme="majorHAnsi"/>
                <w:sz w:val="28"/>
                <w:szCs w:val="28"/>
              </w:rPr>
              <w:t>.</w:t>
            </w:r>
          </w:p>
        </w:tc>
        <w:tc>
          <w:tcPr>
            <w:tcW w:w="2552" w:type="dxa"/>
          </w:tcPr>
          <w:p w14:paraId="0837EEDD" w14:textId="77777777" w:rsidR="0014509F" w:rsidRPr="004C25EF" w:rsidRDefault="0014509F" w:rsidP="00A170A9">
            <w:pPr>
              <w:spacing w:after="160" w:line="259" w:lineRule="auto"/>
              <w:jc w:val="both"/>
              <w:rPr>
                <w:rFonts w:asciiTheme="majorHAnsi" w:hAnsiTheme="majorHAnsi"/>
                <w:color w:val="0070C0"/>
                <w:sz w:val="28"/>
                <w:szCs w:val="28"/>
              </w:rPr>
            </w:pPr>
            <w:r w:rsidRPr="004C25EF">
              <w:rPr>
                <w:rFonts w:asciiTheme="majorHAnsi" w:hAnsiTheme="majorHAnsi"/>
                <w:sz w:val="28"/>
                <w:szCs w:val="28"/>
              </w:rPr>
              <w:t>Julio</w:t>
            </w:r>
          </w:p>
        </w:tc>
      </w:tr>
      <w:tr w:rsidR="0014509F" w:rsidRPr="004C25EF" w14:paraId="0747110C" w14:textId="77777777" w:rsidTr="00A170A9">
        <w:tc>
          <w:tcPr>
            <w:tcW w:w="6799" w:type="dxa"/>
          </w:tcPr>
          <w:p w14:paraId="162A6FE6" w14:textId="77777777" w:rsidR="0014509F" w:rsidRPr="004C25EF" w:rsidRDefault="0014509F" w:rsidP="00A170A9">
            <w:pPr>
              <w:spacing w:after="100" w:afterAutospacing="1"/>
              <w:jc w:val="both"/>
              <w:rPr>
                <w:rFonts w:asciiTheme="majorHAnsi" w:hAnsiTheme="majorHAnsi"/>
                <w:color w:val="0070C0"/>
                <w:sz w:val="28"/>
                <w:szCs w:val="28"/>
              </w:rPr>
            </w:pPr>
            <w:r w:rsidRPr="004C25EF">
              <w:rPr>
                <w:rFonts w:asciiTheme="majorHAnsi" w:hAnsiTheme="majorHAnsi"/>
                <w:sz w:val="28"/>
                <w:szCs w:val="28"/>
              </w:rPr>
              <w:t>Identificación de los principales estudios, experiencias internacionales y recomendaciones de entidades regulatorias.</w:t>
            </w:r>
          </w:p>
        </w:tc>
        <w:tc>
          <w:tcPr>
            <w:tcW w:w="2552" w:type="dxa"/>
          </w:tcPr>
          <w:p w14:paraId="75137A48" w14:textId="77777777" w:rsidR="0014509F" w:rsidRPr="004C25EF" w:rsidRDefault="0014509F" w:rsidP="00A170A9">
            <w:pPr>
              <w:spacing w:after="100" w:afterAutospacing="1"/>
              <w:jc w:val="both"/>
              <w:rPr>
                <w:rFonts w:asciiTheme="majorHAnsi" w:hAnsiTheme="majorHAnsi"/>
                <w:color w:val="0070C0"/>
                <w:sz w:val="28"/>
                <w:szCs w:val="28"/>
              </w:rPr>
            </w:pPr>
            <w:r w:rsidRPr="004C25EF">
              <w:rPr>
                <w:rFonts w:asciiTheme="majorHAnsi" w:hAnsiTheme="majorHAnsi"/>
                <w:sz w:val="28"/>
                <w:szCs w:val="28"/>
              </w:rPr>
              <w:t>Agosto</w:t>
            </w:r>
          </w:p>
        </w:tc>
      </w:tr>
      <w:tr w:rsidR="0014509F" w:rsidRPr="004C25EF" w14:paraId="46895AC7" w14:textId="77777777" w:rsidTr="00A170A9">
        <w:trPr>
          <w:trHeight w:val="858"/>
        </w:trPr>
        <w:tc>
          <w:tcPr>
            <w:tcW w:w="6799" w:type="dxa"/>
          </w:tcPr>
          <w:p w14:paraId="4C65BA9F" w14:textId="77777777" w:rsidR="0014509F" w:rsidRPr="004C25EF" w:rsidRDefault="0014509F" w:rsidP="00A170A9">
            <w:pPr>
              <w:spacing w:after="100" w:afterAutospacing="1"/>
              <w:jc w:val="both"/>
              <w:rPr>
                <w:rFonts w:asciiTheme="majorHAnsi" w:hAnsiTheme="majorHAnsi"/>
                <w:color w:val="0070C0"/>
                <w:sz w:val="28"/>
                <w:szCs w:val="28"/>
              </w:rPr>
            </w:pPr>
            <w:r w:rsidRPr="004C25EF">
              <w:rPr>
                <w:rFonts w:asciiTheme="majorHAnsi" w:hAnsiTheme="majorHAnsi"/>
                <w:sz w:val="28"/>
                <w:szCs w:val="28"/>
              </w:rPr>
              <w:t>Análisis de las recomendaciones y consideración para la aplicación de la compartición de espectro.</w:t>
            </w:r>
          </w:p>
        </w:tc>
        <w:tc>
          <w:tcPr>
            <w:tcW w:w="2552" w:type="dxa"/>
          </w:tcPr>
          <w:p w14:paraId="75B5479D" w14:textId="77777777" w:rsidR="0014509F" w:rsidRPr="004C25EF" w:rsidRDefault="0014509F" w:rsidP="00A170A9">
            <w:pPr>
              <w:spacing w:after="100" w:afterAutospacing="1"/>
              <w:jc w:val="both"/>
              <w:rPr>
                <w:rFonts w:asciiTheme="majorHAnsi" w:hAnsiTheme="majorHAnsi"/>
                <w:color w:val="0070C0"/>
                <w:sz w:val="28"/>
                <w:szCs w:val="28"/>
              </w:rPr>
            </w:pPr>
            <w:r>
              <w:rPr>
                <w:rFonts w:asciiTheme="majorHAnsi" w:hAnsiTheme="majorHAnsi"/>
                <w:sz w:val="28"/>
                <w:szCs w:val="28"/>
              </w:rPr>
              <w:t>O</w:t>
            </w:r>
            <w:r w:rsidRPr="004C25EF">
              <w:rPr>
                <w:rFonts w:asciiTheme="majorHAnsi" w:hAnsiTheme="majorHAnsi"/>
                <w:sz w:val="28"/>
                <w:szCs w:val="28"/>
              </w:rPr>
              <w:t>ctubre</w:t>
            </w:r>
          </w:p>
        </w:tc>
      </w:tr>
      <w:tr w:rsidR="0014509F" w:rsidRPr="004C25EF" w14:paraId="09A49FCD" w14:textId="77777777" w:rsidTr="00A170A9">
        <w:tc>
          <w:tcPr>
            <w:tcW w:w="6799" w:type="dxa"/>
          </w:tcPr>
          <w:p w14:paraId="1E6C712B" w14:textId="77777777" w:rsidR="0014509F" w:rsidRPr="004C25EF" w:rsidRDefault="0014509F" w:rsidP="00A170A9">
            <w:pPr>
              <w:spacing w:after="100" w:afterAutospacing="1"/>
              <w:jc w:val="both"/>
              <w:rPr>
                <w:rFonts w:asciiTheme="majorHAnsi" w:hAnsiTheme="majorHAnsi"/>
                <w:color w:val="0070C0"/>
                <w:sz w:val="28"/>
                <w:szCs w:val="28"/>
              </w:rPr>
            </w:pPr>
            <w:r w:rsidRPr="004C25EF">
              <w:rPr>
                <w:rFonts w:asciiTheme="majorHAnsi" w:hAnsiTheme="majorHAnsi"/>
                <w:sz w:val="28"/>
                <w:szCs w:val="28"/>
              </w:rPr>
              <w:t>Presentación de primeros resultados y elaboración de borrador para posible publicación</w:t>
            </w:r>
            <w:r>
              <w:rPr>
                <w:rFonts w:asciiTheme="majorHAnsi" w:hAnsiTheme="majorHAnsi"/>
                <w:sz w:val="28"/>
                <w:szCs w:val="28"/>
              </w:rPr>
              <w:t>.</w:t>
            </w:r>
          </w:p>
        </w:tc>
        <w:tc>
          <w:tcPr>
            <w:tcW w:w="2552" w:type="dxa"/>
          </w:tcPr>
          <w:p w14:paraId="413E2F2D" w14:textId="77777777" w:rsidR="0014509F" w:rsidRPr="004C25EF" w:rsidRDefault="0014509F" w:rsidP="00A170A9">
            <w:pPr>
              <w:spacing w:after="100" w:afterAutospacing="1"/>
              <w:jc w:val="both"/>
              <w:rPr>
                <w:rFonts w:asciiTheme="majorHAnsi" w:hAnsiTheme="majorHAnsi"/>
                <w:color w:val="0070C0"/>
                <w:sz w:val="28"/>
                <w:szCs w:val="28"/>
              </w:rPr>
            </w:pPr>
            <w:r w:rsidRPr="004C25EF">
              <w:rPr>
                <w:rFonts w:asciiTheme="majorHAnsi" w:hAnsiTheme="majorHAnsi"/>
                <w:sz w:val="28"/>
                <w:szCs w:val="28"/>
              </w:rPr>
              <w:t>Noviembre</w:t>
            </w:r>
          </w:p>
        </w:tc>
      </w:tr>
      <w:tr w:rsidR="0014509F" w:rsidRPr="004C25EF" w14:paraId="0F6274B8" w14:textId="77777777" w:rsidTr="00A170A9">
        <w:tc>
          <w:tcPr>
            <w:tcW w:w="6799" w:type="dxa"/>
          </w:tcPr>
          <w:p w14:paraId="0B9335C5" w14:textId="77777777" w:rsidR="0014509F" w:rsidRPr="004C25EF" w:rsidRDefault="0014509F" w:rsidP="00A170A9">
            <w:pPr>
              <w:spacing w:after="100" w:afterAutospacing="1"/>
              <w:jc w:val="both"/>
              <w:rPr>
                <w:rFonts w:asciiTheme="majorHAnsi" w:hAnsiTheme="majorHAnsi"/>
                <w:sz w:val="28"/>
                <w:szCs w:val="28"/>
              </w:rPr>
            </w:pPr>
            <w:r w:rsidRPr="004C25EF">
              <w:rPr>
                <w:rFonts w:asciiTheme="majorHAnsi" w:hAnsiTheme="majorHAnsi"/>
                <w:sz w:val="28"/>
                <w:szCs w:val="28"/>
              </w:rPr>
              <w:t>Presentación de resultados</w:t>
            </w:r>
            <w:r>
              <w:rPr>
                <w:rFonts w:asciiTheme="majorHAnsi" w:hAnsiTheme="majorHAnsi"/>
                <w:sz w:val="28"/>
                <w:szCs w:val="28"/>
              </w:rPr>
              <w:t>.</w:t>
            </w:r>
          </w:p>
        </w:tc>
        <w:tc>
          <w:tcPr>
            <w:tcW w:w="2552" w:type="dxa"/>
          </w:tcPr>
          <w:p w14:paraId="2982862F" w14:textId="77777777" w:rsidR="0014509F" w:rsidRPr="004C25EF" w:rsidRDefault="0014509F" w:rsidP="00A170A9">
            <w:pPr>
              <w:spacing w:after="100" w:afterAutospacing="1"/>
              <w:jc w:val="both"/>
              <w:rPr>
                <w:rFonts w:asciiTheme="majorHAnsi" w:hAnsiTheme="majorHAnsi"/>
                <w:sz w:val="28"/>
                <w:szCs w:val="28"/>
              </w:rPr>
            </w:pPr>
            <w:r>
              <w:rPr>
                <w:rFonts w:asciiTheme="majorHAnsi" w:hAnsiTheme="majorHAnsi"/>
                <w:sz w:val="28"/>
                <w:szCs w:val="28"/>
              </w:rPr>
              <w:t>Diciembre</w:t>
            </w:r>
          </w:p>
        </w:tc>
      </w:tr>
      <w:tr w:rsidR="0014509F" w:rsidRPr="004C25EF" w14:paraId="039CA876" w14:textId="77777777" w:rsidTr="00A170A9">
        <w:tc>
          <w:tcPr>
            <w:tcW w:w="6799" w:type="dxa"/>
          </w:tcPr>
          <w:p w14:paraId="4F2480CC" w14:textId="77777777" w:rsidR="0014509F" w:rsidRPr="004C25EF" w:rsidRDefault="0014509F" w:rsidP="00A170A9">
            <w:pPr>
              <w:spacing w:after="100" w:afterAutospacing="1"/>
              <w:jc w:val="both"/>
              <w:rPr>
                <w:rFonts w:asciiTheme="majorHAnsi" w:hAnsiTheme="majorHAnsi"/>
                <w:color w:val="0070C0"/>
                <w:sz w:val="28"/>
                <w:szCs w:val="28"/>
              </w:rPr>
            </w:pPr>
            <w:r w:rsidRPr="004C25EF">
              <w:rPr>
                <w:rFonts w:asciiTheme="majorHAnsi" w:hAnsiTheme="majorHAnsi"/>
                <w:sz w:val="28"/>
                <w:szCs w:val="28"/>
              </w:rPr>
              <w:t>Envío a revisión para su posible publicación</w:t>
            </w:r>
            <w:r>
              <w:rPr>
                <w:rFonts w:asciiTheme="majorHAnsi" w:hAnsiTheme="majorHAnsi"/>
                <w:sz w:val="28"/>
                <w:szCs w:val="28"/>
              </w:rPr>
              <w:t>.</w:t>
            </w:r>
          </w:p>
        </w:tc>
        <w:tc>
          <w:tcPr>
            <w:tcW w:w="2552" w:type="dxa"/>
          </w:tcPr>
          <w:p w14:paraId="466DF6AA" w14:textId="77777777" w:rsidR="0014509F" w:rsidRPr="004C25EF" w:rsidRDefault="0014509F" w:rsidP="00A170A9">
            <w:pPr>
              <w:spacing w:after="100" w:afterAutospacing="1"/>
              <w:jc w:val="both"/>
              <w:rPr>
                <w:rFonts w:asciiTheme="majorHAnsi" w:hAnsiTheme="majorHAnsi"/>
                <w:color w:val="0070C0"/>
                <w:sz w:val="28"/>
                <w:szCs w:val="28"/>
              </w:rPr>
            </w:pPr>
            <w:r>
              <w:rPr>
                <w:rFonts w:asciiTheme="majorHAnsi" w:hAnsiTheme="majorHAnsi"/>
                <w:sz w:val="28"/>
                <w:szCs w:val="28"/>
              </w:rPr>
              <w:t>E</w:t>
            </w:r>
            <w:r w:rsidRPr="004C25EF">
              <w:rPr>
                <w:rFonts w:asciiTheme="majorHAnsi" w:hAnsiTheme="majorHAnsi"/>
                <w:sz w:val="28"/>
                <w:szCs w:val="28"/>
              </w:rPr>
              <w:t>n función de las publicaciones</w:t>
            </w:r>
            <w:r>
              <w:rPr>
                <w:rFonts w:asciiTheme="majorHAnsi" w:hAnsiTheme="majorHAnsi"/>
                <w:sz w:val="28"/>
                <w:szCs w:val="28"/>
              </w:rPr>
              <w:t xml:space="preserve"> o </w:t>
            </w:r>
            <w:r w:rsidRPr="004C25EF">
              <w:rPr>
                <w:rFonts w:asciiTheme="majorHAnsi" w:hAnsiTheme="majorHAnsi"/>
                <w:sz w:val="28"/>
                <w:szCs w:val="28"/>
              </w:rPr>
              <w:t>congresos</w:t>
            </w:r>
          </w:p>
        </w:tc>
      </w:tr>
    </w:tbl>
    <w:p w14:paraId="4B927C57" w14:textId="77777777" w:rsidR="0014509F" w:rsidRDefault="0014509F" w:rsidP="0014509F">
      <w:pPr>
        <w:jc w:val="both"/>
        <w:rPr>
          <w:rFonts w:asciiTheme="majorHAnsi" w:hAnsiTheme="majorHAnsi"/>
          <w:sz w:val="28"/>
          <w:szCs w:val="28"/>
        </w:rPr>
      </w:pPr>
      <w:r>
        <w:rPr>
          <w:rFonts w:asciiTheme="majorHAnsi" w:hAnsiTheme="majorHAnsi"/>
          <w:sz w:val="28"/>
          <w:szCs w:val="28"/>
        </w:rPr>
        <w:br w:type="page"/>
      </w:r>
    </w:p>
    <w:sdt>
      <w:sdtPr>
        <w:rPr>
          <w:rFonts w:asciiTheme="majorHAnsi" w:hAnsiTheme="majorHAnsi" w:cstheme="majorHAnsi"/>
          <w:color w:val="7B7B7B" w:themeColor="accent3" w:themeShade="BF"/>
          <w:sz w:val="28"/>
          <w:szCs w:val="28"/>
        </w:rPr>
        <w:alias w:val="Nombre del Proyecto"/>
        <w:tag w:val="Nombre_x0020_del_x0020_Proyecto"/>
        <w:id w:val="-923642552"/>
        <w:placeholder>
          <w:docPart w:val="2D0211D705E54FB58E1345845CF6E494"/>
        </w:placeholder>
        <w:dataBinding w:prefixMappings="xmlns:ns0='http://schemas.microsoft.com/office/2006/metadata/properties' xmlns:ns1='http://www.w3.org/2001/XMLSchema-instance' xmlns:ns2='http://schemas.microsoft.com/office/infopath/2007/PartnerControls' xmlns:ns3='293807b6-12d3-42cc-a250-7bb708d556b9' " w:xpath="/ns0:properties[1]/documentManagement[1]/ns3:Nombre_x0020_del_x0020_Proyecto[1]" w:storeItemID="{D43C7FE1-1104-4286-B957-32265D6B0D08}"/>
        <w:text/>
      </w:sdtPr>
      <w:sdtContent>
        <w:p w14:paraId="4DB902DA" w14:textId="77777777" w:rsidR="0014509F" w:rsidRDefault="0014509F" w:rsidP="0014509F">
          <w:pPr>
            <w:keepNext/>
            <w:spacing w:after="100" w:afterAutospacing="1"/>
            <w:jc w:val="both"/>
            <w:rPr>
              <w:rFonts w:asciiTheme="majorHAnsi" w:hAnsiTheme="majorHAnsi" w:cstheme="majorHAnsi"/>
              <w:color w:val="7B7B7B" w:themeColor="accent3" w:themeShade="BF"/>
              <w:sz w:val="28"/>
              <w:szCs w:val="28"/>
            </w:rPr>
          </w:pPr>
          <w:r>
            <w:rPr>
              <w:rFonts w:asciiTheme="majorHAnsi" w:hAnsiTheme="majorHAnsi" w:cstheme="majorHAnsi"/>
              <w:color w:val="7B7B7B" w:themeColor="accent3" w:themeShade="BF"/>
              <w:sz w:val="28"/>
              <w:szCs w:val="28"/>
            </w:rPr>
            <w:t>Políticas y regulación para la explotación legítima de los datos y la privacidad</w:t>
          </w:r>
        </w:p>
      </w:sdtContent>
    </w:sdt>
    <w:p w14:paraId="4DAF3897" w14:textId="77777777" w:rsidR="0014509F" w:rsidRDefault="0014509F" w:rsidP="0014509F">
      <w:pPr>
        <w:keepNext/>
        <w:spacing w:after="100" w:afterAutospacing="1"/>
        <w:jc w:val="both"/>
        <w:rPr>
          <w:rFonts w:asciiTheme="majorHAnsi" w:hAnsiTheme="majorHAnsi" w:cstheme="majorHAnsi"/>
          <w:color w:val="7B7B7B" w:themeColor="accent3" w:themeShade="BF"/>
          <w:sz w:val="28"/>
          <w:szCs w:val="28"/>
        </w:rPr>
      </w:pPr>
      <w:r w:rsidRPr="000A49E9">
        <w:rPr>
          <w:rFonts w:asciiTheme="majorHAnsi" w:hAnsiTheme="majorHAnsi" w:cstheme="majorHAnsi"/>
          <w:color w:val="7B7B7B" w:themeColor="accent3" w:themeShade="BF"/>
          <w:sz w:val="28"/>
          <w:szCs w:val="28"/>
        </w:rPr>
        <w:t xml:space="preserve">Dr. Oscar </w:t>
      </w:r>
      <w:proofErr w:type="spellStart"/>
      <w:r w:rsidRPr="000A49E9">
        <w:rPr>
          <w:rFonts w:asciiTheme="majorHAnsi" w:hAnsiTheme="majorHAnsi" w:cstheme="majorHAnsi"/>
          <w:color w:val="7B7B7B" w:themeColor="accent3" w:themeShade="BF"/>
          <w:sz w:val="28"/>
          <w:szCs w:val="28"/>
        </w:rPr>
        <w:t>Saenz</w:t>
      </w:r>
      <w:proofErr w:type="spellEnd"/>
      <w:r w:rsidRPr="000A49E9">
        <w:rPr>
          <w:rFonts w:asciiTheme="majorHAnsi" w:hAnsiTheme="majorHAnsi" w:cstheme="majorHAnsi"/>
          <w:color w:val="7B7B7B" w:themeColor="accent3" w:themeShade="BF"/>
          <w:sz w:val="28"/>
          <w:szCs w:val="28"/>
        </w:rPr>
        <w:t xml:space="preserve"> de Miera </w:t>
      </w:r>
      <w:proofErr w:type="spellStart"/>
      <w:r w:rsidRPr="000A49E9">
        <w:rPr>
          <w:rFonts w:asciiTheme="majorHAnsi" w:hAnsiTheme="majorHAnsi" w:cstheme="majorHAnsi"/>
          <w:color w:val="7B7B7B" w:themeColor="accent3" w:themeShade="BF"/>
          <w:sz w:val="28"/>
          <w:szCs w:val="28"/>
        </w:rPr>
        <w:t>Berglind</w:t>
      </w:r>
      <w:proofErr w:type="spellEnd"/>
      <w:r w:rsidRPr="000A49E9">
        <w:rPr>
          <w:rStyle w:val="Refdenotaalpie"/>
          <w:rFonts w:asciiTheme="majorHAnsi" w:hAnsiTheme="majorHAnsi" w:cstheme="majorHAnsi"/>
          <w:color w:val="7B7B7B" w:themeColor="accent3" w:themeShade="BF"/>
          <w:sz w:val="28"/>
          <w:szCs w:val="28"/>
        </w:rPr>
        <w:footnoteReference w:id="21"/>
      </w:r>
    </w:p>
    <w:p w14:paraId="561AD910" w14:textId="77777777" w:rsidR="0014509F" w:rsidRPr="00697377" w:rsidRDefault="0014509F" w:rsidP="0014509F">
      <w:pPr>
        <w:keepNext/>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Introducción</w:t>
      </w:r>
    </w:p>
    <w:p w14:paraId="5F061D57" w14:textId="77777777" w:rsidR="0014509F" w:rsidRPr="007C4722" w:rsidRDefault="0014509F" w:rsidP="00A170A9">
      <w:pPr>
        <w:pStyle w:val="estilo30"/>
        <w:spacing w:before="240" w:beforeAutospacing="0" w:after="240" w:afterAutospacing="0" w:line="276" w:lineRule="auto"/>
        <w:jc w:val="both"/>
        <w:rPr>
          <w:rFonts w:asciiTheme="majorHAnsi" w:hAnsiTheme="majorHAnsi" w:cstheme="majorHAnsi"/>
          <w:sz w:val="28"/>
          <w:szCs w:val="28"/>
        </w:rPr>
      </w:pPr>
      <w:r>
        <w:rPr>
          <w:rFonts w:asciiTheme="majorHAnsi" w:hAnsiTheme="majorHAnsi" w:cstheme="majorHAnsi"/>
          <w:sz w:val="28"/>
          <w:szCs w:val="28"/>
        </w:rPr>
        <w:t xml:space="preserve">En la actualidad </w:t>
      </w:r>
      <w:r w:rsidRPr="007C4722">
        <w:rPr>
          <w:rFonts w:asciiTheme="majorHAnsi" w:hAnsiTheme="majorHAnsi" w:cstheme="majorHAnsi"/>
          <w:sz w:val="28"/>
          <w:szCs w:val="28"/>
        </w:rPr>
        <w:t xml:space="preserve">los datos personales se han convertido en la moneda de cambio para tener </w:t>
      </w:r>
      <w:r>
        <w:rPr>
          <w:rFonts w:asciiTheme="majorHAnsi" w:hAnsiTheme="majorHAnsi" w:cstheme="majorHAnsi"/>
          <w:sz w:val="28"/>
          <w:szCs w:val="28"/>
        </w:rPr>
        <w:t xml:space="preserve">acceso “gratuito” a </w:t>
      </w:r>
      <w:r w:rsidRPr="007C4722">
        <w:rPr>
          <w:rFonts w:asciiTheme="majorHAnsi" w:hAnsiTheme="majorHAnsi" w:cstheme="majorHAnsi"/>
          <w:sz w:val="28"/>
          <w:szCs w:val="28"/>
        </w:rPr>
        <w:t xml:space="preserve">aplicaciones </w:t>
      </w:r>
      <w:r>
        <w:rPr>
          <w:rFonts w:asciiTheme="majorHAnsi" w:hAnsiTheme="majorHAnsi" w:cstheme="majorHAnsi"/>
          <w:sz w:val="28"/>
          <w:szCs w:val="28"/>
        </w:rPr>
        <w:t>populares</w:t>
      </w:r>
      <w:r w:rsidRPr="007C4722">
        <w:rPr>
          <w:rFonts w:asciiTheme="majorHAnsi" w:hAnsiTheme="majorHAnsi" w:cstheme="majorHAnsi"/>
          <w:sz w:val="28"/>
          <w:szCs w:val="28"/>
        </w:rPr>
        <w:t>.</w:t>
      </w:r>
      <w:r>
        <w:rPr>
          <w:rFonts w:asciiTheme="majorHAnsi" w:hAnsiTheme="majorHAnsi" w:cstheme="majorHAnsi"/>
          <w:sz w:val="28"/>
          <w:szCs w:val="28"/>
        </w:rPr>
        <w:t xml:space="preserve"> En este esquema, l</w:t>
      </w:r>
      <w:r w:rsidRPr="007C4722">
        <w:rPr>
          <w:rFonts w:asciiTheme="majorHAnsi" w:hAnsiTheme="majorHAnsi" w:cstheme="majorHAnsi"/>
          <w:sz w:val="28"/>
          <w:szCs w:val="28"/>
        </w:rPr>
        <w:t xml:space="preserve">as “súper plataformas” </w:t>
      </w:r>
      <w:r>
        <w:rPr>
          <w:rFonts w:asciiTheme="majorHAnsi" w:hAnsiTheme="majorHAnsi" w:cstheme="majorHAnsi"/>
          <w:sz w:val="28"/>
          <w:szCs w:val="28"/>
        </w:rPr>
        <w:t>que ofrecen dichos servicios y que son</w:t>
      </w:r>
      <w:r w:rsidRPr="007C4722">
        <w:rPr>
          <w:rFonts w:asciiTheme="majorHAnsi" w:hAnsiTheme="majorHAnsi" w:cstheme="majorHAnsi"/>
          <w:sz w:val="28"/>
          <w:szCs w:val="28"/>
        </w:rPr>
        <w:t xml:space="preserve"> intensivas en el uso de los datos</w:t>
      </w:r>
      <w:r>
        <w:rPr>
          <w:rFonts w:asciiTheme="majorHAnsi" w:hAnsiTheme="majorHAnsi" w:cstheme="majorHAnsi"/>
          <w:sz w:val="28"/>
          <w:szCs w:val="28"/>
        </w:rPr>
        <w:t xml:space="preserve">, </w:t>
      </w:r>
      <w:r w:rsidRPr="007C4722">
        <w:rPr>
          <w:rFonts w:asciiTheme="majorHAnsi" w:hAnsiTheme="majorHAnsi" w:cstheme="majorHAnsi"/>
          <w:sz w:val="28"/>
          <w:szCs w:val="28"/>
        </w:rPr>
        <w:t xml:space="preserve">utilizan </w:t>
      </w:r>
      <w:r>
        <w:rPr>
          <w:rFonts w:asciiTheme="majorHAnsi" w:hAnsiTheme="majorHAnsi" w:cstheme="majorHAnsi"/>
          <w:sz w:val="28"/>
          <w:szCs w:val="28"/>
        </w:rPr>
        <w:t xml:space="preserve">sofisticados </w:t>
      </w:r>
      <w:r w:rsidRPr="007C4722">
        <w:rPr>
          <w:rFonts w:asciiTheme="majorHAnsi" w:hAnsiTheme="majorHAnsi" w:cstheme="majorHAnsi"/>
          <w:sz w:val="28"/>
          <w:szCs w:val="28"/>
        </w:rPr>
        <w:t>algoritmos computacionales para obtener, procesar e interpretar los datos de persona</w:t>
      </w:r>
      <w:r>
        <w:rPr>
          <w:rFonts w:asciiTheme="majorHAnsi" w:hAnsiTheme="majorHAnsi" w:cstheme="majorHAnsi"/>
          <w:sz w:val="28"/>
          <w:szCs w:val="28"/>
        </w:rPr>
        <w:t>s</w:t>
      </w:r>
      <w:r w:rsidRPr="007C4722">
        <w:rPr>
          <w:rFonts w:asciiTheme="majorHAnsi" w:hAnsiTheme="majorHAnsi" w:cstheme="majorHAnsi"/>
          <w:sz w:val="28"/>
          <w:szCs w:val="28"/>
        </w:rPr>
        <w:t xml:space="preserve"> </w:t>
      </w:r>
      <w:r>
        <w:rPr>
          <w:rFonts w:asciiTheme="majorHAnsi" w:hAnsiTheme="majorHAnsi" w:cstheme="majorHAnsi"/>
          <w:sz w:val="28"/>
          <w:szCs w:val="28"/>
        </w:rPr>
        <w:t>y</w:t>
      </w:r>
      <w:r w:rsidRPr="007C4722">
        <w:rPr>
          <w:rFonts w:asciiTheme="majorHAnsi" w:hAnsiTheme="majorHAnsi" w:cstheme="majorHAnsi"/>
          <w:sz w:val="28"/>
          <w:szCs w:val="28"/>
        </w:rPr>
        <w:t xml:space="preserve"> empresa</w:t>
      </w:r>
      <w:r>
        <w:rPr>
          <w:rFonts w:asciiTheme="majorHAnsi" w:hAnsiTheme="majorHAnsi" w:cstheme="majorHAnsi"/>
          <w:sz w:val="28"/>
          <w:szCs w:val="28"/>
        </w:rPr>
        <w:t>s,</w:t>
      </w:r>
      <w:r w:rsidRPr="007C4722">
        <w:rPr>
          <w:rFonts w:asciiTheme="majorHAnsi" w:hAnsiTheme="majorHAnsi" w:cstheme="majorHAnsi"/>
          <w:sz w:val="28"/>
          <w:szCs w:val="28"/>
        </w:rPr>
        <w:t xml:space="preserve"> y generar valor con los mismos. Por ejemplo, Google Sho</w:t>
      </w:r>
      <w:r>
        <w:rPr>
          <w:rFonts w:asciiTheme="majorHAnsi" w:hAnsiTheme="majorHAnsi" w:cstheme="majorHAnsi"/>
          <w:sz w:val="28"/>
          <w:szCs w:val="28"/>
        </w:rPr>
        <w:t>p</w:t>
      </w:r>
      <w:r w:rsidRPr="007C4722">
        <w:rPr>
          <w:rFonts w:asciiTheme="majorHAnsi" w:hAnsiTheme="majorHAnsi" w:cstheme="majorHAnsi"/>
          <w:sz w:val="28"/>
          <w:szCs w:val="28"/>
        </w:rPr>
        <w:t>ping actualiza 15 millones de precios en promedio cada hora para garantizar a sus usuarios el mejor precio y vender grandes volúmenes.</w:t>
      </w:r>
      <w:r>
        <w:rPr>
          <w:rFonts w:asciiTheme="majorHAnsi" w:hAnsiTheme="majorHAnsi" w:cstheme="majorHAnsi"/>
          <w:sz w:val="28"/>
          <w:szCs w:val="28"/>
        </w:rPr>
        <w:t xml:space="preserve"> Además, el </w:t>
      </w:r>
      <w:r w:rsidRPr="00A170A9">
        <w:rPr>
          <w:rFonts w:asciiTheme="majorHAnsi" w:hAnsiTheme="majorHAnsi"/>
          <w:sz w:val="28"/>
          <w:szCs w:val="28"/>
        </w:rPr>
        <w:t>tratamiento</w:t>
      </w:r>
      <w:r>
        <w:rPr>
          <w:rFonts w:asciiTheme="majorHAnsi" w:hAnsiTheme="majorHAnsi" w:cstheme="majorHAnsi"/>
          <w:sz w:val="28"/>
          <w:szCs w:val="28"/>
        </w:rPr>
        <w:t xml:space="preserve"> que actualmente se da</w:t>
      </w:r>
      <w:r w:rsidRPr="007C4722">
        <w:rPr>
          <w:rFonts w:asciiTheme="majorHAnsi" w:hAnsiTheme="majorHAnsi" w:cstheme="majorHAnsi"/>
          <w:sz w:val="28"/>
          <w:szCs w:val="28"/>
        </w:rPr>
        <w:t xml:space="preserve"> </w:t>
      </w:r>
      <w:r>
        <w:rPr>
          <w:rFonts w:asciiTheme="majorHAnsi" w:hAnsiTheme="majorHAnsi" w:cstheme="majorHAnsi"/>
          <w:sz w:val="28"/>
          <w:szCs w:val="28"/>
        </w:rPr>
        <w:t>a los</w:t>
      </w:r>
      <w:r w:rsidRPr="007C4722">
        <w:rPr>
          <w:rFonts w:asciiTheme="majorHAnsi" w:hAnsiTheme="majorHAnsi" w:cstheme="majorHAnsi"/>
          <w:sz w:val="28"/>
          <w:szCs w:val="28"/>
        </w:rPr>
        <w:t xml:space="preserve"> datos</w:t>
      </w:r>
      <w:r>
        <w:rPr>
          <w:rFonts w:asciiTheme="majorHAnsi" w:hAnsiTheme="majorHAnsi" w:cstheme="majorHAnsi"/>
          <w:sz w:val="28"/>
          <w:szCs w:val="28"/>
        </w:rPr>
        <w:t>, así como</w:t>
      </w:r>
      <w:r w:rsidRPr="007C4722">
        <w:rPr>
          <w:rFonts w:asciiTheme="majorHAnsi" w:hAnsiTheme="majorHAnsi" w:cstheme="majorHAnsi"/>
          <w:sz w:val="28"/>
          <w:szCs w:val="28"/>
        </w:rPr>
        <w:t xml:space="preserve"> la capacidad de almacenamiento de los mismos han transformado a las grandes plataformas en silos ind</w:t>
      </w:r>
      <w:r>
        <w:rPr>
          <w:rFonts w:asciiTheme="majorHAnsi" w:hAnsiTheme="majorHAnsi" w:cstheme="majorHAnsi"/>
          <w:sz w:val="28"/>
          <w:szCs w:val="28"/>
        </w:rPr>
        <w:t xml:space="preserve">ependientes de datos, ya que empresas como </w:t>
      </w:r>
      <w:r w:rsidRPr="007C4722">
        <w:rPr>
          <w:rFonts w:asciiTheme="majorHAnsi" w:hAnsiTheme="majorHAnsi" w:cstheme="majorHAnsi"/>
          <w:sz w:val="28"/>
          <w:szCs w:val="28"/>
        </w:rPr>
        <w:t xml:space="preserve">Google y Facebook poseen aproximadamente </w:t>
      </w:r>
      <w:r>
        <w:rPr>
          <w:rFonts w:asciiTheme="majorHAnsi" w:hAnsiTheme="majorHAnsi" w:cstheme="majorHAnsi"/>
          <w:sz w:val="28"/>
          <w:szCs w:val="28"/>
        </w:rPr>
        <w:t xml:space="preserve">una gran proporción </w:t>
      </w:r>
      <w:r w:rsidRPr="007C4722">
        <w:rPr>
          <w:rFonts w:asciiTheme="majorHAnsi" w:hAnsiTheme="majorHAnsi" w:cstheme="majorHAnsi"/>
          <w:sz w:val="28"/>
          <w:szCs w:val="28"/>
        </w:rPr>
        <w:t>de los datos personales disponibles en Internet</w:t>
      </w:r>
      <w:r>
        <w:rPr>
          <w:rStyle w:val="Refdenotaalpie"/>
          <w:rFonts w:asciiTheme="majorHAnsi" w:hAnsiTheme="majorHAnsi" w:cstheme="majorHAnsi"/>
          <w:sz w:val="28"/>
          <w:szCs w:val="28"/>
        </w:rPr>
        <w:footnoteReference w:id="22"/>
      </w:r>
      <w:r w:rsidRPr="007C4722">
        <w:rPr>
          <w:rFonts w:asciiTheme="majorHAnsi" w:hAnsiTheme="majorHAnsi" w:cstheme="majorHAnsi"/>
          <w:sz w:val="28"/>
          <w:szCs w:val="28"/>
        </w:rPr>
        <w:t>.</w:t>
      </w:r>
    </w:p>
    <w:p w14:paraId="08A08D57" w14:textId="77777777" w:rsidR="0014509F" w:rsidRDefault="0014509F" w:rsidP="00A170A9">
      <w:pPr>
        <w:pStyle w:val="estilo30"/>
        <w:spacing w:before="240" w:beforeAutospacing="0" w:after="240" w:afterAutospacing="0" w:line="276" w:lineRule="auto"/>
        <w:jc w:val="both"/>
        <w:rPr>
          <w:rFonts w:asciiTheme="majorHAnsi" w:hAnsiTheme="majorHAnsi" w:cstheme="majorHAnsi"/>
          <w:sz w:val="28"/>
          <w:szCs w:val="28"/>
        </w:rPr>
      </w:pPr>
      <w:r>
        <w:rPr>
          <w:rFonts w:asciiTheme="majorHAnsi" w:hAnsiTheme="majorHAnsi" w:cstheme="majorHAnsi"/>
          <w:sz w:val="28"/>
          <w:szCs w:val="28"/>
        </w:rPr>
        <w:t>En relación con lo anterior,</w:t>
      </w:r>
      <w:r w:rsidRPr="007C4722">
        <w:rPr>
          <w:rFonts w:asciiTheme="majorHAnsi" w:hAnsiTheme="majorHAnsi" w:cstheme="majorHAnsi"/>
          <w:sz w:val="28"/>
          <w:szCs w:val="28"/>
        </w:rPr>
        <w:t xml:space="preserve"> existe un debate sobre la propiedad, el uso y la explotación de la información y el conocimiento (tendencias, comportamientos, preferencias de los usuarios) obtenidos mediante la acumulación y el procesamiento de los datos de los usuarios. Dichas discusiones </w:t>
      </w:r>
      <w:r>
        <w:rPr>
          <w:rFonts w:asciiTheme="majorHAnsi" w:hAnsiTheme="majorHAnsi" w:cstheme="majorHAnsi"/>
          <w:sz w:val="28"/>
          <w:szCs w:val="28"/>
        </w:rPr>
        <w:t>ponen sobre la mesa temas como el alcance de lo que debe considerarse</w:t>
      </w:r>
      <w:r w:rsidRPr="007C4722">
        <w:rPr>
          <w:rFonts w:asciiTheme="majorHAnsi" w:hAnsiTheme="majorHAnsi" w:cstheme="majorHAnsi"/>
          <w:sz w:val="28"/>
          <w:szCs w:val="28"/>
        </w:rPr>
        <w:t xml:space="preserve"> como datos personales, así como </w:t>
      </w:r>
      <w:r>
        <w:rPr>
          <w:rFonts w:asciiTheme="majorHAnsi" w:hAnsiTheme="majorHAnsi" w:cstheme="majorHAnsi"/>
          <w:sz w:val="28"/>
          <w:szCs w:val="28"/>
        </w:rPr>
        <w:t xml:space="preserve">el </w:t>
      </w:r>
      <w:r w:rsidRPr="007C4722">
        <w:rPr>
          <w:rFonts w:asciiTheme="majorHAnsi" w:hAnsiTheme="majorHAnsi" w:cstheme="majorHAnsi"/>
          <w:sz w:val="28"/>
          <w:szCs w:val="28"/>
        </w:rPr>
        <w:t xml:space="preserve">de la privacidad con la que </w:t>
      </w:r>
      <w:r>
        <w:rPr>
          <w:rFonts w:asciiTheme="majorHAnsi" w:hAnsiTheme="majorHAnsi" w:cstheme="majorHAnsi"/>
          <w:sz w:val="28"/>
          <w:szCs w:val="28"/>
        </w:rPr>
        <w:t>se deben manejar éstos y los</w:t>
      </w:r>
      <w:r w:rsidRPr="007C4722">
        <w:rPr>
          <w:rFonts w:asciiTheme="majorHAnsi" w:hAnsiTheme="majorHAnsi" w:cstheme="majorHAnsi"/>
          <w:sz w:val="28"/>
          <w:szCs w:val="28"/>
        </w:rPr>
        <w:t xml:space="preserve"> conocimientos derivados de</w:t>
      </w:r>
      <w:r>
        <w:rPr>
          <w:rFonts w:asciiTheme="majorHAnsi" w:hAnsiTheme="majorHAnsi" w:cstheme="majorHAnsi"/>
          <w:sz w:val="28"/>
          <w:szCs w:val="28"/>
        </w:rPr>
        <w:t xml:space="preserve"> su</w:t>
      </w:r>
      <w:r w:rsidRPr="007C4722">
        <w:rPr>
          <w:rFonts w:asciiTheme="majorHAnsi" w:hAnsiTheme="majorHAnsi" w:cstheme="majorHAnsi"/>
          <w:sz w:val="28"/>
          <w:szCs w:val="28"/>
        </w:rPr>
        <w:t xml:space="preserve"> procesamiento. </w:t>
      </w:r>
      <w:r>
        <w:rPr>
          <w:rFonts w:asciiTheme="majorHAnsi" w:hAnsiTheme="majorHAnsi" w:cstheme="majorHAnsi"/>
          <w:sz w:val="28"/>
          <w:szCs w:val="28"/>
        </w:rPr>
        <w:t xml:space="preserve">En </w:t>
      </w:r>
      <w:r w:rsidRPr="007C4722">
        <w:rPr>
          <w:rFonts w:asciiTheme="majorHAnsi" w:hAnsiTheme="majorHAnsi" w:cstheme="majorHAnsi"/>
          <w:sz w:val="28"/>
          <w:szCs w:val="28"/>
        </w:rPr>
        <w:t>algunos casos</w:t>
      </w:r>
      <w:r>
        <w:rPr>
          <w:rFonts w:asciiTheme="majorHAnsi" w:hAnsiTheme="majorHAnsi" w:cstheme="majorHAnsi"/>
          <w:sz w:val="28"/>
          <w:szCs w:val="28"/>
        </w:rPr>
        <w:t xml:space="preserve">, </w:t>
      </w:r>
      <w:r w:rsidRPr="007C4722">
        <w:rPr>
          <w:rFonts w:asciiTheme="majorHAnsi" w:hAnsiTheme="majorHAnsi" w:cstheme="majorHAnsi"/>
          <w:sz w:val="28"/>
          <w:szCs w:val="28"/>
        </w:rPr>
        <w:t xml:space="preserve">como </w:t>
      </w:r>
      <w:r>
        <w:rPr>
          <w:rFonts w:asciiTheme="majorHAnsi" w:hAnsiTheme="majorHAnsi" w:cstheme="majorHAnsi"/>
          <w:sz w:val="28"/>
          <w:szCs w:val="28"/>
        </w:rPr>
        <w:t xml:space="preserve">el de </w:t>
      </w:r>
      <w:r w:rsidRPr="007C4722">
        <w:rPr>
          <w:rFonts w:asciiTheme="majorHAnsi" w:hAnsiTheme="majorHAnsi" w:cstheme="majorHAnsi"/>
          <w:sz w:val="28"/>
          <w:szCs w:val="28"/>
        </w:rPr>
        <w:t>la Unión Europea</w:t>
      </w:r>
      <w:r>
        <w:rPr>
          <w:rFonts w:asciiTheme="majorHAnsi" w:hAnsiTheme="majorHAnsi" w:cstheme="majorHAnsi"/>
          <w:sz w:val="28"/>
          <w:szCs w:val="28"/>
        </w:rPr>
        <w:t>,</w:t>
      </w:r>
      <w:r w:rsidRPr="007C4722">
        <w:rPr>
          <w:rFonts w:asciiTheme="majorHAnsi" w:hAnsiTheme="majorHAnsi" w:cstheme="majorHAnsi"/>
          <w:sz w:val="28"/>
          <w:szCs w:val="28"/>
        </w:rPr>
        <w:t xml:space="preserve"> </w:t>
      </w:r>
      <w:r>
        <w:rPr>
          <w:rFonts w:asciiTheme="majorHAnsi" w:hAnsiTheme="majorHAnsi" w:cstheme="majorHAnsi"/>
          <w:sz w:val="28"/>
          <w:szCs w:val="28"/>
        </w:rPr>
        <w:t xml:space="preserve">se han propuesto </w:t>
      </w:r>
      <w:r>
        <w:rPr>
          <w:rFonts w:asciiTheme="majorHAnsi" w:hAnsiTheme="majorHAnsi" w:cstheme="majorHAnsi"/>
          <w:sz w:val="28"/>
          <w:szCs w:val="28"/>
        </w:rPr>
        <w:lastRenderedPageBreak/>
        <w:t xml:space="preserve">mecanismos de </w:t>
      </w:r>
      <w:r w:rsidRPr="00F0491F">
        <w:rPr>
          <w:rFonts w:asciiTheme="majorHAnsi" w:hAnsiTheme="majorHAnsi" w:cstheme="majorHAnsi"/>
          <w:i/>
          <w:sz w:val="28"/>
          <w:szCs w:val="28"/>
        </w:rPr>
        <w:t>portabilidad de datos</w:t>
      </w:r>
      <w:r w:rsidRPr="007C4722">
        <w:rPr>
          <w:rFonts w:asciiTheme="majorHAnsi" w:hAnsiTheme="majorHAnsi" w:cstheme="majorHAnsi"/>
          <w:sz w:val="28"/>
          <w:szCs w:val="28"/>
        </w:rPr>
        <w:t xml:space="preserve"> </w:t>
      </w:r>
      <w:r w:rsidRPr="00F0491F">
        <w:rPr>
          <w:rFonts w:asciiTheme="majorHAnsi" w:hAnsiTheme="majorHAnsi" w:cstheme="majorHAnsi"/>
          <w:i/>
          <w:sz w:val="28"/>
          <w:szCs w:val="28"/>
        </w:rPr>
        <w:t>e información personal y no personal</w:t>
      </w:r>
      <w:r w:rsidRPr="007C4722">
        <w:rPr>
          <w:rFonts w:asciiTheme="majorHAnsi" w:hAnsiTheme="majorHAnsi" w:cstheme="majorHAnsi"/>
          <w:sz w:val="28"/>
          <w:szCs w:val="28"/>
        </w:rPr>
        <w:t xml:space="preserve"> (</w:t>
      </w:r>
      <w:r w:rsidRPr="00DA70DD">
        <w:rPr>
          <w:rFonts w:asciiTheme="majorHAnsi" w:hAnsiTheme="majorHAnsi" w:cstheme="majorHAnsi"/>
          <w:i/>
          <w:sz w:val="28"/>
          <w:szCs w:val="28"/>
        </w:rPr>
        <w:t xml:space="preserve">General Data </w:t>
      </w:r>
      <w:proofErr w:type="spellStart"/>
      <w:r w:rsidRPr="00DA70DD">
        <w:rPr>
          <w:rFonts w:asciiTheme="majorHAnsi" w:hAnsiTheme="majorHAnsi" w:cstheme="majorHAnsi"/>
          <w:i/>
          <w:sz w:val="28"/>
          <w:szCs w:val="28"/>
        </w:rPr>
        <w:t>Protection</w:t>
      </w:r>
      <w:proofErr w:type="spellEnd"/>
      <w:r w:rsidRPr="00DA70DD">
        <w:rPr>
          <w:rFonts w:asciiTheme="majorHAnsi" w:hAnsiTheme="majorHAnsi" w:cstheme="majorHAnsi"/>
          <w:i/>
          <w:sz w:val="28"/>
          <w:szCs w:val="28"/>
        </w:rPr>
        <w:t xml:space="preserve"> </w:t>
      </w:r>
      <w:proofErr w:type="spellStart"/>
      <w:r w:rsidRPr="00DA70DD">
        <w:rPr>
          <w:rFonts w:asciiTheme="majorHAnsi" w:hAnsiTheme="majorHAnsi" w:cstheme="majorHAnsi"/>
          <w:i/>
          <w:sz w:val="28"/>
          <w:szCs w:val="28"/>
        </w:rPr>
        <w:t>Regulation</w:t>
      </w:r>
      <w:proofErr w:type="spellEnd"/>
      <w:r>
        <w:rPr>
          <w:rFonts w:asciiTheme="majorHAnsi" w:hAnsiTheme="majorHAnsi" w:cstheme="majorHAnsi"/>
          <w:sz w:val="28"/>
          <w:szCs w:val="28"/>
        </w:rPr>
        <w:t xml:space="preserve">), </w:t>
      </w:r>
      <w:r>
        <w:rPr>
          <w:rFonts w:asciiTheme="majorHAnsi" w:hAnsiTheme="majorHAnsi" w:cstheme="majorHAnsi"/>
          <w:i/>
          <w:sz w:val="28"/>
          <w:szCs w:val="28"/>
        </w:rPr>
        <w:t>portabilidad de plataformas</w:t>
      </w:r>
      <w:r w:rsidRPr="00F0491F">
        <w:rPr>
          <w:rFonts w:asciiTheme="majorHAnsi" w:hAnsiTheme="majorHAnsi" w:cstheme="majorHAnsi"/>
          <w:i/>
          <w:sz w:val="28"/>
          <w:szCs w:val="28"/>
        </w:rPr>
        <w:t xml:space="preserve"> en la nube</w:t>
      </w:r>
      <w:r w:rsidRPr="007C4722">
        <w:rPr>
          <w:rFonts w:asciiTheme="majorHAnsi" w:hAnsiTheme="majorHAnsi" w:cstheme="majorHAnsi"/>
          <w:sz w:val="28"/>
          <w:szCs w:val="28"/>
        </w:rPr>
        <w:t xml:space="preserve"> (</w:t>
      </w:r>
      <w:proofErr w:type="spellStart"/>
      <w:r w:rsidRPr="00DA70DD">
        <w:rPr>
          <w:rFonts w:asciiTheme="majorHAnsi" w:hAnsiTheme="majorHAnsi" w:cstheme="majorHAnsi"/>
          <w:i/>
          <w:sz w:val="28"/>
          <w:szCs w:val="28"/>
        </w:rPr>
        <w:t>cloud</w:t>
      </w:r>
      <w:proofErr w:type="spellEnd"/>
      <w:r w:rsidRPr="00DA70DD">
        <w:rPr>
          <w:rFonts w:asciiTheme="majorHAnsi" w:hAnsiTheme="majorHAnsi" w:cstheme="majorHAnsi"/>
          <w:i/>
          <w:sz w:val="28"/>
          <w:szCs w:val="28"/>
        </w:rPr>
        <w:t xml:space="preserve"> </w:t>
      </w:r>
      <w:proofErr w:type="spellStart"/>
      <w:r w:rsidRPr="00DA70DD">
        <w:rPr>
          <w:rFonts w:asciiTheme="majorHAnsi" w:hAnsiTheme="majorHAnsi" w:cstheme="majorHAnsi"/>
          <w:i/>
          <w:sz w:val="28"/>
          <w:szCs w:val="28"/>
        </w:rPr>
        <w:t>portabilty</w:t>
      </w:r>
      <w:proofErr w:type="spellEnd"/>
      <w:r>
        <w:rPr>
          <w:rFonts w:asciiTheme="majorHAnsi" w:hAnsiTheme="majorHAnsi" w:cstheme="majorHAnsi"/>
          <w:sz w:val="28"/>
          <w:szCs w:val="28"/>
        </w:rPr>
        <w:t xml:space="preserve">) y </w:t>
      </w:r>
      <w:r w:rsidRPr="00F0491F">
        <w:rPr>
          <w:rFonts w:asciiTheme="majorHAnsi" w:hAnsiTheme="majorHAnsi" w:cstheme="majorHAnsi"/>
          <w:i/>
          <w:sz w:val="28"/>
          <w:szCs w:val="28"/>
        </w:rPr>
        <w:t>portabilidad de contenidos</w:t>
      </w:r>
      <w:r w:rsidRPr="007C4722">
        <w:rPr>
          <w:rFonts w:asciiTheme="majorHAnsi" w:hAnsiTheme="majorHAnsi" w:cstheme="majorHAnsi"/>
          <w:sz w:val="28"/>
          <w:szCs w:val="28"/>
        </w:rPr>
        <w:t xml:space="preserve"> </w:t>
      </w:r>
      <w:r w:rsidRPr="00F0491F">
        <w:rPr>
          <w:rFonts w:asciiTheme="majorHAnsi" w:hAnsiTheme="majorHAnsi" w:cstheme="majorHAnsi"/>
          <w:i/>
          <w:sz w:val="28"/>
          <w:szCs w:val="28"/>
        </w:rPr>
        <w:t>con derechos de autor</w:t>
      </w:r>
      <w:r w:rsidRPr="007C4722">
        <w:rPr>
          <w:rFonts w:asciiTheme="majorHAnsi" w:hAnsiTheme="majorHAnsi" w:cstheme="majorHAnsi"/>
          <w:sz w:val="28"/>
          <w:szCs w:val="28"/>
        </w:rPr>
        <w:t xml:space="preserve">. </w:t>
      </w:r>
    </w:p>
    <w:p w14:paraId="125B0A51" w14:textId="77777777" w:rsidR="0014509F" w:rsidRDefault="0014509F" w:rsidP="0014509F">
      <w:pPr>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Objetivo</w:t>
      </w:r>
    </w:p>
    <w:p w14:paraId="49A77262" w14:textId="77777777" w:rsidR="0014509F" w:rsidRDefault="0014509F" w:rsidP="00A170A9">
      <w:pPr>
        <w:pStyle w:val="estilo30"/>
        <w:spacing w:before="240" w:beforeAutospacing="0" w:after="240" w:afterAutospacing="0" w:line="276" w:lineRule="auto"/>
        <w:jc w:val="both"/>
        <w:rPr>
          <w:rFonts w:ascii="Calibri Light" w:eastAsia="Calibri" w:hAnsi="Calibri Light" w:cs="Calibri Light"/>
          <w:color w:val="3476B1"/>
          <w:sz w:val="28"/>
          <w:szCs w:val="28"/>
        </w:rPr>
      </w:pPr>
      <w:r>
        <w:rPr>
          <w:rFonts w:asciiTheme="majorHAnsi" w:hAnsiTheme="majorHAnsi" w:cstheme="majorHAnsi"/>
          <w:sz w:val="28"/>
          <w:szCs w:val="28"/>
        </w:rPr>
        <w:t>S</w:t>
      </w:r>
      <w:r w:rsidRPr="007C4722">
        <w:rPr>
          <w:rFonts w:asciiTheme="majorHAnsi" w:hAnsiTheme="majorHAnsi" w:cstheme="majorHAnsi"/>
          <w:sz w:val="28"/>
          <w:szCs w:val="28"/>
        </w:rPr>
        <w:t>e propone un estudio que recopile iniciativas de política</w:t>
      </w:r>
      <w:r>
        <w:rPr>
          <w:rFonts w:asciiTheme="majorHAnsi" w:hAnsiTheme="majorHAnsi" w:cstheme="majorHAnsi"/>
          <w:sz w:val="28"/>
          <w:szCs w:val="28"/>
        </w:rPr>
        <w:t xml:space="preserve"> pública</w:t>
      </w:r>
      <w:r w:rsidRPr="007C4722">
        <w:rPr>
          <w:rFonts w:asciiTheme="majorHAnsi" w:hAnsiTheme="majorHAnsi" w:cstheme="majorHAnsi"/>
          <w:sz w:val="28"/>
          <w:szCs w:val="28"/>
        </w:rPr>
        <w:t xml:space="preserve"> y regulación</w:t>
      </w:r>
      <w:r>
        <w:rPr>
          <w:rFonts w:asciiTheme="majorHAnsi" w:hAnsiTheme="majorHAnsi" w:cstheme="majorHAnsi"/>
          <w:sz w:val="28"/>
          <w:szCs w:val="28"/>
        </w:rPr>
        <w:t>,</w:t>
      </w:r>
      <w:r w:rsidRPr="007C4722">
        <w:rPr>
          <w:rFonts w:asciiTheme="majorHAnsi" w:hAnsiTheme="majorHAnsi" w:cstheme="majorHAnsi"/>
          <w:sz w:val="28"/>
          <w:szCs w:val="28"/>
        </w:rPr>
        <w:t xml:space="preserve"> </w:t>
      </w:r>
      <w:r>
        <w:rPr>
          <w:rFonts w:asciiTheme="majorHAnsi" w:hAnsiTheme="majorHAnsi" w:cstheme="majorHAnsi"/>
          <w:sz w:val="28"/>
          <w:szCs w:val="28"/>
        </w:rPr>
        <w:t xml:space="preserve">derivadas de casos específicos con base en la </w:t>
      </w:r>
      <w:r w:rsidRPr="007C4722">
        <w:rPr>
          <w:rFonts w:asciiTheme="majorHAnsi" w:hAnsiTheme="majorHAnsi" w:cstheme="majorHAnsi"/>
          <w:sz w:val="28"/>
          <w:szCs w:val="28"/>
        </w:rPr>
        <w:t>experiencia</w:t>
      </w:r>
      <w:r>
        <w:rPr>
          <w:rFonts w:asciiTheme="majorHAnsi" w:hAnsiTheme="majorHAnsi" w:cstheme="majorHAnsi"/>
          <w:sz w:val="28"/>
          <w:szCs w:val="28"/>
        </w:rPr>
        <w:t xml:space="preserve"> </w:t>
      </w:r>
      <w:r w:rsidRPr="007C4722">
        <w:rPr>
          <w:rFonts w:asciiTheme="majorHAnsi" w:hAnsiTheme="majorHAnsi" w:cstheme="majorHAnsi"/>
          <w:sz w:val="28"/>
          <w:szCs w:val="28"/>
        </w:rPr>
        <w:t>internacional</w:t>
      </w:r>
      <w:r>
        <w:rPr>
          <w:rFonts w:asciiTheme="majorHAnsi" w:hAnsiTheme="majorHAnsi" w:cstheme="majorHAnsi"/>
          <w:sz w:val="28"/>
          <w:szCs w:val="28"/>
        </w:rPr>
        <w:t>. Con ello se plantea</w:t>
      </w:r>
      <w:r w:rsidRPr="007C4722">
        <w:rPr>
          <w:rFonts w:asciiTheme="majorHAnsi" w:hAnsiTheme="majorHAnsi" w:cstheme="majorHAnsi"/>
          <w:sz w:val="28"/>
          <w:szCs w:val="28"/>
        </w:rPr>
        <w:t xml:space="preserve"> identificar </w:t>
      </w:r>
      <w:r>
        <w:rPr>
          <w:rFonts w:asciiTheme="majorHAnsi" w:hAnsiTheme="majorHAnsi" w:cstheme="majorHAnsi"/>
          <w:sz w:val="28"/>
          <w:szCs w:val="28"/>
        </w:rPr>
        <w:t>desafíos</w:t>
      </w:r>
      <w:r w:rsidRPr="007C4722">
        <w:rPr>
          <w:rFonts w:asciiTheme="majorHAnsi" w:hAnsiTheme="majorHAnsi" w:cstheme="majorHAnsi"/>
          <w:sz w:val="28"/>
          <w:szCs w:val="28"/>
        </w:rPr>
        <w:t xml:space="preserve"> </w:t>
      </w:r>
      <w:r>
        <w:rPr>
          <w:rFonts w:asciiTheme="majorHAnsi" w:hAnsiTheme="majorHAnsi" w:cstheme="majorHAnsi"/>
          <w:sz w:val="28"/>
          <w:szCs w:val="28"/>
        </w:rPr>
        <w:t xml:space="preserve">en materia </w:t>
      </w:r>
      <w:r w:rsidRPr="007C4722">
        <w:rPr>
          <w:rFonts w:asciiTheme="majorHAnsi" w:hAnsiTheme="majorHAnsi" w:cstheme="majorHAnsi"/>
          <w:sz w:val="28"/>
          <w:szCs w:val="28"/>
        </w:rPr>
        <w:t>regulatori</w:t>
      </w:r>
      <w:r>
        <w:rPr>
          <w:rFonts w:asciiTheme="majorHAnsi" w:hAnsiTheme="majorHAnsi" w:cstheme="majorHAnsi"/>
          <w:sz w:val="28"/>
          <w:szCs w:val="28"/>
        </w:rPr>
        <w:t>a</w:t>
      </w:r>
      <w:r w:rsidRPr="007C4722">
        <w:rPr>
          <w:rFonts w:asciiTheme="majorHAnsi" w:hAnsiTheme="majorHAnsi" w:cstheme="majorHAnsi"/>
          <w:sz w:val="28"/>
          <w:szCs w:val="28"/>
        </w:rPr>
        <w:t xml:space="preserve"> y </w:t>
      </w:r>
      <w:r>
        <w:rPr>
          <w:rFonts w:asciiTheme="majorHAnsi" w:hAnsiTheme="majorHAnsi" w:cstheme="majorHAnsi"/>
          <w:sz w:val="28"/>
          <w:szCs w:val="28"/>
        </w:rPr>
        <w:t>de</w:t>
      </w:r>
      <w:r w:rsidRPr="007C4722">
        <w:rPr>
          <w:rFonts w:asciiTheme="majorHAnsi" w:hAnsiTheme="majorHAnsi" w:cstheme="majorHAnsi"/>
          <w:sz w:val="28"/>
          <w:szCs w:val="28"/>
        </w:rPr>
        <w:t xml:space="preserve"> competencia</w:t>
      </w:r>
      <w:r>
        <w:rPr>
          <w:rFonts w:asciiTheme="majorHAnsi" w:hAnsiTheme="majorHAnsi" w:cstheme="majorHAnsi"/>
          <w:sz w:val="28"/>
          <w:szCs w:val="28"/>
        </w:rPr>
        <w:t xml:space="preserve">, para poder </w:t>
      </w:r>
      <w:r w:rsidRPr="007C4722">
        <w:rPr>
          <w:rFonts w:asciiTheme="majorHAnsi" w:hAnsiTheme="majorHAnsi" w:cstheme="majorHAnsi"/>
          <w:sz w:val="28"/>
          <w:szCs w:val="28"/>
        </w:rPr>
        <w:t>formular posibles soluciones para México</w:t>
      </w:r>
      <w:r>
        <w:rPr>
          <w:rFonts w:asciiTheme="majorHAnsi" w:hAnsiTheme="majorHAnsi" w:cstheme="majorHAnsi"/>
          <w:sz w:val="28"/>
          <w:szCs w:val="28"/>
        </w:rPr>
        <w:t xml:space="preserve">, mismas que resultan apremiantes en el nuevo entorno digital y de la </w:t>
      </w:r>
      <w:r w:rsidRPr="007C4722">
        <w:rPr>
          <w:rFonts w:asciiTheme="majorHAnsi" w:hAnsiTheme="majorHAnsi" w:cstheme="majorHAnsi"/>
          <w:sz w:val="28"/>
          <w:szCs w:val="28"/>
        </w:rPr>
        <w:t xml:space="preserve">economía de </w:t>
      </w:r>
      <w:r>
        <w:rPr>
          <w:rFonts w:asciiTheme="majorHAnsi" w:hAnsiTheme="majorHAnsi" w:cstheme="majorHAnsi"/>
          <w:sz w:val="28"/>
          <w:szCs w:val="28"/>
        </w:rPr>
        <w:t xml:space="preserve">los </w:t>
      </w:r>
      <w:r w:rsidRPr="007C4722">
        <w:rPr>
          <w:rFonts w:asciiTheme="majorHAnsi" w:hAnsiTheme="majorHAnsi" w:cstheme="majorHAnsi"/>
          <w:sz w:val="28"/>
          <w:szCs w:val="28"/>
        </w:rPr>
        <w:t xml:space="preserve">datos </w:t>
      </w:r>
      <w:r>
        <w:rPr>
          <w:rFonts w:asciiTheme="majorHAnsi" w:hAnsiTheme="majorHAnsi" w:cstheme="majorHAnsi"/>
          <w:sz w:val="28"/>
          <w:szCs w:val="28"/>
        </w:rPr>
        <w:t xml:space="preserve">(por </w:t>
      </w:r>
      <w:r w:rsidRPr="007C4722">
        <w:rPr>
          <w:rFonts w:asciiTheme="majorHAnsi" w:hAnsiTheme="majorHAnsi" w:cstheme="majorHAnsi"/>
          <w:sz w:val="28"/>
          <w:szCs w:val="28"/>
        </w:rPr>
        <w:t>e</w:t>
      </w:r>
      <w:r>
        <w:rPr>
          <w:rFonts w:asciiTheme="majorHAnsi" w:hAnsiTheme="majorHAnsi" w:cstheme="majorHAnsi"/>
          <w:sz w:val="28"/>
          <w:szCs w:val="28"/>
        </w:rPr>
        <w:t>jemplo,</w:t>
      </w:r>
      <w:r w:rsidRPr="007C4722">
        <w:rPr>
          <w:rFonts w:asciiTheme="majorHAnsi" w:hAnsiTheme="majorHAnsi" w:cstheme="majorHAnsi"/>
          <w:sz w:val="28"/>
          <w:szCs w:val="28"/>
        </w:rPr>
        <w:t xml:space="preserve"> la implementación de </w:t>
      </w:r>
      <w:r>
        <w:rPr>
          <w:rFonts w:asciiTheme="majorHAnsi" w:hAnsiTheme="majorHAnsi" w:cstheme="majorHAnsi"/>
          <w:sz w:val="28"/>
          <w:szCs w:val="28"/>
        </w:rPr>
        <w:t>medidas de</w:t>
      </w:r>
      <w:r w:rsidRPr="007C4722">
        <w:rPr>
          <w:rFonts w:asciiTheme="majorHAnsi" w:hAnsiTheme="majorHAnsi" w:cstheme="majorHAnsi"/>
          <w:sz w:val="28"/>
          <w:szCs w:val="28"/>
        </w:rPr>
        <w:t xml:space="preserve"> interoperabilidad de datos y la ruta crítica que se necesita para ello).</w:t>
      </w:r>
    </w:p>
    <w:p w14:paraId="37DBF2D8" w14:textId="77777777" w:rsidR="0014509F" w:rsidRDefault="0014509F" w:rsidP="0014509F">
      <w:pPr>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Metodología</w:t>
      </w:r>
    </w:p>
    <w:p w14:paraId="0C0008C3" w14:textId="77777777" w:rsidR="0014509F" w:rsidRDefault="0014509F" w:rsidP="00A170A9">
      <w:pPr>
        <w:pStyle w:val="estilo30"/>
        <w:spacing w:before="240" w:beforeAutospacing="0" w:after="240" w:afterAutospacing="0" w:line="276" w:lineRule="auto"/>
        <w:jc w:val="both"/>
        <w:rPr>
          <w:rFonts w:ascii="Calibri Light" w:eastAsia="Calibri" w:hAnsi="Calibri Light" w:cs="Calibri Light"/>
          <w:color w:val="3476B1"/>
          <w:sz w:val="28"/>
          <w:szCs w:val="28"/>
        </w:rPr>
      </w:pPr>
      <w:r w:rsidRPr="00E67E00">
        <w:rPr>
          <w:rFonts w:asciiTheme="majorHAnsi" w:hAnsiTheme="majorHAnsi" w:cstheme="majorHAnsi"/>
          <w:sz w:val="28"/>
          <w:szCs w:val="28"/>
        </w:rPr>
        <w:t xml:space="preserve">Se realizará el análisis de un conjunto de </w:t>
      </w:r>
      <w:r>
        <w:rPr>
          <w:rFonts w:asciiTheme="majorHAnsi" w:hAnsiTheme="majorHAnsi" w:cstheme="majorHAnsi"/>
          <w:sz w:val="28"/>
          <w:szCs w:val="28"/>
        </w:rPr>
        <w:t xml:space="preserve">medidas </w:t>
      </w:r>
      <w:r w:rsidRPr="007C4722">
        <w:rPr>
          <w:rFonts w:asciiTheme="majorHAnsi" w:hAnsiTheme="majorHAnsi" w:cstheme="majorHAnsi"/>
          <w:sz w:val="28"/>
          <w:szCs w:val="28"/>
        </w:rPr>
        <w:t>de política</w:t>
      </w:r>
      <w:r>
        <w:rPr>
          <w:rFonts w:asciiTheme="majorHAnsi" w:hAnsiTheme="majorHAnsi" w:cstheme="majorHAnsi"/>
          <w:sz w:val="28"/>
          <w:szCs w:val="28"/>
        </w:rPr>
        <w:t xml:space="preserve"> pública</w:t>
      </w:r>
      <w:r w:rsidRPr="007C4722">
        <w:rPr>
          <w:rFonts w:asciiTheme="majorHAnsi" w:hAnsiTheme="majorHAnsi" w:cstheme="majorHAnsi"/>
          <w:sz w:val="28"/>
          <w:szCs w:val="28"/>
        </w:rPr>
        <w:t xml:space="preserve"> y regulación</w:t>
      </w:r>
      <w:r w:rsidRPr="007D1400">
        <w:rPr>
          <w:rFonts w:asciiTheme="majorHAnsi" w:hAnsiTheme="majorHAnsi" w:cstheme="majorHAnsi"/>
          <w:sz w:val="28"/>
          <w:szCs w:val="28"/>
        </w:rPr>
        <w:t xml:space="preserve"> </w:t>
      </w:r>
      <w:r>
        <w:rPr>
          <w:rFonts w:asciiTheme="majorHAnsi" w:hAnsiTheme="majorHAnsi" w:cstheme="majorHAnsi"/>
          <w:sz w:val="28"/>
          <w:szCs w:val="28"/>
        </w:rPr>
        <w:t>cuyo objetivo sea promover la privacidad y el uso adecuado de los datos personales, en un entorno propicio para la innovación y la competencia. En concreto, se recopilarán experiencias y casos prácticos de distintos países, evaluando a partir de ello: las ventajas y los retos que presentan, así como las lecciones aprendidas, con enfoque en cómo se ven afectados los consumidores en cuanto a sus derechos básicos y en cómo se evita obstaculizar la innovación, la inversión y la eficiencia para los sectores productivos; y la aplicabilidad para México teniendo en cuenta las características específicas de su marco regulatorio e institucional</w:t>
      </w:r>
      <w:r w:rsidRPr="00E67E00">
        <w:rPr>
          <w:rFonts w:asciiTheme="majorHAnsi" w:hAnsiTheme="majorHAnsi" w:cstheme="majorHAnsi"/>
          <w:sz w:val="28"/>
          <w:szCs w:val="28"/>
        </w:rPr>
        <w:t>.</w:t>
      </w:r>
    </w:p>
    <w:p w14:paraId="785CCE78" w14:textId="77777777" w:rsidR="0014509F" w:rsidRPr="00697377" w:rsidRDefault="0014509F" w:rsidP="0014509F">
      <w:pPr>
        <w:keepNext/>
        <w:spacing w:after="100" w:afterAutospacing="1"/>
        <w:ind w:firstLine="708"/>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Resultados esperados</w:t>
      </w:r>
    </w:p>
    <w:p w14:paraId="1B69C330" w14:textId="77777777" w:rsidR="0014509F" w:rsidRDefault="0014509F" w:rsidP="00A170A9">
      <w:pPr>
        <w:pStyle w:val="estilo30"/>
        <w:spacing w:before="240" w:beforeAutospacing="0" w:after="240" w:afterAutospacing="0" w:line="276" w:lineRule="auto"/>
        <w:jc w:val="both"/>
        <w:rPr>
          <w:rFonts w:asciiTheme="majorHAnsi" w:hAnsiTheme="majorHAnsi" w:cstheme="majorHAnsi"/>
          <w:sz w:val="28"/>
          <w:szCs w:val="28"/>
        </w:rPr>
      </w:pPr>
      <w:r w:rsidRPr="00E67E00">
        <w:rPr>
          <w:rFonts w:asciiTheme="majorHAnsi" w:hAnsiTheme="majorHAnsi" w:cstheme="majorHAnsi"/>
          <w:sz w:val="28"/>
          <w:szCs w:val="28"/>
        </w:rPr>
        <w:t xml:space="preserve">Se contará con un análisis </w:t>
      </w:r>
      <w:r>
        <w:rPr>
          <w:rFonts w:asciiTheme="majorHAnsi" w:hAnsiTheme="majorHAnsi" w:cstheme="majorHAnsi"/>
          <w:sz w:val="28"/>
          <w:szCs w:val="28"/>
        </w:rPr>
        <w:t>de posibles medidas y enfoques regulatorios y de política pública que permitan diseñar estrategias adecuadas en relación con la utilización de los datos personales y la privacidad. En concreto, para que dichas estrategias se puedan formular anticipando posibles necesidades regulatorias, y con base en la realidad mexicana, frente a los desafíos y oportunidades de la economía digital.</w:t>
      </w:r>
    </w:p>
    <w:p w14:paraId="4371CA00" w14:textId="77777777" w:rsidR="0014509F" w:rsidRPr="00697377" w:rsidRDefault="0014509F" w:rsidP="0014509F">
      <w:pPr>
        <w:keepNext/>
        <w:ind w:firstLine="709"/>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lastRenderedPageBreak/>
        <w:t>Utilidad del estudio para el Instituto</w:t>
      </w:r>
    </w:p>
    <w:p w14:paraId="7F5F395D" w14:textId="77777777" w:rsidR="0014509F" w:rsidRDefault="0014509F" w:rsidP="00A170A9">
      <w:pPr>
        <w:pStyle w:val="estilo30"/>
        <w:spacing w:before="240" w:beforeAutospacing="0" w:after="240" w:afterAutospacing="0" w:line="276" w:lineRule="auto"/>
        <w:jc w:val="both"/>
        <w:rPr>
          <w:rFonts w:asciiTheme="majorHAnsi" w:hAnsiTheme="majorHAnsi" w:cstheme="majorHAnsi"/>
          <w:sz w:val="28"/>
          <w:szCs w:val="28"/>
        </w:rPr>
      </w:pPr>
      <w:r w:rsidRPr="007D1400">
        <w:rPr>
          <w:rFonts w:asciiTheme="majorHAnsi" w:hAnsiTheme="majorHAnsi" w:cstheme="majorHAnsi"/>
          <w:sz w:val="28"/>
          <w:szCs w:val="28"/>
        </w:rPr>
        <w:t xml:space="preserve">El estudio se plantea con la finalidad de proporcionar un panorama que permita </w:t>
      </w:r>
      <w:r>
        <w:rPr>
          <w:rFonts w:asciiTheme="majorHAnsi" w:hAnsiTheme="majorHAnsi" w:cstheme="majorHAnsi"/>
          <w:sz w:val="28"/>
          <w:szCs w:val="28"/>
        </w:rPr>
        <w:t>que</w:t>
      </w:r>
      <w:r w:rsidRPr="007D1400">
        <w:rPr>
          <w:rFonts w:asciiTheme="majorHAnsi" w:hAnsiTheme="majorHAnsi" w:cstheme="majorHAnsi"/>
          <w:sz w:val="28"/>
          <w:szCs w:val="28"/>
        </w:rPr>
        <w:t xml:space="preserve"> las autoridades gubernamentales </w:t>
      </w:r>
      <w:r>
        <w:rPr>
          <w:rFonts w:asciiTheme="majorHAnsi" w:hAnsiTheme="majorHAnsi" w:cstheme="majorHAnsi"/>
          <w:sz w:val="28"/>
          <w:szCs w:val="28"/>
        </w:rPr>
        <w:t xml:space="preserve">proteger adecuadamente los derechos básicos de las personas e instituciones, en relación con el uso de sus datos personales. Ello sin dejar de </w:t>
      </w:r>
      <w:r w:rsidRPr="007D1400">
        <w:rPr>
          <w:rFonts w:asciiTheme="majorHAnsi" w:hAnsiTheme="majorHAnsi" w:cstheme="majorHAnsi"/>
          <w:sz w:val="28"/>
          <w:szCs w:val="28"/>
        </w:rPr>
        <w:t>fungir como facilitadoras e impulsoras de los desarrollos tecnológicos disruptivos de las telecomunicaciones</w:t>
      </w:r>
      <w:r>
        <w:rPr>
          <w:rFonts w:asciiTheme="majorHAnsi" w:hAnsiTheme="majorHAnsi" w:cstheme="majorHAnsi"/>
          <w:sz w:val="28"/>
          <w:szCs w:val="28"/>
        </w:rPr>
        <w:t>;</w:t>
      </w:r>
      <w:r w:rsidRPr="007D1400">
        <w:rPr>
          <w:rFonts w:asciiTheme="majorHAnsi" w:hAnsiTheme="majorHAnsi" w:cstheme="majorHAnsi"/>
          <w:sz w:val="28"/>
          <w:szCs w:val="28"/>
        </w:rPr>
        <w:t xml:space="preserve"> en particular de los más estratégicos para el desarrollo social y económico del país. Lo anterior destacando </w:t>
      </w:r>
      <w:r>
        <w:rPr>
          <w:rFonts w:asciiTheme="majorHAnsi" w:hAnsiTheme="majorHAnsi" w:cstheme="majorHAnsi"/>
          <w:sz w:val="28"/>
          <w:szCs w:val="28"/>
        </w:rPr>
        <w:t xml:space="preserve">que </w:t>
      </w:r>
      <w:r w:rsidRPr="007D1400">
        <w:rPr>
          <w:rFonts w:asciiTheme="majorHAnsi" w:hAnsiTheme="majorHAnsi" w:cstheme="majorHAnsi"/>
          <w:sz w:val="28"/>
          <w:szCs w:val="28"/>
        </w:rPr>
        <w:t xml:space="preserve">la adopción </w:t>
      </w:r>
      <w:r>
        <w:rPr>
          <w:rFonts w:asciiTheme="majorHAnsi" w:hAnsiTheme="majorHAnsi" w:cstheme="majorHAnsi"/>
          <w:sz w:val="28"/>
          <w:szCs w:val="28"/>
        </w:rPr>
        <w:t xml:space="preserve">dichos desarrollos tecnológicos </w:t>
      </w:r>
      <w:r w:rsidRPr="007D1400">
        <w:rPr>
          <w:rFonts w:asciiTheme="majorHAnsi" w:hAnsiTheme="majorHAnsi" w:cstheme="majorHAnsi"/>
          <w:sz w:val="28"/>
          <w:szCs w:val="28"/>
        </w:rPr>
        <w:t xml:space="preserve">se </w:t>
      </w:r>
      <w:r>
        <w:rPr>
          <w:rFonts w:asciiTheme="majorHAnsi" w:hAnsiTheme="majorHAnsi" w:cstheme="majorHAnsi"/>
          <w:sz w:val="28"/>
          <w:szCs w:val="28"/>
        </w:rPr>
        <w:t>está dando en un contexto en el que resulta clave</w:t>
      </w:r>
      <w:r w:rsidRPr="007D1400">
        <w:rPr>
          <w:rFonts w:asciiTheme="majorHAnsi" w:hAnsiTheme="majorHAnsi" w:cstheme="majorHAnsi"/>
          <w:sz w:val="28"/>
          <w:szCs w:val="28"/>
        </w:rPr>
        <w:t xml:space="preserve"> </w:t>
      </w:r>
      <w:r w:rsidRPr="00103999">
        <w:rPr>
          <w:rFonts w:asciiTheme="majorHAnsi" w:hAnsiTheme="majorHAnsi" w:cstheme="majorHAnsi"/>
          <w:sz w:val="28"/>
          <w:szCs w:val="28"/>
        </w:rPr>
        <w:t xml:space="preserve">la confianza entre la población, frente a la incertidumbre e inseguridad percibida que </w:t>
      </w:r>
      <w:r>
        <w:rPr>
          <w:rFonts w:asciiTheme="majorHAnsi" w:hAnsiTheme="majorHAnsi" w:cstheme="majorHAnsi"/>
          <w:sz w:val="28"/>
          <w:szCs w:val="28"/>
        </w:rPr>
        <w:t xml:space="preserve">ha </w:t>
      </w:r>
      <w:r w:rsidRPr="00103999">
        <w:rPr>
          <w:rFonts w:asciiTheme="majorHAnsi" w:hAnsiTheme="majorHAnsi" w:cstheme="majorHAnsi"/>
          <w:sz w:val="28"/>
          <w:szCs w:val="28"/>
        </w:rPr>
        <w:t>caracteriza</w:t>
      </w:r>
      <w:r>
        <w:rPr>
          <w:rFonts w:asciiTheme="majorHAnsi" w:hAnsiTheme="majorHAnsi" w:cstheme="majorHAnsi"/>
          <w:sz w:val="28"/>
          <w:szCs w:val="28"/>
        </w:rPr>
        <w:t>do</w:t>
      </w:r>
      <w:r w:rsidRPr="00103999">
        <w:rPr>
          <w:rFonts w:asciiTheme="majorHAnsi" w:hAnsiTheme="majorHAnsi" w:cstheme="majorHAnsi"/>
          <w:sz w:val="28"/>
          <w:szCs w:val="28"/>
        </w:rPr>
        <w:t xml:space="preserve"> a este tipo de tecnologías.</w:t>
      </w:r>
      <w:r>
        <w:rPr>
          <w:rFonts w:asciiTheme="majorHAnsi" w:hAnsiTheme="majorHAnsi" w:cstheme="majorHAnsi"/>
          <w:sz w:val="28"/>
          <w:szCs w:val="28"/>
        </w:rPr>
        <w:t xml:space="preserve"> Para ello se considera clave un estudio que permita </w:t>
      </w:r>
      <w:r w:rsidRPr="007D1400">
        <w:rPr>
          <w:rFonts w:asciiTheme="majorHAnsi" w:hAnsiTheme="majorHAnsi" w:cstheme="majorHAnsi"/>
          <w:sz w:val="28"/>
          <w:szCs w:val="28"/>
        </w:rPr>
        <w:t>identifica</w:t>
      </w:r>
      <w:r>
        <w:rPr>
          <w:rFonts w:asciiTheme="majorHAnsi" w:hAnsiTheme="majorHAnsi" w:cstheme="majorHAnsi"/>
          <w:sz w:val="28"/>
          <w:szCs w:val="28"/>
        </w:rPr>
        <w:t>r</w:t>
      </w:r>
      <w:r w:rsidRPr="007D1400">
        <w:rPr>
          <w:rFonts w:asciiTheme="majorHAnsi" w:hAnsiTheme="majorHAnsi" w:cstheme="majorHAnsi"/>
          <w:sz w:val="28"/>
          <w:szCs w:val="28"/>
        </w:rPr>
        <w:t xml:space="preserve"> los principales desafíos en materia regulatoria y de política pública </w:t>
      </w:r>
      <w:r>
        <w:rPr>
          <w:rFonts w:asciiTheme="majorHAnsi" w:hAnsiTheme="majorHAnsi" w:cstheme="majorHAnsi"/>
          <w:sz w:val="28"/>
          <w:szCs w:val="28"/>
        </w:rPr>
        <w:t>para el caso mexicano.</w:t>
      </w:r>
    </w:p>
    <w:p w14:paraId="03289D0D" w14:textId="77777777" w:rsidR="0014509F" w:rsidRPr="00697377" w:rsidRDefault="0014509F" w:rsidP="0014509F">
      <w:pPr>
        <w:ind w:firstLine="709"/>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Cronograma</w:t>
      </w:r>
    </w:p>
    <w:tbl>
      <w:tblPr>
        <w:tblStyle w:val="Tablaconcuadrcula"/>
        <w:tblW w:w="0" w:type="auto"/>
        <w:tblLook w:val="04A0" w:firstRow="1" w:lastRow="0" w:firstColumn="1" w:lastColumn="0" w:noHBand="0" w:noVBand="1"/>
        <w:tblCaption w:val="Cronograma "/>
        <w:tblDescription w:val="Etapa del Estudio &#10;Revisión Bibliográfica.Fecha de conclusión Julio&#10;Recopilación de información y datos. Fecha de conclusión Agosto&#10;Formulación y evaluación del enfoque analítico a utilizar.Fecha de conclusión Septiembre&#10;Análisis y formulación de resultados.Fecha de conclusión Octubre&#10;Elaboración de cambios y atención a comentarios de publicación, congreso y/o evaluador.Fecha de conclusión En función de las publicaciones o congresos&#10;"/>
      </w:tblPr>
      <w:tblGrid>
        <w:gridCol w:w="6799"/>
        <w:gridCol w:w="2552"/>
      </w:tblGrid>
      <w:tr w:rsidR="0014509F" w:rsidRPr="00697377" w14:paraId="101267F2" w14:textId="77777777" w:rsidTr="00A170A9">
        <w:trPr>
          <w:tblHeader/>
        </w:trPr>
        <w:tc>
          <w:tcPr>
            <w:tcW w:w="6799" w:type="dxa"/>
          </w:tcPr>
          <w:p w14:paraId="481D9D5E" w14:textId="77777777" w:rsidR="0014509F" w:rsidRPr="00697377" w:rsidRDefault="0014509F" w:rsidP="00A170A9">
            <w:pPr>
              <w:keepNext/>
              <w:spacing w:after="100" w:afterAutospacing="1"/>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Etapa del Estudio</w:t>
            </w:r>
          </w:p>
        </w:tc>
        <w:tc>
          <w:tcPr>
            <w:tcW w:w="2552" w:type="dxa"/>
          </w:tcPr>
          <w:p w14:paraId="332AE7FB" w14:textId="77777777" w:rsidR="0014509F" w:rsidRPr="00697377" w:rsidRDefault="0014509F" w:rsidP="00A170A9">
            <w:pPr>
              <w:keepNext/>
              <w:spacing w:after="100" w:afterAutospacing="1"/>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Fecha de Conclusión</w:t>
            </w:r>
          </w:p>
        </w:tc>
      </w:tr>
      <w:tr w:rsidR="0014509F" w:rsidRPr="007D1400" w14:paraId="1A9C95BD" w14:textId="77777777" w:rsidTr="00A170A9">
        <w:tc>
          <w:tcPr>
            <w:tcW w:w="6799" w:type="dxa"/>
          </w:tcPr>
          <w:p w14:paraId="2D2A67A3" w14:textId="77777777" w:rsidR="0014509F" w:rsidRPr="007D1400" w:rsidRDefault="0014509F" w:rsidP="00A170A9">
            <w:pPr>
              <w:spacing w:after="100" w:afterAutospacing="1"/>
              <w:jc w:val="both"/>
              <w:rPr>
                <w:rFonts w:asciiTheme="majorHAnsi" w:hAnsiTheme="majorHAnsi" w:cstheme="majorHAnsi"/>
                <w:color w:val="0070C0"/>
                <w:sz w:val="28"/>
                <w:szCs w:val="28"/>
              </w:rPr>
            </w:pPr>
            <w:r w:rsidRPr="007D1400">
              <w:rPr>
                <w:rFonts w:asciiTheme="majorHAnsi" w:hAnsiTheme="majorHAnsi" w:cstheme="majorHAnsi"/>
                <w:sz w:val="28"/>
                <w:szCs w:val="28"/>
              </w:rPr>
              <w:t>Revisión Bibliográfica</w:t>
            </w:r>
            <w:r>
              <w:rPr>
                <w:rFonts w:asciiTheme="majorHAnsi" w:hAnsiTheme="majorHAnsi" w:cstheme="majorHAnsi"/>
                <w:sz w:val="28"/>
                <w:szCs w:val="28"/>
              </w:rPr>
              <w:t>.</w:t>
            </w:r>
          </w:p>
        </w:tc>
        <w:tc>
          <w:tcPr>
            <w:tcW w:w="2552" w:type="dxa"/>
          </w:tcPr>
          <w:p w14:paraId="4ED69EF2" w14:textId="77777777" w:rsidR="0014509F" w:rsidRPr="007D1400" w:rsidRDefault="0014509F" w:rsidP="00A170A9">
            <w:pPr>
              <w:spacing w:after="100" w:afterAutospacing="1"/>
              <w:jc w:val="both"/>
              <w:rPr>
                <w:rFonts w:asciiTheme="majorHAnsi" w:hAnsiTheme="majorHAnsi" w:cstheme="majorHAnsi"/>
                <w:color w:val="0070C0"/>
                <w:sz w:val="28"/>
                <w:szCs w:val="28"/>
              </w:rPr>
            </w:pPr>
            <w:r w:rsidRPr="007D1400">
              <w:rPr>
                <w:rFonts w:asciiTheme="majorHAnsi" w:hAnsiTheme="majorHAnsi" w:cstheme="majorHAnsi"/>
                <w:sz w:val="28"/>
                <w:szCs w:val="28"/>
              </w:rPr>
              <w:t>Julio</w:t>
            </w:r>
          </w:p>
        </w:tc>
      </w:tr>
      <w:tr w:rsidR="0014509F" w:rsidRPr="007D1400" w14:paraId="5DC8C708" w14:textId="77777777" w:rsidTr="00A170A9">
        <w:tc>
          <w:tcPr>
            <w:tcW w:w="6799" w:type="dxa"/>
          </w:tcPr>
          <w:p w14:paraId="042935C0" w14:textId="77777777" w:rsidR="0014509F" w:rsidRPr="007D1400" w:rsidRDefault="0014509F" w:rsidP="00A170A9">
            <w:pPr>
              <w:spacing w:after="100" w:afterAutospacing="1"/>
              <w:jc w:val="both"/>
              <w:rPr>
                <w:rFonts w:asciiTheme="majorHAnsi" w:hAnsiTheme="majorHAnsi" w:cstheme="majorHAnsi"/>
                <w:color w:val="0070C0"/>
                <w:sz w:val="28"/>
                <w:szCs w:val="28"/>
              </w:rPr>
            </w:pPr>
            <w:r w:rsidRPr="007D1400">
              <w:rPr>
                <w:rFonts w:asciiTheme="majorHAnsi" w:hAnsiTheme="majorHAnsi" w:cstheme="majorHAnsi"/>
                <w:sz w:val="28"/>
                <w:szCs w:val="28"/>
              </w:rPr>
              <w:t>Recopilación de información y datos</w:t>
            </w:r>
            <w:r>
              <w:rPr>
                <w:rFonts w:asciiTheme="majorHAnsi" w:hAnsiTheme="majorHAnsi" w:cstheme="majorHAnsi"/>
                <w:sz w:val="28"/>
                <w:szCs w:val="28"/>
              </w:rPr>
              <w:t>.</w:t>
            </w:r>
          </w:p>
        </w:tc>
        <w:tc>
          <w:tcPr>
            <w:tcW w:w="2552" w:type="dxa"/>
          </w:tcPr>
          <w:p w14:paraId="3BFFC22B" w14:textId="77777777" w:rsidR="0014509F" w:rsidRPr="007D1400" w:rsidRDefault="0014509F" w:rsidP="00A170A9">
            <w:pPr>
              <w:spacing w:after="100" w:afterAutospacing="1"/>
              <w:jc w:val="both"/>
              <w:rPr>
                <w:rFonts w:asciiTheme="majorHAnsi" w:hAnsiTheme="majorHAnsi" w:cstheme="majorHAnsi"/>
                <w:color w:val="0070C0"/>
                <w:sz w:val="28"/>
                <w:szCs w:val="28"/>
              </w:rPr>
            </w:pPr>
            <w:r w:rsidRPr="007D1400">
              <w:rPr>
                <w:rFonts w:asciiTheme="majorHAnsi" w:hAnsiTheme="majorHAnsi" w:cstheme="majorHAnsi"/>
                <w:sz w:val="28"/>
                <w:szCs w:val="28"/>
              </w:rPr>
              <w:t>Agosto</w:t>
            </w:r>
          </w:p>
        </w:tc>
      </w:tr>
      <w:tr w:rsidR="0014509F" w:rsidRPr="007D1400" w14:paraId="12E1DB51" w14:textId="77777777" w:rsidTr="00A170A9">
        <w:tc>
          <w:tcPr>
            <w:tcW w:w="6799" w:type="dxa"/>
          </w:tcPr>
          <w:p w14:paraId="7A886ED2" w14:textId="77777777" w:rsidR="0014509F" w:rsidRPr="007D1400" w:rsidRDefault="0014509F" w:rsidP="00A170A9">
            <w:pPr>
              <w:spacing w:after="100" w:afterAutospacing="1"/>
              <w:jc w:val="both"/>
              <w:rPr>
                <w:rFonts w:asciiTheme="majorHAnsi" w:hAnsiTheme="majorHAnsi" w:cstheme="majorHAnsi"/>
                <w:color w:val="0070C0"/>
                <w:sz w:val="28"/>
                <w:szCs w:val="28"/>
              </w:rPr>
            </w:pPr>
            <w:r w:rsidRPr="007D1400">
              <w:rPr>
                <w:rFonts w:asciiTheme="majorHAnsi" w:hAnsiTheme="majorHAnsi" w:cstheme="majorHAnsi"/>
                <w:sz w:val="28"/>
                <w:szCs w:val="28"/>
              </w:rPr>
              <w:t>Formulación y evaluación del enfoque analítico a utilizar</w:t>
            </w:r>
            <w:r>
              <w:rPr>
                <w:rFonts w:asciiTheme="majorHAnsi" w:hAnsiTheme="majorHAnsi" w:cstheme="majorHAnsi"/>
                <w:sz w:val="28"/>
                <w:szCs w:val="28"/>
              </w:rPr>
              <w:t>.</w:t>
            </w:r>
          </w:p>
        </w:tc>
        <w:tc>
          <w:tcPr>
            <w:tcW w:w="2552" w:type="dxa"/>
          </w:tcPr>
          <w:p w14:paraId="5F10643A" w14:textId="77777777" w:rsidR="0014509F" w:rsidRPr="007D1400" w:rsidRDefault="0014509F" w:rsidP="00A170A9">
            <w:pPr>
              <w:spacing w:after="100" w:afterAutospacing="1"/>
              <w:jc w:val="both"/>
              <w:rPr>
                <w:rFonts w:asciiTheme="majorHAnsi" w:hAnsiTheme="majorHAnsi" w:cstheme="majorHAnsi"/>
                <w:color w:val="0070C0"/>
                <w:sz w:val="28"/>
                <w:szCs w:val="28"/>
              </w:rPr>
            </w:pPr>
            <w:r w:rsidRPr="007D1400">
              <w:rPr>
                <w:rFonts w:asciiTheme="majorHAnsi" w:hAnsiTheme="majorHAnsi" w:cstheme="majorHAnsi"/>
                <w:sz w:val="28"/>
                <w:szCs w:val="28"/>
              </w:rPr>
              <w:t>Septiembre</w:t>
            </w:r>
          </w:p>
        </w:tc>
      </w:tr>
      <w:tr w:rsidR="0014509F" w:rsidRPr="007D1400" w14:paraId="3278947F" w14:textId="77777777" w:rsidTr="00A170A9">
        <w:tc>
          <w:tcPr>
            <w:tcW w:w="6799" w:type="dxa"/>
          </w:tcPr>
          <w:p w14:paraId="7DA76885" w14:textId="77777777" w:rsidR="0014509F" w:rsidRPr="007D1400" w:rsidRDefault="0014509F" w:rsidP="00A170A9">
            <w:pPr>
              <w:spacing w:after="100" w:afterAutospacing="1"/>
              <w:jc w:val="both"/>
              <w:rPr>
                <w:rFonts w:asciiTheme="majorHAnsi" w:hAnsiTheme="majorHAnsi" w:cstheme="majorHAnsi"/>
                <w:color w:val="0070C0"/>
                <w:sz w:val="28"/>
                <w:szCs w:val="28"/>
              </w:rPr>
            </w:pPr>
            <w:r w:rsidRPr="007D1400">
              <w:rPr>
                <w:rFonts w:asciiTheme="majorHAnsi" w:hAnsiTheme="majorHAnsi" w:cstheme="majorHAnsi"/>
                <w:sz w:val="28"/>
                <w:szCs w:val="28"/>
              </w:rPr>
              <w:t>Análisis y formulación de resultados</w:t>
            </w:r>
            <w:r>
              <w:rPr>
                <w:rFonts w:asciiTheme="majorHAnsi" w:hAnsiTheme="majorHAnsi" w:cstheme="majorHAnsi"/>
                <w:sz w:val="28"/>
                <w:szCs w:val="28"/>
              </w:rPr>
              <w:t>.</w:t>
            </w:r>
          </w:p>
        </w:tc>
        <w:tc>
          <w:tcPr>
            <w:tcW w:w="2552" w:type="dxa"/>
          </w:tcPr>
          <w:p w14:paraId="1A61BC11" w14:textId="77777777" w:rsidR="0014509F" w:rsidRPr="007D1400" w:rsidRDefault="0014509F" w:rsidP="00A170A9">
            <w:pPr>
              <w:spacing w:after="100" w:afterAutospacing="1"/>
              <w:jc w:val="both"/>
              <w:rPr>
                <w:rFonts w:asciiTheme="majorHAnsi" w:hAnsiTheme="majorHAnsi" w:cstheme="majorHAnsi"/>
                <w:color w:val="0070C0"/>
                <w:sz w:val="28"/>
                <w:szCs w:val="28"/>
              </w:rPr>
            </w:pPr>
            <w:r w:rsidRPr="007D1400">
              <w:rPr>
                <w:rFonts w:asciiTheme="majorHAnsi" w:hAnsiTheme="majorHAnsi" w:cstheme="majorHAnsi"/>
                <w:sz w:val="28"/>
                <w:szCs w:val="28"/>
              </w:rPr>
              <w:t>Octubre</w:t>
            </w:r>
          </w:p>
        </w:tc>
      </w:tr>
      <w:tr w:rsidR="0014509F" w:rsidRPr="007D1400" w14:paraId="737465C9" w14:textId="77777777" w:rsidTr="00A170A9">
        <w:tc>
          <w:tcPr>
            <w:tcW w:w="6799" w:type="dxa"/>
          </w:tcPr>
          <w:p w14:paraId="56E58814" w14:textId="77777777" w:rsidR="0014509F" w:rsidRPr="007D1400" w:rsidRDefault="0014509F" w:rsidP="00A170A9">
            <w:pPr>
              <w:spacing w:after="100" w:afterAutospacing="1"/>
              <w:jc w:val="both"/>
              <w:rPr>
                <w:rFonts w:asciiTheme="majorHAnsi" w:hAnsiTheme="majorHAnsi" w:cstheme="majorHAnsi"/>
                <w:color w:val="0070C0"/>
                <w:sz w:val="28"/>
                <w:szCs w:val="28"/>
              </w:rPr>
            </w:pPr>
            <w:r w:rsidRPr="007D1400">
              <w:rPr>
                <w:rFonts w:asciiTheme="majorHAnsi" w:hAnsiTheme="majorHAnsi" w:cstheme="majorHAnsi"/>
                <w:sz w:val="28"/>
                <w:szCs w:val="28"/>
              </w:rPr>
              <w:t>Elaboración de cambios y atención a comentarios de publicación, congreso y/o evaluador</w:t>
            </w:r>
            <w:r>
              <w:rPr>
                <w:rFonts w:asciiTheme="majorHAnsi" w:hAnsiTheme="majorHAnsi" w:cstheme="majorHAnsi"/>
                <w:sz w:val="28"/>
                <w:szCs w:val="28"/>
              </w:rPr>
              <w:t>.</w:t>
            </w:r>
          </w:p>
        </w:tc>
        <w:tc>
          <w:tcPr>
            <w:tcW w:w="2552" w:type="dxa"/>
          </w:tcPr>
          <w:p w14:paraId="3EA24D18" w14:textId="77777777" w:rsidR="0014509F" w:rsidRPr="007D1400" w:rsidRDefault="0014509F" w:rsidP="00A170A9">
            <w:pPr>
              <w:spacing w:after="100" w:afterAutospacing="1"/>
              <w:jc w:val="both"/>
              <w:rPr>
                <w:rFonts w:asciiTheme="majorHAnsi" w:hAnsiTheme="majorHAnsi" w:cstheme="majorHAnsi"/>
                <w:color w:val="0070C0"/>
                <w:sz w:val="28"/>
                <w:szCs w:val="28"/>
              </w:rPr>
            </w:pPr>
            <w:r>
              <w:rPr>
                <w:rFonts w:asciiTheme="majorHAnsi" w:hAnsiTheme="majorHAnsi" w:cstheme="majorHAnsi"/>
                <w:sz w:val="28"/>
                <w:szCs w:val="28"/>
              </w:rPr>
              <w:t xml:space="preserve">En función de las publicaciones o </w:t>
            </w:r>
            <w:r w:rsidRPr="007D1400">
              <w:rPr>
                <w:rFonts w:asciiTheme="majorHAnsi" w:hAnsiTheme="majorHAnsi" w:cstheme="majorHAnsi"/>
                <w:sz w:val="28"/>
                <w:szCs w:val="28"/>
              </w:rPr>
              <w:t>congresos</w:t>
            </w:r>
          </w:p>
        </w:tc>
      </w:tr>
    </w:tbl>
    <w:p w14:paraId="77DC555F" w14:textId="6D7BFD1C" w:rsidR="002C3DFC" w:rsidRPr="0014509F" w:rsidRDefault="002C3DFC" w:rsidP="00A170A9">
      <w:pPr>
        <w:pStyle w:val="estilo30"/>
        <w:spacing w:before="240" w:beforeAutospacing="0" w:after="240" w:afterAutospacing="0" w:line="276" w:lineRule="auto"/>
        <w:jc w:val="both"/>
        <w:rPr>
          <w:rFonts w:asciiTheme="majorHAnsi" w:hAnsiTheme="majorHAnsi" w:cstheme="majorHAnsi"/>
          <w:color w:val="0070C0"/>
          <w:sz w:val="28"/>
          <w:szCs w:val="28"/>
          <w:lang w:eastAsia="es-ES"/>
        </w:rPr>
      </w:pPr>
    </w:p>
    <w:sectPr w:rsidR="002C3DFC" w:rsidRPr="0014509F" w:rsidSect="008156F1">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2BBFE" w14:textId="77777777" w:rsidR="00984ED1" w:rsidRDefault="00984ED1">
      <w:r>
        <w:separator/>
      </w:r>
    </w:p>
  </w:endnote>
  <w:endnote w:type="continuationSeparator" w:id="0">
    <w:p w14:paraId="020B63BD" w14:textId="77777777" w:rsidR="00984ED1" w:rsidRDefault="00984ED1">
      <w:r>
        <w:continuationSeparator/>
      </w:r>
    </w:p>
  </w:endnote>
  <w:endnote w:type="continuationNotice" w:id="1">
    <w:p w14:paraId="6E723591" w14:textId="77777777" w:rsidR="00984ED1" w:rsidRDefault="00984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Mincho">
    <w:altName w:val="Yu Gothic UI"/>
    <w:panose1 w:val="02020609040205080304"/>
    <w:charset w:val="80"/>
    <w:family w:val="modern"/>
    <w:pitch w:val="fixed"/>
    <w:sig w:usb0="E00002FF" w:usb1="6AC7FDFB" w:usb2="08000012" w:usb3="00000000" w:csb0="0002009F" w:csb1="00000000"/>
  </w:font>
  <w:font w:name="Aharoni">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itillium Lt">
    <w:altName w:val="Calibri"/>
    <w:panose1 w:val="00000000000000000000"/>
    <w:charset w:val="00"/>
    <w:family w:val="swiss"/>
    <w:notTrueType/>
    <w:pitch w:val="default"/>
    <w:sig w:usb0="00000003" w:usb1="00000000" w:usb2="00000000" w:usb3="00000000" w:csb0="00000001" w:csb1="00000000"/>
  </w:font>
  <w:font w:name="Titillium">
    <w:altName w:val="Titillium"/>
    <w:panose1 w:val="00000000000000000000"/>
    <w:charset w:val="00"/>
    <w:family w:val="swiss"/>
    <w:notTrueType/>
    <w:pitch w:val="default"/>
    <w:sig w:usb0="00000003" w:usb1="00000000" w:usb2="00000000" w:usb3="00000000" w:csb0="00000001" w:csb1="00000000"/>
  </w:font>
  <w:font w:name="Avant Garde">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5B086" w14:textId="77777777" w:rsidR="00A170A9" w:rsidRDefault="00A170A9" w:rsidP="0015656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8343D87" w14:textId="58763CC2" w:rsidR="00A170A9" w:rsidRDefault="00A170A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A3C38" w14:textId="4558D75F" w:rsidR="00A170A9" w:rsidRPr="00D26333" w:rsidRDefault="00A170A9" w:rsidP="00D26333">
    <w:pPr>
      <w:pStyle w:val="Piedepgina"/>
      <w:jc w:val="right"/>
      <w:rPr>
        <w:rFonts w:ascii="ITC Avant Garde" w:hAnsi="ITC Avant Garde"/>
        <w:sz w:val="20"/>
      </w:rPr>
    </w:pPr>
    <w:r w:rsidRPr="00D26333">
      <w:rPr>
        <w:rFonts w:ascii="ITC Avant Garde" w:hAnsi="ITC Avant Garde"/>
        <w:sz w:val="20"/>
      </w:rPr>
      <w:fldChar w:fldCharType="begin"/>
    </w:r>
    <w:r w:rsidRPr="00D26333">
      <w:rPr>
        <w:rFonts w:ascii="ITC Avant Garde" w:hAnsi="ITC Avant Garde"/>
        <w:sz w:val="20"/>
      </w:rPr>
      <w:instrText xml:space="preserve"> PAGE   \* MERGEFORMAT </w:instrText>
    </w:r>
    <w:r w:rsidRPr="00D26333">
      <w:rPr>
        <w:rFonts w:ascii="ITC Avant Garde" w:hAnsi="ITC Avant Garde"/>
        <w:sz w:val="20"/>
      </w:rPr>
      <w:fldChar w:fldCharType="separate"/>
    </w:r>
    <w:r w:rsidR="004464CD">
      <w:rPr>
        <w:rFonts w:ascii="ITC Avant Garde" w:hAnsi="ITC Avant Garde"/>
        <w:noProof/>
        <w:sz w:val="20"/>
      </w:rPr>
      <w:t>3</w:t>
    </w:r>
    <w:r w:rsidRPr="00D26333">
      <w:rPr>
        <w:rFonts w:ascii="ITC Avant Garde" w:hAnsi="ITC Avant Garde"/>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770741"/>
      <w:docPartObj>
        <w:docPartGallery w:val="Page Numbers (Bottom of Page)"/>
        <w:docPartUnique/>
      </w:docPartObj>
    </w:sdtPr>
    <w:sdtContent>
      <w:p w14:paraId="4655CB37" w14:textId="166E3D51" w:rsidR="00A170A9" w:rsidRPr="00D34127" w:rsidRDefault="00A170A9" w:rsidP="00A170A9">
        <w:pPr>
          <w:pStyle w:val="Piedepgina"/>
          <w:jc w:val="right"/>
        </w:pPr>
        <w:r w:rsidRPr="00D34127">
          <w:rPr>
            <w:sz w:val="16"/>
            <w:szCs w:val="16"/>
          </w:rPr>
          <w:fldChar w:fldCharType="begin"/>
        </w:r>
        <w:r w:rsidRPr="00D34127">
          <w:rPr>
            <w:sz w:val="16"/>
            <w:szCs w:val="16"/>
          </w:rPr>
          <w:instrText>PAGE   \* MERGEFORMAT</w:instrText>
        </w:r>
        <w:r w:rsidRPr="00D34127">
          <w:rPr>
            <w:sz w:val="16"/>
            <w:szCs w:val="16"/>
          </w:rPr>
          <w:fldChar w:fldCharType="separate"/>
        </w:r>
        <w:r w:rsidR="004464CD" w:rsidRPr="004464CD">
          <w:rPr>
            <w:noProof/>
            <w:sz w:val="16"/>
            <w:szCs w:val="16"/>
            <w:lang w:val="es-ES"/>
          </w:rPr>
          <w:t>22</w:t>
        </w:r>
        <w:r w:rsidRPr="00D34127">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14F71" w14:textId="77777777" w:rsidR="00984ED1" w:rsidRDefault="00984ED1">
      <w:r>
        <w:separator/>
      </w:r>
    </w:p>
  </w:footnote>
  <w:footnote w:type="continuationSeparator" w:id="0">
    <w:p w14:paraId="30949F24" w14:textId="77777777" w:rsidR="00984ED1" w:rsidRDefault="00984ED1">
      <w:r>
        <w:continuationSeparator/>
      </w:r>
    </w:p>
  </w:footnote>
  <w:footnote w:type="continuationNotice" w:id="1">
    <w:p w14:paraId="25EA3C9B" w14:textId="77777777" w:rsidR="00984ED1" w:rsidRDefault="00984ED1"/>
  </w:footnote>
  <w:footnote w:id="2">
    <w:p w14:paraId="08EC093D" w14:textId="77777777" w:rsidR="00A170A9" w:rsidRPr="002734D5" w:rsidRDefault="00A170A9" w:rsidP="0014509F">
      <w:pPr>
        <w:pStyle w:val="Textonotapie"/>
        <w:rPr>
          <w:sz w:val="22"/>
          <w:szCs w:val="22"/>
        </w:rPr>
      </w:pPr>
      <w:r w:rsidRPr="002734D5">
        <w:rPr>
          <w:rStyle w:val="Refdenotaalpie"/>
          <w:sz w:val="22"/>
          <w:szCs w:val="22"/>
        </w:rPr>
        <w:footnoteRef/>
      </w:r>
      <w:r w:rsidRPr="002734D5">
        <w:rPr>
          <w:sz w:val="22"/>
          <w:szCs w:val="22"/>
        </w:rPr>
        <w:t xml:space="preserve"> </w:t>
      </w:r>
      <w:r w:rsidRPr="002734D5">
        <w:rPr>
          <w:rFonts w:asciiTheme="majorHAnsi" w:hAnsiTheme="majorHAnsi"/>
          <w:sz w:val="22"/>
          <w:szCs w:val="22"/>
        </w:rPr>
        <w:t>Estatuto Orgánico del IFT publicado en el Diario Oficial de la Federación el 4 de septiembre de 2014 y su modificación publicada en el DOF el 20 de julio de 2017</w:t>
      </w:r>
      <w:r w:rsidRPr="002734D5">
        <w:rPr>
          <w:rFonts w:asciiTheme="majorHAnsi" w:hAnsiTheme="majorHAnsi" w:cstheme="majorHAnsi"/>
          <w:sz w:val="22"/>
          <w:szCs w:val="22"/>
        </w:rPr>
        <w:t>. Disponible en</w:t>
      </w:r>
      <w:r w:rsidRPr="002734D5">
        <w:rPr>
          <w:rFonts w:asciiTheme="majorHAnsi" w:hAnsiTheme="majorHAnsi" w:cstheme="majorHAnsi"/>
          <w:color w:val="1F497D"/>
          <w:sz w:val="22"/>
          <w:szCs w:val="22"/>
        </w:rPr>
        <w:t xml:space="preserve">: </w:t>
      </w:r>
      <w:r w:rsidRPr="00BA7384">
        <w:rPr>
          <w:rFonts w:asciiTheme="majorHAnsi" w:hAnsiTheme="majorHAnsi" w:cstheme="majorHAnsi"/>
          <w:sz w:val="22"/>
          <w:szCs w:val="22"/>
        </w:rPr>
        <w:t>http://www.ift.org.mx/conocenos/estatuto-organico</w:t>
      </w:r>
      <w:r w:rsidRPr="002734D5">
        <w:rPr>
          <w:rFonts w:asciiTheme="majorHAnsi" w:hAnsiTheme="majorHAnsi" w:cstheme="majorHAnsi"/>
          <w:color w:val="1F497D"/>
          <w:sz w:val="22"/>
          <w:szCs w:val="22"/>
        </w:rPr>
        <w:t>.</w:t>
      </w:r>
    </w:p>
  </w:footnote>
  <w:footnote w:id="3">
    <w:p w14:paraId="622B1644" w14:textId="77777777" w:rsidR="00A170A9" w:rsidRPr="005D6CF3" w:rsidRDefault="00A170A9" w:rsidP="0014509F">
      <w:r w:rsidRPr="002734D5">
        <w:rPr>
          <w:rStyle w:val="Refdenotaalpie"/>
        </w:rPr>
        <w:footnoteRef/>
      </w:r>
      <w:r w:rsidRPr="002734D5">
        <w:t xml:space="preserve"> </w:t>
      </w:r>
      <w:r w:rsidRPr="002734D5">
        <w:rPr>
          <w:rFonts w:asciiTheme="majorHAnsi" w:hAnsiTheme="majorHAnsi"/>
        </w:rPr>
        <w:t xml:space="preserve">Los objetivos del IFT pueden consultarse en el Programa Anual de Trabajo 2017, disponible en: </w:t>
      </w:r>
      <w:r w:rsidRPr="00BA7384">
        <w:rPr>
          <w:rFonts w:asciiTheme="majorHAnsi" w:hAnsiTheme="majorHAnsi" w:cstheme="majorHAnsi"/>
        </w:rPr>
        <w:t>http://www.ift.org.mx/sites/default/files/contenidogeneral/transparencia/pat2017vf_0.pdf</w:t>
      </w:r>
      <w:r w:rsidRPr="002734D5">
        <w:t xml:space="preserve"> </w:t>
      </w:r>
    </w:p>
  </w:footnote>
  <w:footnote w:id="4">
    <w:p w14:paraId="2A0215E2" w14:textId="77777777" w:rsidR="00A170A9" w:rsidRPr="002734D5" w:rsidRDefault="00A170A9" w:rsidP="0014509F">
      <w:pPr>
        <w:pStyle w:val="Textonotapie"/>
        <w:rPr>
          <w:rFonts w:asciiTheme="majorHAnsi" w:hAnsiTheme="majorHAnsi"/>
          <w:sz w:val="22"/>
          <w:szCs w:val="22"/>
        </w:rPr>
      </w:pPr>
      <w:r w:rsidRPr="002734D5">
        <w:rPr>
          <w:rStyle w:val="Refdenotaalpie"/>
          <w:rFonts w:asciiTheme="majorHAnsi" w:hAnsiTheme="majorHAnsi"/>
          <w:sz w:val="22"/>
          <w:szCs w:val="22"/>
        </w:rPr>
        <w:footnoteRef/>
      </w:r>
      <w:r w:rsidRPr="002734D5">
        <w:rPr>
          <w:rFonts w:asciiTheme="majorHAnsi" w:hAnsiTheme="majorHAnsi"/>
          <w:sz w:val="22"/>
          <w:szCs w:val="22"/>
        </w:rPr>
        <w:t xml:space="preserve"> Los estudios realizados por los integrantes del CES se publican en revistas académicas y en la página del CES, disponible al público en http://www.centrodeestudios.ift.org.mx.</w:t>
      </w:r>
    </w:p>
  </w:footnote>
  <w:footnote w:id="5">
    <w:p w14:paraId="2D0E3726" w14:textId="77777777" w:rsidR="00A170A9" w:rsidRPr="002734D5" w:rsidRDefault="00A170A9" w:rsidP="0014509F">
      <w:pPr>
        <w:pStyle w:val="Textonotapie"/>
        <w:rPr>
          <w:rFonts w:asciiTheme="majorHAnsi" w:hAnsiTheme="majorHAnsi"/>
          <w:sz w:val="22"/>
          <w:szCs w:val="22"/>
        </w:rPr>
      </w:pPr>
      <w:r w:rsidRPr="002734D5">
        <w:rPr>
          <w:rStyle w:val="Refdenotaalpie"/>
          <w:rFonts w:asciiTheme="majorHAnsi" w:hAnsiTheme="majorHAnsi"/>
          <w:sz w:val="22"/>
          <w:szCs w:val="22"/>
        </w:rPr>
        <w:footnoteRef/>
      </w:r>
      <w:r w:rsidRPr="002734D5">
        <w:rPr>
          <w:rFonts w:asciiTheme="majorHAnsi" w:hAnsiTheme="majorHAnsi"/>
          <w:sz w:val="22"/>
          <w:szCs w:val="22"/>
        </w:rPr>
        <w:t xml:space="preserve"> Véase Acuerdo mediante el cual el Comisionado Presidente del IFT establece el Comité Especializado de Estudios e Investigaciones en Telecomunicaciones a que se refiere el Capítulo X de los Lineamientos de Colaboración en Materia de Seguridad y Justicia y designa a los Servidores Públicos que formarán parte del mismo, publicado el 13 de enero de 2016. Disponible en: </w:t>
      </w:r>
      <w:r w:rsidRPr="00BA7384">
        <w:rPr>
          <w:rFonts w:asciiTheme="majorHAnsi" w:hAnsiTheme="majorHAnsi"/>
          <w:sz w:val="22"/>
          <w:szCs w:val="22"/>
        </w:rPr>
        <w:t>http://www.ift.org.mx/sites/default/files/acuerdo_comite_especializado_20160114.pdf</w:t>
      </w:r>
    </w:p>
  </w:footnote>
  <w:footnote w:id="6">
    <w:p w14:paraId="1566818D" w14:textId="77777777" w:rsidR="00A170A9" w:rsidRPr="002734D5" w:rsidRDefault="00A170A9" w:rsidP="0014509F">
      <w:pPr>
        <w:pStyle w:val="Textonotapie"/>
        <w:rPr>
          <w:sz w:val="22"/>
          <w:szCs w:val="22"/>
        </w:rPr>
      </w:pPr>
      <w:r w:rsidRPr="002734D5">
        <w:rPr>
          <w:rStyle w:val="Refdenotaalpie"/>
          <w:sz w:val="22"/>
          <w:szCs w:val="22"/>
        </w:rPr>
        <w:footnoteRef/>
      </w:r>
      <w:r w:rsidRPr="002734D5">
        <w:rPr>
          <w:sz w:val="22"/>
          <w:szCs w:val="22"/>
        </w:rPr>
        <w:t xml:space="preserve"> </w:t>
      </w:r>
      <w:r w:rsidRPr="002734D5">
        <w:rPr>
          <w:rFonts w:asciiTheme="majorHAnsi" w:hAnsiTheme="majorHAnsi"/>
          <w:sz w:val="22"/>
          <w:szCs w:val="22"/>
        </w:rPr>
        <w:t>La Revista Internacional de Telecomunicaciones y Radiodifusión se encuentra disponible en: http://centrodeestudios.ift.org.mx/8Revista.php</w:t>
      </w:r>
    </w:p>
  </w:footnote>
  <w:footnote w:id="7">
    <w:p w14:paraId="1884C269" w14:textId="77777777" w:rsidR="00A170A9" w:rsidRDefault="00A170A9" w:rsidP="0014509F">
      <w:pPr>
        <w:pStyle w:val="Textonotapie"/>
      </w:pPr>
      <w:r>
        <w:rPr>
          <w:rStyle w:val="Refdenotaalpie"/>
        </w:rPr>
        <w:footnoteRef/>
      </w:r>
      <w:r>
        <w:t xml:space="preserve"> </w:t>
      </w:r>
      <w:r w:rsidRPr="00CC44EC">
        <w:rPr>
          <w:rFonts w:asciiTheme="majorHAnsi" w:hAnsiTheme="majorHAnsi" w:cstheme="majorHAnsi"/>
        </w:rPr>
        <w:t xml:space="preserve">Véase pie de página </w:t>
      </w:r>
      <w:r>
        <w:rPr>
          <w:rFonts w:asciiTheme="majorHAnsi" w:hAnsiTheme="majorHAnsi" w:cstheme="majorHAnsi"/>
        </w:rPr>
        <w:t xml:space="preserve">No. </w:t>
      </w:r>
      <w:r w:rsidRPr="00CC44EC">
        <w:rPr>
          <w:rFonts w:asciiTheme="majorHAnsi" w:hAnsiTheme="majorHAnsi" w:cstheme="majorHAnsi"/>
        </w:rPr>
        <w:t>4.</w:t>
      </w:r>
    </w:p>
  </w:footnote>
  <w:footnote w:id="8">
    <w:p w14:paraId="3822F4DC" w14:textId="77777777" w:rsidR="00A170A9" w:rsidRDefault="00A170A9" w:rsidP="0014509F">
      <w:pPr>
        <w:rPr>
          <w:rFonts w:ascii="Calibri Light" w:hAnsi="Calibri Light"/>
        </w:rPr>
      </w:pPr>
      <w:r>
        <w:rPr>
          <w:rStyle w:val="Refdenotaalpie"/>
        </w:rPr>
        <w:footnoteRef/>
      </w:r>
      <w:r>
        <w:t xml:space="preserve"> </w:t>
      </w:r>
      <w:r>
        <w:rPr>
          <w:rFonts w:ascii="Calibri Light" w:hAnsi="Calibri Light"/>
        </w:rPr>
        <w:t>Los Lineamientos de Colaboración en Materia de Seguridad y Justicia, fueron publicados en el Diario Oficial de la Federación el 2 de diciembre de 2015 Para consultar los lineamientos véase:</w:t>
      </w:r>
    </w:p>
    <w:p w14:paraId="30187709" w14:textId="77777777" w:rsidR="00A170A9" w:rsidRDefault="00A170A9" w:rsidP="0014509F">
      <w:pPr>
        <w:pStyle w:val="Textonotapie"/>
      </w:pPr>
      <w:r w:rsidRPr="00BA7384">
        <w:rPr>
          <w:rFonts w:ascii="Calibri Light" w:hAnsi="Calibri Light"/>
          <w:sz w:val="21"/>
          <w:szCs w:val="21"/>
        </w:rPr>
        <w:t>http://www.ift.org.mx/sites/default/files/conocenos/pleno/sesiones/acuerdoliga/dofpiftext111115159.pdf</w:t>
      </w:r>
    </w:p>
  </w:footnote>
  <w:footnote w:id="9">
    <w:p w14:paraId="359B6950" w14:textId="77777777" w:rsidR="00A170A9" w:rsidRPr="00E130BE" w:rsidRDefault="00A170A9" w:rsidP="0014509F">
      <w:pPr>
        <w:spacing w:line="276" w:lineRule="auto"/>
        <w:contextualSpacing/>
      </w:pPr>
      <w:r>
        <w:rPr>
          <w:rStyle w:val="Refdenotaalpie"/>
        </w:rPr>
        <w:footnoteRef/>
      </w:r>
      <w:r>
        <w:t xml:space="preserve"> </w:t>
      </w:r>
      <w:r w:rsidRPr="0043150D">
        <w:rPr>
          <w:rFonts w:ascii="Calibri Light" w:hAnsi="Calibri Light"/>
          <w:bCs/>
          <w:iCs/>
        </w:rPr>
        <w:t>Investigador en Regulación Comparada</w:t>
      </w:r>
      <w:r>
        <w:rPr>
          <w:rFonts w:ascii="Calibri Light" w:hAnsi="Calibri Light"/>
          <w:bCs/>
          <w:iCs/>
        </w:rPr>
        <w:t xml:space="preserve"> en el Centro de Estudios del Instituto Federal de Telecomunicaciones. </w:t>
      </w:r>
      <w:r w:rsidRPr="0043150D">
        <w:rPr>
          <w:rFonts w:ascii="Calibri Light" w:hAnsi="Calibri Light"/>
          <w:bCs/>
          <w:iCs/>
        </w:rPr>
        <w:t xml:space="preserve">Licenciado en Matemáticas por la Universidad de Guadalajara, estudió maestrías en Economía de la Energía en la Escuela Enrico </w:t>
      </w:r>
      <w:proofErr w:type="spellStart"/>
      <w:r w:rsidRPr="0043150D">
        <w:rPr>
          <w:rFonts w:ascii="Calibri Light" w:hAnsi="Calibri Light"/>
          <w:bCs/>
          <w:iCs/>
        </w:rPr>
        <w:t>Mattei</w:t>
      </w:r>
      <w:proofErr w:type="spellEnd"/>
      <w:r w:rsidRPr="0043150D">
        <w:rPr>
          <w:rFonts w:ascii="Calibri Light" w:hAnsi="Calibri Light"/>
          <w:bCs/>
          <w:iCs/>
        </w:rPr>
        <w:t xml:space="preserve"> (Italia), en Economía en la Universidad de Wisconsin-Madison (EE.UU.) y en Investigación de Operaciones en la UNAM. Fue Profesor de Economía y Matemáticas en la Universidad de Guadalajara, Director General Adjunto en La Comisión Federal de Competencia (COFECE) y Director General de Consulta Económica en el Instituto Federal de Telecomunicaciones (IFT). Es Candidato a Doctor en Economía por la Universidad de Maryland-</w:t>
      </w:r>
      <w:proofErr w:type="spellStart"/>
      <w:r w:rsidRPr="0043150D">
        <w:rPr>
          <w:rFonts w:ascii="Calibri Light" w:hAnsi="Calibri Light"/>
          <w:bCs/>
          <w:iCs/>
        </w:rPr>
        <w:t>College</w:t>
      </w:r>
      <w:proofErr w:type="spellEnd"/>
      <w:r w:rsidRPr="0043150D">
        <w:rPr>
          <w:rFonts w:ascii="Calibri Light" w:hAnsi="Calibri Light"/>
          <w:bCs/>
          <w:iCs/>
        </w:rPr>
        <w:t xml:space="preserve"> Park. En 2015 y 2017, fue propuesto al Ejecutivo Federal en las quintetas de aspirantes con mejor calificación en el examen para Comisionado</w:t>
      </w:r>
      <w:r>
        <w:rPr>
          <w:rFonts w:ascii="Calibri Light" w:hAnsi="Calibri Light"/>
          <w:bCs/>
          <w:iCs/>
        </w:rPr>
        <w:t>s</w:t>
      </w:r>
      <w:r w:rsidRPr="0043150D">
        <w:rPr>
          <w:rFonts w:ascii="Calibri Light" w:hAnsi="Calibri Light"/>
          <w:bCs/>
          <w:iCs/>
        </w:rPr>
        <w:t xml:space="preserve"> de IFT y COFECE</w:t>
      </w:r>
      <w:r>
        <w:rPr>
          <w:rFonts w:ascii="Calibri Light" w:hAnsi="Calibri Light"/>
          <w:bCs/>
          <w:iCs/>
        </w:rPr>
        <w:t>.</w:t>
      </w:r>
    </w:p>
  </w:footnote>
  <w:footnote w:id="10">
    <w:p w14:paraId="2624021F" w14:textId="77777777" w:rsidR="00A170A9" w:rsidRPr="00C131EA" w:rsidRDefault="00A170A9" w:rsidP="0014509F">
      <w:pPr>
        <w:contextualSpacing/>
      </w:pPr>
      <w:r>
        <w:rPr>
          <w:rStyle w:val="Refdenotaalpie"/>
        </w:rPr>
        <w:footnoteRef/>
      </w:r>
      <w:r>
        <w:t xml:space="preserve"> </w:t>
      </w:r>
      <w:r w:rsidRPr="002A62C5">
        <w:rPr>
          <w:rFonts w:ascii="Calibri Light" w:hAnsi="Calibri Light"/>
          <w:bCs/>
          <w:iCs/>
        </w:rPr>
        <w:t xml:space="preserve">Rebeca Escobar Briones es </w:t>
      </w:r>
      <w:r>
        <w:rPr>
          <w:rFonts w:ascii="Calibri Light" w:hAnsi="Calibri Light"/>
          <w:bCs/>
          <w:iCs/>
        </w:rPr>
        <w:t>investigadora en Competencia Económica en el Centro de Estudios del IFT. E</w:t>
      </w:r>
      <w:r w:rsidRPr="002A62C5">
        <w:rPr>
          <w:rFonts w:ascii="Calibri Light" w:hAnsi="Calibri Light"/>
          <w:bCs/>
          <w:iCs/>
        </w:rPr>
        <w:t>xperta en t</w:t>
      </w:r>
      <w:r>
        <w:rPr>
          <w:rFonts w:ascii="Calibri Light" w:hAnsi="Calibri Light"/>
          <w:bCs/>
          <w:iCs/>
        </w:rPr>
        <w:t>elecomunicaciones y competencia, ha sido</w:t>
      </w:r>
      <w:r w:rsidRPr="002A62C5">
        <w:rPr>
          <w:rFonts w:ascii="Calibri Light" w:hAnsi="Calibri Light"/>
          <w:bCs/>
          <w:iCs/>
        </w:rPr>
        <w:t xml:space="preserve"> </w:t>
      </w:r>
      <w:r w:rsidRPr="002A62C5">
        <w:rPr>
          <w:rFonts w:ascii="Calibri Light" w:hAnsi="Calibri Light"/>
          <w:iCs/>
        </w:rPr>
        <w:t xml:space="preserve">Candidata a Comisionada para el IFT y la </w:t>
      </w:r>
      <w:proofErr w:type="spellStart"/>
      <w:r w:rsidRPr="002A62C5">
        <w:rPr>
          <w:rFonts w:ascii="Calibri Light" w:hAnsi="Calibri Light"/>
          <w:iCs/>
        </w:rPr>
        <w:t>Cofece</w:t>
      </w:r>
      <w:proofErr w:type="spellEnd"/>
      <w:r w:rsidRPr="002A62C5">
        <w:rPr>
          <w:rFonts w:ascii="Calibri Light" w:hAnsi="Calibri Light"/>
          <w:iCs/>
        </w:rPr>
        <w:t xml:space="preserve"> en 2013</w:t>
      </w:r>
      <w:r>
        <w:rPr>
          <w:rFonts w:ascii="Calibri Light" w:hAnsi="Calibri Light"/>
          <w:iCs/>
        </w:rPr>
        <w:t xml:space="preserve"> y 2016</w:t>
      </w:r>
      <w:r w:rsidRPr="002A62C5">
        <w:rPr>
          <w:rFonts w:ascii="Calibri Light" w:hAnsi="Calibri Light"/>
          <w:iCs/>
        </w:rPr>
        <w:t xml:space="preserve">. </w:t>
      </w:r>
      <w:r>
        <w:rPr>
          <w:rFonts w:ascii="Calibri Light" w:hAnsi="Calibri Light"/>
          <w:iCs/>
        </w:rPr>
        <w:t>Es maestra en Po</w:t>
      </w:r>
      <w:r w:rsidRPr="002A62C5">
        <w:rPr>
          <w:rFonts w:ascii="Calibri Light" w:hAnsi="Calibri Light"/>
          <w:iCs/>
        </w:rPr>
        <w:t>lítica Pública (ITAM) y</w:t>
      </w:r>
      <w:r>
        <w:rPr>
          <w:rFonts w:ascii="Calibri Light" w:hAnsi="Calibri Light"/>
          <w:iCs/>
        </w:rPr>
        <w:t xml:space="preserve"> cuenta con un</w:t>
      </w:r>
      <w:r w:rsidRPr="002A62C5">
        <w:rPr>
          <w:rFonts w:ascii="Calibri Light" w:hAnsi="Calibri Light"/>
          <w:iCs/>
        </w:rPr>
        <w:t xml:space="preserve"> postgrado en Administración de Empresas (U. Católica de Lovaina). Egresada de la carrera de economía (ITAM) </w:t>
      </w:r>
      <w:r>
        <w:rPr>
          <w:rFonts w:ascii="Calibri Light" w:hAnsi="Calibri Light"/>
          <w:iCs/>
        </w:rPr>
        <w:t xml:space="preserve">con Mención Honorífica, </w:t>
      </w:r>
      <w:r w:rsidRPr="002A62C5">
        <w:rPr>
          <w:rFonts w:ascii="Calibri Light" w:hAnsi="Calibri Light"/>
          <w:iCs/>
        </w:rPr>
        <w:t>con amplia experiencia en regulación y competencia como Dir. General de Regulación y Privatización, así como de Asuntos Internacionales en la CFC, entre otros cargos. Cuenta con amplia experiencia en regulación sectorial y promoción de competencia, determinación de poder sustancial y condiciones</w:t>
      </w:r>
      <w:r>
        <w:rPr>
          <w:rFonts w:ascii="Calibri Light" w:hAnsi="Calibri Light"/>
          <w:iCs/>
        </w:rPr>
        <w:t xml:space="preserve"> de</w:t>
      </w:r>
      <w:r w:rsidRPr="002A62C5">
        <w:rPr>
          <w:rFonts w:ascii="Calibri Light" w:hAnsi="Calibri Light"/>
          <w:iCs/>
        </w:rPr>
        <w:t xml:space="preserve"> competencia efectiva; diseño de licitaciones; interconexión; comunicación satelital, entre otros. </w:t>
      </w:r>
      <w:r w:rsidRPr="002A62C5">
        <w:rPr>
          <w:rFonts w:asciiTheme="majorHAnsi" w:hAnsiTheme="majorHAnsi"/>
          <w:iCs/>
        </w:rPr>
        <w:t>Ha sido profesora de licenciatura y posgrado en la UP y el ITAM, impartiendo cursos de organización industrial, competencia e</w:t>
      </w:r>
      <w:r>
        <w:rPr>
          <w:rFonts w:asciiTheme="majorHAnsi" w:hAnsiTheme="majorHAnsi"/>
          <w:iCs/>
        </w:rPr>
        <w:t>conómica y análisis de mercados; y cuenta con diversas publicaciones.</w:t>
      </w:r>
    </w:p>
  </w:footnote>
  <w:footnote w:id="11">
    <w:p w14:paraId="4E7233DB" w14:textId="77777777" w:rsidR="00A170A9" w:rsidRPr="00C131EA" w:rsidRDefault="00A170A9" w:rsidP="0014509F">
      <w:pPr>
        <w:pStyle w:val="Textonotapie"/>
        <w:contextualSpacing/>
        <w:rPr>
          <w:rFonts w:asciiTheme="majorHAnsi" w:hAnsiTheme="majorHAnsi" w:cstheme="majorHAnsi"/>
        </w:rPr>
      </w:pPr>
      <w:r>
        <w:rPr>
          <w:rStyle w:val="Refdenotaalpie"/>
        </w:rPr>
        <w:footnoteRef/>
      </w:r>
      <w:r>
        <w:t xml:space="preserve"> </w:t>
      </w:r>
      <w:proofErr w:type="spellStart"/>
      <w:r w:rsidRPr="00C131EA">
        <w:rPr>
          <w:rFonts w:asciiTheme="majorHAnsi" w:hAnsiTheme="majorHAnsi" w:cstheme="majorHAnsi"/>
        </w:rPr>
        <w:t>Peitz</w:t>
      </w:r>
      <w:proofErr w:type="spellEnd"/>
      <w:r w:rsidRPr="00C131EA">
        <w:rPr>
          <w:rFonts w:asciiTheme="majorHAnsi" w:hAnsiTheme="majorHAnsi" w:cstheme="majorHAnsi"/>
        </w:rPr>
        <w:t xml:space="preserve">, M. &amp; </w:t>
      </w:r>
      <w:proofErr w:type="spellStart"/>
      <w:r w:rsidRPr="00C131EA">
        <w:rPr>
          <w:rFonts w:asciiTheme="majorHAnsi" w:hAnsiTheme="majorHAnsi" w:cstheme="majorHAnsi"/>
        </w:rPr>
        <w:t>Valetti</w:t>
      </w:r>
      <w:proofErr w:type="spellEnd"/>
      <w:r w:rsidRPr="00C131EA">
        <w:rPr>
          <w:rFonts w:asciiTheme="majorHAnsi" w:hAnsiTheme="majorHAnsi" w:cstheme="majorHAnsi"/>
        </w:rPr>
        <w:t xml:space="preserve">, T. </w:t>
      </w:r>
      <w:proofErr w:type="spellStart"/>
      <w:r w:rsidRPr="00C131EA">
        <w:rPr>
          <w:rFonts w:asciiTheme="majorHAnsi" w:hAnsiTheme="majorHAnsi" w:cstheme="majorHAnsi"/>
        </w:rPr>
        <w:t>Reassessing</w:t>
      </w:r>
      <w:proofErr w:type="spellEnd"/>
      <w:r w:rsidRPr="00C131EA">
        <w:rPr>
          <w:rFonts w:asciiTheme="majorHAnsi" w:hAnsiTheme="majorHAnsi" w:cstheme="majorHAnsi"/>
        </w:rPr>
        <w:t xml:space="preserve"> </w:t>
      </w:r>
      <w:proofErr w:type="spellStart"/>
      <w:r w:rsidRPr="00C131EA">
        <w:rPr>
          <w:rFonts w:asciiTheme="majorHAnsi" w:hAnsiTheme="majorHAnsi" w:cstheme="majorHAnsi"/>
        </w:rPr>
        <w:t>competition</w:t>
      </w:r>
      <w:proofErr w:type="spellEnd"/>
      <w:r w:rsidRPr="00C131EA">
        <w:rPr>
          <w:rFonts w:asciiTheme="majorHAnsi" w:hAnsiTheme="majorHAnsi" w:cstheme="majorHAnsi"/>
        </w:rPr>
        <w:t xml:space="preserve"> </w:t>
      </w:r>
      <w:proofErr w:type="spellStart"/>
      <w:r w:rsidRPr="00C131EA">
        <w:rPr>
          <w:rFonts w:asciiTheme="majorHAnsi" w:hAnsiTheme="majorHAnsi" w:cstheme="majorHAnsi"/>
        </w:rPr>
        <w:t>concerns</w:t>
      </w:r>
      <w:proofErr w:type="spellEnd"/>
      <w:r w:rsidRPr="00C131EA">
        <w:rPr>
          <w:rFonts w:asciiTheme="majorHAnsi" w:hAnsiTheme="majorHAnsi" w:cstheme="majorHAnsi"/>
        </w:rPr>
        <w:t xml:space="preserve"> in </w:t>
      </w:r>
      <w:proofErr w:type="spellStart"/>
      <w:r w:rsidRPr="00C131EA">
        <w:rPr>
          <w:rFonts w:asciiTheme="majorHAnsi" w:hAnsiTheme="majorHAnsi" w:cstheme="majorHAnsi"/>
        </w:rPr>
        <w:t>electronic</w:t>
      </w:r>
      <w:proofErr w:type="spellEnd"/>
      <w:r w:rsidRPr="00C131EA">
        <w:rPr>
          <w:rFonts w:asciiTheme="majorHAnsi" w:hAnsiTheme="majorHAnsi" w:cstheme="majorHAnsi"/>
        </w:rPr>
        <w:t xml:space="preserve"> </w:t>
      </w:r>
      <w:proofErr w:type="spellStart"/>
      <w:r w:rsidRPr="00C131EA">
        <w:rPr>
          <w:rFonts w:asciiTheme="majorHAnsi" w:hAnsiTheme="majorHAnsi" w:cstheme="majorHAnsi"/>
        </w:rPr>
        <w:t>communications</w:t>
      </w:r>
      <w:proofErr w:type="spellEnd"/>
      <w:r w:rsidRPr="00C131EA">
        <w:rPr>
          <w:rFonts w:asciiTheme="majorHAnsi" w:hAnsiTheme="majorHAnsi" w:cstheme="majorHAnsi"/>
        </w:rPr>
        <w:t xml:space="preserve"> </w:t>
      </w:r>
      <w:proofErr w:type="spellStart"/>
      <w:r w:rsidRPr="00C131EA">
        <w:rPr>
          <w:rFonts w:asciiTheme="majorHAnsi" w:hAnsiTheme="majorHAnsi" w:cstheme="majorHAnsi"/>
        </w:rPr>
        <w:t>markets</w:t>
      </w:r>
      <w:proofErr w:type="spellEnd"/>
      <w:r w:rsidRPr="00C131EA">
        <w:rPr>
          <w:rFonts w:asciiTheme="majorHAnsi" w:hAnsiTheme="majorHAnsi" w:cstheme="majorHAnsi"/>
        </w:rPr>
        <w:t xml:space="preserve">. </w:t>
      </w:r>
      <w:proofErr w:type="spellStart"/>
      <w:r w:rsidRPr="00C131EA">
        <w:rPr>
          <w:rFonts w:asciiTheme="majorHAnsi" w:hAnsiTheme="majorHAnsi" w:cstheme="majorHAnsi"/>
        </w:rPr>
        <w:t>Telecommunications</w:t>
      </w:r>
      <w:proofErr w:type="spellEnd"/>
      <w:r w:rsidRPr="00C131EA">
        <w:rPr>
          <w:rFonts w:asciiTheme="majorHAnsi" w:hAnsiTheme="majorHAnsi" w:cstheme="majorHAnsi"/>
        </w:rPr>
        <w:t xml:space="preserve"> </w:t>
      </w:r>
      <w:proofErr w:type="spellStart"/>
      <w:r w:rsidRPr="00C131EA">
        <w:rPr>
          <w:rFonts w:asciiTheme="majorHAnsi" w:hAnsiTheme="majorHAnsi" w:cstheme="majorHAnsi"/>
        </w:rPr>
        <w:t>Policy</w:t>
      </w:r>
      <w:proofErr w:type="spellEnd"/>
      <w:r w:rsidRPr="00C131EA">
        <w:rPr>
          <w:rFonts w:asciiTheme="majorHAnsi" w:hAnsiTheme="majorHAnsi" w:cstheme="majorHAnsi"/>
        </w:rPr>
        <w:t xml:space="preserve"> 39 (2015) 896-912.</w:t>
      </w:r>
    </w:p>
  </w:footnote>
  <w:footnote w:id="12">
    <w:p w14:paraId="0E3C352C" w14:textId="77777777" w:rsidR="00A170A9" w:rsidRPr="00E13C01" w:rsidRDefault="00A170A9" w:rsidP="0014509F">
      <w:pPr>
        <w:rPr>
          <w:rFonts w:ascii="Calibri Light" w:hAnsi="Calibri Light"/>
          <w:iCs/>
        </w:rPr>
      </w:pPr>
      <w:r>
        <w:rPr>
          <w:rStyle w:val="Refdenotaalpie"/>
        </w:rPr>
        <w:footnoteRef/>
      </w:r>
      <w:r>
        <w:t xml:space="preserve"> </w:t>
      </w:r>
      <w:r>
        <w:rPr>
          <w:rFonts w:ascii="Calibri Light" w:hAnsi="Calibri Light"/>
          <w:bCs/>
          <w:iCs/>
        </w:rPr>
        <w:t>Esperanza Sainz López</w:t>
      </w:r>
      <w:r w:rsidRPr="002A62C5">
        <w:rPr>
          <w:rFonts w:ascii="Calibri Light" w:hAnsi="Calibri Light"/>
          <w:bCs/>
          <w:iCs/>
        </w:rPr>
        <w:t xml:space="preserve"> </w:t>
      </w:r>
      <w:r>
        <w:rPr>
          <w:rFonts w:ascii="Calibri Light" w:hAnsi="Calibri Light"/>
          <w:bCs/>
          <w:iCs/>
        </w:rPr>
        <w:t>cuenta con amplia experiencia en econometría, análisis de series de tiempo, inferencia estadística y análisis exploratorio de datos</w:t>
      </w:r>
      <w:r w:rsidRPr="00E76A1A">
        <w:rPr>
          <w:rFonts w:ascii="Calibri Light" w:hAnsi="Calibri Light"/>
          <w:bCs/>
          <w:iCs/>
        </w:rPr>
        <w:t>. Egresada de la licenciatura en Matemáticas Aplicadas a las Ciencias Sociales y</w:t>
      </w:r>
      <w:r w:rsidRPr="00E76A1A">
        <w:rPr>
          <w:rFonts w:ascii="Calibri Light" w:hAnsi="Calibri Light"/>
          <w:iCs/>
        </w:rPr>
        <w:t xml:space="preserve"> maestra en Finanzas del ITAM. </w:t>
      </w:r>
      <w:r>
        <w:rPr>
          <w:rFonts w:ascii="Calibri Light" w:hAnsi="Calibri Light"/>
          <w:iCs/>
        </w:rPr>
        <w:t>Se desempeñó</w:t>
      </w:r>
      <w:r w:rsidRPr="00E76A1A">
        <w:rPr>
          <w:rFonts w:ascii="Calibri Light" w:hAnsi="Calibri Light"/>
          <w:iCs/>
        </w:rPr>
        <w:t xml:space="preserve"> </w:t>
      </w:r>
      <w:r>
        <w:rPr>
          <w:rFonts w:ascii="Calibri Light" w:hAnsi="Calibri Light"/>
          <w:iCs/>
        </w:rPr>
        <w:t>como Directora General Adjunta de Estadística en el IFT y actualmente es I</w:t>
      </w:r>
      <w:r w:rsidRPr="002A62C5">
        <w:rPr>
          <w:rFonts w:ascii="Calibri Light" w:hAnsi="Calibri Light"/>
          <w:iCs/>
        </w:rPr>
        <w:t xml:space="preserve">nvestigadora en </w:t>
      </w:r>
      <w:r>
        <w:rPr>
          <w:rFonts w:ascii="Calibri Light" w:hAnsi="Calibri Light"/>
          <w:iCs/>
        </w:rPr>
        <w:t>Prospectiva</w:t>
      </w:r>
      <w:r w:rsidRPr="002A62C5">
        <w:rPr>
          <w:rFonts w:ascii="Calibri Light" w:hAnsi="Calibri Light"/>
          <w:iCs/>
        </w:rPr>
        <w:t xml:space="preserve"> en el Centro de </w:t>
      </w:r>
      <w:r>
        <w:rPr>
          <w:rFonts w:ascii="Calibri Light" w:hAnsi="Calibri Light"/>
          <w:iCs/>
        </w:rPr>
        <w:t>Estudios del mismo instituto</w:t>
      </w:r>
      <w:r w:rsidRPr="002A62C5">
        <w:rPr>
          <w:rFonts w:ascii="Calibri Light" w:hAnsi="Calibri Light"/>
          <w:iCs/>
        </w:rPr>
        <w:t>.</w:t>
      </w:r>
      <w:r>
        <w:rPr>
          <w:rFonts w:ascii="Calibri Light" w:hAnsi="Calibri Light"/>
          <w:iCs/>
        </w:rPr>
        <w:t xml:space="preserve"> Anteriormente, realizó varios proyectos de investigación en la DGA de Investigación del INEGI.</w:t>
      </w:r>
      <w:r w:rsidRPr="002A62C5">
        <w:rPr>
          <w:rFonts w:ascii="Calibri Light" w:hAnsi="Calibri Light"/>
          <w:iCs/>
        </w:rPr>
        <w:t xml:space="preserve"> </w:t>
      </w:r>
      <w:r w:rsidRPr="00FE07A6">
        <w:rPr>
          <w:rFonts w:ascii="Calibri Light" w:hAnsi="Calibri Light"/>
          <w:iCs/>
        </w:rPr>
        <w:t>Ha sido profesora de licenciatura y posgrado en diversas instituciones como el ITAM, la UACH, la IBERO, el COLMEX, la CEPAL, impartiendo cursos de econometría, análisis de series de tiempo, probabilidad, inferencia estadística; además, cuenta con diversas publicaciones y desde el año 2000 coordina los Diplomados en Econometría y en Modelos Econométricos Dinámicos en el ITAM.</w:t>
      </w:r>
    </w:p>
  </w:footnote>
  <w:footnote w:id="13">
    <w:p w14:paraId="7C94BAE9" w14:textId="0F391EB5" w:rsidR="00A170A9" w:rsidRPr="008156F1" w:rsidRDefault="00A170A9" w:rsidP="008156F1">
      <w:pPr>
        <w:jc w:val="both"/>
        <w:rPr>
          <w:rFonts w:ascii="Calibri Light" w:hAnsi="Calibri Light"/>
          <w:iCs/>
        </w:rPr>
      </w:pPr>
      <w:r>
        <w:rPr>
          <w:rStyle w:val="Refdenotaalpie"/>
        </w:rPr>
        <w:footnoteRef/>
      </w:r>
      <w:r>
        <w:t xml:space="preserve"> </w:t>
      </w:r>
      <w:r w:rsidRPr="00296054">
        <w:rPr>
          <w:rFonts w:ascii="Calibri Light" w:hAnsi="Calibri Light"/>
          <w:iCs/>
        </w:rPr>
        <w:t>Jesús Zurita</w:t>
      </w:r>
      <w:r>
        <w:t xml:space="preserve"> </w:t>
      </w:r>
      <w:r w:rsidRPr="00296054">
        <w:rPr>
          <w:rFonts w:ascii="Calibri Light" w:hAnsi="Calibri Light"/>
          <w:iCs/>
        </w:rPr>
        <w:t>ha dedicado una parte importante de su carrera profesional a la evaluación y el diseño de políticas públicas. En el sector público trabajó en la Secretaría de Economía, en la Secretaría de Hacienda y en una empresa paraestatal (Grupo PIPSA). En el sector privado colaboró en la consultora CECIC, socia en México del</w:t>
      </w:r>
      <w:r w:rsidRPr="00296054">
        <w:rPr>
          <w:rFonts w:ascii="Calibri Light" w:hAnsi="Calibri Light"/>
          <w:i/>
          <w:iCs/>
        </w:rPr>
        <w:t xml:space="preserve"> </w:t>
      </w:r>
      <w:proofErr w:type="spellStart"/>
      <w:r w:rsidRPr="00296054">
        <w:rPr>
          <w:rFonts w:ascii="Calibri Light" w:hAnsi="Calibri Light"/>
          <w:i/>
          <w:iCs/>
        </w:rPr>
        <w:t>World</w:t>
      </w:r>
      <w:proofErr w:type="spellEnd"/>
      <w:r w:rsidRPr="00296054">
        <w:rPr>
          <w:rFonts w:ascii="Calibri Light" w:hAnsi="Calibri Light"/>
          <w:i/>
          <w:iCs/>
        </w:rPr>
        <w:t xml:space="preserve"> </w:t>
      </w:r>
      <w:proofErr w:type="spellStart"/>
      <w:r w:rsidRPr="00296054">
        <w:rPr>
          <w:rFonts w:ascii="Calibri Light" w:hAnsi="Calibri Light"/>
          <w:i/>
          <w:iCs/>
        </w:rPr>
        <w:t>Economic</w:t>
      </w:r>
      <w:proofErr w:type="spellEnd"/>
      <w:r w:rsidRPr="00296054">
        <w:rPr>
          <w:rFonts w:ascii="Calibri Light" w:hAnsi="Calibri Light"/>
          <w:i/>
          <w:iCs/>
        </w:rPr>
        <w:t xml:space="preserve"> </w:t>
      </w:r>
      <w:proofErr w:type="spellStart"/>
      <w:r w:rsidRPr="00296054">
        <w:rPr>
          <w:rFonts w:ascii="Calibri Light" w:hAnsi="Calibri Light"/>
          <w:i/>
          <w:iCs/>
        </w:rPr>
        <w:t>Forum</w:t>
      </w:r>
      <w:proofErr w:type="spellEnd"/>
      <w:r w:rsidRPr="00296054">
        <w:rPr>
          <w:rFonts w:ascii="Calibri Light" w:hAnsi="Calibri Light"/>
          <w:iCs/>
        </w:rPr>
        <w:t>, enfocada a la asesoría para mejorar el desempeño de la administración pública de varios estados del país (Nuevo León, Coahuila, Veracruz, Morelos, entre otros) y que también brindó servicios de asesoría en políticas públicas al gobierno de la República Dominicana en la administración del Presidente Leonel Fernández. Ha sido consultor de SAGARPA, el Instituto Interamericano de Cooperación para la Agricultura (IICA), PEMEX y el Banco de México, en temas de licitaciones y competencia económica. Ha sido profesor de licenciatura y posgrado en la UAM, la UNAM y el ITAM, impartiendo cursos de organización industrial, econometría y matemáticas, entre otros. Realizó estudios de doctorado en economía en la Univers</w:t>
      </w:r>
      <w:r w:rsidR="008156F1">
        <w:rPr>
          <w:rFonts w:ascii="Calibri Light" w:hAnsi="Calibri Light"/>
          <w:iCs/>
        </w:rPr>
        <w:t>idad de Minnesota, Minneapolis.</w:t>
      </w:r>
    </w:p>
  </w:footnote>
  <w:footnote w:id="14">
    <w:p w14:paraId="7CBF9EB2" w14:textId="1EAD3188" w:rsidR="00A170A9" w:rsidRPr="002A62C5" w:rsidRDefault="00A170A9" w:rsidP="008156F1">
      <w:pPr>
        <w:jc w:val="both"/>
      </w:pPr>
      <w:r>
        <w:rPr>
          <w:rStyle w:val="Refdenotaalpie"/>
        </w:rPr>
        <w:footnoteRef/>
      </w:r>
      <w:r>
        <w:t xml:space="preserve"> </w:t>
      </w:r>
      <w:r w:rsidRPr="0043150D">
        <w:rPr>
          <w:rFonts w:ascii="Calibri Light" w:hAnsi="Calibri Light"/>
          <w:bCs/>
          <w:iCs/>
        </w:rPr>
        <w:t>Investigador en Regulación Comparada</w:t>
      </w:r>
      <w:r>
        <w:rPr>
          <w:rFonts w:ascii="Calibri Light" w:hAnsi="Calibri Light"/>
          <w:bCs/>
          <w:iCs/>
        </w:rPr>
        <w:t xml:space="preserve"> en el Centro de Estudios del Instituto Federal de Telecomunicaciones. </w:t>
      </w:r>
      <w:r w:rsidRPr="0043150D">
        <w:rPr>
          <w:rFonts w:ascii="Calibri Light" w:hAnsi="Calibri Light"/>
          <w:bCs/>
          <w:iCs/>
        </w:rPr>
        <w:t xml:space="preserve">Licenciado en Matemáticas por la Universidad de Guadalajara, estudió maestrías en Economía de la Energía en la Escuela Enrico </w:t>
      </w:r>
      <w:proofErr w:type="spellStart"/>
      <w:r w:rsidRPr="0043150D">
        <w:rPr>
          <w:rFonts w:ascii="Calibri Light" w:hAnsi="Calibri Light"/>
          <w:bCs/>
          <w:iCs/>
        </w:rPr>
        <w:t>Mattei</w:t>
      </w:r>
      <w:proofErr w:type="spellEnd"/>
      <w:r w:rsidRPr="0043150D">
        <w:rPr>
          <w:rFonts w:ascii="Calibri Light" w:hAnsi="Calibri Light"/>
          <w:bCs/>
          <w:iCs/>
        </w:rPr>
        <w:t xml:space="preserve"> (Italia), en Economía en la Universidad de Wisconsin-Madison (EE.UU.) y en Investigación de Operaciones en la UNAM. Fue Profesor de Economía y Matemáticas en la Universidad de Guadalajara, Director General Adjunto en La Comisión Federal de Competencia (COFECE) y Director General de Consulta Económica en el Instituto Federal de Telecomunicaciones (IFT). Es Candidato a Doctor en Economía por la Universidad de Maryland-</w:t>
      </w:r>
      <w:proofErr w:type="spellStart"/>
      <w:r w:rsidRPr="0043150D">
        <w:rPr>
          <w:rFonts w:ascii="Calibri Light" w:hAnsi="Calibri Light"/>
          <w:bCs/>
          <w:iCs/>
        </w:rPr>
        <w:t>College</w:t>
      </w:r>
      <w:proofErr w:type="spellEnd"/>
      <w:r w:rsidRPr="0043150D">
        <w:rPr>
          <w:rFonts w:ascii="Calibri Light" w:hAnsi="Calibri Light"/>
          <w:bCs/>
          <w:iCs/>
        </w:rPr>
        <w:t xml:space="preserve"> Park. En 2015 y 2017, fue propuesto al Ejecutivo Federal en las quintetas de aspirantes con mejor calificación en el examen para Comisionado de IFT y COFECE</w:t>
      </w:r>
      <w:r>
        <w:rPr>
          <w:rFonts w:asciiTheme="majorHAnsi" w:hAnsiTheme="majorHAnsi"/>
          <w:iCs/>
        </w:rPr>
        <w:t>.</w:t>
      </w:r>
    </w:p>
  </w:footnote>
  <w:footnote w:id="15">
    <w:p w14:paraId="27EDE3C2" w14:textId="0A9E8701" w:rsidR="00A170A9" w:rsidRPr="002A62C5" w:rsidRDefault="00A170A9" w:rsidP="008156F1">
      <w:pPr>
        <w:jc w:val="both"/>
      </w:pPr>
      <w:r>
        <w:rPr>
          <w:rStyle w:val="Refdenotaalpie"/>
        </w:rPr>
        <w:footnoteRef/>
      </w:r>
      <w:r>
        <w:t xml:space="preserve"> </w:t>
      </w:r>
      <w:r w:rsidRPr="002A62C5">
        <w:rPr>
          <w:rFonts w:ascii="Calibri Light" w:hAnsi="Calibri Light"/>
          <w:bCs/>
          <w:iCs/>
        </w:rPr>
        <w:t xml:space="preserve">Rebeca Escobar Briones es </w:t>
      </w:r>
      <w:r>
        <w:rPr>
          <w:rFonts w:ascii="Calibri Light" w:hAnsi="Calibri Light"/>
          <w:bCs/>
          <w:iCs/>
        </w:rPr>
        <w:t>investigadora en Competencia Económica en el Centro de Estudios del IFT. E</w:t>
      </w:r>
      <w:r w:rsidRPr="002A62C5">
        <w:rPr>
          <w:rFonts w:ascii="Calibri Light" w:hAnsi="Calibri Light"/>
          <w:bCs/>
          <w:iCs/>
        </w:rPr>
        <w:t>xperta en t</w:t>
      </w:r>
      <w:r>
        <w:rPr>
          <w:rFonts w:ascii="Calibri Light" w:hAnsi="Calibri Light"/>
          <w:bCs/>
          <w:iCs/>
        </w:rPr>
        <w:t>elecomunicaciones y competencia, ha sido</w:t>
      </w:r>
      <w:r w:rsidRPr="002A62C5">
        <w:rPr>
          <w:rFonts w:ascii="Calibri Light" w:hAnsi="Calibri Light"/>
          <w:bCs/>
          <w:iCs/>
        </w:rPr>
        <w:t xml:space="preserve"> </w:t>
      </w:r>
      <w:r w:rsidRPr="002A62C5">
        <w:rPr>
          <w:rFonts w:ascii="Calibri Light" w:hAnsi="Calibri Light"/>
          <w:iCs/>
        </w:rPr>
        <w:t xml:space="preserve">Candidata a Comisionada para el IFT y la </w:t>
      </w:r>
      <w:proofErr w:type="spellStart"/>
      <w:r w:rsidRPr="002A62C5">
        <w:rPr>
          <w:rFonts w:ascii="Calibri Light" w:hAnsi="Calibri Light"/>
          <w:iCs/>
        </w:rPr>
        <w:t>Cofece</w:t>
      </w:r>
      <w:proofErr w:type="spellEnd"/>
      <w:r w:rsidRPr="002A62C5">
        <w:rPr>
          <w:rFonts w:ascii="Calibri Light" w:hAnsi="Calibri Light"/>
          <w:iCs/>
        </w:rPr>
        <w:t xml:space="preserve"> en 2013</w:t>
      </w:r>
      <w:r>
        <w:rPr>
          <w:rFonts w:ascii="Calibri Light" w:hAnsi="Calibri Light"/>
          <w:iCs/>
        </w:rPr>
        <w:t xml:space="preserve"> y 2016</w:t>
      </w:r>
      <w:r w:rsidRPr="002A62C5">
        <w:rPr>
          <w:rFonts w:ascii="Calibri Light" w:hAnsi="Calibri Light"/>
          <w:iCs/>
        </w:rPr>
        <w:t xml:space="preserve">. </w:t>
      </w:r>
      <w:r>
        <w:rPr>
          <w:rFonts w:ascii="Calibri Light" w:hAnsi="Calibri Light"/>
          <w:iCs/>
        </w:rPr>
        <w:t>Es maestra en Po</w:t>
      </w:r>
      <w:r w:rsidRPr="002A62C5">
        <w:rPr>
          <w:rFonts w:ascii="Calibri Light" w:hAnsi="Calibri Light"/>
          <w:iCs/>
        </w:rPr>
        <w:t>lítica Pública (ITAM) y</w:t>
      </w:r>
      <w:r>
        <w:rPr>
          <w:rFonts w:ascii="Calibri Light" w:hAnsi="Calibri Light"/>
          <w:iCs/>
        </w:rPr>
        <w:t xml:space="preserve"> cuenta con un</w:t>
      </w:r>
      <w:r w:rsidRPr="002A62C5">
        <w:rPr>
          <w:rFonts w:ascii="Calibri Light" w:hAnsi="Calibri Light"/>
          <w:iCs/>
        </w:rPr>
        <w:t xml:space="preserve"> postgrado en Administración de Empresas (U. Católica de Lovaina). Egresada de la carrera de economía (ITAM) </w:t>
      </w:r>
      <w:r>
        <w:rPr>
          <w:rFonts w:ascii="Calibri Light" w:hAnsi="Calibri Light"/>
          <w:iCs/>
        </w:rPr>
        <w:t xml:space="preserve">con Mención Honorífica, </w:t>
      </w:r>
      <w:r w:rsidRPr="002A62C5">
        <w:rPr>
          <w:rFonts w:ascii="Calibri Light" w:hAnsi="Calibri Light"/>
          <w:iCs/>
        </w:rPr>
        <w:t xml:space="preserve">con amplia experiencia en regulación y competencia como Dir. General de Regulación y Privatización, así como de Asuntos Internacionales en la CFC, entre otros cargos. Cuenta con amplia experiencia en regulación sectorial y promoción de competencia, determinación de poder sustancial y condiciones </w:t>
      </w:r>
      <w:r>
        <w:rPr>
          <w:rFonts w:ascii="Calibri Light" w:hAnsi="Calibri Light"/>
          <w:iCs/>
        </w:rPr>
        <w:t xml:space="preserve">de </w:t>
      </w:r>
      <w:r w:rsidRPr="002A62C5">
        <w:rPr>
          <w:rFonts w:ascii="Calibri Light" w:hAnsi="Calibri Light"/>
          <w:iCs/>
        </w:rPr>
        <w:t xml:space="preserve">competencia efectiva; diseño de licitaciones; interconexión; comunicación satelital, entre otros. </w:t>
      </w:r>
      <w:r w:rsidRPr="002A62C5">
        <w:rPr>
          <w:rFonts w:asciiTheme="majorHAnsi" w:hAnsiTheme="majorHAnsi"/>
          <w:iCs/>
        </w:rPr>
        <w:t>Ha sido profesora de licenciatura y posgrado en la UP y el ITAM, impartiendo cursos de organización industrial, competencia e</w:t>
      </w:r>
      <w:r>
        <w:rPr>
          <w:rFonts w:asciiTheme="majorHAnsi" w:hAnsiTheme="majorHAnsi"/>
          <w:iCs/>
        </w:rPr>
        <w:t>conómica y análisis de mercados; y cuenta con diversas publicaciones.</w:t>
      </w:r>
    </w:p>
  </w:footnote>
  <w:footnote w:id="16">
    <w:p w14:paraId="6C4761E4" w14:textId="77777777" w:rsidR="00A170A9" w:rsidRPr="000959D3" w:rsidRDefault="00A170A9" w:rsidP="0014509F">
      <w:pPr>
        <w:jc w:val="both"/>
        <w:rPr>
          <w:rFonts w:ascii="Calibri Light" w:hAnsi="Calibri Light"/>
          <w:iCs/>
        </w:rPr>
      </w:pPr>
      <w:r>
        <w:rPr>
          <w:rStyle w:val="Refdenotaalpie"/>
        </w:rPr>
        <w:footnoteRef/>
      </w:r>
      <w:r>
        <w:t xml:space="preserve"> </w:t>
      </w:r>
      <w:r w:rsidRPr="00296054">
        <w:rPr>
          <w:rFonts w:ascii="Calibri Light" w:hAnsi="Calibri Light"/>
          <w:iCs/>
        </w:rPr>
        <w:t>Jesús Zurita</w:t>
      </w:r>
      <w:r>
        <w:t xml:space="preserve"> </w:t>
      </w:r>
      <w:r w:rsidRPr="00296054">
        <w:rPr>
          <w:rFonts w:ascii="Calibri Light" w:hAnsi="Calibri Light"/>
          <w:iCs/>
        </w:rPr>
        <w:t>ha dedicado una parte importante de su carrera profesional a la evaluación y el diseño de políticas públicas. En el sector público trabajó en la Secretaría de Economía, en la Secretaría de Hacienda y en una empresa paraestatal (Grupo PIPSA). En el sector privado colaboró en la consultora CECIC, socia en México del</w:t>
      </w:r>
      <w:r w:rsidRPr="00296054">
        <w:rPr>
          <w:rFonts w:ascii="Calibri Light" w:hAnsi="Calibri Light"/>
          <w:i/>
          <w:iCs/>
        </w:rPr>
        <w:t xml:space="preserve"> </w:t>
      </w:r>
      <w:proofErr w:type="spellStart"/>
      <w:r w:rsidRPr="00296054">
        <w:rPr>
          <w:rFonts w:ascii="Calibri Light" w:hAnsi="Calibri Light"/>
          <w:i/>
          <w:iCs/>
        </w:rPr>
        <w:t>World</w:t>
      </w:r>
      <w:proofErr w:type="spellEnd"/>
      <w:r w:rsidRPr="00296054">
        <w:rPr>
          <w:rFonts w:ascii="Calibri Light" w:hAnsi="Calibri Light"/>
          <w:i/>
          <w:iCs/>
        </w:rPr>
        <w:t xml:space="preserve"> </w:t>
      </w:r>
      <w:proofErr w:type="spellStart"/>
      <w:r w:rsidRPr="00296054">
        <w:rPr>
          <w:rFonts w:ascii="Calibri Light" w:hAnsi="Calibri Light"/>
          <w:i/>
          <w:iCs/>
        </w:rPr>
        <w:t>Economic</w:t>
      </w:r>
      <w:proofErr w:type="spellEnd"/>
      <w:r w:rsidRPr="00296054">
        <w:rPr>
          <w:rFonts w:ascii="Calibri Light" w:hAnsi="Calibri Light"/>
          <w:i/>
          <w:iCs/>
        </w:rPr>
        <w:t xml:space="preserve"> </w:t>
      </w:r>
      <w:proofErr w:type="spellStart"/>
      <w:r w:rsidRPr="00296054">
        <w:rPr>
          <w:rFonts w:ascii="Calibri Light" w:hAnsi="Calibri Light"/>
          <w:i/>
          <w:iCs/>
        </w:rPr>
        <w:t>Forum</w:t>
      </w:r>
      <w:proofErr w:type="spellEnd"/>
      <w:r w:rsidRPr="00296054">
        <w:rPr>
          <w:rFonts w:ascii="Calibri Light" w:hAnsi="Calibri Light"/>
          <w:iCs/>
        </w:rPr>
        <w:t>, enfocada a la asesoría para mejorar el desempeño de la administración pública de varios estados del país (Nuevo León, Coahuila, Veracruz, Morelos, entre otros) y que también brindó servicios de asesoría en políticas públicas al gobierno de la República Dominicana en la administración del Presidente Leonel Fernández. Ha sido consultor de SAGARPA, el Instituto Interamericano de Cooperación para la Agricultura (IICA), PEMEX y el Banco de México, en temas de licitaciones y competencia económica. Ha sido profesor de licenciatura y posgrado en la UAM, la UNAM y el ITAM, impartiendo cursos de organización industrial, econometría y matemáticas, entre otros. Realizó estudios de doctorado en economía en la Universidad de Minnesota, Minneapolis.</w:t>
      </w:r>
    </w:p>
  </w:footnote>
  <w:footnote w:id="17">
    <w:p w14:paraId="09834E8F" w14:textId="77777777" w:rsidR="00A170A9" w:rsidRPr="004E328D" w:rsidRDefault="00A170A9" w:rsidP="00AC05DA">
      <w:pPr>
        <w:jc w:val="both"/>
        <w:rPr>
          <w:rFonts w:asciiTheme="majorHAnsi" w:hAnsiTheme="majorHAnsi"/>
          <w:iCs/>
        </w:rPr>
      </w:pPr>
      <w:r>
        <w:rPr>
          <w:rStyle w:val="Refdenotaalpie"/>
        </w:rPr>
        <w:footnoteRef/>
      </w:r>
      <w:r>
        <w:t xml:space="preserve"> </w:t>
      </w:r>
      <w:r w:rsidRPr="00EF39B9">
        <w:rPr>
          <w:rFonts w:asciiTheme="majorHAnsi" w:hAnsiTheme="majorHAnsi"/>
          <w:iCs/>
        </w:rPr>
        <w:t xml:space="preserve">Doctor en Economía Aplicada por la </w:t>
      </w:r>
      <w:proofErr w:type="spellStart"/>
      <w:r w:rsidRPr="00EF39B9">
        <w:rPr>
          <w:rFonts w:asciiTheme="majorHAnsi" w:hAnsiTheme="majorHAnsi"/>
          <w:i/>
          <w:iCs/>
        </w:rPr>
        <w:t>Universitat</w:t>
      </w:r>
      <w:proofErr w:type="spellEnd"/>
      <w:r w:rsidRPr="00EF39B9">
        <w:rPr>
          <w:rFonts w:asciiTheme="majorHAnsi" w:hAnsiTheme="majorHAnsi"/>
          <w:i/>
          <w:iCs/>
        </w:rPr>
        <w:t xml:space="preserve"> de les Illes Balears</w:t>
      </w:r>
      <w:r w:rsidRPr="00EF39B9">
        <w:rPr>
          <w:rFonts w:asciiTheme="majorHAnsi" w:hAnsiTheme="majorHAnsi"/>
          <w:iCs/>
        </w:rPr>
        <w:t xml:space="preserve">. Cuenta con experiencia internacional como consultor independiente en telecomunicaciones, en aspectos tecno-económicos, tales como los asociados a modelos de costos de interconexión, así como en materia de regulación y mejores prácticas internacionales para fomentar la competencia y la contestabilidad en mercados de telecomunicaciones, mediante la entrada de nuevos participantes. </w:t>
      </w:r>
      <w:r>
        <w:rPr>
          <w:rFonts w:asciiTheme="majorHAnsi" w:hAnsiTheme="majorHAnsi"/>
          <w:iCs/>
        </w:rPr>
        <w:t>E</w:t>
      </w:r>
      <w:r w:rsidRPr="00EF39B9">
        <w:rPr>
          <w:rFonts w:asciiTheme="majorHAnsi" w:hAnsiTheme="majorHAnsi"/>
          <w:iCs/>
        </w:rPr>
        <w:t xml:space="preserve">n su labor como investigador </w:t>
      </w:r>
      <w:r>
        <w:rPr>
          <w:rFonts w:asciiTheme="majorHAnsi" w:hAnsiTheme="majorHAnsi"/>
          <w:iCs/>
        </w:rPr>
        <w:t>d</w:t>
      </w:r>
      <w:r w:rsidRPr="00EF39B9">
        <w:rPr>
          <w:rFonts w:asciiTheme="majorHAnsi" w:hAnsiTheme="majorHAnsi"/>
          <w:iCs/>
        </w:rPr>
        <w:t xml:space="preserve">el Instituto Federal de Telecomunicaciones ha realizado investigaciones sobre concentración de mercado y espectro radioeléctrico, sobre neutralidad de las redes y </w:t>
      </w:r>
      <w:proofErr w:type="spellStart"/>
      <w:r w:rsidRPr="00EF39B9">
        <w:rPr>
          <w:rFonts w:asciiTheme="majorHAnsi" w:hAnsiTheme="majorHAnsi"/>
          <w:i/>
          <w:iCs/>
        </w:rPr>
        <w:t>zero</w:t>
      </w:r>
      <w:proofErr w:type="spellEnd"/>
      <w:r w:rsidRPr="00EF39B9">
        <w:rPr>
          <w:rFonts w:asciiTheme="majorHAnsi" w:hAnsiTheme="majorHAnsi"/>
          <w:i/>
          <w:iCs/>
        </w:rPr>
        <w:t>-rating</w:t>
      </w:r>
      <w:r w:rsidRPr="00EF39B9">
        <w:rPr>
          <w:rFonts w:asciiTheme="majorHAnsi" w:hAnsiTheme="majorHAnsi"/>
          <w:iCs/>
        </w:rPr>
        <w:t xml:space="preserve"> y sobre inversión en redes de telecomunicación. Asimismo</w:t>
      </w:r>
      <w:r>
        <w:rPr>
          <w:rFonts w:asciiTheme="majorHAnsi" w:hAnsiTheme="majorHAnsi"/>
          <w:iCs/>
        </w:rPr>
        <w:t>,</w:t>
      </w:r>
      <w:r w:rsidRPr="00EF39B9">
        <w:rPr>
          <w:rFonts w:asciiTheme="majorHAnsi" w:hAnsiTheme="majorHAnsi"/>
          <w:iCs/>
        </w:rPr>
        <w:t xml:space="preserve"> ha participado en la elaboración de notas y proyectos </w:t>
      </w:r>
      <w:r>
        <w:rPr>
          <w:rFonts w:asciiTheme="majorHAnsi" w:hAnsiTheme="majorHAnsi"/>
          <w:iCs/>
        </w:rPr>
        <w:t xml:space="preserve">entre los que </w:t>
      </w:r>
      <w:r w:rsidRPr="00EF39B9">
        <w:rPr>
          <w:rFonts w:asciiTheme="majorHAnsi" w:hAnsiTheme="majorHAnsi"/>
          <w:iCs/>
        </w:rPr>
        <w:t>destacan la elaboración de pronósticos de variables clave en el sector y de estimaciones de índices de precios mediante el enfoque hedónico.</w:t>
      </w:r>
    </w:p>
  </w:footnote>
  <w:footnote w:id="18">
    <w:p w14:paraId="0D6978A1" w14:textId="77777777" w:rsidR="00A170A9" w:rsidRPr="00E13C01" w:rsidRDefault="00A170A9" w:rsidP="00A170A9">
      <w:pPr>
        <w:jc w:val="both"/>
        <w:rPr>
          <w:rFonts w:ascii="Calibri Light" w:hAnsi="Calibri Light"/>
          <w:iCs/>
        </w:rPr>
      </w:pPr>
      <w:r>
        <w:rPr>
          <w:rStyle w:val="Refdenotaalpie"/>
        </w:rPr>
        <w:footnoteRef/>
      </w:r>
      <w:r>
        <w:t xml:space="preserve"> </w:t>
      </w:r>
      <w:r>
        <w:rPr>
          <w:rFonts w:ascii="Calibri Light" w:hAnsi="Calibri Light"/>
          <w:bCs/>
          <w:iCs/>
        </w:rPr>
        <w:t>Esperanza Sainz López</w:t>
      </w:r>
      <w:r w:rsidRPr="002A62C5">
        <w:rPr>
          <w:rFonts w:ascii="Calibri Light" w:hAnsi="Calibri Light"/>
          <w:bCs/>
          <w:iCs/>
        </w:rPr>
        <w:t xml:space="preserve"> </w:t>
      </w:r>
      <w:r>
        <w:rPr>
          <w:rFonts w:ascii="Calibri Light" w:hAnsi="Calibri Light"/>
          <w:bCs/>
          <w:iCs/>
        </w:rPr>
        <w:t>cuenta con amplia experiencia en econometría, análisis de series de tiempo, inferencia estadística y análisis exploratorio de datos</w:t>
      </w:r>
      <w:r w:rsidRPr="00E76A1A">
        <w:rPr>
          <w:rFonts w:ascii="Calibri Light" w:hAnsi="Calibri Light"/>
          <w:bCs/>
          <w:iCs/>
        </w:rPr>
        <w:t>. Egresada de la licenciatura en Matemáticas Aplicadas a las Ciencias Sociales y</w:t>
      </w:r>
      <w:r w:rsidRPr="00E76A1A">
        <w:rPr>
          <w:rFonts w:ascii="Calibri Light" w:hAnsi="Calibri Light"/>
          <w:iCs/>
        </w:rPr>
        <w:t xml:space="preserve"> maestra en Finanzas del ITAM. </w:t>
      </w:r>
      <w:r>
        <w:rPr>
          <w:rFonts w:ascii="Calibri Light" w:hAnsi="Calibri Light"/>
          <w:iCs/>
        </w:rPr>
        <w:t>Se desempeñó</w:t>
      </w:r>
      <w:r w:rsidRPr="00E76A1A">
        <w:rPr>
          <w:rFonts w:ascii="Calibri Light" w:hAnsi="Calibri Light"/>
          <w:iCs/>
        </w:rPr>
        <w:t xml:space="preserve"> </w:t>
      </w:r>
      <w:r>
        <w:rPr>
          <w:rFonts w:ascii="Calibri Light" w:hAnsi="Calibri Light"/>
          <w:iCs/>
        </w:rPr>
        <w:t>como Directora General Adjunta de Estadística en el IFT y actualmente es I</w:t>
      </w:r>
      <w:r w:rsidRPr="002A62C5">
        <w:rPr>
          <w:rFonts w:ascii="Calibri Light" w:hAnsi="Calibri Light"/>
          <w:iCs/>
        </w:rPr>
        <w:t xml:space="preserve">nvestigadora en </w:t>
      </w:r>
      <w:r>
        <w:rPr>
          <w:rFonts w:ascii="Calibri Light" w:hAnsi="Calibri Light"/>
          <w:iCs/>
        </w:rPr>
        <w:t>Prospectiva</w:t>
      </w:r>
      <w:r w:rsidRPr="002A62C5">
        <w:rPr>
          <w:rFonts w:ascii="Calibri Light" w:hAnsi="Calibri Light"/>
          <w:iCs/>
        </w:rPr>
        <w:t xml:space="preserve"> en el Centro de </w:t>
      </w:r>
      <w:r>
        <w:rPr>
          <w:rFonts w:ascii="Calibri Light" w:hAnsi="Calibri Light"/>
          <w:iCs/>
        </w:rPr>
        <w:t>Estudios del mismo instituto</w:t>
      </w:r>
      <w:r w:rsidRPr="002A62C5">
        <w:rPr>
          <w:rFonts w:ascii="Calibri Light" w:hAnsi="Calibri Light"/>
          <w:iCs/>
        </w:rPr>
        <w:t>.</w:t>
      </w:r>
      <w:r>
        <w:rPr>
          <w:rFonts w:ascii="Calibri Light" w:hAnsi="Calibri Light"/>
          <w:iCs/>
        </w:rPr>
        <w:t xml:space="preserve"> Anteriormente, realizó varios proyectos de investigación en la DGA de Investigación del INEGI.</w:t>
      </w:r>
      <w:r w:rsidRPr="002A62C5">
        <w:rPr>
          <w:rFonts w:ascii="Calibri Light" w:hAnsi="Calibri Light"/>
          <w:iCs/>
        </w:rPr>
        <w:t xml:space="preserve"> </w:t>
      </w:r>
      <w:r w:rsidRPr="006C0D1C">
        <w:rPr>
          <w:rFonts w:ascii="Calibri Light" w:hAnsi="Calibri Light"/>
          <w:iCs/>
        </w:rPr>
        <w:t>Ha sido profesora de licenciatura y posgrado en diversas instituciones como el ITAM, la UACH, la IBERO, el COLMEX, la CEPAL, impartiendo cursos de econometría, análisis de series de tiempo, probabilidad, inferencia estadística; además, cuenta con diversas publicaciones y desde el año 2000 coordina los Diplomados en Econometría y en Modelos Econométricos Dinámicos en el ITAM.</w:t>
      </w:r>
    </w:p>
  </w:footnote>
  <w:footnote w:id="19">
    <w:p w14:paraId="22456034" w14:textId="77777777" w:rsidR="00A170A9" w:rsidRPr="00E97707" w:rsidRDefault="00A170A9" w:rsidP="00A170A9">
      <w:pPr>
        <w:jc w:val="both"/>
        <w:rPr>
          <w:rFonts w:asciiTheme="majorHAnsi" w:hAnsiTheme="majorHAnsi"/>
          <w:iCs/>
        </w:rPr>
      </w:pPr>
      <w:r>
        <w:rPr>
          <w:rStyle w:val="Refdenotaalpie"/>
        </w:rPr>
        <w:footnoteRef/>
      </w:r>
      <w:r w:rsidRPr="009C079F">
        <w:rPr>
          <w:rFonts w:asciiTheme="majorHAnsi" w:hAnsiTheme="majorHAnsi"/>
          <w:iCs/>
        </w:rPr>
        <w:t>José Luis Cuevas Ruíz cuenta con amplia experiencia en el ámbito de las Telecomunicaciones y las Tecnologías de la Información. Es Ingeniero en Electrónica por el Instituto Tecnológico de Veracruz; cursó el Doctorado en la Universidad Politécnica de Cataluña, en Barcelona España, y cuenta con una maestría en Comunicaciones por el CENIDET (Centro Nacional de Investigación y Desarrollo Tecnológico). Ha sido docente para el ITESM por más de 15 años, desarrollando actividades de investigación y dirección de tesis, con más de 40 publicaciones en congresos y revistas internacionales. Tiene experiencia como consultor en el ámbito de las Telecomunicaciones, participando en proyectos para empresas privadas y gubernamentales.</w:t>
      </w:r>
    </w:p>
  </w:footnote>
  <w:footnote w:id="20">
    <w:p w14:paraId="5A8868B5" w14:textId="77777777" w:rsidR="00A170A9" w:rsidRPr="00AE20E3" w:rsidRDefault="00A170A9" w:rsidP="00AC05DA">
      <w:pPr>
        <w:jc w:val="both"/>
        <w:rPr>
          <w:rFonts w:asciiTheme="majorHAnsi" w:hAnsiTheme="majorHAnsi"/>
          <w:iCs/>
        </w:rPr>
      </w:pPr>
      <w:r>
        <w:rPr>
          <w:rStyle w:val="Refdenotaalpie"/>
        </w:rPr>
        <w:footnoteRef/>
      </w:r>
      <w:r w:rsidRPr="00AE20E3">
        <w:rPr>
          <w:rFonts w:asciiTheme="majorHAnsi" w:hAnsiTheme="majorHAnsi"/>
          <w:iCs/>
        </w:rPr>
        <w:t>José Luis Cuevas Ruíz cuenta con amplia experiencia en el ámbito de las Telecomunicaciones y las Tecnologías de la Información. Es Ingeniero en Electrónica por el Instituto Tecnológico de Veracruz; cursó el Doctorado en la Universidad Politécnica de Cataluña, en Barcelona España, y cuenta con una maestría en Comunicaciones por el CENIDET (Centro Nacional de Investigación y Desarrollo Tecnológico). Ha sido docente para el ITESM por más de 15 años, desarrollando actividades de investigación y dirección de tesis, con más de 40 publicaciones en congresos y revistas internacionales. Tiene experiencia como consultor en el ámbito de las Telecomunicaciones, participando en proyectos para empresas privadas y gubernamentales.</w:t>
      </w:r>
    </w:p>
  </w:footnote>
  <w:footnote w:id="21">
    <w:p w14:paraId="3E25BBF9" w14:textId="77777777" w:rsidR="00A170A9" w:rsidRPr="004E328D" w:rsidRDefault="00A170A9" w:rsidP="00AC05DA">
      <w:pPr>
        <w:jc w:val="both"/>
        <w:rPr>
          <w:rFonts w:asciiTheme="majorHAnsi" w:hAnsiTheme="majorHAnsi"/>
          <w:iCs/>
        </w:rPr>
      </w:pPr>
      <w:r>
        <w:rPr>
          <w:rStyle w:val="Refdenotaalpie"/>
        </w:rPr>
        <w:footnoteRef/>
      </w:r>
      <w:r>
        <w:t xml:space="preserve"> </w:t>
      </w:r>
      <w:r w:rsidRPr="00EF39B9">
        <w:rPr>
          <w:rFonts w:asciiTheme="majorHAnsi" w:hAnsiTheme="majorHAnsi"/>
          <w:iCs/>
        </w:rPr>
        <w:t xml:space="preserve">Doctor en Economía Aplicada por la </w:t>
      </w:r>
      <w:proofErr w:type="spellStart"/>
      <w:r w:rsidRPr="00EF39B9">
        <w:rPr>
          <w:rFonts w:asciiTheme="majorHAnsi" w:hAnsiTheme="majorHAnsi"/>
          <w:i/>
          <w:iCs/>
        </w:rPr>
        <w:t>Universitat</w:t>
      </w:r>
      <w:proofErr w:type="spellEnd"/>
      <w:r w:rsidRPr="00EF39B9">
        <w:rPr>
          <w:rFonts w:asciiTheme="majorHAnsi" w:hAnsiTheme="majorHAnsi"/>
          <w:i/>
          <w:iCs/>
        </w:rPr>
        <w:t xml:space="preserve"> de les Illes Balears</w:t>
      </w:r>
      <w:r w:rsidRPr="00EF39B9">
        <w:rPr>
          <w:rFonts w:asciiTheme="majorHAnsi" w:hAnsiTheme="majorHAnsi"/>
          <w:iCs/>
        </w:rPr>
        <w:t xml:space="preserve">. Cuenta con experiencia internacional como consultor independiente en telecomunicaciones, en aspectos tecno-económicos, tales como los asociados a modelos de costos de interconexión, así como en materia de regulación y mejores prácticas internacionales para fomentar la competencia y la contestabilidad en mercados de telecomunicaciones, mediante la entrada de nuevos participantes. </w:t>
      </w:r>
      <w:r>
        <w:rPr>
          <w:rFonts w:asciiTheme="majorHAnsi" w:hAnsiTheme="majorHAnsi"/>
          <w:iCs/>
        </w:rPr>
        <w:t>E</w:t>
      </w:r>
      <w:r w:rsidRPr="00EF39B9">
        <w:rPr>
          <w:rFonts w:asciiTheme="majorHAnsi" w:hAnsiTheme="majorHAnsi"/>
          <w:iCs/>
        </w:rPr>
        <w:t xml:space="preserve">n su labor como investigador </w:t>
      </w:r>
      <w:r>
        <w:rPr>
          <w:rFonts w:asciiTheme="majorHAnsi" w:hAnsiTheme="majorHAnsi"/>
          <w:iCs/>
        </w:rPr>
        <w:t>d</w:t>
      </w:r>
      <w:r w:rsidRPr="00EF39B9">
        <w:rPr>
          <w:rFonts w:asciiTheme="majorHAnsi" w:hAnsiTheme="majorHAnsi"/>
          <w:iCs/>
        </w:rPr>
        <w:t xml:space="preserve">el Instituto Federal de Telecomunicaciones ha realizado investigaciones sobre concentración de mercado y espectro radioeléctrico, sobre neutralidad de las redes y </w:t>
      </w:r>
      <w:proofErr w:type="spellStart"/>
      <w:r w:rsidRPr="00EF39B9">
        <w:rPr>
          <w:rFonts w:asciiTheme="majorHAnsi" w:hAnsiTheme="majorHAnsi"/>
          <w:i/>
          <w:iCs/>
        </w:rPr>
        <w:t>zero</w:t>
      </w:r>
      <w:proofErr w:type="spellEnd"/>
      <w:r w:rsidRPr="00EF39B9">
        <w:rPr>
          <w:rFonts w:asciiTheme="majorHAnsi" w:hAnsiTheme="majorHAnsi"/>
          <w:i/>
          <w:iCs/>
        </w:rPr>
        <w:t>-rating</w:t>
      </w:r>
      <w:r w:rsidRPr="00EF39B9">
        <w:rPr>
          <w:rFonts w:asciiTheme="majorHAnsi" w:hAnsiTheme="majorHAnsi"/>
          <w:iCs/>
        </w:rPr>
        <w:t xml:space="preserve"> y sobre inversión en redes de telecomunicación. Asimismo</w:t>
      </w:r>
      <w:r>
        <w:rPr>
          <w:rFonts w:asciiTheme="majorHAnsi" w:hAnsiTheme="majorHAnsi"/>
          <w:iCs/>
        </w:rPr>
        <w:t>,</w:t>
      </w:r>
      <w:r w:rsidRPr="00EF39B9">
        <w:rPr>
          <w:rFonts w:asciiTheme="majorHAnsi" w:hAnsiTheme="majorHAnsi"/>
          <w:iCs/>
        </w:rPr>
        <w:t xml:space="preserve"> ha participado en la elaboración de notas y proyectos </w:t>
      </w:r>
      <w:r>
        <w:rPr>
          <w:rFonts w:asciiTheme="majorHAnsi" w:hAnsiTheme="majorHAnsi"/>
          <w:iCs/>
        </w:rPr>
        <w:t xml:space="preserve">entre los que </w:t>
      </w:r>
      <w:r w:rsidRPr="00EF39B9">
        <w:rPr>
          <w:rFonts w:asciiTheme="majorHAnsi" w:hAnsiTheme="majorHAnsi"/>
          <w:iCs/>
        </w:rPr>
        <w:t>destacan la elaboración de pronósticos de variables clave en el sector y de estimaciones de índices de precios mediante el enfoque hedónico.</w:t>
      </w:r>
    </w:p>
  </w:footnote>
  <w:footnote w:id="22">
    <w:p w14:paraId="48A91F97" w14:textId="77777777" w:rsidR="00A170A9" w:rsidRPr="00D7499C" w:rsidRDefault="00A170A9" w:rsidP="00AC05DA">
      <w:pPr>
        <w:pStyle w:val="Textonotapie"/>
        <w:jc w:val="both"/>
        <w:rPr>
          <w:rFonts w:asciiTheme="majorHAnsi" w:hAnsiTheme="majorHAnsi" w:cstheme="majorHAnsi"/>
        </w:rPr>
      </w:pPr>
      <w:r w:rsidRPr="00D7499C">
        <w:rPr>
          <w:rStyle w:val="Refdenotaalpie"/>
          <w:rFonts w:asciiTheme="majorHAnsi" w:hAnsiTheme="majorHAnsi" w:cstheme="majorHAnsi"/>
        </w:rPr>
        <w:footnoteRef/>
      </w:r>
      <w:r w:rsidRPr="00D7499C">
        <w:rPr>
          <w:rFonts w:asciiTheme="majorHAnsi" w:hAnsiTheme="majorHAnsi" w:cstheme="majorHAnsi"/>
        </w:rPr>
        <w:t xml:space="preserve"> </w:t>
      </w:r>
      <w:r>
        <w:rPr>
          <w:rFonts w:asciiTheme="majorHAnsi" w:hAnsiTheme="majorHAnsi" w:cstheme="majorHAnsi"/>
        </w:rPr>
        <w:t xml:space="preserve">Véase, por ejemplo: </w:t>
      </w:r>
      <w:r w:rsidRPr="00D7499C">
        <w:rPr>
          <w:rFonts w:asciiTheme="majorHAnsi" w:hAnsiTheme="majorHAnsi" w:cstheme="majorHAnsi"/>
        </w:rPr>
        <w:t>http://review.chicagobooth.edu/economics/2018/video/are-google-and-facebook-monopolies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C6126"/>
    <w:multiLevelType w:val="hybridMultilevel"/>
    <w:tmpl w:val="4FF8463C"/>
    <w:lvl w:ilvl="0" w:tplc="080A0005">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 w15:restartNumberingAfterBreak="0">
    <w:nsid w:val="1F430E6F"/>
    <w:multiLevelType w:val="hybridMultilevel"/>
    <w:tmpl w:val="C2408C74"/>
    <w:lvl w:ilvl="0" w:tplc="080A0005">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 w15:restartNumberingAfterBreak="0">
    <w:nsid w:val="2E7E4F6F"/>
    <w:multiLevelType w:val="multilevel"/>
    <w:tmpl w:val="F52E8218"/>
    <w:lvl w:ilvl="0">
      <w:start w:val="1"/>
      <w:numFmt w:val="decimal"/>
      <w:lvlText w:val="%1."/>
      <w:lvlJc w:val="left"/>
      <w:pPr>
        <w:ind w:left="720" w:hanging="360"/>
      </w:pPr>
      <w:rPr>
        <w:rFonts w:hint="default"/>
        <w:sz w:val="28"/>
        <w:szCs w:val="28"/>
      </w:rPr>
    </w:lvl>
    <w:lvl w:ilvl="1">
      <w:start w:val="1"/>
      <w:numFmt w:val="decimal"/>
      <w:isLgl/>
      <w:lvlText w:val="%1.%2"/>
      <w:lvlJc w:val="left"/>
      <w:pPr>
        <w:ind w:left="1225" w:hanging="375"/>
      </w:pPr>
      <w:rPr>
        <w:rFonts w:hint="default"/>
      </w:rPr>
    </w:lvl>
    <w:lvl w:ilvl="2">
      <w:start w:val="1"/>
      <w:numFmt w:val="decimal"/>
      <w:isLgl/>
      <w:lvlText w:val="%1.%2.%3"/>
      <w:lvlJc w:val="left"/>
      <w:pPr>
        <w:ind w:left="4068" w:hanging="720"/>
      </w:pPr>
      <w:rPr>
        <w:rFonts w:hint="default"/>
      </w:rPr>
    </w:lvl>
    <w:lvl w:ilvl="3">
      <w:start w:val="1"/>
      <w:numFmt w:val="decimal"/>
      <w:isLgl/>
      <w:lvlText w:val="%1.%2.%3.%4"/>
      <w:lvlJc w:val="left"/>
      <w:pPr>
        <w:ind w:left="5922" w:hanging="1080"/>
      </w:pPr>
      <w:rPr>
        <w:rFonts w:hint="default"/>
      </w:rPr>
    </w:lvl>
    <w:lvl w:ilvl="4">
      <w:start w:val="1"/>
      <w:numFmt w:val="decimal"/>
      <w:isLgl/>
      <w:lvlText w:val="%1.%2.%3.%4.%5"/>
      <w:lvlJc w:val="left"/>
      <w:pPr>
        <w:ind w:left="7416" w:hanging="1080"/>
      </w:pPr>
      <w:rPr>
        <w:rFonts w:hint="default"/>
      </w:rPr>
    </w:lvl>
    <w:lvl w:ilvl="5">
      <w:start w:val="1"/>
      <w:numFmt w:val="decimal"/>
      <w:isLgl/>
      <w:lvlText w:val="%1.%2.%3.%4.%5.%6"/>
      <w:lvlJc w:val="left"/>
      <w:pPr>
        <w:ind w:left="9270" w:hanging="1440"/>
      </w:pPr>
      <w:rPr>
        <w:rFonts w:hint="default"/>
      </w:rPr>
    </w:lvl>
    <w:lvl w:ilvl="6">
      <w:start w:val="1"/>
      <w:numFmt w:val="decimal"/>
      <w:isLgl/>
      <w:lvlText w:val="%1.%2.%3.%4.%5.%6.%7"/>
      <w:lvlJc w:val="left"/>
      <w:pPr>
        <w:ind w:left="10764" w:hanging="1440"/>
      </w:pPr>
      <w:rPr>
        <w:rFonts w:hint="default"/>
      </w:rPr>
    </w:lvl>
    <w:lvl w:ilvl="7">
      <w:start w:val="1"/>
      <w:numFmt w:val="decimal"/>
      <w:isLgl/>
      <w:lvlText w:val="%1.%2.%3.%4.%5.%6.%7.%8"/>
      <w:lvlJc w:val="left"/>
      <w:pPr>
        <w:ind w:left="12618" w:hanging="1800"/>
      </w:pPr>
      <w:rPr>
        <w:rFonts w:hint="default"/>
      </w:rPr>
    </w:lvl>
    <w:lvl w:ilvl="8">
      <w:start w:val="1"/>
      <w:numFmt w:val="decimal"/>
      <w:isLgl/>
      <w:lvlText w:val="%1.%2.%3.%4.%5.%6.%7.%8.%9"/>
      <w:lvlJc w:val="left"/>
      <w:pPr>
        <w:ind w:left="14472" w:hanging="2160"/>
      </w:pPr>
      <w:rPr>
        <w:rFonts w:hint="default"/>
      </w:rPr>
    </w:lvl>
  </w:abstractNum>
  <w:abstractNum w:abstractNumId="3" w15:restartNumberingAfterBreak="0">
    <w:nsid w:val="2FEB7703"/>
    <w:multiLevelType w:val="hybridMultilevel"/>
    <w:tmpl w:val="1A20A598"/>
    <w:lvl w:ilvl="0" w:tplc="080A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1E1742C"/>
    <w:multiLevelType w:val="hybridMultilevel"/>
    <w:tmpl w:val="A964F694"/>
    <w:lvl w:ilvl="0" w:tplc="080A0005">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5" w15:restartNumberingAfterBreak="0">
    <w:nsid w:val="573A1A5F"/>
    <w:multiLevelType w:val="hybridMultilevel"/>
    <w:tmpl w:val="AEB273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AB86026"/>
    <w:multiLevelType w:val="multilevel"/>
    <w:tmpl w:val="E728A0CA"/>
    <w:lvl w:ilvl="0">
      <w:start w:val="1"/>
      <w:numFmt w:val="upperRoman"/>
      <w:lvlText w:val="%1."/>
      <w:lvlJc w:val="left"/>
      <w:pPr>
        <w:ind w:left="1004"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3078" w:hanging="1800"/>
      </w:pPr>
      <w:rPr>
        <w:rFonts w:hint="default"/>
      </w:rPr>
    </w:lvl>
    <w:lvl w:ilvl="8">
      <w:start w:val="1"/>
      <w:numFmt w:val="decimal"/>
      <w:isLgl/>
      <w:lvlText w:val="%1.%2.%3.%4.%5.%6.%7.%8.%9."/>
      <w:lvlJc w:val="left"/>
      <w:pPr>
        <w:ind w:left="3580" w:hanging="2160"/>
      </w:pPr>
      <w:rPr>
        <w:rFonts w:hint="default"/>
      </w:rPr>
    </w:lvl>
  </w:abstractNum>
  <w:abstractNum w:abstractNumId="7" w15:restartNumberingAfterBreak="0">
    <w:nsid w:val="6F137E5A"/>
    <w:multiLevelType w:val="hybridMultilevel"/>
    <w:tmpl w:val="162299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2"/>
  </w:num>
  <w:num w:numId="5">
    <w:abstractNumId w:val="4"/>
  </w:num>
  <w:num w:numId="6">
    <w:abstractNumId w:val="1"/>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90"/>
    <w:rsid w:val="00002DBB"/>
    <w:rsid w:val="00005012"/>
    <w:rsid w:val="00007007"/>
    <w:rsid w:val="0001027C"/>
    <w:rsid w:val="00013AB9"/>
    <w:rsid w:val="00013D9B"/>
    <w:rsid w:val="00031D75"/>
    <w:rsid w:val="00034FB6"/>
    <w:rsid w:val="000355EE"/>
    <w:rsid w:val="00052F8D"/>
    <w:rsid w:val="000547E7"/>
    <w:rsid w:val="00063036"/>
    <w:rsid w:val="00063ED9"/>
    <w:rsid w:val="000746AB"/>
    <w:rsid w:val="00077645"/>
    <w:rsid w:val="00086A32"/>
    <w:rsid w:val="00090936"/>
    <w:rsid w:val="00090AC3"/>
    <w:rsid w:val="00090E46"/>
    <w:rsid w:val="000A0F3D"/>
    <w:rsid w:val="000A2F1F"/>
    <w:rsid w:val="000B1566"/>
    <w:rsid w:val="000B1DA1"/>
    <w:rsid w:val="000B20E8"/>
    <w:rsid w:val="000B4683"/>
    <w:rsid w:val="000C48DC"/>
    <w:rsid w:val="000C6A46"/>
    <w:rsid w:val="000F411D"/>
    <w:rsid w:val="0010040C"/>
    <w:rsid w:val="00107498"/>
    <w:rsid w:val="0011229D"/>
    <w:rsid w:val="001348B5"/>
    <w:rsid w:val="00136014"/>
    <w:rsid w:val="0014509F"/>
    <w:rsid w:val="001557C7"/>
    <w:rsid w:val="0015656C"/>
    <w:rsid w:val="0016590E"/>
    <w:rsid w:val="00166A7A"/>
    <w:rsid w:val="00166C78"/>
    <w:rsid w:val="00166F5C"/>
    <w:rsid w:val="0017667B"/>
    <w:rsid w:val="00182681"/>
    <w:rsid w:val="0018371B"/>
    <w:rsid w:val="0018374B"/>
    <w:rsid w:val="00193473"/>
    <w:rsid w:val="00196726"/>
    <w:rsid w:val="001A390F"/>
    <w:rsid w:val="001A5038"/>
    <w:rsid w:val="001B3CD8"/>
    <w:rsid w:val="001B42E5"/>
    <w:rsid w:val="001B76C5"/>
    <w:rsid w:val="001C0ACA"/>
    <w:rsid w:val="001C1B0C"/>
    <w:rsid w:val="001C25C3"/>
    <w:rsid w:val="001C5C78"/>
    <w:rsid w:val="001C6E7C"/>
    <w:rsid w:val="001D218E"/>
    <w:rsid w:val="001E7936"/>
    <w:rsid w:val="001E7DB5"/>
    <w:rsid w:val="001F027F"/>
    <w:rsid w:val="001F195E"/>
    <w:rsid w:val="002015A5"/>
    <w:rsid w:val="00201AED"/>
    <w:rsid w:val="00204351"/>
    <w:rsid w:val="00205DE4"/>
    <w:rsid w:val="002103E2"/>
    <w:rsid w:val="002135C7"/>
    <w:rsid w:val="00216408"/>
    <w:rsid w:val="0021751A"/>
    <w:rsid w:val="0022176B"/>
    <w:rsid w:val="0022240E"/>
    <w:rsid w:val="00222E0E"/>
    <w:rsid w:val="00224124"/>
    <w:rsid w:val="002274D4"/>
    <w:rsid w:val="00234DD7"/>
    <w:rsid w:val="00235BFE"/>
    <w:rsid w:val="00237140"/>
    <w:rsid w:val="00244C1E"/>
    <w:rsid w:val="00255155"/>
    <w:rsid w:val="00255C74"/>
    <w:rsid w:val="00260ACF"/>
    <w:rsid w:val="00260C5E"/>
    <w:rsid w:val="00263B6E"/>
    <w:rsid w:val="002765A7"/>
    <w:rsid w:val="00282442"/>
    <w:rsid w:val="00285FD3"/>
    <w:rsid w:val="00287371"/>
    <w:rsid w:val="00290645"/>
    <w:rsid w:val="00290ACA"/>
    <w:rsid w:val="00291544"/>
    <w:rsid w:val="002917E7"/>
    <w:rsid w:val="00293811"/>
    <w:rsid w:val="00296148"/>
    <w:rsid w:val="002A767A"/>
    <w:rsid w:val="002B3874"/>
    <w:rsid w:val="002B7162"/>
    <w:rsid w:val="002C0E5E"/>
    <w:rsid w:val="002C3381"/>
    <w:rsid w:val="002C3DFC"/>
    <w:rsid w:val="002C455F"/>
    <w:rsid w:val="002E2284"/>
    <w:rsid w:val="002E3CAC"/>
    <w:rsid w:val="002E79B3"/>
    <w:rsid w:val="002F0304"/>
    <w:rsid w:val="002F357F"/>
    <w:rsid w:val="002F7B72"/>
    <w:rsid w:val="00300838"/>
    <w:rsid w:val="00302B15"/>
    <w:rsid w:val="003179BA"/>
    <w:rsid w:val="00320643"/>
    <w:rsid w:val="00321BF2"/>
    <w:rsid w:val="00325E92"/>
    <w:rsid w:val="00333989"/>
    <w:rsid w:val="0033529B"/>
    <w:rsid w:val="00337D41"/>
    <w:rsid w:val="003438FB"/>
    <w:rsid w:val="00343FF3"/>
    <w:rsid w:val="003460E8"/>
    <w:rsid w:val="0036336E"/>
    <w:rsid w:val="00365C58"/>
    <w:rsid w:val="003674AD"/>
    <w:rsid w:val="003676E3"/>
    <w:rsid w:val="00370C00"/>
    <w:rsid w:val="00371EC5"/>
    <w:rsid w:val="00384FF3"/>
    <w:rsid w:val="0038500C"/>
    <w:rsid w:val="00385F19"/>
    <w:rsid w:val="003875FA"/>
    <w:rsid w:val="00396B11"/>
    <w:rsid w:val="00396B59"/>
    <w:rsid w:val="00397791"/>
    <w:rsid w:val="003A1CA2"/>
    <w:rsid w:val="003A2B9C"/>
    <w:rsid w:val="003B482F"/>
    <w:rsid w:val="003B6D11"/>
    <w:rsid w:val="003C4FA1"/>
    <w:rsid w:val="003D1612"/>
    <w:rsid w:val="003D1BDC"/>
    <w:rsid w:val="003D2922"/>
    <w:rsid w:val="003D4115"/>
    <w:rsid w:val="003D4764"/>
    <w:rsid w:val="003E755B"/>
    <w:rsid w:val="003E7BED"/>
    <w:rsid w:val="003F01F4"/>
    <w:rsid w:val="003F06F2"/>
    <w:rsid w:val="003F2BDF"/>
    <w:rsid w:val="003F44D3"/>
    <w:rsid w:val="003F6987"/>
    <w:rsid w:val="0040011E"/>
    <w:rsid w:val="00402FC4"/>
    <w:rsid w:val="00407883"/>
    <w:rsid w:val="004341F3"/>
    <w:rsid w:val="004425B4"/>
    <w:rsid w:val="004428F6"/>
    <w:rsid w:val="004464CD"/>
    <w:rsid w:val="00447FB4"/>
    <w:rsid w:val="00456882"/>
    <w:rsid w:val="00462D00"/>
    <w:rsid w:val="0049088F"/>
    <w:rsid w:val="004A7167"/>
    <w:rsid w:val="004B5286"/>
    <w:rsid w:val="004B54EA"/>
    <w:rsid w:val="004B5B94"/>
    <w:rsid w:val="004C389D"/>
    <w:rsid w:val="004C4307"/>
    <w:rsid w:val="004D2417"/>
    <w:rsid w:val="004D535B"/>
    <w:rsid w:val="004D662C"/>
    <w:rsid w:val="004D7398"/>
    <w:rsid w:val="004E58A3"/>
    <w:rsid w:val="004E7C34"/>
    <w:rsid w:val="004F32FC"/>
    <w:rsid w:val="004F3977"/>
    <w:rsid w:val="004F3C26"/>
    <w:rsid w:val="004F6F8A"/>
    <w:rsid w:val="004F7F2C"/>
    <w:rsid w:val="005003E4"/>
    <w:rsid w:val="00503227"/>
    <w:rsid w:val="00506042"/>
    <w:rsid w:val="00514E4E"/>
    <w:rsid w:val="005211B9"/>
    <w:rsid w:val="00533330"/>
    <w:rsid w:val="005418C7"/>
    <w:rsid w:val="0054584A"/>
    <w:rsid w:val="005508FF"/>
    <w:rsid w:val="00552AC8"/>
    <w:rsid w:val="005547CE"/>
    <w:rsid w:val="00560B9C"/>
    <w:rsid w:val="0056234E"/>
    <w:rsid w:val="00562A16"/>
    <w:rsid w:val="005641B3"/>
    <w:rsid w:val="00564313"/>
    <w:rsid w:val="00574958"/>
    <w:rsid w:val="0057566D"/>
    <w:rsid w:val="005865FB"/>
    <w:rsid w:val="00593214"/>
    <w:rsid w:val="005B20CE"/>
    <w:rsid w:val="005C0B07"/>
    <w:rsid w:val="005C214B"/>
    <w:rsid w:val="005C5731"/>
    <w:rsid w:val="005D0583"/>
    <w:rsid w:val="005E658E"/>
    <w:rsid w:val="005F1AB9"/>
    <w:rsid w:val="005F2517"/>
    <w:rsid w:val="005F730C"/>
    <w:rsid w:val="00602A9F"/>
    <w:rsid w:val="0060314E"/>
    <w:rsid w:val="00604E61"/>
    <w:rsid w:val="00611B75"/>
    <w:rsid w:val="006138EF"/>
    <w:rsid w:val="00616528"/>
    <w:rsid w:val="00621331"/>
    <w:rsid w:val="00621367"/>
    <w:rsid w:val="00623EF7"/>
    <w:rsid w:val="00627822"/>
    <w:rsid w:val="006331CC"/>
    <w:rsid w:val="006376CD"/>
    <w:rsid w:val="00641DFE"/>
    <w:rsid w:val="006456D3"/>
    <w:rsid w:val="00650A2C"/>
    <w:rsid w:val="006618E2"/>
    <w:rsid w:val="006718FB"/>
    <w:rsid w:val="0069047A"/>
    <w:rsid w:val="006967CA"/>
    <w:rsid w:val="006A72AA"/>
    <w:rsid w:val="006A7434"/>
    <w:rsid w:val="006B009C"/>
    <w:rsid w:val="006B10F3"/>
    <w:rsid w:val="006C0F4B"/>
    <w:rsid w:val="006C44FE"/>
    <w:rsid w:val="006C6C20"/>
    <w:rsid w:val="006D449D"/>
    <w:rsid w:val="006E6C89"/>
    <w:rsid w:val="006E7653"/>
    <w:rsid w:val="006F4658"/>
    <w:rsid w:val="006F5BD3"/>
    <w:rsid w:val="00706A45"/>
    <w:rsid w:val="00710639"/>
    <w:rsid w:val="007106E4"/>
    <w:rsid w:val="007112DF"/>
    <w:rsid w:val="007126CC"/>
    <w:rsid w:val="00721239"/>
    <w:rsid w:val="00725395"/>
    <w:rsid w:val="00726CD6"/>
    <w:rsid w:val="00736248"/>
    <w:rsid w:val="0074350A"/>
    <w:rsid w:val="007468C2"/>
    <w:rsid w:val="00750B2B"/>
    <w:rsid w:val="007515B5"/>
    <w:rsid w:val="00752672"/>
    <w:rsid w:val="00756E71"/>
    <w:rsid w:val="00756FEE"/>
    <w:rsid w:val="0077275B"/>
    <w:rsid w:val="00775A5E"/>
    <w:rsid w:val="007772F0"/>
    <w:rsid w:val="00777C38"/>
    <w:rsid w:val="00777C3A"/>
    <w:rsid w:val="00791E16"/>
    <w:rsid w:val="00792A27"/>
    <w:rsid w:val="00796ACF"/>
    <w:rsid w:val="00797018"/>
    <w:rsid w:val="007A2F37"/>
    <w:rsid w:val="007A6FD2"/>
    <w:rsid w:val="007A7A44"/>
    <w:rsid w:val="007B50D7"/>
    <w:rsid w:val="007C09C9"/>
    <w:rsid w:val="007C526B"/>
    <w:rsid w:val="007E1D9D"/>
    <w:rsid w:val="007F1F26"/>
    <w:rsid w:val="007F3003"/>
    <w:rsid w:val="0080062C"/>
    <w:rsid w:val="00807320"/>
    <w:rsid w:val="0080763A"/>
    <w:rsid w:val="0081081D"/>
    <w:rsid w:val="00811C86"/>
    <w:rsid w:val="0081457E"/>
    <w:rsid w:val="008156F1"/>
    <w:rsid w:val="00816306"/>
    <w:rsid w:val="008163E1"/>
    <w:rsid w:val="00821342"/>
    <w:rsid w:val="0082398C"/>
    <w:rsid w:val="00830AFF"/>
    <w:rsid w:val="00835BD6"/>
    <w:rsid w:val="00840F10"/>
    <w:rsid w:val="00843AE3"/>
    <w:rsid w:val="00844B9F"/>
    <w:rsid w:val="0085737F"/>
    <w:rsid w:val="00860F4B"/>
    <w:rsid w:val="0086518C"/>
    <w:rsid w:val="00871C6A"/>
    <w:rsid w:val="00872FC5"/>
    <w:rsid w:val="008733BC"/>
    <w:rsid w:val="00874E15"/>
    <w:rsid w:val="00883E8B"/>
    <w:rsid w:val="00885C79"/>
    <w:rsid w:val="0089087C"/>
    <w:rsid w:val="00891CA3"/>
    <w:rsid w:val="008926C2"/>
    <w:rsid w:val="008931D4"/>
    <w:rsid w:val="00897D6A"/>
    <w:rsid w:val="008A13C1"/>
    <w:rsid w:val="008A151D"/>
    <w:rsid w:val="008A5E78"/>
    <w:rsid w:val="008A6006"/>
    <w:rsid w:val="008A751E"/>
    <w:rsid w:val="008C1F00"/>
    <w:rsid w:val="008E4934"/>
    <w:rsid w:val="008E532A"/>
    <w:rsid w:val="008E7D35"/>
    <w:rsid w:val="008F2A68"/>
    <w:rsid w:val="008F7B99"/>
    <w:rsid w:val="00900E29"/>
    <w:rsid w:val="00903FF8"/>
    <w:rsid w:val="009072FF"/>
    <w:rsid w:val="0091122A"/>
    <w:rsid w:val="00921368"/>
    <w:rsid w:val="00924AD5"/>
    <w:rsid w:val="009257AB"/>
    <w:rsid w:val="00925AAA"/>
    <w:rsid w:val="00925B68"/>
    <w:rsid w:val="0093060E"/>
    <w:rsid w:val="00931834"/>
    <w:rsid w:val="00931A7D"/>
    <w:rsid w:val="00931B88"/>
    <w:rsid w:val="00940607"/>
    <w:rsid w:val="009457CB"/>
    <w:rsid w:val="00947D4B"/>
    <w:rsid w:val="00954DD3"/>
    <w:rsid w:val="00962479"/>
    <w:rsid w:val="00977FBF"/>
    <w:rsid w:val="00980833"/>
    <w:rsid w:val="00980881"/>
    <w:rsid w:val="009811A1"/>
    <w:rsid w:val="0098134B"/>
    <w:rsid w:val="00984ED1"/>
    <w:rsid w:val="00985A80"/>
    <w:rsid w:val="00990BB3"/>
    <w:rsid w:val="009914C2"/>
    <w:rsid w:val="00997495"/>
    <w:rsid w:val="009A6002"/>
    <w:rsid w:val="009B1694"/>
    <w:rsid w:val="009B3B76"/>
    <w:rsid w:val="009B42A5"/>
    <w:rsid w:val="009B4975"/>
    <w:rsid w:val="009B72A0"/>
    <w:rsid w:val="009C1194"/>
    <w:rsid w:val="009C3B69"/>
    <w:rsid w:val="009C42A6"/>
    <w:rsid w:val="009C5F89"/>
    <w:rsid w:val="009C613A"/>
    <w:rsid w:val="009D0613"/>
    <w:rsid w:val="009E1909"/>
    <w:rsid w:val="009F2C93"/>
    <w:rsid w:val="00A0216A"/>
    <w:rsid w:val="00A0529E"/>
    <w:rsid w:val="00A07CE6"/>
    <w:rsid w:val="00A11791"/>
    <w:rsid w:val="00A117D0"/>
    <w:rsid w:val="00A1419B"/>
    <w:rsid w:val="00A149D8"/>
    <w:rsid w:val="00A170A9"/>
    <w:rsid w:val="00A171B9"/>
    <w:rsid w:val="00A303C0"/>
    <w:rsid w:val="00A31612"/>
    <w:rsid w:val="00A320BD"/>
    <w:rsid w:val="00A46CF6"/>
    <w:rsid w:val="00A50673"/>
    <w:rsid w:val="00A50B61"/>
    <w:rsid w:val="00A54D65"/>
    <w:rsid w:val="00A63221"/>
    <w:rsid w:val="00A64B66"/>
    <w:rsid w:val="00A6657F"/>
    <w:rsid w:val="00A70B1A"/>
    <w:rsid w:val="00A776E2"/>
    <w:rsid w:val="00A87F0F"/>
    <w:rsid w:val="00A94B8F"/>
    <w:rsid w:val="00AA0813"/>
    <w:rsid w:val="00AA33FB"/>
    <w:rsid w:val="00AB0C04"/>
    <w:rsid w:val="00AB4296"/>
    <w:rsid w:val="00AB4498"/>
    <w:rsid w:val="00AB5A46"/>
    <w:rsid w:val="00AC05DA"/>
    <w:rsid w:val="00AC313F"/>
    <w:rsid w:val="00AC6E31"/>
    <w:rsid w:val="00AD042A"/>
    <w:rsid w:val="00AD2798"/>
    <w:rsid w:val="00AE4641"/>
    <w:rsid w:val="00AE69B0"/>
    <w:rsid w:val="00B0277D"/>
    <w:rsid w:val="00B15691"/>
    <w:rsid w:val="00B17F7E"/>
    <w:rsid w:val="00B20FD2"/>
    <w:rsid w:val="00B21E6F"/>
    <w:rsid w:val="00B256DA"/>
    <w:rsid w:val="00B26E90"/>
    <w:rsid w:val="00B2751B"/>
    <w:rsid w:val="00B3048C"/>
    <w:rsid w:val="00B3462E"/>
    <w:rsid w:val="00B43525"/>
    <w:rsid w:val="00B437FE"/>
    <w:rsid w:val="00B446A5"/>
    <w:rsid w:val="00B463A4"/>
    <w:rsid w:val="00B52587"/>
    <w:rsid w:val="00B76CFC"/>
    <w:rsid w:val="00B77B46"/>
    <w:rsid w:val="00B850C2"/>
    <w:rsid w:val="00B86435"/>
    <w:rsid w:val="00BA17A1"/>
    <w:rsid w:val="00BA53FB"/>
    <w:rsid w:val="00BB607D"/>
    <w:rsid w:val="00BB755B"/>
    <w:rsid w:val="00BC1A3F"/>
    <w:rsid w:val="00BC2381"/>
    <w:rsid w:val="00BC45E8"/>
    <w:rsid w:val="00BE519C"/>
    <w:rsid w:val="00BE6F1A"/>
    <w:rsid w:val="00BF2C5F"/>
    <w:rsid w:val="00C10342"/>
    <w:rsid w:val="00C11C8B"/>
    <w:rsid w:val="00C201F6"/>
    <w:rsid w:val="00C23C8F"/>
    <w:rsid w:val="00C2568B"/>
    <w:rsid w:val="00C31F53"/>
    <w:rsid w:val="00C33365"/>
    <w:rsid w:val="00C4705E"/>
    <w:rsid w:val="00C509A4"/>
    <w:rsid w:val="00C52701"/>
    <w:rsid w:val="00C60CA0"/>
    <w:rsid w:val="00C76B90"/>
    <w:rsid w:val="00C87725"/>
    <w:rsid w:val="00C93F70"/>
    <w:rsid w:val="00C956D5"/>
    <w:rsid w:val="00CB5A85"/>
    <w:rsid w:val="00CB5F85"/>
    <w:rsid w:val="00CC1A81"/>
    <w:rsid w:val="00CC6680"/>
    <w:rsid w:val="00CD1255"/>
    <w:rsid w:val="00CD38E2"/>
    <w:rsid w:val="00CE2934"/>
    <w:rsid w:val="00CF45A7"/>
    <w:rsid w:val="00D00B7D"/>
    <w:rsid w:val="00D03B9A"/>
    <w:rsid w:val="00D0656C"/>
    <w:rsid w:val="00D07F42"/>
    <w:rsid w:val="00D15E1D"/>
    <w:rsid w:val="00D168EC"/>
    <w:rsid w:val="00D26333"/>
    <w:rsid w:val="00D279A6"/>
    <w:rsid w:val="00D32728"/>
    <w:rsid w:val="00D351B9"/>
    <w:rsid w:val="00D4052B"/>
    <w:rsid w:val="00D4158B"/>
    <w:rsid w:val="00D50999"/>
    <w:rsid w:val="00D5301D"/>
    <w:rsid w:val="00D55238"/>
    <w:rsid w:val="00D60B35"/>
    <w:rsid w:val="00D64C20"/>
    <w:rsid w:val="00D67E3A"/>
    <w:rsid w:val="00D82CB0"/>
    <w:rsid w:val="00D83ED8"/>
    <w:rsid w:val="00D95D72"/>
    <w:rsid w:val="00D96B97"/>
    <w:rsid w:val="00DA42C9"/>
    <w:rsid w:val="00DB0633"/>
    <w:rsid w:val="00DB328E"/>
    <w:rsid w:val="00DB5CA0"/>
    <w:rsid w:val="00DC4925"/>
    <w:rsid w:val="00DC6585"/>
    <w:rsid w:val="00DD1129"/>
    <w:rsid w:val="00DE2479"/>
    <w:rsid w:val="00DE577E"/>
    <w:rsid w:val="00DF092A"/>
    <w:rsid w:val="00DF1A19"/>
    <w:rsid w:val="00DF4A63"/>
    <w:rsid w:val="00DF64A5"/>
    <w:rsid w:val="00E1269C"/>
    <w:rsid w:val="00E31C63"/>
    <w:rsid w:val="00E343E0"/>
    <w:rsid w:val="00E40989"/>
    <w:rsid w:val="00E40A25"/>
    <w:rsid w:val="00E423A6"/>
    <w:rsid w:val="00E4588D"/>
    <w:rsid w:val="00E506E9"/>
    <w:rsid w:val="00E514E0"/>
    <w:rsid w:val="00E54AB7"/>
    <w:rsid w:val="00E77EA9"/>
    <w:rsid w:val="00E84072"/>
    <w:rsid w:val="00E926FA"/>
    <w:rsid w:val="00EB22A3"/>
    <w:rsid w:val="00EC220C"/>
    <w:rsid w:val="00EC5188"/>
    <w:rsid w:val="00EC59D8"/>
    <w:rsid w:val="00EC747A"/>
    <w:rsid w:val="00ED1F99"/>
    <w:rsid w:val="00ED2CEC"/>
    <w:rsid w:val="00ED349F"/>
    <w:rsid w:val="00EE2308"/>
    <w:rsid w:val="00EE472F"/>
    <w:rsid w:val="00EF1F0E"/>
    <w:rsid w:val="00F00DF4"/>
    <w:rsid w:val="00F120FB"/>
    <w:rsid w:val="00F15775"/>
    <w:rsid w:val="00F178E0"/>
    <w:rsid w:val="00F42D02"/>
    <w:rsid w:val="00F53192"/>
    <w:rsid w:val="00F5402A"/>
    <w:rsid w:val="00F61059"/>
    <w:rsid w:val="00F62763"/>
    <w:rsid w:val="00F63254"/>
    <w:rsid w:val="00F64D29"/>
    <w:rsid w:val="00F66298"/>
    <w:rsid w:val="00F669A3"/>
    <w:rsid w:val="00F66D19"/>
    <w:rsid w:val="00F71CD2"/>
    <w:rsid w:val="00F77234"/>
    <w:rsid w:val="00F806BB"/>
    <w:rsid w:val="00F80A3A"/>
    <w:rsid w:val="00F9365E"/>
    <w:rsid w:val="00F96692"/>
    <w:rsid w:val="00F96CF1"/>
    <w:rsid w:val="00F96FFC"/>
    <w:rsid w:val="00FA012A"/>
    <w:rsid w:val="00FA486E"/>
    <w:rsid w:val="00FA65E3"/>
    <w:rsid w:val="00FA71F0"/>
    <w:rsid w:val="00FB1A58"/>
    <w:rsid w:val="00FB5780"/>
    <w:rsid w:val="00FB6B4A"/>
    <w:rsid w:val="00FB763B"/>
    <w:rsid w:val="00FD2604"/>
    <w:rsid w:val="00FE069B"/>
    <w:rsid w:val="00FE13D1"/>
    <w:rsid w:val="00FE1638"/>
    <w:rsid w:val="00FE16C9"/>
    <w:rsid w:val="00FE1DAD"/>
    <w:rsid w:val="00FF0D7E"/>
    <w:rsid w:val="00FF299E"/>
    <w:rsid w:val="00FF302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E75D85"/>
  <w15:docId w15:val="{95FEDF09-032B-46DD-B231-6DD7D59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E9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9C42A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117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14509F"/>
    <w:pPr>
      <w:keepNext/>
      <w:keepLines/>
      <w:spacing w:before="40"/>
      <w:outlineLvl w:val="2"/>
    </w:pPr>
    <w:rPr>
      <w:rFonts w:asciiTheme="majorHAnsi" w:eastAsiaTheme="majorEastAsia" w:hAnsiTheme="majorHAnsi" w:cstheme="majorBidi"/>
      <w:color w:val="44546A" w:themeColor="text2"/>
      <w:lang w:val="es-MX" w:eastAsia="en-US"/>
    </w:rPr>
  </w:style>
  <w:style w:type="paragraph" w:styleId="Ttulo4">
    <w:name w:val="heading 4"/>
    <w:basedOn w:val="Normal"/>
    <w:next w:val="Normal"/>
    <w:link w:val="Ttulo4Car"/>
    <w:uiPriority w:val="9"/>
    <w:unhideWhenUsed/>
    <w:qFormat/>
    <w:rsid w:val="0014509F"/>
    <w:pPr>
      <w:keepNext/>
      <w:keepLines/>
      <w:spacing w:before="40" w:line="264" w:lineRule="auto"/>
      <w:outlineLvl w:val="3"/>
    </w:pPr>
    <w:rPr>
      <w:rFonts w:asciiTheme="majorHAnsi" w:eastAsiaTheme="majorEastAsia" w:hAnsiTheme="majorHAnsi" w:cstheme="majorBidi"/>
      <w:sz w:val="22"/>
      <w:szCs w:val="22"/>
      <w:lang w:val="es-MX" w:eastAsia="en-US"/>
    </w:rPr>
  </w:style>
  <w:style w:type="paragraph" w:styleId="Ttulo5">
    <w:name w:val="heading 5"/>
    <w:basedOn w:val="Normal"/>
    <w:next w:val="Normal"/>
    <w:link w:val="Ttulo5Car"/>
    <w:uiPriority w:val="9"/>
    <w:semiHidden/>
    <w:unhideWhenUsed/>
    <w:qFormat/>
    <w:rsid w:val="0014509F"/>
    <w:pPr>
      <w:keepNext/>
      <w:keepLines/>
      <w:spacing w:before="40" w:line="264" w:lineRule="auto"/>
      <w:outlineLvl w:val="4"/>
    </w:pPr>
    <w:rPr>
      <w:rFonts w:asciiTheme="majorHAnsi" w:eastAsiaTheme="majorEastAsia" w:hAnsiTheme="majorHAnsi" w:cstheme="majorBidi"/>
      <w:color w:val="44546A" w:themeColor="text2"/>
      <w:sz w:val="22"/>
      <w:szCs w:val="22"/>
      <w:lang w:val="es-MX" w:eastAsia="en-US"/>
    </w:rPr>
  </w:style>
  <w:style w:type="paragraph" w:styleId="Ttulo6">
    <w:name w:val="heading 6"/>
    <w:basedOn w:val="Normal"/>
    <w:next w:val="Normal"/>
    <w:link w:val="Ttulo6Car"/>
    <w:uiPriority w:val="9"/>
    <w:qFormat/>
    <w:rsid w:val="00B26E90"/>
    <w:pPr>
      <w:keepNext/>
      <w:jc w:val="center"/>
      <w:outlineLvl w:val="5"/>
    </w:pPr>
    <w:rPr>
      <w:rFonts w:ascii="Arial" w:hAnsi="Arial"/>
      <w:b/>
      <w:sz w:val="19"/>
      <w:szCs w:val="20"/>
      <w:lang w:val="es-MX"/>
    </w:rPr>
  </w:style>
  <w:style w:type="paragraph" w:styleId="Ttulo7">
    <w:name w:val="heading 7"/>
    <w:basedOn w:val="Normal"/>
    <w:next w:val="Normal"/>
    <w:link w:val="Ttulo7Car"/>
    <w:uiPriority w:val="9"/>
    <w:semiHidden/>
    <w:unhideWhenUsed/>
    <w:qFormat/>
    <w:rsid w:val="0014509F"/>
    <w:pPr>
      <w:keepNext/>
      <w:keepLines/>
      <w:spacing w:before="40" w:line="264" w:lineRule="auto"/>
      <w:outlineLvl w:val="6"/>
    </w:pPr>
    <w:rPr>
      <w:rFonts w:asciiTheme="majorHAnsi" w:eastAsiaTheme="majorEastAsia" w:hAnsiTheme="majorHAnsi" w:cstheme="majorBidi"/>
      <w:i/>
      <w:iCs/>
      <w:color w:val="1F4E79" w:themeColor="accent1" w:themeShade="80"/>
      <w:sz w:val="21"/>
      <w:szCs w:val="21"/>
      <w:lang w:val="es-MX" w:eastAsia="en-US"/>
    </w:rPr>
  </w:style>
  <w:style w:type="paragraph" w:styleId="Ttulo8">
    <w:name w:val="heading 8"/>
    <w:basedOn w:val="Normal"/>
    <w:next w:val="Normal"/>
    <w:link w:val="Ttulo8Car"/>
    <w:uiPriority w:val="9"/>
    <w:semiHidden/>
    <w:unhideWhenUsed/>
    <w:qFormat/>
    <w:rsid w:val="0014509F"/>
    <w:pPr>
      <w:keepNext/>
      <w:keepLines/>
      <w:spacing w:before="40" w:line="264" w:lineRule="auto"/>
      <w:outlineLvl w:val="7"/>
    </w:pPr>
    <w:rPr>
      <w:rFonts w:asciiTheme="majorHAnsi" w:eastAsiaTheme="majorEastAsia" w:hAnsiTheme="majorHAnsi" w:cstheme="majorBidi"/>
      <w:b/>
      <w:bCs/>
      <w:color w:val="44546A" w:themeColor="text2"/>
      <w:sz w:val="20"/>
      <w:szCs w:val="20"/>
      <w:lang w:val="es-MX" w:eastAsia="en-US"/>
    </w:rPr>
  </w:style>
  <w:style w:type="paragraph" w:styleId="Ttulo9">
    <w:name w:val="heading 9"/>
    <w:basedOn w:val="Normal"/>
    <w:next w:val="Normal"/>
    <w:link w:val="Ttulo9Car"/>
    <w:uiPriority w:val="9"/>
    <w:semiHidden/>
    <w:unhideWhenUsed/>
    <w:qFormat/>
    <w:rsid w:val="0014509F"/>
    <w:pPr>
      <w:keepNext/>
      <w:keepLines/>
      <w:spacing w:before="40" w:line="264" w:lineRule="auto"/>
      <w:outlineLvl w:val="8"/>
    </w:pPr>
    <w:rPr>
      <w:rFonts w:asciiTheme="majorHAnsi" w:eastAsiaTheme="majorEastAsia" w:hAnsiTheme="majorHAnsi" w:cstheme="majorBidi"/>
      <w:b/>
      <w:bCs/>
      <w:i/>
      <w:iCs/>
      <w:color w:val="44546A" w:themeColor="text2"/>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
    <w:rsid w:val="00B26E90"/>
    <w:rPr>
      <w:rFonts w:ascii="Arial" w:eastAsia="Times New Roman" w:hAnsi="Arial" w:cs="Times New Roman"/>
      <w:b/>
      <w:sz w:val="19"/>
      <w:szCs w:val="20"/>
      <w:lang w:eastAsia="es-ES"/>
    </w:rPr>
  </w:style>
  <w:style w:type="paragraph" w:styleId="Textoindependiente2">
    <w:name w:val="Body Text 2"/>
    <w:basedOn w:val="Normal"/>
    <w:link w:val="Textoindependiente2Car"/>
    <w:rsid w:val="00B26E90"/>
    <w:pPr>
      <w:jc w:val="both"/>
    </w:pPr>
    <w:rPr>
      <w:b/>
      <w:sz w:val="22"/>
      <w:szCs w:val="22"/>
    </w:rPr>
  </w:style>
  <w:style w:type="character" w:customStyle="1" w:styleId="Textoindependiente2Car">
    <w:name w:val="Texto independiente 2 Car"/>
    <w:basedOn w:val="Fuentedeprrafopredeter"/>
    <w:link w:val="Textoindependiente2"/>
    <w:rsid w:val="00B26E90"/>
    <w:rPr>
      <w:rFonts w:ascii="Times New Roman" w:eastAsia="Times New Roman" w:hAnsi="Times New Roman" w:cs="Times New Roman"/>
      <w:b/>
      <w:lang w:val="es-ES" w:eastAsia="es-ES"/>
    </w:rPr>
  </w:style>
  <w:style w:type="paragraph" w:styleId="Textoindependiente">
    <w:name w:val="Body Text"/>
    <w:basedOn w:val="Normal"/>
    <w:link w:val="TextoindependienteCar"/>
    <w:rsid w:val="00B26E90"/>
    <w:pPr>
      <w:jc w:val="both"/>
    </w:pPr>
    <w:rPr>
      <w:rFonts w:ascii="Arial" w:hAnsi="Arial"/>
      <w:szCs w:val="20"/>
      <w:lang w:val="es-MX"/>
    </w:rPr>
  </w:style>
  <w:style w:type="character" w:customStyle="1" w:styleId="TextoindependienteCar">
    <w:name w:val="Texto independiente Car"/>
    <w:basedOn w:val="Fuentedeprrafopredeter"/>
    <w:link w:val="Textoindependiente"/>
    <w:rsid w:val="00B26E90"/>
    <w:rPr>
      <w:rFonts w:ascii="Arial" w:eastAsia="Times New Roman" w:hAnsi="Arial" w:cs="Times New Roman"/>
      <w:sz w:val="24"/>
      <w:szCs w:val="20"/>
      <w:lang w:eastAsia="es-ES"/>
    </w:rPr>
  </w:style>
  <w:style w:type="character" w:styleId="Nmerodepgina">
    <w:name w:val="page number"/>
    <w:basedOn w:val="Fuentedeprrafopredeter"/>
    <w:uiPriority w:val="99"/>
    <w:rsid w:val="00B26E90"/>
  </w:style>
  <w:style w:type="paragraph" w:styleId="Piedepgina">
    <w:name w:val="footer"/>
    <w:basedOn w:val="Normal"/>
    <w:link w:val="PiedepginaCar"/>
    <w:uiPriority w:val="99"/>
    <w:rsid w:val="00B26E90"/>
    <w:pPr>
      <w:tabs>
        <w:tab w:val="center" w:pos="4252"/>
        <w:tab w:val="right" w:pos="8504"/>
      </w:tabs>
    </w:pPr>
    <w:rPr>
      <w:rFonts w:ascii="Arial" w:hAnsi="Arial"/>
      <w:szCs w:val="20"/>
      <w:lang w:val="es-MX"/>
    </w:rPr>
  </w:style>
  <w:style w:type="character" w:customStyle="1" w:styleId="PiedepginaCar">
    <w:name w:val="Pie de página Car"/>
    <w:basedOn w:val="Fuentedeprrafopredeter"/>
    <w:link w:val="Piedepgina"/>
    <w:uiPriority w:val="99"/>
    <w:rsid w:val="00B26E90"/>
    <w:rPr>
      <w:rFonts w:ascii="Arial" w:eastAsia="Times New Roman" w:hAnsi="Arial" w:cs="Times New Roman"/>
      <w:sz w:val="24"/>
      <w:szCs w:val="20"/>
      <w:lang w:eastAsia="es-ES"/>
    </w:rPr>
  </w:style>
  <w:style w:type="paragraph" w:styleId="Encabezado">
    <w:name w:val="header"/>
    <w:basedOn w:val="Normal"/>
    <w:link w:val="EncabezadoCar"/>
    <w:uiPriority w:val="99"/>
    <w:rsid w:val="00B26E90"/>
    <w:pPr>
      <w:tabs>
        <w:tab w:val="center" w:pos="4419"/>
        <w:tab w:val="right" w:pos="8838"/>
      </w:tabs>
    </w:pPr>
    <w:rPr>
      <w:sz w:val="20"/>
      <w:szCs w:val="20"/>
      <w:lang w:eastAsia="en-US"/>
    </w:rPr>
  </w:style>
  <w:style w:type="character" w:customStyle="1" w:styleId="EncabezadoCar">
    <w:name w:val="Encabezado Car"/>
    <w:basedOn w:val="Fuentedeprrafopredeter"/>
    <w:link w:val="Encabezado"/>
    <w:uiPriority w:val="99"/>
    <w:rsid w:val="00B26E90"/>
    <w:rPr>
      <w:rFonts w:ascii="Times New Roman" w:eastAsia="Times New Roman" w:hAnsi="Times New Roman" w:cs="Times New Roman"/>
      <w:sz w:val="20"/>
      <w:szCs w:val="20"/>
      <w:lang w:val="es-ES"/>
    </w:rPr>
  </w:style>
  <w:style w:type="paragraph" w:styleId="Prrafodelista">
    <w:name w:val="List Paragraph"/>
    <w:aliases w:val="Cuadros"/>
    <w:basedOn w:val="Normal"/>
    <w:link w:val="PrrafodelistaCar"/>
    <w:uiPriority w:val="34"/>
    <w:qFormat/>
    <w:rsid w:val="00B26E90"/>
    <w:pPr>
      <w:spacing w:after="200" w:line="276" w:lineRule="auto"/>
      <w:ind w:left="720"/>
      <w:contextualSpacing/>
    </w:pPr>
    <w:rPr>
      <w:rFonts w:ascii="Calibri" w:eastAsia="Calibri" w:hAnsi="Calibri"/>
      <w:sz w:val="22"/>
      <w:szCs w:val="22"/>
      <w:lang w:val="es-MX" w:eastAsia="en-US"/>
    </w:rPr>
  </w:style>
  <w:style w:type="paragraph" w:styleId="NormalWeb">
    <w:name w:val="Normal (Web)"/>
    <w:basedOn w:val="Normal"/>
    <w:uiPriority w:val="99"/>
    <w:unhideWhenUsed/>
    <w:rsid w:val="00B26E90"/>
  </w:style>
  <w:style w:type="paragraph" w:customStyle="1" w:styleId="estilo30">
    <w:name w:val="estilo30"/>
    <w:basedOn w:val="Normal"/>
    <w:rsid w:val="00931834"/>
    <w:pPr>
      <w:spacing w:before="100" w:beforeAutospacing="1" w:after="100" w:afterAutospacing="1"/>
    </w:pPr>
    <w:rPr>
      <w:lang w:val="es-MX" w:eastAsia="es-MX"/>
    </w:rPr>
  </w:style>
  <w:style w:type="paragraph" w:customStyle="1" w:styleId="Default">
    <w:name w:val="Default"/>
    <w:rsid w:val="001C6E7C"/>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034FB6"/>
    <w:rPr>
      <w:rFonts w:ascii="Tahoma" w:hAnsi="Tahoma" w:cs="Tahoma"/>
      <w:sz w:val="16"/>
      <w:szCs w:val="16"/>
    </w:rPr>
  </w:style>
  <w:style w:type="character" w:customStyle="1" w:styleId="TextodegloboCar">
    <w:name w:val="Texto de globo Car"/>
    <w:basedOn w:val="Fuentedeprrafopredeter"/>
    <w:link w:val="Textodeglobo"/>
    <w:uiPriority w:val="99"/>
    <w:semiHidden/>
    <w:rsid w:val="00034FB6"/>
    <w:rPr>
      <w:rFonts w:ascii="Tahoma" w:eastAsia="Times New Roman" w:hAnsi="Tahoma" w:cs="Tahoma"/>
      <w:sz w:val="16"/>
      <w:szCs w:val="16"/>
      <w:lang w:val="es-ES" w:eastAsia="es-ES"/>
    </w:rPr>
  </w:style>
  <w:style w:type="character" w:styleId="Refdecomentario">
    <w:name w:val="annotation reference"/>
    <w:basedOn w:val="Fuentedeprrafopredeter"/>
    <w:uiPriority w:val="99"/>
    <w:unhideWhenUsed/>
    <w:rsid w:val="000B20E8"/>
    <w:rPr>
      <w:sz w:val="16"/>
      <w:szCs w:val="16"/>
    </w:rPr>
  </w:style>
  <w:style w:type="paragraph" w:styleId="Textocomentario">
    <w:name w:val="annotation text"/>
    <w:basedOn w:val="Normal"/>
    <w:link w:val="TextocomentarioCar"/>
    <w:uiPriority w:val="99"/>
    <w:unhideWhenUsed/>
    <w:rsid w:val="000B20E8"/>
    <w:rPr>
      <w:sz w:val="20"/>
      <w:szCs w:val="20"/>
    </w:rPr>
  </w:style>
  <w:style w:type="character" w:customStyle="1" w:styleId="TextocomentarioCar">
    <w:name w:val="Texto comentario Car"/>
    <w:basedOn w:val="Fuentedeprrafopredeter"/>
    <w:link w:val="Textocomentario"/>
    <w:uiPriority w:val="99"/>
    <w:rsid w:val="000B20E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F195E"/>
    <w:rPr>
      <w:b/>
      <w:bCs/>
    </w:rPr>
  </w:style>
  <w:style w:type="character" w:customStyle="1" w:styleId="AsuntodelcomentarioCar">
    <w:name w:val="Asunto del comentario Car"/>
    <w:basedOn w:val="TextocomentarioCar"/>
    <w:link w:val="Asuntodelcomentario"/>
    <w:uiPriority w:val="99"/>
    <w:semiHidden/>
    <w:rsid w:val="001F195E"/>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4B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E1DAD"/>
    <w:pPr>
      <w:spacing w:after="0" w:line="240" w:lineRule="auto"/>
    </w:pPr>
    <w:rPr>
      <w:rFonts w:ascii="Times New Roman" w:eastAsia="Times New Roman" w:hAnsi="Times New Roman" w:cs="Times New Roman"/>
      <w:sz w:val="24"/>
      <w:szCs w:val="24"/>
      <w:lang w:val="es-ES" w:eastAsia="es-ES"/>
    </w:rPr>
  </w:style>
  <w:style w:type="paragraph" w:customStyle="1" w:styleId="IFTnormal">
    <w:name w:val="IFT normal"/>
    <w:basedOn w:val="Normal"/>
    <w:qFormat/>
    <w:rsid w:val="00D4052B"/>
    <w:pPr>
      <w:spacing w:after="200" w:line="276" w:lineRule="auto"/>
      <w:ind w:left="426"/>
      <w:jc w:val="both"/>
    </w:pPr>
    <w:rPr>
      <w:rFonts w:ascii="ITC Avant Garde" w:hAnsi="ITC Avant Garde"/>
      <w:iCs/>
      <w:sz w:val="22"/>
      <w:szCs w:val="22"/>
      <w:lang w:eastAsia="es-MX"/>
    </w:rPr>
  </w:style>
  <w:style w:type="character" w:customStyle="1" w:styleId="PrrafodelistaCar">
    <w:name w:val="Párrafo de lista Car"/>
    <w:aliases w:val="Cuadros Car"/>
    <w:link w:val="Prrafodelista"/>
    <w:uiPriority w:val="34"/>
    <w:locked/>
    <w:rsid w:val="00A50B61"/>
    <w:rPr>
      <w:rFonts w:ascii="Calibri" w:eastAsia="Calibri" w:hAnsi="Calibri" w:cs="Times New Roman"/>
    </w:rPr>
  </w:style>
  <w:style w:type="paragraph" w:styleId="Sinespaciado">
    <w:name w:val="No Spacing"/>
    <w:uiPriority w:val="1"/>
    <w:qFormat/>
    <w:rsid w:val="00AC313F"/>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9C42A6"/>
    <w:rPr>
      <w:rFonts w:asciiTheme="majorHAnsi" w:eastAsiaTheme="majorEastAsia" w:hAnsiTheme="majorHAnsi" w:cstheme="majorBidi"/>
      <w:color w:val="2E74B5" w:themeColor="accent1" w:themeShade="BF"/>
      <w:sz w:val="32"/>
      <w:szCs w:val="32"/>
      <w:lang w:val="es-ES" w:eastAsia="es-ES"/>
    </w:rPr>
  </w:style>
  <w:style w:type="character" w:styleId="Hipervnculo">
    <w:name w:val="Hyperlink"/>
    <w:basedOn w:val="Fuentedeprrafopredeter"/>
    <w:uiPriority w:val="99"/>
    <w:unhideWhenUsed/>
    <w:rsid w:val="00263B6E"/>
    <w:rPr>
      <w:color w:val="0563C1" w:themeColor="hyperlink"/>
      <w:u w:val="single"/>
    </w:rPr>
  </w:style>
  <w:style w:type="character" w:customStyle="1" w:styleId="Ttulo2Car">
    <w:name w:val="Título 2 Car"/>
    <w:basedOn w:val="Fuentedeprrafopredeter"/>
    <w:link w:val="Ttulo2"/>
    <w:uiPriority w:val="9"/>
    <w:rsid w:val="00A117D0"/>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uiPriority w:val="9"/>
    <w:rsid w:val="0014509F"/>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rsid w:val="0014509F"/>
    <w:rPr>
      <w:rFonts w:asciiTheme="majorHAnsi" w:eastAsiaTheme="majorEastAsia" w:hAnsiTheme="majorHAnsi" w:cstheme="majorBidi"/>
    </w:rPr>
  </w:style>
  <w:style w:type="character" w:customStyle="1" w:styleId="Ttulo5Car">
    <w:name w:val="Título 5 Car"/>
    <w:basedOn w:val="Fuentedeprrafopredeter"/>
    <w:link w:val="Ttulo5"/>
    <w:uiPriority w:val="9"/>
    <w:semiHidden/>
    <w:rsid w:val="0014509F"/>
    <w:rPr>
      <w:rFonts w:asciiTheme="majorHAnsi" w:eastAsiaTheme="majorEastAsia" w:hAnsiTheme="majorHAnsi" w:cstheme="majorBidi"/>
      <w:color w:val="44546A" w:themeColor="text2"/>
    </w:rPr>
  </w:style>
  <w:style w:type="character" w:customStyle="1" w:styleId="Ttulo7Car">
    <w:name w:val="Título 7 Car"/>
    <w:basedOn w:val="Fuentedeprrafopredeter"/>
    <w:link w:val="Ttulo7"/>
    <w:uiPriority w:val="9"/>
    <w:semiHidden/>
    <w:rsid w:val="0014509F"/>
    <w:rPr>
      <w:rFonts w:asciiTheme="majorHAnsi" w:eastAsiaTheme="majorEastAsia" w:hAnsiTheme="majorHAnsi" w:cstheme="majorBidi"/>
      <w:i/>
      <w:iCs/>
      <w:color w:val="1F4E79" w:themeColor="accent1" w:themeShade="80"/>
      <w:sz w:val="21"/>
      <w:szCs w:val="21"/>
    </w:rPr>
  </w:style>
  <w:style w:type="character" w:customStyle="1" w:styleId="Ttulo8Car">
    <w:name w:val="Título 8 Car"/>
    <w:basedOn w:val="Fuentedeprrafopredeter"/>
    <w:link w:val="Ttulo8"/>
    <w:uiPriority w:val="9"/>
    <w:semiHidden/>
    <w:rsid w:val="0014509F"/>
    <w:rPr>
      <w:rFonts w:asciiTheme="majorHAnsi" w:eastAsiaTheme="majorEastAsia" w:hAnsiTheme="majorHAnsi" w:cstheme="majorBidi"/>
      <w:b/>
      <w:bCs/>
      <w:color w:val="44546A" w:themeColor="text2"/>
      <w:sz w:val="20"/>
      <w:szCs w:val="20"/>
    </w:rPr>
  </w:style>
  <w:style w:type="character" w:customStyle="1" w:styleId="Ttulo9Car">
    <w:name w:val="Título 9 Car"/>
    <w:basedOn w:val="Fuentedeprrafopredeter"/>
    <w:link w:val="Ttulo9"/>
    <w:uiPriority w:val="9"/>
    <w:semiHidden/>
    <w:rsid w:val="0014509F"/>
    <w:rPr>
      <w:rFonts w:asciiTheme="majorHAnsi" w:eastAsiaTheme="majorEastAsia" w:hAnsiTheme="majorHAnsi" w:cstheme="majorBidi"/>
      <w:b/>
      <w:bCs/>
      <w:i/>
      <w:iCs/>
      <w:color w:val="44546A" w:themeColor="text2"/>
      <w:sz w:val="20"/>
      <w:szCs w:val="20"/>
    </w:rPr>
  </w:style>
  <w:style w:type="character" w:styleId="Ttulodellibro">
    <w:name w:val="Book Title"/>
    <w:basedOn w:val="Fuentedeprrafopredeter"/>
    <w:uiPriority w:val="33"/>
    <w:qFormat/>
    <w:rsid w:val="0014509F"/>
    <w:rPr>
      <w:b/>
      <w:bCs/>
      <w:smallCaps/>
    </w:rPr>
  </w:style>
  <w:style w:type="paragraph" w:styleId="Subttulo">
    <w:name w:val="Subtitle"/>
    <w:basedOn w:val="Normal"/>
    <w:next w:val="Normal"/>
    <w:link w:val="SubttuloCar"/>
    <w:uiPriority w:val="11"/>
    <w:qFormat/>
    <w:rsid w:val="0014509F"/>
    <w:pPr>
      <w:numPr>
        <w:ilvl w:val="1"/>
      </w:numPr>
      <w:spacing w:after="120"/>
    </w:pPr>
    <w:rPr>
      <w:rFonts w:asciiTheme="majorHAnsi" w:eastAsiaTheme="majorEastAsia" w:hAnsiTheme="majorHAnsi" w:cstheme="majorBidi"/>
      <w:lang w:val="es-MX" w:eastAsia="en-US"/>
    </w:rPr>
  </w:style>
  <w:style w:type="character" w:customStyle="1" w:styleId="SubttuloCar">
    <w:name w:val="Subtítulo Car"/>
    <w:basedOn w:val="Fuentedeprrafopredeter"/>
    <w:link w:val="Subttulo"/>
    <w:uiPriority w:val="11"/>
    <w:rsid w:val="0014509F"/>
    <w:rPr>
      <w:rFonts w:asciiTheme="majorHAnsi" w:eastAsiaTheme="majorEastAsia" w:hAnsiTheme="majorHAnsi" w:cstheme="majorBidi"/>
      <w:sz w:val="24"/>
      <w:szCs w:val="24"/>
    </w:rPr>
  </w:style>
  <w:style w:type="paragraph" w:styleId="Ttulo">
    <w:name w:val="Title"/>
    <w:basedOn w:val="Normal"/>
    <w:next w:val="Normal"/>
    <w:link w:val="TtuloCar"/>
    <w:uiPriority w:val="10"/>
    <w:qFormat/>
    <w:rsid w:val="0014509F"/>
    <w:pPr>
      <w:contextualSpacing/>
    </w:pPr>
    <w:rPr>
      <w:rFonts w:asciiTheme="majorHAnsi" w:eastAsiaTheme="majorEastAsia" w:hAnsiTheme="majorHAnsi" w:cstheme="majorBidi"/>
      <w:color w:val="5B9BD5" w:themeColor="accent1"/>
      <w:spacing w:val="-10"/>
      <w:sz w:val="56"/>
      <w:szCs w:val="56"/>
      <w:lang w:val="es-MX" w:eastAsia="en-US"/>
    </w:rPr>
  </w:style>
  <w:style w:type="character" w:customStyle="1" w:styleId="TtuloCar">
    <w:name w:val="Título Car"/>
    <w:basedOn w:val="Fuentedeprrafopredeter"/>
    <w:link w:val="Ttulo"/>
    <w:uiPriority w:val="10"/>
    <w:rsid w:val="0014509F"/>
    <w:rPr>
      <w:rFonts w:asciiTheme="majorHAnsi" w:eastAsiaTheme="majorEastAsia" w:hAnsiTheme="majorHAnsi" w:cstheme="majorBidi"/>
      <w:color w:val="5B9BD5" w:themeColor="accent1"/>
      <w:spacing w:val="-10"/>
      <w:sz w:val="56"/>
      <w:szCs w:val="56"/>
    </w:rPr>
  </w:style>
  <w:style w:type="character" w:styleId="nfasissutil">
    <w:name w:val="Subtle Emphasis"/>
    <w:basedOn w:val="Fuentedeprrafopredeter"/>
    <w:uiPriority w:val="19"/>
    <w:qFormat/>
    <w:rsid w:val="0014509F"/>
    <w:rPr>
      <w:i/>
      <w:iCs/>
      <w:color w:val="404040" w:themeColor="text1" w:themeTint="BF"/>
    </w:rPr>
  </w:style>
  <w:style w:type="character" w:styleId="nfasisintenso">
    <w:name w:val="Intense Emphasis"/>
    <w:basedOn w:val="Fuentedeprrafopredeter"/>
    <w:uiPriority w:val="21"/>
    <w:qFormat/>
    <w:rsid w:val="0014509F"/>
    <w:rPr>
      <w:b/>
      <w:bCs/>
      <w:i/>
      <w:iCs/>
    </w:rPr>
  </w:style>
  <w:style w:type="character" w:styleId="Textoennegrita">
    <w:name w:val="Strong"/>
    <w:basedOn w:val="Fuentedeprrafopredeter"/>
    <w:uiPriority w:val="22"/>
    <w:qFormat/>
    <w:rsid w:val="0014509F"/>
    <w:rPr>
      <w:b/>
      <w:bCs/>
    </w:rPr>
  </w:style>
  <w:style w:type="paragraph" w:styleId="Citadestacada">
    <w:name w:val="Intense Quote"/>
    <w:basedOn w:val="Normal"/>
    <w:next w:val="Normal"/>
    <w:link w:val="CitadestacadaCar"/>
    <w:uiPriority w:val="30"/>
    <w:qFormat/>
    <w:rsid w:val="0014509F"/>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lang w:val="es-MX" w:eastAsia="en-US"/>
    </w:rPr>
  </w:style>
  <w:style w:type="character" w:customStyle="1" w:styleId="CitadestacadaCar">
    <w:name w:val="Cita destacada Car"/>
    <w:basedOn w:val="Fuentedeprrafopredeter"/>
    <w:link w:val="Citadestacada"/>
    <w:uiPriority w:val="30"/>
    <w:rsid w:val="0014509F"/>
    <w:rPr>
      <w:rFonts w:asciiTheme="majorHAnsi" w:eastAsiaTheme="majorEastAsia" w:hAnsiTheme="majorHAnsi" w:cstheme="majorBidi"/>
      <w:color w:val="5B9BD5" w:themeColor="accent1"/>
      <w:sz w:val="28"/>
      <w:szCs w:val="28"/>
    </w:rPr>
  </w:style>
  <w:style w:type="paragraph" w:styleId="TtuloTDC">
    <w:name w:val="TOC Heading"/>
    <w:basedOn w:val="Ttulo1"/>
    <w:next w:val="Normal"/>
    <w:uiPriority w:val="39"/>
    <w:unhideWhenUsed/>
    <w:qFormat/>
    <w:rsid w:val="0014509F"/>
    <w:pPr>
      <w:spacing w:before="320"/>
      <w:outlineLvl w:val="9"/>
    </w:pPr>
    <w:rPr>
      <w:lang w:val="es-MX" w:eastAsia="en-US"/>
    </w:rPr>
  </w:style>
  <w:style w:type="paragraph" w:styleId="TDC1">
    <w:name w:val="toc 1"/>
    <w:basedOn w:val="Normal"/>
    <w:next w:val="Normal"/>
    <w:autoRedefine/>
    <w:uiPriority w:val="39"/>
    <w:unhideWhenUsed/>
    <w:rsid w:val="0014509F"/>
    <w:pPr>
      <w:tabs>
        <w:tab w:val="right" w:leader="dot" w:pos="9356"/>
      </w:tabs>
      <w:spacing w:before="120" w:after="120" w:line="264" w:lineRule="auto"/>
    </w:pPr>
    <w:rPr>
      <w:rFonts w:asciiTheme="minorHAnsi" w:eastAsiaTheme="minorEastAsia" w:hAnsiTheme="minorHAnsi" w:cstheme="minorBidi"/>
      <w:b/>
      <w:bCs/>
      <w:sz w:val="20"/>
      <w:szCs w:val="20"/>
      <w:lang w:val="es-MX" w:eastAsia="en-US"/>
    </w:rPr>
  </w:style>
  <w:style w:type="paragraph" w:styleId="TDC2">
    <w:name w:val="toc 2"/>
    <w:basedOn w:val="Normal"/>
    <w:next w:val="Normal"/>
    <w:autoRedefine/>
    <w:uiPriority w:val="39"/>
    <w:unhideWhenUsed/>
    <w:rsid w:val="0014509F"/>
    <w:pPr>
      <w:tabs>
        <w:tab w:val="left" w:pos="1418"/>
        <w:tab w:val="right" w:leader="dot" w:pos="9394"/>
      </w:tabs>
      <w:spacing w:line="264" w:lineRule="auto"/>
      <w:ind w:left="709"/>
    </w:pPr>
    <w:rPr>
      <w:rFonts w:asciiTheme="minorHAnsi" w:eastAsiaTheme="minorEastAsia" w:hAnsiTheme="minorHAnsi" w:cstheme="minorBidi"/>
      <w:sz w:val="20"/>
      <w:szCs w:val="20"/>
      <w:lang w:val="es-MX" w:eastAsia="en-US"/>
    </w:rPr>
  </w:style>
  <w:style w:type="character" w:styleId="Hipervnculovisitado">
    <w:name w:val="FollowedHyperlink"/>
    <w:basedOn w:val="Fuentedeprrafopredeter"/>
    <w:uiPriority w:val="99"/>
    <w:semiHidden/>
    <w:unhideWhenUsed/>
    <w:rsid w:val="0014509F"/>
    <w:rPr>
      <w:color w:val="954F72"/>
      <w:u w:val="single"/>
    </w:rPr>
  </w:style>
  <w:style w:type="paragraph" w:customStyle="1" w:styleId="font5">
    <w:name w:val="font5"/>
    <w:basedOn w:val="Normal"/>
    <w:rsid w:val="0014509F"/>
    <w:pPr>
      <w:spacing w:before="100" w:beforeAutospacing="1" w:after="100" w:afterAutospacing="1"/>
    </w:pPr>
    <w:rPr>
      <w:rFonts w:ascii="Calibri" w:hAnsi="Calibri"/>
      <w:b/>
      <w:bCs/>
      <w:color w:val="FFFFFF"/>
      <w:sz w:val="16"/>
      <w:szCs w:val="16"/>
      <w:lang w:val="es-MX" w:eastAsia="es-MX"/>
    </w:rPr>
  </w:style>
  <w:style w:type="paragraph" w:customStyle="1" w:styleId="xl65">
    <w:name w:val="xl65"/>
    <w:basedOn w:val="Normal"/>
    <w:rsid w:val="0014509F"/>
    <w:pPr>
      <w:spacing w:before="100" w:beforeAutospacing="1" w:after="100" w:afterAutospacing="1"/>
      <w:textAlignment w:val="center"/>
    </w:pPr>
    <w:rPr>
      <w:b/>
      <w:bCs/>
      <w:sz w:val="20"/>
      <w:szCs w:val="20"/>
      <w:lang w:val="es-MX" w:eastAsia="es-MX"/>
    </w:rPr>
  </w:style>
  <w:style w:type="paragraph" w:customStyle="1" w:styleId="xl66">
    <w:name w:val="xl66"/>
    <w:basedOn w:val="Normal"/>
    <w:rsid w:val="0014509F"/>
    <w:pPr>
      <w:spacing w:before="100" w:beforeAutospacing="1" w:after="100" w:afterAutospacing="1"/>
      <w:textAlignment w:val="center"/>
    </w:pPr>
    <w:rPr>
      <w:b/>
      <w:bCs/>
      <w:lang w:val="es-MX" w:eastAsia="es-MX"/>
    </w:rPr>
  </w:style>
  <w:style w:type="paragraph" w:customStyle="1" w:styleId="xl67">
    <w:name w:val="xl67"/>
    <w:basedOn w:val="Normal"/>
    <w:rsid w:val="0014509F"/>
    <w:pPr>
      <w:spacing w:before="100" w:beforeAutospacing="1" w:after="100" w:afterAutospacing="1"/>
      <w:jc w:val="center"/>
      <w:textAlignment w:val="center"/>
    </w:pPr>
    <w:rPr>
      <w:b/>
      <w:bCs/>
      <w:lang w:val="es-MX" w:eastAsia="es-MX"/>
    </w:rPr>
  </w:style>
  <w:style w:type="paragraph" w:customStyle="1" w:styleId="xl68">
    <w:name w:val="xl68"/>
    <w:basedOn w:val="Normal"/>
    <w:rsid w:val="0014509F"/>
    <w:pPr>
      <w:spacing w:before="100" w:beforeAutospacing="1" w:after="100" w:afterAutospacing="1"/>
    </w:pPr>
    <w:rPr>
      <w:sz w:val="20"/>
      <w:szCs w:val="20"/>
      <w:lang w:val="es-MX" w:eastAsia="es-MX"/>
    </w:rPr>
  </w:style>
  <w:style w:type="paragraph" w:customStyle="1" w:styleId="xl69">
    <w:name w:val="xl69"/>
    <w:basedOn w:val="Normal"/>
    <w:rsid w:val="0014509F"/>
    <w:pPr>
      <w:spacing w:before="100" w:beforeAutospacing="1" w:after="100" w:afterAutospacing="1"/>
      <w:jc w:val="center"/>
      <w:textAlignment w:val="center"/>
    </w:pPr>
    <w:rPr>
      <w:sz w:val="20"/>
      <w:szCs w:val="20"/>
      <w:lang w:val="es-MX" w:eastAsia="es-MX"/>
    </w:rPr>
  </w:style>
  <w:style w:type="paragraph" w:customStyle="1" w:styleId="xl70">
    <w:name w:val="xl70"/>
    <w:basedOn w:val="Normal"/>
    <w:rsid w:val="0014509F"/>
    <w:pPr>
      <w:spacing w:before="100" w:beforeAutospacing="1" w:after="100" w:afterAutospacing="1"/>
      <w:jc w:val="center"/>
      <w:textAlignment w:val="center"/>
    </w:pPr>
    <w:rPr>
      <w:sz w:val="20"/>
      <w:szCs w:val="20"/>
      <w:lang w:val="es-MX" w:eastAsia="es-MX"/>
    </w:rPr>
  </w:style>
  <w:style w:type="paragraph" w:customStyle="1" w:styleId="xl71">
    <w:name w:val="xl71"/>
    <w:basedOn w:val="Normal"/>
    <w:rsid w:val="0014509F"/>
    <w:pPr>
      <w:spacing w:before="100" w:beforeAutospacing="1" w:after="100" w:afterAutospacing="1"/>
    </w:pPr>
    <w:rPr>
      <w:sz w:val="20"/>
      <w:szCs w:val="20"/>
      <w:lang w:val="es-MX" w:eastAsia="es-MX"/>
    </w:rPr>
  </w:style>
  <w:style w:type="paragraph" w:customStyle="1" w:styleId="xl72">
    <w:name w:val="xl72"/>
    <w:basedOn w:val="Normal"/>
    <w:rsid w:val="0014509F"/>
    <w:pPr>
      <w:spacing w:before="100" w:beforeAutospacing="1" w:after="100" w:afterAutospacing="1"/>
    </w:pPr>
    <w:rPr>
      <w:color w:val="FFFFFF"/>
      <w:sz w:val="20"/>
      <w:szCs w:val="20"/>
      <w:lang w:val="es-MX" w:eastAsia="es-MX"/>
    </w:rPr>
  </w:style>
  <w:style w:type="paragraph" w:customStyle="1" w:styleId="xl73">
    <w:name w:val="xl73"/>
    <w:basedOn w:val="Normal"/>
    <w:rsid w:val="0014509F"/>
    <w:pPr>
      <w:spacing w:before="100" w:beforeAutospacing="1" w:after="100" w:afterAutospacing="1"/>
      <w:jc w:val="center"/>
      <w:textAlignment w:val="center"/>
    </w:pPr>
    <w:rPr>
      <w:color w:val="FFFFFF"/>
      <w:sz w:val="20"/>
      <w:szCs w:val="20"/>
      <w:lang w:val="es-MX" w:eastAsia="es-MX"/>
    </w:rPr>
  </w:style>
  <w:style w:type="paragraph" w:customStyle="1" w:styleId="xl74">
    <w:name w:val="xl74"/>
    <w:basedOn w:val="Normal"/>
    <w:rsid w:val="0014509F"/>
    <w:pPr>
      <w:spacing w:before="100" w:beforeAutospacing="1" w:after="100" w:afterAutospacing="1"/>
    </w:pPr>
    <w:rPr>
      <w:color w:val="FFFFFF"/>
      <w:sz w:val="20"/>
      <w:szCs w:val="20"/>
      <w:lang w:val="es-MX" w:eastAsia="es-MX"/>
    </w:rPr>
  </w:style>
  <w:style w:type="paragraph" w:customStyle="1" w:styleId="xl75">
    <w:name w:val="xl75"/>
    <w:basedOn w:val="Normal"/>
    <w:rsid w:val="0014509F"/>
    <w:pPr>
      <w:spacing w:before="100" w:beforeAutospacing="1" w:after="100" w:afterAutospacing="1"/>
      <w:jc w:val="center"/>
      <w:textAlignment w:val="center"/>
    </w:pPr>
    <w:rPr>
      <w:color w:val="FFFFFF"/>
      <w:sz w:val="20"/>
      <w:szCs w:val="20"/>
      <w:lang w:val="es-MX" w:eastAsia="es-MX"/>
    </w:rPr>
  </w:style>
  <w:style w:type="paragraph" w:customStyle="1" w:styleId="xl76">
    <w:name w:val="xl76"/>
    <w:basedOn w:val="Normal"/>
    <w:rsid w:val="0014509F"/>
    <w:pPr>
      <w:spacing w:before="100" w:beforeAutospacing="1" w:after="100" w:afterAutospacing="1"/>
    </w:pPr>
    <w:rPr>
      <w:sz w:val="20"/>
      <w:szCs w:val="20"/>
      <w:lang w:val="es-MX" w:eastAsia="es-MX"/>
    </w:rPr>
  </w:style>
  <w:style w:type="paragraph" w:customStyle="1" w:styleId="xl77">
    <w:name w:val="xl77"/>
    <w:basedOn w:val="Normal"/>
    <w:rsid w:val="0014509F"/>
    <w:pPr>
      <w:spacing w:before="100" w:beforeAutospacing="1" w:after="100" w:afterAutospacing="1"/>
      <w:jc w:val="center"/>
      <w:textAlignment w:val="center"/>
    </w:pPr>
    <w:rPr>
      <w:sz w:val="20"/>
      <w:szCs w:val="20"/>
      <w:lang w:val="es-MX" w:eastAsia="es-MX"/>
    </w:rPr>
  </w:style>
  <w:style w:type="paragraph" w:customStyle="1" w:styleId="xl78">
    <w:name w:val="xl78"/>
    <w:basedOn w:val="Normal"/>
    <w:rsid w:val="0014509F"/>
    <w:pPr>
      <w:spacing w:before="100" w:beforeAutospacing="1" w:after="100" w:afterAutospacing="1"/>
      <w:jc w:val="center"/>
      <w:textAlignment w:val="center"/>
    </w:pPr>
    <w:rPr>
      <w:sz w:val="20"/>
      <w:szCs w:val="20"/>
      <w:lang w:val="es-MX" w:eastAsia="es-MX"/>
    </w:rPr>
  </w:style>
  <w:style w:type="paragraph" w:customStyle="1" w:styleId="xl79">
    <w:name w:val="xl79"/>
    <w:basedOn w:val="Normal"/>
    <w:rsid w:val="0014509F"/>
    <w:pPr>
      <w:spacing w:before="100" w:beforeAutospacing="1" w:after="100" w:afterAutospacing="1"/>
      <w:jc w:val="center"/>
      <w:textAlignment w:val="center"/>
    </w:pPr>
    <w:rPr>
      <w:sz w:val="20"/>
      <w:szCs w:val="20"/>
      <w:lang w:val="es-MX" w:eastAsia="es-MX"/>
    </w:rPr>
  </w:style>
  <w:style w:type="paragraph" w:customStyle="1" w:styleId="xl80">
    <w:name w:val="xl80"/>
    <w:basedOn w:val="Normal"/>
    <w:rsid w:val="0014509F"/>
    <w:pPr>
      <w:spacing w:before="100" w:beforeAutospacing="1" w:after="100" w:afterAutospacing="1"/>
      <w:jc w:val="center"/>
      <w:textAlignment w:val="center"/>
    </w:pPr>
    <w:rPr>
      <w:sz w:val="20"/>
      <w:szCs w:val="20"/>
      <w:lang w:val="es-MX" w:eastAsia="es-MX"/>
    </w:rPr>
  </w:style>
  <w:style w:type="paragraph" w:customStyle="1" w:styleId="xl81">
    <w:name w:val="xl81"/>
    <w:basedOn w:val="Normal"/>
    <w:rsid w:val="0014509F"/>
    <w:pPr>
      <w:pBdr>
        <w:top w:val="single" w:sz="4" w:space="0" w:color="305496"/>
        <w:left w:val="single" w:sz="4" w:space="0" w:color="305496"/>
        <w:bottom w:val="single" w:sz="4" w:space="0" w:color="305496"/>
        <w:right w:val="single" w:sz="4" w:space="0" w:color="305496"/>
      </w:pBdr>
      <w:shd w:val="clear" w:color="000000" w:fill="42AED0"/>
      <w:spacing w:before="100" w:beforeAutospacing="1" w:after="100" w:afterAutospacing="1"/>
      <w:jc w:val="center"/>
      <w:textAlignment w:val="center"/>
    </w:pPr>
    <w:rPr>
      <w:color w:val="FFFFFF"/>
      <w:sz w:val="20"/>
      <w:szCs w:val="20"/>
      <w:lang w:val="es-MX" w:eastAsia="es-MX"/>
    </w:rPr>
  </w:style>
  <w:style w:type="paragraph" w:customStyle="1" w:styleId="xl82">
    <w:name w:val="xl82"/>
    <w:basedOn w:val="Normal"/>
    <w:rsid w:val="0014509F"/>
    <w:pPr>
      <w:pBdr>
        <w:top w:val="single" w:sz="4" w:space="0" w:color="305496"/>
        <w:left w:val="single" w:sz="4" w:space="0" w:color="305496"/>
        <w:bottom w:val="single" w:sz="4" w:space="0" w:color="305496"/>
        <w:right w:val="single" w:sz="4" w:space="0" w:color="305496"/>
      </w:pBdr>
      <w:shd w:val="clear" w:color="000000" w:fill="42AED0"/>
      <w:spacing w:before="100" w:beforeAutospacing="1" w:after="100" w:afterAutospacing="1"/>
      <w:jc w:val="center"/>
      <w:textAlignment w:val="center"/>
    </w:pPr>
    <w:rPr>
      <w:color w:val="FFFFFF"/>
      <w:sz w:val="20"/>
      <w:szCs w:val="20"/>
      <w:lang w:val="es-MX" w:eastAsia="es-MX"/>
    </w:rPr>
  </w:style>
  <w:style w:type="paragraph" w:customStyle="1" w:styleId="xl83">
    <w:name w:val="xl83"/>
    <w:basedOn w:val="Normal"/>
    <w:rsid w:val="0014509F"/>
    <w:pPr>
      <w:pBdr>
        <w:top w:val="single" w:sz="4" w:space="0" w:color="305496"/>
        <w:left w:val="single" w:sz="4" w:space="0" w:color="305496"/>
        <w:bottom w:val="single" w:sz="4" w:space="0" w:color="305496"/>
        <w:right w:val="single" w:sz="4" w:space="0" w:color="305496"/>
      </w:pBdr>
      <w:shd w:val="clear" w:color="000000" w:fill="42AED0"/>
      <w:spacing w:before="100" w:beforeAutospacing="1" w:after="100" w:afterAutospacing="1"/>
      <w:jc w:val="center"/>
      <w:textAlignment w:val="center"/>
    </w:pPr>
    <w:rPr>
      <w:color w:val="FFFFFF"/>
      <w:sz w:val="20"/>
      <w:szCs w:val="20"/>
      <w:lang w:val="es-MX" w:eastAsia="es-MX"/>
    </w:rPr>
  </w:style>
  <w:style w:type="paragraph" w:customStyle="1" w:styleId="xl84">
    <w:name w:val="xl84"/>
    <w:basedOn w:val="Normal"/>
    <w:rsid w:val="0014509F"/>
    <w:pPr>
      <w:pBdr>
        <w:top w:val="single" w:sz="4" w:space="0" w:color="305496"/>
        <w:left w:val="single" w:sz="4" w:space="0" w:color="305496"/>
        <w:bottom w:val="single" w:sz="4" w:space="0" w:color="305496"/>
        <w:right w:val="single" w:sz="4" w:space="0" w:color="305496"/>
      </w:pBdr>
      <w:shd w:val="clear" w:color="000000" w:fill="42AED0"/>
      <w:spacing w:before="100" w:beforeAutospacing="1" w:after="100" w:afterAutospacing="1"/>
      <w:jc w:val="center"/>
      <w:textAlignment w:val="center"/>
    </w:pPr>
    <w:rPr>
      <w:b/>
      <w:bCs/>
      <w:color w:val="FFFFFF"/>
      <w:sz w:val="20"/>
      <w:szCs w:val="20"/>
      <w:lang w:val="es-MX" w:eastAsia="es-MX"/>
    </w:rPr>
  </w:style>
  <w:style w:type="paragraph" w:customStyle="1" w:styleId="xl85">
    <w:name w:val="xl85"/>
    <w:basedOn w:val="Normal"/>
    <w:rsid w:val="0014509F"/>
    <w:pPr>
      <w:pBdr>
        <w:top w:val="single" w:sz="4" w:space="0" w:color="305496"/>
        <w:left w:val="single" w:sz="4" w:space="0" w:color="305496"/>
        <w:bottom w:val="single" w:sz="4" w:space="0" w:color="305496"/>
        <w:right w:val="single" w:sz="4" w:space="0" w:color="305496"/>
      </w:pBdr>
      <w:shd w:val="clear" w:color="000000" w:fill="42AED0"/>
      <w:spacing w:before="100" w:beforeAutospacing="1" w:after="100" w:afterAutospacing="1"/>
      <w:jc w:val="center"/>
      <w:textAlignment w:val="center"/>
    </w:pPr>
    <w:rPr>
      <w:color w:val="FFFFFF"/>
      <w:sz w:val="20"/>
      <w:szCs w:val="20"/>
      <w:lang w:val="es-MX" w:eastAsia="es-MX"/>
    </w:rPr>
  </w:style>
  <w:style w:type="paragraph" w:customStyle="1" w:styleId="xl86">
    <w:name w:val="xl86"/>
    <w:basedOn w:val="Normal"/>
    <w:rsid w:val="0014509F"/>
    <w:pPr>
      <w:pBdr>
        <w:top w:val="single" w:sz="4" w:space="0" w:color="C00000"/>
        <w:left w:val="single" w:sz="4" w:space="0" w:color="C00000"/>
        <w:bottom w:val="single" w:sz="4" w:space="0" w:color="C00000"/>
        <w:right w:val="single" w:sz="4" w:space="0" w:color="C00000"/>
      </w:pBdr>
      <w:shd w:val="clear" w:color="000000" w:fill="F57E5D"/>
      <w:spacing w:before="100" w:beforeAutospacing="1" w:after="100" w:afterAutospacing="1"/>
      <w:jc w:val="center"/>
      <w:textAlignment w:val="center"/>
    </w:pPr>
    <w:rPr>
      <w:color w:val="FFFFFF"/>
      <w:sz w:val="20"/>
      <w:szCs w:val="20"/>
      <w:lang w:val="es-MX" w:eastAsia="es-MX"/>
    </w:rPr>
  </w:style>
  <w:style w:type="paragraph" w:customStyle="1" w:styleId="xl87">
    <w:name w:val="xl87"/>
    <w:basedOn w:val="Normal"/>
    <w:rsid w:val="0014509F"/>
    <w:pPr>
      <w:pBdr>
        <w:top w:val="single" w:sz="4" w:space="0" w:color="C00000"/>
        <w:left w:val="single" w:sz="4" w:space="0" w:color="C00000"/>
        <w:bottom w:val="single" w:sz="4" w:space="0" w:color="C00000"/>
        <w:right w:val="single" w:sz="4" w:space="0" w:color="C00000"/>
      </w:pBdr>
      <w:shd w:val="clear" w:color="000000" w:fill="F57E5D"/>
      <w:spacing w:before="100" w:beforeAutospacing="1" w:after="100" w:afterAutospacing="1"/>
      <w:jc w:val="center"/>
      <w:textAlignment w:val="center"/>
    </w:pPr>
    <w:rPr>
      <w:color w:val="FFFFFF"/>
      <w:sz w:val="20"/>
      <w:szCs w:val="20"/>
      <w:lang w:val="es-MX" w:eastAsia="es-MX"/>
    </w:rPr>
  </w:style>
  <w:style w:type="paragraph" w:customStyle="1" w:styleId="xl88">
    <w:name w:val="xl88"/>
    <w:basedOn w:val="Normal"/>
    <w:rsid w:val="0014509F"/>
    <w:pPr>
      <w:pBdr>
        <w:top w:val="single" w:sz="4" w:space="0" w:color="C00000"/>
        <w:left w:val="single" w:sz="4" w:space="0" w:color="C00000"/>
        <w:bottom w:val="single" w:sz="4" w:space="0" w:color="C00000"/>
        <w:right w:val="single" w:sz="4" w:space="0" w:color="C00000"/>
      </w:pBdr>
      <w:shd w:val="clear" w:color="000000" w:fill="F57E5D"/>
      <w:spacing w:before="100" w:beforeAutospacing="1" w:after="100" w:afterAutospacing="1"/>
      <w:jc w:val="center"/>
      <w:textAlignment w:val="center"/>
    </w:pPr>
    <w:rPr>
      <w:color w:val="FFFFFF"/>
      <w:sz w:val="20"/>
      <w:szCs w:val="20"/>
      <w:lang w:val="es-MX" w:eastAsia="es-MX"/>
    </w:rPr>
  </w:style>
  <w:style w:type="paragraph" w:customStyle="1" w:styleId="xl89">
    <w:name w:val="xl89"/>
    <w:basedOn w:val="Normal"/>
    <w:rsid w:val="0014509F"/>
    <w:pPr>
      <w:pBdr>
        <w:top w:val="single" w:sz="4" w:space="0" w:color="C00000"/>
        <w:left w:val="single" w:sz="4" w:space="0" w:color="C00000"/>
        <w:bottom w:val="single" w:sz="4" w:space="0" w:color="C00000"/>
        <w:right w:val="single" w:sz="4" w:space="0" w:color="C00000"/>
      </w:pBdr>
      <w:shd w:val="clear" w:color="000000" w:fill="F57E5D"/>
      <w:spacing w:before="100" w:beforeAutospacing="1" w:after="100" w:afterAutospacing="1"/>
      <w:jc w:val="center"/>
      <w:textAlignment w:val="center"/>
    </w:pPr>
    <w:rPr>
      <w:color w:val="FFFFFF"/>
      <w:sz w:val="20"/>
      <w:szCs w:val="20"/>
      <w:lang w:val="es-MX" w:eastAsia="es-MX"/>
    </w:rPr>
  </w:style>
  <w:style w:type="paragraph" w:customStyle="1" w:styleId="xl90">
    <w:name w:val="xl90"/>
    <w:basedOn w:val="Normal"/>
    <w:rsid w:val="0014509F"/>
    <w:pPr>
      <w:pBdr>
        <w:top w:val="single" w:sz="4" w:space="0" w:color="00B050"/>
        <w:left w:val="single" w:sz="4" w:space="0" w:color="00B050"/>
        <w:bottom w:val="single" w:sz="4" w:space="0" w:color="00B050"/>
        <w:right w:val="single" w:sz="4" w:space="0" w:color="00B050"/>
      </w:pBdr>
      <w:shd w:val="clear" w:color="000000" w:fill="02F883"/>
      <w:spacing w:before="100" w:beforeAutospacing="1" w:after="100" w:afterAutospacing="1"/>
      <w:jc w:val="center"/>
      <w:textAlignment w:val="center"/>
    </w:pPr>
    <w:rPr>
      <w:sz w:val="20"/>
      <w:szCs w:val="20"/>
      <w:lang w:val="es-MX" w:eastAsia="es-MX"/>
    </w:rPr>
  </w:style>
  <w:style w:type="paragraph" w:customStyle="1" w:styleId="xl91">
    <w:name w:val="xl91"/>
    <w:basedOn w:val="Normal"/>
    <w:rsid w:val="0014509F"/>
    <w:pPr>
      <w:pBdr>
        <w:top w:val="single" w:sz="4" w:space="0" w:color="00B050"/>
        <w:left w:val="single" w:sz="4" w:space="0" w:color="00B050"/>
        <w:bottom w:val="single" w:sz="4" w:space="0" w:color="00B050"/>
        <w:right w:val="single" w:sz="4" w:space="0" w:color="00B050"/>
      </w:pBdr>
      <w:shd w:val="clear" w:color="000000" w:fill="02F883"/>
      <w:spacing w:before="100" w:beforeAutospacing="1" w:after="100" w:afterAutospacing="1"/>
      <w:jc w:val="center"/>
      <w:textAlignment w:val="center"/>
    </w:pPr>
    <w:rPr>
      <w:sz w:val="20"/>
      <w:szCs w:val="20"/>
      <w:lang w:val="es-MX" w:eastAsia="es-MX"/>
    </w:rPr>
  </w:style>
  <w:style w:type="paragraph" w:customStyle="1" w:styleId="xl92">
    <w:name w:val="xl92"/>
    <w:basedOn w:val="Normal"/>
    <w:rsid w:val="0014509F"/>
    <w:pPr>
      <w:pBdr>
        <w:top w:val="single" w:sz="4" w:space="0" w:color="00B050"/>
        <w:left w:val="single" w:sz="4" w:space="0" w:color="00B050"/>
        <w:bottom w:val="single" w:sz="4" w:space="0" w:color="00B050"/>
        <w:right w:val="single" w:sz="4" w:space="0" w:color="00B050"/>
      </w:pBdr>
      <w:shd w:val="clear" w:color="000000" w:fill="02F883"/>
      <w:spacing w:before="100" w:beforeAutospacing="1" w:after="100" w:afterAutospacing="1"/>
      <w:jc w:val="center"/>
      <w:textAlignment w:val="center"/>
    </w:pPr>
    <w:rPr>
      <w:sz w:val="20"/>
      <w:szCs w:val="20"/>
      <w:lang w:val="es-MX" w:eastAsia="es-MX"/>
    </w:rPr>
  </w:style>
  <w:style w:type="paragraph" w:customStyle="1" w:styleId="xl93">
    <w:name w:val="xl93"/>
    <w:basedOn w:val="Normal"/>
    <w:rsid w:val="0014509F"/>
    <w:pPr>
      <w:pBdr>
        <w:top w:val="single" w:sz="4" w:space="0" w:color="00B050"/>
        <w:left w:val="single" w:sz="4" w:space="0" w:color="00B050"/>
        <w:bottom w:val="single" w:sz="4" w:space="0" w:color="00B050"/>
        <w:right w:val="single" w:sz="4" w:space="0" w:color="00B050"/>
      </w:pBdr>
      <w:shd w:val="clear" w:color="000000" w:fill="02F883"/>
      <w:spacing w:before="100" w:beforeAutospacing="1" w:after="100" w:afterAutospacing="1"/>
      <w:jc w:val="center"/>
      <w:textAlignment w:val="center"/>
    </w:pPr>
    <w:rPr>
      <w:sz w:val="20"/>
      <w:szCs w:val="20"/>
      <w:lang w:val="es-MX" w:eastAsia="es-MX"/>
    </w:rPr>
  </w:style>
  <w:style w:type="paragraph" w:customStyle="1" w:styleId="xl94">
    <w:name w:val="xl94"/>
    <w:basedOn w:val="Normal"/>
    <w:rsid w:val="0014509F"/>
    <w:pPr>
      <w:pBdr>
        <w:left w:val="single" w:sz="4" w:space="0" w:color="C00000"/>
        <w:bottom w:val="single" w:sz="4" w:space="0" w:color="C00000"/>
        <w:right w:val="single" w:sz="4" w:space="0" w:color="C00000"/>
      </w:pBdr>
      <w:shd w:val="clear" w:color="000000" w:fill="F57E5D"/>
      <w:spacing w:before="100" w:beforeAutospacing="1" w:after="100" w:afterAutospacing="1"/>
      <w:jc w:val="center"/>
      <w:textAlignment w:val="center"/>
    </w:pPr>
    <w:rPr>
      <w:color w:val="FFFFFF"/>
      <w:sz w:val="20"/>
      <w:szCs w:val="20"/>
      <w:lang w:val="es-MX" w:eastAsia="es-MX"/>
    </w:rPr>
  </w:style>
  <w:style w:type="paragraph" w:customStyle="1" w:styleId="xl95">
    <w:name w:val="xl95"/>
    <w:basedOn w:val="Normal"/>
    <w:rsid w:val="0014509F"/>
    <w:pPr>
      <w:pBdr>
        <w:left w:val="single" w:sz="4" w:space="0" w:color="C00000"/>
        <w:bottom w:val="single" w:sz="4" w:space="0" w:color="C00000"/>
        <w:right w:val="single" w:sz="4" w:space="0" w:color="C00000"/>
      </w:pBdr>
      <w:shd w:val="clear" w:color="000000" w:fill="F57E5D"/>
      <w:spacing w:before="100" w:beforeAutospacing="1" w:after="100" w:afterAutospacing="1"/>
      <w:jc w:val="center"/>
      <w:textAlignment w:val="center"/>
    </w:pPr>
    <w:rPr>
      <w:color w:val="FFFFFF"/>
      <w:sz w:val="20"/>
      <w:szCs w:val="20"/>
      <w:lang w:val="es-MX" w:eastAsia="es-MX"/>
    </w:rPr>
  </w:style>
  <w:style w:type="paragraph" w:customStyle="1" w:styleId="xl96">
    <w:name w:val="xl96"/>
    <w:basedOn w:val="Normal"/>
    <w:rsid w:val="0014509F"/>
    <w:pPr>
      <w:pBdr>
        <w:left w:val="single" w:sz="4" w:space="0" w:color="C00000"/>
        <w:bottom w:val="single" w:sz="4" w:space="0" w:color="C00000"/>
        <w:right w:val="single" w:sz="4" w:space="0" w:color="C00000"/>
      </w:pBdr>
      <w:shd w:val="clear" w:color="000000" w:fill="F57E5D"/>
      <w:spacing w:before="100" w:beforeAutospacing="1" w:after="100" w:afterAutospacing="1"/>
      <w:jc w:val="center"/>
      <w:textAlignment w:val="center"/>
    </w:pPr>
    <w:rPr>
      <w:color w:val="FFFFFF"/>
      <w:sz w:val="20"/>
      <w:szCs w:val="20"/>
      <w:lang w:val="es-MX" w:eastAsia="es-MX"/>
    </w:rPr>
  </w:style>
  <w:style w:type="paragraph" w:customStyle="1" w:styleId="xl97">
    <w:name w:val="xl97"/>
    <w:basedOn w:val="Normal"/>
    <w:rsid w:val="0014509F"/>
    <w:pPr>
      <w:pBdr>
        <w:top w:val="single" w:sz="4" w:space="0" w:color="7030A0"/>
        <w:left w:val="single" w:sz="4" w:space="0" w:color="7030A0"/>
        <w:bottom w:val="single" w:sz="4" w:space="0" w:color="7030A0"/>
        <w:right w:val="single" w:sz="4" w:space="0" w:color="7030A0"/>
      </w:pBdr>
      <w:shd w:val="clear" w:color="000000" w:fill="AF71AF"/>
      <w:spacing w:before="100" w:beforeAutospacing="1" w:after="100" w:afterAutospacing="1"/>
      <w:jc w:val="center"/>
      <w:textAlignment w:val="center"/>
    </w:pPr>
    <w:rPr>
      <w:color w:val="FFFFFF"/>
      <w:sz w:val="20"/>
      <w:szCs w:val="20"/>
      <w:lang w:val="es-MX" w:eastAsia="es-MX"/>
    </w:rPr>
  </w:style>
  <w:style w:type="paragraph" w:customStyle="1" w:styleId="xl98">
    <w:name w:val="xl98"/>
    <w:basedOn w:val="Normal"/>
    <w:rsid w:val="0014509F"/>
    <w:pPr>
      <w:pBdr>
        <w:top w:val="single" w:sz="4" w:space="0" w:color="7030A0"/>
        <w:left w:val="single" w:sz="4" w:space="0" w:color="7030A0"/>
        <w:bottom w:val="single" w:sz="4" w:space="0" w:color="7030A0"/>
        <w:right w:val="single" w:sz="4" w:space="0" w:color="7030A0"/>
      </w:pBdr>
      <w:shd w:val="clear" w:color="000000" w:fill="AF71AF"/>
      <w:spacing w:before="100" w:beforeAutospacing="1" w:after="100" w:afterAutospacing="1"/>
      <w:jc w:val="center"/>
      <w:textAlignment w:val="center"/>
    </w:pPr>
    <w:rPr>
      <w:color w:val="FFFFFF"/>
      <w:sz w:val="20"/>
      <w:szCs w:val="20"/>
      <w:lang w:val="es-MX" w:eastAsia="es-MX"/>
    </w:rPr>
  </w:style>
  <w:style w:type="paragraph" w:customStyle="1" w:styleId="xl99">
    <w:name w:val="xl99"/>
    <w:basedOn w:val="Normal"/>
    <w:rsid w:val="0014509F"/>
    <w:pPr>
      <w:pBdr>
        <w:top w:val="single" w:sz="4" w:space="0" w:color="7030A0"/>
        <w:left w:val="single" w:sz="4" w:space="0" w:color="7030A0"/>
        <w:bottom w:val="single" w:sz="4" w:space="0" w:color="7030A0"/>
        <w:right w:val="single" w:sz="4" w:space="0" w:color="7030A0"/>
      </w:pBdr>
      <w:shd w:val="clear" w:color="000000" w:fill="AF71AF"/>
      <w:spacing w:before="100" w:beforeAutospacing="1" w:after="100" w:afterAutospacing="1"/>
      <w:jc w:val="center"/>
      <w:textAlignment w:val="center"/>
    </w:pPr>
    <w:rPr>
      <w:color w:val="FFFFFF"/>
      <w:sz w:val="20"/>
      <w:szCs w:val="20"/>
      <w:lang w:val="es-MX" w:eastAsia="es-MX"/>
    </w:rPr>
  </w:style>
  <w:style w:type="paragraph" w:customStyle="1" w:styleId="xl100">
    <w:name w:val="xl100"/>
    <w:basedOn w:val="Normal"/>
    <w:rsid w:val="0014509F"/>
    <w:pPr>
      <w:pBdr>
        <w:top w:val="single" w:sz="4" w:space="0" w:color="7030A0"/>
        <w:left w:val="single" w:sz="4" w:space="0" w:color="7030A0"/>
        <w:bottom w:val="single" w:sz="4" w:space="0" w:color="7030A0"/>
        <w:right w:val="single" w:sz="4" w:space="0" w:color="7030A0"/>
      </w:pBdr>
      <w:shd w:val="clear" w:color="000000" w:fill="AF71AF"/>
      <w:spacing w:before="100" w:beforeAutospacing="1" w:after="100" w:afterAutospacing="1"/>
      <w:jc w:val="center"/>
      <w:textAlignment w:val="center"/>
    </w:pPr>
    <w:rPr>
      <w:color w:val="FFFFFF"/>
      <w:sz w:val="20"/>
      <w:szCs w:val="20"/>
      <w:lang w:val="es-MX" w:eastAsia="es-MX"/>
    </w:rPr>
  </w:style>
  <w:style w:type="paragraph" w:customStyle="1" w:styleId="xl101">
    <w:name w:val="xl101"/>
    <w:basedOn w:val="Normal"/>
    <w:rsid w:val="0014509F"/>
    <w:pPr>
      <w:pBdr>
        <w:top w:val="single" w:sz="4" w:space="0" w:color="2F75B5"/>
      </w:pBdr>
      <w:spacing w:before="100" w:beforeAutospacing="1" w:after="100" w:afterAutospacing="1"/>
      <w:textAlignment w:val="center"/>
    </w:pPr>
    <w:rPr>
      <w:sz w:val="20"/>
      <w:szCs w:val="20"/>
      <w:lang w:val="es-MX" w:eastAsia="es-MX"/>
    </w:rPr>
  </w:style>
  <w:style w:type="paragraph" w:customStyle="1" w:styleId="xl102">
    <w:name w:val="xl102"/>
    <w:basedOn w:val="Normal"/>
    <w:rsid w:val="0014509F"/>
    <w:pPr>
      <w:pBdr>
        <w:top w:val="single" w:sz="4" w:space="0" w:color="305496"/>
        <w:left w:val="single" w:sz="4" w:space="0" w:color="305496"/>
        <w:bottom w:val="single" w:sz="4" w:space="0" w:color="305496"/>
        <w:right w:val="single" w:sz="4" w:space="0" w:color="305496"/>
      </w:pBdr>
      <w:shd w:val="clear" w:color="000000" w:fill="42AED0"/>
      <w:spacing w:before="100" w:beforeAutospacing="1" w:after="100" w:afterAutospacing="1"/>
      <w:textAlignment w:val="center"/>
    </w:pPr>
    <w:rPr>
      <w:color w:val="FFFFFF"/>
      <w:sz w:val="20"/>
      <w:szCs w:val="20"/>
      <w:lang w:val="es-MX" w:eastAsia="es-MX"/>
    </w:rPr>
  </w:style>
  <w:style w:type="paragraph" w:customStyle="1" w:styleId="xl103">
    <w:name w:val="xl103"/>
    <w:basedOn w:val="Normal"/>
    <w:rsid w:val="0014509F"/>
    <w:pPr>
      <w:spacing w:before="100" w:beforeAutospacing="1" w:after="100" w:afterAutospacing="1"/>
      <w:textAlignment w:val="center"/>
    </w:pPr>
    <w:rPr>
      <w:color w:val="FFFFFF"/>
      <w:sz w:val="20"/>
      <w:szCs w:val="20"/>
      <w:lang w:val="es-MX" w:eastAsia="es-MX"/>
    </w:rPr>
  </w:style>
  <w:style w:type="paragraph" w:customStyle="1" w:styleId="xl104">
    <w:name w:val="xl104"/>
    <w:basedOn w:val="Normal"/>
    <w:rsid w:val="0014509F"/>
    <w:pPr>
      <w:spacing w:before="100" w:beforeAutospacing="1" w:after="100" w:afterAutospacing="1"/>
      <w:textAlignment w:val="center"/>
    </w:pPr>
    <w:rPr>
      <w:sz w:val="20"/>
      <w:szCs w:val="20"/>
      <w:lang w:val="es-MX" w:eastAsia="es-MX"/>
    </w:rPr>
  </w:style>
  <w:style w:type="paragraph" w:customStyle="1" w:styleId="xl105">
    <w:name w:val="xl105"/>
    <w:basedOn w:val="Normal"/>
    <w:rsid w:val="0014509F"/>
    <w:pPr>
      <w:pBdr>
        <w:top w:val="single" w:sz="4" w:space="0" w:color="C00000"/>
        <w:left w:val="single" w:sz="4" w:space="0" w:color="C00000"/>
        <w:bottom w:val="single" w:sz="4" w:space="0" w:color="C00000"/>
        <w:right w:val="single" w:sz="4" w:space="0" w:color="C00000"/>
      </w:pBdr>
      <w:shd w:val="clear" w:color="000000" w:fill="F57E5D"/>
      <w:spacing w:before="100" w:beforeAutospacing="1" w:after="100" w:afterAutospacing="1"/>
      <w:textAlignment w:val="center"/>
    </w:pPr>
    <w:rPr>
      <w:color w:val="FFFFFF"/>
      <w:sz w:val="20"/>
      <w:szCs w:val="20"/>
      <w:lang w:val="es-MX" w:eastAsia="es-MX"/>
    </w:rPr>
  </w:style>
  <w:style w:type="paragraph" w:customStyle="1" w:styleId="xl106">
    <w:name w:val="xl106"/>
    <w:basedOn w:val="Normal"/>
    <w:rsid w:val="0014509F"/>
    <w:pPr>
      <w:pBdr>
        <w:left w:val="single" w:sz="4" w:space="0" w:color="C00000"/>
        <w:bottom w:val="single" w:sz="4" w:space="0" w:color="C00000"/>
        <w:right w:val="single" w:sz="4" w:space="0" w:color="C00000"/>
      </w:pBdr>
      <w:shd w:val="clear" w:color="000000" w:fill="F57E5D"/>
      <w:spacing w:before="100" w:beforeAutospacing="1" w:after="100" w:afterAutospacing="1"/>
      <w:textAlignment w:val="center"/>
    </w:pPr>
    <w:rPr>
      <w:color w:val="FFFFFF"/>
      <w:sz w:val="20"/>
      <w:szCs w:val="20"/>
      <w:lang w:val="es-MX" w:eastAsia="es-MX"/>
    </w:rPr>
  </w:style>
  <w:style w:type="paragraph" w:customStyle="1" w:styleId="xl107">
    <w:name w:val="xl107"/>
    <w:basedOn w:val="Normal"/>
    <w:rsid w:val="0014509F"/>
    <w:pPr>
      <w:pBdr>
        <w:top w:val="single" w:sz="4" w:space="0" w:color="00B050"/>
        <w:left w:val="single" w:sz="4" w:space="0" w:color="00B050"/>
        <w:bottom w:val="single" w:sz="4" w:space="0" w:color="00B050"/>
        <w:right w:val="single" w:sz="4" w:space="0" w:color="00B050"/>
      </w:pBdr>
      <w:shd w:val="clear" w:color="000000" w:fill="02F883"/>
      <w:spacing w:before="100" w:beforeAutospacing="1" w:after="100" w:afterAutospacing="1"/>
      <w:textAlignment w:val="center"/>
    </w:pPr>
    <w:rPr>
      <w:sz w:val="20"/>
      <w:szCs w:val="20"/>
      <w:lang w:val="es-MX" w:eastAsia="es-MX"/>
    </w:rPr>
  </w:style>
  <w:style w:type="paragraph" w:customStyle="1" w:styleId="xl108">
    <w:name w:val="xl108"/>
    <w:basedOn w:val="Normal"/>
    <w:rsid w:val="0014509F"/>
    <w:pPr>
      <w:spacing w:before="100" w:beforeAutospacing="1" w:after="100" w:afterAutospacing="1"/>
      <w:textAlignment w:val="center"/>
    </w:pPr>
    <w:rPr>
      <w:sz w:val="20"/>
      <w:szCs w:val="20"/>
      <w:lang w:val="es-MX" w:eastAsia="es-MX"/>
    </w:rPr>
  </w:style>
  <w:style w:type="paragraph" w:customStyle="1" w:styleId="xl109">
    <w:name w:val="xl109"/>
    <w:basedOn w:val="Normal"/>
    <w:rsid w:val="0014509F"/>
    <w:pPr>
      <w:pBdr>
        <w:top w:val="single" w:sz="4" w:space="0" w:color="7030A0"/>
        <w:left w:val="single" w:sz="4" w:space="0" w:color="7030A0"/>
        <w:bottom w:val="single" w:sz="4" w:space="0" w:color="7030A0"/>
        <w:right w:val="single" w:sz="4" w:space="0" w:color="7030A0"/>
      </w:pBdr>
      <w:shd w:val="clear" w:color="000000" w:fill="AF71AF"/>
      <w:spacing w:before="100" w:beforeAutospacing="1" w:after="100" w:afterAutospacing="1"/>
      <w:textAlignment w:val="center"/>
    </w:pPr>
    <w:rPr>
      <w:color w:val="FFFFFF"/>
      <w:sz w:val="20"/>
      <w:szCs w:val="20"/>
      <w:lang w:val="es-MX" w:eastAsia="es-MX"/>
    </w:rPr>
  </w:style>
  <w:style w:type="paragraph" w:customStyle="1" w:styleId="xl110">
    <w:name w:val="xl110"/>
    <w:basedOn w:val="Normal"/>
    <w:rsid w:val="0014509F"/>
    <w:pPr>
      <w:spacing w:before="100" w:beforeAutospacing="1" w:after="100" w:afterAutospacing="1"/>
      <w:textAlignment w:val="center"/>
    </w:pPr>
    <w:rPr>
      <w:sz w:val="20"/>
      <w:szCs w:val="20"/>
      <w:lang w:val="es-MX" w:eastAsia="es-MX"/>
    </w:rPr>
  </w:style>
  <w:style w:type="paragraph" w:customStyle="1" w:styleId="xl111">
    <w:name w:val="xl111"/>
    <w:basedOn w:val="Normal"/>
    <w:rsid w:val="0014509F"/>
    <w:pPr>
      <w:spacing w:before="100" w:beforeAutospacing="1" w:after="100" w:afterAutospacing="1"/>
    </w:pPr>
    <w:rPr>
      <w:color w:val="FFFFFF"/>
      <w:sz w:val="20"/>
      <w:szCs w:val="20"/>
      <w:lang w:val="es-MX" w:eastAsia="es-MX"/>
    </w:rPr>
  </w:style>
  <w:style w:type="paragraph" w:customStyle="1" w:styleId="xl112">
    <w:name w:val="xl112"/>
    <w:basedOn w:val="Normal"/>
    <w:rsid w:val="0014509F"/>
    <w:pPr>
      <w:spacing w:before="100" w:beforeAutospacing="1" w:after="100" w:afterAutospacing="1"/>
    </w:pPr>
    <w:rPr>
      <w:sz w:val="20"/>
      <w:szCs w:val="20"/>
      <w:lang w:val="es-MX" w:eastAsia="es-MX"/>
    </w:rPr>
  </w:style>
  <w:style w:type="paragraph" w:customStyle="1" w:styleId="xl113">
    <w:name w:val="xl113"/>
    <w:basedOn w:val="Normal"/>
    <w:rsid w:val="0014509F"/>
    <w:pPr>
      <w:spacing w:before="100" w:beforeAutospacing="1" w:after="100" w:afterAutospacing="1"/>
    </w:pPr>
    <w:rPr>
      <w:sz w:val="20"/>
      <w:szCs w:val="20"/>
      <w:lang w:val="es-MX" w:eastAsia="es-MX"/>
    </w:rPr>
  </w:style>
  <w:style w:type="paragraph" w:customStyle="1" w:styleId="xl114">
    <w:name w:val="xl114"/>
    <w:basedOn w:val="Normal"/>
    <w:rsid w:val="0014509F"/>
    <w:pPr>
      <w:shd w:val="clear" w:color="000000" w:fill="FDB462"/>
      <w:spacing w:before="100" w:beforeAutospacing="1" w:after="100" w:afterAutospacing="1"/>
      <w:jc w:val="center"/>
      <w:textAlignment w:val="center"/>
    </w:pPr>
    <w:rPr>
      <w:b/>
      <w:bCs/>
      <w:color w:val="FFFFFF"/>
      <w:lang w:val="es-MX" w:eastAsia="es-MX"/>
    </w:rPr>
  </w:style>
  <w:style w:type="paragraph" w:customStyle="1" w:styleId="xl115">
    <w:name w:val="xl115"/>
    <w:basedOn w:val="Normal"/>
    <w:rsid w:val="0014509F"/>
    <w:pPr>
      <w:shd w:val="clear" w:color="000000" w:fill="FDB462"/>
      <w:spacing w:before="100" w:beforeAutospacing="1" w:after="100" w:afterAutospacing="1"/>
      <w:jc w:val="center"/>
      <w:textAlignment w:val="center"/>
    </w:pPr>
    <w:rPr>
      <w:b/>
      <w:bCs/>
      <w:color w:val="FFFFFF"/>
      <w:lang w:val="es-MX" w:eastAsia="es-MX"/>
    </w:rPr>
  </w:style>
  <w:style w:type="paragraph" w:customStyle="1" w:styleId="xl116">
    <w:name w:val="xl116"/>
    <w:basedOn w:val="Normal"/>
    <w:rsid w:val="0014509F"/>
    <w:pPr>
      <w:shd w:val="clear" w:color="000000" w:fill="FDB462"/>
      <w:spacing w:before="100" w:beforeAutospacing="1" w:after="100" w:afterAutospacing="1"/>
      <w:jc w:val="center"/>
      <w:textAlignment w:val="center"/>
    </w:pPr>
    <w:rPr>
      <w:b/>
      <w:bCs/>
      <w:color w:val="FFFFFF"/>
      <w:lang w:val="es-MX" w:eastAsia="es-MX"/>
    </w:rPr>
  </w:style>
  <w:style w:type="paragraph" w:customStyle="1" w:styleId="xl117">
    <w:name w:val="xl117"/>
    <w:basedOn w:val="Normal"/>
    <w:rsid w:val="0014509F"/>
    <w:pPr>
      <w:pBdr>
        <w:top w:val="single" w:sz="4" w:space="0" w:color="305496"/>
        <w:left w:val="single" w:sz="4" w:space="0" w:color="305496"/>
        <w:bottom w:val="single" w:sz="4" w:space="0" w:color="305496"/>
        <w:right w:val="single" w:sz="4" w:space="0" w:color="305496"/>
      </w:pBdr>
      <w:shd w:val="clear" w:color="000000" w:fill="42AED0"/>
      <w:spacing w:before="100" w:beforeAutospacing="1" w:after="100" w:afterAutospacing="1"/>
      <w:jc w:val="center"/>
      <w:textAlignment w:val="center"/>
    </w:pPr>
    <w:rPr>
      <w:color w:val="FFFFFF"/>
      <w:sz w:val="20"/>
      <w:szCs w:val="20"/>
      <w:lang w:val="es-MX" w:eastAsia="es-MX"/>
    </w:rPr>
  </w:style>
  <w:style w:type="paragraph" w:customStyle="1" w:styleId="xl118">
    <w:name w:val="xl118"/>
    <w:basedOn w:val="Normal"/>
    <w:rsid w:val="0014509F"/>
    <w:pPr>
      <w:pBdr>
        <w:top w:val="single" w:sz="4" w:space="0" w:color="C00000"/>
        <w:left w:val="single" w:sz="4" w:space="0" w:color="C00000"/>
        <w:bottom w:val="single" w:sz="4" w:space="0" w:color="C00000"/>
        <w:right w:val="single" w:sz="4" w:space="0" w:color="C00000"/>
      </w:pBdr>
      <w:shd w:val="clear" w:color="000000" w:fill="F57E5D"/>
      <w:spacing w:before="100" w:beforeAutospacing="1" w:after="100" w:afterAutospacing="1"/>
      <w:jc w:val="center"/>
      <w:textAlignment w:val="center"/>
    </w:pPr>
    <w:rPr>
      <w:color w:val="FFFFFF"/>
      <w:sz w:val="20"/>
      <w:szCs w:val="20"/>
      <w:lang w:val="es-MX" w:eastAsia="es-MX"/>
    </w:rPr>
  </w:style>
  <w:style w:type="paragraph" w:customStyle="1" w:styleId="xl119">
    <w:name w:val="xl119"/>
    <w:basedOn w:val="Normal"/>
    <w:rsid w:val="0014509F"/>
    <w:pPr>
      <w:pBdr>
        <w:top w:val="single" w:sz="4" w:space="0" w:color="00B050"/>
        <w:left w:val="single" w:sz="4" w:space="0" w:color="00B050"/>
        <w:bottom w:val="single" w:sz="4" w:space="0" w:color="00B050"/>
        <w:right w:val="single" w:sz="4" w:space="0" w:color="00B050"/>
      </w:pBdr>
      <w:shd w:val="clear" w:color="000000" w:fill="02F883"/>
      <w:spacing w:before="100" w:beforeAutospacing="1" w:after="100" w:afterAutospacing="1"/>
      <w:jc w:val="center"/>
      <w:textAlignment w:val="center"/>
    </w:pPr>
    <w:rPr>
      <w:sz w:val="20"/>
      <w:szCs w:val="20"/>
      <w:lang w:val="es-MX" w:eastAsia="es-MX"/>
    </w:rPr>
  </w:style>
  <w:style w:type="paragraph" w:customStyle="1" w:styleId="xl120">
    <w:name w:val="xl120"/>
    <w:basedOn w:val="Normal"/>
    <w:rsid w:val="0014509F"/>
    <w:pPr>
      <w:pBdr>
        <w:top w:val="single" w:sz="4" w:space="0" w:color="7030A0"/>
        <w:left w:val="single" w:sz="4" w:space="0" w:color="7030A0"/>
        <w:bottom w:val="single" w:sz="4" w:space="0" w:color="7030A0"/>
        <w:right w:val="single" w:sz="4" w:space="0" w:color="7030A0"/>
      </w:pBdr>
      <w:shd w:val="clear" w:color="000000" w:fill="AF71AF"/>
      <w:spacing w:before="100" w:beforeAutospacing="1" w:after="100" w:afterAutospacing="1"/>
      <w:jc w:val="center"/>
      <w:textAlignment w:val="center"/>
    </w:pPr>
    <w:rPr>
      <w:color w:val="FFFFFF"/>
      <w:sz w:val="20"/>
      <w:szCs w:val="20"/>
      <w:lang w:val="es-MX" w:eastAsia="es-MX"/>
    </w:rPr>
  </w:style>
  <w:style w:type="paragraph" w:customStyle="1" w:styleId="xl121">
    <w:name w:val="xl121"/>
    <w:basedOn w:val="Normal"/>
    <w:rsid w:val="0014509F"/>
    <w:pPr>
      <w:shd w:val="clear" w:color="000000" w:fill="02F883"/>
      <w:spacing w:before="100" w:beforeAutospacing="1" w:after="100" w:afterAutospacing="1"/>
      <w:textAlignment w:val="center"/>
    </w:pPr>
    <w:rPr>
      <w:sz w:val="20"/>
      <w:szCs w:val="20"/>
      <w:lang w:val="es-MX" w:eastAsia="es-MX"/>
    </w:rPr>
  </w:style>
  <w:style w:type="paragraph" w:customStyle="1" w:styleId="xl122">
    <w:name w:val="xl122"/>
    <w:basedOn w:val="Normal"/>
    <w:rsid w:val="0014509F"/>
    <w:pPr>
      <w:shd w:val="clear" w:color="000000" w:fill="AF71AF"/>
      <w:spacing w:before="100" w:beforeAutospacing="1" w:after="100" w:afterAutospacing="1"/>
      <w:textAlignment w:val="center"/>
    </w:pPr>
    <w:rPr>
      <w:color w:val="FFFFFF"/>
      <w:sz w:val="20"/>
      <w:szCs w:val="20"/>
      <w:lang w:val="es-MX" w:eastAsia="es-MX"/>
    </w:rPr>
  </w:style>
  <w:style w:type="paragraph" w:customStyle="1" w:styleId="xl123">
    <w:name w:val="xl123"/>
    <w:basedOn w:val="Normal"/>
    <w:rsid w:val="0014509F"/>
    <w:pPr>
      <w:shd w:val="clear" w:color="000000" w:fill="AF71AF"/>
      <w:spacing w:before="100" w:beforeAutospacing="1" w:after="100" w:afterAutospacing="1"/>
      <w:textAlignment w:val="center"/>
    </w:pPr>
    <w:rPr>
      <w:color w:val="FFFFFF"/>
      <w:sz w:val="20"/>
      <w:szCs w:val="20"/>
      <w:lang w:val="es-MX" w:eastAsia="es-MX"/>
    </w:rPr>
  </w:style>
  <w:style w:type="paragraph" w:customStyle="1" w:styleId="xl124">
    <w:name w:val="xl124"/>
    <w:basedOn w:val="Normal"/>
    <w:rsid w:val="0014509F"/>
    <w:pPr>
      <w:shd w:val="clear" w:color="000000" w:fill="42AED0"/>
      <w:spacing w:before="100" w:beforeAutospacing="1" w:after="100" w:afterAutospacing="1"/>
      <w:textAlignment w:val="center"/>
    </w:pPr>
    <w:rPr>
      <w:color w:val="FFFFFF"/>
      <w:sz w:val="20"/>
      <w:szCs w:val="20"/>
      <w:lang w:val="es-MX" w:eastAsia="es-MX"/>
    </w:rPr>
  </w:style>
  <w:style w:type="paragraph" w:customStyle="1" w:styleId="xl125">
    <w:name w:val="xl125"/>
    <w:basedOn w:val="Normal"/>
    <w:rsid w:val="0014509F"/>
    <w:pPr>
      <w:pBdr>
        <w:bottom w:val="single" w:sz="4" w:space="0" w:color="2F75B5"/>
      </w:pBdr>
      <w:shd w:val="clear" w:color="000000" w:fill="42AED0"/>
      <w:spacing w:before="100" w:beforeAutospacing="1" w:after="100" w:afterAutospacing="1"/>
      <w:textAlignment w:val="center"/>
    </w:pPr>
    <w:rPr>
      <w:color w:val="FFFFFF"/>
      <w:sz w:val="20"/>
      <w:szCs w:val="20"/>
      <w:lang w:val="es-MX" w:eastAsia="es-MX"/>
    </w:rPr>
  </w:style>
  <w:style w:type="paragraph" w:customStyle="1" w:styleId="xl126">
    <w:name w:val="xl126"/>
    <w:basedOn w:val="Normal"/>
    <w:rsid w:val="0014509F"/>
    <w:pPr>
      <w:pBdr>
        <w:top w:val="single" w:sz="4" w:space="0" w:color="2F75B5"/>
        <w:left w:val="single" w:sz="4" w:space="0" w:color="2F75B5"/>
        <w:bottom w:val="single" w:sz="4" w:space="0" w:color="2F75B5"/>
        <w:right w:val="single" w:sz="4" w:space="0" w:color="2F75B5"/>
      </w:pBdr>
      <w:shd w:val="clear" w:color="000000" w:fill="42AED0"/>
      <w:spacing w:before="100" w:beforeAutospacing="1" w:after="100" w:afterAutospacing="1"/>
      <w:textAlignment w:val="center"/>
    </w:pPr>
    <w:rPr>
      <w:color w:val="FFFFFF"/>
      <w:sz w:val="20"/>
      <w:szCs w:val="20"/>
      <w:lang w:val="es-MX" w:eastAsia="es-MX"/>
    </w:rPr>
  </w:style>
  <w:style w:type="paragraph" w:customStyle="1" w:styleId="xl127">
    <w:name w:val="xl127"/>
    <w:basedOn w:val="Normal"/>
    <w:rsid w:val="0014509F"/>
    <w:pPr>
      <w:shd w:val="clear" w:color="000000" w:fill="F57E5D"/>
      <w:spacing w:before="100" w:beforeAutospacing="1" w:after="100" w:afterAutospacing="1"/>
      <w:textAlignment w:val="center"/>
    </w:pPr>
    <w:rPr>
      <w:color w:val="FFFFFF"/>
      <w:sz w:val="20"/>
      <w:szCs w:val="20"/>
      <w:lang w:val="es-MX" w:eastAsia="es-MX"/>
    </w:rPr>
  </w:style>
  <w:style w:type="paragraph" w:customStyle="1" w:styleId="xl128">
    <w:name w:val="xl128"/>
    <w:basedOn w:val="Normal"/>
    <w:rsid w:val="0014509F"/>
    <w:pPr>
      <w:shd w:val="clear" w:color="000000" w:fill="F57E5D"/>
      <w:spacing w:before="100" w:beforeAutospacing="1" w:after="100" w:afterAutospacing="1"/>
      <w:textAlignment w:val="center"/>
    </w:pPr>
    <w:rPr>
      <w:color w:val="FFFFFF"/>
      <w:sz w:val="20"/>
      <w:szCs w:val="20"/>
      <w:lang w:val="es-MX" w:eastAsia="es-MX"/>
    </w:rPr>
  </w:style>
  <w:style w:type="paragraph" w:customStyle="1" w:styleId="O1">
    <w:name w:val="O1"/>
    <w:basedOn w:val="Subttulo"/>
    <w:next w:val="Normal"/>
    <w:link w:val="O1Car"/>
    <w:autoRedefine/>
    <w:rsid w:val="0014509F"/>
    <w:rPr>
      <w:color w:val="2E74B5" w:themeColor="accent1" w:themeShade="BF"/>
      <w:szCs w:val="32"/>
      <w:lang w:val="es-ES" w:eastAsia="es-ES"/>
    </w:rPr>
  </w:style>
  <w:style w:type="character" w:customStyle="1" w:styleId="O1Car">
    <w:name w:val="O1 Car"/>
    <w:basedOn w:val="Ttulo1Car"/>
    <w:link w:val="O1"/>
    <w:rsid w:val="0014509F"/>
    <w:rPr>
      <w:rFonts w:asciiTheme="majorHAnsi" w:eastAsiaTheme="majorEastAsia" w:hAnsiTheme="majorHAnsi" w:cstheme="majorBidi"/>
      <w:color w:val="2E74B5" w:themeColor="accent1" w:themeShade="BF"/>
      <w:sz w:val="24"/>
      <w:szCs w:val="32"/>
      <w:lang w:val="es-ES" w:eastAsia="es-ES"/>
    </w:rPr>
  </w:style>
  <w:style w:type="paragraph" w:customStyle="1" w:styleId="O2">
    <w:name w:val="O2"/>
    <w:basedOn w:val="O1"/>
    <w:next w:val="Normal"/>
    <w:link w:val="O2Car"/>
    <w:rsid w:val="0014509F"/>
    <w:rPr>
      <w:noProof/>
    </w:rPr>
  </w:style>
  <w:style w:type="character" w:customStyle="1" w:styleId="O2Car">
    <w:name w:val="O2 Car"/>
    <w:basedOn w:val="O1Car"/>
    <w:link w:val="O2"/>
    <w:rsid w:val="0014509F"/>
    <w:rPr>
      <w:rFonts w:asciiTheme="majorHAnsi" w:eastAsiaTheme="majorEastAsia" w:hAnsiTheme="majorHAnsi" w:cstheme="majorBidi"/>
      <w:noProof/>
      <w:color w:val="2E74B5" w:themeColor="accent1" w:themeShade="BF"/>
      <w:sz w:val="24"/>
      <w:szCs w:val="32"/>
      <w:lang w:val="es-ES" w:eastAsia="es-ES"/>
    </w:rPr>
  </w:style>
  <w:style w:type="paragraph" w:customStyle="1" w:styleId="O3">
    <w:name w:val="O3"/>
    <w:basedOn w:val="O1"/>
    <w:link w:val="O3Car"/>
    <w:rsid w:val="0014509F"/>
  </w:style>
  <w:style w:type="character" w:customStyle="1" w:styleId="O3Car">
    <w:name w:val="O3 Car"/>
    <w:basedOn w:val="O1Car"/>
    <w:link w:val="O3"/>
    <w:rsid w:val="0014509F"/>
    <w:rPr>
      <w:rFonts w:asciiTheme="majorHAnsi" w:eastAsiaTheme="majorEastAsia" w:hAnsiTheme="majorHAnsi" w:cstheme="majorBidi"/>
      <w:color w:val="2E74B5" w:themeColor="accent1" w:themeShade="BF"/>
      <w:sz w:val="24"/>
      <w:szCs w:val="32"/>
      <w:lang w:val="es-ES" w:eastAsia="es-ES"/>
    </w:rPr>
  </w:style>
  <w:style w:type="paragraph" w:customStyle="1" w:styleId="O4">
    <w:name w:val="O4"/>
    <w:basedOn w:val="O1"/>
    <w:link w:val="O4Car"/>
    <w:rsid w:val="0014509F"/>
  </w:style>
  <w:style w:type="paragraph" w:customStyle="1" w:styleId="OT">
    <w:name w:val="OT"/>
    <w:basedOn w:val="O4"/>
    <w:link w:val="OTCar"/>
    <w:rsid w:val="0014509F"/>
  </w:style>
  <w:style w:type="character" w:customStyle="1" w:styleId="O4Car">
    <w:name w:val="O4 Car"/>
    <w:basedOn w:val="O1Car"/>
    <w:link w:val="O4"/>
    <w:rsid w:val="0014509F"/>
    <w:rPr>
      <w:rFonts w:asciiTheme="majorHAnsi" w:eastAsiaTheme="majorEastAsia" w:hAnsiTheme="majorHAnsi" w:cstheme="majorBidi"/>
      <w:color w:val="2E74B5" w:themeColor="accent1" w:themeShade="BF"/>
      <w:sz w:val="24"/>
      <w:szCs w:val="32"/>
      <w:lang w:val="es-ES" w:eastAsia="es-ES"/>
    </w:rPr>
  </w:style>
  <w:style w:type="character" w:customStyle="1" w:styleId="OTCar">
    <w:name w:val="OT Car"/>
    <w:basedOn w:val="O4Car"/>
    <w:link w:val="OT"/>
    <w:rsid w:val="0014509F"/>
    <w:rPr>
      <w:rFonts w:asciiTheme="majorHAnsi" w:eastAsiaTheme="majorEastAsia" w:hAnsiTheme="majorHAnsi" w:cstheme="majorBidi"/>
      <w:color w:val="2E74B5" w:themeColor="accent1" w:themeShade="BF"/>
      <w:sz w:val="24"/>
      <w:szCs w:val="32"/>
      <w:lang w:val="es-ES" w:eastAsia="es-ES"/>
    </w:rPr>
  </w:style>
  <w:style w:type="paragraph" w:styleId="Textonotapie">
    <w:name w:val="footnote text"/>
    <w:basedOn w:val="Normal"/>
    <w:link w:val="TextonotapieCar"/>
    <w:uiPriority w:val="99"/>
    <w:unhideWhenUsed/>
    <w:rsid w:val="0014509F"/>
    <w:rPr>
      <w:rFonts w:asciiTheme="minorHAnsi" w:eastAsiaTheme="minorEastAsia" w:hAnsiTheme="minorHAnsi" w:cstheme="minorBidi"/>
      <w:sz w:val="20"/>
      <w:szCs w:val="20"/>
      <w:lang w:val="es-MX" w:eastAsia="en-US"/>
    </w:rPr>
  </w:style>
  <w:style w:type="character" w:customStyle="1" w:styleId="TextonotapieCar">
    <w:name w:val="Texto nota pie Car"/>
    <w:basedOn w:val="Fuentedeprrafopredeter"/>
    <w:link w:val="Textonotapie"/>
    <w:uiPriority w:val="99"/>
    <w:rsid w:val="0014509F"/>
    <w:rPr>
      <w:rFonts w:eastAsiaTheme="minorEastAsia"/>
      <w:sz w:val="20"/>
      <w:szCs w:val="20"/>
    </w:rPr>
  </w:style>
  <w:style w:type="character" w:styleId="Refdenotaalpie">
    <w:name w:val="footnote reference"/>
    <w:basedOn w:val="Fuentedeprrafopredeter"/>
    <w:uiPriority w:val="99"/>
    <w:unhideWhenUsed/>
    <w:rsid w:val="0014509F"/>
    <w:rPr>
      <w:vertAlign w:val="superscript"/>
    </w:rPr>
  </w:style>
  <w:style w:type="paragraph" w:customStyle="1" w:styleId="font6">
    <w:name w:val="font6"/>
    <w:basedOn w:val="Normal"/>
    <w:rsid w:val="0014509F"/>
    <w:pPr>
      <w:spacing w:before="100" w:beforeAutospacing="1" w:after="100" w:afterAutospacing="1"/>
    </w:pPr>
    <w:rPr>
      <w:rFonts w:ascii="Calibri" w:hAnsi="Calibri"/>
      <w:color w:val="FFFFFF"/>
      <w:sz w:val="20"/>
      <w:szCs w:val="20"/>
      <w:lang w:val="es-MX" w:eastAsia="es-MX"/>
    </w:rPr>
  </w:style>
  <w:style w:type="paragraph" w:customStyle="1" w:styleId="font7">
    <w:name w:val="font7"/>
    <w:basedOn w:val="Normal"/>
    <w:rsid w:val="0014509F"/>
    <w:pPr>
      <w:spacing w:before="100" w:beforeAutospacing="1" w:after="100" w:afterAutospacing="1"/>
    </w:pPr>
    <w:rPr>
      <w:rFonts w:ascii="Calibri" w:hAnsi="Calibri"/>
      <w:color w:val="C00000"/>
      <w:sz w:val="20"/>
      <w:szCs w:val="20"/>
      <w:lang w:val="es-MX" w:eastAsia="es-MX"/>
    </w:rPr>
  </w:style>
  <w:style w:type="paragraph" w:customStyle="1" w:styleId="xl129">
    <w:name w:val="xl129"/>
    <w:basedOn w:val="Normal"/>
    <w:rsid w:val="0014509F"/>
    <w:pPr>
      <w:pBdr>
        <w:top w:val="single" w:sz="4" w:space="0" w:color="00B050"/>
        <w:left w:val="single" w:sz="4" w:space="0" w:color="00B050"/>
        <w:bottom w:val="single" w:sz="4" w:space="0" w:color="00B050"/>
        <w:right w:val="single" w:sz="4" w:space="0" w:color="00B050"/>
      </w:pBdr>
      <w:shd w:val="clear" w:color="000000" w:fill="C00000"/>
      <w:spacing w:before="100" w:beforeAutospacing="1" w:after="100" w:afterAutospacing="1"/>
      <w:jc w:val="center"/>
      <w:textAlignment w:val="center"/>
    </w:pPr>
    <w:rPr>
      <w:color w:val="FFFFFF"/>
      <w:sz w:val="20"/>
      <w:szCs w:val="20"/>
      <w:lang w:val="es-MX" w:eastAsia="es-MX"/>
    </w:rPr>
  </w:style>
  <w:style w:type="paragraph" w:customStyle="1" w:styleId="xl130">
    <w:name w:val="xl130"/>
    <w:basedOn w:val="Normal"/>
    <w:rsid w:val="0014509F"/>
    <w:pPr>
      <w:pBdr>
        <w:top w:val="single" w:sz="4" w:space="0" w:color="00B050"/>
        <w:left w:val="single" w:sz="4" w:space="0" w:color="00B050"/>
        <w:bottom w:val="single" w:sz="4" w:space="0" w:color="00B050"/>
        <w:right w:val="single" w:sz="4" w:space="0" w:color="00B050"/>
      </w:pBdr>
      <w:shd w:val="clear" w:color="000000" w:fill="C00000"/>
      <w:spacing w:before="100" w:beforeAutospacing="1" w:after="100" w:afterAutospacing="1"/>
      <w:jc w:val="center"/>
      <w:textAlignment w:val="center"/>
    </w:pPr>
    <w:rPr>
      <w:color w:val="FFFFFF"/>
      <w:sz w:val="20"/>
      <w:szCs w:val="20"/>
      <w:lang w:val="es-MX" w:eastAsia="es-MX"/>
    </w:rPr>
  </w:style>
  <w:style w:type="paragraph" w:customStyle="1" w:styleId="xl131">
    <w:name w:val="xl131"/>
    <w:basedOn w:val="Normal"/>
    <w:rsid w:val="0014509F"/>
    <w:pPr>
      <w:pBdr>
        <w:top w:val="single" w:sz="4" w:space="0" w:color="00B050"/>
        <w:left w:val="single" w:sz="4" w:space="0" w:color="00B050"/>
        <w:bottom w:val="single" w:sz="4" w:space="0" w:color="00B050"/>
        <w:right w:val="single" w:sz="4" w:space="0" w:color="00B050"/>
      </w:pBdr>
      <w:shd w:val="clear" w:color="000000" w:fill="C00000"/>
      <w:spacing w:before="100" w:beforeAutospacing="1" w:after="100" w:afterAutospacing="1"/>
      <w:jc w:val="center"/>
      <w:textAlignment w:val="center"/>
    </w:pPr>
    <w:rPr>
      <w:color w:val="FFFFFF"/>
      <w:sz w:val="20"/>
      <w:szCs w:val="20"/>
      <w:lang w:val="es-MX" w:eastAsia="es-MX"/>
    </w:rPr>
  </w:style>
  <w:style w:type="paragraph" w:customStyle="1" w:styleId="xl132">
    <w:name w:val="xl132"/>
    <w:basedOn w:val="Normal"/>
    <w:rsid w:val="0014509F"/>
    <w:pPr>
      <w:pBdr>
        <w:top w:val="single" w:sz="4" w:space="0" w:color="7030A0"/>
        <w:left w:val="single" w:sz="4" w:space="0" w:color="7030A0"/>
        <w:bottom w:val="single" w:sz="4" w:space="0" w:color="7030A0"/>
        <w:right w:val="single" w:sz="4" w:space="0" w:color="7030A0"/>
      </w:pBdr>
      <w:shd w:val="clear" w:color="000000" w:fill="C00000"/>
      <w:spacing w:before="100" w:beforeAutospacing="1" w:after="100" w:afterAutospacing="1"/>
      <w:jc w:val="center"/>
      <w:textAlignment w:val="center"/>
    </w:pPr>
    <w:rPr>
      <w:color w:val="FFFFFF"/>
      <w:sz w:val="20"/>
      <w:szCs w:val="20"/>
      <w:lang w:val="es-MX" w:eastAsia="es-MX"/>
    </w:rPr>
  </w:style>
  <w:style w:type="paragraph" w:customStyle="1" w:styleId="xl133">
    <w:name w:val="xl133"/>
    <w:basedOn w:val="Normal"/>
    <w:rsid w:val="0014509F"/>
    <w:pPr>
      <w:pBdr>
        <w:top w:val="single" w:sz="4" w:space="0" w:color="7030A0"/>
        <w:left w:val="single" w:sz="4" w:space="0" w:color="7030A0"/>
        <w:bottom w:val="single" w:sz="4" w:space="0" w:color="7030A0"/>
        <w:right w:val="single" w:sz="4" w:space="0" w:color="7030A0"/>
      </w:pBdr>
      <w:shd w:val="clear" w:color="000000" w:fill="C00000"/>
      <w:spacing w:before="100" w:beforeAutospacing="1" w:after="100" w:afterAutospacing="1"/>
      <w:textAlignment w:val="center"/>
    </w:pPr>
    <w:rPr>
      <w:color w:val="FFFFFF"/>
      <w:sz w:val="20"/>
      <w:szCs w:val="20"/>
      <w:lang w:val="es-MX" w:eastAsia="es-MX"/>
    </w:rPr>
  </w:style>
  <w:style w:type="paragraph" w:customStyle="1" w:styleId="xl134">
    <w:name w:val="xl134"/>
    <w:basedOn w:val="Normal"/>
    <w:rsid w:val="0014509F"/>
    <w:pPr>
      <w:pBdr>
        <w:top w:val="single" w:sz="4" w:space="0" w:color="7030A0"/>
        <w:left w:val="single" w:sz="4" w:space="0" w:color="7030A0"/>
        <w:bottom w:val="single" w:sz="4" w:space="0" w:color="7030A0"/>
        <w:right w:val="single" w:sz="4" w:space="0" w:color="7030A0"/>
      </w:pBdr>
      <w:shd w:val="clear" w:color="000000" w:fill="C00000"/>
      <w:spacing w:before="100" w:beforeAutospacing="1" w:after="100" w:afterAutospacing="1"/>
      <w:jc w:val="center"/>
      <w:textAlignment w:val="center"/>
    </w:pPr>
    <w:rPr>
      <w:color w:val="FFFFFF"/>
      <w:sz w:val="20"/>
      <w:szCs w:val="20"/>
      <w:lang w:val="es-MX" w:eastAsia="es-MX"/>
    </w:rPr>
  </w:style>
  <w:style w:type="paragraph" w:customStyle="1" w:styleId="xl135">
    <w:name w:val="xl135"/>
    <w:basedOn w:val="Normal"/>
    <w:rsid w:val="0014509F"/>
    <w:pPr>
      <w:pBdr>
        <w:top w:val="single" w:sz="4" w:space="0" w:color="7030A0"/>
        <w:left w:val="single" w:sz="4" w:space="0" w:color="7030A0"/>
        <w:bottom w:val="single" w:sz="4" w:space="0" w:color="7030A0"/>
        <w:right w:val="single" w:sz="4" w:space="0" w:color="7030A0"/>
      </w:pBdr>
      <w:shd w:val="clear" w:color="000000" w:fill="C00000"/>
      <w:spacing w:before="100" w:beforeAutospacing="1" w:after="100" w:afterAutospacing="1"/>
      <w:jc w:val="center"/>
      <w:textAlignment w:val="center"/>
    </w:pPr>
    <w:rPr>
      <w:color w:val="FFFFFF"/>
      <w:sz w:val="20"/>
      <w:szCs w:val="20"/>
      <w:lang w:val="es-MX" w:eastAsia="es-MX"/>
    </w:rPr>
  </w:style>
  <w:style w:type="paragraph" w:customStyle="1" w:styleId="xl136">
    <w:name w:val="xl136"/>
    <w:basedOn w:val="Normal"/>
    <w:rsid w:val="0014509F"/>
    <w:pPr>
      <w:pBdr>
        <w:top w:val="single" w:sz="4" w:space="0" w:color="7030A0"/>
        <w:left w:val="single" w:sz="4" w:space="0" w:color="7030A0"/>
        <w:bottom w:val="single" w:sz="4" w:space="0" w:color="7030A0"/>
        <w:right w:val="single" w:sz="4" w:space="0" w:color="7030A0"/>
      </w:pBdr>
      <w:shd w:val="clear" w:color="000000" w:fill="C00000"/>
      <w:spacing w:before="100" w:beforeAutospacing="1" w:after="100" w:afterAutospacing="1"/>
      <w:jc w:val="center"/>
      <w:textAlignment w:val="center"/>
    </w:pPr>
    <w:rPr>
      <w:color w:val="FFFFFF"/>
      <w:sz w:val="20"/>
      <w:szCs w:val="20"/>
      <w:lang w:val="es-MX" w:eastAsia="es-MX"/>
    </w:rPr>
  </w:style>
  <w:style w:type="paragraph" w:customStyle="1" w:styleId="xl137">
    <w:name w:val="xl137"/>
    <w:basedOn w:val="Normal"/>
    <w:rsid w:val="0014509F"/>
    <w:pPr>
      <w:pBdr>
        <w:top w:val="single" w:sz="4" w:space="0" w:color="7030A0"/>
        <w:left w:val="single" w:sz="4" w:space="0" w:color="7030A0"/>
        <w:bottom w:val="single" w:sz="4" w:space="0" w:color="7030A0"/>
        <w:right w:val="single" w:sz="4" w:space="0" w:color="7030A0"/>
      </w:pBdr>
      <w:shd w:val="clear" w:color="000000" w:fill="C00000"/>
      <w:spacing w:before="100" w:beforeAutospacing="1" w:after="100" w:afterAutospacing="1"/>
      <w:jc w:val="center"/>
      <w:textAlignment w:val="center"/>
    </w:pPr>
    <w:rPr>
      <w:color w:val="FFFFFF"/>
      <w:sz w:val="20"/>
      <w:szCs w:val="20"/>
      <w:lang w:val="es-MX" w:eastAsia="es-MX"/>
    </w:rPr>
  </w:style>
  <w:style w:type="paragraph" w:customStyle="1" w:styleId="xl138">
    <w:name w:val="xl138"/>
    <w:basedOn w:val="Normal"/>
    <w:rsid w:val="0014509F"/>
    <w:pPr>
      <w:pBdr>
        <w:top w:val="single" w:sz="4" w:space="0" w:color="C00000"/>
        <w:left w:val="single" w:sz="4" w:space="0" w:color="C00000"/>
        <w:bottom w:val="single" w:sz="4" w:space="0" w:color="C00000"/>
        <w:right w:val="single" w:sz="4" w:space="0" w:color="C00000"/>
      </w:pBdr>
      <w:shd w:val="clear" w:color="000000" w:fill="0070C0"/>
      <w:spacing w:before="100" w:beforeAutospacing="1" w:after="100" w:afterAutospacing="1"/>
      <w:jc w:val="center"/>
      <w:textAlignment w:val="center"/>
    </w:pPr>
    <w:rPr>
      <w:color w:val="FFFFFF"/>
      <w:sz w:val="20"/>
      <w:szCs w:val="20"/>
      <w:lang w:val="es-MX" w:eastAsia="es-MX"/>
    </w:rPr>
  </w:style>
  <w:style w:type="paragraph" w:customStyle="1" w:styleId="xl139">
    <w:name w:val="xl139"/>
    <w:basedOn w:val="Normal"/>
    <w:rsid w:val="0014509F"/>
    <w:pPr>
      <w:pBdr>
        <w:top w:val="single" w:sz="4" w:space="0" w:color="7030A0"/>
        <w:left w:val="single" w:sz="4" w:space="0" w:color="7030A0"/>
        <w:bottom w:val="single" w:sz="4" w:space="0" w:color="7030A0"/>
        <w:right w:val="single" w:sz="4" w:space="0" w:color="7030A0"/>
      </w:pBdr>
      <w:shd w:val="clear" w:color="000000" w:fill="0070C0"/>
      <w:spacing w:before="100" w:beforeAutospacing="1" w:after="100" w:afterAutospacing="1"/>
      <w:jc w:val="center"/>
      <w:textAlignment w:val="center"/>
    </w:pPr>
    <w:rPr>
      <w:color w:val="FFFFFF"/>
      <w:sz w:val="20"/>
      <w:szCs w:val="20"/>
      <w:lang w:val="es-MX" w:eastAsia="es-MX"/>
    </w:rPr>
  </w:style>
  <w:style w:type="paragraph" w:customStyle="1" w:styleId="xl140">
    <w:name w:val="xl140"/>
    <w:basedOn w:val="Normal"/>
    <w:rsid w:val="0014509F"/>
    <w:pPr>
      <w:pBdr>
        <w:top w:val="single" w:sz="4" w:space="0" w:color="7030A0"/>
        <w:left w:val="single" w:sz="4" w:space="0" w:color="7030A0"/>
        <w:bottom w:val="single" w:sz="4" w:space="0" w:color="7030A0"/>
        <w:right w:val="single" w:sz="4" w:space="0" w:color="7030A0"/>
      </w:pBdr>
      <w:shd w:val="clear" w:color="000000" w:fill="0070C0"/>
      <w:spacing w:before="100" w:beforeAutospacing="1" w:after="100" w:afterAutospacing="1"/>
      <w:textAlignment w:val="center"/>
    </w:pPr>
    <w:rPr>
      <w:color w:val="FFFFFF"/>
      <w:sz w:val="20"/>
      <w:szCs w:val="20"/>
      <w:lang w:val="es-MX" w:eastAsia="es-MX"/>
    </w:rPr>
  </w:style>
  <w:style w:type="paragraph" w:customStyle="1" w:styleId="xl141">
    <w:name w:val="xl141"/>
    <w:basedOn w:val="Normal"/>
    <w:rsid w:val="0014509F"/>
    <w:pPr>
      <w:pBdr>
        <w:top w:val="single" w:sz="4" w:space="0" w:color="7030A0"/>
        <w:left w:val="single" w:sz="4" w:space="0" w:color="7030A0"/>
        <w:bottom w:val="single" w:sz="4" w:space="0" w:color="7030A0"/>
        <w:right w:val="single" w:sz="4" w:space="0" w:color="7030A0"/>
      </w:pBdr>
      <w:shd w:val="clear" w:color="000000" w:fill="0070C0"/>
      <w:spacing w:before="100" w:beforeAutospacing="1" w:after="100" w:afterAutospacing="1"/>
      <w:jc w:val="center"/>
      <w:textAlignment w:val="center"/>
    </w:pPr>
    <w:rPr>
      <w:color w:val="FFFFFF"/>
      <w:sz w:val="20"/>
      <w:szCs w:val="20"/>
      <w:lang w:val="es-MX" w:eastAsia="es-MX"/>
    </w:rPr>
  </w:style>
  <w:style w:type="paragraph" w:customStyle="1" w:styleId="xl142">
    <w:name w:val="xl142"/>
    <w:basedOn w:val="Normal"/>
    <w:rsid w:val="0014509F"/>
    <w:pPr>
      <w:pBdr>
        <w:top w:val="single" w:sz="4" w:space="0" w:color="7030A0"/>
        <w:left w:val="single" w:sz="4" w:space="0" w:color="7030A0"/>
        <w:bottom w:val="single" w:sz="4" w:space="0" w:color="7030A0"/>
        <w:right w:val="single" w:sz="4" w:space="0" w:color="7030A0"/>
      </w:pBdr>
      <w:shd w:val="clear" w:color="000000" w:fill="0070C0"/>
      <w:spacing w:before="100" w:beforeAutospacing="1" w:after="100" w:afterAutospacing="1"/>
      <w:jc w:val="center"/>
      <w:textAlignment w:val="center"/>
    </w:pPr>
    <w:rPr>
      <w:color w:val="FFFFFF"/>
      <w:sz w:val="20"/>
      <w:szCs w:val="20"/>
      <w:lang w:val="es-MX" w:eastAsia="es-MX"/>
    </w:rPr>
  </w:style>
  <w:style w:type="paragraph" w:customStyle="1" w:styleId="xl143">
    <w:name w:val="xl143"/>
    <w:basedOn w:val="Normal"/>
    <w:rsid w:val="0014509F"/>
    <w:pPr>
      <w:pBdr>
        <w:top w:val="single" w:sz="4" w:space="0" w:color="7030A0"/>
        <w:left w:val="single" w:sz="4" w:space="0" w:color="7030A0"/>
        <w:bottom w:val="single" w:sz="4" w:space="0" w:color="7030A0"/>
        <w:right w:val="single" w:sz="4" w:space="0" w:color="7030A0"/>
      </w:pBdr>
      <w:shd w:val="clear" w:color="000000" w:fill="0070C0"/>
      <w:spacing w:before="100" w:beforeAutospacing="1" w:after="100" w:afterAutospacing="1"/>
      <w:jc w:val="center"/>
      <w:textAlignment w:val="center"/>
    </w:pPr>
    <w:rPr>
      <w:color w:val="FFFFFF"/>
      <w:sz w:val="20"/>
      <w:szCs w:val="20"/>
      <w:lang w:val="es-MX" w:eastAsia="es-MX"/>
    </w:rPr>
  </w:style>
  <w:style w:type="paragraph" w:customStyle="1" w:styleId="xl144">
    <w:name w:val="xl144"/>
    <w:basedOn w:val="Normal"/>
    <w:rsid w:val="0014509F"/>
    <w:pPr>
      <w:pBdr>
        <w:top w:val="single" w:sz="4" w:space="0" w:color="7030A0"/>
        <w:left w:val="single" w:sz="4" w:space="0" w:color="7030A0"/>
        <w:bottom w:val="single" w:sz="4" w:space="0" w:color="7030A0"/>
        <w:right w:val="single" w:sz="4" w:space="0" w:color="7030A0"/>
      </w:pBdr>
      <w:shd w:val="clear" w:color="000000" w:fill="0070C0"/>
      <w:spacing w:before="100" w:beforeAutospacing="1" w:after="100" w:afterAutospacing="1"/>
      <w:jc w:val="center"/>
      <w:textAlignment w:val="center"/>
    </w:pPr>
    <w:rPr>
      <w:color w:val="FFFFFF"/>
      <w:sz w:val="20"/>
      <w:szCs w:val="20"/>
      <w:lang w:val="es-MX" w:eastAsia="es-MX"/>
    </w:rPr>
  </w:style>
  <w:style w:type="paragraph" w:customStyle="1" w:styleId="xl145">
    <w:name w:val="xl145"/>
    <w:basedOn w:val="Normal"/>
    <w:rsid w:val="0014509F"/>
    <w:pPr>
      <w:pBdr>
        <w:top w:val="single" w:sz="4" w:space="0" w:color="305496"/>
        <w:left w:val="single" w:sz="4" w:space="0" w:color="305496"/>
        <w:bottom w:val="single" w:sz="4" w:space="0" w:color="305496"/>
        <w:right w:val="single" w:sz="4" w:space="0" w:color="305496"/>
      </w:pBdr>
      <w:shd w:val="clear" w:color="000000" w:fill="C00000"/>
      <w:spacing w:before="100" w:beforeAutospacing="1" w:after="100" w:afterAutospacing="1"/>
      <w:jc w:val="center"/>
      <w:textAlignment w:val="center"/>
    </w:pPr>
    <w:rPr>
      <w:color w:val="FFFFFF"/>
      <w:sz w:val="20"/>
      <w:szCs w:val="20"/>
      <w:lang w:val="es-MX" w:eastAsia="es-MX"/>
    </w:rPr>
  </w:style>
  <w:style w:type="paragraph" w:customStyle="1" w:styleId="xl146">
    <w:name w:val="xl146"/>
    <w:basedOn w:val="Normal"/>
    <w:rsid w:val="0014509F"/>
    <w:pPr>
      <w:pBdr>
        <w:top w:val="single" w:sz="4" w:space="0" w:color="305496"/>
        <w:left w:val="single" w:sz="4" w:space="0" w:color="305496"/>
        <w:bottom w:val="single" w:sz="4" w:space="0" w:color="305496"/>
        <w:right w:val="single" w:sz="4" w:space="0" w:color="305496"/>
      </w:pBdr>
      <w:shd w:val="clear" w:color="000000" w:fill="C00000"/>
      <w:spacing w:before="100" w:beforeAutospacing="1" w:after="100" w:afterAutospacing="1"/>
      <w:textAlignment w:val="center"/>
    </w:pPr>
    <w:rPr>
      <w:color w:val="FFFFFF"/>
      <w:sz w:val="20"/>
      <w:szCs w:val="20"/>
      <w:lang w:val="es-MX" w:eastAsia="es-MX"/>
    </w:rPr>
  </w:style>
  <w:style w:type="paragraph" w:customStyle="1" w:styleId="xl147">
    <w:name w:val="xl147"/>
    <w:basedOn w:val="Normal"/>
    <w:rsid w:val="0014509F"/>
    <w:pPr>
      <w:pBdr>
        <w:top w:val="single" w:sz="4" w:space="0" w:color="305496"/>
        <w:left w:val="single" w:sz="4" w:space="0" w:color="305496"/>
        <w:bottom w:val="single" w:sz="4" w:space="0" w:color="305496"/>
        <w:right w:val="single" w:sz="4" w:space="0" w:color="305496"/>
      </w:pBdr>
      <w:shd w:val="clear" w:color="000000" w:fill="C00000"/>
      <w:spacing w:before="100" w:beforeAutospacing="1" w:after="100" w:afterAutospacing="1"/>
      <w:jc w:val="center"/>
      <w:textAlignment w:val="center"/>
    </w:pPr>
    <w:rPr>
      <w:color w:val="FFFFFF"/>
      <w:sz w:val="20"/>
      <w:szCs w:val="20"/>
      <w:lang w:val="es-MX" w:eastAsia="es-MX"/>
    </w:rPr>
  </w:style>
  <w:style w:type="paragraph" w:customStyle="1" w:styleId="xl148">
    <w:name w:val="xl148"/>
    <w:basedOn w:val="Normal"/>
    <w:rsid w:val="0014509F"/>
    <w:pPr>
      <w:pBdr>
        <w:top w:val="single" w:sz="4" w:space="0" w:color="305496"/>
        <w:left w:val="single" w:sz="4" w:space="0" w:color="305496"/>
        <w:bottom w:val="single" w:sz="4" w:space="0" w:color="305496"/>
        <w:right w:val="single" w:sz="4" w:space="0" w:color="305496"/>
      </w:pBdr>
      <w:shd w:val="clear" w:color="000000" w:fill="C00000"/>
      <w:spacing w:before="100" w:beforeAutospacing="1" w:after="100" w:afterAutospacing="1"/>
      <w:jc w:val="center"/>
      <w:textAlignment w:val="center"/>
    </w:pPr>
    <w:rPr>
      <w:color w:val="FFFFFF"/>
      <w:sz w:val="20"/>
      <w:szCs w:val="20"/>
      <w:lang w:val="es-MX" w:eastAsia="es-MX"/>
    </w:rPr>
  </w:style>
  <w:style w:type="paragraph" w:customStyle="1" w:styleId="xl149">
    <w:name w:val="xl149"/>
    <w:basedOn w:val="Normal"/>
    <w:rsid w:val="0014509F"/>
    <w:pPr>
      <w:pBdr>
        <w:top w:val="single" w:sz="4" w:space="0" w:color="305496"/>
        <w:left w:val="single" w:sz="4" w:space="0" w:color="305496"/>
        <w:bottom w:val="single" w:sz="4" w:space="0" w:color="305496"/>
        <w:right w:val="single" w:sz="4" w:space="0" w:color="305496"/>
      </w:pBdr>
      <w:shd w:val="clear" w:color="000000" w:fill="C00000"/>
      <w:spacing w:before="100" w:beforeAutospacing="1" w:after="100" w:afterAutospacing="1"/>
      <w:jc w:val="center"/>
      <w:textAlignment w:val="center"/>
    </w:pPr>
    <w:rPr>
      <w:color w:val="FFFFFF"/>
      <w:sz w:val="20"/>
      <w:szCs w:val="20"/>
      <w:lang w:val="es-MX" w:eastAsia="es-MX"/>
    </w:rPr>
  </w:style>
  <w:style w:type="paragraph" w:customStyle="1" w:styleId="xl150">
    <w:name w:val="xl150"/>
    <w:basedOn w:val="Normal"/>
    <w:rsid w:val="0014509F"/>
    <w:pPr>
      <w:pBdr>
        <w:top w:val="single" w:sz="4" w:space="0" w:color="305496"/>
        <w:left w:val="single" w:sz="4" w:space="0" w:color="305496"/>
        <w:bottom w:val="single" w:sz="4" w:space="0" w:color="305496"/>
        <w:right w:val="single" w:sz="4" w:space="0" w:color="305496"/>
      </w:pBdr>
      <w:shd w:val="clear" w:color="000000" w:fill="C00000"/>
      <w:spacing w:before="100" w:beforeAutospacing="1" w:after="100" w:afterAutospacing="1"/>
      <w:jc w:val="center"/>
      <w:textAlignment w:val="center"/>
    </w:pPr>
    <w:rPr>
      <w:color w:val="FFFFFF"/>
      <w:sz w:val="20"/>
      <w:szCs w:val="20"/>
      <w:lang w:val="es-MX" w:eastAsia="es-MX"/>
    </w:rPr>
  </w:style>
  <w:style w:type="paragraph" w:customStyle="1" w:styleId="xl151">
    <w:name w:val="xl151"/>
    <w:basedOn w:val="Normal"/>
    <w:rsid w:val="0014509F"/>
    <w:pPr>
      <w:shd w:val="clear" w:color="000000" w:fill="42AED0"/>
      <w:spacing w:before="100" w:beforeAutospacing="1" w:after="100" w:afterAutospacing="1"/>
      <w:textAlignment w:val="center"/>
    </w:pPr>
    <w:rPr>
      <w:color w:val="FFFFFF"/>
      <w:sz w:val="20"/>
      <w:szCs w:val="20"/>
      <w:lang w:val="es-MX" w:eastAsia="es-MX"/>
    </w:rPr>
  </w:style>
  <w:style w:type="paragraph" w:customStyle="1" w:styleId="xl152">
    <w:name w:val="xl152"/>
    <w:basedOn w:val="Normal"/>
    <w:rsid w:val="0014509F"/>
    <w:pPr>
      <w:pBdr>
        <w:bottom w:val="single" w:sz="4" w:space="0" w:color="2F75B5"/>
      </w:pBdr>
      <w:shd w:val="clear" w:color="000000" w:fill="42AED0"/>
      <w:spacing w:before="100" w:beforeAutospacing="1" w:after="100" w:afterAutospacing="1"/>
      <w:textAlignment w:val="center"/>
    </w:pPr>
    <w:rPr>
      <w:color w:val="FFFFFF"/>
      <w:sz w:val="20"/>
      <w:szCs w:val="20"/>
      <w:lang w:val="es-MX" w:eastAsia="es-MX"/>
    </w:rPr>
  </w:style>
  <w:style w:type="paragraph" w:customStyle="1" w:styleId="xl153">
    <w:name w:val="xl153"/>
    <w:basedOn w:val="Normal"/>
    <w:rsid w:val="0014509F"/>
    <w:pPr>
      <w:pBdr>
        <w:top w:val="single" w:sz="4" w:space="0" w:color="2F75B5"/>
        <w:left w:val="single" w:sz="4" w:space="0" w:color="2F75B5"/>
        <w:bottom w:val="single" w:sz="4" w:space="0" w:color="2F75B5"/>
        <w:right w:val="single" w:sz="4" w:space="0" w:color="2F75B5"/>
      </w:pBdr>
      <w:shd w:val="clear" w:color="000000" w:fill="42AED0"/>
      <w:spacing w:before="100" w:beforeAutospacing="1" w:after="100" w:afterAutospacing="1"/>
      <w:textAlignment w:val="center"/>
    </w:pPr>
    <w:rPr>
      <w:color w:val="FFFFFF"/>
      <w:sz w:val="20"/>
      <w:szCs w:val="20"/>
      <w:lang w:val="es-MX" w:eastAsia="es-MX"/>
    </w:rPr>
  </w:style>
  <w:style w:type="paragraph" w:customStyle="1" w:styleId="xl154">
    <w:name w:val="xl154"/>
    <w:basedOn w:val="Normal"/>
    <w:rsid w:val="0014509F"/>
    <w:pPr>
      <w:shd w:val="clear" w:color="000000" w:fill="F57E5D"/>
      <w:spacing w:before="100" w:beforeAutospacing="1" w:after="100" w:afterAutospacing="1"/>
      <w:textAlignment w:val="center"/>
    </w:pPr>
    <w:rPr>
      <w:color w:val="FFFFFF"/>
      <w:sz w:val="20"/>
      <w:szCs w:val="20"/>
      <w:lang w:val="es-MX" w:eastAsia="es-MX"/>
    </w:rPr>
  </w:style>
  <w:style w:type="paragraph" w:customStyle="1" w:styleId="xl155">
    <w:name w:val="xl155"/>
    <w:basedOn w:val="Normal"/>
    <w:rsid w:val="0014509F"/>
    <w:pPr>
      <w:shd w:val="clear" w:color="000000" w:fill="F57E5D"/>
      <w:spacing w:before="100" w:beforeAutospacing="1" w:after="100" w:afterAutospacing="1"/>
      <w:textAlignment w:val="center"/>
    </w:pPr>
    <w:rPr>
      <w:color w:val="FFFFFF"/>
      <w:sz w:val="20"/>
      <w:szCs w:val="20"/>
      <w:lang w:val="es-MX" w:eastAsia="es-MX"/>
    </w:rPr>
  </w:style>
  <w:style w:type="paragraph" w:customStyle="1" w:styleId="xl156">
    <w:name w:val="xl156"/>
    <w:basedOn w:val="Normal"/>
    <w:rsid w:val="0014509F"/>
    <w:pPr>
      <w:shd w:val="clear" w:color="000000" w:fill="99FFCC"/>
      <w:spacing w:before="100" w:beforeAutospacing="1" w:after="100" w:afterAutospacing="1"/>
      <w:textAlignment w:val="center"/>
    </w:pPr>
    <w:rPr>
      <w:sz w:val="20"/>
      <w:szCs w:val="20"/>
      <w:lang w:val="es-MX" w:eastAsia="es-MX"/>
    </w:rPr>
  </w:style>
  <w:style w:type="paragraph" w:customStyle="1" w:styleId="xl157">
    <w:name w:val="xl157"/>
    <w:basedOn w:val="Normal"/>
    <w:rsid w:val="0014509F"/>
    <w:pPr>
      <w:shd w:val="clear" w:color="000000" w:fill="AF71AF"/>
      <w:spacing w:before="100" w:beforeAutospacing="1" w:after="100" w:afterAutospacing="1"/>
      <w:textAlignment w:val="center"/>
    </w:pPr>
    <w:rPr>
      <w:color w:val="FFFFFF"/>
      <w:sz w:val="20"/>
      <w:szCs w:val="20"/>
      <w:lang w:val="es-MX" w:eastAsia="es-MX"/>
    </w:rPr>
  </w:style>
  <w:style w:type="paragraph" w:customStyle="1" w:styleId="xl158">
    <w:name w:val="xl158"/>
    <w:basedOn w:val="Normal"/>
    <w:rsid w:val="0014509F"/>
    <w:pPr>
      <w:shd w:val="clear" w:color="000000" w:fill="AF71AF"/>
      <w:spacing w:before="100" w:beforeAutospacing="1" w:after="100" w:afterAutospacing="1"/>
      <w:textAlignment w:val="center"/>
    </w:pPr>
    <w:rPr>
      <w:color w:val="FFFFFF"/>
      <w:sz w:val="20"/>
      <w:szCs w:val="20"/>
      <w:lang w:val="es-MX" w:eastAsia="es-MX"/>
    </w:rPr>
  </w:style>
  <w:style w:type="paragraph" w:customStyle="1" w:styleId="xl159">
    <w:name w:val="xl159"/>
    <w:basedOn w:val="Normal"/>
    <w:rsid w:val="0014509F"/>
    <w:pPr>
      <w:shd w:val="clear" w:color="000000" w:fill="FFFF00"/>
      <w:spacing w:before="100" w:beforeAutospacing="1" w:after="100" w:afterAutospacing="1"/>
    </w:pPr>
    <w:rPr>
      <w:sz w:val="20"/>
      <w:szCs w:val="20"/>
      <w:lang w:val="es-MX" w:eastAsia="es-MX"/>
    </w:rPr>
  </w:style>
  <w:style w:type="table" w:styleId="Tabladecuadrcula4-nfasis6">
    <w:name w:val="Grid Table 4 Accent 6"/>
    <w:basedOn w:val="Tablanormal"/>
    <w:uiPriority w:val="49"/>
    <w:rsid w:val="0014509F"/>
    <w:pPr>
      <w:spacing w:after="0" w:line="240" w:lineRule="auto"/>
    </w:pPr>
    <w:rPr>
      <w:rFonts w:eastAsiaTheme="minorEastAsia"/>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nfasis6">
    <w:name w:val="Grid Table 3 Accent 6"/>
    <w:basedOn w:val="Tablanormal"/>
    <w:uiPriority w:val="48"/>
    <w:rsid w:val="0014509F"/>
    <w:pPr>
      <w:spacing w:after="0" w:line="240" w:lineRule="auto"/>
    </w:pPr>
    <w:rPr>
      <w:rFonts w:eastAsiaTheme="minorEastAsia"/>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ndice1">
    <w:name w:val="index 1"/>
    <w:basedOn w:val="Normal"/>
    <w:next w:val="Normal"/>
    <w:autoRedefine/>
    <w:uiPriority w:val="99"/>
    <w:semiHidden/>
    <w:unhideWhenUsed/>
    <w:rsid w:val="0014509F"/>
    <w:pPr>
      <w:ind w:left="220" w:hanging="220"/>
    </w:pPr>
    <w:rPr>
      <w:rFonts w:asciiTheme="minorHAnsi" w:eastAsiaTheme="minorEastAsia" w:hAnsiTheme="minorHAnsi" w:cstheme="minorBidi"/>
      <w:sz w:val="32"/>
      <w:szCs w:val="20"/>
      <w:lang w:val="es-MX" w:eastAsia="en-US"/>
    </w:rPr>
  </w:style>
  <w:style w:type="paragraph" w:styleId="Descripcin">
    <w:name w:val="caption"/>
    <w:basedOn w:val="Normal"/>
    <w:next w:val="Normal"/>
    <w:uiPriority w:val="35"/>
    <w:unhideWhenUsed/>
    <w:qFormat/>
    <w:rsid w:val="0014509F"/>
    <w:pPr>
      <w:spacing w:after="120"/>
    </w:pPr>
    <w:rPr>
      <w:rFonts w:asciiTheme="minorHAnsi" w:eastAsiaTheme="minorEastAsia" w:hAnsiTheme="minorHAnsi" w:cstheme="minorBidi"/>
      <w:b/>
      <w:bCs/>
      <w:smallCaps/>
      <w:color w:val="595959" w:themeColor="text1" w:themeTint="A6"/>
      <w:spacing w:val="6"/>
      <w:sz w:val="20"/>
      <w:szCs w:val="20"/>
      <w:lang w:val="es-MX" w:eastAsia="en-US"/>
    </w:rPr>
  </w:style>
  <w:style w:type="table" w:styleId="Tabladelista3-nfasis6">
    <w:name w:val="List Table 3 Accent 6"/>
    <w:basedOn w:val="Tablanormal"/>
    <w:uiPriority w:val="48"/>
    <w:rsid w:val="0014509F"/>
    <w:pPr>
      <w:spacing w:after="0" w:line="240" w:lineRule="auto"/>
    </w:pPr>
    <w:rPr>
      <w:rFonts w:eastAsiaTheme="minorEastAsia"/>
      <w:sz w:val="20"/>
      <w:szCs w:val="2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Mapadeldocumento">
    <w:name w:val="Document Map"/>
    <w:basedOn w:val="Normal"/>
    <w:link w:val="MapadeldocumentoCar"/>
    <w:uiPriority w:val="99"/>
    <w:semiHidden/>
    <w:unhideWhenUsed/>
    <w:rsid w:val="0014509F"/>
    <w:rPr>
      <w:rFonts w:eastAsiaTheme="minorEastAsia"/>
      <w:lang w:val="es-MX" w:eastAsia="en-US"/>
    </w:rPr>
  </w:style>
  <w:style w:type="character" w:customStyle="1" w:styleId="MapadeldocumentoCar">
    <w:name w:val="Mapa del documento Car"/>
    <w:basedOn w:val="Fuentedeprrafopredeter"/>
    <w:link w:val="Mapadeldocumento"/>
    <w:uiPriority w:val="99"/>
    <w:semiHidden/>
    <w:rsid w:val="0014509F"/>
    <w:rPr>
      <w:rFonts w:ascii="Times New Roman" w:eastAsiaTheme="minorEastAsia" w:hAnsi="Times New Roman" w:cs="Times New Roman"/>
      <w:sz w:val="24"/>
      <w:szCs w:val="24"/>
    </w:rPr>
  </w:style>
  <w:style w:type="table" w:styleId="Tabladecuadrcula4-nfasis1">
    <w:name w:val="Grid Table 4 Accent 1"/>
    <w:basedOn w:val="Tablanormal"/>
    <w:uiPriority w:val="49"/>
    <w:rsid w:val="0014509F"/>
    <w:pPr>
      <w:spacing w:after="0" w:line="240" w:lineRule="auto"/>
    </w:pPr>
    <w:rPr>
      <w:rFonts w:eastAsiaTheme="minorEastAsia"/>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normal1">
    <w:name w:val="Plain Table 1"/>
    <w:basedOn w:val="Tablanormal"/>
    <w:uiPriority w:val="41"/>
    <w:rsid w:val="0014509F"/>
    <w:pPr>
      <w:spacing w:after="0" w:line="240" w:lineRule="auto"/>
    </w:pPr>
    <w:rPr>
      <w:rFonts w:eastAsiaTheme="minorEastAsia"/>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fasis">
    <w:name w:val="Emphasis"/>
    <w:basedOn w:val="Fuentedeprrafopredeter"/>
    <w:uiPriority w:val="20"/>
    <w:qFormat/>
    <w:rsid w:val="0014509F"/>
    <w:rPr>
      <w:i/>
      <w:iCs/>
    </w:rPr>
  </w:style>
  <w:style w:type="paragraph" w:styleId="Cita">
    <w:name w:val="Quote"/>
    <w:basedOn w:val="Normal"/>
    <w:next w:val="Normal"/>
    <w:link w:val="CitaCar"/>
    <w:uiPriority w:val="29"/>
    <w:qFormat/>
    <w:rsid w:val="0014509F"/>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MX" w:eastAsia="en-US"/>
    </w:rPr>
  </w:style>
  <w:style w:type="character" w:customStyle="1" w:styleId="CitaCar">
    <w:name w:val="Cita Car"/>
    <w:basedOn w:val="Fuentedeprrafopredeter"/>
    <w:link w:val="Cita"/>
    <w:uiPriority w:val="29"/>
    <w:rsid w:val="0014509F"/>
    <w:rPr>
      <w:rFonts w:eastAsiaTheme="minorEastAsia"/>
      <w:i/>
      <w:iCs/>
      <w:color w:val="404040" w:themeColor="text1" w:themeTint="BF"/>
      <w:sz w:val="20"/>
      <w:szCs w:val="20"/>
    </w:rPr>
  </w:style>
  <w:style w:type="character" w:styleId="Referenciasutil">
    <w:name w:val="Subtle Reference"/>
    <w:basedOn w:val="Fuentedeprrafopredeter"/>
    <w:uiPriority w:val="31"/>
    <w:qFormat/>
    <w:rsid w:val="0014509F"/>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14509F"/>
    <w:rPr>
      <w:b/>
      <w:bCs/>
      <w:smallCaps/>
      <w:spacing w:val="5"/>
      <w:u w:val="single"/>
    </w:rPr>
  </w:style>
  <w:style w:type="character" w:customStyle="1" w:styleId="apple-converted-space">
    <w:name w:val="apple-converted-space"/>
    <w:basedOn w:val="Fuentedeprrafopredeter"/>
    <w:rsid w:val="0014509F"/>
  </w:style>
  <w:style w:type="character" w:customStyle="1" w:styleId="st1">
    <w:name w:val="st1"/>
    <w:basedOn w:val="Fuentedeprrafopredeter"/>
    <w:rsid w:val="0014509F"/>
  </w:style>
  <w:style w:type="paragraph" w:styleId="TDC3">
    <w:name w:val="toc 3"/>
    <w:basedOn w:val="Normal"/>
    <w:next w:val="Normal"/>
    <w:autoRedefine/>
    <w:uiPriority w:val="39"/>
    <w:unhideWhenUsed/>
    <w:rsid w:val="0014509F"/>
    <w:pPr>
      <w:spacing w:line="264" w:lineRule="auto"/>
      <w:ind w:left="1418"/>
    </w:pPr>
    <w:rPr>
      <w:rFonts w:asciiTheme="minorHAnsi" w:eastAsiaTheme="minorEastAsia" w:hAnsiTheme="minorHAnsi" w:cstheme="minorBidi"/>
      <w:i/>
      <w:iCs/>
      <w:sz w:val="20"/>
      <w:szCs w:val="20"/>
      <w:lang w:val="es-MX" w:eastAsia="en-US"/>
    </w:rPr>
  </w:style>
  <w:style w:type="paragraph" w:styleId="TDC4">
    <w:name w:val="toc 4"/>
    <w:basedOn w:val="Normal"/>
    <w:next w:val="Normal"/>
    <w:autoRedefine/>
    <w:uiPriority w:val="39"/>
    <w:unhideWhenUsed/>
    <w:rsid w:val="0014509F"/>
    <w:pPr>
      <w:spacing w:line="264" w:lineRule="auto"/>
      <w:ind w:left="660"/>
    </w:pPr>
    <w:rPr>
      <w:rFonts w:asciiTheme="minorHAnsi" w:eastAsiaTheme="minorEastAsia" w:hAnsiTheme="minorHAnsi" w:cstheme="minorBidi"/>
      <w:sz w:val="18"/>
      <w:szCs w:val="18"/>
      <w:lang w:val="es-MX" w:eastAsia="en-US"/>
    </w:rPr>
  </w:style>
  <w:style w:type="paragraph" w:styleId="TDC5">
    <w:name w:val="toc 5"/>
    <w:basedOn w:val="Normal"/>
    <w:next w:val="Normal"/>
    <w:autoRedefine/>
    <w:uiPriority w:val="39"/>
    <w:unhideWhenUsed/>
    <w:rsid w:val="0014509F"/>
    <w:pPr>
      <w:spacing w:line="264" w:lineRule="auto"/>
      <w:ind w:left="880"/>
    </w:pPr>
    <w:rPr>
      <w:rFonts w:asciiTheme="minorHAnsi" w:eastAsiaTheme="minorEastAsia" w:hAnsiTheme="minorHAnsi" w:cstheme="minorBidi"/>
      <w:sz w:val="18"/>
      <w:szCs w:val="18"/>
      <w:lang w:val="es-MX" w:eastAsia="en-US"/>
    </w:rPr>
  </w:style>
  <w:style w:type="paragraph" w:styleId="TDC6">
    <w:name w:val="toc 6"/>
    <w:basedOn w:val="Normal"/>
    <w:next w:val="Normal"/>
    <w:autoRedefine/>
    <w:uiPriority w:val="39"/>
    <w:unhideWhenUsed/>
    <w:rsid w:val="0014509F"/>
    <w:pPr>
      <w:spacing w:line="264" w:lineRule="auto"/>
      <w:ind w:left="1100"/>
    </w:pPr>
    <w:rPr>
      <w:rFonts w:asciiTheme="minorHAnsi" w:eastAsiaTheme="minorEastAsia" w:hAnsiTheme="minorHAnsi" w:cstheme="minorBidi"/>
      <w:sz w:val="18"/>
      <w:szCs w:val="18"/>
      <w:lang w:val="es-MX" w:eastAsia="en-US"/>
    </w:rPr>
  </w:style>
  <w:style w:type="paragraph" w:styleId="TDC7">
    <w:name w:val="toc 7"/>
    <w:basedOn w:val="Normal"/>
    <w:next w:val="Normal"/>
    <w:autoRedefine/>
    <w:uiPriority w:val="39"/>
    <w:unhideWhenUsed/>
    <w:rsid w:val="0014509F"/>
    <w:pPr>
      <w:spacing w:line="264" w:lineRule="auto"/>
      <w:ind w:left="1320"/>
    </w:pPr>
    <w:rPr>
      <w:rFonts w:asciiTheme="minorHAnsi" w:eastAsiaTheme="minorEastAsia" w:hAnsiTheme="minorHAnsi" w:cstheme="minorBidi"/>
      <w:sz w:val="18"/>
      <w:szCs w:val="18"/>
      <w:lang w:val="es-MX" w:eastAsia="en-US"/>
    </w:rPr>
  </w:style>
  <w:style w:type="paragraph" w:styleId="TDC8">
    <w:name w:val="toc 8"/>
    <w:basedOn w:val="Normal"/>
    <w:next w:val="Normal"/>
    <w:autoRedefine/>
    <w:uiPriority w:val="39"/>
    <w:unhideWhenUsed/>
    <w:rsid w:val="0014509F"/>
    <w:pPr>
      <w:spacing w:line="264" w:lineRule="auto"/>
      <w:ind w:left="1540"/>
    </w:pPr>
    <w:rPr>
      <w:rFonts w:asciiTheme="minorHAnsi" w:eastAsiaTheme="minorEastAsia" w:hAnsiTheme="minorHAnsi" w:cstheme="minorBidi"/>
      <w:sz w:val="18"/>
      <w:szCs w:val="18"/>
      <w:lang w:val="es-MX" w:eastAsia="en-US"/>
    </w:rPr>
  </w:style>
  <w:style w:type="paragraph" w:styleId="TDC9">
    <w:name w:val="toc 9"/>
    <w:basedOn w:val="Normal"/>
    <w:next w:val="Normal"/>
    <w:autoRedefine/>
    <w:uiPriority w:val="39"/>
    <w:unhideWhenUsed/>
    <w:rsid w:val="0014509F"/>
    <w:pPr>
      <w:spacing w:line="264" w:lineRule="auto"/>
      <w:ind w:left="1760"/>
    </w:pPr>
    <w:rPr>
      <w:rFonts w:asciiTheme="minorHAnsi" w:eastAsiaTheme="minorEastAsia" w:hAnsiTheme="minorHAnsi" w:cstheme="minorBidi"/>
      <w:sz w:val="18"/>
      <w:szCs w:val="18"/>
      <w:lang w:val="es-MX" w:eastAsia="en-US"/>
    </w:rPr>
  </w:style>
  <w:style w:type="paragraph" w:customStyle="1" w:styleId="xl160">
    <w:name w:val="xl160"/>
    <w:basedOn w:val="Normal"/>
    <w:rsid w:val="0014509F"/>
    <w:pPr>
      <w:shd w:val="clear" w:color="000000" w:fill="663300"/>
      <w:spacing w:before="100" w:beforeAutospacing="1" w:after="100" w:afterAutospacing="1"/>
      <w:jc w:val="center"/>
      <w:textAlignment w:val="center"/>
    </w:pPr>
    <w:rPr>
      <w:color w:val="FFFFFF"/>
      <w:sz w:val="20"/>
      <w:szCs w:val="20"/>
      <w:lang w:val="es-MX" w:eastAsia="es-MX"/>
    </w:rPr>
  </w:style>
  <w:style w:type="paragraph" w:customStyle="1" w:styleId="xl161">
    <w:name w:val="xl161"/>
    <w:basedOn w:val="Normal"/>
    <w:rsid w:val="0014509F"/>
    <w:pPr>
      <w:shd w:val="clear" w:color="000000" w:fill="00B050"/>
      <w:spacing w:before="100" w:beforeAutospacing="1" w:after="100" w:afterAutospacing="1"/>
      <w:textAlignment w:val="center"/>
    </w:pPr>
    <w:rPr>
      <w:color w:val="FFFFFF"/>
      <w:sz w:val="20"/>
      <w:szCs w:val="20"/>
      <w:lang w:val="es-MX" w:eastAsia="es-MX"/>
    </w:rPr>
  </w:style>
  <w:style w:type="paragraph" w:customStyle="1" w:styleId="xl162">
    <w:name w:val="xl162"/>
    <w:basedOn w:val="Normal"/>
    <w:rsid w:val="0014509F"/>
    <w:pPr>
      <w:shd w:val="clear" w:color="000000" w:fill="00B050"/>
      <w:spacing w:before="100" w:beforeAutospacing="1" w:after="100" w:afterAutospacing="1"/>
      <w:jc w:val="center"/>
      <w:textAlignment w:val="center"/>
    </w:pPr>
    <w:rPr>
      <w:color w:val="FFFFFF"/>
      <w:sz w:val="20"/>
      <w:szCs w:val="20"/>
      <w:lang w:val="es-MX" w:eastAsia="es-MX"/>
    </w:rPr>
  </w:style>
  <w:style w:type="paragraph" w:customStyle="1" w:styleId="xl163">
    <w:name w:val="xl163"/>
    <w:basedOn w:val="Normal"/>
    <w:rsid w:val="0014509F"/>
    <w:pPr>
      <w:shd w:val="clear" w:color="000000" w:fill="00B050"/>
      <w:spacing w:before="100" w:beforeAutospacing="1" w:after="100" w:afterAutospacing="1"/>
      <w:jc w:val="center"/>
      <w:textAlignment w:val="center"/>
    </w:pPr>
    <w:rPr>
      <w:color w:val="FFFFFF"/>
      <w:sz w:val="20"/>
      <w:szCs w:val="20"/>
      <w:lang w:val="es-MX" w:eastAsia="es-MX"/>
    </w:rPr>
  </w:style>
  <w:style w:type="paragraph" w:customStyle="1" w:styleId="xl164">
    <w:name w:val="xl164"/>
    <w:basedOn w:val="Normal"/>
    <w:rsid w:val="0014509F"/>
    <w:pPr>
      <w:shd w:val="clear" w:color="000000" w:fill="00B050"/>
      <w:spacing w:before="100" w:beforeAutospacing="1" w:after="100" w:afterAutospacing="1"/>
      <w:jc w:val="center"/>
      <w:textAlignment w:val="center"/>
    </w:pPr>
    <w:rPr>
      <w:color w:val="FFFFFF"/>
      <w:sz w:val="20"/>
      <w:szCs w:val="20"/>
      <w:lang w:val="es-MX" w:eastAsia="es-MX"/>
    </w:rPr>
  </w:style>
  <w:style w:type="paragraph" w:customStyle="1" w:styleId="xl165">
    <w:name w:val="xl165"/>
    <w:basedOn w:val="Normal"/>
    <w:rsid w:val="0014509F"/>
    <w:pPr>
      <w:shd w:val="clear" w:color="000000" w:fill="00B050"/>
      <w:spacing w:before="100" w:beforeAutospacing="1" w:after="100" w:afterAutospacing="1"/>
      <w:textAlignment w:val="center"/>
    </w:pPr>
    <w:rPr>
      <w:color w:val="FFFFFF"/>
      <w:sz w:val="20"/>
      <w:szCs w:val="20"/>
      <w:lang w:val="es-MX" w:eastAsia="es-MX"/>
    </w:rPr>
  </w:style>
  <w:style w:type="paragraph" w:customStyle="1" w:styleId="xl166">
    <w:name w:val="xl166"/>
    <w:basedOn w:val="Normal"/>
    <w:rsid w:val="0014509F"/>
    <w:pPr>
      <w:pBdr>
        <w:bottom w:val="single" w:sz="8" w:space="0" w:color="FFFFFF"/>
      </w:pBdr>
      <w:shd w:val="clear" w:color="000000" w:fill="C14E75"/>
      <w:spacing w:before="100" w:beforeAutospacing="1" w:after="100" w:afterAutospacing="1"/>
      <w:jc w:val="center"/>
      <w:textAlignment w:val="center"/>
    </w:pPr>
    <w:rPr>
      <w:color w:val="FFFFFF"/>
      <w:sz w:val="20"/>
      <w:szCs w:val="20"/>
      <w:lang w:val="es-MX" w:eastAsia="es-MX"/>
    </w:rPr>
  </w:style>
  <w:style w:type="paragraph" w:customStyle="1" w:styleId="xl167">
    <w:name w:val="xl167"/>
    <w:basedOn w:val="Normal"/>
    <w:rsid w:val="0014509F"/>
    <w:pPr>
      <w:pBdr>
        <w:bottom w:val="single" w:sz="8" w:space="0" w:color="FFFFFF"/>
      </w:pBdr>
      <w:shd w:val="clear" w:color="000000" w:fill="C14E75"/>
      <w:spacing w:before="100" w:beforeAutospacing="1" w:after="100" w:afterAutospacing="1"/>
      <w:textAlignment w:val="center"/>
    </w:pPr>
    <w:rPr>
      <w:color w:val="FFFFFF"/>
      <w:sz w:val="20"/>
      <w:szCs w:val="20"/>
      <w:lang w:val="es-MX" w:eastAsia="es-MX"/>
    </w:rPr>
  </w:style>
  <w:style w:type="paragraph" w:customStyle="1" w:styleId="xl168">
    <w:name w:val="xl168"/>
    <w:basedOn w:val="Normal"/>
    <w:rsid w:val="0014509F"/>
    <w:pPr>
      <w:shd w:val="clear" w:color="000000" w:fill="C14E75"/>
      <w:spacing w:before="100" w:beforeAutospacing="1" w:after="100" w:afterAutospacing="1"/>
      <w:textAlignment w:val="center"/>
    </w:pPr>
    <w:rPr>
      <w:color w:val="FFFFFF"/>
      <w:sz w:val="20"/>
      <w:szCs w:val="20"/>
      <w:lang w:val="es-MX" w:eastAsia="es-MX"/>
    </w:rPr>
  </w:style>
  <w:style w:type="paragraph" w:customStyle="1" w:styleId="xl169">
    <w:name w:val="xl169"/>
    <w:basedOn w:val="Normal"/>
    <w:rsid w:val="0014509F"/>
    <w:pPr>
      <w:shd w:val="clear" w:color="000000" w:fill="C14E75"/>
      <w:spacing w:before="100" w:beforeAutospacing="1" w:after="100" w:afterAutospacing="1"/>
      <w:textAlignment w:val="center"/>
    </w:pPr>
    <w:rPr>
      <w:color w:val="FFFFFF"/>
      <w:sz w:val="20"/>
      <w:szCs w:val="20"/>
      <w:lang w:val="es-MX" w:eastAsia="es-MX"/>
    </w:rPr>
  </w:style>
  <w:style w:type="paragraph" w:customStyle="1" w:styleId="xl170">
    <w:name w:val="xl170"/>
    <w:basedOn w:val="Normal"/>
    <w:rsid w:val="0014509F"/>
    <w:pPr>
      <w:shd w:val="clear" w:color="000000" w:fill="C14E75"/>
      <w:spacing w:before="100" w:beforeAutospacing="1" w:after="100" w:afterAutospacing="1"/>
    </w:pPr>
    <w:rPr>
      <w:color w:val="FFFFFF"/>
      <w:sz w:val="20"/>
      <w:szCs w:val="20"/>
      <w:lang w:val="es-MX" w:eastAsia="es-MX"/>
    </w:rPr>
  </w:style>
  <w:style w:type="paragraph" w:customStyle="1" w:styleId="xl171">
    <w:name w:val="xl171"/>
    <w:basedOn w:val="Normal"/>
    <w:rsid w:val="0014509F"/>
    <w:pPr>
      <w:shd w:val="clear" w:color="000000" w:fill="00B050"/>
      <w:spacing w:before="100" w:beforeAutospacing="1" w:after="100" w:afterAutospacing="1"/>
      <w:jc w:val="center"/>
      <w:textAlignment w:val="center"/>
    </w:pPr>
    <w:rPr>
      <w:color w:val="FFFFFF"/>
      <w:sz w:val="20"/>
      <w:szCs w:val="20"/>
      <w:lang w:val="es-MX" w:eastAsia="es-MX"/>
    </w:rPr>
  </w:style>
  <w:style w:type="paragraph" w:customStyle="1" w:styleId="xl172">
    <w:name w:val="xl172"/>
    <w:basedOn w:val="Normal"/>
    <w:rsid w:val="0014509F"/>
    <w:pPr>
      <w:shd w:val="clear" w:color="000000" w:fill="00B050"/>
      <w:spacing w:before="100" w:beforeAutospacing="1" w:after="100" w:afterAutospacing="1"/>
      <w:jc w:val="center"/>
      <w:textAlignment w:val="center"/>
    </w:pPr>
    <w:rPr>
      <w:color w:val="FFFFFF"/>
      <w:sz w:val="20"/>
      <w:szCs w:val="20"/>
      <w:lang w:val="es-MX" w:eastAsia="es-MX"/>
    </w:rPr>
  </w:style>
  <w:style w:type="paragraph" w:customStyle="1" w:styleId="xl173">
    <w:name w:val="xl173"/>
    <w:basedOn w:val="Normal"/>
    <w:rsid w:val="0014509F"/>
    <w:pPr>
      <w:pBdr>
        <w:bottom w:val="single" w:sz="8" w:space="0" w:color="FFFFFF"/>
      </w:pBdr>
      <w:shd w:val="clear" w:color="000000" w:fill="C14E75"/>
      <w:spacing w:before="100" w:beforeAutospacing="1" w:after="100" w:afterAutospacing="1"/>
      <w:textAlignment w:val="center"/>
    </w:pPr>
    <w:rPr>
      <w:color w:val="FFFFFF"/>
      <w:sz w:val="20"/>
      <w:szCs w:val="20"/>
      <w:lang w:val="es-MX" w:eastAsia="es-MX"/>
    </w:rPr>
  </w:style>
  <w:style w:type="paragraph" w:customStyle="1" w:styleId="xl174">
    <w:name w:val="xl174"/>
    <w:basedOn w:val="Normal"/>
    <w:rsid w:val="0014509F"/>
    <w:pPr>
      <w:pBdr>
        <w:bottom w:val="single" w:sz="8" w:space="0" w:color="FFFFFF"/>
      </w:pBdr>
      <w:shd w:val="clear" w:color="000000" w:fill="C14E75"/>
      <w:spacing w:before="100" w:beforeAutospacing="1" w:after="100" w:afterAutospacing="1"/>
      <w:textAlignment w:val="center"/>
    </w:pPr>
    <w:rPr>
      <w:color w:val="FFFFFF"/>
      <w:sz w:val="20"/>
      <w:szCs w:val="20"/>
      <w:lang w:val="es-MX" w:eastAsia="es-MX"/>
    </w:rPr>
  </w:style>
  <w:style w:type="paragraph" w:customStyle="1" w:styleId="xl175">
    <w:name w:val="xl175"/>
    <w:basedOn w:val="Normal"/>
    <w:rsid w:val="0014509F"/>
    <w:pPr>
      <w:pBdr>
        <w:top w:val="single" w:sz="8" w:space="0" w:color="FFFFFF"/>
        <w:left w:val="single" w:sz="8" w:space="0" w:color="FFFFFF"/>
        <w:bottom w:val="single" w:sz="8" w:space="0" w:color="FFFFFF"/>
      </w:pBdr>
      <w:shd w:val="clear" w:color="000000" w:fill="9B4E75"/>
      <w:spacing w:before="100" w:beforeAutospacing="1" w:after="100" w:afterAutospacing="1"/>
    </w:pPr>
    <w:rPr>
      <w:rFonts w:ascii="Aharoni" w:hAnsi="Aharoni" w:cs="Aharoni"/>
      <w:b/>
      <w:bCs/>
      <w:color w:val="FFFFFF"/>
      <w:sz w:val="28"/>
      <w:szCs w:val="28"/>
      <w:lang w:val="es-MX" w:eastAsia="es-MX"/>
    </w:rPr>
  </w:style>
  <w:style w:type="paragraph" w:customStyle="1" w:styleId="xl176">
    <w:name w:val="xl176"/>
    <w:basedOn w:val="Normal"/>
    <w:rsid w:val="0014509F"/>
    <w:pPr>
      <w:shd w:val="clear" w:color="000000" w:fill="9B4E75"/>
      <w:spacing w:before="100" w:beforeAutospacing="1" w:after="100" w:afterAutospacing="1"/>
      <w:jc w:val="center"/>
      <w:textAlignment w:val="center"/>
    </w:pPr>
    <w:rPr>
      <w:color w:val="FFFFFF"/>
      <w:sz w:val="20"/>
      <w:szCs w:val="20"/>
      <w:lang w:val="es-MX" w:eastAsia="es-MX"/>
    </w:rPr>
  </w:style>
  <w:style w:type="paragraph" w:customStyle="1" w:styleId="xl177">
    <w:name w:val="xl177"/>
    <w:basedOn w:val="Normal"/>
    <w:rsid w:val="0014509F"/>
    <w:pPr>
      <w:shd w:val="clear" w:color="000000" w:fill="9B4E75"/>
      <w:spacing w:before="100" w:beforeAutospacing="1" w:after="100" w:afterAutospacing="1"/>
      <w:textAlignment w:val="center"/>
    </w:pPr>
    <w:rPr>
      <w:color w:val="FFFFFF"/>
      <w:sz w:val="20"/>
      <w:szCs w:val="20"/>
      <w:lang w:val="es-MX" w:eastAsia="es-MX"/>
    </w:rPr>
  </w:style>
  <w:style w:type="paragraph" w:customStyle="1" w:styleId="xl178">
    <w:name w:val="xl178"/>
    <w:basedOn w:val="Normal"/>
    <w:rsid w:val="0014509F"/>
    <w:pPr>
      <w:shd w:val="clear" w:color="000000" w:fill="9B4E75"/>
      <w:spacing w:before="100" w:beforeAutospacing="1" w:after="100" w:afterAutospacing="1"/>
      <w:textAlignment w:val="center"/>
    </w:pPr>
    <w:rPr>
      <w:color w:val="FFFFFF"/>
      <w:sz w:val="20"/>
      <w:szCs w:val="20"/>
      <w:lang w:val="es-MX" w:eastAsia="es-MX"/>
    </w:rPr>
  </w:style>
  <w:style w:type="paragraph" w:customStyle="1" w:styleId="xl179">
    <w:name w:val="xl179"/>
    <w:basedOn w:val="Normal"/>
    <w:rsid w:val="0014509F"/>
    <w:pPr>
      <w:shd w:val="clear" w:color="000000" w:fill="9B4E75"/>
      <w:spacing w:before="100" w:beforeAutospacing="1" w:after="100" w:afterAutospacing="1"/>
      <w:jc w:val="center"/>
      <w:textAlignment w:val="center"/>
    </w:pPr>
    <w:rPr>
      <w:color w:val="FFFFFF"/>
      <w:sz w:val="20"/>
      <w:szCs w:val="20"/>
      <w:lang w:val="es-MX" w:eastAsia="es-MX"/>
    </w:rPr>
  </w:style>
  <w:style w:type="paragraph" w:customStyle="1" w:styleId="xl180">
    <w:name w:val="xl180"/>
    <w:basedOn w:val="Normal"/>
    <w:rsid w:val="0014509F"/>
    <w:pPr>
      <w:shd w:val="clear" w:color="000000" w:fill="9B4E75"/>
      <w:spacing w:before="100" w:beforeAutospacing="1" w:after="100" w:afterAutospacing="1"/>
      <w:jc w:val="center"/>
      <w:textAlignment w:val="center"/>
    </w:pPr>
    <w:rPr>
      <w:color w:val="FFFFFF"/>
      <w:sz w:val="20"/>
      <w:szCs w:val="20"/>
      <w:lang w:val="es-MX" w:eastAsia="es-MX"/>
    </w:rPr>
  </w:style>
  <w:style w:type="paragraph" w:customStyle="1" w:styleId="xl181">
    <w:name w:val="xl181"/>
    <w:basedOn w:val="Normal"/>
    <w:rsid w:val="0014509F"/>
    <w:pPr>
      <w:shd w:val="clear" w:color="000000" w:fill="9B4E75"/>
      <w:spacing w:before="100" w:beforeAutospacing="1" w:after="100" w:afterAutospacing="1"/>
      <w:jc w:val="center"/>
      <w:textAlignment w:val="center"/>
    </w:pPr>
    <w:rPr>
      <w:color w:val="FFFFFF"/>
      <w:sz w:val="20"/>
      <w:szCs w:val="20"/>
      <w:lang w:val="es-MX" w:eastAsia="es-MX"/>
    </w:rPr>
  </w:style>
  <w:style w:type="paragraph" w:customStyle="1" w:styleId="xl182">
    <w:name w:val="xl182"/>
    <w:basedOn w:val="Normal"/>
    <w:rsid w:val="0014509F"/>
    <w:pPr>
      <w:shd w:val="clear" w:color="000000" w:fill="2F75B5"/>
      <w:spacing w:before="100" w:beforeAutospacing="1" w:after="100" w:afterAutospacing="1"/>
      <w:textAlignment w:val="center"/>
    </w:pPr>
    <w:rPr>
      <w:color w:val="FFFFFF"/>
      <w:sz w:val="20"/>
      <w:szCs w:val="20"/>
      <w:lang w:val="es-MX" w:eastAsia="es-MX"/>
    </w:rPr>
  </w:style>
  <w:style w:type="paragraph" w:customStyle="1" w:styleId="xl183">
    <w:name w:val="xl183"/>
    <w:basedOn w:val="Normal"/>
    <w:rsid w:val="0014509F"/>
    <w:pPr>
      <w:shd w:val="clear" w:color="000000" w:fill="9B4E75"/>
      <w:spacing w:before="100" w:beforeAutospacing="1" w:after="100" w:afterAutospacing="1"/>
      <w:textAlignment w:val="center"/>
    </w:pPr>
    <w:rPr>
      <w:color w:val="FFFFFF"/>
      <w:sz w:val="20"/>
      <w:szCs w:val="20"/>
      <w:lang w:val="es-MX" w:eastAsia="es-MX"/>
    </w:rPr>
  </w:style>
  <w:style w:type="paragraph" w:customStyle="1" w:styleId="xl184">
    <w:name w:val="xl184"/>
    <w:basedOn w:val="Normal"/>
    <w:rsid w:val="0014509F"/>
    <w:pPr>
      <w:shd w:val="clear" w:color="000000" w:fill="9B4E75"/>
      <w:spacing w:before="100" w:beforeAutospacing="1" w:after="100" w:afterAutospacing="1"/>
      <w:jc w:val="center"/>
      <w:textAlignment w:val="center"/>
    </w:pPr>
    <w:rPr>
      <w:color w:val="FFFFFF"/>
      <w:sz w:val="20"/>
      <w:szCs w:val="20"/>
      <w:lang w:val="es-MX" w:eastAsia="es-MX"/>
    </w:rPr>
  </w:style>
  <w:style w:type="paragraph" w:customStyle="1" w:styleId="xl185">
    <w:name w:val="xl185"/>
    <w:basedOn w:val="Normal"/>
    <w:rsid w:val="0014509F"/>
    <w:pPr>
      <w:shd w:val="clear" w:color="000000" w:fill="9B4E75"/>
      <w:spacing w:before="100" w:beforeAutospacing="1" w:after="100" w:afterAutospacing="1"/>
      <w:textAlignment w:val="center"/>
    </w:pPr>
    <w:rPr>
      <w:color w:val="FFFFFF"/>
      <w:sz w:val="20"/>
      <w:szCs w:val="20"/>
      <w:lang w:val="es-MX" w:eastAsia="es-MX"/>
    </w:rPr>
  </w:style>
  <w:style w:type="paragraph" w:customStyle="1" w:styleId="xl186">
    <w:name w:val="xl186"/>
    <w:basedOn w:val="Normal"/>
    <w:rsid w:val="0014509F"/>
    <w:pPr>
      <w:pBdr>
        <w:bottom w:val="single" w:sz="8" w:space="0" w:color="FFFFFF"/>
      </w:pBdr>
      <w:shd w:val="clear" w:color="000000" w:fill="9B4E75"/>
      <w:spacing w:before="100" w:beforeAutospacing="1" w:after="100" w:afterAutospacing="1"/>
      <w:jc w:val="center"/>
      <w:textAlignment w:val="center"/>
    </w:pPr>
    <w:rPr>
      <w:color w:val="FFFFFF"/>
      <w:sz w:val="20"/>
      <w:szCs w:val="20"/>
      <w:lang w:val="es-MX" w:eastAsia="es-MX"/>
    </w:rPr>
  </w:style>
  <w:style w:type="paragraph" w:customStyle="1" w:styleId="xl187">
    <w:name w:val="xl187"/>
    <w:basedOn w:val="Normal"/>
    <w:rsid w:val="0014509F"/>
    <w:pPr>
      <w:pBdr>
        <w:bottom w:val="single" w:sz="8" w:space="0" w:color="FFFFFF"/>
      </w:pBdr>
      <w:shd w:val="clear" w:color="000000" w:fill="9B4E75"/>
      <w:spacing w:before="100" w:beforeAutospacing="1" w:after="100" w:afterAutospacing="1"/>
      <w:textAlignment w:val="center"/>
    </w:pPr>
    <w:rPr>
      <w:color w:val="FFFFFF"/>
      <w:sz w:val="20"/>
      <w:szCs w:val="20"/>
      <w:lang w:val="es-MX" w:eastAsia="es-MX"/>
    </w:rPr>
  </w:style>
  <w:style w:type="paragraph" w:customStyle="1" w:styleId="xl188">
    <w:name w:val="xl188"/>
    <w:basedOn w:val="Normal"/>
    <w:rsid w:val="0014509F"/>
    <w:pPr>
      <w:pBdr>
        <w:bottom w:val="single" w:sz="8" w:space="0" w:color="FFFFFF"/>
      </w:pBdr>
      <w:shd w:val="clear" w:color="000000" w:fill="9B4E75"/>
      <w:spacing w:before="100" w:beforeAutospacing="1" w:after="100" w:afterAutospacing="1"/>
      <w:jc w:val="center"/>
      <w:textAlignment w:val="center"/>
    </w:pPr>
    <w:rPr>
      <w:color w:val="FFFFFF"/>
      <w:sz w:val="20"/>
      <w:szCs w:val="20"/>
      <w:lang w:val="es-MX" w:eastAsia="es-MX"/>
    </w:rPr>
  </w:style>
  <w:style w:type="paragraph" w:customStyle="1" w:styleId="xl189">
    <w:name w:val="xl189"/>
    <w:basedOn w:val="Normal"/>
    <w:rsid w:val="0014509F"/>
    <w:pPr>
      <w:pBdr>
        <w:bottom w:val="single" w:sz="8" w:space="0" w:color="FFFFFF"/>
      </w:pBdr>
      <w:shd w:val="clear" w:color="000000" w:fill="9B4E75"/>
      <w:spacing w:before="100" w:beforeAutospacing="1" w:after="100" w:afterAutospacing="1"/>
      <w:jc w:val="center"/>
      <w:textAlignment w:val="center"/>
    </w:pPr>
    <w:rPr>
      <w:color w:val="FFFFFF"/>
      <w:sz w:val="20"/>
      <w:szCs w:val="20"/>
      <w:lang w:val="es-MX" w:eastAsia="es-MX"/>
    </w:rPr>
  </w:style>
  <w:style w:type="paragraph" w:customStyle="1" w:styleId="xl190">
    <w:name w:val="xl190"/>
    <w:basedOn w:val="Normal"/>
    <w:rsid w:val="0014509F"/>
    <w:pPr>
      <w:pBdr>
        <w:bottom w:val="single" w:sz="8" w:space="0" w:color="FFFFFF"/>
      </w:pBdr>
      <w:shd w:val="clear" w:color="000000" w:fill="9B4E75"/>
      <w:spacing w:before="100" w:beforeAutospacing="1" w:after="100" w:afterAutospacing="1"/>
      <w:jc w:val="center"/>
      <w:textAlignment w:val="center"/>
    </w:pPr>
    <w:rPr>
      <w:color w:val="FFFFFF"/>
      <w:sz w:val="20"/>
      <w:szCs w:val="20"/>
      <w:lang w:val="es-MX" w:eastAsia="es-MX"/>
    </w:rPr>
  </w:style>
  <w:style w:type="paragraph" w:customStyle="1" w:styleId="xl191">
    <w:name w:val="xl191"/>
    <w:basedOn w:val="Normal"/>
    <w:rsid w:val="0014509F"/>
    <w:pPr>
      <w:pBdr>
        <w:bottom w:val="single" w:sz="8" w:space="0" w:color="FFFFFF"/>
      </w:pBdr>
      <w:shd w:val="clear" w:color="000000" w:fill="9B4E75"/>
      <w:spacing w:before="100" w:beforeAutospacing="1" w:after="100" w:afterAutospacing="1"/>
      <w:textAlignment w:val="center"/>
    </w:pPr>
    <w:rPr>
      <w:color w:val="FFFFFF"/>
      <w:sz w:val="20"/>
      <w:szCs w:val="20"/>
      <w:lang w:val="es-MX" w:eastAsia="es-MX"/>
    </w:rPr>
  </w:style>
  <w:style w:type="paragraph" w:customStyle="1" w:styleId="xl192">
    <w:name w:val="xl192"/>
    <w:basedOn w:val="Normal"/>
    <w:rsid w:val="0014509F"/>
    <w:pPr>
      <w:shd w:val="clear" w:color="000000" w:fill="F7955B"/>
      <w:spacing w:before="100" w:beforeAutospacing="1" w:after="100" w:afterAutospacing="1"/>
      <w:jc w:val="center"/>
      <w:textAlignment w:val="center"/>
    </w:pPr>
    <w:rPr>
      <w:color w:val="FFFFFF"/>
      <w:sz w:val="20"/>
      <w:szCs w:val="20"/>
      <w:lang w:val="es-MX" w:eastAsia="es-MX"/>
    </w:rPr>
  </w:style>
  <w:style w:type="paragraph" w:customStyle="1" w:styleId="xl193">
    <w:name w:val="xl193"/>
    <w:basedOn w:val="Normal"/>
    <w:rsid w:val="0014509F"/>
    <w:pPr>
      <w:shd w:val="clear" w:color="000000" w:fill="F7955B"/>
      <w:spacing w:before="100" w:beforeAutospacing="1" w:after="100" w:afterAutospacing="1"/>
      <w:textAlignment w:val="center"/>
    </w:pPr>
    <w:rPr>
      <w:color w:val="FFFFFF"/>
      <w:sz w:val="20"/>
      <w:szCs w:val="20"/>
      <w:lang w:val="es-MX" w:eastAsia="es-MX"/>
    </w:rPr>
  </w:style>
  <w:style w:type="paragraph" w:customStyle="1" w:styleId="xl194">
    <w:name w:val="xl194"/>
    <w:basedOn w:val="Normal"/>
    <w:rsid w:val="0014509F"/>
    <w:pPr>
      <w:shd w:val="clear" w:color="000000" w:fill="F7955B"/>
      <w:spacing w:before="100" w:beforeAutospacing="1" w:after="100" w:afterAutospacing="1"/>
      <w:textAlignment w:val="center"/>
    </w:pPr>
    <w:rPr>
      <w:color w:val="FFFFFF"/>
      <w:sz w:val="20"/>
      <w:szCs w:val="20"/>
      <w:lang w:val="es-MX" w:eastAsia="es-MX"/>
    </w:rPr>
  </w:style>
  <w:style w:type="paragraph" w:customStyle="1" w:styleId="xl195">
    <w:name w:val="xl195"/>
    <w:basedOn w:val="Normal"/>
    <w:rsid w:val="0014509F"/>
    <w:pPr>
      <w:shd w:val="clear" w:color="000000" w:fill="F7955B"/>
      <w:spacing w:before="100" w:beforeAutospacing="1" w:after="100" w:afterAutospacing="1"/>
      <w:jc w:val="center"/>
      <w:textAlignment w:val="center"/>
    </w:pPr>
    <w:rPr>
      <w:color w:val="FFFFFF"/>
      <w:sz w:val="20"/>
      <w:szCs w:val="20"/>
      <w:lang w:val="es-MX" w:eastAsia="es-MX"/>
    </w:rPr>
  </w:style>
  <w:style w:type="paragraph" w:customStyle="1" w:styleId="xl196">
    <w:name w:val="xl196"/>
    <w:basedOn w:val="Normal"/>
    <w:rsid w:val="0014509F"/>
    <w:pPr>
      <w:shd w:val="clear" w:color="000000" w:fill="F7955B"/>
      <w:spacing w:before="100" w:beforeAutospacing="1" w:after="100" w:afterAutospacing="1"/>
      <w:jc w:val="center"/>
      <w:textAlignment w:val="center"/>
    </w:pPr>
    <w:rPr>
      <w:color w:val="FFFFFF"/>
      <w:sz w:val="20"/>
      <w:szCs w:val="20"/>
      <w:lang w:val="es-MX" w:eastAsia="es-MX"/>
    </w:rPr>
  </w:style>
  <w:style w:type="paragraph" w:customStyle="1" w:styleId="xl197">
    <w:name w:val="xl197"/>
    <w:basedOn w:val="Normal"/>
    <w:rsid w:val="0014509F"/>
    <w:pPr>
      <w:shd w:val="clear" w:color="000000" w:fill="F7955B"/>
      <w:spacing w:before="100" w:beforeAutospacing="1" w:after="100" w:afterAutospacing="1"/>
      <w:jc w:val="center"/>
      <w:textAlignment w:val="center"/>
    </w:pPr>
    <w:rPr>
      <w:color w:val="FFFFFF"/>
      <w:sz w:val="20"/>
      <w:szCs w:val="20"/>
      <w:lang w:val="es-MX" w:eastAsia="es-MX"/>
    </w:rPr>
  </w:style>
  <w:style w:type="paragraph" w:customStyle="1" w:styleId="xl198">
    <w:name w:val="xl198"/>
    <w:basedOn w:val="Normal"/>
    <w:rsid w:val="0014509F"/>
    <w:pPr>
      <w:shd w:val="clear" w:color="000000" w:fill="F7955B"/>
      <w:spacing w:before="100" w:beforeAutospacing="1" w:after="100" w:afterAutospacing="1"/>
      <w:textAlignment w:val="center"/>
    </w:pPr>
    <w:rPr>
      <w:color w:val="FFFFFF"/>
      <w:sz w:val="20"/>
      <w:szCs w:val="20"/>
      <w:lang w:val="es-MX" w:eastAsia="es-MX"/>
    </w:rPr>
  </w:style>
  <w:style w:type="paragraph" w:customStyle="1" w:styleId="xl199">
    <w:name w:val="xl199"/>
    <w:basedOn w:val="Normal"/>
    <w:rsid w:val="0014509F"/>
    <w:pPr>
      <w:shd w:val="clear" w:color="000000" w:fill="F7955B"/>
      <w:spacing w:before="100" w:beforeAutospacing="1" w:after="100" w:afterAutospacing="1"/>
      <w:jc w:val="center"/>
      <w:textAlignment w:val="center"/>
    </w:pPr>
    <w:rPr>
      <w:color w:val="FFFFFF"/>
      <w:sz w:val="20"/>
      <w:szCs w:val="20"/>
      <w:lang w:val="es-MX" w:eastAsia="es-MX"/>
    </w:rPr>
  </w:style>
  <w:style w:type="paragraph" w:customStyle="1" w:styleId="xl200">
    <w:name w:val="xl200"/>
    <w:basedOn w:val="Normal"/>
    <w:rsid w:val="0014509F"/>
    <w:pPr>
      <w:pBdr>
        <w:left w:val="single" w:sz="8" w:space="0" w:color="FFFFFF"/>
      </w:pBdr>
      <w:shd w:val="clear" w:color="000000" w:fill="F7955B"/>
      <w:spacing w:before="100" w:beforeAutospacing="1" w:after="100" w:afterAutospacing="1"/>
    </w:pPr>
    <w:rPr>
      <w:rFonts w:ascii="Aharoni" w:hAnsi="Aharoni" w:cs="Aharoni"/>
      <w:b/>
      <w:bCs/>
      <w:color w:val="FFFFFF"/>
      <w:sz w:val="32"/>
      <w:szCs w:val="32"/>
      <w:lang w:val="es-MX" w:eastAsia="es-MX"/>
    </w:rPr>
  </w:style>
  <w:style w:type="paragraph" w:customStyle="1" w:styleId="xl201">
    <w:name w:val="xl201"/>
    <w:basedOn w:val="Normal"/>
    <w:rsid w:val="0014509F"/>
    <w:pPr>
      <w:shd w:val="clear" w:color="000000" w:fill="663300"/>
      <w:spacing w:before="100" w:beforeAutospacing="1" w:after="100" w:afterAutospacing="1"/>
      <w:jc w:val="center"/>
      <w:textAlignment w:val="center"/>
    </w:pPr>
    <w:rPr>
      <w:color w:val="FFFFFF"/>
      <w:sz w:val="20"/>
      <w:szCs w:val="20"/>
      <w:lang w:val="es-MX" w:eastAsia="es-MX"/>
    </w:rPr>
  </w:style>
  <w:style w:type="paragraph" w:customStyle="1" w:styleId="xl202">
    <w:name w:val="xl202"/>
    <w:basedOn w:val="Normal"/>
    <w:rsid w:val="0014509F"/>
    <w:pPr>
      <w:shd w:val="clear" w:color="000000" w:fill="663300"/>
      <w:spacing w:before="100" w:beforeAutospacing="1" w:after="100" w:afterAutospacing="1"/>
      <w:textAlignment w:val="center"/>
    </w:pPr>
    <w:rPr>
      <w:color w:val="FFFFFF"/>
      <w:sz w:val="20"/>
      <w:szCs w:val="20"/>
      <w:lang w:val="es-MX" w:eastAsia="es-MX"/>
    </w:rPr>
  </w:style>
  <w:style w:type="paragraph" w:customStyle="1" w:styleId="xl203">
    <w:name w:val="xl203"/>
    <w:basedOn w:val="Normal"/>
    <w:rsid w:val="0014509F"/>
    <w:pPr>
      <w:shd w:val="clear" w:color="000000" w:fill="2F75B5"/>
      <w:spacing w:before="100" w:beforeAutospacing="1" w:after="100" w:afterAutospacing="1"/>
      <w:jc w:val="center"/>
      <w:textAlignment w:val="center"/>
    </w:pPr>
    <w:rPr>
      <w:color w:val="FFFFFF"/>
      <w:sz w:val="20"/>
      <w:szCs w:val="20"/>
      <w:lang w:val="es-MX" w:eastAsia="es-MX"/>
    </w:rPr>
  </w:style>
  <w:style w:type="paragraph" w:customStyle="1" w:styleId="xl204">
    <w:name w:val="xl204"/>
    <w:basedOn w:val="Normal"/>
    <w:rsid w:val="0014509F"/>
    <w:pPr>
      <w:shd w:val="clear" w:color="000000" w:fill="663300"/>
      <w:spacing w:before="100" w:beforeAutospacing="1" w:after="100" w:afterAutospacing="1"/>
      <w:jc w:val="center"/>
      <w:textAlignment w:val="center"/>
    </w:pPr>
    <w:rPr>
      <w:color w:val="FFFFFF"/>
      <w:sz w:val="20"/>
      <w:szCs w:val="20"/>
      <w:lang w:val="es-MX" w:eastAsia="es-MX"/>
    </w:rPr>
  </w:style>
  <w:style w:type="paragraph" w:customStyle="1" w:styleId="xl205">
    <w:name w:val="xl205"/>
    <w:basedOn w:val="Normal"/>
    <w:rsid w:val="0014509F"/>
    <w:pPr>
      <w:shd w:val="clear" w:color="000000" w:fill="00B050"/>
      <w:spacing w:before="100" w:beforeAutospacing="1" w:after="100" w:afterAutospacing="1"/>
      <w:jc w:val="center"/>
      <w:textAlignment w:val="center"/>
    </w:pPr>
    <w:rPr>
      <w:color w:val="FFFFFF"/>
      <w:sz w:val="20"/>
      <w:szCs w:val="20"/>
      <w:lang w:val="es-MX" w:eastAsia="es-MX"/>
    </w:rPr>
  </w:style>
  <w:style w:type="paragraph" w:customStyle="1" w:styleId="xl206">
    <w:name w:val="xl206"/>
    <w:basedOn w:val="Normal"/>
    <w:rsid w:val="0014509F"/>
    <w:pPr>
      <w:pBdr>
        <w:bottom w:val="single" w:sz="8" w:space="0" w:color="FFFFFF"/>
      </w:pBdr>
      <w:shd w:val="clear" w:color="000000" w:fill="F7955B"/>
      <w:spacing w:before="100" w:beforeAutospacing="1" w:after="100" w:afterAutospacing="1"/>
      <w:jc w:val="center"/>
      <w:textAlignment w:val="center"/>
    </w:pPr>
    <w:rPr>
      <w:color w:val="FFFFFF"/>
      <w:sz w:val="20"/>
      <w:szCs w:val="20"/>
      <w:lang w:val="es-MX" w:eastAsia="es-MX"/>
    </w:rPr>
  </w:style>
  <w:style w:type="paragraph" w:customStyle="1" w:styleId="xl207">
    <w:name w:val="xl207"/>
    <w:basedOn w:val="Normal"/>
    <w:rsid w:val="0014509F"/>
    <w:pPr>
      <w:pBdr>
        <w:bottom w:val="single" w:sz="8" w:space="0" w:color="FFFFFF"/>
      </w:pBdr>
      <w:shd w:val="clear" w:color="000000" w:fill="F7955B"/>
      <w:spacing w:before="100" w:beforeAutospacing="1" w:after="100" w:afterAutospacing="1"/>
      <w:textAlignment w:val="center"/>
    </w:pPr>
    <w:rPr>
      <w:color w:val="FFFFFF"/>
      <w:sz w:val="20"/>
      <w:szCs w:val="20"/>
      <w:lang w:val="es-MX" w:eastAsia="es-MX"/>
    </w:rPr>
  </w:style>
  <w:style w:type="paragraph" w:customStyle="1" w:styleId="xl208">
    <w:name w:val="xl208"/>
    <w:basedOn w:val="Normal"/>
    <w:rsid w:val="0014509F"/>
    <w:pPr>
      <w:pBdr>
        <w:bottom w:val="single" w:sz="8" w:space="0" w:color="FFFFFF"/>
      </w:pBdr>
      <w:shd w:val="clear" w:color="000000" w:fill="F7955B"/>
      <w:spacing w:before="100" w:beforeAutospacing="1" w:after="100" w:afterAutospacing="1"/>
      <w:textAlignment w:val="center"/>
    </w:pPr>
    <w:rPr>
      <w:color w:val="FFFFFF"/>
      <w:sz w:val="20"/>
      <w:szCs w:val="20"/>
      <w:lang w:val="es-MX" w:eastAsia="es-MX"/>
    </w:rPr>
  </w:style>
  <w:style w:type="paragraph" w:customStyle="1" w:styleId="xl209">
    <w:name w:val="xl209"/>
    <w:basedOn w:val="Normal"/>
    <w:rsid w:val="0014509F"/>
    <w:pPr>
      <w:pBdr>
        <w:bottom w:val="single" w:sz="8" w:space="0" w:color="FFFFFF"/>
      </w:pBdr>
      <w:shd w:val="clear" w:color="000000" w:fill="F7955B"/>
      <w:spacing w:before="100" w:beforeAutospacing="1" w:after="100" w:afterAutospacing="1"/>
      <w:jc w:val="center"/>
      <w:textAlignment w:val="center"/>
    </w:pPr>
    <w:rPr>
      <w:color w:val="FFFFFF"/>
      <w:sz w:val="20"/>
      <w:szCs w:val="20"/>
      <w:lang w:val="es-MX" w:eastAsia="es-MX"/>
    </w:rPr>
  </w:style>
  <w:style w:type="paragraph" w:customStyle="1" w:styleId="xl210">
    <w:name w:val="xl210"/>
    <w:basedOn w:val="Normal"/>
    <w:rsid w:val="0014509F"/>
    <w:pPr>
      <w:pBdr>
        <w:bottom w:val="single" w:sz="8" w:space="0" w:color="FFFFFF"/>
      </w:pBdr>
      <w:shd w:val="clear" w:color="000000" w:fill="F7955B"/>
      <w:spacing w:before="100" w:beforeAutospacing="1" w:after="100" w:afterAutospacing="1"/>
      <w:jc w:val="center"/>
      <w:textAlignment w:val="center"/>
    </w:pPr>
    <w:rPr>
      <w:color w:val="FFFFFF"/>
      <w:sz w:val="20"/>
      <w:szCs w:val="20"/>
      <w:lang w:val="es-MX" w:eastAsia="es-MX"/>
    </w:rPr>
  </w:style>
  <w:style w:type="paragraph" w:customStyle="1" w:styleId="xl211">
    <w:name w:val="xl211"/>
    <w:basedOn w:val="Normal"/>
    <w:rsid w:val="0014509F"/>
    <w:pPr>
      <w:pBdr>
        <w:bottom w:val="single" w:sz="8" w:space="0" w:color="FFFFFF"/>
      </w:pBdr>
      <w:shd w:val="clear" w:color="000000" w:fill="F7955B"/>
      <w:spacing w:before="100" w:beforeAutospacing="1" w:after="100" w:afterAutospacing="1"/>
      <w:jc w:val="center"/>
      <w:textAlignment w:val="center"/>
    </w:pPr>
    <w:rPr>
      <w:color w:val="FFFFFF"/>
      <w:sz w:val="20"/>
      <w:szCs w:val="20"/>
      <w:lang w:val="es-MX" w:eastAsia="es-MX"/>
    </w:rPr>
  </w:style>
  <w:style w:type="paragraph" w:customStyle="1" w:styleId="xl212">
    <w:name w:val="xl212"/>
    <w:basedOn w:val="Normal"/>
    <w:rsid w:val="0014509F"/>
    <w:pPr>
      <w:pBdr>
        <w:bottom w:val="single" w:sz="8" w:space="0" w:color="FFFFFF"/>
      </w:pBdr>
      <w:shd w:val="clear" w:color="000000" w:fill="F7955B"/>
      <w:spacing w:before="100" w:beforeAutospacing="1" w:after="100" w:afterAutospacing="1"/>
      <w:textAlignment w:val="center"/>
    </w:pPr>
    <w:rPr>
      <w:color w:val="FFFFFF"/>
      <w:sz w:val="20"/>
      <w:szCs w:val="20"/>
      <w:lang w:val="es-MX" w:eastAsia="es-MX"/>
    </w:rPr>
  </w:style>
  <w:style w:type="paragraph" w:customStyle="1" w:styleId="xl213">
    <w:name w:val="xl213"/>
    <w:basedOn w:val="Normal"/>
    <w:rsid w:val="0014509F"/>
    <w:pPr>
      <w:shd w:val="clear" w:color="000000" w:fill="2FB39F"/>
      <w:spacing w:before="100" w:beforeAutospacing="1" w:after="100" w:afterAutospacing="1"/>
      <w:jc w:val="center"/>
      <w:textAlignment w:val="center"/>
    </w:pPr>
    <w:rPr>
      <w:color w:val="FFFFFF"/>
      <w:sz w:val="20"/>
      <w:szCs w:val="20"/>
      <w:lang w:val="es-MX" w:eastAsia="es-MX"/>
    </w:rPr>
  </w:style>
  <w:style w:type="paragraph" w:customStyle="1" w:styleId="xl214">
    <w:name w:val="xl214"/>
    <w:basedOn w:val="Normal"/>
    <w:rsid w:val="0014509F"/>
    <w:pPr>
      <w:shd w:val="clear" w:color="000000" w:fill="2FB39F"/>
      <w:spacing w:before="100" w:beforeAutospacing="1" w:after="100" w:afterAutospacing="1"/>
      <w:textAlignment w:val="center"/>
    </w:pPr>
    <w:rPr>
      <w:color w:val="FFFFFF"/>
      <w:sz w:val="20"/>
      <w:szCs w:val="20"/>
      <w:lang w:val="es-MX" w:eastAsia="es-MX"/>
    </w:rPr>
  </w:style>
  <w:style w:type="paragraph" w:customStyle="1" w:styleId="xl215">
    <w:name w:val="xl215"/>
    <w:basedOn w:val="Normal"/>
    <w:rsid w:val="0014509F"/>
    <w:pPr>
      <w:shd w:val="clear" w:color="000000" w:fill="2FB39F"/>
      <w:spacing w:before="100" w:beforeAutospacing="1" w:after="100" w:afterAutospacing="1"/>
      <w:jc w:val="center"/>
      <w:textAlignment w:val="center"/>
    </w:pPr>
    <w:rPr>
      <w:color w:val="FFFFFF"/>
      <w:sz w:val="20"/>
      <w:szCs w:val="20"/>
      <w:lang w:val="es-MX" w:eastAsia="es-MX"/>
    </w:rPr>
  </w:style>
  <w:style w:type="paragraph" w:customStyle="1" w:styleId="xl216">
    <w:name w:val="xl216"/>
    <w:basedOn w:val="Normal"/>
    <w:rsid w:val="0014509F"/>
    <w:pPr>
      <w:shd w:val="clear" w:color="000000" w:fill="2FB39F"/>
      <w:spacing w:before="100" w:beforeAutospacing="1" w:after="100" w:afterAutospacing="1"/>
      <w:jc w:val="center"/>
      <w:textAlignment w:val="center"/>
    </w:pPr>
    <w:rPr>
      <w:color w:val="FFFFFF"/>
      <w:sz w:val="20"/>
      <w:szCs w:val="20"/>
      <w:lang w:val="es-MX" w:eastAsia="es-MX"/>
    </w:rPr>
  </w:style>
  <w:style w:type="paragraph" w:customStyle="1" w:styleId="xl217">
    <w:name w:val="xl217"/>
    <w:basedOn w:val="Normal"/>
    <w:rsid w:val="0014509F"/>
    <w:pPr>
      <w:shd w:val="clear" w:color="000000" w:fill="2FB39F"/>
      <w:spacing w:before="100" w:beforeAutospacing="1" w:after="100" w:afterAutospacing="1"/>
      <w:jc w:val="center"/>
      <w:textAlignment w:val="center"/>
    </w:pPr>
    <w:rPr>
      <w:color w:val="FFFFFF"/>
      <w:sz w:val="20"/>
      <w:szCs w:val="20"/>
      <w:lang w:val="es-MX" w:eastAsia="es-MX"/>
    </w:rPr>
  </w:style>
  <w:style w:type="paragraph" w:customStyle="1" w:styleId="xl218">
    <w:name w:val="xl218"/>
    <w:basedOn w:val="Normal"/>
    <w:rsid w:val="0014509F"/>
    <w:pPr>
      <w:shd w:val="clear" w:color="000000" w:fill="2FB39F"/>
      <w:spacing w:before="100" w:beforeAutospacing="1" w:after="100" w:afterAutospacing="1"/>
      <w:textAlignment w:val="center"/>
    </w:pPr>
    <w:rPr>
      <w:color w:val="FFFFFF"/>
      <w:sz w:val="20"/>
      <w:szCs w:val="20"/>
      <w:lang w:val="es-MX" w:eastAsia="es-MX"/>
    </w:rPr>
  </w:style>
  <w:style w:type="paragraph" w:customStyle="1" w:styleId="xl219">
    <w:name w:val="xl219"/>
    <w:basedOn w:val="Normal"/>
    <w:rsid w:val="0014509F"/>
    <w:pPr>
      <w:shd w:val="clear" w:color="000000" w:fill="2FB39F"/>
      <w:spacing w:before="100" w:beforeAutospacing="1" w:after="100" w:afterAutospacing="1"/>
      <w:jc w:val="center"/>
      <w:textAlignment w:val="center"/>
    </w:pPr>
    <w:rPr>
      <w:color w:val="FFFFFF"/>
      <w:sz w:val="20"/>
      <w:szCs w:val="20"/>
      <w:lang w:val="es-MX" w:eastAsia="es-MX"/>
    </w:rPr>
  </w:style>
  <w:style w:type="paragraph" w:customStyle="1" w:styleId="xl220">
    <w:name w:val="xl220"/>
    <w:basedOn w:val="Normal"/>
    <w:rsid w:val="0014509F"/>
    <w:pPr>
      <w:shd w:val="clear" w:color="000000" w:fill="2FB39F"/>
      <w:spacing w:before="100" w:beforeAutospacing="1" w:after="100" w:afterAutospacing="1"/>
      <w:jc w:val="center"/>
      <w:textAlignment w:val="center"/>
    </w:pPr>
    <w:rPr>
      <w:color w:val="FFFFFF"/>
      <w:sz w:val="20"/>
      <w:szCs w:val="20"/>
      <w:lang w:val="es-MX" w:eastAsia="es-MX"/>
    </w:rPr>
  </w:style>
  <w:style w:type="paragraph" w:customStyle="1" w:styleId="xl221">
    <w:name w:val="xl221"/>
    <w:basedOn w:val="Normal"/>
    <w:rsid w:val="0014509F"/>
    <w:pPr>
      <w:shd w:val="clear" w:color="000000" w:fill="2FB39F"/>
      <w:spacing w:before="100" w:beforeAutospacing="1" w:after="100" w:afterAutospacing="1"/>
      <w:textAlignment w:val="center"/>
    </w:pPr>
    <w:rPr>
      <w:color w:val="FFFFFF"/>
      <w:sz w:val="20"/>
      <w:szCs w:val="20"/>
      <w:lang w:val="es-MX" w:eastAsia="es-MX"/>
    </w:rPr>
  </w:style>
  <w:style w:type="paragraph" w:customStyle="1" w:styleId="xl222">
    <w:name w:val="xl222"/>
    <w:basedOn w:val="Normal"/>
    <w:rsid w:val="0014509F"/>
    <w:pPr>
      <w:shd w:val="clear" w:color="000000" w:fill="2F75B5"/>
      <w:spacing w:before="100" w:beforeAutospacing="1" w:after="100" w:afterAutospacing="1"/>
      <w:textAlignment w:val="center"/>
    </w:pPr>
    <w:rPr>
      <w:color w:val="FFFFFF"/>
      <w:sz w:val="20"/>
      <w:szCs w:val="20"/>
      <w:lang w:val="es-MX" w:eastAsia="es-MX"/>
    </w:rPr>
  </w:style>
  <w:style w:type="paragraph" w:customStyle="1" w:styleId="xl223">
    <w:name w:val="xl223"/>
    <w:basedOn w:val="Normal"/>
    <w:rsid w:val="0014509F"/>
    <w:pPr>
      <w:shd w:val="clear" w:color="000000" w:fill="2FB39F"/>
      <w:spacing w:before="100" w:beforeAutospacing="1" w:after="100" w:afterAutospacing="1"/>
      <w:textAlignment w:val="center"/>
    </w:pPr>
    <w:rPr>
      <w:color w:val="FFFFFF"/>
      <w:sz w:val="20"/>
      <w:szCs w:val="20"/>
      <w:lang w:val="es-MX" w:eastAsia="es-MX"/>
    </w:rPr>
  </w:style>
  <w:style w:type="paragraph" w:customStyle="1" w:styleId="xl224">
    <w:name w:val="xl224"/>
    <w:basedOn w:val="Normal"/>
    <w:rsid w:val="0014509F"/>
    <w:pPr>
      <w:pBdr>
        <w:bottom w:val="single" w:sz="8" w:space="0" w:color="FFFFFF"/>
      </w:pBdr>
      <w:shd w:val="clear" w:color="000000" w:fill="2FB39F"/>
      <w:spacing w:before="100" w:beforeAutospacing="1" w:after="100" w:afterAutospacing="1"/>
      <w:jc w:val="center"/>
      <w:textAlignment w:val="center"/>
    </w:pPr>
    <w:rPr>
      <w:color w:val="FFFFFF"/>
      <w:sz w:val="20"/>
      <w:szCs w:val="20"/>
      <w:lang w:val="es-MX" w:eastAsia="es-MX"/>
    </w:rPr>
  </w:style>
  <w:style w:type="paragraph" w:customStyle="1" w:styleId="xl225">
    <w:name w:val="xl225"/>
    <w:basedOn w:val="Normal"/>
    <w:rsid w:val="0014509F"/>
    <w:pPr>
      <w:pBdr>
        <w:bottom w:val="single" w:sz="8" w:space="0" w:color="FFFFFF"/>
      </w:pBdr>
      <w:shd w:val="clear" w:color="000000" w:fill="2FB39F"/>
      <w:spacing w:before="100" w:beforeAutospacing="1" w:after="100" w:afterAutospacing="1"/>
      <w:textAlignment w:val="center"/>
    </w:pPr>
    <w:rPr>
      <w:color w:val="FFFFFF"/>
      <w:sz w:val="20"/>
      <w:szCs w:val="20"/>
      <w:lang w:val="es-MX" w:eastAsia="es-MX"/>
    </w:rPr>
  </w:style>
  <w:style w:type="paragraph" w:customStyle="1" w:styleId="xl226">
    <w:name w:val="xl226"/>
    <w:basedOn w:val="Normal"/>
    <w:rsid w:val="0014509F"/>
    <w:pPr>
      <w:pBdr>
        <w:bottom w:val="single" w:sz="8" w:space="0" w:color="FFFFFF"/>
      </w:pBdr>
      <w:shd w:val="clear" w:color="000000" w:fill="2FB39F"/>
      <w:spacing w:before="100" w:beforeAutospacing="1" w:after="100" w:afterAutospacing="1"/>
      <w:jc w:val="center"/>
      <w:textAlignment w:val="center"/>
    </w:pPr>
    <w:rPr>
      <w:color w:val="FFFFFF"/>
      <w:sz w:val="20"/>
      <w:szCs w:val="20"/>
      <w:lang w:val="es-MX" w:eastAsia="es-MX"/>
    </w:rPr>
  </w:style>
  <w:style w:type="paragraph" w:customStyle="1" w:styleId="xl227">
    <w:name w:val="xl227"/>
    <w:basedOn w:val="Normal"/>
    <w:rsid w:val="0014509F"/>
    <w:pPr>
      <w:pBdr>
        <w:bottom w:val="single" w:sz="8" w:space="0" w:color="FFFFFF"/>
      </w:pBdr>
      <w:shd w:val="clear" w:color="000000" w:fill="2FB39F"/>
      <w:spacing w:before="100" w:beforeAutospacing="1" w:after="100" w:afterAutospacing="1"/>
      <w:jc w:val="center"/>
      <w:textAlignment w:val="center"/>
    </w:pPr>
    <w:rPr>
      <w:color w:val="FFFFFF"/>
      <w:sz w:val="20"/>
      <w:szCs w:val="20"/>
      <w:lang w:val="es-MX" w:eastAsia="es-MX"/>
    </w:rPr>
  </w:style>
  <w:style w:type="paragraph" w:customStyle="1" w:styleId="xl228">
    <w:name w:val="xl228"/>
    <w:basedOn w:val="Normal"/>
    <w:rsid w:val="0014509F"/>
    <w:pPr>
      <w:pBdr>
        <w:bottom w:val="single" w:sz="8" w:space="0" w:color="FFFFFF"/>
      </w:pBdr>
      <w:shd w:val="clear" w:color="000000" w:fill="2FB39F"/>
      <w:spacing w:before="100" w:beforeAutospacing="1" w:after="100" w:afterAutospacing="1"/>
      <w:jc w:val="center"/>
      <w:textAlignment w:val="center"/>
    </w:pPr>
    <w:rPr>
      <w:color w:val="FFFFFF"/>
      <w:sz w:val="20"/>
      <w:szCs w:val="20"/>
      <w:lang w:val="es-MX" w:eastAsia="es-MX"/>
    </w:rPr>
  </w:style>
  <w:style w:type="paragraph" w:customStyle="1" w:styleId="xl229">
    <w:name w:val="xl229"/>
    <w:basedOn w:val="Normal"/>
    <w:rsid w:val="0014509F"/>
    <w:pPr>
      <w:pBdr>
        <w:bottom w:val="single" w:sz="8" w:space="0" w:color="FFFFFF"/>
      </w:pBdr>
      <w:shd w:val="clear" w:color="000000" w:fill="2FB39F"/>
      <w:spacing w:before="100" w:beforeAutospacing="1" w:after="100" w:afterAutospacing="1"/>
      <w:textAlignment w:val="center"/>
    </w:pPr>
    <w:rPr>
      <w:color w:val="FFFFFF"/>
      <w:sz w:val="20"/>
      <w:szCs w:val="20"/>
      <w:lang w:val="es-MX" w:eastAsia="es-MX"/>
    </w:rPr>
  </w:style>
  <w:style w:type="paragraph" w:customStyle="1" w:styleId="xl230">
    <w:name w:val="xl230"/>
    <w:basedOn w:val="Normal"/>
    <w:rsid w:val="0014509F"/>
    <w:pPr>
      <w:shd w:val="clear" w:color="000000" w:fill="663300"/>
      <w:spacing w:before="100" w:beforeAutospacing="1" w:after="100" w:afterAutospacing="1"/>
      <w:textAlignment w:val="center"/>
    </w:pPr>
    <w:rPr>
      <w:color w:val="FFFFFF"/>
      <w:sz w:val="20"/>
      <w:szCs w:val="20"/>
      <w:lang w:val="es-MX" w:eastAsia="es-MX"/>
    </w:rPr>
  </w:style>
  <w:style w:type="paragraph" w:customStyle="1" w:styleId="xl231">
    <w:name w:val="xl231"/>
    <w:basedOn w:val="Normal"/>
    <w:rsid w:val="0014509F"/>
    <w:pPr>
      <w:shd w:val="clear" w:color="000000" w:fill="2FB39F"/>
      <w:spacing w:before="100" w:beforeAutospacing="1" w:after="100" w:afterAutospacing="1"/>
      <w:textAlignment w:val="center"/>
    </w:pPr>
    <w:rPr>
      <w:color w:val="FFFFFF"/>
      <w:sz w:val="20"/>
      <w:szCs w:val="20"/>
      <w:lang w:val="es-MX" w:eastAsia="es-MX"/>
    </w:rPr>
  </w:style>
  <w:style w:type="paragraph" w:customStyle="1" w:styleId="xl232">
    <w:name w:val="xl232"/>
    <w:basedOn w:val="Normal"/>
    <w:rsid w:val="0014509F"/>
    <w:pPr>
      <w:shd w:val="clear" w:color="000000" w:fill="FF0000"/>
      <w:spacing w:before="100" w:beforeAutospacing="1" w:after="100" w:afterAutospacing="1"/>
      <w:textAlignment w:val="center"/>
    </w:pPr>
    <w:rPr>
      <w:color w:val="FFFFFF"/>
      <w:sz w:val="20"/>
      <w:szCs w:val="20"/>
      <w:lang w:val="es-MX" w:eastAsia="es-MX"/>
    </w:rPr>
  </w:style>
  <w:style w:type="paragraph" w:customStyle="1" w:styleId="xl233">
    <w:name w:val="xl233"/>
    <w:basedOn w:val="Normal"/>
    <w:rsid w:val="0014509F"/>
    <w:pPr>
      <w:shd w:val="clear" w:color="000000" w:fill="70AD47"/>
      <w:spacing w:before="100" w:beforeAutospacing="1" w:after="100" w:afterAutospacing="1"/>
      <w:textAlignment w:val="center"/>
    </w:pPr>
    <w:rPr>
      <w:color w:val="FFFFFF"/>
      <w:sz w:val="20"/>
      <w:szCs w:val="20"/>
      <w:lang w:val="es-MX" w:eastAsia="es-MX"/>
    </w:rPr>
  </w:style>
  <w:style w:type="paragraph" w:customStyle="1" w:styleId="xl234">
    <w:name w:val="xl234"/>
    <w:basedOn w:val="Normal"/>
    <w:rsid w:val="0014509F"/>
    <w:pPr>
      <w:shd w:val="clear" w:color="000000" w:fill="2FB39F"/>
      <w:spacing w:before="100" w:beforeAutospacing="1" w:after="100" w:afterAutospacing="1"/>
      <w:textAlignment w:val="center"/>
    </w:pPr>
    <w:rPr>
      <w:color w:val="FFFFFF"/>
      <w:sz w:val="20"/>
      <w:szCs w:val="20"/>
      <w:lang w:val="es-MX" w:eastAsia="es-MX"/>
    </w:rPr>
  </w:style>
  <w:style w:type="paragraph" w:customStyle="1" w:styleId="xl235">
    <w:name w:val="xl235"/>
    <w:basedOn w:val="Normal"/>
    <w:rsid w:val="0014509F"/>
    <w:pPr>
      <w:shd w:val="clear" w:color="000000" w:fill="70AD47"/>
      <w:spacing w:before="100" w:beforeAutospacing="1" w:after="100" w:afterAutospacing="1"/>
      <w:jc w:val="center"/>
      <w:textAlignment w:val="center"/>
    </w:pPr>
    <w:rPr>
      <w:color w:val="FFFFFF"/>
      <w:sz w:val="20"/>
      <w:szCs w:val="20"/>
      <w:lang w:val="es-MX" w:eastAsia="es-MX"/>
    </w:rPr>
  </w:style>
  <w:style w:type="paragraph" w:customStyle="1" w:styleId="xl236">
    <w:name w:val="xl236"/>
    <w:basedOn w:val="Normal"/>
    <w:rsid w:val="0014509F"/>
    <w:pPr>
      <w:shd w:val="clear" w:color="000000" w:fill="70AD47"/>
      <w:spacing w:before="100" w:beforeAutospacing="1" w:after="100" w:afterAutospacing="1"/>
      <w:jc w:val="center"/>
      <w:textAlignment w:val="center"/>
    </w:pPr>
    <w:rPr>
      <w:color w:val="FFFFFF"/>
      <w:sz w:val="20"/>
      <w:szCs w:val="20"/>
      <w:lang w:val="es-MX" w:eastAsia="es-MX"/>
    </w:rPr>
  </w:style>
  <w:style w:type="paragraph" w:customStyle="1" w:styleId="xl237">
    <w:name w:val="xl237"/>
    <w:basedOn w:val="Normal"/>
    <w:rsid w:val="0014509F"/>
    <w:pPr>
      <w:shd w:val="clear" w:color="000000" w:fill="70AD47"/>
      <w:spacing w:before="100" w:beforeAutospacing="1" w:after="100" w:afterAutospacing="1"/>
      <w:jc w:val="center"/>
      <w:textAlignment w:val="center"/>
    </w:pPr>
    <w:rPr>
      <w:color w:val="FFFFFF"/>
      <w:sz w:val="20"/>
      <w:szCs w:val="20"/>
      <w:lang w:val="es-MX" w:eastAsia="es-MX"/>
    </w:rPr>
  </w:style>
  <w:style w:type="paragraph" w:customStyle="1" w:styleId="xl238">
    <w:name w:val="xl238"/>
    <w:basedOn w:val="Normal"/>
    <w:rsid w:val="0014509F"/>
    <w:pPr>
      <w:shd w:val="clear" w:color="000000" w:fill="70AD47"/>
      <w:spacing w:before="100" w:beforeAutospacing="1" w:after="100" w:afterAutospacing="1"/>
      <w:textAlignment w:val="center"/>
    </w:pPr>
    <w:rPr>
      <w:color w:val="FFFFFF"/>
      <w:sz w:val="20"/>
      <w:szCs w:val="20"/>
      <w:lang w:val="es-MX" w:eastAsia="es-MX"/>
    </w:rPr>
  </w:style>
  <w:style w:type="paragraph" w:customStyle="1" w:styleId="xl239">
    <w:name w:val="xl239"/>
    <w:basedOn w:val="Normal"/>
    <w:rsid w:val="0014509F"/>
    <w:pPr>
      <w:shd w:val="clear" w:color="000000" w:fill="70AD47"/>
      <w:spacing w:before="100" w:beforeAutospacing="1" w:after="100" w:afterAutospacing="1"/>
      <w:jc w:val="center"/>
      <w:textAlignment w:val="center"/>
    </w:pPr>
    <w:rPr>
      <w:color w:val="FFFFFF"/>
      <w:sz w:val="20"/>
      <w:szCs w:val="20"/>
      <w:lang w:val="es-MX" w:eastAsia="es-MX"/>
    </w:rPr>
  </w:style>
  <w:style w:type="paragraph" w:customStyle="1" w:styleId="xl240">
    <w:name w:val="xl240"/>
    <w:basedOn w:val="Normal"/>
    <w:rsid w:val="0014509F"/>
    <w:pPr>
      <w:shd w:val="clear" w:color="000000" w:fill="2FB39F"/>
      <w:spacing w:before="100" w:beforeAutospacing="1" w:after="100" w:afterAutospacing="1"/>
      <w:textAlignment w:val="center"/>
    </w:pPr>
    <w:rPr>
      <w:color w:val="FFFFFF"/>
      <w:sz w:val="20"/>
      <w:szCs w:val="20"/>
      <w:lang w:val="es-MX" w:eastAsia="es-MX"/>
    </w:rPr>
  </w:style>
  <w:style w:type="paragraph" w:customStyle="1" w:styleId="xl241">
    <w:name w:val="xl241"/>
    <w:basedOn w:val="Normal"/>
    <w:rsid w:val="0014509F"/>
    <w:pPr>
      <w:shd w:val="clear" w:color="000000" w:fill="70AD47"/>
      <w:spacing w:before="100" w:beforeAutospacing="1" w:after="100" w:afterAutospacing="1"/>
      <w:textAlignment w:val="center"/>
    </w:pPr>
    <w:rPr>
      <w:color w:val="FFFFFF"/>
      <w:sz w:val="20"/>
      <w:szCs w:val="20"/>
      <w:lang w:val="es-MX" w:eastAsia="es-MX"/>
    </w:rPr>
  </w:style>
  <w:style w:type="paragraph" w:customStyle="1" w:styleId="xl242">
    <w:name w:val="xl242"/>
    <w:basedOn w:val="Normal"/>
    <w:rsid w:val="0014509F"/>
    <w:pPr>
      <w:shd w:val="clear" w:color="000000" w:fill="70AD47"/>
      <w:spacing w:before="100" w:beforeAutospacing="1" w:after="100" w:afterAutospacing="1"/>
      <w:jc w:val="center"/>
      <w:textAlignment w:val="center"/>
    </w:pPr>
    <w:rPr>
      <w:color w:val="FFFFFF"/>
      <w:sz w:val="20"/>
      <w:szCs w:val="20"/>
      <w:lang w:val="es-MX" w:eastAsia="es-MX"/>
    </w:rPr>
  </w:style>
  <w:style w:type="paragraph" w:customStyle="1" w:styleId="xl243">
    <w:name w:val="xl243"/>
    <w:basedOn w:val="Normal"/>
    <w:rsid w:val="0014509F"/>
    <w:pPr>
      <w:shd w:val="clear" w:color="000000" w:fill="70AD47"/>
      <w:spacing w:before="100" w:beforeAutospacing="1" w:after="100" w:afterAutospacing="1"/>
      <w:textAlignment w:val="center"/>
    </w:pPr>
    <w:rPr>
      <w:color w:val="FFFFFF"/>
      <w:sz w:val="20"/>
      <w:szCs w:val="20"/>
      <w:lang w:val="es-MX" w:eastAsia="es-MX"/>
    </w:rPr>
  </w:style>
  <w:style w:type="paragraph" w:customStyle="1" w:styleId="xl244">
    <w:name w:val="xl244"/>
    <w:basedOn w:val="Normal"/>
    <w:rsid w:val="0014509F"/>
    <w:pPr>
      <w:shd w:val="clear" w:color="000000" w:fill="2FB39F"/>
      <w:spacing w:before="100" w:beforeAutospacing="1" w:after="100" w:afterAutospacing="1"/>
      <w:textAlignment w:val="center"/>
    </w:pPr>
    <w:rPr>
      <w:color w:val="FFFFFF"/>
      <w:sz w:val="20"/>
      <w:szCs w:val="20"/>
      <w:lang w:val="es-MX" w:eastAsia="es-MX"/>
    </w:rPr>
  </w:style>
  <w:style w:type="paragraph" w:customStyle="1" w:styleId="xl245">
    <w:name w:val="xl245"/>
    <w:basedOn w:val="Normal"/>
    <w:rsid w:val="0014509F"/>
    <w:pPr>
      <w:pBdr>
        <w:bottom w:val="single" w:sz="8" w:space="0" w:color="FFFFFF"/>
      </w:pBdr>
      <w:shd w:val="clear" w:color="000000" w:fill="2FB39F"/>
      <w:spacing w:before="100" w:beforeAutospacing="1" w:after="100" w:afterAutospacing="1"/>
      <w:textAlignment w:val="center"/>
    </w:pPr>
    <w:rPr>
      <w:color w:val="FFFFFF"/>
      <w:sz w:val="20"/>
      <w:szCs w:val="20"/>
      <w:lang w:val="es-MX" w:eastAsia="es-MX"/>
    </w:rPr>
  </w:style>
  <w:style w:type="paragraph" w:customStyle="1" w:styleId="xl246">
    <w:name w:val="xl246"/>
    <w:basedOn w:val="Normal"/>
    <w:rsid w:val="0014509F"/>
    <w:pPr>
      <w:shd w:val="clear" w:color="000000" w:fill="6DA3C2"/>
      <w:spacing w:before="100" w:beforeAutospacing="1" w:after="100" w:afterAutospacing="1"/>
      <w:jc w:val="center"/>
      <w:textAlignment w:val="center"/>
    </w:pPr>
    <w:rPr>
      <w:color w:val="FFFFFF"/>
      <w:sz w:val="20"/>
      <w:szCs w:val="20"/>
      <w:lang w:val="es-MX" w:eastAsia="es-MX"/>
    </w:rPr>
  </w:style>
  <w:style w:type="paragraph" w:customStyle="1" w:styleId="xl247">
    <w:name w:val="xl247"/>
    <w:basedOn w:val="Normal"/>
    <w:rsid w:val="0014509F"/>
    <w:pPr>
      <w:shd w:val="clear" w:color="000000" w:fill="6DA3C2"/>
      <w:spacing w:before="100" w:beforeAutospacing="1" w:after="100" w:afterAutospacing="1"/>
      <w:textAlignment w:val="center"/>
    </w:pPr>
    <w:rPr>
      <w:color w:val="FFFFFF"/>
      <w:sz w:val="20"/>
      <w:szCs w:val="20"/>
      <w:lang w:val="es-MX" w:eastAsia="es-MX"/>
    </w:rPr>
  </w:style>
  <w:style w:type="paragraph" w:customStyle="1" w:styleId="xl248">
    <w:name w:val="xl248"/>
    <w:basedOn w:val="Normal"/>
    <w:rsid w:val="0014509F"/>
    <w:pPr>
      <w:shd w:val="clear" w:color="000000" w:fill="6DA3C2"/>
      <w:spacing w:before="100" w:beforeAutospacing="1" w:after="100" w:afterAutospacing="1"/>
      <w:jc w:val="center"/>
      <w:textAlignment w:val="center"/>
    </w:pPr>
    <w:rPr>
      <w:color w:val="FFFFFF"/>
      <w:sz w:val="20"/>
      <w:szCs w:val="20"/>
      <w:lang w:val="es-MX" w:eastAsia="es-MX"/>
    </w:rPr>
  </w:style>
  <w:style w:type="paragraph" w:customStyle="1" w:styleId="xl249">
    <w:name w:val="xl249"/>
    <w:basedOn w:val="Normal"/>
    <w:rsid w:val="0014509F"/>
    <w:pPr>
      <w:shd w:val="clear" w:color="000000" w:fill="6DA3C2"/>
      <w:spacing w:before="100" w:beforeAutospacing="1" w:after="100" w:afterAutospacing="1"/>
      <w:jc w:val="center"/>
      <w:textAlignment w:val="center"/>
    </w:pPr>
    <w:rPr>
      <w:color w:val="FFFFFF"/>
      <w:sz w:val="20"/>
      <w:szCs w:val="20"/>
      <w:lang w:val="es-MX" w:eastAsia="es-MX"/>
    </w:rPr>
  </w:style>
  <w:style w:type="paragraph" w:customStyle="1" w:styleId="xl250">
    <w:name w:val="xl250"/>
    <w:basedOn w:val="Normal"/>
    <w:rsid w:val="0014509F"/>
    <w:pPr>
      <w:shd w:val="clear" w:color="000000" w:fill="6DA3C2"/>
      <w:spacing w:before="100" w:beforeAutospacing="1" w:after="100" w:afterAutospacing="1"/>
      <w:jc w:val="center"/>
      <w:textAlignment w:val="center"/>
    </w:pPr>
    <w:rPr>
      <w:color w:val="FFFFFF"/>
      <w:sz w:val="20"/>
      <w:szCs w:val="20"/>
      <w:lang w:val="es-MX" w:eastAsia="es-MX"/>
    </w:rPr>
  </w:style>
  <w:style w:type="paragraph" w:customStyle="1" w:styleId="xl251">
    <w:name w:val="xl251"/>
    <w:basedOn w:val="Normal"/>
    <w:rsid w:val="0014509F"/>
    <w:pPr>
      <w:shd w:val="clear" w:color="000000" w:fill="6DA3C2"/>
      <w:spacing w:before="100" w:beforeAutospacing="1" w:after="100" w:afterAutospacing="1"/>
      <w:textAlignment w:val="center"/>
    </w:pPr>
    <w:rPr>
      <w:color w:val="FFFFFF"/>
      <w:sz w:val="20"/>
      <w:szCs w:val="20"/>
      <w:lang w:val="es-MX" w:eastAsia="es-MX"/>
    </w:rPr>
  </w:style>
  <w:style w:type="paragraph" w:customStyle="1" w:styleId="xl252">
    <w:name w:val="xl252"/>
    <w:basedOn w:val="Normal"/>
    <w:rsid w:val="0014509F"/>
    <w:pPr>
      <w:shd w:val="clear" w:color="000000" w:fill="6DA3C2"/>
      <w:spacing w:before="100" w:beforeAutospacing="1" w:after="100" w:afterAutospacing="1"/>
      <w:jc w:val="center"/>
      <w:textAlignment w:val="center"/>
    </w:pPr>
    <w:rPr>
      <w:color w:val="FFFFFF"/>
      <w:sz w:val="20"/>
      <w:szCs w:val="20"/>
      <w:lang w:val="es-MX" w:eastAsia="es-MX"/>
    </w:rPr>
  </w:style>
  <w:style w:type="paragraph" w:customStyle="1" w:styleId="xl253">
    <w:name w:val="xl253"/>
    <w:basedOn w:val="Normal"/>
    <w:rsid w:val="0014509F"/>
    <w:pPr>
      <w:shd w:val="clear" w:color="000000" w:fill="6DA3C2"/>
      <w:spacing w:before="100" w:beforeAutospacing="1" w:after="100" w:afterAutospacing="1"/>
      <w:jc w:val="center"/>
      <w:textAlignment w:val="center"/>
    </w:pPr>
    <w:rPr>
      <w:color w:val="FFFFFF"/>
      <w:sz w:val="20"/>
      <w:szCs w:val="20"/>
      <w:lang w:val="es-MX" w:eastAsia="es-MX"/>
    </w:rPr>
  </w:style>
  <w:style w:type="paragraph" w:customStyle="1" w:styleId="xl254">
    <w:name w:val="xl254"/>
    <w:basedOn w:val="Normal"/>
    <w:rsid w:val="0014509F"/>
    <w:pPr>
      <w:shd w:val="clear" w:color="000000" w:fill="6DA3C2"/>
      <w:spacing w:before="100" w:beforeAutospacing="1" w:after="100" w:afterAutospacing="1"/>
      <w:textAlignment w:val="center"/>
    </w:pPr>
    <w:rPr>
      <w:color w:val="FFFFFF"/>
      <w:sz w:val="20"/>
      <w:szCs w:val="20"/>
      <w:lang w:val="es-MX" w:eastAsia="es-MX"/>
    </w:rPr>
  </w:style>
  <w:style w:type="paragraph" w:customStyle="1" w:styleId="xl255">
    <w:name w:val="xl255"/>
    <w:basedOn w:val="Normal"/>
    <w:rsid w:val="0014509F"/>
    <w:pPr>
      <w:shd w:val="clear" w:color="000000" w:fill="ED7D31"/>
      <w:spacing w:before="100" w:beforeAutospacing="1" w:after="100" w:afterAutospacing="1"/>
      <w:jc w:val="center"/>
      <w:textAlignment w:val="center"/>
    </w:pPr>
    <w:rPr>
      <w:color w:val="FFFFFF"/>
      <w:sz w:val="20"/>
      <w:szCs w:val="20"/>
      <w:lang w:val="es-MX" w:eastAsia="es-MX"/>
    </w:rPr>
  </w:style>
  <w:style w:type="paragraph" w:customStyle="1" w:styleId="xl256">
    <w:name w:val="xl256"/>
    <w:basedOn w:val="Normal"/>
    <w:rsid w:val="0014509F"/>
    <w:pPr>
      <w:shd w:val="clear" w:color="000000" w:fill="6DA3C2"/>
      <w:spacing w:before="100" w:beforeAutospacing="1" w:after="100" w:afterAutospacing="1"/>
      <w:textAlignment w:val="center"/>
    </w:pPr>
    <w:rPr>
      <w:color w:val="FFFFFF"/>
      <w:sz w:val="20"/>
      <w:szCs w:val="20"/>
      <w:lang w:val="es-MX" w:eastAsia="es-MX"/>
    </w:rPr>
  </w:style>
  <w:style w:type="paragraph" w:customStyle="1" w:styleId="xl257">
    <w:name w:val="xl257"/>
    <w:basedOn w:val="Normal"/>
    <w:rsid w:val="0014509F"/>
    <w:pPr>
      <w:shd w:val="clear" w:color="000000" w:fill="6DA3C2"/>
      <w:spacing w:before="100" w:beforeAutospacing="1" w:after="100" w:afterAutospacing="1"/>
      <w:textAlignment w:val="center"/>
    </w:pPr>
    <w:rPr>
      <w:color w:val="FFFFFF"/>
      <w:sz w:val="20"/>
      <w:szCs w:val="20"/>
      <w:lang w:val="es-MX" w:eastAsia="es-MX"/>
    </w:rPr>
  </w:style>
  <w:style w:type="paragraph" w:customStyle="1" w:styleId="xl258">
    <w:name w:val="xl258"/>
    <w:basedOn w:val="Normal"/>
    <w:rsid w:val="0014509F"/>
    <w:pPr>
      <w:shd w:val="clear" w:color="000000" w:fill="6DA3C2"/>
      <w:spacing w:before="100" w:beforeAutospacing="1" w:after="100" w:afterAutospacing="1"/>
      <w:jc w:val="center"/>
      <w:textAlignment w:val="center"/>
    </w:pPr>
    <w:rPr>
      <w:color w:val="FFFFFF"/>
      <w:sz w:val="20"/>
      <w:szCs w:val="20"/>
      <w:lang w:val="es-MX" w:eastAsia="es-MX"/>
    </w:rPr>
  </w:style>
  <w:style w:type="paragraph" w:customStyle="1" w:styleId="xl259">
    <w:name w:val="xl259"/>
    <w:basedOn w:val="Normal"/>
    <w:rsid w:val="0014509F"/>
    <w:pPr>
      <w:shd w:val="clear" w:color="000000" w:fill="6DA3C2"/>
      <w:spacing w:before="100" w:beforeAutospacing="1" w:after="100" w:afterAutospacing="1"/>
      <w:textAlignment w:val="center"/>
    </w:pPr>
    <w:rPr>
      <w:color w:val="FFFFFF"/>
      <w:sz w:val="20"/>
      <w:szCs w:val="20"/>
      <w:lang w:val="es-MX" w:eastAsia="es-MX"/>
    </w:rPr>
  </w:style>
  <w:style w:type="paragraph" w:customStyle="1" w:styleId="xl260">
    <w:name w:val="xl260"/>
    <w:basedOn w:val="Normal"/>
    <w:rsid w:val="0014509F"/>
    <w:pPr>
      <w:shd w:val="clear" w:color="000000" w:fill="6DA3C2"/>
      <w:spacing w:before="100" w:beforeAutospacing="1" w:after="100" w:afterAutospacing="1"/>
      <w:textAlignment w:val="center"/>
    </w:pPr>
    <w:rPr>
      <w:color w:val="FFFFFF"/>
      <w:sz w:val="20"/>
      <w:szCs w:val="20"/>
      <w:lang w:val="es-MX" w:eastAsia="es-MX"/>
    </w:rPr>
  </w:style>
  <w:style w:type="paragraph" w:customStyle="1" w:styleId="xl261">
    <w:name w:val="xl261"/>
    <w:basedOn w:val="Normal"/>
    <w:rsid w:val="0014509F"/>
    <w:pPr>
      <w:pBdr>
        <w:bottom w:val="single" w:sz="8" w:space="0" w:color="FFFFFF"/>
      </w:pBdr>
      <w:shd w:val="clear" w:color="000000" w:fill="6DA3C2"/>
      <w:spacing w:before="100" w:beforeAutospacing="1" w:after="100" w:afterAutospacing="1"/>
      <w:jc w:val="center"/>
      <w:textAlignment w:val="center"/>
    </w:pPr>
    <w:rPr>
      <w:color w:val="FFFFFF"/>
      <w:sz w:val="20"/>
      <w:szCs w:val="20"/>
      <w:lang w:val="es-MX" w:eastAsia="es-MX"/>
    </w:rPr>
  </w:style>
  <w:style w:type="paragraph" w:customStyle="1" w:styleId="xl262">
    <w:name w:val="xl262"/>
    <w:basedOn w:val="Normal"/>
    <w:rsid w:val="0014509F"/>
    <w:pPr>
      <w:pBdr>
        <w:bottom w:val="single" w:sz="8" w:space="0" w:color="FFFFFF"/>
      </w:pBdr>
      <w:shd w:val="clear" w:color="000000" w:fill="6DA3C2"/>
      <w:spacing w:before="100" w:beforeAutospacing="1" w:after="100" w:afterAutospacing="1"/>
      <w:textAlignment w:val="center"/>
    </w:pPr>
    <w:rPr>
      <w:color w:val="FFFFFF"/>
      <w:sz w:val="20"/>
      <w:szCs w:val="20"/>
      <w:lang w:val="es-MX" w:eastAsia="es-MX"/>
    </w:rPr>
  </w:style>
  <w:style w:type="paragraph" w:customStyle="1" w:styleId="xl263">
    <w:name w:val="xl263"/>
    <w:basedOn w:val="Normal"/>
    <w:rsid w:val="0014509F"/>
    <w:pPr>
      <w:pBdr>
        <w:bottom w:val="single" w:sz="8" w:space="0" w:color="FFFFFF"/>
      </w:pBdr>
      <w:shd w:val="clear" w:color="000000" w:fill="6DA3C2"/>
      <w:spacing w:before="100" w:beforeAutospacing="1" w:after="100" w:afterAutospacing="1"/>
      <w:jc w:val="center"/>
      <w:textAlignment w:val="center"/>
    </w:pPr>
    <w:rPr>
      <w:color w:val="FFFFFF"/>
      <w:sz w:val="20"/>
      <w:szCs w:val="20"/>
      <w:lang w:val="es-MX" w:eastAsia="es-MX"/>
    </w:rPr>
  </w:style>
  <w:style w:type="paragraph" w:customStyle="1" w:styleId="xl264">
    <w:name w:val="xl264"/>
    <w:basedOn w:val="Normal"/>
    <w:rsid w:val="0014509F"/>
    <w:pPr>
      <w:pBdr>
        <w:bottom w:val="single" w:sz="8" w:space="0" w:color="FFFFFF"/>
      </w:pBdr>
      <w:shd w:val="clear" w:color="000000" w:fill="6DA3C2"/>
      <w:spacing w:before="100" w:beforeAutospacing="1" w:after="100" w:afterAutospacing="1"/>
      <w:jc w:val="center"/>
      <w:textAlignment w:val="center"/>
    </w:pPr>
    <w:rPr>
      <w:color w:val="FFFFFF"/>
      <w:sz w:val="20"/>
      <w:szCs w:val="20"/>
      <w:lang w:val="es-MX" w:eastAsia="es-MX"/>
    </w:rPr>
  </w:style>
  <w:style w:type="paragraph" w:customStyle="1" w:styleId="xl265">
    <w:name w:val="xl265"/>
    <w:basedOn w:val="Normal"/>
    <w:rsid w:val="0014509F"/>
    <w:pPr>
      <w:pBdr>
        <w:bottom w:val="single" w:sz="8" w:space="0" w:color="FFFFFF"/>
      </w:pBdr>
      <w:shd w:val="clear" w:color="000000" w:fill="6DA3C2"/>
      <w:spacing w:before="100" w:beforeAutospacing="1" w:after="100" w:afterAutospacing="1"/>
      <w:jc w:val="center"/>
      <w:textAlignment w:val="center"/>
    </w:pPr>
    <w:rPr>
      <w:color w:val="FFFFFF"/>
      <w:sz w:val="20"/>
      <w:szCs w:val="20"/>
      <w:lang w:val="es-MX" w:eastAsia="es-MX"/>
    </w:rPr>
  </w:style>
  <w:style w:type="paragraph" w:customStyle="1" w:styleId="xl266">
    <w:name w:val="xl266"/>
    <w:basedOn w:val="Normal"/>
    <w:rsid w:val="0014509F"/>
    <w:pPr>
      <w:pBdr>
        <w:bottom w:val="single" w:sz="8" w:space="0" w:color="FFFFFF"/>
      </w:pBdr>
      <w:shd w:val="clear" w:color="000000" w:fill="6DA3C2"/>
      <w:spacing w:before="100" w:beforeAutospacing="1" w:after="100" w:afterAutospacing="1"/>
      <w:textAlignment w:val="center"/>
    </w:pPr>
    <w:rPr>
      <w:color w:val="FFFFFF"/>
      <w:sz w:val="20"/>
      <w:szCs w:val="20"/>
      <w:lang w:val="es-MX" w:eastAsia="es-MX"/>
    </w:rPr>
  </w:style>
  <w:style w:type="paragraph" w:customStyle="1" w:styleId="xl267">
    <w:name w:val="xl267"/>
    <w:basedOn w:val="Normal"/>
    <w:rsid w:val="0014509F"/>
    <w:pPr>
      <w:shd w:val="clear" w:color="000000" w:fill="6DA3C2"/>
      <w:spacing w:before="100" w:beforeAutospacing="1" w:after="100" w:afterAutospacing="1"/>
      <w:textAlignment w:val="center"/>
    </w:pPr>
    <w:rPr>
      <w:color w:val="FFFFFF"/>
      <w:sz w:val="20"/>
      <w:szCs w:val="20"/>
      <w:lang w:val="es-MX" w:eastAsia="es-MX"/>
    </w:rPr>
  </w:style>
  <w:style w:type="paragraph" w:customStyle="1" w:styleId="xl268">
    <w:name w:val="xl268"/>
    <w:basedOn w:val="Normal"/>
    <w:rsid w:val="0014509F"/>
    <w:pPr>
      <w:shd w:val="clear" w:color="000000" w:fill="6DA3C2"/>
      <w:spacing w:before="100" w:beforeAutospacing="1" w:after="100" w:afterAutospacing="1"/>
      <w:jc w:val="center"/>
      <w:textAlignment w:val="center"/>
    </w:pPr>
    <w:rPr>
      <w:color w:val="FFFFFF"/>
      <w:sz w:val="20"/>
      <w:szCs w:val="20"/>
      <w:lang w:val="es-MX" w:eastAsia="es-MX"/>
    </w:rPr>
  </w:style>
  <w:style w:type="paragraph" w:customStyle="1" w:styleId="xl269">
    <w:name w:val="xl269"/>
    <w:basedOn w:val="Normal"/>
    <w:rsid w:val="0014509F"/>
    <w:pPr>
      <w:shd w:val="clear" w:color="000000" w:fill="6DA3C2"/>
      <w:spacing w:before="100" w:beforeAutospacing="1" w:after="100" w:afterAutospacing="1"/>
      <w:textAlignment w:val="center"/>
    </w:pPr>
    <w:rPr>
      <w:color w:val="FFFFFF"/>
      <w:sz w:val="20"/>
      <w:szCs w:val="20"/>
      <w:lang w:val="es-MX" w:eastAsia="es-MX"/>
    </w:rPr>
  </w:style>
  <w:style w:type="paragraph" w:customStyle="1" w:styleId="xl270">
    <w:name w:val="xl270"/>
    <w:basedOn w:val="Normal"/>
    <w:rsid w:val="0014509F"/>
    <w:pPr>
      <w:pBdr>
        <w:left w:val="single" w:sz="4" w:space="0" w:color="FFFFFF"/>
        <w:right w:val="single" w:sz="8" w:space="0" w:color="FFFFFF"/>
      </w:pBdr>
      <w:shd w:val="clear" w:color="000000" w:fill="6DA3C2"/>
      <w:spacing w:before="100" w:beforeAutospacing="1" w:after="100" w:afterAutospacing="1"/>
    </w:pPr>
    <w:rPr>
      <w:rFonts w:ascii="Aharoni" w:hAnsi="Aharoni" w:cs="Aharoni"/>
      <w:b/>
      <w:bCs/>
      <w:color w:val="FFFFFF"/>
      <w:sz w:val="32"/>
      <w:szCs w:val="32"/>
      <w:lang w:val="es-MX" w:eastAsia="es-MX"/>
    </w:rPr>
  </w:style>
  <w:style w:type="paragraph" w:customStyle="1" w:styleId="xl271">
    <w:name w:val="xl271"/>
    <w:basedOn w:val="Normal"/>
    <w:rsid w:val="0014509F"/>
    <w:pPr>
      <w:pBdr>
        <w:left w:val="single" w:sz="8" w:space="0" w:color="FFFFFF"/>
      </w:pBdr>
      <w:shd w:val="clear" w:color="000000" w:fill="6DA3C2"/>
      <w:spacing w:before="100" w:beforeAutospacing="1" w:after="100" w:afterAutospacing="1"/>
    </w:pPr>
    <w:rPr>
      <w:rFonts w:ascii="Aharoni" w:hAnsi="Aharoni" w:cs="Aharoni"/>
      <w:b/>
      <w:bCs/>
      <w:color w:val="FFFFFF"/>
      <w:sz w:val="32"/>
      <w:szCs w:val="32"/>
      <w:lang w:val="es-MX" w:eastAsia="es-MX"/>
    </w:rPr>
  </w:style>
  <w:style w:type="paragraph" w:customStyle="1" w:styleId="xl272">
    <w:name w:val="xl272"/>
    <w:basedOn w:val="Normal"/>
    <w:rsid w:val="0014509F"/>
    <w:pPr>
      <w:pBdr>
        <w:left w:val="single" w:sz="8" w:space="0" w:color="FFFFFF"/>
        <w:bottom w:val="single" w:sz="8" w:space="0" w:color="FFFFFF"/>
      </w:pBdr>
      <w:shd w:val="clear" w:color="000000" w:fill="6DA3C2"/>
      <w:spacing w:before="100" w:beforeAutospacing="1" w:after="100" w:afterAutospacing="1"/>
    </w:pPr>
    <w:rPr>
      <w:rFonts w:ascii="Aharoni" w:hAnsi="Aharoni" w:cs="Aharoni"/>
      <w:b/>
      <w:bCs/>
      <w:color w:val="FFFFFF"/>
      <w:sz w:val="32"/>
      <w:szCs w:val="32"/>
      <w:lang w:val="es-MX" w:eastAsia="es-MX"/>
    </w:rPr>
  </w:style>
  <w:style w:type="paragraph" w:customStyle="1" w:styleId="xl273">
    <w:name w:val="xl273"/>
    <w:basedOn w:val="Normal"/>
    <w:rsid w:val="0014509F"/>
    <w:pPr>
      <w:pBdr>
        <w:bottom w:val="single" w:sz="8" w:space="0" w:color="FFFFFF"/>
      </w:pBdr>
      <w:shd w:val="clear" w:color="000000" w:fill="6DA3C2"/>
      <w:spacing w:before="100" w:beforeAutospacing="1" w:after="100" w:afterAutospacing="1"/>
      <w:textAlignment w:val="center"/>
    </w:pPr>
    <w:rPr>
      <w:color w:val="FFFFFF"/>
      <w:sz w:val="20"/>
      <w:szCs w:val="20"/>
      <w:lang w:val="es-MX" w:eastAsia="es-MX"/>
    </w:rPr>
  </w:style>
  <w:style w:type="paragraph" w:customStyle="1" w:styleId="xl274">
    <w:name w:val="xl274"/>
    <w:basedOn w:val="Normal"/>
    <w:rsid w:val="0014509F"/>
    <w:pPr>
      <w:pBdr>
        <w:bottom w:val="single" w:sz="8" w:space="0" w:color="FFFFFF"/>
      </w:pBdr>
      <w:shd w:val="clear" w:color="000000" w:fill="6DA3C2"/>
      <w:spacing w:before="100" w:beforeAutospacing="1" w:after="100" w:afterAutospacing="1"/>
      <w:textAlignment w:val="center"/>
    </w:pPr>
    <w:rPr>
      <w:color w:val="FFFFFF"/>
      <w:sz w:val="20"/>
      <w:szCs w:val="20"/>
      <w:lang w:val="es-MX" w:eastAsia="es-MX"/>
    </w:rPr>
  </w:style>
  <w:style w:type="paragraph" w:customStyle="1" w:styleId="xl275">
    <w:name w:val="xl275"/>
    <w:basedOn w:val="Normal"/>
    <w:rsid w:val="0014509F"/>
    <w:pPr>
      <w:pBdr>
        <w:bottom w:val="single" w:sz="8" w:space="0" w:color="FFFFFF"/>
      </w:pBdr>
      <w:shd w:val="clear" w:color="000000" w:fill="6DA3C2"/>
      <w:spacing w:before="100" w:beforeAutospacing="1" w:after="100" w:afterAutospacing="1"/>
      <w:jc w:val="center"/>
      <w:textAlignment w:val="center"/>
    </w:pPr>
    <w:rPr>
      <w:color w:val="FFFFFF"/>
      <w:sz w:val="20"/>
      <w:szCs w:val="20"/>
      <w:lang w:val="es-MX" w:eastAsia="es-MX"/>
    </w:rPr>
  </w:style>
  <w:style w:type="paragraph" w:customStyle="1" w:styleId="xl276">
    <w:name w:val="xl276"/>
    <w:basedOn w:val="Normal"/>
    <w:rsid w:val="0014509F"/>
    <w:pPr>
      <w:pBdr>
        <w:bottom w:val="single" w:sz="8" w:space="0" w:color="FFFFFF"/>
      </w:pBdr>
      <w:shd w:val="clear" w:color="000000" w:fill="6DA3C2"/>
      <w:spacing w:before="100" w:beforeAutospacing="1" w:after="100" w:afterAutospacing="1"/>
      <w:textAlignment w:val="center"/>
    </w:pPr>
    <w:rPr>
      <w:color w:val="FFFFFF"/>
      <w:sz w:val="20"/>
      <w:szCs w:val="20"/>
      <w:lang w:val="es-MX" w:eastAsia="es-MX"/>
    </w:rPr>
  </w:style>
  <w:style w:type="paragraph" w:customStyle="1" w:styleId="xl277">
    <w:name w:val="xl277"/>
    <w:basedOn w:val="Normal"/>
    <w:rsid w:val="0014509F"/>
    <w:pPr>
      <w:pBdr>
        <w:bottom w:val="single" w:sz="8" w:space="0" w:color="FFFFFF"/>
      </w:pBdr>
      <w:shd w:val="clear" w:color="000000" w:fill="6DA3C2"/>
      <w:spacing w:before="100" w:beforeAutospacing="1" w:after="100" w:afterAutospacing="1"/>
      <w:textAlignment w:val="center"/>
    </w:pPr>
    <w:rPr>
      <w:color w:val="FFFFFF"/>
      <w:sz w:val="20"/>
      <w:szCs w:val="20"/>
      <w:lang w:val="es-MX" w:eastAsia="es-MX"/>
    </w:rPr>
  </w:style>
  <w:style w:type="paragraph" w:customStyle="1" w:styleId="xl278">
    <w:name w:val="xl278"/>
    <w:basedOn w:val="Normal"/>
    <w:rsid w:val="0014509F"/>
    <w:pPr>
      <w:pBdr>
        <w:left w:val="single" w:sz="4" w:space="0" w:color="FFFFFF"/>
        <w:bottom w:val="single" w:sz="8" w:space="0" w:color="FFFFFF"/>
        <w:right w:val="single" w:sz="8" w:space="0" w:color="FFFFFF"/>
      </w:pBdr>
      <w:shd w:val="clear" w:color="000000" w:fill="6DA3C2"/>
      <w:spacing w:before="100" w:beforeAutospacing="1" w:after="100" w:afterAutospacing="1"/>
    </w:pPr>
    <w:rPr>
      <w:rFonts w:ascii="Aharoni" w:hAnsi="Aharoni" w:cs="Aharoni"/>
      <w:b/>
      <w:bCs/>
      <w:color w:val="FFFFFF"/>
      <w:sz w:val="32"/>
      <w:szCs w:val="32"/>
      <w:lang w:val="es-MX" w:eastAsia="es-MX"/>
    </w:rPr>
  </w:style>
  <w:style w:type="paragraph" w:customStyle="1" w:styleId="xl279">
    <w:name w:val="xl279"/>
    <w:basedOn w:val="Normal"/>
    <w:rsid w:val="0014509F"/>
    <w:pPr>
      <w:pBdr>
        <w:bottom w:val="single" w:sz="8" w:space="0" w:color="FFFFFF"/>
      </w:pBdr>
      <w:shd w:val="clear" w:color="000000" w:fill="6DA3C2"/>
      <w:spacing w:before="100" w:beforeAutospacing="1" w:after="100" w:afterAutospacing="1"/>
      <w:textAlignment w:val="center"/>
    </w:pPr>
    <w:rPr>
      <w:color w:val="FFFFFF"/>
      <w:sz w:val="20"/>
      <w:szCs w:val="20"/>
      <w:lang w:val="es-MX" w:eastAsia="es-MX"/>
    </w:rPr>
  </w:style>
  <w:style w:type="paragraph" w:customStyle="1" w:styleId="xl280">
    <w:name w:val="xl280"/>
    <w:basedOn w:val="Normal"/>
    <w:rsid w:val="0014509F"/>
    <w:pPr>
      <w:pBdr>
        <w:top w:val="single" w:sz="8" w:space="0" w:color="FFFFFF"/>
        <w:left w:val="single" w:sz="8" w:space="0" w:color="FFFFFF"/>
      </w:pBdr>
      <w:shd w:val="clear" w:color="000000" w:fill="6DA3C2"/>
      <w:spacing w:before="100" w:beforeAutospacing="1" w:after="100" w:afterAutospacing="1"/>
      <w:jc w:val="center"/>
    </w:pPr>
    <w:rPr>
      <w:rFonts w:ascii="Aharoni" w:hAnsi="Aharoni" w:cs="Aharoni"/>
      <w:b/>
      <w:bCs/>
      <w:color w:val="FFFFFF"/>
      <w:sz w:val="32"/>
      <w:szCs w:val="32"/>
      <w:lang w:val="es-MX" w:eastAsia="es-MX"/>
    </w:rPr>
  </w:style>
  <w:style w:type="paragraph" w:customStyle="1" w:styleId="xl281">
    <w:name w:val="xl281"/>
    <w:basedOn w:val="Normal"/>
    <w:rsid w:val="0014509F"/>
    <w:pPr>
      <w:pBdr>
        <w:left w:val="single" w:sz="8" w:space="0" w:color="FFFFFF"/>
      </w:pBdr>
      <w:shd w:val="clear" w:color="000000" w:fill="6DA3C2"/>
      <w:spacing w:before="100" w:beforeAutospacing="1" w:after="100" w:afterAutospacing="1"/>
      <w:jc w:val="center"/>
    </w:pPr>
    <w:rPr>
      <w:rFonts w:ascii="Aharoni" w:hAnsi="Aharoni" w:cs="Aharoni"/>
      <w:b/>
      <w:bCs/>
      <w:color w:val="FFFFFF"/>
      <w:sz w:val="32"/>
      <w:szCs w:val="32"/>
      <w:lang w:val="es-MX" w:eastAsia="es-MX"/>
    </w:rPr>
  </w:style>
  <w:style w:type="paragraph" w:customStyle="1" w:styleId="xl282">
    <w:name w:val="xl282"/>
    <w:basedOn w:val="Normal"/>
    <w:rsid w:val="0014509F"/>
    <w:pPr>
      <w:pBdr>
        <w:left w:val="single" w:sz="8" w:space="0" w:color="FFFFFF"/>
        <w:bottom w:val="single" w:sz="8" w:space="0" w:color="FFFFFF"/>
      </w:pBdr>
      <w:shd w:val="clear" w:color="000000" w:fill="6DA3C2"/>
      <w:spacing w:before="100" w:beforeAutospacing="1" w:after="100" w:afterAutospacing="1"/>
      <w:jc w:val="center"/>
    </w:pPr>
    <w:rPr>
      <w:rFonts w:ascii="Aharoni" w:hAnsi="Aharoni" w:cs="Aharoni"/>
      <w:b/>
      <w:bCs/>
      <w:color w:val="FFFFFF"/>
      <w:sz w:val="32"/>
      <w:szCs w:val="32"/>
      <w:lang w:val="es-MX" w:eastAsia="es-MX"/>
    </w:rPr>
  </w:style>
  <w:style w:type="paragraph" w:customStyle="1" w:styleId="xl283">
    <w:name w:val="xl283"/>
    <w:basedOn w:val="Normal"/>
    <w:rsid w:val="0014509F"/>
    <w:pPr>
      <w:pBdr>
        <w:left w:val="single" w:sz="8" w:space="0" w:color="FFFFFF"/>
      </w:pBdr>
      <w:shd w:val="clear" w:color="000000" w:fill="F7955B"/>
      <w:spacing w:before="100" w:beforeAutospacing="1" w:after="100" w:afterAutospacing="1"/>
      <w:jc w:val="center"/>
    </w:pPr>
    <w:rPr>
      <w:rFonts w:ascii="Aharoni" w:hAnsi="Aharoni" w:cs="Aharoni"/>
      <w:b/>
      <w:bCs/>
      <w:color w:val="FFFFFF"/>
      <w:sz w:val="32"/>
      <w:szCs w:val="32"/>
      <w:lang w:val="es-MX" w:eastAsia="es-MX"/>
    </w:rPr>
  </w:style>
  <w:style w:type="paragraph" w:customStyle="1" w:styleId="xl284">
    <w:name w:val="xl284"/>
    <w:basedOn w:val="Normal"/>
    <w:rsid w:val="0014509F"/>
    <w:pPr>
      <w:pBdr>
        <w:left w:val="single" w:sz="8" w:space="0" w:color="FFFFFF"/>
        <w:bottom w:val="single" w:sz="8" w:space="0" w:color="FFFFFF"/>
      </w:pBdr>
      <w:shd w:val="clear" w:color="000000" w:fill="F7955B"/>
      <w:spacing w:before="100" w:beforeAutospacing="1" w:after="100" w:afterAutospacing="1"/>
      <w:jc w:val="center"/>
    </w:pPr>
    <w:rPr>
      <w:rFonts w:ascii="Aharoni" w:hAnsi="Aharoni" w:cs="Aharoni"/>
      <w:b/>
      <w:bCs/>
      <w:color w:val="FFFFFF"/>
      <w:sz w:val="32"/>
      <w:szCs w:val="32"/>
      <w:lang w:val="es-MX" w:eastAsia="es-MX"/>
    </w:rPr>
  </w:style>
  <w:style w:type="paragraph" w:customStyle="1" w:styleId="xl285">
    <w:name w:val="xl285"/>
    <w:basedOn w:val="Normal"/>
    <w:rsid w:val="0014509F"/>
    <w:pPr>
      <w:pBdr>
        <w:top w:val="single" w:sz="8" w:space="0" w:color="FFFFFF"/>
        <w:left w:val="single" w:sz="4" w:space="0" w:color="FFFFFF"/>
        <w:right w:val="single" w:sz="8" w:space="0" w:color="FFFFFF"/>
      </w:pBdr>
      <w:shd w:val="clear" w:color="000000" w:fill="2FB39F"/>
      <w:spacing w:before="100" w:beforeAutospacing="1" w:after="100" w:afterAutospacing="1"/>
      <w:jc w:val="center"/>
    </w:pPr>
    <w:rPr>
      <w:rFonts w:ascii="Aharoni" w:hAnsi="Aharoni" w:cs="Aharoni"/>
      <w:b/>
      <w:bCs/>
      <w:color w:val="FFFFFF"/>
      <w:sz w:val="32"/>
      <w:szCs w:val="32"/>
      <w:lang w:val="es-MX" w:eastAsia="es-MX"/>
    </w:rPr>
  </w:style>
  <w:style w:type="paragraph" w:customStyle="1" w:styleId="xl286">
    <w:name w:val="xl286"/>
    <w:basedOn w:val="Normal"/>
    <w:rsid w:val="0014509F"/>
    <w:pPr>
      <w:pBdr>
        <w:left w:val="single" w:sz="4" w:space="0" w:color="FFFFFF"/>
        <w:right w:val="single" w:sz="8" w:space="0" w:color="FFFFFF"/>
      </w:pBdr>
      <w:shd w:val="clear" w:color="000000" w:fill="2FB39F"/>
      <w:spacing w:before="100" w:beforeAutospacing="1" w:after="100" w:afterAutospacing="1"/>
      <w:jc w:val="center"/>
    </w:pPr>
    <w:rPr>
      <w:rFonts w:ascii="Aharoni" w:hAnsi="Aharoni" w:cs="Aharoni"/>
      <w:b/>
      <w:bCs/>
      <w:color w:val="FFFFFF"/>
      <w:sz w:val="32"/>
      <w:szCs w:val="32"/>
      <w:lang w:val="es-MX" w:eastAsia="es-MX"/>
    </w:rPr>
  </w:style>
  <w:style w:type="paragraph" w:customStyle="1" w:styleId="xl287">
    <w:name w:val="xl287"/>
    <w:basedOn w:val="Normal"/>
    <w:rsid w:val="0014509F"/>
    <w:pPr>
      <w:pBdr>
        <w:left w:val="single" w:sz="4" w:space="0" w:color="FFFFFF"/>
        <w:bottom w:val="single" w:sz="8" w:space="0" w:color="FFFFFF"/>
        <w:right w:val="single" w:sz="8" w:space="0" w:color="FFFFFF"/>
      </w:pBdr>
      <w:shd w:val="clear" w:color="000000" w:fill="2FB39F"/>
      <w:spacing w:before="100" w:beforeAutospacing="1" w:after="100" w:afterAutospacing="1"/>
      <w:jc w:val="center"/>
    </w:pPr>
    <w:rPr>
      <w:rFonts w:ascii="Aharoni" w:hAnsi="Aharoni" w:cs="Aharoni"/>
      <w:b/>
      <w:bCs/>
      <w:color w:val="FFFFFF"/>
      <w:sz w:val="32"/>
      <w:szCs w:val="32"/>
      <w:lang w:val="es-MX" w:eastAsia="es-MX"/>
    </w:rPr>
  </w:style>
  <w:style w:type="paragraph" w:customStyle="1" w:styleId="xl288">
    <w:name w:val="xl288"/>
    <w:basedOn w:val="Normal"/>
    <w:rsid w:val="0014509F"/>
    <w:pPr>
      <w:pBdr>
        <w:top w:val="single" w:sz="8" w:space="0" w:color="FFFFFF"/>
        <w:left w:val="single" w:sz="8" w:space="0" w:color="FFFFFF"/>
      </w:pBdr>
      <w:shd w:val="clear" w:color="000000" w:fill="2FB39F"/>
      <w:spacing w:before="100" w:beforeAutospacing="1" w:after="100" w:afterAutospacing="1"/>
      <w:jc w:val="center"/>
    </w:pPr>
    <w:rPr>
      <w:rFonts w:ascii="Aharoni" w:hAnsi="Aharoni" w:cs="Aharoni"/>
      <w:b/>
      <w:bCs/>
      <w:color w:val="FFFFFF"/>
      <w:sz w:val="32"/>
      <w:szCs w:val="32"/>
      <w:lang w:val="es-MX" w:eastAsia="es-MX"/>
    </w:rPr>
  </w:style>
  <w:style w:type="paragraph" w:customStyle="1" w:styleId="xl289">
    <w:name w:val="xl289"/>
    <w:basedOn w:val="Normal"/>
    <w:rsid w:val="0014509F"/>
    <w:pPr>
      <w:pBdr>
        <w:left w:val="single" w:sz="8" w:space="0" w:color="FFFFFF"/>
      </w:pBdr>
      <w:shd w:val="clear" w:color="000000" w:fill="2FB39F"/>
      <w:spacing w:before="100" w:beforeAutospacing="1" w:after="100" w:afterAutospacing="1"/>
      <w:jc w:val="center"/>
    </w:pPr>
    <w:rPr>
      <w:rFonts w:ascii="Aharoni" w:hAnsi="Aharoni" w:cs="Aharoni"/>
      <w:b/>
      <w:bCs/>
      <w:color w:val="FFFFFF"/>
      <w:sz w:val="32"/>
      <w:szCs w:val="32"/>
      <w:lang w:val="es-MX" w:eastAsia="es-MX"/>
    </w:rPr>
  </w:style>
  <w:style w:type="paragraph" w:customStyle="1" w:styleId="xl290">
    <w:name w:val="xl290"/>
    <w:basedOn w:val="Normal"/>
    <w:rsid w:val="0014509F"/>
    <w:pPr>
      <w:pBdr>
        <w:left w:val="single" w:sz="8" w:space="0" w:color="FFFFFF"/>
        <w:bottom w:val="single" w:sz="8" w:space="0" w:color="FFFFFF"/>
      </w:pBdr>
      <w:shd w:val="clear" w:color="000000" w:fill="2FB39F"/>
      <w:spacing w:before="100" w:beforeAutospacing="1" w:after="100" w:afterAutospacing="1"/>
      <w:jc w:val="center"/>
    </w:pPr>
    <w:rPr>
      <w:rFonts w:ascii="Aharoni" w:hAnsi="Aharoni" w:cs="Aharoni"/>
      <w:b/>
      <w:bCs/>
      <w:color w:val="FFFFFF"/>
      <w:sz w:val="32"/>
      <w:szCs w:val="32"/>
      <w:lang w:val="es-MX" w:eastAsia="es-MX"/>
    </w:rPr>
  </w:style>
  <w:style w:type="paragraph" w:customStyle="1" w:styleId="xl291">
    <w:name w:val="xl291"/>
    <w:basedOn w:val="Normal"/>
    <w:rsid w:val="0014509F"/>
    <w:pPr>
      <w:pBdr>
        <w:top w:val="single" w:sz="8" w:space="0" w:color="FFFFFF"/>
        <w:left w:val="single" w:sz="4" w:space="0" w:color="FFFFFF"/>
        <w:right w:val="single" w:sz="8" w:space="0" w:color="FFFFFF"/>
      </w:pBdr>
      <w:shd w:val="clear" w:color="000000" w:fill="6DA3C2"/>
      <w:spacing w:before="100" w:beforeAutospacing="1" w:after="100" w:afterAutospacing="1"/>
      <w:jc w:val="center"/>
    </w:pPr>
    <w:rPr>
      <w:rFonts w:ascii="Aharoni" w:hAnsi="Aharoni" w:cs="Aharoni"/>
      <w:b/>
      <w:bCs/>
      <w:color w:val="FFFFFF"/>
      <w:sz w:val="32"/>
      <w:szCs w:val="32"/>
      <w:lang w:val="es-MX" w:eastAsia="es-MX"/>
    </w:rPr>
  </w:style>
  <w:style w:type="paragraph" w:customStyle="1" w:styleId="xl292">
    <w:name w:val="xl292"/>
    <w:basedOn w:val="Normal"/>
    <w:rsid w:val="0014509F"/>
    <w:pPr>
      <w:pBdr>
        <w:left w:val="single" w:sz="4" w:space="0" w:color="FFFFFF"/>
        <w:right w:val="single" w:sz="8" w:space="0" w:color="FFFFFF"/>
      </w:pBdr>
      <w:shd w:val="clear" w:color="000000" w:fill="6DA3C2"/>
      <w:spacing w:before="100" w:beforeAutospacing="1" w:after="100" w:afterAutospacing="1"/>
      <w:jc w:val="center"/>
    </w:pPr>
    <w:rPr>
      <w:rFonts w:ascii="Aharoni" w:hAnsi="Aharoni" w:cs="Aharoni"/>
      <w:b/>
      <w:bCs/>
      <w:color w:val="FFFFFF"/>
      <w:sz w:val="32"/>
      <w:szCs w:val="32"/>
      <w:lang w:val="es-MX" w:eastAsia="es-MX"/>
    </w:rPr>
  </w:style>
  <w:style w:type="paragraph" w:customStyle="1" w:styleId="xl293">
    <w:name w:val="xl293"/>
    <w:basedOn w:val="Normal"/>
    <w:rsid w:val="0014509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Aharoni" w:hAnsi="Aharoni" w:cs="Aharoni"/>
      <w:color w:val="FFFFFF"/>
      <w:sz w:val="56"/>
      <w:szCs w:val="56"/>
      <w:lang w:val="es-MX" w:eastAsia="es-MX"/>
    </w:rPr>
  </w:style>
  <w:style w:type="paragraph" w:customStyle="1" w:styleId="xl294">
    <w:name w:val="xl294"/>
    <w:basedOn w:val="Normal"/>
    <w:rsid w:val="0014509F"/>
    <w:pPr>
      <w:pBdr>
        <w:left w:val="single" w:sz="4" w:space="0" w:color="FFFFFF"/>
        <w:right w:val="single" w:sz="4" w:space="0" w:color="FFFFFF"/>
      </w:pBdr>
      <w:shd w:val="clear" w:color="000000" w:fill="000000"/>
      <w:spacing w:before="100" w:beforeAutospacing="1" w:after="100" w:afterAutospacing="1"/>
      <w:jc w:val="center"/>
    </w:pPr>
    <w:rPr>
      <w:rFonts w:ascii="Aharoni" w:hAnsi="Aharoni" w:cs="Aharoni"/>
      <w:b/>
      <w:bCs/>
      <w:color w:val="FFFFFF"/>
      <w:sz w:val="48"/>
      <w:szCs w:val="48"/>
      <w:lang w:val="es-MX" w:eastAsia="es-MX"/>
    </w:rPr>
  </w:style>
  <w:style w:type="paragraph" w:customStyle="1" w:styleId="xl295">
    <w:name w:val="xl295"/>
    <w:basedOn w:val="Normal"/>
    <w:rsid w:val="0014509F"/>
    <w:pPr>
      <w:pBdr>
        <w:left w:val="single" w:sz="4" w:space="0" w:color="FFFFFF"/>
        <w:bottom w:val="single" w:sz="8" w:space="0" w:color="FFFFFF"/>
        <w:right w:val="single" w:sz="4" w:space="0" w:color="FFFFFF"/>
      </w:pBdr>
      <w:shd w:val="clear" w:color="000000" w:fill="000000"/>
      <w:spacing w:before="100" w:beforeAutospacing="1" w:after="100" w:afterAutospacing="1"/>
      <w:jc w:val="center"/>
    </w:pPr>
    <w:rPr>
      <w:rFonts w:ascii="Aharoni" w:hAnsi="Aharoni" w:cs="Aharoni"/>
      <w:b/>
      <w:bCs/>
      <w:color w:val="FFFFFF"/>
      <w:sz w:val="48"/>
      <w:szCs w:val="48"/>
      <w:lang w:val="es-MX" w:eastAsia="es-MX"/>
    </w:rPr>
  </w:style>
  <w:style w:type="paragraph" w:customStyle="1" w:styleId="xl296">
    <w:name w:val="xl296"/>
    <w:basedOn w:val="Normal"/>
    <w:rsid w:val="0014509F"/>
    <w:pPr>
      <w:pBdr>
        <w:top w:val="single" w:sz="4" w:space="0" w:color="FFFFFF"/>
        <w:left w:val="single" w:sz="4" w:space="0" w:color="FFFFFF"/>
        <w:right w:val="single" w:sz="8" w:space="0" w:color="FFFFFF"/>
      </w:pBdr>
      <w:shd w:val="clear" w:color="000000" w:fill="C14E75"/>
      <w:spacing w:before="100" w:beforeAutospacing="1" w:after="100" w:afterAutospacing="1"/>
      <w:jc w:val="center"/>
    </w:pPr>
    <w:rPr>
      <w:rFonts w:ascii="Aharoni" w:hAnsi="Aharoni" w:cs="Aharoni"/>
      <w:b/>
      <w:bCs/>
      <w:color w:val="FFFFFF"/>
      <w:sz w:val="32"/>
      <w:szCs w:val="32"/>
      <w:lang w:val="es-MX" w:eastAsia="es-MX"/>
    </w:rPr>
  </w:style>
  <w:style w:type="paragraph" w:customStyle="1" w:styleId="xl297">
    <w:name w:val="xl297"/>
    <w:basedOn w:val="Normal"/>
    <w:rsid w:val="0014509F"/>
    <w:pPr>
      <w:pBdr>
        <w:left w:val="single" w:sz="4" w:space="0" w:color="FFFFFF"/>
        <w:right w:val="single" w:sz="8" w:space="0" w:color="FFFFFF"/>
      </w:pBdr>
      <w:shd w:val="clear" w:color="000000" w:fill="C14E75"/>
      <w:spacing w:before="100" w:beforeAutospacing="1" w:after="100" w:afterAutospacing="1"/>
      <w:jc w:val="center"/>
    </w:pPr>
    <w:rPr>
      <w:rFonts w:ascii="Aharoni" w:hAnsi="Aharoni" w:cs="Aharoni"/>
      <w:b/>
      <w:bCs/>
      <w:color w:val="FFFFFF"/>
      <w:sz w:val="32"/>
      <w:szCs w:val="32"/>
      <w:lang w:val="es-MX" w:eastAsia="es-MX"/>
    </w:rPr>
  </w:style>
  <w:style w:type="paragraph" w:customStyle="1" w:styleId="xl298">
    <w:name w:val="xl298"/>
    <w:basedOn w:val="Normal"/>
    <w:rsid w:val="0014509F"/>
    <w:pPr>
      <w:pBdr>
        <w:left w:val="single" w:sz="4" w:space="0" w:color="FFFFFF"/>
        <w:bottom w:val="single" w:sz="8" w:space="0" w:color="FFFFFF"/>
        <w:right w:val="single" w:sz="8" w:space="0" w:color="FFFFFF"/>
      </w:pBdr>
      <w:shd w:val="clear" w:color="000000" w:fill="C14E75"/>
      <w:spacing w:before="100" w:beforeAutospacing="1" w:after="100" w:afterAutospacing="1"/>
      <w:jc w:val="center"/>
    </w:pPr>
    <w:rPr>
      <w:rFonts w:ascii="Aharoni" w:hAnsi="Aharoni" w:cs="Aharoni"/>
      <w:b/>
      <w:bCs/>
      <w:color w:val="FFFFFF"/>
      <w:sz w:val="32"/>
      <w:szCs w:val="32"/>
      <w:lang w:val="es-MX" w:eastAsia="es-MX"/>
    </w:rPr>
  </w:style>
  <w:style w:type="paragraph" w:customStyle="1" w:styleId="xl299">
    <w:name w:val="xl299"/>
    <w:basedOn w:val="Normal"/>
    <w:rsid w:val="0014509F"/>
    <w:pPr>
      <w:pBdr>
        <w:top w:val="single" w:sz="4" w:space="0" w:color="FFFFFF"/>
        <w:left w:val="single" w:sz="8" w:space="0" w:color="FFFFFF"/>
      </w:pBdr>
      <w:shd w:val="clear" w:color="000000" w:fill="C14E75"/>
      <w:spacing w:before="100" w:beforeAutospacing="1" w:after="100" w:afterAutospacing="1"/>
      <w:jc w:val="center"/>
    </w:pPr>
    <w:rPr>
      <w:rFonts w:ascii="Aharoni" w:hAnsi="Aharoni" w:cs="Aharoni"/>
      <w:b/>
      <w:bCs/>
      <w:color w:val="FFFFFF"/>
      <w:sz w:val="32"/>
      <w:szCs w:val="32"/>
      <w:lang w:val="es-MX" w:eastAsia="es-MX"/>
    </w:rPr>
  </w:style>
  <w:style w:type="paragraph" w:customStyle="1" w:styleId="xl300">
    <w:name w:val="xl300"/>
    <w:basedOn w:val="Normal"/>
    <w:rsid w:val="0014509F"/>
    <w:pPr>
      <w:pBdr>
        <w:left w:val="single" w:sz="8" w:space="0" w:color="FFFFFF"/>
      </w:pBdr>
      <w:shd w:val="clear" w:color="000000" w:fill="C14E75"/>
      <w:spacing w:before="100" w:beforeAutospacing="1" w:after="100" w:afterAutospacing="1"/>
      <w:jc w:val="center"/>
    </w:pPr>
    <w:rPr>
      <w:rFonts w:ascii="Aharoni" w:hAnsi="Aharoni" w:cs="Aharoni"/>
      <w:b/>
      <w:bCs/>
      <w:color w:val="FFFFFF"/>
      <w:sz w:val="32"/>
      <w:szCs w:val="32"/>
      <w:lang w:val="es-MX" w:eastAsia="es-MX"/>
    </w:rPr>
  </w:style>
  <w:style w:type="paragraph" w:customStyle="1" w:styleId="xl301">
    <w:name w:val="xl301"/>
    <w:basedOn w:val="Normal"/>
    <w:rsid w:val="0014509F"/>
    <w:pPr>
      <w:pBdr>
        <w:left w:val="single" w:sz="8" w:space="0" w:color="FFFFFF"/>
        <w:bottom w:val="single" w:sz="8" w:space="0" w:color="FFFFFF"/>
      </w:pBdr>
      <w:shd w:val="clear" w:color="000000" w:fill="C14E75"/>
      <w:spacing w:before="100" w:beforeAutospacing="1" w:after="100" w:afterAutospacing="1"/>
      <w:jc w:val="center"/>
    </w:pPr>
    <w:rPr>
      <w:rFonts w:ascii="Aharoni" w:hAnsi="Aharoni" w:cs="Aharoni"/>
      <w:b/>
      <w:bCs/>
      <w:color w:val="FFFFFF"/>
      <w:sz w:val="32"/>
      <w:szCs w:val="32"/>
      <w:lang w:val="es-MX" w:eastAsia="es-MX"/>
    </w:rPr>
  </w:style>
  <w:style w:type="paragraph" w:customStyle="1" w:styleId="xl302">
    <w:name w:val="xl302"/>
    <w:basedOn w:val="Normal"/>
    <w:rsid w:val="0014509F"/>
    <w:pPr>
      <w:pBdr>
        <w:top w:val="single" w:sz="8" w:space="0" w:color="FFFFFF"/>
        <w:left w:val="single" w:sz="8" w:space="0" w:color="FFFFFF"/>
      </w:pBdr>
      <w:shd w:val="clear" w:color="000000" w:fill="C14E75"/>
      <w:spacing w:before="100" w:beforeAutospacing="1" w:after="100" w:afterAutospacing="1"/>
      <w:jc w:val="center"/>
    </w:pPr>
    <w:rPr>
      <w:rFonts w:ascii="Aharoni" w:hAnsi="Aharoni" w:cs="Aharoni"/>
      <w:b/>
      <w:bCs/>
      <w:color w:val="FFFFFF"/>
      <w:sz w:val="32"/>
      <w:szCs w:val="32"/>
      <w:lang w:val="es-MX" w:eastAsia="es-MX"/>
    </w:rPr>
  </w:style>
  <w:style w:type="paragraph" w:customStyle="1" w:styleId="xl303">
    <w:name w:val="xl303"/>
    <w:basedOn w:val="Normal"/>
    <w:rsid w:val="0014509F"/>
    <w:pPr>
      <w:pBdr>
        <w:top w:val="single" w:sz="8" w:space="0" w:color="FFFFFF"/>
        <w:left w:val="single" w:sz="4" w:space="0" w:color="FFFFFF"/>
        <w:right w:val="single" w:sz="8" w:space="0" w:color="FFFFFF"/>
      </w:pBdr>
      <w:shd w:val="clear" w:color="000000" w:fill="9B4E75"/>
      <w:spacing w:before="100" w:beforeAutospacing="1" w:after="100" w:afterAutospacing="1"/>
      <w:jc w:val="center"/>
    </w:pPr>
    <w:rPr>
      <w:rFonts w:ascii="Aharoni" w:hAnsi="Aharoni" w:cs="Aharoni"/>
      <w:b/>
      <w:bCs/>
      <w:color w:val="FFFFFF"/>
      <w:sz w:val="32"/>
      <w:szCs w:val="32"/>
      <w:lang w:val="es-MX" w:eastAsia="es-MX"/>
    </w:rPr>
  </w:style>
  <w:style w:type="paragraph" w:customStyle="1" w:styleId="xl304">
    <w:name w:val="xl304"/>
    <w:basedOn w:val="Normal"/>
    <w:rsid w:val="0014509F"/>
    <w:pPr>
      <w:pBdr>
        <w:left w:val="single" w:sz="4" w:space="0" w:color="FFFFFF"/>
        <w:right w:val="single" w:sz="8" w:space="0" w:color="FFFFFF"/>
      </w:pBdr>
      <w:shd w:val="clear" w:color="000000" w:fill="9B4E75"/>
      <w:spacing w:before="100" w:beforeAutospacing="1" w:after="100" w:afterAutospacing="1"/>
      <w:jc w:val="center"/>
    </w:pPr>
    <w:rPr>
      <w:rFonts w:ascii="Aharoni" w:hAnsi="Aharoni" w:cs="Aharoni"/>
      <w:b/>
      <w:bCs/>
      <w:color w:val="FFFFFF"/>
      <w:sz w:val="32"/>
      <w:szCs w:val="32"/>
      <w:lang w:val="es-MX" w:eastAsia="es-MX"/>
    </w:rPr>
  </w:style>
  <w:style w:type="paragraph" w:customStyle="1" w:styleId="xl305">
    <w:name w:val="xl305"/>
    <w:basedOn w:val="Normal"/>
    <w:rsid w:val="0014509F"/>
    <w:pPr>
      <w:pBdr>
        <w:top w:val="single" w:sz="8" w:space="0" w:color="FFFFFF"/>
        <w:left w:val="single" w:sz="8" w:space="0" w:color="FFFFFF"/>
      </w:pBdr>
      <w:shd w:val="clear" w:color="000000" w:fill="9B4E75"/>
      <w:spacing w:before="100" w:beforeAutospacing="1" w:after="100" w:afterAutospacing="1"/>
      <w:jc w:val="center"/>
    </w:pPr>
    <w:rPr>
      <w:rFonts w:ascii="Aharoni" w:hAnsi="Aharoni" w:cs="Aharoni"/>
      <w:b/>
      <w:bCs/>
      <w:color w:val="FFFFFF"/>
      <w:sz w:val="32"/>
      <w:szCs w:val="32"/>
      <w:lang w:val="es-MX" w:eastAsia="es-MX"/>
    </w:rPr>
  </w:style>
  <w:style w:type="paragraph" w:customStyle="1" w:styleId="xl306">
    <w:name w:val="xl306"/>
    <w:basedOn w:val="Normal"/>
    <w:rsid w:val="0014509F"/>
    <w:pPr>
      <w:pBdr>
        <w:left w:val="single" w:sz="8" w:space="0" w:color="FFFFFF"/>
        <w:bottom w:val="single" w:sz="8" w:space="0" w:color="FFFFFF"/>
      </w:pBdr>
      <w:shd w:val="clear" w:color="000000" w:fill="9B4E75"/>
      <w:spacing w:before="100" w:beforeAutospacing="1" w:after="100" w:afterAutospacing="1"/>
      <w:jc w:val="center"/>
    </w:pPr>
    <w:rPr>
      <w:rFonts w:ascii="Aharoni" w:hAnsi="Aharoni" w:cs="Aharoni"/>
      <w:b/>
      <w:bCs/>
      <w:color w:val="FFFFFF"/>
      <w:sz w:val="32"/>
      <w:szCs w:val="32"/>
      <w:lang w:val="es-MX" w:eastAsia="es-MX"/>
    </w:rPr>
  </w:style>
  <w:style w:type="paragraph" w:customStyle="1" w:styleId="xl307">
    <w:name w:val="xl307"/>
    <w:basedOn w:val="Normal"/>
    <w:rsid w:val="0014509F"/>
    <w:pPr>
      <w:pBdr>
        <w:left w:val="single" w:sz="4" w:space="0" w:color="FFFFFF"/>
        <w:right w:val="single" w:sz="8" w:space="0" w:color="FFFFFF"/>
      </w:pBdr>
      <w:shd w:val="clear" w:color="000000" w:fill="F7955B"/>
      <w:spacing w:before="100" w:beforeAutospacing="1" w:after="100" w:afterAutospacing="1"/>
      <w:jc w:val="center"/>
    </w:pPr>
    <w:rPr>
      <w:rFonts w:ascii="Aharoni" w:hAnsi="Aharoni" w:cs="Aharoni"/>
      <w:b/>
      <w:bCs/>
      <w:color w:val="FFFFFF"/>
      <w:sz w:val="32"/>
      <w:szCs w:val="32"/>
      <w:lang w:val="es-MX" w:eastAsia="es-MX"/>
    </w:rPr>
  </w:style>
  <w:style w:type="paragraph" w:customStyle="1" w:styleId="xl308">
    <w:name w:val="xl308"/>
    <w:basedOn w:val="Normal"/>
    <w:rsid w:val="0014509F"/>
    <w:pPr>
      <w:pBdr>
        <w:left w:val="single" w:sz="4" w:space="0" w:color="FFFFFF"/>
        <w:bottom w:val="single" w:sz="8" w:space="0" w:color="FFFFFF"/>
        <w:right w:val="single" w:sz="8" w:space="0" w:color="FFFFFF"/>
      </w:pBdr>
      <w:shd w:val="clear" w:color="000000" w:fill="F7955B"/>
      <w:spacing w:before="100" w:beforeAutospacing="1" w:after="100" w:afterAutospacing="1"/>
      <w:jc w:val="center"/>
    </w:pPr>
    <w:rPr>
      <w:rFonts w:ascii="Aharoni" w:hAnsi="Aharoni" w:cs="Aharoni"/>
      <w:b/>
      <w:bCs/>
      <w:color w:val="FFFFFF"/>
      <w:sz w:val="32"/>
      <w:szCs w:val="32"/>
      <w:lang w:val="es-MX" w:eastAsia="es-MX"/>
    </w:rPr>
  </w:style>
  <w:style w:type="paragraph" w:customStyle="1" w:styleId="xl309">
    <w:name w:val="xl309"/>
    <w:basedOn w:val="Normal"/>
    <w:rsid w:val="0014509F"/>
    <w:pPr>
      <w:pBdr>
        <w:top w:val="single" w:sz="8" w:space="0" w:color="FFFFFF"/>
        <w:left w:val="single" w:sz="8" w:space="0" w:color="FFFFFF"/>
      </w:pBdr>
      <w:shd w:val="clear" w:color="000000" w:fill="F7955B"/>
      <w:spacing w:before="100" w:beforeAutospacing="1" w:after="100" w:afterAutospacing="1"/>
      <w:jc w:val="center"/>
    </w:pPr>
    <w:rPr>
      <w:rFonts w:ascii="Aharoni" w:hAnsi="Aharoni" w:cs="Aharoni"/>
      <w:b/>
      <w:bCs/>
      <w:color w:val="FFFFFF"/>
      <w:sz w:val="32"/>
      <w:szCs w:val="32"/>
      <w:lang w:val="es-MX" w:eastAsia="es-MX"/>
    </w:rPr>
  </w:style>
  <w:style w:type="paragraph" w:customStyle="1" w:styleId="Cuerpo">
    <w:name w:val="Cuerpo"/>
    <w:link w:val="CuerpoCar"/>
    <w:rsid w:val="0014509F"/>
    <w:pPr>
      <w:pBdr>
        <w:top w:val="nil"/>
        <w:left w:val="nil"/>
        <w:bottom w:val="nil"/>
        <w:right w:val="nil"/>
        <w:between w:val="nil"/>
        <w:bar w:val="nil"/>
      </w:pBdr>
      <w:spacing w:after="0" w:line="240" w:lineRule="auto"/>
    </w:pPr>
    <w:rPr>
      <w:rFonts w:ascii="Cambria" w:eastAsia="Arial Unicode MS" w:hAnsi="Arial Unicode MS" w:cs="Arial Unicode MS"/>
      <w:color w:val="000000"/>
      <w:sz w:val="24"/>
      <w:szCs w:val="24"/>
      <w:u w:color="000000"/>
      <w:bdr w:val="nil"/>
      <w:lang w:val="es-ES_tradnl"/>
    </w:rPr>
  </w:style>
  <w:style w:type="character" w:customStyle="1" w:styleId="CuerpoCar">
    <w:name w:val="Cuerpo Car"/>
    <w:link w:val="Cuerpo"/>
    <w:rsid w:val="0014509F"/>
    <w:rPr>
      <w:rFonts w:ascii="Cambria" w:eastAsia="Arial Unicode MS" w:hAnsi="Arial Unicode MS" w:cs="Arial Unicode MS"/>
      <w:color w:val="000000"/>
      <w:sz w:val="24"/>
      <w:szCs w:val="24"/>
      <w:u w:color="000000"/>
      <w:bdr w:val="nil"/>
      <w:lang w:val="es-ES_tradnl"/>
    </w:rPr>
  </w:style>
  <w:style w:type="paragraph" w:customStyle="1" w:styleId="Pa11">
    <w:name w:val="Pa11"/>
    <w:basedOn w:val="Normal"/>
    <w:next w:val="Normal"/>
    <w:uiPriority w:val="99"/>
    <w:rsid w:val="0014509F"/>
    <w:pPr>
      <w:autoSpaceDE w:val="0"/>
      <w:autoSpaceDN w:val="0"/>
      <w:adjustRightInd w:val="0"/>
      <w:spacing w:line="201" w:lineRule="atLeast"/>
    </w:pPr>
    <w:rPr>
      <w:rFonts w:ascii="Titillium Lt" w:eastAsiaTheme="minorEastAsia" w:hAnsi="Titillium Lt" w:cstheme="minorBidi"/>
      <w:lang w:val="es-MX" w:eastAsia="en-US"/>
    </w:rPr>
  </w:style>
  <w:style w:type="paragraph" w:customStyle="1" w:styleId="Pa5">
    <w:name w:val="Pa5"/>
    <w:basedOn w:val="Normal"/>
    <w:next w:val="Normal"/>
    <w:uiPriority w:val="99"/>
    <w:rsid w:val="0014509F"/>
    <w:pPr>
      <w:autoSpaceDE w:val="0"/>
      <w:autoSpaceDN w:val="0"/>
      <w:adjustRightInd w:val="0"/>
      <w:spacing w:line="221" w:lineRule="atLeast"/>
    </w:pPr>
    <w:rPr>
      <w:rFonts w:ascii="Titillium" w:eastAsiaTheme="minorEastAsia" w:hAnsi="Titillium" w:cstheme="minorBidi"/>
      <w:lang w:val="es-MX" w:eastAsia="en-US"/>
    </w:rPr>
  </w:style>
  <w:style w:type="character" w:styleId="Textodelmarcadordeposicin">
    <w:name w:val="Placeholder Text"/>
    <w:basedOn w:val="Fuentedeprrafopredeter"/>
    <w:uiPriority w:val="99"/>
    <w:semiHidden/>
    <w:rsid w:val="0014509F"/>
    <w:rPr>
      <w:color w:val="808080"/>
    </w:rPr>
  </w:style>
  <w:style w:type="table" w:customStyle="1" w:styleId="Tablaconcuadrcula1">
    <w:name w:val="Tabla con cuadrícula1"/>
    <w:basedOn w:val="Tablanormal"/>
    <w:next w:val="Tablaconcuadrcula"/>
    <w:uiPriority w:val="39"/>
    <w:rsid w:val="0014509F"/>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400159">
      <w:bodyDiv w:val="1"/>
      <w:marLeft w:val="0"/>
      <w:marRight w:val="0"/>
      <w:marTop w:val="0"/>
      <w:marBottom w:val="0"/>
      <w:divBdr>
        <w:top w:val="none" w:sz="0" w:space="0" w:color="auto"/>
        <w:left w:val="none" w:sz="0" w:space="0" w:color="auto"/>
        <w:bottom w:val="none" w:sz="0" w:space="0" w:color="auto"/>
        <w:right w:val="none" w:sz="0" w:space="0" w:color="auto"/>
      </w:divBdr>
    </w:div>
    <w:div w:id="1571041375">
      <w:bodyDiv w:val="1"/>
      <w:marLeft w:val="0"/>
      <w:marRight w:val="0"/>
      <w:marTop w:val="0"/>
      <w:marBottom w:val="0"/>
      <w:divBdr>
        <w:top w:val="none" w:sz="0" w:space="0" w:color="auto"/>
        <w:left w:val="none" w:sz="0" w:space="0" w:color="auto"/>
        <w:bottom w:val="none" w:sz="0" w:space="0" w:color="auto"/>
        <w:right w:val="none" w:sz="0" w:space="0" w:color="auto"/>
      </w:divBdr>
      <w:divsChild>
        <w:div w:id="705789816">
          <w:marLeft w:val="0"/>
          <w:marRight w:val="0"/>
          <w:marTop w:val="0"/>
          <w:marBottom w:val="0"/>
          <w:divBdr>
            <w:top w:val="none" w:sz="0" w:space="0" w:color="auto"/>
            <w:left w:val="none" w:sz="0" w:space="0" w:color="auto"/>
            <w:bottom w:val="none" w:sz="0" w:space="0" w:color="auto"/>
            <w:right w:val="none" w:sz="0" w:space="0" w:color="auto"/>
          </w:divBdr>
          <w:divsChild>
            <w:div w:id="82772586">
              <w:marLeft w:val="0"/>
              <w:marRight w:val="0"/>
              <w:marTop w:val="0"/>
              <w:marBottom w:val="0"/>
              <w:divBdr>
                <w:top w:val="none" w:sz="0" w:space="0" w:color="auto"/>
                <w:left w:val="none" w:sz="0" w:space="0" w:color="auto"/>
                <w:bottom w:val="none" w:sz="0" w:space="0" w:color="auto"/>
                <w:right w:val="none" w:sz="0" w:space="0" w:color="auto"/>
              </w:divBdr>
              <w:divsChild>
                <w:div w:id="1549101944">
                  <w:marLeft w:val="0"/>
                  <w:marRight w:val="0"/>
                  <w:marTop w:val="0"/>
                  <w:marBottom w:val="0"/>
                  <w:divBdr>
                    <w:top w:val="none" w:sz="0" w:space="0" w:color="auto"/>
                    <w:left w:val="none" w:sz="0" w:space="0" w:color="auto"/>
                    <w:bottom w:val="none" w:sz="0" w:space="0" w:color="auto"/>
                    <w:right w:val="none" w:sz="0" w:space="0" w:color="auto"/>
                  </w:divBdr>
                </w:div>
              </w:divsChild>
            </w:div>
            <w:div w:id="1737701891">
              <w:marLeft w:val="0"/>
              <w:marRight w:val="0"/>
              <w:marTop w:val="0"/>
              <w:marBottom w:val="0"/>
              <w:divBdr>
                <w:top w:val="none" w:sz="0" w:space="0" w:color="auto"/>
                <w:left w:val="none" w:sz="0" w:space="0" w:color="auto"/>
                <w:bottom w:val="none" w:sz="0" w:space="0" w:color="auto"/>
                <w:right w:val="none" w:sz="0" w:space="0" w:color="auto"/>
              </w:divBdr>
              <w:divsChild>
                <w:div w:id="699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845AC86A-AA90-4479-9EFB-504613524878@ift.org.mx" TargetMode="External"/><Relationship Id="rId22"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298A5B-781D-41F8-85A4-18BADB8AF566}"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s-MX"/>
        </a:p>
      </dgm:t>
    </dgm:pt>
    <dgm:pt modelId="{913B7C7D-66D8-4FB3-8C45-0734B559CB73}">
      <dgm:prSet phldrT="[Texto]"/>
      <dgm:spPr/>
      <dgm:t>
        <a:bodyPr/>
        <a:lstStyle/>
        <a:p>
          <a:r>
            <a:rPr lang="es-MX"/>
            <a:t>IFT</a:t>
          </a:r>
        </a:p>
      </dgm:t>
    </dgm:pt>
    <dgm:pt modelId="{89B8C5B0-2471-4988-A9E8-ABCF9E2D4CAF}" type="parTrans" cxnId="{8CB0C8BC-125B-4B9B-BABD-9E18BE0E1CFA}">
      <dgm:prSet/>
      <dgm:spPr/>
      <dgm:t>
        <a:bodyPr/>
        <a:lstStyle/>
        <a:p>
          <a:endParaRPr lang="es-MX"/>
        </a:p>
      </dgm:t>
    </dgm:pt>
    <dgm:pt modelId="{DF94CFDE-91E3-448D-99DF-106B661BCEED}" type="sibTrans" cxnId="{8CB0C8BC-125B-4B9B-BABD-9E18BE0E1CFA}">
      <dgm:prSet/>
      <dgm:spPr/>
      <dgm:t>
        <a:bodyPr/>
        <a:lstStyle/>
        <a:p>
          <a:endParaRPr lang="es-MX"/>
        </a:p>
      </dgm:t>
    </dgm:pt>
    <dgm:pt modelId="{F55AE6A7-3721-4A6A-A5AB-2C4F45D22AB9}">
      <dgm:prSet phldrT="[Texto]" custT="1"/>
      <dgm:spPr/>
      <dgm:t>
        <a:bodyPr/>
        <a:lstStyle/>
        <a:p>
          <a:pPr>
            <a:lnSpc>
              <a:spcPct val="100000"/>
            </a:lnSpc>
            <a:spcAft>
              <a:spcPts val="600"/>
            </a:spcAft>
          </a:pPr>
          <a:r>
            <a:rPr lang="es-ES" sz="800" b="1"/>
            <a:t>Objetivo 1</a:t>
          </a:r>
          <a:r>
            <a:rPr lang="es-ES" sz="800"/>
            <a:t>: Promover e impulsar que los usuarios y las audiencias tengan mejores opciones de servicios públicos a precios asequibles, a través del impulso de la competencia y libre concurrencia</a:t>
          </a:r>
          <a:r>
            <a:rPr lang="es-MX" sz="800"/>
            <a:t> de los sectores regulados</a:t>
          </a:r>
        </a:p>
      </dgm:t>
    </dgm:pt>
    <dgm:pt modelId="{078D2887-418F-4A09-8561-AE0D21E40A40}" type="parTrans" cxnId="{02CD77C5-4452-4B96-86F4-2B9EAFE92337}">
      <dgm:prSet/>
      <dgm:spPr/>
      <dgm:t>
        <a:bodyPr/>
        <a:lstStyle/>
        <a:p>
          <a:endParaRPr lang="es-MX"/>
        </a:p>
      </dgm:t>
    </dgm:pt>
    <dgm:pt modelId="{0BAD6079-5693-4A96-9480-E286CA1F6475}" type="sibTrans" cxnId="{02CD77C5-4452-4B96-86F4-2B9EAFE92337}">
      <dgm:prSet/>
      <dgm:spPr/>
      <dgm:t>
        <a:bodyPr/>
        <a:lstStyle/>
        <a:p>
          <a:endParaRPr lang="es-MX"/>
        </a:p>
      </dgm:t>
    </dgm:pt>
    <dgm:pt modelId="{774BF408-14BB-4F36-B3EF-A3570F80B4F6}">
      <dgm:prSet phldrT="[Texto]"/>
      <dgm:spPr/>
      <dgm:t>
        <a:bodyPr/>
        <a:lstStyle/>
        <a:p>
          <a:r>
            <a:rPr lang="es-MX"/>
            <a:t>Centro de Estudios</a:t>
          </a:r>
        </a:p>
      </dgm:t>
    </dgm:pt>
    <dgm:pt modelId="{3156E842-2EED-40FF-A8C3-15E4CAC16D28}" type="parTrans" cxnId="{E91B647B-E41B-4016-AE26-36CCD94622B9}">
      <dgm:prSet/>
      <dgm:spPr/>
      <dgm:t>
        <a:bodyPr/>
        <a:lstStyle/>
        <a:p>
          <a:endParaRPr lang="es-MX"/>
        </a:p>
      </dgm:t>
    </dgm:pt>
    <dgm:pt modelId="{D7F3952A-B459-45F3-8C0E-999392F990CC}" type="sibTrans" cxnId="{E91B647B-E41B-4016-AE26-36CCD94622B9}">
      <dgm:prSet/>
      <dgm:spPr/>
      <dgm:t>
        <a:bodyPr/>
        <a:lstStyle/>
        <a:p>
          <a:endParaRPr lang="es-MX"/>
        </a:p>
      </dgm:t>
    </dgm:pt>
    <dgm:pt modelId="{4FCC7132-9C7A-4059-88B4-8566B340E6A2}">
      <dgm:prSet phldrT="[Texto]" custT="1"/>
      <dgm:spPr/>
      <dgm:t>
        <a:bodyPr/>
        <a:lstStyle/>
        <a:p>
          <a:pPr>
            <a:lnSpc>
              <a:spcPct val="100000"/>
            </a:lnSpc>
            <a:spcAft>
              <a:spcPts val="1200"/>
            </a:spcAft>
          </a:pPr>
          <a:r>
            <a:rPr lang="es-MX" sz="800" b="1"/>
            <a:t>Objetivo 1</a:t>
          </a:r>
          <a:r>
            <a:rPr lang="es-MX" sz="800"/>
            <a:t>. Elaborar estudios programados en materia de regulación sectorial y competencia económica en telecomunicaciones y radiodifusión</a:t>
          </a:r>
        </a:p>
      </dgm:t>
      <dgm:extLst>
        <a:ext uri="{E40237B7-FDA0-4F09-8148-C483321AD2D9}">
          <dgm14:cNvPr xmlns:dgm14="http://schemas.microsoft.com/office/drawing/2010/diagram" id="0" name="" descr="Cuadro 1. Objetivos del IFT y CES" title="Cuadro 1. Objetivos del IFT y CES"/>
        </a:ext>
      </dgm:extLst>
    </dgm:pt>
    <dgm:pt modelId="{9BEE7485-D714-4FD6-9ECA-D1BB5F5C7344}" type="parTrans" cxnId="{4CBBD22C-CCA3-41A6-820C-FC6AC4D48DF5}">
      <dgm:prSet/>
      <dgm:spPr/>
      <dgm:t>
        <a:bodyPr/>
        <a:lstStyle/>
        <a:p>
          <a:endParaRPr lang="es-MX"/>
        </a:p>
      </dgm:t>
    </dgm:pt>
    <dgm:pt modelId="{3E64EAAE-6152-4B7A-8F95-983706547E63}" type="sibTrans" cxnId="{4CBBD22C-CCA3-41A6-820C-FC6AC4D48DF5}">
      <dgm:prSet/>
      <dgm:spPr/>
      <dgm:t>
        <a:bodyPr/>
        <a:lstStyle/>
        <a:p>
          <a:endParaRPr lang="es-MX"/>
        </a:p>
      </dgm:t>
    </dgm:pt>
    <dgm:pt modelId="{2B556CE9-EDAE-418C-AC9B-1E70760F94CA}">
      <dgm:prSet custT="1"/>
      <dgm:spPr/>
      <dgm:t>
        <a:bodyPr/>
        <a:lstStyle/>
        <a:p>
          <a:pPr>
            <a:lnSpc>
              <a:spcPct val="100000"/>
            </a:lnSpc>
            <a:spcAft>
              <a:spcPts val="600"/>
            </a:spcAft>
          </a:pPr>
          <a:r>
            <a:rPr lang="es-MX" sz="800" b="1"/>
            <a:t>Eje transversal: </a:t>
          </a:r>
          <a:r>
            <a:rPr lang="es-MX" sz="800"/>
            <a:t>Fortalecimiento Institucional</a:t>
          </a:r>
        </a:p>
      </dgm:t>
    </dgm:pt>
    <dgm:pt modelId="{C21AF8D9-ABF9-43BB-8350-5A52914000A8}" type="parTrans" cxnId="{1D47F2A7-BC94-4CD5-B301-9514AF2E1976}">
      <dgm:prSet/>
      <dgm:spPr/>
      <dgm:t>
        <a:bodyPr/>
        <a:lstStyle/>
        <a:p>
          <a:endParaRPr lang="es-MX"/>
        </a:p>
      </dgm:t>
    </dgm:pt>
    <dgm:pt modelId="{B0DB6072-EAC2-4668-AB67-6A3B0D0100B0}" type="sibTrans" cxnId="{1D47F2A7-BC94-4CD5-B301-9514AF2E1976}">
      <dgm:prSet/>
      <dgm:spPr/>
      <dgm:t>
        <a:bodyPr/>
        <a:lstStyle/>
        <a:p>
          <a:endParaRPr lang="es-MX"/>
        </a:p>
      </dgm:t>
    </dgm:pt>
    <dgm:pt modelId="{10B4B7D8-AC3B-41DF-94DF-CB6D03B47731}">
      <dgm:prSet phldrT="[Texto]" custT="1"/>
      <dgm:spPr/>
      <dgm:t>
        <a:bodyPr/>
        <a:lstStyle/>
        <a:p>
          <a:pPr>
            <a:lnSpc>
              <a:spcPct val="100000"/>
            </a:lnSpc>
            <a:spcAft>
              <a:spcPts val="1200"/>
            </a:spcAft>
          </a:pPr>
          <a:r>
            <a:rPr lang="es-MX" sz="800" b="1"/>
            <a:t>Objetivo 2</a:t>
          </a:r>
          <a:r>
            <a:rPr lang="es-MX" sz="800"/>
            <a:t>. Elaborar estudios por solicitud en materia de regulación sectorial y competencia económica en telecomunicaciones y radiodifusión</a:t>
          </a:r>
        </a:p>
      </dgm:t>
    </dgm:pt>
    <dgm:pt modelId="{A025E839-E056-48A4-8845-8714883F8564}" type="parTrans" cxnId="{AFE37FD3-CC98-4ECD-BAA0-430F5A6D742C}">
      <dgm:prSet/>
      <dgm:spPr/>
      <dgm:t>
        <a:bodyPr/>
        <a:lstStyle/>
        <a:p>
          <a:endParaRPr lang="es-MX"/>
        </a:p>
      </dgm:t>
    </dgm:pt>
    <dgm:pt modelId="{9BC84163-94F0-43DD-B819-E0F6F6ABC3CF}" type="sibTrans" cxnId="{AFE37FD3-CC98-4ECD-BAA0-430F5A6D742C}">
      <dgm:prSet/>
      <dgm:spPr/>
      <dgm:t>
        <a:bodyPr/>
        <a:lstStyle/>
        <a:p>
          <a:endParaRPr lang="es-MX"/>
        </a:p>
      </dgm:t>
    </dgm:pt>
    <dgm:pt modelId="{7DAC00FD-15A2-4A10-86A0-909121179ED0}">
      <dgm:prSet phldrT="[Texto]" custT="1"/>
      <dgm:spPr/>
      <dgm:t>
        <a:bodyPr/>
        <a:lstStyle/>
        <a:p>
          <a:pPr>
            <a:lnSpc>
              <a:spcPct val="100000"/>
            </a:lnSpc>
            <a:spcAft>
              <a:spcPts val="1200"/>
            </a:spcAft>
          </a:pPr>
          <a:r>
            <a:rPr lang="es-MX" sz="800" b="1"/>
            <a:t>Objetivo 3</a:t>
          </a:r>
          <a:r>
            <a:rPr lang="es-MX" sz="800"/>
            <a:t>. Contribuir a la difusión del conocimiento de la regulación y la competencia en telecomunicaciones y radiodifusión, y en la realización de acciones de vinculación académica</a:t>
          </a:r>
        </a:p>
      </dgm:t>
    </dgm:pt>
    <dgm:pt modelId="{2F9F9EAB-F44E-4DF3-8056-24499194D6FF}" type="parTrans" cxnId="{34ACA4CB-678E-4E71-8550-60B676A92DD4}">
      <dgm:prSet/>
      <dgm:spPr/>
      <dgm:t>
        <a:bodyPr/>
        <a:lstStyle/>
        <a:p>
          <a:endParaRPr lang="es-MX"/>
        </a:p>
      </dgm:t>
    </dgm:pt>
    <dgm:pt modelId="{797A7DEE-067C-4E98-887F-B1380F676460}" type="sibTrans" cxnId="{34ACA4CB-678E-4E71-8550-60B676A92DD4}">
      <dgm:prSet/>
      <dgm:spPr/>
      <dgm:t>
        <a:bodyPr/>
        <a:lstStyle/>
        <a:p>
          <a:endParaRPr lang="es-MX"/>
        </a:p>
      </dgm:t>
    </dgm:pt>
    <dgm:pt modelId="{8AB5DCBF-C900-44FB-9898-F6E860E50E90}">
      <dgm:prSet phldrT="[Texto]" custT="1"/>
      <dgm:spPr/>
      <dgm:t>
        <a:bodyPr/>
        <a:lstStyle/>
        <a:p>
          <a:pPr>
            <a:lnSpc>
              <a:spcPct val="100000"/>
            </a:lnSpc>
            <a:spcAft>
              <a:spcPts val="1200"/>
            </a:spcAft>
          </a:pPr>
          <a:r>
            <a:rPr lang="es-MX" sz="800" b="1"/>
            <a:t>Objetivo 4</a:t>
          </a:r>
          <a:r>
            <a:rPr lang="es-MX" sz="800"/>
            <a:t>. Generar, contratar y administrar bases de datos y plataformas documentales</a:t>
          </a:r>
          <a:endParaRPr lang="es-MX" sz="700"/>
        </a:p>
      </dgm:t>
    </dgm:pt>
    <dgm:pt modelId="{136521DC-AB1C-47A5-9478-3ACA0F10C688}" type="parTrans" cxnId="{5F3AAE48-8F7B-4965-82A1-B92917F74335}">
      <dgm:prSet/>
      <dgm:spPr/>
      <dgm:t>
        <a:bodyPr/>
        <a:lstStyle/>
        <a:p>
          <a:endParaRPr lang="es-MX"/>
        </a:p>
      </dgm:t>
    </dgm:pt>
    <dgm:pt modelId="{0BBD9FD5-17BD-4AB2-BE19-50BB8DB4D46F}" type="sibTrans" cxnId="{5F3AAE48-8F7B-4965-82A1-B92917F74335}">
      <dgm:prSet/>
      <dgm:spPr/>
      <dgm:t>
        <a:bodyPr/>
        <a:lstStyle/>
        <a:p>
          <a:endParaRPr lang="es-MX"/>
        </a:p>
      </dgm:t>
    </dgm:pt>
    <dgm:pt modelId="{EA0E9115-C0FF-4233-860F-EF5456064619}">
      <dgm:prSet phldrT="[Texto]" custT="1"/>
      <dgm:spPr/>
      <dgm:t>
        <a:bodyPr/>
        <a:lstStyle/>
        <a:p>
          <a:pPr>
            <a:lnSpc>
              <a:spcPct val="100000"/>
            </a:lnSpc>
            <a:spcAft>
              <a:spcPts val="600"/>
            </a:spcAft>
          </a:pPr>
          <a:r>
            <a:rPr lang="es-MX" sz="800" b="1"/>
            <a:t>Objetivo2</a:t>
          </a:r>
          <a:r>
            <a:rPr lang="es-MX" sz="800"/>
            <a:t>: Promover e impulsar condiciones para el acceso universal a las tecnologías y servicios de las telecomunicaciones y la radiodifusión con el objeto de maximizar el bienestar social</a:t>
          </a:r>
        </a:p>
      </dgm:t>
    </dgm:pt>
    <dgm:pt modelId="{15C43575-CADB-495A-91A1-4CFFA6E02DDE}" type="parTrans" cxnId="{FAB36027-24C6-4359-A7B4-EECD7C7CEF77}">
      <dgm:prSet/>
      <dgm:spPr/>
      <dgm:t>
        <a:bodyPr/>
        <a:lstStyle/>
        <a:p>
          <a:endParaRPr lang="es-MX"/>
        </a:p>
      </dgm:t>
    </dgm:pt>
    <dgm:pt modelId="{C97F2CD6-E392-438B-AFAC-924EFFBA5522}" type="sibTrans" cxnId="{FAB36027-24C6-4359-A7B4-EECD7C7CEF77}">
      <dgm:prSet/>
      <dgm:spPr/>
      <dgm:t>
        <a:bodyPr/>
        <a:lstStyle/>
        <a:p>
          <a:endParaRPr lang="es-MX"/>
        </a:p>
      </dgm:t>
    </dgm:pt>
    <dgm:pt modelId="{69182846-A2D3-4ABB-9820-678BAEC4E3F7}">
      <dgm:prSet phldrT="[Texto]" custT="1"/>
      <dgm:spPr/>
      <dgm:t>
        <a:bodyPr/>
        <a:lstStyle/>
        <a:p>
          <a:pPr>
            <a:lnSpc>
              <a:spcPct val="100000"/>
            </a:lnSpc>
            <a:spcAft>
              <a:spcPts val="600"/>
            </a:spcAft>
          </a:pPr>
          <a:r>
            <a:rPr lang="es-MX" sz="800" b="1"/>
            <a:t>Objetivo 3</a:t>
          </a:r>
          <a:r>
            <a:rPr lang="es-MX" sz="800"/>
            <a:t>: Garantizar que la prestación de los servicios de las telecomunicaciones y la radiodifusión que recibe la población sea acorde con los niveles de calidad bajo parámetros internacionales</a:t>
          </a:r>
        </a:p>
      </dgm:t>
    </dgm:pt>
    <dgm:pt modelId="{C59AE390-262C-4E30-86A2-E4D72A389D53}" type="parTrans" cxnId="{548A7DA8-4CB1-403E-BEEB-4773231611AE}">
      <dgm:prSet/>
      <dgm:spPr/>
      <dgm:t>
        <a:bodyPr/>
        <a:lstStyle/>
        <a:p>
          <a:endParaRPr lang="es-MX"/>
        </a:p>
      </dgm:t>
    </dgm:pt>
    <dgm:pt modelId="{F3321572-E319-4408-92BC-3D61C07000C1}" type="sibTrans" cxnId="{548A7DA8-4CB1-403E-BEEB-4773231611AE}">
      <dgm:prSet/>
      <dgm:spPr/>
      <dgm:t>
        <a:bodyPr/>
        <a:lstStyle/>
        <a:p>
          <a:endParaRPr lang="es-MX"/>
        </a:p>
      </dgm:t>
    </dgm:pt>
    <dgm:pt modelId="{27D4CAC9-C31D-4B8C-9FB5-3587FDC86EE9}">
      <dgm:prSet phldrT="[Texto]" custT="1"/>
      <dgm:spPr/>
      <dgm:t>
        <a:bodyPr/>
        <a:lstStyle/>
        <a:p>
          <a:pPr>
            <a:lnSpc>
              <a:spcPct val="100000"/>
            </a:lnSpc>
            <a:spcAft>
              <a:spcPts val="600"/>
            </a:spcAft>
          </a:pPr>
          <a:r>
            <a:rPr lang="es-MX" sz="800" b="1"/>
            <a:t>Objetivo 4</a:t>
          </a:r>
          <a:r>
            <a:rPr lang="es-MX" sz="800"/>
            <a:t>. Fomentar el respeto a los derechos de los usuarios finales y de las audiencias en los servicios de las telecomunicaciones y la radiodifusión</a:t>
          </a:r>
        </a:p>
      </dgm:t>
    </dgm:pt>
    <dgm:pt modelId="{E959FCE8-36CC-44B1-B9A8-DA63B1B871D0}" type="parTrans" cxnId="{1111D74F-5B0F-4C8F-B1DA-07D21A514A5B}">
      <dgm:prSet/>
      <dgm:spPr/>
      <dgm:t>
        <a:bodyPr/>
        <a:lstStyle/>
        <a:p>
          <a:endParaRPr lang="es-MX"/>
        </a:p>
      </dgm:t>
    </dgm:pt>
    <dgm:pt modelId="{1426399D-D7CE-41CE-B06B-C40C53947559}" type="sibTrans" cxnId="{1111D74F-5B0F-4C8F-B1DA-07D21A514A5B}">
      <dgm:prSet/>
      <dgm:spPr/>
      <dgm:t>
        <a:bodyPr/>
        <a:lstStyle/>
        <a:p>
          <a:endParaRPr lang="es-MX"/>
        </a:p>
      </dgm:t>
    </dgm:pt>
    <dgm:pt modelId="{F06FC0B7-5230-496B-9798-BDA91968F6B6}" type="pres">
      <dgm:prSet presAssocID="{AA298A5B-781D-41F8-85A4-18BADB8AF566}" presName="linearFlow" presStyleCnt="0">
        <dgm:presLayoutVars>
          <dgm:dir/>
          <dgm:animLvl val="lvl"/>
          <dgm:resizeHandles val="exact"/>
        </dgm:presLayoutVars>
      </dgm:prSet>
      <dgm:spPr/>
      <dgm:t>
        <a:bodyPr/>
        <a:lstStyle/>
        <a:p>
          <a:endParaRPr lang="es-ES"/>
        </a:p>
      </dgm:t>
    </dgm:pt>
    <dgm:pt modelId="{8EE70CB1-EF2D-423A-961A-F89BA5EC4576}" type="pres">
      <dgm:prSet presAssocID="{913B7C7D-66D8-4FB3-8C45-0734B559CB73}" presName="composite" presStyleCnt="0"/>
      <dgm:spPr/>
    </dgm:pt>
    <dgm:pt modelId="{A5F138F2-B606-4D3C-A3EA-89F027DC3113}" type="pres">
      <dgm:prSet presAssocID="{913B7C7D-66D8-4FB3-8C45-0734B559CB73}" presName="parentText" presStyleLbl="alignNode1" presStyleIdx="0" presStyleCnt="2">
        <dgm:presLayoutVars>
          <dgm:chMax val="1"/>
          <dgm:bulletEnabled val="1"/>
        </dgm:presLayoutVars>
      </dgm:prSet>
      <dgm:spPr/>
      <dgm:t>
        <a:bodyPr/>
        <a:lstStyle/>
        <a:p>
          <a:endParaRPr lang="es-ES"/>
        </a:p>
      </dgm:t>
    </dgm:pt>
    <dgm:pt modelId="{77825BA2-2322-44F3-8815-E2C2B952C097}" type="pres">
      <dgm:prSet presAssocID="{913B7C7D-66D8-4FB3-8C45-0734B559CB73}" presName="descendantText" presStyleLbl="alignAcc1" presStyleIdx="0" presStyleCnt="2" custScaleX="96284" custScaleY="149041">
        <dgm:presLayoutVars>
          <dgm:bulletEnabled val="1"/>
        </dgm:presLayoutVars>
      </dgm:prSet>
      <dgm:spPr/>
      <dgm:t>
        <a:bodyPr/>
        <a:lstStyle/>
        <a:p>
          <a:endParaRPr lang="es-MX"/>
        </a:p>
      </dgm:t>
    </dgm:pt>
    <dgm:pt modelId="{036C3D15-AB1C-4DD7-8847-FEE78D6A7F01}" type="pres">
      <dgm:prSet presAssocID="{DF94CFDE-91E3-448D-99DF-106B661BCEED}" presName="sp" presStyleCnt="0"/>
      <dgm:spPr/>
    </dgm:pt>
    <dgm:pt modelId="{267FFF56-8D8D-4CFC-91E4-BD8465ECF399}" type="pres">
      <dgm:prSet presAssocID="{774BF408-14BB-4F36-B3EF-A3570F80B4F6}" presName="composite" presStyleCnt="0"/>
      <dgm:spPr/>
    </dgm:pt>
    <dgm:pt modelId="{0727D416-E297-4291-BAC1-340A10ED12FE}" type="pres">
      <dgm:prSet presAssocID="{774BF408-14BB-4F36-B3EF-A3570F80B4F6}" presName="parentText" presStyleLbl="alignNode1" presStyleIdx="1" presStyleCnt="2">
        <dgm:presLayoutVars>
          <dgm:chMax val="1"/>
          <dgm:bulletEnabled val="1"/>
        </dgm:presLayoutVars>
      </dgm:prSet>
      <dgm:spPr/>
      <dgm:t>
        <a:bodyPr/>
        <a:lstStyle/>
        <a:p>
          <a:endParaRPr lang="es-ES"/>
        </a:p>
      </dgm:t>
    </dgm:pt>
    <dgm:pt modelId="{E2197DE5-C0C1-4247-AFE0-C1D60A0CE7B2}" type="pres">
      <dgm:prSet presAssocID="{774BF408-14BB-4F36-B3EF-A3570F80B4F6}" presName="descendantText" presStyleLbl="alignAcc1" presStyleIdx="1" presStyleCnt="2" custScaleX="96774" custScaleY="128515">
        <dgm:presLayoutVars>
          <dgm:bulletEnabled val="1"/>
        </dgm:presLayoutVars>
      </dgm:prSet>
      <dgm:spPr/>
      <dgm:t>
        <a:bodyPr/>
        <a:lstStyle/>
        <a:p>
          <a:endParaRPr lang="es-MX"/>
        </a:p>
      </dgm:t>
    </dgm:pt>
  </dgm:ptLst>
  <dgm:cxnLst>
    <dgm:cxn modelId="{32069EB1-556A-4AE3-BD04-58FEDFE2DF1C}" type="presOf" srcId="{913B7C7D-66D8-4FB3-8C45-0734B559CB73}" destId="{A5F138F2-B606-4D3C-A3EA-89F027DC3113}" srcOrd="0" destOrd="0" presId="urn:microsoft.com/office/officeart/2005/8/layout/chevron2"/>
    <dgm:cxn modelId="{4C544849-95DD-4561-BF67-97025666911D}" type="presOf" srcId="{F55AE6A7-3721-4A6A-A5AB-2C4F45D22AB9}" destId="{77825BA2-2322-44F3-8815-E2C2B952C097}" srcOrd="0" destOrd="0" presId="urn:microsoft.com/office/officeart/2005/8/layout/chevron2"/>
    <dgm:cxn modelId="{0EEB31DA-4525-473C-B0E9-95379753E7A3}" type="presOf" srcId="{7DAC00FD-15A2-4A10-86A0-909121179ED0}" destId="{E2197DE5-C0C1-4247-AFE0-C1D60A0CE7B2}" srcOrd="0" destOrd="2" presId="urn:microsoft.com/office/officeart/2005/8/layout/chevron2"/>
    <dgm:cxn modelId="{F4076CD4-2322-48F8-9735-6301B1A552CF}" type="presOf" srcId="{EA0E9115-C0FF-4233-860F-EF5456064619}" destId="{77825BA2-2322-44F3-8815-E2C2B952C097}" srcOrd="0" destOrd="1" presId="urn:microsoft.com/office/officeart/2005/8/layout/chevron2"/>
    <dgm:cxn modelId="{12EA037C-6209-430E-B8AA-E32F507C1C03}" type="presOf" srcId="{8AB5DCBF-C900-44FB-9898-F6E860E50E90}" destId="{E2197DE5-C0C1-4247-AFE0-C1D60A0CE7B2}" srcOrd="0" destOrd="3" presId="urn:microsoft.com/office/officeart/2005/8/layout/chevron2"/>
    <dgm:cxn modelId="{1111D74F-5B0F-4C8F-B1DA-07D21A514A5B}" srcId="{913B7C7D-66D8-4FB3-8C45-0734B559CB73}" destId="{27D4CAC9-C31D-4B8C-9FB5-3587FDC86EE9}" srcOrd="3" destOrd="0" parTransId="{E959FCE8-36CC-44B1-B9A8-DA63B1B871D0}" sibTransId="{1426399D-D7CE-41CE-B06B-C40C53947559}"/>
    <dgm:cxn modelId="{A712CB85-5E53-49DE-83D7-F71A44A96B48}" type="presOf" srcId="{27D4CAC9-C31D-4B8C-9FB5-3587FDC86EE9}" destId="{77825BA2-2322-44F3-8815-E2C2B952C097}" srcOrd="0" destOrd="3" presId="urn:microsoft.com/office/officeart/2005/8/layout/chevron2"/>
    <dgm:cxn modelId="{5F3AAE48-8F7B-4965-82A1-B92917F74335}" srcId="{774BF408-14BB-4F36-B3EF-A3570F80B4F6}" destId="{8AB5DCBF-C900-44FB-9898-F6E860E50E90}" srcOrd="3" destOrd="0" parTransId="{136521DC-AB1C-47A5-9478-3ACA0F10C688}" sibTransId="{0BBD9FD5-17BD-4AB2-BE19-50BB8DB4D46F}"/>
    <dgm:cxn modelId="{548A7DA8-4CB1-403E-BEEB-4773231611AE}" srcId="{913B7C7D-66D8-4FB3-8C45-0734B559CB73}" destId="{69182846-A2D3-4ABB-9820-678BAEC4E3F7}" srcOrd="2" destOrd="0" parTransId="{C59AE390-262C-4E30-86A2-E4D72A389D53}" sibTransId="{F3321572-E319-4408-92BC-3D61C07000C1}"/>
    <dgm:cxn modelId="{CF7619AC-5AA1-4065-9173-884FB2DDA07B}" type="presOf" srcId="{69182846-A2D3-4ABB-9820-678BAEC4E3F7}" destId="{77825BA2-2322-44F3-8815-E2C2B952C097}" srcOrd="0" destOrd="2" presId="urn:microsoft.com/office/officeart/2005/8/layout/chevron2"/>
    <dgm:cxn modelId="{22A85077-9C34-49FA-923D-D0C4E45289AF}" type="presOf" srcId="{774BF408-14BB-4F36-B3EF-A3570F80B4F6}" destId="{0727D416-E297-4291-BAC1-340A10ED12FE}" srcOrd="0" destOrd="0" presId="urn:microsoft.com/office/officeart/2005/8/layout/chevron2"/>
    <dgm:cxn modelId="{E91B647B-E41B-4016-AE26-36CCD94622B9}" srcId="{AA298A5B-781D-41F8-85A4-18BADB8AF566}" destId="{774BF408-14BB-4F36-B3EF-A3570F80B4F6}" srcOrd="1" destOrd="0" parTransId="{3156E842-2EED-40FF-A8C3-15E4CAC16D28}" sibTransId="{D7F3952A-B459-45F3-8C0E-999392F990CC}"/>
    <dgm:cxn modelId="{8CB0C8BC-125B-4B9B-BABD-9E18BE0E1CFA}" srcId="{AA298A5B-781D-41F8-85A4-18BADB8AF566}" destId="{913B7C7D-66D8-4FB3-8C45-0734B559CB73}" srcOrd="0" destOrd="0" parTransId="{89B8C5B0-2471-4988-A9E8-ABCF9E2D4CAF}" sibTransId="{DF94CFDE-91E3-448D-99DF-106B661BCEED}"/>
    <dgm:cxn modelId="{1738C36D-5FC8-4C97-AD09-65C3E6A1EDEB}" type="presOf" srcId="{AA298A5B-781D-41F8-85A4-18BADB8AF566}" destId="{F06FC0B7-5230-496B-9798-BDA91968F6B6}" srcOrd="0" destOrd="0" presId="urn:microsoft.com/office/officeart/2005/8/layout/chevron2"/>
    <dgm:cxn modelId="{34ACA4CB-678E-4E71-8550-60B676A92DD4}" srcId="{774BF408-14BB-4F36-B3EF-A3570F80B4F6}" destId="{7DAC00FD-15A2-4A10-86A0-909121179ED0}" srcOrd="2" destOrd="0" parTransId="{2F9F9EAB-F44E-4DF3-8056-24499194D6FF}" sibTransId="{797A7DEE-067C-4E98-887F-B1380F676460}"/>
    <dgm:cxn modelId="{31138AE0-FEAD-4396-B49F-2E1FA0BEC05D}" type="presOf" srcId="{10B4B7D8-AC3B-41DF-94DF-CB6D03B47731}" destId="{E2197DE5-C0C1-4247-AFE0-C1D60A0CE7B2}" srcOrd="0" destOrd="1" presId="urn:microsoft.com/office/officeart/2005/8/layout/chevron2"/>
    <dgm:cxn modelId="{4CBBD22C-CCA3-41A6-820C-FC6AC4D48DF5}" srcId="{774BF408-14BB-4F36-B3EF-A3570F80B4F6}" destId="{4FCC7132-9C7A-4059-88B4-8566B340E6A2}" srcOrd="0" destOrd="0" parTransId="{9BEE7485-D714-4FD6-9ECA-D1BB5F5C7344}" sibTransId="{3E64EAAE-6152-4B7A-8F95-983706547E63}"/>
    <dgm:cxn modelId="{AFE37FD3-CC98-4ECD-BAA0-430F5A6D742C}" srcId="{774BF408-14BB-4F36-B3EF-A3570F80B4F6}" destId="{10B4B7D8-AC3B-41DF-94DF-CB6D03B47731}" srcOrd="1" destOrd="0" parTransId="{A025E839-E056-48A4-8845-8714883F8564}" sibTransId="{9BC84163-94F0-43DD-B819-E0F6F6ABC3CF}"/>
    <dgm:cxn modelId="{FAB36027-24C6-4359-A7B4-EECD7C7CEF77}" srcId="{913B7C7D-66D8-4FB3-8C45-0734B559CB73}" destId="{EA0E9115-C0FF-4233-860F-EF5456064619}" srcOrd="1" destOrd="0" parTransId="{15C43575-CADB-495A-91A1-4CFFA6E02DDE}" sibTransId="{C97F2CD6-E392-438B-AFAC-924EFFBA5522}"/>
    <dgm:cxn modelId="{02CD77C5-4452-4B96-86F4-2B9EAFE92337}" srcId="{913B7C7D-66D8-4FB3-8C45-0734B559CB73}" destId="{F55AE6A7-3721-4A6A-A5AB-2C4F45D22AB9}" srcOrd="0" destOrd="0" parTransId="{078D2887-418F-4A09-8561-AE0D21E40A40}" sibTransId="{0BAD6079-5693-4A96-9480-E286CA1F6475}"/>
    <dgm:cxn modelId="{7579685C-C4B1-4AA3-9030-8E7A88DC25AB}" type="presOf" srcId="{2B556CE9-EDAE-418C-AC9B-1E70760F94CA}" destId="{77825BA2-2322-44F3-8815-E2C2B952C097}" srcOrd="0" destOrd="4" presId="urn:microsoft.com/office/officeart/2005/8/layout/chevron2"/>
    <dgm:cxn modelId="{1D47F2A7-BC94-4CD5-B301-9514AF2E1976}" srcId="{913B7C7D-66D8-4FB3-8C45-0734B559CB73}" destId="{2B556CE9-EDAE-418C-AC9B-1E70760F94CA}" srcOrd="4" destOrd="0" parTransId="{C21AF8D9-ABF9-43BB-8350-5A52914000A8}" sibTransId="{B0DB6072-EAC2-4668-AB67-6A3B0D0100B0}"/>
    <dgm:cxn modelId="{1D947604-6BC0-4442-81EA-7EB5EF813D2C}" type="presOf" srcId="{4FCC7132-9C7A-4059-88B4-8566B340E6A2}" destId="{E2197DE5-C0C1-4247-AFE0-C1D60A0CE7B2}" srcOrd="0" destOrd="0" presId="urn:microsoft.com/office/officeart/2005/8/layout/chevron2"/>
    <dgm:cxn modelId="{A3BC7C5C-5744-4EF5-B748-E49582B0A10F}" type="presParOf" srcId="{F06FC0B7-5230-496B-9798-BDA91968F6B6}" destId="{8EE70CB1-EF2D-423A-961A-F89BA5EC4576}" srcOrd="0" destOrd="0" presId="urn:microsoft.com/office/officeart/2005/8/layout/chevron2"/>
    <dgm:cxn modelId="{EBD218C4-20A7-4C78-BA4E-B4B37158554F}" type="presParOf" srcId="{8EE70CB1-EF2D-423A-961A-F89BA5EC4576}" destId="{A5F138F2-B606-4D3C-A3EA-89F027DC3113}" srcOrd="0" destOrd="0" presId="urn:microsoft.com/office/officeart/2005/8/layout/chevron2"/>
    <dgm:cxn modelId="{0F22AAB2-0948-4514-BEE8-96DEC9DAC0A5}" type="presParOf" srcId="{8EE70CB1-EF2D-423A-961A-F89BA5EC4576}" destId="{77825BA2-2322-44F3-8815-E2C2B952C097}" srcOrd="1" destOrd="0" presId="urn:microsoft.com/office/officeart/2005/8/layout/chevron2"/>
    <dgm:cxn modelId="{83E4797B-DFA5-49B6-A84D-0F3BAC1D0246}" type="presParOf" srcId="{F06FC0B7-5230-496B-9798-BDA91968F6B6}" destId="{036C3D15-AB1C-4DD7-8847-FEE78D6A7F01}" srcOrd="1" destOrd="0" presId="urn:microsoft.com/office/officeart/2005/8/layout/chevron2"/>
    <dgm:cxn modelId="{0EE9604B-B2D1-4DAA-B20B-02FD712CB263}" type="presParOf" srcId="{F06FC0B7-5230-496B-9798-BDA91968F6B6}" destId="{267FFF56-8D8D-4CFC-91E4-BD8465ECF399}" srcOrd="2" destOrd="0" presId="urn:microsoft.com/office/officeart/2005/8/layout/chevron2"/>
    <dgm:cxn modelId="{63CB43AE-15C9-4253-A30D-3DE557FCA976}" type="presParOf" srcId="{267FFF56-8D8D-4CFC-91E4-BD8465ECF399}" destId="{0727D416-E297-4291-BAC1-340A10ED12FE}" srcOrd="0" destOrd="0" presId="urn:microsoft.com/office/officeart/2005/8/layout/chevron2"/>
    <dgm:cxn modelId="{2D90CF2C-8BFA-4C44-A499-878A03DA6C90}" type="presParOf" srcId="{267FFF56-8D8D-4CFC-91E4-BD8465ECF399}" destId="{E2197DE5-C0C1-4247-AFE0-C1D60A0CE7B2}"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F138F2-B606-4D3C-A3EA-89F027DC3113}">
      <dsp:nvSpPr>
        <dsp:cNvPr id="0" name=""/>
        <dsp:cNvSpPr/>
      </dsp:nvSpPr>
      <dsp:spPr>
        <a:xfrm rot="5400000">
          <a:off x="-232496" y="574494"/>
          <a:ext cx="1788653" cy="125205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MX" sz="1800" kern="1200"/>
            <a:t>IFT</a:t>
          </a:r>
        </a:p>
      </dsp:txBody>
      <dsp:txXfrm rot="-5400000">
        <a:off x="35803" y="932225"/>
        <a:ext cx="1252057" cy="536596"/>
      </dsp:txXfrm>
    </dsp:sp>
    <dsp:sp modelId="{77825BA2-2322-44F3-8815-E2C2B952C097}">
      <dsp:nvSpPr>
        <dsp:cNvPr id="0" name=""/>
        <dsp:cNvSpPr/>
      </dsp:nvSpPr>
      <dsp:spPr>
        <a:xfrm rot="5400000">
          <a:off x="2641030" y="-1249577"/>
          <a:ext cx="1732787" cy="427417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100000"/>
            </a:lnSpc>
            <a:spcBef>
              <a:spcPct val="0"/>
            </a:spcBef>
            <a:spcAft>
              <a:spcPts val="600"/>
            </a:spcAft>
            <a:buChar char="••"/>
          </a:pPr>
          <a:r>
            <a:rPr lang="es-ES" sz="800" b="1" kern="1200"/>
            <a:t>Objetivo 1</a:t>
          </a:r>
          <a:r>
            <a:rPr lang="es-ES" sz="800" kern="1200"/>
            <a:t>: Promover e impulsar que los usuarios y las audiencias tengan mejores opciones de servicios públicos a precios asequibles, a través del impulso de la competencia y libre concurrencia</a:t>
          </a:r>
          <a:r>
            <a:rPr lang="es-MX" sz="800" kern="1200"/>
            <a:t> de los sectores regulados</a:t>
          </a:r>
        </a:p>
        <a:p>
          <a:pPr marL="57150" lvl="1" indent="-57150" algn="l" defTabSz="355600">
            <a:lnSpc>
              <a:spcPct val="100000"/>
            </a:lnSpc>
            <a:spcBef>
              <a:spcPct val="0"/>
            </a:spcBef>
            <a:spcAft>
              <a:spcPts val="600"/>
            </a:spcAft>
            <a:buChar char="••"/>
          </a:pPr>
          <a:r>
            <a:rPr lang="es-MX" sz="800" b="1" kern="1200"/>
            <a:t>Objetivo2</a:t>
          </a:r>
          <a:r>
            <a:rPr lang="es-MX" sz="800" kern="1200"/>
            <a:t>: Promover e impulsar condiciones para el acceso universal a las tecnologías y servicios de las telecomunicaciones y la radiodifusión con el objeto de maximizar el bienestar social</a:t>
          </a:r>
        </a:p>
        <a:p>
          <a:pPr marL="57150" lvl="1" indent="-57150" algn="l" defTabSz="355600">
            <a:lnSpc>
              <a:spcPct val="100000"/>
            </a:lnSpc>
            <a:spcBef>
              <a:spcPct val="0"/>
            </a:spcBef>
            <a:spcAft>
              <a:spcPts val="600"/>
            </a:spcAft>
            <a:buChar char="••"/>
          </a:pPr>
          <a:r>
            <a:rPr lang="es-MX" sz="800" b="1" kern="1200"/>
            <a:t>Objetivo 3</a:t>
          </a:r>
          <a:r>
            <a:rPr lang="es-MX" sz="800" kern="1200"/>
            <a:t>: Garantizar que la prestación de los servicios de las telecomunicaciones y la radiodifusión que recibe la población sea acorde con los niveles de calidad bajo parámetros internacionales</a:t>
          </a:r>
        </a:p>
        <a:p>
          <a:pPr marL="57150" lvl="1" indent="-57150" algn="l" defTabSz="355600">
            <a:lnSpc>
              <a:spcPct val="100000"/>
            </a:lnSpc>
            <a:spcBef>
              <a:spcPct val="0"/>
            </a:spcBef>
            <a:spcAft>
              <a:spcPts val="600"/>
            </a:spcAft>
            <a:buChar char="••"/>
          </a:pPr>
          <a:r>
            <a:rPr lang="es-MX" sz="800" b="1" kern="1200"/>
            <a:t>Objetivo 4</a:t>
          </a:r>
          <a:r>
            <a:rPr lang="es-MX" sz="800" kern="1200"/>
            <a:t>. Fomentar el respeto a los derechos de los usuarios finales y de las audiencias en los servicios de las telecomunicaciones y la radiodifusión</a:t>
          </a:r>
        </a:p>
        <a:p>
          <a:pPr marL="57150" lvl="1" indent="-57150" algn="l" defTabSz="355600">
            <a:lnSpc>
              <a:spcPct val="100000"/>
            </a:lnSpc>
            <a:spcBef>
              <a:spcPct val="0"/>
            </a:spcBef>
            <a:spcAft>
              <a:spcPts val="600"/>
            </a:spcAft>
            <a:buChar char="••"/>
          </a:pPr>
          <a:r>
            <a:rPr lang="es-MX" sz="800" b="1" kern="1200"/>
            <a:t>Eje transversal: </a:t>
          </a:r>
          <a:r>
            <a:rPr lang="es-MX" sz="800" kern="1200"/>
            <a:t>Fortalecimiento Institucional</a:t>
          </a:r>
        </a:p>
      </dsp:txBody>
      <dsp:txXfrm rot="-5400000">
        <a:off x="1370338" y="105703"/>
        <a:ext cx="4189584" cy="1563611"/>
      </dsp:txXfrm>
    </dsp:sp>
    <dsp:sp modelId="{0727D416-E297-4291-BAC1-340A10ED12FE}">
      <dsp:nvSpPr>
        <dsp:cNvPr id="0" name=""/>
        <dsp:cNvSpPr/>
      </dsp:nvSpPr>
      <dsp:spPr>
        <a:xfrm rot="5400000">
          <a:off x="-232496" y="2278054"/>
          <a:ext cx="1788653" cy="125205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MX" sz="1800" kern="1200"/>
            <a:t>Centro de Estudios</a:t>
          </a:r>
        </a:p>
      </dsp:txBody>
      <dsp:txXfrm rot="-5400000">
        <a:off x="35803" y="2635785"/>
        <a:ext cx="1252057" cy="536596"/>
      </dsp:txXfrm>
    </dsp:sp>
    <dsp:sp modelId="{E2197DE5-C0C1-4247-AFE0-C1D60A0CE7B2}">
      <dsp:nvSpPr>
        <dsp:cNvPr id="0" name=""/>
        <dsp:cNvSpPr/>
      </dsp:nvSpPr>
      <dsp:spPr>
        <a:xfrm rot="5400000">
          <a:off x="2760350" y="443107"/>
          <a:ext cx="1494147" cy="429592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100000"/>
            </a:lnSpc>
            <a:spcBef>
              <a:spcPct val="0"/>
            </a:spcBef>
            <a:spcAft>
              <a:spcPts val="1200"/>
            </a:spcAft>
            <a:buChar char="••"/>
          </a:pPr>
          <a:r>
            <a:rPr lang="es-MX" sz="800" b="1" kern="1200"/>
            <a:t>Objetivo 1</a:t>
          </a:r>
          <a:r>
            <a:rPr lang="es-MX" sz="800" kern="1200"/>
            <a:t>. Elaborar estudios programados en materia de regulación sectorial y competencia económica en telecomunicaciones y radiodifusión</a:t>
          </a:r>
        </a:p>
        <a:p>
          <a:pPr marL="57150" lvl="1" indent="-57150" algn="l" defTabSz="355600">
            <a:lnSpc>
              <a:spcPct val="100000"/>
            </a:lnSpc>
            <a:spcBef>
              <a:spcPct val="0"/>
            </a:spcBef>
            <a:spcAft>
              <a:spcPts val="1200"/>
            </a:spcAft>
            <a:buChar char="••"/>
          </a:pPr>
          <a:r>
            <a:rPr lang="es-MX" sz="800" b="1" kern="1200"/>
            <a:t>Objetivo 2</a:t>
          </a:r>
          <a:r>
            <a:rPr lang="es-MX" sz="800" kern="1200"/>
            <a:t>. Elaborar estudios por solicitud en materia de regulación sectorial y competencia económica en telecomunicaciones y radiodifusión</a:t>
          </a:r>
        </a:p>
        <a:p>
          <a:pPr marL="57150" lvl="1" indent="-57150" algn="l" defTabSz="355600">
            <a:lnSpc>
              <a:spcPct val="100000"/>
            </a:lnSpc>
            <a:spcBef>
              <a:spcPct val="0"/>
            </a:spcBef>
            <a:spcAft>
              <a:spcPts val="1200"/>
            </a:spcAft>
            <a:buChar char="••"/>
          </a:pPr>
          <a:r>
            <a:rPr lang="es-MX" sz="800" b="1" kern="1200"/>
            <a:t>Objetivo 3</a:t>
          </a:r>
          <a:r>
            <a:rPr lang="es-MX" sz="800" kern="1200"/>
            <a:t>. Contribuir a la difusión del conocimiento de la regulación y la competencia en telecomunicaciones y radiodifusión, y en la realización de acciones de vinculación académica</a:t>
          </a:r>
        </a:p>
        <a:p>
          <a:pPr marL="57150" lvl="1" indent="-57150" algn="l" defTabSz="355600">
            <a:lnSpc>
              <a:spcPct val="100000"/>
            </a:lnSpc>
            <a:spcBef>
              <a:spcPct val="0"/>
            </a:spcBef>
            <a:spcAft>
              <a:spcPts val="1200"/>
            </a:spcAft>
            <a:buChar char="••"/>
          </a:pPr>
          <a:r>
            <a:rPr lang="es-MX" sz="800" b="1" kern="1200"/>
            <a:t>Objetivo 4</a:t>
          </a:r>
          <a:r>
            <a:rPr lang="es-MX" sz="800" kern="1200"/>
            <a:t>. Generar, contratar y administrar bases de datos y plataformas documentales</a:t>
          </a:r>
          <a:endParaRPr lang="es-MX" sz="700" kern="1200"/>
        </a:p>
      </dsp:txBody>
      <dsp:txXfrm rot="-5400000">
        <a:off x="1359462" y="1916933"/>
        <a:ext cx="4222985" cy="134827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5A916FB73F4322AFF6F3DBE9F037F8"/>
        <w:category>
          <w:name w:val="General"/>
          <w:gallery w:val="placeholder"/>
        </w:category>
        <w:types>
          <w:type w:val="bbPlcHdr"/>
        </w:types>
        <w:behaviors>
          <w:behavior w:val="content"/>
        </w:behaviors>
        <w:guid w:val="{4BF0B703-05BA-47EF-A2B3-FBF88F9D5897}"/>
      </w:docPartPr>
      <w:docPartBody>
        <w:p w:rsidR="00FD4108" w:rsidRDefault="00FD4108" w:rsidP="00FD4108">
          <w:pPr>
            <w:pStyle w:val="145A916FB73F4322AFF6F3DBE9F037F8"/>
          </w:pPr>
          <w:r w:rsidRPr="007F229F">
            <w:rPr>
              <w:rStyle w:val="Textodelmarcadordeposicin"/>
            </w:rPr>
            <w:t>[Nombre del Proyecto]</w:t>
          </w:r>
        </w:p>
      </w:docPartBody>
    </w:docPart>
    <w:docPart>
      <w:docPartPr>
        <w:name w:val="3395FACE80864B9DBC2B3256CE8EFD4C"/>
        <w:category>
          <w:name w:val="General"/>
          <w:gallery w:val="placeholder"/>
        </w:category>
        <w:types>
          <w:type w:val="bbPlcHdr"/>
        </w:types>
        <w:behaviors>
          <w:behavior w:val="content"/>
        </w:behaviors>
        <w:guid w:val="{1E4063F6-CABC-4D26-A6FF-77FD01A30BB1}"/>
      </w:docPartPr>
      <w:docPartBody>
        <w:p w:rsidR="00FD4108" w:rsidRDefault="00FD4108" w:rsidP="00FD4108">
          <w:pPr>
            <w:pStyle w:val="3395FACE80864B9DBC2B3256CE8EFD4C"/>
          </w:pPr>
          <w:r w:rsidRPr="007F229F">
            <w:rPr>
              <w:rStyle w:val="Textodelmarcadordeposicin"/>
            </w:rPr>
            <w:t>[Nombre del Proyecto]</w:t>
          </w:r>
        </w:p>
      </w:docPartBody>
    </w:docPart>
    <w:docPart>
      <w:docPartPr>
        <w:name w:val="324CB4EE2ECE415CA26120AC40A88AC6"/>
        <w:category>
          <w:name w:val="General"/>
          <w:gallery w:val="placeholder"/>
        </w:category>
        <w:types>
          <w:type w:val="bbPlcHdr"/>
        </w:types>
        <w:behaviors>
          <w:behavior w:val="content"/>
        </w:behaviors>
        <w:guid w:val="{F6273178-95F0-4BA8-8C38-79CCA6D9B0B8}"/>
      </w:docPartPr>
      <w:docPartBody>
        <w:p w:rsidR="00FD4108" w:rsidRDefault="00FD4108" w:rsidP="00FD4108">
          <w:pPr>
            <w:pStyle w:val="324CB4EE2ECE415CA26120AC40A88AC6"/>
          </w:pPr>
          <w:r w:rsidRPr="007F229F">
            <w:rPr>
              <w:rStyle w:val="Textodelmarcadordeposicin"/>
            </w:rPr>
            <w:t>[Nombre del Proyecto]</w:t>
          </w:r>
        </w:p>
      </w:docPartBody>
    </w:docPart>
    <w:docPart>
      <w:docPartPr>
        <w:name w:val="FCE037FF30BC417AAF090C02008DE071"/>
        <w:category>
          <w:name w:val="General"/>
          <w:gallery w:val="placeholder"/>
        </w:category>
        <w:types>
          <w:type w:val="bbPlcHdr"/>
        </w:types>
        <w:behaviors>
          <w:behavior w:val="content"/>
        </w:behaviors>
        <w:guid w:val="{B1E352C8-8ED3-403F-9EA2-814D62CA953A}"/>
      </w:docPartPr>
      <w:docPartBody>
        <w:p w:rsidR="00FD4108" w:rsidRDefault="00FD4108" w:rsidP="00FD4108">
          <w:pPr>
            <w:pStyle w:val="FCE037FF30BC417AAF090C02008DE071"/>
          </w:pPr>
          <w:r w:rsidRPr="007F229F">
            <w:rPr>
              <w:rStyle w:val="Textodelmarcadordeposicin"/>
            </w:rPr>
            <w:t>[Nombre del Proyecto]</w:t>
          </w:r>
        </w:p>
      </w:docPartBody>
    </w:docPart>
    <w:docPart>
      <w:docPartPr>
        <w:name w:val="8410C910F0F1405DAEABC4BFBBE97802"/>
        <w:category>
          <w:name w:val="General"/>
          <w:gallery w:val="placeholder"/>
        </w:category>
        <w:types>
          <w:type w:val="bbPlcHdr"/>
        </w:types>
        <w:behaviors>
          <w:behavior w:val="content"/>
        </w:behaviors>
        <w:guid w:val="{4AE08311-16D1-4529-9DE4-CDEA8F7B2C31}"/>
      </w:docPartPr>
      <w:docPartBody>
        <w:p w:rsidR="00FD4108" w:rsidRDefault="00FD4108" w:rsidP="00FD4108">
          <w:pPr>
            <w:pStyle w:val="8410C910F0F1405DAEABC4BFBBE97802"/>
          </w:pPr>
          <w:r w:rsidRPr="007F229F">
            <w:rPr>
              <w:rStyle w:val="Textodelmarcadordeposicin"/>
            </w:rPr>
            <w:t>[Nombre del Proyecto]</w:t>
          </w:r>
        </w:p>
      </w:docPartBody>
    </w:docPart>
    <w:docPart>
      <w:docPartPr>
        <w:name w:val="722CAC5D477E41F997E5BE14F395EA84"/>
        <w:category>
          <w:name w:val="General"/>
          <w:gallery w:val="placeholder"/>
        </w:category>
        <w:types>
          <w:type w:val="bbPlcHdr"/>
        </w:types>
        <w:behaviors>
          <w:behavior w:val="content"/>
        </w:behaviors>
        <w:guid w:val="{DC2DBDAB-0494-4274-A0C0-0871987E9D32}"/>
      </w:docPartPr>
      <w:docPartBody>
        <w:p w:rsidR="00FD4108" w:rsidRDefault="00FD4108" w:rsidP="00FD4108">
          <w:pPr>
            <w:pStyle w:val="722CAC5D477E41F997E5BE14F395EA84"/>
          </w:pPr>
          <w:r w:rsidRPr="007F229F">
            <w:rPr>
              <w:rStyle w:val="Textodelmarcadordeposicin"/>
            </w:rPr>
            <w:t>[Nombre del Proyecto]</w:t>
          </w:r>
        </w:p>
      </w:docPartBody>
    </w:docPart>
    <w:docPart>
      <w:docPartPr>
        <w:name w:val="AC1EE0CACF834BE6A86472D9BF248E5D"/>
        <w:category>
          <w:name w:val="General"/>
          <w:gallery w:val="placeholder"/>
        </w:category>
        <w:types>
          <w:type w:val="bbPlcHdr"/>
        </w:types>
        <w:behaviors>
          <w:behavior w:val="content"/>
        </w:behaviors>
        <w:guid w:val="{A49CC6BC-E615-4549-96D9-6F9D3E99CE63}"/>
      </w:docPartPr>
      <w:docPartBody>
        <w:p w:rsidR="00FD4108" w:rsidRDefault="00FD4108" w:rsidP="00FD4108">
          <w:pPr>
            <w:pStyle w:val="AC1EE0CACF834BE6A86472D9BF248E5D"/>
          </w:pPr>
          <w:r w:rsidRPr="007F229F">
            <w:rPr>
              <w:rStyle w:val="Textodelmarcadordeposicin"/>
            </w:rPr>
            <w:t>[Nombre del Proyecto]</w:t>
          </w:r>
        </w:p>
      </w:docPartBody>
    </w:docPart>
    <w:docPart>
      <w:docPartPr>
        <w:name w:val="783CCD616EC749858E761E67260DE422"/>
        <w:category>
          <w:name w:val="General"/>
          <w:gallery w:val="placeholder"/>
        </w:category>
        <w:types>
          <w:type w:val="bbPlcHdr"/>
        </w:types>
        <w:behaviors>
          <w:behavior w:val="content"/>
        </w:behaviors>
        <w:guid w:val="{88CC97F3-37AF-4452-9104-25CC9AF10486}"/>
      </w:docPartPr>
      <w:docPartBody>
        <w:p w:rsidR="00FD4108" w:rsidRDefault="00FD4108" w:rsidP="00FD4108">
          <w:pPr>
            <w:pStyle w:val="783CCD616EC749858E761E67260DE422"/>
          </w:pPr>
          <w:r w:rsidRPr="007F229F">
            <w:rPr>
              <w:rStyle w:val="Textodelmarcadordeposicin"/>
            </w:rPr>
            <w:t>[Nombre del Proyecto]</w:t>
          </w:r>
        </w:p>
      </w:docPartBody>
    </w:docPart>
    <w:docPart>
      <w:docPartPr>
        <w:name w:val="C9DB57C985E04E6586A69063FF9C20BA"/>
        <w:category>
          <w:name w:val="General"/>
          <w:gallery w:val="placeholder"/>
        </w:category>
        <w:types>
          <w:type w:val="bbPlcHdr"/>
        </w:types>
        <w:behaviors>
          <w:behavior w:val="content"/>
        </w:behaviors>
        <w:guid w:val="{75A7DA3E-9FD7-4651-8A0F-0B8B784901F9}"/>
      </w:docPartPr>
      <w:docPartBody>
        <w:p w:rsidR="00FD4108" w:rsidRDefault="00FD4108" w:rsidP="00FD4108">
          <w:pPr>
            <w:pStyle w:val="C9DB57C985E04E6586A69063FF9C20BA"/>
          </w:pPr>
          <w:r w:rsidRPr="007F229F">
            <w:rPr>
              <w:rStyle w:val="Textodelmarcadordeposicin"/>
            </w:rPr>
            <w:t>[Nombre del Proyecto]</w:t>
          </w:r>
        </w:p>
      </w:docPartBody>
    </w:docPart>
    <w:docPart>
      <w:docPartPr>
        <w:name w:val="F3E31C7B581C4402BC53D7392F0D554B"/>
        <w:category>
          <w:name w:val="General"/>
          <w:gallery w:val="placeholder"/>
        </w:category>
        <w:types>
          <w:type w:val="bbPlcHdr"/>
        </w:types>
        <w:behaviors>
          <w:behavior w:val="content"/>
        </w:behaviors>
        <w:guid w:val="{A0A2F147-68B8-47AC-9C70-0F4D4907829E}"/>
      </w:docPartPr>
      <w:docPartBody>
        <w:p w:rsidR="00FD4108" w:rsidRDefault="00FD4108" w:rsidP="00FD4108">
          <w:pPr>
            <w:pStyle w:val="F3E31C7B581C4402BC53D7392F0D554B"/>
          </w:pPr>
          <w:r w:rsidRPr="007F229F">
            <w:rPr>
              <w:rStyle w:val="Textodelmarcadordeposicin"/>
            </w:rPr>
            <w:t>[Nombre del Proyecto]</w:t>
          </w:r>
        </w:p>
      </w:docPartBody>
    </w:docPart>
    <w:docPart>
      <w:docPartPr>
        <w:name w:val="FC2E6919F40C4063B7FFBBC1A4CBF49C"/>
        <w:category>
          <w:name w:val="General"/>
          <w:gallery w:val="placeholder"/>
        </w:category>
        <w:types>
          <w:type w:val="bbPlcHdr"/>
        </w:types>
        <w:behaviors>
          <w:behavior w:val="content"/>
        </w:behaviors>
        <w:guid w:val="{37CB90FA-7CA2-435D-9E08-86108EF45104}"/>
      </w:docPartPr>
      <w:docPartBody>
        <w:p w:rsidR="00FD4108" w:rsidRDefault="00FD4108" w:rsidP="00FD4108">
          <w:pPr>
            <w:pStyle w:val="FC2E6919F40C4063B7FFBBC1A4CBF49C"/>
          </w:pPr>
          <w:r w:rsidRPr="007F229F">
            <w:rPr>
              <w:rStyle w:val="Textodelmarcadordeposicin"/>
            </w:rPr>
            <w:t>[Nombre del Proyecto]</w:t>
          </w:r>
        </w:p>
      </w:docPartBody>
    </w:docPart>
    <w:docPart>
      <w:docPartPr>
        <w:name w:val="54F7DD6843B94678BA402070C8C1E6F9"/>
        <w:category>
          <w:name w:val="General"/>
          <w:gallery w:val="placeholder"/>
        </w:category>
        <w:types>
          <w:type w:val="bbPlcHdr"/>
        </w:types>
        <w:behaviors>
          <w:behavior w:val="content"/>
        </w:behaviors>
        <w:guid w:val="{6D5E58AA-58DF-4341-8C1B-CC49B033A828}"/>
      </w:docPartPr>
      <w:docPartBody>
        <w:p w:rsidR="00FD4108" w:rsidRDefault="00FD4108" w:rsidP="00FD4108">
          <w:pPr>
            <w:pStyle w:val="54F7DD6843B94678BA402070C8C1E6F9"/>
          </w:pPr>
          <w:r w:rsidRPr="007F229F">
            <w:rPr>
              <w:rStyle w:val="Textodelmarcadordeposicin"/>
            </w:rPr>
            <w:t>[Beneficios Potenciales]</w:t>
          </w:r>
        </w:p>
      </w:docPartBody>
    </w:docPart>
    <w:docPart>
      <w:docPartPr>
        <w:name w:val="2D0211D705E54FB58E1345845CF6E494"/>
        <w:category>
          <w:name w:val="General"/>
          <w:gallery w:val="placeholder"/>
        </w:category>
        <w:types>
          <w:type w:val="bbPlcHdr"/>
        </w:types>
        <w:behaviors>
          <w:behavior w:val="content"/>
        </w:behaviors>
        <w:guid w:val="{7683D6A6-8BD8-4644-B877-EB76EE955149}"/>
      </w:docPartPr>
      <w:docPartBody>
        <w:p w:rsidR="00FD4108" w:rsidRDefault="00FD4108" w:rsidP="00FD4108">
          <w:pPr>
            <w:pStyle w:val="2D0211D705E54FB58E1345845CF6E494"/>
          </w:pPr>
          <w:r w:rsidRPr="007F229F">
            <w:rPr>
              <w:rStyle w:val="Textodelmarcadordeposicin"/>
            </w:rPr>
            <w:t>[Nombre del Proyecto]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Mincho">
    <w:altName w:val="Yu Gothic UI"/>
    <w:panose1 w:val="02020609040205080304"/>
    <w:charset w:val="80"/>
    <w:family w:val="modern"/>
    <w:pitch w:val="fixed"/>
    <w:sig w:usb0="E00002FF" w:usb1="6AC7FDFB" w:usb2="08000012" w:usb3="00000000" w:csb0="0002009F" w:csb1="00000000"/>
  </w:font>
  <w:font w:name="Aharoni">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itillium Lt">
    <w:altName w:val="Calibri"/>
    <w:panose1 w:val="00000000000000000000"/>
    <w:charset w:val="00"/>
    <w:family w:val="swiss"/>
    <w:notTrueType/>
    <w:pitch w:val="default"/>
    <w:sig w:usb0="00000003" w:usb1="00000000" w:usb2="00000000" w:usb3="00000000" w:csb0="00000001" w:csb1="00000000"/>
  </w:font>
  <w:font w:name="Titillium">
    <w:altName w:val="Titillium"/>
    <w:panose1 w:val="00000000000000000000"/>
    <w:charset w:val="00"/>
    <w:family w:val="swiss"/>
    <w:notTrueType/>
    <w:pitch w:val="default"/>
    <w:sig w:usb0="00000003" w:usb1="00000000" w:usb2="00000000" w:usb3="00000000" w:csb0="00000001" w:csb1="00000000"/>
  </w:font>
  <w:font w:name="Avant Garde">
    <w:charset w:val="00"/>
    <w:family w:val="auto"/>
    <w:pitch w:val="variable"/>
    <w:sig w:usb0="00000083" w:usb1="00000000" w:usb2="00000000" w:usb3="00000000" w:csb0="00000009"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108"/>
    <w:rsid w:val="00FD41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D4108"/>
    <w:rPr>
      <w:color w:val="808080"/>
    </w:rPr>
  </w:style>
  <w:style w:type="paragraph" w:customStyle="1" w:styleId="145A916FB73F4322AFF6F3DBE9F037F8">
    <w:name w:val="145A916FB73F4322AFF6F3DBE9F037F8"/>
    <w:rsid w:val="00FD4108"/>
  </w:style>
  <w:style w:type="paragraph" w:customStyle="1" w:styleId="3395FACE80864B9DBC2B3256CE8EFD4C">
    <w:name w:val="3395FACE80864B9DBC2B3256CE8EFD4C"/>
    <w:rsid w:val="00FD4108"/>
  </w:style>
  <w:style w:type="paragraph" w:customStyle="1" w:styleId="324CB4EE2ECE415CA26120AC40A88AC6">
    <w:name w:val="324CB4EE2ECE415CA26120AC40A88AC6"/>
    <w:rsid w:val="00FD4108"/>
  </w:style>
  <w:style w:type="paragraph" w:customStyle="1" w:styleId="FCE037FF30BC417AAF090C02008DE071">
    <w:name w:val="FCE037FF30BC417AAF090C02008DE071"/>
    <w:rsid w:val="00FD4108"/>
  </w:style>
  <w:style w:type="paragraph" w:customStyle="1" w:styleId="8410C910F0F1405DAEABC4BFBBE97802">
    <w:name w:val="8410C910F0F1405DAEABC4BFBBE97802"/>
    <w:rsid w:val="00FD4108"/>
  </w:style>
  <w:style w:type="paragraph" w:customStyle="1" w:styleId="722CAC5D477E41F997E5BE14F395EA84">
    <w:name w:val="722CAC5D477E41F997E5BE14F395EA84"/>
    <w:rsid w:val="00FD4108"/>
  </w:style>
  <w:style w:type="paragraph" w:customStyle="1" w:styleId="AC1EE0CACF834BE6A86472D9BF248E5D">
    <w:name w:val="AC1EE0CACF834BE6A86472D9BF248E5D"/>
    <w:rsid w:val="00FD4108"/>
  </w:style>
  <w:style w:type="paragraph" w:customStyle="1" w:styleId="783CCD616EC749858E761E67260DE422">
    <w:name w:val="783CCD616EC749858E761E67260DE422"/>
    <w:rsid w:val="00FD4108"/>
  </w:style>
  <w:style w:type="paragraph" w:customStyle="1" w:styleId="C9DB57C985E04E6586A69063FF9C20BA">
    <w:name w:val="C9DB57C985E04E6586A69063FF9C20BA"/>
    <w:rsid w:val="00FD4108"/>
  </w:style>
  <w:style w:type="paragraph" w:customStyle="1" w:styleId="F3E31C7B581C4402BC53D7392F0D554B">
    <w:name w:val="F3E31C7B581C4402BC53D7392F0D554B"/>
    <w:rsid w:val="00FD4108"/>
  </w:style>
  <w:style w:type="paragraph" w:customStyle="1" w:styleId="FC2E6919F40C4063B7FFBBC1A4CBF49C">
    <w:name w:val="FC2E6919F40C4063B7FFBBC1A4CBF49C"/>
    <w:rsid w:val="00FD4108"/>
  </w:style>
  <w:style w:type="paragraph" w:customStyle="1" w:styleId="54F7DD6843B94678BA402070C8C1E6F9">
    <w:name w:val="54F7DD6843B94678BA402070C8C1E6F9"/>
    <w:rsid w:val="00FD4108"/>
  </w:style>
  <w:style w:type="paragraph" w:customStyle="1" w:styleId="2D0211D705E54FB58E1345845CF6E494">
    <w:name w:val="2D0211D705E54FB58E1345845CF6E494"/>
    <w:rsid w:val="00FD41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D26C7573FA0D4986D36C4EA29F2AA4" ma:contentTypeVersion="" ma:contentTypeDescription="Crear nuevo documento." ma:contentTypeScope="" ma:versionID="5eb14fc93b26ca0fc60dd704655d4c07">
  <xsd:schema xmlns:xsd="http://www.w3.org/2001/XMLSchema" xmlns:xs="http://www.w3.org/2001/XMLSchema" xmlns:p="http://schemas.microsoft.com/office/2006/metadata/properties" targetNamespace="http://schemas.microsoft.com/office/2006/metadata/properties" ma:root="true" ma:fieldsID="6d518dc37712e103796468a88a7c5b3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0177F-439A-47C4-9859-8529973CB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FDED91E-88C6-4860-A40B-443B95203716}">
  <ds:schemaRefs>
    <ds:schemaRef ds:uri="http://schemas.microsoft.com/sharepoint/v3/contenttype/forms"/>
  </ds:schemaRefs>
</ds:datastoreItem>
</file>

<file path=customXml/itemProps3.xml><?xml version="1.0" encoding="utf-8"?>
<ds:datastoreItem xmlns:ds="http://schemas.openxmlformats.org/officeDocument/2006/customXml" ds:itemID="{9D3A8B1D-985E-42C5-84F5-B7B7CB4C7E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FBC81C-E400-4D32-A05D-AC4C3FB9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14153</Words>
  <Characters>77846</Characters>
  <Application>Microsoft Office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ACUERDO</vt:lpstr>
    </vt:vector>
  </TitlesOfParts>
  <Company/>
  <LinksUpToDate>false</LinksUpToDate>
  <CharactersWithSpaces>91816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dc:title>
  <dc:creator>Karla Marisol Tovar Cornejo</dc:creator>
  <cp:lastModifiedBy>Maria del Consuelo Gonzalez Moreno</cp:lastModifiedBy>
  <cp:revision>10</cp:revision>
  <cp:lastPrinted>2018-03-21T17:03:00Z</cp:lastPrinted>
  <dcterms:created xsi:type="dcterms:W3CDTF">2018-03-21T17:00:00Z</dcterms:created>
  <dcterms:modified xsi:type="dcterms:W3CDTF">2018-03-21T19:37:00Z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0x010100C8D26C7573FA0D4986D36C4EA29F2AA4</vt:lpwstr>
  </property>
</Properties>
</file>