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715B2" w14:textId="6B5C864F" w:rsidR="0097048B" w:rsidRPr="008445B6" w:rsidRDefault="003E1EAA" w:rsidP="008445B6">
      <w:pPr>
        <w:pStyle w:val="Ttulo1"/>
        <w:keepLines/>
        <w:spacing w:after="240"/>
        <w:jc w:val="both"/>
        <w:rPr>
          <w:rFonts w:ascii="ITC Avant Garde" w:eastAsiaTheme="majorEastAsia" w:hAnsi="ITC Avant Garde" w:cstheme="majorBidi"/>
          <w:color w:val="000000" w:themeColor="text1"/>
          <w:szCs w:val="22"/>
          <w:lang w:val="es-ES" w:eastAsia="es-ES"/>
        </w:rPr>
      </w:pPr>
      <w:r w:rsidRPr="008445B6">
        <w:rPr>
          <w:rFonts w:ascii="ITC Avant Garde" w:eastAsiaTheme="majorEastAsia" w:hAnsi="ITC Avant Garde" w:cstheme="majorBidi"/>
          <w:color w:val="000000" w:themeColor="text1"/>
          <w:szCs w:val="22"/>
          <w:lang w:val="es-ES" w:eastAsia="es-ES"/>
        </w:rPr>
        <w:t xml:space="preserve">RESOLUCIÓN </w:t>
      </w:r>
      <w:r w:rsidR="00F878E6" w:rsidRPr="008445B6">
        <w:rPr>
          <w:rFonts w:ascii="ITC Avant Garde" w:eastAsiaTheme="majorEastAsia" w:hAnsi="ITC Avant Garde" w:cstheme="majorBidi"/>
          <w:color w:val="000000" w:themeColor="text1"/>
          <w:szCs w:val="22"/>
          <w:lang w:val="es-ES" w:eastAsia="es-ES"/>
        </w:rPr>
        <w:t xml:space="preserve">MEDIANTE </w:t>
      </w:r>
      <w:r w:rsidRPr="008445B6">
        <w:rPr>
          <w:rFonts w:ascii="ITC Avant Garde" w:eastAsiaTheme="majorEastAsia" w:hAnsi="ITC Avant Garde" w:cstheme="majorBidi"/>
          <w:color w:val="000000" w:themeColor="text1"/>
          <w:szCs w:val="22"/>
          <w:lang w:val="es-ES" w:eastAsia="es-ES"/>
        </w:rPr>
        <w:t>LA</w:t>
      </w:r>
      <w:r w:rsidR="00F878E6" w:rsidRPr="008445B6">
        <w:rPr>
          <w:rFonts w:ascii="ITC Avant Garde" w:eastAsiaTheme="majorEastAsia" w:hAnsi="ITC Avant Garde" w:cstheme="majorBidi"/>
          <w:color w:val="000000" w:themeColor="text1"/>
          <w:szCs w:val="22"/>
          <w:lang w:val="es-ES" w:eastAsia="es-ES"/>
        </w:rPr>
        <w:t xml:space="preserve"> CUAL </w:t>
      </w:r>
      <w:r w:rsidR="0097048B" w:rsidRPr="008445B6">
        <w:rPr>
          <w:rFonts w:ascii="ITC Avant Garde" w:eastAsiaTheme="majorEastAsia" w:hAnsi="ITC Avant Garde" w:cstheme="majorBidi"/>
          <w:color w:val="000000" w:themeColor="text1"/>
          <w:szCs w:val="22"/>
          <w:lang w:val="es-ES" w:eastAsia="es-ES"/>
        </w:rPr>
        <w:t xml:space="preserve">EL PLENO DEL INSTITUTO FEDERAL DE TELECOMUNICACIONES </w:t>
      </w:r>
      <w:r w:rsidRPr="008445B6">
        <w:rPr>
          <w:rFonts w:ascii="ITC Avant Garde" w:eastAsiaTheme="majorEastAsia" w:hAnsi="ITC Avant Garde" w:cstheme="majorBidi"/>
          <w:color w:val="000000" w:themeColor="text1"/>
          <w:szCs w:val="22"/>
          <w:lang w:val="es-ES" w:eastAsia="es-ES"/>
        </w:rPr>
        <w:t>PONE FIN AL</w:t>
      </w:r>
      <w:r w:rsidR="00EC6D8D" w:rsidRPr="008445B6">
        <w:rPr>
          <w:rFonts w:ascii="ITC Avant Garde" w:eastAsiaTheme="majorEastAsia" w:hAnsi="ITC Avant Garde" w:cstheme="majorBidi"/>
          <w:color w:val="000000" w:themeColor="text1"/>
          <w:szCs w:val="22"/>
          <w:lang w:val="es-ES" w:eastAsia="es-ES"/>
        </w:rPr>
        <w:t xml:space="preserve"> PROCEDIMIENTO ADMINISTRATIVO</w:t>
      </w:r>
      <w:r w:rsidR="00F3024E" w:rsidRPr="008445B6">
        <w:rPr>
          <w:rFonts w:ascii="ITC Avant Garde" w:eastAsiaTheme="majorEastAsia" w:hAnsi="ITC Avant Garde" w:cstheme="majorBidi"/>
          <w:color w:val="000000" w:themeColor="text1"/>
          <w:szCs w:val="22"/>
          <w:lang w:val="es-ES" w:eastAsia="es-ES"/>
        </w:rPr>
        <w:t xml:space="preserve"> </w:t>
      </w:r>
      <w:r w:rsidR="002848E2" w:rsidRPr="008445B6">
        <w:rPr>
          <w:rFonts w:ascii="ITC Avant Garde" w:eastAsiaTheme="majorEastAsia" w:hAnsi="ITC Avant Garde" w:cstheme="majorBidi"/>
          <w:color w:val="000000" w:themeColor="text1"/>
          <w:szCs w:val="22"/>
          <w:lang w:val="es-ES" w:eastAsia="es-ES"/>
        </w:rPr>
        <w:t xml:space="preserve">DE </w:t>
      </w:r>
      <w:r w:rsidR="00F3024E" w:rsidRPr="008445B6">
        <w:rPr>
          <w:rFonts w:ascii="ITC Avant Garde" w:eastAsiaTheme="majorEastAsia" w:hAnsi="ITC Avant Garde" w:cstheme="majorBidi"/>
          <w:color w:val="000000" w:themeColor="text1"/>
          <w:szCs w:val="22"/>
          <w:lang w:val="es-ES" w:eastAsia="es-ES"/>
        </w:rPr>
        <w:t>T</w:t>
      </w:r>
      <w:r w:rsidR="002656A2" w:rsidRPr="008445B6">
        <w:rPr>
          <w:rFonts w:ascii="ITC Avant Garde" w:eastAsiaTheme="majorEastAsia" w:hAnsi="ITC Avant Garde" w:cstheme="majorBidi"/>
          <w:color w:val="000000" w:themeColor="text1"/>
          <w:szCs w:val="22"/>
          <w:lang w:val="es-ES" w:eastAsia="es-ES"/>
        </w:rPr>
        <w:t>É</w:t>
      </w:r>
      <w:r w:rsidR="00F3024E" w:rsidRPr="008445B6">
        <w:rPr>
          <w:rFonts w:ascii="ITC Avant Garde" w:eastAsiaTheme="majorEastAsia" w:hAnsi="ITC Avant Garde" w:cstheme="majorBidi"/>
          <w:color w:val="000000" w:themeColor="text1"/>
          <w:szCs w:val="22"/>
          <w:lang w:val="es-ES" w:eastAsia="es-ES"/>
        </w:rPr>
        <w:t xml:space="preserve">RMINOS Y </w:t>
      </w:r>
      <w:r w:rsidR="002848E2" w:rsidRPr="008445B6">
        <w:rPr>
          <w:rFonts w:ascii="ITC Avant Garde" w:eastAsiaTheme="majorEastAsia" w:hAnsi="ITC Avant Garde" w:cstheme="majorBidi"/>
          <w:color w:val="000000" w:themeColor="text1"/>
          <w:szCs w:val="22"/>
          <w:lang w:val="es-ES" w:eastAsia="es-ES"/>
        </w:rPr>
        <w:t xml:space="preserve">CONDICIONES </w:t>
      </w:r>
      <w:r w:rsidR="00D73593" w:rsidRPr="008445B6">
        <w:rPr>
          <w:rFonts w:ascii="ITC Avant Garde" w:eastAsiaTheme="majorEastAsia" w:hAnsi="ITC Avant Garde" w:cstheme="majorBidi"/>
          <w:color w:val="000000" w:themeColor="text1"/>
          <w:szCs w:val="22"/>
          <w:lang w:val="es-ES" w:eastAsia="es-ES"/>
        </w:rPr>
        <w:t xml:space="preserve">NO CONVENIDOS </w:t>
      </w:r>
      <w:r w:rsidR="00605BB7" w:rsidRPr="008445B6">
        <w:rPr>
          <w:rFonts w:ascii="ITC Avant Garde" w:eastAsiaTheme="majorEastAsia" w:hAnsi="ITC Avant Garde" w:cstheme="majorBidi"/>
          <w:color w:val="000000" w:themeColor="text1"/>
          <w:szCs w:val="22"/>
          <w:lang w:val="es-ES" w:eastAsia="es-ES"/>
        </w:rPr>
        <w:t>PARA LOS SERVICIOS DE ACCESO Y USO COMPARTIDO DE INFRAESTRUCTURA PASIVA</w:t>
      </w:r>
      <w:r w:rsidR="00F3024E" w:rsidRPr="008445B6">
        <w:rPr>
          <w:rFonts w:ascii="ITC Avant Garde" w:eastAsiaTheme="majorEastAsia" w:hAnsi="ITC Avant Garde" w:cstheme="majorBidi"/>
          <w:color w:val="000000" w:themeColor="text1"/>
          <w:szCs w:val="22"/>
          <w:lang w:val="es-ES" w:eastAsia="es-ES"/>
        </w:rPr>
        <w:t xml:space="preserve"> </w:t>
      </w:r>
      <w:r w:rsidR="00EC6D8D" w:rsidRPr="008445B6">
        <w:rPr>
          <w:rFonts w:ascii="ITC Avant Garde" w:eastAsiaTheme="majorEastAsia" w:hAnsi="ITC Avant Garde" w:cstheme="majorBidi"/>
          <w:color w:val="000000" w:themeColor="text1"/>
          <w:szCs w:val="22"/>
          <w:lang w:val="es-ES" w:eastAsia="es-ES"/>
        </w:rPr>
        <w:t xml:space="preserve">ENTRE </w:t>
      </w:r>
      <w:r w:rsidR="00F3024E" w:rsidRPr="008445B6">
        <w:rPr>
          <w:rFonts w:ascii="ITC Avant Garde" w:eastAsiaTheme="majorEastAsia" w:hAnsi="ITC Avant Garde" w:cstheme="majorBidi"/>
          <w:color w:val="000000" w:themeColor="text1"/>
          <w:szCs w:val="22"/>
          <w:lang w:val="es-ES" w:eastAsia="es-ES"/>
        </w:rPr>
        <w:t>MEGA</w:t>
      </w:r>
      <w:r w:rsidR="0054639F" w:rsidRPr="008445B6">
        <w:rPr>
          <w:rFonts w:ascii="ITC Avant Garde" w:eastAsiaTheme="majorEastAsia" w:hAnsi="ITC Avant Garde" w:cstheme="majorBidi"/>
          <w:color w:val="000000" w:themeColor="text1"/>
          <w:szCs w:val="22"/>
          <w:lang w:val="es-ES" w:eastAsia="es-ES"/>
        </w:rPr>
        <w:t xml:space="preserve"> </w:t>
      </w:r>
      <w:r w:rsidR="000136CF" w:rsidRPr="008445B6">
        <w:rPr>
          <w:rFonts w:ascii="ITC Avant Garde" w:eastAsiaTheme="majorEastAsia" w:hAnsi="ITC Avant Garde" w:cstheme="majorBidi"/>
          <w:color w:val="000000" w:themeColor="text1"/>
          <w:szCs w:val="22"/>
          <w:lang w:val="es-ES" w:eastAsia="es-ES"/>
        </w:rPr>
        <w:t>CABLE</w:t>
      </w:r>
      <w:r w:rsidR="00605BB7" w:rsidRPr="008445B6">
        <w:rPr>
          <w:rFonts w:ascii="ITC Avant Garde" w:eastAsiaTheme="majorEastAsia" w:hAnsi="ITC Avant Garde" w:cstheme="majorBidi"/>
          <w:color w:val="000000" w:themeColor="text1"/>
          <w:szCs w:val="22"/>
          <w:lang w:val="es-ES" w:eastAsia="es-ES"/>
        </w:rPr>
        <w:t>, S.A. DE C.V.</w:t>
      </w:r>
      <w:r w:rsidR="001E2D1C" w:rsidRPr="008445B6">
        <w:rPr>
          <w:rFonts w:ascii="ITC Avant Garde" w:eastAsiaTheme="majorEastAsia" w:hAnsi="ITC Avant Garde" w:cstheme="majorBidi"/>
          <w:color w:val="000000" w:themeColor="text1"/>
          <w:szCs w:val="22"/>
          <w:lang w:val="es-ES" w:eastAsia="es-ES"/>
        </w:rPr>
        <w:t xml:space="preserve"> Y</w:t>
      </w:r>
      <w:r w:rsidR="00F878E6" w:rsidRPr="008445B6">
        <w:rPr>
          <w:rFonts w:ascii="ITC Avant Garde" w:eastAsiaTheme="majorEastAsia" w:hAnsi="ITC Avant Garde" w:cstheme="majorBidi"/>
          <w:color w:val="000000" w:themeColor="text1"/>
          <w:szCs w:val="22"/>
          <w:lang w:val="es-ES" w:eastAsia="es-ES"/>
        </w:rPr>
        <w:t xml:space="preserve"> </w:t>
      </w:r>
      <w:r w:rsidR="000136CF" w:rsidRPr="008445B6">
        <w:rPr>
          <w:rFonts w:ascii="ITC Avant Garde" w:eastAsiaTheme="majorEastAsia" w:hAnsi="ITC Avant Garde" w:cstheme="majorBidi"/>
          <w:color w:val="000000" w:themeColor="text1"/>
          <w:szCs w:val="22"/>
          <w:lang w:val="es-ES" w:eastAsia="es-ES"/>
        </w:rPr>
        <w:t>TEL</w:t>
      </w:r>
      <w:r w:rsidR="00E25DB6" w:rsidRPr="008445B6">
        <w:rPr>
          <w:rFonts w:ascii="ITC Avant Garde" w:eastAsiaTheme="majorEastAsia" w:hAnsi="ITC Avant Garde" w:cstheme="majorBidi"/>
          <w:color w:val="000000" w:themeColor="text1"/>
          <w:szCs w:val="22"/>
          <w:lang w:val="es-ES" w:eastAsia="es-ES"/>
        </w:rPr>
        <w:t>É</w:t>
      </w:r>
      <w:r w:rsidR="000136CF" w:rsidRPr="008445B6">
        <w:rPr>
          <w:rFonts w:ascii="ITC Avant Garde" w:eastAsiaTheme="majorEastAsia" w:hAnsi="ITC Avant Garde" w:cstheme="majorBidi"/>
          <w:color w:val="000000" w:themeColor="text1"/>
          <w:szCs w:val="22"/>
          <w:lang w:val="es-ES" w:eastAsia="es-ES"/>
        </w:rPr>
        <w:t>F</w:t>
      </w:r>
      <w:r w:rsidR="00E25DB6" w:rsidRPr="008445B6">
        <w:rPr>
          <w:rFonts w:ascii="ITC Avant Garde" w:eastAsiaTheme="majorEastAsia" w:hAnsi="ITC Avant Garde" w:cstheme="majorBidi"/>
          <w:color w:val="000000" w:themeColor="text1"/>
          <w:szCs w:val="22"/>
          <w:lang w:val="es-ES" w:eastAsia="es-ES"/>
        </w:rPr>
        <w:t>O</w:t>
      </w:r>
      <w:r w:rsidR="000136CF" w:rsidRPr="008445B6">
        <w:rPr>
          <w:rFonts w:ascii="ITC Avant Garde" w:eastAsiaTheme="majorEastAsia" w:hAnsi="ITC Avant Garde" w:cstheme="majorBidi"/>
          <w:color w:val="000000" w:themeColor="text1"/>
          <w:szCs w:val="22"/>
          <w:lang w:val="es-ES" w:eastAsia="es-ES"/>
        </w:rPr>
        <w:t>NOS DE M</w:t>
      </w:r>
      <w:r w:rsidR="00F3024E" w:rsidRPr="008445B6">
        <w:rPr>
          <w:rFonts w:ascii="ITC Avant Garde" w:eastAsiaTheme="majorEastAsia" w:hAnsi="ITC Avant Garde" w:cstheme="majorBidi"/>
          <w:color w:val="000000" w:themeColor="text1"/>
          <w:szCs w:val="22"/>
          <w:lang w:val="es-ES" w:eastAsia="es-ES"/>
        </w:rPr>
        <w:t>ÉXICO</w:t>
      </w:r>
      <w:r w:rsidR="00F878E6" w:rsidRPr="008445B6">
        <w:rPr>
          <w:rFonts w:ascii="ITC Avant Garde" w:eastAsiaTheme="majorEastAsia" w:hAnsi="ITC Avant Garde" w:cstheme="majorBidi"/>
          <w:color w:val="000000" w:themeColor="text1"/>
          <w:szCs w:val="22"/>
          <w:lang w:val="es-ES" w:eastAsia="es-ES"/>
        </w:rPr>
        <w:t>, S.A.</w:t>
      </w:r>
      <w:r w:rsidR="00F3024E" w:rsidRPr="008445B6">
        <w:rPr>
          <w:rFonts w:ascii="ITC Avant Garde" w:eastAsiaTheme="majorEastAsia" w:hAnsi="ITC Avant Garde" w:cstheme="majorBidi"/>
          <w:color w:val="000000" w:themeColor="text1"/>
          <w:szCs w:val="22"/>
          <w:lang w:val="es-ES" w:eastAsia="es-ES"/>
        </w:rPr>
        <w:t>B.</w:t>
      </w:r>
      <w:r w:rsidR="00F878E6" w:rsidRPr="008445B6">
        <w:rPr>
          <w:rFonts w:ascii="ITC Avant Garde" w:eastAsiaTheme="majorEastAsia" w:hAnsi="ITC Avant Garde" w:cstheme="majorBidi"/>
          <w:color w:val="000000" w:themeColor="text1"/>
          <w:szCs w:val="22"/>
          <w:lang w:val="es-ES" w:eastAsia="es-ES"/>
        </w:rPr>
        <w:t xml:space="preserve"> DE C.V.</w:t>
      </w:r>
      <w:r w:rsidR="00605BB7" w:rsidRPr="008445B6">
        <w:rPr>
          <w:rFonts w:ascii="ITC Avant Garde" w:eastAsiaTheme="majorEastAsia" w:hAnsi="ITC Avant Garde" w:cstheme="majorBidi"/>
          <w:color w:val="000000" w:themeColor="text1"/>
          <w:szCs w:val="22"/>
          <w:lang w:val="es-ES" w:eastAsia="es-ES"/>
        </w:rPr>
        <w:t xml:space="preserve"> Y TELÉFONOS DEL NOROESTE, S.A. DE C.V.</w:t>
      </w:r>
    </w:p>
    <w:p w14:paraId="3E067313" w14:textId="14610C63" w:rsidR="002848E2" w:rsidRPr="008445B6" w:rsidRDefault="0097048B" w:rsidP="008445B6">
      <w:pPr>
        <w:pStyle w:val="Ttulo2"/>
        <w:spacing w:after="240"/>
        <w:jc w:val="center"/>
        <w:rPr>
          <w:rFonts w:ascii="ITC Avant Garde" w:hAnsi="ITC Avant Garde"/>
          <w:szCs w:val="22"/>
        </w:rPr>
      </w:pPr>
      <w:r w:rsidRPr="008445B6">
        <w:rPr>
          <w:rFonts w:ascii="ITC Avant Garde" w:hAnsi="ITC Avant Garde"/>
          <w:szCs w:val="22"/>
        </w:rPr>
        <w:t>ANTECEDENTES</w:t>
      </w:r>
    </w:p>
    <w:p w14:paraId="2C664D31" w14:textId="12BEADE7" w:rsidR="003B3D2B" w:rsidRPr="003B3D2B" w:rsidRDefault="00621097" w:rsidP="008445B6">
      <w:pPr>
        <w:numPr>
          <w:ilvl w:val="0"/>
          <w:numId w:val="67"/>
        </w:numPr>
        <w:tabs>
          <w:tab w:val="num" w:pos="284"/>
        </w:tabs>
        <w:spacing w:after="240"/>
        <w:ind w:left="284" w:firstLine="284"/>
        <w:jc w:val="both"/>
        <w:rPr>
          <w:rFonts w:ascii="ITC Avant Garde" w:hAnsi="ITC Avant Garde" w:cs="Arial"/>
          <w:color w:val="000000"/>
        </w:rPr>
      </w:pPr>
      <w:r w:rsidRPr="00176A7A">
        <w:rPr>
          <w:rStyle w:val="Textoennegrita"/>
          <w:rFonts w:ascii="ITC Avant Garde" w:hAnsi="ITC Avant Garde"/>
          <w:color w:val="000000"/>
        </w:rPr>
        <w:t xml:space="preserve">Concesiones de Mega Cable, S.A de C.V. </w:t>
      </w:r>
      <w:r w:rsidRPr="00176A7A">
        <w:rPr>
          <w:rFonts w:ascii="ITC Avant Garde" w:hAnsi="ITC Avant Garde"/>
          <w:color w:val="000000"/>
        </w:rPr>
        <w:t>EI 17 de agosto de 2006, la Secretaría de Comunicaciones y Transportes (en lo sucesivo, la “Secretaría”) otorgó a Mega Cable, S.A. de C.V. (en lo sucesivo, “Mega Cable”), un título de concesión para instalar, operar y explotar una red pública de telecomunicaciones para prestar el servicio fijo de telefonía local. El 23 de junio de 2010, la Secretaría aprobó la modificación a dicha concesión, en la que se autorizó la prestación del servicio de telefonía básica de larga distancia.</w:t>
      </w:r>
    </w:p>
    <w:p w14:paraId="7269C76D" w14:textId="3A1A01AA" w:rsidR="00621097" w:rsidRPr="00176A7A" w:rsidRDefault="00621097" w:rsidP="008445B6">
      <w:pPr>
        <w:numPr>
          <w:ilvl w:val="0"/>
          <w:numId w:val="67"/>
        </w:numPr>
        <w:tabs>
          <w:tab w:val="num" w:pos="284"/>
        </w:tabs>
        <w:spacing w:after="240"/>
        <w:ind w:left="284" w:firstLine="284"/>
        <w:jc w:val="both"/>
        <w:rPr>
          <w:rFonts w:ascii="ITC Avant Garde" w:hAnsi="ITC Avant Garde"/>
          <w:color w:val="000000"/>
        </w:rPr>
      </w:pPr>
      <w:r w:rsidRPr="00176A7A">
        <w:rPr>
          <w:rStyle w:val="Textoennegrita"/>
          <w:rFonts w:ascii="ITC Avant Garde" w:hAnsi="ITC Avant Garde"/>
          <w:color w:val="000000"/>
        </w:rPr>
        <w:t xml:space="preserve"> Concesión de Teléfonos de México, S.A.B. de C.V. </w:t>
      </w:r>
      <w:r w:rsidRPr="00176A7A">
        <w:rPr>
          <w:rFonts w:ascii="ITC Avant Garde" w:hAnsi="ITC Avant Garde"/>
          <w:color w:val="000000"/>
        </w:rPr>
        <w:t>El 10 de marzo de 1976, la Secretaría otorgó a Teléfonos de México, S.A.B. de C.V. (en lo sucesivo, “Telmex”), un título de concesión para construir, operar y explotar una red de servicio telefónico público. El 10 de diciembre de 1990, se publicó en el Diario Oficial de la Federación (en lo sucesivo, el “DOF”), la “Modificación al Título de Concesión de Teléfonos de México, S.A. de C.V.”, para construir, instalar, mantener, operar y explotar una red pública telefónica por un periodo de 50 (cincuenta) años contados a partir del 10 de marzo de 1976, con cobertura en todo el territorio nacional, con excepción del área concesionada a Teléfonos del Noroeste, S.A. de C.V.</w:t>
      </w:r>
    </w:p>
    <w:p w14:paraId="5F14A1C6" w14:textId="6969873C" w:rsidR="00621097" w:rsidRPr="00176A7A" w:rsidRDefault="00621097" w:rsidP="008445B6">
      <w:pPr>
        <w:numPr>
          <w:ilvl w:val="0"/>
          <w:numId w:val="67"/>
        </w:numPr>
        <w:tabs>
          <w:tab w:val="num" w:pos="284"/>
        </w:tabs>
        <w:spacing w:after="240"/>
        <w:ind w:left="284" w:firstLine="284"/>
        <w:jc w:val="both"/>
        <w:rPr>
          <w:rFonts w:ascii="ITC Avant Garde" w:hAnsi="ITC Avant Garde"/>
          <w:color w:val="000000"/>
        </w:rPr>
      </w:pPr>
      <w:r w:rsidRPr="00176A7A">
        <w:rPr>
          <w:rStyle w:val="Textoennegrita"/>
          <w:rFonts w:ascii="ITC Avant Garde" w:hAnsi="ITC Avant Garde"/>
          <w:color w:val="000000"/>
        </w:rPr>
        <w:t xml:space="preserve"> Concesión de Teléfonos del Noroeste, S.A. de C.V.</w:t>
      </w:r>
      <w:r w:rsidRPr="00176A7A">
        <w:rPr>
          <w:rFonts w:ascii="ITC Avant Garde" w:hAnsi="ITC Avant Garde"/>
          <w:color w:val="000000"/>
        </w:rPr>
        <w:t xml:space="preserve"> El 26 de mayo de 1980, la Secretaría otorgó a Teléfonos del Noroeste, S.A. de C.V. (en lo sucesivo, “</w:t>
      </w:r>
      <w:proofErr w:type="spellStart"/>
      <w:r w:rsidRPr="00176A7A">
        <w:rPr>
          <w:rFonts w:ascii="ITC Avant Garde" w:hAnsi="ITC Avant Garde"/>
          <w:color w:val="000000"/>
        </w:rPr>
        <w:t>Telnor</w:t>
      </w:r>
      <w:proofErr w:type="spellEnd"/>
      <w:r w:rsidRPr="00176A7A">
        <w:rPr>
          <w:rFonts w:ascii="ITC Avant Garde" w:hAnsi="ITC Avant Garde"/>
          <w:color w:val="000000"/>
        </w:rPr>
        <w:t xml:space="preserve">”) un título de concesión para construir, operar y explotar una red de servicio telefónico público. El 7 de diciembre de 1990, la Secretaría emitió la modificación al título de concesión de </w:t>
      </w:r>
      <w:proofErr w:type="spellStart"/>
      <w:r w:rsidRPr="00176A7A">
        <w:rPr>
          <w:rFonts w:ascii="ITC Avant Garde" w:hAnsi="ITC Avant Garde"/>
          <w:color w:val="000000"/>
        </w:rPr>
        <w:t>Telnor</w:t>
      </w:r>
      <w:proofErr w:type="spellEnd"/>
      <w:r w:rsidRPr="00176A7A">
        <w:rPr>
          <w:rFonts w:ascii="ITC Avant Garde" w:hAnsi="ITC Avant Garde"/>
          <w:color w:val="000000"/>
        </w:rPr>
        <w:t xml:space="preserve">, para construir, instalar, mantener, operar y explotar una red pública telefónica con cobertura en todo el estado de Baja California, del municipio de San Luis Río Colorado, así como la ciudad de </w:t>
      </w:r>
      <w:proofErr w:type="spellStart"/>
      <w:r w:rsidRPr="00176A7A">
        <w:rPr>
          <w:rFonts w:ascii="ITC Avant Garde" w:hAnsi="ITC Avant Garde"/>
          <w:color w:val="000000"/>
        </w:rPr>
        <w:t>Sonoita</w:t>
      </w:r>
      <w:proofErr w:type="spellEnd"/>
      <w:r w:rsidRPr="00176A7A">
        <w:rPr>
          <w:rFonts w:ascii="ITC Avant Garde" w:hAnsi="ITC Avant Garde"/>
          <w:color w:val="000000"/>
        </w:rPr>
        <w:t xml:space="preserve"> y sus áreas aledañas, en el estado de Sonora.</w:t>
      </w:r>
    </w:p>
    <w:p w14:paraId="4B448769" w14:textId="10B2E0CD" w:rsidR="00621097" w:rsidRPr="00176A7A" w:rsidRDefault="00621097" w:rsidP="008445B6">
      <w:pPr>
        <w:numPr>
          <w:ilvl w:val="0"/>
          <w:numId w:val="67"/>
        </w:numPr>
        <w:tabs>
          <w:tab w:val="num" w:pos="284"/>
        </w:tabs>
        <w:spacing w:after="240"/>
        <w:ind w:left="284" w:firstLine="284"/>
        <w:jc w:val="both"/>
        <w:rPr>
          <w:rFonts w:ascii="ITC Avant Garde" w:hAnsi="ITC Avant Garde"/>
          <w:color w:val="000000"/>
        </w:rPr>
      </w:pPr>
      <w:r w:rsidRPr="00176A7A">
        <w:rPr>
          <w:rStyle w:val="Textoennegrita"/>
          <w:rFonts w:ascii="ITC Avant Garde" w:hAnsi="ITC Avant Garde"/>
          <w:color w:val="000000"/>
        </w:rPr>
        <w:t xml:space="preserve"> Decreto de Reforma Constitucional.</w:t>
      </w:r>
      <w:r w:rsidRPr="00176A7A">
        <w:rPr>
          <w:rFonts w:ascii="ITC Avant Garde" w:hAnsi="ITC Avant Garde"/>
          <w:color w:val="000000"/>
        </w:rPr>
        <w:t xml:space="preserve"> El 11 de junio de 2013, se publicó en el DOF el </w:t>
      </w:r>
      <w:r w:rsidRPr="00176A7A">
        <w:rPr>
          <w:rFonts w:ascii="ITC Avant Garde" w:hAnsi="ITC Avant Garde"/>
          <w:i/>
          <w:color w:val="000000"/>
        </w:rPr>
        <w:t>“DECRETO por el que se reforman y adicionan diversas disposiciones de los artículos 6o., 7o., 27, 28, 73, 78, 94 y 105 de la Constitución Política de los Estados Unidos Mexicanos, en materia de telecomunicaciones”</w:t>
      </w:r>
      <w:r w:rsidR="00D73593">
        <w:rPr>
          <w:rFonts w:ascii="ITC Avant Garde" w:hAnsi="ITC Avant Garde"/>
          <w:color w:val="000000"/>
        </w:rPr>
        <w:t xml:space="preserve"> (en lo sucesivo, el “Decreto”)</w:t>
      </w:r>
      <w:r w:rsidRPr="00176A7A">
        <w:rPr>
          <w:rFonts w:ascii="ITC Avant Garde" w:hAnsi="ITC Avant Garde"/>
          <w:color w:val="000000"/>
        </w:rPr>
        <w:t xml:space="preserve">, mediante el cual se creó al Instituto Federal de Telecomunicaciones (en lo sucesivo, el “Instituto”), como un órgano autónomo con personalidad jurídica y patrimonio propio, cuyo objeto es el desarrollo eficiente de la radiodifusión y las </w:t>
      </w:r>
      <w:r w:rsidRPr="00176A7A">
        <w:rPr>
          <w:rFonts w:ascii="ITC Avant Garde" w:hAnsi="ITC Avant Garde"/>
          <w:color w:val="000000"/>
        </w:rPr>
        <w:lastRenderedPageBreak/>
        <w:t>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F12C494" w14:textId="2A29977A" w:rsidR="00621097" w:rsidRPr="003B3D2B" w:rsidRDefault="00621097" w:rsidP="008445B6">
      <w:pPr>
        <w:numPr>
          <w:ilvl w:val="0"/>
          <w:numId w:val="67"/>
        </w:numPr>
        <w:tabs>
          <w:tab w:val="num" w:pos="284"/>
        </w:tabs>
        <w:spacing w:after="240"/>
        <w:ind w:left="284" w:firstLine="284"/>
        <w:jc w:val="both"/>
        <w:rPr>
          <w:rFonts w:ascii="ITC Avant Garde" w:hAnsi="ITC Avant Garde" w:cs="Arial"/>
        </w:rPr>
      </w:pPr>
      <w:r w:rsidRPr="00176A7A">
        <w:rPr>
          <w:rStyle w:val="Textoennegrita"/>
          <w:rFonts w:ascii="ITC Avant Garde" w:hAnsi="ITC Avant Garde"/>
          <w:color w:val="000000"/>
        </w:rPr>
        <w:t xml:space="preserve"> Ley Federal de Telecomunicaciones y Radiodifusión.</w:t>
      </w:r>
      <w:r w:rsidRPr="00176A7A">
        <w:rPr>
          <w:rStyle w:val="Textoennegrita"/>
          <w:rFonts w:ascii="ITC Avant Garde" w:hAnsi="ITC Avant Garde"/>
          <w:b w:val="0"/>
          <w:color w:val="000000"/>
        </w:rPr>
        <w:t xml:space="preserve"> </w:t>
      </w:r>
      <w:r w:rsidRPr="00176A7A">
        <w:rPr>
          <w:rFonts w:ascii="ITC Avant Garde" w:hAnsi="ITC Avant Garde" w:cs="Arial"/>
        </w:rPr>
        <w:t xml:space="preserve">Con fecha 14 de julio de 2014 se publicó en DOF el </w:t>
      </w:r>
      <w:r w:rsidRPr="00176A7A">
        <w:rPr>
          <w:rFonts w:ascii="ITC Avant Garde" w:hAnsi="ITC Avant Garde" w:cs="Arial"/>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73593">
        <w:rPr>
          <w:rFonts w:ascii="ITC Avant Garde" w:hAnsi="ITC Avant Garde" w:cs="Arial"/>
        </w:rPr>
        <w:t xml:space="preserve"> (en lo sucesivo, el “Decreto de Ley”)</w:t>
      </w:r>
      <w:r w:rsidRPr="00176A7A">
        <w:rPr>
          <w:rFonts w:ascii="ITC Avant Garde" w:hAnsi="ITC Avant Garde" w:cs="Arial"/>
        </w:rPr>
        <w:t xml:space="preserve">, mismo que entró en vigor el 13 de agosto de 2014. </w:t>
      </w:r>
    </w:p>
    <w:p w14:paraId="5E0C0E46" w14:textId="77777777" w:rsidR="00621097" w:rsidRPr="00706DF8" w:rsidRDefault="00621097" w:rsidP="008445B6">
      <w:pPr>
        <w:numPr>
          <w:ilvl w:val="0"/>
          <w:numId w:val="67"/>
        </w:numPr>
        <w:spacing w:after="240"/>
        <w:ind w:left="284" w:firstLine="283"/>
        <w:jc w:val="both"/>
        <w:rPr>
          <w:rFonts w:ascii="ITC Avant Garde" w:hAnsi="ITC Avant Garde"/>
          <w:color w:val="000000"/>
          <w:lang w:val="es-ES"/>
        </w:rPr>
      </w:pPr>
      <w:r w:rsidRPr="00176A7A">
        <w:rPr>
          <w:rFonts w:ascii="ITC Avant Garde" w:hAnsi="ITC Avant Garde"/>
          <w:b/>
          <w:color w:val="000000"/>
          <w:lang w:val="es-ES"/>
        </w:rPr>
        <w:t xml:space="preserve"> Publicación del Estatuto Orgánico del Instituto Federal de Telecomunicaciones.</w:t>
      </w:r>
      <w:r w:rsidRPr="00176A7A">
        <w:rPr>
          <w:rFonts w:ascii="ITC Avant Garde" w:hAnsi="ITC Avant Garde"/>
          <w:color w:val="000000"/>
          <w:lang w:val="es-ES"/>
        </w:rPr>
        <w:t xml:space="preserve"> </w:t>
      </w:r>
      <w:r w:rsidRPr="00176A7A">
        <w:rPr>
          <w:rFonts w:ascii="ITC Avant Garde" w:hAnsi="ITC Avant Garde"/>
          <w:lang w:val="es-ES"/>
        </w:rPr>
        <w:t>El 4 de septiembre de 2014 se publicó en el DOF el “</w:t>
      </w:r>
      <w:r w:rsidRPr="00176A7A">
        <w:rPr>
          <w:rFonts w:ascii="ITC Avant Garde" w:hAnsi="ITC Avant Garde"/>
          <w:i/>
          <w:iCs/>
          <w:lang w:val="es-ES"/>
        </w:rPr>
        <w:t>ESTATUTO Orgánico del Instituto Federal de Telecomunicaciones</w:t>
      </w:r>
      <w:r w:rsidRPr="00176A7A">
        <w:rPr>
          <w:rFonts w:ascii="ITC Avant Garde" w:hAnsi="ITC Avant Garde"/>
          <w:lang w:val="es-ES"/>
        </w:rPr>
        <w:t>” (en lo sucesivo, el “Estatuto”), mismo que entró en vigor el 26 de septiembre de 2014.</w:t>
      </w:r>
    </w:p>
    <w:p w14:paraId="40B864F6" w14:textId="77777777" w:rsidR="00C74DEF" w:rsidRPr="00D05E83" w:rsidRDefault="00C74DEF" w:rsidP="008445B6">
      <w:pPr>
        <w:numPr>
          <w:ilvl w:val="0"/>
          <w:numId w:val="67"/>
        </w:numPr>
        <w:tabs>
          <w:tab w:val="num" w:pos="284"/>
        </w:tabs>
        <w:spacing w:after="240"/>
        <w:ind w:left="284" w:firstLine="284"/>
        <w:jc w:val="both"/>
        <w:rPr>
          <w:rFonts w:ascii="ITC Avant Garde" w:eastAsia="Times New Roman" w:hAnsi="ITC Avant Garde"/>
          <w:lang w:val="es-ES" w:eastAsia="es-ES"/>
        </w:rPr>
      </w:pPr>
      <w:r w:rsidRPr="00D05E83">
        <w:rPr>
          <w:rFonts w:ascii="ITC Avant Garde" w:eastAsia="Times New Roman" w:hAnsi="ITC Avant Garde"/>
          <w:b/>
          <w:lang w:val="es-ES" w:eastAsia="es-ES"/>
        </w:rPr>
        <w:t xml:space="preserve">Solicitud de resolución. </w:t>
      </w:r>
      <w:r w:rsidRPr="00D05E83">
        <w:rPr>
          <w:rFonts w:ascii="ITC Avant Garde" w:eastAsia="Times New Roman" w:hAnsi="ITC Avant Garde"/>
          <w:lang w:val="es-ES" w:eastAsia="es-ES"/>
        </w:rPr>
        <w:t xml:space="preserve">El 11 de septiembre de 2015, el apoderado legal de Mega Cable presentó ante el Instituto escrito mediante el cual solicitó su intervención para resolver los términos y condiciones que no pudo convenir con </w:t>
      </w:r>
      <w:r w:rsidRPr="00D05E83">
        <w:rPr>
          <w:rFonts w:ascii="ITC Avant Garde" w:hAnsi="ITC Avant Garde" w:cs="Arial"/>
        </w:rPr>
        <w:t xml:space="preserve">Telmex y </w:t>
      </w:r>
      <w:proofErr w:type="spellStart"/>
      <w:r w:rsidRPr="00D05E83">
        <w:rPr>
          <w:rFonts w:ascii="ITC Avant Garde" w:hAnsi="ITC Avant Garde" w:cs="Arial"/>
        </w:rPr>
        <w:t>Telnor</w:t>
      </w:r>
      <w:proofErr w:type="spellEnd"/>
      <w:r w:rsidRPr="00D05E83">
        <w:rPr>
          <w:rFonts w:ascii="ITC Avant Garde" w:hAnsi="ITC Avant Garde" w:cs="Arial"/>
        </w:rPr>
        <w:t xml:space="preserve"> </w:t>
      </w:r>
      <w:r w:rsidRPr="00D05E83">
        <w:rPr>
          <w:rFonts w:ascii="ITC Avant Garde" w:eastAsia="Times New Roman" w:hAnsi="ITC Avant Garde"/>
          <w:lang w:val="es-ES" w:eastAsia="es-ES"/>
        </w:rPr>
        <w:t>para la prestación del servicio de Acceso y Uso Compartido de Infraestructura Pasiva (en lo sucesivo, la “Solicitud de Resolución”)</w:t>
      </w:r>
      <w:r>
        <w:rPr>
          <w:rFonts w:ascii="ITC Avant Garde" w:eastAsia="Times New Roman" w:hAnsi="ITC Avant Garde"/>
          <w:lang w:val="es-ES" w:eastAsia="es-ES"/>
        </w:rPr>
        <w:t>, para el periodo de cuando se emita la resolución al 31 de diciembre de 2015 y del 1 de enero al 31 de diciembre de 2016.</w:t>
      </w:r>
    </w:p>
    <w:p w14:paraId="00C06520" w14:textId="77777777" w:rsidR="00C74DEF" w:rsidRDefault="00C74DEF" w:rsidP="008445B6">
      <w:pPr>
        <w:spacing w:after="240"/>
        <w:ind w:left="284"/>
        <w:jc w:val="both"/>
        <w:rPr>
          <w:rFonts w:ascii="ITC Avant Garde" w:hAnsi="ITC Avant Garde"/>
        </w:rPr>
      </w:pPr>
      <w:r w:rsidRPr="00DC3088">
        <w:rPr>
          <w:rFonts w:ascii="ITC Avant Garde" w:hAnsi="ITC Avant Garde"/>
        </w:rPr>
        <w:t xml:space="preserve">Para efectos de lo anterior, el apoderado legal de Mega Cable manifestó, mediante escrito de fecha 16 de febrero de 2015, que hizo del conocimiento de Telmex y </w:t>
      </w:r>
      <w:proofErr w:type="spellStart"/>
      <w:r w:rsidRPr="00DC3088">
        <w:rPr>
          <w:rFonts w:ascii="ITC Avant Garde" w:hAnsi="ITC Avant Garde"/>
        </w:rPr>
        <w:t>Telnor</w:t>
      </w:r>
      <w:proofErr w:type="spellEnd"/>
      <w:r w:rsidRPr="00DC3088">
        <w:rPr>
          <w:rFonts w:ascii="ITC Avant Garde" w:hAnsi="ITC Avant Garde"/>
        </w:rPr>
        <w:t xml:space="preserve"> su interés en obtener el Acceso y Uso Compartido de Infraestructura Pasiva.</w:t>
      </w:r>
      <w:r w:rsidRPr="00176A7A">
        <w:rPr>
          <w:rFonts w:ascii="ITC Avant Garde" w:hAnsi="ITC Avant Garde"/>
        </w:rPr>
        <w:t xml:space="preserve"> </w:t>
      </w:r>
    </w:p>
    <w:p w14:paraId="1304D047" w14:textId="77777777" w:rsidR="00992035" w:rsidRPr="00D05E83" w:rsidRDefault="00C74DEF" w:rsidP="008445B6">
      <w:pPr>
        <w:numPr>
          <w:ilvl w:val="0"/>
          <w:numId w:val="67"/>
        </w:numPr>
        <w:tabs>
          <w:tab w:val="num" w:pos="284"/>
        </w:tabs>
        <w:spacing w:after="240"/>
        <w:ind w:left="284" w:firstLine="284"/>
        <w:jc w:val="both"/>
        <w:rPr>
          <w:rFonts w:ascii="ITC Avant Garde" w:hAnsi="ITC Avant Garde"/>
          <w:lang w:val="es-ES"/>
        </w:rPr>
      </w:pPr>
      <w:r w:rsidRPr="00706DF8">
        <w:rPr>
          <w:rFonts w:ascii="ITC Avant Garde" w:hAnsi="ITC Avant Garde"/>
          <w:b/>
          <w:lang w:val="es-ES"/>
        </w:rPr>
        <w:t xml:space="preserve">Acuerdo de </w:t>
      </w:r>
      <w:proofErr w:type="spellStart"/>
      <w:r w:rsidRPr="00706DF8">
        <w:rPr>
          <w:rFonts w:ascii="ITC Avant Garde" w:hAnsi="ITC Avant Garde"/>
          <w:b/>
          <w:lang w:val="es-ES"/>
        </w:rPr>
        <w:t>desechamiento</w:t>
      </w:r>
      <w:proofErr w:type="spellEnd"/>
      <w:r w:rsidRPr="00706DF8">
        <w:rPr>
          <w:rFonts w:ascii="ITC Avant Garde" w:hAnsi="ITC Avant Garde"/>
          <w:lang w:val="es-ES"/>
        </w:rPr>
        <w:t xml:space="preserve">. </w:t>
      </w:r>
      <w:r w:rsidRPr="00DC3088">
        <w:rPr>
          <w:rFonts w:ascii="ITC Avant Garde" w:hAnsi="ITC Avant Garde"/>
          <w:lang w:val="es-ES"/>
        </w:rPr>
        <w:t>Mediante Acuerdo 19/09/001/2015 de fecha 19 de septiembre de 2015, el Instituto determinó que no era procedente la admisión del desacuerdo de condiciones en materia de infraestructura pasiva; toda vez que el plazo de cuarenta y cinco días hábiles para solicitar la resolución de desacuerdo, establecidos en el artículo 129, fracción I de la Ley Federal de Telecomunicaciones y Radiodifusión (en lo sucesivo, la “</w:t>
      </w:r>
      <w:proofErr w:type="spellStart"/>
      <w:r w:rsidRPr="00DC3088">
        <w:rPr>
          <w:rFonts w:ascii="ITC Avant Garde" w:hAnsi="ITC Avant Garde"/>
          <w:lang w:val="es-ES"/>
        </w:rPr>
        <w:t>LFTyR</w:t>
      </w:r>
      <w:proofErr w:type="spellEnd"/>
      <w:r w:rsidRPr="00DC3088">
        <w:rPr>
          <w:rFonts w:ascii="ITC Avant Garde" w:hAnsi="ITC Avant Garde"/>
          <w:lang w:val="es-ES"/>
        </w:rPr>
        <w:t xml:space="preserve">”), transcurrió </w:t>
      </w:r>
      <w:r w:rsidRPr="00D05E83">
        <w:rPr>
          <w:rFonts w:ascii="ITC Avant Garde" w:hAnsi="ITC Avant Garde"/>
          <w:lang w:val="es-ES"/>
        </w:rPr>
        <w:t>en exceso.</w:t>
      </w:r>
    </w:p>
    <w:p w14:paraId="4794A495" w14:textId="1488829D" w:rsidR="00992035" w:rsidRDefault="00992035" w:rsidP="008445B6">
      <w:pPr>
        <w:numPr>
          <w:ilvl w:val="0"/>
          <w:numId w:val="67"/>
        </w:numPr>
        <w:tabs>
          <w:tab w:val="num" w:pos="284"/>
        </w:tabs>
        <w:spacing w:after="240"/>
        <w:ind w:left="284" w:firstLine="284"/>
        <w:jc w:val="both"/>
        <w:rPr>
          <w:rFonts w:ascii="ITC Avant Garde" w:hAnsi="ITC Avant Garde"/>
          <w:bCs/>
          <w:lang w:val="es-ES"/>
        </w:rPr>
      </w:pPr>
      <w:r>
        <w:rPr>
          <w:rFonts w:ascii="ITC Avant Garde" w:hAnsi="ITC Avant Garde"/>
          <w:b/>
          <w:bCs/>
          <w:lang w:val="es-ES"/>
        </w:rPr>
        <w:t>J</w:t>
      </w:r>
      <w:r w:rsidRPr="00992035">
        <w:rPr>
          <w:rFonts w:ascii="ITC Avant Garde" w:hAnsi="ITC Avant Garde"/>
          <w:b/>
          <w:bCs/>
          <w:lang w:val="es-ES"/>
        </w:rPr>
        <w:t>uicio de Amparo.</w:t>
      </w:r>
      <w:r w:rsidRPr="00176A7A">
        <w:rPr>
          <w:b/>
          <w:bCs/>
          <w:lang w:val="es-ES"/>
        </w:rPr>
        <w:t xml:space="preserve"> </w:t>
      </w:r>
      <w:r w:rsidRPr="00992035">
        <w:rPr>
          <w:rFonts w:ascii="ITC Avant Garde" w:hAnsi="ITC Avant Garde"/>
          <w:bCs/>
          <w:lang w:val="es-ES"/>
        </w:rPr>
        <w:t xml:space="preserve">El 22 de octubre de 2015, Mega Cable interpuso juicio de amparo en contra del Acuerdo 19/09/001/2015 de fecha 19 de septiembre de 2015, mediante el cual se determinó que no era procedente la admisión del desacuerdo </w:t>
      </w:r>
      <w:r w:rsidRPr="00992035">
        <w:rPr>
          <w:rFonts w:ascii="ITC Avant Garde" w:hAnsi="ITC Avant Garde"/>
          <w:bCs/>
          <w:lang w:val="es-ES"/>
        </w:rPr>
        <w:lastRenderedPageBreak/>
        <w:t>de condiciones en materia de infraestructura pasiva. Dicho juicio fue radicado en el Juzgado Primero de Distrito en Materia Administrativa Especializado en Competencia Económica, Radiodifusión y Telecomunicaciones con Residencia en el Distrito Federal y Jurisdicción en toda la República (en lo sucesivo, el “Juzgado Primero”) bajo el juicio de amparo1670/2015.</w:t>
      </w:r>
    </w:p>
    <w:p w14:paraId="65723194" w14:textId="689EF360" w:rsidR="00992035" w:rsidRDefault="00992035" w:rsidP="008445B6">
      <w:pPr>
        <w:numPr>
          <w:ilvl w:val="0"/>
          <w:numId w:val="67"/>
        </w:numPr>
        <w:tabs>
          <w:tab w:val="num" w:pos="284"/>
        </w:tabs>
        <w:spacing w:after="240"/>
        <w:ind w:left="284" w:firstLine="284"/>
        <w:jc w:val="both"/>
        <w:rPr>
          <w:rFonts w:ascii="ITC Avant Garde" w:eastAsia="Times New Roman" w:hAnsi="ITC Avant Garde"/>
          <w:bCs/>
          <w:lang w:val="es-ES" w:eastAsia="es-ES"/>
        </w:rPr>
      </w:pPr>
      <w:r w:rsidRPr="000F7D79">
        <w:rPr>
          <w:rFonts w:ascii="ITC Avant Garde" w:eastAsia="Times New Roman" w:hAnsi="ITC Avant Garde"/>
          <w:b/>
          <w:bCs/>
          <w:lang w:val="es-ES" w:eastAsia="es-ES"/>
        </w:rPr>
        <w:t>Convenio 2015</w:t>
      </w:r>
      <w:r>
        <w:rPr>
          <w:rFonts w:ascii="ITC Avant Garde" w:eastAsia="Times New Roman" w:hAnsi="ITC Avant Garde"/>
          <w:bCs/>
          <w:lang w:val="es-ES" w:eastAsia="es-ES"/>
        </w:rPr>
        <w:t xml:space="preserve">. El 29 de octubre de 2015, Mega Cable </w:t>
      </w:r>
      <w:r w:rsidR="009F16F5">
        <w:rPr>
          <w:rFonts w:ascii="ITC Avant Garde" w:eastAsia="Times New Roman" w:hAnsi="ITC Avant Garde"/>
          <w:bCs/>
          <w:lang w:val="es-ES" w:eastAsia="es-ES"/>
        </w:rPr>
        <w:t xml:space="preserve">suscribió </w:t>
      </w:r>
      <w:r>
        <w:rPr>
          <w:rFonts w:ascii="ITC Avant Garde" w:eastAsia="Times New Roman" w:hAnsi="ITC Avant Garde"/>
          <w:bCs/>
          <w:lang w:val="es-ES" w:eastAsia="es-ES"/>
        </w:rPr>
        <w:t>con Telmex y Telnor los convenios respectivos de prestación de servicios en materia de compartición de infraestructura pasiva, en los cuales las partes pactaron los términos, condiciones y tarifas, para el periodo comprendido del 29 de octubre al 31 de diciembre de 2015.</w:t>
      </w:r>
    </w:p>
    <w:p w14:paraId="18AD88B9" w14:textId="4F521070" w:rsidR="00621097" w:rsidRPr="00992035" w:rsidRDefault="00621097" w:rsidP="008445B6">
      <w:pPr>
        <w:numPr>
          <w:ilvl w:val="0"/>
          <w:numId w:val="67"/>
        </w:numPr>
        <w:tabs>
          <w:tab w:val="num" w:pos="284"/>
        </w:tabs>
        <w:spacing w:after="240"/>
        <w:ind w:left="284" w:firstLine="284"/>
        <w:jc w:val="both"/>
        <w:rPr>
          <w:rFonts w:ascii="ITC Avant Garde" w:eastAsia="Times New Roman" w:hAnsi="ITC Avant Garde"/>
          <w:bCs/>
          <w:lang w:val="es-ES" w:eastAsia="es-ES"/>
        </w:rPr>
      </w:pPr>
      <w:r w:rsidRPr="00992035">
        <w:rPr>
          <w:rFonts w:ascii="ITC Avant Garde" w:hAnsi="ITC Avant Garde"/>
          <w:b/>
          <w:color w:val="000000"/>
          <w:lang w:val="es-ES"/>
        </w:rPr>
        <w:t>Ofertas de Referencia</w:t>
      </w:r>
      <w:r w:rsidRPr="00992035">
        <w:rPr>
          <w:rFonts w:ascii="ITC Avant Garde" w:hAnsi="ITC Avant Garde"/>
          <w:b/>
        </w:rPr>
        <w:t xml:space="preserve">. </w:t>
      </w:r>
      <w:r w:rsidRPr="00992035">
        <w:rPr>
          <w:rFonts w:ascii="ITC Avant Garde" w:hAnsi="ITC Avant Garde"/>
        </w:rPr>
        <w:t>El 24 de noviembre de 2015, mediante Acuerdo P/IFT/EXT/241115/174 el Pleno del Instituto en su XLVI Sesión Extraordinaria aprobó la “</w:t>
      </w:r>
      <w:r w:rsidRPr="00992035">
        <w:rPr>
          <w:rFonts w:ascii="ITC Avant Garde" w:hAnsi="ITC Avant Garde"/>
          <w:i/>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DE 2016 AL 31 DE DICIEMBRE DE 2017”</w:t>
      </w:r>
      <w:r w:rsidRPr="00992035">
        <w:rPr>
          <w:rFonts w:ascii="ITC Avant Garde" w:hAnsi="ITC Avant Garde"/>
        </w:rPr>
        <w:t>(en lo sucesivo, la “ORCI de Telmex”).</w:t>
      </w:r>
    </w:p>
    <w:p w14:paraId="730F5AFF" w14:textId="77777777" w:rsidR="00621097" w:rsidRPr="00176A7A" w:rsidRDefault="00621097" w:rsidP="008445B6">
      <w:pPr>
        <w:spacing w:after="240"/>
        <w:ind w:left="284"/>
        <w:jc w:val="both"/>
        <w:rPr>
          <w:rFonts w:ascii="ITC Avant Garde" w:hAnsi="ITC Avant Garde"/>
        </w:rPr>
      </w:pPr>
      <w:r w:rsidRPr="00176A7A">
        <w:rPr>
          <w:rFonts w:ascii="ITC Avant Garde" w:hAnsi="ITC Avant Garde"/>
        </w:rPr>
        <w:t xml:space="preserve">Asimismo, mediante Acuerdo P/IFT/EXT/241115/175, el Pleno del Instituto aprobó la </w:t>
      </w:r>
      <w:r w:rsidRPr="00176A7A">
        <w:rPr>
          <w:rFonts w:ascii="ITC Avant Garde" w:hAnsi="ITC Avant Garde"/>
          <w:i/>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DEL NOROESTE, S.A. DE C.V., APLICABLES DEL 1 DE ENERO DE 2016 AL 31 DE DICIEMBRE DE 2017”</w:t>
      </w:r>
      <w:r w:rsidRPr="00176A7A">
        <w:rPr>
          <w:rFonts w:ascii="ITC Avant Garde" w:hAnsi="ITC Avant Garde"/>
        </w:rPr>
        <w:t xml:space="preserve"> (en lo sucesivo, la “ORCI de </w:t>
      </w:r>
      <w:proofErr w:type="spellStart"/>
      <w:r w:rsidRPr="00176A7A">
        <w:rPr>
          <w:rFonts w:ascii="ITC Avant Garde" w:hAnsi="ITC Avant Garde"/>
        </w:rPr>
        <w:t>Telnor</w:t>
      </w:r>
      <w:proofErr w:type="spellEnd"/>
      <w:r w:rsidRPr="00176A7A">
        <w:rPr>
          <w:rFonts w:ascii="ITC Avant Garde" w:hAnsi="ITC Avant Garde"/>
        </w:rPr>
        <w:t>”).</w:t>
      </w:r>
    </w:p>
    <w:p w14:paraId="5EA2FE38" w14:textId="4D078983" w:rsidR="001C1DA7" w:rsidRPr="00D05E83" w:rsidRDefault="001C1DA7" w:rsidP="008445B6">
      <w:pPr>
        <w:numPr>
          <w:ilvl w:val="0"/>
          <w:numId w:val="67"/>
        </w:numPr>
        <w:tabs>
          <w:tab w:val="num" w:pos="284"/>
        </w:tabs>
        <w:spacing w:after="240"/>
        <w:ind w:left="284" w:firstLine="284"/>
        <w:jc w:val="both"/>
        <w:rPr>
          <w:rFonts w:ascii="ITC Avant Garde" w:hAnsi="ITC Avant Garde"/>
          <w:lang w:val="es-ES"/>
        </w:rPr>
      </w:pPr>
      <w:r w:rsidRPr="00DD2DA9">
        <w:rPr>
          <w:rFonts w:ascii="ITC Avant Garde" w:hAnsi="ITC Avant Garde"/>
          <w:b/>
          <w:lang w:val="es-ES"/>
        </w:rPr>
        <w:t>Solicitud Desacuerdo 2016.</w:t>
      </w:r>
      <w:r w:rsidRPr="00DD2DA9">
        <w:rPr>
          <w:rFonts w:ascii="ITC Avant Garde" w:hAnsi="ITC Avant Garde"/>
          <w:lang w:val="es-ES"/>
        </w:rPr>
        <w:t xml:space="preserve"> El 2 de diciembre de 2015, Mega Cable solicit</w:t>
      </w:r>
      <w:r w:rsidR="009F16F5">
        <w:rPr>
          <w:rFonts w:ascii="ITC Avant Garde" w:hAnsi="ITC Avant Garde"/>
          <w:lang w:val="es-ES"/>
        </w:rPr>
        <w:t>ó</w:t>
      </w:r>
      <w:r w:rsidRPr="00DD2DA9">
        <w:rPr>
          <w:rFonts w:ascii="ITC Avant Garde" w:hAnsi="ITC Avant Garde"/>
          <w:lang w:val="es-ES"/>
        </w:rPr>
        <w:t xml:space="preserve"> a este Instituto la resolución de desacuerdo en materia de compartición de infraestructura para determinar las tarifas, términos y condiciones para el </w:t>
      </w:r>
      <w:r w:rsidR="00EC3712" w:rsidRPr="00D05E83">
        <w:rPr>
          <w:rFonts w:ascii="ITC Avant Garde" w:eastAsia="Times New Roman" w:hAnsi="ITC Avant Garde"/>
          <w:lang w:val="es-ES" w:eastAsia="es-ES"/>
        </w:rPr>
        <w:t xml:space="preserve">del </w:t>
      </w:r>
      <w:r w:rsidRPr="00D05E83">
        <w:rPr>
          <w:rFonts w:ascii="ITC Avant Garde" w:eastAsia="Times New Roman" w:hAnsi="ITC Avant Garde"/>
          <w:lang w:val="es-ES" w:eastAsia="es-ES"/>
        </w:rPr>
        <w:t xml:space="preserve">servicio de </w:t>
      </w:r>
      <w:r w:rsidR="00EC3712" w:rsidRPr="00D05E83">
        <w:rPr>
          <w:rFonts w:ascii="ITC Avant Garde" w:eastAsia="Times New Roman" w:hAnsi="ITC Avant Garde"/>
          <w:lang w:val="es-ES" w:eastAsia="es-ES"/>
        </w:rPr>
        <w:t>Acceso</w:t>
      </w:r>
      <w:r w:rsidRPr="00D05E83">
        <w:rPr>
          <w:rFonts w:ascii="ITC Avant Garde" w:eastAsia="Times New Roman" w:hAnsi="ITC Avant Garde"/>
          <w:lang w:val="es-ES" w:eastAsia="es-ES"/>
        </w:rPr>
        <w:t xml:space="preserve"> y </w:t>
      </w:r>
      <w:r w:rsidR="00EC3712" w:rsidRPr="00D05E83">
        <w:rPr>
          <w:rFonts w:ascii="ITC Avant Garde" w:eastAsia="Times New Roman" w:hAnsi="ITC Avant Garde"/>
          <w:lang w:val="es-ES" w:eastAsia="es-ES"/>
        </w:rPr>
        <w:t>Uso Compartido</w:t>
      </w:r>
      <w:r w:rsidRPr="00D05E83">
        <w:rPr>
          <w:rFonts w:ascii="ITC Avant Garde" w:eastAsia="Times New Roman" w:hAnsi="ITC Avant Garde"/>
          <w:lang w:val="es-ES" w:eastAsia="es-ES"/>
        </w:rPr>
        <w:t xml:space="preserve"> de </w:t>
      </w:r>
      <w:r w:rsidR="00EC3712" w:rsidRPr="00D05E83">
        <w:rPr>
          <w:rFonts w:ascii="ITC Avant Garde" w:eastAsia="Times New Roman" w:hAnsi="ITC Avant Garde"/>
          <w:lang w:val="es-ES" w:eastAsia="es-ES"/>
        </w:rPr>
        <w:t>Infraestructura Pasiva</w:t>
      </w:r>
      <w:r w:rsidRPr="00D05E83">
        <w:rPr>
          <w:rFonts w:ascii="ITC Avant Garde" w:hAnsi="ITC Avant Garde"/>
          <w:lang w:val="es-ES"/>
        </w:rPr>
        <w:t xml:space="preserve"> con Telmex y Telnor, para el periodo del 1 de enero al 31 de diciembre de 2016.</w:t>
      </w:r>
    </w:p>
    <w:p w14:paraId="5D369FDF" w14:textId="26C54703" w:rsidR="001C1DA7" w:rsidRPr="001C1DA7" w:rsidRDefault="001C1DA7" w:rsidP="008445B6">
      <w:pPr>
        <w:spacing w:after="240"/>
        <w:ind w:left="284"/>
        <w:jc w:val="both"/>
        <w:rPr>
          <w:rFonts w:ascii="ITC Avant Garde" w:hAnsi="ITC Avant Garde"/>
          <w:bCs/>
          <w:lang w:val="es-ES"/>
        </w:rPr>
      </w:pPr>
      <w:r w:rsidRPr="001C1DA7">
        <w:rPr>
          <w:rFonts w:ascii="ITC Avant Garde" w:hAnsi="ITC Avant Garde"/>
          <w:lang w:val="es-ES"/>
        </w:rPr>
        <w:t xml:space="preserve">En virtud de lo anterior, mediante </w:t>
      </w:r>
      <w:r w:rsidR="008A5488">
        <w:rPr>
          <w:rFonts w:ascii="ITC Avant Garde" w:hAnsi="ITC Avant Garde"/>
          <w:lang w:val="es-ES"/>
        </w:rPr>
        <w:t>A</w:t>
      </w:r>
      <w:r w:rsidRPr="00D05E83">
        <w:rPr>
          <w:rFonts w:ascii="ITC Avant Garde" w:hAnsi="ITC Avant Garde"/>
          <w:lang w:val="es-ES"/>
        </w:rPr>
        <w:t>cuerdo</w:t>
      </w:r>
      <w:r w:rsidRPr="001C1DA7">
        <w:rPr>
          <w:rFonts w:ascii="ITC Avant Garde" w:hAnsi="ITC Avant Garde"/>
          <w:lang w:val="es-ES"/>
        </w:rPr>
        <w:t xml:space="preserve"> P/IFT/090616/302 de fecha 9 de junio de 2016</w:t>
      </w:r>
      <w:r w:rsidR="00EC3712">
        <w:rPr>
          <w:rFonts w:ascii="ITC Avant Garde" w:hAnsi="ITC Avant Garde"/>
          <w:lang w:val="es-ES"/>
        </w:rPr>
        <w:t>,</w:t>
      </w:r>
      <w:r w:rsidRPr="001C1DA7">
        <w:rPr>
          <w:rFonts w:ascii="ITC Avant Garde" w:hAnsi="ITC Avant Garde"/>
          <w:lang w:val="es-ES"/>
        </w:rPr>
        <w:t xml:space="preserve"> el Pleno de este Instituto </w:t>
      </w:r>
      <w:r w:rsidRPr="00D05E83">
        <w:rPr>
          <w:rFonts w:ascii="ITC Avant Garde" w:hAnsi="ITC Avant Garde"/>
          <w:lang w:val="es-ES"/>
        </w:rPr>
        <w:t>determin</w:t>
      </w:r>
      <w:r w:rsidR="00EC3712">
        <w:rPr>
          <w:rFonts w:ascii="ITC Avant Garde" w:hAnsi="ITC Avant Garde"/>
          <w:lang w:val="es-ES"/>
        </w:rPr>
        <w:t>ó</w:t>
      </w:r>
      <w:r w:rsidRPr="001C1DA7">
        <w:rPr>
          <w:rFonts w:ascii="ITC Avant Garde" w:hAnsi="ITC Avant Garde"/>
          <w:lang w:val="es-ES"/>
        </w:rPr>
        <w:t xml:space="preserve"> las tarifas, términos y condiciones solicitados por Mega Cable, correspondientes al periodo del 1 de enero al 31 de diciembre de 2016, por lo que </w:t>
      </w:r>
      <w:r w:rsidR="009F16F5">
        <w:rPr>
          <w:rFonts w:ascii="ITC Avant Garde" w:hAnsi="ITC Avant Garde"/>
          <w:lang w:val="es-ES"/>
        </w:rPr>
        <w:t xml:space="preserve">las tarifas para </w:t>
      </w:r>
      <w:r w:rsidRPr="001C1DA7">
        <w:rPr>
          <w:rFonts w:ascii="ITC Avant Garde" w:hAnsi="ITC Avant Garde"/>
          <w:lang w:val="es-ES"/>
        </w:rPr>
        <w:t>dicho periodo ya se encuentra</w:t>
      </w:r>
      <w:r w:rsidR="009F16F5">
        <w:rPr>
          <w:rFonts w:ascii="ITC Avant Garde" w:hAnsi="ITC Avant Garde"/>
          <w:lang w:val="es-ES"/>
        </w:rPr>
        <w:t>n</w:t>
      </w:r>
      <w:r w:rsidRPr="001C1DA7">
        <w:rPr>
          <w:rFonts w:ascii="ITC Avant Garde" w:hAnsi="ITC Avant Garde"/>
          <w:lang w:val="es-ES"/>
        </w:rPr>
        <w:t xml:space="preserve"> resuel</w:t>
      </w:r>
      <w:r w:rsidR="00187791">
        <w:rPr>
          <w:rFonts w:ascii="ITC Avant Garde" w:hAnsi="ITC Avant Garde"/>
          <w:bCs/>
          <w:lang w:val="es-ES"/>
        </w:rPr>
        <w:t>t</w:t>
      </w:r>
      <w:r w:rsidR="009F16F5">
        <w:rPr>
          <w:rFonts w:ascii="ITC Avant Garde" w:hAnsi="ITC Avant Garde"/>
          <w:bCs/>
          <w:lang w:val="es-ES"/>
        </w:rPr>
        <w:t>as</w:t>
      </w:r>
      <w:r w:rsidR="00187791">
        <w:rPr>
          <w:rFonts w:ascii="ITC Avant Garde" w:hAnsi="ITC Avant Garde"/>
          <w:bCs/>
          <w:lang w:val="es-ES"/>
        </w:rPr>
        <w:t xml:space="preserve"> por este Instituto; </w:t>
      </w:r>
      <w:r w:rsidR="008A5488">
        <w:rPr>
          <w:rFonts w:ascii="ITC Avant Garde" w:hAnsi="ITC Avant Garde"/>
          <w:lang w:val="es-ES"/>
        </w:rPr>
        <w:t>dicho Acuerdo</w:t>
      </w:r>
      <w:r w:rsidR="00187791">
        <w:rPr>
          <w:rFonts w:ascii="ITC Avant Garde" w:hAnsi="ITC Avant Garde"/>
          <w:bCs/>
          <w:lang w:val="es-ES"/>
        </w:rPr>
        <w:t xml:space="preserve"> fue notificado a Telmex y Telnor el 20 de junio de 2016 y a Mega Cable el 21 de junio de 2016.</w:t>
      </w:r>
    </w:p>
    <w:p w14:paraId="0421B49A" w14:textId="0CC21916" w:rsidR="00580365" w:rsidRDefault="004605C2" w:rsidP="008445B6">
      <w:pPr>
        <w:numPr>
          <w:ilvl w:val="0"/>
          <w:numId w:val="67"/>
        </w:numPr>
        <w:tabs>
          <w:tab w:val="num" w:pos="284"/>
        </w:tabs>
        <w:spacing w:after="240"/>
        <w:ind w:left="284" w:firstLine="284"/>
        <w:jc w:val="both"/>
        <w:rPr>
          <w:rFonts w:ascii="ITC Avant Garde" w:hAnsi="ITC Avant Garde"/>
          <w:bCs/>
        </w:rPr>
      </w:pPr>
      <w:r w:rsidRPr="00176A7A">
        <w:rPr>
          <w:rFonts w:ascii="ITC Avant Garde" w:hAnsi="ITC Avant Garde"/>
          <w:b/>
          <w:bCs/>
        </w:rPr>
        <w:lastRenderedPageBreak/>
        <w:t>Resolución amparo.</w:t>
      </w:r>
      <w:r w:rsidRPr="00176A7A">
        <w:rPr>
          <w:rFonts w:ascii="ITC Avant Garde" w:hAnsi="ITC Avant Garde"/>
          <w:bCs/>
        </w:rPr>
        <w:t xml:space="preserve"> </w:t>
      </w:r>
      <w:r w:rsidR="00580365" w:rsidRPr="00176A7A">
        <w:rPr>
          <w:rFonts w:ascii="ITC Avant Garde" w:hAnsi="ITC Avant Garde"/>
          <w:bCs/>
        </w:rPr>
        <w:t xml:space="preserve">El 9 de marzo de 2016 el Juzgado Primero emitió </w:t>
      </w:r>
      <w:r w:rsidR="00C6448B">
        <w:rPr>
          <w:rFonts w:ascii="ITC Avant Garde" w:hAnsi="ITC Avant Garde"/>
          <w:bCs/>
        </w:rPr>
        <w:t xml:space="preserve">sentencia dentro del juicio de amparo </w:t>
      </w:r>
      <w:r w:rsidR="00C6448B" w:rsidRPr="00176A7A">
        <w:rPr>
          <w:rFonts w:ascii="ITC Avant Garde" w:eastAsia="Times New Roman" w:hAnsi="ITC Avant Garde"/>
          <w:bCs/>
          <w:lang w:val="es-ES" w:eastAsia="es-ES"/>
        </w:rPr>
        <w:t>1670/2015</w:t>
      </w:r>
      <w:r w:rsidR="00C6448B">
        <w:rPr>
          <w:rFonts w:ascii="ITC Avant Garde" w:eastAsia="Times New Roman" w:hAnsi="ITC Avant Garde"/>
          <w:bCs/>
          <w:lang w:val="es-ES" w:eastAsia="es-ES"/>
        </w:rPr>
        <w:t xml:space="preserve">, dentro </w:t>
      </w:r>
      <w:r w:rsidR="00580365" w:rsidRPr="00176A7A">
        <w:rPr>
          <w:rFonts w:ascii="ITC Avant Garde" w:hAnsi="ITC Avant Garde"/>
          <w:bCs/>
        </w:rPr>
        <w:t>la cual estableció:</w:t>
      </w:r>
    </w:p>
    <w:p w14:paraId="7C8022DD" w14:textId="1C1A2C79" w:rsidR="00580365" w:rsidRPr="008445B6" w:rsidRDefault="00580365" w:rsidP="008445B6">
      <w:pPr>
        <w:pStyle w:val="IFTnormal"/>
        <w:spacing w:after="240"/>
        <w:ind w:left="1418" w:right="1182"/>
        <w:rPr>
          <w:bCs/>
          <w:sz w:val="18"/>
          <w:szCs w:val="18"/>
        </w:rPr>
      </w:pPr>
      <w:r w:rsidRPr="008445B6">
        <w:rPr>
          <w:bCs/>
          <w:sz w:val="18"/>
          <w:szCs w:val="18"/>
        </w:rPr>
        <w:t>“ÚNICO. Se sobresee en el juicio de amparo, por las razones y fundamentos expuestos en el presente fallo”</w:t>
      </w:r>
    </w:p>
    <w:p w14:paraId="06CCDD2D" w14:textId="4324ED9A" w:rsidR="00580365" w:rsidRDefault="004605C2" w:rsidP="008445B6">
      <w:pPr>
        <w:numPr>
          <w:ilvl w:val="0"/>
          <w:numId w:val="67"/>
        </w:numPr>
        <w:tabs>
          <w:tab w:val="num" w:pos="284"/>
        </w:tabs>
        <w:spacing w:after="240"/>
        <w:ind w:left="284" w:firstLine="284"/>
        <w:jc w:val="both"/>
        <w:rPr>
          <w:rFonts w:ascii="ITC Avant Garde" w:hAnsi="ITC Avant Garde"/>
          <w:bCs/>
        </w:rPr>
      </w:pPr>
      <w:r w:rsidRPr="00176A7A">
        <w:rPr>
          <w:rFonts w:ascii="ITC Avant Garde" w:hAnsi="ITC Avant Garde"/>
          <w:b/>
          <w:bCs/>
        </w:rPr>
        <w:t>Recurso de Revisión.</w:t>
      </w:r>
      <w:r w:rsidRPr="00176A7A">
        <w:rPr>
          <w:rFonts w:ascii="ITC Avant Garde" w:hAnsi="ITC Avant Garde"/>
          <w:bCs/>
        </w:rPr>
        <w:t xml:space="preserve"> </w:t>
      </w:r>
      <w:r w:rsidR="00580365" w:rsidRPr="00176A7A">
        <w:rPr>
          <w:rFonts w:ascii="ITC Avant Garde" w:hAnsi="ITC Avant Garde"/>
          <w:bCs/>
        </w:rPr>
        <w:t xml:space="preserve">Inconforme con la resolución </w:t>
      </w:r>
      <w:r w:rsidR="00D14698">
        <w:rPr>
          <w:rFonts w:ascii="ITC Avant Garde" w:hAnsi="ITC Avant Garde"/>
          <w:bCs/>
        </w:rPr>
        <w:t>citada en el antecedente XI</w:t>
      </w:r>
      <w:r w:rsidR="00721205">
        <w:rPr>
          <w:rFonts w:ascii="ITC Avant Garde" w:hAnsi="ITC Avant Garde"/>
          <w:bCs/>
        </w:rPr>
        <w:t>II</w:t>
      </w:r>
      <w:r w:rsidR="00D14698">
        <w:rPr>
          <w:rFonts w:ascii="ITC Avant Garde" w:hAnsi="ITC Avant Garde"/>
          <w:bCs/>
        </w:rPr>
        <w:t xml:space="preserve">, </w:t>
      </w:r>
      <w:r w:rsidR="00580365" w:rsidRPr="00176A7A">
        <w:rPr>
          <w:rFonts w:ascii="ITC Avant Garde" w:hAnsi="ITC Avant Garde"/>
          <w:bCs/>
        </w:rPr>
        <w:t xml:space="preserve">el 31 de marzo de 2016, Mega Cable interpuso recurso de revisión, por lo que el 7 de abril de 2016, el </w:t>
      </w:r>
      <w:r w:rsidR="00D14698" w:rsidRPr="00D14698">
        <w:rPr>
          <w:rFonts w:ascii="ITC Avant Garde" w:hAnsi="ITC Avant Garde"/>
          <w:bCs/>
        </w:rPr>
        <w:t xml:space="preserve">Primer Tribunal Colegiado de Circuito en Materia Administrativa Especializado en Competencia Económica, Radiodifusión y Telecomunicaciones con residencia en la Ciudad de México y jurisdicción en toda la República (en </w:t>
      </w:r>
      <w:r w:rsidR="00D14698">
        <w:rPr>
          <w:rFonts w:ascii="ITC Avant Garde" w:hAnsi="ITC Avant Garde"/>
          <w:bCs/>
        </w:rPr>
        <w:t>lo sucesivo, el</w:t>
      </w:r>
      <w:r w:rsidR="00D14698" w:rsidRPr="00D14698">
        <w:rPr>
          <w:rFonts w:ascii="ITC Avant Garde" w:hAnsi="ITC Avant Garde"/>
          <w:bCs/>
        </w:rPr>
        <w:t xml:space="preserve"> “Primer Tribunal Colegiado”)</w:t>
      </w:r>
      <w:r w:rsidR="00C6448B">
        <w:rPr>
          <w:rFonts w:ascii="ITC Avant Garde" w:hAnsi="ITC Avant Garde"/>
          <w:bCs/>
        </w:rPr>
        <w:t xml:space="preserve"> </w:t>
      </w:r>
      <w:r w:rsidR="00580365" w:rsidRPr="00176A7A">
        <w:rPr>
          <w:rFonts w:ascii="ITC Avant Garde" w:hAnsi="ITC Avant Garde"/>
          <w:bCs/>
        </w:rPr>
        <w:t xml:space="preserve">admitió a trámite </w:t>
      </w:r>
      <w:r w:rsidR="00D14698">
        <w:rPr>
          <w:rFonts w:ascii="ITC Avant Garde" w:hAnsi="ITC Avant Garde"/>
          <w:bCs/>
        </w:rPr>
        <w:t xml:space="preserve">dicho recurso, asignándosele el número de expediente </w:t>
      </w:r>
      <w:r w:rsidR="00580365" w:rsidRPr="00176A7A">
        <w:rPr>
          <w:rFonts w:ascii="ITC Avant Garde" w:hAnsi="ITC Avant Garde"/>
          <w:bCs/>
        </w:rPr>
        <w:t>R.A. 44/2016.</w:t>
      </w:r>
    </w:p>
    <w:p w14:paraId="0D722E45" w14:textId="0EA23A54" w:rsidR="00580365" w:rsidRPr="00176A7A" w:rsidRDefault="004605C2" w:rsidP="008445B6">
      <w:pPr>
        <w:numPr>
          <w:ilvl w:val="0"/>
          <w:numId w:val="67"/>
        </w:numPr>
        <w:tabs>
          <w:tab w:val="num" w:pos="284"/>
        </w:tabs>
        <w:spacing w:after="240"/>
        <w:ind w:left="284" w:firstLine="284"/>
        <w:jc w:val="both"/>
        <w:rPr>
          <w:rFonts w:ascii="ITC Avant Garde" w:hAnsi="ITC Avant Garde"/>
        </w:rPr>
      </w:pPr>
      <w:r w:rsidRPr="00176A7A">
        <w:rPr>
          <w:rFonts w:ascii="ITC Avant Garde" w:hAnsi="ITC Avant Garde"/>
          <w:b/>
        </w:rPr>
        <w:t>Ejecutoria.</w:t>
      </w:r>
      <w:r w:rsidRPr="00176A7A">
        <w:rPr>
          <w:rFonts w:ascii="ITC Avant Garde" w:hAnsi="ITC Avant Garde"/>
        </w:rPr>
        <w:t xml:space="preserve"> </w:t>
      </w:r>
      <w:r w:rsidR="00580365" w:rsidRPr="00176A7A">
        <w:rPr>
          <w:rFonts w:ascii="ITC Avant Garde" w:hAnsi="ITC Avant Garde"/>
        </w:rPr>
        <w:t>Una vez agotado el procedimiento y realizado el análisis correspondiente, el Primer Tribunal Colegiado</w:t>
      </w:r>
      <w:r w:rsidR="00A251B7">
        <w:rPr>
          <w:rFonts w:ascii="ITC Avant Garde" w:hAnsi="ITC Avant Garde"/>
        </w:rPr>
        <w:t xml:space="preserve">, dentro del expediente </w:t>
      </w:r>
      <w:r w:rsidR="00A251B7" w:rsidRPr="00176A7A">
        <w:rPr>
          <w:rFonts w:ascii="ITC Avant Garde" w:hAnsi="ITC Avant Garde"/>
          <w:bCs/>
        </w:rPr>
        <w:t>R.A. 44/2016</w:t>
      </w:r>
      <w:r w:rsidR="00A251B7">
        <w:rPr>
          <w:rFonts w:ascii="ITC Avant Garde" w:hAnsi="ITC Avant Garde"/>
          <w:bCs/>
        </w:rPr>
        <w:t>, el</w:t>
      </w:r>
      <w:r w:rsidR="00580365" w:rsidRPr="00176A7A">
        <w:rPr>
          <w:rFonts w:ascii="ITC Avant Garde" w:hAnsi="ITC Avant Garde"/>
        </w:rPr>
        <w:t xml:space="preserve"> 16 de junio de 2016</w:t>
      </w:r>
      <w:r w:rsidR="00A251B7">
        <w:rPr>
          <w:rFonts w:ascii="ITC Avant Garde" w:hAnsi="ITC Avant Garde"/>
        </w:rPr>
        <w:t xml:space="preserve"> resolvió lo siguiente:</w:t>
      </w:r>
    </w:p>
    <w:p w14:paraId="7065C290" w14:textId="77777777" w:rsidR="00580365" w:rsidRPr="008445B6" w:rsidRDefault="00580365" w:rsidP="008445B6">
      <w:pPr>
        <w:pStyle w:val="IFTnormal"/>
        <w:spacing w:after="0"/>
        <w:ind w:left="1418" w:right="1182"/>
        <w:rPr>
          <w:bCs/>
          <w:sz w:val="18"/>
          <w:szCs w:val="18"/>
        </w:rPr>
      </w:pPr>
      <w:r w:rsidRPr="008445B6">
        <w:rPr>
          <w:bCs/>
          <w:sz w:val="18"/>
          <w:szCs w:val="18"/>
        </w:rPr>
        <w:t>“</w:t>
      </w:r>
      <w:r w:rsidRPr="008445B6">
        <w:rPr>
          <w:b/>
          <w:bCs/>
          <w:sz w:val="18"/>
          <w:szCs w:val="18"/>
        </w:rPr>
        <w:t>PRIMERO.</w:t>
      </w:r>
      <w:r w:rsidRPr="008445B6">
        <w:rPr>
          <w:bCs/>
          <w:sz w:val="18"/>
          <w:szCs w:val="18"/>
        </w:rPr>
        <w:t xml:space="preserve"> Se modifica la sentencia dictada por la juez Primero de Distrito en Materia Administrativa Especializada en Competencia Económica, Radiodifusión y Telecomunicaciones, con residencia en el Distrito Federal y jurisdicción en toda la República, en el juicio de amparo indirecto 1670/2015.</w:t>
      </w:r>
    </w:p>
    <w:p w14:paraId="0AE602AE" w14:textId="77777777" w:rsidR="00580365" w:rsidRPr="008445B6" w:rsidRDefault="00580365" w:rsidP="008445B6">
      <w:pPr>
        <w:pStyle w:val="IFTnormal"/>
        <w:spacing w:after="0"/>
        <w:ind w:left="1418" w:right="1182"/>
        <w:rPr>
          <w:bCs/>
          <w:sz w:val="18"/>
          <w:szCs w:val="18"/>
        </w:rPr>
      </w:pPr>
      <w:r w:rsidRPr="008445B6">
        <w:rPr>
          <w:b/>
          <w:bCs/>
          <w:sz w:val="18"/>
          <w:szCs w:val="18"/>
        </w:rPr>
        <w:t>SEGUNDO.</w:t>
      </w:r>
      <w:r w:rsidRPr="008445B6">
        <w:rPr>
          <w:bCs/>
          <w:sz w:val="18"/>
          <w:szCs w:val="18"/>
        </w:rPr>
        <w:t xml:space="preserve"> La Justicia de la Unión ampara y protege a Mega Cable, sociedad anónima de capital variable, en contra del acto y autoridades referidos en el considerando segundo de la ejecutoria que se revisa, atendiendo a lo expuesto en el último considerando de esta ejecutoria.</w:t>
      </w:r>
    </w:p>
    <w:p w14:paraId="35018422" w14:textId="77777777" w:rsidR="00580365" w:rsidRPr="008445B6" w:rsidRDefault="00580365" w:rsidP="008445B6">
      <w:pPr>
        <w:pStyle w:val="IFTnormal"/>
        <w:ind w:left="1418" w:right="1182"/>
      </w:pPr>
      <w:r w:rsidRPr="008445B6">
        <w:t>[…]"</w:t>
      </w:r>
    </w:p>
    <w:p w14:paraId="7F948682" w14:textId="0D80C601" w:rsidR="00AD283F" w:rsidRDefault="00AD283F" w:rsidP="008445B6">
      <w:pPr>
        <w:numPr>
          <w:ilvl w:val="0"/>
          <w:numId w:val="67"/>
        </w:numPr>
        <w:tabs>
          <w:tab w:val="num" w:pos="284"/>
        </w:tabs>
        <w:spacing w:after="240"/>
        <w:ind w:left="284" w:firstLine="284"/>
        <w:jc w:val="both"/>
        <w:rPr>
          <w:rFonts w:ascii="ITC Avant Garde" w:hAnsi="ITC Avant Garde" w:cs="Arial"/>
        </w:rPr>
      </w:pPr>
      <w:r w:rsidRPr="00AD283F">
        <w:rPr>
          <w:rFonts w:ascii="ITC Avant Garde" w:hAnsi="ITC Avant Garde" w:cs="Arial"/>
          <w:b/>
        </w:rPr>
        <w:t>Convenio</w:t>
      </w:r>
      <w:r w:rsidR="002A4A83">
        <w:rPr>
          <w:rFonts w:ascii="ITC Avant Garde" w:hAnsi="ITC Avant Garde" w:cs="Arial"/>
          <w:b/>
        </w:rPr>
        <w:t xml:space="preserve"> 2016</w:t>
      </w:r>
      <w:r w:rsidRPr="00AD283F">
        <w:rPr>
          <w:rFonts w:ascii="ITC Avant Garde" w:hAnsi="ITC Avant Garde" w:cs="Arial"/>
          <w:b/>
        </w:rPr>
        <w:t>.</w:t>
      </w:r>
      <w:r w:rsidRPr="00AD283F">
        <w:rPr>
          <w:rFonts w:ascii="ITC Avant Garde" w:hAnsi="ITC Avant Garde" w:cs="Arial"/>
        </w:rPr>
        <w:t xml:space="preserve"> El 1° de julio de 2016, Mega Cable, Telmex y </w:t>
      </w:r>
      <w:proofErr w:type="spellStart"/>
      <w:r w:rsidRPr="00AD283F">
        <w:rPr>
          <w:rFonts w:ascii="ITC Avant Garde" w:hAnsi="ITC Avant Garde" w:cs="Arial"/>
        </w:rPr>
        <w:t>Telnor</w:t>
      </w:r>
      <w:proofErr w:type="spellEnd"/>
      <w:r w:rsidRPr="00AD283F">
        <w:rPr>
          <w:rFonts w:ascii="ITC Avant Garde" w:hAnsi="ITC Avant Garde" w:cs="Arial"/>
        </w:rPr>
        <w:t xml:space="preserve"> celebraron los Convenios respectivos para la prestación de los servicios de compartición de infraestructura, con una vigencia del 1</w:t>
      </w:r>
      <w:r w:rsidR="008B2577">
        <w:rPr>
          <w:rFonts w:ascii="ITC Avant Garde" w:hAnsi="ITC Avant Garde" w:cs="Arial"/>
        </w:rPr>
        <w:t>°</w:t>
      </w:r>
      <w:r w:rsidRPr="00AD283F">
        <w:rPr>
          <w:rFonts w:ascii="ITC Avant Garde" w:hAnsi="ITC Avant Garde" w:cs="Arial"/>
        </w:rPr>
        <w:t xml:space="preserve"> de julio </w:t>
      </w:r>
      <w:r w:rsidR="008C7B61">
        <w:rPr>
          <w:rFonts w:ascii="ITC Avant Garde" w:hAnsi="ITC Avant Garde" w:cs="Arial"/>
        </w:rPr>
        <w:t xml:space="preserve">de 2016 </w:t>
      </w:r>
      <w:r w:rsidRPr="00AD283F">
        <w:rPr>
          <w:rFonts w:ascii="ITC Avant Garde" w:hAnsi="ITC Avant Garde" w:cs="Arial"/>
        </w:rPr>
        <w:t>hasta el 31 de diciembre de 201</w:t>
      </w:r>
      <w:r w:rsidR="00017641">
        <w:rPr>
          <w:rFonts w:ascii="ITC Avant Garde" w:hAnsi="ITC Avant Garde" w:cs="Arial"/>
        </w:rPr>
        <w:t>7</w:t>
      </w:r>
      <w:r w:rsidRPr="00AD283F">
        <w:rPr>
          <w:rFonts w:ascii="ITC Avant Garde" w:hAnsi="ITC Avant Garde" w:cs="Arial"/>
        </w:rPr>
        <w:t>,</w:t>
      </w:r>
      <w:r w:rsidR="00017641">
        <w:rPr>
          <w:rFonts w:ascii="ITC Avant Garde" w:hAnsi="ITC Avant Garde" w:cs="Arial"/>
        </w:rPr>
        <w:t xml:space="preserve">y hasta el 31 de diciembre de 2016 en lo relativo a tarifas; lo anterior </w:t>
      </w:r>
      <w:r w:rsidRPr="00AD283F">
        <w:rPr>
          <w:rFonts w:ascii="ITC Avant Garde" w:hAnsi="ITC Avant Garde" w:cs="Arial"/>
        </w:rPr>
        <w:t xml:space="preserve">en cumplimiento al Acuerdo P/IFT/09062016/302 de fecha 6 de junio de 2016 emitido por el Pleno mediante el cual este Instituto determinó que Mega Cable, Telmex y </w:t>
      </w:r>
      <w:proofErr w:type="spellStart"/>
      <w:r w:rsidRPr="00AD283F">
        <w:rPr>
          <w:rFonts w:ascii="ITC Avant Garde" w:hAnsi="ITC Avant Garde" w:cs="Arial"/>
        </w:rPr>
        <w:t>Telnor</w:t>
      </w:r>
      <w:proofErr w:type="spellEnd"/>
      <w:r w:rsidRPr="00AD283F">
        <w:rPr>
          <w:rFonts w:ascii="ITC Avant Garde" w:hAnsi="ITC Avant Garde" w:cs="Arial"/>
        </w:rPr>
        <w:t xml:space="preserve"> debían firmar los convenios respectivos conforme a los términos y condiciones resueltos dentro de la misma resolución.</w:t>
      </w:r>
    </w:p>
    <w:p w14:paraId="33F03570" w14:textId="533B21E0" w:rsidR="00203224" w:rsidRPr="00176A7A" w:rsidRDefault="004605C2" w:rsidP="008445B6">
      <w:pPr>
        <w:numPr>
          <w:ilvl w:val="0"/>
          <w:numId w:val="67"/>
        </w:numPr>
        <w:tabs>
          <w:tab w:val="num" w:pos="284"/>
        </w:tabs>
        <w:spacing w:after="240"/>
        <w:ind w:left="284" w:firstLine="284"/>
        <w:jc w:val="both"/>
        <w:rPr>
          <w:rFonts w:ascii="ITC Avant Garde" w:hAnsi="ITC Avant Garde" w:cs="Arial"/>
        </w:rPr>
      </w:pPr>
      <w:r w:rsidRPr="00176A7A">
        <w:rPr>
          <w:rFonts w:ascii="ITC Avant Garde" w:hAnsi="ITC Avant Garde" w:cs="Arial"/>
          <w:b/>
          <w:bCs/>
          <w:color w:val="000000"/>
          <w:lang w:val="es-ES_tradnl"/>
        </w:rPr>
        <w:t>Oficio insubsistencia del acto.</w:t>
      </w:r>
      <w:r w:rsidRPr="00176A7A">
        <w:rPr>
          <w:rFonts w:ascii="ITC Avant Garde" w:hAnsi="ITC Avant Garde" w:cs="Arial"/>
          <w:bCs/>
          <w:color w:val="000000"/>
          <w:lang w:val="es-ES_tradnl"/>
        </w:rPr>
        <w:t xml:space="preserve"> </w:t>
      </w:r>
      <w:r w:rsidR="00580365" w:rsidRPr="00176A7A">
        <w:rPr>
          <w:rFonts w:ascii="ITC Avant Garde" w:hAnsi="ITC Avant Garde" w:cs="Arial"/>
        </w:rPr>
        <w:t xml:space="preserve">El 15 de julio de 2016, en estricto cumplimiento de la ejecutoria </w:t>
      </w:r>
      <w:r w:rsidR="00A251B7">
        <w:rPr>
          <w:rFonts w:ascii="ITC Avant Garde" w:hAnsi="ITC Avant Garde" w:cs="Arial"/>
        </w:rPr>
        <w:t>señalada en el antecedente XIII</w:t>
      </w:r>
      <w:r w:rsidR="00580365" w:rsidRPr="00176A7A">
        <w:rPr>
          <w:rFonts w:ascii="ITC Avant Garde" w:hAnsi="ITC Avant Garde" w:cs="Arial"/>
        </w:rPr>
        <w:t xml:space="preserve"> el </w:t>
      </w:r>
      <w:r w:rsidR="001C1DA7">
        <w:rPr>
          <w:rFonts w:ascii="ITC Avant Garde" w:hAnsi="ITC Avant Garde" w:cs="Arial"/>
        </w:rPr>
        <w:t>Director General de Compartición de Infraestructura</w:t>
      </w:r>
      <w:r w:rsidR="00580365" w:rsidRPr="00176A7A">
        <w:rPr>
          <w:rFonts w:ascii="ITC Avant Garde" w:hAnsi="ITC Avant Garde" w:cs="Arial"/>
        </w:rPr>
        <w:t xml:space="preserve"> emitió </w:t>
      </w:r>
      <w:r w:rsidR="003432E6">
        <w:rPr>
          <w:rFonts w:ascii="ITC Avant Garde" w:hAnsi="ITC Avant Garde" w:cs="Arial"/>
        </w:rPr>
        <w:t xml:space="preserve">el </w:t>
      </w:r>
      <w:r w:rsidR="00580365" w:rsidRPr="00176A7A">
        <w:rPr>
          <w:rFonts w:ascii="ITC Avant Garde" w:hAnsi="ITC Avant Garde" w:cs="Arial"/>
        </w:rPr>
        <w:t xml:space="preserve">oficio </w:t>
      </w:r>
      <w:r w:rsidR="00950F64" w:rsidRPr="00176A7A">
        <w:rPr>
          <w:rFonts w:ascii="ITC Avant Garde" w:hAnsi="ITC Avant Garde" w:cs="Arial"/>
        </w:rPr>
        <w:t>IFT/221/UPR/DG-CIN/</w:t>
      </w:r>
      <w:r w:rsidR="00950F64">
        <w:rPr>
          <w:rFonts w:ascii="ITC Avant Garde" w:hAnsi="ITC Avant Garde" w:cs="Arial"/>
        </w:rPr>
        <w:t>104</w:t>
      </w:r>
      <w:r w:rsidR="00950F64" w:rsidRPr="00176A7A">
        <w:rPr>
          <w:rFonts w:ascii="ITC Avant Garde" w:hAnsi="ITC Avant Garde" w:cs="Arial"/>
        </w:rPr>
        <w:t>/201</w:t>
      </w:r>
      <w:r w:rsidR="0069481F">
        <w:rPr>
          <w:rFonts w:ascii="ITC Avant Garde" w:hAnsi="ITC Avant Garde" w:cs="Arial"/>
        </w:rPr>
        <w:t>6</w:t>
      </w:r>
      <w:r w:rsidR="00950F64" w:rsidRPr="00176A7A">
        <w:rPr>
          <w:rFonts w:ascii="ITC Avant Garde" w:hAnsi="ITC Avant Garde" w:cs="Arial"/>
        </w:rPr>
        <w:t>de fecha 1</w:t>
      </w:r>
      <w:r w:rsidR="00950F64">
        <w:rPr>
          <w:rFonts w:ascii="ITC Avant Garde" w:hAnsi="ITC Avant Garde" w:cs="Arial"/>
        </w:rPr>
        <w:t>5</w:t>
      </w:r>
      <w:r w:rsidR="00950F64" w:rsidRPr="00176A7A">
        <w:rPr>
          <w:rFonts w:ascii="ITC Avant Garde" w:hAnsi="ITC Avant Garde" w:cs="Arial"/>
        </w:rPr>
        <w:t xml:space="preserve"> de </w:t>
      </w:r>
      <w:r w:rsidR="00950F64">
        <w:rPr>
          <w:rFonts w:ascii="ITC Avant Garde" w:hAnsi="ITC Avant Garde" w:cs="Arial"/>
        </w:rPr>
        <w:t xml:space="preserve">julio </w:t>
      </w:r>
      <w:r w:rsidR="00950F64" w:rsidRPr="00176A7A">
        <w:rPr>
          <w:rFonts w:ascii="ITC Avant Garde" w:hAnsi="ITC Avant Garde" w:cs="Arial"/>
        </w:rPr>
        <w:t>de 201</w:t>
      </w:r>
      <w:r w:rsidR="00950F64">
        <w:rPr>
          <w:rFonts w:ascii="ITC Avant Garde" w:hAnsi="ITC Avant Garde" w:cs="Arial"/>
        </w:rPr>
        <w:t>6</w:t>
      </w:r>
      <w:r w:rsidR="003432E6">
        <w:rPr>
          <w:rFonts w:ascii="ITC Avant Garde" w:hAnsi="ITC Avant Garde" w:cs="Arial"/>
        </w:rPr>
        <w:t xml:space="preserve"> </w:t>
      </w:r>
      <w:r w:rsidR="00580365" w:rsidRPr="00176A7A">
        <w:rPr>
          <w:rFonts w:ascii="ITC Avant Garde" w:hAnsi="ITC Avant Garde" w:cs="Arial"/>
        </w:rPr>
        <w:t>en donde se deja insubsistente el oficio IFT/221/UPR/DG-CIN/065/2015 de fecha 19 de septiembre de 2015, dictado dentro del expediente administrativo EXP.- IFT/221/UPR/DG-CIN/002.110915/CIN</w:t>
      </w:r>
      <w:r w:rsidR="00187791">
        <w:rPr>
          <w:rFonts w:ascii="ITC Avant Garde" w:hAnsi="ITC Avant Garde" w:cs="Arial"/>
        </w:rPr>
        <w:t xml:space="preserve"> el cual contiene el desechamiento del </w:t>
      </w:r>
      <w:r w:rsidR="00187791">
        <w:rPr>
          <w:rFonts w:ascii="ITC Avant Garde" w:hAnsi="ITC Avant Garde" w:cs="Arial"/>
        </w:rPr>
        <w:lastRenderedPageBreak/>
        <w:t>desacuerdo</w:t>
      </w:r>
      <w:r w:rsidR="00580365" w:rsidRPr="00176A7A">
        <w:rPr>
          <w:rFonts w:ascii="ITC Avant Garde" w:hAnsi="ITC Avant Garde" w:cs="Arial"/>
        </w:rPr>
        <w:t xml:space="preserve">, </w:t>
      </w:r>
      <w:r w:rsidR="00187791">
        <w:rPr>
          <w:rFonts w:ascii="ITC Avant Garde" w:hAnsi="ITC Avant Garde" w:cs="Arial"/>
        </w:rPr>
        <w:t xml:space="preserve">mismo que </w:t>
      </w:r>
      <w:r w:rsidR="00580365" w:rsidRPr="00176A7A">
        <w:rPr>
          <w:rFonts w:ascii="ITC Avant Garde" w:hAnsi="ITC Avant Garde" w:cs="Arial"/>
        </w:rPr>
        <w:t xml:space="preserve">fue notificado a </w:t>
      </w:r>
      <w:r w:rsidR="00F347D2">
        <w:rPr>
          <w:rFonts w:ascii="ITC Avant Garde" w:hAnsi="ITC Avant Garde" w:cs="Arial"/>
        </w:rPr>
        <w:t xml:space="preserve">Mega Cable </w:t>
      </w:r>
      <w:r w:rsidR="00580365" w:rsidRPr="00176A7A">
        <w:rPr>
          <w:rFonts w:ascii="ITC Avant Garde" w:hAnsi="ITC Avant Garde" w:cs="Arial"/>
        </w:rPr>
        <w:t>mediante instructivo de notificación el 2 de agosto de 2016.</w:t>
      </w:r>
    </w:p>
    <w:p w14:paraId="59F46522" w14:textId="7D0889E2" w:rsidR="00EA2477" w:rsidRPr="00176A7A" w:rsidRDefault="004C3822" w:rsidP="008445B6">
      <w:pPr>
        <w:numPr>
          <w:ilvl w:val="0"/>
          <w:numId w:val="67"/>
        </w:numPr>
        <w:tabs>
          <w:tab w:val="num" w:pos="284"/>
        </w:tabs>
        <w:spacing w:after="240"/>
        <w:ind w:left="284" w:firstLine="284"/>
        <w:jc w:val="both"/>
        <w:rPr>
          <w:rFonts w:ascii="ITC Avant Garde" w:hAnsi="ITC Avant Garde" w:cs="Arial"/>
        </w:rPr>
      </w:pPr>
      <w:r w:rsidRPr="00D05E83">
        <w:rPr>
          <w:rFonts w:ascii="ITC Avant Garde" w:hAnsi="ITC Avant Garde"/>
          <w:b/>
          <w:bCs/>
          <w:lang w:val="es-ES"/>
        </w:rPr>
        <w:t>Sustanciación</w:t>
      </w:r>
      <w:r w:rsidRPr="00176A7A">
        <w:rPr>
          <w:rFonts w:ascii="ITC Avant Garde" w:hAnsi="ITC Avant Garde"/>
          <w:b/>
          <w:bCs/>
          <w:lang w:val="es-ES"/>
        </w:rPr>
        <w:t xml:space="preserve"> del procedimiento.</w:t>
      </w:r>
      <w:r w:rsidRPr="00176A7A">
        <w:rPr>
          <w:rFonts w:ascii="ITC Avant Garde" w:hAnsi="ITC Avant Garde"/>
          <w:bCs/>
          <w:lang w:val="es-ES"/>
        </w:rPr>
        <w:t xml:space="preserve"> </w:t>
      </w:r>
      <w:r w:rsidRPr="00176A7A">
        <w:rPr>
          <w:rFonts w:ascii="ITC Avant Garde" w:hAnsi="ITC Avant Garde" w:cs="Arial"/>
        </w:rPr>
        <w:t xml:space="preserve">Derivado de lo anterior, </w:t>
      </w:r>
      <w:r w:rsidR="00203224" w:rsidRPr="00176A7A">
        <w:rPr>
          <w:rFonts w:ascii="ITC Avant Garde" w:hAnsi="ITC Avant Garde" w:cs="Arial"/>
        </w:rPr>
        <w:t xml:space="preserve">en estricto cumplimiento de la ejecutoria de referencia, </w:t>
      </w:r>
      <w:r w:rsidR="00A1624F" w:rsidRPr="00176A7A">
        <w:rPr>
          <w:rFonts w:ascii="ITC Avant Garde" w:hAnsi="ITC Avant Garde" w:cs="Arial"/>
        </w:rPr>
        <w:t xml:space="preserve">el </w:t>
      </w:r>
      <w:r w:rsidR="00187791">
        <w:rPr>
          <w:rFonts w:ascii="ITC Avant Garde" w:hAnsi="ITC Avant Garde" w:cs="Arial"/>
        </w:rPr>
        <w:t xml:space="preserve">Director General de Compartición de Infraestructura </w:t>
      </w:r>
      <w:r w:rsidR="00A1624F" w:rsidRPr="00176A7A">
        <w:rPr>
          <w:rFonts w:ascii="ITC Avant Garde" w:hAnsi="ITC Avant Garde" w:cs="Arial"/>
        </w:rPr>
        <w:t xml:space="preserve"> emitió</w:t>
      </w:r>
      <w:r w:rsidR="00203224" w:rsidRPr="00176A7A">
        <w:rPr>
          <w:rFonts w:ascii="ITC Avant Garde" w:hAnsi="ITC Avant Garde" w:cs="Arial"/>
        </w:rPr>
        <w:t xml:space="preserve"> </w:t>
      </w:r>
      <w:r w:rsidR="00866B90">
        <w:rPr>
          <w:rFonts w:ascii="ITC Avant Garde" w:hAnsi="ITC Avant Garde" w:cs="Arial"/>
        </w:rPr>
        <w:t xml:space="preserve">el </w:t>
      </w:r>
      <w:r w:rsidR="00A1624F" w:rsidRPr="00176A7A">
        <w:rPr>
          <w:rFonts w:ascii="ITC Avant Garde" w:hAnsi="ITC Avant Garde" w:cs="Arial"/>
        </w:rPr>
        <w:t xml:space="preserve">oficio IFT/221/UPR/DG-CIN/105/2016 de fecha </w:t>
      </w:r>
      <w:r w:rsidR="00E64E1B" w:rsidRPr="00176A7A">
        <w:rPr>
          <w:rFonts w:ascii="ITC Avant Garde" w:hAnsi="ITC Avant Garde" w:cs="Arial"/>
        </w:rPr>
        <w:t>15 de julio de 2</w:t>
      </w:r>
      <w:r w:rsidR="00ED43A0" w:rsidRPr="00176A7A">
        <w:rPr>
          <w:rFonts w:ascii="ITC Avant Garde" w:hAnsi="ITC Avant Garde" w:cs="Arial"/>
        </w:rPr>
        <w:t>016</w:t>
      </w:r>
      <w:r w:rsidR="004873D9">
        <w:rPr>
          <w:rFonts w:ascii="ITC Avant Garde" w:hAnsi="ITC Avant Garde" w:cs="Arial"/>
        </w:rPr>
        <w:t xml:space="preserve"> (en lo sucesivo, el “Oficio de Vista”)</w:t>
      </w:r>
      <w:r w:rsidR="00E64E1B" w:rsidRPr="00176A7A">
        <w:rPr>
          <w:rFonts w:ascii="ITC Avant Garde" w:hAnsi="ITC Avant Garde" w:cs="Arial"/>
        </w:rPr>
        <w:t xml:space="preserve">, </w:t>
      </w:r>
      <w:r w:rsidR="00866B90">
        <w:rPr>
          <w:rFonts w:ascii="ITC Avant Garde" w:hAnsi="ITC Avant Garde" w:cs="Arial"/>
        </w:rPr>
        <w:t xml:space="preserve">a través del cual </w:t>
      </w:r>
      <w:r w:rsidR="00203224" w:rsidRPr="00176A7A">
        <w:rPr>
          <w:rFonts w:ascii="ITC Avant Garde" w:hAnsi="ITC Avant Garde" w:cs="Arial"/>
        </w:rPr>
        <w:t xml:space="preserve">se </w:t>
      </w:r>
      <w:r w:rsidR="003432E6">
        <w:rPr>
          <w:rFonts w:ascii="ITC Avant Garde" w:hAnsi="ITC Avant Garde" w:cs="Arial"/>
        </w:rPr>
        <w:t xml:space="preserve">dio </w:t>
      </w:r>
      <w:r w:rsidR="00866B90">
        <w:rPr>
          <w:rFonts w:ascii="ITC Avant Garde" w:hAnsi="ITC Avant Garde" w:cs="Arial"/>
        </w:rPr>
        <w:t>inici</w:t>
      </w:r>
      <w:r w:rsidR="00B05FF3">
        <w:rPr>
          <w:rFonts w:ascii="ITC Avant Garde" w:hAnsi="ITC Avant Garde" w:cs="Arial"/>
        </w:rPr>
        <w:t>o</w:t>
      </w:r>
      <w:r w:rsidR="00866B90">
        <w:rPr>
          <w:rFonts w:ascii="ITC Avant Garde" w:hAnsi="ITC Avant Garde" w:cs="Arial"/>
        </w:rPr>
        <w:t xml:space="preserve"> </w:t>
      </w:r>
      <w:r w:rsidR="003432E6">
        <w:rPr>
          <w:rFonts w:ascii="ITC Avant Garde" w:hAnsi="ITC Avant Garde" w:cs="Arial"/>
        </w:rPr>
        <w:t xml:space="preserve">al procedimiento </w:t>
      </w:r>
      <w:r w:rsidR="00203224" w:rsidRPr="00176A7A">
        <w:rPr>
          <w:rFonts w:ascii="ITC Avant Garde" w:hAnsi="ITC Avant Garde" w:cs="Arial"/>
        </w:rPr>
        <w:t xml:space="preserve">de desacuerdo presentado por Mega Cable, </w:t>
      </w:r>
      <w:r w:rsidR="003432E6">
        <w:rPr>
          <w:rFonts w:ascii="ITC Avant Garde" w:hAnsi="ITC Avant Garde" w:cs="Arial"/>
        </w:rPr>
        <w:t xml:space="preserve">dándole </w:t>
      </w:r>
      <w:r w:rsidR="00E155CA" w:rsidRPr="00176A7A">
        <w:rPr>
          <w:rFonts w:ascii="ITC Avant Garde" w:hAnsi="ITC Avant Garde" w:cs="Arial"/>
        </w:rPr>
        <w:t>vista a Telmex</w:t>
      </w:r>
      <w:r w:rsidRPr="00176A7A">
        <w:rPr>
          <w:rFonts w:ascii="ITC Avant Garde" w:hAnsi="ITC Avant Garde" w:cs="Arial"/>
        </w:rPr>
        <w:t xml:space="preserve"> </w:t>
      </w:r>
      <w:r w:rsidR="004605C2" w:rsidRPr="00176A7A">
        <w:rPr>
          <w:rFonts w:ascii="ITC Avant Garde" w:hAnsi="ITC Avant Garde" w:cs="Arial"/>
        </w:rPr>
        <w:t xml:space="preserve">y </w:t>
      </w:r>
      <w:proofErr w:type="spellStart"/>
      <w:r w:rsidR="004605C2" w:rsidRPr="00176A7A">
        <w:rPr>
          <w:rFonts w:ascii="ITC Avant Garde" w:hAnsi="ITC Avant Garde" w:cs="Arial"/>
        </w:rPr>
        <w:t>Telnor</w:t>
      </w:r>
      <w:proofErr w:type="spellEnd"/>
      <w:r w:rsidR="004605C2" w:rsidRPr="00176A7A">
        <w:rPr>
          <w:rFonts w:ascii="ITC Avant Garde" w:hAnsi="ITC Avant Garde" w:cs="Arial"/>
        </w:rPr>
        <w:t xml:space="preserve"> </w:t>
      </w:r>
      <w:r w:rsidRPr="00176A7A">
        <w:rPr>
          <w:rFonts w:ascii="ITC Avant Garde" w:hAnsi="ITC Avant Garde" w:cs="Arial"/>
        </w:rPr>
        <w:t xml:space="preserve">de la </w:t>
      </w:r>
      <w:r w:rsidR="00561E4A" w:rsidRPr="00176A7A">
        <w:rPr>
          <w:rFonts w:ascii="ITC Avant Garde" w:hAnsi="ITC Avant Garde" w:cs="Arial"/>
        </w:rPr>
        <w:t>S</w:t>
      </w:r>
      <w:r w:rsidRPr="00176A7A">
        <w:rPr>
          <w:rFonts w:ascii="ITC Avant Garde" w:hAnsi="ITC Avant Garde" w:cs="Arial"/>
        </w:rPr>
        <w:t xml:space="preserve">olicitud de </w:t>
      </w:r>
      <w:r w:rsidR="00561E4A" w:rsidRPr="00176A7A">
        <w:rPr>
          <w:rFonts w:ascii="ITC Avant Garde" w:hAnsi="ITC Avant Garde" w:cs="Arial"/>
        </w:rPr>
        <w:t>R</w:t>
      </w:r>
      <w:r w:rsidRPr="00176A7A">
        <w:rPr>
          <w:rFonts w:ascii="ITC Avant Garde" w:hAnsi="ITC Avant Garde" w:cs="Arial"/>
        </w:rPr>
        <w:t xml:space="preserve">esolución </w:t>
      </w:r>
      <w:r w:rsidR="00866B90">
        <w:rPr>
          <w:rFonts w:ascii="ITC Avant Garde" w:hAnsi="ITC Avant Garde" w:cs="Arial"/>
        </w:rPr>
        <w:t xml:space="preserve">a efecto de que </w:t>
      </w:r>
      <w:r w:rsidRPr="00176A7A">
        <w:rPr>
          <w:rFonts w:ascii="ITC Avant Garde" w:hAnsi="ITC Avant Garde" w:cs="Arial"/>
        </w:rPr>
        <w:t>manifestara</w:t>
      </w:r>
      <w:r w:rsidR="003432E6">
        <w:rPr>
          <w:rFonts w:ascii="ITC Avant Garde" w:hAnsi="ITC Avant Garde" w:cs="Arial"/>
        </w:rPr>
        <w:t>n</w:t>
      </w:r>
      <w:r w:rsidRPr="00176A7A">
        <w:rPr>
          <w:rFonts w:ascii="ITC Avant Garde" w:hAnsi="ITC Avant Garde" w:cs="Arial"/>
        </w:rPr>
        <w:t xml:space="preserve"> </w:t>
      </w:r>
      <w:r w:rsidR="00E155CA" w:rsidRPr="00176A7A">
        <w:rPr>
          <w:rFonts w:ascii="ITC Avant Garde" w:hAnsi="ITC Avant Garde" w:cs="Arial"/>
        </w:rPr>
        <w:t xml:space="preserve">lo que a su derecho conviniera </w:t>
      </w:r>
      <w:r w:rsidR="00A1624F" w:rsidRPr="00176A7A">
        <w:rPr>
          <w:rFonts w:ascii="ITC Avant Garde" w:hAnsi="ITC Avant Garde" w:cs="Arial"/>
        </w:rPr>
        <w:t>e informara</w:t>
      </w:r>
      <w:r w:rsidR="003432E6">
        <w:rPr>
          <w:rFonts w:ascii="ITC Avant Garde" w:hAnsi="ITC Avant Garde" w:cs="Arial"/>
        </w:rPr>
        <w:t>n</w:t>
      </w:r>
      <w:r w:rsidR="00A1624F" w:rsidRPr="00176A7A">
        <w:rPr>
          <w:rFonts w:ascii="ITC Avant Garde" w:hAnsi="ITC Avant Garde" w:cs="Arial"/>
        </w:rPr>
        <w:t xml:space="preserve"> a este Instituto si existieron tarifas que no hayan podido convenir con Mega Cable</w:t>
      </w:r>
      <w:r w:rsidR="003432E6">
        <w:rPr>
          <w:rFonts w:ascii="ITC Avant Garde" w:hAnsi="ITC Avant Garde" w:cs="Arial"/>
        </w:rPr>
        <w:t>,</w:t>
      </w:r>
      <w:r w:rsidR="00A1624F" w:rsidRPr="00176A7A">
        <w:rPr>
          <w:rFonts w:ascii="ITC Avant Garde" w:hAnsi="ITC Avant Garde" w:cs="Arial"/>
        </w:rPr>
        <w:t xml:space="preserve"> y de ser el caso señalen expresamente en qué consistían dichas tarifas, fijaran su postura al respecto y ofrecieran los elementos de prueba que estimaran pertinentes</w:t>
      </w:r>
      <w:r w:rsidR="004873D9">
        <w:rPr>
          <w:rFonts w:ascii="ITC Avant Garde" w:hAnsi="ITC Avant Garde" w:cs="Arial"/>
        </w:rPr>
        <w:t>.</w:t>
      </w:r>
    </w:p>
    <w:p w14:paraId="5921CBC6" w14:textId="6E644DF2" w:rsidR="00A1624F" w:rsidRDefault="00A1624F" w:rsidP="008445B6">
      <w:pPr>
        <w:numPr>
          <w:ilvl w:val="0"/>
          <w:numId w:val="67"/>
        </w:numPr>
        <w:tabs>
          <w:tab w:val="num" w:pos="284"/>
        </w:tabs>
        <w:spacing w:after="240"/>
        <w:ind w:left="284" w:firstLine="284"/>
        <w:jc w:val="both"/>
        <w:rPr>
          <w:rFonts w:ascii="ITC Avant Garde" w:hAnsi="ITC Avant Garde" w:cs="Arial"/>
        </w:rPr>
      </w:pPr>
      <w:r w:rsidRPr="00176A7A">
        <w:rPr>
          <w:rFonts w:ascii="ITC Avant Garde" w:hAnsi="ITC Avant Garde"/>
          <w:b/>
          <w:bCs/>
          <w:lang w:val="es-ES"/>
        </w:rPr>
        <w:t>Requerimiento de Información.</w:t>
      </w:r>
      <w:r w:rsidR="00EA2477" w:rsidRPr="00176A7A">
        <w:rPr>
          <w:rFonts w:ascii="ITC Avant Garde" w:hAnsi="ITC Avant Garde"/>
          <w:b/>
          <w:bCs/>
          <w:lang w:val="es-ES"/>
        </w:rPr>
        <w:t xml:space="preserve"> </w:t>
      </w:r>
      <w:r w:rsidR="00EA2477" w:rsidRPr="00176A7A">
        <w:rPr>
          <w:rFonts w:ascii="ITC Avant Garde" w:hAnsi="ITC Avant Garde" w:cs="Arial"/>
        </w:rPr>
        <w:t xml:space="preserve">En virtud de lo anterior y a efecto de que este Instituto estuviera en posibilidad de dictar la resolución que en derecho procediese sobre la Solicitud de Resolución, </w:t>
      </w:r>
      <w:r w:rsidR="004873D9">
        <w:rPr>
          <w:rFonts w:ascii="ITC Avant Garde" w:hAnsi="ITC Avant Garde" w:cs="Arial"/>
        </w:rPr>
        <w:t xml:space="preserve">dentro del Oficio de Vista </w:t>
      </w:r>
      <w:r w:rsidR="00EA2477" w:rsidRPr="00176A7A">
        <w:rPr>
          <w:rFonts w:ascii="ITC Avant Garde" w:hAnsi="ITC Avant Garde" w:cs="Arial"/>
        </w:rPr>
        <w:t xml:space="preserve">se requirió a Mega Cable, Telmex y </w:t>
      </w:r>
      <w:proofErr w:type="spellStart"/>
      <w:r w:rsidR="00EA2477" w:rsidRPr="00176A7A">
        <w:rPr>
          <w:rFonts w:ascii="ITC Avant Garde" w:hAnsi="ITC Avant Garde" w:cs="Arial"/>
        </w:rPr>
        <w:t>Telnor</w:t>
      </w:r>
      <w:proofErr w:type="spellEnd"/>
      <w:r w:rsidR="00EA2477" w:rsidRPr="00176A7A">
        <w:rPr>
          <w:rFonts w:ascii="ITC Avant Garde" w:hAnsi="ITC Avant Garde" w:cs="Arial"/>
        </w:rPr>
        <w:t xml:space="preserve"> informaran a este Instituto si durante el periodo comprendido del 11 de septiembre de 2015 al 29 de octubre de 2015 existió prestación de servicios entre Mega Cable, Telmex y </w:t>
      </w:r>
      <w:proofErr w:type="spellStart"/>
      <w:r w:rsidR="00EA2477" w:rsidRPr="00176A7A">
        <w:rPr>
          <w:rFonts w:ascii="ITC Avant Garde" w:hAnsi="ITC Avant Garde" w:cs="Arial"/>
        </w:rPr>
        <w:t>Telnor</w:t>
      </w:r>
      <w:proofErr w:type="spellEnd"/>
      <w:r w:rsidR="00EA2477" w:rsidRPr="00176A7A">
        <w:rPr>
          <w:rFonts w:ascii="ITC Avant Garde" w:hAnsi="ITC Avant Garde" w:cs="Arial"/>
        </w:rPr>
        <w:t xml:space="preserve"> relativo al Servicio de Acceso y Uso Compartido de Infraestructura Pasiva.</w:t>
      </w:r>
    </w:p>
    <w:p w14:paraId="40092D1F" w14:textId="45E5FC04" w:rsidR="0091789D" w:rsidRDefault="0091789D" w:rsidP="008445B6">
      <w:pPr>
        <w:numPr>
          <w:ilvl w:val="0"/>
          <w:numId w:val="67"/>
        </w:numPr>
        <w:tabs>
          <w:tab w:val="num" w:pos="284"/>
        </w:tabs>
        <w:spacing w:after="240"/>
        <w:ind w:left="284" w:firstLine="284"/>
        <w:jc w:val="both"/>
        <w:rPr>
          <w:rFonts w:ascii="ITC Avant Garde" w:hAnsi="ITC Avant Garde" w:cs="Arial"/>
        </w:rPr>
      </w:pPr>
      <w:r w:rsidRPr="0091789D">
        <w:rPr>
          <w:rFonts w:ascii="ITC Avant Garde" w:hAnsi="ITC Avant Garde" w:cs="Arial"/>
          <w:b/>
        </w:rPr>
        <w:t>Cumplimiento a la ejecutoria.</w:t>
      </w:r>
      <w:r>
        <w:rPr>
          <w:rFonts w:ascii="ITC Avant Garde" w:hAnsi="ITC Avant Garde" w:cs="Arial"/>
        </w:rPr>
        <w:t xml:space="preserve"> M</w:t>
      </w:r>
      <w:r w:rsidRPr="0091789D">
        <w:rPr>
          <w:rFonts w:ascii="ITC Avant Garde" w:hAnsi="ITC Avant Garde" w:cs="Arial"/>
        </w:rPr>
        <w:t>ediante proveído de fecha 4 de agosto de 2016 el Juzgado Primero determinó declarar cumplida la ejecutoria de amparo, en virtud de que mediante oficio IFT/221/UPR/DG-CIN/104/2016 se dejó insubsistente la resolución reclamada</w:t>
      </w:r>
      <w:r>
        <w:rPr>
          <w:rFonts w:ascii="ITC Avant Garde" w:hAnsi="ITC Avant Garde" w:cs="Arial"/>
        </w:rPr>
        <w:t>,</w:t>
      </w:r>
      <w:r w:rsidRPr="0091789D">
        <w:rPr>
          <w:rFonts w:ascii="ITC Avant Garde" w:hAnsi="ITC Avant Garde" w:cs="Arial"/>
        </w:rPr>
        <w:t xml:space="preserve"> dando cumplimiento al primer efecto de la ejecutoria y mediante oficio IFT/221/UPR/DG-CIN/105/2016 se emitió un nuevo acto en el que se prescindió de aplicar el artículo 129, fracción 1 de la </w:t>
      </w:r>
      <w:proofErr w:type="spellStart"/>
      <w:r w:rsidRPr="0091789D">
        <w:rPr>
          <w:rFonts w:ascii="ITC Avant Garde" w:hAnsi="ITC Avant Garde" w:cs="Arial"/>
        </w:rPr>
        <w:t>LFTyR</w:t>
      </w:r>
      <w:proofErr w:type="spellEnd"/>
      <w:r w:rsidRPr="0091789D">
        <w:rPr>
          <w:rFonts w:ascii="ITC Avant Garde" w:hAnsi="ITC Avant Garde" w:cs="Arial"/>
        </w:rPr>
        <w:t>.</w:t>
      </w:r>
    </w:p>
    <w:p w14:paraId="30C3C6EE" w14:textId="45CF05C7" w:rsidR="00775E5E" w:rsidRDefault="00775E5E" w:rsidP="008445B6">
      <w:pPr>
        <w:numPr>
          <w:ilvl w:val="0"/>
          <w:numId w:val="67"/>
        </w:numPr>
        <w:tabs>
          <w:tab w:val="num" w:pos="284"/>
        </w:tabs>
        <w:spacing w:after="240"/>
        <w:ind w:left="284" w:firstLine="284"/>
        <w:jc w:val="both"/>
        <w:rPr>
          <w:rFonts w:ascii="ITC Avant Garde" w:hAnsi="ITC Avant Garde" w:cs="Arial"/>
        </w:rPr>
      </w:pPr>
      <w:r w:rsidRPr="00A301B4">
        <w:rPr>
          <w:rFonts w:ascii="ITC Avant Garde" w:hAnsi="ITC Avant Garde" w:cs="Arial"/>
          <w:b/>
        </w:rPr>
        <w:t xml:space="preserve">Respuesta de Telmex y </w:t>
      </w:r>
      <w:proofErr w:type="spellStart"/>
      <w:r w:rsidRPr="00A301B4">
        <w:rPr>
          <w:rFonts w:ascii="ITC Avant Garde" w:hAnsi="ITC Avant Garde" w:cs="Arial"/>
          <w:b/>
        </w:rPr>
        <w:t>Telnor</w:t>
      </w:r>
      <w:proofErr w:type="spellEnd"/>
      <w:r w:rsidRPr="00A301B4">
        <w:rPr>
          <w:rFonts w:ascii="ITC Avant Garde" w:hAnsi="ITC Avant Garde" w:cs="Arial"/>
          <w:b/>
        </w:rPr>
        <w:t>.</w:t>
      </w:r>
      <w:r w:rsidRPr="00775E5E">
        <w:rPr>
          <w:rFonts w:ascii="ITC Avant Garde" w:hAnsi="ITC Avant Garde" w:cs="Arial"/>
        </w:rPr>
        <w:t xml:space="preserve"> Mediante escrito presentado en la Oficialía de Partes de este Instituto</w:t>
      </w:r>
      <w:r w:rsidR="00A301B4">
        <w:rPr>
          <w:rFonts w:ascii="ITC Avant Garde" w:hAnsi="ITC Avant Garde" w:cs="Arial"/>
        </w:rPr>
        <w:t xml:space="preserve"> el 9 de agosto de 2016</w:t>
      </w:r>
      <w:r w:rsidRPr="00775E5E">
        <w:rPr>
          <w:rFonts w:ascii="ITC Avant Garde" w:hAnsi="ITC Avant Garde" w:cs="Arial"/>
        </w:rPr>
        <w:t xml:space="preserve">, el Apoderado General de Telmex y de </w:t>
      </w:r>
      <w:proofErr w:type="spellStart"/>
      <w:r w:rsidRPr="00775E5E">
        <w:rPr>
          <w:rFonts w:ascii="ITC Avant Garde" w:hAnsi="ITC Avant Garde" w:cs="Arial"/>
        </w:rPr>
        <w:t>Telnor</w:t>
      </w:r>
      <w:proofErr w:type="spellEnd"/>
      <w:r w:rsidRPr="00775E5E">
        <w:rPr>
          <w:rFonts w:ascii="ITC Avant Garde" w:hAnsi="ITC Avant Garde" w:cs="Arial"/>
        </w:rPr>
        <w:t xml:space="preserve">, hizo del conocimiento que durante el período comprendido entre el 11 de septiembre de 2015 y el 29 de octubre de 2015 no existió prestación de servicios de compartición de infraestructura pasiva por parte de Telmex y </w:t>
      </w:r>
      <w:proofErr w:type="spellStart"/>
      <w:r w:rsidRPr="00775E5E">
        <w:rPr>
          <w:rFonts w:ascii="ITC Avant Garde" w:hAnsi="ITC Avant Garde" w:cs="Arial"/>
        </w:rPr>
        <w:t>Telnor</w:t>
      </w:r>
      <w:proofErr w:type="spellEnd"/>
      <w:r w:rsidRPr="00775E5E">
        <w:rPr>
          <w:rFonts w:ascii="ITC Avant Garde" w:hAnsi="ITC Avant Garde" w:cs="Arial"/>
        </w:rPr>
        <w:t xml:space="preserve"> a Mega Cable</w:t>
      </w:r>
      <w:r w:rsidR="00A301B4">
        <w:rPr>
          <w:rFonts w:ascii="ITC Avant Garde" w:hAnsi="ITC Avant Garde" w:cs="Arial"/>
        </w:rPr>
        <w:t>.</w:t>
      </w:r>
    </w:p>
    <w:p w14:paraId="25F899B5" w14:textId="1BD1C587" w:rsidR="00A301B4" w:rsidRDefault="00A301B4" w:rsidP="008445B6">
      <w:pPr>
        <w:numPr>
          <w:ilvl w:val="0"/>
          <w:numId w:val="67"/>
        </w:numPr>
        <w:tabs>
          <w:tab w:val="num" w:pos="284"/>
        </w:tabs>
        <w:spacing w:after="240"/>
        <w:ind w:left="284" w:firstLine="284"/>
        <w:jc w:val="both"/>
        <w:rPr>
          <w:rFonts w:ascii="ITC Avant Garde" w:hAnsi="ITC Avant Garde" w:cs="Arial"/>
        </w:rPr>
      </w:pPr>
      <w:r w:rsidRPr="001C2A2B">
        <w:rPr>
          <w:rFonts w:ascii="ITC Avant Garde" w:hAnsi="ITC Avant Garde" w:cs="Arial"/>
          <w:b/>
        </w:rPr>
        <w:t>Respuesta de Mega Cable.</w:t>
      </w:r>
      <w:r>
        <w:rPr>
          <w:rFonts w:ascii="ITC Avant Garde" w:hAnsi="ITC Avant Garde" w:cs="Arial"/>
        </w:rPr>
        <w:t xml:space="preserve"> </w:t>
      </w:r>
      <w:r w:rsidRPr="00775E5E">
        <w:rPr>
          <w:rFonts w:ascii="ITC Avant Garde" w:hAnsi="ITC Avant Garde" w:cs="Arial"/>
        </w:rPr>
        <w:t>Mediante escrito presentado en la Oficialía de Partes de este Instituto</w:t>
      </w:r>
      <w:r>
        <w:rPr>
          <w:rFonts w:ascii="ITC Avant Garde" w:hAnsi="ITC Avant Garde" w:cs="Arial"/>
        </w:rPr>
        <w:t xml:space="preserve"> el 10 de agosto de 2016</w:t>
      </w:r>
      <w:r w:rsidRPr="00775E5E">
        <w:rPr>
          <w:rFonts w:ascii="ITC Avant Garde" w:hAnsi="ITC Avant Garde" w:cs="Arial"/>
        </w:rPr>
        <w:t xml:space="preserve">, el </w:t>
      </w:r>
      <w:r>
        <w:rPr>
          <w:rFonts w:ascii="ITC Avant Garde" w:hAnsi="ITC Avant Garde" w:cs="Arial"/>
        </w:rPr>
        <w:t>Representante Legal</w:t>
      </w:r>
      <w:r w:rsidRPr="00775E5E">
        <w:rPr>
          <w:rFonts w:ascii="ITC Avant Garde" w:hAnsi="ITC Avant Garde" w:cs="Arial"/>
        </w:rPr>
        <w:t xml:space="preserve"> de</w:t>
      </w:r>
      <w:r>
        <w:rPr>
          <w:rFonts w:ascii="ITC Avant Garde" w:hAnsi="ITC Avant Garde" w:cs="Arial"/>
        </w:rPr>
        <w:t xml:space="preserve"> Mega Cable</w:t>
      </w:r>
      <w:r w:rsidRPr="00775E5E">
        <w:rPr>
          <w:rFonts w:ascii="ITC Avant Garde" w:hAnsi="ITC Avant Garde" w:cs="Arial"/>
        </w:rPr>
        <w:t xml:space="preserve"> </w:t>
      </w:r>
      <w:r w:rsidR="00411474">
        <w:rPr>
          <w:rFonts w:ascii="ITC Avant Garde" w:hAnsi="ITC Avant Garde" w:cs="Arial"/>
        </w:rPr>
        <w:t xml:space="preserve">manifestó que </w:t>
      </w:r>
      <w:r w:rsidRPr="00775E5E">
        <w:rPr>
          <w:rFonts w:ascii="ITC Avant Garde" w:hAnsi="ITC Avant Garde" w:cs="Arial"/>
        </w:rPr>
        <w:t xml:space="preserve">durante el período comprendido entre el 11 de septiembre de 2015 y el 29 de octubre de 2015 no existió prestación de servicios de compartición de infraestructura pasiva por parte de Telmex y </w:t>
      </w:r>
      <w:proofErr w:type="spellStart"/>
      <w:r w:rsidRPr="00775E5E">
        <w:rPr>
          <w:rFonts w:ascii="ITC Avant Garde" w:hAnsi="ITC Avant Garde" w:cs="Arial"/>
        </w:rPr>
        <w:t>Telnor</w:t>
      </w:r>
      <w:proofErr w:type="spellEnd"/>
      <w:r w:rsidRPr="00775E5E">
        <w:rPr>
          <w:rFonts w:ascii="ITC Avant Garde" w:hAnsi="ITC Avant Garde" w:cs="Arial"/>
        </w:rPr>
        <w:t xml:space="preserve"> a Mega Cable</w:t>
      </w:r>
      <w:r>
        <w:rPr>
          <w:rFonts w:ascii="ITC Avant Garde" w:hAnsi="ITC Avant Garde" w:cs="Arial"/>
        </w:rPr>
        <w:t>.</w:t>
      </w:r>
    </w:p>
    <w:p w14:paraId="1C725C8E" w14:textId="77777777" w:rsidR="00C77D7D" w:rsidRPr="008445B6" w:rsidRDefault="00C77D7D" w:rsidP="008445B6">
      <w:pPr>
        <w:pStyle w:val="Ttulo2"/>
        <w:spacing w:after="240"/>
        <w:jc w:val="center"/>
        <w:rPr>
          <w:rFonts w:ascii="ITC Avant Garde" w:hAnsi="ITC Avant Garde"/>
          <w:szCs w:val="22"/>
        </w:rPr>
      </w:pPr>
      <w:bookmarkStart w:id="0" w:name="HipótesisNormativa"/>
      <w:r w:rsidRPr="008445B6">
        <w:rPr>
          <w:rFonts w:ascii="ITC Avant Garde" w:hAnsi="ITC Avant Garde"/>
          <w:szCs w:val="22"/>
        </w:rPr>
        <w:lastRenderedPageBreak/>
        <w:t>CONSIDERANDO</w:t>
      </w:r>
    </w:p>
    <w:p w14:paraId="2A435644" w14:textId="0FADB45F" w:rsidR="00031C6F" w:rsidRDefault="00031C6F" w:rsidP="008445B6">
      <w:pPr>
        <w:spacing w:after="240"/>
        <w:jc w:val="both"/>
        <w:rPr>
          <w:rFonts w:ascii="ITC Avant Garde" w:hAnsi="ITC Avant Garde" w:cs="Arial"/>
          <w:bCs/>
        </w:rPr>
      </w:pPr>
      <w:r w:rsidRPr="00176A7A">
        <w:rPr>
          <w:rFonts w:ascii="ITC Avant Garde" w:eastAsia="Times New Roman" w:hAnsi="ITC Avant Garde"/>
          <w:b/>
          <w:bCs/>
        </w:rPr>
        <w:t xml:space="preserve">PRIMERO.- Competencia del Instituto. </w:t>
      </w:r>
      <w:r w:rsidRPr="00176A7A">
        <w:rPr>
          <w:rFonts w:ascii="ITC Avant Garde" w:hAnsi="ITC Avant Garde" w:cs="Arial"/>
          <w:bCs/>
        </w:rPr>
        <w:t>De conformidad con el artículo 28, párrafos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con ello lo dispuesto en los artículos 6o. y 7o. de la Constitución.</w:t>
      </w:r>
    </w:p>
    <w:p w14:paraId="68A4645A" w14:textId="06E8C7D3" w:rsidR="00031C6F" w:rsidRPr="00176A7A" w:rsidRDefault="00031C6F" w:rsidP="008445B6">
      <w:pPr>
        <w:spacing w:after="240"/>
        <w:jc w:val="both"/>
        <w:rPr>
          <w:rFonts w:ascii="ITC Avant Garde" w:hAnsi="ITC Avant Garde" w:cs="Arial"/>
          <w:bCs/>
        </w:rPr>
      </w:pPr>
      <w:r w:rsidRPr="00176A7A">
        <w:rPr>
          <w:rFonts w:ascii="ITC Avant Garde" w:hAnsi="ITC Avant Garde" w:cs="Arial"/>
          <w:bCs/>
        </w:rPr>
        <w:t>Ahora bien, en cumplimiento a lo establecido en el artículo Octavo transitorio, fracción III del Decreto</w:t>
      </w:r>
      <w:r w:rsidR="004F36E9" w:rsidRPr="00176A7A">
        <w:rPr>
          <w:rFonts w:ascii="ITC Avant Garde" w:hAnsi="ITC Avant Garde" w:cs="Arial"/>
          <w:bCs/>
        </w:rPr>
        <w:t>,</w:t>
      </w:r>
      <w:r w:rsidRPr="00176A7A">
        <w:rPr>
          <w:rFonts w:ascii="ITC Avant Garde" w:hAnsi="ITC Avant Garde" w:cs="Arial"/>
          <w:bCs/>
        </w:rPr>
        <w:t xml:space="preserve"> </w:t>
      </w:r>
      <w:r w:rsidR="004F36E9" w:rsidRPr="00176A7A">
        <w:rPr>
          <w:rFonts w:ascii="ITC Avant Garde" w:hAnsi="ITC Avant Garde" w:cs="Arial"/>
          <w:bCs/>
        </w:rPr>
        <w:t>el Instituto determinó la existencia de Agentes Económicos Preponderantes en los sectores de radiodifusión y de telecomunicaciones, e impuso las medidas necesarias para evitar que se afecte la competencia y la libre concurrencia y, con ello, a los usuarios finales</w:t>
      </w:r>
      <w:r w:rsidRPr="00176A7A">
        <w:rPr>
          <w:rFonts w:ascii="ITC Avant Garde" w:hAnsi="ITC Avant Garde" w:cs="Arial"/>
          <w:bCs/>
        </w:rPr>
        <w:t>. Dichas medidas incluyen las  Medidas Fijas, mismas que están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14:paraId="5B490017" w14:textId="4B19BA14" w:rsidR="00031C6F" w:rsidRPr="00176A7A" w:rsidRDefault="00031C6F" w:rsidP="008445B6">
      <w:pPr>
        <w:autoSpaceDE w:val="0"/>
        <w:autoSpaceDN w:val="0"/>
        <w:adjustRightInd w:val="0"/>
        <w:spacing w:after="240"/>
        <w:jc w:val="both"/>
        <w:rPr>
          <w:rFonts w:ascii="ITC Avant Garde" w:eastAsia="Times New Roman" w:hAnsi="ITC Avant Garde"/>
          <w:lang w:eastAsia="es-ES"/>
        </w:rPr>
      </w:pPr>
      <w:r w:rsidRPr="00176A7A">
        <w:rPr>
          <w:rFonts w:ascii="ITC Avant Garde" w:hAnsi="ITC Avant Garde" w:cs="Arial"/>
          <w:bCs/>
        </w:rPr>
        <w:t>Asimismo, el artículo Trigésimo Quinto transitorio del Decreto de Ley dispone que las resoluciones administrativas que el Instituto hubiere emitido previamente a la entrada en vigor del mismo en materia de preponderancia, continuarán surtiendo todos sus efectos</w:t>
      </w:r>
      <w:r w:rsidR="004F36E9" w:rsidRPr="00176A7A">
        <w:rPr>
          <w:rFonts w:ascii="ITC Avant Garde" w:hAnsi="ITC Avant Garde" w:cs="Arial"/>
          <w:bCs/>
        </w:rPr>
        <w:t>;</w:t>
      </w:r>
      <w:r w:rsidRPr="00176A7A">
        <w:rPr>
          <w:rFonts w:ascii="ITC Avant Garde" w:hAnsi="ITC Avant Garde" w:cs="Arial"/>
          <w:bCs/>
        </w:rPr>
        <w:t xml:space="preserve"> por lo que la </w:t>
      </w:r>
      <w:r w:rsidR="00485560">
        <w:rPr>
          <w:rFonts w:ascii="ITC Avant Garde" w:hAnsi="ITC Avant Garde" w:cs="Arial"/>
          <w:bCs/>
        </w:rPr>
        <w:t>“</w:t>
      </w:r>
      <w:r w:rsidR="00485560" w:rsidRPr="00485560">
        <w:rPr>
          <w:rFonts w:ascii="ITC Avant Garde" w:hAnsi="ITC Avant Garde" w:cs="Arial"/>
          <w:bCs/>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00485560">
        <w:rPr>
          <w:rFonts w:ascii="ITC Avant Garde" w:hAnsi="ITC Avant Garde" w:cs="Arial"/>
          <w:bCs/>
        </w:rPr>
        <w:t>”</w:t>
      </w:r>
      <w:r w:rsidR="005C2F77">
        <w:rPr>
          <w:rFonts w:ascii="ITC Avant Garde" w:hAnsi="ITC Avant Garde" w:cs="Arial"/>
          <w:bCs/>
        </w:rPr>
        <w:t xml:space="preserve"> </w:t>
      </w:r>
      <w:r w:rsidRPr="00176A7A">
        <w:rPr>
          <w:rFonts w:ascii="ITC Avant Garde" w:hAnsi="ITC Avant Garde" w:cs="Arial"/>
          <w:bCs/>
        </w:rPr>
        <w:t>y sus anexos se encuentran vigentes.</w:t>
      </w:r>
    </w:p>
    <w:p w14:paraId="1838E7AB" w14:textId="6D7E8A02" w:rsidR="00C8719D" w:rsidRPr="00C74DEF" w:rsidRDefault="00A022A7" w:rsidP="008445B6">
      <w:pPr>
        <w:pStyle w:val="IFTnormal"/>
        <w:spacing w:after="240"/>
        <w:ind w:left="0"/>
        <w:rPr>
          <w:lang w:eastAsia="es-ES"/>
        </w:rPr>
      </w:pPr>
      <w:r w:rsidRPr="00176A7A">
        <w:rPr>
          <w:b/>
          <w:lang w:eastAsia="es-ES"/>
        </w:rPr>
        <w:lastRenderedPageBreak/>
        <w:t>SEGUNDO</w:t>
      </w:r>
      <w:r w:rsidR="001161C8" w:rsidRPr="00176A7A">
        <w:rPr>
          <w:b/>
          <w:lang w:eastAsia="es-ES"/>
        </w:rPr>
        <w:t xml:space="preserve">.- </w:t>
      </w:r>
      <w:r w:rsidR="009E10C2">
        <w:rPr>
          <w:b/>
          <w:lang w:eastAsia="es-ES"/>
        </w:rPr>
        <w:t xml:space="preserve">Análisis de la ejecutoria.- </w:t>
      </w:r>
      <w:r w:rsidR="00C8719D" w:rsidRPr="00C74DEF">
        <w:rPr>
          <w:lang w:eastAsia="es-ES"/>
        </w:rPr>
        <w:t xml:space="preserve">El 11 de septiembre de 2015, el apoderado legal de Mega Cable presentó ante el Instituto la Solicitud de Resolución, </w:t>
      </w:r>
      <w:r w:rsidR="009F16F5">
        <w:rPr>
          <w:lang w:eastAsia="es-ES"/>
        </w:rPr>
        <w:t xml:space="preserve">para el periodo </w:t>
      </w:r>
      <w:r w:rsidR="001536FC">
        <w:rPr>
          <w:lang w:eastAsia="es-ES"/>
        </w:rPr>
        <w:t>comprendido desde que</w:t>
      </w:r>
      <w:r w:rsidR="00C8719D" w:rsidRPr="00C74DEF">
        <w:rPr>
          <w:lang w:eastAsia="es-ES"/>
        </w:rPr>
        <w:t xml:space="preserve"> se emita la resolución al 31 de diciembre de 2015 y del 1 de enero al 31 de diciembre de 2016.</w:t>
      </w:r>
    </w:p>
    <w:p w14:paraId="07B44F9B" w14:textId="3639C2C9" w:rsidR="00C8719D" w:rsidRPr="00C74DEF" w:rsidRDefault="00C8719D" w:rsidP="008445B6">
      <w:pPr>
        <w:pStyle w:val="IFTnormal"/>
        <w:spacing w:after="240"/>
        <w:ind w:left="0"/>
        <w:rPr>
          <w:lang w:eastAsia="es-ES"/>
        </w:rPr>
      </w:pPr>
      <w:r w:rsidRPr="00C74DEF">
        <w:rPr>
          <w:lang w:eastAsia="es-ES"/>
        </w:rPr>
        <w:t xml:space="preserve">Mediante Acuerdo 19/09/001/2015 de fecha 19 de septiembre de 2015, el Instituto determinó que no era procedente la admisión del desacuerdo de condiciones en materia de infraestructura pasiva; toda vez que el plazo de cuarenta y cinco días hábiles para solicitar la resolución de desacuerdo, establecidos en el artículo 129, fracción I de la </w:t>
      </w:r>
      <w:proofErr w:type="spellStart"/>
      <w:r w:rsidRPr="00C74DEF">
        <w:rPr>
          <w:lang w:eastAsia="es-ES"/>
        </w:rPr>
        <w:t>LFTyR</w:t>
      </w:r>
      <w:proofErr w:type="spellEnd"/>
      <w:r w:rsidRPr="00C74DEF">
        <w:rPr>
          <w:lang w:eastAsia="es-ES"/>
        </w:rPr>
        <w:t>, transcurrió en exceso.</w:t>
      </w:r>
    </w:p>
    <w:p w14:paraId="65E3EC5D" w14:textId="50FC3C8A" w:rsidR="00C8719D" w:rsidRPr="00C74DEF" w:rsidRDefault="009F7C3D" w:rsidP="008445B6">
      <w:pPr>
        <w:pStyle w:val="IFTnormal"/>
        <w:spacing w:after="240"/>
        <w:ind w:left="0"/>
        <w:rPr>
          <w:lang w:eastAsia="es-ES"/>
        </w:rPr>
      </w:pPr>
      <w:r w:rsidRPr="00D05E83">
        <w:rPr>
          <w:lang w:eastAsia="es-ES"/>
        </w:rPr>
        <w:t>El</w:t>
      </w:r>
      <w:r w:rsidR="00C8719D" w:rsidRPr="00C74DEF">
        <w:rPr>
          <w:lang w:eastAsia="es-ES"/>
        </w:rPr>
        <w:t xml:space="preserve"> 22 de octubre de 2015, Mega Cable interpuso juicio de amparo en contra del Acuerdo 19/09/001/2015 de fecha 19 de septiembre de 2015, mediante el cual se determinó que no era procedente la admisión del desacuerdo de condiciones en materia de infraestructura pasiva. Dicho juicio fue radicado en el Juzgado Primero bajo el juicio de amparo1670/2015.</w:t>
      </w:r>
    </w:p>
    <w:p w14:paraId="4C835C22" w14:textId="3282CB4D" w:rsidR="00C8719D" w:rsidRPr="00C74DEF" w:rsidRDefault="00C8719D" w:rsidP="008445B6">
      <w:pPr>
        <w:pStyle w:val="IFTnormal"/>
        <w:spacing w:after="240"/>
        <w:ind w:left="0"/>
        <w:rPr>
          <w:lang w:eastAsia="es-ES"/>
        </w:rPr>
      </w:pPr>
      <w:r w:rsidRPr="00C74DEF">
        <w:rPr>
          <w:lang w:eastAsia="es-ES"/>
        </w:rPr>
        <w:t>En virtud de lo anterior, el 9 de marzo de 2016 el Juzgado Primero emitió sentencia dentro del juicio de amparo 1670/2015, dentro la cual estableció:</w:t>
      </w:r>
    </w:p>
    <w:p w14:paraId="667268FA" w14:textId="77777777" w:rsidR="00C8719D" w:rsidRPr="008445B6" w:rsidRDefault="00C8719D" w:rsidP="008445B6">
      <w:pPr>
        <w:pStyle w:val="Citaift"/>
        <w:spacing w:after="240"/>
        <w:rPr>
          <w:i w:val="0"/>
        </w:rPr>
      </w:pPr>
      <w:r w:rsidRPr="008445B6">
        <w:rPr>
          <w:i w:val="0"/>
        </w:rPr>
        <w:t>“ÚNICO. Se sobresee en el juicio de amparo, por las razones y fundamentos expuestos en el presente fallo”</w:t>
      </w:r>
    </w:p>
    <w:p w14:paraId="78553E99" w14:textId="3AEF096A" w:rsidR="00C8719D" w:rsidRPr="00C74DEF" w:rsidRDefault="00C8719D" w:rsidP="008445B6">
      <w:pPr>
        <w:pStyle w:val="IFTnormal"/>
        <w:spacing w:after="240"/>
        <w:ind w:left="0"/>
        <w:rPr>
          <w:lang w:eastAsia="es-ES"/>
        </w:rPr>
      </w:pPr>
      <w:r w:rsidRPr="00C74DEF">
        <w:rPr>
          <w:lang w:eastAsia="es-ES"/>
        </w:rPr>
        <w:t>Asimismo, inconforme con la resolución dictada por el Juzgado Primero dentro del amparo 1670/2015, el 31 de marzo de 2016, Mega Cable interpuso recurso de revisión, por lo que el 7 de abril de 2016, el Primer Tribunal Colegiado admitió a trámite dicho recurso, asignándosele el número de expediente R.A. 44/2016.</w:t>
      </w:r>
    </w:p>
    <w:p w14:paraId="78B210D5" w14:textId="2CDCDAFE" w:rsidR="00C8719D" w:rsidRPr="00C74DEF" w:rsidRDefault="00C8719D" w:rsidP="008445B6">
      <w:pPr>
        <w:pStyle w:val="IFTnormal"/>
        <w:spacing w:after="240"/>
        <w:ind w:left="0"/>
        <w:rPr>
          <w:lang w:eastAsia="es-ES"/>
        </w:rPr>
      </w:pPr>
      <w:r w:rsidRPr="00C74DEF">
        <w:rPr>
          <w:lang w:eastAsia="es-ES"/>
        </w:rPr>
        <w:t>Una vez agotado el procedimiento y realizado el análisis correspondiente, el Primer Tribunal Colegiado, dentro del expediente R.A. 44/2016, el 16 de junio de 2016 resolvió lo siguiente:</w:t>
      </w:r>
    </w:p>
    <w:p w14:paraId="623CC6F8" w14:textId="77777777" w:rsidR="00C8719D" w:rsidRPr="008445B6" w:rsidRDefault="00C8719D" w:rsidP="008445B6">
      <w:pPr>
        <w:pStyle w:val="Citaift"/>
        <w:spacing w:after="0"/>
        <w:rPr>
          <w:i w:val="0"/>
        </w:rPr>
      </w:pPr>
      <w:r w:rsidRPr="008445B6">
        <w:rPr>
          <w:i w:val="0"/>
        </w:rPr>
        <w:t>“PRIMERO. Se modifica la sentencia dictada por la juez Primero de Distrito en Materia Administrativa Especializada en Competencia Económica, Radiodifusión y Telecomunicaciones, con residencia en el Distrito Federal y jurisdicción en toda la República, en el juicio de amparo indirecto 1670/2015.</w:t>
      </w:r>
    </w:p>
    <w:p w14:paraId="50AA0138" w14:textId="77777777" w:rsidR="00C8719D" w:rsidRPr="008445B6" w:rsidRDefault="00C8719D" w:rsidP="008445B6">
      <w:pPr>
        <w:pStyle w:val="Citaift"/>
        <w:spacing w:after="0"/>
        <w:rPr>
          <w:i w:val="0"/>
        </w:rPr>
      </w:pPr>
      <w:r w:rsidRPr="008445B6">
        <w:rPr>
          <w:i w:val="0"/>
        </w:rPr>
        <w:t>SEGUNDO. La Justicia de la Unión ampara y protege a Mega Cable, sociedad anónima de capital variable, en contra del acto y autoridades referidos en el considerando segundo de la ejecutoria que se revisa, atendiendo a lo expuesto en el último considerando de esta ejecutoria.</w:t>
      </w:r>
    </w:p>
    <w:p w14:paraId="24FD951E" w14:textId="77777777" w:rsidR="00C8719D" w:rsidRPr="008445B6" w:rsidRDefault="00C8719D" w:rsidP="008445B6">
      <w:pPr>
        <w:pStyle w:val="Citaift"/>
        <w:rPr>
          <w:i w:val="0"/>
        </w:rPr>
      </w:pPr>
      <w:r w:rsidRPr="008445B6">
        <w:rPr>
          <w:i w:val="0"/>
        </w:rPr>
        <w:t>[…]"</w:t>
      </w:r>
    </w:p>
    <w:p w14:paraId="6B4E96A1" w14:textId="2A815F58" w:rsidR="00C8719D" w:rsidRPr="00C8719D" w:rsidRDefault="00C8719D" w:rsidP="008445B6">
      <w:pPr>
        <w:pStyle w:val="IFTnormal"/>
        <w:spacing w:after="240"/>
        <w:ind w:left="0"/>
        <w:rPr>
          <w:lang w:eastAsia="es-ES"/>
        </w:rPr>
      </w:pPr>
      <w:r w:rsidRPr="00C8719D">
        <w:rPr>
          <w:lang w:eastAsia="es-ES"/>
        </w:rPr>
        <w:t xml:space="preserve">De igual forma el amparo se concedió </w:t>
      </w:r>
      <w:r w:rsidR="00705D39">
        <w:rPr>
          <w:lang w:eastAsia="es-ES"/>
        </w:rPr>
        <w:t>a Mega Cable</w:t>
      </w:r>
      <w:r w:rsidRPr="00D05E83">
        <w:rPr>
          <w:lang w:eastAsia="es-ES"/>
        </w:rPr>
        <w:t xml:space="preserve"> </w:t>
      </w:r>
      <w:r w:rsidRPr="00C8719D">
        <w:rPr>
          <w:lang w:eastAsia="es-ES"/>
        </w:rPr>
        <w:t>para el efecto de que el Director General de Compartición de Infraestructura efectuara los siguientes actos</w:t>
      </w:r>
      <w:r w:rsidR="001536FC">
        <w:rPr>
          <w:lang w:eastAsia="es-ES"/>
        </w:rPr>
        <w:t>:</w:t>
      </w:r>
    </w:p>
    <w:p w14:paraId="66CDFD37" w14:textId="6A19B091" w:rsidR="00C8719D" w:rsidRPr="008445B6" w:rsidRDefault="00A155E1" w:rsidP="008445B6">
      <w:pPr>
        <w:pStyle w:val="Citaift"/>
        <w:spacing w:after="0"/>
        <w:rPr>
          <w:i w:val="0"/>
        </w:rPr>
      </w:pPr>
      <w:r w:rsidRPr="008445B6">
        <w:rPr>
          <w:i w:val="0"/>
        </w:rPr>
        <w:lastRenderedPageBreak/>
        <w:t>“</w:t>
      </w:r>
      <w:r w:rsidR="00540A16" w:rsidRPr="008445B6">
        <w:rPr>
          <w:i w:val="0"/>
        </w:rPr>
        <w:t>[</w:t>
      </w:r>
      <w:r w:rsidRPr="008445B6">
        <w:rPr>
          <w:i w:val="0"/>
        </w:rPr>
        <w:t>…</w:t>
      </w:r>
      <w:r w:rsidR="00540A16" w:rsidRPr="008445B6">
        <w:rPr>
          <w:i w:val="0"/>
        </w:rPr>
        <w:t>]</w:t>
      </w:r>
    </w:p>
    <w:p w14:paraId="3E86BF5D" w14:textId="425EC67E" w:rsidR="00A155E1" w:rsidRPr="008445B6" w:rsidRDefault="00A155E1" w:rsidP="008445B6">
      <w:pPr>
        <w:pStyle w:val="Citaift"/>
        <w:rPr>
          <w:i w:val="0"/>
        </w:rPr>
      </w:pPr>
      <w:r w:rsidRPr="008445B6">
        <w:rPr>
          <w:i w:val="0"/>
        </w:rPr>
        <w:t>Se concede el amparo a la quejosa-recurrente para el efecto de que la autoridad responsable director General de Compartición de Infraestructura de la Unidad de Política Regulatoria del Instituto Federal de Telecomunicaciones,</w:t>
      </w:r>
      <w:r w:rsidRPr="008445B6">
        <w:rPr>
          <w:b/>
          <w:i w:val="0"/>
        </w:rPr>
        <w:t xml:space="preserve"> </w:t>
      </w:r>
      <w:r w:rsidRPr="008445B6">
        <w:rPr>
          <w:b/>
          <w:i w:val="0"/>
          <w:u w:val="single"/>
        </w:rPr>
        <w:t>deje insubsistente</w:t>
      </w:r>
      <w:r w:rsidRPr="008445B6">
        <w:rPr>
          <w:b/>
          <w:i w:val="0"/>
        </w:rPr>
        <w:t xml:space="preserve">  </w:t>
      </w:r>
      <w:r w:rsidRPr="008445B6">
        <w:rPr>
          <w:i w:val="0"/>
        </w:rPr>
        <w:t xml:space="preserve">la resolución contenida en el oficio IFT/221/UPR/DG-CIN/065/2015 y, en su lugar, </w:t>
      </w:r>
      <w:r w:rsidRPr="008445B6">
        <w:rPr>
          <w:b/>
          <w:i w:val="0"/>
          <w:u w:val="single"/>
        </w:rPr>
        <w:t xml:space="preserve">emita otra, </w:t>
      </w:r>
      <w:r w:rsidRPr="008445B6">
        <w:rPr>
          <w:i w:val="0"/>
        </w:rPr>
        <w:t xml:space="preserve">en la que de acuerdo a las consideraciones asentadas en esta ejecutoria prescinda de aplicar lo previsto </w:t>
      </w:r>
      <w:r w:rsidR="001643CC" w:rsidRPr="008445B6">
        <w:rPr>
          <w:i w:val="0"/>
        </w:rPr>
        <w:t xml:space="preserve">en la fracción I, del artículo 129 de la Ley Federal de Telecomunicaciones y Radiodifusión </w:t>
      </w:r>
      <w:r w:rsidR="00540A16" w:rsidRPr="008445B6">
        <w:rPr>
          <w:i w:val="0"/>
        </w:rPr>
        <w:t>[</w:t>
      </w:r>
      <w:r w:rsidR="001643CC" w:rsidRPr="008445B6">
        <w:rPr>
          <w:i w:val="0"/>
        </w:rPr>
        <w:t>…</w:t>
      </w:r>
      <w:r w:rsidR="00540A16" w:rsidRPr="008445B6">
        <w:rPr>
          <w:i w:val="0"/>
        </w:rPr>
        <w:t>]</w:t>
      </w:r>
      <w:r w:rsidR="001643CC" w:rsidRPr="008445B6">
        <w:rPr>
          <w:i w:val="0"/>
        </w:rPr>
        <w:t>”</w:t>
      </w:r>
    </w:p>
    <w:p w14:paraId="220C26BB" w14:textId="755D8640" w:rsidR="00C8719D" w:rsidRPr="00C8719D" w:rsidRDefault="00705D39" w:rsidP="008445B6">
      <w:pPr>
        <w:pStyle w:val="IFTnormal"/>
        <w:spacing w:after="240"/>
        <w:ind w:left="0"/>
        <w:rPr>
          <w:lang w:eastAsia="es-ES"/>
        </w:rPr>
      </w:pPr>
      <w:r>
        <w:rPr>
          <w:lang w:eastAsia="es-ES"/>
        </w:rPr>
        <w:t xml:space="preserve">En este sentido, </w:t>
      </w:r>
      <w:r w:rsidRPr="00D05E83">
        <w:rPr>
          <w:lang w:eastAsia="es-ES"/>
        </w:rPr>
        <w:t>el</w:t>
      </w:r>
      <w:r w:rsidR="00C8719D" w:rsidRPr="00C8719D">
        <w:rPr>
          <w:lang w:eastAsia="es-ES"/>
        </w:rPr>
        <w:t xml:space="preserve"> 15 de julio de 2016, en estricto cumplimiento a la ejecutoria </w:t>
      </w:r>
      <w:r>
        <w:rPr>
          <w:lang w:eastAsia="es-ES"/>
        </w:rPr>
        <w:t>dictada por el Primer Tribunal Colegiado,</w:t>
      </w:r>
      <w:r w:rsidR="00C8719D" w:rsidRPr="00D05E83">
        <w:rPr>
          <w:lang w:eastAsia="es-ES"/>
        </w:rPr>
        <w:t xml:space="preserve"> </w:t>
      </w:r>
      <w:r w:rsidR="00C8719D" w:rsidRPr="00C8719D">
        <w:rPr>
          <w:lang w:eastAsia="es-ES"/>
        </w:rPr>
        <w:t>el Director General de Compartición de Infraestructura emitió el oficio IFT/221/UPR/DG-CIN/104/201</w:t>
      </w:r>
      <w:r w:rsidR="007066D9">
        <w:rPr>
          <w:lang w:eastAsia="es-ES"/>
        </w:rPr>
        <w:t>6</w:t>
      </w:r>
      <w:r w:rsidR="00C8719D" w:rsidRPr="00C8719D">
        <w:rPr>
          <w:lang w:eastAsia="es-ES"/>
        </w:rPr>
        <w:t xml:space="preserve"> de fecha 15 de julio de 2016 </w:t>
      </w:r>
      <w:r>
        <w:rPr>
          <w:lang w:eastAsia="es-ES"/>
        </w:rPr>
        <w:t>mediante el cual</w:t>
      </w:r>
      <w:r w:rsidR="00C8719D" w:rsidRPr="00D05E83">
        <w:rPr>
          <w:lang w:eastAsia="es-ES"/>
        </w:rPr>
        <w:t xml:space="preserve"> </w:t>
      </w:r>
      <w:r w:rsidR="00C8719D" w:rsidRPr="00C8719D">
        <w:rPr>
          <w:lang w:eastAsia="es-ES"/>
        </w:rPr>
        <w:t xml:space="preserve">se </w:t>
      </w:r>
      <w:r w:rsidR="00C8719D" w:rsidRPr="00D05E83">
        <w:rPr>
          <w:lang w:eastAsia="es-ES"/>
        </w:rPr>
        <w:t>dej</w:t>
      </w:r>
      <w:r>
        <w:rPr>
          <w:lang w:eastAsia="es-ES"/>
        </w:rPr>
        <w:t>ó</w:t>
      </w:r>
      <w:r w:rsidR="00C8719D" w:rsidRPr="00C8719D">
        <w:rPr>
          <w:lang w:eastAsia="es-ES"/>
        </w:rPr>
        <w:t xml:space="preserve"> insubsistente el oficio IFT/221/UPR/DG-CIN/065/2015 de fecha 19 de septiembre de 2015, dictado dentro del expediente administrativo EXP.- IFT/221/UPR/DG-CIN/002.110915/CIN el cual contiene el desechamiento del desacuerdo, mismo que fue notificado a Mega Cable mediante instructivo de notificación el 2 de agosto de 2016.</w:t>
      </w:r>
    </w:p>
    <w:p w14:paraId="13B324C6" w14:textId="4FFCE05E" w:rsidR="00C8719D" w:rsidRPr="00C8719D" w:rsidRDefault="00C8719D" w:rsidP="008445B6">
      <w:pPr>
        <w:pStyle w:val="IFTnormal"/>
        <w:spacing w:after="240"/>
        <w:ind w:left="0"/>
        <w:rPr>
          <w:lang w:eastAsia="es-ES"/>
        </w:rPr>
      </w:pPr>
      <w:r w:rsidRPr="00C8719D">
        <w:rPr>
          <w:lang w:eastAsia="es-ES"/>
        </w:rPr>
        <w:t>De igual forma, en estricto cumplimiento de la ejecutoria</w:t>
      </w:r>
      <w:r w:rsidR="000F7F33">
        <w:rPr>
          <w:lang w:eastAsia="es-ES"/>
        </w:rPr>
        <w:t xml:space="preserve"> mencionada</w:t>
      </w:r>
      <w:r w:rsidRPr="00C8719D">
        <w:rPr>
          <w:lang w:eastAsia="es-ES"/>
        </w:rPr>
        <w:t>, el Director General de Compartición de Infraestructura  emitió el oficio IFT/221/UPR/DG-CIN/105/2016 de fecha 15 de julio de 2016</w:t>
      </w:r>
      <w:r w:rsidRPr="00D05E83">
        <w:rPr>
          <w:lang w:eastAsia="es-ES"/>
        </w:rPr>
        <w:t>,</w:t>
      </w:r>
      <w:r w:rsidRPr="00C8719D">
        <w:rPr>
          <w:lang w:eastAsia="es-ES"/>
        </w:rPr>
        <w:t xml:space="preserve"> a través del cual se dio inicio al procedimiento de desacuerdo presentado por Mega Cable, dándole vista a Telmex y Telnor de la Solicitud de Resolución a efecto de que manifestaran lo que a su derecho conviniera e informaran a este Instituto si existieron tarifas que no hayan podido convenir con Mega Cable, y de ser el caso </w:t>
      </w:r>
      <w:r w:rsidRPr="00D05E83">
        <w:rPr>
          <w:lang w:eastAsia="es-ES"/>
        </w:rPr>
        <w:t>señal</w:t>
      </w:r>
      <w:r w:rsidR="00F77E64">
        <w:rPr>
          <w:lang w:eastAsia="es-ES"/>
        </w:rPr>
        <w:t>aran</w:t>
      </w:r>
      <w:r w:rsidRPr="00C8719D">
        <w:rPr>
          <w:lang w:eastAsia="es-ES"/>
        </w:rPr>
        <w:t xml:space="preserve"> expresamente en qué consistían dichas tarifas, fijaran su postura al respecto y ofrecieran los elementos de prueba que estimaran pertinentes.</w:t>
      </w:r>
    </w:p>
    <w:p w14:paraId="5AC77814" w14:textId="57997E28" w:rsidR="00C8719D" w:rsidRPr="00C8719D" w:rsidRDefault="00E6728F" w:rsidP="008445B6">
      <w:pPr>
        <w:pStyle w:val="IFTnormal"/>
        <w:spacing w:after="240"/>
        <w:ind w:left="0"/>
        <w:rPr>
          <w:lang w:eastAsia="es-ES"/>
        </w:rPr>
      </w:pPr>
      <w:r>
        <w:rPr>
          <w:lang w:eastAsia="es-ES"/>
        </w:rPr>
        <w:t>Asimismo,</w:t>
      </w:r>
      <w:r w:rsidR="00C8719D" w:rsidRPr="00C8719D">
        <w:rPr>
          <w:lang w:eastAsia="es-ES"/>
        </w:rPr>
        <w:t xml:space="preserve"> dentro del Oficio de Vista, a efecto de que este Instituto estuviera en posibilidad de dictar la resolución que en derecho procediese sobre la Solicitud de Resolución, se requirió a Mega Cable, Telmex y Telnor informaran a este Instituto si durante el periodo comprendido del 11 de septiembre de 2015 al 29 de octubre de 2015 existió prestación de servicios entre Mega Cable</w:t>
      </w:r>
      <w:r w:rsidR="00860733">
        <w:rPr>
          <w:lang w:eastAsia="es-ES"/>
        </w:rPr>
        <w:t xml:space="preserve"> y</w:t>
      </w:r>
      <w:r w:rsidR="00C8719D" w:rsidRPr="00C8719D">
        <w:rPr>
          <w:lang w:eastAsia="es-ES"/>
        </w:rPr>
        <w:t xml:space="preserve"> Telmex y Telnor relativo al Servicio de Acceso y Uso Compartido de Infraestructura Pasiva.</w:t>
      </w:r>
    </w:p>
    <w:p w14:paraId="5E90EFB5" w14:textId="14B9325B" w:rsidR="00C8719D" w:rsidRPr="00C8719D" w:rsidRDefault="00CC5ED4" w:rsidP="008445B6">
      <w:pPr>
        <w:pStyle w:val="IFTnormal"/>
        <w:spacing w:after="240"/>
        <w:ind w:left="0"/>
        <w:rPr>
          <w:lang w:eastAsia="es-ES"/>
        </w:rPr>
      </w:pPr>
      <w:r>
        <w:rPr>
          <w:lang w:eastAsia="es-ES"/>
        </w:rPr>
        <w:t xml:space="preserve">En este sentido, se desprende el siguiente </w:t>
      </w:r>
      <w:r w:rsidR="00C8719D" w:rsidRPr="00D05E83">
        <w:rPr>
          <w:lang w:eastAsia="es-ES"/>
        </w:rPr>
        <w:t>análisis</w:t>
      </w:r>
      <w:r>
        <w:rPr>
          <w:lang w:eastAsia="es-ES"/>
        </w:rPr>
        <w:t>:</w:t>
      </w:r>
      <w:r w:rsidRPr="00D05E83" w:rsidDel="00CC5ED4">
        <w:rPr>
          <w:lang w:eastAsia="es-ES"/>
        </w:rPr>
        <w:t xml:space="preserve"> </w:t>
      </w:r>
    </w:p>
    <w:p w14:paraId="7948E970" w14:textId="28B12225" w:rsidR="00C8719D" w:rsidRPr="00C8719D" w:rsidRDefault="00C8719D" w:rsidP="008445B6">
      <w:pPr>
        <w:pStyle w:val="IFTnormal"/>
        <w:numPr>
          <w:ilvl w:val="0"/>
          <w:numId w:val="70"/>
        </w:numPr>
        <w:spacing w:after="240"/>
        <w:rPr>
          <w:lang w:eastAsia="es-ES"/>
        </w:rPr>
      </w:pPr>
      <w:r w:rsidRPr="00C8719D">
        <w:rPr>
          <w:lang w:eastAsia="es-ES"/>
        </w:rPr>
        <w:t xml:space="preserve">Dentro de la Solicitud de Resolución, Mega Cable </w:t>
      </w:r>
      <w:r w:rsidRPr="00D05E83">
        <w:rPr>
          <w:lang w:eastAsia="es-ES"/>
        </w:rPr>
        <w:t>solicit</w:t>
      </w:r>
      <w:r w:rsidR="00CC5ED4">
        <w:rPr>
          <w:lang w:eastAsia="es-ES"/>
        </w:rPr>
        <w:t>ó</w:t>
      </w:r>
      <w:r w:rsidRPr="00C8719D">
        <w:rPr>
          <w:lang w:eastAsia="es-ES"/>
        </w:rPr>
        <w:t xml:space="preserve"> que se determinen las tarifas, términos y condiciones del periodo en que se emita la resolución al 31 de diciembre de 2015 y del 1 de enero al 31 de diciembre de 2016.  </w:t>
      </w:r>
    </w:p>
    <w:p w14:paraId="4456A833" w14:textId="5DFA363C" w:rsidR="00C8719D" w:rsidRPr="00C8719D" w:rsidRDefault="00C8719D" w:rsidP="008445B6">
      <w:pPr>
        <w:pStyle w:val="IFTnormal"/>
        <w:numPr>
          <w:ilvl w:val="0"/>
          <w:numId w:val="70"/>
        </w:numPr>
        <w:spacing w:after="240"/>
        <w:rPr>
          <w:lang w:eastAsia="es-ES"/>
        </w:rPr>
      </w:pPr>
      <w:r w:rsidRPr="00C8719D">
        <w:rPr>
          <w:lang w:eastAsia="es-ES"/>
        </w:rPr>
        <w:t xml:space="preserve">Ahora bien, el 29 de octubre de 2015 Mega Cable, Telmex y Telnor firmaron los convenios respectivos para el Acceso y Uso Compartido de Infraestructura Pasiva para el periodo comprendido del 29 de octubre al 31 de diciembre de 2015, por lo que el periodo a resolver para el periodo de 2015 correspondería a partir de la </w:t>
      </w:r>
      <w:r w:rsidRPr="00C8719D">
        <w:rPr>
          <w:lang w:eastAsia="es-ES"/>
        </w:rPr>
        <w:lastRenderedPageBreak/>
        <w:t xml:space="preserve">Solicitud de Resolución es decir del 11 de septiembre de 2015 y hasta la firma de los convenio respectivos es decir al 29 de octubre de 2015.  </w:t>
      </w:r>
    </w:p>
    <w:p w14:paraId="6424E575" w14:textId="77777777" w:rsidR="005C2F77" w:rsidRDefault="00C8719D" w:rsidP="008445B6">
      <w:pPr>
        <w:pStyle w:val="IFTnormal"/>
        <w:numPr>
          <w:ilvl w:val="0"/>
          <w:numId w:val="70"/>
        </w:numPr>
        <w:spacing w:after="240"/>
        <w:rPr>
          <w:lang w:eastAsia="es-ES"/>
        </w:rPr>
      </w:pPr>
      <w:r w:rsidRPr="00C8719D">
        <w:rPr>
          <w:lang w:eastAsia="es-ES"/>
        </w:rPr>
        <w:t>Por otro lado las tarifas para el periodo de 2016, fueron resueltas por el Pleno de este Instituto mediante Acuerdo P/IFT/09062016/302 de fecha 6 de junio de 2016.</w:t>
      </w:r>
    </w:p>
    <w:p w14:paraId="35045BF8" w14:textId="76839776" w:rsidR="005C2F77" w:rsidRDefault="00C8719D" w:rsidP="008445B6">
      <w:pPr>
        <w:pStyle w:val="IFTnormal"/>
        <w:numPr>
          <w:ilvl w:val="0"/>
          <w:numId w:val="70"/>
        </w:numPr>
        <w:spacing w:after="240"/>
        <w:rPr>
          <w:lang w:eastAsia="es-ES"/>
        </w:rPr>
      </w:pPr>
      <w:r w:rsidRPr="00C8719D">
        <w:rPr>
          <w:lang w:eastAsia="es-ES"/>
        </w:rPr>
        <w:t xml:space="preserve">Finalmente mediante proveído de fecha 4 de agosto de 2016 el Juzgado Primero determinó declarar cumplida la ejecutoria de amparo, en virtud de que mediante oficio IFT/221/UPR/DG-CIN/104/2016 se dejó insubsistente la resolución reclamada dando cumplimiento al primer efecto de la ejecutoria y mediante oficio IFT/221/UPR/DG-CIN/105/2016 se emitió un nuevo acto en el que se prescindió de aplicar el artículo 129, fracción 1 de la </w:t>
      </w:r>
      <w:proofErr w:type="spellStart"/>
      <w:r w:rsidRPr="00C8719D">
        <w:rPr>
          <w:lang w:eastAsia="es-ES"/>
        </w:rPr>
        <w:t>LFTyR</w:t>
      </w:r>
      <w:proofErr w:type="spellEnd"/>
      <w:r w:rsidR="001766D8">
        <w:rPr>
          <w:lang w:eastAsia="es-ES"/>
        </w:rPr>
        <w:t>:</w:t>
      </w:r>
    </w:p>
    <w:p w14:paraId="4CB6F8F9" w14:textId="56D7D37C" w:rsidR="001766D8" w:rsidRPr="008445B6" w:rsidRDefault="005C2F77" w:rsidP="008445B6">
      <w:pPr>
        <w:pStyle w:val="IFTnormal"/>
        <w:spacing w:after="0"/>
        <w:ind w:left="708"/>
        <w:rPr>
          <w:bCs/>
          <w:sz w:val="18"/>
          <w:szCs w:val="18"/>
        </w:rPr>
      </w:pPr>
      <w:r w:rsidRPr="008445B6">
        <w:rPr>
          <w:bCs/>
          <w:sz w:val="18"/>
          <w:szCs w:val="18"/>
        </w:rPr>
        <w:t>“[</w:t>
      </w:r>
      <w:r w:rsidR="001766D8" w:rsidRPr="008445B6">
        <w:rPr>
          <w:bCs/>
          <w:sz w:val="18"/>
          <w:szCs w:val="18"/>
        </w:rPr>
        <w:t>…</w:t>
      </w:r>
      <w:r w:rsidRPr="008445B6">
        <w:rPr>
          <w:bCs/>
          <w:sz w:val="18"/>
          <w:szCs w:val="18"/>
        </w:rPr>
        <w:t>]</w:t>
      </w:r>
      <w:r w:rsidR="001766D8" w:rsidRPr="008445B6">
        <w:rPr>
          <w:bCs/>
          <w:sz w:val="18"/>
          <w:szCs w:val="18"/>
        </w:rPr>
        <w:t xml:space="preserve"> se advierte que la responsable dictó un nuevo oficio en el que dejó de aplicar el artículo 129, fracción I de la Ley Federal de Telecomunicaciones y Radiodifusión…  </w:t>
      </w:r>
    </w:p>
    <w:p w14:paraId="222040D6" w14:textId="79BA0111" w:rsidR="001766D8" w:rsidRPr="008445B6" w:rsidRDefault="00540A16" w:rsidP="008445B6">
      <w:pPr>
        <w:pStyle w:val="IFTnormal"/>
        <w:spacing w:after="0"/>
        <w:ind w:left="708"/>
        <w:rPr>
          <w:bCs/>
          <w:sz w:val="18"/>
          <w:szCs w:val="18"/>
        </w:rPr>
      </w:pPr>
      <w:r w:rsidRPr="008445B6">
        <w:rPr>
          <w:bCs/>
          <w:sz w:val="18"/>
          <w:szCs w:val="18"/>
        </w:rPr>
        <w:t>[</w:t>
      </w:r>
      <w:r w:rsidR="001766D8" w:rsidRPr="008445B6">
        <w:rPr>
          <w:bCs/>
          <w:sz w:val="18"/>
          <w:szCs w:val="18"/>
        </w:rPr>
        <w:t>…</w:t>
      </w:r>
      <w:r w:rsidRPr="008445B6">
        <w:rPr>
          <w:bCs/>
          <w:sz w:val="18"/>
          <w:szCs w:val="18"/>
        </w:rPr>
        <w:t>]</w:t>
      </w:r>
    </w:p>
    <w:p w14:paraId="5F499DE1" w14:textId="48776118" w:rsidR="001766D8" w:rsidRPr="008445B6" w:rsidRDefault="001766D8" w:rsidP="008445B6">
      <w:pPr>
        <w:pStyle w:val="IFTnormal"/>
        <w:spacing w:after="0"/>
        <w:ind w:left="708"/>
        <w:rPr>
          <w:bCs/>
          <w:sz w:val="18"/>
          <w:szCs w:val="18"/>
        </w:rPr>
      </w:pPr>
      <w:r w:rsidRPr="008445B6">
        <w:rPr>
          <w:bCs/>
          <w:sz w:val="18"/>
          <w:szCs w:val="18"/>
        </w:rPr>
        <w:t>Por tanto es innegable que la responsable, cumplió con las obligaciones ya precisadas.</w:t>
      </w:r>
    </w:p>
    <w:p w14:paraId="321AC7FF" w14:textId="4717C74A" w:rsidR="001766D8" w:rsidRPr="008445B6" w:rsidRDefault="001766D8" w:rsidP="008445B6">
      <w:pPr>
        <w:pStyle w:val="IFTnormal"/>
        <w:ind w:left="708"/>
        <w:rPr>
          <w:bCs/>
          <w:sz w:val="18"/>
          <w:szCs w:val="18"/>
        </w:rPr>
      </w:pPr>
      <w:r w:rsidRPr="008445B6">
        <w:rPr>
          <w:bCs/>
          <w:sz w:val="18"/>
          <w:szCs w:val="18"/>
        </w:rPr>
        <w:t>Por las razones expuestas, con apoyo en el artículo 196, párrafos segundo y tercero, de la ley de la materia, se declara cumplida la ejecutoria de amparo</w:t>
      </w:r>
      <w:r w:rsidR="005C2F77" w:rsidRPr="008445B6">
        <w:rPr>
          <w:bCs/>
          <w:sz w:val="18"/>
          <w:szCs w:val="18"/>
        </w:rPr>
        <w:t xml:space="preserve"> […]”</w:t>
      </w:r>
    </w:p>
    <w:p w14:paraId="3BCDAAAC" w14:textId="3E34CFD4" w:rsidR="00771FE1" w:rsidRPr="00176A7A" w:rsidRDefault="009E10C2" w:rsidP="008445B6">
      <w:pPr>
        <w:pStyle w:val="IFTnormal"/>
        <w:spacing w:after="240"/>
        <w:ind w:left="0"/>
        <w:rPr>
          <w:bCs/>
        </w:rPr>
      </w:pPr>
      <w:r>
        <w:rPr>
          <w:b/>
          <w:lang w:eastAsia="es-ES"/>
        </w:rPr>
        <w:t>TERCERO.-</w:t>
      </w:r>
      <w:r w:rsidR="00C52761" w:rsidRPr="00176A7A">
        <w:rPr>
          <w:b/>
          <w:lang w:eastAsia="es-ES"/>
        </w:rPr>
        <w:t>Análisis de la solicitud de Mega</w:t>
      </w:r>
      <w:r w:rsidR="009C0672" w:rsidRPr="00176A7A">
        <w:rPr>
          <w:b/>
          <w:lang w:eastAsia="es-ES"/>
        </w:rPr>
        <w:t xml:space="preserve"> C</w:t>
      </w:r>
      <w:r w:rsidR="00C52761" w:rsidRPr="00176A7A">
        <w:rPr>
          <w:b/>
          <w:lang w:eastAsia="es-ES"/>
        </w:rPr>
        <w:t>able</w:t>
      </w:r>
      <w:r w:rsidR="00C52761" w:rsidRPr="00176A7A">
        <w:rPr>
          <w:lang w:eastAsia="es-ES"/>
        </w:rPr>
        <w:t xml:space="preserve">.- </w:t>
      </w:r>
      <w:r w:rsidR="00771FE1" w:rsidRPr="00176A7A">
        <w:t>El 11 de septiembre de 2015</w:t>
      </w:r>
      <w:r w:rsidR="00771FE1" w:rsidRPr="00176A7A">
        <w:rPr>
          <w:bCs/>
        </w:rPr>
        <w:t xml:space="preserve"> Mega Cable solicitó la intervención de este Instituto </w:t>
      </w:r>
      <w:r w:rsidR="0022481E" w:rsidRPr="00176A7A">
        <w:rPr>
          <w:lang w:eastAsia="es-ES"/>
        </w:rPr>
        <w:t xml:space="preserve">para resolver los términos y condiciones que no pudo convenir con </w:t>
      </w:r>
      <w:r w:rsidR="0022481E" w:rsidRPr="00176A7A">
        <w:rPr>
          <w:rFonts w:cs="Arial"/>
        </w:rPr>
        <w:t xml:space="preserve">Telmex y Telnor </w:t>
      </w:r>
      <w:r w:rsidR="0022481E" w:rsidRPr="00176A7A">
        <w:rPr>
          <w:lang w:eastAsia="es-ES"/>
        </w:rPr>
        <w:t>para la prestación de</w:t>
      </w:r>
      <w:r w:rsidR="00EF62BA">
        <w:rPr>
          <w:lang w:eastAsia="es-ES"/>
        </w:rPr>
        <w:t>l</w:t>
      </w:r>
      <w:r w:rsidR="0022481E" w:rsidRPr="00176A7A">
        <w:rPr>
          <w:lang w:eastAsia="es-ES"/>
        </w:rPr>
        <w:t xml:space="preserve"> servicio de Acceso y Uso Compartido de Infraestructura Pasiva</w:t>
      </w:r>
      <w:r w:rsidR="00C74DEF">
        <w:rPr>
          <w:lang w:eastAsia="es-ES"/>
        </w:rPr>
        <w:t xml:space="preserve"> como se señala en el antecedente </w:t>
      </w:r>
      <w:r w:rsidR="00C74DEF" w:rsidRPr="00D05E83">
        <w:rPr>
          <w:lang w:eastAsia="es-ES"/>
        </w:rPr>
        <w:t>VII</w:t>
      </w:r>
      <w:r w:rsidR="0022481E">
        <w:rPr>
          <w:lang w:eastAsia="es-ES"/>
        </w:rPr>
        <w:t>, manifestando lo siguiente</w:t>
      </w:r>
      <w:r w:rsidR="00771FE1" w:rsidRPr="00176A7A">
        <w:rPr>
          <w:bCs/>
        </w:rPr>
        <w:t>:</w:t>
      </w:r>
    </w:p>
    <w:p w14:paraId="0D8B38D4" w14:textId="43E22040" w:rsidR="00771FE1" w:rsidRPr="008445B6" w:rsidRDefault="00771FE1" w:rsidP="008445B6">
      <w:pPr>
        <w:pStyle w:val="IFTnormal"/>
        <w:spacing w:after="240"/>
        <w:ind w:left="1134" w:right="1466"/>
        <w:rPr>
          <w:bCs/>
          <w:sz w:val="18"/>
          <w:szCs w:val="18"/>
        </w:rPr>
      </w:pPr>
      <w:r w:rsidRPr="008445B6">
        <w:rPr>
          <w:bCs/>
          <w:sz w:val="18"/>
          <w:szCs w:val="18"/>
        </w:rPr>
        <w:t>“[…] para que determine los términos y condiciones que Mega Cable y Telmex/Telnor deben establecer en el Convenio en materia de compartición de infraestructura y asimismo se determinen las tarifas aplicables a los servicios de acceso y uso de la infraestructura pasiva que deberá pagar Mega Cable a TELMEX y TELNOR</w:t>
      </w:r>
      <w:r w:rsidRPr="008445B6">
        <w:rPr>
          <w:sz w:val="18"/>
          <w:szCs w:val="18"/>
        </w:rPr>
        <w:t xml:space="preserve"> en los términos de la Medida Trigésima Novena de las Medidas Fijas y lo dispuesto en los artículos 139 y 267 de la Ley Federal de Telecomunicaciones y Radiodifusión</w:t>
      </w:r>
      <w:r w:rsidRPr="008445B6">
        <w:rPr>
          <w:bCs/>
          <w:sz w:val="18"/>
          <w:szCs w:val="18"/>
        </w:rPr>
        <w:t xml:space="preserve"> para el periodo de cuando se emita la resolución al 31 de diciembre de 2015 y del 1 de enero al 31 de diciembre de 201</w:t>
      </w:r>
      <w:r w:rsidR="0037730A" w:rsidRPr="008445B6">
        <w:rPr>
          <w:bCs/>
          <w:sz w:val="18"/>
          <w:szCs w:val="18"/>
        </w:rPr>
        <w:t>6</w:t>
      </w:r>
      <w:r w:rsidRPr="008445B6">
        <w:rPr>
          <w:bCs/>
          <w:sz w:val="18"/>
          <w:szCs w:val="18"/>
        </w:rPr>
        <w:t xml:space="preserve"> […]”</w:t>
      </w:r>
    </w:p>
    <w:p w14:paraId="310FE0FA" w14:textId="4BF4EA2B" w:rsidR="00771FE1" w:rsidRPr="00176A7A" w:rsidRDefault="0037730A" w:rsidP="008445B6">
      <w:pPr>
        <w:spacing w:after="240"/>
        <w:jc w:val="both"/>
        <w:rPr>
          <w:rFonts w:ascii="ITC Avant Garde" w:hAnsi="ITC Avant Garde" w:cs="Arial"/>
          <w:color w:val="000000"/>
          <w:lang w:val="es-ES_tradnl" w:eastAsia="es-ES"/>
        </w:rPr>
      </w:pPr>
      <w:r w:rsidRPr="00D05E83">
        <w:rPr>
          <w:rFonts w:ascii="ITC Avant Garde" w:hAnsi="ITC Avant Garde" w:cs="Arial"/>
          <w:color w:val="000000"/>
          <w:lang w:val="es-ES_tradnl" w:eastAsia="es-ES"/>
        </w:rPr>
        <w:t>E</w:t>
      </w:r>
      <w:r w:rsidR="00771FE1" w:rsidRPr="00D05E83">
        <w:rPr>
          <w:rFonts w:ascii="ITC Avant Garde" w:hAnsi="ITC Avant Garde" w:cs="Arial"/>
          <w:color w:val="000000"/>
          <w:lang w:val="es-ES_tradnl" w:eastAsia="es-ES"/>
        </w:rPr>
        <w:t xml:space="preserve">l 29 de octubre de 2015 Mega Cable suscribió con Telmex y con Tenor los respectivos Convenios de Prestación de Servicios de Telecomunicaciones para el Acceso y Uso Compartido de Infraestructura Pasiva, acordando tarifas aplicables a servicios contenidos en los mismos a partir de </w:t>
      </w:r>
      <w:r w:rsidR="0022481E" w:rsidRPr="00D05E83">
        <w:rPr>
          <w:rFonts w:ascii="ITC Avant Garde" w:hAnsi="ITC Avant Garde" w:cs="Arial"/>
          <w:color w:val="000000"/>
          <w:lang w:val="es-ES_tradnl" w:eastAsia="es-ES"/>
        </w:rPr>
        <w:t xml:space="preserve">la fecha de celebración de los citados convenios </w:t>
      </w:r>
      <w:r w:rsidR="00771FE1" w:rsidRPr="00D05E83">
        <w:rPr>
          <w:rFonts w:ascii="ITC Avant Garde" w:hAnsi="ITC Avant Garde" w:cs="Arial"/>
          <w:color w:val="000000"/>
          <w:lang w:val="es-ES_tradnl" w:eastAsia="es-ES"/>
        </w:rPr>
        <w:t>y hasta el 31 de diciembre de 201</w:t>
      </w:r>
      <w:r w:rsidR="00771FE1" w:rsidRPr="00176A7A">
        <w:rPr>
          <w:rFonts w:ascii="ITC Avant Garde" w:hAnsi="ITC Avant Garde" w:cs="Arial"/>
          <w:color w:val="000000"/>
          <w:lang w:val="es-ES_tradnl" w:eastAsia="es-ES"/>
        </w:rPr>
        <w:t xml:space="preserve">5, por lo que el periodo </w:t>
      </w:r>
      <w:r w:rsidR="0022481E">
        <w:rPr>
          <w:rFonts w:ascii="ITC Avant Garde" w:hAnsi="ITC Avant Garde" w:cs="Arial"/>
          <w:color w:val="000000"/>
          <w:lang w:val="es-ES_tradnl" w:eastAsia="es-ES"/>
        </w:rPr>
        <w:t xml:space="preserve">que se debe considerar para efectos de la Solicitud de Resolución </w:t>
      </w:r>
      <w:r w:rsidR="00771FE1" w:rsidRPr="00176A7A">
        <w:rPr>
          <w:rFonts w:ascii="ITC Avant Garde" w:hAnsi="ITC Avant Garde" w:cs="Arial"/>
          <w:color w:val="000000"/>
          <w:lang w:val="es-ES_tradnl" w:eastAsia="es-ES"/>
        </w:rPr>
        <w:t>correspondería al periodo comprendido del 11 de septiembre al 29 de octubre de 2015.</w:t>
      </w:r>
    </w:p>
    <w:p w14:paraId="1AEF7ADD" w14:textId="06DD3C7A" w:rsidR="00923843" w:rsidRPr="00176A7A" w:rsidRDefault="00771FE1" w:rsidP="008445B6">
      <w:pPr>
        <w:spacing w:after="240"/>
        <w:jc w:val="both"/>
        <w:rPr>
          <w:rFonts w:ascii="ITC Avant Garde" w:hAnsi="ITC Avant Garde" w:cs="Arial"/>
          <w:color w:val="000000"/>
          <w:lang w:val="es-ES_tradnl" w:eastAsia="es-ES"/>
        </w:rPr>
      </w:pPr>
      <w:r w:rsidRPr="00176A7A">
        <w:rPr>
          <w:rFonts w:ascii="ITC Avant Garde" w:hAnsi="ITC Avant Garde" w:cs="Arial"/>
          <w:color w:val="000000"/>
          <w:lang w:val="es-ES_tradnl" w:eastAsia="es-ES"/>
        </w:rPr>
        <w:lastRenderedPageBreak/>
        <w:t>En virtud de lo anterior</w:t>
      </w:r>
      <w:r w:rsidR="003234BF">
        <w:rPr>
          <w:rFonts w:ascii="ITC Avant Garde" w:hAnsi="ITC Avant Garde" w:cs="Arial"/>
          <w:color w:val="000000"/>
          <w:lang w:val="es-ES_tradnl" w:eastAsia="es-ES"/>
        </w:rPr>
        <w:t>,</w:t>
      </w:r>
      <w:r w:rsidRPr="00176A7A">
        <w:rPr>
          <w:rFonts w:ascii="ITC Avant Garde" w:hAnsi="ITC Avant Garde" w:cs="Arial"/>
          <w:color w:val="000000"/>
          <w:lang w:val="es-ES_tradnl" w:eastAsia="es-ES"/>
        </w:rPr>
        <w:t xml:space="preserve"> se requirió a Mega Cable, Telmex y </w:t>
      </w:r>
      <w:proofErr w:type="spellStart"/>
      <w:r w:rsidRPr="00176A7A">
        <w:rPr>
          <w:rFonts w:ascii="ITC Avant Garde" w:hAnsi="ITC Avant Garde" w:cs="Arial"/>
          <w:color w:val="000000"/>
          <w:lang w:val="es-ES_tradnl" w:eastAsia="es-ES"/>
        </w:rPr>
        <w:t>Telnor</w:t>
      </w:r>
      <w:proofErr w:type="spellEnd"/>
      <w:r w:rsidRPr="00176A7A">
        <w:rPr>
          <w:rFonts w:ascii="ITC Avant Garde" w:hAnsi="ITC Avant Garde" w:cs="Arial"/>
          <w:color w:val="000000"/>
          <w:lang w:val="es-ES_tradnl" w:eastAsia="es-ES"/>
        </w:rPr>
        <w:t>, para que informara</w:t>
      </w:r>
      <w:r w:rsidR="003234BF">
        <w:rPr>
          <w:rFonts w:ascii="ITC Avant Garde" w:hAnsi="ITC Avant Garde" w:cs="Arial"/>
          <w:color w:val="000000"/>
          <w:lang w:val="es-ES_tradnl" w:eastAsia="es-ES"/>
        </w:rPr>
        <w:t>n</w:t>
      </w:r>
      <w:r w:rsidRPr="00176A7A">
        <w:rPr>
          <w:rFonts w:ascii="ITC Avant Garde" w:hAnsi="ITC Avant Garde" w:cs="Arial"/>
          <w:color w:val="000000"/>
          <w:lang w:val="es-ES_tradnl" w:eastAsia="es-ES"/>
        </w:rPr>
        <w:t xml:space="preserve"> a este Instituto si durante el periodo comprendido del 11 de septiembre de 2015 al 29 de octubre de 2015 existió prestación de servicios relativo</w:t>
      </w:r>
      <w:r w:rsidR="00EF62BA">
        <w:rPr>
          <w:rFonts w:ascii="ITC Avant Garde" w:hAnsi="ITC Avant Garde" w:cs="Arial"/>
          <w:color w:val="000000"/>
          <w:lang w:val="es-ES_tradnl" w:eastAsia="es-ES"/>
        </w:rPr>
        <w:t>s</w:t>
      </w:r>
      <w:r w:rsidRPr="00176A7A">
        <w:rPr>
          <w:rFonts w:ascii="ITC Avant Garde" w:hAnsi="ITC Avant Garde" w:cs="Arial"/>
          <w:color w:val="000000"/>
          <w:lang w:val="es-ES_tradnl" w:eastAsia="es-ES"/>
        </w:rPr>
        <w:t xml:space="preserve"> al Servicio de Acceso y Uso Compartido de Infraestructura Pasiva.</w:t>
      </w:r>
    </w:p>
    <w:p w14:paraId="5CC21EB2" w14:textId="0DC86045" w:rsidR="005546D1" w:rsidRPr="00994CDE" w:rsidRDefault="003234BF" w:rsidP="008445B6">
      <w:pPr>
        <w:spacing w:after="240"/>
        <w:jc w:val="both"/>
        <w:rPr>
          <w:rFonts w:ascii="ITC Avant Garde" w:eastAsia="Times New Roman" w:hAnsi="ITC Avant Garde"/>
        </w:rPr>
      </w:pPr>
      <w:r>
        <w:rPr>
          <w:rFonts w:ascii="ITC Avant Garde" w:eastAsia="Times New Roman" w:hAnsi="ITC Avant Garde"/>
        </w:rPr>
        <w:t xml:space="preserve">En este sentido, dentro de sus respectivas </w:t>
      </w:r>
      <w:r w:rsidR="00EF62BA">
        <w:rPr>
          <w:rFonts w:ascii="ITC Avant Garde" w:eastAsia="Times New Roman" w:hAnsi="ITC Avant Garde"/>
        </w:rPr>
        <w:t>r</w:t>
      </w:r>
      <w:r>
        <w:rPr>
          <w:rFonts w:ascii="ITC Avant Garde" w:eastAsia="Times New Roman" w:hAnsi="ITC Avant Garde"/>
        </w:rPr>
        <w:t xml:space="preserve">espuestas, Mega Cable, Telmex y </w:t>
      </w:r>
      <w:proofErr w:type="spellStart"/>
      <w:r>
        <w:rPr>
          <w:rFonts w:ascii="ITC Avant Garde" w:eastAsia="Times New Roman" w:hAnsi="ITC Avant Garde"/>
        </w:rPr>
        <w:t>Telnor</w:t>
      </w:r>
      <w:proofErr w:type="spellEnd"/>
      <w:r>
        <w:rPr>
          <w:rFonts w:ascii="ITC Avant Garde" w:eastAsia="Times New Roman" w:hAnsi="ITC Avant Garde"/>
        </w:rPr>
        <w:t xml:space="preserve"> </w:t>
      </w:r>
      <w:r w:rsidRPr="00994CDE">
        <w:rPr>
          <w:rFonts w:ascii="ITC Avant Garde" w:eastAsia="Times New Roman" w:hAnsi="ITC Avant Garde"/>
        </w:rPr>
        <w:t>manifestaron lo siguiente:</w:t>
      </w:r>
    </w:p>
    <w:p w14:paraId="038AB63C" w14:textId="3B620C33" w:rsidR="00E468EF" w:rsidRPr="00994CDE" w:rsidRDefault="00E468EF" w:rsidP="008445B6">
      <w:pPr>
        <w:spacing w:after="240"/>
        <w:jc w:val="both"/>
        <w:rPr>
          <w:rFonts w:ascii="ITC Avant Garde" w:eastAsia="Times New Roman" w:hAnsi="ITC Avant Garde"/>
        </w:rPr>
      </w:pPr>
      <w:r w:rsidRPr="00994CDE">
        <w:rPr>
          <w:rFonts w:ascii="ITC Avant Garde" w:eastAsia="Times New Roman" w:hAnsi="ITC Avant Garde"/>
        </w:rPr>
        <w:t>Respuesta de Mega Cable</w:t>
      </w:r>
      <w:r w:rsidR="00A07964" w:rsidRPr="00994CDE">
        <w:rPr>
          <w:rFonts w:ascii="ITC Avant Garde" w:eastAsia="Times New Roman" w:hAnsi="ITC Avant Garde"/>
        </w:rPr>
        <w:t>:</w:t>
      </w:r>
    </w:p>
    <w:p w14:paraId="07F01FA2" w14:textId="77777777" w:rsidR="00994CDE" w:rsidRDefault="00A07964" w:rsidP="008445B6">
      <w:pPr>
        <w:pStyle w:val="IFTnormal"/>
        <w:spacing w:after="0"/>
        <w:ind w:left="1134" w:right="1466"/>
        <w:rPr>
          <w:bCs/>
          <w:i/>
          <w:sz w:val="18"/>
          <w:szCs w:val="18"/>
        </w:rPr>
      </w:pPr>
      <w:r w:rsidRPr="007E28CA">
        <w:rPr>
          <w:bCs/>
          <w:i/>
          <w:sz w:val="18"/>
          <w:szCs w:val="18"/>
        </w:rPr>
        <w:t>“[…]</w:t>
      </w:r>
    </w:p>
    <w:p w14:paraId="50825CED" w14:textId="21FA4E90" w:rsidR="00E468EF" w:rsidRPr="007E28CA" w:rsidRDefault="00E468EF" w:rsidP="008445B6">
      <w:pPr>
        <w:pStyle w:val="IFTnormal"/>
        <w:ind w:left="1134" w:right="1466"/>
        <w:rPr>
          <w:bCs/>
          <w:i/>
          <w:sz w:val="18"/>
          <w:szCs w:val="18"/>
        </w:rPr>
      </w:pPr>
      <w:r w:rsidRPr="007E28CA">
        <w:rPr>
          <w:bCs/>
          <w:i/>
          <w:sz w:val="18"/>
          <w:szCs w:val="18"/>
        </w:rPr>
        <w:t xml:space="preserve">En el periodo </w:t>
      </w:r>
      <w:r w:rsidR="001E7DAD" w:rsidRPr="007E28CA">
        <w:rPr>
          <w:bCs/>
          <w:i/>
          <w:sz w:val="18"/>
          <w:szCs w:val="18"/>
        </w:rPr>
        <w:t>de f</w:t>
      </w:r>
      <w:r w:rsidR="0000466B" w:rsidRPr="007E28CA">
        <w:rPr>
          <w:bCs/>
          <w:i/>
          <w:sz w:val="18"/>
          <w:szCs w:val="18"/>
        </w:rPr>
        <w:t xml:space="preserve">echas que menciona en su oficio. No se prestaron servicios entre mi </w:t>
      </w:r>
      <w:r w:rsidR="006C7844" w:rsidRPr="007E28CA">
        <w:rPr>
          <w:bCs/>
          <w:i/>
          <w:sz w:val="18"/>
          <w:szCs w:val="18"/>
        </w:rPr>
        <w:t xml:space="preserve">representada y Telmex/Telnor; ya que no se conocían las tarifas de la Oferta Pública de Referencia de Compartición de Infraestructura Pasiva y prevaleció la negativa </w:t>
      </w:r>
      <w:r w:rsidR="00C44B51" w:rsidRPr="007E28CA">
        <w:rPr>
          <w:bCs/>
          <w:i/>
          <w:sz w:val="18"/>
          <w:szCs w:val="18"/>
        </w:rPr>
        <w:t>de Telmex/Telnor a proporcionar las tarifas aplicables, por tal motivo no se pudo celebrar el Convenio y se acudió ante ese H. Instituto, solicitando su in</w:t>
      </w:r>
      <w:r w:rsidR="00A07964" w:rsidRPr="007E28CA">
        <w:rPr>
          <w:bCs/>
          <w:i/>
          <w:sz w:val="18"/>
          <w:szCs w:val="18"/>
        </w:rPr>
        <w:t>tervención para la resolución del correspondiente desacuerdo</w:t>
      </w:r>
      <w:r w:rsidR="007E28CA">
        <w:rPr>
          <w:bCs/>
          <w:i/>
          <w:sz w:val="18"/>
          <w:szCs w:val="18"/>
        </w:rPr>
        <w:t xml:space="preserve"> </w:t>
      </w:r>
      <w:r w:rsidR="00A07964" w:rsidRPr="007E28CA">
        <w:rPr>
          <w:bCs/>
          <w:i/>
          <w:sz w:val="18"/>
          <w:szCs w:val="18"/>
        </w:rPr>
        <w:t>[…]”</w:t>
      </w:r>
    </w:p>
    <w:p w14:paraId="3B7AD486" w14:textId="4F772D37" w:rsidR="00A07964" w:rsidRDefault="00A07964" w:rsidP="008445B6">
      <w:pPr>
        <w:spacing w:after="240"/>
        <w:jc w:val="both"/>
        <w:rPr>
          <w:rFonts w:ascii="ITC Avant Garde" w:eastAsia="Times New Roman" w:hAnsi="ITC Avant Garde"/>
        </w:rPr>
      </w:pPr>
      <w:r w:rsidRPr="00176A7A">
        <w:rPr>
          <w:rFonts w:ascii="ITC Avant Garde" w:eastAsia="Times New Roman" w:hAnsi="ITC Avant Garde"/>
        </w:rPr>
        <w:t xml:space="preserve">Respuesta de Telmex y </w:t>
      </w:r>
      <w:proofErr w:type="spellStart"/>
      <w:r w:rsidRPr="00176A7A">
        <w:rPr>
          <w:rFonts w:ascii="ITC Avant Garde" w:eastAsia="Times New Roman" w:hAnsi="ITC Avant Garde"/>
        </w:rPr>
        <w:t>Telnor</w:t>
      </w:r>
      <w:proofErr w:type="spellEnd"/>
      <w:r w:rsidRPr="00176A7A">
        <w:rPr>
          <w:rFonts w:ascii="ITC Avant Garde" w:eastAsia="Times New Roman" w:hAnsi="ITC Avant Garde"/>
        </w:rPr>
        <w:t>:</w:t>
      </w:r>
    </w:p>
    <w:p w14:paraId="633DA887" w14:textId="5F4F5225" w:rsidR="00A07964" w:rsidRPr="008445B6" w:rsidRDefault="005931AB" w:rsidP="008445B6">
      <w:pPr>
        <w:pStyle w:val="IFTnormal"/>
        <w:spacing w:after="0"/>
        <w:ind w:left="1134" w:right="1466"/>
        <w:rPr>
          <w:bCs/>
          <w:sz w:val="18"/>
          <w:szCs w:val="18"/>
        </w:rPr>
      </w:pPr>
      <w:r w:rsidRPr="008445B6">
        <w:rPr>
          <w:bCs/>
          <w:sz w:val="18"/>
          <w:szCs w:val="18"/>
        </w:rPr>
        <w:t>“[…]</w:t>
      </w:r>
    </w:p>
    <w:p w14:paraId="2A0E7F95" w14:textId="01E47398" w:rsidR="00A07964" w:rsidRPr="008445B6" w:rsidRDefault="00A07964" w:rsidP="008445B6">
      <w:pPr>
        <w:pStyle w:val="IFTnormal"/>
        <w:ind w:left="1134" w:right="1466"/>
        <w:rPr>
          <w:bCs/>
          <w:sz w:val="18"/>
          <w:szCs w:val="18"/>
        </w:rPr>
      </w:pPr>
      <w:r w:rsidRPr="008445B6">
        <w:rPr>
          <w:bCs/>
          <w:sz w:val="18"/>
          <w:szCs w:val="18"/>
        </w:rPr>
        <w:t>Antes de dar contestación a la solicitud de desacuerdo</w:t>
      </w:r>
      <w:r w:rsidR="005931AB" w:rsidRPr="008445B6">
        <w:rPr>
          <w:bCs/>
          <w:sz w:val="18"/>
          <w:szCs w:val="18"/>
        </w:rPr>
        <w:t xml:space="preserve"> promovido por Mega Cable, le informamos a ese Instituto que durante el periodo comprendido entre el 11 de septiembre y el 29 de octubre de 2015, no existió prestación de servicios de compartición de infraestructura pasiva por parte de Telmex y Telnor a Mega Cable</w:t>
      </w:r>
      <w:r w:rsidR="007E28CA" w:rsidRPr="008445B6">
        <w:rPr>
          <w:bCs/>
          <w:sz w:val="18"/>
          <w:szCs w:val="18"/>
        </w:rPr>
        <w:t xml:space="preserve"> </w:t>
      </w:r>
      <w:r w:rsidR="005931AB" w:rsidRPr="008445B6">
        <w:rPr>
          <w:bCs/>
          <w:sz w:val="18"/>
          <w:szCs w:val="18"/>
        </w:rPr>
        <w:t>[…]”</w:t>
      </w:r>
    </w:p>
    <w:p w14:paraId="29AF8AC4" w14:textId="77777777" w:rsidR="008445B6" w:rsidRDefault="0007561E" w:rsidP="008445B6">
      <w:pPr>
        <w:widowControl w:val="0"/>
        <w:spacing w:after="240"/>
        <w:jc w:val="both"/>
        <w:rPr>
          <w:rFonts w:ascii="ITC Avant Garde" w:hAnsi="ITC Avant Garde" w:cs="Arial"/>
          <w:b/>
          <w:u w:val="single"/>
          <w:lang w:val="es-ES"/>
        </w:rPr>
      </w:pPr>
      <w:r w:rsidRPr="00176A7A">
        <w:rPr>
          <w:rFonts w:ascii="ITC Avant Garde" w:hAnsi="ITC Avant Garde" w:cs="Arial"/>
          <w:b/>
          <w:u w:val="single"/>
          <w:lang w:val="es-ES"/>
        </w:rPr>
        <w:t>Consideraciones del Instituto</w:t>
      </w:r>
    </w:p>
    <w:p w14:paraId="601A43AC" w14:textId="77777777" w:rsidR="008445B6" w:rsidRDefault="00EC70B0" w:rsidP="008445B6">
      <w:pPr>
        <w:widowControl w:val="0"/>
        <w:spacing w:after="240"/>
        <w:jc w:val="both"/>
        <w:rPr>
          <w:rFonts w:ascii="ITC Avant Garde" w:eastAsia="Times New Roman" w:hAnsi="ITC Avant Garde"/>
          <w:lang w:eastAsia="es-ES"/>
        </w:rPr>
      </w:pPr>
      <w:r>
        <w:rPr>
          <w:rFonts w:ascii="ITC Avant Garde" w:eastAsia="Times New Roman" w:hAnsi="ITC Avant Garde"/>
          <w:lang w:eastAsia="es-ES"/>
        </w:rPr>
        <w:t xml:space="preserve">De los antecedentes se desprende que Mega Cable solicitó a Telmex y </w:t>
      </w:r>
      <w:proofErr w:type="spellStart"/>
      <w:r>
        <w:rPr>
          <w:rFonts w:ascii="ITC Avant Garde" w:eastAsia="Times New Roman" w:hAnsi="ITC Avant Garde"/>
          <w:lang w:eastAsia="es-ES"/>
        </w:rPr>
        <w:t>Telnor</w:t>
      </w:r>
      <w:proofErr w:type="spellEnd"/>
      <w:r>
        <w:rPr>
          <w:rFonts w:ascii="ITC Avant Garde" w:eastAsia="Times New Roman" w:hAnsi="ITC Avant Garde"/>
          <w:lang w:eastAsia="es-ES"/>
        </w:rPr>
        <w:t xml:space="preserve"> la negociación de términos y condiciones para el Servicio de Acceso y Uso de Infraestructura Pasiva</w:t>
      </w:r>
      <w:r w:rsidR="00A935B9">
        <w:rPr>
          <w:rFonts w:ascii="ITC Avant Garde" w:eastAsia="Times New Roman" w:hAnsi="ITC Avant Garde"/>
          <w:lang w:eastAsia="es-ES"/>
        </w:rPr>
        <w:t>. T</w:t>
      </w:r>
      <w:r>
        <w:rPr>
          <w:rFonts w:ascii="ITC Avant Garde" w:eastAsia="Times New Roman" w:hAnsi="ITC Avant Garde"/>
          <w:lang w:eastAsia="es-ES"/>
        </w:rPr>
        <w:t xml:space="preserve">ranscurrido el </w:t>
      </w:r>
      <w:r w:rsidR="00A935B9">
        <w:rPr>
          <w:rFonts w:ascii="ITC Avant Garde" w:eastAsia="Times New Roman" w:hAnsi="ITC Avant Garde"/>
          <w:lang w:eastAsia="es-ES"/>
        </w:rPr>
        <w:t xml:space="preserve">periodo establecido para ello </w:t>
      </w:r>
      <w:r>
        <w:rPr>
          <w:rFonts w:ascii="ITC Avant Garde" w:eastAsia="Times New Roman" w:hAnsi="ITC Avant Garde"/>
          <w:lang w:eastAsia="es-ES"/>
        </w:rPr>
        <w:t>solicitó al Instituto su resolución.</w:t>
      </w:r>
    </w:p>
    <w:p w14:paraId="5AFB3904" w14:textId="6AA30196" w:rsidR="00EC70B0" w:rsidRDefault="00EC70B0" w:rsidP="008445B6">
      <w:pPr>
        <w:widowControl w:val="0"/>
        <w:spacing w:after="240"/>
        <w:jc w:val="both"/>
        <w:rPr>
          <w:rFonts w:ascii="ITC Avant Garde" w:eastAsia="Times New Roman" w:hAnsi="ITC Avant Garde"/>
          <w:lang w:eastAsia="es-ES"/>
        </w:rPr>
      </w:pPr>
      <w:r>
        <w:rPr>
          <w:rFonts w:ascii="ITC Avant Garde" w:eastAsia="Times New Roman" w:hAnsi="ITC Avant Garde"/>
          <w:lang w:eastAsia="es-ES"/>
        </w:rPr>
        <w:t>Para efectos del presente procedimiento, se tiene que la Solicitud de Resolución estableció como términos y condiciones no convenidos respecto de los cuales el Instituto se debería pronunciar, la prestación del Servicio de Acceso y Uso de Infraestructura Pasiva, las tarifas aplicables desde la fecha en que se emita la resolución hasta el 31 de diciembre de 2015 y las correspondientes a 2016.</w:t>
      </w:r>
    </w:p>
    <w:p w14:paraId="037599C5" w14:textId="62C43A25" w:rsidR="00C60630" w:rsidRDefault="00EC70B0" w:rsidP="008445B6">
      <w:pPr>
        <w:spacing w:after="240"/>
        <w:jc w:val="both"/>
        <w:rPr>
          <w:rFonts w:ascii="ITC Avant Garde" w:eastAsia="Times New Roman" w:hAnsi="ITC Avant Garde"/>
          <w:lang w:eastAsia="es-ES"/>
        </w:rPr>
      </w:pPr>
      <w:r>
        <w:rPr>
          <w:rFonts w:ascii="ITC Avant Garde" w:eastAsia="Times New Roman" w:hAnsi="ITC Avant Garde"/>
          <w:lang w:eastAsia="es-ES"/>
        </w:rPr>
        <w:t>A este respecto, d</w:t>
      </w:r>
      <w:r w:rsidR="00522DD8" w:rsidRPr="00176A7A">
        <w:rPr>
          <w:rFonts w:ascii="ITC Avant Garde" w:eastAsia="Times New Roman" w:hAnsi="ITC Avant Garde"/>
          <w:lang w:eastAsia="es-ES"/>
        </w:rPr>
        <w:t xml:space="preserve">e las </w:t>
      </w:r>
      <w:r>
        <w:rPr>
          <w:rFonts w:ascii="ITC Avant Garde" w:eastAsia="Times New Roman" w:hAnsi="ITC Avant Garde"/>
          <w:lang w:eastAsia="es-ES"/>
        </w:rPr>
        <w:t>r</w:t>
      </w:r>
      <w:r w:rsidR="00522DD8" w:rsidRPr="00176A7A">
        <w:rPr>
          <w:rFonts w:ascii="ITC Avant Garde" w:eastAsia="Times New Roman" w:hAnsi="ITC Avant Garde"/>
          <w:lang w:eastAsia="es-ES"/>
        </w:rPr>
        <w:t xml:space="preserve">espuestas </w:t>
      </w:r>
      <w:r w:rsidR="0037730A">
        <w:rPr>
          <w:rFonts w:ascii="ITC Avant Garde" w:eastAsia="Times New Roman" w:hAnsi="ITC Avant Garde"/>
          <w:lang w:eastAsia="es-ES"/>
        </w:rPr>
        <w:t xml:space="preserve">otorgadas por </w:t>
      </w:r>
      <w:r w:rsidR="00522DD8" w:rsidRPr="00176A7A">
        <w:rPr>
          <w:rFonts w:ascii="ITC Avant Garde" w:eastAsia="Times New Roman" w:hAnsi="ITC Avant Garde"/>
          <w:lang w:eastAsia="es-ES"/>
        </w:rPr>
        <w:t xml:space="preserve">Mega Cable, Telmex y </w:t>
      </w:r>
      <w:proofErr w:type="spellStart"/>
      <w:r w:rsidR="00522DD8" w:rsidRPr="00176A7A">
        <w:rPr>
          <w:rFonts w:ascii="ITC Avant Garde" w:eastAsia="Times New Roman" w:hAnsi="ITC Avant Garde"/>
          <w:lang w:eastAsia="es-ES"/>
        </w:rPr>
        <w:t>Telnor</w:t>
      </w:r>
      <w:proofErr w:type="spellEnd"/>
      <w:r w:rsidR="00522DD8" w:rsidRPr="00176A7A">
        <w:rPr>
          <w:rFonts w:ascii="ITC Avant Garde" w:eastAsia="Times New Roman" w:hAnsi="ITC Avant Garde"/>
          <w:lang w:eastAsia="es-ES"/>
        </w:rPr>
        <w:t xml:space="preserve">, se desprende que durante el periodo comprendido del 11 de septiembre </w:t>
      </w:r>
      <w:r>
        <w:rPr>
          <w:rFonts w:ascii="ITC Avant Garde" w:eastAsia="Times New Roman" w:hAnsi="ITC Avant Garde"/>
          <w:lang w:eastAsia="es-ES"/>
        </w:rPr>
        <w:t xml:space="preserve">(fecha de la Solicitud de Resolución) </w:t>
      </w:r>
      <w:r w:rsidR="00522DD8" w:rsidRPr="00176A7A">
        <w:rPr>
          <w:rFonts w:ascii="ITC Avant Garde" w:eastAsia="Times New Roman" w:hAnsi="ITC Avant Garde"/>
          <w:lang w:eastAsia="es-ES"/>
        </w:rPr>
        <w:t xml:space="preserve">al 29 de octubre de 2015 Mega Cable no </w:t>
      </w:r>
      <w:r>
        <w:rPr>
          <w:rFonts w:ascii="ITC Avant Garde" w:eastAsia="Times New Roman" w:hAnsi="ITC Avant Garde"/>
          <w:lang w:eastAsia="es-ES"/>
        </w:rPr>
        <w:t>recibió la</w:t>
      </w:r>
      <w:r w:rsidR="00522DD8" w:rsidRPr="00176A7A">
        <w:rPr>
          <w:rFonts w:ascii="ITC Avant Garde" w:eastAsia="Times New Roman" w:hAnsi="ITC Avant Garde"/>
          <w:lang w:eastAsia="es-ES"/>
        </w:rPr>
        <w:t xml:space="preserve"> prestación del servicio de Acceso y Uso de Infraestructura Pasiva por </w:t>
      </w:r>
      <w:r w:rsidR="00C60630" w:rsidRPr="00176A7A">
        <w:rPr>
          <w:rFonts w:ascii="ITC Avant Garde" w:eastAsia="Times New Roman" w:hAnsi="ITC Avant Garde"/>
          <w:lang w:eastAsia="es-ES"/>
        </w:rPr>
        <w:t xml:space="preserve">parte de Telmex y </w:t>
      </w:r>
      <w:proofErr w:type="spellStart"/>
      <w:r w:rsidR="00C60630" w:rsidRPr="00176A7A">
        <w:rPr>
          <w:rFonts w:ascii="ITC Avant Garde" w:eastAsia="Times New Roman" w:hAnsi="ITC Avant Garde"/>
          <w:lang w:eastAsia="es-ES"/>
        </w:rPr>
        <w:t>Telnor</w:t>
      </w:r>
      <w:proofErr w:type="spellEnd"/>
      <w:r>
        <w:rPr>
          <w:rFonts w:ascii="ITC Avant Garde" w:eastAsia="Times New Roman" w:hAnsi="ITC Avant Garde"/>
          <w:lang w:eastAsia="es-ES"/>
        </w:rPr>
        <w:t xml:space="preserve">. </w:t>
      </w:r>
      <w:r w:rsidR="00C60630" w:rsidRPr="00176A7A">
        <w:rPr>
          <w:rFonts w:ascii="ITC Avant Garde" w:hAnsi="ITC Avant Garde"/>
        </w:rPr>
        <w:t xml:space="preserve"> </w:t>
      </w:r>
      <w:r>
        <w:rPr>
          <w:rFonts w:ascii="ITC Avant Garde" w:eastAsia="Times New Roman" w:hAnsi="ITC Avant Garde"/>
          <w:lang w:eastAsia="es-ES"/>
        </w:rPr>
        <w:t xml:space="preserve">En </w:t>
      </w:r>
      <w:r>
        <w:rPr>
          <w:rFonts w:ascii="ITC Avant Garde" w:eastAsia="Times New Roman" w:hAnsi="ITC Avant Garde"/>
          <w:lang w:eastAsia="es-ES"/>
        </w:rPr>
        <w:lastRenderedPageBreak/>
        <w:t xml:space="preserve">ese sentido, </w:t>
      </w:r>
      <w:r w:rsidR="00A935B9">
        <w:rPr>
          <w:rFonts w:ascii="ITC Avant Garde" w:eastAsia="Times New Roman" w:hAnsi="ITC Avant Garde"/>
          <w:lang w:eastAsia="es-ES"/>
        </w:rPr>
        <w:t xml:space="preserve">el Instituto considera que </w:t>
      </w:r>
      <w:r>
        <w:rPr>
          <w:rFonts w:ascii="ITC Avant Garde" w:eastAsia="Times New Roman" w:hAnsi="ITC Avant Garde"/>
          <w:lang w:eastAsia="es-ES"/>
        </w:rPr>
        <w:t xml:space="preserve">no hay necesidad de determinar las tarifas correspondientes al periodo señalado, toda vez que el servicio para el cual serían fijadas no fue prestado en dicho momento y por ello, </w:t>
      </w:r>
      <w:r w:rsidR="00C60630" w:rsidRPr="00176A7A">
        <w:rPr>
          <w:rFonts w:ascii="ITC Avant Garde" w:eastAsia="Times New Roman" w:hAnsi="ITC Avant Garde"/>
          <w:lang w:eastAsia="es-ES"/>
        </w:rPr>
        <w:t>resulta</w:t>
      </w:r>
      <w:r w:rsidR="00AA5AE3">
        <w:rPr>
          <w:rFonts w:ascii="ITC Avant Garde" w:eastAsia="Times New Roman" w:hAnsi="ITC Avant Garde"/>
          <w:lang w:eastAsia="es-ES"/>
        </w:rPr>
        <w:t>ría</w:t>
      </w:r>
      <w:r w:rsidR="00C60630" w:rsidRPr="00176A7A">
        <w:rPr>
          <w:rFonts w:ascii="ITC Avant Garde" w:eastAsia="Times New Roman" w:hAnsi="ITC Avant Garde"/>
          <w:lang w:eastAsia="es-ES"/>
        </w:rPr>
        <w:t xml:space="preserve"> ocioso que este Instituto resuelva tarifas </w:t>
      </w:r>
      <w:r>
        <w:rPr>
          <w:rFonts w:ascii="ITC Avant Garde" w:eastAsia="Times New Roman" w:hAnsi="ITC Avant Garde"/>
          <w:lang w:eastAsia="es-ES"/>
        </w:rPr>
        <w:t xml:space="preserve">respecto de un servicio para el cual </w:t>
      </w:r>
      <w:r w:rsidR="00C60630" w:rsidRPr="00176A7A">
        <w:rPr>
          <w:rFonts w:ascii="ITC Avant Garde" w:eastAsia="Times New Roman" w:hAnsi="ITC Avant Garde"/>
          <w:lang w:eastAsia="es-ES"/>
        </w:rPr>
        <w:t>no existe adeudo alguno</w:t>
      </w:r>
      <w:r>
        <w:rPr>
          <w:rFonts w:ascii="ITC Avant Garde" w:eastAsia="Times New Roman" w:hAnsi="ITC Avant Garde"/>
          <w:lang w:eastAsia="es-ES"/>
        </w:rPr>
        <w:t>.</w:t>
      </w:r>
    </w:p>
    <w:p w14:paraId="53DDDA5D" w14:textId="77777777" w:rsidR="00EC70B0" w:rsidRDefault="00EC70B0" w:rsidP="008445B6">
      <w:pPr>
        <w:spacing w:after="240"/>
        <w:jc w:val="both"/>
        <w:rPr>
          <w:rFonts w:ascii="ITC Avant Garde" w:eastAsia="Times New Roman" w:hAnsi="ITC Avant Garde"/>
          <w:lang w:eastAsia="es-ES"/>
        </w:rPr>
      </w:pPr>
      <w:r>
        <w:rPr>
          <w:rFonts w:ascii="ITC Avant Garde" w:eastAsia="Times New Roman" w:hAnsi="ITC Avant Garde"/>
          <w:lang w:eastAsia="es-ES"/>
        </w:rPr>
        <w:t>Resulta aplicable al planteamiento anterior el artículo 57, fracción V de la Ley Federal de Procedimiento Administrativo que es del tenor literal siguiente:</w:t>
      </w:r>
    </w:p>
    <w:p w14:paraId="36EC19E4" w14:textId="77777777" w:rsidR="00EC70B0" w:rsidRPr="008445B6" w:rsidRDefault="00EC70B0" w:rsidP="008445B6">
      <w:pPr>
        <w:spacing w:after="0"/>
        <w:ind w:left="1134" w:right="1324"/>
        <w:jc w:val="both"/>
        <w:rPr>
          <w:rFonts w:ascii="ITC Avant Garde" w:eastAsia="Times New Roman" w:hAnsi="ITC Avant Garde"/>
          <w:sz w:val="18"/>
          <w:szCs w:val="18"/>
          <w:lang w:eastAsia="es-ES"/>
        </w:rPr>
      </w:pPr>
      <w:r w:rsidRPr="008445B6">
        <w:rPr>
          <w:rFonts w:ascii="ITC Avant Garde" w:eastAsia="Times New Roman" w:hAnsi="ITC Avant Garde"/>
          <w:sz w:val="18"/>
          <w:szCs w:val="18"/>
          <w:lang w:eastAsia="es-ES"/>
        </w:rPr>
        <w:t>“</w:t>
      </w:r>
      <w:r w:rsidRPr="008445B6">
        <w:rPr>
          <w:rFonts w:ascii="ITC Avant Garde" w:eastAsia="Times New Roman" w:hAnsi="ITC Avant Garde"/>
          <w:b/>
          <w:sz w:val="18"/>
          <w:szCs w:val="18"/>
          <w:lang w:eastAsia="es-ES"/>
        </w:rPr>
        <w:t>Artículo 57.-</w:t>
      </w:r>
      <w:r w:rsidRPr="008445B6">
        <w:rPr>
          <w:rFonts w:ascii="ITC Avant Garde" w:eastAsia="Times New Roman" w:hAnsi="ITC Avant Garde"/>
          <w:sz w:val="18"/>
          <w:szCs w:val="18"/>
          <w:lang w:eastAsia="es-ES"/>
        </w:rPr>
        <w:t xml:space="preserve"> Ponen fin al procedimiento administrativo:</w:t>
      </w:r>
    </w:p>
    <w:p w14:paraId="1AAA22BD" w14:textId="7E6FE750" w:rsidR="00EC70B0" w:rsidRPr="008445B6" w:rsidRDefault="00E819A6" w:rsidP="008445B6">
      <w:pPr>
        <w:spacing w:after="0"/>
        <w:ind w:left="1134" w:right="1324"/>
        <w:jc w:val="both"/>
        <w:rPr>
          <w:rFonts w:ascii="ITC Avant Garde" w:eastAsia="Times New Roman" w:hAnsi="ITC Avant Garde"/>
          <w:sz w:val="18"/>
          <w:szCs w:val="18"/>
          <w:lang w:eastAsia="es-ES"/>
        </w:rPr>
      </w:pPr>
      <w:r w:rsidRPr="008445B6">
        <w:rPr>
          <w:rFonts w:ascii="ITC Avant Garde" w:eastAsia="Times New Roman" w:hAnsi="ITC Avant Garde"/>
          <w:sz w:val="18"/>
          <w:szCs w:val="18"/>
          <w:lang w:eastAsia="es-ES"/>
        </w:rPr>
        <w:t>[</w:t>
      </w:r>
      <w:r w:rsidR="00EC70B0" w:rsidRPr="008445B6">
        <w:rPr>
          <w:rFonts w:ascii="ITC Avant Garde" w:eastAsia="Times New Roman" w:hAnsi="ITC Avant Garde"/>
          <w:sz w:val="18"/>
          <w:szCs w:val="18"/>
          <w:lang w:eastAsia="es-ES"/>
        </w:rPr>
        <w:t>…</w:t>
      </w:r>
      <w:r w:rsidRPr="008445B6">
        <w:rPr>
          <w:rFonts w:ascii="ITC Avant Garde" w:eastAsia="Times New Roman" w:hAnsi="ITC Avant Garde"/>
          <w:sz w:val="18"/>
          <w:szCs w:val="18"/>
          <w:lang w:eastAsia="es-ES"/>
        </w:rPr>
        <w:t>]</w:t>
      </w:r>
    </w:p>
    <w:p w14:paraId="0B479EBB" w14:textId="77777777" w:rsidR="00E819A6" w:rsidRPr="008445B6" w:rsidRDefault="00EC70B0" w:rsidP="008445B6">
      <w:pPr>
        <w:spacing w:after="0"/>
        <w:ind w:left="1134" w:right="1324"/>
        <w:jc w:val="both"/>
        <w:rPr>
          <w:rFonts w:ascii="ITC Avant Garde" w:eastAsia="Times New Roman" w:hAnsi="ITC Avant Garde"/>
          <w:sz w:val="18"/>
          <w:szCs w:val="18"/>
          <w:lang w:eastAsia="es-ES"/>
        </w:rPr>
      </w:pPr>
      <w:r w:rsidRPr="008445B6">
        <w:rPr>
          <w:rFonts w:ascii="ITC Avant Garde" w:eastAsia="Times New Roman" w:hAnsi="ITC Avant Garde"/>
          <w:b/>
          <w:sz w:val="18"/>
          <w:szCs w:val="18"/>
          <w:lang w:eastAsia="es-ES"/>
        </w:rPr>
        <w:t>V.</w:t>
      </w:r>
      <w:r w:rsidRPr="008445B6">
        <w:rPr>
          <w:rFonts w:ascii="ITC Avant Garde" w:eastAsia="Times New Roman" w:hAnsi="ITC Avant Garde"/>
          <w:sz w:val="18"/>
          <w:szCs w:val="18"/>
          <w:lang w:eastAsia="es-ES"/>
        </w:rPr>
        <w:t xml:space="preserve"> La imposibilidad material de continuarlo por causas sobrevenidas, y</w:t>
      </w:r>
    </w:p>
    <w:p w14:paraId="0C03629D" w14:textId="7DB5309A" w:rsidR="00EC70B0" w:rsidRPr="008445B6" w:rsidRDefault="00E819A6" w:rsidP="008445B6">
      <w:pPr>
        <w:ind w:left="1134" w:right="1324"/>
        <w:jc w:val="both"/>
        <w:rPr>
          <w:rFonts w:ascii="ITC Avant Garde" w:eastAsia="Times New Roman" w:hAnsi="ITC Avant Garde"/>
          <w:sz w:val="18"/>
          <w:szCs w:val="18"/>
          <w:lang w:eastAsia="es-ES"/>
        </w:rPr>
      </w:pPr>
      <w:r w:rsidRPr="008445B6">
        <w:rPr>
          <w:rFonts w:ascii="ITC Avant Garde" w:eastAsia="Times New Roman" w:hAnsi="ITC Avant Garde"/>
          <w:sz w:val="18"/>
          <w:szCs w:val="18"/>
          <w:lang w:eastAsia="es-ES"/>
        </w:rPr>
        <w:t>[…]</w:t>
      </w:r>
      <w:r w:rsidR="00EC70B0" w:rsidRPr="008445B6">
        <w:rPr>
          <w:rFonts w:ascii="ITC Avant Garde" w:eastAsia="Times New Roman" w:hAnsi="ITC Avant Garde"/>
          <w:sz w:val="18"/>
          <w:szCs w:val="18"/>
          <w:lang w:eastAsia="es-ES"/>
        </w:rPr>
        <w:t>”</w:t>
      </w:r>
    </w:p>
    <w:p w14:paraId="62A585BF" w14:textId="77777777" w:rsidR="00EC70B0" w:rsidRDefault="00EC70B0" w:rsidP="008445B6">
      <w:pPr>
        <w:spacing w:after="240"/>
        <w:jc w:val="both"/>
        <w:rPr>
          <w:rFonts w:ascii="ITC Avant Garde" w:eastAsia="Times New Roman" w:hAnsi="ITC Avant Garde"/>
          <w:lang w:eastAsia="es-ES"/>
        </w:rPr>
      </w:pPr>
      <w:r>
        <w:rPr>
          <w:rFonts w:ascii="ITC Avant Garde" w:eastAsia="Times New Roman" w:hAnsi="ITC Avant Garde"/>
          <w:lang w:eastAsia="es-ES"/>
        </w:rPr>
        <w:t>Se entiende que existe una “</w:t>
      </w:r>
      <w:r w:rsidRPr="005468E9">
        <w:rPr>
          <w:rFonts w:ascii="ITC Avant Garde" w:eastAsia="Times New Roman" w:hAnsi="ITC Avant Garde"/>
          <w:lang w:eastAsia="es-ES"/>
        </w:rPr>
        <w:t>imposibilidad jurídica y/o material</w:t>
      </w:r>
      <w:r>
        <w:rPr>
          <w:rFonts w:ascii="ITC Avant Garde" w:eastAsia="Times New Roman" w:hAnsi="ITC Avant Garde"/>
          <w:lang w:eastAsia="es-ES"/>
        </w:rPr>
        <w:t>…</w:t>
      </w:r>
      <w:r w:rsidRPr="005468E9">
        <w:rPr>
          <w:rFonts w:ascii="ITC Avant Garde" w:eastAsia="Times New Roman" w:hAnsi="ITC Avant Garde"/>
          <w:lang w:eastAsia="es-ES"/>
        </w:rPr>
        <w:t>únicamente cuando sobreviene una causa o situación ajena al proceso, que haya cesado o modificado las circunstancias conforme a la cuales se emitió el fallo.</w:t>
      </w:r>
      <w:r>
        <w:rPr>
          <w:rFonts w:ascii="ITC Avant Garde" w:eastAsia="Times New Roman" w:hAnsi="ITC Avant Garde"/>
          <w:lang w:eastAsia="es-ES"/>
        </w:rPr>
        <w:t>”</w:t>
      </w:r>
      <w:r>
        <w:rPr>
          <w:rStyle w:val="Refdenotaalpie"/>
          <w:rFonts w:ascii="ITC Avant Garde" w:eastAsia="Times New Roman" w:hAnsi="ITC Avant Garde"/>
          <w:lang w:eastAsia="es-ES"/>
        </w:rPr>
        <w:footnoteReference w:id="2"/>
      </w:r>
      <w:r>
        <w:rPr>
          <w:rFonts w:ascii="ITC Avant Garde" w:eastAsia="Times New Roman" w:hAnsi="ITC Avant Garde"/>
          <w:lang w:eastAsia="es-ES"/>
        </w:rPr>
        <w:t xml:space="preserve"> Esto es, al transcurrir el periodo para el cual Mega Cable presentó su Solicitud de Resolución y no haber servicios prestados entre las partes, existe una imposibilidad material del Instituto para emitir una resolución que fije un monto a pagar respecto de periodos a los cuales no se adeudan dichas tarifas.</w:t>
      </w:r>
    </w:p>
    <w:p w14:paraId="423C663D" w14:textId="43FA222C" w:rsidR="00F41D7D" w:rsidRPr="00176A7A" w:rsidRDefault="00EC70B0" w:rsidP="008445B6">
      <w:pPr>
        <w:spacing w:after="240"/>
        <w:jc w:val="both"/>
        <w:rPr>
          <w:rFonts w:ascii="ITC Avant Garde" w:eastAsia="Times New Roman" w:hAnsi="ITC Avant Garde"/>
          <w:lang w:eastAsia="es-ES"/>
        </w:rPr>
      </w:pPr>
      <w:r>
        <w:rPr>
          <w:rFonts w:ascii="ITC Avant Garde" w:eastAsia="Times New Roman" w:hAnsi="ITC Avant Garde"/>
          <w:lang w:eastAsia="es-ES"/>
        </w:rPr>
        <w:t>Ahora bien</w:t>
      </w:r>
      <w:r w:rsidR="00C60630" w:rsidRPr="00176A7A">
        <w:rPr>
          <w:rFonts w:ascii="ITC Avant Garde" w:eastAsia="Times New Roman" w:hAnsi="ITC Avant Garde"/>
          <w:lang w:eastAsia="es-ES"/>
        </w:rPr>
        <w:t>, l</w:t>
      </w:r>
      <w:r w:rsidR="00522DD8" w:rsidRPr="00176A7A">
        <w:rPr>
          <w:rFonts w:ascii="ITC Avant Garde" w:eastAsia="Times New Roman" w:hAnsi="ITC Avant Garde"/>
          <w:lang w:eastAsia="es-ES"/>
        </w:rPr>
        <w:t xml:space="preserve">as tarifas </w:t>
      </w:r>
      <w:r w:rsidR="00AA5AE3">
        <w:rPr>
          <w:rFonts w:ascii="ITC Avant Garde" w:eastAsia="Times New Roman" w:hAnsi="ITC Avant Garde"/>
          <w:lang w:eastAsia="es-ES"/>
        </w:rPr>
        <w:t xml:space="preserve">comprendidas durante el periodo </w:t>
      </w:r>
      <w:r w:rsidR="00522DD8" w:rsidRPr="00176A7A">
        <w:rPr>
          <w:rFonts w:ascii="ITC Avant Garde" w:eastAsia="Times New Roman" w:hAnsi="ITC Avant Garde"/>
          <w:lang w:eastAsia="es-ES"/>
        </w:rPr>
        <w:t xml:space="preserve">del 29 de octubre al 31 de diciembre de 2015 ya fueron acordadas por las partes tal y como se hace constar </w:t>
      </w:r>
      <w:r w:rsidR="0037730A">
        <w:rPr>
          <w:rFonts w:ascii="ITC Avant Garde" w:eastAsia="Times New Roman" w:hAnsi="ITC Avant Garde"/>
          <w:lang w:eastAsia="es-ES"/>
        </w:rPr>
        <w:t xml:space="preserve">en </w:t>
      </w:r>
      <w:r w:rsidR="00522DD8" w:rsidRPr="00176A7A">
        <w:rPr>
          <w:rFonts w:ascii="ITC Avant Garde" w:eastAsia="Times New Roman" w:hAnsi="ITC Avant Garde"/>
          <w:lang w:eastAsia="es-ES"/>
        </w:rPr>
        <w:t xml:space="preserve">el convenio </w:t>
      </w:r>
      <w:r w:rsidR="00FD4CBA">
        <w:rPr>
          <w:rFonts w:ascii="ITC Avant Garde" w:eastAsia="Times New Roman" w:hAnsi="ITC Avant Garde"/>
          <w:lang w:eastAsia="es-ES"/>
        </w:rPr>
        <w:t xml:space="preserve">citado en el </w:t>
      </w:r>
      <w:r w:rsidR="005C2F77">
        <w:rPr>
          <w:rFonts w:ascii="ITC Avant Garde" w:eastAsia="Times New Roman" w:hAnsi="ITC Avant Garde"/>
          <w:lang w:eastAsia="es-ES"/>
        </w:rPr>
        <w:t>A</w:t>
      </w:r>
      <w:r w:rsidR="00FD4CBA" w:rsidRPr="00D05E83">
        <w:rPr>
          <w:rFonts w:ascii="ITC Avant Garde" w:eastAsia="Times New Roman" w:hAnsi="ITC Avant Garde"/>
          <w:lang w:eastAsia="es-ES"/>
        </w:rPr>
        <w:t>ntecedente X</w:t>
      </w:r>
      <w:r w:rsidR="00522DD8" w:rsidRPr="00176A7A">
        <w:rPr>
          <w:rFonts w:ascii="ITC Avant Garde" w:eastAsia="Times New Roman" w:hAnsi="ITC Avant Garde"/>
          <w:lang w:eastAsia="es-ES"/>
        </w:rPr>
        <w:t xml:space="preserve"> por lo que </w:t>
      </w:r>
      <w:r w:rsidR="009717AA">
        <w:rPr>
          <w:rFonts w:ascii="ITC Avant Garde" w:eastAsia="Times New Roman" w:hAnsi="ITC Avant Garde"/>
          <w:lang w:eastAsia="es-ES"/>
        </w:rPr>
        <w:t>la resolución del</w:t>
      </w:r>
      <w:r w:rsidR="00522DD8" w:rsidRPr="00176A7A">
        <w:rPr>
          <w:rFonts w:ascii="ITC Avant Garde" w:eastAsia="Times New Roman" w:hAnsi="ITC Avant Garde"/>
          <w:lang w:eastAsia="es-ES"/>
        </w:rPr>
        <w:t xml:space="preserve"> desacuerdo presentado por Mega Cable no podría </w:t>
      </w:r>
      <w:r w:rsidR="009717AA">
        <w:rPr>
          <w:rFonts w:ascii="ITC Avant Garde" w:eastAsia="Times New Roman" w:hAnsi="ITC Avant Garde"/>
          <w:lang w:eastAsia="es-ES"/>
        </w:rPr>
        <w:t>tener por objeto los términos, condiciones y tarifas que fueron acordadas por las partes de manera posterior a la Solicitud de Resolución.</w:t>
      </w:r>
    </w:p>
    <w:p w14:paraId="3A6BFBC1" w14:textId="3689AF4E" w:rsidR="009717AA" w:rsidRDefault="009717AA" w:rsidP="008445B6">
      <w:pPr>
        <w:spacing w:after="240"/>
        <w:jc w:val="both"/>
        <w:rPr>
          <w:rFonts w:ascii="ITC Avant Garde" w:eastAsia="Times New Roman" w:hAnsi="ITC Avant Garde"/>
          <w:lang w:eastAsia="es-ES"/>
        </w:rPr>
      </w:pPr>
      <w:bookmarkStart w:id="1" w:name="_GoBack"/>
      <w:bookmarkEnd w:id="1"/>
      <w:r w:rsidRPr="00176A7A">
        <w:rPr>
          <w:rFonts w:ascii="ITC Avant Garde" w:eastAsia="Times New Roman" w:hAnsi="ITC Avant Garde"/>
          <w:lang w:eastAsia="es-ES"/>
        </w:rPr>
        <w:t>Por otro lado</w:t>
      </w:r>
      <w:r>
        <w:rPr>
          <w:rFonts w:ascii="ITC Avant Garde" w:eastAsia="Times New Roman" w:hAnsi="ITC Avant Garde"/>
          <w:lang w:eastAsia="es-ES"/>
        </w:rPr>
        <w:t xml:space="preserve">, las tarifas relativas al Servicio de Acceso y Uso de Infraestructura Pasiva que son aplicables del 1 de enero al 31 de diciembre de 2016 fueron determinadas </w:t>
      </w:r>
      <w:r w:rsidR="009E10C2">
        <w:rPr>
          <w:rFonts w:ascii="ITC Avant Garde" w:eastAsia="Times New Roman" w:hAnsi="ITC Avant Garde"/>
          <w:lang w:eastAsia="es-ES"/>
        </w:rPr>
        <w:t xml:space="preserve">por el Pleno de este Instituto mediante </w:t>
      </w:r>
      <w:r w:rsidR="00485560">
        <w:rPr>
          <w:rFonts w:ascii="ITC Avant Garde" w:eastAsia="Times New Roman" w:hAnsi="ITC Avant Garde"/>
          <w:lang w:eastAsia="es-ES"/>
        </w:rPr>
        <w:t xml:space="preserve">Acuerdo </w:t>
      </w:r>
      <w:r w:rsidR="00485560">
        <w:rPr>
          <w:rFonts w:ascii="ITC Avant Garde" w:hAnsi="ITC Avant Garde" w:cs="Arial"/>
        </w:rPr>
        <w:t xml:space="preserve">P/IFT/09062016/302 de fecha 6 de junio de 2016 </w:t>
      </w:r>
    </w:p>
    <w:p w14:paraId="10E6EA00" w14:textId="3FDA439C" w:rsidR="00DE6616" w:rsidRPr="00176A7A" w:rsidRDefault="00236A13" w:rsidP="008445B6">
      <w:pPr>
        <w:spacing w:after="240"/>
        <w:jc w:val="both"/>
        <w:rPr>
          <w:rFonts w:ascii="ITC Avant Garde" w:hAnsi="ITC Avant Garde"/>
          <w:bCs/>
        </w:rPr>
      </w:pPr>
      <w:r w:rsidRPr="00176A7A">
        <w:rPr>
          <w:rFonts w:ascii="ITC Avant Garde" w:hAnsi="ITC Avant Garde"/>
          <w:bCs/>
        </w:rPr>
        <w:t xml:space="preserve">Por lo anterior y derivado del análisis correspondiente a </w:t>
      </w:r>
      <w:r w:rsidR="00A06FCC" w:rsidRPr="00176A7A">
        <w:rPr>
          <w:rFonts w:ascii="ITC Avant Garde" w:hAnsi="ITC Avant Garde"/>
          <w:bCs/>
        </w:rPr>
        <w:t>las actuaciones que obran en el</w:t>
      </w:r>
      <w:r w:rsidRPr="00176A7A">
        <w:rPr>
          <w:rFonts w:ascii="ITC Avant Garde" w:hAnsi="ITC Avant Garde"/>
          <w:bCs/>
        </w:rPr>
        <w:t xml:space="preserve"> expediente en que se actúa,  </w:t>
      </w:r>
      <w:r w:rsidR="009717AA">
        <w:rPr>
          <w:rFonts w:ascii="ITC Avant Garde" w:hAnsi="ITC Avant Garde"/>
          <w:bCs/>
        </w:rPr>
        <w:t xml:space="preserve">se </w:t>
      </w:r>
      <w:r w:rsidRPr="00176A7A">
        <w:rPr>
          <w:rFonts w:ascii="ITC Avant Garde" w:hAnsi="ITC Avant Garde"/>
          <w:bCs/>
        </w:rPr>
        <w:t xml:space="preserve">considera </w:t>
      </w:r>
      <w:r w:rsidR="009717AA">
        <w:rPr>
          <w:rFonts w:ascii="ITC Avant Garde" w:hAnsi="ITC Avant Garde"/>
          <w:bCs/>
        </w:rPr>
        <w:t xml:space="preserve">que al no haber términos y condiciones que continúen pendientes de resolución y en su caso que puedan ser resueltas, este Instituto estima </w:t>
      </w:r>
      <w:r w:rsidRPr="00176A7A">
        <w:rPr>
          <w:rFonts w:ascii="ITC Avant Garde" w:hAnsi="ITC Avant Garde"/>
          <w:bCs/>
        </w:rPr>
        <w:t xml:space="preserve">procedente </w:t>
      </w:r>
      <w:r w:rsidR="009717AA">
        <w:rPr>
          <w:rFonts w:ascii="ITC Avant Garde" w:hAnsi="ITC Avant Garde"/>
          <w:bCs/>
        </w:rPr>
        <w:t>poner fin al</w:t>
      </w:r>
      <w:r w:rsidR="006F375E">
        <w:rPr>
          <w:rFonts w:ascii="ITC Avant Garde" w:hAnsi="ITC Avant Garde"/>
          <w:bCs/>
        </w:rPr>
        <w:t xml:space="preserve"> </w:t>
      </w:r>
      <w:r w:rsidRPr="00176A7A">
        <w:rPr>
          <w:rFonts w:ascii="ITC Avant Garde" w:hAnsi="ITC Avant Garde"/>
          <w:bCs/>
        </w:rPr>
        <w:t>procedimiento</w:t>
      </w:r>
      <w:r w:rsidR="00AF069F">
        <w:rPr>
          <w:rFonts w:ascii="ITC Avant Garde" w:hAnsi="ITC Avant Garde"/>
          <w:bCs/>
        </w:rPr>
        <w:t xml:space="preserve"> administrativo de desacuerdo</w:t>
      </w:r>
      <w:r w:rsidR="00A06FCC" w:rsidRPr="00176A7A">
        <w:rPr>
          <w:rFonts w:ascii="ITC Avant Garde" w:hAnsi="ITC Avant Garde"/>
          <w:bCs/>
        </w:rPr>
        <w:t xml:space="preserve"> </w:t>
      </w:r>
      <w:r w:rsidR="0051331D">
        <w:rPr>
          <w:rFonts w:ascii="ITC Avant Garde" w:hAnsi="ITC Avant Garde"/>
          <w:bCs/>
        </w:rPr>
        <w:t>promovido por Mega Cable el 11 de septiembre de 2015</w:t>
      </w:r>
      <w:r w:rsidR="009C6602" w:rsidRPr="00176A7A">
        <w:rPr>
          <w:rFonts w:ascii="ITC Avant Garde" w:eastAsia="Times New Roman" w:hAnsi="ITC Avant Garde"/>
          <w:color w:val="000000"/>
          <w:lang w:val="es-ES" w:eastAsia="es-ES"/>
        </w:rPr>
        <w:t xml:space="preserve">, toda vez que, </w:t>
      </w:r>
      <w:r w:rsidRPr="00176A7A">
        <w:rPr>
          <w:rFonts w:ascii="ITC Avant Garde" w:hAnsi="ITC Avant Garde"/>
          <w:bCs/>
        </w:rPr>
        <w:t>de conformidad con el artículo</w:t>
      </w:r>
      <w:r w:rsidR="00290501" w:rsidRPr="00176A7A">
        <w:rPr>
          <w:rFonts w:ascii="ITC Avant Garde" w:hAnsi="ITC Avant Garde"/>
          <w:bCs/>
        </w:rPr>
        <w:t xml:space="preserve"> 57</w:t>
      </w:r>
      <w:r w:rsidR="00786E2C" w:rsidRPr="00176A7A">
        <w:rPr>
          <w:rFonts w:ascii="ITC Avant Garde" w:hAnsi="ITC Avant Garde"/>
          <w:bCs/>
        </w:rPr>
        <w:t>,</w:t>
      </w:r>
      <w:r w:rsidR="00290501" w:rsidRPr="00176A7A">
        <w:rPr>
          <w:rFonts w:ascii="ITC Avant Garde" w:hAnsi="ITC Avant Garde"/>
          <w:bCs/>
        </w:rPr>
        <w:t xml:space="preserve"> fracci</w:t>
      </w:r>
      <w:r w:rsidR="00786E2C" w:rsidRPr="00176A7A">
        <w:rPr>
          <w:rFonts w:ascii="ITC Avant Garde" w:hAnsi="ITC Avant Garde"/>
          <w:bCs/>
        </w:rPr>
        <w:t>ón</w:t>
      </w:r>
      <w:r w:rsidR="00ED43A0" w:rsidRPr="00176A7A">
        <w:rPr>
          <w:rFonts w:ascii="ITC Avant Garde" w:hAnsi="ITC Avant Garde"/>
          <w:bCs/>
        </w:rPr>
        <w:t xml:space="preserve"> V</w:t>
      </w:r>
      <w:r w:rsidRPr="00176A7A">
        <w:rPr>
          <w:rFonts w:ascii="ITC Avant Garde" w:hAnsi="ITC Avant Garde"/>
          <w:bCs/>
        </w:rPr>
        <w:t xml:space="preserve"> de la L</w:t>
      </w:r>
      <w:r w:rsidR="001F0564" w:rsidRPr="00176A7A">
        <w:rPr>
          <w:rFonts w:ascii="ITC Avant Garde" w:hAnsi="ITC Avant Garde"/>
          <w:bCs/>
        </w:rPr>
        <w:t xml:space="preserve">ey </w:t>
      </w:r>
      <w:r w:rsidR="00BD006B" w:rsidRPr="00176A7A">
        <w:rPr>
          <w:rFonts w:ascii="ITC Avant Garde" w:hAnsi="ITC Avant Garde"/>
          <w:bCs/>
        </w:rPr>
        <w:t>F</w:t>
      </w:r>
      <w:r w:rsidR="001F0564" w:rsidRPr="00176A7A">
        <w:rPr>
          <w:rFonts w:ascii="ITC Avant Garde" w:hAnsi="ITC Avant Garde"/>
          <w:bCs/>
        </w:rPr>
        <w:t xml:space="preserve">ederal de </w:t>
      </w:r>
      <w:r w:rsidR="00BD006B" w:rsidRPr="00176A7A">
        <w:rPr>
          <w:rFonts w:ascii="ITC Avant Garde" w:hAnsi="ITC Avant Garde"/>
          <w:bCs/>
        </w:rPr>
        <w:t>P</w:t>
      </w:r>
      <w:r w:rsidR="001F0564" w:rsidRPr="00176A7A">
        <w:rPr>
          <w:rFonts w:ascii="ITC Avant Garde" w:hAnsi="ITC Avant Garde"/>
          <w:bCs/>
        </w:rPr>
        <w:t xml:space="preserve">rocedimiento </w:t>
      </w:r>
      <w:r w:rsidR="00BD006B" w:rsidRPr="00176A7A">
        <w:rPr>
          <w:rFonts w:ascii="ITC Avant Garde" w:hAnsi="ITC Avant Garde"/>
          <w:bCs/>
        </w:rPr>
        <w:t>A</w:t>
      </w:r>
      <w:r w:rsidR="001F0564" w:rsidRPr="00176A7A">
        <w:rPr>
          <w:rFonts w:ascii="ITC Avant Garde" w:hAnsi="ITC Avant Garde"/>
          <w:bCs/>
        </w:rPr>
        <w:t>dministrativo</w:t>
      </w:r>
      <w:r w:rsidRPr="00176A7A">
        <w:rPr>
          <w:rFonts w:ascii="ITC Avant Garde" w:hAnsi="ITC Avant Garde"/>
          <w:bCs/>
        </w:rPr>
        <w:t xml:space="preserve">, de aplicación </w:t>
      </w:r>
      <w:r w:rsidRPr="00176A7A">
        <w:rPr>
          <w:rFonts w:ascii="ITC Avant Garde" w:hAnsi="ITC Avant Garde"/>
          <w:bCs/>
        </w:rPr>
        <w:lastRenderedPageBreak/>
        <w:t>suple</w:t>
      </w:r>
      <w:r w:rsidR="00290501" w:rsidRPr="00176A7A">
        <w:rPr>
          <w:rFonts w:ascii="ITC Avant Garde" w:hAnsi="ITC Avant Garde"/>
          <w:bCs/>
        </w:rPr>
        <w:t>toria en términos del artículo 6</w:t>
      </w:r>
      <w:r w:rsidR="00786E2C" w:rsidRPr="00176A7A">
        <w:rPr>
          <w:rFonts w:ascii="ITC Avant Garde" w:hAnsi="ITC Avant Garde"/>
          <w:bCs/>
        </w:rPr>
        <w:t>,</w:t>
      </w:r>
      <w:r w:rsidRPr="00176A7A">
        <w:rPr>
          <w:rFonts w:ascii="ITC Avant Garde" w:hAnsi="ITC Avant Garde"/>
          <w:bCs/>
        </w:rPr>
        <w:t xml:space="preserve"> </w:t>
      </w:r>
      <w:r w:rsidR="00786E2C" w:rsidRPr="00176A7A">
        <w:rPr>
          <w:rFonts w:ascii="ITC Avant Garde" w:hAnsi="ITC Avant Garde"/>
          <w:bCs/>
        </w:rPr>
        <w:t xml:space="preserve">fracción IV </w:t>
      </w:r>
      <w:r w:rsidRPr="00176A7A">
        <w:rPr>
          <w:rFonts w:ascii="ITC Avant Garde" w:hAnsi="ITC Avant Garde"/>
          <w:bCs/>
        </w:rPr>
        <w:t xml:space="preserve">de la </w:t>
      </w:r>
      <w:proofErr w:type="spellStart"/>
      <w:r w:rsidRPr="00176A7A">
        <w:rPr>
          <w:rFonts w:ascii="ITC Avant Garde" w:hAnsi="ITC Avant Garde"/>
          <w:bCs/>
        </w:rPr>
        <w:t>LFT</w:t>
      </w:r>
      <w:r w:rsidR="00290501" w:rsidRPr="00176A7A">
        <w:rPr>
          <w:rFonts w:ascii="ITC Avant Garde" w:hAnsi="ITC Avant Garde"/>
          <w:bCs/>
        </w:rPr>
        <w:t>yR</w:t>
      </w:r>
      <w:proofErr w:type="spellEnd"/>
      <w:r w:rsidRPr="00176A7A">
        <w:rPr>
          <w:rFonts w:ascii="ITC Avant Garde" w:hAnsi="ITC Avant Garde"/>
          <w:bCs/>
        </w:rPr>
        <w:t xml:space="preserve">, </w:t>
      </w:r>
      <w:r w:rsidR="00AF069F">
        <w:rPr>
          <w:rFonts w:ascii="ITC Avant Garde" w:hAnsi="ITC Avant Garde"/>
          <w:bCs/>
        </w:rPr>
        <w:t>existe una</w:t>
      </w:r>
      <w:r w:rsidR="00ED43A0" w:rsidRPr="00176A7A">
        <w:rPr>
          <w:rFonts w:ascii="ITC Avant Garde" w:hAnsi="ITC Avant Garde"/>
          <w:bCs/>
        </w:rPr>
        <w:t xml:space="preserve"> imposibilidad material para resolver tarifas respecto de un servicio que no fue prestado.</w:t>
      </w:r>
    </w:p>
    <w:p w14:paraId="153CCA4A" w14:textId="1FD883C1" w:rsidR="00360022" w:rsidRDefault="00360022" w:rsidP="008445B6">
      <w:pPr>
        <w:tabs>
          <w:tab w:val="num" w:pos="1940"/>
        </w:tabs>
        <w:spacing w:after="240"/>
        <w:jc w:val="both"/>
        <w:rPr>
          <w:rFonts w:ascii="ITC Avant Garde" w:hAnsi="ITC Avant Garde" w:cs="Arial"/>
        </w:rPr>
      </w:pPr>
      <w:r w:rsidRPr="00176A7A">
        <w:rPr>
          <w:rFonts w:ascii="ITC Avant Garde" w:hAnsi="ITC Avant Garde" w:cs="Arial"/>
        </w:rPr>
        <w:t>Por lo antes expuesto y con fundamento en los artículos 6°, apartado B, fracción II y 28, párrafos décimo quinto y décimo sexto de la Constitución Política de los Estados Unidos Mexicanos; 1, 2, 6, fracción IV, 7, 15, fracci</w:t>
      </w:r>
      <w:r w:rsidR="00AF069F">
        <w:rPr>
          <w:rFonts w:ascii="ITC Avant Garde" w:hAnsi="ITC Avant Garde" w:cs="Arial"/>
        </w:rPr>
        <w:t>ón</w:t>
      </w:r>
      <w:r w:rsidR="001524F8" w:rsidRPr="00176A7A">
        <w:rPr>
          <w:rFonts w:ascii="ITC Avant Garde" w:hAnsi="ITC Avant Garde" w:cs="Arial"/>
        </w:rPr>
        <w:t xml:space="preserve"> X</w:t>
      </w:r>
      <w:r w:rsidR="0075334C" w:rsidRPr="00176A7A">
        <w:rPr>
          <w:rFonts w:ascii="ITC Avant Garde" w:hAnsi="ITC Avant Garde" w:cs="Arial"/>
        </w:rPr>
        <w:t xml:space="preserve">II, </w:t>
      </w:r>
      <w:r w:rsidR="00786E2C" w:rsidRPr="00176A7A">
        <w:rPr>
          <w:rFonts w:ascii="ITC Avant Garde" w:hAnsi="ITC Avant Garde" w:cs="Arial"/>
        </w:rPr>
        <w:t>17, fracción I</w:t>
      </w:r>
      <w:r w:rsidR="00713BDF" w:rsidRPr="00176A7A">
        <w:rPr>
          <w:rFonts w:ascii="ITC Avant Garde" w:hAnsi="ITC Avant Garde" w:cs="Arial"/>
        </w:rPr>
        <w:t xml:space="preserve"> </w:t>
      </w:r>
      <w:r w:rsidR="0075334C" w:rsidRPr="00176A7A">
        <w:rPr>
          <w:rFonts w:ascii="ITC Avant Garde" w:hAnsi="ITC Avant Garde" w:cs="Arial"/>
        </w:rPr>
        <w:t xml:space="preserve">y 139 </w:t>
      </w:r>
      <w:r w:rsidRPr="00176A7A">
        <w:rPr>
          <w:rFonts w:ascii="ITC Avant Garde" w:hAnsi="ITC Avant Garde" w:cs="Arial"/>
        </w:rPr>
        <w:t xml:space="preserve">de la Ley Federal de Telecomunicaciones y Radiodifusión; </w:t>
      </w:r>
      <w:r w:rsidR="00AF069F">
        <w:rPr>
          <w:rFonts w:ascii="ITC Avant Garde" w:hAnsi="ITC Avant Garde" w:cs="Arial"/>
        </w:rPr>
        <w:t xml:space="preserve">32, 35, fracción I, 36, 38, </w:t>
      </w:r>
      <w:r w:rsidR="00786E2C" w:rsidRPr="00176A7A">
        <w:rPr>
          <w:rFonts w:ascii="ITC Avant Garde" w:hAnsi="ITC Avant Garde" w:cs="Arial"/>
        </w:rPr>
        <w:t>y 57, fracci</w:t>
      </w:r>
      <w:r w:rsidR="00401318" w:rsidRPr="00176A7A">
        <w:rPr>
          <w:rFonts w:ascii="ITC Avant Garde" w:hAnsi="ITC Avant Garde" w:cs="Arial"/>
        </w:rPr>
        <w:t>ón V</w:t>
      </w:r>
      <w:r w:rsidRPr="00176A7A">
        <w:rPr>
          <w:rFonts w:ascii="ITC Avant Garde" w:hAnsi="ITC Avant Garde" w:cs="Arial"/>
        </w:rPr>
        <w:t xml:space="preserve"> de la Ley Federal de Procedimiento Administrativo</w:t>
      </w:r>
      <w:r w:rsidR="00786E2C" w:rsidRPr="00176A7A">
        <w:rPr>
          <w:rFonts w:ascii="ITC Avant Garde" w:hAnsi="ITC Avant Garde" w:cs="Arial"/>
        </w:rPr>
        <w:t>, y</w:t>
      </w:r>
      <w:r w:rsidRPr="00176A7A">
        <w:rPr>
          <w:rFonts w:ascii="ITC Avant Garde" w:hAnsi="ITC Avant Garde" w:cs="Arial"/>
        </w:rPr>
        <w:t xml:space="preserve"> 1, 4, fracción I, 6, fracci</w:t>
      </w:r>
      <w:r w:rsidR="002F13D3" w:rsidRPr="00176A7A">
        <w:rPr>
          <w:rFonts w:ascii="ITC Avant Garde" w:hAnsi="ITC Avant Garde" w:cs="Arial"/>
        </w:rPr>
        <w:t>ón</w:t>
      </w:r>
      <w:r w:rsidRPr="00176A7A">
        <w:rPr>
          <w:rFonts w:ascii="ITC Avant Garde" w:hAnsi="ITC Avant Garde" w:cs="Arial"/>
        </w:rPr>
        <w:t xml:space="preserve"> XXXVII del Estatuto Orgánico del Instituto Federal de Telecomunicaciones, el Pleno del Instituto</w:t>
      </w:r>
      <w:r w:rsidR="00AF069F">
        <w:rPr>
          <w:rFonts w:ascii="ITC Avant Garde" w:hAnsi="ITC Avant Garde" w:cs="Arial"/>
        </w:rPr>
        <w:t xml:space="preserve">, </w:t>
      </w:r>
      <w:r w:rsidRPr="00176A7A">
        <w:rPr>
          <w:rFonts w:ascii="ITC Avant Garde" w:hAnsi="ITC Avant Garde" w:cs="Arial"/>
        </w:rPr>
        <w:t xml:space="preserve">emite los siguientes: </w:t>
      </w:r>
    </w:p>
    <w:bookmarkEnd w:id="0"/>
    <w:p w14:paraId="20CC75DE" w14:textId="3484D758" w:rsidR="00C77D7D" w:rsidRPr="00B1334B" w:rsidRDefault="002F13D3" w:rsidP="008445B6">
      <w:pPr>
        <w:pStyle w:val="Ttulo2"/>
        <w:spacing w:after="240"/>
        <w:jc w:val="center"/>
        <w:rPr>
          <w:rFonts w:ascii="ITC Avant Garde" w:hAnsi="ITC Avant Garde"/>
          <w:b w:val="0"/>
        </w:rPr>
      </w:pPr>
      <w:r w:rsidRPr="008445B6">
        <w:rPr>
          <w:rFonts w:ascii="ITC Avant Garde" w:hAnsi="ITC Avant Garde"/>
          <w:szCs w:val="22"/>
        </w:rPr>
        <w:t>RESOLUTIVOS</w:t>
      </w:r>
    </w:p>
    <w:p w14:paraId="3D36B9AA" w14:textId="50435948" w:rsidR="00F47A8D" w:rsidRPr="00176A7A" w:rsidRDefault="0086332D" w:rsidP="008445B6">
      <w:pPr>
        <w:spacing w:after="240"/>
        <w:ind w:right="48"/>
        <w:jc w:val="both"/>
        <w:rPr>
          <w:rFonts w:ascii="ITC Avant Garde" w:eastAsia="Times New Roman" w:hAnsi="ITC Avant Garde"/>
          <w:lang w:eastAsia="es-ES"/>
        </w:rPr>
      </w:pPr>
      <w:r w:rsidRPr="00176A7A">
        <w:rPr>
          <w:rFonts w:ascii="ITC Avant Garde" w:eastAsia="Times New Roman" w:hAnsi="ITC Avant Garde"/>
          <w:b/>
          <w:bCs/>
          <w:lang w:eastAsia="es-ES"/>
        </w:rPr>
        <w:t>PRIMERO</w:t>
      </w:r>
      <w:r w:rsidR="00CC6E44" w:rsidRPr="00176A7A">
        <w:rPr>
          <w:rFonts w:ascii="ITC Avant Garde" w:eastAsia="Times New Roman" w:hAnsi="ITC Avant Garde"/>
          <w:b/>
          <w:bCs/>
          <w:snapToGrid w:val="0"/>
          <w:lang w:eastAsia="es-ES"/>
        </w:rPr>
        <w:t>.-</w:t>
      </w:r>
      <w:r w:rsidR="00CC6E44" w:rsidRPr="00176A7A">
        <w:rPr>
          <w:rFonts w:ascii="ITC Avant Garde" w:eastAsia="Times New Roman" w:hAnsi="ITC Avant Garde"/>
          <w:snapToGrid w:val="0"/>
          <w:lang w:eastAsia="es-ES"/>
        </w:rPr>
        <w:t xml:space="preserve"> </w:t>
      </w:r>
      <w:r w:rsidR="005260C1" w:rsidRPr="00176A7A">
        <w:rPr>
          <w:rFonts w:ascii="ITC Avant Garde" w:eastAsia="Times New Roman" w:hAnsi="ITC Avant Garde"/>
          <w:snapToGrid w:val="0"/>
          <w:lang w:eastAsia="es-ES"/>
        </w:rPr>
        <w:t xml:space="preserve">En términos del Considerando </w:t>
      </w:r>
      <w:r w:rsidR="008C4D58">
        <w:rPr>
          <w:rFonts w:ascii="ITC Avant Garde" w:eastAsia="Times New Roman" w:hAnsi="ITC Avant Garde"/>
          <w:snapToGrid w:val="0"/>
          <w:lang w:eastAsia="es-ES"/>
        </w:rPr>
        <w:t>Tercero</w:t>
      </w:r>
      <w:r w:rsidR="002B2D81" w:rsidRPr="00176A7A">
        <w:rPr>
          <w:rFonts w:ascii="ITC Avant Garde" w:eastAsia="Times New Roman" w:hAnsi="ITC Avant Garde"/>
          <w:snapToGrid w:val="0"/>
          <w:lang w:eastAsia="es-ES"/>
        </w:rPr>
        <w:t>,</w:t>
      </w:r>
      <w:r w:rsidR="005260C1" w:rsidRPr="00176A7A">
        <w:rPr>
          <w:rFonts w:ascii="ITC Avant Garde" w:eastAsia="Times New Roman" w:hAnsi="ITC Avant Garde"/>
          <w:snapToGrid w:val="0"/>
          <w:lang w:eastAsia="es-ES"/>
        </w:rPr>
        <w:t xml:space="preserve"> s</w:t>
      </w:r>
      <w:r w:rsidR="00F47A8D" w:rsidRPr="00176A7A">
        <w:rPr>
          <w:rFonts w:ascii="ITC Avant Garde" w:eastAsia="Times New Roman" w:hAnsi="ITC Avant Garde"/>
          <w:snapToGrid w:val="0"/>
          <w:lang w:eastAsia="es-ES"/>
        </w:rPr>
        <w:t xml:space="preserve">e </w:t>
      </w:r>
      <w:r w:rsidR="002656A2" w:rsidRPr="00176A7A">
        <w:rPr>
          <w:rFonts w:ascii="ITC Avant Garde" w:eastAsia="Times New Roman" w:hAnsi="ITC Avant Garde"/>
          <w:snapToGrid w:val="0"/>
          <w:lang w:eastAsia="es-ES"/>
        </w:rPr>
        <w:t xml:space="preserve">declara que ha quedado sin materia </w:t>
      </w:r>
      <w:r w:rsidR="00BB613E">
        <w:rPr>
          <w:rFonts w:ascii="ITC Avant Garde" w:eastAsia="Times New Roman" w:hAnsi="ITC Avant Garde"/>
          <w:snapToGrid w:val="0"/>
          <w:lang w:eastAsia="es-ES"/>
        </w:rPr>
        <w:t xml:space="preserve">el descuerdo </w:t>
      </w:r>
      <w:r w:rsidR="002656A2" w:rsidRPr="00176A7A">
        <w:rPr>
          <w:rFonts w:ascii="ITC Avant Garde" w:eastAsia="Times New Roman" w:hAnsi="ITC Avant Garde"/>
          <w:snapToGrid w:val="0"/>
          <w:lang w:eastAsia="es-ES"/>
        </w:rPr>
        <w:t xml:space="preserve">y en consecuencia se </w:t>
      </w:r>
      <w:r w:rsidR="00F47A8D" w:rsidRPr="00176A7A">
        <w:rPr>
          <w:rFonts w:ascii="ITC Avant Garde" w:eastAsia="Times New Roman" w:hAnsi="ITC Avant Garde"/>
          <w:snapToGrid w:val="0"/>
          <w:lang w:eastAsia="es-ES"/>
        </w:rPr>
        <w:t>pone</w:t>
      </w:r>
      <w:r w:rsidR="00F47A8D" w:rsidRPr="00176A7A">
        <w:rPr>
          <w:rFonts w:ascii="ITC Avant Garde" w:eastAsia="Times New Roman" w:hAnsi="ITC Avant Garde"/>
          <w:lang w:eastAsia="es-ES"/>
        </w:rPr>
        <w:t xml:space="preserve"> fin al procedimiento administrativo promovido </w:t>
      </w:r>
      <w:r w:rsidR="002F13D3" w:rsidRPr="00176A7A">
        <w:rPr>
          <w:rFonts w:ascii="ITC Avant Garde" w:eastAsia="Times New Roman" w:hAnsi="ITC Avant Garde"/>
          <w:lang w:eastAsia="es-ES"/>
        </w:rPr>
        <w:t xml:space="preserve">el </w:t>
      </w:r>
      <w:r w:rsidR="00401318" w:rsidRPr="00176A7A">
        <w:rPr>
          <w:rFonts w:ascii="ITC Avant Garde" w:eastAsia="Times New Roman" w:hAnsi="ITC Avant Garde"/>
          <w:lang w:val="es-ES" w:eastAsia="es-ES"/>
        </w:rPr>
        <w:t xml:space="preserve">11 de septiembre de 2015 </w:t>
      </w:r>
      <w:r w:rsidR="00F47A8D" w:rsidRPr="00176A7A">
        <w:rPr>
          <w:rFonts w:ascii="ITC Avant Garde" w:eastAsia="Times New Roman" w:hAnsi="ITC Avant Garde"/>
          <w:lang w:eastAsia="es-ES"/>
        </w:rPr>
        <w:t xml:space="preserve">por </w:t>
      </w:r>
      <w:r w:rsidR="00F25821" w:rsidRPr="00176A7A">
        <w:rPr>
          <w:rFonts w:ascii="ITC Avant Garde" w:eastAsia="Times New Roman" w:hAnsi="ITC Avant Garde"/>
          <w:lang w:eastAsia="es-ES"/>
        </w:rPr>
        <w:t>Mega Cable</w:t>
      </w:r>
      <w:r w:rsidR="00F47A8D" w:rsidRPr="00176A7A">
        <w:rPr>
          <w:rFonts w:ascii="ITC Avant Garde" w:eastAsia="Times New Roman" w:hAnsi="ITC Avant Garde"/>
          <w:lang w:eastAsia="es-ES"/>
        </w:rPr>
        <w:t xml:space="preserve">, S.A. de C.V., relativo a la solicitud </w:t>
      </w:r>
      <w:r w:rsidR="0045606D" w:rsidRPr="00176A7A">
        <w:rPr>
          <w:rFonts w:ascii="ITC Avant Garde" w:eastAsia="Times New Roman" w:hAnsi="ITC Avant Garde"/>
          <w:lang w:eastAsia="es-ES"/>
        </w:rPr>
        <w:t>de resolución de condiciones</w:t>
      </w:r>
      <w:r w:rsidR="007F4B7B" w:rsidRPr="00176A7A">
        <w:rPr>
          <w:rFonts w:ascii="ITC Avant Garde" w:eastAsia="Times New Roman" w:hAnsi="ITC Avant Garde"/>
          <w:lang w:eastAsia="es-ES"/>
        </w:rPr>
        <w:t xml:space="preserve"> </w:t>
      </w:r>
      <w:r w:rsidR="0045606D" w:rsidRPr="00176A7A">
        <w:rPr>
          <w:rFonts w:ascii="ITC Avant Garde" w:eastAsia="Times New Roman" w:hAnsi="ITC Avant Garde"/>
          <w:lang w:eastAsia="es-ES"/>
        </w:rPr>
        <w:t xml:space="preserve">no convenidas </w:t>
      </w:r>
      <w:r w:rsidR="00F25821" w:rsidRPr="00176A7A">
        <w:rPr>
          <w:rFonts w:ascii="ITC Avant Garde" w:eastAsia="Times New Roman" w:hAnsi="ITC Avant Garde"/>
          <w:lang w:eastAsia="es-ES"/>
        </w:rPr>
        <w:t>para el Servicio de A</w:t>
      </w:r>
      <w:r w:rsidR="00401318" w:rsidRPr="00176A7A">
        <w:rPr>
          <w:rFonts w:ascii="ITC Avant Garde" w:eastAsia="Times New Roman" w:hAnsi="ITC Avant Garde"/>
          <w:lang w:eastAsia="es-ES"/>
        </w:rPr>
        <w:t>cceso y Uso Compartido de Infraestructura Pasiva</w:t>
      </w:r>
      <w:r w:rsidR="00A035E5" w:rsidRPr="00176A7A">
        <w:rPr>
          <w:rFonts w:ascii="ITC Avant Garde" w:eastAsia="Times New Roman" w:hAnsi="ITC Avant Garde"/>
          <w:lang w:eastAsia="es-ES"/>
        </w:rPr>
        <w:t xml:space="preserve"> </w:t>
      </w:r>
      <w:r w:rsidR="0045606D" w:rsidRPr="00176A7A">
        <w:rPr>
          <w:rFonts w:ascii="ITC Avant Garde" w:eastAsia="Times New Roman" w:hAnsi="ITC Avant Garde"/>
          <w:lang w:eastAsia="es-ES"/>
        </w:rPr>
        <w:t xml:space="preserve">entre </w:t>
      </w:r>
      <w:r w:rsidR="005A59FD" w:rsidRPr="00176A7A">
        <w:rPr>
          <w:rFonts w:ascii="ITC Avant Garde" w:eastAsia="Times New Roman" w:hAnsi="ITC Avant Garde"/>
          <w:lang w:eastAsia="es-ES"/>
        </w:rPr>
        <w:t>Mega Cable, S.A. de C.V.</w:t>
      </w:r>
      <w:r w:rsidR="001E2D1C">
        <w:rPr>
          <w:rFonts w:ascii="ITC Avant Garde" w:eastAsia="Times New Roman" w:hAnsi="ITC Avant Garde"/>
          <w:lang w:eastAsia="es-ES"/>
        </w:rPr>
        <w:t xml:space="preserve"> y</w:t>
      </w:r>
      <w:r w:rsidR="00401318" w:rsidRPr="00176A7A">
        <w:rPr>
          <w:rFonts w:ascii="ITC Avant Garde" w:eastAsia="Times New Roman" w:hAnsi="ITC Avant Garde"/>
          <w:lang w:eastAsia="es-ES"/>
        </w:rPr>
        <w:t xml:space="preserve"> </w:t>
      </w:r>
      <w:r w:rsidR="00A035E5" w:rsidRPr="00176A7A">
        <w:rPr>
          <w:rFonts w:ascii="ITC Avant Garde" w:eastAsia="Times New Roman" w:hAnsi="ITC Avant Garde"/>
          <w:lang w:eastAsia="es-ES"/>
        </w:rPr>
        <w:t>Teléfonos de México, S.A.B. de C.V</w:t>
      </w:r>
      <w:r w:rsidR="0045606D" w:rsidRPr="00176A7A">
        <w:rPr>
          <w:rFonts w:ascii="ITC Avant Garde" w:eastAsia="Times New Roman" w:hAnsi="ITC Avant Garde"/>
          <w:lang w:eastAsia="es-ES"/>
        </w:rPr>
        <w:t>.</w:t>
      </w:r>
      <w:r w:rsidR="00401318" w:rsidRPr="00176A7A">
        <w:rPr>
          <w:rFonts w:ascii="ITC Avant Garde" w:eastAsia="Times New Roman" w:hAnsi="ITC Avant Garde"/>
          <w:lang w:eastAsia="es-ES"/>
        </w:rPr>
        <w:t xml:space="preserve"> y Teléfonos del Noroeste, S.A. de C.V.</w:t>
      </w:r>
      <w:r w:rsidR="008C4D58">
        <w:rPr>
          <w:rFonts w:ascii="ITC Avant Garde" w:eastAsia="Times New Roman" w:hAnsi="ITC Avant Garde"/>
          <w:lang w:eastAsia="es-ES"/>
        </w:rPr>
        <w:t xml:space="preserve"> </w:t>
      </w:r>
      <w:r w:rsidR="003E2372">
        <w:rPr>
          <w:rFonts w:ascii="ITC Avant Garde" w:eastAsia="Times New Roman" w:hAnsi="ITC Avant Garde"/>
          <w:lang w:eastAsia="es-ES"/>
        </w:rPr>
        <w:t>P</w:t>
      </w:r>
      <w:r w:rsidR="008C4D58">
        <w:rPr>
          <w:rFonts w:ascii="ITC Avant Garde" w:eastAsia="Times New Roman" w:hAnsi="ITC Avant Garde"/>
          <w:lang w:eastAsia="es-ES"/>
        </w:rPr>
        <w:t>or lo que respecta a las tarifas de 2016, no son materia del presente desacuerdo de conformidad con lo establecido en el Considerando Segundo.</w:t>
      </w:r>
    </w:p>
    <w:p w14:paraId="60BF0A1D" w14:textId="6B1DB482" w:rsidR="003611D8" w:rsidRPr="00176A7A" w:rsidRDefault="0086332D" w:rsidP="008445B6">
      <w:pPr>
        <w:spacing w:after="240"/>
        <w:jc w:val="both"/>
        <w:rPr>
          <w:rFonts w:ascii="ITC Avant Garde" w:hAnsi="ITC Avant Garde"/>
        </w:rPr>
      </w:pPr>
      <w:r w:rsidRPr="008445B6">
        <w:rPr>
          <w:rFonts w:ascii="ITC Avant Garde" w:eastAsia="Times New Roman" w:hAnsi="ITC Avant Garde"/>
          <w:b/>
          <w:lang w:eastAsia="es-ES"/>
        </w:rPr>
        <w:t>SEGUNDO</w:t>
      </w:r>
      <w:r w:rsidR="00CC6E44" w:rsidRPr="003B3D2B">
        <w:rPr>
          <w:rStyle w:val="Ttulo2Car"/>
          <w:rFonts w:eastAsia="Calibri"/>
        </w:rPr>
        <w:t>.-</w:t>
      </w:r>
      <w:r w:rsidR="004F04D7" w:rsidRPr="003B3D2B">
        <w:rPr>
          <w:rStyle w:val="Ttulo2Car"/>
          <w:rFonts w:eastAsia="Calibri"/>
        </w:rPr>
        <w:t xml:space="preserve"> </w:t>
      </w:r>
      <w:r w:rsidR="00F47A8D" w:rsidRPr="003B3D2B">
        <w:rPr>
          <w:rFonts w:ascii="ITC Avant Garde" w:hAnsi="ITC Avant Garde"/>
          <w:snapToGrid w:val="0"/>
          <w:lang w:eastAsia="es-ES"/>
        </w:rPr>
        <w:t xml:space="preserve">Se ordena el archivo </w:t>
      </w:r>
      <w:r w:rsidR="00C90239" w:rsidRPr="003B3D2B">
        <w:rPr>
          <w:rFonts w:ascii="ITC Avant Garde" w:hAnsi="ITC Avant Garde"/>
          <w:snapToGrid w:val="0"/>
          <w:lang w:eastAsia="es-ES"/>
        </w:rPr>
        <w:t xml:space="preserve">del expediente </w:t>
      </w:r>
      <w:r w:rsidR="00F47A8D" w:rsidRPr="003B3D2B">
        <w:rPr>
          <w:rFonts w:ascii="ITC Avant Garde" w:hAnsi="ITC Avant Garde"/>
          <w:snapToGrid w:val="0"/>
          <w:lang w:eastAsia="es-ES"/>
        </w:rPr>
        <w:t>correspondiente.</w:t>
      </w:r>
      <w:r w:rsidR="00F47A8D" w:rsidRPr="00176A7A">
        <w:rPr>
          <w:rFonts w:ascii="ITC Avant Garde" w:hAnsi="ITC Avant Garde"/>
        </w:rPr>
        <w:t xml:space="preserve"> </w:t>
      </w:r>
    </w:p>
    <w:p w14:paraId="05CB6221" w14:textId="48CCD6CC" w:rsidR="00A67135" w:rsidRDefault="00C90239" w:rsidP="008445B6">
      <w:pPr>
        <w:spacing w:after="240"/>
        <w:jc w:val="both"/>
        <w:rPr>
          <w:rFonts w:ascii="ITC Avant Garde" w:eastAsia="Times New Roman" w:hAnsi="ITC Avant Garde"/>
          <w:lang w:eastAsia="es-ES"/>
        </w:rPr>
      </w:pPr>
      <w:r w:rsidRPr="00176A7A">
        <w:rPr>
          <w:rFonts w:ascii="ITC Avant Garde" w:eastAsia="Times New Roman" w:hAnsi="ITC Avant Garde"/>
          <w:b/>
          <w:lang w:eastAsia="es-ES"/>
        </w:rPr>
        <w:t>TERCER</w:t>
      </w:r>
      <w:r w:rsidR="007009EC" w:rsidRPr="00176A7A">
        <w:rPr>
          <w:rFonts w:ascii="ITC Avant Garde" w:eastAsia="Times New Roman" w:hAnsi="ITC Avant Garde"/>
          <w:b/>
          <w:lang w:eastAsia="es-ES"/>
        </w:rPr>
        <w:t>O</w:t>
      </w:r>
      <w:r w:rsidR="00C77D7D" w:rsidRPr="00176A7A">
        <w:rPr>
          <w:rFonts w:ascii="ITC Avant Garde" w:eastAsia="Times New Roman" w:hAnsi="ITC Avant Garde"/>
          <w:b/>
          <w:lang w:eastAsia="es-ES"/>
        </w:rPr>
        <w:t>.-</w:t>
      </w:r>
      <w:r w:rsidR="00C77D7D" w:rsidRPr="00176A7A">
        <w:rPr>
          <w:rFonts w:ascii="ITC Avant Garde" w:eastAsia="Times New Roman" w:hAnsi="ITC Avant Garde"/>
          <w:lang w:eastAsia="es-ES"/>
        </w:rPr>
        <w:t xml:space="preserve"> Notifíquese personalmente a </w:t>
      </w:r>
      <w:r w:rsidR="00A035E5" w:rsidRPr="00176A7A">
        <w:rPr>
          <w:rFonts w:ascii="ITC Avant Garde" w:eastAsia="Times New Roman" w:hAnsi="ITC Avant Garde"/>
          <w:lang w:eastAsia="es-ES"/>
        </w:rPr>
        <w:t>Mega Cable, S.A. de C.V.</w:t>
      </w:r>
      <w:r w:rsidR="00401318" w:rsidRPr="00176A7A">
        <w:rPr>
          <w:rFonts w:ascii="ITC Avant Garde" w:eastAsia="Times New Roman" w:hAnsi="ITC Avant Garde"/>
          <w:bCs/>
          <w:lang w:eastAsia="es-ES"/>
        </w:rPr>
        <w:t xml:space="preserve">, </w:t>
      </w:r>
      <w:r w:rsidR="00C93B7A" w:rsidRPr="00176A7A">
        <w:rPr>
          <w:rFonts w:ascii="ITC Avant Garde" w:eastAsia="Times New Roman" w:hAnsi="ITC Avant Garde"/>
          <w:lang w:eastAsia="es-ES"/>
        </w:rPr>
        <w:t>Teléfonos de México, S.A.B. de C.V.</w:t>
      </w:r>
      <w:r w:rsidR="00401318" w:rsidRPr="00176A7A">
        <w:rPr>
          <w:rFonts w:ascii="ITC Avant Garde" w:eastAsia="Times New Roman" w:hAnsi="ITC Avant Garde"/>
          <w:lang w:eastAsia="es-ES"/>
        </w:rPr>
        <w:t xml:space="preserve"> y Teléfonos del Noroeste, S.A. de C.V.</w:t>
      </w:r>
    </w:p>
    <w:p w14:paraId="475FC8D6" w14:textId="040FAF06" w:rsidR="008445B6" w:rsidRPr="008445B6" w:rsidRDefault="002220F8" w:rsidP="008445B6">
      <w:pPr>
        <w:spacing w:after="240" w:line="240" w:lineRule="auto"/>
        <w:jc w:val="both"/>
        <w:rPr>
          <w:rFonts w:ascii="ITC Avant Garde" w:hAnsi="ITC Avant Garde"/>
          <w:bCs/>
          <w:sz w:val="16"/>
        </w:rPr>
      </w:pPr>
      <w:r w:rsidRPr="002220F8">
        <w:rPr>
          <w:rFonts w:ascii="ITC Avant Garde" w:hAnsi="ITC Avant Garde"/>
          <w:sz w:val="14"/>
          <w:szCs w:val="20"/>
        </w:rPr>
        <w:t xml:space="preserve">La presente Resolución fue aprobada por el Pleno del Instituto Federal de Telecomunicaciones en su XXXII Sesión Ordinaria celebrada el 20 de septiembre de 2016, por </w:t>
      </w:r>
      <w:r w:rsidRPr="002220F8">
        <w:rPr>
          <w:rFonts w:ascii="ITC Avant Garde" w:hAnsi="ITC Avant Garde"/>
          <w:bCs/>
          <w:sz w:val="14"/>
          <w:szCs w:val="20"/>
        </w:rPr>
        <w:t>mayoría</w:t>
      </w:r>
      <w:r w:rsidRPr="002220F8">
        <w:rPr>
          <w:rFonts w:ascii="ITC Avant Garde" w:hAnsi="ITC Avant Garde"/>
          <w:sz w:val="14"/>
          <w:szCs w:val="20"/>
        </w:rPr>
        <w:t xml:space="preserve"> de votos de los Comisionados presentes Gabriel Oswaldo Contreras Saldívar, Ernesto Estrada González, Mario Germán Fromow Rangel y Adolfo Cuevas Teja; y con los votos en contra de las Comisionadas Adriana Sofía Labardini Inzunza y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P/IFT/200916/505.</w:t>
      </w:r>
    </w:p>
    <w:sectPr w:rsidR="008445B6" w:rsidRPr="008445B6" w:rsidSect="00994CDE">
      <w:headerReference w:type="even" r:id="rId11"/>
      <w:footerReference w:type="default" r:id="rId12"/>
      <w:headerReference w:type="first" r:id="rId13"/>
      <w:pgSz w:w="12240" w:h="15840"/>
      <w:pgMar w:top="1843" w:right="1418" w:bottom="1418" w:left="1418" w:header="709" w:footer="4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FB23F" w14:textId="77777777" w:rsidR="00A02B6D" w:rsidRDefault="00A02B6D" w:rsidP="00072BC8">
      <w:pPr>
        <w:spacing w:after="0" w:line="240" w:lineRule="auto"/>
      </w:pPr>
      <w:r>
        <w:separator/>
      </w:r>
    </w:p>
  </w:endnote>
  <w:endnote w:type="continuationSeparator" w:id="0">
    <w:p w14:paraId="1B571A1A" w14:textId="77777777" w:rsidR="00A02B6D" w:rsidRDefault="00A02B6D" w:rsidP="00072BC8">
      <w:pPr>
        <w:spacing w:after="0" w:line="240" w:lineRule="auto"/>
      </w:pPr>
      <w:r>
        <w:continuationSeparator/>
      </w:r>
    </w:p>
  </w:endnote>
  <w:endnote w:type="continuationNotice" w:id="1">
    <w:p w14:paraId="15D50973" w14:textId="77777777" w:rsidR="00A02B6D" w:rsidRDefault="00A02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AvantGardeGothic-ExtraLight">
    <w:panose1 w:val="020B03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05C6" w14:textId="39D414EA" w:rsidR="00994CDE" w:rsidRPr="00994CDE" w:rsidRDefault="001536FC" w:rsidP="00994CDE">
    <w:pPr>
      <w:pStyle w:val="Piedepgina"/>
      <w:jc w:val="right"/>
      <w:rPr>
        <w:rFonts w:ascii="ITCAvantGardeGothic-ExtraLight" w:hAnsi="ITCAvantGardeGothic-ExtraLight"/>
        <w:b/>
        <w:sz w:val="18"/>
        <w:szCs w:val="18"/>
      </w:rPr>
    </w:pPr>
    <w:r w:rsidRPr="00994CDE">
      <w:rPr>
        <w:rFonts w:ascii="ITCAvantGardeGothic-ExtraLight" w:hAnsi="ITCAvantGardeGothic-ExtraLight"/>
        <w:b/>
        <w:sz w:val="18"/>
        <w:szCs w:val="18"/>
      </w:rPr>
      <w:fldChar w:fldCharType="begin"/>
    </w:r>
    <w:r w:rsidRPr="00994CDE">
      <w:rPr>
        <w:rFonts w:ascii="ITCAvantGardeGothic-ExtraLight" w:hAnsi="ITCAvantGardeGothic-ExtraLight"/>
        <w:b/>
        <w:sz w:val="18"/>
        <w:szCs w:val="18"/>
      </w:rPr>
      <w:instrText>PAGE  \* Arabic  \* MERGEFORMAT</w:instrText>
    </w:r>
    <w:r w:rsidRPr="00994CDE">
      <w:rPr>
        <w:rFonts w:ascii="ITCAvantGardeGothic-ExtraLight" w:hAnsi="ITCAvantGardeGothic-ExtraLight"/>
        <w:b/>
        <w:sz w:val="18"/>
        <w:szCs w:val="18"/>
      </w:rPr>
      <w:fldChar w:fldCharType="separate"/>
    </w:r>
    <w:r w:rsidR="008445B6">
      <w:rPr>
        <w:rFonts w:ascii="ITCAvantGardeGothic-ExtraLight" w:hAnsi="ITCAvantGardeGothic-ExtraLight"/>
        <w:b/>
        <w:noProof/>
        <w:sz w:val="18"/>
        <w:szCs w:val="18"/>
      </w:rPr>
      <w:t>12</w:t>
    </w:r>
    <w:r w:rsidRPr="00994CDE">
      <w:rPr>
        <w:rFonts w:ascii="ITCAvantGardeGothic-ExtraLight" w:hAnsi="ITCAvantGardeGothic-ExtraLight"/>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1073" w14:textId="77777777" w:rsidR="00A02B6D" w:rsidRDefault="00A02B6D" w:rsidP="00072BC8">
      <w:pPr>
        <w:spacing w:after="0" w:line="240" w:lineRule="auto"/>
      </w:pPr>
      <w:r>
        <w:separator/>
      </w:r>
    </w:p>
  </w:footnote>
  <w:footnote w:type="continuationSeparator" w:id="0">
    <w:p w14:paraId="16F0930F" w14:textId="77777777" w:rsidR="00A02B6D" w:rsidRDefault="00A02B6D" w:rsidP="00072BC8">
      <w:pPr>
        <w:spacing w:after="0" w:line="240" w:lineRule="auto"/>
      </w:pPr>
      <w:r>
        <w:continuationSeparator/>
      </w:r>
    </w:p>
  </w:footnote>
  <w:footnote w:type="continuationNotice" w:id="1">
    <w:p w14:paraId="72E676EC" w14:textId="77777777" w:rsidR="00A02B6D" w:rsidRDefault="00A02B6D">
      <w:pPr>
        <w:spacing w:after="0" w:line="240" w:lineRule="auto"/>
      </w:pPr>
    </w:p>
  </w:footnote>
  <w:footnote w:id="2">
    <w:p w14:paraId="0308CB21" w14:textId="77777777" w:rsidR="001536FC" w:rsidRPr="00CB0337" w:rsidRDefault="001536FC" w:rsidP="00EC70B0">
      <w:pPr>
        <w:pStyle w:val="Textonotapie"/>
        <w:jc w:val="both"/>
        <w:rPr>
          <w:rFonts w:ascii="ITC Avant Garde" w:hAnsi="ITC Avant Garde"/>
          <w:sz w:val="16"/>
          <w:szCs w:val="16"/>
          <w:lang w:val="es-MX"/>
        </w:rPr>
      </w:pPr>
      <w:r w:rsidRPr="00CB0337">
        <w:rPr>
          <w:rStyle w:val="Refdenotaalpie"/>
          <w:rFonts w:ascii="ITC Avant Garde" w:hAnsi="ITC Avant Garde"/>
          <w:sz w:val="16"/>
          <w:szCs w:val="16"/>
        </w:rPr>
        <w:footnoteRef/>
      </w:r>
      <w:r w:rsidRPr="00CB0337">
        <w:rPr>
          <w:rFonts w:ascii="ITC Avant Garde" w:hAnsi="ITC Avant Garde"/>
          <w:sz w:val="16"/>
          <w:szCs w:val="16"/>
        </w:rPr>
        <w:t xml:space="preserve"> </w:t>
      </w:r>
      <w:r w:rsidRPr="005468E9">
        <w:rPr>
          <w:rFonts w:ascii="ITC Avant Garde" w:hAnsi="ITC Avant Garde"/>
          <w:b/>
          <w:bCs/>
          <w:sz w:val="16"/>
          <w:szCs w:val="16"/>
          <w:lang w:val="es-MX"/>
        </w:rPr>
        <w:t>SENTENCIAS DE AMPARO. LAS CUESTIONES QUE FUERON O DEBIERON SER MATERIA DE LITIGIO EN LA INSTANCIA CORRESPONDIENTE NO ACTUALIZAN LA IMPOSIBILIDAD JURÍDICA Y/O MATERIAL PARA SU CUMPLIMIENTO.</w:t>
      </w:r>
      <w:r>
        <w:rPr>
          <w:rFonts w:ascii="ITC Avant Garde" w:hAnsi="ITC Avant Garde"/>
          <w:b/>
          <w:bCs/>
          <w:sz w:val="16"/>
          <w:szCs w:val="16"/>
          <w:lang w:val="es-MX"/>
        </w:rPr>
        <w:t xml:space="preserve"> </w:t>
      </w:r>
      <w:r w:rsidRPr="00CB0337">
        <w:rPr>
          <w:rFonts w:ascii="ITC Avant Garde" w:hAnsi="ITC Avant Garde"/>
          <w:sz w:val="16"/>
          <w:szCs w:val="16"/>
        </w:rPr>
        <w:t>Tesis</w:t>
      </w:r>
      <w:r>
        <w:rPr>
          <w:rFonts w:ascii="ITC Avant Garde" w:hAnsi="ITC Avant Garde"/>
          <w:sz w:val="16"/>
          <w:szCs w:val="16"/>
        </w:rPr>
        <w:t xml:space="preserve"> Aislada I.8o.A.5 K (10a.), de la Décima Época, emitida por Tribunales Colegiados de Circuito, ubicada en el Semanario Judicial de la Federación y su Gaceta, Libro XX, Tomo 3, página 2137, de Mayo de 2013 con número de registro 2003767.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707D6" w14:textId="77777777" w:rsidR="001536FC" w:rsidRDefault="00A02B6D">
    <w:pPr>
      <w:pStyle w:val="Encabezado"/>
    </w:pPr>
    <w:r>
      <w:rPr>
        <w:noProof/>
        <w:lang w:eastAsia="es-MX"/>
      </w:rPr>
      <w:pict w14:anchorId="2A23B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602D" w14:textId="77777777" w:rsidR="001536FC" w:rsidRDefault="00A02B6D">
    <w:pPr>
      <w:pStyle w:val="Encabezado"/>
    </w:pPr>
    <w:r>
      <w:rPr>
        <w:noProof/>
        <w:lang w:eastAsia="es-MX"/>
      </w:rPr>
      <w:pict w14:anchorId="37761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53D3656"/>
    <w:multiLevelType w:val="hybridMultilevel"/>
    <w:tmpl w:val="5ADAF364"/>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 w15:restartNumberingAfterBreak="0">
    <w:nsid w:val="06232ED4"/>
    <w:multiLevelType w:val="hybridMultilevel"/>
    <w:tmpl w:val="61323B5E"/>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07FF6EAA"/>
    <w:multiLevelType w:val="hybridMultilevel"/>
    <w:tmpl w:val="CB061F8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E226A5D"/>
    <w:multiLevelType w:val="hybridMultilevel"/>
    <w:tmpl w:val="76FE7FAA"/>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83FB7"/>
    <w:multiLevelType w:val="multilevel"/>
    <w:tmpl w:val="D71A851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17E6131C"/>
    <w:multiLevelType w:val="hybridMultilevel"/>
    <w:tmpl w:val="8AD6B852"/>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styleLink w:val="1ai2"/>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E3A5467"/>
    <w:multiLevelType w:val="hybridMultilevel"/>
    <w:tmpl w:val="5AE44D2C"/>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2" w15:restartNumberingAfterBreak="0">
    <w:nsid w:val="2164428E"/>
    <w:multiLevelType w:val="hybridMultilevel"/>
    <w:tmpl w:val="07C2E55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3" w15:restartNumberingAfterBreak="0">
    <w:nsid w:val="21BF60FF"/>
    <w:multiLevelType w:val="hybridMultilevel"/>
    <w:tmpl w:val="DBDE95EE"/>
    <w:lvl w:ilvl="0" w:tplc="9B7A095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897D47"/>
    <w:multiLevelType w:val="hybridMultilevel"/>
    <w:tmpl w:val="BFA81B40"/>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5" w15:restartNumberingAfterBreak="0">
    <w:nsid w:val="23A05AA0"/>
    <w:multiLevelType w:val="hybridMultilevel"/>
    <w:tmpl w:val="DA660A38"/>
    <w:lvl w:ilvl="0" w:tplc="80E69ED2">
      <w:start w:val="1"/>
      <w:numFmt w:val="upperRoman"/>
      <w:lvlText w:val="%1."/>
      <w:lvlJc w:val="right"/>
      <w:pPr>
        <w:ind w:left="4897"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F3AEB"/>
    <w:multiLevelType w:val="hybridMultilevel"/>
    <w:tmpl w:val="0EECE8EC"/>
    <w:lvl w:ilvl="0" w:tplc="29C03328">
      <w:start w:val="1"/>
      <w:numFmt w:val="bullet"/>
      <w:lvlText w:val=""/>
      <w:lvlJc w:val="left"/>
      <w:pPr>
        <w:tabs>
          <w:tab w:val="num" w:pos="720"/>
        </w:tabs>
        <w:ind w:left="720" w:hanging="360"/>
      </w:pPr>
      <w:rPr>
        <w:rFonts w:ascii="Wingdings" w:hAnsi="Wingdings" w:hint="default"/>
      </w:rPr>
    </w:lvl>
    <w:lvl w:ilvl="1" w:tplc="14A680BE">
      <w:start w:val="628"/>
      <w:numFmt w:val="bullet"/>
      <w:lvlText w:val=""/>
      <w:lvlJc w:val="left"/>
      <w:pPr>
        <w:tabs>
          <w:tab w:val="num" w:pos="1440"/>
        </w:tabs>
        <w:ind w:left="1440" w:hanging="360"/>
      </w:pPr>
      <w:rPr>
        <w:rFonts w:ascii="Symbol" w:hAnsi="Symbol" w:hint="default"/>
      </w:rPr>
    </w:lvl>
    <w:lvl w:ilvl="2" w:tplc="5FD28294" w:tentative="1">
      <w:start w:val="1"/>
      <w:numFmt w:val="bullet"/>
      <w:lvlText w:val=""/>
      <w:lvlJc w:val="left"/>
      <w:pPr>
        <w:tabs>
          <w:tab w:val="num" w:pos="2160"/>
        </w:tabs>
        <w:ind w:left="2160" w:hanging="360"/>
      </w:pPr>
      <w:rPr>
        <w:rFonts w:ascii="Wingdings" w:hAnsi="Wingdings" w:hint="default"/>
      </w:rPr>
    </w:lvl>
    <w:lvl w:ilvl="3" w:tplc="0044954A" w:tentative="1">
      <w:start w:val="1"/>
      <w:numFmt w:val="bullet"/>
      <w:lvlText w:val=""/>
      <w:lvlJc w:val="left"/>
      <w:pPr>
        <w:tabs>
          <w:tab w:val="num" w:pos="2880"/>
        </w:tabs>
        <w:ind w:left="2880" w:hanging="360"/>
      </w:pPr>
      <w:rPr>
        <w:rFonts w:ascii="Wingdings" w:hAnsi="Wingdings" w:hint="default"/>
      </w:rPr>
    </w:lvl>
    <w:lvl w:ilvl="4" w:tplc="BD145DD2" w:tentative="1">
      <w:start w:val="1"/>
      <w:numFmt w:val="bullet"/>
      <w:lvlText w:val=""/>
      <w:lvlJc w:val="left"/>
      <w:pPr>
        <w:tabs>
          <w:tab w:val="num" w:pos="3600"/>
        </w:tabs>
        <w:ind w:left="3600" w:hanging="360"/>
      </w:pPr>
      <w:rPr>
        <w:rFonts w:ascii="Wingdings" w:hAnsi="Wingdings" w:hint="default"/>
      </w:rPr>
    </w:lvl>
    <w:lvl w:ilvl="5" w:tplc="C04A736C" w:tentative="1">
      <w:start w:val="1"/>
      <w:numFmt w:val="bullet"/>
      <w:lvlText w:val=""/>
      <w:lvlJc w:val="left"/>
      <w:pPr>
        <w:tabs>
          <w:tab w:val="num" w:pos="4320"/>
        </w:tabs>
        <w:ind w:left="4320" w:hanging="360"/>
      </w:pPr>
      <w:rPr>
        <w:rFonts w:ascii="Wingdings" w:hAnsi="Wingdings" w:hint="default"/>
      </w:rPr>
    </w:lvl>
    <w:lvl w:ilvl="6" w:tplc="73003860" w:tentative="1">
      <w:start w:val="1"/>
      <w:numFmt w:val="bullet"/>
      <w:lvlText w:val=""/>
      <w:lvlJc w:val="left"/>
      <w:pPr>
        <w:tabs>
          <w:tab w:val="num" w:pos="5040"/>
        </w:tabs>
        <w:ind w:left="5040" w:hanging="360"/>
      </w:pPr>
      <w:rPr>
        <w:rFonts w:ascii="Wingdings" w:hAnsi="Wingdings" w:hint="default"/>
      </w:rPr>
    </w:lvl>
    <w:lvl w:ilvl="7" w:tplc="0636B5EA" w:tentative="1">
      <w:start w:val="1"/>
      <w:numFmt w:val="bullet"/>
      <w:lvlText w:val=""/>
      <w:lvlJc w:val="left"/>
      <w:pPr>
        <w:tabs>
          <w:tab w:val="num" w:pos="5760"/>
        </w:tabs>
        <w:ind w:left="5760" w:hanging="360"/>
      </w:pPr>
      <w:rPr>
        <w:rFonts w:ascii="Wingdings" w:hAnsi="Wingdings" w:hint="default"/>
      </w:rPr>
    </w:lvl>
    <w:lvl w:ilvl="8" w:tplc="754E9E7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852920"/>
    <w:multiLevelType w:val="hybridMultilevel"/>
    <w:tmpl w:val="D8306BA8"/>
    <w:lvl w:ilvl="0" w:tplc="80E69ED2">
      <w:start w:val="1"/>
      <w:numFmt w:val="upperRoman"/>
      <w:lvlText w:val="%1."/>
      <w:lvlJc w:val="right"/>
      <w:pPr>
        <w:ind w:left="4897"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7822B1"/>
    <w:multiLevelType w:val="hybridMultilevel"/>
    <w:tmpl w:val="4F58443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9" w15:restartNumberingAfterBreak="0">
    <w:nsid w:val="2F842355"/>
    <w:multiLevelType w:val="hybridMultilevel"/>
    <w:tmpl w:val="6254C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1" w15:restartNumberingAfterBreak="0">
    <w:nsid w:val="323A192B"/>
    <w:multiLevelType w:val="hybridMultilevel"/>
    <w:tmpl w:val="2CEE0D0C"/>
    <w:lvl w:ilvl="0" w:tplc="7F9C0692">
      <w:start w:val="1"/>
      <w:numFmt w:val="bullet"/>
      <w:lvlText w:val=""/>
      <w:lvlJc w:val="left"/>
      <w:pPr>
        <w:ind w:left="1080" w:hanging="360"/>
      </w:pPr>
      <w:rPr>
        <w:rFonts w:ascii="Symbol" w:hAnsi="Symbol" w:hint="default"/>
        <w:color w:val="auto"/>
        <w:sz w:val="22"/>
      </w:rPr>
    </w:lvl>
    <w:lvl w:ilvl="1" w:tplc="BFDA999C">
      <w:start w:val="7"/>
      <w:numFmt w:val="bullet"/>
      <w:lvlText w:val="•"/>
      <w:lvlJc w:val="left"/>
      <w:pPr>
        <w:ind w:left="1800" w:hanging="360"/>
      </w:pPr>
      <w:rPr>
        <w:rFonts w:ascii="ITC Avant Garde" w:eastAsia="Times New Roman" w:hAnsi="ITC Avant Garde"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3D76BA2"/>
    <w:multiLevelType w:val="hybridMultilevel"/>
    <w:tmpl w:val="159C592A"/>
    <w:lvl w:ilvl="0" w:tplc="DCA8CBAE">
      <w:start w:val="9"/>
      <w:numFmt w:val="decimal"/>
      <w:lvlText w:val="%1)"/>
      <w:lvlJc w:val="left"/>
      <w:pPr>
        <w:ind w:left="720" w:hanging="360"/>
      </w:pPr>
      <w:rPr>
        <w:rFonts w:ascii="ITC Avant Garde" w:hAnsi="ITC Avant Garde"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7B041F"/>
    <w:multiLevelType w:val="hybridMultilevel"/>
    <w:tmpl w:val="FACE7504"/>
    <w:lvl w:ilvl="0" w:tplc="B2201932">
      <w:start w:val="16"/>
      <w:numFmt w:val="upperRoman"/>
      <w:lvlText w:val="%1."/>
      <w:lvlJc w:val="left"/>
      <w:pPr>
        <w:ind w:left="1424" w:hanging="720"/>
      </w:pPr>
      <w:rPr>
        <w:rFonts w:hint="default"/>
        <w:b/>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24"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3B2665FC"/>
    <w:multiLevelType w:val="hybridMultilevel"/>
    <w:tmpl w:val="24D44C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694116"/>
    <w:multiLevelType w:val="multilevel"/>
    <w:tmpl w:val="6DAA8C4A"/>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92945"/>
    <w:multiLevelType w:val="hybridMultilevel"/>
    <w:tmpl w:val="CAEC40EE"/>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0" w15:restartNumberingAfterBreak="0">
    <w:nsid w:val="45465FB0"/>
    <w:multiLevelType w:val="hybridMultilevel"/>
    <w:tmpl w:val="48B83D9E"/>
    <w:lvl w:ilvl="0" w:tplc="4AB8E7F0">
      <w:start w:val="1"/>
      <w:numFmt w:val="bullet"/>
      <w:lvlText w:val=""/>
      <w:lvlJc w:val="left"/>
      <w:pPr>
        <w:tabs>
          <w:tab w:val="num" w:pos="720"/>
        </w:tabs>
        <w:ind w:left="720" w:hanging="360"/>
      </w:pPr>
      <w:rPr>
        <w:rFonts w:ascii="Wingdings" w:hAnsi="Wingdings" w:hint="default"/>
      </w:rPr>
    </w:lvl>
    <w:lvl w:ilvl="1" w:tplc="8E5AB13E">
      <w:start w:val="1775"/>
      <w:numFmt w:val="bullet"/>
      <w:lvlText w:val=""/>
      <w:lvlJc w:val="left"/>
      <w:pPr>
        <w:tabs>
          <w:tab w:val="num" w:pos="1440"/>
        </w:tabs>
        <w:ind w:left="1440" w:hanging="360"/>
      </w:pPr>
      <w:rPr>
        <w:rFonts w:ascii="Symbol" w:hAnsi="Symbol" w:hint="default"/>
      </w:rPr>
    </w:lvl>
    <w:lvl w:ilvl="2" w:tplc="1272E768" w:tentative="1">
      <w:start w:val="1"/>
      <w:numFmt w:val="bullet"/>
      <w:lvlText w:val=""/>
      <w:lvlJc w:val="left"/>
      <w:pPr>
        <w:tabs>
          <w:tab w:val="num" w:pos="2160"/>
        </w:tabs>
        <w:ind w:left="2160" w:hanging="360"/>
      </w:pPr>
      <w:rPr>
        <w:rFonts w:ascii="Wingdings" w:hAnsi="Wingdings" w:hint="default"/>
      </w:rPr>
    </w:lvl>
    <w:lvl w:ilvl="3" w:tplc="2D384D52" w:tentative="1">
      <w:start w:val="1"/>
      <w:numFmt w:val="bullet"/>
      <w:lvlText w:val=""/>
      <w:lvlJc w:val="left"/>
      <w:pPr>
        <w:tabs>
          <w:tab w:val="num" w:pos="2880"/>
        </w:tabs>
        <w:ind w:left="2880" w:hanging="360"/>
      </w:pPr>
      <w:rPr>
        <w:rFonts w:ascii="Wingdings" w:hAnsi="Wingdings" w:hint="default"/>
      </w:rPr>
    </w:lvl>
    <w:lvl w:ilvl="4" w:tplc="910E335A" w:tentative="1">
      <w:start w:val="1"/>
      <w:numFmt w:val="bullet"/>
      <w:lvlText w:val=""/>
      <w:lvlJc w:val="left"/>
      <w:pPr>
        <w:tabs>
          <w:tab w:val="num" w:pos="3600"/>
        </w:tabs>
        <w:ind w:left="3600" w:hanging="360"/>
      </w:pPr>
      <w:rPr>
        <w:rFonts w:ascii="Wingdings" w:hAnsi="Wingdings" w:hint="default"/>
      </w:rPr>
    </w:lvl>
    <w:lvl w:ilvl="5" w:tplc="860028D0" w:tentative="1">
      <w:start w:val="1"/>
      <w:numFmt w:val="bullet"/>
      <w:lvlText w:val=""/>
      <w:lvlJc w:val="left"/>
      <w:pPr>
        <w:tabs>
          <w:tab w:val="num" w:pos="4320"/>
        </w:tabs>
        <w:ind w:left="4320" w:hanging="360"/>
      </w:pPr>
      <w:rPr>
        <w:rFonts w:ascii="Wingdings" w:hAnsi="Wingdings" w:hint="default"/>
      </w:rPr>
    </w:lvl>
    <w:lvl w:ilvl="6" w:tplc="1674BACA" w:tentative="1">
      <w:start w:val="1"/>
      <w:numFmt w:val="bullet"/>
      <w:lvlText w:val=""/>
      <w:lvlJc w:val="left"/>
      <w:pPr>
        <w:tabs>
          <w:tab w:val="num" w:pos="5040"/>
        </w:tabs>
        <w:ind w:left="5040" w:hanging="360"/>
      </w:pPr>
      <w:rPr>
        <w:rFonts w:ascii="Wingdings" w:hAnsi="Wingdings" w:hint="default"/>
      </w:rPr>
    </w:lvl>
    <w:lvl w:ilvl="7" w:tplc="70061466" w:tentative="1">
      <w:start w:val="1"/>
      <w:numFmt w:val="bullet"/>
      <w:lvlText w:val=""/>
      <w:lvlJc w:val="left"/>
      <w:pPr>
        <w:tabs>
          <w:tab w:val="num" w:pos="5760"/>
        </w:tabs>
        <w:ind w:left="5760" w:hanging="360"/>
      </w:pPr>
      <w:rPr>
        <w:rFonts w:ascii="Wingdings" w:hAnsi="Wingdings" w:hint="default"/>
      </w:rPr>
    </w:lvl>
    <w:lvl w:ilvl="8" w:tplc="E0CEFDB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A03FA5"/>
    <w:multiLevelType w:val="hybridMultilevel"/>
    <w:tmpl w:val="9AF897BA"/>
    <w:styleLink w:val="1ai21"/>
    <w:lvl w:ilvl="0" w:tplc="3D30DFCC">
      <w:start w:val="1"/>
      <w:numFmt w:val="bullet"/>
      <w:lvlText w:val=""/>
      <w:lvlJc w:val="left"/>
      <w:pPr>
        <w:tabs>
          <w:tab w:val="num" w:pos="720"/>
        </w:tabs>
        <w:ind w:left="720" w:hanging="360"/>
      </w:pPr>
      <w:rPr>
        <w:rFonts w:ascii="Wingdings" w:hAnsi="Wingdings" w:hint="default"/>
      </w:rPr>
    </w:lvl>
    <w:lvl w:ilvl="1" w:tplc="42A2C020">
      <w:start w:val="2263"/>
      <w:numFmt w:val="bullet"/>
      <w:lvlText w:val=""/>
      <w:lvlJc w:val="left"/>
      <w:pPr>
        <w:tabs>
          <w:tab w:val="num" w:pos="1440"/>
        </w:tabs>
        <w:ind w:left="1440" w:hanging="360"/>
      </w:pPr>
      <w:rPr>
        <w:rFonts w:ascii="Symbol" w:hAnsi="Symbol" w:hint="default"/>
      </w:rPr>
    </w:lvl>
    <w:lvl w:ilvl="2" w:tplc="23B8B86E" w:tentative="1">
      <w:start w:val="1"/>
      <w:numFmt w:val="bullet"/>
      <w:lvlText w:val=""/>
      <w:lvlJc w:val="left"/>
      <w:pPr>
        <w:tabs>
          <w:tab w:val="num" w:pos="2160"/>
        </w:tabs>
        <w:ind w:left="2160" w:hanging="360"/>
      </w:pPr>
      <w:rPr>
        <w:rFonts w:ascii="Wingdings" w:hAnsi="Wingdings" w:hint="default"/>
      </w:rPr>
    </w:lvl>
    <w:lvl w:ilvl="3" w:tplc="C80AAC2C" w:tentative="1">
      <w:start w:val="1"/>
      <w:numFmt w:val="bullet"/>
      <w:lvlText w:val=""/>
      <w:lvlJc w:val="left"/>
      <w:pPr>
        <w:tabs>
          <w:tab w:val="num" w:pos="2880"/>
        </w:tabs>
        <w:ind w:left="2880" w:hanging="360"/>
      </w:pPr>
      <w:rPr>
        <w:rFonts w:ascii="Wingdings" w:hAnsi="Wingdings" w:hint="default"/>
      </w:rPr>
    </w:lvl>
    <w:lvl w:ilvl="4" w:tplc="8F529E08" w:tentative="1">
      <w:start w:val="1"/>
      <w:numFmt w:val="bullet"/>
      <w:lvlText w:val=""/>
      <w:lvlJc w:val="left"/>
      <w:pPr>
        <w:tabs>
          <w:tab w:val="num" w:pos="3600"/>
        </w:tabs>
        <w:ind w:left="3600" w:hanging="360"/>
      </w:pPr>
      <w:rPr>
        <w:rFonts w:ascii="Wingdings" w:hAnsi="Wingdings" w:hint="default"/>
      </w:rPr>
    </w:lvl>
    <w:lvl w:ilvl="5" w:tplc="1B7CA934" w:tentative="1">
      <w:start w:val="1"/>
      <w:numFmt w:val="bullet"/>
      <w:lvlText w:val=""/>
      <w:lvlJc w:val="left"/>
      <w:pPr>
        <w:tabs>
          <w:tab w:val="num" w:pos="4320"/>
        </w:tabs>
        <w:ind w:left="4320" w:hanging="360"/>
      </w:pPr>
      <w:rPr>
        <w:rFonts w:ascii="Wingdings" w:hAnsi="Wingdings" w:hint="default"/>
      </w:rPr>
    </w:lvl>
    <w:lvl w:ilvl="6" w:tplc="CFEE7270" w:tentative="1">
      <w:start w:val="1"/>
      <w:numFmt w:val="bullet"/>
      <w:lvlText w:val=""/>
      <w:lvlJc w:val="left"/>
      <w:pPr>
        <w:tabs>
          <w:tab w:val="num" w:pos="5040"/>
        </w:tabs>
        <w:ind w:left="5040" w:hanging="360"/>
      </w:pPr>
      <w:rPr>
        <w:rFonts w:ascii="Wingdings" w:hAnsi="Wingdings" w:hint="default"/>
      </w:rPr>
    </w:lvl>
    <w:lvl w:ilvl="7" w:tplc="975C1A0C" w:tentative="1">
      <w:start w:val="1"/>
      <w:numFmt w:val="bullet"/>
      <w:lvlText w:val=""/>
      <w:lvlJc w:val="left"/>
      <w:pPr>
        <w:tabs>
          <w:tab w:val="num" w:pos="5760"/>
        </w:tabs>
        <w:ind w:left="5760" w:hanging="360"/>
      </w:pPr>
      <w:rPr>
        <w:rFonts w:ascii="Wingdings" w:hAnsi="Wingdings" w:hint="default"/>
      </w:rPr>
    </w:lvl>
    <w:lvl w:ilvl="8" w:tplc="B98E25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CA6031"/>
    <w:multiLevelType w:val="hybridMultilevel"/>
    <w:tmpl w:val="2730DADA"/>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4BC87AB1"/>
    <w:multiLevelType w:val="hybridMultilevel"/>
    <w:tmpl w:val="6688F7E8"/>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7B0E59"/>
    <w:multiLevelType w:val="hybridMultilevel"/>
    <w:tmpl w:val="CB061F8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4F681288"/>
    <w:multiLevelType w:val="hybridMultilevel"/>
    <w:tmpl w:val="2000ED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8402DF"/>
    <w:multiLevelType w:val="hybridMultilevel"/>
    <w:tmpl w:val="EB2C85D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54AB5CFB"/>
    <w:multiLevelType w:val="hybridMultilevel"/>
    <w:tmpl w:val="B6B00F30"/>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38" w15:restartNumberingAfterBreak="0">
    <w:nsid w:val="54D111BB"/>
    <w:multiLevelType w:val="hybridMultilevel"/>
    <w:tmpl w:val="D3B0C456"/>
    <w:lvl w:ilvl="0" w:tplc="080A0003">
      <w:start w:val="1"/>
      <w:numFmt w:val="bullet"/>
      <w:lvlText w:val="o"/>
      <w:lvlJc w:val="left"/>
      <w:pPr>
        <w:ind w:left="1440" w:hanging="360"/>
      </w:pPr>
      <w:rPr>
        <w:rFonts w:ascii="Courier New" w:hAnsi="Courier New" w:cs="Courier New" w:hint="default"/>
      </w:rPr>
    </w:lvl>
    <w:lvl w:ilvl="1" w:tplc="39FAA09C">
      <w:start w:val="1"/>
      <w:numFmt w:val="lowerLetter"/>
      <w:lvlText w:val="%2)"/>
      <w:lvlJc w:val="lef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Arial"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Arial"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552A6478"/>
    <w:multiLevelType w:val="hybridMultilevel"/>
    <w:tmpl w:val="831E8F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56F94BDA"/>
    <w:multiLevelType w:val="hybridMultilevel"/>
    <w:tmpl w:val="67F6BC8E"/>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2" w15:restartNumberingAfterBreak="0">
    <w:nsid w:val="57522131"/>
    <w:multiLevelType w:val="hybridMultilevel"/>
    <w:tmpl w:val="D9647464"/>
    <w:lvl w:ilvl="0" w:tplc="CE924A3A">
      <w:start w:val="1"/>
      <w:numFmt w:val="upperRoman"/>
      <w:lvlText w:val="%1.-"/>
      <w:lvlJc w:val="left"/>
      <w:pPr>
        <w:tabs>
          <w:tab w:val="num" w:pos="1220"/>
        </w:tabs>
        <w:ind w:left="122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57B34240"/>
    <w:multiLevelType w:val="hybridMultilevel"/>
    <w:tmpl w:val="C5EA23C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4" w15:restartNumberingAfterBreak="0">
    <w:nsid w:val="58A759EC"/>
    <w:multiLevelType w:val="hybridMultilevel"/>
    <w:tmpl w:val="DBB4382A"/>
    <w:lvl w:ilvl="0" w:tplc="F2E616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A5368C2"/>
    <w:multiLevelType w:val="hybridMultilevel"/>
    <w:tmpl w:val="57D894A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6" w15:restartNumberingAfterBreak="0">
    <w:nsid w:val="5B867BBC"/>
    <w:multiLevelType w:val="hybridMultilevel"/>
    <w:tmpl w:val="3AC62C9C"/>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4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48" w15:restartNumberingAfterBreak="0">
    <w:nsid w:val="5C28262E"/>
    <w:multiLevelType w:val="hybridMultilevel"/>
    <w:tmpl w:val="DF7080AE"/>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49" w15:restartNumberingAfterBreak="0">
    <w:nsid w:val="5C445485"/>
    <w:multiLevelType w:val="hybridMultilevel"/>
    <w:tmpl w:val="9B409212"/>
    <w:lvl w:ilvl="0" w:tplc="5AB09D4A">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5C8C2DCD"/>
    <w:multiLevelType w:val="hybridMultilevel"/>
    <w:tmpl w:val="8AECE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D930DE"/>
    <w:multiLevelType w:val="hybridMultilevel"/>
    <w:tmpl w:val="F4089B22"/>
    <w:lvl w:ilvl="0" w:tplc="080A0017">
      <w:start w:val="1"/>
      <w:numFmt w:val="lowerLetter"/>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53"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4" w15:restartNumberingAfterBreak="0">
    <w:nsid w:val="6E0D2CCD"/>
    <w:multiLevelType w:val="hybridMultilevel"/>
    <w:tmpl w:val="BA1A1716"/>
    <w:lvl w:ilvl="0" w:tplc="E60E5548">
      <w:start w:val="1"/>
      <w:numFmt w:val="bullet"/>
      <w:lvlText w:val=""/>
      <w:lvlJc w:val="left"/>
      <w:pPr>
        <w:tabs>
          <w:tab w:val="num" w:pos="720"/>
        </w:tabs>
        <w:ind w:left="720" w:hanging="360"/>
      </w:pPr>
      <w:rPr>
        <w:rFonts w:ascii="Wingdings" w:hAnsi="Wingdings" w:hint="default"/>
      </w:rPr>
    </w:lvl>
    <w:lvl w:ilvl="1" w:tplc="29BA161C">
      <w:start w:val="1848"/>
      <w:numFmt w:val="bullet"/>
      <w:lvlText w:val=""/>
      <w:lvlJc w:val="left"/>
      <w:pPr>
        <w:tabs>
          <w:tab w:val="num" w:pos="1440"/>
        </w:tabs>
        <w:ind w:left="1440" w:hanging="360"/>
      </w:pPr>
      <w:rPr>
        <w:rFonts w:ascii="Symbol" w:hAnsi="Symbol" w:hint="default"/>
      </w:rPr>
    </w:lvl>
    <w:lvl w:ilvl="2" w:tplc="72C8D320" w:tentative="1">
      <w:start w:val="1"/>
      <w:numFmt w:val="bullet"/>
      <w:lvlText w:val=""/>
      <w:lvlJc w:val="left"/>
      <w:pPr>
        <w:tabs>
          <w:tab w:val="num" w:pos="2160"/>
        </w:tabs>
        <w:ind w:left="2160" w:hanging="360"/>
      </w:pPr>
      <w:rPr>
        <w:rFonts w:ascii="Wingdings" w:hAnsi="Wingdings" w:hint="default"/>
      </w:rPr>
    </w:lvl>
    <w:lvl w:ilvl="3" w:tplc="07301534" w:tentative="1">
      <w:start w:val="1"/>
      <w:numFmt w:val="bullet"/>
      <w:lvlText w:val=""/>
      <w:lvlJc w:val="left"/>
      <w:pPr>
        <w:tabs>
          <w:tab w:val="num" w:pos="2880"/>
        </w:tabs>
        <w:ind w:left="2880" w:hanging="360"/>
      </w:pPr>
      <w:rPr>
        <w:rFonts w:ascii="Wingdings" w:hAnsi="Wingdings" w:hint="default"/>
      </w:rPr>
    </w:lvl>
    <w:lvl w:ilvl="4" w:tplc="E12C03F0" w:tentative="1">
      <w:start w:val="1"/>
      <w:numFmt w:val="bullet"/>
      <w:lvlText w:val=""/>
      <w:lvlJc w:val="left"/>
      <w:pPr>
        <w:tabs>
          <w:tab w:val="num" w:pos="3600"/>
        </w:tabs>
        <w:ind w:left="3600" w:hanging="360"/>
      </w:pPr>
      <w:rPr>
        <w:rFonts w:ascii="Wingdings" w:hAnsi="Wingdings" w:hint="default"/>
      </w:rPr>
    </w:lvl>
    <w:lvl w:ilvl="5" w:tplc="6C30D6D6" w:tentative="1">
      <w:start w:val="1"/>
      <w:numFmt w:val="bullet"/>
      <w:lvlText w:val=""/>
      <w:lvlJc w:val="left"/>
      <w:pPr>
        <w:tabs>
          <w:tab w:val="num" w:pos="4320"/>
        </w:tabs>
        <w:ind w:left="4320" w:hanging="360"/>
      </w:pPr>
      <w:rPr>
        <w:rFonts w:ascii="Wingdings" w:hAnsi="Wingdings" w:hint="default"/>
      </w:rPr>
    </w:lvl>
    <w:lvl w:ilvl="6" w:tplc="69A2D778" w:tentative="1">
      <w:start w:val="1"/>
      <w:numFmt w:val="bullet"/>
      <w:lvlText w:val=""/>
      <w:lvlJc w:val="left"/>
      <w:pPr>
        <w:tabs>
          <w:tab w:val="num" w:pos="5040"/>
        </w:tabs>
        <w:ind w:left="5040" w:hanging="360"/>
      </w:pPr>
      <w:rPr>
        <w:rFonts w:ascii="Wingdings" w:hAnsi="Wingdings" w:hint="default"/>
      </w:rPr>
    </w:lvl>
    <w:lvl w:ilvl="7" w:tplc="A496BCDC" w:tentative="1">
      <w:start w:val="1"/>
      <w:numFmt w:val="bullet"/>
      <w:lvlText w:val=""/>
      <w:lvlJc w:val="left"/>
      <w:pPr>
        <w:tabs>
          <w:tab w:val="num" w:pos="5760"/>
        </w:tabs>
        <w:ind w:left="5760" w:hanging="360"/>
      </w:pPr>
      <w:rPr>
        <w:rFonts w:ascii="Wingdings" w:hAnsi="Wingdings" w:hint="default"/>
      </w:rPr>
    </w:lvl>
    <w:lvl w:ilvl="8" w:tplc="CD4EC0A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F756D3"/>
    <w:multiLevelType w:val="hybridMultilevel"/>
    <w:tmpl w:val="33AA4DD6"/>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4C18AD"/>
    <w:multiLevelType w:val="hybridMultilevel"/>
    <w:tmpl w:val="B92C6AD2"/>
    <w:styleLink w:val="1ai11"/>
    <w:lvl w:ilvl="0" w:tplc="95A099B2">
      <w:start w:val="1"/>
      <w:numFmt w:val="bullet"/>
      <w:lvlText w:val=""/>
      <w:lvlJc w:val="left"/>
      <w:pPr>
        <w:tabs>
          <w:tab w:val="num" w:pos="720"/>
        </w:tabs>
        <w:ind w:left="720" w:hanging="360"/>
      </w:pPr>
      <w:rPr>
        <w:rFonts w:ascii="Symbol" w:hAnsi="Symbol" w:hint="default"/>
      </w:rPr>
    </w:lvl>
    <w:lvl w:ilvl="1" w:tplc="C72EE1FE">
      <w:start w:val="1"/>
      <w:numFmt w:val="bullet"/>
      <w:lvlText w:val=""/>
      <w:lvlJc w:val="left"/>
      <w:pPr>
        <w:tabs>
          <w:tab w:val="num" w:pos="1440"/>
        </w:tabs>
        <w:ind w:left="1440" w:hanging="360"/>
      </w:pPr>
      <w:rPr>
        <w:rFonts w:ascii="Symbol" w:hAnsi="Symbol" w:hint="default"/>
      </w:rPr>
    </w:lvl>
    <w:lvl w:ilvl="2" w:tplc="692C199E" w:tentative="1">
      <w:start w:val="1"/>
      <w:numFmt w:val="bullet"/>
      <w:lvlText w:val=""/>
      <w:lvlJc w:val="left"/>
      <w:pPr>
        <w:tabs>
          <w:tab w:val="num" w:pos="2160"/>
        </w:tabs>
        <w:ind w:left="2160" w:hanging="360"/>
      </w:pPr>
      <w:rPr>
        <w:rFonts w:ascii="Symbol" w:hAnsi="Symbol" w:hint="default"/>
      </w:rPr>
    </w:lvl>
    <w:lvl w:ilvl="3" w:tplc="4750363E" w:tentative="1">
      <w:start w:val="1"/>
      <w:numFmt w:val="bullet"/>
      <w:lvlText w:val=""/>
      <w:lvlJc w:val="left"/>
      <w:pPr>
        <w:tabs>
          <w:tab w:val="num" w:pos="2880"/>
        </w:tabs>
        <w:ind w:left="2880" w:hanging="360"/>
      </w:pPr>
      <w:rPr>
        <w:rFonts w:ascii="Symbol" w:hAnsi="Symbol" w:hint="default"/>
      </w:rPr>
    </w:lvl>
    <w:lvl w:ilvl="4" w:tplc="4F62C48C" w:tentative="1">
      <w:start w:val="1"/>
      <w:numFmt w:val="bullet"/>
      <w:lvlText w:val=""/>
      <w:lvlJc w:val="left"/>
      <w:pPr>
        <w:tabs>
          <w:tab w:val="num" w:pos="3600"/>
        </w:tabs>
        <w:ind w:left="3600" w:hanging="360"/>
      </w:pPr>
      <w:rPr>
        <w:rFonts w:ascii="Symbol" w:hAnsi="Symbol" w:hint="default"/>
      </w:rPr>
    </w:lvl>
    <w:lvl w:ilvl="5" w:tplc="DCFEAF2E" w:tentative="1">
      <w:start w:val="1"/>
      <w:numFmt w:val="bullet"/>
      <w:lvlText w:val=""/>
      <w:lvlJc w:val="left"/>
      <w:pPr>
        <w:tabs>
          <w:tab w:val="num" w:pos="4320"/>
        </w:tabs>
        <w:ind w:left="4320" w:hanging="360"/>
      </w:pPr>
      <w:rPr>
        <w:rFonts w:ascii="Symbol" w:hAnsi="Symbol" w:hint="default"/>
      </w:rPr>
    </w:lvl>
    <w:lvl w:ilvl="6" w:tplc="0CCE938A" w:tentative="1">
      <w:start w:val="1"/>
      <w:numFmt w:val="bullet"/>
      <w:lvlText w:val=""/>
      <w:lvlJc w:val="left"/>
      <w:pPr>
        <w:tabs>
          <w:tab w:val="num" w:pos="5040"/>
        </w:tabs>
        <w:ind w:left="5040" w:hanging="360"/>
      </w:pPr>
      <w:rPr>
        <w:rFonts w:ascii="Symbol" w:hAnsi="Symbol" w:hint="default"/>
      </w:rPr>
    </w:lvl>
    <w:lvl w:ilvl="7" w:tplc="81808190" w:tentative="1">
      <w:start w:val="1"/>
      <w:numFmt w:val="bullet"/>
      <w:lvlText w:val=""/>
      <w:lvlJc w:val="left"/>
      <w:pPr>
        <w:tabs>
          <w:tab w:val="num" w:pos="5760"/>
        </w:tabs>
        <w:ind w:left="5760" w:hanging="360"/>
      </w:pPr>
      <w:rPr>
        <w:rFonts w:ascii="Symbol" w:hAnsi="Symbol" w:hint="default"/>
      </w:rPr>
    </w:lvl>
    <w:lvl w:ilvl="8" w:tplc="13A01D5C"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70082EDF"/>
    <w:multiLevelType w:val="hybridMultilevel"/>
    <w:tmpl w:val="A5AADE3A"/>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FE58BD"/>
    <w:multiLevelType w:val="hybridMultilevel"/>
    <w:tmpl w:val="D37CD818"/>
    <w:lvl w:ilvl="0" w:tplc="661491D2">
      <w:start w:val="1"/>
      <w:numFmt w:val="bullet"/>
      <w:lvlText w:val=""/>
      <w:lvlJc w:val="left"/>
      <w:pPr>
        <w:tabs>
          <w:tab w:val="num" w:pos="360"/>
        </w:tabs>
        <w:ind w:left="360" w:hanging="360"/>
      </w:pPr>
      <w:rPr>
        <w:rFonts w:ascii="Symbol" w:hAnsi="Symbol" w:hint="default"/>
        <w:color w:val="auto"/>
        <w:sz w:val="20"/>
      </w:rPr>
    </w:lvl>
    <w:lvl w:ilvl="1" w:tplc="B4661D74">
      <w:numFmt w:val="bullet"/>
      <w:lvlText w:val="·"/>
      <w:lvlJc w:val="left"/>
      <w:pPr>
        <w:ind w:left="1440" w:hanging="360"/>
      </w:pPr>
      <w:rPr>
        <w:rFonts w:ascii="ITC Avant Garde" w:eastAsia="Times New Roman" w:hAnsi="ITC Avant Gard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8F72B7"/>
    <w:multiLevelType w:val="hybridMultilevel"/>
    <w:tmpl w:val="5C32741E"/>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60" w15:restartNumberingAfterBreak="0">
    <w:nsid w:val="73C93B16"/>
    <w:multiLevelType w:val="hybridMultilevel"/>
    <w:tmpl w:val="F0546D68"/>
    <w:lvl w:ilvl="0" w:tplc="8BBC3B28">
      <w:start w:val="1"/>
      <w:numFmt w:val="bullet"/>
      <w:lvlText w:val=""/>
      <w:lvlJc w:val="left"/>
      <w:pPr>
        <w:tabs>
          <w:tab w:val="num" w:pos="1068"/>
        </w:tabs>
        <w:ind w:left="1068" w:hanging="360"/>
      </w:pPr>
      <w:rPr>
        <w:rFonts w:ascii="Wingdings" w:hAnsi="Wingdings" w:hint="default"/>
      </w:rPr>
    </w:lvl>
    <w:lvl w:ilvl="1" w:tplc="DAC8D6AA">
      <w:start w:val="2344"/>
      <w:numFmt w:val="bullet"/>
      <w:lvlText w:val=""/>
      <w:lvlJc w:val="left"/>
      <w:pPr>
        <w:tabs>
          <w:tab w:val="num" w:pos="1788"/>
        </w:tabs>
        <w:ind w:left="1788" w:hanging="360"/>
      </w:pPr>
      <w:rPr>
        <w:rFonts w:ascii="Symbol" w:hAnsi="Symbol" w:hint="default"/>
      </w:rPr>
    </w:lvl>
    <w:lvl w:ilvl="2" w:tplc="D9FC3500">
      <w:start w:val="1"/>
      <w:numFmt w:val="bullet"/>
      <w:lvlText w:val=""/>
      <w:lvlJc w:val="left"/>
      <w:pPr>
        <w:tabs>
          <w:tab w:val="num" w:pos="2508"/>
        </w:tabs>
        <w:ind w:left="2508" w:hanging="360"/>
      </w:pPr>
      <w:rPr>
        <w:rFonts w:ascii="Wingdings" w:hAnsi="Wingdings" w:hint="default"/>
      </w:rPr>
    </w:lvl>
    <w:lvl w:ilvl="3" w:tplc="A02E81BA">
      <w:start w:val="1"/>
      <w:numFmt w:val="bullet"/>
      <w:lvlText w:val=""/>
      <w:lvlJc w:val="left"/>
      <w:pPr>
        <w:tabs>
          <w:tab w:val="num" w:pos="3228"/>
        </w:tabs>
        <w:ind w:left="3228" w:hanging="360"/>
      </w:pPr>
      <w:rPr>
        <w:rFonts w:ascii="Wingdings" w:hAnsi="Wingdings" w:hint="default"/>
      </w:rPr>
    </w:lvl>
    <w:lvl w:ilvl="4" w:tplc="2AFEDDA0" w:tentative="1">
      <w:start w:val="1"/>
      <w:numFmt w:val="bullet"/>
      <w:lvlText w:val=""/>
      <w:lvlJc w:val="left"/>
      <w:pPr>
        <w:tabs>
          <w:tab w:val="num" w:pos="3948"/>
        </w:tabs>
        <w:ind w:left="3948" w:hanging="360"/>
      </w:pPr>
      <w:rPr>
        <w:rFonts w:ascii="Wingdings" w:hAnsi="Wingdings" w:hint="default"/>
      </w:rPr>
    </w:lvl>
    <w:lvl w:ilvl="5" w:tplc="FF121EA0" w:tentative="1">
      <w:start w:val="1"/>
      <w:numFmt w:val="bullet"/>
      <w:lvlText w:val=""/>
      <w:lvlJc w:val="left"/>
      <w:pPr>
        <w:tabs>
          <w:tab w:val="num" w:pos="4668"/>
        </w:tabs>
        <w:ind w:left="4668" w:hanging="360"/>
      </w:pPr>
      <w:rPr>
        <w:rFonts w:ascii="Wingdings" w:hAnsi="Wingdings" w:hint="default"/>
      </w:rPr>
    </w:lvl>
    <w:lvl w:ilvl="6" w:tplc="6726993E" w:tentative="1">
      <w:start w:val="1"/>
      <w:numFmt w:val="bullet"/>
      <w:lvlText w:val=""/>
      <w:lvlJc w:val="left"/>
      <w:pPr>
        <w:tabs>
          <w:tab w:val="num" w:pos="5388"/>
        </w:tabs>
        <w:ind w:left="5388" w:hanging="360"/>
      </w:pPr>
      <w:rPr>
        <w:rFonts w:ascii="Wingdings" w:hAnsi="Wingdings" w:hint="default"/>
      </w:rPr>
    </w:lvl>
    <w:lvl w:ilvl="7" w:tplc="491C0F52" w:tentative="1">
      <w:start w:val="1"/>
      <w:numFmt w:val="bullet"/>
      <w:lvlText w:val=""/>
      <w:lvlJc w:val="left"/>
      <w:pPr>
        <w:tabs>
          <w:tab w:val="num" w:pos="6108"/>
        </w:tabs>
        <w:ind w:left="6108" w:hanging="360"/>
      </w:pPr>
      <w:rPr>
        <w:rFonts w:ascii="Wingdings" w:hAnsi="Wingdings" w:hint="default"/>
      </w:rPr>
    </w:lvl>
    <w:lvl w:ilvl="8" w:tplc="2F54F212"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7463399A"/>
    <w:multiLevelType w:val="hybridMultilevel"/>
    <w:tmpl w:val="26C6E476"/>
    <w:styleLink w:val="1ai3"/>
    <w:lvl w:ilvl="0" w:tplc="382E83D0">
      <w:start w:val="1"/>
      <w:numFmt w:val="bullet"/>
      <w:lvlText w:val=""/>
      <w:lvlJc w:val="left"/>
      <w:pPr>
        <w:tabs>
          <w:tab w:val="num" w:pos="720"/>
        </w:tabs>
        <w:ind w:left="720" w:hanging="360"/>
      </w:pPr>
      <w:rPr>
        <w:rFonts w:ascii="Wingdings" w:hAnsi="Wingdings" w:hint="default"/>
      </w:rPr>
    </w:lvl>
    <w:lvl w:ilvl="1" w:tplc="269CB65A">
      <w:start w:val="2344"/>
      <w:numFmt w:val="bullet"/>
      <w:lvlText w:val=""/>
      <w:lvlJc w:val="left"/>
      <w:pPr>
        <w:tabs>
          <w:tab w:val="num" w:pos="1440"/>
        </w:tabs>
        <w:ind w:left="1440" w:hanging="360"/>
      </w:pPr>
      <w:rPr>
        <w:rFonts w:ascii="Symbol" w:hAnsi="Symbol" w:hint="default"/>
      </w:rPr>
    </w:lvl>
    <w:lvl w:ilvl="2" w:tplc="2334FE40" w:tentative="1">
      <w:start w:val="1"/>
      <w:numFmt w:val="bullet"/>
      <w:lvlText w:val=""/>
      <w:lvlJc w:val="left"/>
      <w:pPr>
        <w:tabs>
          <w:tab w:val="num" w:pos="2160"/>
        </w:tabs>
        <w:ind w:left="2160" w:hanging="360"/>
      </w:pPr>
      <w:rPr>
        <w:rFonts w:ascii="Wingdings" w:hAnsi="Wingdings" w:hint="default"/>
      </w:rPr>
    </w:lvl>
    <w:lvl w:ilvl="3" w:tplc="A1F00C70" w:tentative="1">
      <w:start w:val="1"/>
      <w:numFmt w:val="bullet"/>
      <w:lvlText w:val=""/>
      <w:lvlJc w:val="left"/>
      <w:pPr>
        <w:tabs>
          <w:tab w:val="num" w:pos="2880"/>
        </w:tabs>
        <w:ind w:left="2880" w:hanging="360"/>
      </w:pPr>
      <w:rPr>
        <w:rFonts w:ascii="Wingdings" w:hAnsi="Wingdings" w:hint="default"/>
      </w:rPr>
    </w:lvl>
    <w:lvl w:ilvl="4" w:tplc="8BD62CE6" w:tentative="1">
      <w:start w:val="1"/>
      <w:numFmt w:val="bullet"/>
      <w:lvlText w:val=""/>
      <w:lvlJc w:val="left"/>
      <w:pPr>
        <w:tabs>
          <w:tab w:val="num" w:pos="3600"/>
        </w:tabs>
        <w:ind w:left="3600" w:hanging="360"/>
      </w:pPr>
      <w:rPr>
        <w:rFonts w:ascii="Wingdings" w:hAnsi="Wingdings" w:hint="default"/>
      </w:rPr>
    </w:lvl>
    <w:lvl w:ilvl="5" w:tplc="DB04B112" w:tentative="1">
      <w:start w:val="1"/>
      <w:numFmt w:val="bullet"/>
      <w:lvlText w:val=""/>
      <w:lvlJc w:val="left"/>
      <w:pPr>
        <w:tabs>
          <w:tab w:val="num" w:pos="4320"/>
        </w:tabs>
        <w:ind w:left="4320" w:hanging="360"/>
      </w:pPr>
      <w:rPr>
        <w:rFonts w:ascii="Wingdings" w:hAnsi="Wingdings" w:hint="default"/>
      </w:rPr>
    </w:lvl>
    <w:lvl w:ilvl="6" w:tplc="727C977C" w:tentative="1">
      <w:start w:val="1"/>
      <w:numFmt w:val="bullet"/>
      <w:lvlText w:val=""/>
      <w:lvlJc w:val="left"/>
      <w:pPr>
        <w:tabs>
          <w:tab w:val="num" w:pos="5040"/>
        </w:tabs>
        <w:ind w:left="5040" w:hanging="360"/>
      </w:pPr>
      <w:rPr>
        <w:rFonts w:ascii="Wingdings" w:hAnsi="Wingdings" w:hint="default"/>
      </w:rPr>
    </w:lvl>
    <w:lvl w:ilvl="7" w:tplc="E74A91B0" w:tentative="1">
      <w:start w:val="1"/>
      <w:numFmt w:val="bullet"/>
      <w:lvlText w:val=""/>
      <w:lvlJc w:val="left"/>
      <w:pPr>
        <w:tabs>
          <w:tab w:val="num" w:pos="5760"/>
        </w:tabs>
        <w:ind w:left="5760" w:hanging="360"/>
      </w:pPr>
      <w:rPr>
        <w:rFonts w:ascii="Wingdings" w:hAnsi="Wingdings" w:hint="default"/>
      </w:rPr>
    </w:lvl>
    <w:lvl w:ilvl="8" w:tplc="B5CCD81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5186999"/>
    <w:multiLevelType w:val="hybridMultilevel"/>
    <w:tmpl w:val="D660D25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3" w15:restartNumberingAfterBreak="0">
    <w:nsid w:val="76F6190C"/>
    <w:multiLevelType w:val="hybridMultilevel"/>
    <w:tmpl w:val="18C45B44"/>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0D7B25"/>
    <w:multiLevelType w:val="hybridMultilevel"/>
    <w:tmpl w:val="363856E0"/>
    <w:lvl w:ilvl="0" w:tplc="86166C9A">
      <w:start w:val="22"/>
      <w:numFmt w:val="decimal"/>
      <w:lvlText w:val="%1)"/>
      <w:lvlJc w:val="left"/>
      <w:pPr>
        <w:ind w:left="720" w:hanging="360"/>
      </w:pPr>
      <w:rPr>
        <w:rFonts w:ascii="ITC Avant Garde" w:hAnsi="ITC Avant Garde"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7CA4CDA"/>
    <w:multiLevelType w:val="hybridMultilevel"/>
    <w:tmpl w:val="2082890E"/>
    <w:lvl w:ilvl="0" w:tplc="B540F4DA">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A927D6F"/>
    <w:multiLevelType w:val="hybridMultilevel"/>
    <w:tmpl w:val="F1921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B7B5E04"/>
    <w:multiLevelType w:val="hybridMultilevel"/>
    <w:tmpl w:val="16FC0B94"/>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BE14AE0"/>
    <w:multiLevelType w:val="hybridMultilevel"/>
    <w:tmpl w:val="9B409212"/>
    <w:lvl w:ilvl="0" w:tplc="5AB09D4A">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42"/>
  </w:num>
  <w:num w:numId="2">
    <w:abstractNumId w:val="20"/>
  </w:num>
  <w:num w:numId="3">
    <w:abstractNumId w:val="47"/>
  </w:num>
  <w:num w:numId="4">
    <w:abstractNumId w:val="0"/>
  </w:num>
  <w:num w:numId="5">
    <w:abstractNumId w:val="36"/>
  </w:num>
  <w:num w:numId="6">
    <w:abstractNumId w:val="1"/>
  </w:num>
  <w:num w:numId="7">
    <w:abstractNumId w:val="28"/>
  </w:num>
  <w:num w:numId="8">
    <w:abstractNumId w:val="50"/>
  </w:num>
  <w:num w:numId="9">
    <w:abstractNumId w:val="58"/>
  </w:num>
  <w:num w:numId="10">
    <w:abstractNumId w:val="24"/>
  </w:num>
  <w:num w:numId="11">
    <w:abstractNumId w:val="40"/>
  </w:num>
  <w:num w:numId="12">
    <w:abstractNumId w:val="10"/>
  </w:num>
  <w:num w:numId="13">
    <w:abstractNumId w:val="26"/>
  </w:num>
  <w:num w:numId="14">
    <w:abstractNumId w:val="9"/>
  </w:num>
  <w:num w:numId="15">
    <w:abstractNumId w:val="51"/>
  </w:num>
  <w:num w:numId="16">
    <w:abstractNumId w:val="2"/>
  </w:num>
  <w:num w:numId="17">
    <w:abstractNumId w:val="43"/>
  </w:num>
  <w:num w:numId="18">
    <w:abstractNumId w:val="32"/>
  </w:num>
  <w:num w:numId="19">
    <w:abstractNumId w:val="14"/>
  </w:num>
  <w:num w:numId="20">
    <w:abstractNumId w:val="29"/>
  </w:num>
  <w:num w:numId="21">
    <w:abstractNumId w:val="3"/>
  </w:num>
  <w:num w:numId="22">
    <w:abstractNumId w:val="56"/>
  </w:num>
  <w:num w:numId="23">
    <w:abstractNumId w:val="30"/>
  </w:num>
  <w:num w:numId="24">
    <w:abstractNumId w:val="31"/>
  </w:num>
  <w:num w:numId="25">
    <w:abstractNumId w:val="61"/>
  </w:num>
  <w:num w:numId="26">
    <w:abstractNumId w:val="60"/>
  </w:num>
  <w:num w:numId="27">
    <w:abstractNumId w:val="59"/>
  </w:num>
  <w:num w:numId="28">
    <w:abstractNumId w:val="54"/>
  </w:num>
  <w:num w:numId="29">
    <w:abstractNumId w:val="48"/>
  </w:num>
  <w:num w:numId="30">
    <w:abstractNumId w:val="7"/>
  </w:num>
  <w:num w:numId="31">
    <w:abstractNumId w:val="11"/>
  </w:num>
  <w:num w:numId="32">
    <w:abstractNumId w:val="12"/>
  </w:num>
  <w:num w:numId="33">
    <w:abstractNumId w:val="46"/>
  </w:num>
  <w:num w:numId="34">
    <w:abstractNumId w:val="37"/>
  </w:num>
  <w:num w:numId="35">
    <w:abstractNumId w:val="8"/>
  </w:num>
  <w:num w:numId="36">
    <w:abstractNumId w:val="33"/>
  </w:num>
  <w:num w:numId="37">
    <w:abstractNumId w:val="63"/>
  </w:num>
  <w:num w:numId="38">
    <w:abstractNumId w:val="57"/>
  </w:num>
  <w:num w:numId="39">
    <w:abstractNumId w:val="55"/>
  </w:num>
  <w:num w:numId="40">
    <w:abstractNumId w:val="52"/>
  </w:num>
  <w:num w:numId="41">
    <w:abstractNumId w:val="21"/>
  </w:num>
  <w:num w:numId="42">
    <w:abstractNumId w:val="44"/>
  </w:num>
  <w:num w:numId="43">
    <w:abstractNumId w:val="38"/>
  </w:num>
  <w:num w:numId="44">
    <w:abstractNumId w:val="27"/>
  </w:num>
  <w:num w:numId="45">
    <w:abstractNumId w:val="16"/>
  </w:num>
  <w:num w:numId="46">
    <w:abstractNumId w:val="68"/>
  </w:num>
  <w:num w:numId="47">
    <w:abstractNumId w:val="62"/>
  </w:num>
  <w:num w:numId="48">
    <w:abstractNumId w:val="39"/>
  </w:num>
  <w:num w:numId="49">
    <w:abstractNumId w:val="53"/>
  </w:num>
  <w:num w:numId="50">
    <w:abstractNumId w:val="18"/>
  </w:num>
  <w:num w:numId="51">
    <w:abstractNumId w:val="41"/>
  </w:num>
  <w:num w:numId="52">
    <w:abstractNumId w:val="25"/>
  </w:num>
  <w:num w:numId="53">
    <w:abstractNumId w:val="45"/>
  </w:num>
  <w:num w:numId="54">
    <w:abstractNumId w:val="4"/>
  </w:num>
  <w:num w:numId="55">
    <w:abstractNumId w:val="49"/>
  </w:num>
  <w:num w:numId="56">
    <w:abstractNumId w:val="13"/>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66"/>
  </w:num>
  <w:num w:numId="60">
    <w:abstractNumId w:val="19"/>
  </w:num>
  <w:num w:numId="61">
    <w:abstractNumId w:val="34"/>
  </w:num>
  <w:num w:numId="62">
    <w:abstractNumId w:val="6"/>
  </w:num>
  <w:num w:numId="63">
    <w:abstractNumId w:val="65"/>
  </w:num>
  <w:num w:numId="64">
    <w:abstractNumId w:val="22"/>
  </w:num>
  <w:num w:numId="65">
    <w:abstractNumId w:val="64"/>
  </w:num>
  <w:num w:numId="66">
    <w:abstractNumId w:val="35"/>
  </w:num>
  <w:num w:numId="67">
    <w:abstractNumId w:val="15"/>
  </w:num>
  <w:num w:numId="68">
    <w:abstractNumId w:val="17"/>
  </w:num>
  <w:num w:numId="69">
    <w:abstractNumId w:val="23"/>
  </w:num>
  <w:num w:numId="70">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36B5"/>
    <w:rsid w:val="0000466B"/>
    <w:rsid w:val="000046E8"/>
    <w:rsid w:val="000067D6"/>
    <w:rsid w:val="00006DC5"/>
    <w:rsid w:val="0001292B"/>
    <w:rsid w:val="00012DA9"/>
    <w:rsid w:val="00012DCC"/>
    <w:rsid w:val="000136CF"/>
    <w:rsid w:val="000144ED"/>
    <w:rsid w:val="00014CB2"/>
    <w:rsid w:val="000154B0"/>
    <w:rsid w:val="000174C3"/>
    <w:rsid w:val="00017641"/>
    <w:rsid w:val="00020418"/>
    <w:rsid w:val="00021683"/>
    <w:rsid w:val="000217EA"/>
    <w:rsid w:val="00021B33"/>
    <w:rsid w:val="000246BB"/>
    <w:rsid w:val="000253CB"/>
    <w:rsid w:val="00025A07"/>
    <w:rsid w:val="000318DB"/>
    <w:rsid w:val="00031C6F"/>
    <w:rsid w:val="000340CC"/>
    <w:rsid w:val="000354FA"/>
    <w:rsid w:val="0003593D"/>
    <w:rsid w:val="00036614"/>
    <w:rsid w:val="00036A9B"/>
    <w:rsid w:val="00037666"/>
    <w:rsid w:val="000377C2"/>
    <w:rsid w:val="00037AA0"/>
    <w:rsid w:val="00037AE1"/>
    <w:rsid w:val="000426D2"/>
    <w:rsid w:val="00044001"/>
    <w:rsid w:val="000513E8"/>
    <w:rsid w:val="00052F70"/>
    <w:rsid w:val="00063486"/>
    <w:rsid w:val="00063CE4"/>
    <w:rsid w:val="000646A4"/>
    <w:rsid w:val="00067DB3"/>
    <w:rsid w:val="0007009D"/>
    <w:rsid w:val="00070928"/>
    <w:rsid w:val="00071DC6"/>
    <w:rsid w:val="00072BC8"/>
    <w:rsid w:val="00072FAC"/>
    <w:rsid w:val="00073DF6"/>
    <w:rsid w:val="0007400C"/>
    <w:rsid w:val="000753BA"/>
    <w:rsid w:val="0007561E"/>
    <w:rsid w:val="00080433"/>
    <w:rsid w:val="00081503"/>
    <w:rsid w:val="000827C4"/>
    <w:rsid w:val="00083ECA"/>
    <w:rsid w:val="0009035D"/>
    <w:rsid w:val="00090BD3"/>
    <w:rsid w:val="00092E66"/>
    <w:rsid w:val="000957D4"/>
    <w:rsid w:val="000A3178"/>
    <w:rsid w:val="000A52C6"/>
    <w:rsid w:val="000B7268"/>
    <w:rsid w:val="000C0BDD"/>
    <w:rsid w:val="000C1EC7"/>
    <w:rsid w:val="000C253A"/>
    <w:rsid w:val="000C3951"/>
    <w:rsid w:val="000C3E13"/>
    <w:rsid w:val="000C49F0"/>
    <w:rsid w:val="000C51A2"/>
    <w:rsid w:val="000C5581"/>
    <w:rsid w:val="000D1739"/>
    <w:rsid w:val="000D26E1"/>
    <w:rsid w:val="000D4A5F"/>
    <w:rsid w:val="000E06B0"/>
    <w:rsid w:val="000E517F"/>
    <w:rsid w:val="000E5D3C"/>
    <w:rsid w:val="000E6B08"/>
    <w:rsid w:val="000E7384"/>
    <w:rsid w:val="000E7CB9"/>
    <w:rsid w:val="000F3AAD"/>
    <w:rsid w:val="000F49A8"/>
    <w:rsid w:val="000F6299"/>
    <w:rsid w:val="000F7D79"/>
    <w:rsid w:val="000F7F33"/>
    <w:rsid w:val="00100FE2"/>
    <w:rsid w:val="00104E0F"/>
    <w:rsid w:val="00106523"/>
    <w:rsid w:val="00107D0F"/>
    <w:rsid w:val="001161C8"/>
    <w:rsid w:val="001215D7"/>
    <w:rsid w:val="00121CF4"/>
    <w:rsid w:val="00123F6D"/>
    <w:rsid w:val="001248E3"/>
    <w:rsid w:val="00126930"/>
    <w:rsid w:val="00131603"/>
    <w:rsid w:val="00140E59"/>
    <w:rsid w:val="00141048"/>
    <w:rsid w:val="001418DD"/>
    <w:rsid w:val="00141F6C"/>
    <w:rsid w:val="00145A91"/>
    <w:rsid w:val="0014619F"/>
    <w:rsid w:val="0014699F"/>
    <w:rsid w:val="00151901"/>
    <w:rsid w:val="001524F8"/>
    <w:rsid w:val="001536FC"/>
    <w:rsid w:val="00162194"/>
    <w:rsid w:val="00163C1E"/>
    <w:rsid w:val="001643CC"/>
    <w:rsid w:val="001651B5"/>
    <w:rsid w:val="00165331"/>
    <w:rsid w:val="0016725B"/>
    <w:rsid w:val="001700AE"/>
    <w:rsid w:val="00171B62"/>
    <w:rsid w:val="00171CA3"/>
    <w:rsid w:val="001760AB"/>
    <w:rsid w:val="001766D8"/>
    <w:rsid w:val="00176A7A"/>
    <w:rsid w:val="00177E23"/>
    <w:rsid w:val="00182431"/>
    <w:rsid w:val="001849B1"/>
    <w:rsid w:val="00186217"/>
    <w:rsid w:val="00186EFA"/>
    <w:rsid w:val="00186F35"/>
    <w:rsid w:val="0018762A"/>
    <w:rsid w:val="00187791"/>
    <w:rsid w:val="00190312"/>
    <w:rsid w:val="00191DBC"/>
    <w:rsid w:val="001962A8"/>
    <w:rsid w:val="001A42D4"/>
    <w:rsid w:val="001A5C7E"/>
    <w:rsid w:val="001B0577"/>
    <w:rsid w:val="001B2E19"/>
    <w:rsid w:val="001B48C1"/>
    <w:rsid w:val="001B58A1"/>
    <w:rsid w:val="001B61D3"/>
    <w:rsid w:val="001C10B5"/>
    <w:rsid w:val="001C183C"/>
    <w:rsid w:val="001C1DA7"/>
    <w:rsid w:val="001C27EB"/>
    <w:rsid w:val="001C29D5"/>
    <w:rsid w:val="001C2A2B"/>
    <w:rsid w:val="001C34F5"/>
    <w:rsid w:val="001C42FD"/>
    <w:rsid w:val="001C5A3B"/>
    <w:rsid w:val="001D2599"/>
    <w:rsid w:val="001D39D6"/>
    <w:rsid w:val="001D4C13"/>
    <w:rsid w:val="001D4D4A"/>
    <w:rsid w:val="001D52D5"/>
    <w:rsid w:val="001D54DA"/>
    <w:rsid w:val="001E2D1C"/>
    <w:rsid w:val="001E46C8"/>
    <w:rsid w:val="001E7476"/>
    <w:rsid w:val="001E7DAD"/>
    <w:rsid w:val="001F0564"/>
    <w:rsid w:val="001F113D"/>
    <w:rsid w:val="001F43A3"/>
    <w:rsid w:val="001F4540"/>
    <w:rsid w:val="001F4CED"/>
    <w:rsid w:val="0020276B"/>
    <w:rsid w:val="00203224"/>
    <w:rsid w:val="00203306"/>
    <w:rsid w:val="002052EE"/>
    <w:rsid w:val="00207B5A"/>
    <w:rsid w:val="00210A7B"/>
    <w:rsid w:val="00210C26"/>
    <w:rsid w:val="00211B61"/>
    <w:rsid w:val="002144A4"/>
    <w:rsid w:val="00214763"/>
    <w:rsid w:val="00217EDB"/>
    <w:rsid w:val="00221251"/>
    <w:rsid w:val="002220F8"/>
    <w:rsid w:val="002224F8"/>
    <w:rsid w:val="0022260B"/>
    <w:rsid w:val="0022481E"/>
    <w:rsid w:val="002248E6"/>
    <w:rsid w:val="002260E9"/>
    <w:rsid w:val="0022735C"/>
    <w:rsid w:val="00227D6F"/>
    <w:rsid w:val="002341A4"/>
    <w:rsid w:val="00235DD2"/>
    <w:rsid w:val="00235FAF"/>
    <w:rsid w:val="00236A13"/>
    <w:rsid w:val="002370A4"/>
    <w:rsid w:val="0023752B"/>
    <w:rsid w:val="00237CF8"/>
    <w:rsid w:val="002402A4"/>
    <w:rsid w:val="0024284F"/>
    <w:rsid w:val="00250318"/>
    <w:rsid w:val="00250404"/>
    <w:rsid w:val="00260DC3"/>
    <w:rsid w:val="00262B09"/>
    <w:rsid w:val="002647A6"/>
    <w:rsid w:val="002656A2"/>
    <w:rsid w:val="002662AE"/>
    <w:rsid w:val="00266916"/>
    <w:rsid w:val="00267157"/>
    <w:rsid w:val="00270647"/>
    <w:rsid w:val="0027101F"/>
    <w:rsid w:val="00272B28"/>
    <w:rsid w:val="00273C86"/>
    <w:rsid w:val="00275F77"/>
    <w:rsid w:val="00277660"/>
    <w:rsid w:val="00281208"/>
    <w:rsid w:val="00281E1E"/>
    <w:rsid w:val="00283BB3"/>
    <w:rsid w:val="002843D4"/>
    <w:rsid w:val="002848E2"/>
    <w:rsid w:val="00284C23"/>
    <w:rsid w:val="00285405"/>
    <w:rsid w:val="002868F8"/>
    <w:rsid w:val="00290501"/>
    <w:rsid w:val="00292AA3"/>
    <w:rsid w:val="00293699"/>
    <w:rsid w:val="00295130"/>
    <w:rsid w:val="002A2D61"/>
    <w:rsid w:val="002A489F"/>
    <w:rsid w:val="002A4A83"/>
    <w:rsid w:val="002A4B85"/>
    <w:rsid w:val="002A5023"/>
    <w:rsid w:val="002A5086"/>
    <w:rsid w:val="002A509F"/>
    <w:rsid w:val="002A5407"/>
    <w:rsid w:val="002B2D81"/>
    <w:rsid w:val="002B56B9"/>
    <w:rsid w:val="002C0F76"/>
    <w:rsid w:val="002C1007"/>
    <w:rsid w:val="002C27B8"/>
    <w:rsid w:val="002C2F27"/>
    <w:rsid w:val="002C5536"/>
    <w:rsid w:val="002C5A6B"/>
    <w:rsid w:val="002C5ADC"/>
    <w:rsid w:val="002C6E8D"/>
    <w:rsid w:val="002D1330"/>
    <w:rsid w:val="002D4A31"/>
    <w:rsid w:val="002D5738"/>
    <w:rsid w:val="002D74E0"/>
    <w:rsid w:val="002E039C"/>
    <w:rsid w:val="002E0898"/>
    <w:rsid w:val="002E1116"/>
    <w:rsid w:val="002E16E0"/>
    <w:rsid w:val="002E1A01"/>
    <w:rsid w:val="002E1C87"/>
    <w:rsid w:val="002F13D3"/>
    <w:rsid w:val="002F6467"/>
    <w:rsid w:val="002F6F71"/>
    <w:rsid w:val="003011CD"/>
    <w:rsid w:val="00301A07"/>
    <w:rsid w:val="003029DC"/>
    <w:rsid w:val="003066B9"/>
    <w:rsid w:val="00307EE5"/>
    <w:rsid w:val="00312A4B"/>
    <w:rsid w:val="00315428"/>
    <w:rsid w:val="00317DE7"/>
    <w:rsid w:val="0032177D"/>
    <w:rsid w:val="00321CC4"/>
    <w:rsid w:val="003234BF"/>
    <w:rsid w:val="0032421B"/>
    <w:rsid w:val="00324A13"/>
    <w:rsid w:val="00325546"/>
    <w:rsid w:val="00326CDF"/>
    <w:rsid w:val="00333903"/>
    <w:rsid w:val="00335B5B"/>
    <w:rsid w:val="003432E6"/>
    <w:rsid w:val="003443B7"/>
    <w:rsid w:val="0034442D"/>
    <w:rsid w:val="003465EE"/>
    <w:rsid w:val="0035707A"/>
    <w:rsid w:val="003574C8"/>
    <w:rsid w:val="00360022"/>
    <w:rsid w:val="003611D8"/>
    <w:rsid w:val="003630E9"/>
    <w:rsid w:val="003637D4"/>
    <w:rsid w:val="00363B70"/>
    <w:rsid w:val="00363BA3"/>
    <w:rsid w:val="00364B99"/>
    <w:rsid w:val="00365D37"/>
    <w:rsid w:val="00366146"/>
    <w:rsid w:val="00373118"/>
    <w:rsid w:val="003737AD"/>
    <w:rsid w:val="00376663"/>
    <w:rsid w:val="003772C4"/>
    <w:rsid w:val="0037730A"/>
    <w:rsid w:val="00380097"/>
    <w:rsid w:val="00383379"/>
    <w:rsid w:val="00384751"/>
    <w:rsid w:val="003851AB"/>
    <w:rsid w:val="00385C0C"/>
    <w:rsid w:val="00387EE0"/>
    <w:rsid w:val="00397B27"/>
    <w:rsid w:val="003A2E4A"/>
    <w:rsid w:val="003A55E5"/>
    <w:rsid w:val="003A5F07"/>
    <w:rsid w:val="003B38F2"/>
    <w:rsid w:val="003B3D2B"/>
    <w:rsid w:val="003B652A"/>
    <w:rsid w:val="003B7182"/>
    <w:rsid w:val="003B730D"/>
    <w:rsid w:val="003C1E20"/>
    <w:rsid w:val="003C5CB3"/>
    <w:rsid w:val="003C6C9D"/>
    <w:rsid w:val="003C6D25"/>
    <w:rsid w:val="003D3C33"/>
    <w:rsid w:val="003D4580"/>
    <w:rsid w:val="003D5A5B"/>
    <w:rsid w:val="003E1721"/>
    <w:rsid w:val="003E1EAA"/>
    <w:rsid w:val="003E2372"/>
    <w:rsid w:val="003E5F3E"/>
    <w:rsid w:val="003E6AAF"/>
    <w:rsid w:val="003F3066"/>
    <w:rsid w:val="003F3EF5"/>
    <w:rsid w:val="003F5D75"/>
    <w:rsid w:val="00400F75"/>
    <w:rsid w:val="00401318"/>
    <w:rsid w:val="004013B1"/>
    <w:rsid w:val="00401F84"/>
    <w:rsid w:val="00402486"/>
    <w:rsid w:val="00403465"/>
    <w:rsid w:val="004069BD"/>
    <w:rsid w:val="00411474"/>
    <w:rsid w:val="004120D9"/>
    <w:rsid w:val="004143AF"/>
    <w:rsid w:val="00416B18"/>
    <w:rsid w:val="00416E74"/>
    <w:rsid w:val="004265EF"/>
    <w:rsid w:val="00431629"/>
    <w:rsid w:val="00431CC0"/>
    <w:rsid w:val="004331F5"/>
    <w:rsid w:val="004343C7"/>
    <w:rsid w:val="00434ADB"/>
    <w:rsid w:val="00444E66"/>
    <w:rsid w:val="00455E3D"/>
    <w:rsid w:val="0045606D"/>
    <w:rsid w:val="00456268"/>
    <w:rsid w:val="004573D5"/>
    <w:rsid w:val="00457EAE"/>
    <w:rsid w:val="004605C2"/>
    <w:rsid w:val="00465CFD"/>
    <w:rsid w:val="0046758A"/>
    <w:rsid w:val="00471BF6"/>
    <w:rsid w:val="00472168"/>
    <w:rsid w:val="00482383"/>
    <w:rsid w:val="00482617"/>
    <w:rsid w:val="00482B17"/>
    <w:rsid w:val="00483E8C"/>
    <w:rsid w:val="00485560"/>
    <w:rsid w:val="004873D9"/>
    <w:rsid w:val="00487BDA"/>
    <w:rsid w:val="00491C26"/>
    <w:rsid w:val="004923FC"/>
    <w:rsid w:val="004946C1"/>
    <w:rsid w:val="004954AD"/>
    <w:rsid w:val="00495C6E"/>
    <w:rsid w:val="00497331"/>
    <w:rsid w:val="00497460"/>
    <w:rsid w:val="004A2220"/>
    <w:rsid w:val="004A49C8"/>
    <w:rsid w:val="004A4FED"/>
    <w:rsid w:val="004A6D0A"/>
    <w:rsid w:val="004A76A7"/>
    <w:rsid w:val="004B18C6"/>
    <w:rsid w:val="004B3BA0"/>
    <w:rsid w:val="004B44DC"/>
    <w:rsid w:val="004B79DB"/>
    <w:rsid w:val="004B7B4F"/>
    <w:rsid w:val="004C0D68"/>
    <w:rsid w:val="004C3822"/>
    <w:rsid w:val="004C440B"/>
    <w:rsid w:val="004C5603"/>
    <w:rsid w:val="004D2849"/>
    <w:rsid w:val="004D484A"/>
    <w:rsid w:val="004E1422"/>
    <w:rsid w:val="004E2931"/>
    <w:rsid w:val="004E53DD"/>
    <w:rsid w:val="004E7403"/>
    <w:rsid w:val="004F0169"/>
    <w:rsid w:val="004F04D7"/>
    <w:rsid w:val="004F0535"/>
    <w:rsid w:val="004F1D7C"/>
    <w:rsid w:val="004F2732"/>
    <w:rsid w:val="004F2DF7"/>
    <w:rsid w:val="004F330B"/>
    <w:rsid w:val="004F36E9"/>
    <w:rsid w:val="004F45D9"/>
    <w:rsid w:val="00503D38"/>
    <w:rsid w:val="00504D9D"/>
    <w:rsid w:val="00504FF0"/>
    <w:rsid w:val="00506620"/>
    <w:rsid w:val="005107DE"/>
    <w:rsid w:val="00510A54"/>
    <w:rsid w:val="00511257"/>
    <w:rsid w:val="00512FCD"/>
    <w:rsid w:val="0051331D"/>
    <w:rsid w:val="0051488F"/>
    <w:rsid w:val="00517FC6"/>
    <w:rsid w:val="00522BAE"/>
    <w:rsid w:val="00522DD8"/>
    <w:rsid w:val="00525A48"/>
    <w:rsid w:val="005260C1"/>
    <w:rsid w:val="00527EA2"/>
    <w:rsid w:val="00530495"/>
    <w:rsid w:val="00540580"/>
    <w:rsid w:val="00540A16"/>
    <w:rsid w:val="00540F84"/>
    <w:rsid w:val="00541773"/>
    <w:rsid w:val="00543875"/>
    <w:rsid w:val="005459CB"/>
    <w:rsid w:val="0054639F"/>
    <w:rsid w:val="005503DB"/>
    <w:rsid w:val="005523D6"/>
    <w:rsid w:val="005526B7"/>
    <w:rsid w:val="005546D1"/>
    <w:rsid w:val="00555985"/>
    <w:rsid w:val="00561E4A"/>
    <w:rsid w:val="00562D36"/>
    <w:rsid w:val="0056473A"/>
    <w:rsid w:val="00565E33"/>
    <w:rsid w:val="00566805"/>
    <w:rsid w:val="0056687B"/>
    <w:rsid w:val="00567569"/>
    <w:rsid w:val="00570315"/>
    <w:rsid w:val="00570CDB"/>
    <w:rsid w:val="005723BC"/>
    <w:rsid w:val="005728FC"/>
    <w:rsid w:val="005749C9"/>
    <w:rsid w:val="0057522A"/>
    <w:rsid w:val="005763CF"/>
    <w:rsid w:val="00580365"/>
    <w:rsid w:val="005842D4"/>
    <w:rsid w:val="00586592"/>
    <w:rsid w:val="0059042D"/>
    <w:rsid w:val="005931AB"/>
    <w:rsid w:val="005932DB"/>
    <w:rsid w:val="0059615D"/>
    <w:rsid w:val="005A094C"/>
    <w:rsid w:val="005A0BA6"/>
    <w:rsid w:val="005A0C60"/>
    <w:rsid w:val="005A1B78"/>
    <w:rsid w:val="005A2134"/>
    <w:rsid w:val="005A584B"/>
    <w:rsid w:val="005A59FD"/>
    <w:rsid w:val="005A6FEA"/>
    <w:rsid w:val="005B00B5"/>
    <w:rsid w:val="005B084C"/>
    <w:rsid w:val="005B3FB4"/>
    <w:rsid w:val="005B5F22"/>
    <w:rsid w:val="005B65B3"/>
    <w:rsid w:val="005C1D26"/>
    <w:rsid w:val="005C278B"/>
    <w:rsid w:val="005C2F77"/>
    <w:rsid w:val="005C3E4E"/>
    <w:rsid w:val="005D03D7"/>
    <w:rsid w:val="005D2BB8"/>
    <w:rsid w:val="005D3FC0"/>
    <w:rsid w:val="005D5B30"/>
    <w:rsid w:val="005D684A"/>
    <w:rsid w:val="005E070E"/>
    <w:rsid w:val="005E0A22"/>
    <w:rsid w:val="005E1C11"/>
    <w:rsid w:val="005E1D47"/>
    <w:rsid w:val="005E2BD9"/>
    <w:rsid w:val="005F0E05"/>
    <w:rsid w:val="005F20D4"/>
    <w:rsid w:val="005F28A1"/>
    <w:rsid w:val="005F2C5B"/>
    <w:rsid w:val="005F2F97"/>
    <w:rsid w:val="00605BB7"/>
    <w:rsid w:val="00611BC5"/>
    <w:rsid w:val="006158C0"/>
    <w:rsid w:val="00615AF5"/>
    <w:rsid w:val="00615D7E"/>
    <w:rsid w:val="00621097"/>
    <w:rsid w:val="006220E5"/>
    <w:rsid w:val="00624AB8"/>
    <w:rsid w:val="00624CC7"/>
    <w:rsid w:val="006253A6"/>
    <w:rsid w:val="00634AC3"/>
    <w:rsid w:val="00635ECD"/>
    <w:rsid w:val="006431D3"/>
    <w:rsid w:val="006519C0"/>
    <w:rsid w:val="006542C2"/>
    <w:rsid w:val="006609B8"/>
    <w:rsid w:val="00662FFF"/>
    <w:rsid w:val="0066351F"/>
    <w:rsid w:val="00665562"/>
    <w:rsid w:val="006664DD"/>
    <w:rsid w:val="0067030E"/>
    <w:rsid w:val="00671292"/>
    <w:rsid w:val="00672C7C"/>
    <w:rsid w:val="0067461C"/>
    <w:rsid w:val="00677453"/>
    <w:rsid w:val="00677AB4"/>
    <w:rsid w:val="006800C5"/>
    <w:rsid w:val="00680283"/>
    <w:rsid w:val="0068192E"/>
    <w:rsid w:val="00682CB8"/>
    <w:rsid w:val="00683799"/>
    <w:rsid w:val="00683D5C"/>
    <w:rsid w:val="00684F16"/>
    <w:rsid w:val="0069102E"/>
    <w:rsid w:val="0069481F"/>
    <w:rsid w:val="00697217"/>
    <w:rsid w:val="0069743A"/>
    <w:rsid w:val="00697A8E"/>
    <w:rsid w:val="006A0436"/>
    <w:rsid w:val="006A046D"/>
    <w:rsid w:val="006A0F08"/>
    <w:rsid w:val="006A34C2"/>
    <w:rsid w:val="006A5496"/>
    <w:rsid w:val="006A718C"/>
    <w:rsid w:val="006B3BAD"/>
    <w:rsid w:val="006B49D0"/>
    <w:rsid w:val="006B67CE"/>
    <w:rsid w:val="006C0823"/>
    <w:rsid w:val="006C0D7A"/>
    <w:rsid w:val="006C40A0"/>
    <w:rsid w:val="006C51FB"/>
    <w:rsid w:val="006C6E4D"/>
    <w:rsid w:val="006C7844"/>
    <w:rsid w:val="006D0C6D"/>
    <w:rsid w:val="006D1173"/>
    <w:rsid w:val="006D2259"/>
    <w:rsid w:val="006D67F7"/>
    <w:rsid w:val="006E0738"/>
    <w:rsid w:val="006E0C39"/>
    <w:rsid w:val="006E0D80"/>
    <w:rsid w:val="006E37D9"/>
    <w:rsid w:val="006E5149"/>
    <w:rsid w:val="006F375E"/>
    <w:rsid w:val="006F6D3E"/>
    <w:rsid w:val="00700072"/>
    <w:rsid w:val="007007C8"/>
    <w:rsid w:val="007009EC"/>
    <w:rsid w:val="007047EB"/>
    <w:rsid w:val="00704924"/>
    <w:rsid w:val="00705D39"/>
    <w:rsid w:val="007066D9"/>
    <w:rsid w:val="00706DF8"/>
    <w:rsid w:val="007103D7"/>
    <w:rsid w:val="00710961"/>
    <w:rsid w:val="00713BDF"/>
    <w:rsid w:val="00714210"/>
    <w:rsid w:val="00717F25"/>
    <w:rsid w:val="00721205"/>
    <w:rsid w:val="00721237"/>
    <w:rsid w:val="00722131"/>
    <w:rsid w:val="00722791"/>
    <w:rsid w:val="00724723"/>
    <w:rsid w:val="0073582B"/>
    <w:rsid w:val="0073602B"/>
    <w:rsid w:val="00736F24"/>
    <w:rsid w:val="007409E2"/>
    <w:rsid w:val="00740F0B"/>
    <w:rsid w:val="00742923"/>
    <w:rsid w:val="00746605"/>
    <w:rsid w:val="0074697C"/>
    <w:rsid w:val="00747B6A"/>
    <w:rsid w:val="0075334C"/>
    <w:rsid w:val="00753798"/>
    <w:rsid w:val="00753F29"/>
    <w:rsid w:val="00754B6D"/>
    <w:rsid w:val="00755408"/>
    <w:rsid w:val="00761800"/>
    <w:rsid w:val="0076188E"/>
    <w:rsid w:val="00761C83"/>
    <w:rsid w:val="00771FE1"/>
    <w:rsid w:val="0077275E"/>
    <w:rsid w:val="00772877"/>
    <w:rsid w:val="00772CAB"/>
    <w:rsid w:val="007739BF"/>
    <w:rsid w:val="0077501D"/>
    <w:rsid w:val="00775E5E"/>
    <w:rsid w:val="007769FF"/>
    <w:rsid w:val="00781226"/>
    <w:rsid w:val="00781E99"/>
    <w:rsid w:val="0078304F"/>
    <w:rsid w:val="0078357E"/>
    <w:rsid w:val="0078532C"/>
    <w:rsid w:val="00785952"/>
    <w:rsid w:val="00786BA2"/>
    <w:rsid w:val="00786E2C"/>
    <w:rsid w:val="00787ADF"/>
    <w:rsid w:val="00791D24"/>
    <w:rsid w:val="0079541F"/>
    <w:rsid w:val="00795EF1"/>
    <w:rsid w:val="0079786A"/>
    <w:rsid w:val="007A0D26"/>
    <w:rsid w:val="007A170E"/>
    <w:rsid w:val="007A196A"/>
    <w:rsid w:val="007A42A8"/>
    <w:rsid w:val="007B4C01"/>
    <w:rsid w:val="007B5011"/>
    <w:rsid w:val="007B78C4"/>
    <w:rsid w:val="007B7A43"/>
    <w:rsid w:val="007C426F"/>
    <w:rsid w:val="007C517D"/>
    <w:rsid w:val="007C66D5"/>
    <w:rsid w:val="007C72DE"/>
    <w:rsid w:val="007C736A"/>
    <w:rsid w:val="007D3CF7"/>
    <w:rsid w:val="007D4223"/>
    <w:rsid w:val="007D6D18"/>
    <w:rsid w:val="007D7491"/>
    <w:rsid w:val="007E07C7"/>
    <w:rsid w:val="007E28CA"/>
    <w:rsid w:val="007E4BEB"/>
    <w:rsid w:val="007E4E57"/>
    <w:rsid w:val="007E4F8F"/>
    <w:rsid w:val="007E5386"/>
    <w:rsid w:val="007E6FE7"/>
    <w:rsid w:val="007E7328"/>
    <w:rsid w:val="007E7804"/>
    <w:rsid w:val="007F0669"/>
    <w:rsid w:val="007F1C14"/>
    <w:rsid w:val="007F3A90"/>
    <w:rsid w:val="007F4B7B"/>
    <w:rsid w:val="007F7918"/>
    <w:rsid w:val="00801783"/>
    <w:rsid w:val="00812455"/>
    <w:rsid w:val="00817F4E"/>
    <w:rsid w:val="00823EFE"/>
    <w:rsid w:val="008267F7"/>
    <w:rsid w:val="008309DD"/>
    <w:rsid w:val="00831E18"/>
    <w:rsid w:val="0083613B"/>
    <w:rsid w:val="0083675D"/>
    <w:rsid w:val="00843813"/>
    <w:rsid w:val="008445B6"/>
    <w:rsid w:val="00847936"/>
    <w:rsid w:val="0085287F"/>
    <w:rsid w:val="00852C0D"/>
    <w:rsid w:val="00860733"/>
    <w:rsid w:val="0086332D"/>
    <w:rsid w:val="008639D5"/>
    <w:rsid w:val="00863E80"/>
    <w:rsid w:val="00865624"/>
    <w:rsid w:val="00866B90"/>
    <w:rsid w:val="00872DF0"/>
    <w:rsid w:val="00874F03"/>
    <w:rsid w:val="0087754F"/>
    <w:rsid w:val="00880A7A"/>
    <w:rsid w:val="00891299"/>
    <w:rsid w:val="00891F8E"/>
    <w:rsid w:val="00894D19"/>
    <w:rsid w:val="0089537C"/>
    <w:rsid w:val="0089597A"/>
    <w:rsid w:val="008A2A12"/>
    <w:rsid w:val="008A43AF"/>
    <w:rsid w:val="008A5488"/>
    <w:rsid w:val="008A74E7"/>
    <w:rsid w:val="008B2577"/>
    <w:rsid w:val="008B3541"/>
    <w:rsid w:val="008B3D33"/>
    <w:rsid w:val="008B4328"/>
    <w:rsid w:val="008B59E6"/>
    <w:rsid w:val="008B5E2A"/>
    <w:rsid w:val="008C11AD"/>
    <w:rsid w:val="008C4D58"/>
    <w:rsid w:val="008C4F4F"/>
    <w:rsid w:val="008C7B61"/>
    <w:rsid w:val="008D0F38"/>
    <w:rsid w:val="008D3532"/>
    <w:rsid w:val="008D3BC2"/>
    <w:rsid w:val="008D69B0"/>
    <w:rsid w:val="008D6AF7"/>
    <w:rsid w:val="008E1755"/>
    <w:rsid w:val="008E4835"/>
    <w:rsid w:val="008E4EF8"/>
    <w:rsid w:val="008F22CA"/>
    <w:rsid w:val="008F7823"/>
    <w:rsid w:val="00901921"/>
    <w:rsid w:val="0090537E"/>
    <w:rsid w:val="00905C56"/>
    <w:rsid w:val="009061D0"/>
    <w:rsid w:val="0091419C"/>
    <w:rsid w:val="0091632A"/>
    <w:rsid w:val="00916A7E"/>
    <w:rsid w:val="0091789D"/>
    <w:rsid w:val="00921FAA"/>
    <w:rsid w:val="009225CC"/>
    <w:rsid w:val="0092304F"/>
    <w:rsid w:val="00923843"/>
    <w:rsid w:val="00923C8B"/>
    <w:rsid w:val="009259F4"/>
    <w:rsid w:val="00925B13"/>
    <w:rsid w:val="00927D3A"/>
    <w:rsid w:val="00932923"/>
    <w:rsid w:val="009402FC"/>
    <w:rsid w:val="00946734"/>
    <w:rsid w:val="00946AF3"/>
    <w:rsid w:val="009505AD"/>
    <w:rsid w:val="00950F64"/>
    <w:rsid w:val="00954849"/>
    <w:rsid w:val="009554E7"/>
    <w:rsid w:val="00955F27"/>
    <w:rsid w:val="00957AF6"/>
    <w:rsid w:val="009627C7"/>
    <w:rsid w:val="00965E6F"/>
    <w:rsid w:val="00966705"/>
    <w:rsid w:val="00967DFB"/>
    <w:rsid w:val="0097048B"/>
    <w:rsid w:val="009717AA"/>
    <w:rsid w:val="00974312"/>
    <w:rsid w:val="0097541E"/>
    <w:rsid w:val="00975484"/>
    <w:rsid w:val="00976E8D"/>
    <w:rsid w:val="00977B9E"/>
    <w:rsid w:val="0098004A"/>
    <w:rsid w:val="00980ABF"/>
    <w:rsid w:val="00982504"/>
    <w:rsid w:val="0098469F"/>
    <w:rsid w:val="009865F0"/>
    <w:rsid w:val="00986617"/>
    <w:rsid w:val="00987925"/>
    <w:rsid w:val="00990155"/>
    <w:rsid w:val="0099063A"/>
    <w:rsid w:val="00992035"/>
    <w:rsid w:val="00992355"/>
    <w:rsid w:val="00994CDE"/>
    <w:rsid w:val="009959F1"/>
    <w:rsid w:val="009A0214"/>
    <w:rsid w:val="009A0B8E"/>
    <w:rsid w:val="009A1A3A"/>
    <w:rsid w:val="009A2F61"/>
    <w:rsid w:val="009A5851"/>
    <w:rsid w:val="009B05A1"/>
    <w:rsid w:val="009B13F3"/>
    <w:rsid w:val="009B2935"/>
    <w:rsid w:val="009B599D"/>
    <w:rsid w:val="009C0672"/>
    <w:rsid w:val="009C0A69"/>
    <w:rsid w:val="009C2B24"/>
    <w:rsid w:val="009C5A10"/>
    <w:rsid w:val="009C5C31"/>
    <w:rsid w:val="009C6602"/>
    <w:rsid w:val="009C7EFA"/>
    <w:rsid w:val="009D27D7"/>
    <w:rsid w:val="009D2E44"/>
    <w:rsid w:val="009D61B9"/>
    <w:rsid w:val="009E10C2"/>
    <w:rsid w:val="009E672B"/>
    <w:rsid w:val="009F16F5"/>
    <w:rsid w:val="009F5DE1"/>
    <w:rsid w:val="009F630F"/>
    <w:rsid w:val="009F7C3D"/>
    <w:rsid w:val="00A022A7"/>
    <w:rsid w:val="00A02B6D"/>
    <w:rsid w:val="00A035E5"/>
    <w:rsid w:val="00A066D8"/>
    <w:rsid w:val="00A06D38"/>
    <w:rsid w:val="00A06FCC"/>
    <w:rsid w:val="00A07964"/>
    <w:rsid w:val="00A108D9"/>
    <w:rsid w:val="00A11E27"/>
    <w:rsid w:val="00A121E6"/>
    <w:rsid w:val="00A1559B"/>
    <w:rsid w:val="00A155E1"/>
    <w:rsid w:val="00A15875"/>
    <w:rsid w:val="00A1624F"/>
    <w:rsid w:val="00A17E2B"/>
    <w:rsid w:val="00A20294"/>
    <w:rsid w:val="00A207E4"/>
    <w:rsid w:val="00A22B2F"/>
    <w:rsid w:val="00A22D3B"/>
    <w:rsid w:val="00A24A55"/>
    <w:rsid w:val="00A251B7"/>
    <w:rsid w:val="00A301B4"/>
    <w:rsid w:val="00A31BF3"/>
    <w:rsid w:val="00A45700"/>
    <w:rsid w:val="00A52DC0"/>
    <w:rsid w:val="00A56AA9"/>
    <w:rsid w:val="00A67135"/>
    <w:rsid w:val="00A671AF"/>
    <w:rsid w:val="00A67717"/>
    <w:rsid w:val="00A71FAC"/>
    <w:rsid w:val="00A732B3"/>
    <w:rsid w:val="00A73FBE"/>
    <w:rsid w:val="00A81608"/>
    <w:rsid w:val="00A826C4"/>
    <w:rsid w:val="00A87E68"/>
    <w:rsid w:val="00A92984"/>
    <w:rsid w:val="00A92CD7"/>
    <w:rsid w:val="00A935B9"/>
    <w:rsid w:val="00A9409C"/>
    <w:rsid w:val="00A9558A"/>
    <w:rsid w:val="00A97762"/>
    <w:rsid w:val="00AA1B61"/>
    <w:rsid w:val="00AA2238"/>
    <w:rsid w:val="00AA4231"/>
    <w:rsid w:val="00AA5AE3"/>
    <w:rsid w:val="00AA743F"/>
    <w:rsid w:val="00AB1C68"/>
    <w:rsid w:val="00AB71D8"/>
    <w:rsid w:val="00AB7994"/>
    <w:rsid w:val="00AB7DAD"/>
    <w:rsid w:val="00AC02D4"/>
    <w:rsid w:val="00AC0EFC"/>
    <w:rsid w:val="00AC3834"/>
    <w:rsid w:val="00AD1519"/>
    <w:rsid w:val="00AD1BFB"/>
    <w:rsid w:val="00AD283F"/>
    <w:rsid w:val="00AD6FEF"/>
    <w:rsid w:val="00AD7FB4"/>
    <w:rsid w:val="00AE400E"/>
    <w:rsid w:val="00AE4ABB"/>
    <w:rsid w:val="00AE59A4"/>
    <w:rsid w:val="00AF069F"/>
    <w:rsid w:val="00AF0992"/>
    <w:rsid w:val="00AF0A44"/>
    <w:rsid w:val="00AF0EBD"/>
    <w:rsid w:val="00AF4B92"/>
    <w:rsid w:val="00AF65CF"/>
    <w:rsid w:val="00AF6A1E"/>
    <w:rsid w:val="00AF6F6F"/>
    <w:rsid w:val="00AF746D"/>
    <w:rsid w:val="00B00A28"/>
    <w:rsid w:val="00B05FF3"/>
    <w:rsid w:val="00B1334B"/>
    <w:rsid w:val="00B140D7"/>
    <w:rsid w:val="00B149A9"/>
    <w:rsid w:val="00B16A3E"/>
    <w:rsid w:val="00B17EE5"/>
    <w:rsid w:val="00B23166"/>
    <w:rsid w:val="00B23AA0"/>
    <w:rsid w:val="00B263C3"/>
    <w:rsid w:val="00B277DD"/>
    <w:rsid w:val="00B31510"/>
    <w:rsid w:val="00B33B4F"/>
    <w:rsid w:val="00B35F6D"/>
    <w:rsid w:val="00B37021"/>
    <w:rsid w:val="00B419C5"/>
    <w:rsid w:val="00B4251A"/>
    <w:rsid w:val="00B44B13"/>
    <w:rsid w:val="00B45A70"/>
    <w:rsid w:val="00B47DD1"/>
    <w:rsid w:val="00B51CD6"/>
    <w:rsid w:val="00B55504"/>
    <w:rsid w:val="00B56ACF"/>
    <w:rsid w:val="00B61311"/>
    <w:rsid w:val="00B619E1"/>
    <w:rsid w:val="00B6455B"/>
    <w:rsid w:val="00B64D2B"/>
    <w:rsid w:val="00B71863"/>
    <w:rsid w:val="00B74594"/>
    <w:rsid w:val="00B752E0"/>
    <w:rsid w:val="00B77D7F"/>
    <w:rsid w:val="00B8283E"/>
    <w:rsid w:val="00B8539A"/>
    <w:rsid w:val="00B94E8F"/>
    <w:rsid w:val="00B974C1"/>
    <w:rsid w:val="00BA1C6B"/>
    <w:rsid w:val="00BA4195"/>
    <w:rsid w:val="00BA74AA"/>
    <w:rsid w:val="00BB22C6"/>
    <w:rsid w:val="00BB236E"/>
    <w:rsid w:val="00BB589F"/>
    <w:rsid w:val="00BB613E"/>
    <w:rsid w:val="00BC31A0"/>
    <w:rsid w:val="00BC3409"/>
    <w:rsid w:val="00BC6C5E"/>
    <w:rsid w:val="00BD006B"/>
    <w:rsid w:val="00BD148E"/>
    <w:rsid w:val="00BD261E"/>
    <w:rsid w:val="00BD2C24"/>
    <w:rsid w:val="00BD43B7"/>
    <w:rsid w:val="00BD48A9"/>
    <w:rsid w:val="00BE2008"/>
    <w:rsid w:val="00BE3F98"/>
    <w:rsid w:val="00BE6E6A"/>
    <w:rsid w:val="00BE7E9A"/>
    <w:rsid w:val="00BF1F8D"/>
    <w:rsid w:val="00BF2F87"/>
    <w:rsid w:val="00BF374F"/>
    <w:rsid w:val="00BF4BD7"/>
    <w:rsid w:val="00BF5E01"/>
    <w:rsid w:val="00BF6400"/>
    <w:rsid w:val="00BF70CA"/>
    <w:rsid w:val="00C00712"/>
    <w:rsid w:val="00C00AAD"/>
    <w:rsid w:val="00C00F3B"/>
    <w:rsid w:val="00C02142"/>
    <w:rsid w:val="00C0350A"/>
    <w:rsid w:val="00C1721C"/>
    <w:rsid w:val="00C17BB5"/>
    <w:rsid w:val="00C202C4"/>
    <w:rsid w:val="00C204E5"/>
    <w:rsid w:val="00C21EDF"/>
    <w:rsid w:val="00C231EC"/>
    <w:rsid w:val="00C26E71"/>
    <w:rsid w:val="00C34F69"/>
    <w:rsid w:val="00C35ED4"/>
    <w:rsid w:val="00C434FE"/>
    <w:rsid w:val="00C444AE"/>
    <w:rsid w:val="00C44B51"/>
    <w:rsid w:val="00C45095"/>
    <w:rsid w:val="00C45286"/>
    <w:rsid w:val="00C45B29"/>
    <w:rsid w:val="00C46770"/>
    <w:rsid w:val="00C4678E"/>
    <w:rsid w:val="00C52761"/>
    <w:rsid w:val="00C5289C"/>
    <w:rsid w:val="00C52D30"/>
    <w:rsid w:val="00C538A3"/>
    <w:rsid w:val="00C5781D"/>
    <w:rsid w:val="00C578A7"/>
    <w:rsid w:val="00C60630"/>
    <w:rsid w:val="00C60937"/>
    <w:rsid w:val="00C631B8"/>
    <w:rsid w:val="00C63840"/>
    <w:rsid w:val="00C639E3"/>
    <w:rsid w:val="00C6448B"/>
    <w:rsid w:val="00C7107C"/>
    <w:rsid w:val="00C713F6"/>
    <w:rsid w:val="00C7306A"/>
    <w:rsid w:val="00C74DEF"/>
    <w:rsid w:val="00C75626"/>
    <w:rsid w:val="00C773EE"/>
    <w:rsid w:val="00C77D7D"/>
    <w:rsid w:val="00C8249F"/>
    <w:rsid w:val="00C83E4D"/>
    <w:rsid w:val="00C8719D"/>
    <w:rsid w:val="00C90239"/>
    <w:rsid w:val="00C91B7D"/>
    <w:rsid w:val="00C93069"/>
    <w:rsid w:val="00C93B7A"/>
    <w:rsid w:val="00C95259"/>
    <w:rsid w:val="00C97668"/>
    <w:rsid w:val="00CA1124"/>
    <w:rsid w:val="00CA1E77"/>
    <w:rsid w:val="00CA319A"/>
    <w:rsid w:val="00CA5E4E"/>
    <w:rsid w:val="00CB006D"/>
    <w:rsid w:val="00CB0574"/>
    <w:rsid w:val="00CB0944"/>
    <w:rsid w:val="00CB21C1"/>
    <w:rsid w:val="00CB73DD"/>
    <w:rsid w:val="00CC3071"/>
    <w:rsid w:val="00CC445F"/>
    <w:rsid w:val="00CC4DEE"/>
    <w:rsid w:val="00CC5ED4"/>
    <w:rsid w:val="00CC6882"/>
    <w:rsid w:val="00CC6E44"/>
    <w:rsid w:val="00CD1408"/>
    <w:rsid w:val="00CD18A3"/>
    <w:rsid w:val="00CD18A4"/>
    <w:rsid w:val="00CD2509"/>
    <w:rsid w:val="00CD37E2"/>
    <w:rsid w:val="00CD4159"/>
    <w:rsid w:val="00CD56B4"/>
    <w:rsid w:val="00CD5F21"/>
    <w:rsid w:val="00CD6812"/>
    <w:rsid w:val="00CE0C24"/>
    <w:rsid w:val="00CE6210"/>
    <w:rsid w:val="00CF1696"/>
    <w:rsid w:val="00CF1719"/>
    <w:rsid w:val="00CF21F5"/>
    <w:rsid w:val="00CF2930"/>
    <w:rsid w:val="00CF35D8"/>
    <w:rsid w:val="00D0489C"/>
    <w:rsid w:val="00D048C8"/>
    <w:rsid w:val="00D05E83"/>
    <w:rsid w:val="00D07D7C"/>
    <w:rsid w:val="00D104EB"/>
    <w:rsid w:val="00D10E87"/>
    <w:rsid w:val="00D11AC5"/>
    <w:rsid w:val="00D14698"/>
    <w:rsid w:val="00D15634"/>
    <w:rsid w:val="00D16762"/>
    <w:rsid w:val="00D23024"/>
    <w:rsid w:val="00D23AE4"/>
    <w:rsid w:val="00D2440F"/>
    <w:rsid w:val="00D25139"/>
    <w:rsid w:val="00D25CA6"/>
    <w:rsid w:val="00D26DB7"/>
    <w:rsid w:val="00D26FBA"/>
    <w:rsid w:val="00D27F0C"/>
    <w:rsid w:val="00D31323"/>
    <w:rsid w:val="00D33571"/>
    <w:rsid w:val="00D37448"/>
    <w:rsid w:val="00D4008B"/>
    <w:rsid w:val="00D40775"/>
    <w:rsid w:val="00D41D5A"/>
    <w:rsid w:val="00D41DF1"/>
    <w:rsid w:val="00D421DA"/>
    <w:rsid w:val="00D464B0"/>
    <w:rsid w:val="00D534AD"/>
    <w:rsid w:val="00D579A6"/>
    <w:rsid w:val="00D60095"/>
    <w:rsid w:val="00D6110B"/>
    <w:rsid w:val="00D67A9C"/>
    <w:rsid w:val="00D71BE1"/>
    <w:rsid w:val="00D73593"/>
    <w:rsid w:val="00D73E1A"/>
    <w:rsid w:val="00D73E64"/>
    <w:rsid w:val="00D77B52"/>
    <w:rsid w:val="00D80AE2"/>
    <w:rsid w:val="00D81139"/>
    <w:rsid w:val="00D8281E"/>
    <w:rsid w:val="00D83E9B"/>
    <w:rsid w:val="00D84EC6"/>
    <w:rsid w:val="00D85AFE"/>
    <w:rsid w:val="00D85E42"/>
    <w:rsid w:val="00D900B7"/>
    <w:rsid w:val="00D904F7"/>
    <w:rsid w:val="00D963B0"/>
    <w:rsid w:val="00D96C89"/>
    <w:rsid w:val="00DA1C16"/>
    <w:rsid w:val="00DA2A44"/>
    <w:rsid w:val="00DA3A7B"/>
    <w:rsid w:val="00DA3E32"/>
    <w:rsid w:val="00DA46A4"/>
    <w:rsid w:val="00DA494E"/>
    <w:rsid w:val="00DA56EB"/>
    <w:rsid w:val="00DA651B"/>
    <w:rsid w:val="00DA708F"/>
    <w:rsid w:val="00DB525D"/>
    <w:rsid w:val="00DC08AF"/>
    <w:rsid w:val="00DC13BE"/>
    <w:rsid w:val="00DC19E2"/>
    <w:rsid w:val="00DC3088"/>
    <w:rsid w:val="00DC7A0E"/>
    <w:rsid w:val="00DD194A"/>
    <w:rsid w:val="00DD2DA9"/>
    <w:rsid w:val="00DD327E"/>
    <w:rsid w:val="00DD3349"/>
    <w:rsid w:val="00DD3453"/>
    <w:rsid w:val="00DD632F"/>
    <w:rsid w:val="00DE06B6"/>
    <w:rsid w:val="00DE07F0"/>
    <w:rsid w:val="00DE0EFF"/>
    <w:rsid w:val="00DE119A"/>
    <w:rsid w:val="00DE260D"/>
    <w:rsid w:val="00DE3BFE"/>
    <w:rsid w:val="00DE463F"/>
    <w:rsid w:val="00DE6616"/>
    <w:rsid w:val="00DE6BB9"/>
    <w:rsid w:val="00DF4C1E"/>
    <w:rsid w:val="00DF6AEE"/>
    <w:rsid w:val="00E0603C"/>
    <w:rsid w:val="00E069D5"/>
    <w:rsid w:val="00E1308E"/>
    <w:rsid w:val="00E13D44"/>
    <w:rsid w:val="00E155CA"/>
    <w:rsid w:val="00E1630F"/>
    <w:rsid w:val="00E16652"/>
    <w:rsid w:val="00E16B6C"/>
    <w:rsid w:val="00E23D42"/>
    <w:rsid w:val="00E23F65"/>
    <w:rsid w:val="00E2403C"/>
    <w:rsid w:val="00E25C3D"/>
    <w:rsid w:val="00E25DB6"/>
    <w:rsid w:val="00E306CE"/>
    <w:rsid w:val="00E3218B"/>
    <w:rsid w:val="00E34152"/>
    <w:rsid w:val="00E43D4B"/>
    <w:rsid w:val="00E44280"/>
    <w:rsid w:val="00E468EF"/>
    <w:rsid w:val="00E51D72"/>
    <w:rsid w:val="00E51F71"/>
    <w:rsid w:val="00E52142"/>
    <w:rsid w:val="00E54274"/>
    <w:rsid w:val="00E61A7A"/>
    <w:rsid w:val="00E62293"/>
    <w:rsid w:val="00E64A8D"/>
    <w:rsid w:val="00E64CFD"/>
    <w:rsid w:val="00E64E1B"/>
    <w:rsid w:val="00E6572A"/>
    <w:rsid w:val="00E6728F"/>
    <w:rsid w:val="00E72E81"/>
    <w:rsid w:val="00E74145"/>
    <w:rsid w:val="00E754D7"/>
    <w:rsid w:val="00E76DD4"/>
    <w:rsid w:val="00E80026"/>
    <w:rsid w:val="00E819A6"/>
    <w:rsid w:val="00E82A4E"/>
    <w:rsid w:val="00E832A1"/>
    <w:rsid w:val="00E86A63"/>
    <w:rsid w:val="00E87CA3"/>
    <w:rsid w:val="00E87F17"/>
    <w:rsid w:val="00E87F6F"/>
    <w:rsid w:val="00E91772"/>
    <w:rsid w:val="00E92352"/>
    <w:rsid w:val="00E92526"/>
    <w:rsid w:val="00E94C01"/>
    <w:rsid w:val="00E977CB"/>
    <w:rsid w:val="00EA1466"/>
    <w:rsid w:val="00EA1D1F"/>
    <w:rsid w:val="00EA2477"/>
    <w:rsid w:val="00EA4029"/>
    <w:rsid w:val="00EA4233"/>
    <w:rsid w:val="00EA4CAB"/>
    <w:rsid w:val="00EA61C1"/>
    <w:rsid w:val="00EA7F4F"/>
    <w:rsid w:val="00EB080D"/>
    <w:rsid w:val="00EB1B5D"/>
    <w:rsid w:val="00EB30F8"/>
    <w:rsid w:val="00EB337B"/>
    <w:rsid w:val="00EB5801"/>
    <w:rsid w:val="00EB6ED8"/>
    <w:rsid w:val="00EC349B"/>
    <w:rsid w:val="00EC3712"/>
    <w:rsid w:val="00EC3B54"/>
    <w:rsid w:val="00EC4567"/>
    <w:rsid w:val="00EC6D8D"/>
    <w:rsid w:val="00EC70B0"/>
    <w:rsid w:val="00ED05D3"/>
    <w:rsid w:val="00ED161C"/>
    <w:rsid w:val="00ED43A0"/>
    <w:rsid w:val="00EE7C64"/>
    <w:rsid w:val="00EF0A27"/>
    <w:rsid w:val="00EF17C0"/>
    <w:rsid w:val="00EF2202"/>
    <w:rsid w:val="00EF2FB2"/>
    <w:rsid w:val="00EF3A6F"/>
    <w:rsid w:val="00EF480E"/>
    <w:rsid w:val="00EF62BA"/>
    <w:rsid w:val="00EF75D2"/>
    <w:rsid w:val="00F0285D"/>
    <w:rsid w:val="00F0332F"/>
    <w:rsid w:val="00F05CCD"/>
    <w:rsid w:val="00F069DF"/>
    <w:rsid w:val="00F06D3B"/>
    <w:rsid w:val="00F07706"/>
    <w:rsid w:val="00F114AD"/>
    <w:rsid w:val="00F11878"/>
    <w:rsid w:val="00F15E28"/>
    <w:rsid w:val="00F16F7E"/>
    <w:rsid w:val="00F203C7"/>
    <w:rsid w:val="00F22026"/>
    <w:rsid w:val="00F222AD"/>
    <w:rsid w:val="00F2329A"/>
    <w:rsid w:val="00F25821"/>
    <w:rsid w:val="00F27D04"/>
    <w:rsid w:val="00F3024E"/>
    <w:rsid w:val="00F305AA"/>
    <w:rsid w:val="00F315BA"/>
    <w:rsid w:val="00F347D2"/>
    <w:rsid w:val="00F35C59"/>
    <w:rsid w:val="00F40A36"/>
    <w:rsid w:val="00F41165"/>
    <w:rsid w:val="00F418AA"/>
    <w:rsid w:val="00F41D5D"/>
    <w:rsid w:val="00F41D7D"/>
    <w:rsid w:val="00F43D41"/>
    <w:rsid w:val="00F4494F"/>
    <w:rsid w:val="00F47A8D"/>
    <w:rsid w:val="00F47C55"/>
    <w:rsid w:val="00F507D2"/>
    <w:rsid w:val="00F52B88"/>
    <w:rsid w:val="00F5420E"/>
    <w:rsid w:val="00F6331B"/>
    <w:rsid w:val="00F63865"/>
    <w:rsid w:val="00F64958"/>
    <w:rsid w:val="00F65B62"/>
    <w:rsid w:val="00F70A17"/>
    <w:rsid w:val="00F72B1E"/>
    <w:rsid w:val="00F751AA"/>
    <w:rsid w:val="00F76301"/>
    <w:rsid w:val="00F773A7"/>
    <w:rsid w:val="00F77E64"/>
    <w:rsid w:val="00F841ED"/>
    <w:rsid w:val="00F85723"/>
    <w:rsid w:val="00F878E6"/>
    <w:rsid w:val="00F945FE"/>
    <w:rsid w:val="00F94729"/>
    <w:rsid w:val="00F94C9E"/>
    <w:rsid w:val="00F97553"/>
    <w:rsid w:val="00FA204C"/>
    <w:rsid w:val="00FA2A9A"/>
    <w:rsid w:val="00FA49FD"/>
    <w:rsid w:val="00FA52E0"/>
    <w:rsid w:val="00FB40C4"/>
    <w:rsid w:val="00FB702E"/>
    <w:rsid w:val="00FC0BAD"/>
    <w:rsid w:val="00FC1A41"/>
    <w:rsid w:val="00FC24CF"/>
    <w:rsid w:val="00FC400F"/>
    <w:rsid w:val="00FC4BCC"/>
    <w:rsid w:val="00FD17D6"/>
    <w:rsid w:val="00FD180C"/>
    <w:rsid w:val="00FD1A61"/>
    <w:rsid w:val="00FD3145"/>
    <w:rsid w:val="00FD376F"/>
    <w:rsid w:val="00FD4CBA"/>
    <w:rsid w:val="00FD6A1C"/>
    <w:rsid w:val="00FD7F56"/>
    <w:rsid w:val="00FE5307"/>
    <w:rsid w:val="00FE601A"/>
    <w:rsid w:val="00FF0FAA"/>
    <w:rsid w:val="00FF151C"/>
    <w:rsid w:val="00FF2DE3"/>
    <w:rsid w:val="00FF32F2"/>
    <w:rsid w:val="00FF3CB5"/>
    <w:rsid w:val="00FF73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701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38"/>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prueba1"/>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uiPriority w:val="22"/>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qFormat/>
    <w:rsid w:val="00F11878"/>
    <w:pPr>
      <w:numPr>
        <w:numId w:val="6"/>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prueba1 Car"/>
    <w:link w:val="Prrafodelista"/>
    <w:uiPriority w:val="34"/>
    <w:qFormat/>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7"/>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12"/>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3"/>
      </w:numPr>
    </w:pPr>
  </w:style>
  <w:style w:type="paragraph" w:customStyle="1" w:styleId="LL">
    <w:name w:val="LL"/>
    <w:basedOn w:val="ListBullet2Compact"/>
    <w:rsid w:val="00F11878"/>
    <w:pPr>
      <w:numPr>
        <w:numId w:val="11"/>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4"/>
      </w:numPr>
      <w:tabs>
        <w:tab w:val="num" w:pos="567"/>
      </w:tabs>
      <w:ind w:left="227" w:hanging="227"/>
    </w:pPr>
  </w:style>
  <w:style w:type="paragraph" w:styleId="TDC2">
    <w:name w:val="toc 2"/>
    <w:basedOn w:val="TDC1"/>
    <w:next w:val="Normal"/>
    <w:autoRedefine/>
    <w:uiPriority w:val="39"/>
    <w:unhideWhenUsed/>
    <w:rsid w:val="00F11878"/>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5"/>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975484"/>
    <w:pPr>
      <w:tabs>
        <w:tab w:val="left" w:pos="709"/>
      </w:tabs>
      <w:spacing w:after="0"/>
      <w:ind w:left="567"/>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12"/>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12"/>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12"/>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10"/>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7F0669"/>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7F0669"/>
    <w:rPr>
      <w:rFonts w:ascii="Arial" w:eastAsia="Times New Roman" w:hAnsi="Arial"/>
      <w:sz w:val="30"/>
      <w:szCs w:val="30"/>
      <w:lang w:val="es-ES_tradnl" w:eastAsia="es-ES"/>
    </w:rPr>
  </w:style>
  <w:style w:type="paragraph" w:customStyle="1" w:styleId="xl3157">
    <w:name w:val="xl3157"/>
    <w:basedOn w:val="Normal"/>
    <w:rsid w:val="00D421DA"/>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58">
    <w:name w:val="xl3158"/>
    <w:basedOn w:val="Normal"/>
    <w:rsid w:val="00D421DA"/>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59">
    <w:name w:val="xl3159"/>
    <w:basedOn w:val="Normal"/>
    <w:rsid w:val="00D421DA"/>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60">
    <w:name w:val="xl3160"/>
    <w:basedOn w:val="Normal"/>
    <w:rsid w:val="00D421DA"/>
    <w:pPr>
      <w:pBdr>
        <w:top w:val="single" w:sz="12" w:space="0" w:color="000000"/>
        <w:bottom w:val="single" w:sz="8" w:space="0" w:color="000000"/>
      </w:pBdr>
      <w:shd w:val="clear" w:color="000000" w:fill="800080"/>
      <w:spacing w:before="100" w:beforeAutospacing="1" w:after="100" w:afterAutospacing="1" w:line="240" w:lineRule="auto"/>
      <w:textAlignment w:val="top"/>
    </w:pPr>
    <w:rPr>
      <w:rFonts w:ascii="Times New Roman" w:eastAsia="Times New Roman" w:hAnsi="Times New Roman"/>
      <w:b/>
      <w:bCs/>
      <w:color w:val="FFFFFF"/>
      <w:sz w:val="20"/>
      <w:szCs w:val="20"/>
      <w:lang w:eastAsia="es-MX"/>
    </w:rPr>
  </w:style>
  <w:style w:type="paragraph" w:customStyle="1" w:styleId="xl3161">
    <w:name w:val="xl3161"/>
    <w:basedOn w:val="Normal"/>
    <w:rsid w:val="00D421DA"/>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62">
    <w:name w:val="xl3162"/>
    <w:basedOn w:val="Normal"/>
    <w:rsid w:val="00D421DA"/>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lang w:eastAsia="es-MX"/>
    </w:rPr>
  </w:style>
  <w:style w:type="numbering" w:customStyle="1" w:styleId="Sinlista6">
    <w:name w:val="Sin lista6"/>
    <w:next w:val="Sinlista"/>
    <w:uiPriority w:val="99"/>
    <w:semiHidden/>
    <w:unhideWhenUsed/>
    <w:rsid w:val="008B3D33"/>
  </w:style>
  <w:style w:type="numbering" w:customStyle="1" w:styleId="1ai2">
    <w:name w:val="1 / a / i2"/>
    <w:basedOn w:val="Sinlista"/>
    <w:next w:val="1ai"/>
    <w:uiPriority w:val="99"/>
    <w:unhideWhenUsed/>
    <w:rsid w:val="008B3D33"/>
    <w:pPr>
      <w:numPr>
        <w:numId w:val="12"/>
      </w:numPr>
    </w:pPr>
  </w:style>
  <w:style w:type="numbering" w:customStyle="1" w:styleId="Sinlista7">
    <w:name w:val="Sin lista7"/>
    <w:next w:val="Sinlista"/>
    <w:uiPriority w:val="99"/>
    <w:semiHidden/>
    <w:unhideWhenUsed/>
    <w:rsid w:val="000C253A"/>
  </w:style>
  <w:style w:type="numbering" w:customStyle="1" w:styleId="Sinlista12">
    <w:name w:val="Sin lista12"/>
    <w:next w:val="Sinlista"/>
    <w:uiPriority w:val="99"/>
    <w:semiHidden/>
    <w:unhideWhenUsed/>
    <w:rsid w:val="000C253A"/>
  </w:style>
  <w:style w:type="table" w:customStyle="1" w:styleId="Tablaconcuadrcula2">
    <w:name w:val="Tabla con cuadrícula2"/>
    <w:basedOn w:val="Tablanormal"/>
    <w:next w:val="Tablaconcuadrcula"/>
    <w:uiPriority w:val="59"/>
    <w:rsid w:val="000C2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112">
    <w:name w:val="Sombreado medio 2 - Énfasis 112"/>
    <w:basedOn w:val="Tablanormal"/>
    <w:uiPriority w:val="64"/>
    <w:rsid w:val="000C253A"/>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lsica21">
    <w:name w:val="Tabla clásica 21"/>
    <w:basedOn w:val="Tablanormal"/>
    <w:next w:val="Tablaclsica2"/>
    <w:rsid w:val="000C253A"/>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bsica31">
    <w:name w:val="Tabla básica 31"/>
    <w:basedOn w:val="Tablanormal"/>
    <w:next w:val="Tablabsica3"/>
    <w:rsid w:val="000C253A"/>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31">
    <w:name w:val="Tabla clásica 31"/>
    <w:basedOn w:val="Tablanormal"/>
    <w:next w:val="Tablaclsica3"/>
    <w:rsid w:val="000C253A"/>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Sinlista112">
    <w:name w:val="Sin lista112"/>
    <w:next w:val="Sinlista"/>
    <w:semiHidden/>
    <w:unhideWhenUsed/>
    <w:rsid w:val="000C253A"/>
  </w:style>
  <w:style w:type="numbering" w:customStyle="1" w:styleId="Sinlista22">
    <w:name w:val="Sin lista22"/>
    <w:next w:val="Sinlista"/>
    <w:semiHidden/>
    <w:rsid w:val="000C253A"/>
  </w:style>
  <w:style w:type="numbering" w:customStyle="1" w:styleId="Sinlista32">
    <w:name w:val="Sin lista32"/>
    <w:next w:val="Sinlista"/>
    <w:uiPriority w:val="99"/>
    <w:semiHidden/>
    <w:unhideWhenUsed/>
    <w:rsid w:val="000C253A"/>
  </w:style>
  <w:style w:type="table" w:customStyle="1" w:styleId="Sombreadomedio2-nfasis1111">
    <w:name w:val="Sombreado medio 2 - Énfasis 1111"/>
    <w:basedOn w:val="Tablanormal"/>
    <w:uiPriority w:val="64"/>
    <w:rsid w:val="000C253A"/>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2">
    <w:name w:val="Sin lista42"/>
    <w:next w:val="Sinlista"/>
    <w:uiPriority w:val="99"/>
    <w:semiHidden/>
    <w:unhideWhenUsed/>
    <w:rsid w:val="000C253A"/>
  </w:style>
  <w:style w:type="numbering" w:customStyle="1" w:styleId="Sinlista51">
    <w:name w:val="Sin lista51"/>
    <w:next w:val="Sinlista"/>
    <w:semiHidden/>
    <w:rsid w:val="000C253A"/>
  </w:style>
  <w:style w:type="numbering" w:customStyle="1" w:styleId="Sinlista1111">
    <w:name w:val="Sin lista1111"/>
    <w:next w:val="Sinlista"/>
    <w:semiHidden/>
    <w:unhideWhenUsed/>
    <w:rsid w:val="000C253A"/>
  </w:style>
  <w:style w:type="table" w:customStyle="1" w:styleId="Tablaconcuadrcula11">
    <w:name w:val="Tabla con cuadrícula11"/>
    <w:basedOn w:val="Tablanormal"/>
    <w:next w:val="Tablaconcuadrcula"/>
    <w:uiPriority w:val="59"/>
    <w:rsid w:val="000C2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semiHidden/>
    <w:rsid w:val="000C253A"/>
  </w:style>
  <w:style w:type="numbering" w:customStyle="1" w:styleId="Sinlista311">
    <w:name w:val="Sin lista311"/>
    <w:next w:val="Sinlista"/>
    <w:uiPriority w:val="99"/>
    <w:semiHidden/>
    <w:unhideWhenUsed/>
    <w:rsid w:val="000C253A"/>
  </w:style>
  <w:style w:type="numbering" w:customStyle="1" w:styleId="Sinlista411">
    <w:name w:val="Sin lista411"/>
    <w:next w:val="Sinlista"/>
    <w:uiPriority w:val="99"/>
    <w:semiHidden/>
    <w:unhideWhenUsed/>
    <w:rsid w:val="000C253A"/>
  </w:style>
  <w:style w:type="numbering" w:customStyle="1" w:styleId="Sinlista61">
    <w:name w:val="Sin lista61"/>
    <w:next w:val="Sinlista"/>
    <w:uiPriority w:val="99"/>
    <w:semiHidden/>
    <w:unhideWhenUsed/>
    <w:rsid w:val="000C253A"/>
  </w:style>
  <w:style w:type="numbering" w:customStyle="1" w:styleId="Sinlista8">
    <w:name w:val="Sin lista8"/>
    <w:next w:val="Sinlista"/>
    <w:uiPriority w:val="99"/>
    <w:semiHidden/>
    <w:unhideWhenUsed/>
    <w:rsid w:val="005A0C60"/>
  </w:style>
  <w:style w:type="numbering" w:customStyle="1" w:styleId="Sinlista13">
    <w:name w:val="Sin lista13"/>
    <w:next w:val="Sinlista"/>
    <w:uiPriority w:val="99"/>
    <w:semiHidden/>
    <w:unhideWhenUsed/>
    <w:rsid w:val="005A0C60"/>
  </w:style>
  <w:style w:type="table" w:customStyle="1" w:styleId="Tablaconcuadrcula3">
    <w:name w:val="Tabla con cuadrícula3"/>
    <w:basedOn w:val="Tablanormal"/>
    <w:next w:val="Tablaconcuadrcula"/>
    <w:uiPriority w:val="59"/>
    <w:rsid w:val="005A0C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113">
    <w:name w:val="Sombreado medio 2 - Énfasis 113"/>
    <w:basedOn w:val="Tablanormal"/>
    <w:uiPriority w:val="64"/>
    <w:rsid w:val="005A0C60"/>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ai3">
    <w:name w:val="1 / a / i3"/>
    <w:basedOn w:val="Sinlista"/>
    <w:next w:val="1ai"/>
    <w:uiPriority w:val="99"/>
    <w:unhideWhenUsed/>
    <w:rsid w:val="005A0C60"/>
    <w:pPr>
      <w:numPr>
        <w:numId w:val="25"/>
      </w:numPr>
    </w:pPr>
  </w:style>
  <w:style w:type="table" w:customStyle="1" w:styleId="Tablaclsica22">
    <w:name w:val="Tabla clásica 22"/>
    <w:basedOn w:val="Tablanormal"/>
    <w:next w:val="Tablaclsica2"/>
    <w:rsid w:val="005A0C60"/>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bsica32">
    <w:name w:val="Tabla básica 32"/>
    <w:basedOn w:val="Tablanormal"/>
    <w:next w:val="Tablabsica3"/>
    <w:rsid w:val="005A0C60"/>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32">
    <w:name w:val="Tabla clásica 32"/>
    <w:basedOn w:val="Tablanormal"/>
    <w:next w:val="Tablaclsica3"/>
    <w:rsid w:val="005A0C60"/>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Sinlista113">
    <w:name w:val="Sin lista113"/>
    <w:next w:val="Sinlista"/>
    <w:semiHidden/>
    <w:unhideWhenUsed/>
    <w:rsid w:val="005A0C60"/>
  </w:style>
  <w:style w:type="numbering" w:customStyle="1" w:styleId="Sinlista23">
    <w:name w:val="Sin lista23"/>
    <w:next w:val="Sinlista"/>
    <w:semiHidden/>
    <w:rsid w:val="005A0C60"/>
  </w:style>
  <w:style w:type="numbering" w:customStyle="1" w:styleId="Sinlista33">
    <w:name w:val="Sin lista33"/>
    <w:next w:val="Sinlista"/>
    <w:uiPriority w:val="99"/>
    <w:semiHidden/>
    <w:unhideWhenUsed/>
    <w:rsid w:val="005A0C60"/>
  </w:style>
  <w:style w:type="numbering" w:customStyle="1" w:styleId="Sinlista43">
    <w:name w:val="Sin lista43"/>
    <w:next w:val="Sinlista"/>
    <w:uiPriority w:val="99"/>
    <w:semiHidden/>
    <w:unhideWhenUsed/>
    <w:rsid w:val="005A0C60"/>
  </w:style>
  <w:style w:type="numbering" w:customStyle="1" w:styleId="1ai11">
    <w:name w:val="1 / a / i11"/>
    <w:basedOn w:val="Sinlista"/>
    <w:next w:val="1ai"/>
    <w:uiPriority w:val="99"/>
    <w:unhideWhenUsed/>
    <w:rsid w:val="005A0C60"/>
    <w:pPr>
      <w:numPr>
        <w:numId w:val="22"/>
      </w:numPr>
    </w:pPr>
  </w:style>
  <w:style w:type="numbering" w:customStyle="1" w:styleId="Sinlista52">
    <w:name w:val="Sin lista52"/>
    <w:next w:val="Sinlista"/>
    <w:semiHidden/>
    <w:rsid w:val="005A0C60"/>
  </w:style>
  <w:style w:type="numbering" w:customStyle="1" w:styleId="Sinlista1112">
    <w:name w:val="Sin lista1112"/>
    <w:next w:val="Sinlista"/>
    <w:semiHidden/>
    <w:unhideWhenUsed/>
    <w:rsid w:val="005A0C60"/>
  </w:style>
  <w:style w:type="table" w:customStyle="1" w:styleId="Tablaconcuadrcula12">
    <w:name w:val="Tabla con cuadrícula12"/>
    <w:basedOn w:val="Tablanormal"/>
    <w:next w:val="Tablaconcuadrcula"/>
    <w:uiPriority w:val="59"/>
    <w:rsid w:val="005A0C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semiHidden/>
    <w:rsid w:val="005A0C60"/>
  </w:style>
  <w:style w:type="numbering" w:customStyle="1" w:styleId="Sinlista312">
    <w:name w:val="Sin lista312"/>
    <w:next w:val="Sinlista"/>
    <w:uiPriority w:val="99"/>
    <w:semiHidden/>
    <w:unhideWhenUsed/>
    <w:rsid w:val="005A0C60"/>
  </w:style>
  <w:style w:type="numbering" w:customStyle="1" w:styleId="Sinlista412">
    <w:name w:val="Sin lista412"/>
    <w:next w:val="Sinlista"/>
    <w:uiPriority w:val="99"/>
    <w:semiHidden/>
    <w:unhideWhenUsed/>
    <w:rsid w:val="005A0C60"/>
  </w:style>
  <w:style w:type="numbering" w:customStyle="1" w:styleId="Sinlista62">
    <w:name w:val="Sin lista62"/>
    <w:next w:val="Sinlista"/>
    <w:uiPriority w:val="99"/>
    <w:semiHidden/>
    <w:unhideWhenUsed/>
    <w:rsid w:val="005A0C60"/>
  </w:style>
  <w:style w:type="numbering" w:customStyle="1" w:styleId="1ai21">
    <w:name w:val="1 / a / i21"/>
    <w:basedOn w:val="Sinlista"/>
    <w:next w:val="1ai"/>
    <w:uiPriority w:val="99"/>
    <w:unhideWhenUsed/>
    <w:rsid w:val="005A0C60"/>
    <w:pPr>
      <w:numPr>
        <w:numId w:val="24"/>
      </w:numPr>
    </w:pPr>
  </w:style>
  <w:style w:type="character" w:customStyle="1" w:styleId="IFTnormalCar">
    <w:name w:val="IFT normal Car"/>
    <w:basedOn w:val="Fuentedeprrafopredeter"/>
    <w:link w:val="IFTnormal"/>
    <w:qFormat/>
    <w:rsid w:val="00580365"/>
    <w:rPr>
      <w:rFonts w:ascii="ITC Avant Garde" w:eastAsia="Times New Roman" w:hAnsi="ITC Avant Garde"/>
      <w:iCs/>
      <w:sz w:val="22"/>
      <w:szCs w:val="22"/>
      <w:lang w:val="es-ES"/>
    </w:rPr>
  </w:style>
  <w:style w:type="paragraph" w:customStyle="1" w:styleId="Citaift">
    <w:name w:val="Cita ift"/>
    <w:basedOn w:val="Normal"/>
    <w:link w:val="CitaiftCar"/>
    <w:qFormat/>
    <w:rsid w:val="00580365"/>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80365"/>
    <w:rPr>
      <w:rFonts w:ascii="ITC Avant Garde" w:eastAsia="Times New Roman" w:hAnsi="ITC Avant Garde" w:cs="Arial"/>
      <w:i/>
      <w:color w:val="00000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9865">
      <w:bodyDiv w:val="1"/>
      <w:marLeft w:val="0"/>
      <w:marRight w:val="0"/>
      <w:marTop w:val="0"/>
      <w:marBottom w:val="0"/>
      <w:divBdr>
        <w:top w:val="none" w:sz="0" w:space="0" w:color="auto"/>
        <w:left w:val="none" w:sz="0" w:space="0" w:color="auto"/>
        <w:bottom w:val="none" w:sz="0" w:space="0" w:color="auto"/>
        <w:right w:val="none" w:sz="0" w:space="0" w:color="auto"/>
      </w:divBdr>
      <w:divsChild>
        <w:div w:id="1287927559">
          <w:marLeft w:val="0"/>
          <w:marRight w:val="0"/>
          <w:marTop w:val="0"/>
          <w:marBottom w:val="0"/>
          <w:divBdr>
            <w:top w:val="none" w:sz="0" w:space="0" w:color="auto"/>
            <w:left w:val="none" w:sz="0" w:space="0" w:color="auto"/>
            <w:bottom w:val="none" w:sz="0" w:space="0" w:color="auto"/>
            <w:right w:val="none" w:sz="0" w:space="0" w:color="auto"/>
          </w:divBdr>
          <w:divsChild>
            <w:div w:id="193690571">
              <w:marLeft w:val="0"/>
              <w:marRight w:val="0"/>
              <w:marTop w:val="0"/>
              <w:marBottom w:val="0"/>
              <w:divBdr>
                <w:top w:val="none" w:sz="0" w:space="0" w:color="auto"/>
                <w:left w:val="none" w:sz="0" w:space="0" w:color="auto"/>
                <w:bottom w:val="none" w:sz="0" w:space="0" w:color="auto"/>
                <w:right w:val="none" w:sz="0" w:space="0" w:color="auto"/>
              </w:divBdr>
              <w:divsChild>
                <w:div w:id="955328318">
                  <w:marLeft w:val="0"/>
                  <w:marRight w:val="0"/>
                  <w:marTop w:val="0"/>
                  <w:marBottom w:val="0"/>
                  <w:divBdr>
                    <w:top w:val="none" w:sz="0" w:space="0" w:color="auto"/>
                    <w:left w:val="none" w:sz="0" w:space="0" w:color="auto"/>
                    <w:bottom w:val="none" w:sz="0" w:space="0" w:color="auto"/>
                    <w:right w:val="none" w:sz="0" w:space="0" w:color="auto"/>
                  </w:divBdr>
                  <w:divsChild>
                    <w:div w:id="728187216">
                      <w:marLeft w:val="0"/>
                      <w:marRight w:val="0"/>
                      <w:marTop w:val="0"/>
                      <w:marBottom w:val="0"/>
                      <w:divBdr>
                        <w:top w:val="none" w:sz="0" w:space="0" w:color="auto"/>
                        <w:left w:val="none" w:sz="0" w:space="0" w:color="auto"/>
                        <w:bottom w:val="none" w:sz="0" w:space="0" w:color="auto"/>
                        <w:right w:val="none" w:sz="0" w:space="0" w:color="auto"/>
                      </w:divBdr>
                      <w:divsChild>
                        <w:div w:id="1903519919">
                          <w:marLeft w:val="0"/>
                          <w:marRight w:val="0"/>
                          <w:marTop w:val="0"/>
                          <w:marBottom w:val="0"/>
                          <w:divBdr>
                            <w:top w:val="none" w:sz="0" w:space="0" w:color="auto"/>
                            <w:left w:val="none" w:sz="0" w:space="0" w:color="auto"/>
                            <w:bottom w:val="none" w:sz="0" w:space="0" w:color="auto"/>
                            <w:right w:val="none" w:sz="0" w:space="0" w:color="auto"/>
                          </w:divBdr>
                          <w:divsChild>
                            <w:div w:id="935675642">
                              <w:marLeft w:val="0"/>
                              <w:marRight w:val="0"/>
                              <w:marTop w:val="0"/>
                              <w:marBottom w:val="0"/>
                              <w:divBdr>
                                <w:top w:val="none" w:sz="0" w:space="0" w:color="auto"/>
                                <w:left w:val="none" w:sz="0" w:space="0" w:color="auto"/>
                                <w:bottom w:val="none" w:sz="0" w:space="0" w:color="auto"/>
                                <w:right w:val="none" w:sz="0" w:space="0" w:color="auto"/>
                              </w:divBdr>
                              <w:divsChild>
                                <w:div w:id="119960776">
                                  <w:marLeft w:val="0"/>
                                  <w:marRight w:val="0"/>
                                  <w:marTop w:val="0"/>
                                  <w:marBottom w:val="0"/>
                                  <w:divBdr>
                                    <w:top w:val="none" w:sz="0" w:space="0" w:color="auto"/>
                                    <w:left w:val="none" w:sz="0" w:space="0" w:color="auto"/>
                                    <w:bottom w:val="none" w:sz="0" w:space="0" w:color="auto"/>
                                    <w:right w:val="none" w:sz="0" w:space="0" w:color="auto"/>
                                  </w:divBdr>
                                  <w:divsChild>
                                    <w:div w:id="43910331">
                                      <w:marLeft w:val="0"/>
                                      <w:marRight w:val="0"/>
                                      <w:marTop w:val="0"/>
                                      <w:marBottom w:val="0"/>
                                      <w:divBdr>
                                        <w:top w:val="none" w:sz="0" w:space="0" w:color="auto"/>
                                        <w:left w:val="none" w:sz="0" w:space="0" w:color="auto"/>
                                        <w:bottom w:val="none" w:sz="0" w:space="0" w:color="auto"/>
                                        <w:right w:val="none" w:sz="0" w:space="0" w:color="auto"/>
                                      </w:divBdr>
                                      <w:divsChild>
                                        <w:div w:id="1997566594">
                                          <w:marLeft w:val="0"/>
                                          <w:marRight w:val="0"/>
                                          <w:marTop w:val="0"/>
                                          <w:marBottom w:val="0"/>
                                          <w:divBdr>
                                            <w:top w:val="none" w:sz="0" w:space="0" w:color="auto"/>
                                            <w:left w:val="none" w:sz="0" w:space="0" w:color="auto"/>
                                            <w:bottom w:val="none" w:sz="0" w:space="0" w:color="auto"/>
                                            <w:right w:val="none" w:sz="0" w:space="0" w:color="auto"/>
                                          </w:divBdr>
                                          <w:divsChild>
                                            <w:div w:id="548033692">
                                              <w:marLeft w:val="0"/>
                                              <w:marRight w:val="0"/>
                                              <w:marTop w:val="0"/>
                                              <w:marBottom w:val="0"/>
                                              <w:divBdr>
                                                <w:top w:val="none" w:sz="0" w:space="0" w:color="auto"/>
                                                <w:left w:val="none" w:sz="0" w:space="0" w:color="auto"/>
                                                <w:bottom w:val="none" w:sz="0" w:space="0" w:color="auto"/>
                                                <w:right w:val="none" w:sz="0" w:space="0" w:color="auto"/>
                                              </w:divBdr>
                                              <w:divsChild>
                                                <w:div w:id="1091505017">
                                                  <w:marLeft w:val="0"/>
                                                  <w:marRight w:val="0"/>
                                                  <w:marTop w:val="0"/>
                                                  <w:marBottom w:val="0"/>
                                                  <w:divBdr>
                                                    <w:top w:val="none" w:sz="0" w:space="0" w:color="auto"/>
                                                    <w:left w:val="none" w:sz="0" w:space="0" w:color="auto"/>
                                                    <w:bottom w:val="none" w:sz="0" w:space="0" w:color="auto"/>
                                                    <w:right w:val="none" w:sz="0" w:space="0" w:color="auto"/>
                                                  </w:divBdr>
                                                  <w:divsChild>
                                                    <w:div w:id="942566286">
                                                      <w:marLeft w:val="0"/>
                                                      <w:marRight w:val="0"/>
                                                      <w:marTop w:val="0"/>
                                                      <w:marBottom w:val="0"/>
                                                      <w:divBdr>
                                                        <w:top w:val="none" w:sz="0" w:space="0" w:color="auto"/>
                                                        <w:left w:val="none" w:sz="0" w:space="0" w:color="auto"/>
                                                        <w:bottom w:val="none" w:sz="0" w:space="0" w:color="auto"/>
                                                        <w:right w:val="none" w:sz="0" w:space="0" w:color="auto"/>
                                                      </w:divBdr>
                                                      <w:divsChild>
                                                        <w:div w:id="1942646880">
                                                          <w:marLeft w:val="0"/>
                                                          <w:marRight w:val="0"/>
                                                          <w:marTop w:val="0"/>
                                                          <w:marBottom w:val="0"/>
                                                          <w:divBdr>
                                                            <w:top w:val="none" w:sz="0" w:space="0" w:color="auto"/>
                                                            <w:left w:val="none" w:sz="0" w:space="0" w:color="auto"/>
                                                            <w:bottom w:val="none" w:sz="0" w:space="0" w:color="auto"/>
                                                            <w:right w:val="none" w:sz="0" w:space="0" w:color="auto"/>
                                                          </w:divBdr>
                                                          <w:divsChild>
                                                            <w:div w:id="1147477657">
                                                              <w:marLeft w:val="0"/>
                                                              <w:marRight w:val="0"/>
                                                              <w:marTop w:val="0"/>
                                                              <w:marBottom w:val="0"/>
                                                              <w:divBdr>
                                                                <w:top w:val="none" w:sz="0" w:space="0" w:color="auto"/>
                                                                <w:left w:val="none" w:sz="0" w:space="0" w:color="auto"/>
                                                                <w:bottom w:val="none" w:sz="0" w:space="0" w:color="auto"/>
                                                                <w:right w:val="none" w:sz="0" w:space="0" w:color="auto"/>
                                                              </w:divBdr>
                                                              <w:divsChild>
                                                                <w:div w:id="1411273555">
                                                                  <w:marLeft w:val="0"/>
                                                                  <w:marRight w:val="0"/>
                                                                  <w:marTop w:val="0"/>
                                                                  <w:marBottom w:val="0"/>
                                                                  <w:divBdr>
                                                                    <w:top w:val="none" w:sz="0" w:space="0" w:color="auto"/>
                                                                    <w:left w:val="none" w:sz="0" w:space="0" w:color="auto"/>
                                                                    <w:bottom w:val="none" w:sz="0" w:space="0" w:color="auto"/>
                                                                    <w:right w:val="none" w:sz="0" w:space="0" w:color="auto"/>
                                                                  </w:divBdr>
                                                                  <w:divsChild>
                                                                    <w:div w:id="43602211">
                                                                      <w:marLeft w:val="0"/>
                                                                      <w:marRight w:val="0"/>
                                                                      <w:marTop w:val="0"/>
                                                                      <w:marBottom w:val="0"/>
                                                                      <w:divBdr>
                                                                        <w:top w:val="none" w:sz="0" w:space="0" w:color="auto"/>
                                                                        <w:left w:val="none" w:sz="0" w:space="0" w:color="auto"/>
                                                                        <w:bottom w:val="none" w:sz="0" w:space="0" w:color="auto"/>
                                                                        <w:right w:val="none" w:sz="0" w:space="0" w:color="auto"/>
                                                                      </w:divBdr>
                                                                      <w:divsChild>
                                                                        <w:div w:id="112359643">
                                                                          <w:marLeft w:val="0"/>
                                                                          <w:marRight w:val="0"/>
                                                                          <w:marTop w:val="0"/>
                                                                          <w:marBottom w:val="0"/>
                                                                          <w:divBdr>
                                                                            <w:top w:val="none" w:sz="0" w:space="0" w:color="auto"/>
                                                                            <w:left w:val="none" w:sz="0" w:space="0" w:color="auto"/>
                                                                            <w:bottom w:val="none" w:sz="0" w:space="0" w:color="auto"/>
                                                                            <w:right w:val="none" w:sz="0" w:space="0" w:color="auto"/>
                                                                          </w:divBdr>
                                                                          <w:divsChild>
                                                                            <w:div w:id="1791514990">
                                                                              <w:marLeft w:val="0"/>
                                                                              <w:marRight w:val="0"/>
                                                                              <w:marTop w:val="0"/>
                                                                              <w:marBottom w:val="0"/>
                                                                              <w:divBdr>
                                                                                <w:top w:val="none" w:sz="0" w:space="0" w:color="auto"/>
                                                                                <w:left w:val="none" w:sz="0" w:space="0" w:color="auto"/>
                                                                                <w:bottom w:val="none" w:sz="0" w:space="0" w:color="auto"/>
                                                                                <w:right w:val="none" w:sz="0" w:space="0" w:color="auto"/>
                                                                              </w:divBdr>
                                                                              <w:divsChild>
                                                                                <w:div w:id="111944109">
                                                                                  <w:marLeft w:val="0"/>
                                                                                  <w:marRight w:val="0"/>
                                                                                  <w:marTop w:val="0"/>
                                                                                  <w:marBottom w:val="0"/>
                                                                                  <w:divBdr>
                                                                                    <w:top w:val="none" w:sz="0" w:space="0" w:color="auto"/>
                                                                                    <w:left w:val="none" w:sz="0" w:space="0" w:color="auto"/>
                                                                                    <w:bottom w:val="none" w:sz="0" w:space="0" w:color="auto"/>
                                                                                    <w:right w:val="none" w:sz="0" w:space="0" w:color="auto"/>
                                                                                  </w:divBdr>
                                                                                  <w:divsChild>
                                                                                    <w:div w:id="996885782">
                                                                                      <w:marLeft w:val="0"/>
                                                                                      <w:marRight w:val="0"/>
                                                                                      <w:marTop w:val="0"/>
                                                                                      <w:marBottom w:val="0"/>
                                                                                      <w:divBdr>
                                                                                        <w:top w:val="none" w:sz="0" w:space="0" w:color="auto"/>
                                                                                        <w:left w:val="none" w:sz="0" w:space="0" w:color="auto"/>
                                                                                        <w:bottom w:val="none" w:sz="0" w:space="0" w:color="auto"/>
                                                                                        <w:right w:val="none" w:sz="0" w:space="0" w:color="auto"/>
                                                                                      </w:divBdr>
                                                                                      <w:divsChild>
                                                                                        <w:div w:id="1631402540">
                                                                                          <w:marLeft w:val="0"/>
                                                                                          <w:marRight w:val="0"/>
                                                                                          <w:marTop w:val="0"/>
                                                                                          <w:marBottom w:val="0"/>
                                                                                          <w:divBdr>
                                                                                            <w:top w:val="none" w:sz="0" w:space="0" w:color="auto"/>
                                                                                            <w:left w:val="none" w:sz="0" w:space="0" w:color="auto"/>
                                                                                            <w:bottom w:val="none" w:sz="0" w:space="0" w:color="auto"/>
                                                                                            <w:right w:val="none" w:sz="0" w:space="0" w:color="auto"/>
                                                                                          </w:divBdr>
                                                                                          <w:divsChild>
                                                                                            <w:div w:id="951283379">
                                                                                              <w:marLeft w:val="0"/>
                                                                                              <w:marRight w:val="0"/>
                                                                                              <w:marTop w:val="0"/>
                                                                                              <w:marBottom w:val="0"/>
                                                                                              <w:divBdr>
                                                                                                <w:top w:val="none" w:sz="0" w:space="0" w:color="auto"/>
                                                                                                <w:left w:val="none" w:sz="0" w:space="0" w:color="auto"/>
                                                                                                <w:bottom w:val="none" w:sz="0" w:space="0" w:color="auto"/>
                                                                                                <w:right w:val="none" w:sz="0" w:space="0" w:color="auto"/>
                                                                                              </w:divBdr>
                                                                                              <w:divsChild>
                                                                                                <w:div w:id="1270773132">
                                                                                                  <w:marLeft w:val="0"/>
                                                                                                  <w:marRight w:val="0"/>
                                                                                                  <w:marTop w:val="0"/>
                                                                                                  <w:marBottom w:val="0"/>
                                                                                                  <w:divBdr>
                                                                                                    <w:top w:val="none" w:sz="0" w:space="0" w:color="auto"/>
                                                                                                    <w:left w:val="none" w:sz="0" w:space="0" w:color="auto"/>
                                                                                                    <w:bottom w:val="none" w:sz="0" w:space="0" w:color="auto"/>
                                                                                                    <w:right w:val="none" w:sz="0" w:space="0" w:color="auto"/>
                                                                                                  </w:divBdr>
                                                                                                  <w:divsChild>
                                                                                                    <w:div w:id="674260818">
                                                                                                      <w:marLeft w:val="0"/>
                                                                                                      <w:marRight w:val="0"/>
                                                                                                      <w:marTop w:val="0"/>
                                                                                                      <w:marBottom w:val="0"/>
                                                                                                      <w:divBdr>
                                                                                                        <w:top w:val="none" w:sz="0" w:space="0" w:color="auto"/>
                                                                                                        <w:left w:val="none" w:sz="0" w:space="0" w:color="auto"/>
                                                                                                        <w:bottom w:val="none" w:sz="0" w:space="0" w:color="auto"/>
                                                                                                        <w:right w:val="none" w:sz="0" w:space="0" w:color="auto"/>
                                                                                                      </w:divBdr>
                                                                                                      <w:divsChild>
                                                                                                        <w:div w:id="1715810942">
                                                                                                          <w:marLeft w:val="0"/>
                                                                                                          <w:marRight w:val="0"/>
                                                                                                          <w:marTop w:val="0"/>
                                                                                                          <w:marBottom w:val="0"/>
                                                                                                          <w:divBdr>
                                                                                                            <w:top w:val="none" w:sz="0" w:space="0" w:color="auto"/>
                                                                                                            <w:left w:val="none" w:sz="0" w:space="0" w:color="auto"/>
                                                                                                            <w:bottom w:val="none" w:sz="0" w:space="0" w:color="auto"/>
                                                                                                            <w:right w:val="none" w:sz="0" w:space="0" w:color="auto"/>
                                                                                                          </w:divBdr>
                                                                                                          <w:divsChild>
                                                                                                            <w:div w:id="1498568903">
                                                                                                              <w:marLeft w:val="0"/>
                                                                                                              <w:marRight w:val="0"/>
                                                                                                              <w:marTop w:val="0"/>
                                                                                                              <w:marBottom w:val="0"/>
                                                                                                              <w:divBdr>
                                                                                                                <w:top w:val="none" w:sz="0" w:space="0" w:color="auto"/>
                                                                                                                <w:left w:val="none" w:sz="0" w:space="0" w:color="auto"/>
                                                                                                                <w:bottom w:val="none" w:sz="0" w:space="0" w:color="auto"/>
                                                                                                                <w:right w:val="none" w:sz="0" w:space="0" w:color="auto"/>
                                                                                                              </w:divBdr>
                                                                                                              <w:divsChild>
                                                                                                                <w:div w:id="1815562814">
                                                                                                                  <w:marLeft w:val="0"/>
                                                                                                                  <w:marRight w:val="0"/>
                                                                                                                  <w:marTop w:val="0"/>
                                                                                                                  <w:marBottom w:val="0"/>
                                                                                                                  <w:divBdr>
                                                                                                                    <w:top w:val="none" w:sz="0" w:space="0" w:color="auto"/>
                                                                                                                    <w:left w:val="none" w:sz="0" w:space="0" w:color="auto"/>
                                                                                                                    <w:bottom w:val="none" w:sz="0" w:space="0" w:color="auto"/>
                                                                                                                    <w:right w:val="none" w:sz="0" w:space="0" w:color="auto"/>
                                                                                                                  </w:divBdr>
                                                                                                                  <w:divsChild>
                                                                                                                    <w:div w:id="260379218">
                                                                                                                      <w:marLeft w:val="0"/>
                                                                                                                      <w:marRight w:val="0"/>
                                                                                                                      <w:marTop w:val="0"/>
                                                                                                                      <w:marBottom w:val="0"/>
                                                                                                                      <w:divBdr>
                                                                                                                        <w:top w:val="none" w:sz="0" w:space="0" w:color="auto"/>
                                                                                                                        <w:left w:val="none" w:sz="0" w:space="0" w:color="auto"/>
                                                                                                                        <w:bottom w:val="none" w:sz="0" w:space="0" w:color="auto"/>
                                                                                                                        <w:right w:val="none" w:sz="0" w:space="0" w:color="auto"/>
                                                                                                                      </w:divBdr>
                                                                                                                      <w:divsChild>
                                                                                                                        <w:div w:id="1696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105995">
      <w:bodyDiv w:val="1"/>
      <w:marLeft w:val="0"/>
      <w:marRight w:val="0"/>
      <w:marTop w:val="0"/>
      <w:marBottom w:val="0"/>
      <w:divBdr>
        <w:top w:val="none" w:sz="0" w:space="0" w:color="auto"/>
        <w:left w:val="none" w:sz="0" w:space="0" w:color="auto"/>
        <w:bottom w:val="none" w:sz="0" w:space="0" w:color="auto"/>
        <w:right w:val="none" w:sz="0" w:space="0" w:color="auto"/>
      </w:divBdr>
      <w:divsChild>
        <w:div w:id="1320189204">
          <w:marLeft w:val="0"/>
          <w:marRight w:val="0"/>
          <w:marTop w:val="0"/>
          <w:marBottom w:val="0"/>
          <w:divBdr>
            <w:top w:val="none" w:sz="0" w:space="0" w:color="auto"/>
            <w:left w:val="none" w:sz="0" w:space="0" w:color="auto"/>
            <w:bottom w:val="none" w:sz="0" w:space="0" w:color="auto"/>
            <w:right w:val="none" w:sz="0" w:space="0" w:color="auto"/>
          </w:divBdr>
          <w:divsChild>
            <w:div w:id="1577931724">
              <w:marLeft w:val="0"/>
              <w:marRight w:val="0"/>
              <w:marTop w:val="0"/>
              <w:marBottom w:val="0"/>
              <w:divBdr>
                <w:top w:val="none" w:sz="0" w:space="0" w:color="auto"/>
                <w:left w:val="none" w:sz="0" w:space="0" w:color="auto"/>
                <w:bottom w:val="none" w:sz="0" w:space="0" w:color="auto"/>
                <w:right w:val="none" w:sz="0" w:space="0" w:color="auto"/>
              </w:divBdr>
              <w:divsChild>
                <w:div w:id="1536578685">
                  <w:marLeft w:val="0"/>
                  <w:marRight w:val="0"/>
                  <w:marTop w:val="0"/>
                  <w:marBottom w:val="0"/>
                  <w:divBdr>
                    <w:top w:val="none" w:sz="0" w:space="0" w:color="auto"/>
                    <w:left w:val="none" w:sz="0" w:space="0" w:color="auto"/>
                    <w:bottom w:val="none" w:sz="0" w:space="0" w:color="auto"/>
                    <w:right w:val="none" w:sz="0" w:space="0" w:color="auto"/>
                  </w:divBdr>
                  <w:divsChild>
                    <w:div w:id="818039545">
                      <w:marLeft w:val="0"/>
                      <w:marRight w:val="0"/>
                      <w:marTop w:val="0"/>
                      <w:marBottom w:val="0"/>
                      <w:divBdr>
                        <w:top w:val="none" w:sz="0" w:space="0" w:color="auto"/>
                        <w:left w:val="none" w:sz="0" w:space="0" w:color="auto"/>
                        <w:bottom w:val="none" w:sz="0" w:space="0" w:color="auto"/>
                        <w:right w:val="none" w:sz="0" w:space="0" w:color="auto"/>
                      </w:divBdr>
                      <w:divsChild>
                        <w:div w:id="1700541645">
                          <w:marLeft w:val="0"/>
                          <w:marRight w:val="0"/>
                          <w:marTop w:val="0"/>
                          <w:marBottom w:val="0"/>
                          <w:divBdr>
                            <w:top w:val="none" w:sz="0" w:space="0" w:color="auto"/>
                            <w:left w:val="none" w:sz="0" w:space="0" w:color="auto"/>
                            <w:bottom w:val="none" w:sz="0" w:space="0" w:color="auto"/>
                            <w:right w:val="none" w:sz="0" w:space="0" w:color="auto"/>
                          </w:divBdr>
                          <w:divsChild>
                            <w:div w:id="1435129251">
                              <w:marLeft w:val="0"/>
                              <w:marRight w:val="0"/>
                              <w:marTop w:val="0"/>
                              <w:marBottom w:val="0"/>
                              <w:divBdr>
                                <w:top w:val="none" w:sz="0" w:space="0" w:color="auto"/>
                                <w:left w:val="none" w:sz="0" w:space="0" w:color="auto"/>
                                <w:bottom w:val="none" w:sz="0" w:space="0" w:color="auto"/>
                                <w:right w:val="none" w:sz="0" w:space="0" w:color="auto"/>
                              </w:divBdr>
                              <w:divsChild>
                                <w:div w:id="1527937495">
                                  <w:marLeft w:val="0"/>
                                  <w:marRight w:val="0"/>
                                  <w:marTop w:val="0"/>
                                  <w:marBottom w:val="0"/>
                                  <w:divBdr>
                                    <w:top w:val="none" w:sz="0" w:space="0" w:color="auto"/>
                                    <w:left w:val="none" w:sz="0" w:space="0" w:color="auto"/>
                                    <w:bottom w:val="none" w:sz="0" w:space="0" w:color="auto"/>
                                    <w:right w:val="none" w:sz="0" w:space="0" w:color="auto"/>
                                  </w:divBdr>
                                  <w:divsChild>
                                    <w:div w:id="785124996">
                                      <w:marLeft w:val="0"/>
                                      <w:marRight w:val="0"/>
                                      <w:marTop w:val="0"/>
                                      <w:marBottom w:val="0"/>
                                      <w:divBdr>
                                        <w:top w:val="none" w:sz="0" w:space="0" w:color="auto"/>
                                        <w:left w:val="none" w:sz="0" w:space="0" w:color="auto"/>
                                        <w:bottom w:val="none" w:sz="0" w:space="0" w:color="auto"/>
                                        <w:right w:val="none" w:sz="0" w:space="0" w:color="auto"/>
                                      </w:divBdr>
                                      <w:divsChild>
                                        <w:div w:id="2012487333">
                                          <w:marLeft w:val="0"/>
                                          <w:marRight w:val="0"/>
                                          <w:marTop w:val="0"/>
                                          <w:marBottom w:val="0"/>
                                          <w:divBdr>
                                            <w:top w:val="none" w:sz="0" w:space="0" w:color="auto"/>
                                            <w:left w:val="none" w:sz="0" w:space="0" w:color="auto"/>
                                            <w:bottom w:val="none" w:sz="0" w:space="0" w:color="auto"/>
                                            <w:right w:val="none" w:sz="0" w:space="0" w:color="auto"/>
                                          </w:divBdr>
                                          <w:divsChild>
                                            <w:div w:id="1823159353">
                                              <w:marLeft w:val="0"/>
                                              <w:marRight w:val="0"/>
                                              <w:marTop w:val="0"/>
                                              <w:marBottom w:val="0"/>
                                              <w:divBdr>
                                                <w:top w:val="none" w:sz="0" w:space="0" w:color="auto"/>
                                                <w:left w:val="none" w:sz="0" w:space="0" w:color="auto"/>
                                                <w:bottom w:val="none" w:sz="0" w:space="0" w:color="auto"/>
                                                <w:right w:val="none" w:sz="0" w:space="0" w:color="auto"/>
                                              </w:divBdr>
                                              <w:divsChild>
                                                <w:div w:id="2097944313">
                                                  <w:marLeft w:val="0"/>
                                                  <w:marRight w:val="0"/>
                                                  <w:marTop w:val="0"/>
                                                  <w:marBottom w:val="0"/>
                                                  <w:divBdr>
                                                    <w:top w:val="none" w:sz="0" w:space="0" w:color="auto"/>
                                                    <w:left w:val="none" w:sz="0" w:space="0" w:color="auto"/>
                                                    <w:bottom w:val="none" w:sz="0" w:space="0" w:color="auto"/>
                                                    <w:right w:val="none" w:sz="0" w:space="0" w:color="auto"/>
                                                  </w:divBdr>
                                                  <w:divsChild>
                                                    <w:div w:id="442113600">
                                                      <w:marLeft w:val="0"/>
                                                      <w:marRight w:val="0"/>
                                                      <w:marTop w:val="0"/>
                                                      <w:marBottom w:val="0"/>
                                                      <w:divBdr>
                                                        <w:top w:val="none" w:sz="0" w:space="0" w:color="auto"/>
                                                        <w:left w:val="none" w:sz="0" w:space="0" w:color="auto"/>
                                                        <w:bottom w:val="none" w:sz="0" w:space="0" w:color="auto"/>
                                                        <w:right w:val="none" w:sz="0" w:space="0" w:color="auto"/>
                                                      </w:divBdr>
                                                      <w:divsChild>
                                                        <w:div w:id="192303898">
                                                          <w:marLeft w:val="0"/>
                                                          <w:marRight w:val="0"/>
                                                          <w:marTop w:val="0"/>
                                                          <w:marBottom w:val="0"/>
                                                          <w:divBdr>
                                                            <w:top w:val="none" w:sz="0" w:space="0" w:color="auto"/>
                                                            <w:left w:val="none" w:sz="0" w:space="0" w:color="auto"/>
                                                            <w:bottom w:val="none" w:sz="0" w:space="0" w:color="auto"/>
                                                            <w:right w:val="none" w:sz="0" w:space="0" w:color="auto"/>
                                                          </w:divBdr>
                                                          <w:divsChild>
                                                            <w:div w:id="1406800330">
                                                              <w:marLeft w:val="0"/>
                                                              <w:marRight w:val="0"/>
                                                              <w:marTop w:val="0"/>
                                                              <w:marBottom w:val="0"/>
                                                              <w:divBdr>
                                                                <w:top w:val="none" w:sz="0" w:space="0" w:color="auto"/>
                                                                <w:left w:val="none" w:sz="0" w:space="0" w:color="auto"/>
                                                                <w:bottom w:val="none" w:sz="0" w:space="0" w:color="auto"/>
                                                                <w:right w:val="none" w:sz="0" w:space="0" w:color="auto"/>
                                                              </w:divBdr>
                                                              <w:divsChild>
                                                                <w:div w:id="1628389136">
                                                                  <w:marLeft w:val="0"/>
                                                                  <w:marRight w:val="0"/>
                                                                  <w:marTop w:val="0"/>
                                                                  <w:marBottom w:val="0"/>
                                                                  <w:divBdr>
                                                                    <w:top w:val="none" w:sz="0" w:space="0" w:color="auto"/>
                                                                    <w:left w:val="none" w:sz="0" w:space="0" w:color="auto"/>
                                                                    <w:bottom w:val="none" w:sz="0" w:space="0" w:color="auto"/>
                                                                    <w:right w:val="none" w:sz="0" w:space="0" w:color="auto"/>
                                                                  </w:divBdr>
                                                                  <w:divsChild>
                                                                    <w:div w:id="1368945104">
                                                                      <w:marLeft w:val="0"/>
                                                                      <w:marRight w:val="0"/>
                                                                      <w:marTop w:val="0"/>
                                                                      <w:marBottom w:val="0"/>
                                                                      <w:divBdr>
                                                                        <w:top w:val="none" w:sz="0" w:space="0" w:color="auto"/>
                                                                        <w:left w:val="none" w:sz="0" w:space="0" w:color="auto"/>
                                                                        <w:bottom w:val="none" w:sz="0" w:space="0" w:color="auto"/>
                                                                        <w:right w:val="none" w:sz="0" w:space="0" w:color="auto"/>
                                                                      </w:divBdr>
                                                                      <w:divsChild>
                                                                        <w:div w:id="106853453">
                                                                          <w:marLeft w:val="0"/>
                                                                          <w:marRight w:val="0"/>
                                                                          <w:marTop w:val="0"/>
                                                                          <w:marBottom w:val="0"/>
                                                                          <w:divBdr>
                                                                            <w:top w:val="none" w:sz="0" w:space="0" w:color="auto"/>
                                                                            <w:left w:val="none" w:sz="0" w:space="0" w:color="auto"/>
                                                                            <w:bottom w:val="none" w:sz="0" w:space="0" w:color="auto"/>
                                                                            <w:right w:val="none" w:sz="0" w:space="0" w:color="auto"/>
                                                                          </w:divBdr>
                                                                          <w:divsChild>
                                                                            <w:div w:id="596982121">
                                                                              <w:marLeft w:val="0"/>
                                                                              <w:marRight w:val="0"/>
                                                                              <w:marTop w:val="0"/>
                                                                              <w:marBottom w:val="0"/>
                                                                              <w:divBdr>
                                                                                <w:top w:val="none" w:sz="0" w:space="0" w:color="auto"/>
                                                                                <w:left w:val="none" w:sz="0" w:space="0" w:color="auto"/>
                                                                                <w:bottom w:val="none" w:sz="0" w:space="0" w:color="auto"/>
                                                                                <w:right w:val="none" w:sz="0" w:space="0" w:color="auto"/>
                                                                              </w:divBdr>
                                                                              <w:divsChild>
                                                                                <w:div w:id="1109549424">
                                                                                  <w:marLeft w:val="0"/>
                                                                                  <w:marRight w:val="0"/>
                                                                                  <w:marTop w:val="0"/>
                                                                                  <w:marBottom w:val="0"/>
                                                                                  <w:divBdr>
                                                                                    <w:top w:val="none" w:sz="0" w:space="0" w:color="auto"/>
                                                                                    <w:left w:val="none" w:sz="0" w:space="0" w:color="auto"/>
                                                                                    <w:bottom w:val="none" w:sz="0" w:space="0" w:color="auto"/>
                                                                                    <w:right w:val="none" w:sz="0" w:space="0" w:color="auto"/>
                                                                                  </w:divBdr>
                                                                                  <w:divsChild>
                                                                                    <w:div w:id="1659729329">
                                                                                      <w:marLeft w:val="0"/>
                                                                                      <w:marRight w:val="0"/>
                                                                                      <w:marTop w:val="0"/>
                                                                                      <w:marBottom w:val="0"/>
                                                                                      <w:divBdr>
                                                                                        <w:top w:val="none" w:sz="0" w:space="0" w:color="auto"/>
                                                                                        <w:left w:val="none" w:sz="0" w:space="0" w:color="auto"/>
                                                                                        <w:bottom w:val="none" w:sz="0" w:space="0" w:color="auto"/>
                                                                                        <w:right w:val="none" w:sz="0" w:space="0" w:color="auto"/>
                                                                                      </w:divBdr>
                                                                                      <w:divsChild>
                                                                                        <w:div w:id="264001551">
                                                                                          <w:marLeft w:val="0"/>
                                                                                          <w:marRight w:val="0"/>
                                                                                          <w:marTop w:val="0"/>
                                                                                          <w:marBottom w:val="0"/>
                                                                                          <w:divBdr>
                                                                                            <w:top w:val="none" w:sz="0" w:space="0" w:color="auto"/>
                                                                                            <w:left w:val="none" w:sz="0" w:space="0" w:color="auto"/>
                                                                                            <w:bottom w:val="none" w:sz="0" w:space="0" w:color="auto"/>
                                                                                            <w:right w:val="none" w:sz="0" w:space="0" w:color="auto"/>
                                                                                          </w:divBdr>
                                                                                          <w:divsChild>
                                                                                            <w:div w:id="803887154">
                                                                                              <w:marLeft w:val="0"/>
                                                                                              <w:marRight w:val="0"/>
                                                                                              <w:marTop w:val="0"/>
                                                                                              <w:marBottom w:val="0"/>
                                                                                              <w:divBdr>
                                                                                                <w:top w:val="none" w:sz="0" w:space="0" w:color="auto"/>
                                                                                                <w:left w:val="none" w:sz="0" w:space="0" w:color="auto"/>
                                                                                                <w:bottom w:val="none" w:sz="0" w:space="0" w:color="auto"/>
                                                                                                <w:right w:val="none" w:sz="0" w:space="0" w:color="auto"/>
                                                                                              </w:divBdr>
                                                                                              <w:divsChild>
                                                                                                <w:div w:id="905650953">
                                                                                                  <w:marLeft w:val="0"/>
                                                                                                  <w:marRight w:val="0"/>
                                                                                                  <w:marTop w:val="0"/>
                                                                                                  <w:marBottom w:val="0"/>
                                                                                                  <w:divBdr>
                                                                                                    <w:top w:val="none" w:sz="0" w:space="0" w:color="auto"/>
                                                                                                    <w:left w:val="none" w:sz="0" w:space="0" w:color="auto"/>
                                                                                                    <w:bottom w:val="none" w:sz="0" w:space="0" w:color="auto"/>
                                                                                                    <w:right w:val="none" w:sz="0" w:space="0" w:color="auto"/>
                                                                                                  </w:divBdr>
                                                                                                  <w:divsChild>
                                                                                                    <w:div w:id="1630279856">
                                                                                                      <w:marLeft w:val="0"/>
                                                                                                      <w:marRight w:val="0"/>
                                                                                                      <w:marTop w:val="0"/>
                                                                                                      <w:marBottom w:val="0"/>
                                                                                                      <w:divBdr>
                                                                                                        <w:top w:val="none" w:sz="0" w:space="0" w:color="auto"/>
                                                                                                        <w:left w:val="none" w:sz="0" w:space="0" w:color="auto"/>
                                                                                                        <w:bottom w:val="none" w:sz="0" w:space="0" w:color="auto"/>
                                                                                                        <w:right w:val="none" w:sz="0" w:space="0" w:color="auto"/>
                                                                                                      </w:divBdr>
                                                                                                      <w:divsChild>
                                                                                                        <w:div w:id="1426653333">
                                                                                                          <w:marLeft w:val="0"/>
                                                                                                          <w:marRight w:val="0"/>
                                                                                                          <w:marTop w:val="0"/>
                                                                                                          <w:marBottom w:val="0"/>
                                                                                                          <w:divBdr>
                                                                                                            <w:top w:val="none" w:sz="0" w:space="0" w:color="auto"/>
                                                                                                            <w:left w:val="none" w:sz="0" w:space="0" w:color="auto"/>
                                                                                                            <w:bottom w:val="none" w:sz="0" w:space="0" w:color="auto"/>
                                                                                                            <w:right w:val="none" w:sz="0" w:space="0" w:color="auto"/>
                                                                                                          </w:divBdr>
                                                                                                          <w:divsChild>
                                                                                                            <w:div w:id="1164051045">
                                                                                                              <w:marLeft w:val="0"/>
                                                                                                              <w:marRight w:val="0"/>
                                                                                                              <w:marTop w:val="0"/>
                                                                                                              <w:marBottom w:val="0"/>
                                                                                                              <w:divBdr>
                                                                                                                <w:top w:val="none" w:sz="0" w:space="0" w:color="auto"/>
                                                                                                                <w:left w:val="none" w:sz="0" w:space="0" w:color="auto"/>
                                                                                                                <w:bottom w:val="none" w:sz="0" w:space="0" w:color="auto"/>
                                                                                                                <w:right w:val="none" w:sz="0" w:space="0" w:color="auto"/>
                                                                                                              </w:divBdr>
                                                                                                              <w:divsChild>
                                                                                                                <w:div w:id="471677234">
                                                                                                                  <w:marLeft w:val="0"/>
                                                                                                                  <w:marRight w:val="0"/>
                                                                                                                  <w:marTop w:val="0"/>
                                                                                                                  <w:marBottom w:val="0"/>
                                                                                                                  <w:divBdr>
                                                                                                                    <w:top w:val="none" w:sz="0" w:space="0" w:color="auto"/>
                                                                                                                    <w:left w:val="none" w:sz="0" w:space="0" w:color="auto"/>
                                                                                                                    <w:bottom w:val="none" w:sz="0" w:space="0" w:color="auto"/>
                                                                                                                    <w:right w:val="none" w:sz="0" w:space="0" w:color="auto"/>
                                                                                                                  </w:divBdr>
                                                                                                                  <w:divsChild>
                                                                                                                    <w:div w:id="213783400">
                                                                                                                      <w:marLeft w:val="0"/>
                                                                                                                      <w:marRight w:val="0"/>
                                                                                                                      <w:marTop w:val="0"/>
                                                                                                                      <w:marBottom w:val="0"/>
                                                                                                                      <w:divBdr>
                                                                                                                        <w:top w:val="none" w:sz="0" w:space="0" w:color="auto"/>
                                                                                                                        <w:left w:val="none" w:sz="0" w:space="0" w:color="auto"/>
                                                                                                                        <w:bottom w:val="none" w:sz="0" w:space="0" w:color="auto"/>
                                                                                                                        <w:right w:val="none" w:sz="0" w:space="0" w:color="auto"/>
                                                                                                                      </w:divBdr>
                                                                                                                      <w:divsChild>
                                                                                                                        <w:div w:id="798693088">
                                                                                                                          <w:marLeft w:val="0"/>
                                                                                                                          <w:marRight w:val="0"/>
                                                                                                                          <w:marTop w:val="0"/>
                                                                                                                          <w:marBottom w:val="0"/>
                                                                                                                          <w:divBdr>
                                                                                                                            <w:top w:val="none" w:sz="0" w:space="0" w:color="auto"/>
                                                                                                                            <w:left w:val="none" w:sz="0" w:space="0" w:color="auto"/>
                                                                                                                            <w:bottom w:val="none" w:sz="0" w:space="0" w:color="auto"/>
                                                                                                                            <w:right w:val="none" w:sz="0" w:space="0" w:color="auto"/>
                                                                                                                          </w:divBdr>
                                                                                                                          <w:divsChild>
                                                                                                                            <w:div w:id="772474343">
                                                                                                                              <w:marLeft w:val="0"/>
                                                                                                                              <w:marRight w:val="0"/>
                                                                                                                              <w:marTop w:val="0"/>
                                                                                                                              <w:marBottom w:val="0"/>
                                                                                                                              <w:divBdr>
                                                                                                                                <w:top w:val="none" w:sz="0" w:space="0" w:color="auto"/>
                                                                                                                                <w:left w:val="none" w:sz="0" w:space="0" w:color="auto"/>
                                                                                                                                <w:bottom w:val="none" w:sz="0" w:space="0" w:color="auto"/>
                                                                                                                                <w:right w:val="none" w:sz="0" w:space="0" w:color="auto"/>
                                                                                                                              </w:divBdr>
                                                                                                                            </w:div>
                                                                                                                            <w:div w:id="18455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397714">
      <w:bodyDiv w:val="1"/>
      <w:marLeft w:val="0"/>
      <w:marRight w:val="0"/>
      <w:marTop w:val="0"/>
      <w:marBottom w:val="0"/>
      <w:divBdr>
        <w:top w:val="none" w:sz="0" w:space="0" w:color="auto"/>
        <w:left w:val="none" w:sz="0" w:space="0" w:color="auto"/>
        <w:bottom w:val="none" w:sz="0" w:space="0" w:color="auto"/>
        <w:right w:val="none" w:sz="0" w:space="0" w:color="auto"/>
      </w:divBdr>
    </w:div>
    <w:div w:id="716466360">
      <w:bodyDiv w:val="1"/>
      <w:marLeft w:val="0"/>
      <w:marRight w:val="0"/>
      <w:marTop w:val="0"/>
      <w:marBottom w:val="0"/>
      <w:divBdr>
        <w:top w:val="none" w:sz="0" w:space="0" w:color="auto"/>
        <w:left w:val="none" w:sz="0" w:space="0" w:color="auto"/>
        <w:bottom w:val="none" w:sz="0" w:space="0" w:color="auto"/>
        <w:right w:val="none" w:sz="0" w:space="0" w:color="auto"/>
      </w:divBdr>
    </w:div>
    <w:div w:id="807865754">
      <w:bodyDiv w:val="1"/>
      <w:marLeft w:val="0"/>
      <w:marRight w:val="0"/>
      <w:marTop w:val="0"/>
      <w:marBottom w:val="0"/>
      <w:divBdr>
        <w:top w:val="none" w:sz="0" w:space="0" w:color="auto"/>
        <w:left w:val="none" w:sz="0" w:space="0" w:color="auto"/>
        <w:bottom w:val="none" w:sz="0" w:space="0" w:color="auto"/>
        <w:right w:val="none" w:sz="0" w:space="0" w:color="auto"/>
      </w:divBdr>
    </w:div>
    <w:div w:id="1111439991">
      <w:bodyDiv w:val="1"/>
      <w:marLeft w:val="0"/>
      <w:marRight w:val="0"/>
      <w:marTop w:val="0"/>
      <w:marBottom w:val="0"/>
      <w:divBdr>
        <w:top w:val="none" w:sz="0" w:space="0" w:color="auto"/>
        <w:left w:val="none" w:sz="0" w:space="0" w:color="auto"/>
        <w:bottom w:val="none" w:sz="0" w:space="0" w:color="auto"/>
        <w:right w:val="none" w:sz="0" w:space="0" w:color="auto"/>
      </w:divBdr>
      <w:divsChild>
        <w:div w:id="1956205882">
          <w:marLeft w:val="0"/>
          <w:marRight w:val="0"/>
          <w:marTop w:val="0"/>
          <w:marBottom w:val="0"/>
          <w:divBdr>
            <w:top w:val="none" w:sz="0" w:space="0" w:color="auto"/>
            <w:left w:val="none" w:sz="0" w:space="0" w:color="auto"/>
            <w:bottom w:val="none" w:sz="0" w:space="0" w:color="auto"/>
            <w:right w:val="none" w:sz="0" w:space="0" w:color="auto"/>
          </w:divBdr>
          <w:divsChild>
            <w:div w:id="357631803">
              <w:marLeft w:val="0"/>
              <w:marRight w:val="0"/>
              <w:marTop w:val="0"/>
              <w:marBottom w:val="0"/>
              <w:divBdr>
                <w:top w:val="none" w:sz="0" w:space="0" w:color="auto"/>
                <w:left w:val="none" w:sz="0" w:space="0" w:color="auto"/>
                <w:bottom w:val="none" w:sz="0" w:space="0" w:color="auto"/>
                <w:right w:val="none" w:sz="0" w:space="0" w:color="auto"/>
              </w:divBdr>
              <w:divsChild>
                <w:div w:id="1402867980">
                  <w:marLeft w:val="0"/>
                  <w:marRight w:val="0"/>
                  <w:marTop w:val="0"/>
                  <w:marBottom w:val="0"/>
                  <w:divBdr>
                    <w:top w:val="none" w:sz="0" w:space="0" w:color="auto"/>
                    <w:left w:val="none" w:sz="0" w:space="0" w:color="auto"/>
                    <w:bottom w:val="none" w:sz="0" w:space="0" w:color="auto"/>
                    <w:right w:val="none" w:sz="0" w:space="0" w:color="auto"/>
                  </w:divBdr>
                  <w:divsChild>
                    <w:div w:id="926966730">
                      <w:marLeft w:val="0"/>
                      <w:marRight w:val="0"/>
                      <w:marTop w:val="0"/>
                      <w:marBottom w:val="0"/>
                      <w:divBdr>
                        <w:top w:val="none" w:sz="0" w:space="0" w:color="auto"/>
                        <w:left w:val="none" w:sz="0" w:space="0" w:color="auto"/>
                        <w:bottom w:val="none" w:sz="0" w:space="0" w:color="auto"/>
                        <w:right w:val="none" w:sz="0" w:space="0" w:color="auto"/>
                      </w:divBdr>
                      <w:divsChild>
                        <w:div w:id="683241151">
                          <w:marLeft w:val="0"/>
                          <w:marRight w:val="0"/>
                          <w:marTop w:val="0"/>
                          <w:marBottom w:val="0"/>
                          <w:divBdr>
                            <w:top w:val="none" w:sz="0" w:space="0" w:color="auto"/>
                            <w:left w:val="none" w:sz="0" w:space="0" w:color="auto"/>
                            <w:bottom w:val="none" w:sz="0" w:space="0" w:color="auto"/>
                            <w:right w:val="none" w:sz="0" w:space="0" w:color="auto"/>
                          </w:divBdr>
                          <w:divsChild>
                            <w:div w:id="1556550855">
                              <w:marLeft w:val="0"/>
                              <w:marRight w:val="0"/>
                              <w:marTop w:val="0"/>
                              <w:marBottom w:val="0"/>
                              <w:divBdr>
                                <w:top w:val="none" w:sz="0" w:space="0" w:color="auto"/>
                                <w:left w:val="none" w:sz="0" w:space="0" w:color="auto"/>
                                <w:bottom w:val="none" w:sz="0" w:space="0" w:color="auto"/>
                                <w:right w:val="none" w:sz="0" w:space="0" w:color="auto"/>
                              </w:divBdr>
                              <w:divsChild>
                                <w:div w:id="710569897">
                                  <w:marLeft w:val="0"/>
                                  <w:marRight w:val="0"/>
                                  <w:marTop w:val="0"/>
                                  <w:marBottom w:val="0"/>
                                  <w:divBdr>
                                    <w:top w:val="none" w:sz="0" w:space="0" w:color="auto"/>
                                    <w:left w:val="none" w:sz="0" w:space="0" w:color="auto"/>
                                    <w:bottom w:val="none" w:sz="0" w:space="0" w:color="auto"/>
                                    <w:right w:val="none" w:sz="0" w:space="0" w:color="auto"/>
                                  </w:divBdr>
                                  <w:divsChild>
                                    <w:div w:id="1273855056">
                                      <w:marLeft w:val="0"/>
                                      <w:marRight w:val="0"/>
                                      <w:marTop w:val="0"/>
                                      <w:marBottom w:val="0"/>
                                      <w:divBdr>
                                        <w:top w:val="none" w:sz="0" w:space="0" w:color="auto"/>
                                        <w:left w:val="none" w:sz="0" w:space="0" w:color="auto"/>
                                        <w:bottom w:val="none" w:sz="0" w:space="0" w:color="auto"/>
                                        <w:right w:val="none" w:sz="0" w:space="0" w:color="auto"/>
                                      </w:divBdr>
                                      <w:divsChild>
                                        <w:div w:id="1747410035">
                                          <w:marLeft w:val="0"/>
                                          <w:marRight w:val="0"/>
                                          <w:marTop w:val="0"/>
                                          <w:marBottom w:val="0"/>
                                          <w:divBdr>
                                            <w:top w:val="none" w:sz="0" w:space="0" w:color="auto"/>
                                            <w:left w:val="none" w:sz="0" w:space="0" w:color="auto"/>
                                            <w:bottom w:val="none" w:sz="0" w:space="0" w:color="auto"/>
                                            <w:right w:val="none" w:sz="0" w:space="0" w:color="auto"/>
                                          </w:divBdr>
                                          <w:divsChild>
                                            <w:div w:id="1820414427">
                                              <w:marLeft w:val="0"/>
                                              <w:marRight w:val="0"/>
                                              <w:marTop w:val="0"/>
                                              <w:marBottom w:val="0"/>
                                              <w:divBdr>
                                                <w:top w:val="none" w:sz="0" w:space="0" w:color="auto"/>
                                                <w:left w:val="none" w:sz="0" w:space="0" w:color="auto"/>
                                                <w:bottom w:val="none" w:sz="0" w:space="0" w:color="auto"/>
                                                <w:right w:val="none" w:sz="0" w:space="0" w:color="auto"/>
                                              </w:divBdr>
                                              <w:divsChild>
                                                <w:div w:id="1284533141">
                                                  <w:marLeft w:val="0"/>
                                                  <w:marRight w:val="0"/>
                                                  <w:marTop w:val="0"/>
                                                  <w:marBottom w:val="0"/>
                                                  <w:divBdr>
                                                    <w:top w:val="none" w:sz="0" w:space="0" w:color="auto"/>
                                                    <w:left w:val="none" w:sz="0" w:space="0" w:color="auto"/>
                                                    <w:bottom w:val="none" w:sz="0" w:space="0" w:color="auto"/>
                                                    <w:right w:val="none" w:sz="0" w:space="0" w:color="auto"/>
                                                  </w:divBdr>
                                                  <w:divsChild>
                                                    <w:div w:id="1254322052">
                                                      <w:marLeft w:val="0"/>
                                                      <w:marRight w:val="0"/>
                                                      <w:marTop w:val="0"/>
                                                      <w:marBottom w:val="0"/>
                                                      <w:divBdr>
                                                        <w:top w:val="none" w:sz="0" w:space="0" w:color="auto"/>
                                                        <w:left w:val="none" w:sz="0" w:space="0" w:color="auto"/>
                                                        <w:bottom w:val="none" w:sz="0" w:space="0" w:color="auto"/>
                                                        <w:right w:val="none" w:sz="0" w:space="0" w:color="auto"/>
                                                      </w:divBdr>
                                                      <w:divsChild>
                                                        <w:div w:id="1872568224">
                                                          <w:marLeft w:val="0"/>
                                                          <w:marRight w:val="0"/>
                                                          <w:marTop w:val="0"/>
                                                          <w:marBottom w:val="0"/>
                                                          <w:divBdr>
                                                            <w:top w:val="none" w:sz="0" w:space="0" w:color="auto"/>
                                                            <w:left w:val="none" w:sz="0" w:space="0" w:color="auto"/>
                                                            <w:bottom w:val="none" w:sz="0" w:space="0" w:color="auto"/>
                                                            <w:right w:val="none" w:sz="0" w:space="0" w:color="auto"/>
                                                          </w:divBdr>
                                                          <w:divsChild>
                                                            <w:div w:id="65341153">
                                                              <w:marLeft w:val="0"/>
                                                              <w:marRight w:val="0"/>
                                                              <w:marTop w:val="0"/>
                                                              <w:marBottom w:val="0"/>
                                                              <w:divBdr>
                                                                <w:top w:val="none" w:sz="0" w:space="0" w:color="auto"/>
                                                                <w:left w:val="none" w:sz="0" w:space="0" w:color="auto"/>
                                                                <w:bottom w:val="none" w:sz="0" w:space="0" w:color="auto"/>
                                                                <w:right w:val="none" w:sz="0" w:space="0" w:color="auto"/>
                                                              </w:divBdr>
                                                              <w:divsChild>
                                                                <w:div w:id="2145275736">
                                                                  <w:marLeft w:val="0"/>
                                                                  <w:marRight w:val="0"/>
                                                                  <w:marTop w:val="0"/>
                                                                  <w:marBottom w:val="0"/>
                                                                  <w:divBdr>
                                                                    <w:top w:val="none" w:sz="0" w:space="0" w:color="auto"/>
                                                                    <w:left w:val="none" w:sz="0" w:space="0" w:color="auto"/>
                                                                    <w:bottom w:val="none" w:sz="0" w:space="0" w:color="auto"/>
                                                                    <w:right w:val="none" w:sz="0" w:space="0" w:color="auto"/>
                                                                  </w:divBdr>
                                                                  <w:divsChild>
                                                                    <w:div w:id="926424660">
                                                                      <w:marLeft w:val="0"/>
                                                                      <w:marRight w:val="0"/>
                                                                      <w:marTop w:val="0"/>
                                                                      <w:marBottom w:val="0"/>
                                                                      <w:divBdr>
                                                                        <w:top w:val="none" w:sz="0" w:space="0" w:color="auto"/>
                                                                        <w:left w:val="none" w:sz="0" w:space="0" w:color="auto"/>
                                                                        <w:bottom w:val="none" w:sz="0" w:space="0" w:color="auto"/>
                                                                        <w:right w:val="none" w:sz="0" w:space="0" w:color="auto"/>
                                                                      </w:divBdr>
                                                                      <w:divsChild>
                                                                        <w:div w:id="1286734856">
                                                                          <w:marLeft w:val="0"/>
                                                                          <w:marRight w:val="0"/>
                                                                          <w:marTop w:val="0"/>
                                                                          <w:marBottom w:val="0"/>
                                                                          <w:divBdr>
                                                                            <w:top w:val="none" w:sz="0" w:space="0" w:color="auto"/>
                                                                            <w:left w:val="none" w:sz="0" w:space="0" w:color="auto"/>
                                                                            <w:bottom w:val="none" w:sz="0" w:space="0" w:color="auto"/>
                                                                            <w:right w:val="none" w:sz="0" w:space="0" w:color="auto"/>
                                                                          </w:divBdr>
                                                                          <w:divsChild>
                                                                            <w:div w:id="474444677">
                                                                              <w:marLeft w:val="0"/>
                                                                              <w:marRight w:val="0"/>
                                                                              <w:marTop w:val="0"/>
                                                                              <w:marBottom w:val="0"/>
                                                                              <w:divBdr>
                                                                                <w:top w:val="none" w:sz="0" w:space="0" w:color="auto"/>
                                                                                <w:left w:val="none" w:sz="0" w:space="0" w:color="auto"/>
                                                                                <w:bottom w:val="none" w:sz="0" w:space="0" w:color="auto"/>
                                                                                <w:right w:val="none" w:sz="0" w:space="0" w:color="auto"/>
                                                                              </w:divBdr>
                                                                              <w:divsChild>
                                                                                <w:div w:id="328824577">
                                                                                  <w:marLeft w:val="0"/>
                                                                                  <w:marRight w:val="0"/>
                                                                                  <w:marTop w:val="0"/>
                                                                                  <w:marBottom w:val="0"/>
                                                                                  <w:divBdr>
                                                                                    <w:top w:val="none" w:sz="0" w:space="0" w:color="auto"/>
                                                                                    <w:left w:val="none" w:sz="0" w:space="0" w:color="auto"/>
                                                                                    <w:bottom w:val="none" w:sz="0" w:space="0" w:color="auto"/>
                                                                                    <w:right w:val="none" w:sz="0" w:space="0" w:color="auto"/>
                                                                                  </w:divBdr>
                                                                                  <w:divsChild>
                                                                                    <w:div w:id="1254586433">
                                                                                      <w:marLeft w:val="0"/>
                                                                                      <w:marRight w:val="0"/>
                                                                                      <w:marTop w:val="0"/>
                                                                                      <w:marBottom w:val="0"/>
                                                                                      <w:divBdr>
                                                                                        <w:top w:val="none" w:sz="0" w:space="0" w:color="auto"/>
                                                                                        <w:left w:val="none" w:sz="0" w:space="0" w:color="auto"/>
                                                                                        <w:bottom w:val="none" w:sz="0" w:space="0" w:color="auto"/>
                                                                                        <w:right w:val="none" w:sz="0" w:space="0" w:color="auto"/>
                                                                                      </w:divBdr>
                                                                                      <w:divsChild>
                                                                                        <w:div w:id="181821045">
                                                                                          <w:marLeft w:val="0"/>
                                                                                          <w:marRight w:val="0"/>
                                                                                          <w:marTop w:val="0"/>
                                                                                          <w:marBottom w:val="0"/>
                                                                                          <w:divBdr>
                                                                                            <w:top w:val="none" w:sz="0" w:space="0" w:color="auto"/>
                                                                                            <w:left w:val="none" w:sz="0" w:space="0" w:color="auto"/>
                                                                                            <w:bottom w:val="none" w:sz="0" w:space="0" w:color="auto"/>
                                                                                            <w:right w:val="none" w:sz="0" w:space="0" w:color="auto"/>
                                                                                          </w:divBdr>
                                                                                          <w:divsChild>
                                                                                            <w:div w:id="962613841">
                                                                                              <w:marLeft w:val="0"/>
                                                                                              <w:marRight w:val="0"/>
                                                                                              <w:marTop w:val="0"/>
                                                                                              <w:marBottom w:val="0"/>
                                                                                              <w:divBdr>
                                                                                                <w:top w:val="none" w:sz="0" w:space="0" w:color="auto"/>
                                                                                                <w:left w:val="none" w:sz="0" w:space="0" w:color="auto"/>
                                                                                                <w:bottom w:val="none" w:sz="0" w:space="0" w:color="auto"/>
                                                                                                <w:right w:val="none" w:sz="0" w:space="0" w:color="auto"/>
                                                                                              </w:divBdr>
                                                                                              <w:divsChild>
                                                                                                <w:div w:id="294720658">
                                                                                                  <w:marLeft w:val="0"/>
                                                                                                  <w:marRight w:val="0"/>
                                                                                                  <w:marTop w:val="0"/>
                                                                                                  <w:marBottom w:val="0"/>
                                                                                                  <w:divBdr>
                                                                                                    <w:top w:val="none" w:sz="0" w:space="0" w:color="auto"/>
                                                                                                    <w:left w:val="none" w:sz="0" w:space="0" w:color="auto"/>
                                                                                                    <w:bottom w:val="none" w:sz="0" w:space="0" w:color="auto"/>
                                                                                                    <w:right w:val="none" w:sz="0" w:space="0" w:color="auto"/>
                                                                                                  </w:divBdr>
                                                                                                  <w:divsChild>
                                                                                                    <w:div w:id="1560045375">
                                                                                                      <w:marLeft w:val="0"/>
                                                                                                      <w:marRight w:val="0"/>
                                                                                                      <w:marTop w:val="0"/>
                                                                                                      <w:marBottom w:val="0"/>
                                                                                                      <w:divBdr>
                                                                                                        <w:top w:val="none" w:sz="0" w:space="0" w:color="auto"/>
                                                                                                        <w:left w:val="none" w:sz="0" w:space="0" w:color="auto"/>
                                                                                                        <w:bottom w:val="none" w:sz="0" w:space="0" w:color="auto"/>
                                                                                                        <w:right w:val="none" w:sz="0" w:space="0" w:color="auto"/>
                                                                                                      </w:divBdr>
                                                                                                      <w:divsChild>
                                                                                                        <w:div w:id="1053112860">
                                                                                                          <w:marLeft w:val="0"/>
                                                                                                          <w:marRight w:val="0"/>
                                                                                                          <w:marTop w:val="0"/>
                                                                                                          <w:marBottom w:val="0"/>
                                                                                                          <w:divBdr>
                                                                                                            <w:top w:val="none" w:sz="0" w:space="0" w:color="auto"/>
                                                                                                            <w:left w:val="none" w:sz="0" w:space="0" w:color="auto"/>
                                                                                                            <w:bottom w:val="none" w:sz="0" w:space="0" w:color="auto"/>
                                                                                                            <w:right w:val="none" w:sz="0" w:space="0" w:color="auto"/>
                                                                                                          </w:divBdr>
                                                                                                          <w:divsChild>
                                                                                                            <w:div w:id="317807117">
                                                                                                              <w:marLeft w:val="0"/>
                                                                                                              <w:marRight w:val="0"/>
                                                                                                              <w:marTop w:val="0"/>
                                                                                                              <w:marBottom w:val="0"/>
                                                                                                              <w:divBdr>
                                                                                                                <w:top w:val="none" w:sz="0" w:space="0" w:color="auto"/>
                                                                                                                <w:left w:val="none" w:sz="0" w:space="0" w:color="auto"/>
                                                                                                                <w:bottom w:val="none" w:sz="0" w:space="0" w:color="auto"/>
                                                                                                                <w:right w:val="none" w:sz="0" w:space="0" w:color="auto"/>
                                                                                                              </w:divBdr>
                                                                                                              <w:divsChild>
                                                                                                                <w:div w:id="153886679">
                                                                                                                  <w:marLeft w:val="0"/>
                                                                                                                  <w:marRight w:val="0"/>
                                                                                                                  <w:marTop w:val="0"/>
                                                                                                                  <w:marBottom w:val="0"/>
                                                                                                                  <w:divBdr>
                                                                                                                    <w:top w:val="none" w:sz="0" w:space="0" w:color="auto"/>
                                                                                                                    <w:left w:val="none" w:sz="0" w:space="0" w:color="auto"/>
                                                                                                                    <w:bottom w:val="none" w:sz="0" w:space="0" w:color="auto"/>
                                                                                                                    <w:right w:val="none" w:sz="0" w:space="0" w:color="auto"/>
                                                                                                                  </w:divBdr>
                                                                                                                  <w:divsChild>
                                                                                                                    <w:div w:id="304087647">
                                                                                                                      <w:marLeft w:val="0"/>
                                                                                                                      <w:marRight w:val="0"/>
                                                                                                                      <w:marTop w:val="0"/>
                                                                                                                      <w:marBottom w:val="0"/>
                                                                                                                      <w:divBdr>
                                                                                                                        <w:top w:val="none" w:sz="0" w:space="0" w:color="auto"/>
                                                                                                                        <w:left w:val="none" w:sz="0" w:space="0" w:color="auto"/>
                                                                                                                        <w:bottom w:val="none" w:sz="0" w:space="0" w:color="auto"/>
                                                                                                                        <w:right w:val="none" w:sz="0" w:space="0" w:color="auto"/>
                                                                                                                      </w:divBdr>
                                                                                                                      <w:divsChild>
                                                                                                                        <w:div w:id="1649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469607">
      <w:bodyDiv w:val="1"/>
      <w:marLeft w:val="0"/>
      <w:marRight w:val="0"/>
      <w:marTop w:val="0"/>
      <w:marBottom w:val="0"/>
      <w:divBdr>
        <w:top w:val="none" w:sz="0" w:space="0" w:color="auto"/>
        <w:left w:val="none" w:sz="0" w:space="0" w:color="auto"/>
        <w:bottom w:val="none" w:sz="0" w:space="0" w:color="auto"/>
        <w:right w:val="none" w:sz="0" w:space="0" w:color="auto"/>
      </w:divBdr>
    </w:div>
    <w:div w:id="1230462341">
      <w:bodyDiv w:val="1"/>
      <w:marLeft w:val="0"/>
      <w:marRight w:val="0"/>
      <w:marTop w:val="0"/>
      <w:marBottom w:val="0"/>
      <w:divBdr>
        <w:top w:val="none" w:sz="0" w:space="0" w:color="auto"/>
        <w:left w:val="none" w:sz="0" w:space="0" w:color="auto"/>
        <w:bottom w:val="none" w:sz="0" w:space="0" w:color="auto"/>
        <w:right w:val="none" w:sz="0" w:space="0" w:color="auto"/>
      </w:divBdr>
    </w:div>
    <w:div w:id="1734935781">
      <w:bodyDiv w:val="1"/>
      <w:marLeft w:val="0"/>
      <w:marRight w:val="0"/>
      <w:marTop w:val="0"/>
      <w:marBottom w:val="0"/>
      <w:divBdr>
        <w:top w:val="none" w:sz="0" w:space="0" w:color="auto"/>
        <w:left w:val="none" w:sz="0" w:space="0" w:color="auto"/>
        <w:bottom w:val="none" w:sz="0" w:space="0" w:color="auto"/>
        <w:right w:val="none" w:sz="0" w:space="0" w:color="auto"/>
      </w:divBdr>
    </w:div>
    <w:div w:id="19246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20DC889D2598645A8CFD97ACD22268C" ma:contentTypeVersion="" ma:contentTypeDescription="Crear nuevo documento." ma:contentTypeScope="" ma:versionID="57d535098b26a4c2e8e7e79ac161510c">
  <xsd:schema xmlns:xsd="http://www.w3.org/2001/XMLSchema" xmlns:xs="http://www.w3.org/2001/XMLSchema" xmlns:p="http://schemas.microsoft.com/office/2006/metadata/properties" targetNamespace="http://schemas.microsoft.com/office/2006/metadata/properties" ma:root="true" ma:fieldsID="1083b3635a3c2772100fff21a26b83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AC5D-EABA-47D7-9BEF-E517F688DEC6}">
  <ds:schemaRefs>
    <ds:schemaRef ds:uri="http://schemas.microsoft.com/sharepoint/v3/contenttype/forms"/>
  </ds:schemaRefs>
</ds:datastoreItem>
</file>

<file path=customXml/itemProps2.xml><?xml version="1.0" encoding="utf-8"?>
<ds:datastoreItem xmlns:ds="http://schemas.openxmlformats.org/officeDocument/2006/customXml" ds:itemID="{86F67DD3-22BB-46A0-B220-6F0E25280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991A25-8872-4438-912B-6C7A59B5B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BE297E-4AF2-4DA1-A6BB-AF2E9D2E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4816</Words>
  <Characters>26492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2015-02-19T22:16:00Z</cp:lastPrinted>
  <dcterms:created xsi:type="dcterms:W3CDTF">2016-09-26T00:49:00Z</dcterms:created>
  <dcterms:modified xsi:type="dcterms:W3CDTF">2016-10-20T19:22:00Z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0x010100420DC889D2598645A8CFD97ACD22268C</vt:lpwstr>
  </property>
</Properties>
</file>