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C2216" w14:textId="77777777" w:rsidR="005179B5" w:rsidRPr="00315B9B" w:rsidRDefault="00697E95" w:rsidP="00315B9B">
      <w:pPr>
        <w:pStyle w:val="1TitPrin"/>
        <w:spacing w:afterLines="100" w:after="240"/>
      </w:pPr>
      <w:r w:rsidRPr="00315B9B">
        <w:t xml:space="preserve">RESOLUCIÓN MEDIANTE LA CUAL EL PLENO DEL INSTITUTO FEDERAL DE TELECOMUNICACIONES </w:t>
      </w:r>
      <w:r w:rsidR="0009439F" w:rsidRPr="00315B9B">
        <w:t>DETERMINA</w:t>
      </w:r>
      <w:r w:rsidR="00E60FD5" w:rsidRPr="00315B9B">
        <w:t xml:space="preserve"> EL CUMPLIMIENTO A LO SEÑALADO POR LA CONDICIÓN 12 DE </w:t>
      </w:r>
      <w:r w:rsidR="00956EA6" w:rsidRPr="00315B9B">
        <w:t>OCHO</w:t>
      </w:r>
      <w:r w:rsidR="00E60FD5" w:rsidRPr="00315B9B">
        <w:t xml:space="preserve"> TITULOS DE CONCESION PARA USAR Y APROVECHAR BANDAS DE FRECUENCIAS DE ESPECTRO RADIOELÉCTRICO PARA USO PÚBLICO PARA LA PRESTACIÓN DEL SERVICIO </w:t>
      </w:r>
      <w:r w:rsidR="000412CB" w:rsidRPr="00315B9B">
        <w:t xml:space="preserve">DE RADIODIFUSIÓN SONORA EN LA BANDA DE FRECUENCIA MODULADA, </w:t>
      </w:r>
      <w:r w:rsidRPr="00315B9B">
        <w:t>OTORGA</w:t>
      </w:r>
      <w:r w:rsidR="00E60FD5" w:rsidRPr="00315B9B">
        <w:t>DAS</w:t>
      </w:r>
      <w:r w:rsidRPr="00315B9B">
        <w:t xml:space="preserve"> A </w:t>
      </w:r>
      <w:r w:rsidR="00011921" w:rsidRPr="00315B9B">
        <w:t>FAVOR DE LA UNIVERSIDAD DE GUADALAJARA</w:t>
      </w:r>
    </w:p>
    <w:p w14:paraId="26AD4BC4" w14:textId="77777777" w:rsidR="005179B5" w:rsidRPr="00315B9B" w:rsidRDefault="00697E95" w:rsidP="00315B9B">
      <w:pPr>
        <w:pStyle w:val="Ttulo2"/>
        <w:spacing w:afterLines="100" w:after="240" w:line="276" w:lineRule="auto"/>
        <w:ind w:firstLine="0"/>
        <w:jc w:val="center"/>
        <w:rPr>
          <w:rFonts w:ascii="ITC Avant Garde" w:hAnsi="ITC Avant Garde" w:cs="Arial"/>
          <w:bCs/>
          <w:sz w:val="22"/>
          <w:szCs w:val="22"/>
          <w:lang w:eastAsia="en-US"/>
        </w:rPr>
      </w:pPr>
      <w:r w:rsidRPr="00315B9B">
        <w:rPr>
          <w:rFonts w:ascii="ITC Avant Garde" w:hAnsi="ITC Avant Garde" w:cs="Arial"/>
          <w:bCs/>
          <w:sz w:val="22"/>
          <w:szCs w:val="22"/>
          <w:lang w:eastAsia="en-US"/>
        </w:rPr>
        <w:t>ANTECEDENTES</w:t>
      </w:r>
    </w:p>
    <w:p w14:paraId="7D3F3E39" w14:textId="77777777" w:rsidR="005179B5" w:rsidRDefault="00697E95" w:rsidP="005179B5">
      <w:pPr>
        <w:numPr>
          <w:ilvl w:val="0"/>
          <w:numId w:val="5"/>
        </w:numPr>
        <w:spacing w:afterLines="120" w:after="288"/>
        <w:ind w:left="502"/>
        <w:jc w:val="both"/>
        <w:rPr>
          <w:rFonts w:ascii="ITC Avant Garde" w:hAnsi="ITC Avant Garde" w:cs="Calibri"/>
          <w:b/>
        </w:rPr>
      </w:pPr>
      <w:r w:rsidRPr="00F82EAB">
        <w:rPr>
          <w:rFonts w:ascii="ITC Avant Garde" w:hAnsi="ITC Avant Garde" w:cs="Calibri"/>
          <w:b/>
        </w:rPr>
        <w:t xml:space="preserve">Decreto de Reforma Constitucional. </w:t>
      </w:r>
      <w:r w:rsidRPr="00F82EAB">
        <w:rPr>
          <w:rFonts w:ascii="ITC Avant Garde" w:hAnsi="ITC Avant Garde" w:cs="Calibri"/>
        </w:rPr>
        <w:t>Con fecha 11 de junio de 2013, se publicó en el Diario Oficial de la Federación (en lo sucesivo el “DOF”) el “</w:t>
      </w:r>
      <w:r w:rsidRPr="00F82EAB">
        <w:rPr>
          <w:rFonts w:ascii="ITC Avant Garde" w:hAnsi="ITC Avant Garde" w:cs="Calibri"/>
          <w:i/>
        </w:rPr>
        <w:t>Decreto por el que se reforman y adicionan diversas disposiciones de los artículos 6o., 7o., 27, 28, 73, 78, 94 y 105 de la Constitución Política de los Estados Unidos Mexicanos, en materia de telecomunicaciones</w:t>
      </w:r>
      <w:r w:rsidRPr="00F82EAB">
        <w:rPr>
          <w:rFonts w:ascii="ITC Avant Garde" w:hAnsi="ITC Avant Garde" w:cs="Calibri"/>
        </w:rPr>
        <w:t>”</w:t>
      </w:r>
      <w:r w:rsidR="00E02BF0" w:rsidRPr="00F82EAB">
        <w:rPr>
          <w:rFonts w:ascii="ITC Avant Garde" w:hAnsi="ITC Avant Garde" w:cs="Calibri"/>
        </w:rPr>
        <w:t>,</w:t>
      </w:r>
      <w:r w:rsidRPr="00F82EAB">
        <w:rPr>
          <w:rFonts w:ascii="ITC Avant Garde" w:hAnsi="ITC Avant Garde" w:cs="Calibri"/>
        </w:rPr>
        <w:t xml:space="preserve"> </w:t>
      </w:r>
      <w:r w:rsidR="008B5B8D" w:rsidRPr="00F82EAB">
        <w:rPr>
          <w:rFonts w:ascii="ITC Avant Garde" w:hAnsi="ITC Avant Garde"/>
          <w:bCs/>
          <w:lang w:eastAsia="es-MX"/>
        </w:rPr>
        <w:t>(en lo sucesivo el “Decreto de Reforma Constitucional”)</w:t>
      </w:r>
      <w:r w:rsidR="008B5B8D" w:rsidRPr="00F82EAB">
        <w:rPr>
          <w:rFonts w:ascii="ITC Avant Garde" w:hAnsi="ITC Avant Garde" w:cs="Calibri"/>
        </w:rPr>
        <w:t xml:space="preserve"> </w:t>
      </w:r>
      <w:r w:rsidRPr="00F82EAB">
        <w:rPr>
          <w:rFonts w:ascii="ITC Avant Garde" w:hAnsi="ITC Avant Garde" w:cs="Calibri"/>
        </w:rPr>
        <w:t>mediante el cual se creó el Instituto Federal de Telecomunicaciones (en lo sucesivo el “Instituto”) como un órgano autónomo que tiene por objeto el desarrollo eficiente de la radiodifusión y las telecomunicaciones.</w:t>
      </w:r>
    </w:p>
    <w:p w14:paraId="6BF862E4" w14:textId="77777777" w:rsidR="005179B5" w:rsidRDefault="00697E95" w:rsidP="005179B5">
      <w:pPr>
        <w:numPr>
          <w:ilvl w:val="0"/>
          <w:numId w:val="5"/>
        </w:numPr>
        <w:spacing w:afterLines="120" w:after="288"/>
        <w:ind w:left="502"/>
        <w:jc w:val="both"/>
        <w:rPr>
          <w:rFonts w:ascii="ITC Avant Garde" w:hAnsi="ITC Avant Garde" w:cs="Calibri"/>
        </w:rPr>
      </w:pPr>
      <w:r w:rsidRPr="00F82EAB">
        <w:rPr>
          <w:rFonts w:ascii="ITC Avant Garde" w:hAnsi="ITC Avant Garde" w:cs="Arial"/>
          <w:b/>
          <w:kern w:val="1"/>
          <w:lang w:eastAsia="ar-SA"/>
        </w:rPr>
        <w:t xml:space="preserve">Decreto de Ley. </w:t>
      </w:r>
      <w:r w:rsidRPr="00F82EAB">
        <w:rPr>
          <w:rFonts w:ascii="ITC Avant Garde" w:hAnsi="ITC Avant Garde" w:cs="Arial"/>
          <w:kern w:val="1"/>
          <w:lang w:eastAsia="ar-SA"/>
        </w:rPr>
        <w:t>El 14 de julio de 2014 se publicó en el DOF, el “</w:t>
      </w:r>
      <w:r w:rsidRPr="00F82EAB">
        <w:rPr>
          <w:rFonts w:ascii="ITC Avant Garde" w:hAnsi="ITC Avant Garde" w:cs="Arial"/>
          <w:i/>
          <w:kern w:val="1"/>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F82EAB">
        <w:rPr>
          <w:rFonts w:ascii="ITC Avant Garde" w:hAnsi="ITC Avant Garde" w:cs="Arial"/>
          <w:kern w:val="1"/>
          <w:lang w:eastAsia="ar-SA"/>
        </w:rPr>
        <w:t>”</w:t>
      </w:r>
      <w:r w:rsidRPr="00F82EAB">
        <w:rPr>
          <w:rFonts w:ascii="ITC Avant Garde" w:hAnsi="ITC Avant Garde"/>
          <w:bCs/>
          <w:color w:val="000000" w:themeColor="text1"/>
          <w:lang w:eastAsia="es-MX"/>
        </w:rPr>
        <w:t xml:space="preserve">, </w:t>
      </w:r>
      <w:r w:rsidRPr="00F82EAB">
        <w:rPr>
          <w:rFonts w:ascii="ITC Avant Garde" w:hAnsi="ITC Avant Garde" w:cs="Arial"/>
          <w:kern w:val="1"/>
          <w:lang w:eastAsia="ar-SA"/>
        </w:rPr>
        <w:t>el cual entró en vigor el 13 de agosto de 2014.</w:t>
      </w:r>
    </w:p>
    <w:p w14:paraId="3F285EB5" w14:textId="77777777" w:rsidR="005179B5" w:rsidRDefault="00697E95" w:rsidP="005179B5">
      <w:pPr>
        <w:numPr>
          <w:ilvl w:val="0"/>
          <w:numId w:val="5"/>
        </w:numPr>
        <w:spacing w:afterLines="120" w:after="288"/>
        <w:ind w:left="502"/>
        <w:jc w:val="both"/>
        <w:rPr>
          <w:rFonts w:ascii="ITC Avant Garde" w:hAnsi="ITC Avant Garde" w:cs="Arial"/>
          <w:kern w:val="1"/>
          <w:lang w:eastAsia="ar-SA"/>
        </w:rPr>
      </w:pPr>
      <w:r w:rsidRPr="00F82EAB">
        <w:rPr>
          <w:rFonts w:ascii="ITC Avant Garde" w:hAnsi="ITC Avant Garde" w:cs="Arial"/>
          <w:b/>
          <w:kern w:val="1"/>
          <w:lang w:eastAsia="ar-SA"/>
        </w:rPr>
        <w:t xml:space="preserve">Estatuto Orgánico. </w:t>
      </w:r>
      <w:r w:rsidRPr="00F82EAB">
        <w:rPr>
          <w:rFonts w:ascii="ITC Avant Garde" w:hAnsi="ITC Avant Garde" w:cs="Arial"/>
          <w:kern w:val="1"/>
          <w:lang w:eastAsia="ar-SA"/>
        </w:rPr>
        <w:t xml:space="preserve">El 4 de septiembre de 2014, se publicó en el DOF, el </w:t>
      </w:r>
      <w:r w:rsidRPr="00F82EAB">
        <w:rPr>
          <w:rFonts w:ascii="ITC Avant Garde" w:hAnsi="ITC Avant Garde" w:cs="Arial"/>
          <w:i/>
          <w:kern w:val="1"/>
          <w:lang w:eastAsia="ar-SA"/>
        </w:rPr>
        <w:t>“Estatuto Orgánico del Instituto Federal de Telecomunicaciones”</w:t>
      </w:r>
      <w:r w:rsidRPr="00F82EAB">
        <w:rPr>
          <w:rFonts w:ascii="ITC Avant Garde" w:hAnsi="ITC Avant Garde" w:cs="Arial"/>
          <w:kern w:val="1"/>
          <w:lang w:eastAsia="ar-SA"/>
        </w:rPr>
        <w:t xml:space="preserve"> (en lo sucesivo el “Estatuto Orgánico”), mismo que entró en vigor el 26 de septiembre de 2014 y se modificó a través del “</w:t>
      </w:r>
      <w:r w:rsidRPr="00F82EAB">
        <w:rPr>
          <w:rFonts w:ascii="ITC Avant Garde" w:hAnsi="ITC Avant Garde" w:cs="Arial"/>
          <w:i/>
          <w:kern w:val="1"/>
          <w:lang w:eastAsia="ar-SA"/>
        </w:rPr>
        <w:t>Acuerdo por el que se modifica el Estatuto Orgánico del Instituto Federal de Telecomunicaciones</w:t>
      </w:r>
      <w:r w:rsidRPr="00F82EAB">
        <w:rPr>
          <w:rFonts w:ascii="ITC Avant Garde" w:hAnsi="ITC Avant Garde" w:cs="Arial"/>
          <w:kern w:val="1"/>
          <w:lang w:eastAsia="ar-SA"/>
        </w:rPr>
        <w:t xml:space="preserve">”, publicado en el DOF </w:t>
      </w:r>
      <w:r w:rsidR="008A3EAE" w:rsidRPr="0083557E">
        <w:rPr>
          <w:rFonts w:ascii="ITC Avant Garde" w:hAnsi="ITC Avant Garde" w:cs="Arial"/>
          <w:kern w:val="1"/>
          <w:lang w:eastAsia="ar-SA"/>
        </w:rPr>
        <w:t>el</w:t>
      </w:r>
      <w:r w:rsidR="00956EA6" w:rsidRPr="00F82EAB">
        <w:rPr>
          <w:rFonts w:ascii="ITC Avant Garde" w:hAnsi="ITC Avant Garde"/>
          <w:lang w:eastAsia="es-MX"/>
        </w:rPr>
        <w:t xml:space="preserve"> 20 de julio de 2017.</w:t>
      </w:r>
    </w:p>
    <w:p w14:paraId="44E18311" w14:textId="32F6BFC9" w:rsidR="008A3EAE" w:rsidRPr="00F82EAB" w:rsidRDefault="00697E95" w:rsidP="005179B5">
      <w:pPr>
        <w:numPr>
          <w:ilvl w:val="0"/>
          <w:numId w:val="5"/>
        </w:numPr>
        <w:spacing w:afterLines="120" w:after="288"/>
        <w:ind w:left="502"/>
        <w:jc w:val="both"/>
        <w:rPr>
          <w:rFonts w:ascii="ITC Avant Garde" w:hAnsi="ITC Avant Garde"/>
          <w:kern w:val="1"/>
          <w:lang w:eastAsia="ar-SA"/>
        </w:rPr>
      </w:pPr>
      <w:r w:rsidRPr="00F82EAB">
        <w:rPr>
          <w:rFonts w:ascii="ITC Avant Garde" w:hAnsi="ITC Avant Garde" w:cs="Arial"/>
          <w:b/>
          <w:kern w:val="1"/>
          <w:lang w:eastAsia="ar-SA"/>
        </w:rPr>
        <w:t>Lineamientos</w:t>
      </w:r>
      <w:r w:rsidRPr="00F82EAB">
        <w:rPr>
          <w:rFonts w:ascii="ITC Avant Garde" w:hAnsi="ITC Avant Garde"/>
          <w:b/>
          <w:kern w:val="1"/>
          <w:lang w:eastAsia="ar-SA"/>
        </w:rPr>
        <w:t xml:space="preserve"> Generales para el Otorgamiento de las Concesiones.</w:t>
      </w:r>
      <w:r w:rsidRPr="00F82EAB">
        <w:rPr>
          <w:rFonts w:ascii="ITC Avant Garde" w:hAnsi="ITC Avant Garde"/>
          <w:kern w:val="1"/>
          <w:lang w:eastAsia="ar-SA"/>
        </w:rPr>
        <w:t xml:space="preserve"> El 24 de julio de 2015 se publicó en el DOF los “</w:t>
      </w:r>
      <w:r w:rsidRPr="00F82EAB">
        <w:rPr>
          <w:rFonts w:ascii="ITC Avant Garde" w:hAnsi="ITC Avant Garde"/>
          <w:i/>
          <w:kern w:val="1"/>
          <w:lang w:eastAsia="ar-SA"/>
        </w:rPr>
        <w:t>Lineamientos Generales para el Otorgamiento de las Concesiones a que se refiere el Título Cuarto de la Ley Federal de Telecomunicaciones y Radiodifusión”</w:t>
      </w:r>
      <w:r w:rsidRPr="00F82EAB">
        <w:rPr>
          <w:rFonts w:ascii="ITC Avant Garde" w:hAnsi="ITC Avant Garde"/>
          <w:kern w:val="1"/>
          <w:lang w:eastAsia="ar-SA"/>
        </w:rPr>
        <w:t xml:space="preserve"> (en lo sucesivo los “Lineamientos Generales para el Otorgamiento de las Concesiones”)</w:t>
      </w:r>
      <w:r w:rsidR="00E5136D" w:rsidRPr="00F82EAB">
        <w:rPr>
          <w:rFonts w:ascii="ITC Avant Garde" w:hAnsi="ITC Avant Garde"/>
          <w:kern w:val="1"/>
          <w:lang w:eastAsia="ar-SA"/>
        </w:rPr>
        <w:t xml:space="preserve">, </w:t>
      </w:r>
      <w:r w:rsidR="00E5136D" w:rsidRPr="00F82EAB">
        <w:rPr>
          <w:rFonts w:ascii="ITC Avant Garde" w:hAnsi="ITC Avant Garde" w:cs="Arial"/>
          <w:kern w:val="1"/>
          <w:lang w:eastAsia="ar-SA"/>
        </w:rPr>
        <w:t>y</w:t>
      </w:r>
      <w:r w:rsidR="00E5136D" w:rsidRPr="00F82EAB">
        <w:rPr>
          <w:rFonts w:ascii="ITC Avant Garde" w:hAnsi="ITC Avant Garde"/>
          <w:kern w:val="1"/>
          <w:lang w:eastAsia="ar-SA"/>
        </w:rPr>
        <w:t xml:space="preserve"> se modificó a través del </w:t>
      </w:r>
      <w:r w:rsidR="00E5136D" w:rsidRPr="00F82EAB">
        <w:rPr>
          <w:rFonts w:ascii="ITC Avant Garde" w:hAnsi="ITC Avant Garde"/>
          <w:i/>
          <w:kern w:val="1"/>
          <w:lang w:eastAsia="ar-SA"/>
        </w:rPr>
        <w:t>“Acuerdo por el que el Pleno del Instituto Federal de Telecomunicaciones aprueba la modificación de los artículos 3 y 8 de los Lineamientos Generales para el otorgamiento de las concesiones a que se refiere el Título Cuarto de la Ley Federal de Telecomunicaciones y Radiodifusión</w:t>
      </w:r>
      <w:r w:rsidR="00E5136D" w:rsidRPr="00F82EAB">
        <w:rPr>
          <w:rFonts w:ascii="ITC Avant Garde" w:hAnsi="ITC Avant Garde"/>
          <w:kern w:val="1"/>
          <w:lang w:eastAsia="ar-SA"/>
        </w:rPr>
        <w:t>”, publicado en el DOF el 26 de mayo de</w:t>
      </w:r>
    </w:p>
    <w:p w14:paraId="79B43288" w14:textId="1A6E0DF4" w:rsidR="00E5136D" w:rsidRPr="00F82EAB" w:rsidRDefault="00E5136D" w:rsidP="005179B5">
      <w:pPr>
        <w:spacing w:afterLines="120" w:after="288"/>
        <w:ind w:left="502"/>
        <w:jc w:val="both"/>
        <w:rPr>
          <w:rFonts w:ascii="ITC Avant Garde" w:hAnsi="ITC Avant Garde"/>
          <w:kern w:val="1"/>
          <w:lang w:eastAsia="ar-SA"/>
        </w:rPr>
      </w:pPr>
      <w:r w:rsidRPr="00F82EAB">
        <w:rPr>
          <w:rFonts w:ascii="ITC Avant Garde" w:hAnsi="ITC Avant Garde"/>
          <w:kern w:val="1"/>
          <w:lang w:eastAsia="ar-SA"/>
        </w:rPr>
        <w:lastRenderedPageBreak/>
        <w:t xml:space="preserve"> 2017.</w:t>
      </w:r>
    </w:p>
    <w:p w14:paraId="544998CB" w14:textId="4C40E1CA" w:rsidR="008A3EAE" w:rsidRDefault="003113BF" w:rsidP="005179B5">
      <w:pPr>
        <w:numPr>
          <w:ilvl w:val="0"/>
          <w:numId w:val="5"/>
        </w:numPr>
        <w:spacing w:afterLines="120" w:after="288"/>
        <w:ind w:left="502"/>
        <w:jc w:val="both"/>
        <w:rPr>
          <w:rFonts w:ascii="ITC Avant Garde" w:hAnsi="ITC Avant Garde"/>
        </w:rPr>
      </w:pPr>
      <w:r w:rsidRPr="00F82EAB">
        <w:rPr>
          <w:rFonts w:ascii="ITC Avant Garde" w:hAnsi="ITC Avant Garde"/>
          <w:b/>
          <w:bCs/>
          <w:lang w:eastAsia="ar-SA"/>
        </w:rPr>
        <w:t>Transición de los Permisos</w:t>
      </w:r>
      <w:r w:rsidR="00D81497" w:rsidRPr="00F82EAB">
        <w:rPr>
          <w:rFonts w:ascii="ITC Avant Garde" w:hAnsi="ITC Avant Garde"/>
          <w:b/>
          <w:bCs/>
          <w:lang w:eastAsia="ar-SA"/>
        </w:rPr>
        <w:t xml:space="preserve"> </w:t>
      </w:r>
      <w:r w:rsidRPr="00F82EAB">
        <w:rPr>
          <w:rFonts w:ascii="ITC Avant Garde" w:hAnsi="ITC Avant Garde"/>
          <w:b/>
          <w:bCs/>
          <w:lang w:eastAsia="ar-SA"/>
        </w:rPr>
        <w:t>al régimen de Concesión.</w:t>
      </w:r>
      <w:r w:rsidRPr="00F82EAB">
        <w:rPr>
          <w:rFonts w:ascii="ITC Avant Garde" w:hAnsi="ITC Avant Garde"/>
          <w:lang w:eastAsia="ar-SA"/>
        </w:rPr>
        <w:t xml:space="preserve"> </w:t>
      </w:r>
      <w:r w:rsidR="00583B25" w:rsidRPr="00F82EAB">
        <w:rPr>
          <w:rFonts w:ascii="ITC Avant Garde" w:hAnsi="ITC Avant Garde"/>
          <w:lang w:eastAsia="ar-SA"/>
        </w:rPr>
        <w:t>El Pleno del Instituto, en su XII Sesión Ordinaria celebrada el 4 de mayo de 2016, aprobó la Resolución contenida en el Acuerdo P/IFT/040516/21</w:t>
      </w:r>
      <w:r w:rsidR="008A3EAE" w:rsidRPr="00F82EAB">
        <w:rPr>
          <w:rFonts w:ascii="ITC Avant Garde" w:hAnsi="ITC Avant Garde"/>
          <w:lang w:eastAsia="ar-SA"/>
        </w:rPr>
        <w:t>1</w:t>
      </w:r>
      <w:r w:rsidR="00583B25" w:rsidRPr="00F82EAB">
        <w:rPr>
          <w:rFonts w:ascii="ITC Avant Garde" w:hAnsi="ITC Avant Garde"/>
          <w:lang w:eastAsia="ar-SA"/>
        </w:rPr>
        <w:t xml:space="preserve"> por medio de la cual autorizó la transición de </w:t>
      </w:r>
      <w:r w:rsidR="008A3EAE" w:rsidRPr="00F82EAB">
        <w:rPr>
          <w:rFonts w:ascii="ITC Avant Garde" w:hAnsi="ITC Avant Garde"/>
          <w:lang w:eastAsia="ar-SA"/>
        </w:rPr>
        <w:t>26</w:t>
      </w:r>
      <w:r w:rsidR="00583B25" w:rsidRPr="00F82EAB">
        <w:rPr>
          <w:rFonts w:ascii="ITC Avant Garde" w:hAnsi="ITC Avant Garde"/>
          <w:lang w:eastAsia="ar-SA"/>
        </w:rPr>
        <w:t xml:space="preserve"> (</w:t>
      </w:r>
      <w:r w:rsidR="008A3EAE" w:rsidRPr="00F82EAB">
        <w:rPr>
          <w:rFonts w:ascii="ITC Avant Garde" w:hAnsi="ITC Avant Garde"/>
          <w:lang w:eastAsia="ar-SA"/>
        </w:rPr>
        <w:t>veintiséis</w:t>
      </w:r>
      <w:r w:rsidR="00583B25" w:rsidRPr="00F82EAB">
        <w:rPr>
          <w:rFonts w:ascii="ITC Avant Garde" w:hAnsi="ITC Avant Garde"/>
          <w:lang w:eastAsia="ar-SA"/>
        </w:rPr>
        <w:t xml:space="preserve">) permisos de radiodifusión al régimen de concesión de la </w:t>
      </w:r>
      <w:r w:rsidR="008A3EAE" w:rsidRPr="00F82EAB">
        <w:rPr>
          <w:rFonts w:ascii="ITC Avant Garde" w:hAnsi="ITC Avant Garde"/>
          <w:lang w:eastAsia="ar-SA"/>
        </w:rPr>
        <w:t xml:space="preserve">Ley </w:t>
      </w:r>
      <w:r w:rsidR="008A3EAE" w:rsidRPr="00F82EAB">
        <w:rPr>
          <w:rFonts w:ascii="ITC Avant Garde" w:hAnsi="ITC Avant Garde"/>
          <w:kern w:val="1"/>
          <w:lang w:eastAsia="ar-SA"/>
        </w:rPr>
        <w:t>Federal de Telecomunicaciones y Radiodifusión (en lo sucesivo la “Ley”)</w:t>
      </w:r>
      <w:r w:rsidR="00583B25" w:rsidRPr="00F82EAB">
        <w:rPr>
          <w:rFonts w:ascii="ITC Avant Garde" w:hAnsi="ITC Avant Garde"/>
          <w:lang w:eastAsia="ar-SA"/>
        </w:rPr>
        <w:t xml:space="preserve">, para lo cual otorgó respectivamente una concesión </w:t>
      </w:r>
      <w:r w:rsidR="00583B25" w:rsidRPr="00F82EAB">
        <w:rPr>
          <w:rFonts w:ascii="ITC Avant Garde" w:hAnsi="ITC Avant Garde"/>
        </w:rPr>
        <w:t>para usar y aprovechar bandas de frecuencias</w:t>
      </w:r>
      <w:r w:rsidR="00583B25" w:rsidRPr="00F82EAB">
        <w:rPr>
          <w:rFonts w:ascii="ITC Avant Garde" w:hAnsi="ITC Avant Garde"/>
          <w:bCs/>
        </w:rPr>
        <w:t xml:space="preserve"> </w:t>
      </w:r>
      <w:r w:rsidR="00583B25" w:rsidRPr="00F82EAB">
        <w:rPr>
          <w:rFonts w:ascii="ITC Avant Garde" w:hAnsi="ITC Avant Garde"/>
        </w:rPr>
        <w:t>del espectro radioeléctrico</w:t>
      </w:r>
      <w:r w:rsidR="008A3EAE" w:rsidRPr="00F82EAB">
        <w:rPr>
          <w:rFonts w:ascii="ITC Avant Garde" w:hAnsi="ITC Avant Garde"/>
        </w:rPr>
        <w:t xml:space="preserve">, entre  las que se encontraron las 4 (cuatro) concesiones para la prestación del servicio público de radiodifusión sonora en frecuencia modulada (en lo sucesivo “FM”) y la concesión única </w:t>
      </w:r>
      <w:r w:rsidR="00587CB4" w:rsidRPr="00F82EAB">
        <w:rPr>
          <w:rFonts w:ascii="ITC Avant Garde" w:hAnsi="ITC Avant Garde"/>
        </w:rPr>
        <w:t>todas</w:t>
      </w:r>
      <w:r w:rsidR="008A3EAE" w:rsidRPr="00F82EAB">
        <w:rPr>
          <w:rFonts w:ascii="ITC Avant Garde" w:hAnsi="ITC Avant Garde"/>
        </w:rPr>
        <w:t xml:space="preserve"> de uso público, otorgadas a la Universidad de Guadalajara (en lo sucesivo “U de G”), notificadas el 1 de agosto de 2016, para las siguientes poblaciones del Estado de Jalisco:</w:t>
      </w:r>
    </w:p>
    <w:tbl>
      <w:tblPr>
        <w:tblStyle w:val="Tablaconcuadrcula"/>
        <w:tblW w:w="8849" w:type="dxa"/>
        <w:jc w:val="center"/>
        <w:tblLayout w:type="fixed"/>
        <w:tblLook w:val="04A0" w:firstRow="1" w:lastRow="0" w:firstColumn="1" w:lastColumn="0" w:noHBand="0" w:noVBand="1"/>
        <w:tblCaption w:val="Transición de los Permisos al régimen de Concesión."/>
        <w:tblDescription w:val="Tabla de 5 columnas que proporciona información respecto de 4 concesiones para la prestación del servicio público de radiodifusión sonora en FM."/>
      </w:tblPr>
      <w:tblGrid>
        <w:gridCol w:w="486"/>
        <w:gridCol w:w="1275"/>
        <w:gridCol w:w="1701"/>
        <w:gridCol w:w="2268"/>
        <w:gridCol w:w="3119"/>
      </w:tblGrid>
      <w:tr w:rsidR="008A3EAE" w:rsidRPr="00565BC2" w14:paraId="0E35232F" w14:textId="77777777" w:rsidTr="00315B9B">
        <w:trPr>
          <w:tblHeader/>
          <w:jc w:val="center"/>
        </w:trPr>
        <w:tc>
          <w:tcPr>
            <w:tcW w:w="486" w:type="dxa"/>
          </w:tcPr>
          <w:p w14:paraId="0632A160" w14:textId="390DA227" w:rsidR="008A3EAE" w:rsidRPr="00F82EAB" w:rsidRDefault="008A3EAE" w:rsidP="005179B5">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No.</w:t>
            </w:r>
          </w:p>
        </w:tc>
        <w:tc>
          <w:tcPr>
            <w:tcW w:w="1275" w:type="dxa"/>
          </w:tcPr>
          <w:p w14:paraId="5F659BE4" w14:textId="623738C2" w:rsidR="008A3EAE" w:rsidRPr="00F82EAB" w:rsidRDefault="008A3EAE" w:rsidP="005179B5">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Distintivo</w:t>
            </w:r>
          </w:p>
        </w:tc>
        <w:tc>
          <w:tcPr>
            <w:tcW w:w="1701" w:type="dxa"/>
          </w:tcPr>
          <w:p w14:paraId="581A669F" w14:textId="1BCF38BD" w:rsidR="008A3EAE" w:rsidRPr="00F82EAB" w:rsidRDefault="008A3EAE" w:rsidP="005179B5">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Servicio</w:t>
            </w:r>
          </w:p>
        </w:tc>
        <w:tc>
          <w:tcPr>
            <w:tcW w:w="2268" w:type="dxa"/>
          </w:tcPr>
          <w:p w14:paraId="31712379" w14:textId="77C061CE" w:rsidR="008A3EAE" w:rsidRPr="00F82EAB" w:rsidRDefault="008A3EAE" w:rsidP="005179B5">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Frecuencia</w:t>
            </w:r>
          </w:p>
        </w:tc>
        <w:tc>
          <w:tcPr>
            <w:tcW w:w="3119" w:type="dxa"/>
          </w:tcPr>
          <w:p w14:paraId="48A3EC8C" w14:textId="5B5F3F07" w:rsidR="008A3EAE" w:rsidRPr="00F82EAB" w:rsidDel="008A3EAE" w:rsidRDefault="008A3EAE" w:rsidP="005179B5">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Población</w:t>
            </w:r>
          </w:p>
        </w:tc>
      </w:tr>
      <w:tr w:rsidR="008A3EAE" w:rsidRPr="00565BC2" w14:paraId="6AB35578" w14:textId="77777777" w:rsidTr="005179B5">
        <w:trPr>
          <w:jc w:val="center"/>
        </w:trPr>
        <w:tc>
          <w:tcPr>
            <w:tcW w:w="486" w:type="dxa"/>
          </w:tcPr>
          <w:p w14:paraId="1AE8B4FB" w14:textId="3605F32B"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1</w:t>
            </w:r>
          </w:p>
        </w:tc>
        <w:tc>
          <w:tcPr>
            <w:tcW w:w="1275" w:type="dxa"/>
          </w:tcPr>
          <w:p w14:paraId="6C73C5D1" w14:textId="42C99C52"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XHANU</w:t>
            </w:r>
          </w:p>
        </w:tc>
        <w:tc>
          <w:tcPr>
            <w:tcW w:w="1701" w:type="dxa"/>
          </w:tcPr>
          <w:p w14:paraId="3078CB74" w14:textId="13AB4149"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2268" w:type="dxa"/>
          </w:tcPr>
          <w:p w14:paraId="20256935" w14:textId="5686544E"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102.3 MHz</w:t>
            </w:r>
          </w:p>
        </w:tc>
        <w:tc>
          <w:tcPr>
            <w:tcW w:w="3119" w:type="dxa"/>
          </w:tcPr>
          <w:p w14:paraId="1E3310B1" w14:textId="7001D7D7" w:rsidR="008A3EAE" w:rsidRPr="00F82EAB" w:rsidDel="008A3EAE"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Autlán de Navarro</w:t>
            </w:r>
          </w:p>
        </w:tc>
      </w:tr>
      <w:tr w:rsidR="008A3EAE" w:rsidRPr="00565BC2" w14:paraId="7B15E87E" w14:textId="77777777" w:rsidTr="005179B5">
        <w:trPr>
          <w:jc w:val="center"/>
        </w:trPr>
        <w:tc>
          <w:tcPr>
            <w:tcW w:w="486" w:type="dxa"/>
          </w:tcPr>
          <w:p w14:paraId="4F2D4AB7" w14:textId="7C7A593C"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2</w:t>
            </w:r>
          </w:p>
        </w:tc>
        <w:tc>
          <w:tcPr>
            <w:tcW w:w="1275" w:type="dxa"/>
          </w:tcPr>
          <w:p w14:paraId="179838BB" w14:textId="1B86DC74"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XHGZ</w:t>
            </w:r>
          </w:p>
        </w:tc>
        <w:tc>
          <w:tcPr>
            <w:tcW w:w="1701" w:type="dxa"/>
          </w:tcPr>
          <w:p w14:paraId="45C52723" w14:textId="0DA808FD"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2268" w:type="dxa"/>
          </w:tcPr>
          <w:p w14:paraId="1184B19C" w14:textId="0E08D62F"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94.3 MHz</w:t>
            </w:r>
          </w:p>
        </w:tc>
        <w:tc>
          <w:tcPr>
            <w:tcW w:w="3119" w:type="dxa"/>
          </w:tcPr>
          <w:p w14:paraId="27909D62" w14:textId="491C73D5" w:rsidR="008A3EAE" w:rsidRPr="00F82EAB" w:rsidDel="008A3EAE"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Zapotlán El Grande</w:t>
            </w:r>
          </w:p>
        </w:tc>
      </w:tr>
      <w:tr w:rsidR="008A3EAE" w:rsidRPr="00565BC2" w14:paraId="30A4A96B" w14:textId="77777777" w:rsidTr="005179B5">
        <w:trPr>
          <w:jc w:val="center"/>
        </w:trPr>
        <w:tc>
          <w:tcPr>
            <w:tcW w:w="486" w:type="dxa"/>
          </w:tcPr>
          <w:p w14:paraId="70BBE5B7" w14:textId="6AFDC74F"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3</w:t>
            </w:r>
          </w:p>
        </w:tc>
        <w:tc>
          <w:tcPr>
            <w:tcW w:w="1275" w:type="dxa"/>
          </w:tcPr>
          <w:p w14:paraId="7368A0D4" w14:textId="14737DD9"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XHUDG</w:t>
            </w:r>
          </w:p>
        </w:tc>
        <w:tc>
          <w:tcPr>
            <w:tcW w:w="1701" w:type="dxa"/>
          </w:tcPr>
          <w:p w14:paraId="0FEECEE4" w14:textId="7F6BE486"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2268" w:type="dxa"/>
          </w:tcPr>
          <w:p w14:paraId="76747A4B" w14:textId="6FDB6688"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104.3 MHz</w:t>
            </w:r>
          </w:p>
        </w:tc>
        <w:tc>
          <w:tcPr>
            <w:tcW w:w="3119" w:type="dxa"/>
          </w:tcPr>
          <w:p w14:paraId="00AF78D3" w14:textId="661CD9CA" w:rsidR="008A3EAE" w:rsidRPr="00F82EAB" w:rsidDel="008A3EAE"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Guadalajara</w:t>
            </w:r>
          </w:p>
        </w:tc>
      </w:tr>
      <w:tr w:rsidR="008A3EAE" w:rsidRPr="00565BC2" w14:paraId="17ACEF68" w14:textId="77777777" w:rsidTr="005179B5">
        <w:trPr>
          <w:jc w:val="center"/>
        </w:trPr>
        <w:tc>
          <w:tcPr>
            <w:tcW w:w="486" w:type="dxa"/>
          </w:tcPr>
          <w:p w14:paraId="01AD722B" w14:textId="503526FC"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4</w:t>
            </w:r>
          </w:p>
        </w:tc>
        <w:tc>
          <w:tcPr>
            <w:tcW w:w="1275" w:type="dxa"/>
          </w:tcPr>
          <w:p w14:paraId="76018175" w14:textId="2A0C960F"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XHUGPV</w:t>
            </w:r>
          </w:p>
        </w:tc>
        <w:tc>
          <w:tcPr>
            <w:tcW w:w="1701" w:type="dxa"/>
          </w:tcPr>
          <w:p w14:paraId="32D05B4B" w14:textId="23F31EA3"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2268" w:type="dxa"/>
          </w:tcPr>
          <w:p w14:paraId="24CFE25B" w14:textId="585050DC" w:rsidR="008A3EAE" w:rsidRPr="00F82EAB"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104.3 MHz</w:t>
            </w:r>
          </w:p>
        </w:tc>
        <w:tc>
          <w:tcPr>
            <w:tcW w:w="3119" w:type="dxa"/>
          </w:tcPr>
          <w:p w14:paraId="29FA1994" w14:textId="7BDC1184" w:rsidR="008A3EAE" w:rsidRPr="00F82EAB" w:rsidDel="008A3EAE" w:rsidRDefault="008A3EAE" w:rsidP="005179B5">
            <w:pPr>
              <w:spacing w:afterLines="50" w:after="120" w:line="240" w:lineRule="auto"/>
              <w:jc w:val="center"/>
              <w:rPr>
                <w:rFonts w:ascii="ITC Avant Garde" w:hAnsi="ITC Avant Garde"/>
                <w:sz w:val="16"/>
                <w:szCs w:val="16"/>
              </w:rPr>
            </w:pPr>
            <w:r w:rsidRPr="00F82EAB">
              <w:rPr>
                <w:rFonts w:ascii="ITC Avant Garde" w:hAnsi="ITC Avant Garde"/>
                <w:sz w:val="16"/>
                <w:szCs w:val="16"/>
              </w:rPr>
              <w:t>Puerto Vallarta</w:t>
            </w:r>
          </w:p>
        </w:tc>
      </w:tr>
    </w:tbl>
    <w:p w14:paraId="5FA73831" w14:textId="299EADAA" w:rsidR="008A3EAE" w:rsidRPr="00F82EAB" w:rsidRDefault="008A3EAE" w:rsidP="005179B5">
      <w:pPr>
        <w:numPr>
          <w:ilvl w:val="0"/>
          <w:numId w:val="5"/>
        </w:numPr>
        <w:spacing w:before="360" w:afterLines="120" w:after="288"/>
        <w:ind w:left="502"/>
        <w:jc w:val="both"/>
        <w:rPr>
          <w:rFonts w:ascii="ITC Avant Garde" w:hAnsi="ITC Avant Garde"/>
        </w:rPr>
      </w:pPr>
      <w:r w:rsidRPr="00F82EAB">
        <w:rPr>
          <w:rFonts w:ascii="ITC Avant Garde" w:hAnsi="ITC Avant Garde"/>
          <w:b/>
          <w:bCs/>
          <w:lang w:eastAsia="ar-SA"/>
        </w:rPr>
        <w:t>Prórroga de la Vigencia y Transición de los Permisos al régimen de Concesión.</w:t>
      </w:r>
      <w:r w:rsidRPr="00F82EAB">
        <w:rPr>
          <w:rFonts w:ascii="ITC Avant Garde" w:hAnsi="ITC Avant Garde"/>
          <w:lang w:eastAsia="ar-SA"/>
        </w:rPr>
        <w:t xml:space="preserve"> El Pleno del Instituto, en su XXIV Sesión Ordinaria celebrada el 10 de agosto de 2016 y IV Sesión Ordinaria celebrada el 8 de febrero de 2017, aprobó las Resoluciones  contenidas en los acuerdos señalados en el siguiente cuadro, por medio de las cuales autorizó la prórroga de la vigencia y la transición de 4 (cuatro)  permisos de radiodifusión de la U de G al régimen de concesión de la Ley</w:t>
      </w:r>
      <w:r w:rsidRPr="00F82EAB">
        <w:rPr>
          <w:rFonts w:ascii="ITC Avant Garde" w:hAnsi="ITC Avant Garde"/>
        </w:rPr>
        <w:t xml:space="preserve">, </w:t>
      </w:r>
      <w:r w:rsidRPr="00F82EAB">
        <w:rPr>
          <w:rFonts w:ascii="ITC Avant Garde" w:hAnsi="ITC Avant Garde"/>
          <w:lang w:eastAsia="ar-SA"/>
        </w:rPr>
        <w:t xml:space="preserve">para lo cual le otorgó respectivamente una concesión </w:t>
      </w:r>
      <w:r w:rsidRPr="00F82EAB">
        <w:rPr>
          <w:rFonts w:ascii="ITC Avant Garde" w:hAnsi="ITC Avant Garde"/>
        </w:rPr>
        <w:t>para usar y aprovechar bandas de frecuencias</w:t>
      </w:r>
      <w:r w:rsidRPr="00F82EAB">
        <w:rPr>
          <w:rFonts w:ascii="ITC Avant Garde" w:hAnsi="ITC Avant Garde"/>
          <w:bCs/>
        </w:rPr>
        <w:t xml:space="preserve"> </w:t>
      </w:r>
      <w:r w:rsidRPr="00F82EAB">
        <w:rPr>
          <w:rFonts w:ascii="ITC Avant Garde" w:hAnsi="ITC Avant Garde"/>
        </w:rPr>
        <w:t>del espectro radioeléctrico, para la prestación del servicio público de radiodifusión sonora en FM, para las siguientes poblaciones del Estado de Jalisco:</w:t>
      </w:r>
    </w:p>
    <w:tbl>
      <w:tblPr>
        <w:tblStyle w:val="Tablaconcuadrcula"/>
        <w:tblW w:w="8849" w:type="dxa"/>
        <w:jc w:val="center"/>
        <w:tblLayout w:type="fixed"/>
        <w:tblLook w:val="04A0" w:firstRow="1" w:lastRow="0" w:firstColumn="1" w:lastColumn="0" w:noHBand="0" w:noVBand="1"/>
        <w:tblCaption w:val="Prórroga de la Vigencia y Transición de los Permisos al régimen de Concesión"/>
        <w:tblDescription w:val="Tabla de 7 columnas que proporciona información respecto de los acuerdos con los que el IFT aprobo las resoluciones con las que se autorizó la prórroga de vigencia y transición de 4 permisos."/>
      </w:tblPr>
      <w:tblGrid>
        <w:gridCol w:w="486"/>
        <w:gridCol w:w="992"/>
        <w:gridCol w:w="850"/>
        <w:gridCol w:w="1134"/>
        <w:gridCol w:w="2268"/>
        <w:gridCol w:w="1560"/>
        <w:gridCol w:w="1559"/>
      </w:tblGrid>
      <w:tr w:rsidR="008A3EAE" w:rsidRPr="00565BC2" w14:paraId="70FD209B" w14:textId="0698E4D3" w:rsidTr="00743DF6">
        <w:trPr>
          <w:tblHeader/>
          <w:jc w:val="center"/>
        </w:trPr>
        <w:tc>
          <w:tcPr>
            <w:tcW w:w="486" w:type="dxa"/>
          </w:tcPr>
          <w:p w14:paraId="568D4BD1" w14:textId="1BAE94BE"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No.</w:t>
            </w:r>
          </w:p>
        </w:tc>
        <w:tc>
          <w:tcPr>
            <w:tcW w:w="992" w:type="dxa"/>
          </w:tcPr>
          <w:p w14:paraId="05A2788E" w14:textId="77777777"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Distintivo</w:t>
            </w:r>
          </w:p>
        </w:tc>
        <w:tc>
          <w:tcPr>
            <w:tcW w:w="850" w:type="dxa"/>
          </w:tcPr>
          <w:p w14:paraId="44F79B14" w14:textId="760E8FD3"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Servicio</w:t>
            </w:r>
          </w:p>
        </w:tc>
        <w:tc>
          <w:tcPr>
            <w:tcW w:w="1134" w:type="dxa"/>
          </w:tcPr>
          <w:p w14:paraId="6A0530A5" w14:textId="525CE0A3"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Frecuencia</w:t>
            </w:r>
          </w:p>
        </w:tc>
        <w:tc>
          <w:tcPr>
            <w:tcW w:w="2268" w:type="dxa"/>
          </w:tcPr>
          <w:p w14:paraId="642816BC" w14:textId="77777777" w:rsidR="008A3EAE" w:rsidRPr="00F82EAB" w:rsidDel="008A3EAE"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Población</w:t>
            </w:r>
          </w:p>
        </w:tc>
        <w:tc>
          <w:tcPr>
            <w:tcW w:w="1560" w:type="dxa"/>
          </w:tcPr>
          <w:p w14:paraId="7F6EA304" w14:textId="20BAEC57"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Acuerdo</w:t>
            </w:r>
          </w:p>
        </w:tc>
        <w:tc>
          <w:tcPr>
            <w:tcW w:w="1559" w:type="dxa"/>
          </w:tcPr>
          <w:p w14:paraId="328F2EE5" w14:textId="29CDD861"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Fecha de Notificación</w:t>
            </w:r>
          </w:p>
        </w:tc>
      </w:tr>
      <w:tr w:rsidR="008A3EAE" w:rsidRPr="00565BC2" w14:paraId="1222C919" w14:textId="3A06E288" w:rsidTr="00315B9B">
        <w:trPr>
          <w:jc w:val="center"/>
        </w:trPr>
        <w:tc>
          <w:tcPr>
            <w:tcW w:w="486" w:type="dxa"/>
          </w:tcPr>
          <w:p w14:paraId="39D8D33E"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w:t>
            </w:r>
          </w:p>
        </w:tc>
        <w:tc>
          <w:tcPr>
            <w:tcW w:w="992" w:type="dxa"/>
          </w:tcPr>
          <w:p w14:paraId="4E2CD1F5" w14:textId="44FDBDB9"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XHUGO</w:t>
            </w:r>
          </w:p>
        </w:tc>
        <w:tc>
          <w:tcPr>
            <w:tcW w:w="850" w:type="dxa"/>
          </w:tcPr>
          <w:p w14:paraId="287F7514" w14:textId="55644496" w:rsidR="008A3EAE" w:rsidRPr="00F82EAB"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FM</w:t>
            </w:r>
          </w:p>
        </w:tc>
        <w:tc>
          <w:tcPr>
            <w:tcW w:w="1134" w:type="dxa"/>
          </w:tcPr>
          <w:p w14:paraId="3CBB4846" w14:textId="1882C5B8"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107.9 MHz</w:t>
            </w:r>
          </w:p>
        </w:tc>
        <w:tc>
          <w:tcPr>
            <w:tcW w:w="2268" w:type="dxa"/>
          </w:tcPr>
          <w:p w14:paraId="77D06E42" w14:textId="14A4823D" w:rsidR="008A3EAE" w:rsidRPr="00F82EAB" w:rsidDel="008A3EAE"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Ocotlán</w:t>
            </w:r>
          </w:p>
        </w:tc>
        <w:tc>
          <w:tcPr>
            <w:tcW w:w="1560" w:type="dxa"/>
          </w:tcPr>
          <w:p w14:paraId="4DB0E6D0" w14:textId="5B186CF2" w:rsidR="008A3EAE" w:rsidRPr="00F82EAB" w:rsidDel="008A3EAE"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P/IFT/100816/412</w:t>
            </w:r>
          </w:p>
        </w:tc>
        <w:tc>
          <w:tcPr>
            <w:tcW w:w="1559" w:type="dxa"/>
          </w:tcPr>
          <w:p w14:paraId="352D3EFE" w14:textId="531873D4" w:rsidR="008A3EAE" w:rsidRPr="00F82EAB" w:rsidDel="008A3EAE"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12-ene-17</w:t>
            </w:r>
          </w:p>
        </w:tc>
      </w:tr>
      <w:tr w:rsidR="008A3EAE" w:rsidRPr="00565BC2" w14:paraId="6E50D66D" w14:textId="23D669F8" w:rsidTr="00315B9B">
        <w:trPr>
          <w:jc w:val="center"/>
        </w:trPr>
        <w:tc>
          <w:tcPr>
            <w:tcW w:w="486" w:type="dxa"/>
          </w:tcPr>
          <w:p w14:paraId="5B8985F1"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2</w:t>
            </w:r>
          </w:p>
        </w:tc>
        <w:tc>
          <w:tcPr>
            <w:tcW w:w="992" w:type="dxa"/>
          </w:tcPr>
          <w:p w14:paraId="45E461CA" w14:textId="062BB5D6" w:rsidR="008A3EAE" w:rsidRPr="00F82EAB"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XHUGL</w:t>
            </w:r>
          </w:p>
        </w:tc>
        <w:tc>
          <w:tcPr>
            <w:tcW w:w="850" w:type="dxa"/>
          </w:tcPr>
          <w:p w14:paraId="65886A28" w14:textId="55EB7EF4" w:rsidR="008A3EAE" w:rsidRPr="00F82EAB"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FM</w:t>
            </w:r>
          </w:p>
        </w:tc>
        <w:tc>
          <w:tcPr>
            <w:tcW w:w="1134" w:type="dxa"/>
          </w:tcPr>
          <w:p w14:paraId="3D5D7053" w14:textId="3733C25C"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104.7 MHz</w:t>
            </w:r>
          </w:p>
        </w:tc>
        <w:tc>
          <w:tcPr>
            <w:tcW w:w="2268" w:type="dxa"/>
          </w:tcPr>
          <w:p w14:paraId="44AAFA4B" w14:textId="49FFAE62" w:rsidR="008A3EAE" w:rsidRPr="00F82EAB" w:rsidDel="008A3EAE"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Lagos de Moreno</w:t>
            </w:r>
          </w:p>
        </w:tc>
        <w:tc>
          <w:tcPr>
            <w:tcW w:w="1560" w:type="dxa"/>
          </w:tcPr>
          <w:p w14:paraId="390BAB40" w14:textId="6C2065C7" w:rsidR="008A3EAE" w:rsidRPr="00F82EAB" w:rsidDel="008A3EAE"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P/IFT/100816/412</w:t>
            </w:r>
          </w:p>
        </w:tc>
        <w:tc>
          <w:tcPr>
            <w:tcW w:w="1559" w:type="dxa"/>
          </w:tcPr>
          <w:p w14:paraId="73AC24CF" w14:textId="31ED745C" w:rsidR="008A3EAE" w:rsidRPr="00F82EAB" w:rsidDel="008A3EAE"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12-ene-17</w:t>
            </w:r>
          </w:p>
        </w:tc>
      </w:tr>
      <w:tr w:rsidR="008A3EAE" w:rsidRPr="00565BC2" w14:paraId="1EFB9C75" w14:textId="2E0D119C" w:rsidTr="00315B9B">
        <w:trPr>
          <w:jc w:val="center"/>
        </w:trPr>
        <w:tc>
          <w:tcPr>
            <w:tcW w:w="486" w:type="dxa"/>
          </w:tcPr>
          <w:p w14:paraId="2E3F02DE"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3</w:t>
            </w:r>
          </w:p>
        </w:tc>
        <w:tc>
          <w:tcPr>
            <w:tcW w:w="992" w:type="dxa"/>
          </w:tcPr>
          <w:p w14:paraId="425DCE72" w14:textId="246443BC" w:rsidR="008A3EAE" w:rsidRPr="00F82EAB"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XHUGA</w:t>
            </w:r>
          </w:p>
        </w:tc>
        <w:tc>
          <w:tcPr>
            <w:tcW w:w="850" w:type="dxa"/>
          </w:tcPr>
          <w:p w14:paraId="23C5D66A" w14:textId="35875246" w:rsidR="008A3EAE" w:rsidRPr="00F82EAB"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FM</w:t>
            </w:r>
          </w:p>
        </w:tc>
        <w:tc>
          <w:tcPr>
            <w:tcW w:w="1134" w:type="dxa"/>
          </w:tcPr>
          <w:p w14:paraId="77BF62AB" w14:textId="57B418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105.5 MHz</w:t>
            </w:r>
          </w:p>
        </w:tc>
        <w:tc>
          <w:tcPr>
            <w:tcW w:w="2268" w:type="dxa"/>
          </w:tcPr>
          <w:p w14:paraId="043922E0" w14:textId="6591E444" w:rsidR="008A3EAE" w:rsidRPr="00F82EAB" w:rsidDel="008A3EAE"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Ameca</w:t>
            </w:r>
          </w:p>
        </w:tc>
        <w:tc>
          <w:tcPr>
            <w:tcW w:w="1560" w:type="dxa"/>
          </w:tcPr>
          <w:p w14:paraId="439671D4" w14:textId="7D95CB01" w:rsidR="008A3EAE" w:rsidRPr="00F82EAB" w:rsidDel="008A3EAE"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P/IFT/100816/420</w:t>
            </w:r>
          </w:p>
        </w:tc>
        <w:tc>
          <w:tcPr>
            <w:tcW w:w="1559" w:type="dxa"/>
          </w:tcPr>
          <w:p w14:paraId="4669639D" w14:textId="7699E08B" w:rsidR="008A3EAE" w:rsidRPr="00F82EAB" w:rsidDel="008A3EAE"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13-mar-17</w:t>
            </w:r>
          </w:p>
        </w:tc>
      </w:tr>
      <w:tr w:rsidR="008A3EAE" w:rsidRPr="00565BC2" w14:paraId="0020A699" w14:textId="541F64FC" w:rsidTr="00315B9B">
        <w:trPr>
          <w:jc w:val="center"/>
        </w:trPr>
        <w:tc>
          <w:tcPr>
            <w:tcW w:w="486" w:type="dxa"/>
          </w:tcPr>
          <w:p w14:paraId="35ADE702"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4</w:t>
            </w:r>
          </w:p>
        </w:tc>
        <w:tc>
          <w:tcPr>
            <w:tcW w:w="992" w:type="dxa"/>
          </w:tcPr>
          <w:p w14:paraId="6B83FB89" w14:textId="031A8A36" w:rsidR="008A3EAE" w:rsidRPr="00F82EAB"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XHUGC</w:t>
            </w:r>
          </w:p>
        </w:tc>
        <w:tc>
          <w:tcPr>
            <w:tcW w:w="850" w:type="dxa"/>
          </w:tcPr>
          <w:p w14:paraId="41559F5F" w14:textId="2C34F7E2" w:rsidR="008A3EAE" w:rsidRPr="00F82EAB"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FM</w:t>
            </w:r>
          </w:p>
        </w:tc>
        <w:tc>
          <w:tcPr>
            <w:tcW w:w="1134" w:type="dxa"/>
          </w:tcPr>
          <w:p w14:paraId="0CCFC8DF" w14:textId="331B6D4A"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104.7 MHZ</w:t>
            </w:r>
          </w:p>
        </w:tc>
        <w:tc>
          <w:tcPr>
            <w:tcW w:w="2268" w:type="dxa"/>
          </w:tcPr>
          <w:p w14:paraId="1A59BFD2" w14:textId="1D9E4AD3" w:rsidR="008A3EAE" w:rsidRPr="00F82EAB" w:rsidDel="008A3EAE"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Colotlá</w:t>
            </w:r>
            <w:r w:rsidRPr="00565BC2">
              <w:rPr>
                <w:rFonts w:ascii="ITC Avant Garde" w:hAnsi="ITC Avant Garde"/>
                <w:sz w:val="16"/>
                <w:szCs w:val="16"/>
              </w:rPr>
              <w:t>n</w:t>
            </w:r>
          </w:p>
        </w:tc>
        <w:tc>
          <w:tcPr>
            <w:tcW w:w="1560" w:type="dxa"/>
          </w:tcPr>
          <w:p w14:paraId="0C515780" w14:textId="08482604" w:rsidR="008A3EAE" w:rsidRPr="00F82EAB" w:rsidDel="008A3EAE"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P/IFT/080217/71</w:t>
            </w:r>
          </w:p>
        </w:tc>
        <w:tc>
          <w:tcPr>
            <w:tcW w:w="1559" w:type="dxa"/>
          </w:tcPr>
          <w:p w14:paraId="5372076A" w14:textId="52E7221F" w:rsidR="008A3EAE" w:rsidRPr="00F82EAB" w:rsidDel="008A3EAE" w:rsidRDefault="008A3EAE" w:rsidP="00315B9B">
            <w:pPr>
              <w:spacing w:afterLines="50" w:after="120" w:line="240" w:lineRule="auto"/>
              <w:jc w:val="center"/>
              <w:rPr>
                <w:rFonts w:ascii="ITC Avant Garde" w:hAnsi="ITC Avant Garde"/>
                <w:sz w:val="16"/>
                <w:szCs w:val="16"/>
              </w:rPr>
            </w:pPr>
            <w:r w:rsidRPr="00565BC2">
              <w:rPr>
                <w:rFonts w:ascii="ITC Avant Garde" w:hAnsi="ITC Avant Garde"/>
                <w:sz w:val="16"/>
                <w:szCs w:val="16"/>
              </w:rPr>
              <w:t>01-ago-17</w:t>
            </w:r>
          </w:p>
        </w:tc>
      </w:tr>
    </w:tbl>
    <w:p w14:paraId="646E3DA8" w14:textId="676356B6" w:rsidR="008A3EAE" w:rsidRPr="00F82EAB" w:rsidRDefault="00CF3B0D" w:rsidP="005179B5">
      <w:pPr>
        <w:numPr>
          <w:ilvl w:val="0"/>
          <w:numId w:val="5"/>
        </w:numPr>
        <w:spacing w:before="360" w:afterLines="120" w:after="288"/>
        <w:ind w:left="502"/>
        <w:jc w:val="both"/>
        <w:rPr>
          <w:rFonts w:ascii="ITC Avant Garde" w:hAnsi="ITC Avant Garde"/>
          <w:lang w:eastAsia="ar-SA"/>
        </w:rPr>
      </w:pPr>
      <w:r w:rsidRPr="00F82EAB">
        <w:rPr>
          <w:rFonts w:ascii="ITC Avant Garde" w:hAnsi="ITC Avant Garde" w:cs="Arial"/>
          <w:b/>
          <w:kern w:val="1"/>
          <w:lang w:eastAsia="ar-SA"/>
        </w:rPr>
        <w:t>Solicitud de Cumplimiento a la Condición 12 de los Títulos de Concesión</w:t>
      </w:r>
      <w:r w:rsidRPr="00F82EAB">
        <w:rPr>
          <w:rFonts w:ascii="ITC Avant Garde" w:hAnsi="ITC Avant Garde" w:cs="Arial"/>
          <w:kern w:val="1"/>
          <w:lang w:eastAsia="ar-SA"/>
        </w:rPr>
        <w:t xml:space="preserve">. </w:t>
      </w:r>
      <w:r w:rsidRPr="00F82EAB">
        <w:rPr>
          <w:rFonts w:ascii="ITC Avant Garde" w:hAnsi="ITC Avant Garde"/>
          <w:lang w:eastAsia="ar-SA"/>
        </w:rPr>
        <w:t xml:space="preserve">Con escrito presentado </w:t>
      </w:r>
      <w:r w:rsidR="00C02C35" w:rsidRPr="00F82EAB">
        <w:rPr>
          <w:rFonts w:ascii="ITC Avant Garde" w:hAnsi="ITC Avant Garde"/>
          <w:lang w:eastAsia="es-MX"/>
        </w:rPr>
        <w:t>ante la Oficialía de Partes</w:t>
      </w:r>
      <w:r w:rsidR="00C02C35" w:rsidRPr="00F82EAB">
        <w:rPr>
          <w:rFonts w:ascii="ITC Avant Garde" w:hAnsi="ITC Avant Garde"/>
          <w:lang w:eastAsia="ar-SA"/>
        </w:rPr>
        <w:t xml:space="preserve"> de</w:t>
      </w:r>
      <w:r w:rsidRPr="00F82EAB">
        <w:rPr>
          <w:rFonts w:ascii="ITC Avant Garde" w:hAnsi="ITC Avant Garde"/>
          <w:lang w:eastAsia="ar-SA"/>
        </w:rPr>
        <w:t xml:space="preserve"> este Instituto el </w:t>
      </w:r>
      <w:r w:rsidR="00B93679" w:rsidRPr="00F82EAB">
        <w:rPr>
          <w:rFonts w:ascii="ITC Avant Garde" w:hAnsi="ITC Avant Garde"/>
          <w:lang w:eastAsia="ar-SA"/>
        </w:rPr>
        <w:t>27</w:t>
      </w:r>
      <w:r w:rsidR="00A17201" w:rsidRPr="00F82EAB">
        <w:rPr>
          <w:rFonts w:ascii="ITC Avant Garde" w:hAnsi="ITC Avant Garde"/>
          <w:lang w:eastAsia="ar-SA"/>
        </w:rPr>
        <w:t xml:space="preserve"> </w:t>
      </w:r>
      <w:r w:rsidRPr="00F82EAB">
        <w:rPr>
          <w:rFonts w:ascii="ITC Avant Garde" w:hAnsi="ITC Avant Garde"/>
          <w:lang w:eastAsia="ar-SA"/>
        </w:rPr>
        <w:t xml:space="preserve">de </w:t>
      </w:r>
      <w:r w:rsidR="00B93679" w:rsidRPr="00F82EAB">
        <w:rPr>
          <w:rFonts w:ascii="ITC Avant Garde" w:hAnsi="ITC Avant Garde"/>
          <w:lang w:eastAsia="ar-SA"/>
        </w:rPr>
        <w:t xml:space="preserve">enero </w:t>
      </w:r>
      <w:r w:rsidRPr="00F82EAB">
        <w:rPr>
          <w:rFonts w:ascii="ITC Avant Garde" w:hAnsi="ITC Avant Garde"/>
          <w:lang w:eastAsia="ar-SA"/>
        </w:rPr>
        <w:t xml:space="preserve">de 2017, el C. </w:t>
      </w:r>
      <w:r w:rsidR="00A17201" w:rsidRPr="00F82EAB">
        <w:rPr>
          <w:rFonts w:ascii="ITC Avant Garde" w:hAnsi="ITC Avant Garde"/>
          <w:lang w:eastAsia="ar-SA"/>
        </w:rPr>
        <w:lastRenderedPageBreak/>
        <w:t>José Guadalupe González Plascencia</w:t>
      </w:r>
      <w:r w:rsidRPr="00F82EAB">
        <w:rPr>
          <w:rFonts w:ascii="ITC Avant Garde" w:hAnsi="ITC Avant Garde"/>
          <w:lang w:eastAsia="ar-SA"/>
        </w:rPr>
        <w:t xml:space="preserve">, en su </w:t>
      </w:r>
      <w:r w:rsidR="008A3EAE" w:rsidRPr="00F82EAB">
        <w:rPr>
          <w:rFonts w:ascii="ITC Avant Garde" w:hAnsi="ITC Avant Garde"/>
          <w:lang w:eastAsia="ar-SA"/>
        </w:rPr>
        <w:t xml:space="preserve">carácter </w:t>
      </w:r>
      <w:r w:rsidRPr="00F82EAB">
        <w:rPr>
          <w:rFonts w:ascii="ITC Avant Garde" w:hAnsi="ITC Avant Garde"/>
          <w:lang w:eastAsia="ar-SA"/>
        </w:rPr>
        <w:t xml:space="preserve">de </w:t>
      </w:r>
      <w:r w:rsidR="00A17201" w:rsidRPr="00F82EAB">
        <w:rPr>
          <w:rFonts w:ascii="ITC Avant Garde" w:hAnsi="ITC Avant Garde"/>
          <w:lang w:eastAsia="ar-SA"/>
        </w:rPr>
        <w:t xml:space="preserve">apoderado </w:t>
      </w:r>
      <w:r w:rsidRPr="00F82EAB">
        <w:rPr>
          <w:rFonts w:ascii="ITC Avant Garde" w:hAnsi="ITC Avant Garde"/>
          <w:lang w:eastAsia="ar-SA"/>
        </w:rPr>
        <w:t xml:space="preserve">de la </w:t>
      </w:r>
      <w:r w:rsidR="003F0C0D" w:rsidRPr="00F82EAB">
        <w:rPr>
          <w:rFonts w:ascii="ITC Avant Garde" w:hAnsi="ITC Avant Garde"/>
          <w:lang w:eastAsia="ar-SA"/>
        </w:rPr>
        <w:t>U de</w:t>
      </w:r>
      <w:r w:rsidR="000D4985" w:rsidRPr="00F82EAB">
        <w:rPr>
          <w:rFonts w:ascii="ITC Avant Garde" w:hAnsi="ITC Avant Garde"/>
          <w:lang w:eastAsia="ar-SA"/>
        </w:rPr>
        <w:t xml:space="preserve"> G</w:t>
      </w:r>
      <w:r w:rsidRPr="00F82EAB">
        <w:rPr>
          <w:rFonts w:ascii="ITC Avant Garde" w:hAnsi="ITC Avant Garde"/>
          <w:lang w:eastAsia="ar-SA"/>
        </w:rPr>
        <w:t xml:space="preserve">, organismo público descentralizado del Gobierno del Estado </w:t>
      </w:r>
      <w:r w:rsidR="001261CA" w:rsidRPr="00F82EAB">
        <w:rPr>
          <w:rFonts w:ascii="ITC Avant Garde" w:hAnsi="ITC Avant Garde"/>
          <w:lang w:eastAsia="ar-SA"/>
        </w:rPr>
        <w:t xml:space="preserve">de </w:t>
      </w:r>
      <w:r w:rsidR="0008270D" w:rsidRPr="00F82EAB">
        <w:rPr>
          <w:rFonts w:ascii="ITC Avant Garde" w:hAnsi="ITC Avant Garde"/>
          <w:lang w:eastAsia="ar-SA"/>
        </w:rPr>
        <w:t>Jalisco</w:t>
      </w:r>
      <w:r w:rsidRPr="00F82EAB">
        <w:rPr>
          <w:rFonts w:ascii="ITC Avant Garde" w:hAnsi="ITC Avant Garde"/>
          <w:lang w:eastAsia="ar-SA"/>
        </w:rPr>
        <w:t xml:space="preserve">, pretende dar cumplimiento a lo señalado por la Condición 12 de </w:t>
      </w:r>
      <w:r w:rsidR="00D773FC" w:rsidRPr="00F82EAB">
        <w:rPr>
          <w:rFonts w:ascii="ITC Avant Garde" w:hAnsi="ITC Avant Garde"/>
          <w:lang w:eastAsia="ar-SA"/>
        </w:rPr>
        <w:t xml:space="preserve">los </w:t>
      </w:r>
      <w:r w:rsidR="00A8282D" w:rsidRPr="00F82EAB">
        <w:rPr>
          <w:rFonts w:ascii="ITC Avant Garde" w:hAnsi="ITC Avant Garde"/>
          <w:lang w:eastAsia="ar-SA"/>
        </w:rPr>
        <w:t>4</w:t>
      </w:r>
      <w:r w:rsidRPr="00F82EAB">
        <w:rPr>
          <w:rFonts w:ascii="ITC Avant Garde" w:hAnsi="ITC Avant Garde"/>
          <w:lang w:eastAsia="ar-SA"/>
        </w:rPr>
        <w:t xml:space="preserve"> (</w:t>
      </w:r>
      <w:r w:rsidR="00A8282D" w:rsidRPr="00F82EAB">
        <w:rPr>
          <w:rFonts w:ascii="ITC Avant Garde" w:hAnsi="ITC Avant Garde"/>
          <w:lang w:eastAsia="ar-SA"/>
        </w:rPr>
        <w:t>cuatro</w:t>
      </w:r>
      <w:r w:rsidRPr="00F82EAB">
        <w:rPr>
          <w:rFonts w:ascii="ITC Avant Garde" w:hAnsi="ITC Avant Garde"/>
          <w:lang w:eastAsia="ar-SA"/>
        </w:rPr>
        <w:t>)</w:t>
      </w:r>
      <w:r w:rsidR="00561C5A" w:rsidRPr="00F82EAB">
        <w:rPr>
          <w:rFonts w:ascii="ITC Avant Garde" w:hAnsi="ITC Avant Garde"/>
          <w:lang w:eastAsia="ar-SA"/>
        </w:rPr>
        <w:t xml:space="preserve"> T</w:t>
      </w:r>
      <w:r w:rsidRPr="00F82EAB">
        <w:rPr>
          <w:rFonts w:ascii="ITC Avant Garde" w:hAnsi="ITC Avant Garde"/>
          <w:lang w:eastAsia="ar-SA"/>
        </w:rPr>
        <w:t xml:space="preserve">ítulos de </w:t>
      </w:r>
      <w:r w:rsidR="00561C5A" w:rsidRPr="00F82EAB">
        <w:rPr>
          <w:rFonts w:ascii="ITC Avant Garde" w:hAnsi="ITC Avant Garde"/>
          <w:lang w:eastAsia="ar-SA"/>
        </w:rPr>
        <w:t>C</w:t>
      </w:r>
      <w:r w:rsidRPr="00F82EAB">
        <w:rPr>
          <w:rFonts w:ascii="ITC Avant Garde" w:hAnsi="ITC Avant Garde"/>
          <w:lang w:eastAsia="ar-SA"/>
        </w:rPr>
        <w:t>oncesión para usar y aprovechar bandas de frecuencias del espectro radioeléctrico para uso público (en lo sucesivo la “Solicitud de Cumplimiento”)</w:t>
      </w:r>
      <w:r w:rsidR="008A3EAE" w:rsidRPr="00F82EAB">
        <w:rPr>
          <w:rFonts w:ascii="ITC Avant Garde" w:hAnsi="ITC Avant Garde"/>
          <w:lang w:eastAsia="ar-SA"/>
        </w:rPr>
        <w:t>, para las siguientes estaciones de radio:</w:t>
      </w:r>
    </w:p>
    <w:tbl>
      <w:tblPr>
        <w:tblStyle w:val="Tablaconcuadrcula"/>
        <w:tblW w:w="8849" w:type="dxa"/>
        <w:jc w:val="center"/>
        <w:tblLayout w:type="fixed"/>
        <w:tblLook w:val="04A0" w:firstRow="1" w:lastRow="0" w:firstColumn="1" w:lastColumn="0" w:noHBand="0" w:noVBand="1"/>
        <w:tblCaption w:val="Solicitud de Cumplimiento a la Condición 12 de los Títulos de Concesión"/>
        <w:tblDescription w:val="Tabla de 5 columnas que proporciona información respecto de las solicitudes para dar cumplimiento a la Condición 12 de los Títulos de Concesión"/>
      </w:tblPr>
      <w:tblGrid>
        <w:gridCol w:w="486"/>
        <w:gridCol w:w="1275"/>
        <w:gridCol w:w="1701"/>
        <w:gridCol w:w="2268"/>
        <w:gridCol w:w="3119"/>
      </w:tblGrid>
      <w:tr w:rsidR="008A3EAE" w:rsidRPr="00565BC2" w14:paraId="3E27FA0F" w14:textId="77777777" w:rsidTr="00743DF6">
        <w:trPr>
          <w:tblHeader/>
          <w:jc w:val="center"/>
        </w:trPr>
        <w:tc>
          <w:tcPr>
            <w:tcW w:w="486" w:type="dxa"/>
          </w:tcPr>
          <w:p w14:paraId="2A784F26" w14:textId="77777777"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No.</w:t>
            </w:r>
          </w:p>
        </w:tc>
        <w:tc>
          <w:tcPr>
            <w:tcW w:w="1275" w:type="dxa"/>
          </w:tcPr>
          <w:p w14:paraId="64812D1C" w14:textId="77777777"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Distintivo</w:t>
            </w:r>
          </w:p>
        </w:tc>
        <w:tc>
          <w:tcPr>
            <w:tcW w:w="1701" w:type="dxa"/>
          </w:tcPr>
          <w:p w14:paraId="4AAC6FE0" w14:textId="77777777"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Servicio</w:t>
            </w:r>
          </w:p>
        </w:tc>
        <w:tc>
          <w:tcPr>
            <w:tcW w:w="2268" w:type="dxa"/>
          </w:tcPr>
          <w:p w14:paraId="544CC302" w14:textId="77777777" w:rsidR="008A3EAE" w:rsidRPr="00F82EAB"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Frecuencia</w:t>
            </w:r>
          </w:p>
        </w:tc>
        <w:tc>
          <w:tcPr>
            <w:tcW w:w="3119" w:type="dxa"/>
          </w:tcPr>
          <w:p w14:paraId="1FE20D61" w14:textId="77777777" w:rsidR="008A3EAE" w:rsidRPr="00F82EAB" w:rsidDel="008A3EAE" w:rsidRDefault="008A3EAE"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Población</w:t>
            </w:r>
          </w:p>
        </w:tc>
      </w:tr>
      <w:tr w:rsidR="008A3EAE" w:rsidRPr="00565BC2" w14:paraId="14254014" w14:textId="77777777" w:rsidTr="00315B9B">
        <w:trPr>
          <w:jc w:val="center"/>
        </w:trPr>
        <w:tc>
          <w:tcPr>
            <w:tcW w:w="486" w:type="dxa"/>
          </w:tcPr>
          <w:p w14:paraId="1EB0F7A7"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w:t>
            </w:r>
          </w:p>
        </w:tc>
        <w:tc>
          <w:tcPr>
            <w:tcW w:w="1275" w:type="dxa"/>
          </w:tcPr>
          <w:p w14:paraId="06199238"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XHANU</w:t>
            </w:r>
          </w:p>
        </w:tc>
        <w:tc>
          <w:tcPr>
            <w:tcW w:w="1701" w:type="dxa"/>
          </w:tcPr>
          <w:p w14:paraId="1E0B2BF0"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2268" w:type="dxa"/>
          </w:tcPr>
          <w:p w14:paraId="2DA15581"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102.3 MHz</w:t>
            </w:r>
          </w:p>
        </w:tc>
        <w:tc>
          <w:tcPr>
            <w:tcW w:w="3119" w:type="dxa"/>
          </w:tcPr>
          <w:p w14:paraId="2159FC00" w14:textId="77777777" w:rsidR="008A3EAE" w:rsidRPr="00F82EAB" w:rsidDel="008A3EAE"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Autlán de Navarro</w:t>
            </w:r>
          </w:p>
        </w:tc>
      </w:tr>
      <w:tr w:rsidR="008A3EAE" w:rsidRPr="00565BC2" w14:paraId="755DAC98" w14:textId="77777777" w:rsidTr="00315B9B">
        <w:trPr>
          <w:jc w:val="center"/>
        </w:trPr>
        <w:tc>
          <w:tcPr>
            <w:tcW w:w="486" w:type="dxa"/>
          </w:tcPr>
          <w:p w14:paraId="7417FBF4"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2</w:t>
            </w:r>
          </w:p>
        </w:tc>
        <w:tc>
          <w:tcPr>
            <w:tcW w:w="1275" w:type="dxa"/>
          </w:tcPr>
          <w:p w14:paraId="5729C4CA"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XHGZ</w:t>
            </w:r>
          </w:p>
        </w:tc>
        <w:tc>
          <w:tcPr>
            <w:tcW w:w="1701" w:type="dxa"/>
          </w:tcPr>
          <w:p w14:paraId="786F4AAD"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2268" w:type="dxa"/>
          </w:tcPr>
          <w:p w14:paraId="6090D21F"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94.3 MHz</w:t>
            </w:r>
          </w:p>
        </w:tc>
        <w:tc>
          <w:tcPr>
            <w:tcW w:w="3119" w:type="dxa"/>
          </w:tcPr>
          <w:p w14:paraId="2ED9D218" w14:textId="77777777" w:rsidR="008A3EAE" w:rsidRPr="00F82EAB" w:rsidDel="008A3EAE"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Zapotlán El Grande</w:t>
            </w:r>
          </w:p>
        </w:tc>
      </w:tr>
      <w:tr w:rsidR="008A3EAE" w:rsidRPr="00565BC2" w14:paraId="53D698AE" w14:textId="77777777" w:rsidTr="00315B9B">
        <w:trPr>
          <w:jc w:val="center"/>
        </w:trPr>
        <w:tc>
          <w:tcPr>
            <w:tcW w:w="486" w:type="dxa"/>
          </w:tcPr>
          <w:p w14:paraId="25B3472B"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3</w:t>
            </w:r>
          </w:p>
        </w:tc>
        <w:tc>
          <w:tcPr>
            <w:tcW w:w="1275" w:type="dxa"/>
          </w:tcPr>
          <w:p w14:paraId="69BE1183"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XHUDG</w:t>
            </w:r>
          </w:p>
        </w:tc>
        <w:tc>
          <w:tcPr>
            <w:tcW w:w="1701" w:type="dxa"/>
          </w:tcPr>
          <w:p w14:paraId="3BB2C713"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2268" w:type="dxa"/>
          </w:tcPr>
          <w:p w14:paraId="548C00BD"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104.3 MHz</w:t>
            </w:r>
          </w:p>
        </w:tc>
        <w:tc>
          <w:tcPr>
            <w:tcW w:w="3119" w:type="dxa"/>
          </w:tcPr>
          <w:p w14:paraId="1A052E86" w14:textId="77777777" w:rsidR="008A3EAE" w:rsidRPr="00F82EAB" w:rsidDel="008A3EAE"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Guadalajara</w:t>
            </w:r>
          </w:p>
        </w:tc>
      </w:tr>
      <w:tr w:rsidR="008A3EAE" w:rsidRPr="00565BC2" w14:paraId="3FC270B3" w14:textId="77777777" w:rsidTr="00315B9B">
        <w:trPr>
          <w:jc w:val="center"/>
        </w:trPr>
        <w:tc>
          <w:tcPr>
            <w:tcW w:w="486" w:type="dxa"/>
          </w:tcPr>
          <w:p w14:paraId="6AAC286B"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4</w:t>
            </w:r>
          </w:p>
        </w:tc>
        <w:tc>
          <w:tcPr>
            <w:tcW w:w="1275" w:type="dxa"/>
          </w:tcPr>
          <w:p w14:paraId="69978F93"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XHUGPV</w:t>
            </w:r>
          </w:p>
        </w:tc>
        <w:tc>
          <w:tcPr>
            <w:tcW w:w="1701" w:type="dxa"/>
          </w:tcPr>
          <w:p w14:paraId="766BDA28"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2268" w:type="dxa"/>
          </w:tcPr>
          <w:p w14:paraId="229D35FB" w14:textId="77777777" w:rsidR="008A3EAE" w:rsidRPr="00F82EAB"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104.3 MHz</w:t>
            </w:r>
          </w:p>
        </w:tc>
        <w:tc>
          <w:tcPr>
            <w:tcW w:w="3119" w:type="dxa"/>
          </w:tcPr>
          <w:p w14:paraId="042CA4FF" w14:textId="77777777" w:rsidR="008A3EAE" w:rsidRPr="00F82EAB" w:rsidDel="008A3EAE" w:rsidRDefault="008A3EAE"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Puerto Vallarta</w:t>
            </w:r>
          </w:p>
        </w:tc>
      </w:tr>
    </w:tbl>
    <w:p w14:paraId="6BEDD073" w14:textId="77777777" w:rsidR="005179B5" w:rsidRDefault="00AF11C0" w:rsidP="00315B9B">
      <w:pPr>
        <w:numPr>
          <w:ilvl w:val="0"/>
          <w:numId w:val="5"/>
        </w:numPr>
        <w:spacing w:before="360" w:afterLines="120" w:after="288"/>
        <w:ind w:left="502"/>
        <w:jc w:val="both"/>
        <w:rPr>
          <w:rFonts w:ascii="ITC Avant Garde" w:hAnsi="ITC Avant Garde"/>
          <w:lang w:eastAsia="ar-SA"/>
        </w:rPr>
      </w:pPr>
      <w:r w:rsidRPr="00F82EAB">
        <w:rPr>
          <w:rFonts w:ascii="ITC Avant Garde" w:hAnsi="ITC Avant Garde" w:cs="Arial"/>
          <w:b/>
          <w:kern w:val="1"/>
          <w:lang w:eastAsia="ar-SA"/>
        </w:rPr>
        <w:t>Primer Alcance de Información</w:t>
      </w:r>
      <w:r w:rsidR="009F66EA" w:rsidRPr="00F82EAB">
        <w:rPr>
          <w:rFonts w:ascii="ITC Avant Garde" w:hAnsi="ITC Avant Garde" w:cs="Arial"/>
          <w:b/>
          <w:kern w:val="1"/>
          <w:lang w:eastAsia="ar-SA"/>
        </w:rPr>
        <w:t xml:space="preserve"> . </w:t>
      </w:r>
      <w:r w:rsidR="009F66EA" w:rsidRPr="00F82EAB">
        <w:rPr>
          <w:rFonts w:ascii="ITC Avant Garde" w:hAnsi="ITC Avant Garde" w:cs="Arial"/>
          <w:kern w:val="1"/>
          <w:lang w:eastAsia="ar-SA"/>
        </w:rPr>
        <w:t xml:space="preserve">Con escrito presentado ante el Instituto </w:t>
      </w:r>
      <w:r w:rsidR="003C7DD6" w:rsidRPr="00F82EAB">
        <w:rPr>
          <w:rFonts w:ascii="ITC Avant Garde" w:hAnsi="ITC Avant Garde" w:cs="Arial"/>
          <w:kern w:val="1"/>
          <w:lang w:eastAsia="ar-SA"/>
        </w:rPr>
        <w:t>el  13 de marzo de 2017, en alcance a la Solicitud de Cumplimiento, la U de G exhibe información adicional.</w:t>
      </w:r>
    </w:p>
    <w:p w14:paraId="729CC97A" w14:textId="77777777" w:rsidR="005179B5" w:rsidRDefault="004B5CCF" w:rsidP="005179B5">
      <w:pPr>
        <w:numPr>
          <w:ilvl w:val="0"/>
          <w:numId w:val="5"/>
        </w:numPr>
        <w:spacing w:afterLines="120" w:after="288"/>
        <w:ind w:left="502"/>
        <w:jc w:val="both"/>
        <w:rPr>
          <w:rFonts w:ascii="ITC Avant Garde" w:hAnsi="ITC Avant Garde"/>
          <w:lang w:eastAsia="es-MX"/>
        </w:rPr>
      </w:pPr>
      <w:r w:rsidRPr="00F82EAB">
        <w:rPr>
          <w:rFonts w:ascii="ITC Avant Garde" w:hAnsi="ITC Avant Garde" w:cs="Arial"/>
          <w:b/>
          <w:kern w:val="1"/>
          <w:lang w:eastAsia="ar-SA"/>
        </w:rPr>
        <w:t xml:space="preserve">Requerimiento de Información. </w:t>
      </w:r>
      <w:r w:rsidRPr="00F82EAB">
        <w:rPr>
          <w:rFonts w:ascii="ITC Avant Garde" w:hAnsi="ITC Avant Garde" w:cs="Arial"/>
          <w:kern w:val="1"/>
          <w:lang w:eastAsia="ar-SA"/>
        </w:rPr>
        <w:t>A través del oficio IFT/223/UCS/690/2017,</w:t>
      </w:r>
      <w:r w:rsidR="0025511C" w:rsidRPr="00F82EAB">
        <w:rPr>
          <w:rFonts w:ascii="ITC Avant Garde" w:hAnsi="ITC Avant Garde" w:cs="Arial"/>
          <w:kern w:val="1"/>
          <w:lang w:eastAsia="ar-SA"/>
        </w:rPr>
        <w:t xml:space="preserve"> notificado al concesionario el 9 de mayo de 2017,</w:t>
      </w:r>
      <w:r w:rsidRPr="00F82EAB">
        <w:rPr>
          <w:rFonts w:ascii="ITC Avant Garde" w:hAnsi="ITC Avant Garde" w:cs="Arial"/>
          <w:kern w:val="1"/>
          <w:lang w:eastAsia="ar-SA"/>
        </w:rPr>
        <w:t xml:space="preserve"> la</w:t>
      </w:r>
      <w:r w:rsidR="00726710" w:rsidRPr="00F82EAB">
        <w:rPr>
          <w:rFonts w:ascii="ITC Avant Garde" w:hAnsi="ITC Avant Garde" w:cs="Arial"/>
          <w:kern w:val="1"/>
          <w:lang w:eastAsia="ar-SA"/>
        </w:rPr>
        <w:t xml:space="preserve"> Unidad de Concesiones y Servicios (en lo sucesivo la “UCS”)</w:t>
      </w:r>
      <w:r w:rsidR="00D773FC" w:rsidRPr="00F82EAB">
        <w:rPr>
          <w:rFonts w:ascii="ITC Avant Garde" w:hAnsi="ITC Avant Garde" w:cs="Arial"/>
          <w:kern w:val="1"/>
          <w:lang w:eastAsia="ar-SA"/>
        </w:rPr>
        <w:t xml:space="preserve"> del Instituto</w:t>
      </w:r>
      <w:r w:rsidRPr="00F82EAB">
        <w:rPr>
          <w:rFonts w:ascii="ITC Avant Garde" w:hAnsi="ITC Avant Garde" w:cs="Arial"/>
          <w:kern w:val="1"/>
          <w:lang w:eastAsia="ar-SA"/>
        </w:rPr>
        <w:t xml:space="preserve">, requirió a la </w:t>
      </w:r>
      <w:r w:rsidR="000D4985" w:rsidRPr="00F82EAB">
        <w:rPr>
          <w:rFonts w:ascii="ITC Avant Garde" w:hAnsi="ITC Avant Garde" w:cs="Arial"/>
          <w:kern w:val="1"/>
          <w:lang w:eastAsia="ar-SA"/>
        </w:rPr>
        <w:t xml:space="preserve">U </w:t>
      </w:r>
      <w:r w:rsidR="003F0C0D" w:rsidRPr="00F82EAB">
        <w:rPr>
          <w:rFonts w:ascii="ITC Avant Garde" w:hAnsi="ITC Avant Garde" w:cs="Arial"/>
          <w:kern w:val="1"/>
          <w:lang w:eastAsia="ar-SA"/>
        </w:rPr>
        <w:t>de</w:t>
      </w:r>
      <w:r w:rsidR="000D4985" w:rsidRPr="00F82EAB">
        <w:rPr>
          <w:rFonts w:ascii="ITC Avant Garde" w:hAnsi="ITC Avant Garde" w:cs="Arial"/>
          <w:kern w:val="1"/>
          <w:lang w:eastAsia="ar-SA"/>
        </w:rPr>
        <w:t xml:space="preserve"> G</w:t>
      </w:r>
      <w:r w:rsidRPr="00F82EAB">
        <w:rPr>
          <w:rFonts w:ascii="ITC Avant Garde" w:hAnsi="ITC Avant Garde" w:cs="Arial"/>
          <w:kern w:val="1"/>
          <w:lang w:eastAsia="ar-SA"/>
        </w:rPr>
        <w:t xml:space="preserve">, </w:t>
      </w:r>
      <w:r w:rsidR="003C7DD6" w:rsidRPr="00565BC2">
        <w:rPr>
          <w:rFonts w:ascii="ITC Avant Garde" w:hAnsi="ITC Avant Garde" w:cs="Arial"/>
          <w:kern w:val="1"/>
          <w:lang w:eastAsia="ar-SA"/>
        </w:rPr>
        <w:t xml:space="preserve">diversa información complementaria, lo anterior con objeto de que se encontrara debidamente </w:t>
      </w:r>
      <w:r w:rsidR="00D773FC" w:rsidRPr="00F82EAB">
        <w:rPr>
          <w:rFonts w:ascii="ITC Avant Garde" w:hAnsi="ITC Avant Garde" w:cs="Arial"/>
          <w:kern w:val="1"/>
          <w:lang w:eastAsia="ar-SA"/>
        </w:rPr>
        <w:t>integrada la Solicitud de Cumplimiento.</w:t>
      </w:r>
    </w:p>
    <w:p w14:paraId="4C541A88" w14:textId="77777777" w:rsidR="005179B5" w:rsidRDefault="004B5CCF" w:rsidP="005179B5">
      <w:pPr>
        <w:numPr>
          <w:ilvl w:val="0"/>
          <w:numId w:val="5"/>
        </w:numPr>
        <w:spacing w:afterLines="120" w:after="288"/>
        <w:ind w:left="502"/>
        <w:jc w:val="both"/>
        <w:rPr>
          <w:rFonts w:ascii="ITC Avant Garde" w:hAnsi="ITC Avant Garde" w:cs="Arial"/>
          <w:kern w:val="1"/>
          <w:lang w:eastAsia="ar-SA"/>
        </w:rPr>
      </w:pPr>
      <w:r w:rsidRPr="00F82EAB">
        <w:rPr>
          <w:rFonts w:ascii="ITC Avant Garde" w:hAnsi="ITC Avant Garde" w:cs="Arial"/>
          <w:b/>
          <w:kern w:val="1"/>
          <w:lang w:eastAsia="ar-SA"/>
        </w:rPr>
        <w:t xml:space="preserve">Atención al Requerimiento de Información. </w:t>
      </w:r>
      <w:r w:rsidR="003C7DD6" w:rsidRPr="00565BC2">
        <w:rPr>
          <w:rFonts w:ascii="ITC Avant Garde" w:hAnsi="ITC Avant Garde" w:cs="Arial"/>
          <w:kern w:val="1"/>
          <w:lang w:eastAsia="ar-SA"/>
        </w:rPr>
        <w:t>La U de G a través del</w:t>
      </w:r>
      <w:r w:rsidR="00A63658" w:rsidRPr="00F82EAB">
        <w:rPr>
          <w:rFonts w:ascii="ITC Avant Garde" w:hAnsi="ITC Avant Garde" w:cs="Arial"/>
          <w:kern w:val="1"/>
          <w:lang w:eastAsia="ar-SA"/>
        </w:rPr>
        <w:t xml:space="preserve"> escrito </w:t>
      </w:r>
      <w:r w:rsidR="00D773FC" w:rsidRPr="00F82EAB">
        <w:rPr>
          <w:rFonts w:ascii="ITC Avant Garde" w:hAnsi="ITC Avant Garde" w:cs="Arial"/>
          <w:kern w:val="1"/>
          <w:lang w:eastAsia="ar-SA"/>
        </w:rPr>
        <w:t>ingresado</w:t>
      </w:r>
      <w:r w:rsidRPr="00F82EAB">
        <w:rPr>
          <w:rFonts w:ascii="ITC Avant Garde" w:hAnsi="ITC Avant Garde" w:cs="Arial"/>
          <w:kern w:val="1"/>
          <w:lang w:eastAsia="ar-SA"/>
        </w:rPr>
        <w:t xml:space="preserve"> </w:t>
      </w:r>
      <w:r w:rsidR="00A63658" w:rsidRPr="00F82EAB">
        <w:rPr>
          <w:rFonts w:ascii="ITC Avant Garde" w:hAnsi="ITC Avant Garde" w:cs="Arial"/>
          <w:kern w:val="1"/>
          <w:lang w:eastAsia="ar-SA"/>
        </w:rPr>
        <w:t>e</w:t>
      </w:r>
      <w:r w:rsidR="0025511C" w:rsidRPr="00F82EAB">
        <w:rPr>
          <w:rFonts w:ascii="ITC Avant Garde" w:hAnsi="ITC Avant Garde" w:cs="Arial"/>
          <w:kern w:val="1"/>
          <w:lang w:eastAsia="ar-SA"/>
        </w:rPr>
        <w:t>l día 6 de junio</w:t>
      </w:r>
      <w:r w:rsidR="003C7DD6" w:rsidRPr="00F82EAB">
        <w:rPr>
          <w:rFonts w:ascii="ITC Avant Garde" w:hAnsi="ITC Avant Garde" w:cs="Arial"/>
          <w:kern w:val="1"/>
          <w:lang w:eastAsia="ar-SA"/>
        </w:rPr>
        <w:t xml:space="preserve"> de 2017</w:t>
      </w:r>
      <w:r w:rsidR="0025511C" w:rsidRPr="00F82EAB">
        <w:rPr>
          <w:rFonts w:ascii="ITC Avant Garde" w:hAnsi="ITC Avant Garde" w:cs="Arial"/>
          <w:kern w:val="1"/>
          <w:lang w:eastAsia="ar-SA"/>
        </w:rPr>
        <w:t xml:space="preserve">, </w:t>
      </w:r>
      <w:r w:rsidR="003C7DD6" w:rsidRPr="00F82EAB">
        <w:rPr>
          <w:rFonts w:ascii="ITC Avant Garde" w:hAnsi="ITC Avant Garde" w:cs="Arial"/>
          <w:kern w:val="1"/>
          <w:lang w:eastAsia="ar-SA"/>
        </w:rPr>
        <w:t>presentó la información y documentación adicional en cumplimiento al requerimiento a que se refiere el Antecedente IX de la presente Resolución.</w:t>
      </w:r>
    </w:p>
    <w:p w14:paraId="13371741" w14:textId="03EA3DDE" w:rsidR="00465B18" w:rsidRPr="00F82EAB" w:rsidRDefault="00A06BBB" w:rsidP="005179B5">
      <w:pPr>
        <w:numPr>
          <w:ilvl w:val="0"/>
          <w:numId w:val="5"/>
        </w:numPr>
        <w:spacing w:afterLines="120" w:after="288"/>
        <w:ind w:left="502"/>
        <w:jc w:val="both"/>
        <w:rPr>
          <w:rFonts w:ascii="ITC Avant Garde" w:hAnsi="ITC Avant Garde"/>
          <w:lang w:eastAsia="ar-SA"/>
        </w:rPr>
      </w:pPr>
      <w:r w:rsidRPr="00F82EAB">
        <w:rPr>
          <w:rFonts w:ascii="ITC Avant Garde" w:hAnsi="ITC Avant Garde" w:cs="Arial"/>
          <w:b/>
          <w:kern w:val="1"/>
          <w:lang w:eastAsia="ar-SA"/>
        </w:rPr>
        <w:t>Alcance</w:t>
      </w:r>
      <w:r w:rsidR="00AF11C0" w:rsidRPr="00F82EAB">
        <w:rPr>
          <w:rFonts w:ascii="ITC Avant Garde" w:hAnsi="ITC Avant Garde" w:cs="Arial"/>
          <w:b/>
          <w:kern w:val="1"/>
          <w:lang w:eastAsia="ar-SA"/>
        </w:rPr>
        <w:t>s</w:t>
      </w:r>
      <w:r w:rsidRPr="00F82EAB">
        <w:rPr>
          <w:rFonts w:ascii="ITC Avant Garde" w:hAnsi="ITC Avant Garde" w:cs="Arial"/>
          <w:b/>
          <w:kern w:val="1"/>
          <w:lang w:eastAsia="ar-SA"/>
        </w:rPr>
        <w:t xml:space="preserve"> a la Solicitud de Cumplimiento.</w:t>
      </w:r>
      <w:r w:rsidRPr="00565BC2">
        <w:rPr>
          <w:rFonts w:ascii="ITC Avant Garde" w:hAnsi="ITC Avant Garde" w:cs="Arial"/>
          <w:kern w:val="1"/>
          <w:lang w:eastAsia="ar-SA"/>
        </w:rPr>
        <w:t xml:space="preserve"> </w:t>
      </w:r>
      <w:r w:rsidR="00AF11C0" w:rsidRPr="00565BC2">
        <w:rPr>
          <w:rFonts w:ascii="ITC Avant Garde" w:hAnsi="ITC Avant Garde" w:cs="Arial"/>
          <w:kern w:val="1"/>
          <w:lang w:eastAsia="ar-SA"/>
        </w:rPr>
        <w:t>L</w:t>
      </w:r>
      <w:r w:rsidR="00465B18" w:rsidRPr="00F82EAB">
        <w:rPr>
          <w:rFonts w:ascii="ITC Avant Garde" w:hAnsi="ITC Avant Garde" w:cs="Arial"/>
          <w:kern w:val="1"/>
          <w:lang w:eastAsia="ar-SA"/>
        </w:rPr>
        <w:t xml:space="preserve">a U de G solicitó tener por presentada </w:t>
      </w:r>
      <w:r w:rsidR="00A8282D" w:rsidRPr="00F82EAB">
        <w:rPr>
          <w:rFonts w:ascii="ITC Avant Garde" w:hAnsi="ITC Avant Garde" w:cs="Arial"/>
          <w:kern w:val="1"/>
          <w:lang w:eastAsia="ar-SA"/>
        </w:rPr>
        <w:t>en los términos del escrito referido en el Antecedente VII de la presente Resolución,</w:t>
      </w:r>
      <w:r w:rsidR="00A8282D" w:rsidRPr="00F82EAB">
        <w:rPr>
          <w:rFonts w:ascii="ITC Avant Garde" w:hAnsi="ITC Avant Garde"/>
          <w:lang w:eastAsia="ar-SA"/>
        </w:rPr>
        <w:t xml:space="preserve"> </w:t>
      </w:r>
      <w:r w:rsidR="00465B18" w:rsidRPr="00F82EAB">
        <w:rPr>
          <w:rFonts w:ascii="ITC Avant Garde" w:hAnsi="ITC Avant Garde" w:cs="Arial"/>
          <w:kern w:val="1"/>
          <w:lang w:eastAsia="ar-SA"/>
        </w:rPr>
        <w:t xml:space="preserve">la Solicitud de Cumplimiento </w:t>
      </w:r>
      <w:r w:rsidR="00A8282D" w:rsidRPr="00F82EAB">
        <w:rPr>
          <w:rFonts w:ascii="ITC Avant Garde" w:hAnsi="ITC Avant Garde"/>
          <w:lang w:eastAsia="ar-SA"/>
        </w:rPr>
        <w:t xml:space="preserve">a lo señalado por la Condición 12 de los </w:t>
      </w:r>
      <w:r w:rsidR="00AF11C0" w:rsidRPr="00F82EAB">
        <w:rPr>
          <w:rFonts w:ascii="ITC Avant Garde" w:hAnsi="ITC Avant Garde"/>
          <w:lang w:eastAsia="ar-SA"/>
        </w:rPr>
        <w:t xml:space="preserve">4 (cuatro) </w:t>
      </w:r>
      <w:r w:rsidR="00A8282D" w:rsidRPr="00F82EAB">
        <w:rPr>
          <w:rFonts w:ascii="ITC Avant Garde" w:hAnsi="ITC Avant Garde"/>
          <w:lang w:eastAsia="ar-SA"/>
        </w:rPr>
        <w:t>Títulos de Concesión para usar y aprovechar bandas de frecuencias del espectro radioeléctrico para uso público</w:t>
      </w:r>
      <w:r w:rsidR="00465B18" w:rsidRPr="00F82EAB">
        <w:rPr>
          <w:rFonts w:ascii="ITC Avant Garde" w:hAnsi="ITC Avant Garde" w:cs="Arial"/>
          <w:kern w:val="1"/>
          <w:lang w:eastAsia="ar-SA"/>
        </w:rPr>
        <w:t xml:space="preserve"> </w:t>
      </w:r>
      <w:r w:rsidR="00A8282D" w:rsidRPr="00F82EAB">
        <w:rPr>
          <w:rFonts w:ascii="ITC Avant Garde" w:hAnsi="ITC Avant Garde" w:cs="Arial"/>
          <w:kern w:val="1"/>
          <w:lang w:eastAsia="ar-SA"/>
        </w:rPr>
        <w:t xml:space="preserve">de las </w:t>
      </w:r>
      <w:r w:rsidR="00465B18" w:rsidRPr="00F82EAB">
        <w:rPr>
          <w:rFonts w:ascii="ITC Avant Garde" w:hAnsi="ITC Avant Garde"/>
          <w:lang w:eastAsia="ar-SA"/>
        </w:rPr>
        <w:t>estaciones de radio</w:t>
      </w:r>
      <w:r w:rsidR="00AF11C0" w:rsidRPr="00F82EAB">
        <w:rPr>
          <w:rFonts w:ascii="ITC Avant Garde" w:hAnsi="ITC Avant Garde"/>
          <w:lang w:eastAsia="ar-SA"/>
        </w:rPr>
        <w:t xml:space="preserve"> referidas en el Antecedente VI de esta Resolución, mediante los escritos presentados en las siguientes fechas:</w:t>
      </w:r>
    </w:p>
    <w:tbl>
      <w:tblPr>
        <w:tblStyle w:val="Tablaconcuadrcula"/>
        <w:tblW w:w="8849" w:type="dxa"/>
        <w:jc w:val="center"/>
        <w:tblLayout w:type="fixed"/>
        <w:tblLook w:val="04A0" w:firstRow="1" w:lastRow="0" w:firstColumn="1" w:lastColumn="0" w:noHBand="0" w:noVBand="1"/>
        <w:tblCaption w:val="Alcances a la Solicitud de Cumplimiento"/>
        <w:tblDescription w:val="Tabla de 6 columnas que proporciona información respecto de las fechas en que se presento la solicitud de cumplimiento."/>
      </w:tblPr>
      <w:tblGrid>
        <w:gridCol w:w="486"/>
        <w:gridCol w:w="992"/>
        <w:gridCol w:w="1276"/>
        <w:gridCol w:w="1701"/>
        <w:gridCol w:w="1984"/>
        <w:gridCol w:w="2410"/>
      </w:tblGrid>
      <w:tr w:rsidR="00AF11C0" w:rsidRPr="00565BC2" w14:paraId="6229ED5E" w14:textId="77777777" w:rsidTr="00743DF6">
        <w:trPr>
          <w:tblHeader/>
          <w:jc w:val="center"/>
        </w:trPr>
        <w:tc>
          <w:tcPr>
            <w:tcW w:w="486" w:type="dxa"/>
          </w:tcPr>
          <w:p w14:paraId="203107BC" w14:textId="77777777" w:rsidR="00AF11C0" w:rsidRPr="00F82EAB" w:rsidRDefault="00AF11C0"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No.</w:t>
            </w:r>
          </w:p>
        </w:tc>
        <w:tc>
          <w:tcPr>
            <w:tcW w:w="992" w:type="dxa"/>
          </w:tcPr>
          <w:p w14:paraId="14027651" w14:textId="77777777" w:rsidR="00AF11C0" w:rsidRPr="00F82EAB" w:rsidRDefault="00AF11C0"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Distintivo</w:t>
            </w:r>
          </w:p>
        </w:tc>
        <w:tc>
          <w:tcPr>
            <w:tcW w:w="1276" w:type="dxa"/>
          </w:tcPr>
          <w:p w14:paraId="3D81ABB0" w14:textId="77777777" w:rsidR="00AF11C0" w:rsidRPr="00F82EAB" w:rsidRDefault="00AF11C0"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Servicio</w:t>
            </w:r>
          </w:p>
        </w:tc>
        <w:tc>
          <w:tcPr>
            <w:tcW w:w="1701" w:type="dxa"/>
          </w:tcPr>
          <w:p w14:paraId="32A4437F" w14:textId="77777777" w:rsidR="00AF11C0" w:rsidRPr="00F82EAB" w:rsidRDefault="00AF11C0"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Frecuencia</w:t>
            </w:r>
          </w:p>
        </w:tc>
        <w:tc>
          <w:tcPr>
            <w:tcW w:w="1984" w:type="dxa"/>
          </w:tcPr>
          <w:p w14:paraId="62BE40B1" w14:textId="77777777" w:rsidR="00AF11C0" w:rsidRPr="00F82EAB" w:rsidDel="008A3EAE" w:rsidRDefault="00AF11C0"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Población</w:t>
            </w:r>
          </w:p>
        </w:tc>
        <w:tc>
          <w:tcPr>
            <w:tcW w:w="2410" w:type="dxa"/>
          </w:tcPr>
          <w:p w14:paraId="101A75E8" w14:textId="02B18D4B" w:rsidR="00AF11C0" w:rsidRPr="00F82EAB" w:rsidRDefault="00AF11C0" w:rsidP="00315B9B">
            <w:pPr>
              <w:spacing w:afterLines="50" w:after="120" w:line="240" w:lineRule="auto"/>
              <w:jc w:val="center"/>
              <w:rPr>
                <w:rFonts w:ascii="ITC Avant Garde" w:hAnsi="ITC Avant Garde"/>
                <w:b/>
                <w:sz w:val="16"/>
                <w:szCs w:val="16"/>
              </w:rPr>
            </w:pPr>
            <w:r w:rsidRPr="00F82EAB">
              <w:rPr>
                <w:rFonts w:ascii="ITC Avant Garde" w:hAnsi="ITC Avant Garde"/>
                <w:b/>
                <w:sz w:val="16"/>
                <w:szCs w:val="16"/>
              </w:rPr>
              <w:t>Fecha de Presentación</w:t>
            </w:r>
          </w:p>
        </w:tc>
      </w:tr>
      <w:tr w:rsidR="00AF11C0" w:rsidRPr="00565BC2" w14:paraId="5F03B811" w14:textId="77777777" w:rsidTr="00315B9B">
        <w:trPr>
          <w:jc w:val="center"/>
        </w:trPr>
        <w:tc>
          <w:tcPr>
            <w:tcW w:w="486" w:type="dxa"/>
          </w:tcPr>
          <w:p w14:paraId="7D840FCD"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w:t>
            </w:r>
          </w:p>
        </w:tc>
        <w:tc>
          <w:tcPr>
            <w:tcW w:w="992" w:type="dxa"/>
          </w:tcPr>
          <w:p w14:paraId="4E5F37D0"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XHUGO</w:t>
            </w:r>
          </w:p>
        </w:tc>
        <w:tc>
          <w:tcPr>
            <w:tcW w:w="1276" w:type="dxa"/>
          </w:tcPr>
          <w:p w14:paraId="35ED08A5"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1701" w:type="dxa"/>
          </w:tcPr>
          <w:p w14:paraId="617172DD"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107.9 MHz</w:t>
            </w:r>
          </w:p>
        </w:tc>
        <w:tc>
          <w:tcPr>
            <w:tcW w:w="1984" w:type="dxa"/>
          </w:tcPr>
          <w:p w14:paraId="585068B7" w14:textId="77777777" w:rsidR="00AF11C0" w:rsidRPr="00F82EAB" w:rsidDel="008A3EAE"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Ocotlán</w:t>
            </w:r>
          </w:p>
        </w:tc>
        <w:tc>
          <w:tcPr>
            <w:tcW w:w="2410" w:type="dxa"/>
          </w:tcPr>
          <w:p w14:paraId="43779E61" w14:textId="61B62758" w:rsidR="00AF11C0" w:rsidRPr="00F82EAB" w:rsidDel="008A3EAE"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11-jul-2017</w:t>
            </w:r>
          </w:p>
        </w:tc>
      </w:tr>
      <w:tr w:rsidR="00AF11C0" w:rsidRPr="00565BC2" w14:paraId="1AA955E6" w14:textId="77777777" w:rsidTr="00315B9B">
        <w:trPr>
          <w:jc w:val="center"/>
        </w:trPr>
        <w:tc>
          <w:tcPr>
            <w:tcW w:w="486" w:type="dxa"/>
          </w:tcPr>
          <w:p w14:paraId="2CB9534C"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2</w:t>
            </w:r>
          </w:p>
        </w:tc>
        <w:tc>
          <w:tcPr>
            <w:tcW w:w="992" w:type="dxa"/>
          </w:tcPr>
          <w:p w14:paraId="5CBD4C65"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XHUGL</w:t>
            </w:r>
          </w:p>
        </w:tc>
        <w:tc>
          <w:tcPr>
            <w:tcW w:w="1276" w:type="dxa"/>
          </w:tcPr>
          <w:p w14:paraId="6528AAF6"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1701" w:type="dxa"/>
          </w:tcPr>
          <w:p w14:paraId="64338B43"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104.7 MHz</w:t>
            </w:r>
          </w:p>
        </w:tc>
        <w:tc>
          <w:tcPr>
            <w:tcW w:w="1984" w:type="dxa"/>
          </w:tcPr>
          <w:p w14:paraId="287278C3" w14:textId="77777777" w:rsidR="00AF11C0" w:rsidRPr="00F82EAB" w:rsidDel="008A3EAE"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Lagos de Moreno</w:t>
            </w:r>
          </w:p>
        </w:tc>
        <w:tc>
          <w:tcPr>
            <w:tcW w:w="2410" w:type="dxa"/>
          </w:tcPr>
          <w:p w14:paraId="7F668280" w14:textId="1DA410EA" w:rsidR="00AF11C0" w:rsidRPr="00F82EAB" w:rsidDel="008A3EAE"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11-jul-2017</w:t>
            </w:r>
          </w:p>
        </w:tc>
      </w:tr>
      <w:tr w:rsidR="00AF11C0" w:rsidRPr="00565BC2" w14:paraId="0338B430" w14:textId="77777777" w:rsidTr="00315B9B">
        <w:trPr>
          <w:jc w:val="center"/>
        </w:trPr>
        <w:tc>
          <w:tcPr>
            <w:tcW w:w="486" w:type="dxa"/>
          </w:tcPr>
          <w:p w14:paraId="6D511385"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lastRenderedPageBreak/>
              <w:t>3</w:t>
            </w:r>
          </w:p>
        </w:tc>
        <w:tc>
          <w:tcPr>
            <w:tcW w:w="992" w:type="dxa"/>
          </w:tcPr>
          <w:p w14:paraId="5A66D3A5"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XHUGA</w:t>
            </w:r>
          </w:p>
        </w:tc>
        <w:tc>
          <w:tcPr>
            <w:tcW w:w="1276" w:type="dxa"/>
          </w:tcPr>
          <w:p w14:paraId="35D2445F"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1701" w:type="dxa"/>
          </w:tcPr>
          <w:p w14:paraId="5E95CBC6"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105.5 MHz</w:t>
            </w:r>
          </w:p>
        </w:tc>
        <w:tc>
          <w:tcPr>
            <w:tcW w:w="1984" w:type="dxa"/>
          </w:tcPr>
          <w:p w14:paraId="33B74DE9" w14:textId="77777777" w:rsidR="00AF11C0" w:rsidRPr="00F82EAB" w:rsidDel="008A3EAE"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Ameca</w:t>
            </w:r>
          </w:p>
        </w:tc>
        <w:tc>
          <w:tcPr>
            <w:tcW w:w="2410" w:type="dxa"/>
          </w:tcPr>
          <w:p w14:paraId="74087335" w14:textId="3A29AFFC" w:rsidR="00AF11C0" w:rsidRPr="00F82EAB" w:rsidDel="008A3EAE"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14-sept-17</w:t>
            </w:r>
          </w:p>
        </w:tc>
      </w:tr>
      <w:tr w:rsidR="00AF11C0" w:rsidRPr="00565BC2" w14:paraId="1818E9A8" w14:textId="77777777" w:rsidTr="00315B9B">
        <w:trPr>
          <w:jc w:val="center"/>
        </w:trPr>
        <w:tc>
          <w:tcPr>
            <w:tcW w:w="486" w:type="dxa"/>
          </w:tcPr>
          <w:p w14:paraId="316559B3"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4</w:t>
            </w:r>
          </w:p>
        </w:tc>
        <w:tc>
          <w:tcPr>
            <w:tcW w:w="992" w:type="dxa"/>
          </w:tcPr>
          <w:p w14:paraId="182EEDB7"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XHUGC</w:t>
            </w:r>
          </w:p>
        </w:tc>
        <w:tc>
          <w:tcPr>
            <w:tcW w:w="1276" w:type="dxa"/>
          </w:tcPr>
          <w:p w14:paraId="5B624D1C"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FM</w:t>
            </w:r>
          </w:p>
        </w:tc>
        <w:tc>
          <w:tcPr>
            <w:tcW w:w="1701" w:type="dxa"/>
          </w:tcPr>
          <w:p w14:paraId="65351DE3" w14:textId="77777777" w:rsidR="00AF11C0" w:rsidRPr="00F82EAB"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104.7 MHZ</w:t>
            </w:r>
          </w:p>
        </w:tc>
        <w:tc>
          <w:tcPr>
            <w:tcW w:w="1984" w:type="dxa"/>
          </w:tcPr>
          <w:p w14:paraId="41C86AD3" w14:textId="77777777" w:rsidR="00AF11C0" w:rsidRPr="00F82EAB" w:rsidDel="008A3EAE" w:rsidRDefault="00AF11C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Colotlán</w:t>
            </w:r>
          </w:p>
        </w:tc>
        <w:tc>
          <w:tcPr>
            <w:tcW w:w="2410" w:type="dxa"/>
          </w:tcPr>
          <w:p w14:paraId="4891AFFA" w14:textId="5E838E70" w:rsidR="00AF11C0" w:rsidRPr="00F82EAB" w:rsidDel="008A3EAE" w:rsidRDefault="00CF2870" w:rsidP="00315B9B">
            <w:pPr>
              <w:spacing w:afterLines="50" w:after="120" w:line="240" w:lineRule="auto"/>
              <w:jc w:val="center"/>
              <w:rPr>
                <w:rFonts w:ascii="ITC Avant Garde" w:hAnsi="ITC Avant Garde"/>
                <w:sz w:val="16"/>
                <w:szCs w:val="16"/>
              </w:rPr>
            </w:pPr>
            <w:r w:rsidRPr="00F82EAB">
              <w:rPr>
                <w:rFonts w:ascii="ITC Avant Garde" w:hAnsi="ITC Avant Garde"/>
                <w:sz w:val="16"/>
                <w:szCs w:val="16"/>
              </w:rPr>
              <w:t>8-nov-17</w:t>
            </w:r>
          </w:p>
        </w:tc>
      </w:tr>
    </w:tbl>
    <w:p w14:paraId="4F02C89F" w14:textId="77777777" w:rsidR="005179B5" w:rsidRDefault="007C15D0" w:rsidP="00315B9B">
      <w:pPr>
        <w:pStyle w:val="Prrafodelista"/>
        <w:numPr>
          <w:ilvl w:val="0"/>
          <w:numId w:val="5"/>
        </w:numPr>
        <w:spacing w:before="360" w:afterLines="120" w:after="288" w:line="276" w:lineRule="auto"/>
        <w:ind w:left="426" w:hanging="284"/>
        <w:jc w:val="both"/>
        <w:rPr>
          <w:rFonts w:ascii="ITC Avant Garde" w:hAnsi="ITC Avant Garde" w:cs="Arial"/>
          <w:kern w:val="1"/>
          <w:sz w:val="22"/>
          <w:szCs w:val="22"/>
          <w:lang w:eastAsia="ar-SA"/>
        </w:rPr>
      </w:pPr>
      <w:r w:rsidRPr="006C20FF">
        <w:rPr>
          <w:rFonts w:ascii="ITC Avant Garde" w:hAnsi="ITC Avant Garde" w:cs="Arial"/>
          <w:b/>
          <w:kern w:val="1"/>
          <w:sz w:val="22"/>
          <w:szCs w:val="22"/>
          <w:lang w:eastAsia="ar-SA"/>
        </w:rPr>
        <w:t>Segundo y Tercer Alcance de Información</w:t>
      </w:r>
      <w:r w:rsidR="00871182" w:rsidRPr="006C20FF">
        <w:rPr>
          <w:rFonts w:ascii="ITC Avant Garde" w:eastAsia="Calibri" w:hAnsi="ITC Avant Garde" w:cs="Arial"/>
          <w:kern w:val="1"/>
          <w:sz w:val="22"/>
          <w:szCs w:val="22"/>
          <w:lang w:eastAsia="ar-SA"/>
        </w:rPr>
        <w:t xml:space="preserve">. </w:t>
      </w:r>
      <w:r w:rsidRPr="006C20FF">
        <w:rPr>
          <w:rFonts w:ascii="ITC Avant Garde" w:eastAsia="Calibri" w:hAnsi="ITC Avant Garde" w:cs="Arial"/>
          <w:kern w:val="1"/>
          <w:sz w:val="22"/>
          <w:szCs w:val="22"/>
          <w:lang w:eastAsia="ar-SA"/>
        </w:rPr>
        <w:t>La U de G por</w:t>
      </w:r>
      <w:r w:rsidR="00871182" w:rsidRPr="006C20FF">
        <w:rPr>
          <w:rFonts w:ascii="ITC Avant Garde" w:eastAsia="Calibri" w:hAnsi="ITC Avant Garde" w:cs="Arial"/>
          <w:kern w:val="1"/>
          <w:sz w:val="22"/>
          <w:szCs w:val="22"/>
          <w:lang w:eastAsia="ar-SA"/>
        </w:rPr>
        <w:t xml:space="preserve"> escrito</w:t>
      </w:r>
      <w:r w:rsidRPr="006C20FF">
        <w:rPr>
          <w:rFonts w:ascii="ITC Avant Garde" w:eastAsia="Calibri" w:hAnsi="ITC Avant Garde" w:cs="Arial"/>
          <w:kern w:val="1"/>
          <w:sz w:val="22"/>
          <w:szCs w:val="22"/>
          <w:lang w:eastAsia="ar-SA"/>
        </w:rPr>
        <w:t>s</w:t>
      </w:r>
      <w:r w:rsidR="00871182" w:rsidRPr="006C20FF">
        <w:rPr>
          <w:rFonts w:ascii="ITC Avant Garde" w:eastAsia="Calibri" w:hAnsi="ITC Avant Garde" w:cs="Arial"/>
          <w:kern w:val="1"/>
          <w:sz w:val="22"/>
          <w:szCs w:val="22"/>
          <w:lang w:eastAsia="ar-SA"/>
        </w:rPr>
        <w:t xml:space="preserve"> presentados ante el Instituto los días </w:t>
      </w:r>
      <w:r w:rsidR="005C70C4" w:rsidRPr="006C20FF">
        <w:rPr>
          <w:rFonts w:ascii="ITC Avant Garde" w:eastAsia="Calibri" w:hAnsi="ITC Avant Garde" w:cs="Arial"/>
          <w:kern w:val="1"/>
          <w:sz w:val="22"/>
          <w:szCs w:val="22"/>
          <w:lang w:eastAsia="ar-SA"/>
        </w:rPr>
        <w:t>27</w:t>
      </w:r>
      <w:r w:rsidR="00871182" w:rsidRPr="006C20FF">
        <w:rPr>
          <w:rFonts w:ascii="ITC Avant Garde" w:eastAsia="Calibri" w:hAnsi="ITC Avant Garde" w:cs="Arial"/>
          <w:kern w:val="1"/>
          <w:sz w:val="22"/>
          <w:szCs w:val="22"/>
          <w:lang w:eastAsia="ar-SA"/>
        </w:rPr>
        <w:t xml:space="preserve"> de </w:t>
      </w:r>
      <w:r w:rsidR="005C70C4" w:rsidRPr="006C20FF">
        <w:rPr>
          <w:rFonts w:ascii="ITC Avant Garde" w:eastAsia="Calibri" w:hAnsi="ITC Avant Garde" w:cs="Arial"/>
          <w:kern w:val="1"/>
          <w:sz w:val="22"/>
          <w:szCs w:val="22"/>
          <w:lang w:eastAsia="ar-SA"/>
        </w:rPr>
        <w:t>octubre y</w:t>
      </w:r>
      <w:r w:rsidR="00871182" w:rsidRPr="006C20FF">
        <w:rPr>
          <w:rFonts w:ascii="ITC Avant Garde" w:eastAsia="Calibri" w:hAnsi="ITC Avant Garde" w:cs="Arial"/>
          <w:kern w:val="1"/>
          <w:sz w:val="22"/>
          <w:szCs w:val="22"/>
          <w:lang w:eastAsia="ar-SA"/>
        </w:rPr>
        <w:t xml:space="preserve"> </w:t>
      </w:r>
      <w:r w:rsidR="005C70C4" w:rsidRPr="006C20FF">
        <w:rPr>
          <w:rFonts w:ascii="ITC Avant Garde" w:eastAsia="Calibri" w:hAnsi="ITC Avant Garde" w:cs="Arial"/>
          <w:kern w:val="1"/>
          <w:sz w:val="22"/>
          <w:szCs w:val="22"/>
          <w:lang w:eastAsia="ar-SA"/>
        </w:rPr>
        <w:t>13</w:t>
      </w:r>
      <w:r w:rsidR="00871182" w:rsidRPr="006C20FF">
        <w:rPr>
          <w:rFonts w:ascii="ITC Avant Garde" w:eastAsia="Calibri" w:hAnsi="ITC Avant Garde" w:cs="Arial"/>
          <w:kern w:val="1"/>
          <w:sz w:val="22"/>
          <w:szCs w:val="22"/>
          <w:lang w:eastAsia="ar-SA"/>
        </w:rPr>
        <w:t xml:space="preserve"> de noviembre</w:t>
      </w:r>
      <w:r w:rsidR="005C70C4" w:rsidRPr="006C20FF">
        <w:rPr>
          <w:rFonts w:ascii="ITC Avant Garde" w:eastAsia="Calibri" w:hAnsi="ITC Avant Garde" w:cs="Arial"/>
          <w:kern w:val="1"/>
          <w:sz w:val="22"/>
          <w:szCs w:val="22"/>
          <w:lang w:eastAsia="ar-SA"/>
        </w:rPr>
        <w:t xml:space="preserve"> de 2017</w:t>
      </w:r>
      <w:r w:rsidRPr="006C20FF">
        <w:rPr>
          <w:rFonts w:ascii="ITC Avant Garde" w:eastAsia="Calibri" w:hAnsi="ITC Avant Garde" w:cs="Arial"/>
          <w:kern w:val="1"/>
          <w:sz w:val="22"/>
          <w:szCs w:val="22"/>
          <w:lang w:eastAsia="ar-SA"/>
        </w:rPr>
        <w:t>,</w:t>
      </w:r>
      <w:r w:rsidR="00AA45A4" w:rsidRPr="006C20FF">
        <w:rPr>
          <w:rFonts w:ascii="ITC Avant Garde" w:eastAsia="Calibri" w:hAnsi="ITC Avant Garde" w:cs="Arial"/>
          <w:kern w:val="1"/>
          <w:sz w:val="22"/>
          <w:szCs w:val="22"/>
          <w:lang w:eastAsia="ar-SA"/>
        </w:rPr>
        <w:t xml:space="preserve"> present</w:t>
      </w:r>
      <w:r w:rsidRPr="006C20FF">
        <w:rPr>
          <w:rFonts w:ascii="ITC Avant Garde" w:eastAsia="Calibri" w:hAnsi="ITC Avant Garde" w:cs="Arial"/>
          <w:kern w:val="1"/>
          <w:sz w:val="22"/>
          <w:szCs w:val="22"/>
          <w:lang w:eastAsia="ar-SA"/>
        </w:rPr>
        <w:t>ó</w:t>
      </w:r>
      <w:r w:rsidR="00871182" w:rsidRPr="006C20FF">
        <w:rPr>
          <w:rFonts w:ascii="ITC Avant Garde" w:eastAsia="Calibri" w:hAnsi="ITC Avant Garde" w:cs="Arial"/>
          <w:kern w:val="1"/>
          <w:sz w:val="22"/>
          <w:szCs w:val="22"/>
          <w:lang w:eastAsia="ar-SA"/>
        </w:rPr>
        <w:t xml:space="preserve"> información </w:t>
      </w:r>
      <w:r w:rsidRPr="006C20FF">
        <w:rPr>
          <w:rFonts w:ascii="ITC Avant Garde" w:eastAsia="Calibri" w:hAnsi="ITC Avant Garde" w:cs="Arial"/>
          <w:kern w:val="1"/>
          <w:sz w:val="22"/>
          <w:szCs w:val="22"/>
          <w:lang w:eastAsia="ar-SA"/>
        </w:rPr>
        <w:t>complementaria a efecto de integrar en su totalidad la Solicitud de Cumplimiento.</w:t>
      </w:r>
    </w:p>
    <w:p w14:paraId="370D315A" w14:textId="77777777" w:rsidR="005179B5" w:rsidRDefault="00697E95" w:rsidP="005179B5">
      <w:pPr>
        <w:spacing w:afterLines="120" w:after="288"/>
        <w:jc w:val="both"/>
        <w:rPr>
          <w:rFonts w:ascii="ITC Avant Garde" w:hAnsi="ITC Avant Garde" w:cs="Arial"/>
          <w:kern w:val="1"/>
          <w:lang w:eastAsia="ar-SA"/>
        </w:rPr>
      </w:pPr>
      <w:r w:rsidRPr="00F82EAB">
        <w:rPr>
          <w:rFonts w:ascii="ITC Avant Garde" w:hAnsi="ITC Avant Garde" w:cs="Arial"/>
          <w:kern w:val="1"/>
          <w:lang w:eastAsia="ar-SA"/>
        </w:rPr>
        <w:t>En virtud de los Antecedentes referidos y,</w:t>
      </w:r>
    </w:p>
    <w:p w14:paraId="617236C7" w14:textId="77777777" w:rsidR="005179B5" w:rsidRPr="00315B9B" w:rsidRDefault="00697E95" w:rsidP="00315B9B">
      <w:pPr>
        <w:pStyle w:val="Ttulo2"/>
        <w:spacing w:afterLines="100" w:after="240" w:line="276" w:lineRule="auto"/>
        <w:ind w:firstLine="0"/>
        <w:jc w:val="center"/>
        <w:rPr>
          <w:rFonts w:ascii="ITC Avant Garde" w:hAnsi="ITC Avant Garde" w:cs="Arial"/>
          <w:bCs/>
          <w:sz w:val="22"/>
          <w:szCs w:val="22"/>
          <w:lang w:eastAsia="en-US"/>
        </w:rPr>
      </w:pPr>
      <w:r w:rsidRPr="00315B9B">
        <w:rPr>
          <w:rFonts w:ascii="ITC Avant Garde" w:hAnsi="ITC Avant Garde" w:cs="Arial"/>
          <w:bCs/>
          <w:sz w:val="22"/>
          <w:szCs w:val="22"/>
          <w:lang w:eastAsia="en-US"/>
        </w:rPr>
        <w:t>CONSIDERANDO</w:t>
      </w:r>
    </w:p>
    <w:p w14:paraId="6F179B56" w14:textId="77777777" w:rsidR="005179B5" w:rsidRDefault="00697E95" w:rsidP="005179B5">
      <w:pPr>
        <w:autoSpaceDE w:val="0"/>
        <w:autoSpaceDN w:val="0"/>
        <w:adjustRightInd w:val="0"/>
        <w:spacing w:afterLines="120" w:after="288"/>
        <w:jc w:val="both"/>
        <w:rPr>
          <w:rFonts w:ascii="ITC Avant Garde" w:hAnsi="ITC Avant Garde"/>
          <w:bCs/>
          <w:lang w:val="es-ES"/>
        </w:rPr>
      </w:pPr>
      <w:r w:rsidRPr="00F82EAB">
        <w:rPr>
          <w:rFonts w:ascii="ITC Avant Garde" w:eastAsia="Times New Roman" w:hAnsi="ITC Avant Garde"/>
          <w:b/>
          <w:kern w:val="1"/>
          <w:lang w:val="es-ES" w:eastAsia="ar-SA"/>
        </w:rPr>
        <w:t>PRIMERO.</w:t>
      </w:r>
      <w:r w:rsidRPr="00F82EAB">
        <w:rPr>
          <w:rFonts w:ascii="ITC Avant Garde" w:hAnsi="ITC Avant Garde"/>
          <w:b/>
          <w:bCs/>
        </w:rPr>
        <w:t xml:space="preserve"> Ámbito Competencial. </w:t>
      </w:r>
      <w:r w:rsidRPr="00F82EAB">
        <w:rPr>
          <w:rFonts w:ascii="ITC Avant Garde" w:hAnsi="ITC Avant Garde"/>
          <w:bCs/>
        </w:rPr>
        <w:t>Conforme lo dispone el artículo 28, párrafos décimo quinto y décimo sexto de la Constitución,</w:t>
      </w:r>
      <w:r w:rsidR="00F337B7" w:rsidRPr="00F82EAB">
        <w:rPr>
          <w:rFonts w:ascii="ITC Avant Garde" w:hAnsi="ITC Avant Garde"/>
          <w:bCs/>
        </w:rPr>
        <w:t xml:space="preserve"> Política de los Estados Unidos Mexicanos (en lo sucesivo “la Constitución”),</w:t>
      </w:r>
      <w:r w:rsidRPr="00F82EAB">
        <w:rPr>
          <w:rFonts w:ascii="ITC Avant Garde" w:hAnsi="ITC Avant Garde"/>
          <w:bCs/>
        </w:rPr>
        <w:t xml:space="preserve"> e</w:t>
      </w:r>
      <w:r w:rsidRPr="00F82EAB">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17F2885F" w14:textId="77777777" w:rsidR="005179B5" w:rsidRDefault="00697E95" w:rsidP="005179B5">
      <w:pPr>
        <w:autoSpaceDE w:val="0"/>
        <w:autoSpaceDN w:val="0"/>
        <w:adjustRightInd w:val="0"/>
        <w:spacing w:afterLines="120" w:after="288"/>
        <w:jc w:val="both"/>
        <w:rPr>
          <w:rFonts w:ascii="ITC Avant Garde" w:hAnsi="ITC Avant Garde"/>
          <w:bCs/>
        </w:rPr>
      </w:pPr>
      <w:r w:rsidRPr="00F82EAB">
        <w:rPr>
          <w:rFonts w:ascii="ITC Avant Garde" w:hAnsi="ITC Avant Garde"/>
          <w:bCs/>
          <w:lang w:val="es-ES"/>
        </w:rPr>
        <w:t xml:space="preserve">Por su parte, el párrafo décimo séptimo del artículo 28 de la Constitución dispone que </w:t>
      </w:r>
      <w:r w:rsidRPr="00F82EAB">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14:paraId="4686DF60" w14:textId="77777777" w:rsidR="005179B5" w:rsidRDefault="00697E95" w:rsidP="005179B5">
      <w:pPr>
        <w:tabs>
          <w:tab w:val="left" w:pos="1418"/>
        </w:tabs>
        <w:autoSpaceDE w:val="0"/>
        <w:autoSpaceDN w:val="0"/>
        <w:adjustRightInd w:val="0"/>
        <w:spacing w:afterLines="120" w:after="288"/>
        <w:jc w:val="both"/>
        <w:rPr>
          <w:rFonts w:ascii="ITC Avant Garde" w:hAnsi="ITC Avant Garde"/>
          <w:bCs/>
        </w:rPr>
      </w:pPr>
      <w:r w:rsidRPr="00F82EAB">
        <w:rPr>
          <w:rFonts w:ascii="ITC Avant Garde" w:hAnsi="ITC Avant Garde"/>
          <w:bCs/>
        </w:rPr>
        <w:t>Asimismo, el 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542C4DC1" w14:textId="77777777" w:rsidR="005179B5" w:rsidRDefault="00697E95" w:rsidP="005179B5">
      <w:pPr>
        <w:autoSpaceDE w:val="0"/>
        <w:autoSpaceDN w:val="0"/>
        <w:adjustRightInd w:val="0"/>
        <w:spacing w:afterLines="120" w:after="288"/>
        <w:jc w:val="both"/>
        <w:rPr>
          <w:rFonts w:ascii="ITC Avant Garde" w:hAnsi="ITC Avant Garde" w:cs="Tahoma"/>
          <w:bCs/>
          <w:lang w:eastAsia="es-MX"/>
        </w:rPr>
      </w:pPr>
      <w:r w:rsidRPr="00F82EAB">
        <w:rPr>
          <w:rFonts w:ascii="ITC Avant Garde" w:hAnsi="ITC Avant Garde" w:cs="Tahoma"/>
          <w:bCs/>
          <w:lang w:eastAsia="es-MX"/>
        </w:rPr>
        <w:t xml:space="preserve">Conforme a lo establecido en los artículos 15 fracción IV y 17 fracción I de la Ley </w:t>
      </w:r>
      <w:r w:rsidRPr="00F82EAB">
        <w:rPr>
          <w:rFonts w:ascii="ITC Avant Garde" w:hAnsi="ITC Avant Garde"/>
          <w:bCs/>
          <w:lang w:eastAsia="es-MX"/>
        </w:rPr>
        <w:t xml:space="preserve">y </w:t>
      </w:r>
      <w:r w:rsidRPr="00F82EAB">
        <w:rPr>
          <w:rFonts w:ascii="ITC Avant Garde" w:hAnsi="ITC Avant Garde" w:cs="Tahoma"/>
          <w:bCs/>
          <w:lang w:eastAsia="es-MX"/>
        </w:rPr>
        <w:t>6 fracciones I y XXXVII del Estatuto Orgánico</w:t>
      </w:r>
      <w:r w:rsidRPr="00F82EAB">
        <w:rPr>
          <w:rFonts w:ascii="ITC Avant Garde" w:hAnsi="ITC Avant Garde"/>
          <w:bCs/>
          <w:lang w:eastAsia="es-MX"/>
        </w:rPr>
        <w:t xml:space="preserve">, </w:t>
      </w:r>
      <w:r w:rsidRPr="00F82EAB">
        <w:rPr>
          <w:rFonts w:ascii="ITC Avant Garde" w:hAnsi="ITC Avant Garde" w:cs="Tahoma"/>
          <w:bCs/>
          <w:lang w:eastAsia="es-MX"/>
        </w:rPr>
        <w:t>corresponde al Pleno del Instituto la facultad de otorgar las concesiones previstas en dicho ordenamiento legal.</w:t>
      </w:r>
    </w:p>
    <w:p w14:paraId="6A857096" w14:textId="77777777" w:rsidR="005179B5" w:rsidRDefault="00697E95" w:rsidP="005179B5">
      <w:pPr>
        <w:autoSpaceDE w:val="0"/>
        <w:autoSpaceDN w:val="0"/>
        <w:adjustRightInd w:val="0"/>
        <w:spacing w:afterLines="120" w:after="288"/>
        <w:jc w:val="both"/>
        <w:rPr>
          <w:rFonts w:ascii="ITC Avant Garde" w:hAnsi="ITC Avant Garde"/>
          <w:bCs/>
        </w:rPr>
      </w:pPr>
      <w:r w:rsidRPr="00F82EAB">
        <w:rPr>
          <w:rFonts w:ascii="ITC Avant Garde" w:hAnsi="ITC Avant Garde" w:cs="Tahoma"/>
          <w:bCs/>
          <w:lang w:eastAsia="es-MX"/>
        </w:rPr>
        <w:lastRenderedPageBreak/>
        <w:t xml:space="preserve">Asimismo, conforme al artículo 32 del Estatuto Orgánico </w:t>
      </w:r>
      <w:r w:rsidRPr="00F82EAB">
        <w:rPr>
          <w:rFonts w:ascii="ITC Avant Garde" w:hAnsi="ITC Avant Garde"/>
          <w:bCs/>
        </w:rPr>
        <w:t xml:space="preserve">corresponden originariamente a </w:t>
      </w:r>
      <w:r w:rsidRPr="00F82EAB">
        <w:rPr>
          <w:rFonts w:ascii="ITC Avant Garde" w:hAnsi="ITC Avant Garde" w:cs="Tahoma"/>
          <w:bCs/>
          <w:lang w:eastAsia="es-MX"/>
        </w:rPr>
        <w:t xml:space="preserve">la UCS las atribuciones conferidas a la </w:t>
      </w:r>
      <w:r w:rsidR="00797EAC" w:rsidRPr="00F82EAB">
        <w:rPr>
          <w:rFonts w:ascii="ITC Avant Garde" w:hAnsi="ITC Avant Garde" w:cs="Tahoma"/>
          <w:bCs/>
          <w:lang w:eastAsia="es-MX"/>
        </w:rPr>
        <w:t>Dirección General de Concesiones de Radiodifusión</w:t>
      </w:r>
      <w:r w:rsidRPr="00F82EAB">
        <w:rPr>
          <w:rFonts w:ascii="ITC Avant Garde" w:hAnsi="ITC Avant Garde" w:cs="Tahoma"/>
          <w:bCs/>
          <w:lang w:eastAsia="es-MX"/>
        </w:rPr>
        <w:t>, a quien compete, en términos del artículo 34 fracción I del ordenamiento jurídico en cita,</w:t>
      </w:r>
      <w:r w:rsidRPr="00F82EAB">
        <w:rPr>
          <w:rFonts w:ascii="ITC Avant Garde" w:hAnsi="ITC Avant Garde" w:cs="Tahoma"/>
          <w:bCs/>
          <w:lang w:val="es-ES_tradnl" w:eastAsia="es-MX"/>
        </w:rPr>
        <w:t>tramitar y evaluar las solicitudes para el otorgamiento de concesiones en materia de radiodifusión para someterlas a consideración del Pleno.</w:t>
      </w:r>
    </w:p>
    <w:p w14:paraId="70D28963" w14:textId="77777777" w:rsidR="005179B5" w:rsidRDefault="00697E95" w:rsidP="005179B5">
      <w:pPr>
        <w:autoSpaceDE w:val="0"/>
        <w:autoSpaceDN w:val="0"/>
        <w:adjustRightInd w:val="0"/>
        <w:spacing w:afterLines="120" w:after="288"/>
        <w:jc w:val="both"/>
        <w:rPr>
          <w:rFonts w:ascii="ITC Avant Garde" w:hAnsi="ITC Avant Garde"/>
          <w:bCs/>
        </w:rPr>
      </w:pPr>
      <w:r w:rsidRPr="00F82EAB">
        <w:rPr>
          <w:rFonts w:ascii="ITC Avant Garde" w:hAnsi="ITC Avant Garde"/>
          <w:bCs/>
        </w:rPr>
        <w:t xml:space="preserve">En este orden de ideas y considerando que el Instituto tiene a su cargo la regulación, promoción y supervisión de las telecomunicaciones y la radiodifusión, </w:t>
      </w:r>
      <w:r w:rsidRPr="00F82EAB">
        <w:rPr>
          <w:rFonts w:ascii="ITC Avant Garde" w:hAnsi="ITC Avant Garde" w:cs="Tahoma"/>
          <w:bCs/>
          <w:lang w:eastAsia="es-MX"/>
        </w:rPr>
        <w:t>otorgar las concesiones previstas en la Ley</w:t>
      </w:r>
      <w:r w:rsidRPr="00F82EAB">
        <w:rPr>
          <w:rFonts w:ascii="ITC Avant Garde" w:hAnsi="ITC Avant Garde"/>
          <w:bCs/>
        </w:rPr>
        <w:t>,</w:t>
      </w:r>
      <w:r w:rsidR="00AA371D" w:rsidRPr="00F82EAB">
        <w:rPr>
          <w:rFonts w:ascii="ITC Avant Garde" w:hAnsi="ITC Avant Garde"/>
          <w:bCs/>
        </w:rPr>
        <w:t xml:space="preserve"> así como la facultad </w:t>
      </w:r>
      <w:r w:rsidR="00AA371D" w:rsidRPr="00F82EAB">
        <w:rPr>
          <w:rFonts w:ascii="ITC Avant Garde" w:hAnsi="ITC Avant Garde" w:cs="Tahoma"/>
          <w:bCs/>
          <w:lang w:eastAsia="es-MX"/>
        </w:rPr>
        <w:t>para vigilar el cumplimiento a lo dispuesto en los títulos de concesión otorgados en materia de telecomunicaciones y radiodifusión</w:t>
      </w:r>
      <w:r w:rsidR="00B449C8" w:rsidRPr="00F82EAB">
        <w:rPr>
          <w:rFonts w:ascii="ITC Avant Garde" w:hAnsi="ITC Avant Garde" w:cs="Tahoma"/>
          <w:bCs/>
          <w:lang w:eastAsia="es-MX"/>
        </w:rPr>
        <w:t>,</w:t>
      </w:r>
      <w:r w:rsidRPr="00F82EAB">
        <w:rPr>
          <w:rFonts w:ascii="ITC Avant Garde" w:hAnsi="ITC Avant Garde"/>
          <w:bCs/>
        </w:rPr>
        <w:t xml:space="preserve"> el Pleno órgano máximo de gobierno y decisión del Instituto, se encuentra plenamente facultado para resolver </w:t>
      </w:r>
      <w:r w:rsidR="00797EAC" w:rsidRPr="00F82EAB">
        <w:rPr>
          <w:rFonts w:ascii="ITC Avant Garde" w:hAnsi="ITC Avant Garde"/>
          <w:bCs/>
        </w:rPr>
        <w:t xml:space="preserve">sobre el cumplimiento de los </w:t>
      </w:r>
      <w:r w:rsidR="00797EAC" w:rsidRPr="00F82EAB">
        <w:rPr>
          <w:rFonts w:ascii="ITC Avant Garde" w:hAnsi="ITC Avant Garde"/>
          <w:kern w:val="1"/>
          <w:lang w:eastAsia="ar-SA"/>
        </w:rPr>
        <w:t>Lineamientos Generales para el Otorgamiento de las Concesiones en relación con los principios establecidos en el artículo 86 de la Ley que aseguren el carácter de uso público de la concesión, como una obligación contenida en la Condición 12 de los Títulos de Concesión, otorgados con motivo de la transición de los permisos de radiodifusión al régimen de concesión de la Ley, en los términos del artículo Décimo Séptimo transitorio del Decreto de Ley.</w:t>
      </w:r>
    </w:p>
    <w:p w14:paraId="4E9232F5" w14:textId="77777777" w:rsidR="005179B5" w:rsidRDefault="00697E95" w:rsidP="005179B5">
      <w:pPr>
        <w:autoSpaceDE w:val="0"/>
        <w:autoSpaceDN w:val="0"/>
        <w:adjustRightInd w:val="0"/>
        <w:spacing w:afterLines="120" w:after="288"/>
        <w:jc w:val="both"/>
        <w:rPr>
          <w:rFonts w:ascii="ITC Avant Garde" w:hAnsi="ITC Avant Garde" w:cs="Tahoma"/>
          <w:bCs/>
          <w:color w:val="000000"/>
          <w:lang w:eastAsia="es-MX"/>
        </w:rPr>
      </w:pPr>
      <w:r w:rsidRPr="00F82EAB">
        <w:rPr>
          <w:rFonts w:ascii="ITC Avant Garde" w:eastAsia="Times New Roman" w:hAnsi="ITC Avant Garde"/>
          <w:b/>
          <w:kern w:val="1"/>
          <w:lang w:val="es-ES" w:eastAsia="ar-SA"/>
        </w:rPr>
        <w:t>SEGUNDO</w:t>
      </w:r>
      <w:r w:rsidRPr="00F82EAB">
        <w:rPr>
          <w:rFonts w:ascii="ITC Avant Garde" w:eastAsia="Times New Roman" w:hAnsi="ITC Avant Garde"/>
          <w:b/>
          <w:kern w:val="1"/>
          <w:lang w:eastAsia="ar-SA"/>
        </w:rPr>
        <w:t xml:space="preserve">. Marco jurídico aplicable. </w:t>
      </w:r>
      <w:r w:rsidRPr="00F82EAB">
        <w:rPr>
          <w:rFonts w:ascii="ITC Avant Garde" w:hAnsi="ITC Avant Garde" w:cs="Tahoma"/>
          <w:bCs/>
          <w:color w:val="000000"/>
          <w:lang w:eastAsia="es-MX"/>
        </w:rPr>
        <w:t>El artículo 28 de la Constitución, párrafos decimoséptimo y decimoctavo establecen, de manera respectiva, los tipos de concesiones en materia de telecomunicaciones y radiodifusión, así como los mecanismos para su otorgamiento.</w:t>
      </w:r>
    </w:p>
    <w:p w14:paraId="46A3523C" w14:textId="77777777" w:rsidR="005179B5" w:rsidRDefault="00697E95" w:rsidP="005179B5">
      <w:pPr>
        <w:spacing w:afterLines="120" w:after="288"/>
        <w:jc w:val="both"/>
        <w:rPr>
          <w:rFonts w:ascii="ITC Avant Garde" w:hAnsi="ITC Avant Garde" w:cs="Tahoma"/>
          <w:bCs/>
          <w:color w:val="000000"/>
          <w:lang w:eastAsia="es-MX"/>
        </w:rPr>
      </w:pPr>
      <w:r w:rsidRPr="00F82EAB">
        <w:rPr>
          <w:rFonts w:ascii="ITC Avant Garde" w:hAnsi="ITC Avant Garde" w:cs="Tahoma"/>
          <w:bCs/>
          <w:color w:val="000000"/>
          <w:lang w:eastAsia="es-MX"/>
        </w:rPr>
        <w:t>Así, el párrafo decimoséptimo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w:t>
      </w:r>
    </w:p>
    <w:p w14:paraId="66792AC2" w14:textId="77777777" w:rsidR="005179B5" w:rsidRDefault="00697E95" w:rsidP="005179B5">
      <w:pPr>
        <w:pStyle w:val="Texto"/>
        <w:spacing w:afterLines="120" w:after="288" w:line="240" w:lineRule="auto"/>
        <w:ind w:left="567" w:right="902" w:firstLine="6"/>
        <w:rPr>
          <w:rFonts w:ascii="ITC Avant Garde" w:hAnsi="ITC Avant Garde"/>
          <w:i/>
          <w:sz w:val="20"/>
        </w:rPr>
      </w:pPr>
      <w:r w:rsidRPr="00F82EAB">
        <w:rPr>
          <w:rFonts w:ascii="ITC Avant Garde" w:hAnsi="ITC Avant Garde"/>
          <w:i/>
          <w:sz w:val="20"/>
        </w:rPr>
        <w:t>“Artículo 28…</w:t>
      </w:r>
    </w:p>
    <w:p w14:paraId="7376CB77" w14:textId="77777777" w:rsidR="005179B5" w:rsidRDefault="00697E95" w:rsidP="005179B5">
      <w:pPr>
        <w:pStyle w:val="Texto"/>
        <w:spacing w:afterLines="120" w:after="288" w:line="240" w:lineRule="auto"/>
        <w:ind w:left="567" w:right="902" w:firstLine="6"/>
        <w:rPr>
          <w:rFonts w:ascii="ITC Avant Garde" w:hAnsi="ITC Avant Garde"/>
          <w:i/>
          <w:sz w:val="20"/>
        </w:rPr>
      </w:pPr>
      <w:r w:rsidRPr="00F82EAB">
        <w:rPr>
          <w:rFonts w:ascii="ITC Avant Garde" w:hAnsi="ITC Avant Garde"/>
          <w:i/>
          <w:sz w:val="20"/>
        </w:rPr>
        <w:t>(…)</w:t>
      </w:r>
    </w:p>
    <w:p w14:paraId="59CE3B2C" w14:textId="77777777" w:rsidR="005179B5" w:rsidRDefault="00697E95" w:rsidP="005179B5">
      <w:pPr>
        <w:pStyle w:val="Texto"/>
        <w:spacing w:afterLines="120" w:after="288" w:line="240" w:lineRule="auto"/>
        <w:ind w:left="567" w:right="902" w:firstLine="6"/>
        <w:rPr>
          <w:rFonts w:ascii="ITC Avant Garde" w:hAnsi="ITC Avant Garde"/>
          <w:i/>
          <w:sz w:val="20"/>
        </w:rPr>
      </w:pPr>
      <w:r w:rsidRPr="00F82EAB">
        <w:rPr>
          <w:rFonts w:ascii="ITC Avant Garde" w:hAnsi="ITC Avant Garde"/>
          <w:i/>
          <w:sz w:val="20"/>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F82EAB">
        <w:rPr>
          <w:rFonts w:ascii="ITC Avant Garde" w:hAnsi="ITC Avant Garde"/>
          <w:i/>
          <w:sz w:val="20"/>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F82EAB">
        <w:rPr>
          <w:rFonts w:ascii="ITC Avant Garde" w:hAnsi="ITC Avant Garde"/>
          <w:i/>
          <w:sz w:val="20"/>
        </w:rPr>
        <w:t xml:space="preserve">. El Instituto fijará </w:t>
      </w:r>
      <w:r w:rsidRPr="00F82EAB">
        <w:rPr>
          <w:rFonts w:ascii="ITC Avant Garde" w:hAnsi="ITC Avant Garde"/>
          <w:i/>
          <w:sz w:val="20"/>
        </w:rPr>
        <w:lastRenderedPageBreak/>
        <w:t>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14:paraId="21CABECB" w14:textId="77777777" w:rsidR="005179B5" w:rsidRDefault="00697E95" w:rsidP="005179B5">
      <w:pPr>
        <w:pStyle w:val="Texto"/>
        <w:spacing w:afterLines="120" w:after="288" w:line="240" w:lineRule="auto"/>
        <w:ind w:left="567" w:right="902" w:firstLine="6"/>
        <w:rPr>
          <w:rFonts w:ascii="ITC Avant Garde" w:hAnsi="ITC Avant Garde"/>
          <w:i/>
          <w:sz w:val="20"/>
        </w:rPr>
      </w:pPr>
      <w:r w:rsidRPr="00F82EAB">
        <w:rPr>
          <w:rFonts w:ascii="ITC Avant Garde" w:hAnsi="ITC Avant Garde"/>
          <w:i/>
          <w:sz w:val="20"/>
        </w:rPr>
        <w:t>(…)”</w:t>
      </w:r>
    </w:p>
    <w:p w14:paraId="5DAB7561" w14:textId="77777777" w:rsidR="005179B5" w:rsidRDefault="00697E95" w:rsidP="005179B5">
      <w:pPr>
        <w:spacing w:afterLines="120" w:after="288"/>
        <w:ind w:right="48"/>
        <w:jc w:val="both"/>
        <w:rPr>
          <w:rFonts w:ascii="ITC Avant Garde" w:hAnsi="ITC Avant Garde"/>
          <w:bCs/>
          <w:color w:val="000000"/>
        </w:rPr>
      </w:pPr>
      <w:r w:rsidRPr="00F82EAB">
        <w:rPr>
          <w:rFonts w:ascii="ITC Avant Garde" w:hAnsi="ITC Avant Garde"/>
          <w:bCs/>
          <w:color w:val="000000"/>
        </w:rPr>
        <w:t xml:space="preserve">A su vez, el párrafo decimoctavo del mismo precepto constitucional citado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las mismas se otorgarán bajo el mecanismo de asignación directa y sin fines de lucro conforme a lo previsto por la </w:t>
      </w:r>
      <w:r w:rsidR="00F001B5" w:rsidRPr="00F82EAB">
        <w:rPr>
          <w:rFonts w:ascii="ITC Avant Garde" w:hAnsi="ITC Avant Garde"/>
          <w:bCs/>
          <w:color w:val="000000"/>
        </w:rPr>
        <w:t>L</w:t>
      </w:r>
      <w:r w:rsidRPr="00F82EAB">
        <w:rPr>
          <w:rFonts w:ascii="ITC Avant Garde" w:hAnsi="ITC Avant Garde"/>
          <w:bCs/>
          <w:color w:val="000000"/>
        </w:rPr>
        <w:t>ey de la materia.</w:t>
      </w:r>
    </w:p>
    <w:p w14:paraId="73720561" w14:textId="77777777" w:rsidR="005179B5" w:rsidRDefault="00697E95" w:rsidP="005179B5">
      <w:pPr>
        <w:spacing w:afterLines="120" w:after="288"/>
        <w:ind w:right="-94"/>
        <w:jc w:val="both"/>
        <w:rPr>
          <w:rFonts w:ascii="ITC Avant Garde" w:hAnsi="ITC Avant Garde"/>
          <w:bCs/>
          <w:color w:val="000000"/>
        </w:rPr>
      </w:pPr>
      <w:r w:rsidRPr="00F82EAB">
        <w:rPr>
          <w:rFonts w:ascii="ITC Avant Garde" w:hAnsi="ITC Avant Garde"/>
          <w:bCs/>
          <w:color w:val="000000"/>
        </w:rPr>
        <w:t xml:space="preserve">A continuación se realiza la transcripción del párrafo en comento: </w:t>
      </w:r>
    </w:p>
    <w:p w14:paraId="1663C18B" w14:textId="77777777" w:rsidR="005179B5" w:rsidRDefault="00697E95" w:rsidP="005179B5">
      <w:pPr>
        <w:pStyle w:val="Texto"/>
        <w:spacing w:afterLines="120" w:after="288" w:line="240" w:lineRule="auto"/>
        <w:ind w:left="567" w:right="902" w:firstLine="6"/>
        <w:rPr>
          <w:rFonts w:ascii="ITC Avant Garde" w:hAnsi="ITC Avant Garde"/>
          <w:i/>
          <w:sz w:val="20"/>
        </w:rPr>
      </w:pPr>
      <w:r w:rsidRPr="00F82EAB">
        <w:rPr>
          <w:rFonts w:ascii="ITC Avant Garde" w:hAnsi="ITC Avant Garde"/>
          <w:i/>
          <w:sz w:val="20"/>
        </w:rPr>
        <w:t>“Artículo 28…</w:t>
      </w:r>
    </w:p>
    <w:p w14:paraId="2BA0DA74" w14:textId="77777777" w:rsidR="005179B5" w:rsidRDefault="00697E95" w:rsidP="005179B5">
      <w:pPr>
        <w:pStyle w:val="Texto"/>
        <w:spacing w:afterLines="120" w:after="288" w:line="240" w:lineRule="auto"/>
        <w:ind w:left="567" w:right="902" w:firstLine="6"/>
        <w:rPr>
          <w:rFonts w:ascii="ITC Avant Garde" w:hAnsi="ITC Avant Garde"/>
          <w:i/>
          <w:sz w:val="20"/>
        </w:rPr>
      </w:pPr>
      <w:r w:rsidRPr="00F82EAB">
        <w:rPr>
          <w:rFonts w:ascii="ITC Avant Garde" w:hAnsi="ITC Avant Garde"/>
          <w:i/>
          <w:sz w:val="20"/>
        </w:rPr>
        <w:t>(...)</w:t>
      </w:r>
    </w:p>
    <w:p w14:paraId="1A2D07DC" w14:textId="77777777" w:rsidR="005179B5" w:rsidRDefault="00697E95" w:rsidP="005179B5">
      <w:pPr>
        <w:pStyle w:val="Texto"/>
        <w:spacing w:afterLines="120" w:after="288" w:line="240" w:lineRule="auto"/>
        <w:ind w:left="567" w:right="902" w:firstLine="0"/>
        <w:rPr>
          <w:rFonts w:ascii="ITC Avant Garde" w:hAnsi="ITC Avant Garde"/>
          <w:i/>
          <w:sz w:val="20"/>
        </w:rPr>
      </w:pPr>
      <w:r w:rsidRPr="00F82EAB">
        <w:rPr>
          <w:rFonts w:ascii="ITC Avant Garde" w:hAnsi="ITC Avant Garde"/>
          <w:i/>
          <w:sz w:val="20"/>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F82EAB">
        <w:rPr>
          <w:rFonts w:ascii="ITC Avant Garde" w:hAnsi="ITC Avant Garde"/>
          <w:i/>
          <w:sz w:val="20"/>
          <w:u w:val="single"/>
        </w:rPr>
        <w:t xml:space="preserve"> Las concesiones para uso público y social serán sin fines de lucro y se otorgarán bajo el mecanismo de asignación directa conforme a lo previsto por la ley y en condiciones que garanticen la transparencia del procedimiento</w:t>
      </w:r>
      <w:r w:rsidRPr="00F82EAB">
        <w:rPr>
          <w:rFonts w:ascii="ITC Avant Garde" w:hAnsi="ITC Avant Garde"/>
          <w:i/>
          <w:sz w:val="20"/>
        </w:rPr>
        <w:t>.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w:t>
      </w:r>
    </w:p>
    <w:p w14:paraId="46897981" w14:textId="77777777" w:rsidR="005179B5" w:rsidRDefault="00697E95" w:rsidP="005179B5">
      <w:pPr>
        <w:pStyle w:val="Texto"/>
        <w:spacing w:afterLines="120" w:after="288" w:line="240" w:lineRule="auto"/>
        <w:ind w:left="425" w:firstLine="0"/>
        <w:rPr>
          <w:rFonts w:ascii="ITC Avant Garde" w:hAnsi="ITC Avant Garde"/>
          <w:i/>
          <w:sz w:val="20"/>
        </w:rPr>
      </w:pPr>
      <w:r w:rsidRPr="00F82EAB">
        <w:rPr>
          <w:rFonts w:ascii="ITC Avant Garde" w:hAnsi="ITC Avant Garde"/>
          <w:i/>
          <w:sz w:val="20"/>
        </w:rPr>
        <w:t>(…)”</w:t>
      </w:r>
    </w:p>
    <w:p w14:paraId="61D51A60" w14:textId="77777777" w:rsidR="005179B5" w:rsidRDefault="00697E95" w:rsidP="005179B5">
      <w:pPr>
        <w:spacing w:afterLines="120" w:after="288"/>
        <w:ind w:right="48"/>
        <w:jc w:val="both"/>
        <w:rPr>
          <w:rFonts w:ascii="ITC Avant Garde" w:hAnsi="ITC Avant Garde"/>
        </w:rPr>
      </w:pPr>
      <w:r w:rsidRPr="00F82EAB">
        <w:rPr>
          <w:rFonts w:ascii="ITC Avant Garde" w:hAnsi="ITC Avant Garde"/>
        </w:rPr>
        <w:t xml:space="preserve">Por su parte, en correspondencia con el ordenamiento jurídico constitucional, la Ley establece los tipos de concesiones para prestar servicios de telecomunicaciones y radiodifusión así como de espectro radioeléctrico, de acuerdo a su modalidad de uso. </w:t>
      </w:r>
    </w:p>
    <w:p w14:paraId="0A86A800" w14:textId="77777777" w:rsidR="005179B5" w:rsidRDefault="00697E95" w:rsidP="005179B5">
      <w:pPr>
        <w:spacing w:afterLines="120" w:after="288"/>
        <w:ind w:right="48"/>
        <w:jc w:val="both"/>
        <w:rPr>
          <w:rFonts w:ascii="ITC Avant Garde" w:hAnsi="ITC Avant Garde"/>
          <w:i/>
          <w:sz w:val="20"/>
          <w:szCs w:val="20"/>
        </w:rPr>
      </w:pPr>
      <w:r w:rsidRPr="00F82EAB">
        <w:rPr>
          <w:rFonts w:ascii="ITC Avant Garde" w:hAnsi="ITC Avant Garde"/>
        </w:rPr>
        <w:lastRenderedPageBreak/>
        <w:t xml:space="preserve">Así, el artículo 67 de la Ley distingue a la </w:t>
      </w:r>
      <w:r w:rsidR="00764B76" w:rsidRPr="00F82EAB">
        <w:rPr>
          <w:rFonts w:ascii="ITC Avant Garde" w:hAnsi="ITC Avant Garde"/>
        </w:rPr>
        <w:t>C</w:t>
      </w:r>
      <w:r w:rsidRPr="00F82EAB">
        <w:rPr>
          <w:rFonts w:ascii="ITC Avant Garde" w:hAnsi="ITC Avant Garde"/>
        </w:rPr>
        <w:t xml:space="preserve">oncesión </w:t>
      </w:r>
      <w:r w:rsidR="00764B76" w:rsidRPr="00F82EAB">
        <w:rPr>
          <w:rFonts w:ascii="ITC Avant Garde" w:hAnsi="ITC Avant Garde"/>
        </w:rPr>
        <w:t>Ú</w:t>
      </w:r>
      <w:r w:rsidRPr="00F82EAB">
        <w:rPr>
          <w:rFonts w:ascii="ITC Avant Garde" w:hAnsi="ITC Avant Garde"/>
        </w:rPr>
        <w:t xml:space="preserve">nica, necesaria para prestar todo tipo de servicios públicos de radiodifusión y telecomunicaciones, en cuatro tipos de acuerdo con sus fines: comercial, pública, privada o social. En particular, dispone que las concesiones para uso público confieren a los Poderes de la Unión, de los </w:t>
      </w:r>
      <w:r w:rsidR="005845BD">
        <w:rPr>
          <w:rFonts w:ascii="ITC Avant Garde" w:hAnsi="ITC Avant Garde"/>
        </w:rPr>
        <w:t>e</w:t>
      </w:r>
      <w:r w:rsidRPr="00F82EAB">
        <w:rPr>
          <w:rFonts w:ascii="ITC Avant Garde" w:hAnsi="ITC Avant Garde"/>
        </w:rPr>
        <w:t xml:space="preserve">stados, los órganos de </w:t>
      </w:r>
      <w:r w:rsidR="005845BD">
        <w:rPr>
          <w:rFonts w:ascii="ITC Avant Garde" w:hAnsi="ITC Avant Garde"/>
        </w:rPr>
        <w:t>la Ciudad de México</w:t>
      </w:r>
      <w:r w:rsidRPr="00F82EAB">
        <w:rPr>
          <w:rFonts w:ascii="ITC Avant Garde" w:hAnsi="ITC Avant Garde"/>
        </w:rPr>
        <w:t xml:space="preserve">, los </w:t>
      </w:r>
      <w:r w:rsidR="005845BD">
        <w:rPr>
          <w:rFonts w:ascii="ITC Avant Garde" w:hAnsi="ITC Avant Garde"/>
        </w:rPr>
        <w:t>m</w:t>
      </w:r>
      <w:r w:rsidR="005845BD" w:rsidRPr="00F82EAB">
        <w:rPr>
          <w:rFonts w:ascii="ITC Avant Garde" w:hAnsi="ITC Avant Garde"/>
        </w:rPr>
        <w:t>unicipios</w:t>
      </w:r>
      <w:r w:rsidRPr="00F82EAB">
        <w:rPr>
          <w:rFonts w:ascii="ITC Avant Garde" w:hAnsi="ITC Avant Garde"/>
        </w:rPr>
        <w:t>, los órganos constitucionales autónomos y las instituciones de educación superior de carácter público, el derecho de prestar servicios de radiodifusión y telecomunicaciones para lograr el cumplimiento de sus propios fines y atribuciones, sin fines de lucro</w:t>
      </w:r>
      <w:r w:rsidR="00AC406D" w:rsidRPr="00F82EAB">
        <w:rPr>
          <w:rFonts w:ascii="ITC Avant Garde" w:hAnsi="ITC Avant Garde"/>
        </w:rPr>
        <w:t>.</w:t>
      </w:r>
    </w:p>
    <w:p w14:paraId="566F103C" w14:textId="77777777" w:rsidR="005179B5" w:rsidRDefault="00697E95" w:rsidP="005179B5">
      <w:pPr>
        <w:spacing w:afterLines="120" w:after="288"/>
        <w:ind w:right="48"/>
        <w:jc w:val="both"/>
        <w:rPr>
          <w:rFonts w:ascii="ITC Avant Garde" w:hAnsi="ITC Avant Garde"/>
        </w:rPr>
      </w:pPr>
      <w:r w:rsidRPr="00F82EAB">
        <w:rPr>
          <w:rFonts w:ascii="ITC Avant Garde" w:hAnsi="ITC Avant Garde"/>
        </w:rPr>
        <w:t xml:space="preserve">A su vez, el artículo 76 del mismo ordenamiento legal establece los tipos de concesiones sobre el espectro radioeléctrico que confieren el derecho de usar, aprovechar y explotar bandas de frecuencias del espectro radioeléctrico de uso determinado, para lo cual prevé que sean de uso comercial, público, privado o social. </w:t>
      </w:r>
    </w:p>
    <w:p w14:paraId="7C0D695E" w14:textId="77777777" w:rsidR="005179B5" w:rsidRDefault="00697E95" w:rsidP="005179B5">
      <w:pPr>
        <w:spacing w:afterLines="120" w:after="288"/>
        <w:ind w:right="48"/>
        <w:jc w:val="both"/>
        <w:rPr>
          <w:rFonts w:ascii="ITC Avant Garde" w:hAnsi="ITC Avant Garde"/>
          <w:i/>
          <w:sz w:val="20"/>
          <w:szCs w:val="20"/>
        </w:rPr>
      </w:pPr>
      <w:r w:rsidRPr="00F82EAB">
        <w:rPr>
          <w:rFonts w:ascii="ITC Avant Garde" w:hAnsi="ITC Avant Garde"/>
        </w:rPr>
        <w:t xml:space="preserve">Por lo que hace al uso público, la fracción II del propio artículo 76 de la Ley dispone que éstas únicamente se otorgan a los Poderes de la Unión, de los </w:t>
      </w:r>
      <w:r w:rsidR="005845BD">
        <w:rPr>
          <w:rFonts w:ascii="ITC Avant Garde" w:hAnsi="ITC Avant Garde"/>
        </w:rPr>
        <w:t>e</w:t>
      </w:r>
      <w:r w:rsidRPr="00F82EAB">
        <w:rPr>
          <w:rFonts w:ascii="ITC Avant Garde" w:hAnsi="ITC Avant Garde"/>
        </w:rPr>
        <w:t xml:space="preserve">stados, los órganos de </w:t>
      </w:r>
      <w:r w:rsidR="005845BD">
        <w:rPr>
          <w:rFonts w:ascii="ITC Avant Garde" w:hAnsi="ITC Avant Garde"/>
        </w:rPr>
        <w:t>la Ciudad de México</w:t>
      </w:r>
      <w:r w:rsidRPr="00F82EAB">
        <w:rPr>
          <w:rFonts w:ascii="ITC Avant Garde" w:hAnsi="ITC Avant Garde"/>
        </w:rPr>
        <w:t xml:space="preserve">, los </w:t>
      </w:r>
      <w:r w:rsidR="005845BD">
        <w:rPr>
          <w:rFonts w:ascii="ITC Avant Garde" w:hAnsi="ITC Avant Garde"/>
        </w:rPr>
        <w:t>m</w:t>
      </w:r>
      <w:r w:rsidR="005845BD" w:rsidRPr="00F82EAB">
        <w:rPr>
          <w:rFonts w:ascii="ITC Avant Garde" w:hAnsi="ITC Avant Garde"/>
        </w:rPr>
        <w:t>unicipios</w:t>
      </w:r>
      <w:r w:rsidRPr="00F82EAB">
        <w:rPr>
          <w:rFonts w:ascii="ITC Avant Garde" w:hAnsi="ITC Avant Garde"/>
        </w:rPr>
        <w:t>, los órganos constitucionales autónomos y las instituciones de educación superior de carácter público sin que pueda usarse, aprovecharse o explotarse el espectro radioeléctrico con fines de lucro</w:t>
      </w:r>
      <w:r w:rsidR="00AC406D" w:rsidRPr="00F82EAB">
        <w:rPr>
          <w:rFonts w:ascii="ITC Avant Garde" w:hAnsi="ITC Avant Garde"/>
        </w:rPr>
        <w:t>.</w:t>
      </w:r>
    </w:p>
    <w:p w14:paraId="1ABDDA6A" w14:textId="77777777" w:rsidR="005179B5" w:rsidRDefault="00797EAC" w:rsidP="005179B5">
      <w:pPr>
        <w:spacing w:afterLines="120" w:after="288"/>
        <w:ind w:right="48"/>
        <w:jc w:val="both"/>
        <w:rPr>
          <w:rFonts w:ascii="ITC Avant Garde" w:eastAsiaTheme="minorHAnsi" w:hAnsi="ITC Avant Garde" w:cs="Arial"/>
          <w:i/>
          <w:color w:val="000000"/>
          <w:sz w:val="20"/>
          <w:szCs w:val="20"/>
        </w:rPr>
      </w:pPr>
      <w:r w:rsidRPr="00F82EAB">
        <w:rPr>
          <w:rFonts w:ascii="ITC Avant Garde" w:hAnsi="ITC Avant Garde"/>
        </w:rPr>
        <w:t>En relación a lo anterior, los Lineamientos Generales para el Otorgamiento de Concesiones, en su artículo Segundo Transitorio, prevén que los titulares de un permiso de radiodifusión cuyo título se encontró vigente o en proceso de refrendo a la entrada en vigor de la Ley, debieron presentar su solicitud ante el Instituto, para transitar al régimen de concesión que correspondió dentro de los noventa días naturales posteriores a la entrada en vigor de los citados Lineamientos, esto en concordancia con el artículo Décimo Séptimo Transitorio del Decreto de Ley</w:t>
      </w:r>
      <w:r w:rsidR="00AC406D" w:rsidRPr="00F82EAB">
        <w:rPr>
          <w:rFonts w:ascii="ITC Avant Garde" w:hAnsi="ITC Avant Garde"/>
        </w:rPr>
        <w:t>.</w:t>
      </w:r>
    </w:p>
    <w:p w14:paraId="030AF0D5" w14:textId="77777777" w:rsidR="005179B5" w:rsidRDefault="00797EAC" w:rsidP="005179B5">
      <w:pPr>
        <w:spacing w:afterLines="120" w:after="288"/>
        <w:jc w:val="both"/>
        <w:rPr>
          <w:rFonts w:ascii="ITC Avant Garde" w:hAnsi="ITC Avant Garde" w:cs="Tahoma"/>
          <w:bCs/>
          <w:color w:val="000000"/>
          <w:lang w:eastAsia="es-MX"/>
        </w:rPr>
      </w:pPr>
      <w:r w:rsidRPr="00F82EAB">
        <w:rPr>
          <w:rFonts w:ascii="ITC Avant Garde" w:hAnsi="ITC Avant Garde" w:cs="Tahoma"/>
          <w:bCs/>
          <w:color w:val="000000"/>
          <w:lang w:eastAsia="es-MX"/>
        </w:rPr>
        <w:t>En ese sentido los permisionarios que transitaron al régimen de Concesión para Uso Público, quedaron obligados a cumplir con los principios a que se refiere el segundo párrafo del artículo 86 de la Ley, que indica las características y directrices que definen a los medios públicos en nuestro sistema jurídico, que dispone lo siguiente:</w:t>
      </w:r>
    </w:p>
    <w:p w14:paraId="21CB5727" w14:textId="77777777" w:rsidR="005179B5" w:rsidRDefault="00797EAC" w:rsidP="005179B5">
      <w:pPr>
        <w:pStyle w:val="Default"/>
        <w:spacing w:afterLines="120" w:after="288"/>
        <w:ind w:left="567"/>
        <w:jc w:val="both"/>
        <w:rPr>
          <w:rFonts w:ascii="ITC Avant Garde" w:hAnsi="ITC Avant Garde"/>
          <w:i/>
          <w:sz w:val="20"/>
          <w:szCs w:val="20"/>
        </w:rPr>
      </w:pPr>
      <w:r w:rsidRPr="00F82EAB">
        <w:rPr>
          <w:rFonts w:ascii="ITC Avant Garde" w:hAnsi="ITC Avant Garde"/>
          <w:i/>
          <w:sz w:val="20"/>
          <w:szCs w:val="20"/>
        </w:rPr>
        <w:t>“Artículo 86…</w:t>
      </w:r>
    </w:p>
    <w:p w14:paraId="453AB906" w14:textId="77777777" w:rsidR="005179B5" w:rsidRDefault="00797EAC" w:rsidP="005179B5">
      <w:pPr>
        <w:pStyle w:val="Default"/>
        <w:spacing w:afterLines="120" w:after="288"/>
        <w:ind w:left="567" w:right="902"/>
        <w:jc w:val="both"/>
        <w:rPr>
          <w:rFonts w:ascii="ITC Avant Garde" w:hAnsi="ITC Avant Garde"/>
          <w:i/>
          <w:sz w:val="20"/>
          <w:szCs w:val="20"/>
        </w:rPr>
      </w:pPr>
      <w:r w:rsidRPr="00F82EAB">
        <w:rPr>
          <w:rFonts w:ascii="ITC Avant Garde" w:hAnsi="ITC Avant Garde"/>
          <w:i/>
          <w:sz w:val="20"/>
          <w:szCs w:val="20"/>
        </w:rPr>
        <w:t xml:space="preserve">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 </w:t>
      </w:r>
    </w:p>
    <w:p w14:paraId="35C3D7EC" w14:textId="77777777" w:rsidR="005179B5" w:rsidRDefault="00797EAC" w:rsidP="005179B5">
      <w:pPr>
        <w:pStyle w:val="Default"/>
        <w:spacing w:afterLines="120" w:after="288"/>
        <w:ind w:left="567" w:right="902"/>
        <w:jc w:val="both"/>
        <w:rPr>
          <w:rFonts w:ascii="ITC Avant Garde" w:hAnsi="ITC Avant Garde"/>
          <w:i/>
          <w:sz w:val="20"/>
          <w:szCs w:val="20"/>
        </w:rPr>
      </w:pPr>
      <w:r w:rsidRPr="00F82EAB">
        <w:rPr>
          <w:rFonts w:ascii="ITC Avant Garde" w:hAnsi="ITC Avant Garde"/>
          <w:i/>
          <w:sz w:val="20"/>
          <w:szCs w:val="20"/>
        </w:rPr>
        <w:lastRenderedPageBreak/>
        <w:t>(…)”</w:t>
      </w:r>
    </w:p>
    <w:p w14:paraId="566FC42E" w14:textId="77777777" w:rsidR="005179B5" w:rsidRDefault="00797EAC" w:rsidP="005179B5">
      <w:pPr>
        <w:spacing w:afterLines="120" w:after="288"/>
        <w:jc w:val="both"/>
        <w:rPr>
          <w:rFonts w:ascii="ITC Avant Garde" w:hAnsi="ITC Avant Garde" w:cs="Tahoma"/>
          <w:bCs/>
          <w:color w:val="000000"/>
          <w:lang w:eastAsia="es-MX"/>
        </w:rPr>
      </w:pPr>
      <w:r w:rsidRPr="00F82EAB">
        <w:rPr>
          <w:rFonts w:ascii="ITC Avant Garde" w:hAnsi="ITC Avant Garde" w:cs="Tahoma"/>
          <w:bCs/>
          <w:color w:val="000000"/>
          <w:lang w:eastAsia="es-MX"/>
        </w:rPr>
        <w:t>Lo anterior, deberá realizarse dentro de plazo de seis meses contados a partir del día siguiente al del otorgamiento del título de concesión de Espectro Radioeléctrico respectivo, conforme a la fracción VIII del propio artículo Segundo Transitorio de los Lineamientos Generales para el Otorgamiento de Concesiones, presentando ante el Instituto los mecanismos concretos para asegurar dichos principios públicos, en términos del artículo 8 fracción IV de los referidos Lineamientos, que se transcribe a continuación:</w:t>
      </w:r>
    </w:p>
    <w:p w14:paraId="7FC57C8F" w14:textId="77777777" w:rsidR="005179B5" w:rsidRDefault="00797EAC" w:rsidP="005179B5">
      <w:pPr>
        <w:spacing w:afterLines="120" w:after="288" w:line="240" w:lineRule="auto"/>
        <w:ind w:left="567" w:right="902"/>
        <w:jc w:val="both"/>
        <w:rPr>
          <w:rFonts w:ascii="ITC Avant Garde" w:hAnsi="ITC Avant Garde"/>
          <w:i/>
          <w:sz w:val="20"/>
          <w:szCs w:val="20"/>
        </w:rPr>
      </w:pPr>
      <w:r w:rsidRPr="00F82EAB">
        <w:rPr>
          <w:rFonts w:ascii="ITC Avant Garde" w:hAnsi="ITC Avant Garde"/>
          <w:i/>
          <w:sz w:val="20"/>
          <w:szCs w:val="20"/>
        </w:rPr>
        <w:t>“Artículo 8…</w:t>
      </w:r>
    </w:p>
    <w:p w14:paraId="3646731F" w14:textId="77777777" w:rsidR="005179B5" w:rsidRDefault="00797EAC" w:rsidP="005179B5">
      <w:pPr>
        <w:spacing w:afterLines="120" w:after="288" w:line="240" w:lineRule="auto"/>
        <w:ind w:left="567" w:right="902"/>
        <w:jc w:val="both"/>
        <w:rPr>
          <w:rFonts w:ascii="ITC Avant Garde" w:hAnsi="ITC Avant Garde"/>
          <w:i/>
          <w:sz w:val="20"/>
          <w:szCs w:val="20"/>
        </w:rPr>
      </w:pPr>
      <w:r w:rsidRPr="00F82EAB">
        <w:rPr>
          <w:rFonts w:ascii="ITC Avant Garde" w:hAnsi="ITC Avant Garde"/>
          <w:i/>
          <w:sz w:val="20"/>
          <w:szCs w:val="20"/>
        </w:rPr>
        <w:t>(…)</w:t>
      </w:r>
    </w:p>
    <w:p w14:paraId="75B6CE0A" w14:textId="77777777" w:rsidR="005179B5" w:rsidRDefault="00797EAC" w:rsidP="005179B5">
      <w:pPr>
        <w:spacing w:afterLines="120" w:after="288" w:line="240" w:lineRule="auto"/>
        <w:ind w:left="567" w:right="902"/>
        <w:jc w:val="both"/>
        <w:rPr>
          <w:rFonts w:ascii="ITC Avant Garde" w:hAnsi="ITC Avant Garde"/>
          <w:b/>
          <w:i/>
          <w:sz w:val="20"/>
          <w:szCs w:val="20"/>
        </w:rPr>
      </w:pPr>
      <w:r w:rsidRPr="00F82EAB">
        <w:rPr>
          <w:rFonts w:ascii="ITC Avant Garde" w:hAnsi="ITC Avant Garde"/>
          <w:b/>
          <w:i/>
          <w:sz w:val="20"/>
          <w:szCs w:val="20"/>
        </w:rPr>
        <w:t>IV. Para Concesiones de Espectro Radioeléctrico para Uso Público en materia de Radiodifusión,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14:paraId="27764C1E" w14:textId="77777777" w:rsidR="005179B5" w:rsidRDefault="00797EAC" w:rsidP="005179B5">
      <w:pPr>
        <w:spacing w:afterLines="120" w:after="288" w:line="240" w:lineRule="auto"/>
        <w:ind w:left="567" w:right="902"/>
        <w:jc w:val="both"/>
        <w:rPr>
          <w:rFonts w:ascii="ITC Avant Garde" w:hAnsi="ITC Avant Garde"/>
          <w:i/>
          <w:sz w:val="20"/>
          <w:szCs w:val="20"/>
        </w:rPr>
      </w:pPr>
      <w:r w:rsidRPr="00F82EAB">
        <w:rPr>
          <w:rFonts w:ascii="ITC Avant Garde" w:hAnsi="ITC Avant Garde"/>
          <w:i/>
          <w:sz w:val="20"/>
          <w:szCs w:val="20"/>
        </w:rPr>
        <w:t>El Interesado deberá describir los mecanismos concretos para asegurar los principios a que se refiere el segundo párrafo del artículo 86 de la Ley, los cuales deberán atender a lo siguiente:</w:t>
      </w:r>
    </w:p>
    <w:p w14:paraId="21275704" w14:textId="010B3ED6" w:rsidR="00797EAC" w:rsidRPr="00F82EAB" w:rsidRDefault="00797EAC" w:rsidP="005179B5">
      <w:pPr>
        <w:pStyle w:val="Prrafodelista"/>
        <w:numPr>
          <w:ilvl w:val="0"/>
          <w:numId w:val="17"/>
        </w:numPr>
        <w:spacing w:afterLines="120" w:after="288"/>
        <w:ind w:right="902"/>
        <w:jc w:val="both"/>
        <w:rPr>
          <w:rFonts w:ascii="ITC Avant Garde" w:hAnsi="ITC Avant Garde"/>
          <w:i/>
          <w:sz w:val="20"/>
        </w:rPr>
      </w:pPr>
      <w:r w:rsidRPr="00F82EAB">
        <w:rPr>
          <w:rFonts w:ascii="ITC Avant Garde" w:hAnsi="ITC Avant Garde"/>
          <w:i/>
          <w:sz w:val="20"/>
        </w:rPr>
        <w:t>El Interesado deberá presentar las reglas para la conformación de un consejo ciudadano plural que garanticen una elección transparente y democrática de sus miembros, así como su funcionamiento independiente y eficaz para garantizar su independencia editorial, la participación ciudadana y la expresión de diversidades ideológicas, étnicas y culturales. El consejo ciudadano deberá ser instalado dentro de los primeros seis meses a partir del otorgamiento de la Concesión de Espectro Radioeléctrico para Uso Público, lo cual deberá ser acreditado ante el Instituto, conforme se establezca en el título de concesión respectivo y, en su caso, las disposiciones aplicables;</w:t>
      </w:r>
    </w:p>
    <w:p w14:paraId="7D4207EB" w14:textId="77777777" w:rsidR="00797EAC" w:rsidRPr="00F82EAB" w:rsidRDefault="00797EAC" w:rsidP="005179B5">
      <w:pPr>
        <w:pStyle w:val="Prrafodelista"/>
        <w:numPr>
          <w:ilvl w:val="0"/>
          <w:numId w:val="17"/>
        </w:numPr>
        <w:spacing w:afterLines="120" w:after="288"/>
        <w:ind w:right="902"/>
        <w:jc w:val="both"/>
        <w:rPr>
          <w:rFonts w:ascii="ITC Avant Garde" w:hAnsi="ITC Avant Garde"/>
          <w:i/>
          <w:sz w:val="20"/>
        </w:rPr>
      </w:pPr>
      <w:r w:rsidRPr="00F82EAB">
        <w:rPr>
          <w:rFonts w:ascii="ITC Avant Garde" w:hAnsi="ITC Avant Garde"/>
          <w:i/>
          <w:sz w:val="20"/>
        </w:rPr>
        <w:t>El Interesado deberá contar, de conformidad con su naturaleza jurídica y la normatividad aplicable, con autonomía de gestión financiera;</w:t>
      </w:r>
    </w:p>
    <w:p w14:paraId="6936CFE9" w14:textId="77777777" w:rsidR="00797EAC" w:rsidRPr="00F82EAB" w:rsidRDefault="00797EAC" w:rsidP="005179B5">
      <w:pPr>
        <w:pStyle w:val="Prrafodelista"/>
        <w:numPr>
          <w:ilvl w:val="0"/>
          <w:numId w:val="17"/>
        </w:numPr>
        <w:spacing w:afterLines="120" w:after="288"/>
        <w:ind w:right="902"/>
        <w:jc w:val="both"/>
        <w:rPr>
          <w:rFonts w:ascii="ITC Avant Garde" w:hAnsi="ITC Avant Garde"/>
          <w:i/>
          <w:sz w:val="20"/>
        </w:rPr>
      </w:pPr>
      <w:r w:rsidRPr="00F82EAB">
        <w:rPr>
          <w:rFonts w:ascii="ITC Avant Garde" w:hAnsi="ITC Avant Garde"/>
          <w:i/>
          <w:sz w:val="20"/>
        </w:rPr>
        <w:t>El Interesado deberá establecer reglas que aseguren la transparencia y la rendición de cuentas del mismo, para lo cual deberá observar las disposiciones normativas aplicables en la materia según corresponda;</w:t>
      </w:r>
    </w:p>
    <w:p w14:paraId="76D2FC20" w14:textId="77777777" w:rsidR="00797EAC" w:rsidRPr="00F82EAB" w:rsidRDefault="00797EAC" w:rsidP="005179B5">
      <w:pPr>
        <w:pStyle w:val="Prrafodelista"/>
        <w:numPr>
          <w:ilvl w:val="0"/>
          <w:numId w:val="17"/>
        </w:numPr>
        <w:spacing w:afterLines="120" w:after="288"/>
        <w:ind w:right="902"/>
        <w:jc w:val="both"/>
        <w:rPr>
          <w:rFonts w:ascii="ITC Avant Garde" w:hAnsi="ITC Avant Garde"/>
          <w:i/>
          <w:sz w:val="20"/>
        </w:rPr>
      </w:pPr>
      <w:r w:rsidRPr="00F82EAB">
        <w:rPr>
          <w:rFonts w:ascii="ITC Avant Garde" w:hAnsi="ITC Avant Garde"/>
          <w:i/>
          <w:sz w:val="20"/>
        </w:rPr>
        <w:t>El Interesado deberá especificar cómo atenderá a lo establecido en la Ley y en los lineamientos en la materia emitidos por el Instituto para la defensoría de sus contenidos en relación con las audiencias;</w:t>
      </w:r>
    </w:p>
    <w:p w14:paraId="171F59B4" w14:textId="77777777" w:rsidR="00797EAC" w:rsidRPr="00F82EAB" w:rsidRDefault="00797EAC" w:rsidP="005179B5">
      <w:pPr>
        <w:pStyle w:val="Prrafodelista"/>
        <w:numPr>
          <w:ilvl w:val="0"/>
          <w:numId w:val="17"/>
        </w:numPr>
        <w:spacing w:afterLines="120" w:after="288"/>
        <w:ind w:right="902"/>
        <w:jc w:val="both"/>
        <w:rPr>
          <w:rFonts w:ascii="ITC Avant Garde" w:hAnsi="ITC Avant Garde"/>
          <w:i/>
          <w:sz w:val="20"/>
        </w:rPr>
      </w:pPr>
      <w:r w:rsidRPr="00F82EAB">
        <w:rPr>
          <w:rFonts w:ascii="ITC Avant Garde" w:hAnsi="ITC Avant Garde"/>
          <w:i/>
          <w:sz w:val="20"/>
        </w:rPr>
        <w:lastRenderedPageBreak/>
        <w:t>Los mecanismos de financiamiento deberán ser acordes con los establecidos en la Ley o con cualquier otro cuyo ejercicio sea legítimo y les esté permitido, y</w:t>
      </w:r>
    </w:p>
    <w:p w14:paraId="0952F609" w14:textId="77777777" w:rsidR="005179B5" w:rsidRDefault="00797EAC" w:rsidP="005179B5">
      <w:pPr>
        <w:pStyle w:val="Prrafodelista"/>
        <w:numPr>
          <w:ilvl w:val="0"/>
          <w:numId w:val="17"/>
        </w:numPr>
        <w:spacing w:afterLines="120" w:after="288"/>
        <w:ind w:right="902"/>
        <w:jc w:val="both"/>
        <w:rPr>
          <w:rFonts w:ascii="ITC Avant Garde" w:hAnsi="ITC Avant Garde"/>
          <w:i/>
          <w:sz w:val="20"/>
        </w:rPr>
      </w:pPr>
      <w:r w:rsidRPr="00F82EAB">
        <w:rPr>
          <w:rFonts w:ascii="ITC Avant Garde" w:hAnsi="ITC Avant Garde"/>
          <w:i/>
          <w:sz w:val="20"/>
        </w:rPr>
        <w:t>El Interesado deberá especificar de qué manera garantizará el pleno acceso a tecnologías.</w:t>
      </w:r>
    </w:p>
    <w:p w14:paraId="21EDE471" w14:textId="77777777" w:rsidR="005179B5" w:rsidRDefault="00797EAC" w:rsidP="005179B5">
      <w:pPr>
        <w:spacing w:afterLines="120" w:after="288" w:line="240" w:lineRule="auto"/>
        <w:ind w:left="567" w:right="902"/>
        <w:jc w:val="both"/>
        <w:rPr>
          <w:rFonts w:ascii="ITC Avant Garde" w:hAnsi="ITC Avant Garde"/>
          <w:i/>
          <w:sz w:val="20"/>
          <w:szCs w:val="20"/>
        </w:rPr>
      </w:pPr>
      <w:r w:rsidRPr="00F82EAB">
        <w:rPr>
          <w:rFonts w:ascii="ITC Avant Garde" w:hAnsi="ITC Avant Garde"/>
          <w:i/>
          <w:sz w:val="20"/>
          <w:szCs w:val="20"/>
        </w:rPr>
        <w:t>En el supuesto de que el Instituto advierta que los mecanismos expuestos no sean suficientes para garantizar los objetivos pretendidos, requerirá al Interesado para que realice las modificaciones pertinentes.</w:t>
      </w:r>
    </w:p>
    <w:p w14:paraId="3D06FF77" w14:textId="77777777" w:rsidR="005179B5" w:rsidRDefault="00797EAC" w:rsidP="005179B5">
      <w:pPr>
        <w:spacing w:afterLines="120" w:after="288" w:line="240" w:lineRule="auto"/>
        <w:ind w:left="567" w:right="902"/>
        <w:jc w:val="both"/>
        <w:rPr>
          <w:rFonts w:ascii="ITC Avant Garde" w:hAnsi="ITC Avant Garde" w:cs="Tahoma"/>
          <w:bCs/>
          <w:color w:val="000000"/>
          <w:lang w:eastAsia="es-MX"/>
        </w:rPr>
      </w:pPr>
      <w:r w:rsidRPr="00F82EAB">
        <w:rPr>
          <w:rFonts w:ascii="ITC Avant Garde" w:hAnsi="ITC Avant Garde"/>
          <w:i/>
          <w:sz w:val="20"/>
          <w:szCs w:val="20"/>
        </w:rPr>
        <w:t>(…)”</w:t>
      </w:r>
    </w:p>
    <w:p w14:paraId="56E245E0" w14:textId="77777777" w:rsidR="005179B5" w:rsidRDefault="00797EAC" w:rsidP="005179B5">
      <w:pPr>
        <w:spacing w:afterLines="120" w:after="288"/>
        <w:jc w:val="both"/>
        <w:rPr>
          <w:rFonts w:ascii="ITC Avant Garde" w:eastAsia="Times New Roman" w:hAnsi="ITC Avant Garde"/>
          <w:bCs/>
          <w:noProof/>
          <w:color w:val="000000"/>
          <w:lang w:val="es-ES" w:eastAsia="es-MX"/>
        </w:rPr>
      </w:pPr>
      <w:r w:rsidRPr="00F82EAB">
        <w:rPr>
          <w:rFonts w:ascii="ITC Avant Garde" w:hAnsi="ITC Avant Garde" w:cs="Tahoma"/>
          <w:bCs/>
          <w:color w:val="000000"/>
          <w:lang w:eastAsia="es-MX"/>
        </w:rPr>
        <w:t xml:space="preserve">Cabe mencionar que el incumplimiento de esta obligación motivará la revocación de la concesión involucrada, atento a lo dispuesto por la Condición 12 del Título de Concesión otorgado </w:t>
      </w:r>
      <w:r w:rsidRPr="00F82EAB">
        <w:rPr>
          <w:rFonts w:ascii="ITC Avant Garde" w:eastAsia="Times New Roman" w:hAnsi="ITC Avant Garde"/>
          <w:bCs/>
          <w:noProof/>
          <w:color w:val="000000"/>
          <w:lang w:val="es-ES" w:eastAsia="es-MX"/>
        </w:rPr>
        <w:t xml:space="preserve">para usar y aprovechar bandas de frecuencias del espectro radioeléctrico para uso público para la prestación del servicio público de </w:t>
      </w:r>
      <w:r w:rsidR="00A67DBB" w:rsidRPr="00F82EAB">
        <w:rPr>
          <w:rFonts w:ascii="ITC Avant Garde" w:eastAsia="Times New Roman" w:hAnsi="ITC Avant Garde"/>
          <w:bCs/>
          <w:noProof/>
          <w:color w:val="000000"/>
          <w:lang w:val="es-ES" w:eastAsia="es-MX"/>
        </w:rPr>
        <w:t>radiodifusión sonora</w:t>
      </w:r>
      <w:r w:rsidRPr="00F82EAB">
        <w:rPr>
          <w:rFonts w:ascii="ITC Avant Garde" w:eastAsia="Times New Roman" w:hAnsi="ITC Avant Garde"/>
          <w:bCs/>
          <w:noProof/>
          <w:color w:val="000000"/>
          <w:lang w:val="es-ES" w:eastAsia="es-MX"/>
        </w:rPr>
        <w:t>, otorgado por el Instituto, que establece textualmente lo siguiente:</w:t>
      </w:r>
    </w:p>
    <w:p w14:paraId="6E27EEF2" w14:textId="5083445B" w:rsidR="00797EAC" w:rsidRPr="00F82EAB" w:rsidRDefault="00797EAC" w:rsidP="005179B5">
      <w:pPr>
        <w:spacing w:afterLines="120" w:after="288" w:line="240" w:lineRule="auto"/>
        <w:ind w:left="567" w:right="902"/>
        <w:jc w:val="both"/>
        <w:rPr>
          <w:rFonts w:ascii="ITC Avant Garde" w:hAnsi="ITC Avant Garde"/>
          <w:i/>
          <w:sz w:val="20"/>
          <w:szCs w:val="20"/>
        </w:rPr>
      </w:pPr>
      <w:r w:rsidRPr="00F82EAB">
        <w:rPr>
          <w:rFonts w:ascii="ITC Avant Garde" w:hAnsi="ITC Avant Garde"/>
          <w:b/>
          <w:bCs/>
          <w:i/>
          <w:sz w:val="20"/>
          <w:szCs w:val="20"/>
        </w:rPr>
        <w:t xml:space="preserve">“12. Mecanismos para garantizar el carácter de uso público. </w:t>
      </w:r>
      <w:r w:rsidRPr="00F82EAB">
        <w:rPr>
          <w:rFonts w:ascii="ITC Avant Garde" w:hAnsi="ITC Avant Garde"/>
          <w:i/>
          <w:sz w:val="20"/>
          <w:szCs w:val="20"/>
        </w:rPr>
        <w:t xml:space="preserve">El concesionario quedará obligado a cumplir con los Lineamientos Generales para el Otorgamiento de las Concesiones a que se refiere el Título Cuarto de la Ley Federal de Telecomunicaciones y Radiodifusión, publicados en el Diario Oficial de la Federación el 24 de julio de 2015, en relación con los principios establecidos en el  artículo 86 de la Ley que aseguren: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w:t>
      </w:r>
      <w:r w:rsidRPr="00F82EAB">
        <w:rPr>
          <w:rFonts w:ascii="ITC Avant Garde" w:hAnsi="ITC Avant Garde"/>
          <w:b/>
          <w:i/>
          <w:sz w:val="20"/>
          <w:szCs w:val="20"/>
          <w:u w:val="single"/>
        </w:rPr>
        <w:t>Dicha obligación deberá ser cumplida por el Concesionario dentro del plazo de seis meses contados a partir del día siguiente de la fecha de entrega del presente título</w:t>
      </w:r>
      <w:r w:rsidRPr="00F82EAB">
        <w:rPr>
          <w:rFonts w:ascii="ITC Avant Garde" w:hAnsi="ITC Avant Garde"/>
          <w:i/>
          <w:sz w:val="20"/>
          <w:szCs w:val="20"/>
          <w:u w:val="single"/>
        </w:rPr>
        <w:t xml:space="preserve">. </w:t>
      </w:r>
      <w:r w:rsidRPr="00F82EAB">
        <w:rPr>
          <w:rFonts w:ascii="ITC Avant Garde" w:hAnsi="ITC Avant Garde"/>
          <w:b/>
          <w:i/>
          <w:sz w:val="20"/>
          <w:szCs w:val="20"/>
          <w:u w:val="single"/>
        </w:rPr>
        <w:t>El incumplimiento a esta obligación motivará la revocación de la concesión</w:t>
      </w:r>
      <w:r w:rsidRPr="00F82EAB">
        <w:rPr>
          <w:rFonts w:ascii="ITC Avant Garde" w:hAnsi="ITC Avant Garde"/>
          <w:i/>
          <w:sz w:val="20"/>
          <w:szCs w:val="20"/>
        </w:rPr>
        <w:t>.”</w:t>
      </w:r>
    </w:p>
    <w:p w14:paraId="222490D9" w14:textId="77777777" w:rsidR="005179B5" w:rsidRDefault="00797EAC" w:rsidP="005179B5">
      <w:pPr>
        <w:pStyle w:val="Prrafodelista"/>
        <w:spacing w:afterLines="120" w:after="288"/>
        <w:ind w:left="567" w:right="902"/>
        <w:rPr>
          <w:rFonts w:ascii="ITC Avant Garde" w:hAnsi="ITC Avant Garde"/>
          <w:sz w:val="20"/>
        </w:rPr>
      </w:pPr>
      <w:r w:rsidRPr="00F82EAB">
        <w:rPr>
          <w:rFonts w:ascii="ITC Avant Garde" w:hAnsi="ITC Avant Garde"/>
          <w:sz w:val="20"/>
        </w:rPr>
        <w:t>(Énfasis añadido)</w:t>
      </w:r>
    </w:p>
    <w:p w14:paraId="705653CA" w14:textId="77777777" w:rsidR="005179B5" w:rsidRDefault="00797EAC" w:rsidP="005179B5">
      <w:pPr>
        <w:spacing w:afterLines="120" w:after="288"/>
        <w:jc w:val="both"/>
        <w:rPr>
          <w:rFonts w:ascii="ITC Avant Garde" w:hAnsi="ITC Avant Garde"/>
          <w:bCs/>
          <w:noProof/>
          <w:color w:val="000000"/>
          <w:lang w:eastAsia="es-MX"/>
        </w:rPr>
      </w:pPr>
      <w:r w:rsidRPr="00F82EAB">
        <w:rPr>
          <w:rFonts w:ascii="ITC Avant Garde" w:hAnsi="ITC Avant Garde"/>
          <w:bCs/>
          <w:noProof/>
          <w:color w:val="000000"/>
          <w:lang w:eastAsia="es-MX"/>
        </w:rPr>
        <w:t>De la lectura de la condición antes transcrita se desprende que, los permisionarios que transitaron al régimen de concesión para uso público, quedaron obligados  mediante el título de concesión a dar cumplimiento al segundo párrafo del artículo 86 de la Ley en relación con el artículo 8 fracción IV de los Lineamientos Generales para el Otorgamiento de las Concesiones.</w:t>
      </w:r>
    </w:p>
    <w:p w14:paraId="7ED90320" w14:textId="0624F11E" w:rsidR="001176D4" w:rsidRPr="00F82EAB" w:rsidRDefault="00697E95" w:rsidP="005179B5">
      <w:pPr>
        <w:spacing w:afterLines="120" w:after="288"/>
        <w:jc w:val="both"/>
        <w:rPr>
          <w:rFonts w:ascii="ITC Avant Garde" w:hAnsi="ITC Avant Garde"/>
          <w:bCs/>
          <w:noProof/>
          <w:color w:val="000000"/>
          <w:lang w:eastAsia="es-MX"/>
        </w:rPr>
      </w:pPr>
      <w:r w:rsidRPr="00F82EAB">
        <w:rPr>
          <w:rFonts w:ascii="ITC Avant Garde" w:eastAsia="Times New Roman" w:hAnsi="ITC Avant Garde"/>
          <w:b/>
          <w:kern w:val="1"/>
          <w:lang w:val="es-ES" w:eastAsia="ar-SA"/>
        </w:rPr>
        <w:t>TERCERO. Análisis de la Solicitud</w:t>
      </w:r>
      <w:r w:rsidR="0031373C" w:rsidRPr="00F82EAB">
        <w:rPr>
          <w:rFonts w:ascii="ITC Avant Garde" w:eastAsia="Times New Roman" w:hAnsi="ITC Avant Garde"/>
          <w:b/>
          <w:kern w:val="1"/>
          <w:lang w:val="es-ES" w:eastAsia="ar-SA"/>
        </w:rPr>
        <w:t xml:space="preserve"> de</w:t>
      </w:r>
      <w:r w:rsidRPr="00F82EAB">
        <w:rPr>
          <w:rFonts w:ascii="ITC Avant Garde" w:eastAsia="Times New Roman" w:hAnsi="ITC Avant Garde"/>
          <w:b/>
          <w:kern w:val="1"/>
          <w:lang w:val="es-ES" w:eastAsia="ar-SA"/>
        </w:rPr>
        <w:t xml:space="preserve"> </w:t>
      </w:r>
      <w:r w:rsidR="0031373C" w:rsidRPr="00F82EAB">
        <w:rPr>
          <w:rFonts w:ascii="ITC Avant Garde" w:hAnsi="ITC Avant Garde" w:cs="Arial"/>
          <w:b/>
          <w:kern w:val="1"/>
          <w:lang w:eastAsia="ar-SA"/>
        </w:rPr>
        <w:t>Cumplimiento a la Condición 12 de los Títulos</w:t>
      </w:r>
      <w:r w:rsidR="0031373C" w:rsidRPr="00F82EAB">
        <w:rPr>
          <w:rFonts w:ascii="ITC Avant Garde" w:eastAsia="Times New Roman" w:hAnsi="ITC Avant Garde"/>
          <w:b/>
          <w:kern w:val="1"/>
          <w:lang w:val="es-ES" w:eastAsia="ar-SA"/>
        </w:rPr>
        <w:t xml:space="preserve"> </w:t>
      </w:r>
      <w:r w:rsidRPr="00F82EAB">
        <w:rPr>
          <w:rFonts w:ascii="ITC Avant Garde" w:eastAsia="Times New Roman" w:hAnsi="ITC Avant Garde"/>
          <w:b/>
          <w:kern w:val="1"/>
          <w:lang w:val="es-ES" w:eastAsia="ar-SA"/>
        </w:rPr>
        <w:t xml:space="preserve">de Concesión. </w:t>
      </w:r>
      <w:r w:rsidR="00AF03C9" w:rsidRPr="00F82EAB">
        <w:rPr>
          <w:rFonts w:ascii="ITC Avant Garde" w:hAnsi="ITC Avant Garde"/>
          <w:bCs/>
          <w:noProof/>
          <w:color w:val="000000"/>
          <w:lang w:eastAsia="es-MX"/>
        </w:rPr>
        <w:t xml:space="preserve">En primer lugar, por cuestión de orden debe señalarse que del estudio y revisión realizado a la información remitida por la </w:t>
      </w:r>
      <w:r w:rsidR="00DB3F09" w:rsidRPr="00F82EAB">
        <w:rPr>
          <w:rFonts w:ascii="ITC Avant Garde" w:hAnsi="ITC Avant Garde"/>
          <w:bCs/>
          <w:noProof/>
          <w:color w:val="000000"/>
          <w:lang w:eastAsia="es-MX"/>
        </w:rPr>
        <w:t>U de G</w:t>
      </w:r>
      <w:r w:rsidR="00AF03C9" w:rsidRPr="00F82EAB">
        <w:rPr>
          <w:rFonts w:ascii="ITC Avant Garde" w:hAnsi="ITC Avant Garde"/>
          <w:bCs/>
          <w:noProof/>
          <w:color w:val="000000"/>
          <w:lang w:eastAsia="es-MX"/>
        </w:rPr>
        <w:t xml:space="preserve">, por lo que hace a la </w:t>
      </w:r>
      <w:r w:rsidR="00AF03C9" w:rsidRPr="00F82EAB">
        <w:rPr>
          <w:rFonts w:ascii="ITC Avant Garde" w:hAnsi="ITC Avant Garde"/>
          <w:bCs/>
          <w:noProof/>
          <w:color w:val="000000"/>
          <w:lang w:eastAsia="es-MX"/>
        </w:rPr>
        <w:lastRenderedPageBreak/>
        <w:t xml:space="preserve">oportunidad o momento de su presentación, </w:t>
      </w:r>
      <w:r w:rsidR="001733E0" w:rsidRPr="00F82EAB">
        <w:rPr>
          <w:rFonts w:ascii="ITC Avant Garde" w:hAnsi="ITC Avant Garde"/>
          <w:bCs/>
          <w:noProof/>
          <w:color w:val="000000"/>
          <w:lang w:eastAsia="es-MX"/>
        </w:rPr>
        <w:t>la Solicitud de Cumplimiento se presentó</w:t>
      </w:r>
      <w:r w:rsidR="00AF03C9" w:rsidRPr="00F82EAB">
        <w:rPr>
          <w:rFonts w:ascii="ITC Avant Garde" w:hAnsi="ITC Avant Garde"/>
          <w:bCs/>
          <w:noProof/>
          <w:color w:val="000000"/>
          <w:lang w:eastAsia="es-MX"/>
        </w:rPr>
        <w:t xml:space="preserve"> ante la Oficialía de Partes del Instituto dentro del plazo </w:t>
      </w:r>
      <w:r w:rsidR="001733E0" w:rsidRPr="00F82EAB">
        <w:rPr>
          <w:rFonts w:ascii="ITC Avant Garde" w:hAnsi="ITC Avant Garde"/>
          <w:bCs/>
          <w:noProof/>
          <w:color w:val="000000"/>
          <w:lang w:eastAsia="es-MX"/>
        </w:rPr>
        <w:t xml:space="preserve">de seis meses </w:t>
      </w:r>
      <w:r w:rsidR="00AF03C9" w:rsidRPr="00F82EAB">
        <w:rPr>
          <w:rFonts w:ascii="ITC Avant Garde" w:hAnsi="ITC Avant Garde"/>
          <w:bCs/>
          <w:noProof/>
          <w:color w:val="000000"/>
          <w:lang w:eastAsia="es-MX"/>
        </w:rPr>
        <w:t>a que se refiere la condición 12 de los</w:t>
      </w:r>
      <w:r w:rsidR="00DB3F09" w:rsidRPr="00F82EAB">
        <w:rPr>
          <w:rFonts w:ascii="ITC Avant Garde" w:hAnsi="ITC Avant Garde"/>
          <w:bCs/>
          <w:noProof/>
          <w:color w:val="000000"/>
          <w:lang w:eastAsia="es-MX"/>
        </w:rPr>
        <w:t xml:space="preserve"> 8</w:t>
      </w:r>
      <w:r w:rsidR="00AF03C9" w:rsidRPr="00F82EAB">
        <w:rPr>
          <w:rFonts w:ascii="ITC Avant Garde" w:hAnsi="ITC Avant Garde"/>
          <w:bCs/>
          <w:noProof/>
          <w:color w:val="000000"/>
          <w:lang w:eastAsia="es-MX"/>
        </w:rPr>
        <w:t xml:space="preserve"> (</w:t>
      </w:r>
      <w:r w:rsidR="00DB3F09" w:rsidRPr="00F82EAB">
        <w:rPr>
          <w:rFonts w:ascii="ITC Avant Garde" w:hAnsi="ITC Avant Garde"/>
          <w:bCs/>
          <w:noProof/>
          <w:color w:val="000000"/>
          <w:lang w:eastAsia="es-MX"/>
        </w:rPr>
        <w:t>ocho</w:t>
      </w:r>
      <w:r w:rsidR="00AF03C9" w:rsidRPr="00F82EAB">
        <w:rPr>
          <w:rFonts w:ascii="ITC Avant Garde" w:hAnsi="ITC Avant Garde"/>
          <w:bCs/>
          <w:noProof/>
          <w:color w:val="000000"/>
          <w:lang w:eastAsia="es-MX"/>
        </w:rPr>
        <w:t xml:space="preserve">) Títulos de Concesión </w:t>
      </w:r>
      <w:r w:rsidR="00AF03C9" w:rsidRPr="00F82EAB">
        <w:rPr>
          <w:rFonts w:ascii="ITC Avant Garde" w:hAnsi="ITC Avant Garde"/>
          <w:lang w:eastAsia="ar-SA"/>
        </w:rPr>
        <w:t xml:space="preserve">señalados en </w:t>
      </w:r>
      <w:r w:rsidR="001733E0" w:rsidRPr="00F82EAB">
        <w:rPr>
          <w:rFonts w:ascii="ITC Avant Garde" w:hAnsi="ITC Avant Garde"/>
          <w:lang w:eastAsia="ar-SA"/>
        </w:rPr>
        <w:t xml:space="preserve">los </w:t>
      </w:r>
      <w:r w:rsidR="00826B8B">
        <w:rPr>
          <w:rFonts w:ascii="ITC Avant Garde" w:hAnsi="ITC Avant Garde"/>
          <w:lang w:eastAsia="ar-SA"/>
        </w:rPr>
        <w:t>A</w:t>
      </w:r>
      <w:r w:rsidR="00AF03C9" w:rsidRPr="00F82EAB">
        <w:rPr>
          <w:rFonts w:ascii="ITC Avant Garde" w:hAnsi="ITC Avant Garde"/>
          <w:lang w:eastAsia="ar-SA"/>
        </w:rPr>
        <w:t>ntecedente</w:t>
      </w:r>
      <w:r w:rsidR="001733E0" w:rsidRPr="00F82EAB">
        <w:rPr>
          <w:rFonts w:ascii="ITC Avant Garde" w:hAnsi="ITC Avant Garde"/>
          <w:lang w:eastAsia="ar-SA"/>
        </w:rPr>
        <w:t>s</w:t>
      </w:r>
      <w:r w:rsidR="00AF03C9" w:rsidRPr="00F82EAB">
        <w:rPr>
          <w:rFonts w:ascii="ITC Avant Garde" w:hAnsi="ITC Avant Garde"/>
          <w:lang w:eastAsia="ar-SA"/>
        </w:rPr>
        <w:t xml:space="preserve"> V </w:t>
      </w:r>
      <w:r w:rsidR="001733E0" w:rsidRPr="00F82EAB">
        <w:rPr>
          <w:rFonts w:ascii="ITC Avant Garde" w:hAnsi="ITC Avant Garde"/>
          <w:lang w:eastAsia="ar-SA"/>
        </w:rPr>
        <w:t xml:space="preserve">y VI </w:t>
      </w:r>
      <w:r w:rsidR="00AF03C9" w:rsidRPr="00F82EAB">
        <w:rPr>
          <w:rFonts w:ascii="ITC Avant Garde" w:hAnsi="ITC Avant Garde"/>
          <w:lang w:eastAsia="ar-SA"/>
        </w:rPr>
        <w:t>de la presente Resolución,</w:t>
      </w:r>
      <w:r w:rsidR="00AF03C9" w:rsidRPr="00F82EAB">
        <w:rPr>
          <w:rFonts w:ascii="ITC Avant Garde" w:hAnsi="ITC Avant Garde"/>
          <w:bCs/>
          <w:noProof/>
          <w:color w:val="000000"/>
          <w:lang w:eastAsia="es-MX"/>
        </w:rPr>
        <w:t xml:space="preserve"> en relación con el segundo párrafo del artículo 86 de la Ley, y </w:t>
      </w:r>
      <w:r w:rsidR="00AF03C9" w:rsidRPr="00F82EAB">
        <w:rPr>
          <w:rFonts w:ascii="ITC Avant Garde" w:eastAsia="Times New Roman" w:hAnsi="ITC Avant Garde"/>
          <w:kern w:val="1"/>
          <w:lang w:val="es-ES" w:eastAsia="ar-SA"/>
        </w:rPr>
        <w:t xml:space="preserve">8 fracción IV de los </w:t>
      </w:r>
      <w:r w:rsidR="00AF03C9" w:rsidRPr="00F82EAB">
        <w:rPr>
          <w:rFonts w:ascii="ITC Avant Garde" w:hAnsi="ITC Avant Garde"/>
        </w:rPr>
        <w:t>Lineamientos Generales para el Otorgamiento de las Concesiones</w:t>
      </w:r>
      <w:r w:rsidR="00AF03C9" w:rsidRPr="00F82EAB">
        <w:rPr>
          <w:rFonts w:ascii="ITC Avant Garde" w:hAnsi="ITC Avant Garde"/>
          <w:bCs/>
          <w:noProof/>
          <w:color w:val="000000"/>
          <w:lang w:eastAsia="es-MX"/>
        </w:rPr>
        <w:t xml:space="preserve">, </w:t>
      </w:r>
      <w:r w:rsidR="001733E0" w:rsidRPr="00F82EAB">
        <w:rPr>
          <w:rFonts w:ascii="ITC Avant Garde" w:hAnsi="ITC Avant Garde"/>
          <w:bCs/>
          <w:noProof/>
          <w:color w:val="000000"/>
          <w:lang w:eastAsia="es-MX"/>
        </w:rPr>
        <w:t>como se advierte a continuación:</w:t>
      </w:r>
    </w:p>
    <w:tbl>
      <w:tblPr>
        <w:tblStyle w:val="Tablaconcuadrcula"/>
        <w:tblpPr w:leftFromText="141" w:rightFromText="141" w:vertAnchor="text" w:horzAnchor="margin" w:tblpXSpec="center" w:tblpY="223"/>
        <w:tblW w:w="9350" w:type="dxa"/>
        <w:tblLayout w:type="fixed"/>
        <w:tblLook w:val="04A0" w:firstRow="1" w:lastRow="0" w:firstColumn="1" w:lastColumn="0" w:noHBand="0" w:noVBand="1"/>
        <w:tblCaption w:val="Análisis de la Solicitud de Cumplimiento a la Condición 12 de los Títulos de Concesión"/>
        <w:tblDescription w:val="Tabla de 7 columnas que proporciona información respecto de las fechas de notificación de título de concesión y de presentación de solicitud de cumplimineto."/>
      </w:tblPr>
      <w:tblGrid>
        <w:gridCol w:w="486"/>
        <w:gridCol w:w="1275"/>
        <w:gridCol w:w="1069"/>
        <w:gridCol w:w="1560"/>
        <w:gridCol w:w="2126"/>
        <w:gridCol w:w="1417"/>
        <w:gridCol w:w="1417"/>
      </w:tblGrid>
      <w:tr w:rsidR="00244B11" w:rsidRPr="00565BC2" w14:paraId="099949F9" w14:textId="3E7C87F5" w:rsidTr="00743DF6">
        <w:trPr>
          <w:tblHeader/>
        </w:trPr>
        <w:tc>
          <w:tcPr>
            <w:tcW w:w="486" w:type="dxa"/>
            <w:vAlign w:val="center"/>
          </w:tcPr>
          <w:p w14:paraId="51529925" w14:textId="77777777" w:rsidR="00244B11" w:rsidRPr="00F82EAB" w:rsidRDefault="00244B11" w:rsidP="00315B9B">
            <w:pPr>
              <w:spacing w:afterLines="120" w:after="288" w:line="240" w:lineRule="auto"/>
              <w:jc w:val="center"/>
              <w:rPr>
                <w:rFonts w:ascii="ITC Avant Garde" w:hAnsi="ITC Avant Garde"/>
                <w:b/>
                <w:sz w:val="16"/>
                <w:szCs w:val="16"/>
              </w:rPr>
            </w:pPr>
            <w:bookmarkStart w:id="0" w:name="_GoBack" w:colFirst="0" w:colLast="6"/>
            <w:r w:rsidRPr="00F82EAB">
              <w:rPr>
                <w:rFonts w:ascii="ITC Avant Garde" w:hAnsi="ITC Avant Garde"/>
                <w:b/>
                <w:sz w:val="16"/>
                <w:szCs w:val="16"/>
              </w:rPr>
              <w:t>No.</w:t>
            </w:r>
          </w:p>
        </w:tc>
        <w:tc>
          <w:tcPr>
            <w:tcW w:w="1275" w:type="dxa"/>
            <w:vAlign w:val="center"/>
          </w:tcPr>
          <w:p w14:paraId="68C9F5B5" w14:textId="77777777" w:rsidR="00244B11" w:rsidRPr="00F82EAB" w:rsidRDefault="00244B11" w:rsidP="00315B9B">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Distintivo</w:t>
            </w:r>
          </w:p>
        </w:tc>
        <w:tc>
          <w:tcPr>
            <w:tcW w:w="1069" w:type="dxa"/>
            <w:vAlign w:val="center"/>
          </w:tcPr>
          <w:p w14:paraId="26E415B8" w14:textId="77777777" w:rsidR="00244B11" w:rsidRPr="00F82EAB" w:rsidRDefault="00244B11" w:rsidP="00315B9B">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Servicio</w:t>
            </w:r>
          </w:p>
        </w:tc>
        <w:tc>
          <w:tcPr>
            <w:tcW w:w="1560" w:type="dxa"/>
            <w:vAlign w:val="center"/>
          </w:tcPr>
          <w:p w14:paraId="1721FC14" w14:textId="77777777" w:rsidR="00244B11" w:rsidRPr="00F82EAB" w:rsidRDefault="00244B11" w:rsidP="00315B9B">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Frecuencia</w:t>
            </w:r>
          </w:p>
        </w:tc>
        <w:tc>
          <w:tcPr>
            <w:tcW w:w="2126" w:type="dxa"/>
            <w:vAlign w:val="center"/>
          </w:tcPr>
          <w:p w14:paraId="0DD042A4" w14:textId="77777777" w:rsidR="00244B11" w:rsidRPr="00F82EAB" w:rsidDel="008A3EAE" w:rsidRDefault="00244B11" w:rsidP="00315B9B">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Población</w:t>
            </w:r>
          </w:p>
        </w:tc>
        <w:tc>
          <w:tcPr>
            <w:tcW w:w="1417" w:type="dxa"/>
            <w:vAlign w:val="center"/>
          </w:tcPr>
          <w:p w14:paraId="0613E00F" w14:textId="7E4F0A5F" w:rsidR="00244B11" w:rsidRPr="00F82EAB" w:rsidRDefault="00244B11" w:rsidP="00315B9B">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Fecha de Notificación del Título de Concesión</w:t>
            </w:r>
          </w:p>
        </w:tc>
        <w:tc>
          <w:tcPr>
            <w:tcW w:w="1417" w:type="dxa"/>
            <w:vAlign w:val="center"/>
          </w:tcPr>
          <w:p w14:paraId="4A788DD5" w14:textId="4D084875" w:rsidR="00244B11" w:rsidRPr="00F82EAB" w:rsidRDefault="00244B11" w:rsidP="00315B9B">
            <w:pPr>
              <w:spacing w:afterLines="120" w:after="288" w:line="240" w:lineRule="auto"/>
              <w:jc w:val="center"/>
              <w:rPr>
                <w:rFonts w:ascii="ITC Avant Garde" w:hAnsi="ITC Avant Garde"/>
                <w:b/>
                <w:sz w:val="16"/>
                <w:szCs w:val="16"/>
              </w:rPr>
            </w:pPr>
            <w:r w:rsidRPr="00F82EAB">
              <w:rPr>
                <w:rFonts w:ascii="ITC Avant Garde" w:hAnsi="ITC Avant Garde"/>
                <w:b/>
                <w:sz w:val="16"/>
                <w:szCs w:val="16"/>
              </w:rPr>
              <w:t>Fecha de Presentación de la Solicitud de Cumplimiento</w:t>
            </w:r>
          </w:p>
        </w:tc>
      </w:tr>
      <w:bookmarkEnd w:id="0"/>
      <w:tr w:rsidR="00743DF6" w:rsidRPr="00565BC2" w14:paraId="4B9114FE" w14:textId="0DE5F754" w:rsidTr="00315B9B">
        <w:tc>
          <w:tcPr>
            <w:tcW w:w="486" w:type="dxa"/>
            <w:vAlign w:val="center"/>
          </w:tcPr>
          <w:p w14:paraId="58B7985E"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1</w:t>
            </w:r>
          </w:p>
        </w:tc>
        <w:tc>
          <w:tcPr>
            <w:tcW w:w="1275" w:type="dxa"/>
            <w:vAlign w:val="center"/>
          </w:tcPr>
          <w:p w14:paraId="165D2FDC"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XHANU</w:t>
            </w:r>
          </w:p>
        </w:tc>
        <w:tc>
          <w:tcPr>
            <w:tcW w:w="1069" w:type="dxa"/>
            <w:vAlign w:val="center"/>
          </w:tcPr>
          <w:p w14:paraId="1001B902"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FM</w:t>
            </w:r>
          </w:p>
        </w:tc>
        <w:tc>
          <w:tcPr>
            <w:tcW w:w="1560" w:type="dxa"/>
            <w:vAlign w:val="center"/>
          </w:tcPr>
          <w:p w14:paraId="2D232A0A"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102.3 MHz</w:t>
            </w:r>
          </w:p>
        </w:tc>
        <w:tc>
          <w:tcPr>
            <w:tcW w:w="2126" w:type="dxa"/>
            <w:vAlign w:val="center"/>
          </w:tcPr>
          <w:p w14:paraId="391090D5" w14:textId="77777777" w:rsidR="00743DF6" w:rsidRPr="00F82EAB" w:rsidDel="008A3EAE"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Autlán de Navarro</w:t>
            </w:r>
          </w:p>
        </w:tc>
        <w:tc>
          <w:tcPr>
            <w:tcW w:w="1417" w:type="dxa"/>
            <w:vAlign w:val="center"/>
          </w:tcPr>
          <w:p w14:paraId="3B1E0560" w14:textId="2CC73EE6" w:rsidR="00743DF6" w:rsidRPr="00F82EAB" w:rsidRDefault="00743DF6" w:rsidP="00743DF6">
            <w:pPr>
              <w:spacing w:afterLines="120" w:after="288" w:line="240" w:lineRule="auto"/>
              <w:jc w:val="center"/>
              <w:rPr>
                <w:rFonts w:ascii="ITC Avant Garde" w:hAnsi="ITC Avant Garde"/>
                <w:sz w:val="16"/>
                <w:szCs w:val="16"/>
              </w:rPr>
            </w:pPr>
            <w:r>
              <w:rPr>
                <w:rFonts w:ascii="ITC Avant Garde" w:hAnsi="ITC Avant Garde"/>
                <w:sz w:val="16"/>
                <w:szCs w:val="16"/>
              </w:rPr>
              <w:t xml:space="preserve">1 de </w:t>
            </w:r>
            <w:r w:rsidRPr="00F82EAB">
              <w:rPr>
                <w:rFonts w:ascii="ITC Avant Garde" w:hAnsi="ITC Avant Garde"/>
                <w:sz w:val="16"/>
                <w:szCs w:val="16"/>
              </w:rPr>
              <w:t>agosto</w:t>
            </w:r>
            <w:r>
              <w:rPr>
                <w:rFonts w:ascii="ITC Avant Garde" w:hAnsi="ITC Avant Garde"/>
                <w:sz w:val="16"/>
                <w:szCs w:val="16"/>
              </w:rPr>
              <w:t xml:space="preserve"> de </w:t>
            </w:r>
            <w:r w:rsidRPr="00F82EAB">
              <w:rPr>
                <w:rFonts w:ascii="ITC Avant Garde" w:hAnsi="ITC Avant Garde"/>
                <w:sz w:val="16"/>
                <w:szCs w:val="16"/>
              </w:rPr>
              <w:t>2016</w:t>
            </w:r>
          </w:p>
        </w:tc>
        <w:tc>
          <w:tcPr>
            <w:tcW w:w="1417" w:type="dxa"/>
            <w:vAlign w:val="center"/>
          </w:tcPr>
          <w:p w14:paraId="4A4E07EA" w14:textId="47545C05" w:rsidR="00743DF6" w:rsidRPr="00F82EAB" w:rsidRDefault="00743DF6" w:rsidP="00743DF6">
            <w:pPr>
              <w:spacing w:afterLines="120" w:after="288" w:line="240" w:lineRule="auto"/>
              <w:jc w:val="center"/>
              <w:rPr>
                <w:rFonts w:ascii="ITC Avant Garde" w:hAnsi="ITC Avant Garde"/>
                <w:sz w:val="16"/>
                <w:szCs w:val="16"/>
              </w:rPr>
            </w:pPr>
            <w:r>
              <w:rPr>
                <w:rFonts w:ascii="ITC Avant Garde" w:hAnsi="ITC Avant Garde"/>
                <w:sz w:val="16"/>
                <w:szCs w:val="16"/>
              </w:rPr>
              <w:t xml:space="preserve">27 de </w:t>
            </w:r>
            <w:r w:rsidRPr="00F82EAB">
              <w:rPr>
                <w:rFonts w:ascii="ITC Avant Garde" w:hAnsi="ITC Avant Garde"/>
                <w:sz w:val="16"/>
                <w:szCs w:val="16"/>
              </w:rPr>
              <w:t>enero</w:t>
            </w:r>
            <w:r>
              <w:rPr>
                <w:rFonts w:ascii="ITC Avant Garde" w:hAnsi="ITC Avant Garde"/>
                <w:sz w:val="16"/>
                <w:szCs w:val="16"/>
              </w:rPr>
              <w:t xml:space="preserve"> de </w:t>
            </w:r>
            <w:r w:rsidRPr="00F82EAB">
              <w:rPr>
                <w:rFonts w:ascii="ITC Avant Garde" w:hAnsi="ITC Avant Garde"/>
                <w:sz w:val="16"/>
                <w:szCs w:val="16"/>
              </w:rPr>
              <w:t>2017</w:t>
            </w:r>
          </w:p>
        </w:tc>
      </w:tr>
      <w:tr w:rsidR="00743DF6" w:rsidRPr="00565BC2" w14:paraId="23155A41" w14:textId="2E9270E7" w:rsidTr="00315B9B">
        <w:tc>
          <w:tcPr>
            <w:tcW w:w="486" w:type="dxa"/>
            <w:vAlign w:val="center"/>
          </w:tcPr>
          <w:p w14:paraId="17DF3768"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2</w:t>
            </w:r>
          </w:p>
        </w:tc>
        <w:tc>
          <w:tcPr>
            <w:tcW w:w="1275" w:type="dxa"/>
            <w:vAlign w:val="center"/>
          </w:tcPr>
          <w:p w14:paraId="695D502B"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XHGZ</w:t>
            </w:r>
          </w:p>
        </w:tc>
        <w:tc>
          <w:tcPr>
            <w:tcW w:w="1069" w:type="dxa"/>
            <w:vAlign w:val="center"/>
          </w:tcPr>
          <w:p w14:paraId="3BD97516"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FM</w:t>
            </w:r>
          </w:p>
        </w:tc>
        <w:tc>
          <w:tcPr>
            <w:tcW w:w="1560" w:type="dxa"/>
            <w:vAlign w:val="center"/>
          </w:tcPr>
          <w:p w14:paraId="206DA350"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94.3 MHz</w:t>
            </w:r>
          </w:p>
        </w:tc>
        <w:tc>
          <w:tcPr>
            <w:tcW w:w="2126" w:type="dxa"/>
            <w:vAlign w:val="center"/>
          </w:tcPr>
          <w:p w14:paraId="291EF121" w14:textId="77777777" w:rsidR="00743DF6" w:rsidRPr="00F82EAB" w:rsidDel="008A3EAE"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Zapotlán El Grande</w:t>
            </w:r>
          </w:p>
        </w:tc>
        <w:tc>
          <w:tcPr>
            <w:tcW w:w="1417" w:type="dxa"/>
            <w:vAlign w:val="center"/>
          </w:tcPr>
          <w:p w14:paraId="4B18DB1B" w14:textId="74E9A9F0" w:rsidR="00743DF6" w:rsidRPr="00F82EAB" w:rsidRDefault="00743DF6" w:rsidP="00315B9B">
            <w:pPr>
              <w:spacing w:afterLines="120" w:after="288" w:line="240" w:lineRule="auto"/>
              <w:jc w:val="center"/>
              <w:rPr>
                <w:rFonts w:ascii="ITC Avant Garde" w:hAnsi="ITC Avant Garde"/>
                <w:sz w:val="16"/>
                <w:szCs w:val="16"/>
              </w:rPr>
            </w:pPr>
            <w:r>
              <w:rPr>
                <w:rFonts w:ascii="ITC Avant Garde" w:hAnsi="ITC Avant Garde"/>
                <w:sz w:val="16"/>
                <w:szCs w:val="16"/>
              </w:rPr>
              <w:t xml:space="preserve">1 de </w:t>
            </w:r>
            <w:r w:rsidRPr="00F82EAB">
              <w:rPr>
                <w:rFonts w:ascii="ITC Avant Garde" w:hAnsi="ITC Avant Garde"/>
                <w:sz w:val="16"/>
                <w:szCs w:val="16"/>
              </w:rPr>
              <w:t>agosto</w:t>
            </w:r>
            <w:r>
              <w:rPr>
                <w:rFonts w:ascii="ITC Avant Garde" w:hAnsi="ITC Avant Garde"/>
                <w:sz w:val="16"/>
                <w:szCs w:val="16"/>
              </w:rPr>
              <w:t xml:space="preserve"> de </w:t>
            </w:r>
            <w:r w:rsidRPr="00F82EAB">
              <w:rPr>
                <w:rFonts w:ascii="ITC Avant Garde" w:hAnsi="ITC Avant Garde"/>
                <w:sz w:val="16"/>
                <w:szCs w:val="16"/>
              </w:rPr>
              <w:t>2016</w:t>
            </w:r>
          </w:p>
        </w:tc>
        <w:tc>
          <w:tcPr>
            <w:tcW w:w="1417" w:type="dxa"/>
            <w:vAlign w:val="center"/>
          </w:tcPr>
          <w:p w14:paraId="4302200A" w14:textId="5D8253AF" w:rsidR="00743DF6" w:rsidRPr="00F82EAB" w:rsidRDefault="00743DF6" w:rsidP="00315B9B">
            <w:pPr>
              <w:spacing w:afterLines="120" w:after="288" w:line="240" w:lineRule="auto"/>
              <w:jc w:val="center"/>
              <w:rPr>
                <w:rFonts w:ascii="ITC Avant Garde" w:hAnsi="ITC Avant Garde"/>
                <w:sz w:val="16"/>
                <w:szCs w:val="16"/>
              </w:rPr>
            </w:pPr>
            <w:r>
              <w:rPr>
                <w:rFonts w:ascii="ITC Avant Garde" w:hAnsi="ITC Avant Garde"/>
                <w:sz w:val="16"/>
                <w:szCs w:val="16"/>
              </w:rPr>
              <w:t xml:space="preserve">27 de </w:t>
            </w:r>
            <w:r w:rsidRPr="00F82EAB">
              <w:rPr>
                <w:rFonts w:ascii="ITC Avant Garde" w:hAnsi="ITC Avant Garde"/>
                <w:sz w:val="16"/>
                <w:szCs w:val="16"/>
              </w:rPr>
              <w:t>enero</w:t>
            </w:r>
            <w:r>
              <w:rPr>
                <w:rFonts w:ascii="ITC Avant Garde" w:hAnsi="ITC Avant Garde"/>
                <w:sz w:val="16"/>
                <w:szCs w:val="16"/>
              </w:rPr>
              <w:t xml:space="preserve"> de </w:t>
            </w:r>
            <w:r w:rsidRPr="00F82EAB">
              <w:rPr>
                <w:rFonts w:ascii="ITC Avant Garde" w:hAnsi="ITC Avant Garde"/>
                <w:sz w:val="16"/>
                <w:szCs w:val="16"/>
              </w:rPr>
              <w:t>2017</w:t>
            </w:r>
          </w:p>
        </w:tc>
      </w:tr>
      <w:tr w:rsidR="00743DF6" w:rsidRPr="00565BC2" w14:paraId="29C337E3" w14:textId="4393FC78" w:rsidTr="00315B9B">
        <w:tc>
          <w:tcPr>
            <w:tcW w:w="486" w:type="dxa"/>
            <w:vAlign w:val="center"/>
          </w:tcPr>
          <w:p w14:paraId="05342C3C"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3</w:t>
            </w:r>
          </w:p>
        </w:tc>
        <w:tc>
          <w:tcPr>
            <w:tcW w:w="1275" w:type="dxa"/>
            <w:vAlign w:val="center"/>
          </w:tcPr>
          <w:p w14:paraId="3D91AB40"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XHUDG</w:t>
            </w:r>
          </w:p>
        </w:tc>
        <w:tc>
          <w:tcPr>
            <w:tcW w:w="1069" w:type="dxa"/>
            <w:vAlign w:val="center"/>
          </w:tcPr>
          <w:p w14:paraId="18638B99"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FM</w:t>
            </w:r>
          </w:p>
        </w:tc>
        <w:tc>
          <w:tcPr>
            <w:tcW w:w="1560" w:type="dxa"/>
            <w:vAlign w:val="center"/>
          </w:tcPr>
          <w:p w14:paraId="3DEF1BCA"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104.3 MHz</w:t>
            </w:r>
          </w:p>
        </w:tc>
        <w:tc>
          <w:tcPr>
            <w:tcW w:w="2126" w:type="dxa"/>
            <w:vAlign w:val="center"/>
          </w:tcPr>
          <w:p w14:paraId="1909D87F" w14:textId="77777777" w:rsidR="00743DF6" w:rsidRPr="00F82EAB" w:rsidDel="008A3EAE"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Guadalajara</w:t>
            </w:r>
          </w:p>
        </w:tc>
        <w:tc>
          <w:tcPr>
            <w:tcW w:w="1417" w:type="dxa"/>
            <w:vAlign w:val="center"/>
          </w:tcPr>
          <w:p w14:paraId="269F5FCF" w14:textId="4B7659FD" w:rsidR="00743DF6" w:rsidRPr="00F82EAB" w:rsidRDefault="00743DF6" w:rsidP="00315B9B">
            <w:pPr>
              <w:spacing w:afterLines="120" w:after="288" w:line="240" w:lineRule="auto"/>
              <w:jc w:val="center"/>
              <w:rPr>
                <w:rFonts w:ascii="ITC Avant Garde" w:hAnsi="ITC Avant Garde"/>
                <w:sz w:val="16"/>
                <w:szCs w:val="16"/>
              </w:rPr>
            </w:pPr>
            <w:r>
              <w:rPr>
                <w:rFonts w:ascii="ITC Avant Garde" w:hAnsi="ITC Avant Garde"/>
                <w:sz w:val="16"/>
                <w:szCs w:val="16"/>
              </w:rPr>
              <w:t xml:space="preserve">1 de </w:t>
            </w:r>
            <w:r w:rsidRPr="00F82EAB">
              <w:rPr>
                <w:rFonts w:ascii="ITC Avant Garde" w:hAnsi="ITC Avant Garde"/>
                <w:sz w:val="16"/>
                <w:szCs w:val="16"/>
              </w:rPr>
              <w:t>agosto</w:t>
            </w:r>
            <w:r>
              <w:rPr>
                <w:rFonts w:ascii="ITC Avant Garde" w:hAnsi="ITC Avant Garde"/>
                <w:sz w:val="16"/>
                <w:szCs w:val="16"/>
              </w:rPr>
              <w:t xml:space="preserve"> de </w:t>
            </w:r>
            <w:r w:rsidRPr="00F82EAB">
              <w:rPr>
                <w:rFonts w:ascii="ITC Avant Garde" w:hAnsi="ITC Avant Garde"/>
                <w:sz w:val="16"/>
                <w:szCs w:val="16"/>
              </w:rPr>
              <w:t>2016</w:t>
            </w:r>
          </w:p>
        </w:tc>
        <w:tc>
          <w:tcPr>
            <w:tcW w:w="1417" w:type="dxa"/>
            <w:vAlign w:val="center"/>
          </w:tcPr>
          <w:p w14:paraId="1F496375" w14:textId="0444D22A" w:rsidR="00743DF6" w:rsidRPr="00F82EAB" w:rsidRDefault="00743DF6" w:rsidP="00315B9B">
            <w:pPr>
              <w:spacing w:afterLines="120" w:after="288" w:line="240" w:lineRule="auto"/>
              <w:jc w:val="center"/>
              <w:rPr>
                <w:rFonts w:ascii="ITC Avant Garde" w:hAnsi="ITC Avant Garde"/>
                <w:sz w:val="16"/>
                <w:szCs w:val="16"/>
              </w:rPr>
            </w:pPr>
            <w:r>
              <w:rPr>
                <w:rFonts w:ascii="ITC Avant Garde" w:hAnsi="ITC Avant Garde"/>
                <w:sz w:val="16"/>
                <w:szCs w:val="16"/>
              </w:rPr>
              <w:t xml:space="preserve">27 de </w:t>
            </w:r>
            <w:r w:rsidRPr="00F82EAB">
              <w:rPr>
                <w:rFonts w:ascii="ITC Avant Garde" w:hAnsi="ITC Avant Garde"/>
                <w:sz w:val="16"/>
                <w:szCs w:val="16"/>
              </w:rPr>
              <w:t>enero</w:t>
            </w:r>
            <w:r>
              <w:rPr>
                <w:rFonts w:ascii="ITC Avant Garde" w:hAnsi="ITC Avant Garde"/>
                <w:sz w:val="16"/>
                <w:szCs w:val="16"/>
              </w:rPr>
              <w:t xml:space="preserve"> de </w:t>
            </w:r>
            <w:r w:rsidRPr="00F82EAB">
              <w:rPr>
                <w:rFonts w:ascii="ITC Avant Garde" w:hAnsi="ITC Avant Garde"/>
                <w:sz w:val="16"/>
                <w:szCs w:val="16"/>
              </w:rPr>
              <w:t>2017</w:t>
            </w:r>
          </w:p>
        </w:tc>
      </w:tr>
      <w:tr w:rsidR="00743DF6" w:rsidRPr="00565BC2" w14:paraId="2E026B62" w14:textId="5D794D81" w:rsidTr="00315B9B">
        <w:tc>
          <w:tcPr>
            <w:tcW w:w="486" w:type="dxa"/>
            <w:vAlign w:val="center"/>
          </w:tcPr>
          <w:p w14:paraId="4143B856"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4</w:t>
            </w:r>
          </w:p>
        </w:tc>
        <w:tc>
          <w:tcPr>
            <w:tcW w:w="1275" w:type="dxa"/>
            <w:vAlign w:val="center"/>
          </w:tcPr>
          <w:p w14:paraId="5E038FE9"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XHUGPV</w:t>
            </w:r>
          </w:p>
        </w:tc>
        <w:tc>
          <w:tcPr>
            <w:tcW w:w="1069" w:type="dxa"/>
            <w:vAlign w:val="center"/>
          </w:tcPr>
          <w:p w14:paraId="49B4C139"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FM</w:t>
            </w:r>
          </w:p>
        </w:tc>
        <w:tc>
          <w:tcPr>
            <w:tcW w:w="1560" w:type="dxa"/>
            <w:vAlign w:val="center"/>
          </w:tcPr>
          <w:p w14:paraId="366590E8" w14:textId="77777777" w:rsidR="00743DF6" w:rsidRPr="00F82EAB"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104.3 MHz</w:t>
            </w:r>
          </w:p>
        </w:tc>
        <w:tc>
          <w:tcPr>
            <w:tcW w:w="2126" w:type="dxa"/>
            <w:vAlign w:val="center"/>
          </w:tcPr>
          <w:p w14:paraId="7174EF04" w14:textId="77777777" w:rsidR="00743DF6" w:rsidRPr="00F82EAB" w:rsidDel="008A3EAE" w:rsidRDefault="00743DF6"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Puerto Vallarta</w:t>
            </w:r>
          </w:p>
        </w:tc>
        <w:tc>
          <w:tcPr>
            <w:tcW w:w="1417" w:type="dxa"/>
            <w:vAlign w:val="center"/>
          </w:tcPr>
          <w:p w14:paraId="557D636E" w14:textId="70DCBF76" w:rsidR="00743DF6" w:rsidRPr="00F82EAB" w:rsidRDefault="00743DF6" w:rsidP="00315B9B">
            <w:pPr>
              <w:spacing w:afterLines="120" w:after="288" w:line="240" w:lineRule="auto"/>
              <w:jc w:val="center"/>
              <w:rPr>
                <w:rFonts w:ascii="ITC Avant Garde" w:hAnsi="ITC Avant Garde"/>
                <w:sz w:val="16"/>
                <w:szCs w:val="16"/>
              </w:rPr>
            </w:pPr>
            <w:r>
              <w:rPr>
                <w:rFonts w:ascii="ITC Avant Garde" w:hAnsi="ITC Avant Garde"/>
                <w:sz w:val="16"/>
                <w:szCs w:val="16"/>
              </w:rPr>
              <w:t xml:space="preserve">1 de </w:t>
            </w:r>
            <w:r w:rsidRPr="00F82EAB">
              <w:rPr>
                <w:rFonts w:ascii="ITC Avant Garde" w:hAnsi="ITC Avant Garde"/>
                <w:sz w:val="16"/>
                <w:szCs w:val="16"/>
              </w:rPr>
              <w:t>agosto</w:t>
            </w:r>
            <w:r>
              <w:rPr>
                <w:rFonts w:ascii="ITC Avant Garde" w:hAnsi="ITC Avant Garde"/>
                <w:sz w:val="16"/>
                <w:szCs w:val="16"/>
              </w:rPr>
              <w:t xml:space="preserve"> de </w:t>
            </w:r>
            <w:r w:rsidRPr="00F82EAB">
              <w:rPr>
                <w:rFonts w:ascii="ITC Avant Garde" w:hAnsi="ITC Avant Garde"/>
                <w:sz w:val="16"/>
                <w:szCs w:val="16"/>
              </w:rPr>
              <w:t>2016</w:t>
            </w:r>
          </w:p>
        </w:tc>
        <w:tc>
          <w:tcPr>
            <w:tcW w:w="1417" w:type="dxa"/>
            <w:vAlign w:val="center"/>
          </w:tcPr>
          <w:p w14:paraId="119F2B14" w14:textId="6090659C" w:rsidR="00743DF6" w:rsidRPr="00F82EAB" w:rsidRDefault="00743DF6" w:rsidP="00315B9B">
            <w:pPr>
              <w:spacing w:afterLines="120" w:after="288" w:line="240" w:lineRule="auto"/>
              <w:jc w:val="center"/>
              <w:rPr>
                <w:rFonts w:ascii="ITC Avant Garde" w:hAnsi="ITC Avant Garde"/>
                <w:sz w:val="16"/>
                <w:szCs w:val="16"/>
              </w:rPr>
            </w:pPr>
            <w:r>
              <w:rPr>
                <w:rFonts w:ascii="ITC Avant Garde" w:hAnsi="ITC Avant Garde"/>
                <w:sz w:val="16"/>
                <w:szCs w:val="16"/>
              </w:rPr>
              <w:t xml:space="preserve">27 de </w:t>
            </w:r>
            <w:r w:rsidRPr="00F82EAB">
              <w:rPr>
                <w:rFonts w:ascii="ITC Avant Garde" w:hAnsi="ITC Avant Garde"/>
                <w:sz w:val="16"/>
                <w:szCs w:val="16"/>
              </w:rPr>
              <w:t>enero</w:t>
            </w:r>
            <w:r>
              <w:rPr>
                <w:rFonts w:ascii="ITC Avant Garde" w:hAnsi="ITC Avant Garde"/>
                <w:sz w:val="16"/>
                <w:szCs w:val="16"/>
              </w:rPr>
              <w:t xml:space="preserve"> de </w:t>
            </w:r>
            <w:r w:rsidRPr="00F82EAB">
              <w:rPr>
                <w:rFonts w:ascii="ITC Avant Garde" w:hAnsi="ITC Avant Garde"/>
                <w:sz w:val="16"/>
                <w:szCs w:val="16"/>
              </w:rPr>
              <w:t>2017</w:t>
            </w:r>
          </w:p>
        </w:tc>
      </w:tr>
      <w:tr w:rsidR="005D646A" w:rsidRPr="00565BC2" w14:paraId="69001476" w14:textId="77777777" w:rsidTr="00315B9B">
        <w:tc>
          <w:tcPr>
            <w:tcW w:w="486" w:type="dxa"/>
            <w:vAlign w:val="center"/>
          </w:tcPr>
          <w:p w14:paraId="47A3772F" w14:textId="567E1625"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5</w:t>
            </w:r>
          </w:p>
        </w:tc>
        <w:tc>
          <w:tcPr>
            <w:tcW w:w="1275" w:type="dxa"/>
            <w:vAlign w:val="center"/>
          </w:tcPr>
          <w:p w14:paraId="652026E1" w14:textId="0B08ACAC"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XHUGO</w:t>
            </w:r>
          </w:p>
        </w:tc>
        <w:tc>
          <w:tcPr>
            <w:tcW w:w="1069" w:type="dxa"/>
            <w:vAlign w:val="center"/>
          </w:tcPr>
          <w:p w14:paraId="1D8079A8" w14:textId="66D4F4FC"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FM</w:t>
            </w:r>
          </w:p>
        </w:tc>
        <w:tc>
          <w:tcPr>
            <w:tcW w:w="1560" w:type="dxa"/>
            <w:vAlign w:val="center"/>
          </w:tcPr>
          <w:p w14:paraId="64C7D56E" w14:textId="12C751B9"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107.9 MHz</w:t>
            </w:r>
          </w:p>
        </w:tc>
        <w:tc>
          <w:tcPr>
            <w:tcW w:w="2126" w:type="dxa"/>
            <w:vAlign w:val="center"/>
          </w:tcPr>
          <w:p w14:paraId="6153CE07" w14:textId="0396E873"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Ocotlán</w:t>
            </w:r>
          </w:p>
        </w:tc>
        <w:tc>
          <w:tcPr>
            <w:tcW w:w="1417" w:type="dxa"/>
            <w:vAlign w:val="center"/>
          </w:tcPr>
          <w:p w14:paraId="6713C00D" w14:textId="52C3B0B7" w:rsidR="005D646A" w:rsidRPr="00F82EAB" w:rsidRDefault="00743DF6" w:rsidP="00743DF6">
            <w:pPr>
              <w:spacing w:afterLines="120" w:after="288" w:line="240" w:lineRule="auto"/>
              <w:jc w:val="center"/>
              <w:rPr>
                <w:rFonts w:ascii="ITC Avant Garde" w:hAnsi="ITC Avant Garde"/>
                <w:sz w:val="16"/>
                <w:szCs w:val="16"/>
              </w:rPr>
            </w:pPr>
            <w:r>
              <w:rPr>
                <w:rFonts w:ascii="ITC Avant Garde" w:hAnsi="ITC Avant Garde"/>
                <w:sz w:val="16"/>
                <w:szCs w:val="16"/>
              </w:rPr>
              <w:t>12</w:t>
            </w:r>
            <w:r>
              <w:rPr>
                <w:rFonts w:ascii="ITC Avant Garde" w:hAnsi="ITC Avant Garde"/>
                <w:sz w:val="16"/>
                <w:szCs w:val="16"/>
              </w:rPr>
              <w:t xml:space="preserve"> de </w:t>
            </w:r>
            <w:r w:rsidRPr="00F82EAB">
              <w:rPr>
                <w:rFonts w:ascii="ITC Avant Garde" w:hAnsi="ITC Avant Garde"/>
                <w:sz w:val="16"/>
                <w:szCs w:val="16"/>
              </w:rPr>
              <w:t>enero</w:t>
            </w:r>
            <w:r>
              <w:rPr>
                <w:rFonts w:ascii="ITC Avant Garde" w:hAnsi="ITC Avant Garde"/>
                <w:sz w:val="16"/>
                <w:szCs w:val="16"/>
              </w:rPr>
              <w:t xml:space="preserve"> de </w:t>
            </w:r>
            <w:r w:rsidRPr="00F82EAB">
              <w:rPr>
                <w:rFonts w:ascii="ITC Avant Garde" w:hAnsi="ITC Avant Garde"/>
                <w:sz w:val="16"/>
                <w:szCs w:val="16"/>
              </w:rPr>
              <w:t>2017</w:t>
            </w:r>
          </w:p>
        </w:tc>
        <w:tc>
          <w:tcPr>
            <w:tcW w:w="1417" w:type="dxa"/>
            <w:vAlign w:val="center"/>
          </w:tcPr>
          <w:p w14:paraId="7BBBA6EF" w14:textId="2C2641D4" w:rsidR="005D646A" w:rsidRPr="00F82EAB" w:rsidRDefault="005D646A" w:rsidP="00336D38">
            <w:pPr>
              <w:spacing w:afterLines="120" w:after="288" w:line="240" w:lineRule="auto"/>
              <w:jc w:val="center"/>
              <w:rPr>
                <w:rFonts w:ascii="ITC Avant Garde" w:hAnsi="ITC Avant Garde"/>
                <w:sz w:val="16"/>
                <w:szCs w:val="16"/>
              </w:rPr>
            </w:pPr>
            <w:r w:rsidRPr="00F82EAB">
              <w:rPr>
                <w:rFonts w:ascii="ITC Avant Garde" w:hAnsi="ITC Avant Garde"/>
                <w:sz w:val="16"/>
                <w:szCs w:val="16"/>
              </w:rPr>
              <w:t>11</w:t>
            </w:r>
            <w:r w:rsidR="00336D38">
              <w:rPr>
                <w:rFonts w:ascii="ITC Avant Garde" w:hAnsi="ITC Avant Garde"/>
                <w:sz w:val="16"/>
                <w:szCs w:val="16"/>
              </w:rPr>
              <w:t xml:space="preserve"> de julio de </w:t>
            </w:r>
            <w:r w:rsidRPr="00F82EAB">
              <w:rPr>
                <w:rFonts w:ascii="ITC Avant Garde" w:hAnsi="ITC Avant Garde"/>
                <w:sz w:val="16"/>
                <w:szCs w:val="16"/>
              </w:rPr>
              <w:t>2017</w:t>
            </w:r>
          </w:p>
        </w:tc>
      </w:tr>
      <w:tr w:rsidR="005D646A" w:rsidRPr="00565BC2" w14:paraId="5EAFF841" w14:textId="77777777" w:rsidTr="00315B9B">
        <w:tc>
          <w:tcPr>
            <w:tcW w:w="486" w:type="dxa"/>
            <w:vAlign w:val="center"/>
          </w:tcPr>
          <w:p w14:paraId="431DD39A" w14:textId="3E24684D"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6</w:t>
            </w:r>
          </w:p>
        </w:tc>
        <w:tc>
          <w:tcPr>
            <w:tcW w:w="1275" w:type="dxa"/>
            <w:vAlign w:val="center"/>
          </w:tcPr>
          <w:p w14:paraId="6A4B8187" w14:textId="4F6026C5"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XHUGL</w:t>
            </w:r>
          </w:p>
        </w:tc>
        <w:tc>
          <w:tcPr>
            <w:tcW w:w="1069" w:type="dxa"/>
            <w:vAlign w:val="center"/>
          </w:tcPr>
          <w:p w14:paraId="6DB4F5ED" w14:textId="36BC26BD"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FM</w:t>
            </w:r>
          </w:p>
        </w:tc>
        <w:tc>
          <w:tcPr>
            <w:tcW w:w="1560" w:type="dxa"/>
            <w:vAlign w:val="center"/>
          </w:tcPr>
          <w:p w14:paraId="524B75CA" w14:textId="6B26EBF6"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104.7 MHz</w:t>
            </w:r>
          </w:p>
        </w:tc>
        <w:tc>
          <w:tcPr>
            <w:tcW w:w="2126" w:type="dxa"/>
            <w:vAlign w:val="center"/>
          </w:tcPr>
          <w:p w14:paraId="33F2A76A" w14:textId="4F372B43"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Lagos de Moreno</w:t>
            </w:r>
          </w:p>
        </w:tc>
        <w:tc>
          <w:tcPr>
            <w:tcW w:w="1417" w:type="dxa"/>
            <w:vAlign w:val="center"/>
          </w:tcPr>
          <w:p w14:paraId="7F0D6FF6" w14:textId="0009389D" w:rsidR="005D646A" w:rsidRPr="00F82EAB" w:rsidRDefault="00743DF6" w:rsidP="00315B9B">
            <w:pPr>
              <w:spacing w:afterLines="120" w:after="288" w:line="240" w:lineRule="auto"/>
              <w:jc w:val="center"/>
              <w:rPr>
                <w:rFonts w:ascii="ITC Avant Garde" w:hAnsi="ITC Avant Garde"/>
                <w:sz w:val="16"/>
                <w:szCs w:val="16"/>
              </w:rPr>
            </w:pPr>
            <w:r>
              <w:rPr>
                <w:rFonts w:ascii="ITC Avant Garde" w:hAnsi="ITC Avant Garde"/>
                <w:sz w:val="16"/>
                <w:szCs w:val="16"/>
              </w:rPr>
              <w:t xml:space="preserve">12 de </w:t>
            </w:r>
            <w:r w:rsidRPr="00F82EAB">
              <w:rPr>
                <w:rFonts w:ascii="ITC Avant Garde" w:hAnsi="ITC Avant Garde"/>
                <w:sz w:val="16"/>
                <w:szCs w:val="16"/>
              </w:rPr>
              <w:t>enero</w:t>
            </w:r>
            <w:r>
              <w:rPr>
                <w:rFonts w:ascii="ITC Avant Garde" w:hAnsi="ITC Avant Garde"/>
                <w:sz w:val="16"/>
                <w:szCs w:val="16"/>
              </w:rPr>
              <w:t xml:space="preserve"> de </w:t>
            </w:r>
            <w:r w:rsidRPr="00F82EAB">
              <w:rPr>
                <w:rFonts w:ascii="ITC Avant Garde" w:hAnsi="ITC Avant Garde"/>
                <w:sz w:val="16"/>
                <w:szCs w:val="16"/>
              </w:rPr>
              <w:t>2017</w:t>
            </w:r>
          </w:p>
        </w:tc>
        <w:tc>
          <w:tcPr>
            <w:tcW w:w="1417" w:type="dxa"/>
            <w:vAlign w:val="center"/>
          </w:tcPr>
          <w:p w14:paraId="418D2422" w14:textId="78998190" w:rsidR="005D646A" w:rsidRPr="00F82EAB" w:rsidRDefault="00336D38"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11</w:t>
            </w:r>
            <w:r>
              <w:rPr>
                <w:rFonts w:ascii="ITC Avant Garde" w:hAnsi="ITC Avant Garde"/>
                <w:sz w:val="16"/>
                <w:szCs w:val="16"/>
              </w:rPr>
              <w:t xml:space="preserve"> de julio de </w:t>
            </w:r>
            <w:r w:rsidRPr="00F82EAB">
              <w:rPr>
                <w:rFonts w:ascii="ITC Avant Garde" w:hAnsi="ITC Avant Garde"/>
                <w:sz w:val="16"/>
                <w:szCs w:val="16"/>
              </w:rPr>
              <w:t>2017</w:t>
            </w:r>
          </w:p>
        </w:tc>
      </w:tr>
      <w:tr w:rsidR="005D646A" w:rsidRPr="00565BC2" w14:paraId="62820AD8" w14:textId="77777777" w:rsidTr="00315B9B">
        <w:tc>
          <w:tcPr>
            <w:tcW w:w="486" w:type="dxa"/>
            <w:vAlign w:val="center"/>
          </w:tcPr>
          <w:p w14:paraId="1FD3AF88" w14:textId="15C22A2B"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7</w:t>
            </w:r>
          </w:p>
        </w:tc>
        <w:tc>
          <w:tcPr>
            <w:tcW w:w="1275" w:type="dxa"/>
            <w:vAlign w:val="center"/>
          </w:tcPr>
          <w:p w14:paraId="1701A6B0" w14:textId="12837C97"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XHUGA</w:t>
            </w:r>
          </w:p>
        </w:tc>
        <w:tc>
          <w:tcPr>
            <w:tcW w:w="1069" w:type="dxa"/>
            <w:vAlign w:val="center"/>
          </w:tcPr>
          <w:p w14:paraId="35645CD8" w14:textId="594F58C3"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FM</w:t>
            </w:r>
          </w:p>
        </w:tc>
        <w:tc>
          <w:tcPr>
            <w:tcW w:w="1560" w:type="dxa"/>
            <w:vAlign w:val="center"/>
          </w:tcPr>
          <w:p w14:paraId="664A9911" w14:textId="540D1B9D"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105.5 MHz</w:t>
            </w:r>
          </w:p>
        </w:tc>
        <w:tc>
          <w:tcPr>
            <w:tcW w:w="2126" w:type="dxa"/>
            <w:vAlign w:val="center"/>
          </w:tcPr>
          <w:p w14:paraId="56DF0FC5" w14:textId="15E929A8"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Ameca</w:t>
            </w:r>
          </w:p>
        </w:tc>
        <w:tc>
          <w:tcPr>
            <w:tcW w:w="1417" w:type="dxa"/>
            <w:vAlign w:val="center"/>
          </w:tcPr>
          <w:p w14:paraId="466CD64D" w14:textId="0C2E329E" w:rsidR="005D646A" w:rsidRPr="00F82EAB" w:rsidRDefault="005D646A" w:rsidP="00336D38">
            <w:pPr>
              <w:spacing w:afterLines="120" w:after="288" w:line="240" w:lineRule="auto"/>
              <w:jc w:val="center"/>
              <w:rPr>
                <w:rFonts w:ascii="ITC Avant Garde" w:hAnsi="ITC Avant Garde"/>
                <w:sz w:val="16"/>
                <w:szCs w:val="16"/>
              </w:rPr>
            </w:pPr>
            <w:r w:rsidRPr="00F82EAB">
              <w:rPr>
                <w:rFonts w:ascii="ITC Avant Garde" w:hAnsi="ITC Avant Garde"/>
                <w:sz w:val="16"/>
                <w:szCs w:val="16"/>
              </w:rPr>
              <w:t>13</w:t>
            </w:r>
            <w:r w:rsidR="00336D38">
              <w:rPr>
                <w:rFonts w:ascii="ITC Avant Garde" w:hAnsi="ITC Avant Garde"/>
                <w:sz w:val="16"/>
                <w:szCs w:val="16"/>
              </w:rPr>
              <w:t xml:space="preserve"> de marzo de 20</w:t>
            </w:r>
            <w:r w:rsidRPr="00F82EAB">
              <w:rPr>
                <w:rFonts w:ascii="ITC Avant Garde" w:hAnsi="ITC Avant Garde"/>
                <w:sz w:val="16"/>
                <w:szCs w:val="16"/>
              </w:rPr>
              <w:t>17</w:t>
            </w:r>
          </w:p>
        </w:tc>
        <w:tc>
          <w:tcPr>
            <w:tcW w:w="1417" w:type="dxa"/>
            <w:vAlign w:val="center"/>
          </w:tcPr>
          <w:p w14:paraId="58662ABA" w14:textId="3FC6B38B" w:rsidR="005D646A" w:rsidRPr="00F82EAB" w:rsidRDefault="00336D38" w:rsidP="00336D38">
            <w:pPr>
              <w:spacing w:afterLines="120" w:after="288" w:line="240" w:lineRule="auto"/>
              <w:jc w:val="center"/>
              <w:rPr>
                <w:rFonts w:ascii="ITC Avant Garde" w:hAnsi="ITC Avant Garde"/>
                <w:sz w:val="16"/>
                <w:szCs w:val="16"/>
              </w:rPr>
            </w:pPr>
            <w:r>
              <w:rPr>
                <w:rFonts w:ascii="ITC Avant Garde" w:hAnsi="ITC Avant Garde"/>
                <w:sz w:val="16"/>
                <w:szCs w:val="16"/>
              </w:rPr>
              <w:t xml:space="preserve">14 de </w:t>
            </w:r>
            <w:r w:rsidR="005D646A" w:rsidRPr="00F82EAB">
              <w:rPr>
                <w:rFonts w:ascii="ITC Avant Garde" w:hAnsi="ITC Avant Garde"/>
                <w:sz w:val="16"/>
                <w:szCs w:val="16"/>
              </w:rPr>
              <w:t>sept</w:t>
            </w:r>
            <w:r>
              <w:rPr>
                <w:rFonts w:ascii="ITC Avant Garde" w:hAnsi="ITC Avant Garde"/>
                <w:sz w:val="16"/>
                <w:szCs w:val="16"/>
              </w:rPr>
              <w:t>iembre de 20</w:t>
            </w:r>
            <w:r w:rsidR="005D646A" w:rsidRPr="00F82EAB">
              <w:rPr>
                <w:rFonts w:ascii="ITC Avant Garde" w:hAnsi="ITC Avant Garde"/>
                <w:sz w:val="16"/>
                <w:szCs w:val="16"/>
              </w:rPr>
              <w:t>17</w:t>
            </w:r>
          </w:p>
        </w:tc>
      </w:tr>
      <w:tr w:rsidR="005D646A" w:rsidRPr="00565BC2" w14:paraId="016FEAE0" w14:textId="77777777" w:rsidTr="00315B9B">
        <w:tc>
          <w:tcPr>
            <w:tcW w:w="486" w:type="dxa"/>
            <w:vAlign w:val="center"/>
          </w:tcPr>
          <w:p w14:paraId="31E6E22D" w14:textId="54D85F14"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8</w:t>
            </w:r>
          </w:p>
        </w:tc>
        <w:tc>
          <w:tcPr>
            <w:tcW w:w="1275" w:type="dxa"/>
            <w:vAlign w:val="center"/>
          </w:tcPr>
          <w:p w14:paraId="017FACCC" w14:textId="2CEFE0C8"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XHUGC</w:t>
            </w:r>
          </w:p>
        </w:tc>
        <w:tc>
          <w:tcPr>
            <w:tcW w:w="1069" w:type="dxa"/>
            <w:vAlign w:val="center"/>
          </w:tcPr>
          <w:p w14:paraId="1A14B66C" w14:textId="098F2ED4"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FM</w:t>
            </w:r>
          </w:p>
        </w:tc>
        <w:tc>
          <w:tcPr>
            <w:tcW w:w="1560" w:type="dxa"/>
            <w:vAlign w:val="center"/>
          </w:tcPr>
          <w:p w14:paraId="27A71C70" w14:textId="55042A25"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104.7 MHZ</w:t>
            </w:r>
          </w:p>
        </w:tc>
        <w:tc>
          <w:tcPr>
            <w:tcW w:w="2126" w:type="dxa"/>
            <w:vAlign w:val="center"/>
          </w:tcPr>
          <w:p w14:paraId="50FAB370" w14:textId="1BD1B0F3" w:rsidR="005D646A" w:rsidRPr="00F82EAB" w:rsidRDefault="005D646A" w:rsidP="00315B9B">
            <w:pPr>
              <w:spacing w:afterLines="120" w:after="288" w:line="240" w:lineRule="auto"/>
              <w:jc w:val="center"/>
              <w:rPr>
                <w:rFonts w:ascii="ITC Avant Garde" w:hAnsi="ITC Avant Garde"/>
                <w:sz w:val="16"/>
                <w:szCs w:val="16"/>
              </w:rPr>
            </w:pPr>
            <w:r w:rsidRPr="00F82EAB">
              <w:rPr>
                <w:rFonts w:ascii="ITC Avant Garde" w:hAnsi="ITC Avant Garde"/>
                <w:sz w:val="16"/>
                <w:szCs w:val="16"/>
              </w:rPr>
              <w:t>Colotlán</w:t>
            </w:r>
          </w:p>
        </w:tc>
        <w:tc>
          <w:tcPr>
            <w:tcW w:w="1417" w:type="dxa"/>
            <w:vAlign w:val="center"/>
          </w:tcPr>
          <w:p w14:paraId="3CC2C177" w14:textId="205C47B3" w:rsidR="005D646A" w:rsidRPr="00F82EAB" w:rsidRDefault="00336D38" w:rsidP="00315B9B">
            <w:pPr>
              <w:spacing w:afterLines="120" w:after="288" w:line="240" w:lineRule="auto"/>
              <w:jc w:val="center"/>
              <w:rPr>
                <w:rFonts w:ascii="ITC Avant Garde" w:hAnsi="ITC Avant Garde"/>
                <w:sz w:val="16"/>
                <w:szCs w:val="16"/>
              </w:rPr>
            </w:pPr>
            <w:r>
              <w:rPr>
                <w:rFonts w:ascii="ITC Avant Garde" w:hAnsi="ITC Avant Garde"/>
                <w:sz w:val="16"/>
                <w:szCs w:val="16"/>
              </w:rPr>
              <w:t>01 de agosto de 20</w:t>
            </w:r>
            <w:r w:rsidR="005D646A" w:rsidRPr="00F82EAB">
              <w:rPr>
                <w:rFonts w:ascii="ITC Avant Garde" w:hAnsi="ITC Avant Garde"/>
                <w:sz w:val="16"/>
                <w:szCs w:val="16"/>
              </w:rPr>
              <w:t>17</w:t>
            </w:r>
          </w:p>
        </w:tc>
        <w:tc>
          <w:tcPr>
            <w:tcW w:w="1417" w:type="dxa"/>
            <w:vAlign w:val="center"/>
          </w:tcPr>
          <w:p w14:paraId="1684D86F" w14:textId="3EE4CC1B" w:rsidR="005D646A" w:rsidRPr="00F82EAB" w:rsidRDefault="00336D38" w:rsidP="00315B9B">
            <w:pPr>
              <w:spacing w:afterLines="120" w:after="288" w:line="240" w:lineRule="auto"/>
              <w:jc w:val="center"/>
              <w:rPr>
                <w:rFonts w:ascii="ITC Avant Garde" w:hAnsi="ITC Avant Garde"/>
                <w:sz w:val="16"/>
                <w:szCs w:val="16"/>
              </w:rPr>
            </w:pPr>
            <w:r>
              <w:rPr>
                <w:rFonts w:ascii="ITC Avant Garde" w:hAnsi="ITC Avant Garde"/>
                <w:sz w:val="16"/>
                <w:szCs w:val="16"/>
              </w:rPr>
              <w:t>8 de noviembre de 20</w:t>
            </w:r>
            <w:r w:rsidR="005D646A" w:rsidRPr="00F82EAB">
              <w:rPr>
                <w:rFonts w:ascii="ITC Avant Garde" w:hAnsi="ITC Avant Garde"/>
                <w:sz w:val="16"/>
                <w:szCs w:val="16"/>
              </w:rPr>
              <w:t>17</w:t>
            </w:r>
          </w:p>
        </w:tc>
      </w:tr>
    </w:tbl>
    <w:p w14:paraId="264F91AB" w14:textId="77777777" w:rsidR="005179B5" w:rsidRDefault="001E1607" w:rsidP="00315B9B">
      <w:pPr>
        <w:spacing w:before="360" w:afterLines="120" w:after="288"/>
        <w:jc w:val="both"/>
        <w:rPr>
          <w:rFonts w:ascii="ITC Avant Garde" w:eastAsia="Times New Roman" w:hAnsi="ITC Avant Garde"/>
          <w:bCs/>
          <w:noProof/>
          <w:color w:val="000000"/>
          <w:lang w:val="es-ES" w:eastAsia="es-MX"/>
        </w:rPr>
      </w:pPr>
      <w:r w:rsidRPr="00F82EAB">
        <w:rPr>
          <w:rFonts w:ascii="ITC Avant Garde" w:hAnsi="ITC Avant Garde"/>
          <w:bCs/>
          <w:noProof/>
          <w:color w:val="000000"/>
          <w:lang w:eastAsia="es-MX"/>
        </w:rPr>
        <w:t xml:space="preserve">En ese sentido, del análisis efectuado a la información remitida por la </w:t>
      </w:r>
      <w:r w:rsidR="00AB5F98" w:rsidRPr="00F82EAB">
        <w:rPr>
          <w:rFonts w:ascii="ITC Avant Garde" w:hAnsi="ITC Avant Garde"/>
          <w:bCs/>
          <w:noProof/>
          <w:color w:val="000000"/>
          <w:lang w:eastAsia="es-MX"/>
        </w:rPr>
        <w:t>U de G</w:t>
      </w:r>
      <w:r w:rsidRPr="00F82EAB">
        <w:rPr>
          <w:rFonts w:ascii="ITC Avant Garde" w:hAnsi="ITC Avant Garde"/>
          <w:bCs/>
          <w:noProof/>
          <w:color w:val="000000"/>
          <w:lang w:eastAsia="es-MX"/>
        </w:rPr>
        <w:t xml:space="preserve"> en atención a lo dispuesto por el segundo párrafo del artículo 86 de la Ley, 8 fracción IV de los Lineamientos de Generales </w:t>
      </w:r>
      <w:r w:rsidRPr="00F82EAB">
        <w:rPr>
          <w:rFonts w:ascii="ITC Avant Garde" w:hAnsi="ITC Avant Garde"/>
        </w:rPr>
        <w:t>para el Otorgamiento de las Concesiones</w:t>
      </w:r>
      <w:r w:rsidRPr="00F82EAB">
        <w:rPr>
          <w:rFonts w:ascii="ITC Avant Garde" w:hAnsi="ITC Avant Garde"/>
          <w:bCs/>
          <w:noProof/>
          <w:color w:val="000000"/>
          <w:lang w:eastAsia="es-MX"/>
        </w:rPr>
        <w:t xml:space="preserve"> y de la Condición 12 de los Títulos de Concesión antes referidos, así como de la contenida en los expedientes integrados de las estaciones de radiodifusión que nos ocupan en este Instituto, se desprende </w:t>
      </w:r>
      <w:r w:rsidRPr="00F82EAB">
        <w:rPr>
          <w:rFonts w:ascii="ITC Avant Garde" w:hAnsi="ITC Avant Garde"/>
          <w:bCs/>
        </w:rPr>
        <w:t xml:space="preserve">que los mecanismos descritos </w:t>
      </w:r>
      <w:r w:rsidRPr="00F82EAB">
        <w:rPr>
          <w:rFonts w:ascii="ITC Avant Garde" w:eastAsia="Times New Roman" w:hAnsi="ITC Avant Garde"/>
          <w:lang w:eastAsia="es-MX"/>
        </w:rPr>
        <w:t xml:space="preserve">resultan adecuados para garantizar </w:t>
      </w:r>
      <w:r w:rsidRPr="00F82EAB">
        <w:rPr>
          <w:rFonts w:ascii="ITC Avant Garde" w:eastAsia="Times New Roman" w:hAnsi="ITC Avant Garde"/>
          <w:lang w:eastAsia="es-MX"/>
        </w:rPr>
        <w:lastRenderedPageBreak/>
        <w:t xml:space="preserve">mediante su implementación los objetivos a que se refieren los artículos </w:t>
      </w:r>
      <w:r w:rsidRPr="00F82EAB">
        <w:rPr>
          <w:rFonts w:ascii="ITC Avant Garde" w:hAnsi="ITC Avant Garde"/>
          <w:bCs/>
          <w:color w:val="000000"/>
        </w:rPr>
        <w:t xml:space="preserve">anteriormente citados, </w:t>
      </w:r>
      <w:r w:rsidRPr="00F82EAB">
        <w:rPr>
          <w:rFonts w:ascii="ITC Avant Garde" w:eastAsia="Times New Roman" w:hAnsi="ITC Avant Garde"/>
          <w:lang w:eastAsia="es-MX"/>
        </w:rPr>
        <w:t xml:space="preserve">en los </w:t>
      </w:r>
      <w:r w:rsidRPr="00F82EAB">
        <w:rPr>
          <w:rFonts w:ascii="ITC Avant Garde" w:eastAsia="Times New Roman" w:hAnsi="ITC Avant Garde"/>
          <w:bCs/>
          <w:noProof/>
          <w:color w:val="000000"/>
          <w:lang w:val="es-ES" w:eastAsia="es-MX"/>
        </w:rPr>
        <w:t>términos siguientes:</w:t>
      </w:r>
    </w:p>
    <w:p w14:paraId="152DAC44" w14:textId="5CB1A68F" w:rsidR="0076223C" w:rsidRPr="00565BC2" w:rsidRDefault="006C797F" w:rsidP="005179B5">
      <w:pPr>
        <w:spacing w:afterLines="120" w:after="288"/>
        <w:jc w:val="both"/>
        <w:rPr>
          <w:rFonts w:ascii="ITC Avant Garde" w:hAnsi="ITC Avant Garde"/>
          <w:bCs/>
          <w:noProof/>
          <w:color w:val="000000"/>
          <w:lang w:eastAsia="es-MX"/>
        </w:rPr>
      </w:pPr>
      <w:r w:rsidRPr="00F82EAB">
        <w:rPr>
          <w:rFonts w:ascii="ITC Avant Garde" w:eastAsia="Times New Roman" w:hAnsi="ITC Avant Garde"/>
          <w:b/>
          <w:bCs/>
          <w:noProof/>
          <w:color w:val="000000"/>
          <w:lang w:val="es-ES" w:eastAsia="es-MX"/>
        </w:rPr>
        <w:t>A. Independencia editorial</w:t>
      </w:r>
      <w:r w:rsidRPr="00F82EAB">
        <w:rPr>
          <w:rFonts w:ascii="ITC Avant Garde" w:eastAsia="Times New Roman" w:hAnsi="ITC Avant Garde"/>
          <w:bCs/>
          <w:noProof/>
          <w:color w:val="000000"/>
          <w:lang w:val="es-ES" w:eastAsia="es-MX"/>
        </w:rPr>
        <w:t xml:space="preserve">. </w:t>
      </w:r>
      <w:r w:rsidR="00AB5F98" w:rsidRPr="00F82EAB">
        <w:rPr>
          <w:rFonts w:ascii="ITC Avant Garde" w:eastAsia="Times New Roman" w:hAnsi="ITC Avant Garde"/>
          <w:bCs/>
          <w:noProof/>
          <w:color w:val="000000"/>
          <w:lang w:val="es-ES" w:eastAsia="es-MX"/>
        </w:rPr>
        <w:t xml:space="preserve"> </w:t>
      </w:r>
      <w:r w:rsidR="00E25BB8" w:rsidRPr="00F82EAB">
        <w:rPr>
          <w:rFonts w:ascii="ITC Avant Garde" w:hAnsi="ITC Avant Garde"/>
          <w:bCs/>
        </w:rPr>
        <w:t xml:space="preserve">La U de G tiene como naturaleza y propósito cultural, la difusión de programación con fines educativos, incluyendo programas musicales, culturales e informativos, sin fines de lucro, de acuerdo a su </w:t>
      </w:r>
      <w:r w:rsidR="00E25BB8" w:rsidRPr="00F82EAB">
        <w:rPr>
          <w:rFonts w:ascii="ITC Avant Garde" w:hAnsi="ITC Avant Garde"/>
          <w:bCs/>
          <w:noProof/>
          <w:color w:val="000000"/>
          <w:lang w:eastAsia="es-MX"/>
        </w:rPr>
        <w:t>Ley Orgánica de la Universidad de Guadalajara (en lo sucesivo la “Ley Orgánica”), promulgada por el ejecutivo local, el 15 de enero de 1994, en ejecución del Decreto 15319 del H. Congreso del Estado de Jalisco.</w:t>
      </w:r>
    </w:p>
    <w:p w14:paraId="54739D7D" w14:textId="3BBC63C5" w:rsidR="000E3701" w:rsidRPr="00F82EAB" w:rsidRDefault="000E3701" w:rsidP="005179B5">
      <w:pPr>
        <w:spacing w:afterLines="120" w:after="288"/>
        <w:jc w:val="both"/>
        <w:rPr>
          <w:rFonts w:ascii="ITC Avant Garde" w:hAnsi="ITC Avant Garde"/>
          <w:bCs/>
        </w:rPr>
      </w:pPr>
      <w:r w:rsidRPr="00565BC2">
        <w:rPr>
          <w:rFonts w:ascii="ITC Avant Garde" w:hAnsi="ITC Avant Garde"/>
          <w:bCs/>
          <w:noProof/>
          <w:color w:val="000000"/>
          <w:lang w:eastAsia="es-MX"/>
        </w:rPr>
        <w:t>Al respecto, los artículos 4° y 6° del Estatuto General  de la U de G indican que los Centros temáticos son parte integrante de la Red Universitaria, entre dichos centros se encuentra el de Ciencias Económico-Administrativas, al que se encuentra adscrita la Operadora del Sistema Universitario de Radio, Televisión y Cinematografía</w:t>
      </w:r>
      <w:r w:rsidR="00085AD3" w:rsidRPr="00565BC2">
        <w:rPr>
          <w:rFonts w:ascii="ITC Avant Garde" w:hAnsi="ITC Avant Garde"/>
          <w:bCs/>
          <w:noProof/>
          <w:color w:val="000000"/>
          <w:lang w:eastAsia="es-MX"/>
        </w:rPr>
        <w:t xml:space="preserve"> (en lo sucesivo </w:t>
      </w:r>
      <w:r w:rsidR="0097043E">
        <w:rPr>
          <w:rFonts w:ascii="ITC Avant Garde" w:hAnsi="ITC Avant Garde"/>
          <w:bCs/>
          <w:noProof/>
          <w:color w:val="000000"/>
          <w:lang w:eastAsia="es-MX"/>
        </w:rPr>
        <w:t>el</w:t>
      </w:r>
      <w:r w:rsidR="0097043E" w:rsidRPr="00565BC2">
        <w:rPr>
          <w:rFonts w:ascii="ITC Avant Garde" w:hAnsi="ITC Avant Garde"/>
          <w:bCs/>
          <w:noProof/>
          <w:color w:val="000000"/>
          <w:lang w:eastAsia="es-MX"/>
        </w:rPr>
        <w:t xml:space="preserve"> </w:t>
      </w:r>
      <w:r w:rsidR="00085AD3" w:rsidRPr="00565BC2">
        <w:rPr>
          <w:rFonts w:ascii="ITC Avant Garde" w:hAnsi="ITC Avant Garde"/>
          <w:bCs/>
          <w:noProof/>
          <w:color w:val="000000"/>
          <w:lang w:eastAsia="es-MX"/>
        </w:rPr>
        <w:t>“SURT”)</w:t>
      </w:r>
      <w:r w:rsidRPr="00565BC2">
        <w:rPr>
          <w:rFonts w:ascii="ITC Avant Garde" w:hAnsi="ITC Avant Garde"/>
          <w:bCs/>
          <w:noProof/>
          <w:color w:val="000000"/>
          <w:lang w:eastAsia="es-MX"/>
        </w:rPr>
        <w:t xml:space="preserve"> instancia que con fundamento en el artículo 74 bis</w:t>
      </w:r>
      <w:r w:rsidRPr="00F82EAB">
        <w:rPr>
          <w:rFonts w:ascii="ITC Avant Garde" w:hAnsi="ITC Avant Garde"/>
          <w:bCs/>
        </w:rPr>
        <w:t xml:space="preserve"> 1 fracción I y II del Estatuto Orgánico del Centro Universitario de Ciencias Económico-Administrativa operará la estación de radiodifusión solicitada.</w:t>
      </w:r>
    </w:p>
    <w:p w14:paraId="2E7C8A7E" w14:textId="77777777" w:rsidR="005179B5" w:rsidRDefault="000E3701" w:rsidP="005179B5">
      <w:pPr>
        <w:spacing w:afterLines="120" w:after="288"/>
        <w:jc w:val="both"/>
        <w:rPr>
          <w:rFonts w:ascii="ITC Avant Garde" w:hAnsi="ITC Avant Garde"/>
          <w:bCs/>
        </w:rPr>
      </w:pPr>
      <w:r w:rsidRPr="00565BC2">
        <w:rPr>
          <w:rFonts w:ascii="ITC Avant Garde" w:hAnsi="ITC Avant Garde"/>
          <w:bCs/>
        </w:rPr>
        <w:t xml:space="preserve">En ese sentido </w:t>
      </w:r>
      <w:r w:rsidR="0076223C" w:rsidRPr="00565BC2">
        <w:rPr>
          <w:rFonts w:ascii="ITC Avant Garde" w:hAnsi="ITC Avant Garde"/>
          <w:bCs/>
        </w:rPr>
        <w:t>la U de G con el objeto de asegurar su independencia editorial</w:t>
      </w:r>
      <w:r w:rsidR="00085AD3" w:rsidRPr="00565BC2">
        <w:rPr>
          <w:rFonts w:ascii="ITC Avant Garde" w:hAnsi="ITC Avant Garde"/>
          <w:bCs/>
        </w:rPr>
        <w:t xml:space="preserve">, </w:t>
      </w:r>
      <w:r w:rsidR="0076223C" w:rsidRPr="00565BC2">
        <w:rPr>
          <w:rFonts w:ascii="ITC Avant Garde" w:hAnsi="ITC Avant Garde"/>
          <w:bCs/>
        </w:rPr>
        <w:t>una política imparcial y objetiva en su gestión, la participación ciudadana y la expresión de diversidades ideológicas, étnicas y culturales,</w:t>
      </w:r>
      <w:r w:rsidRPr="00565BC2">
        <w:rPr>
          <w:rFonts w:ascii="ITC Avant Garde" w:hAnsi="ITC Avant Garde"/>
          <w:bCs/>
        </w:rPr>
        <w:t xml:space="preserve"> el 30 de septiembre de 2016</w:t>
      </w:r>
      <w:r w:rsidR="00085AD3" w:rsidRPr="00565BC2">
        <w:rPr>
          <w:rFonts w:ascii="ITC Avant Garde" w:hAnsi="ITC Avant Garde"/>
          <w:bCs/>
        </w:rPr>
        <w:t xml:space="preserve"> mediante Acuerdo de la Sesión Ordinaria del Consejo de Administración de</w:t>
      </w:r>
      <w:r w:rsidR="0097043E">
        <w:rPr>
          <w:rFonts w:ascii="ITC Avant Garde" w:hAnsi="ITC Avant Garde"/>
          <w:bCs/>
        </w:rPr>
        <w:t xml:space="preserve">l </w:t>
      </w:r>
      <w:r w:rsidR="00085AD3" w:rsidRPr="00565BC2">
        <w:rPr>
          <w:rFonts w:ascii="ITC Avant Garde" w:hAnsi="ITC Avant Garde"/>
          <w:bCs/>
        </w:rPr>
        <w:t xml:space="preserve">SURT </w:t>
      </w:r>
      <w:r w:rsidR="0076223C" w:rsidRPr="00565BC2">
        <w:rPr>
          <w:rFonts w:ascii="ITC Avant Garde" w:hAnsi="ITC Avant Garde"/>
          <w:bCs/>
        </w:rPr>
        <w:t xml:space="preserve">aprobó </w:t>
      </w:r>
      <w:r w:rsidR="00085AD3" w:rsidRPr="00565BC2">
        <w:rPr>
          <w:rFonts w:ascii="ITC Avant Garde" w:hAnsi="ITC Avant Garde"/>
          <w:bCs/>
        </w:rPr>
        <w:t xml:space="preserve">los </w:t>
      </w:r>
      <w:r w:rsidR="0076223C" w:rsidRPr="00565BC2">
        <w:rPr>
          <w:rFonts w:ascii="ITC Avant Garde" w:hAnsi="ITC Avant Garde"/>
          <w:bCs/>
        </w:rPr>
        <w:t xml:space="preserve"> </w:t>
      </w:r>
      <w:r w:rsidR="00085AD3" w:rsidRPr="00565BC2">
        <w:rPr>
          <w:rFonts w:ascii="ITC Avant Garde" w:hAnsi="ITC Avant Garde"/>
          <w:bCs/>
          <w:i/>
        </w:rPr>
        <w:t>“Lineamientos del Consejo Ciudadano de Radiodifusión de la Universidad de Guadalajara”</w:t>
      </w:r>
      <w:r w:rsidR="00C874C4" w:rsidRPr="00F82EAB">
        <w:rPr>
          <w:rFonts w:ascii="ITC Avant Garde" w:hAnsi="ITC Avant Garde"/>
          <w:bCs/>
        </w:rPr>
        <w:t xml:space="preserve"> (en lo sucesivo los “Lineamientos del Consejo Ciudadano de la U de G”)</w:t>
      </w:r>
      <w:r w:rsidR="00085AD3" w:rsidRPr="00565BC2">
        <w:rPr>
          <w:rFonts w:ascii="ITC Avant Garde" w:hAnsi="ITC Avant Garde"/>
          <w:bCs/>
        </w:rPr>
        <w:t xml:space="preserve">, </w:t>
      </w:r>
      <w:r w:rsidR="0076223C" w:rsidRPr="00565BC2">
        <w:rPr>
          <w:rFonts w:ascii="ITC Avant Garde" w:hAnsi="ITC Avant Garde"/>
          <w:bCs/>
        </w:rPr>
        <w:t xml:space="preserve">en términos de lo dispuesto en el artículo 74 Bis 3 del Estatuto Orgánico del Centro Universitario de Ciencias Económico-Administrativa, </w:t>
      </w:r>
      <w:r w:rsidR="00FE6E16" w:rsidRPr="00565BC2">
        <w:rPr>
          <w:rFonts w:ascii="ITC Avant Garde" w:hAnsi="ITC Avant Garde"/>
          <w:bCs/>
        </w:rPr>
        <w:t xml:space="preserve">dichos Lineamientos prevén que la U de G contará con un órgano colegiado denominado Consejo Ciudadano que </w:t>
      </w:r>
      <w:r w:rsidR="0076223C" w:rsidRPr="00565BC2">
        <w:rPr>
          <w:rFonts w:ascii="ITC Avant Garde" w:hAnsi="ITC Avant Garde"/>
          <w:bCs/>
        </w:rPr>
        <w:t xml:space="preserve">tendrá entre otras, la facultad de opinión y asesoría de las acciones, políticas, programas y proyectos que desarrollen las emisoras </w:t>
      </w:r>
      <w:r w:rsidR="0097043E">
        <w:rPr>
          <w:rFonts w:ascii="ITC Avant Garde" w:hAnsi="ITC Avant Garde"/>
          <w:bCs/>
        </w:rPr>
        <w:t>r</w:t>
      </w:r>
      <w:r w:rsidR="0076223C" w:rsidRPr="00565BC2">
        <w:rPr>
          <w:rFonts w:ascii="ITC Avant Garde" w:hAnsi="ITC Avant Garde"/>
          <w:bCs/>
        </w:rPr>
        <w:t>adiof</w:t>
      </w:r>
      <w:r w:rsidR="0097043E">
        <w:rPr>
          <w:rFonts w:ascii="ITC Avant Garde" w:hAnsi="ITC Avant Garde"/>
          <w:bCs/>
        </w:rPr>
        <w:t>ó</w:t>
      </w:r>
      <w:r w:rsidR="0076223C" w:rsidRPr="00565BC2">
        <w:rPr>
          <w:rFonts w:ascii="ITC Avant Garde" w:hAnsi="ITC Avant Garde"/>
          <w:bCs/>
        </w:rPr>
        <w:t>nicas concesionadas</w:t>
      </w:r>
      <w:r w:rsidR="00FE6E16" w:rsidRPr="00565BC2">
        <w:rPr>
          <w:rFonts w:ascii="ITC Avant Garde" w:hAnsi="ITC Avant Garde"/>
          <w:bCs/>
        </w:rPr>
        <w:t>.</w:t>
      </w:r>
    </w:p>
    <w:p w14:paraId="0E439952" w14:textId="77777777" w:rsidR="005179B5" w:rsidRDefault="00E5473A" w:rsidP="005179B5">
      <w:pPr>
        <w:spacing w:afterLines="120" w:after="288"/>
        <w:jc w:val="both"/>
        <w:rPr>
          <w:rFonts w:ascii="ITC Avant Garde" w:hAnsi="ITC Avant Garde"/>
          <w:bCs/>
        </w:rPr>
      </w:pPr>
      <w:r w:rsidRPr="00F82EAB">
        <w:rPr>
          <w:rFonts w:ascii="ITC Avant Garde" w:hAnsi="ITC Avant Garde"/>
          <w:bCs/>
        </w:rPr>
        <w:t>E</w:t>
      </w:r>
      <w:r w:rsidR="00730EC1" w:rsidRPr="00565BC2">
        <w:rPr>
          <w:rFonts w:ascii="ITC Avant Garde" w:hAnsi="ITC Avant Garde"/>
          <w:bCs/>
        </w:rPr>
        <w:t>l artículo 2° de</w:t>
      </w:r>
      <w:r w:rsidR="00FE6E16" w:rsidRPr="00565BC2">
        <w:rPr>
          <w:rFonts w:ascii="ITC Avant Garde" w:hAnsi="ITC Avant Garde"/>
          <w:bCs/>
        </w:rPr>
        <w:t xml:space="preserve"> los </w:t>
      </w:r>
      <w:r w:rsidR="00730EC1" w:rsidRPr="00565BC2">
        <w:rPr>
          <w:rFonts w:ascii="ITC Avant Garde" w:hAnsi="ITC Avant Garde"/>
          <w:bCs/>
        </w:rPr>
        <w:t>Lineamientos del Consejo Ciudadano</w:t>
      </w:r>
      <w:r w:rsidR="00C874C4" w:rsidRPr="00F82EAB">
        <w:rPr>
          <w:rFonts w:ascii="ITC Avant Garde" w:hAnsi="ITC Avant Garde"/>
          <w:bCs/>
        </w:rPr>
        <w:t xml:space="preserve"> de la U de G</w:t>
      </w:r>
      <w:r w:rsidR="00730EC1" w:rsidRPr="00565BC2">
        <w:rPr>
          <w:rFonts w:ascii="ITC Avant Garde" w:hAnsi="ITC Avant Garde"/>
          <w:bCs/>
        </w:rPr>
        <w:t xml:space="preserve">, determina que este órgano plural de representación social se integrará  por cinco ciudadanos, los cuales serán elegidos mediante convocatoria pública y abierta, y desempeñaran su encargo de manera honorificas, es decir, sin que ello constituya una relación laboral con la U de G, el cual tendrá una duración de 3 (tres) años con posibilidad de reelección. </w:t>
      </w:r>
    </w:p>
    <w:p w14:paraId="6BC9807A" w14:textId="77777777" w:rsidR="005179B5" w:rsidRDefault="00121733" w:rsidP="005179B5">
      <w:pPr>
        <w:shd w:val="clear" w:color="auto" w:fill="FFFFFF" w:themeFill="background1"/>
        <w:spacing w:afterLines="120" w:after="288"/>
        <w:jc w:val="both"/>
        <w:rPr>
          <w:rFonts w:ascii="ITC Avant Garde" w:eastAsia="Times New Roman" w:hAnsi="ITC Avant Garde"/>
          <w:lang w:eastAsia="es-MX"/>
        </w:rPr>
      </w:pPr>
      <w:r w:rsidRPr="00F82EAB">
        <w:rPr>
          <w:rFonts w:ascii="ITC Avant Garde" w:eastAsia="Times New Roman" w:hAnsi="ITC Avant Garde"/>
          <w:lang w:eastAsia="es-MX"/>
        </w:rPr>
        <w:t xml:space="preserve">Por su parte, </w:t>
      </w:r>
      <w:r w:rsidR="00C874C4" w:rsidRPr="00F82EAB">
        <w:rPr>
          <w:rFonts w:ascii="ITC Avant Garde" w:eastAsia="Times New Roman" w:hAnsi="ITC Avant Garde"/>
          <w:lang w:eastAsia="es-MX"/>
        </w:rPr>
        <w:t xml:space="preserve">en </w:t>
      </w:r>
      <w:r w:rsidRPr="00F82EAB">
        <w:rPr>
          <w:rFonts w:ascii="ITC Avant Garde" w:eastAsia="Times New Roman" w:hAnsi="ITC Avant Garde"/>
          <w:lang w:eastAsia="es-MX"/>
        </w:rPr>
        <w:t xml:space="preserve">el artículo 3 de los Lineamiento referidos en el párrafo que antecede, </w:t>
      </w:r>
      <w:r w:rsidR="00C874C4" w:rsidRPr="00F82EAB">
        <w:rPr>
          <w:rFonts w:ascii="ITC Avant Garde" w:eastAsia="Times New Roman" w:hAnsi="ITC Avant Garde"/>
          <w:lang w:eastAsia="es-MX"/>
        </w:rPr>
        <w:t>se determinaron</w:t>
      </w:r>
      <w:r w:rsidRPr="00F82EAB">
        <w:rPr>
          <w:rFonts w:ascii="ITC Avant Garde" w:eastAsia="Times New Roman" w:hAnsi="ITC Avant Garde"/>
          <w:lang w:eastAsia="es-MX"/>
        </w:rPr>
        <w:t xml:space="preserve"> </w:t>
      </w:r>
      <w:r w:rsidR="00C874C4" w:rsidRPr="00F82EAB">
        <w:rPr>
          <w:rFonts w:ascii="ITC Avant Garde" w:eastAsia="Times New Roman" w:hAnsi="ITC Avant Garde"/>
          <w:lang w:eastAsia="es-MX"/>
        </w:rPr>
        <w:t xml:space="preserve">como </w:t>
      </w:r>
      <w:r w:rsidRPr="00F82EAB">
        <w:rPr>
          <w:rFonts w:ascii="ITC Avant Garde" w:eastAsia="Times New Roman" w:hAnsi="ITC Avant Garde"/>
          <w:lang w:eastAsia="es-MX"/>
        </w:rPr>
        <w:t>requisitos para ser Consejero Ciudadano:</w:t>
      </w:r>
    </w:p>
    <w:p w14:paraId="79BF09A8" w14:textId="77777777" w:rsidR="005179B5" w:rsidRDefault="00121733" w:rsidP="005179B5">
      <w:pPr>
        <w:spacing w:afterLines="120" w:after="288" w:line="240" w:lineRule="auto"/>
        <w:ind w:left="567" w:right="902"/>
        <w:jc w:val="both"/>
        <w:rPr>
          <w:rFonts w:ascii="ITC Avant Garde" w:eastAsia="Times New Roman" w:hAnsi="ITC Avant Garde"/>
          <w:i/>
          <w:sz w:val="20"/>
          <w:szCs w:val="20"/>
          <w:lang w:eastAsia="es-MX"/>
        </w:rPr>
      </w:pPr>
      <w:r w:rsidRPr="00F82EAB">
        <w:rPr>
          <w:rFonts w:ascii="ITC Avant Garde" w:eastAsia="Times New Roman" w:hAnsi="ITC Avant Garde"/>
          <w:i/>
          <w:sz w:val="20"/>
          <w:szCs w:val="20"/>
          <w:lang w:eastAsia="es-MX"/>
        </w:rPr>
        <w:lastRenderedPageBreak/>
        <w:t>“Artículo 3. Son requisitos para ser Consejero Ciudadano de Radiodifusión de la Universidad de Guadalajara:</w:t>
      </w:r>
    </w:p>
    <w:p w14:paraId="6AFDCA9A" w14:textId="2C52A635" w:rsidR="00121733" w:rsidRPr="00F82EAB" w:rsidRDefault="00121733" w:rsidP="005179B5">
      <w:pPr>
        <w:numPr>
          <w:ilvl w:val="0"/>
          <w:numId w:val="45"/>
        </w:numPr>
        <w:spacing w:afterLines="120" w:after="288" w:line="240" w:lineRule="auto"/>
        <w:ind w:left="993" w:right="902" w:hanging="142"/>
        <w:jc w:val="both"/>
        <w:rPr>
          <w:rFonts w:ascii="ITC Avant Garde" w:eastAsia="Times New Roman" w:hAnsi="ITC Avant Garde"/>
          <w:i/>
          <w:sz w:val="20"/>
          <w:szCs w:val="20"/>
          <w:lang w:eastAsia="es-MX"/>
        </w:rPr>
      </w:pPr>
      <w:r w:rsidRPr="00F82EAB">
        <w:rPr>
          <w:rFonts w:ascii="ITC Avant Garde" w:eastAsia="Times New Roman" w:hAnsi="ITC Avant Garde"/>
          <w:i/>
          <w:sz w:val="20"/>
          <w:szCs w:val="20"/>
          <w:lang w:eastAsia="es-MX"/>
        </w:rPr>
        <w:t>Ser ciudadano mexicano en pleno goce de sus derechos;</w:t>
      </w:r>
    </w:p>
    <w:p w14:paraId="25525DA6" w14:textId="77777777" w:rsidR="00121733" w:rsidRPr="00F82EAB" w:rsidRDefault="00121733" w:rsidP="005179B5">
      <w:pPr>
        <w:numPr>
          <w:ilvl w:val="0"/>
          <w:numId w:val="45"/>
        </w:numPr>
        <w:spacing w:afterLines="120" w:after="288" w:line="240" w:lineRule="auto"/>
        <w:ind w:left="993" w:right="902" w:hanging="142"/>
        <w:jc w:val="both"/>
        <w:rPr>
          <w:rFonts w:ascii="ITC Avant Garde" w:eastAsia="Times New Roman" w:hAnsi="ITC Avant Garde"/>
          <w:i/>
          <w:sz w:val="20"/>
          <w:szCs w:val="20"/>
          <w:lang w:eastAsia="es-MX"/>
        </w:rPr>
      </w:pPr>
      <w:r w:rsidRPr="00F82EAB">
        <w:rPr>
          <w:rFonts w:ascii="ITC Avant Garde" w:eastAsia="Times New Roman" w:hAnsi="ITC Avant Garde"/>
          <w:i/>
          <w:sz w:val="20"/>
          <w:szCs w:val="20"/>
          <w:lang w:eastAsia="es-MX"/>
        </w:rPr>
        <w:t>Ser mayor de dieciocho años cumplidos;</w:t>
      </w:r>
    </w:p>
    <w:p w14:paraId="63DF6BC4" w14:textId="77777777" w:rsidR="00121733" w:rsidRPr="00F82EAB" w:rsidRDefault="00121733" w:rsidP="005179B5">
      <w:pPr>
        <w:numPr>
          <w:ilvl w:val="0"/>
          <w:numId w:val="45"/>
        </w:numPr>
        <w:spacing w:afterLines="120" w:after="288" w:line="240" w:lineRule="auto"/>
        <w:ind w:left="993" w:right="902" w:hanging="142"/>
        <w:jc w:val="both"/>
        <w:rPr>
          <w:rFonts w:ascii="ITC Avant Garde" w:eastAsia="Times New Roman" w:hAnsi="ITC Avant Garde"/>
          <w:i/>
          <w:sz w:val="20"/>
          <w:szCs w:val="20"/>
          <w:lang w:eastAsia="es-MX"/>
        </w:rPr>
      </w:pPr>
      <w:r w:rsidRPr="00F82EAB">
        <w:rPr>
          <w:rFonts w:ascii="ITC Avant Garde" w:eastAsia="Times New Roman" w:hAnsi="ITC Avant Garde"/>
          <w:i/>
          <w:sz w:val="20"/>
          <w:szCs w:val="20"/>
          <w:lang w:eastAsia="es-MX"/>
        </w:rPr>
        <w:t>No haber sido condenado por delito intencional que amerite pena corporal de más de un año de prisión; y</w:t>
      </w:r>
    </w:p>
    <w:p w14:paraId="76A4C33D" w14:textId="77777777" w:rsidR="005179B5" w:rsidRDefault="00121733" w:rsidP="005179B5">
      <w:pPr>
        <w:numPr>
          <w:ilvl w:val="0"/>
          <w:numId w:val="45"/>
        </w:numPr>
        <w:spacing w:afterLines="120" w:after="288" w:line="240" w:lineRule="auto"/>
        <w:ind w:left="993" w:right="902" w:hanging="142"/>
        <w:jc w:val="both"/>
        <w:rPr>
          <w:rFonts w:ascii="ITC Avant Garde" w:eastAsia="Times New Roman" w:hAnsi="ITC Avant Garde"/>
          <w:i/>
          <w:sz w:val="20"/>
          <w:szCs w:val="20"/>
          <w:lang w:eastAsia="es-MX"/>
        </w:rPr>
      </w:pPr>
      <w:r w:rsidRPr="00F82EAB">
        <w:rPr>
          <w:rFonts w:ascii="ITC Avant Garde" w:eastAsia="Times New Roman" w:hAnsi="ITC Avant Garde"/>
          <w:i/>
          <w:sz w:val="20"/>
          <w:szCs w:val="20"/>
          <w:lang w:eastAsia="es-MX"/>
        </w:rPr>
        <w:t>No laborar o haber laborado con la Universidad de Guadalajara durante un periodo previo de dos años</w:t>
      </w:r>
      <w:r w:rsidR="00C84A24" w:rsidRPr="00F82EAB">
        <w:rPr>
          <w:rFonts w:ascii="ITC Avant Garde" w:eastAsia="Times New Roman" w:hAnsi="ITC Avant Garde"/>
          <w:i/>
          <w:sz w:val="20"/>
          <w:szCs w:val="20"/>
          <w:lang w:eastAsia="es-MX"/>
        </w:rPr>
        <w:t>, a</w:t>
      </w:r>
      <w:r w:rsidR="00C874C4" w:rsidRPr="00F82EAB">
        <w:rPr>
          <w:rFonts w:ascii="ITC Avant Garde" w:eastAsia="Times New Roman" w:hAnsi="ITC Avant Garde"/>
          <w:i/>
          <w:sz w:val="20"/>
          <w:szCs w:val="20"/>
          <w:lang w:eastAsia="es-MX"/>
        </w:rPr>
        <w:t>sí como no ser servidor público federal, estatal</w:t>
      </w:r>
      <w:r w:rsidR="00C84A24" w:rsidRPr="00F82EAB">
        <w:rPr>
          <w:rFonts w:ascii="ITC Avant Garde" w:eastAsia="Times New Roman" w:hAnsi="ITC Avant Garde"/>
          <w:i/>
          <w:sz w:val="20"/>
          <w:szCs w:val="20"/>
          <w:lang w:eastAsia="es-MX"/>
        </w:rPr>
        <w:t xml:space="preserve"> o municipal.</w:t>
      </w:r>
      <w:r w:rsidRPr="00F82EAB">
        <w:rPr>
          <w:rFonts w:ascii="ITC Avant Garde" w:eastAsia="Times New Roman" w:hAnsi="ITC Avant Garde"/>
          <w:i/>
          <w:sz w:val="20"/>
          <w:szCs w:val="20"/>
          <w:lang w:eastAsia="es-MX"/>
        </w:rPr>
        <w:t>”</w:t>
      </w:r>
    </w:p>
    <w:p w14:paraId="0203256F" w14:textId="77777777" w:rsidR="005179B5" w:rsidRDefault="00C874C4" w:rsidP="005179B5">
      <w:pPr>
        <w:spacing w:afterLines="120" w:after="288"/>
        <w:jc w:val="both"/>
        <w:rPr>
          <w:rFonts w:ascii="ITC Avant Garde" w:hAnsi="ITC Avant Garde"/>
          <w:bCs/>
        </w:rPr>
      </w:pPr>
      <w:r w:rsidRPr="00F82EAB">
        <w:rPr>
          <w:rFonts w:ascii="ITC Avant Garde" w:hAnsi="ITC Avant Garde"/>
          <w:bCs/>
        </w:rPr>
        <w:t>En relación a lo anterior, fue realizada la Convocatoria Pública para conformar el Consejo Ciudadano de Radiodifusión de la U de G el 28 de octubre de 2016, publicada en la Gaceta de la Universidad de la U de G y en la página electrónica de</w:t>
      </w:r>
      <w:r w:rsidR="0097043E">
        <w:rPr>
          <w:rFonts w:ascii="ITC Avant Garde" w:hAnsi="ITC Avant Garde"/>
          <w:bCs/>
        </w:rPr>
        <w:t>l</w:t>
      </w:r>
      <w:r w:rsidRPr="00F82EAB">
        <w:rPr>
          <w:rFonts w:ascii="ITC Avant Garde" w:hAnsi="ITC Avant Garde"/>
          <w:bCs/>
        </w:rPr>
        <w:t xml:space="preserve"> SURT, que estuvo vigente hasta el 16 de diciembre de 2016 y derivado de la cual el Consejo de Administración de la SURT mediante Sesión Ordinaria del 30 de enero de2017 designó como integrantes del Consejo Ciudadano de Radiodifusión de la U de G a los CC. María Eugenia García Sánchez, Neftalí LIzzette Haro Vázquez, Luis Sánchez Pérez, Andrés Villa Aldaco y José de Jesús Ibarra Cárdenas, tomando protesta de su cargo en  Sesión del Consejo de Administración de la SURT  celebrada el 13 de febrero de 2017, entregándose a los miembros del Consejo Ciudadano la constancia de su designación, quienes con fundamento en el artículo 4 de los Lineamientos del Consejo Ciudadano de la U de G tienen las siguientes funciones y atribuciones:</w:t>
      </w:r>
    </w:p>
    <w:p w14:paraId="5357359F" w14:textId="77777777" w:rsidR="005179B5" w:rsidRDefault="00121733" w:rsidP="005179B5">
      <w:pPr>
        <w:spacing w:afterLines="120" w:after="288" w:line="240" w:lineRule="auto"/>
        <w:ind w:left="567" w:right="902"/>
        <w:jc w:val="both"/>
        <w:rPr>
          <w:rFonts w:ascii="ITC Avant Garde" w:hAnsi="ITC Avant Garde"/>
          <w:i/>
          <w:sz w:val="20"/>
          <w:szCs w:val="20"/>
        </w:rPr>
      </w:pPr>
      <w:r w:rsidRPr="00F82EAB">
        <w:rPr>
          <w:rFonts w:ascii="ITC Avant Garde" w:hAnsi="ITC Avant Garde"/>
          <w:i/>
          <w:sz w:val="20"/>
          <w:szCs w:val="20"/>
        </w:rPr>
        <w:t>“Artículo 4. Son funciones y atribuciones del Consejo Ciudadano:</w:t>
      </w:r>
    </w:p>
    <w:p w14:paraId="09295A2E" w14:textId="4F322F8E" w:rsidR="00121733" w:rsidRPr="00F82EAB" w:rsidRDefault="00121733" w:rsidP="005179B5">
      <w:pPr>
        <w:pStyle w:val="Prrafodelista"/>
        <w:numPr>
          <w:ilvl w:val="0"/>
          <w:numId w:val="46"/>
        </w:numPr>
        <w:spacing w:afterLines="120" w:after="288"/>
        <w:ind w:left="993" w:right="902" w:hanging="142"/>
        <w:jc w:val="both"/>
        <w:rPr>
          <w:rFonts w:ascii="ITC Avant Garde" w:hAnsi="ITC Avant Garde"/>
          <w:i/>
          <w:sz w:val="20"/>
        </w:rPr>
      </w:pPr>
      <w:r w:rsidRPr="00F82EAB">
        <w:rPr>
          <w:rFonts w:ascii="ITC Avant Garde" w:hAnsi="ITC Avant Garde"/>
          <w:i/>
          <w:sz w:val="20"/>
        </w:rPr>
        <w:t xml:space="preserve">Coadyuvar a la definición de los criterios que las estaciones de radiodifusión de la Universidad de Guadalajara deberán seguir para asegurar la independencia y una política editorial imparcial y objetiva del Sistema; </w:t>
      </w:r>
    </w:p>
    <w:p w14:paraId="1275398E" w14:textId="77777777" w:rsidR="00121733" w:rsidRPr="00F82EAB" w:rsidRDefault="00121733" w:rsidP="005179B5">
      <w:pPr>
        <w:pStyle w:val="Prrafodelista"/>
        <w:numPr>
          <w:ilvl w:val="0"/>
          <w:numId w:val="46"/>
        </w:numPr>
        <w:spacing w:afterLines="120" w:after="288"/>
        <w:ind w:left="993" w:right="902" w:hanging="142"/>
        <w:jc w:val="both"/>
        <w:rPr>
          <w:rFonts w:ascii="ITC Avant Garde" w:hAnsi="ITC Avant Garde"/>
          <w:i/>
          <w:sz w:val="20"/>
        </w:rPr>
      </w:pPr>
      <w:r w:rsidRPr="00F82EAB">
        <w:rPr>
          <w:rFonts w:ascii="ITC Avant Garde" w:hAnsi="ITC Avant Garde"/>
          <w:i/>
          <w:sz w:val="20"/>
        </w:rPr>
        <w:t>Opinar y asesorar respecto de las acciones, políticas, programas y proyectos que desarrolle el sistema;</w:t>
      </w:r>
    </w:p>
    <w:p w14:paraId="362DC1D2" w14:textId="77777777" w:rsidR="00121733" w:rsidRPr="00F82EAB" w:rsidRDefault="00121733" w:rsidP="005179B5">
      <w:pPr>
        <w:pStyle w:val="Prrafodelista"/>
        <w:numPr>
          <w:ilvl w:val="0"/>
          <w:numId w:val="46"/>
        </w:numPr>
        <w:spacing w:afterLines="120" w:after="288"/>
        <w:ind w:left="993" w:right="902" w:hanging="142"/>
        <w:jc w:val="both"/>
        <w:rPr>
          <w:rFonts w:ascii="ITC Avant Garde" w:hAnsi="ITC Avant Garde"/>
          <w:i/>
          <w:sz w:val="20"/>
        </w:rPr>
      </w:pPr>
      <w:r w:rsidRPr="00F82EAB">
        <w:rPr>
          <w:rFonts w:ascii="ITC Avant Garde" w:hAnsi="ITC Avant Garde"/>
          <w:i/>
          <w:sz w:val="20"/>
        </w:rPr>
        <w:t>Elaborar y aprobar los criterios para asegurar la independencia editorial, así como las reglas para la expresión de diversidades ideológicas, étnicas y culturales, mismas que deberás ser remitidas y aprobadas por el Consejo de Administración de la Operadora;</w:t>
      </w:r>
    </w:p>
    <w:p w14:paraId="147168D6" w14:textId="77777777" w:rsidR="00121733" w:rsidRPr="00F82EAB" w:rsidRDefault="00121733" w:rsidP="005179B5">
      <w:pPr>
        <w:pStyle w:val="Prrafodelista"/>
        <w:numPr>
          <w:ilvl w:val="0"/>
          <w:numId w:val="46"/>
        </w:numPr>
        <w:spacing w:afterLines="120" w:after="288"/>
        <w:ind w:left="993" w:right="902" w:hanging="142"/>
        <w:jc w:val="both"/>
        <w:rPr>
          <w:rFonts w:ascii="ITC Avant Garde" w:hAnsi="ITC Avant Garde"/>
          <w:i/>
          <w:sz w:val="20"/>
        </w:rPr>
      </w:pPr>
      <w:r w:rsidRPr="00F82EAB">
        <w:rPr>
          <w:rFonts w:ascii="ITC Avant Garde" w:hAnsi="ITC Avant Garde"/>
          <w:i/>
          <w:sz w:val="20"/>
        </w:rPr>
        <w:t>Elaborar mecanismos de participación ciudadana a fin de atender las inquietudes y propuestas de los radioescuchas y televidentes;</w:t>
      </w:r>
    </w:p>
    <w:p w14:paraId="4956F9CA" w14:textId="77777777" w:rsidR="00C84A24" w:rsidRPr="00F82EAB" w:rsidRDefault="00121733" w:rsidP="005179B5">
      <w:pPr>
        <w:pStyle w:val="Prrafodelista"/>
        <w:numPr>
          <w:ilvl w:val="0"/>
          <w:numId w:val="46"/>
        </w:numPr>
        <w:spacing w:afterLines="120" w:after="288"/>
        <w:ind w:left="993" w:right="902" w:hanging="142"/>
        <w:jc w:val="both"/>
        <w:rPr>
          <w:rFonts w:ascii="ITC Avant Garde" w:hAnsi="ITC Avant Garde"/>
          <w:i/>
          <w:sz w:val="20"/>
        </w:rPr>
      </w:pPr>
      <w:r w:rsidRPr="00F82EAB">
        <w:rPr>
          <w:rFonts w:ascii="ITC Avant Garde" w:hAnsi="ITC Avant Garde"/>
          <w:i/>
          <w:sz w:val="20"/>
        </w:rPr>
        <w:lastRenderedPageBreak/>
        <w:t>Vigilar y emitir informes públicos sobre el cumplimiento de la Universidad de Guadalajara a los criterios establecidos para asegurar la independencia y una política editorial imparcial y objetiva de la operadora, con los términos de lo establecido en los Lineamientos Generales para el Otorgamiento de las Concesiones a que se refiere el Título Cuarto de la Ley Federal de Telecomunicaciones y Radiodifusión;</w:t>
      </w:r>
      <w:r w:rsidRPr="00F82EAB" w:rsidDel="00495742">
        <w:rPr>
          <w:rFonts w:ascii="ITC Avant Garde" w:hAnsi="ITC Avant Garde"/>
          <w:i/>
          <w:sz w:val="20"/>
        </w:rPr>
        <w:t xml:space="preserve"> </w:t>
      </w:r>
    </w:p>
    <w:p w14:paraId="446F5B38" w14:textId="77777777" w:rsidR="00C84A24" w:rsidRPr="00F82EAB" w:rsidRDefault="00C84A24" w:rsidP="005179B5">
      <w:pPr>
        <w:pStyle w:val="Prrafodelista"/>
        <w:numPr>
          <w:ilvl w:val="0"/>
          <w:numId w:val="46"/>
        </w:numPr>
        <w:spacing w:afterLines="120" w:after="288"/>
        <w:ind w:left="993" w:right="902" w:hanging="142"/>
        <w:jc w:val="both"/>
        <w:rPr>
          <w:rFonts w:ascii="ITC Avant Garde" w:hAnsi="ITC Avant Garde"/>
          <w:i/>
          <w:sz w:val="20"/>
        </w:rPr>
      </w:pPr>
      <w:r w:rsidRPr="00F82EAB">
        <w:rPr>
          <w:rFonts w:ascii="ITC Avant Garde" w:hAnsi="ITC Avant Garde"/>
          <w:i/>
          <w:sz w:val="20"/>
        </w:rPr>
        <w:t>Vigilar el debido cumplimiento de las Políticas de Radiodifusión y las disposiciones legales aplicables al Defensor de las Audiencias de Radiodifusión;</w:t>
      </w:r>
    </w:p>
    <w:p w14:paraId="72932949" w14:textId="77777777" w:rsidR="00C84A24" w:rsidRPr="00F82EAB" w:rsidRDefault="00C84A24" w:rsidP="005179B5">
      <w:pPr>
        <w:pStyle w:val="Prrafodelista"/>
        <w:numPr>
          <w:ilvl w:val="0"/>
          <w:numId w:val="46"/>
        </w:numPr>
        <w:spacing w:afterLines="120" w:after="288"/>
        <w:ind w:left="993" w:right="902" w:hanging="142"/>
        <w:jc w:val="both"/>
        <w:rPr>
          <w:rFonts w:ascii="ITC Avant Garde" w:hAnsi="ITC Avant Garde"/>
          <w:i/>
          <w:sz w:val="20"/>
        </w:rPr>
      </w:pPr>
      <w:r w:rsidRPr="00F82EAB">
        <w:rPr>
          <w:rFonts w:ascii="ITC Avant Garde" w:hAnsi="ITC Avant Garde"/>
          <w:i/>
          <w:sz w:val="20"/>
        </w:rPr>
        <w:t>Elaborar y aprobar su organización interna y demás disposiciones normativas necesarias para su desarrollo y funcionamiento, mismas que deberán ser remitidas y aprobadas por el Consejo de Administración de la Operadora; y</w:t>
      </w:r>
    </w:p>
    <w:p w14:paraId="49BACDB5" w14:textId="77777777" w:rsidR="005179B5" w:rsidRDefault="00C84A24" w:rsidP="005179B5">
      <w:pPr>
        <w:pStyle w:val="Prrafodelista"/>
        <w:numPr>
          <w:ilvl w:val="0"/>
          <w:numId w:val="46"/>
        </w:numPr>
        <w:spacing w:afterLines="120" w:after="288"/>
        <w:ind w:left="993" w:right="902" w:hanging="142"/>
        <w:jc w:val="both"/>
        <w:rPr>
          <w:rFonts w:ascii="ITC Avant Garde" w:hAnsi="ITC Avant Garde"/>
          <w:i/>
          <w:sz w:val="20"/>
        </w:rPr>
      </w:pPr>
      <w:r w:rsidRPr="00F82EAB">
        <w:rPr>
          <w:rFonts w:ascii="ITC Avant Garde" w:hAnsi="ITC Avant Garde"/>
          <w:i/>
          <w:sz w:val="20"/>
        </w:rPr>
        <w:t>Las demás que señalen las disposiciones aplicables.”</w:t>
      </w:r>
    </w:p>
    <w:p w14:paraId="26CB6C98" w14:textId="77777777" w:rsidR="005179B5" w:rsidRDefault="007E33A3" w:rsidP="005179B5">
      <w:pPr>
        <w:spacing w:afterLines="120" w:after="288"/>
        <w:jc w:val="both"/>
        <w:rPr>
          <w:rFonts w:ascii="ITC Avant Garde" w:hAnsi="ITC Avant Garde"/>
          <w:bCs/>
          <w:lang w:eastAsia="es-MX"/>
        </w:rPr>
      </w:pPr>
      <w:r w:rsidRPr="00F82EAB">
        <w:rPr>
          <w:rFonts w:ascii="ITC Avant Garde" w:hAnsi="ITC Avant Garde"/>
          <w:bCs/>
          <w:lang w:eastAsia="es-MX"/>
        </w:rPr>
        <w:t>En ese orden de ideas, el Consejo Ciudadano de la U de G en sesión del 1 de marzo de 2017 con fundamento en el artículo 4 fracción III de los Lineamientos del Consejo Ciudadano de Radiodifusión generó el documento denominado “</w:t>
      </w:r>
      <w:r w:rsidRPr="00F82EAB">
        <w:rPr>
          <w:rFonts w:ascii="ITC Avant Garde" w:hAnsi="ITC Avant Garde"/>
          <w:bCs/>
          <w:i/>
          <w:lang w:eastAsia="es-MX"/>
        </w:rPr>
        <w:t>Criterios Editoriales de Radiodifusión de la Universidad de Guadalajara”</w:t>
      </w:r>
      <w:r w:rsidRPr="00F82EAB">
        <w:rPr>
          <w:rFonts w:ascii="ITC Avant Garde" w:hAnsi="ITC Avant Garde"/>
          <w:bCs/>
          <w:lang w:eastAsia="es-MX"/>
        </w:rPr>
        <w:t>, mismos que fueron aprobados en la misma fecha por el Consejo de Administración de</w:t>
      </w:r>
      <w:r w:rsidR="0097043E">
        <w:rPr>
          <w:rFonts w:ascii="ITC Avant Garde" w:hAnsi="ITC Avant Garde"/>
          <w:bCs/>
          <w:lang w:eastAsia="es-MX"/>
        </w:rPr>
        <w:t>l</w:t>
      </w:r>
      <w:r w:rsidRPr="00F82EAB">
        <w:rPr>
          <w:rFonts w:ascii="ITC Avant Garde" w:hAnsi="ITC Avant Garde"/>
          <w:bCs/>
          <w:lang w:eastAsia="es-MX"/>
        </w:rPr>
        <w:t xml:space="preserve"> </w:t>
      </w:r>
      <w:r w:rsidR="0097043E">
        <w:rPr>
          <w:rFonts w:ascii="ITC Avant Garde" w:hAnsi="ITC Avant Garde"/>
          <w:bCs/>
          <w:lang w:eastAsia="es-MX"/>
        </w:rPr>
        <w:t>SURT</w:t>
      </w:r>
      <w:r w:rsidRPr="00F82EAB">
        <w:rPr>
          <w:rFonts w:ascii="ITC Avant Garde" w:hAnsi="ITC Avant Garde"/>
          <w:bCs/>
          <w:lang w:eastAsia="es-MX"/>
        </w:rPr>
        <w:t>, con fundamento en el artículo 74 bis 3 del Estatuto Orgánico del Centro Universitario de Ciencias Económico Administrativas, que se transcriben a continuación:</w:t>
      </w:r>
    </w:p>
    <w:p w14:paraId="70DC8D66" w14:textId="1E726CFA" w:rsidR="007E33A3" w:rsidRPr="00F82EAB" w:rsidRDefault="007E33A3" w:rsidP="005179B5">
      <w:pPr>
        <w:spacing w:afterLines="120" w:after="288" w:line="240" w:lineRule="auto"/>
        <w:ind w:left="567"/>
        <w:jc w:val="both"/>
        <w:rPr>
          <w:rFonts w:ascii="ITC Avant Garde" w:hAnsi="ITC Avant Garde"/>
          <w:bCs/>
          <w:i/>
          <w:sz w:val="20"/>
          <w:szCs w:val="20"/>
          <w:lang w:eastAsia="es-MX"/>
        </w:rPr>
      </w:pPr>
      <w:r w:rsidRPr="00F82EAB">
        <w:rPr>
          <w:rFonts w:ascii="ITC Avant Garde" w:hAnsi="ITC Avant Garde"/>
          <w:bCs/>
          <w:i/>
          <w:sz w:val="20"/>
          <w:szCs w:val="20"/>
          <w:lang w:eastAsia="es-MX"/>
        </w:rPr>
        <w:t>“</w:t>
      </w:r>
    </w:p>
    <w:p w14:paraId="73DCB95C" w14:textId="77777777" w:rsidR="005179B5" w:rsidRDefault="007E33A3" w:rsidP="005179B5">
      <w:pPr>
        <w:pStyle w:val="Prrafodelista"/>
        <w:numPr>
          <w:ilvl w:val="0"/>
          <w:numId w:val="47"/>
        </w:numPr>
        <w:spacing w:afterLines="120" w:after="288"/>
        <w:ind w:left="993" w:right="899" w:hanging="142"/>
        <w:jc w:val="both"/>
        <w:rPr>
          <w:rFonts w:ascii="ITC Avant Garde" w:hAnsi="ITC Avant Garde"/>
          <w:bCs/>
          <w:i/>
          <w:sz w:val="20"/>
          <w:lang w:eastAsia="es-MX"/>
        </w:rPr>
      </w:pPr>
      <w:r w:rsidRPr="00F82EAB">
        <w:rPr>
          <w:rFonts w:ascii="ITC Avant Garde" w:hAnsi="ITC Avant Garde"/>
          <w:bCs/>
          <w:i/>
          <w:sz w:val="20"/>
          <w:lang w:eastAsia="es-MX"/>
        </w:rPr>
        <w:t>La difusión se entiende como el conjunto de programas y acciones que contribuyen al desarrollo cultural y a la formación integral de la comunidad académica y de la sociedad. Se orienta a la propagación, preservación y enriquecimiento de la cultura en todas sus expresiones, incluidas las manifestaciones del arte, las ciencias, las humanidades y los valores. Las principales áreas de actividad que comprende son la producción y difusión artística, la divulgación científica, informática y humanística, el desarrollo y el uso de los medios de comunicación e información, la producción editorial y la preservación del patrimonio cultural.</w:t>
      </w:r>
    </w:p>
    <w:p w14:paraId="5ED211BD" w14:textId="77777777" w:rsidR="005179B5" w:rsidRDefault="007E33A3" w:rsidP="005179B5">
      <w:pPr>
        <w:pStyle w:val="Prrafodelista"/>
        <w:numPr>
          <w:ilvl w:val="0"/>
          <w:numId w:val="47"/>
        </w:numPr>
        <w:spacing w:afterLines="120" w:after="288"/>
        <w:ind w:left="993" w:right="899" w:hanging="142"/>
        <w:jc w:val="both"/>
        <w:rPr>
          <w:rFonts w:ascii="ITC Avant Garde" w:hAnsi="ITC Avant Garde"/>
          <w:bCs/>
          <w:i/>
          <w:sz w:val="20"/>
          <w:lang w:eastAsia="es-MX"/>
        </w:rPr>
      </w:pPr>
      <w:r w:rsidRPr="00F82EAB">
        <w:rPr>
          <w:rFonts w:ascii="ITC Avant Garde" w:hAnsi="ITC Avant Garde"/>
          <w:bCs/>
          <w:i/>
          <w:sz w:val="20"/>
          <w:lang w:eastAsia="es-MX"/>
        </w:rPr>
        <w:t>La Universidad de Guadalajara tiene una larga tradición tanto de trabajo comunitario como de difusión cultural y científica. No obstante, es necesario redoblar esfuerzos en la atención y seguimiento a los programas existentes que involucren a mayores sectores de la comunidad universitaria y que aumenten sus impactos positivos en la sociedad.</w:t>
      </w:r>
    </w:p>
    <w:p w14:paraId="511BB283" w14:textId="77777777" w:rsidR="005179B5" w:rsidRDefault="007E33A3" w:rsidP="005179B5">
      <w:pPr>
        <w:pStyle w:val="Prrafodelista"/>
        <w:numPr>
          <w:ilvl w:val="0"/>
          <w:numId w:val="47"/>
        </w:numPr>
        <w:spacing w:afterLines="120" w:after="288"/>
        <w:ind w:left="993" w:right="899" w:hanging="142"/>
        <w:jc w:val="both"/>
        <w:rPr>
          <w:rFonts w:ascii="ITC Avant Garde" w:hAnsi="ITC Avant Garde"/>
          <w:bCs/>
          <w:i/>
          <w:sz w:val="20"/>
          <w:lang w:eastAsia="es-MX"/>
        </w:rPr>
      </w:pPr>
      <w:r w:rsidRPr="00F82EAB">
        <w:rPr>
          <w:rFonts w:ascii="ITC Avant Garde" w:hAnsi="ITC Avant Garde"/>
          <w:bCs/>
          <w:i/>
          <w:sz w:val="20"/>
          <w:lang w:eastAsia="es-MX"/>
        </w:rPr>
        <w:t>Además, es preciso fortalecer la identidad y los valores que distinguen a la Universidad de Guadalajara como una comunidad de servicio y responsabilidad social.</w:t>
      </w:r>
    </w:p>
    <w:p w14:paraId="3879F171" w14:textId="77777777" w:rsidR="005179B5" w:rsidRDefault="007E33A3" w:rsidP="005179B5">
      <w:pPr>
        <w:pStyle w:val="Prrafodelista"/>
        <w:numPr>
          <w:ilvl w:val="0"/>
          <w:numId w:val="47"/>
        </w:numPr>
        <w:spacing w:afterLines="120" w:after="288"/>
        <w:ind w:left="993" w:right="899" w:hanging="142"/>
        <w:jc w:val="both"/>
        <w:rPr>
          <w:rFonts w:ascii="ITC Avant Garde" w:hAnsi="ITC Avant Garde"/>
          <w:bCs/>
          <w:i/>
          <w:sz w:val="20"/>
          <w:lang w:eastAsia="es-MX"/>
        </w:rPr>
      </w:pPr>
      <w:r w:rsidRPr="00F82EAB">
        <w:rPr>
          <w:rFonts w:ascii="ITC Avant Garde" w:hAnsi="ITC Avant Garde"/>
          <w:bCs/>
          <w:i/>
          <w:sz w:val="20"/>
          <w:lang w:eastAsia="es-MX"/>
        </w:rPr>
        <w:lastRenderedPageBreak/>
        <w:t>Ante las nuevas realidades y los grandes problemas nacionales, es menester formar a la comunidad universitaria como una organización que trabaja por y para la sociedad con responsabilidad social, equidad y sostenibilidad. Es necesario utilizar todos los medios al alcance de la Universidad para divulgar y difundir lo que al interior de la Universidad se hace, construye y piensa; de esta manera se podrá contribuir en la formación de una ciudadanía más comprometida, responsables y democrática.</w:t>
      </w:r>
    </w:p>
    <w:p w14:paraId="0E89DB6F" w14:textId="77777777" w:rsidR="005179B5" w:rsidRDefault="007E33A3" w:rsidP="005179B5">
      <w:pPr>
        <w:pStyle w:val="Prrafodelista"/>
        <w:numPr>
          <w:ilvl w:val="0"/>
          <w:numId w:val="47"/>
        </w:numPr>
        <w:spacing w:afterLines="120" w:after="288"/>
        <w:ind w:left="993" w:right="899" w:hanging="142"/>
        <w:jc w:val="both"/>
        <w:rPr>
          <w:rFonts w:ascii="ITC Avant Garde" w:hAnsi="ITC Avant Garde"/>
          <w:bCs/>
          <w:i/>
          <w:sz w:val="20"/>
          <w:lang w:eastAsia="es-MX"/>
        </w:rPr>
      </w:pPr>
      <w:r w:rsidRPr="00F82EAB">
        <w:rPr>
          <w:rFonts w:ascii="ITC Avant Garde" w:hAnsi="ITC Avant Garde"/>
          <w:bCs/>
          <w:i/>
          <w:sz w:val="20"/>
          <w:lang w:eastAsia="es-MX"/>
        </w:rPr>
        <w:t xml:space="preserve">Los presentes Criterios </w:t>
      </w:r>
      <w:r w:rsidRPr="00F82EAB">
        <w:rPr>
          <w:rFonts w:ascii="ITC Avant Garde" w:hAnsi="ITC Avant Garde"/>
          <w:bCs/>
          <w:i/>
          <w:sz w:val="20"/>
          <w:u w:val="single"/>
          <w:lang w:eastAsia="es-MX"/>
        </w:rPr>
        <w:t>estarán garantizados a través de los procesamiento establecido para la defensa de las audiencias en las Políticas de Radiodifusión</w:t>
      </w:r>
      <w:r w:rsidRPr="00F82EAB">
        <w:rPr>
          <w:rFonts w:ascii="ITC Avant Garde" w:hAnsi="ITC Avant Garde"/>
          <w:bCs/>
          <w:i/>
          <w:sz w:val="20"/>
          <w:lang w:eastAsia="es-MX"/>
        </w:rPr>
        <w:t xml:space="preserve">.” </w:t>
      </w:r>
    </w:p>
    <w:p w14:paraId="66EA0C4C" w14:textId="77777777" w:rsidR="005179B5" w:rsidRDefault="00CA2B83" w:rsidP="005179B5">
      <w:pPr>
        <w:spacing w:afterLines="120" w:after="288"/>
        <w:jc w:val="both"/>
        <w:rPr>
          <w:rFonts w:ascii="ITC Avant Garde" w:hAnsi="ITC Avant Garde"/>
          <w:bCs/>
        </w:rPr>
      </w:pPr>
      <w:r w:rsidRPr="00F82EAB">
        <w:rPr>
          <w:rFonts w:ascii="ITC Avant Garde" w:eastAsia="Times New Roman" w:hAnsi="ITC Avant Garde"/>
          <w:bCs/>
          <w:noProof/>
          <w:color w:val="000000"/>
          <w:lang w:val="es-ES" w:eastAsia="es-MX"/>
        </w:rPr>
        <w:t>Ahora bien , el</w:t>
      </w:r>
      <w:r w:rsidR="00AB5F98" w:rsidRPr="00F82EAB">
        <w:rPr>
          <w:rFonts w:ascii="ITC Avant Garde" w:hAnsi="ITC Avant Garde"/>
          <w:bCs/>
          <w:color w:val="000000"/>
          <w:lang w:eastAsia="es-MX"/>
        </w:rPr>
        <w:t xml:space="preserve"> </w:t>
      </w:r>
      <w:r w:rsidR="00AB5F98" w:rsidRPr="00F82EAB">
        <w:rPr>
          <w:rFonts w:ascii="ITC Avant Garde" w:hAnsi="ITC Avant Garde"/>
          <w:bCs/>
        </w:rPr>
        <w:t xml:space="preserve">8 de marzo de 2017, </w:t>
      </w:r>
      <w:r w:rsidR="00C874C4" w:rsidRPr="00F82EAB">
        <w:rPr>
          <w:rFonts w:ascii="ITC Avant Garde" w:hAnsi="ITC Avant Garde"/>
          <w:bCs/>
        </w:rPr>
        <w:t>de acuerdo al Acta de la</w:t>
      </w:r>
      <w:r w:rsidR="00AB5F98" w:rsidRPr="00F82EAB">
        <w:rPr>
          <w:rFonts w:ascii="ITC Avant Garde" w:hAnsi="ITC Avant Garde"/>
          <w:bCs/>
        </w:rPr>
        <w:t xml:space="preserve"> Primera Sesión Ordinaria del </w:t>
      </w:r>
      <w:r w:rsidR="00AB5F98" w:rsidRPr="00F82EAB">
        <w:rPr>
          <w:rFonts w:ascii="ITC Avant Garde" w:hAnsi="ITC Avant Garde"/>
          <w:bCs/>
          <w:color w:val="000000"/>
          <w:lang w:eastAsia="es-MX"/>
        </w:rPr>
        <w:t xml:space="preserve">Consejo Ciudadano de Radiodifusión de la </w:t>
      </w:r>
      <w:r w:rsidR="00D63FFF" w:rsidRPr="00F82EAB">
        <w:rPr>
          <w:rFonts w:ascii="ITC Avant Garde" w:hAnsi="ITC Avant Garde"/>
          <w:bCs/>
          <w:color w:val="000000"/>
          <w:lang w:eastAsia="es-MX"/>
        </w:rPr>
        <w:t>U de G</w:t>
      </w:r>
      <w:r w:rsidR="00AB5F98" w:rsidRPr="00F82EAB">
        <w:rPr>
          <w:rFonts w:ascii="ITC Avant Garde" w:hAnsi="ITC Avant Garde"/>
          <w:bCs/>
        </w:rPr>
        <w:t>, se tuv</w:t>
      </w:r>
      <w:r w:rsidR="00D63FFF" w:rsidRPr="00F82EAB">
        <w:rPr>
          <w:rFonts w:ascii="ITC Avant Garde" w:hAnsi="ITC Avant Garde"/>
          <w:bCs/>
        </w:rPr>
        <w:t>ieron</w:t>
      </w:r>
      <w:r w:rsidR="00AB5F98" w:rsidRPr="00F82EAB">
        <w:rPr>
          <w:rFonts w:ascii="ITC Avant Garde" w:hAnsi="ITC Avant Garde"/>
          <w:bCs/>
        </w:rPr>
        <w:t xml:space="preserve"> por </w:t>
      </w:r>
      <w:r w:rsidR="00D63FFF" w:rsidRPr="00F82EAB">
        <w:rPr>
          <w:rFonts w:ascii="ITC Avant Garde" w:hAnsi="ITC Avant Garde"/>
          <w:bCs/>
        </w:rPr>
        <w:t xml:space="preserve">aprobados el </w:t>
      </w:r>
      <w:r w:rsidR="00D63FFF" w:rsidRPr="00565BC2">
        <w:rPr>
          <w:rFonts w:ascii="ITC Avant Garde" w:hAnsi="ITC Avant Garde"/>
          <w:bCs/>
          <w:i/>
        </w:rPr>
        <w:t>“Reglamento de Sesiones del Consejo Ciudadano”</w:t>
      </w:r>
      <w:r w:rsidR="00121733" w:rsidRPr="00F82EAB">
        <w:rPr>
          <w:rFonts w:ascii="ITC Avant Garde" w:hAnsi="ITC Avant Garde"/>
          <w:bCs/>
        </w:rPr>
        <w:t xml:space="preserve"> y las </w:t>
      </w:r>
      <w:r w:rsidR="00121733" w:rsidRPr="00565BC2">
        <w:rPr>
          <w:rFonts w:ascii="ITC Avant Garde" w:hAnsi="ITC Avant Garde"/>
          <w:bCs/>
          <w:i/>
        </w:rPr>
        <w:t>“Políticas de Radiodifusión de la Universidad de Guadalajara en radio y Televisión”</w:t>
      </w:r>
      <w:r w:rsidR="00121733" w:rsidRPr="00565BC2">
        <w:rPr>
          <w:rFonts w:ascii="ITC Avant Garde" w:hAnsi="ITC Avant Garde"/>
          <w:bCs/>
        </w:rPr>
        <w:t>.</w:t>
      </w:r>
    </w:p>
    <w:p w14:paraId="198B1797" w14:textId="77777777" w:rsidR="005179B5" w:rsidRDefault="007E33A3" w:rsidP="005179B5">
      <w:pPr>
        <w:spacing w:afterLines="120" w:after="288"/>
        <w:jc w:val="both"/>
        <w:rPr>
          <w:rFonts w:ascii="ITC Avant Garde" w:hAnsi="ITC Avant Garde"/>
          <w:bCs/>
          <w:lang w:eastAsia="es-MX"/>
        </w:rPr>
      </w:pPr>
      <w:r w:rsidRPr="00F82EAB">
        <w:rPr>
          <w:rFonts w:ascii="ITC Avant Garde" w:hAnsi="ITC Avant Garde"/>
          <w:bCs/>
          <w:lang w:eastAsia="es-MX"/>
        </w:rPr>
        <w:t>Cabe mencionar que</w:t>
      </w:r>
      <w:r w:rsidR="00C84A24" w:rsidRPr="00F82EAB">
        <w:rPr>
          <w:rFonts w:ascii="ITC Avant Garde" w:hAnsi="ITC Avant Garde"/>
          <w:bCs/>
          <w:lang w:eastAsia="es-MX"/>
        </w:rPr>
        <w:t xml:space="preserve"> será a través de las “</w:t>
      </w:r>
      <w:r w:rsidR="00C84A24" w:rsidRPr="00F82EAB">
        <w:rPr>
          <w:rFonts w:ascii="ITC Avant Garde" w:hAnsi="ITC Avant Garde"/>
          <w:bCs/>
          <w:i/>
          <w:lang w:eastAsia="es-MX"/>
        </w:rPr>
        <w:t>Políticas de Radiodifusión de la Universidad de Guadalajara”</w:t>
      </w:r>
      <w:r w:rsidR="00C84A24" w:rsidRPr="00F82EAB">
        <w:rPr>
          <w:rFonts w:ascii="ITC Avant Garde" w:hAnsi="ITC Avant Garde"/>
          <w:bCs/>
          <w:lang w:eastAsia="es-MX"/>
        </w:rPr>
        <w:t>, que se lleve a cabo la aplicación de los criterios de independencia editorial, toda vez que de conformidad con el artículo 1°, su objeto es regular el conjunto de principios, reglas, valores y fundamentos deontológicos con relación a las concesiones de radio y televisión de la U de G, esto a través del reconocimiento de los derechos de las audiencias y las acciones que garantizan su protección, mediante la figura del Defensor de las Audiencias y el procedimiento para la recepción, tramitación y atención de quejas, sugerencias y peticiones.</w:t>
      </w:r>
    </w:p>
    <w:p w14:paraId="212BBC4D" w14:textId="3BE69FBE" w:rsidR="00E5473A" w:rsidRPr="00F82EAB" w:rsidRDefault="008E0CF9" w:rsidP="005179B5">
      <w:pPr>
        <w:tabs>
          <w:tab w:val="left" w:pos="993"/>
        </w:tabs>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color w:val="000000"/>
          <w:lang w:eastAsia="es-MX"/>
        </w:rPr>
        <w:t>En ese sentido, con los “</w:t>
      </w:r>
      <w:r w:rsidRPr="00F82EAB">
        <w:rPr>
          <w:rFonts w:ascii="ITC Avant Garde" w:hAnsi="ITC Avant Garde"/>
          <w:bCs/>
          <w:i/>
          <w:color w:val="000000"/>
          <w:lang w:eastAsia="es-MX"/>
        </w:rPr>
        <w:t>Criterios Editoriales de Radiodifusión de la Universidad de Guadalajara”</w:t>
      </w:r>
      <w:r w:rsidRPr="00F82EAB">
        <w:rPr>
          <w:rFonts w:ascii="ITC Avant Garde" w:hAnsi="ITC Avant Garde"/>
          <w:bCs/>
          <w:color w:val="000000"/>
          <w:lang w:eastAsia="es-MX"/>
        </w:rPr>
        <w:t xml:space="preserve"> en relación con las “</w:t>
      </w:r>
      <w:r w:rsidRPr="00F82EAB">
        <w:rPr>
          <w:rFonts w:ascii="ITC Avant Garde" w:hAnsi="ITC Avant Garde"/>
          <w:bCs/>
          <w:i/>
          <w:color w:val="000000"/>
          <w:lang w:eastAsia="es-MX"/>
        </w:rPr>
        <w:t>Políticas de Radiodifusión de la Universidad de Guadalajara”</w:t>
      </w:r>
      <w:r w:rsidRPr="00F82EAB">
        <w:rPr>
          <w:rFonts w:ascii="ITC Avant Garde" w:hAnsi="ITC Avant Garde"/>
          <w:bCs/>
          <w:color w:val="000000"/>
          <w:lang w:eastAsia="es-MX"/>
        </w:rPr>
        <w:t xml:space="preserve"> se busca fomentar los principios rectores de i) libre acceso a la información con pluralidad, oportunidad y veracidad y ii) libertad de expresión y difusión, para con ello generar procesos de comunicación participativa con su audiencia, por lo que se considera que </w:t>
      </w:r>
      <w:r w:rsidR="00E5473A" w:rsidRPr="00F82EAB">
        <w:rPr>
          <w:rFonts w:ascii="ITC Avant Garde" w:eastAsia="Times New Roman" w:hAnsi="ITC Avant Garde"/>
          <w:lang w:eastAsia="es-MX"/>
        </w:rPr>
        <w:t xml:space="preserve"> el Consejo Ciudadano</w:t>
      </w:r>
      <w:r w:rsidRPr="00F82EAB">
        <w:rPr>
          <w:rFonts w:ascii="ITC Avant Garde" w:eastAsia="Times New Roman" w:hAnsi="ITC Avant Garde"/>
          <w:lang w:eastAsia="es-MX"/>
        </w:rPr>
        <w:t xml:space="preserve"> de U de G</w:t>
      </w:r>
      <w:r w:rsidR="00E5473A" w:rsidRPr="00F82EAB">
        <w:rPr>
          <w:rFonts w:ascii="ITC Avant Garde" w:eastAsia="Times New Roman" w:hAnsi="ITC Avant Garde"/>
          <w:lang w:eastAsia="es-MX"/>
        </w:rPr>
        <w:t xml:space="preserve">, es abierto y transparente, </w:t>
      </w:r>
      <w:r w:rsidRPr="00F82EAB">
        <w:rPr>
          <w:rFonts w:ascii="ITC Avant Garde" w:eastAsia="Times New Roman" w:hAnsi="ITC Avant Garde"/>
          <w:lang w:eastAsia="es-MX"/>
        </w:rPr>
        <w:t>trabajando</w:t>
      </w:r>
      <w:r w:rsidR="00E5473A" w:rsidRPr="00F82EAB">
        <w:rPr>
          <w:rFonts w:ascii="ITC Avant Garde" w:eastAsia="Times New Roman" w:hAnsi="ITC Avant Garde"/>
          <w:lang w:eastAsia="es-MX"/>
        </w:rPr>
        <w:t xml:space="preserve"> en forma coordinada para promover responsabilidades colectivas, evitando con ello el individualismo velando por los principios éticos y de transparencia. </w:t>
      </w:r>
    </w:p>
    <w:p w14:paraId="1C6363E2" w14:textId="77777777" w:rsidR="005179B5" w:rsidRDefault="00E5473A" w:rsidP="005179B5">
      <w:pPr>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lang w:eastAsia="es-MX"/>
        </w:rPr>
        <w:t>Por lo expuesto</w:t>
      </w:r>
      <w:r w:rsidR="007E33A3" w:rsidRPr="00F82EAB">
        <w:rPr>
          <w:rFonts w:ascii="ITC Avant Garde" w:hAnsi="ITC Avant Garde"/>
          <w:bCs/>
          <w:lang w:eastAsia="es-MX"/>
        </w:rPr>
        <w:t xml:space="preserve">, esta autoridad estima que la U de G, cumple con el mecanismo a que se refiere el artículo </w:t>
      </w:r>
      <w:r w:rsidR="007E33A3" w:rsidRPr="00F82EAB">
        <w:rPr>
          <w:rFonts w:ascii="ITC Avant Garde" w:hAnsi="ITC Avant Garde"/>
        </w:rPr>
        <w:t>8 fracción IV, inciso a) de los Lineamientos Generales para el Otorgamiento de las Concesiones</w:t>
      </w:r>
      <w:r w:rsidR="007E33A3" w:rsidRPr="00F82EAB">
        <w:rPr>
          <w:rFonts w:ascii="ITC Avant Garde" w:hAnsi="ITC Avant Garde"/>
          <w:bCs/>
          <w:lang w:eastAsia="es-MX"/>
        </w:rPr>
        <w:t>, por cuanto hace a la independencia editorial.</w:t>
      </w:r>
    </w:p>
    <w:p w14:paraId="36414159" w14:textId="0814ADFC" w:rsidR="00E25BB8" w:rsidRPr="00F82EAB" w:rsidRDefault="006C797F" w:rsidP="005179B5">
      <w:pPr>
        <w:spacing w:afterLines="120" w:after="288"/>
        <w:jc w:val="both"/>
        <w:rPr>
          <w:rFonts w:ascii="ITC Avant Garde" w:hAnsi="ITC Avant Garde"/>
          <w:bCs/>
        </w:rPr>
      </w:pPr>
      <w:r w:rsidRPr="00F82EAB">
        <w:rPr>
          <w:rFonts w:ascii="ITC Avant Garde" w:hAnsi="ITC Avant Garde"/>
          <w:b/>
          <w:bCs/>
        </w:rPr>
        <w:t xml:space="preserve">B. Autonomía de gestión financiera. </w:t>
      </w:r>
      <w:r w:rsidR="00E25BB8" w:rsidRPr="00F82EAB">
        <w:rPr>
          <w:rFonts w:ascii="ITC Avant Garde" w:hAnsi="ITC Avant Garde"/>
          <w:bCs/>
        </w:rPr>
        <w:t xml:space="preserve">La U de G es un organismo público descentralizado del Gobierno del Estado de Jalisco, con autonomía, personalidad jurídica y patrimonio propios, cuyo fin es impartir educación media superior y superior, así como coadyuvar al </w:t>
      </w:r>
      <w:r w:rsidR="00E25BB8" w:rsidRPr="00F82EAB">
        <w:rPr>
          <w:rFonts w:ascii="ITC Avant Garde" w:hAnsi="ITC Avant Garde"/>
          <w:bCs/>
        </w:rPr>
        <w:lastRenderedPageBreak/>
        <w:t>desarrollo de la cultura, y será el Estado quien garantice dicha autonomía y su facultad de gobernarse a sí misma de conformidad con lo dispuesto por el artículo 1° y 3° de la Ley Orgánica.</w:t>
      </w:r>
    </w:p>
    <w:p w14:paraId="0074BB44" w14:textId="6B2754C5" w:rsidR="00E25BB8" w:rsidRPr="00F82EAB" w:rsidRDefault="00E25BB8" w:rsidP="005179B5">
      <w:pPr>
        <w:spacing w:afterLines="120" w:after="288"/>
        <w:jc w:val="both"/>
        <w:rPr>
          <w:rFonts w:ascii="ITC Avant Garde" w:hAnsi="ITC Avant Garde"/>
          <w:bCs/>
        </w:rPr>
      </w:pPr>
      <w:r w:rsidRPr="00F82EAB">
        <w:rPr>
          <w:rFonts w:ascii="ITC Avant Garde" w:hAnsi="ITC Avant Garde"/>
          <w:bCs/>
        </w:rPr>
        <w:t xml:space="preserve">Ahora bien, conforme al artículo 52 fracción XII </w:t>
      </w:r>
      <w:r w:rsidR="007E0840" w:rsidRPr="00F82EAB">
        <w:rPr>
          <w:rFonts w:ascii="ITC Avant Garde" w:hAnsi="ITC Avant Garde"/>
          <w:bCs/>
        </w:rPr>
        <w:t xml:space="preserve">de la Ley Orgánica, </w:t>
      </w:r>
      <w:r w:rsidRPr="00F82EAB">
        <w:rPr>
          <w:rFonts w:ascii="ITC Avant Garde" w:hAnsi="ITC Avant Garde"/>
          <w:bCs/>
        </w:rPr>
        <w:t>es una atribución de los Consejos de los Centros Universitarios aprobar la propuesta del presupuesto de ingresos y egresos, en relación con lo anterior el artículo 10 del Estatuto Orgánico del Centro de Ciencias Económico-Administrativa establece que la Comisión de Hacienda de dicho Centro someterá anualmente a la vista del Consejo del Centro Universitario, la propuesta del presupuesto de ingresos y egresos respectivo.</w:t>
      </w:r>
    </w:p>
    <w:p w14:paraId="1940E191" w14:textId="77777777" w:rsidR="00E25BB8" w:rsidRPr="00F82EAB" w:rsidRDefault="00E25BB8" w:rsidP="005179B5">
      <w:pPr>
        <w:spacing w:afterLines="120" w:after="288"/>
        <w:jc w:val="both"/>
        <w:rPr>
          <w:rFonts w:ascii="ITC Avant Garde" w:hAnsi="ITC Avant Garde"/>
          <w:bCs/>
        </w:rPr>
      </w:pPr>
      <w:r w:rsidRPr="00F82EAB">
        <w:rPr>
          <w:rFonts w:ascii="ITC Avant Garde" w:hAnsi="ITC Avant Garde"/>
          <w:bCs/>
        </w:rPr>
        <w:t>En ese sentido, es atribución del H. Consejo General Universitarios de la U de G, aprobar el presupuesto anual de ingresos y egresos, así como las normas generales de evaluación de la U de G y será el Rector quien vigile el correcto ejercicio de la partidas, esto con fundamento en los artículos 31, fracción II y 35 fracción VII de la Ley Orgánica en relación con los artículos 95 fracción XI del Estatuto General.</w:t>
      </w:r>
    </w:p>
    <w:p w14:paraId="691A448D" w14:textId="0C73B9CD" w:rsidR="00E25BB8" w:rsidRPr="00F82EAB" w:rsidRDefault="00E25BB8" w:rsidP="005179B5">
      <w:pPr>
        <w:spacing w:afterLines="120" w:after="288"/>
        <w:jc w:val="both"/>
        <w:rPr>
          <w:rFonts w:ascii="ITC Avant Garde" w:hAnsi="ITC Avant Garde"/>
          <w:bCs/>
          <w:lang w:eastAsia="es-MX"/>
        </w:rPr>
      </w:pPr>
      <w:r w:rsidRPr="00F82EAB">
        <w:rPr>
          <w:rFonts w:ascii="ITC Avant Garde" w:hAnsi="ITC Avant Garde"/>
          <w:bCs/>
          <w:lang w:eastAsia="es-MX"/>
        </w:rPr>
        <w:t xml:space="preserve">Al respecto, en el rubro 2.1.7.5 del Dictamen II/2016/502 por el que se autoriza el Presupuesto de Ingresos y Egresos de 2017 de la U de G, presentado con la Solicitud de Cumplimiento, se otorgó suficiencia presupuestal por $102’543,339 (ciento dos millones quinientos cuarenta y tres mil trescientos treinta y nueve pesos 00/100 M.N.) </w:t>
      </w:r>
      <w:r w:rsidR="0097043E">
        <w:rPr>
          <w:rFonts w:ascii="ITC Avant Garde" w:hAnsi="ITC Avant Garde"/>
          <w:bCs/>
          <w:lang w:eastAsia="es-MX"/>
        </w:rPr>
        <w:t>al</w:t>
      </w:r>
      <w:r w:rsidRPr="00F82EAB">
        <w:rPr>
          <w:rFonts w:ascii="ITC Avant Garde" w:hAnsi="ITC Avant Garde"/>
          <w:bCs/>
          <w:lang w:eastAsia="es-MX"/>
        </w:rPr>
        <w:t xml:space="preserve"> </w:t>
      </w:r>
      <w:r w:rsidR="0097043E">
        <w:rPr>
          <w:rFonts w:ascii="ITC Avant Garde" w:hAnsi="ITC Avant Garde"/>
          <w:bCs/>
          <w:lang w:eastAsia="es-MX"/>
        </w:rPr>
        <w:t>SURT</w:t>
      </w:r>
      <w:r w:rsidRPr="00F82EAB">
        <w:rPr>
          <w:rFonts w:ascii="ITC Avant Garde" w:hAnsi="ITC Avant Garde"/>
          <w:bCs/>
          <w:lang w:eastAsia="es-MX"/>
        </w:rPr>
        <w:t xml:space="preserve">, </w:t>
      </w:r>
      <w:r w:rsidRPr="00F82EAB">
        <w:rPr>
          <w:rFonts w:ascii="ITC Avant Garde" w:hAnsi="ITC Avant Garde"/>
          <w:bCs/>
        </w:rPr>
        <w:t xml:space="preserve">unidad administrativa que se encarga de la </w:t>
      </w:r>
      <w:r w:rsidRPr="00F82EAB">
        <w:rPr>
          <w:rFonts w:ascii="ITC Avant Garde" w:hAnsi="ITC Avant Garde"/>
          <w:bCs/>
          <w:lang w:eastAsia="es-MX"/>
        </w:rPr>
        <w:t xml:space="preserve">operación y mantenimiento de las estaciones de radio FM y TDT, adscrita al </w:t>
      </w:r>
      <w:r w:rsidRPr="00F82EAB">
        <w:rPr>
          <w:rFonts w:ascii="ITC Avant Garde" w:hAnsi="ITC Avant Garde"/>
          <w:bCs/>
        </w:rPr>
        <w:t>Centro Universitario de Ciencias Económico-Administrativa de la U de G.</w:t>
      </w:r>
    </w:p>
    <w:p w14:paraId="2FC4C880" w14:textId="77777777" w:rsidR="00E25BB8" w:rsidRPr="00F82EAB" w:rsidRDefault="00E25BB8" w:rsidP="005179B5">
      <w:pPr>
        <w:spacing w:afterLines="120" w:after="288"/>
        <w:jc w:val="both"/>
        <w:rPr>
          <w:rFonts w:ascii="ITC Avant Garde" w:hAnsi="ITC Avant Garde"/>
          <w:bCs/>
          <w:lang w:eastAsia="es-MX"/>
        </w:rPr>
      </w:pPr>
      <w:r w:rsidRPr="00F82EAB">
        <w:rPr>
          <w:rFonts w:ascii="ITC Avant Garde" w:hAnsi="ITC Avant Garde"/>
          <w:bCs/>
        </w:rPr>
        <w:t>E</w:t>
      </w:r>
      <w:r w:rsidRPr="00F82EAB">
        <w:rPr>
          <w:rFonts w:ascii="ITC Avant Garde" w:hAnsi="ITC Avant Garde"/>
          <w:bCs/>
          <w:lang w:eastAsia="es-MX"/>
        </w:rPr>
        <w:t>n virtud de lo anterior se desprende que la U de G</w:t>
      </w:r>
      <w:r w:rsidRPr="00F82EAB" w:rsidDel="00C763FA">
        <w:rPr>
          <w:rFonts w:ascii="ITC Avant Garde" w:hAnsi="ITC Avant Garde"/>
          <w:bCs/>
          <w:lang w:eastAsia="es-MX"/>
        </w:rPr>
        <w:t xml:space="preserve"> </w:t>
      </w:r>
      <w:r w:rsidRPr="00F82EAB">
        <w:rPr>
          <w:rFonts w:ascii="ITC Avant Garde" w:hAnsi="ITC Avant Garde"/>
          <w:bCs/>
          <w:lang w:eastAsia="es-MX"/>
        </w:rPr>
        <w:t>cuenta con autonomía de gestión, incluyendo la de carácter financiero que comprende la capacidad del organismo para planear, programar, presupuestar y controlar el gasto público a través de la coordinación que realiza el solicitante de manera directa, ello brinda la posibilidad de que no dependa de intereses particulares para su operación con lo cual se garantiza su independencia financiera, toda vez que dada su naturaleza, ninguna dependencia interviene en la coordinación de su gestión financiera o en la ejecución de su presupuesto público.</w:t>
      </w:r>
    </w:p>
    <w:p w14:paraId="6B406C9C" w14:textId="77777777" w:rsidR="005179B5" w:rsidRDefault="00E25BB8" w:rsidP="005179B5">
      <w:pPr>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lang w:eastAsia="es-MX"/>
        </w:rPr>
        <w:t xml:space="preserve">Por lo anterior, esta autoridad estima que la U de G acredita el mecanismo señalado en el artículo </w:t>
      </w:r>
      <w:r w:rsidRPr="00F82EAB">
        <w:rPr>
          <w:rFonts w:ascii="ITC Avant Garde" w:hAnsi="ITC Avant Garde"/>
        </w:rPr>
        <w:t>8 fracción IV, inciso b) de los Lineamientos Generales para el Otorgamiento de las Concesiones</w:t>
      </w:r>
      <w:r w:rsidRPr="00F82EAB" w:rsidDel="007429ED">
        <w:rPr>
          <w:rFonts w:ascii="ITC Avant Garde" w:hAnsi="ITC Avant Garde"/>
          <w:bCs/>
          <w:lang w:eastAsia="es-MX"/>
        </w:rPr>
        <w:t xml:space="preserve"> </w:t>
      </w:r>
    </w:p>
    <w:p w14:paraId="32D9FE75" w14:textId="77777777" w:rsidR="005179B5" w:rsidRDefault="006C797F" w:rsidP="005179B5">
      <w:pPr>
        <w:tabs>
          <w:tab w:val="left" w:pos="993"/>
        </w:tabs>
        <w:autoSpaceDE w:val="0"/>
        <w:autoSpaceDN w:val="0"/>
        <w:adjustRightInd w:val="0"/>
        <w:spacing w:afterLines="120" w:after="288"/>
        <w:jc w:val="both"/>
        <w:rPr>
          <w:rFonts w:ascii="ITC Avant Garde" w:hAnsi="ITC Avant Garde"/>
          <w:bCs/>
          <w:color w:val="000000"/>
          <w:lang w:eastAsia="es-MX"/>
        </w:rPr>
      </w:pPr>
      <w:r w:rsidRPr="00F82EAB">
        <w:rPr>
          <w:rFonts w:ascii="ITC Avant Garde" w:hAnsi="ITC Avant Garde"/>
          <w:b/>
          <w:bCs/>
        </w:rPr>
        <w:lastRenderedPageBreak/>
        <w:t>C. Garantías de participación ciudadana.</w:t>
      </w:r>
      <w:r w:rsidRPr="00F82EAB">
        <w:rPr>
          <w:rFonts w:ascii="ITC Avant Garde" w:hAnsi="ITC Avant Garde"/>
          <w:bCs/>
          <w:color w:val="000000"/>
          <w:lang w:eastAsia="es-MX"/>
        </w:rPr>
        <w:t xml:space="preserve"> </w:t>
      </w:r>
      <w:r w:rsidR="008E0CF9" w:rsidRPr="00F82EAB">
        <w:rPr>
          <w:rFonts w:ascii="ITC Avant Garde" w:hAnsi="ITC Avant Garde"/>
          <w:bCs/>
          <w:color w:val="000000"/>
          <w:lang w:eastAsia="es-MX"/>
        </w:rPr>
        <w:t>La U de G señala las características de conformación de su Consejo Ciudadano, como instancia que garantiza la participación ciudadana a fin de atender las inquietudes y propuestas de lo</w:t>
      </w:r>
      <w:r w:rsidR="00DA126E" w:rsidRPr="00F82EAB">
        <w:rPr>
          <w:rFonts w:ascii="ITC Avant Garde" w:hAnsi="ITC Avant Garde"/>
          <w:bCs/>
          <w:color w:val="000000"/>
          <w:lang w:eastAsia="es-MX"/>
        </w:rPr>
        <w:t>s radioescuchas.</w:t>
      </w:r>
    </w:p>
    <w:p w14:paraId="546A0BA7" w14:textId="77777777" w:rsidR="005179B5" w:rsidRDefault="00E72E07" w:rsidP="005179B5">
      <w:pPr>
        <w:tabs>
          <w:tab w:val="left" w:pos="993"/>
        </w:tabs>
        <w:autoSpaceDE w:val="0"/>
        <w:autoSpaceDN w:val="0"/>
        <w:adjustRightInd w:val="0"/>
        <w:spacing w:afterLines="120" w:after="288"/>
        <w:jc w:val="both"/>
        <w:rPr>
          <w:rFonts w:ascii="ITC Avant Garde" w:hAnsi="ITC Avant Garde"/>
          <w:bCs/>
          <w:color w:val="000000"/>
          <w:lang w:eastAsia="es-MX"/>
        </w:rPr>
      </w:pPr>
      <w:r w:rsidRPr="00F82EAB">
        <w:rPr>
          <w:rFonts w:ascii="ITC Avant Garde" w:hAnsi="ITC Avant Garde"/>
          <w:bCs/>
          <w:color w:val="000000"/>
          <w:lang w:eastAsia="es-MX"/>
        </w:rPr>
        <w:t>No obstante lo anterior, la U de G, también</w:t>
      </w:r>
      <w:r w:rsidR="008E0CF9" w:rsidRPr="00F82EAB">
        <w:rPr>
          <w:rFonts w:ascii="ITC Avant Garde" w:hAnsi="ITC Avant Garde"/>
          <w:bCs/>
          <w:color w:val="000000"/>
          <w:lang w:eastAsia="es-MX"/>
        </w:rPr>
        <w:t xml:space="preserve"> asegura </w:t>
      </w:r>
      <w:r w:rsidRPr="00F82EAB">
        <w:rPr>
          <w:rFonts w:ascii="ITC Avant Garde" w:hAnsi="ITC Avant Garde"/>
          <w:bCs/>
          <w:color w:val="000000"/>
          <w:lang w:eastAsia="es-MX"/>
        </w:rPr>
        <w:t xml:space="preserve">la participación ciudadana </w:t>
      </w:r>
      <w:r w:rsidR="008E0CF9" w:rsidRPr="00F82EAB">
        <w:rPr>
          <w:rFonts w:ascii="ITC Avant Garde" w:hAnsi="ITC Avant Garde"/>
          <w:bCs/>
          <w:color w:val="000000"/>
          <w:lang w:eastAsia="es-MX"/>
        </w:rPr>
        <w:t xml:space="preserve">a través de la Defensoría de Audiencias, </w:t>
      </w:r>
      <w:r w:rsidR="009860CC" w:rsidRPr="00F82EAB">
        <w:rPr>
          <w:rFonts w:ascii="ITC Avant Garde" w:hAnsi="ITC Avant Garde"/>
          <w:bCs/>
          <w:color w:val="000000"/>
          <w:lang w:eastAsia="es-MX"/>
        </w:rPr>
        <w:t xml:space="preserve">toda vez que </w:t>
      </w:r>
      <w:r w:rsidR="008E0CF9" w:rsidRPr="00F82EAB">
        <w:rPr>
          <w:rFonts w:ascii="ITC Avant Garde" w:hAnsi="ITC Avant Garde"/>
          <w:bCs/>
          <w:color w:val="000000"/>
          <w:lang w:eastAsia="es-MX"/>
        </w:rPr>
        <w:t xml:space="preserve">dicha figura jurídica propicia un espacio de dialogo entre las audiencias y el medio de comunicación, con el objetivo de motivar la participación ciudadana frente a la programación ofrecida, a partir de estimular el ejercicio pleno de los derechos de las audiencias, describiéndose el mecanismo que adopta para la atención de </w:t>
      </w:r>
      <w:r w:rsidRPr="00F82EAB">
        <w:rPr>
          <w:rFonts w:ascii="ITC Avant Garde" w:hAnsi="ITC Avant Garde"/>
          <w:bCs/>
          <w:color w:val="000000"/>
          <w:lang w:eastAsia="es-MX"/>
        </w:rPr>
        <w:t>las</w:t>
      </w:r>
      <w:r w:rsidR="008E0CF9" w:rsidRPr="00F82EAB">
        <w:rPr>
          <w:rFonts w:ascii="ITC Avant Garde" w:hAnsi="ITC Avant Garde"/>
          <w:bCs/>
          <w:color w:val="000000"/>
          <w:lang w:eastAsia="es-MX"/>
        </w:rPr>
        <w:t xml:space="preserve"> audiencias, en el artículo 22 de las </w:t>
      </w:r>
      <w:r w:rsidR="008E0CF9" w:rsidRPr="00565BC2">
        <w:rPr>
          <w:rFonts w:ascii="ITC Avant Garde" w:hAnsi="ITC Avant Garde"/>
          <w:bCs/>
          <w:i/>
          <w:color w:val="000000"/>
          <w:lang w:eastAsia="es-MX"/>
        </w:rPr>
        <w:t>“Políticas de Radiodifusión de la Universidad de Guadalajara”</w:t>
      </w:r>
      <w:r w:rsidRPr="00F82EAB">
        <w:rPr>
          <w:rFonts w:ascii="ITC Avant Garde" w:hAnsi="ITC Avant Garde"/>
          <w:bCs/>
          <w:i/>
          <w:color w:val="000000"/>
          <w:lang w:eastAsia="es-MX"/>
        </w:rPr>
        <w:t xml:space="preserve">, </w:t>
      </w:r>
      <w:r w:rsidR="008E0CF9" w:rsidRPr="00F82EAB">
        <w:rPr>
          <w:rFonts w:ascii="ITC Avant Garde" w:hAnsi="ITC Avant Garde"/>
          <w:bCs/>
          <w:color w:val="000000"/>
          <w:lang w:eastAsia="es-MX"/>
        </w:rPr>
        <w:t xml:space="preserve">para llevar </w:t>
      </w:r>
      <w:r w:rsidRPr="00F82EAB">
        <w:rPr>
          <w:rFonts w:ascii="ITC Avant Garde" w:hAnsi="ITC Avant Garde"/>
          <w:bCs/>
          <w:color w:val="000000"/>
          <w:lang w:eastAsia="es-MX"/>
        </w:rPr>
        <w:t>esto a cabo,</w:t>
      </w:r>
      <w:r w:rsidR="008E0CF9" w:rsidRPr="00F82EAB">
        <w:rPr>
          <w:rFonts w:ascii="ITC Avant Garde" w:hAnsi="ITC Avant Garde"/>
          <w:bCs/>
          <w:color w:val="000000"/>
          <w:lang w:eastAsia="es-MX"/>
        </w:rPr>
        <w:t xml:space="preserve"> la U de G cuenta con el vínculo http://udgtv.com/defensoria-las-audiencias/defensor-audiencias/ en su portal de internet con información de i) los canales de transmisión y programación cuyas audiencias serán materia de defensa, ii) nombre completo del defensor de audiencias y iii) datos de contacto del Defensor designado, a saber domicilio, número de teléfono y correo electrónico.</w:t>
      </w:r>
    </w:p>
    <w:p w14:paraId="5EE8BFDC" w14:textId="77777777" w:rsidR="005179B5" w:rsidRDefault="008E0CF9" w:rsidP="005179B5">
      <w:pPr>
        <w:tabs>
          <w:tab w:val="left" w:pos="993"/>
        </w:tabs>
        <w:autoSpaceDE w:val="0"/>
        <w:autoSpaceDN w:val="0"/>
        <w:adjustRightInd w:val="0"/>
        <w:spacing w:afterLines="120" w:after="288"/>
        <w:jc w:val="both"/>
        <w:rPr>
          <w:rFonts w:ascii="ITC Avant Garde" w:hAnsi="ITC Avant Garde"/>
          <w:bCs/>
          <w:color w:val="000000"/>
          <w:lang w:eastAsia="es-MX"/>
        </w:rPr>
      </w:pPr>
      <w:r w:rsidRPr="00F82EAB">
        <w:rPr>
          <w:rFonts w:ascii="ITC Avant Garde" w:hAnsi="ITC Avant Garde"/>
          <w:bCs/>
          <w:color w:val="000000"/>
          <w:lang w:eastAsia="es-MX"/>
        </w:rPr>
        <w:t>Cabe mencionar, que a través de las Subdirecciones de Red Radio, Producciones Universitarias o Administración o la Coordinación Jurídica, todas adscritas a</w:t>
      </w:r>
      <w:r w:rsidR="0097043E">
        <w:rPr>
          <w:rFonts w:ascii="ITC Avant Garde" w:hAnsi="ITC Avant Garde"/>
          <w:bCs/>
          <w:color w:val="000000"/>
          <w:lang w:eastAsia="es-MX"/>
        </w:rPr>
        <w:t xml:space="preserve">l </w:t>
      </w:r>
      <w:r w:rsidR="009860CC" w:rsidRPr="00F82EAB">
        <w:rPr>
          <w:rFonts w:ascii="ITC Avant Garde" w:hAnsi="ITC Avant Garde"/>
          <w:bCs/>
          <w:color w:val="000000"/>
          <w:lang w:eastAsia="es-MX"/>
        </w:rPr>
        <w:t>SURT</w:t>
      </w:r>
      <w:r w:rsidRPr="00F82EAB">
        <w:rPr>
          <w:rFonts w:ascii="ITC Avant Garde" w:hAnsi="ITC Avant Garde"/>
          <w:bCs/>
          <w:color w:val="000000"/>
          <w:lang w:eastAsia="es-MX"/>
        </w:rPr>
        <w:t xml:space="preserve">, </w:t>
      </w:r>
      <w:r w:rsidR="00E72E07" w:rsidRPr="00F82EAB">
        <w:rPr>
          <w:rFonts w:ascii="ITC Avant Garde" w:hAnsi="ITC Avant Garde"/>
          <w:bCs/>
          <w:color w:val="000000"/>
          <w:lang w:eastAsia="es-MX"/>
        </w:rPr>
        <w:t>igualmente</w:t>
      </w:r>
      <w:r w:rsidRPr="00F82EAB">
        <w:rPr>
          <w:rFonts w:ascii="ITC Avant Garde" w:hAnsi="ITC Avant Garde"/>
          <w:bCs/>
          <w:color w:val="000000"/>
          <w:lang w:eastAsia="es-MX"/>
        </w:rPr>
        <w:t xml:space="preserve"> se atiende a las personas que realizan un acercamiento o que tiene algún interés de comunicación con la dependencia, revisando la naturaleza de la com</w:t>
      </w:r>
      <w:r w:rsidR="009860CC" w:rsidRPr="00F82EAB">
        <w:rPr>
          <w:rFonts w:ascii="ITC Avant Garde" w:hAnsi="ITC Avant Garde"/>
          <w:bCs/>
          <w:color w:val="000000"/>
          <w:lang w:eastAsia="es-MX"/>
        </w:rPr>
        <w:t xml:space="preserve">unicación o en su caso petición, esto </w:t>
      </w:r>
      <w:r w:rsidR="00DF7402" w:rsidRPr="00F82EAB">
        <w:rPr>
          <w:rFonts w:ascii="ITC Avant Garde" w:hAnsi="ITC Avant Garde"/>
          <w:bCs/>
          <w:color w:val="000000"/>
          <w:lang w:eastAsia="es-MX"/>
        </w:rPr>
        <w:t xml:space="preserve">principalmente </w:t>
      </w:r>
      <w:r w:rsidR="009860CC" w:rsidRPr="00F82EAB">
        <w:rPr>
          <w:rFonts w:ascii="ITC Avant Garde" w:hAnsi="ITC Avant Garde"/>
          <w:bCs/>
          <w:color w:val="000000"/>
          <w:lang w:eastAsia="es-MX"/>
        </w:rPr>
        <w:t xml:space="preserve">en </w:t>
      </w:r>
      <w:r w:rsidR="00DF7402" w:rsidRPr="00F82EAB">
        <w:rPr>
          <w:rFonts w:ascii="ITC Avant Garde" w:hAnsi="ITC Avant Garde"/>
          <w:bCs/>
          <w:color w:val="000000"/>
          <w:lang w:eastAsia="es-MX"/>
        </w:rPr>
        <w:t>el</w:t>
      </w:r>
      <w:r w:rsidR="009860CC" w:rsidRPr="00F82EAB">
        <w:rPr>
          <w:rFonts w:ascii="ITC Avant Garde" w:hAnsi="ITC Avant Garde"/>
          <w:bCs/>
          <w:color w:val="000000"/>
          <w:lang w:eastAsia="es-MX"/>
        </w:rPr>
        <w:t xml:space="preserve"> domicilio</w:t>
      </w:r>
      <w:r w:rsidR="00DF7402" w:rsidRPr="00F82EAB">
        <w:rPr>
          <w:rFonts w:ascii="ITC Avant Garde" w:hAnsi="ITC Avant Garde"/>
          <w:bCs/>
          <w:color w:val="000000"/>
          <w:lang w:eastAsia="es-MX"/>
        </w:rPr>
        <w:t xml:space="preserve"> de la estación de radio </w:t>
      </w:r>
      <w:r w:rsidR="009860CC" w:rsidRPr="00F82EAB">
        <w:rPr>
          <w:rFonts w:ascii="ITC Avant Garde" w:hAnsi="ITC Avant Garde"/>
          <w:bCs/>
          <w:color w:val="000000"/>
          <w:lang w:eastAsia="es-MX"/>
        </w:rPr>
        <w:t xml:space="preserve"> </w:t>
      </w:r>
      <w:r w:rsidR="00DF7402" w:rsidRPr="00F82EAB">
        <w:rPr>
          <w:rFonts w:ascii="ITC Avant Garde" w:hAnsi="ITC Avant Garde"/>
          <w:bCs/>
          <w:color w:val="000000"/>
          <w:lang w:eastAsia="es-MX"/>
        </w:rPr>
        <w:t xml:space="preserve">XHUDG-FM </w:t>
      </w:r>
      <w:r w:rsidR="009860CC" w:rsidRPr="00F82EAB">
        <w:rPr>
          <w:rFonts w:ascii="ITC Avant Garde" w:hAnsi="ITC Avant Garde"/>
          <w:bCs/>
          <w:color w:val="000000"/>
          <w:lang w:eastAsia="es-MX"/>
        </w:rPr>
        <w:t xml:space="preserve">ubicado en la Calle Ignacio </w:t>
      </w:r>
      <w:r w:rsidR="00DF7402" w:rsidRPr="00F82EAB">
        <w:rPr>
          <w:rFonts w:ascii="ITC Avant Garde" w:hAnsi="ITC Avant Garde"/>
          <w:bCs/>
          <w:color w:val="000000"/>
          <w:lang w:eastAsia="es-MX"/>
        </w:rPr>
        <w:t xml:space="preserve">Jacobo No. 29, Colonia Parque Industrial Belenes, C.P. 45150, en Zapopan, Jalisco o bien en los domicilios de las oficinas de apoyo de las estaciones i) XHANU-FM en Autlán ii) XHUGPV-FM en Puerto Vallarta y iii)  XHGZ-FM en Ciudad Guzmán. </w:t>
      </w:r>
    </w:p>
    <w:p w14:paraId="266D1949" w14:textId="4B101CA4" w:rsidR="005179B5" w:rsidRDefault="00DF7402" w:rsidP="005179B5">
      <w:pPr>
        <w:tabs>
          <w:tab w:val="left" w:pos="993"/>
        </w:tabs>
        <w:autoSpaceDE w:val="0"/>
        <w:autoSpaceDN w:val="0"/>
        <w:adjustRightInd w:val="0"/>
        <w:spacing w:afterLines="120" w:after="288"/>
        <w:jc w:val="both"/>
        <w:rPr>
          <w:rFonts w:ascii="ITC Avant Garde" w:hAnsi="ITC Avant Garde"/>
          <w:bCs/>
          <w:color w:val="000000"/>
          <w:lang w:eastAsia="es-MX"/>
        </w:rPr>
      </w:pPr>
      <w:r w:rsidRPr="00F82EAB">
        <w:rPr>
          <w:rFonts w:ascii="ITC Avant Garde" w:hAnsi="ITC Avant Garde"/>
          <w:bCs/>
          <w:color w:val="000000"/>
          <w:lang w:eastAsia="es-MX"/>
        </w:rPr>
        <w:t xml:space="preserve">Asimismo </w:t>
      </w:r>
      <w:r w:rsidR="0097043E">
        <w:rPr>
          <w:rFonts w:ascii="ITC Avant Garde" w:hAnsi="ITC Avant Garde"/>
          <w:bCs/>
          <w:color w:val="000000"/>
          <w:lang w:eastAsia="es-MX"/>
        </w:rPr>
        <w:t>el</w:t>
      </w:r>
      <w:r w:rsidR="0097043E" w:rsidRPr="00F82EAB">
        <w:rPr>
          <w:rFonts w:ascii="ITC Avant Garde" w:hAnsi="ITC Avant Garde"/>
          <w:bCs/>
          <w:color w:val="000000"/>
          <w:lang w:eastAsia="es-MX"/>
        </w:rPr>
        <w:t xml:space="preserve"> </w:t>
      </w:r>
      <w:r w:rsidRPr="00F82EAB">
        <w:rPr>
          <w:rFonts w:ascii="ITC Avant Garde" w:hAnsi="ITC Avant Garde"/>
          <w:bCs/>
          <w:color w:val="000000"/>
          <w:lang w:eastAsia="es-MX"/>
        </w:rPr>
        <w:t xml:space="preserve">SURT de la U de G </w:t>
      </w:r>
      <w:r w:rsidR="00DA126E" w:rsidRPr="00F82EAB">
        <w:rPr>
          <w:rFonts w:ascii="ITC Avant Garde" w:hAnsi="ITC Avant Garde"/>
          <w:bCs/>
          <w:color w:val="000000"/>
          <w:lang w:eastAsia="es-MX"/>
        </w:rPr>
        <w:t xml:space="preserve">también brinda atención a las audiencias </w:t>
      </w:r>
      <w:r w:rsidR="00E72E07" w:rsidRPr="00F82EAB">
        <w:rPr>
          <w:rFonts w:ascii="ITC Avant Garde" w:hAnsi="ITC Avant Garde"/>
          <w:bCs/>
          <w:color w:val="000000"/>
          <w:lang w:eastAsia="es-MX"/>
        </w:rPr>
        <w:t>por internet</w:t>
      </w:r>
      <w:r w:rsidR="00DA126E" w:rsidRPr="00F82EAB">
        <w:rPr>
          <w:rFonts w:ascii="ITC Avant Garde" w:hAnsi="ITC Avant Garde"/>
          <w:bCs/>
          <w:color w:val="000000"/>
          <w:lang w:eastAsia="es-MX"/>
        </w:rPr>
        <w:t xml:space="preserve">, fomentando la participación ciudadana a través del correo electrónico </w:t>
      </w:r>
      <w:r w:rsidR="00DA126E" w:rsidRPr="00315B9B">
        <w:rPr>
          <w:rFonts w:ascii="ITC Avant Garde" w:hAnsi="ITC Avant Garde"/>
          <w:bCs/>
          <w:lang w:eastAsia="es-MX"/>
        </w:rPr>
        <w:t>correo@udgtv.com</w:t>
      </w:r>
      <w:r w:rsidR="00DA126E" w:rsidRPr="00F82EAB">
        <w:rPr>
          <w:rFonts w:ascii="ITC Avant Garde" w:hAnsi="ITC Avant Garde"/>
          <w:bCs/>
          <w:color w:val="000000"/>
          <w:lang w:eastAsia="es-MX"/>
        </w:rPr>
        <w:t xml:space="preserve"> </w:t>
      </w:r>
      <w:r w:rsidR="00E72E07" w:rsidRPr="00F82EAB">
        <w:rPr>
          <w:rFonts w:ascii="ITC Avant Garde" w:hAnsi="ITC Avant Garde"/>
          <w:bCs/>
          <w:color w:val="000000"/>
          <w:lang w:eastAsia="es-MX"/>
        </w:rPr>
        <w:t>y</w:t>
      </w:r>
      <w:r w:rsidR="00DA126E" w:rsidRPr="00F82EAB">
        <w:rPr>
          <w:rFonts w:ascii="ITC Avant Garde" w:hAnsi="ITC Avant Garde"/>
          <w:bCs/>
          <w:color w:val="000000"/>
          <w:lang w:eastAsia="es-MX"/>
        </w:rPr>
        <w:t xml:space="preserve"> de las redes sociales en Twitter y </w:t>
      </w:r>
      <w:r w:rsidR="0080428A" w:rsidRPr="00F82EAB">
        <w:rPr>
          <w:rFonts w:ascii="ITC Avant Garde" w:hAnsi="ITC Avant Garde"/>
          <w:bCs/>
          <w:color w:val="000000"/>
          <w:lang w:eastAsia="es-MX"/>
        </w:rPr>
        <w:t>Facebook</w:t>
      </w:r>
      <w:r w:rsidR="00E72E07" w:rsidRPr="00F82EAB">
        <w:rPr>
          <w:rFonts w:ascii="ITC Avant Garde" w:hAnsi="ITC Avant Garde"/>
          <w:bCs/>
          <w:color w:val="000000"/>
          <w:lang w:eastAsia="es-MX"/>
        </w:rPr>
        <w:t xml:space="preserve"> o bien en el número telefónico</w:t>
      </w:r>
      <w:r w:rsidR="00DA126E" w:rsidRPr="00F82EAB">
        <w:rPr>
          <w:rFonts w:ascii="ITC Avant Garde" w:hAnsi="ITC Avant Garde"/>
          <w:bCs/>
          <w:color w:val="000000"/>
          <w:lang w:eastAsia="es-MX"/>
        </w:rPr>
        <w:t xml:space="preserve"> </w:t>
      </w:r>
      <w:r w:rsidR="00E72E07" w:rsidRPr="00F82EAB">
        <w:rPr>
          <w:rFonts w:ascii="ITC Avant Garde" w:hAnsi="ITC Avant Garde"/>
          <w:bCs/>
          <w:color w:val="000000"/>
          <w:lang w:eastAsia="es-MX"/>
        </w:rPr>
        <w:t xml:space="preserve"> 01 52 (33) 38 33 85, información que se encuentra disponible en el portal  </w:t>
      </w:r>
      <w:r w:rsidR="00E72E07" w:rsidRPr="00315B9B">
        <w:rPr>
          <w:rFonts w:ascii="ITC Avant Garde" w:hAnsi="ITC Avant Garde"/>
          <w:bCs/>
          <w:lang w:eastAsia="es-MX"/>
        </w:rPr>
        <w:t>http://udgtv.com</w:t>
      </w:r>
      <w:r w:rsidR="00E72E07" w:rsidRPr="00F82EAB">
        <w:rPr>
          <w:rFonts w:ascii="ITC Avant Garde" w:hAnsi="ITC Avant Garde"/>
          <w:bCs/>
          <w:color w:val="000000"/>
          <w:lang w:eastAsia="es-MX"/>
        </w:rPr>
        <w:t>.</w:t>
      </w:r>
    </w:p>
    <w:p w14:paraId="58ECBD30" w14:textId="77777777" w:rsidR="005179B5" w:rsidRDefault="008E0CF9" w:rsidP="005179B5">
      <w:pPr>
        <w:tabs>
          <w:tab w:val="left" w:pos="993"/>
        </w:tabs>
        <w:autoSpaceDE w:val="0"/>
        <w:autoSpaceDN w:val="0"/>
        <w:adjustRightInd w:val="0"/>
        <w:spacing w:afterLines="120" w:after="288"/>
        <w:jc w:val="both"/>
        <w:rPr>
          <w:rFonts w:ascii="ITC Avant Garde" w:hAnsi="ITC Avant Garde"/>
          <w:bCs/>
          <w:i/>
          <w:color w:val="000000"/>
          <w:lang w:eastAsia="es-MX"/>
        </w:rPr>
      </w:pPr>
      <w:r w:rsidRPr="00F82EAB">
        <w:rPr>
          <w:rFonts w:ascii="ITC Avant Garde" w:hAnsi="ITC Avant Garde"/>
          <w:bCs/>
          <w:color w:val="000000"/>
          <w:lang w:eastAsia="es-MX"/>
        </w:rPr>
        <w:t xml:space="preserve">En ese sentido se acredita el vínculo con la ciudadanía </w:t>
      </w:r>
      <w:r w:rsidR="00E72E07" w:rsidRPr="00F82EAB">
        <w:rPr>
          <w:rFonts w:ascii="ITC Avant Garde" w:hAnsi="ITC Avant Garde"/>
          <w:bCs/>
          <w:color w:val="000000"/>
          <w:lang w:eastAsia="es-MX"/>
        </w:rPr>
        <w:t xml:space="preserve">mediante </w:t>
      </w:r>
      <w:r w:rsidRPr="00F82EAB">
        <w:rPr>
          <w:rFonts w:ascii="ITC Avant Garde" w:hAnsi="ITC Avant Garde"/>
          <w:bCs/>
          <w:color w:val="000000"/>
          <w:lang w:eastAsia="es-MX"/>
        </w:rPr>
        <w:t xml:space="preserve">la atención a las audiencias por medio de la página electrónica de la U de G, consolidándose legalmente y en forma complementaria por medio de la figura del Defensor de Audiencias, por cuanto hace al acceso a la información, el derecho de réplica y la aportación a generar contenidos novedosos para los televidentes, siendo </w:t>
      </w:r>
      <w:r w:rsidR="0097043E">
        <w:rPr>
          <w:rFonts w:ascii="ITC Avant Garde" w:hAnsi="ITC Avant Garde"/>
          <w:bCs/>
          <w:color w:val="000000"/>
          <w:lang w:eastAsia="es-MX"/>
        </w:rPr>
        <w:t>el</w:t>
      </w:r>
      <w:r w:rsidR="0097043E" w:rsidRPr="00F82EAB">
        <w:rPr>
          <w:rFonts w:ascii="ITC Avant Garde" w:hAnsi="ITC Avant Garde"/>
          <w:bCs/>
          <w:color w:val="000000"/>
          <w:lang w:eastAsia="es-MX"/>
        </w:rPr>
        <w:t xml:space="preserve"> </w:t>
      </w:r>
      <w:r w:rsidR="0097043E">
        <w:rPr>
          <w:rFonts w:ascii="ITC Avant Garde" w:hAnsi="ITC Avant Garde"/>
          <w:bCs/>
          <w:color w:val="000000"/>
          <w:lang w:eastAsia="es-MX"/>
        </w:rPr>
        <w:t>SURT</w:t>
      </w:r>
      <w:r w:rsidRPr="00F82EAB">
        <w:rPr>
          <w:rFonts w:ascii="ITC Avant Garde" w:hAnsi="ITC Avant Garde"/>
          <w:bCs/>
          <w:color w:val="000000"/>
          <w:lang w:eastAsia="es-MX"/>
        </w:rPr>
        <w:t xml:space="preserve"> quien rectificará o materializará las recomendaciones o propuestas de acción correctiva que </w:t>
      </w:r>
      <w:r w:rsidRPr="00F82EAB">
        <w:rPr>
          <w:rFonts w:ascii="ITC Avant Garde" w:hAnsi="ITC Avant Garde"/>
          <w:bCs/>
          <w:color w:val="000000"/>
          <w:lang w:eastAsia="es-MX"/>
        </w:rPr>
        <w:lastRenderedPageBreak/>
        <w:t>corresponda, previa Consulta del Consejo Ciudadano, en términos del artículo 23 de las “</w:t>
      </w:r>
      <w:r w:rsidRPr="00565BC2">
        <w:rPr>
          <w:rFonts w:ascii="ITC Avant Garde" w:hAnsi="ITC Avant Garde"/>
          <w:bCs/>
          <w:i/>
          <w:color w:val="000000"/>
          <w:lang w:eastAsia="es-MX"/>
        </w:rPr>
        <w:t>Políticas de Radiodifusión de la Universidad de Guadalajara”.</w:t>
      </w:r>
    </w:p>
    <w:p w14:paraId="08C6A9D2" w14:textId="77777777" w:rsidR="005179B5" w:rsidRDefault="00E72E07" w:rsidP="005179B5">
      <w:pPr>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lang w:eastAsia="es-MX"/>
        </w:rPr>
        <w:t xml:space="preserve">En razón de lo anterior, esta autoridad estima que la U de G, cumple con el mecanismo a que se refiere el artículo </w:t>
      </w:r>
      <w:r w:rsidRPr="00F82EAB">
        <w:rPr>
          <w:rFonts w:ascii="ITC Avant Garde" w:hAnsi="ITC Avant Garde"/>
        </w:rPr>
        <w:t>8 fracción IV, inciso a) de los Lineamientos Generales para el Otorgamiento de las Concesiones</w:t>
      </w:r>
      <w:r w:rsidRPr="00F82EAB">
        <w:rPr>
          <w:rFonts w:ascii="ITC Avant Garde" w:hAnsi="ITC Avant Garde"/>
          <w:bCs/>
          <w:lang w:eastAsia="es-MX"/>
        </w:rPr>
        <w:t>, por cuanto hace a la participación ciudadana.</w:t>
      </w:r>
    </w:p>
    <w:p w14:paraId="2E492186" w14:textId="77777777" w:rsidR="005179B5" w:rsidRDefault="006C797F" w:rsidP="005179B5">
      <w:pPr>
        <w:autoSpaceDE w:val="0"/>
        <w:autoSpaceDN w:val="0"/>
        <w:adjustRightInd w:val="0"/>
        <w:spacing w:afterLines="120" w:after="288"/>
        <w:jc w:val="both"/>
        <w:rPr>
          <w:rFonts w:ascii="ITC Avant Garde" w:hAnsi="ITC Avant Garde"/>
          <w:bCs/>
        </w:rPr>
      </w:pPr>
      <w:r w:rsidRPr="00F82EAB">
        <w:rPr>
          <w:rFonts w:ascii="ITC Avant Garde" w:hAnsi="ITC Avant Garde"/>
          <w:b/>
          <w:bCs/>
        </w:rPr>
        <w:t>D. Reglas claras para la transparencia y rendición de cuentas.</w:t>
      </w:r>
      <w:r w:rsidRPr="00F82EAB">
        <w:rPr>
          <w:rFonts w:ascii="ITC Avant Garde" w:hAnsi="ITC Avant Garde"/>
          <w:bCs/>
        </w:rPr>
        <w:t xml:space="preserve"> </w:t>
      </w:r>
      <w:r w:rsidR="00E939D6" w:rsidRPr="00F82EAB">
        <w:rPr>
          <w:rFonts w:ascii="ITC Avant Garde" w:hAnsi="ITC Avant Garde"/>
          <w:bCs/>
        </w:rPr>
        <w:t xml:space="preserve">La U de G se encuentra obligada al cumplimiento a las disposiciones establecidas en la Ley Federal de Transparencia y Acceso a la información Pública Gubernamental, así como a la Ley de Transparencia y Acceso a la Información Pública del Estado de Jalisco y sus Municipios, por lo que al ser un organismo público descentralizado y gozar de autonomía, mediante dictamen número II/2007/137 emitido en sesión del H. Consejo General Universitario del 31 de mayo de 2007, aprobó su propio </w:t>
      </w:r>
      <w:r w:rsidR="00E939D6" w:rsidRPr="00565BC2">
        <w:rPr>
          <w:rFonts w:ascii="ITC Avant Garde" w:hAnsi="ITC Avant Garde"/>
          <w:bCs/>
          <w:i/>
        </w:rPr>
        <w:t>“Reglamento de Transparencia y Acceso a la Información Pública de la Universidad de Guadalajara”,</w:t>
      </w:r>
      <w:r w:rsidR="00E939D6" w:rsidRPr="00F82EAB">
        <w:rPr>
          <w:rFonts w:ascii="ITC Avant Garde" w:hAnsi="ITC Avant Garde"/>
          <w:bCs/>
        </w:rPr>
        <w:t xml:space="preserve"> el cual tiene por objeto: establecer y regular los procedimientos para el acceso a la información pública, de conformidad con lo ordenado por el artículo 9 de la Ley de Transparencia e información Pública del Estado de Jalisco, atendiendo a la obligación de garantizar el derecho a la información.</w:t>
      </w:r>
    </w:p>
    <w:p w14:paraId="4A789E6A" w14:textId="77777777" w:rsidR="005179B5" w:rsidRDefault="00E939D6" w:rsidP="005179B5">
      <w:pPr>
        <w:autoSpaceDE w:val="0"/>
        <w:autoSpaceDN w:val="0"/>
        <w:adjustRightInd w:val="0"/>
        <w:spacing w:afterLines="120" w:after="288"/>
        <w:jc w:val="both"/>
        <w:rPr>
          <w:rFonts w:ascii="ITC Avant Garde" w:hAnsi="ITC Avant Garde"/>
          <w:bCs/>
        </w:rPr>
      </w:pPr>
      <w:r w:rsidRPr="00F82EAB">
        <w:rPr>
          <w:rFonts w:ascii="ITC Avant Garde" w:hAnsi="ITC Avant Garde"/>
          <w:bCs/>
        </w:rPr>
        <w:t>Las disposiciones normativas referidas en el párrafo que antecede, pueden ser consultadas en los siguientes portales oficiales:</w:t>
      </w:r>
    </w:p>
    <w:p w14:paraId="20539BEE" w14:textId="1E758D7E" w:rsidR="005179B5" w:rsidRDefault="00E939D6" w:rsidP="005179B5">
      <w:pPr>
        <w:pStyle w:val="Prrafodelista"/>
        <w:numPr>
          <w:ilvl w:val="0"/>
          <w:numId w:val="51"/>
        </w:numPr>
        <w:autoSpaceDE w:val="0"/>
        <w:autoSpaceDN w:val="0"/>
        <w:adjustRightInd w:val="0"/>
        <w:spacing w:afterLines="120" w:after="288" w:line="276" w:lineRule="auto"/>
        <w:jc w:val="both"/>
        <w:rPr>
          <w:rFonts w:ascii="ITC Avant Garde" w:eastAsia="Calibri" w:hAnsi="ITC Avant Garde"/>
          <w:bCs/>
          <w:sz w:val="22"/>
          <w:szCs w:val="22"/>
        </w:rPr>
      </w:pPr>
      <w:r w:rsidRPr="00565BC2">
        <w:rPr>
          <w:rFonts w:ascii="ITC Avant Garde" w:eastAsia="Calibri" w:hAnsi="ITC Avant Garde"/>
          <w:bCs/>
          <w:sz w:val="22"/>
          <w:szCs w:val="22"/>
        </w:rPr>
        <w:t xml:space="preserve">Ley Federal de Transparencia y Acceso a la Información Pública Gubernamental: </w:t>
      </w:r>
      <w:r w:rsidRPr="00315B9B">
        <w:rPr>
          <w:rFonts w:ascii="ITC Avant Garde" w:eastAsia="Calibri" w:hAnsi="ITC Avant Garde"/>
          <w:bCs/>
          <w:sz w:val="22"/>
          <w:szCs w:val="22"/>
        </w:rPr>
        <w:t>http://www.diputados.gob.mx/LeyesBiblio/index.htm</w:t>
      </w:r>
      <w:r w:rsidRPr="00F82EAB">
        <w:rPr>
          <w:rFonts w:ascii="ITC Avant Garde" w:eastAsia="Calibri" w:hAnsi="ITC Avant Garde"/>
          <w:bCs/>
          <w:sz w:val="22"/>
          <w:szCs w:val="22"/>
        </w:rPr>
        <w:t xml:space="preserve"> </w:t>
      </w:r>
    </w:p>
    <w:p w14:paraId="694B28DE" w14:textId="557B8695" w:rsidR="005179B5" w:rsidRDefault="00E939D6" w:rsidP="005179B5">
      <w:pPr>
        <w:pStyle w:val="Prrafodelista"/>
        <w:numPr>
          <w:ilvl w:val="0"/>
          <w:numId w:val="51"/>
        </w:numPr>
        <w:autoSpaceDE w:val="0"/>
        <w:autoSpaceDN w:val="0"/>
        <w:adjustRightInd w:val="0"/>
        <w:spacing w:afterLines="120" w:after="288" w:line="276" w:lineRule="auto"/>
        <w:jc w:val="both"/>
        <w:rPr>
          <w:rFonts w:ascii="ITC Avant Garde" w:eastAsia="Calibri" w:hAnsi="ITC Avant Garde"/>
          <w:bCs/>
          <w:sz w:val="22"/>
          <w:szCs w:val="22"/>
        </w:rPr>
      </w:pPr>
      <w:r w:rsidRPr="00F82EAB">
        <w:rPr>
          <w:rFonts w:ascii="ITC Avant Garde" w:eastAsia="Calibri" w:hAnsi="ITC Avant Garde"/>
          <w:bCs/>
          <w:sz w:val="22"/>
          <w:szCs w:val="22"/>
        </w:rPr>
        <w:t xml:space="preserve">Ley de Transparencia y Acceso a la Información Pública del Estado de Jalisco y sus Municipios: </w:t>
      </w:r>
      <w:r w:rsidRPr="00315B9B">
        <w:rPr>
          <w:rFonts w:ascii="ITC Avant Garde" w:eastAsia="Calibri" w:hAnsi="ITC Avant Garde"/>
          <w:bCs/>
          <w:sz w:val="22"/>
          <w:szCs w:val="22"/>
        </w:rPr>
        <w:t>http://congresojal.gob.mx/BibliotecaVirtual/LeyesEstatales.cfm</w:t>
      </w:r>
    </w:p>
    <w:p w14:paraId="55B36600" w14:textId="577857FE" w:rsidR="005179B5" w:rsidRDefault="00E939D6" w:rsidP="005179B5">
      <w:pPr>
        <w:pStyle w:val="Prrafodelista"/>
        <w:numPr>
          <w:ilvl w:val="0"/>
          <w:numId w:val="51"/>
        </w:numPr>
        <w:autoSpaceDE w:val="0"/>
        <w:autoSpaceDN w:val="0"/>
        <w:adjustRightInd w:val="0"/>
        <w:spacing w:afterLines="120" w:after="288" w:line="276" w:lineRule="auto"/>
        <w:jc w:val="both"/>
        <w:rPr>
          <w:rFonts w:ascii="ITC Avant Garde" w:eastAsia="Calibri" w:hAnsi="ITC Avant Garde"/>
          <w:bCs/>
          <w:sz w:val="22"/>
          <w:szCs w:val="22"/>
        </w:rPr>
      </w:pPr>
      <w:r w:rsidRPr="00F82EAB">
        <w:rPr>
          <w:rFonts w:ascii="ITC Avant Garde" w:eastAsia="Calibri" w:hAnsi="ITC Avant Garde"/>
          <w:bCs/>
          <w:sz w:val="22"/>
          <w:szCs w:val="22"/>
        </w:rPr>
        <w:t xml:space="preserve">Reglamento de Transparencia y Acceso a la Información Pública: </w:t>
      </w:r>
      <w:r w:rsidRPr="00315B9B">
        <w:rPr>
          <w:rFonts w:ascii="ITC Avant Garde" w:eastAsia="Calibri" w:hAnsi="ITC Avant Garde"/>
          <w:bCs/>
          <w:sz w:val="22"/>
          <w:szCs w:val="22"/>
        </w:rPr>
        <w:t>http://www.secgral.udg.mx/sites/archivos/normatividad/general/ReglamentoTransparencia_0.pdf</w:t>
      </w:r>
      <w:r w:rsidRPr="00F82EAB">
        <w:rPr>
          <w:rFonts w:ascii="ITC Avant Garde" w:eastAsia="Calibri" w:hAnsi="ITC Avant Garde"/>
          <w:bCs/>
          <w:sz w:val="22"/>
          <w:szCs w:val="22"/>
        </w:rPr>
        <w:t xml:space="preserve"> </w:t>
      </w:r>
    </w:p>
    <w:p w14:paraId="2FF73518" w14:textId="7EFE6176" w:rsidR="005179B5" w:rsidRDefault="00E939D6" w:rsidP="005179B5">
      <w:pPr>
        <w:autoSpaceDE w:val="0"/>
        <w:autoSpaceDN w:val="0"/>
        <w:adjustRightInd w:val="0"/>
        <w:spacing w:afterLines="120" w:after="288"/>
        <w:jc w:val="both"/>
        <w:rPr>
          <w:rFonts w:ascii="ITC Avant Garde" w:hAnsi="ITC Avant Garde"/>
          <w:bCs/>
        </w:rPr>
      </w:pPr>
      <w:r w:rsidRPr="00F82EAB">
        <w:rPr>
          <w:rFonts w:ascii="ITC Avant Garde" w:hAnsi="ITC Avant Garde"/>
          <w:bCs/>
        </w:rPr>
        <w:t xml:space="preserve">Aunado a lo anterior, la U de G cuenta con la Coordinación de Transparencia y Archivo General, dependiente de la Secretaría General, misma que tiene la obligación de hacer pública y garantizar el acceso de toda la información pública de la Universidad, </w:t>
      </w:r>
      <w:r w:rsidR="0011751E" w:rsidRPr="00F82EAB">
        <w:rPr>
          <w:rFonts w:ascii="ITC Avant Garde" w:hAnsi="ITC Avant Garde"/>
          <w:bCs/>
        </w:rPr>
        <w:t>es a través del</w:t>
      </w:r>
      <w:r w:rsidRPr="00F82EAB">
        <w:rPr>
          <w:rFonts w:ascii="ITC Avant Garde" w:hAnsi="ITC Avant Garde"/>
          <w:bCs/>
        </w:rPr>
        <w:t xml:space="preserve"> portal: </w:t>
      </w:r>
      <w:r w:rsidR="00315B9B" w:rsidRPr="00315B9B">
        <w:rPr>
          <w:rFonts w:ascii="ITC Avant Garde" w:hAnsi="ITC Avant Garde"/>
          <w:bCs/>
        </w:rPr>
        <w:t>http://www.</w:t>
      </w:r>
      <w:r w:rsidR="00315B9B" w:rsidRPr="00315B9B">
        <w:rPr>
          <w:rFonts w:ascii="ITC Avant Garde" w:hAnsi="ITC Avant Garde"/>
          <w:bCs/>
          <w:lang w:eastAsia="es-MX"/>
        </w:rPr>
        <w:t>transparencia.udg.mx/</w:t>
      </w:r>
      <w:r w:rsidR="00315B9B" w:rsidRPr="00315B9B">
        <w:rPr>
          <w:lang w:eastAsia="es-MX"/>
        </w:rPr>
        <w:t>, e</w:t>
      </w:r>
      <w:r w:rsidRPr="00F82EAB">
        <w:rPr>
          <w:rFonts w:ascii="ITC Avant Garde" w:hAnsi="ITC Avant Garde"/>
          <w:bCs/>
          <w:lang w:eastAsia="es-MX"/>
        </w:rPr>
        <w:t xml:space="preserve">n el que se da seguimiento a las solicitudes de acceso a la información relativa a las actividades que desempeña en su carácter de organismo público, canalizando las solicitudes a las áreas responsables </w:t>
      </w:r>
      <w:r w:rsidRPr="00F82EAB">
        <w:rPr>
          <w:rFonts w:ascii="ITC Avant Garde" w:hAnsi="ITC Avant Garde"/>
          <w:bCs/>
        </w:rPr>
        <w:t xml:space="preserve">e indica el procedimiento que deben seguir para ingresar correctamente dichas </w:t>
      </w:r>
      <w:r w:rsidRPr="00F82EAB">
        <w:rPr>
          <w:rFonts w:ascii="ITC Avant Garde" w:hAnsi="ITC Avant Garde"/>
          <w:bCs/>
        </w:rPr>
        <w:lastRenderedPageBreak/>
        <w:t xml:space="preserve">solicitudes, que se encuentra contenido en los artículos del 41 al 60 del </w:t>
      </w:r>
      <w:r w:rsidRPr="00565BC2">
        <w:rPr>
          <w:rFonts w:ascii="ITC Avant Garde" w:hAnsi="ITC Avant Garde"/>
          <w:bCs/>
          <w:i/>
        </w:rPr>
        <w:t>“Reglamento de Transparencia y Acceso a la Información Pública de la Universidad de Guadalajara</w:t>
      </w:r>
      <w:r w:rsidRPr="00F82EAB">
        <w:rPr>
          <w:rFonts w:ascii="ITC Avant Garde" w:hAnsi="ITC Avant Garde"/>
          <w:bCs/>
        </w:rPr>
        <w:t>”</w:t>
      </w:r>
      <w:r w:rsidR="0011751E" w:rsidRPr="00F82EAB">
        <w:rPr>
          <w:rFonts w:ascii="ITC Avant Garde" w:hAnsi="ITC Avant Garde"/>
          <w:bCs/>
        </w:rPr>
        <w:t>, detallado en el instructivo que se adjunta a la Solicitud de Cumplimiento, a saber:</w:t>
      </w:r>
    </w:p>
    <w:p w14:paraId="155B7C7B" w14:textId="77777777" w:rsidR="005179B5" w:rsidRDefault="0011751E" w:rsidP="005179B5">
      <w:pPr>
        <w:pStyle w:val="Prrafodelista"/>
        <w:autoSpaceDE w:val="0"/>
        <w:autoSpaceDN w:val="0"/>
        <w:adjustRightInd w:val="0"/>
        <w:spacing w:afterLines="120" w:after="288"/>
        <w:ind w:left="567" w:right="899"/>
        <w:rPr>
          <w:rFonts w:ascii="ITC Avant Garde" w:eastAsia="Calibri" w:hAnsi="ITC Avant Garde"/>
          <w:bCs/>
          <w:i/>
          <w:sz w:val="20"/>
        </w:rPr>
      </w:pPr>
      <w:r w:rsidRPr="00565BC2">
        <w:rPr>
          <w:rFonts w:ascii="ITC Avant Garde" w:eastAsia="Calibri" w:hAnsi="ITC Avant Garde"/>
          <w:bCs/>
          <w:i/>
          <w:sz w:val="20"/>
        </w:rPr>
        <w:t>“Instructivo.</w:t>
      </w:r>
    </w:p>
    <w:p w14:paraId="68A08320" w14:textId="77777777" w:rsidR="005179B5" w:rsidRDefault="0011751E" w:rsidP="005179B5">
      <w:pPr>
        <w:spacing w:afterLines="120" w:after="288" w:line="240" w:lineRule="auto"/>
        <w:ind w:left="567" w:right="899"/>
        <w:jc w:val="both"/>
        <w:rPr>
          <w:rFonts w:ascii="ITC Avant Garde" w:hAnsi="ITC Avant Garde"/>
          <w:i/>
          <w:sz w:val="20"/>
          <w:szCs w:val="20"/>
        </w:rPr>
      </w:pPr>
      <w:r w:rsidRPr="00565BC2">
        <w:rPr>
          <w:rFonts w:ascii="ITC Avant Garde" w:hAnsi="ITC Avant Garde"/>
          <w:i/>
          <w:sz w:val="20"/>
          <w:szCs w:val="20"/>
        </w:rPr>
        <w:t>De acuerdo con la Ley de Transparencia y Acceso a la información Pública del Estado de Jalisco y sus Municipios (LTAIPEJM), ponemos a su disposición este breve instructivo para el procedimiento de acceso a la información pública de la Universidad de Guadalajara:</w:t>
      </w:r>
    </w:p>
    <w:p w14:paraId="739DE912" w14:textId="77777777" w:rsidR="005179B5" w:rsidRDefault="0011751E" w:rsidP="005179B5">
      <w:pPr>
        <w:pStyle w:val="Prrafodelista"/>
        <w:numPr>
          <w:ilvl w:val="0"/>
          <w:numId w:val="52"/>
        </w:numPr>
        <w:spacing w:afterLines="120" w:after="288"/>
        <w:ind w:left="1134" w:right="899" w:hanging="141"/>
        <w:jc w:val="both"/>
        <w:rPr>
          <w:rFonts w:ascii="ITC Avant Garde" w:eastAsiaTheme="minorHAnsi" w:hAnsi="ITC Avant Garde"/>
          <w:i/>
          <w:sz w:val="20"/>
        </w:rPr>
      </w:pPr>
      <w:r w:rsidRPr="00565BC2">
        <w:rPr>
          <w:rFonts w:ascii="ITC Avant Garde" w:eastAsiaTheme="minorHAnsi" w:hAnsi="ITC Avant Garde"/>
          <w:i/>
          <w:sz w:val="20"/>
        </w:rPr>
        <w:t xml:space="preserve">Para realizar una solicitud de información, puede acudir a la Coordinación de Transparencia </w:t>
      </w:r>
      <w:r w:rsidRPr="00565BC2">
        <w:rPr>
          <w:rFonts w:ascii="ITC Avant Garde" w:hAnsi="ITC Avant Garde"/>
          <w:i/>
          <w:sz w:val="20"/>
        </w:rPr>
        <w:t xml:space="preserve">y </w:t>
      </w:r>
      <w:r w:rsidRPr="00565BC2">
        <w:rPr>
          <w:rFonts w:ascii="ITC Avant Garde" w:eastAsiaTheme="minorHAnsi" w:hAnsi="ITC Avant Garde"/>
          <w:i/>
          <w:sz w:val="20"/>
        </w:rPr>
        <w:t>Archivo General</w:t>
      </w:r>
      <w:r w:rsidRPr="00565BC2">
        <w:rPr>
          <w:rFonts w:ascii="ITC Avant Garde" w:hAnsi="ITC Avant Garde"/>
          <w:i/>
          <w:sz w:val="20"/>
        </w:rPr>
        <w:t xml:space="preserve"> </w:t>
      </w:r>
      <w:r w:rsidRPr="00565BC2">
        <w:rPr>
          <w:rFonts w:ascii="ITC Avant Garde" w:eastAsiaTheme="minorHAnsi" w:hAnsi="ITC Avant Garde"/>
          <w:i/>
          <w:sz w:val="20"/>
        </w:rPr>
        <w:t xml:space="preserve">de la Universidad de Guadalajara (CTAG), ubicada en la </w:t>
      </w:r>
      <w:r w:rsidRPr="00565BC2">
        <w:rPr>
          <w:rFonts w:ascii="ITC Avant Garde" w:hAnsi="ITC Avant Garde"/>
          <w:i/>
          <w:sz w:val="20"/>
        </w:rPr>
        <w:t xml:space="preserve">Calle Pedro Moreno </w:t>
      </w:r>
      <w:r w:rsidRPr="00565BC2">
        <w:rPr>
          <w:rFonts w:ascii="ITC Avant Garde" w:eastAsiaTheme="minorHAnsi" w:hAnsi="ITC Avant Garde"/>
          <w:i/>
          <w:sz w:val="20"/>
        </w:rPr>
        <w:t>n</w:t>
      </w:r>
      <w:r w:rsidRPr="00565BC2">
        <w:rPr>
          <w:rFonts w:ascii="ITC Avant Garde" w:hAnsi="ITC Avant Garde"/>
          <w:i/>
          <w:sz w:val="20"/>
        </w:rPr>
        <w:t xml:space="preserve">úmero </w:t>
      </w:r>
      <w:r w:rsidRPr="00565BC2">
        <w:rPr>
          <w:rFonts w:ascii="ITC Avant Garde" w:eastAsiaTheme="minorHAnsi" w:hAnsi="ITC Avant Garde"/>
          <w:i/>
          <w:sz w:val="20"/>
        </w:rPr>
        <w:t xml:space="preserve">834, Col. Centro, en Guadalajara, Jalisco, en donde podrá llenar el formato, </w:t>
      </w:r>
      <w:r w:rsidRPr="00565BC2">
        <w:rPr>
          <w:rFonts w:ascii="ITC Avant Garde" w:hAnsi="ITC Avant Garde"/>
          <w:i/>
          <w:sz w:val="20"/>
        </w:rPr>
        <w:t xml:space="preserve">o </w:t>
      </w:r>
      <w:r w:rsidRPr="00565BC2">
        <w:rPr>
          <w:rFonts w:ascii="ITC Avant Garde" w:eastAsiaTheme="minorHAnsi" w:hAnsi="ITC Avant Garde"/>
          <w:i/>
          <w:sz w:val="20"/>
        </w:rPr>
        <w:t xml:space="preserve">registrarse </w:t>
      </w:r>
      <w:r w:rsidRPr="00565BC2">
        <w:rPr>
          <w:rFonts w:ascii="ITC Avant Garde" w:hAnsi="ITC Avant Garde"/>
          <w:i/>
          <w:sz w:val="20"/>
        </w:rPr>
        <w:t>en el</w:t>
      </w:r>
      <w:r w:rsidRPr="00565BC2">
        <w:rPr>
          <w:rFonts w:ascii="ITC Avant Garde" w:eastAsiaTheme="minorHAnsi" w:hAnsi="ITC Avant Garde"/>
          <w:i/>
          <w:sz w:val="20"/>
        </w:rPr>
        <w:t xml:space="preserve"> </w:t>
      </w:r>
      <w:r w:rsidRPr="00565BC2">
        <w:rPr>
          <w:rFonts w:ascii="ITC Avant Garde" w:hAnsi="ITC Avant Garde"/>
          <w:i/>
          <w:sz w:val="20"/>
        </w:rPr>
        <w:t>Si</w:t>
      </w:r>
      <w:r w:rsidRPr="00565BC2">
        <w:rPr>
          <w:rFonts w:ascii="ITC Avant Garde" w:eastAsiaTheme="minorHAnsi" w:hAnsi="ITC Avant Garde"/>
          <w:i/>
          <w:sz w:val="20"/>
        </w:rPr>
        <w:t xml:space="preserve">stema Electrónico de Solicitudes de </w:t>
      </w:r>
      <w:r w:rsidRPr="00565BC2">
        <w:rPr>
          <w:rFonts w:ascii="ITC Avant Garde" w:hAnsi="ITC Avant Garde"/>
          <w:i/>
          <w:sz w:val="20"/>
        </w:rPr>
        <w:t>Información Pú</w:t>
      </w:r>
      <w:r w:rsidRPr="00565BC2">
        <w:rPr>
          <w:rFonts w:ascii="ITC Avant Garde" w:eastAsiaTheme="minorHAnsi" w:hAnsi="ITC Avant Garde"/>
          <w:i/>
          <w:sz w:val="20"/>
        </w:rPr>
        <w:t xml:space="preserve">blica (SESIP). </w:t>
      </w:r>
      <w:r w:rsidRPr="00565BC2">
        <w:rPr>
          <w:rFonts w:ascii="ITC Avant Garde" w:hAnsi="ITC Avant Garde"/>
          <w:i/>
          <w:sz w:val="20"/>
        </w:rPr>
        <w:t xml:space="preserve">Puede </w:t>
      </w:r>
      <w:r w:rsidRPr="00565BC2">
        <w:rPr>
          <w:rFonts w:ascii="ITC Avant Garde" w:eastAsiaTheme="minorHAnsi" w:hAnsi="ITC Avant Garde"/>
          <w:i/>
          <w:sz w:val="20"/>
        </w:rPr>
        <w:t xml:space="preserve">descargar el formato de </w:t>
      </w:r>
      <w:r w:rsidRPr="00565BC2">
        <w:rPr>
          <w:rFonts w:ascii="ITC Avant Garde" w:hAnsi="ITC Avant Garde"/>
          <w:i/>
          <w:sz w:val="20"/>
        </w:rPr>
        <w:t>solicitud aquí.</w:t>
      </w:r>
    </w:p>
    <w:p w14:paraId="764CF126" w14:textId="77777777" w:rsidR="005179B5" w:rsidRDefault="0011751E" w:rsidP="005179B5">
      <w:pPr>
        <w:pStyle w:val="Prrafodelista"/>
        <w:numPr>
          <w:ilvl w:val="0"/>
          <w:numId w:val="52"/>
        </w:numPr>
        <w:spacing w:afterLines="120" w:after="288"/>
        <w:ind w:left="1134" w:right="899" w:hanging="141"/>
        <w:jc w:val="both"/>
        <w:rPr>
          <w:rFonts w:ascii="ITC Avant Garde" w:hAnsi="ITC Avant Garde"/>
          <w:i/>
          <w:sz w:val="20"/>
        </w:rPr>
      </w:pPr>
      <w:r w:rsidRPr="00565BC2">
        <w:rPr>
          <w:rFonts w:ascii="ITC Avant Garde" w:hAnsi="ITC Avant Garde"/>
          <w:i/>
          <w:sz w:val="20"/>
        </w:rPr>
        <w:t>Si l</w:t>
      </w:r>
      <w:r w:rsidRPr="00565BC2">
        <w:rPr>
          <w:rFonts w:ascii="ITC Avant Garde" w:eastAsiaTheme="minorHAnsi" w:hAnsi="ITC Avant Garde"/>
          <w:i/>
          <w:sz w:val="20"/>
        </w:rPr>
        <w:t>o desea, personal de la CTAG puede auxiliarle en la elaboración de la solicitud.</w:t>
      </w:r>
    </w:p>
    <w:p w14:paraId="346F3A82" w14:textId="77777777" w:rsidR="005179B5" w:rsidRDefault="0011751E" w:rsidP="005179B5">
      <w:pPr>
        <w:pStyle w:val="Prrafodelista"/>
        <w:numPr>
          <w:ilvl w:val="0"/>
          <w:numId w:val="52"/>
        </w:numPr>
        <w:spacing w:afterLines="120" w:after="288"/>
        <w:ind w:left="1134" w:right="899" w:hanging="141"/>
        <w:jc w:val="both"/>
        <w:rPr>
          <w:rFonts w:ascii="ITC Avant Garde" w:hAnsi="ITC Avant Garde"/>
          <w:i/>
          <w:sz w:val="20"/>
        </w:rPr>
      </w:pPr>
      <w:r w:rsidRPr="00565BC2">
        <w:rPr>
          <w:rFonts w:ascii="ITC Avant Garde" w:eastAsiaTheme="minorHAnsi" w:hAnsi="ITC Avant Garde"/>
          <w:i/>
          <w:sz w:val="20"/>
        </w:rPr>
        <w:t xml:space="preserve">Para efectos de su procedencia, la solicitud de información debe cumplir con los </w:t>
      </w:r>
      <w:r w:rsidRPr="00565BC2">
        <w:rPr>
          <w:rFonts w:ascii="ITC Avant Garde" w:hAnsi="ITC Avant Garde"/>
          <w:i/>
          <w:sz w:val="20"/>
        </w:rPr>
        <w:t xml:space="preserve">siguientes </w:t>
      </w:r>
      <w:r w:rsidRPr="00565BC2">
        <w:rPr>
          <w:rFonts w:ascii="ITC Avant Garde" w:eastAsiaTheme="minorHAnsi" w:hAnsi="ITC Avant Garde"/>
          <w:i/>
          <w:sz w:val="20"/>
        </w:rPr>
        <w:t>requisitos:</w:t>
      </w:r>
    </w:p>
    <w:p w14:paraId="520E6ECA" w14:textId="77777777" w:rsidR="005179B5" w:rsidRDefault="0011751E" w:rsidP="005179B5">
      <w:pPr>
        <w:pStyle w:val="Prrafodelista"/>
        <w:numPr>
          <w:ilvl w:val="0"/>
          <w:numId w:val="53"/>
        </w:numPr>
        <w:spacing w:afterLines="120" w:after="288"/>
        <w:ind w:left="1134" w:right="899" w:hanging="141"/>
        <w:jc w:val="both"/>
        <w:rPr>
          <w:rFonts w:ascii="ITC Avant Garde" w:hAnsi="ITC Avant Garde"/>
          <w:i/>
          <w:sz w:val="20"/>
        </w:rPr>
      </w:pPr>
      <w:r w:rsidRPr="00565BC2">
        <w:rPr>
          <w:rFonts w:ascii="ITC Avant Garde" w:eastAsiaTheme="minorHAnsi" w:hAnsi="ITC Avant Garde"/>
          <w:i/>
          <w:sz w:val="20"/>
        </w:rPr>
        <w:t xml:space="preserve">Deberá incluir el nombre completo del </w:t>
      </w:r>
      <w:r w:rsidRPr="00565BC2">
        <w:rPr>
          <w:rFonts w:ascii="ITC Avant Garde" w:hAnsi="ITC Avant Garde"/>
          <w:i/>
          <w:sz w:val="20"/>
        </w:rPr>
        <w:t>solicitante, así</w:t>
      </w:r>
      <w:r w:rsidRPr="00565BC2">
        <w:rPr>
          <w:rFonts w:ascii="ITC Avant Garde" w:eastAsiaTheme="minorHAnsi" w:hAnsi="ITC Avant Garde"/>
          <w:i/>
          <w:sz w:val="20"/>
        </w:rPr>
        <w:t xml:space="preserve"> como en su caso, el nombre de </w:t>
      </w:r>
      <w:r w:rsidRPr="00565BC2">
        <w:rPr>
          <w:rFonts w:ascii="ITC Avant Garde" w:hAnsi="ITC Avant Garde"/>
          <w:i/>
          <w:sz w:val="20"/>
        </w:rPr>
        <w:t xml:space="preserve">las </w:t>
      </w:r>
      <w:r w:rsidRPr="00565BC2">
        <w:rPr>
          <w:rFonts w:ascii="ITC Avant Garde" w:eastAsiaTheme="minorHAnsi" w:hAnsi="ITC Avant Garde"/>
          <w:i/>
          <w:sz w:val="20"/>
        </w:rPr>
        <w:t>personas autorizadas para recibir la información</w:t>
      </w:r>
      <w:r w:rsidRPr="00565BC2">
        <w:rPr>
          <w:rFonts w:ascii="ITC Avant Garde" w:hAnsi="ITC Avant Garde"/>
          <w:i/>
          <w:sz w:val="20"/>
        </w:rPr>
        <w:t>.</w:t>
      </w:r>
    </w:p>
    <w:p w14:paraId="05757DD6" w14:textId="77777777" w:rsidR="005179B5" w:rsidRDefault="0011751E" w:rsidP="005179B5">
      <w:pPr>
        <w:pStyle w:val="Prrafodelista"/>
        <w:numPr>
          <w:ilvl w:val="0"/>
          <w:numId w:val="53"/>
        </w:numPr>
        <w:spacing w:afterLines="120" w:after="288"/>
        <w:ind w:left="1134" w:right="899" w:hanging="141"/>
        <w:jc w:val="both"/>
        <w:rPr>
          <w:rFonts w:ascii="ITC Avant Garde" w:hAnsi="ITC Avant Garde"/>
          <w:i/>
          <w:sz w:val="20"/>
        </w:rPr>
      </w:pPr>
      <w:r w:rsidRPr="00565BC2">
        <w:rPr>
          <w:rFonts w:ascii="ITC Avant Garde" w:eastAsiaTheme="minorHAnsi" w:hAnsi="ITC Avant Garde"/>
          <w:i/>
          <w:sz w:val="20"/>
        </w:rPr>
        <w:t xml:space="preserve">Se </w:t>
      </w:r>
      <w:r w:rsidRPr="00565BC2">
        <w:rPr>
          <w:rFonts w:ascii="ITC Avant Garde" w:hAnsi="ITC Avant Garde"/>
          <w:i/>
          <w:sz w:val="20"/>
        </w:rPr>
        <w:t>deb</w:t>
      </w:r>
      <w:r w:rsidRPr="00565BC2">
        <w:rPr>
          <w:rFonts w:ascii="ITC Avant Garde" w:eastAsiaTheme="minorHAnsi" w:hAnsi="ITC Avant Garde"/>
          <w:i/>
          <w:sz w:val="20"/>
        </w:rPr>
        <w:t xml:space="preserve">e indicar el </w:t>
      </w:r>
      <w:r w:rsidRPr="00565BC2">
        <w:rPr>
          <w:rFonts w:ascii="ITC Avant Garde" w:hAnsi="ITC Avant Garde"/>
          <w:i/>
          <w:sz w:val="20"/>
        </w:rPr>
        <w:t>domicilio, nú</w:t>
      </w:r>
      <w:r w:rsidRPr="00565BC2">
        <w:rPr>
          <w:rFonts w:ascii="ITC Avant Garde" w:eastAsiaTheme="minorHAnsi" w:hAnsi="ITC Avant Garde"/>
          <w:i/>
          <w:sz w:val="20"/>
        </w:rPr>
        <w:t xml:space="preserve">mero de fax, </w:t>
      </w:r>
      <w:r w:rsidRPr="00565BC2">
        <w:rPr>
          <w:rFonts w:ascii="ITC Avant Garde" w:hAnsi="ITC Avant Garde"/>
          <w:i/>
          <w:sz w:val="20"/>
        </w:rPr>
        <w:t>corr</w:t>
      </w:r>
      <w:r w:rsidRPr="00565BC2">
        <w:rPr>
          <w:rFonts w:ascii="ITC Avant Garde" w:eastAsiaTheme="minorHAnsi" w:hAnsi="ITC Avant Garde"/>
          <w:i/>
          <w:sz w:val="20"/>
        </w:rPr>
        <w:t xml:space="preserve">eo electrónico o estrados para </w:t>
      </w:r>
      <w:r w:rsidRPr="00565BC2">
        <w:rPr>
          <w:rFonts w:ascii="ITC Avant Garde" w:hAnsi="ITC Avant Garde"/>
          <w:i/>
          <w:sz w:val="20"/>
        </w:rPr>
        <w:t xml:space="preserve">recibir </w:t>
      </w:r>
      <w:r w:rsidRPr="00565BC2">
        <w:rPr>
          <w:rFonts w:ascii="ITC Avant Garde" w:eastAsiaTheme="minorHAnsi" w:hAnsi="ITC Avant Garde"/>
          <w:i/>
          <w:sz w:val="20"/>
        </w:rPr>
        <w:t>notificaciones.</w:t>
      </w:r>
    </w:p>
    <w:p w14:paraId="66C906EA" w14:textId="77777777" w:rsidR="005179B5" w:rsidRDefault="0011751E" w:rsidP="005179B5">
      <w:pPr>
        <w:pStyle w:val="Prrafodelista"/>
        <w:numPr>
          <w:ilvl w:val="0"/>
          <w:numId w:val="53"/>
        </w:numPr>
        <w:spacing w:afterLines="120" w:after="288"/>
        <w:ind w:left="1134" w:right="899" w:hanging="141"/>
        <w:jc w:val="both"/>
        <w:rPr>
          <w:rFonts w:ascii="ITC Avant Garde" w:eastAsiaTheme="minorHAnsi" w:hAnsi="ITC Avant Garde"/>
          <w:i/>
          <w:sz w:val="20"/>
        </w:rPr>
      </w:pPr>
      <w:r w:rsidRPr="00565BC2">
        <w:rPr>
          <w:rFonts w:ascii="ITC Avant Garde" w:eastAsiaTheme="minorHAnsi" w:hAnsi="ITC Avant Garde"/>
          <w:i/>
          <w:sz w:val="20"/>
        </w:rPr>
        <w:t xml:space="preserve">Es necesario indicar la información solicitada, incluyendo la forma y el medio de </w:t>
      </w:r>
      <w:r w:rsidRPr="00565BC2">
        <w:rPr>
          <w:rFonts w:ascii="ITC Avant Garde" w:hAnsi="ITC Avant Garde"/>
          <w:i/>
          <w:sz w:val="20"/>
        </w:rPr>
        <w:t xml:space="preserve">acceso que </w:t>
      </w:r>
      <w:r w:rsidRPr="00565BC2">
        <w:rPr>
          <w:rFonts w:ascii="ITC Avant Garde" w:eastAsiaTheme="minorHAnsi" w:hAnsi="ITC Avant Garde"/>
          <w:i/>
          <w:sz w:val="20"/>
        </w:rPr>
        <w:t>requiere. Dicho formato queda sujeto a la disponibilidad y posibilidad de su entrega.</w:t>
      </w:r>
    </w:p>
    <w:p w14:paraId="317DB885" w14:textId="77777777" w:rsidR="005179B5" w:rsidRDefault="0011751E" w:rsidP="005179B5">
      <w:pPr>
        <w:pStyle w:val="Prrafodelista"/>
        <w:numPr>
          <w:ilvl w:val="0"/>
          <w:numId w:val="54"/>
        </w:numPr>
        <w:spacing w:afterLines="120" w:after="288"/>
        <w:ind w:left="1134" w:right="899" w:hanging="141"/>
        <w:jc w:val="both"/>
        <w:rPr>
          <w:rFonts w:ascii="ITC Avant Garde" w:hAnsi="ITC Avant Garde"/>
          <w:i/>
          <w:sz w:val="20"/>
        </w:rPr>
      </w:pPr>
      <w:r w:rsidRPr="00565BC2">
        <w:rPr>
          <w:rFonts w:ascii="ITC Avant Garde" w:eastAsiaTheme="minorHAnsi" w:hAnsi="ITC Avant Garde"/>
          <w:i/>
          <w:sz w:val="20"/>
        </w:rPr>
        <w:t xml:space="preserve">Ninguna dependencia puede </w:t>
      </w:r>
      <w:r w:rsidRPr="00565BC2">
        <w:rPr>
          <w:rFonts w:ascii="ITC Avant Garde" w:hAnsi="ITC Avant Garde"/>
          <w:i/>
          <w:sz w:val="20"/>
        </w:rPr>
        <w:t>solici</w:t>
      </w:r>
      <w:r w:rsidRPr="00565BC2">
        <w:rPr>
          <w:rFonts w:ascii="ITC Avant Garde" w:eastAsiaTheme="minorHAnsi" w:hAnsi="ITC Avant Garde"/>
          <w:i/>
          <w:sz w:val="20"/>
        </w:rPr>
        <w:t xml:space="preserve">tarle datos adicionales como comprobante de </w:t>
      </w:r>
      <w:r w:rsidRPr="00565BC2">
        <w:rPr>
          <w:rFonts w:ascii="ITC Avant Garde" w:hAnsi="ITC Avant Garde"/>
          <w:i/>
          <w:sz w:val="20"/>
        </w:rPr>
        <w:t xml:space="preserve">domicilio </w:t>
      </w:r>
      <w:r w:rsidRPr="00565BC2">
        <w:rPr>
          <w:rFonts w:ascii="ITC Avant Garde" w:eastAsiaTheme="minorHAnsi" w:hAnsi="ITC Avant Garde"/>
          <w:i/>
          <w:sz w:val="20"/>
        </w:rPr>
        <w:t xml:space="preserve">identificación, fundamento legal, interés </w:t>
      </w:r>
      <w:r w:rsidRPr="00565BC2">
        <w:rPr>
          <w:rFonts w:ascii="ITC Avant Garde" w:hAnsi="ITC Avant Garde"/>
          <w:i/>
          <w:sz w:val="20"/>
        </w:rPr>
        <w:t>jurí</w:t>
      </w:r>
      <w:r w:rsidRPr="00565BC2">
        <w:rPr>
          <w:rFonts w:ascii="ITC Avant Garde" w:eastAsiaTheme="minorHAnsi" w:hAnsi="ITC Avant Garde"/>
          <w:i/>
          <w:sz w:val="20"/>
        </w:rPr>
        <w:t>dico, etc.</w:t>
      </w:r>
    </w:p>
    <w:p w14:paraId="46A6824F" w14:textId="77777777" w:rsidR="005179B5" w:rsidRDefault="0011751E" w:rsidP="005179B5">
      <w:pPr>
        <w:pStyle w:val="Prrafodelista"/>
        <w:numPr>
          <w:ilvl w:val="0"/>
          <w:numId w:val="54"/>
        </w:numPr>
        <w:spacing w:afterLines="120" w:after="288"/>
        <w:ind w:left="1134" w:right="899" w:hanging="141"/>
        <w:jc w:val="both"/>
        <w:rPr>
          <w:rFonts w:ascii="ITC Avant Garde" w:hAnsi="ITC Avant Garde"/>
          <w:i/>
          <w:sz w:val="20"/>
        </w:rPr>
      </w:pPr>
      <w:r w:rsidRPr="00565BC2">
        <w:rPr>
          <w:rFonts w:ascii="ITC Avant Garde" w:eastAsiaTheme="minorHAnsi" w:hAnsi="ITC Avant Garde"/>
          <w:i/>
          <w:sz w:val="20"/>
        </w:rPr>
        <w:t xml:space="preserve">La CTAG revisará que su </w:t>
      </w:r>
      <w:r w:rsidRPr="00565BC2">
        <w:rPr>
          <w:rFonts w:ascii="ITC Avant Garde" w:hAnsi="ITC Avant Garde"/>
          <w:i/>
          <w:sz w:val="20"/>
        </w:rPr>
        <w:t>sol</w:t>
      </w:r>
      <w:r w:rsidRPr="00565BC2">
        <w:rPr>
          <w:rFonts w:ascii="ITC Avant Garde" w:eastAsiaTheme="minorHAnsi" w:hAnsi="ITC Avant Garde"/>
          <w:i/>
          <w:sz w:val="20"/>
        </w:rPr>
        <w:t xml:space="preserve">icitud cumpla con </w:t>
      </w:r>
      <w:r w:rsidRPr="00565BC2">
        <w:rPr>
          <w:rFonts w:ascii="ITC Avant Garde" w:hAnsi="ITC Avant Garde"/>
          <w:i/>
          <w:sz w:val="20"/>
        </w:rPr>
        <w:t>l</w:t>
      </w:r>
      <w:r w:rsidRPr="00565BC2">
        <w:rPr>
          <w:rFonts w:ascii="ITC Avant Garde" w:eastAsiaTheme="minorHAnsi" w:hAnsi="ITC Avant Garde"/>
          <w:i/>
          <w:sz w:val="20"/>
        </w:rPr>
        <w:t xml:space="preserve">os requisitos que señala el </w:t>
      </w:r>
      <w:r w:rsidRPr="00565BC2">
        <w:rPr>
          <w:rFonts w:ascii="ITC Avant Garde" w:hAnsi="ITC Avant Garde"/>
          <w:i/>
          <w:sz w:val="20"/>
        </w:rPr>
        <w:t>artí</w:t>
      </w:r>
      <w:r w:rsidRPr="00565BC2">
        <w:rPr>
          <w:rFonts w:ascii="ITC Avant Garde" w:eastAsiaTheme="minorHAnsi" w:hAnsi="ITC Avant Garde"/>
          <w:i/>
          <w:sz w:val="20"/>
        </w:rPr>
        <w:t xml:space="preserve">culo 79 de </w:t>
      </w:r>
      <w:r w:rsidRPr="00565BC2">
        <w:rPr>
          <w:rFonts w:ascii="ITC Avant Garde" w:hAnsi="ITC Avant Garde"/>
          <w:i/>
          <w:sz w:val="20"/>
        </w:rPr>
        <w:t>la LTAIPEJM</w:t>
      </w:r>
      <w:r w:rsidRPr="00565BC2">
        <w:rPr>
          <w:rFonts w:ascii="ITC Avant Garde" w:eastAsiaTheme="minorHAnsi" w:hAnsi="ITC Avant Garde"/>
          <w:i/>
          <w:sz w:val="20"/>
        </w:rPr>
        <w:t xml:space="preserve">, y resolverá sobre su admisión dentro de </w:t>
      </w:r>
      <w:r w:rsidRPr="00565BC2">
        <w:rPr>
          <w:rFonts w:ascii="ITC Avant Garde" w:hAnsi="ITC Avant Garde"/>
          <w:i/>
          <w:sz w:val="20"/>
        </w:rPr>
        <w:t>l</w:t>
      </w:r>
      <w:r w:rsidRPr="00565BC2">
        <w:rPr>
          <w:rFonts w:ascii="ITC Avant Garde" w:eastAsiaTheme="minorHAnsi" w:hAnsi="ITC Avant Garde"/>
          <w:i/>
          <w:sz w:val="20"/>
        </w:rPr>
        <w:t xml:space="preserve">os dos </w:t>
      </w:r>
      <w:r w:rsidRPr="00565BC2">
        <w:rPr>
          <w:rFonts w:ascii="ITC Avant Garde" w:hAnsi="ITC Avant Garde"/>
          <w:i/>
          <w:sz w:val="20"/>
        </w:rPr>
        <w:t>dí</w:t>
      </w:r>
      <w:r w:rsidRPr="00565BC2">
        <w:rPr>
          <w:rFonts w:ascii="ITC Avant Garde" w:eastAsiaTheme="minorHAnsi" w:hAnsi="ITC Avant Garde"/>
          <w:i/>
          <w:sz w:val="20"/>
        </w:rPr>
        <w:t xml:space="preserve">as hábiles siguiente a </w:t>
      </w:r>
      <w:r w:rsidRPr="00565BC2">
        <w:rPr>
          <w:rFonts w:ascii="ITC Avant Garde" w:hAnsi="ITC Avant Garde"/>
          <w:i/>
          <w:sz w:val="20"/>
        </w:rPr>
        <w:t xml:space="preserve">su </w:t>
      </w:r>
      <w:r w:rsidRPr="00565BC2">
        <w:rPr>
          <w:rFonts w:ascii="ITC Avant Garde" w:eastAsiaTheme="minorHAnsi" w:hAnsi="ITC Avant Garde"/>
          <w:i/>
          <w:sz w:val="20"/>
        </w:rPr>
        <w:t>presentación.</w:t>
      </w:r>
    </w:p>
    <w:p w14:paraId="0217C000" w14:textId="77777777" w:rsidR="005179B5" w:rsidRDefault="0011751E" w:rsidP="005179B5">
      <w:pPr>
        <w:pStyle w:val="Prrafodelista"/>
        <w:numPr>
          <w:ilvl w:val="0"/>
          <w:numId w:val="54"/>
        </w:numPr>
        <w:spacing w:afterLines="120" w:after="288"/>
        <w:ind w:left="1134" w:right="899" w:hanging="141"/>
        <w:jc w:val="both"/>
        <w:rPr>
          <w:rFonts w:ascii="ITC Avant Garde" w:hAnsi="ITC Avant Garde"/>
          <w:i/>
          <w:sz w:val="20"/>
        </w:rPr>
      </w:pPr>
      <w:r w:rsidRPr="00565BC2">
        <w:rPr>
          <w:rFonts w:ascii="ITC Avant Garde" w:eastAsiaTheme="minorHAnsi" w:hAnsi="ITC Avant Garde"/>
          <w:i/>
          <w:sz w:val="20"/>
        </w:rPr>
        <w:t xml:space="preserve">Si </w:t>
      </w:r>
      <w:r w:rsidRPr="00565BC2">
        <w:rPr>
          <w:rFonts w:ascii="ITC Avant Garde" w:hAnsi="ITC Avant Garde"/>
          <w:i/>
          <w:sz w:val="20"/>
        </w:rPr>
        <w:t>l</w:t>
      </w:r>
      <w:r w:rsidRPr="00565BC2">
        <w:rPr>
          <w:rFonts w:ascii="ITC Avant Garde" w:eastAsiaTheme="minorHAnsi" w:hAnsi="ITC Avant Garde"/>
          <w:i/>
          <w:sz w:val="20"/>
        </w:rPr>
        <w:t xml:space="preserve">a </w:t>
      </w:r>
      <w:r w:rsidRPr="00565BC2">
        <w:rPr>
          <w:rFonts w:ascii="ITC Avant Garde" w:hAnsi="ITC Avant Garde"/>
          <w:i/>
          <w:sz w:val="20"/>
        </w:rPr>
        <w:t>sol</w:t>
      </w:r>
      <w:r w:rsidRPr="00565BC2">
        <w:rPr>
          <w:rFonts w:ascii="ITC Avant Garde" w:eastAsiaTheme="minorHAnsi" w:hAnsi="ITC Avant Garde"/>
          <w:i/>
          <w:sz w:val="20"/>
        </w:rPr>
        <w:t xml:space="preserve">icitud carece de </w:t>
      </w:r>
      <w:r w:rsidRPr="00565BC2">
        <w:rPr>
          <w:rFonts w:ascii="ITC Avant Garde" w:hAnsi="ITC Avant Garde"/>
          <w:i/>
          <w:sz w:val="20"/>
        </w:rPr>
        <w:t>al</w:t>
      </w:r>
      <w:r w:rsidRPr="00565BC2">
        <w:rPr>
          <w:rFonts w:ascii="ITC Avant Garde" w:eastAsiaTheme="minorHAnsi" w:hAnsi="ITC Avant Garde"/>
          <w:i/>
          <w:sz w:val="20"/>
        </w:rPr>
        <w:t xml:space="preserve">gún requisito, la CTAG </w:t>
      </w:r>
      <w:r w:rsidRPr="00565BC2">
        <w:rPr>
          <w:rFonts w:ascii="ITC Avant Garde" w:hAnsi="ITC Avant Garde"/>
          <w:i/>
          <w:sz w:val="20"/>
        </w:rPr>
        <w:t>l</w:t>
      </w:r>
      <w:r w:rsidRPr="00565BC2">
        <w:rPr>
          <w:rFonts w:ascii="ITC Avant Garde" w:eastAsiaTheme="minorHAnsi" w:hAnsi="ITC Avant Garde"/>
          <w:i/>
          <w:sz w:val="20"/>
        </w:rPr>
        <w:t xml:space="preserve">e notificará una </w:t>
      </w:r>
      <w:r w:rsidRPr="00565BC2">
        <w:rPr>
          <w:rFonts w:ascii="ITC Avant Garde" w:hAnsi="ITC Avant Garde"/>
          <w:i/>
          <w:sz w:val="20"/>
        </w:rPr>
        <w:t>prevención dentro de l</w:t>
      </w:r>
      <w:r w:rsidRPr="00565BC2">
        <w:rPr>
          <w:rFonts w:ascii="ITC Avant Garde" w:eastAsiaTheme="minorHAnsi" w:hAnsi="ITC Avant Garde"/>
          <w:i/>
          <w:sz w:val="20"/>
        </w:rPr>
        <w:t xml:space="preserve">os </w:t>
      </w:r>
      <w:r w:rsidRPr="00565BC2">
        <w:rPr>
          <w:rFonts w:ascii="ITC Avant Garde" w:hAnsi="ITC Avant Garde"/>
          <w:i/>
          <w:sz w:val="20"/>
        </w:rPr>
        <w:t>dos dí</w:t>
      </w:r>
      <w:r w:rsidRPr="00565BC2">
        <w:rPr>
          <w:rFonts w:ascii="ITC Avant Garde" w:eastAsiaTheme="minorHAnsi" w:hAnsi="ITC Avant Garde"/>
          <w:i/>
          <w:sz w:val="20"/>
        </w:rPr>
        <w:t xml:space="preserve">as </w:t>
      </w:r>
      <w:r w:rsidRPr="00565BC2">
        <w:rPr>
          <w:rFonts w:ascii="ITC Avant Garde" w:hAnsi="ITC Avant Garde"/>
          <w:i/>
          <w:sz w:val="20"/>
        </w:rPr>
        <w:t>hábil</w:t>
      </w:r>
      <w:r w:rsidRPr="00565BC2">
        <w:rPr>
          <w:rFonts w:ascii="ITC Avant Garde" w:eastAsiaTheme="minorHAnsi" w:hAnsi="ITC Avant Garde"/>
          <w:i/>
          <w:sz w:val="20"/>
        </w:rPr>
        <w:t xml:space="preserve">es </w:t>
      </w:r>
      <w:r w:rsidRPr="00565BC2">
        <w:rPr>
          <w:rFonts w:ascii="ITC Avant Garde" w:hAnsi="ITC Avant Garde"/>
          <w:i/>
          <w:sz w:val="20"/>
        </w:rPr>
        <w:t>siguient</w:t>
      </w:r>
      <w:r w:rsidRPr="00565BC2">
        <w:rPr>
          <w:rFonts w:ascii="ITC Avant Garde" w:eastAsiaTheme="minorHAnsi" w:hAnsi="ITC Avant Garde"/>
          <w:i/>
          <w:sz w:val="20"/>
        </w:rPr>
        <w:t xml:space="preserve">es a la presentación, y le solicitará que </w:t>
      </w:r>
      <w:r w:rsidRPr="00565BC2">
        <w:rPr>
          <w:rFonts w:ascii="ITC Avant Garde" w:hAnsi="ITC Avant Garde"/>
          <w:i/>
          <w:sz w:val="20"/>
        </w:rPr>
        <w:t>l</w:t>
      </w:r>
      <w:r w:rsidRPr="00565BC2">
        <w:rPr>
          <w:rFonts w:ascii="ITC Avant Garde" w:eastAsiaTheme="minorHAnsi" w:hAnsi="ITC Avant Garde"/>
          <w:i/>
          <w:sz w:val="20"/>
        </w:rPr>
        <w:t xml:space="preserve">o </w:t>
      </w:r>
      <w:r w:rsidRPr="00565BC2">
        <w:rPr>
          <w:rFonts w:ascii="ITC Avant Garde" w:hAnsi="ITC Avant Garde"/>
          <w:i/>
          <w:sz w:val="20"/>
        </w:rPr>
        <w:t>sub</w:t>
      </w:r>
      <w:r w:rsidRPr="00565BC2">
        <w:rPr>
          <w:rFonts w:ascii="ITC Avant Garde" w:eastAsiaTheme="minorHAnsi" w:hAnsi="ITC Avant Garde"/>
          <w:i/>
          <w:sz w:val="20"/>
        </w:rPr>
        <w:t xml:space="preserve">sane dentro de un término </w:t>
      </w:r>
      <w:r w:rsidRPr="00565BC2">
        <w:rPr>
          <w:rFonts w:ascii="ITC Avant Garde" w:hAnsi="ITC Avant Garde"/>
          <w:i/>
          <w:sz w:val="20"/>
        </w:rPr>
        <w:t xml:space="preserve">de </w:t>
      </w:r>
      <w:r w:rsidRPr="00565BC2">
        <w:rPr>
          <w:rFonts w:ascii="ITC Avant Garde" w:eastAsiaTheme="minorHAnsi" w:hAnsi="ITC Avant Garde"/>
          <w:i/>
          <w:sz w:val="20"/>
        </w:rPr>
        <w:t xml:space="preserve">dos </w:t>
      </w:r>
      <w:r w:rsidRPr="00565BC2">
        <w:rPr>
          <w:rFonts w:ascii="ITC Avant Garde" w:hAnsi="ITC Avant Garde"/>
          <w:i/>
          <w:sz w:val="20"/>
        </w:rPr>
        <w:t>dí</w:t>
      </w:r>
      <w:r w:rsidRPr="00565BC2">
        <w:rPr>
          <w:rFonts w:ascii="ITC Avant Garde" w:eastAsiaTheme="minorHAnsi" w:hAnsi="ITC Avant Garde"/>
          <w:i/>
          <w:sz w:val="20"/>
        </w:rPr>
        <w:t xml:space="preserve">as </w:t>
      </w:r>
      <w:r w:rsidRPr="00565BC2">
        <w:rPr>
          <w:rFonts w:ascii="ITC Avant Garde" w:hAnsi="ITC Avant Garde"/>
          <w:i/>
          <w:sz w:val="20"/>
        </w:rPr>
        <w:t>hábil</w:t>
      </w:r>
      <w:r w:rsidRPr="00565BC2">
        <w:rPr>
          <w:rFonts w:ascii="ITC Avant Garde" w:eastAsiaTheme="minorHAnsi" w:hAnsi="ITC Avant Garde"/>
          <w:i/>
          <w:sz w:val="20"/>
        </w:rPr>
        <w:t xml:space="preserve">es. En caso </w:t>
      </w:r>
      <w:r w:rsidRPr="00565BC2">
        <w:rPr>
          <w:rFonts w:ascii="ITC Avant Garde" w:hAnsi="ITC Avant Garde"/>
          <w:i/>
          <w:sz w:val="20"/>
        </w:rPr>
        <w:t>de que no sea sati</w:t>
      </w:r>
      <w:r w:rsidRPr="00565BC2">
        <w:rPr>
          <w:rFonts w:ascii="ITC Avant Garde" w:eastAsiaTheme="minorHAnsi" w:hAnsi="ITC Avant Garde"/>
          <w:i/>
          <w:sz w:val="20"/>
        </w:rPr>
        <w:t xml:space="preserve">sfecha dicha carencia, la solicitud se tendrá por </w:t>
      </w:r>
      <w:r w:rsidRPr="00565BC2">
        <w:rPr>
          <w:rFonts w:ascii="ITC Avant Garde" w:hAnsi="ITC Avant Garde"/>
          <w:i/>
          <w:sz w:val="20"/>
        </w:rPr>
        <w:t xml:space="preserve">no </w:t>
      </w:r>
      <w:r w:rsidRPr="00565BC2">
        <w:rPr>
          <w:rFonts w:ascii="ITC Avant Garde" w:eastAsiaTheme="minorHAnsi" w:hAnsi="ITC Avant Garde"/>
          <w:i/>
          <w:sz w:val="20"/>
        </w:rPr>
        <w:t>presentada.</w:t>
      </w:r>
    </w:p>
    <w:p w14:paraId="3BBD0323" w14:textId="77777777" w:rsidR="005179B5" w:rsidRDefault="0011751E" w:rsidP="005179B5">
      <w:pPr>
        <w:pStyle w:val="Prrafodelista"/>
        <w:numPr>
          <w:ilvl w:val="0"/>
          <w:numId w:val="54"/>
        </w:numPr>
        <w:spacing w:afterLines="120" w:after="288"/>
        <w:ind w:left="1134" w:right="899" w:hanging="141"/>
        <w:jc w:val="both"/>
        <w:rPr>
          <w:rFonts w:ascii="ITC Avant Garde" w:hAnsi="ITC Avant Garde"/>
          <w:i/>
          <w:sz w:val="20"/>
        </w:rPr>
      </w:pPr>
      <w:r w:rsidRPr="00565BC2">
        <w:rPr>
          <w:rFonts w:ascii="ITC Avant Garde" w:eastAsiaTheme="minorHAnsi" w:hAnsi="ITC Avant Garde"/>
          <w:i/>
          <w:sz w:val="20"/>
        </w:rPr>
        <w:lastRenderedPageBreak/>
        <w:t xml:space="preserve">Si entre los requisitos faltantes se encuentran aquellos que hagan imposible notificarle </w:t>
      </w:r>
      <w:r w:rsidRPr="00565BC2">
        <w:rPr>
          <w:rFonts w:ascii="ITC Avant Garde" w:hAnsi="ITC Avant Garde"/>
          <w:i/>
          <w:sz w:val="20"/>
        </w:rPr>
        <w:t xml:space="preserve">esta </w:t>
      </w:r>
      <w:r w:rsidRPr="00565BC2">
        <w:rPr>
          <w:rFonts w:ascii="ITC Avant Garde" w:eastAsiaTheme="minorHAnsi" w:hAnsi="ITC Avant Garde"/>
          <w:i/>
          <w:sz w:val="20"/>
        </w:rPr>
        <w:t xml:space="preserve">situación, la </w:t>
      </w:r>
      <w:r w:rsidRPr="00565BC2">
        <w:rPr>
          <w:rFonts w:ascii="ITC Avant Garde" w:hAnsi="ITC Avant Garde"/>
          <w:i/>
          <w:sz w:val="20"/>
        </w:rPr>
        <w:t>U</w:t>
      </w:r>
      <w:r w:rsidRPr="00565BC2">
        <w:rPr>
          <w:rFonts w:ascii="ITC Avant Garde" w:eastAsiaTheme="minorHAnsi" w:hAnsi="ITC Avant Garde"/>
          <w:i/>
          <w:sz w:val="20"/>
        </w:rPr>
        <w:t xml:space="preserve">niversidad de Guadalajara queda eximida de cualquier responsabilidad hasta </w:t>
      </w:r>
      <w:r w:rsidRPr="00565BC2">
        <w:rPr>
          <w:rFonts w:ascii="ITC Avant Garde" w:hAnsi="ITC Avant Garde"/>
          <w:i/>
          <w:sz w:val="20"/>
        </w:rPr>
        <w:t xml:space="preserve">en </w:t>
      </w:r>
      <w:r w:rsidRPr="00565BC2">
        <w:rPr>
          <w:rFonts w:ascii="ITC Avant Garde" w:eastAsiaTheme="minorHAnsi" w:hAnsi="ITC Avant Garde"/>
          <w:i/>
          <w:sz w:val="20"/>
        </w:rPr>
        <w:t xml:space="preserve">tanto vuelva a comparecer o presentar solicitud de </w:t>
      </w:r>
      <w:r w:rsidRPr="00565BC2">
        <w:rPr>
          <w:rFonts w:ascii="ITC Avant Garde" w:hAnsi="ITC Avant Garde"/>
          <w:i/>
          <w:sz w:val="20"/>
        </w:rPr>
        <w:t>información.</w:t>
      </w:r>
    </w:p>
    <w:p w14:paraId="4F958FC0" w14:textId="77777777" w:rsidR="005179B5" w:rsidRDefault="0011751E" w:rsidP="005179B5">
      <w:pPr>
        <w:pStyle w:val="Prrafodelista"/>
        <w:numPr>
          <w:ilvl w:val="0"/>
          <w:numId w:val="54"/>
        </w:numPr>
        <w:spacing w:afterLines="120" w:after="288"/>
        <w:ind w:left="1134" w:right="899" w:hanging="141"/>
        <w:jc w:val="both"/>
        <w:rPr>
          <w:rFonts w:ascii="ITC Avant Garde" w:hAnsi="ITC Avant Garde"/>
          <w:i/>
          <w:sz w:val="20"/>
        </w:rPr>
      </w:pPr>
      <w:r w:rsidRPr="00565BC2">
        <w:rPr>
          <w:rFonts w:ascii="ITC Avant Garde" w:eastAsiaTheme="minorHAnsi" w:hAnsi="ITC Avant Garde"/>
          <w:i/>
          <w:sz w:val="20"/>
        </w:rPr>
        <w:t xml:space="preserve">La </w:t>
      </w:r>
      <w:r w:rsidRPr="00565BC2">
        <w:rPr>
          <w:rFonts w:ascii="ITC Avant Garde" w:hAnsi="ITC Avant Garde"/>
          <w:i/>
          <w:sz w:val="20"/>
        </w:rPr>
        <w:t>U</w:t>
      </w:r>
      <w:r w:rsidRPr="00565BC2">
        <w:rPr>
          <w:rFonts w:ascii="ITC Avant Garde" w:eastAsiaTheme="minorHAnsi" w:hAnsi="ITC Avant Garde"/>
          <w:i/>
          <w:sz w:val="20"/>
        </w:rPr>
        <w:t xml:space="preserve">nidad debe dar respuesta a su solicitud y notificarle la misma dentro de los </w:t>
      </w:r>
      <w:r w:rsidRPr="00565BC2">
        <w:rPr>
          <w:rFonts w:ascii="ITC Avant Garde" w:hAnsi="ITC Avant Garde"/>
          <w:i/>
          <w:sz w:val="20"/>
        </w:rPr>
        <w:t>cinco días hábil</w:t>
      </w:r>
      <w:r w:rsidRPr="00565BC2">
        <w:rPr>
          <w:rFonts w:ascii="ITC Avant Garde" w:eastAsiaTheme="minorHAnsi" w:hAnsi="ITC Avant Garde"/>
          <w:i/>
          <w:sz w:val="20"/>
        </w:rPr>
        <w:t>es</w:t>
      </w:r>
      <w:r w:rsidRPr="00565BC2">
        <w:rPr>
          <w:rFonts w:ascii="ITC Avant Garde" w:hAnsi="ITC Avant Garde"/>
          <w:i/>
          <w:sz w:val="20"/>
        </w:rPr>
        <w:t xml:space="preserve"> siguient</w:t>
      </w:r>
      <w:r w:rsidRPr="00565BC2">
        <w:rPr>
          <w:rFonts w:ascii="ITC Avant Garde" w:eastAsiaTheme="minorHAnsi" w:hAnsi="ITC Avant Garde"/>
          <w:i/>
          <w:sz w:val="20"/>
        </w:rPr>
        <w:t xml:space="preserve">es a su admisión, respecto a la existencia de la </w:t>
      </w:r>
      <w:r w:rsidRPr="00565BC2">
        <w:rPr>
          <w:rFonts w:ascii="ITC Avant Garde" w:hAnsi="ITC Avant Garde"/>
          <w:i/>
          <w:sz w:val="20"/>
        </w:rPr>
        <w:t>información</w:t>
      </w:r>
      <w:r w:rsidRPr="00565BC2">
        <w:rPr>
          <w:rFonts w:ascii="ITC Avant Garde" w:eastAsiaTheme="minorHAnsi" w:hAnsi="ITC Avant Garde"/>
          <w:i/>
          <w:sz w:val="20"/>
        </w:rPr>
        <w:t xml:space="preserve"> y la procedencia </w:t>
      </w:r>
      <w:r w:rsidRPr="00565BC2">
        <w:rPr>
          <w:rFonts w:ascii="ITC Avant Garde" w:hAnsi="ITC Avant Garde"/>
          <w:i/>
          <w:sz w:val="20"/>
        </w:rPr>
        <w:t xml:space="preserve">de </w:t>
      </w:r>
      <w:r w:rsidRPr="00565BC2">
        <w:rPr>
          <w:rFonts w:ascii="ITC Avant Garde" w:eastAsiaTheme="minorHAnsi" w:hAnsi="ITC Avant Garde"/>
          <w:i/>
          <w:sz w:val="20"/>
        </w:rPr>
        <w:t>su acceso.</w:t>
      </w:r>
    </w:p>
    <w:p w14:paraId="3E38A3E6" w14:textId="77777777" w:rsidR="005179B5" w:rsidRDefault="0011751E" w:rsidP="005179B5">
      <w:pPr>
        <w:pStyle w:val="Prrafodelista"/>
        <w:numPr>
          <w:ilvl w:val="0"/>
          <w:numId w:val="54"/>
        </w:numPr>
        <w:spacing w:afterLines="120" w:after="288"/>
        <w:ind w:left="1134" w:right="902" w:hanging="142"/>
        <w:jc w:val="both"/>
        <w:rPr>
          <w:rFonts w:ascii="ITC Avant Garde" w:hAnsi="ITC Avant Garde"/>
          <w:i/>
          <w:sz w:val="20"/>
        </w:rPr>
      </w:pPr>
      <w:r w:rsidRPr="00565BC2">
        <w:rPr>
          <w:rFonts w:ascii="ITC Avant Garde" w:eastAsiaTheme="minorHAnsi" w:hAnsi="ITC Avant Garde"/>
          <w:i/>
          <w:sz w:val="20"/>
        </w:rPr>
        <w:t xml:space="preserve">Cuando la solicitud de información sea recibida en una oficina diferente a la CTAG, </w:t>
      </w:r>
      <w:r w:rsidRPr="00565BC2">
        <w:rPr>
          <w:rFonts w:ascii="ITC Avant Garde" w:hAnsi="ITC Avant Garde"/>
          <w:i/>
          <w:sz w:val="20"/>
        </w:rPr>
        <w:t xml:space="preserve">la </w:t>
      </w:r>
      <w:r w:rsidRPr="00565BC2">
        <w:rPr>
          <w:rFonts w:ascii="ITC Avant Garde" w:eastAsiaTheme="minorHAnsi" w:hAnsi="ITC Avant Garde"/>
          <w:i/>
          <w:sz w:val="20"/>
        </w:rPr>
        <w:t xml:space="preserve">dependencia que reciba </w:t>
      </w:r>
      <w:r w:rsidRPr="00565BC2">
        <w:rPr>
          <w:rFonts w:ascii="ITC Avant Garde" w:hAnsi="ITC Avant Garde"/>
          <w:i/>
          <w:sz w:val="20"/>
        </w:rPr>
        <w:t>l</w:t>
      </w:r>
      <w:r w:rsidRPr="00565BC2">
        <w:rPr>
          <w:rFonts w:ascii="ITC Avant Garde" w:eastAsiaTheme="minorHAnsi" w:hAnsi="ITC Avant Garde"/>
          <w:i/>
          <w:sz w:val="20"/>
        </w:rPr>
        <w:t xml:space="preserve">a solicitud deberá turnarla </w:t>
      </w:r>
      <w:r w:rsidRPr="00565BC2">
        <w:rPr>
          <w:rFonts w:ascii="ITC Avant Garde" w:hAnsi="ITC Avant Garde"/>
          <w:i/>
          <w:sz w:val="20"/>
        </w:rPr>
        <w:t>a l</w:t>
      </w:r>
      <w:r w:rsidRPr="00565BC2">
        <w:rPr>
          <w:rFonts w:ascii="ITC Avant Garde" w:eastAsiaTheme="minorHAnsi" w:hAnsi="ITC Avant Garde"/>
          <w:i/>
          <w:sz w:val="20"/>
        </w:rPr>
        <w:t xml:space="preserve">a CTAG en el plazo </w:t>
      </w:r>
      <w:r w:rsidRPr="00565BC2">
        <w:rPr>
          <w:rFonts w:ascii="ITC Avant Garde" w:hAnsi="ITC Avant Garde"/>
          <w:i/>
          <w:sz w:val="20"/>
        </w:rPr>
        <w:t>de un dí</w:t>
      </w:r>
      <w:r w:rsidRPr="00565BC2">
        <w:rPr>
          <w:rFonts w:ascii="ITC Avant Garde" w:eastAsiaTheme="minorHAnsi" w:hAnsi="ITC Avant Garde"/>
          <w:i/>
          <w:sz w:val="20"/>
        </w:rPr>
        <w:t xml:space="preserve">a </w:t>
      </w:r>
      <w:r w:rsidRPr="00565BC2">
        <w:rPr>
          <w:rFonts w:ascii="ITC Avant Garde" w:hAnsi="ITC Avant Garde"/>
          <w:i/>
          <w:sz w:val="20"/>
        </w:rPr>
        <w:t xml:space="preserve">hábil </w:t>
      </w:r>
      <w:r w:rsidRPr="00565BC2">
        <w:rPr>
          <w:rFonts w:ascii="ITC Avant Garde" w:eastAsiaTheme="minorHAnsi" w:hAnsi="ITC Avant Garde"/>
          <w:i/>
          <w:sz w:val="20"/>
        </w:rPr>
        <w:t xml:space="preserve">siguiente a su recepción, asimismo la dependencia deberá notificar esta </w:t>
      </w:r>
      <w:r w:rsidRPr="00565BC2">
        <w:rPr>
          <w:rFonts w:ascii="ITC Avant Garde" w:hAnsi="ITC Avant Garde"/>
          <w:i/>
          <w:sz w:val="20"/>
        </w:rPr>
        <w:t>situación</w:t>
      </w:r>
      <w:r w:rsidRPr="00565BC2">
        <w:rPr>
          <w:rFonts w:ascii="ITC Avant Garde" w:eastAsiaTheme="minorHAnsi" w:hAnsi="ITC Avant Garde"/>
          <w:i/>
          <w:sz w:val="20"/>
        </w:rPr>
        <w:t xml:space="preserve"> al </w:t>
      </w:r>
      <w:r w:rsidRPr="00565BC2">
        <w:rPr>
          <w:rFonts w:ascii="ITC Avant Garde" w:hAnsi="ITC Avant Garde"/>
          <w:i/>
          <w:sz w:val="20"/>
        </w:rPr>
        <w:t>solicitante, dentro del</w:t>
      </w:r>
      <w:r w:rsidRPr="00565BC2">
        <w:rPr>
          <w:rFonts w:ascii="ITC Avant Garde" w:eastAsiaTheme="minorHAnsi" w:hAnsi="ITC Avant Garde"/>
          <w:i/>
          <w:sz w:val="20"/>
        </w:rPr>
        <w:t xml:space="preserve"> </w:t>
      </w:r>
      <w:r w:rsidRPr="00565BC2">
        <w:rPr>
          <w:rFonts w:ascii="ITC Avant Garde" w:hAnsi="ITC Avant Garde"/>
          <w:i/>
          <w:sz w:val="20"/>
        </w:rPr>
        <w:t>dí</w:t>
      </w:r>
      <w:r w:rsidRPr="00565BC2">
        <w:rPr>
          <w:rFonts w:ascii="ITC Avant Garde" w:eastAsiaTheme="minorHAnsi" w:hAnsi="ITC Avant Garde"/>
          <w:i/>
          <w:sz w:val="20"/>
        </w:rPr>
        <w:t xml:space="preserve">a hábil siguiente a su recepción. Los términos para la </w:t>
      </w:r>
      <w:r w:rsidRPr="00565BC2">
        <w:rPr>
          <w:rFonts w:ascii="ITC Avant Garde" w:hAnsi="ITC Avant Garde"/>
          <w:i/>
          <w:sz w:val="20"/>
        </w:rPr>
        <w:t>admisión</w:t>
      </w:r>
      <w:r w:rsidRPr="00565BC2">
        <w:rPr>
          <w:rFonts w:ascii="ITC Avant Garde" w:eastAsiaTheme="minorHAnsi" w:hAnsi="ITC Avant Garde"/>
          <w:i/>
          <w:sz w:val="20"/>
        </w:rPr>
        <w:t xml:space="preserve">, </w:t>
      </w:r>
      <w:r w:rsidRPr="00565BC2">
        <w:rPr>
          <w:rFonts w:ascii="ITC Avant Garde" w:hAnsi="ITC Avant Garde"/>
          <w:i/>
          <w:sz w:val="20"/>
        </w:rPr>
        <w:t>resolución</w:t>
      </w:r>
      <w:r w:rsidRPr="00565BC2">
        <w:rPr>
          <w:rFonts w:ascii="ITC Avant Garde" w:eastAsiaTheme="minorHAnsi" w:hAnsi="ITC Avant Garde"/>
          <w:i/>
          <w:sz w:val="20"/>
        </w:rPr>
        <w:t xml:space="preserve"> </w:t>
      </w:r>
      <w:r w:rsidRPr="00565BC2">
        <w:rPr>
          <w:rFonts w:ascii="ITC Avant Garde" w:hAnsi="ITC Avant Garde"/>
          <w:i/>
          <w:sz w:val="20"/>
        </w:rPr>
        <w:t xml:space="preserve">y </w:t>
      </w:r>
      <w:r w:rsidRPr="00565BC2">
        <w:rPr>
          <w:rFonts w:ascii="ITC Avant Garde" w:eastAsiaTheme="minorHAnsi" w:hAnsi="ITC Avant Garde"/>
          <w:i/>
          <w:sz w:val="20"/>
        </w:rPr>
        <w:t xml:space="preserve">entrega de la información comenzarán a </w:t>
      </w:r>
      <w:r w:rsidRPr="00565BC2">
        <w:rPr>
          <w:rFonts w:ascii="ITC Avant Garde" w:hAnsi="ITC Avant Garde"/>
          <w:i/>
          <w:sz w:val="20"/>
        </w:rPr>
        <w:t>transcurrir</w:t>
      </w:r>
      <w:r w:rsidRPr="00565BC2">
        <w:rPr>
          <w:rFonts w:ascii="ITC Avant Garde" w:eastAsiaTheme="minorHAnsi" w:hAnsi="ITC Avant Garde"/>
          <w:i/>
          <w:sz w:val="20"/>
        </w:rPr>
        <w:t xml:space="preserve"> a </w:t>
      </w:r>
      <w:r w:rsidRPr="00565BC2">
        <w:rPr>
          <w:rFonts w:ascii="ITC Avant Garde" w:hAnsi="ITC Avant Garde"/>
          <w:i/>
          <w:sz w:val="20"/>
        </w:rPr>
        <w:t>partir</w:t>
      </w:r>
      <w:r w:rsidRPr="00565BC2">
        <w:rPr>
          <w:rFonts w:ascii="ITC Avant Garde" w:eastAsiaTheme="minorHAnsi" w:hAnsi="ITC Avant Garde"/>
          <w:i/>
          <w:sz w:val="20"/>
        </w:rPr>
        <w:t xml:space="preserve"> de que la CTAG reciba la solicitud.</w:t>
      </w:r>
    </w:p>
    <w:p w14:paraId="49C534FE" w14:textId="77777777" w:rsidR="005179B5" w:rsidRDefault="0011751E" w:rsidP="005179B5">
      <w:pPr>
        <w:pStyle w:val="Prrafodelista"/>
        <w:numPr>
          <w:ilvl w:val="0"/>
          <w:numId w:val="54"/>
        </w:numPr>
        <w:spacing w:afterLines="120" w:after="288"/>
        <w:ind w:left="1134" w:right="899" w:hanging="141"/>
        <w:jc w:val="both"/>
        <w:rPr>
          <w:rFonts w:ascii="ITC Avant Garde" w:eastAsiaTheme="minorHAnsi" w:hAnsi="ITC Avant Garde"/>
          <w:i/>
          <w:sz w:val="20"/>
        </w:rPr>
      </w:pPr>
      <w:r w:rsidRPr="00565BC2">
        <w:rPr>
          <w:rFonts w:ascii="ITC Avant Garde" w:eastAsiaTheme="minorHAnsi" w:hAnsi="ITC Avant Garde"/>
          <w:i/>
          <w:sz w:val="20"/>
        </w:rPr>
        <w:t xml:space="preserve">Si usted no recibe una respuesta a su solicitud o está inconforme con la </w:t>
      </w:r>
      <w:r w:rsidRPr="00565BC2">
        <w:rPr>
          <w:rFonts w:ascii="ITC Avant Garde" w:hAnsi="ITC Avant Garde"/>
          <w:i/>
          <w:sz w:val="20"/>
        </w:rPr>
        <w:t>información</w:t>
      </w:r>
      <w:r w:rsidRPr="00565BC2">
        <w:rPr>
          <w:rFonts w:ascii="ITC Avant Garde" w:eastAsiaTheme="minorHAnsi" w:hAnsi="ITC Avant Garde"/>
          <w:i/>
          <w:sz w:val="20"/>
        </w:rPr>
        <w:t xml:space="preserve"> </w:t>
      </w:r>
      <w:r w:rsidRPr="00565BC2">
        <w:rPr>
          <w:rFonts w:ascii="ITC Avant Garde" w:hAnsi="ITC Avant Garde"/>
          <w:i/>
          <w:sz w:val="20"/>
        </w:rPr>
        <w:t xml:space="preserve">entregada </w:t>
      </w:r>
      <w:r w:rsidRPr="00565BC2">
        <w:rPr>
          <w:rFonts w:ascii="ITC Avant Garde" w:eastAsiaTheme="minorHAnsi" w:hAnsi="ITC Avant Garde"/>
          <w:i/>
          <w:sz w:val="20"/>
        </w:rPr>
        <w:t xml:space="preserve">puede interponer un recurso de revisión ante el </w:t>
      </w:r>
      <w:r w:rsidRPr="00565BC2">
        <w:rPr>
          <w:rFonts w:ascii="ITC Avant Garde" w:hAnsi="ITC Avant Garde"/>
          <w:i/>
          <w:sz w:val="20"/>
        </w:rPr>
        <w:t>instituto</w:t>
      </w:r>
      <w:r w:rsidRPr="00565BC2">
        <w:rPr>
          <w:rFonts w:ascii="ITC Avant Garde" w:eastAsiaTheme="minorHAnsi" w:hAnsi="ITC Avant Garde"/>
          <w:i/>
          <w:sz w:val="20"/>
        </w:rPr>
        <w:t xml:space="preserve"> de Transparencia e </w:t>
      </w:r>
      <w:r w:rsidRPr="00565BC2">
        <w:rPr>
          <w:rFonts w:ascii="ITC Avant Garde" w:hAnsi="ITC Avant Garde"/>
          <w:i/>
          <w:sz w:val="20"/>
        </w:rPr>
        <w:t xml:space="preserve">información Pública </w:t>
      </w:r>
      <w:r w:rsidRPr="00565BC2">
        <w:rPr>
          <w:rFonts w:ascii="ITC Avant Garde" w:eastAsiaTheme="minorHAnsi" w:hAnsi="ITC Avant Garde"/>
          <w:i/>
          <w:sz w:val="20"/>
        </w:rPr>
        <w:t>de Jalisco (lTEl).”</w:t>
      </w:r>
    </w:p>
    <w:p w14:paraId="59BFA921" w14:textId="6C6331FC" w:rsidR="005179B5" w:rsidRDefault="0011751E" w:rsidP="005179B5">
      <w:pPr>
        <w:spacing w:afterLines="120" w:after="288"/>
        <w:jc w:val="both"/>
        <w:rPr>
          <w:rFonts w:ascii="ITC Avant Garde" w:hAnsi="ITC Avant Garde"/>
          <w:bCs/>
        </w:rPr>
      </w:pPr>
      <w:r w:rsidRPr="00F82EAB">
        <w:rPr>
          <w:rFonts w:ascii="ITC Avant Garde" w:hAnsi="ITC Avant Garde"/>
          <w:bCs/>
        </w:rPr>
        <w:t>Ahora bien por cuanto hace a la rendición de cuentas el Rector General con fundamento en el artículo 35 fracción I de la Ley Orgánica de la U de G, presenta anualmente un informe de actividades ante el H. Consejo General Universitario</w:t>
      </w:r>
      <w:r w:rsidR="00536D69" w:rsidRPr="00F82EAB">
        <w:rPr>
          <w:rFonts w:ascii="ITC Avant Garde" w:hAnsi="ITC Avant Garde"/>
          <w:bCs/>
        </w:rPr>
        <w:t>,</w:t>
      </w:r>
      <w:r w:rsidRPr="00F82EAB">
        <w:rPr>
          <w:rFonts w:ascii="ITC Avant Garde" w:hAnsi="ITC Avant Garde"/>
          <w:bCs/>
        </w:rPr>
        <w:t xml:space="preserve"> disponible en la página de internet de la U de G y en caso de no encontrarse la información en el portal, puede solicitarse también en el vínculo de internet  </w:t>
      </w:r>
      <w:r w:rsidRPr="00315B9B">
        <w:rPr>
          <w:rFonts w:ascii="ITC Avant Garde" w:hAnsi="ITC Avant Garde"/>
          <w:bCs/>
        </w:rPr>
        <w:t>http:///www.rectoria.udg.mx</w:t>
      </w:r>
      <w:r w:rsidRPr="00F82EAB">
        <w:rPr>
          <w:rFonts w:ascii="ITC Avant Garde" w:hAnsi="ITC Avant Garde"/>
          <w:bCs/>
        </w:rPr>
        <w:t xml:space="preserve"> o en el domicilio Pedro Moreno No. 834, Col. Centro, Guadalajara Jalisco.</w:t>
      </w:r>
    </w:p>
    <w:p w14:paraId="25534C2D" w14:textId="77777777" w:rsidR="005179B5" w:rsidRDefault="00800BBE" w:rsidP="005179B5">
      <w:pPr>
        <w:autoSpaceDE w:val="0"/>
        <w:autoSpaceDN w:val="0"/>
        <w:adjustRightInd w:val="0"/>
        <w:spacing w:afterLines="120" w:after="288"/>
        <w:jc w:val="both"/>
        <w:rPr>
          <w:rFonts w:ascii="ITC Avant Garde" w:eastAsia="Times New Roman" w:hAnsi="ITC Avant Garde"/>
          <w:lang w:eastAsia="es-MX"/>
        </w:rPr>
      </w:pPr>
      <w:r w:rsidRPr="00F82EAB">
        <w:rPr>
          <w:rFonts w:ascii="ITC Avant Garde" w:hAnsi="ITC Avant Garde"/>
          <w:bCs/>
          <w:lang w:eastAsia="es-MX"/>
        </w:rPr>
        <w:t xml:space="preserve">En virtud de lo enunciado, esta autoridad estima que la </w:t>
      </w:r>
      <w:r w:rsidR="00536D69" w:rsidRPr="00F82EAB">
        <w:rPr>
          <w:rFonts w:ascii="ITC Avant Garde" w:hAnsi="ITC Avant Garde"/>
          <w:bCs/>
          <w:lang w:eastAsia="es-MX"/>
        </w:rPr>
        <w:t>U de G</w:t>
      </w:r>
      <w:r w:rsidRPr="00F82EAB">
        <w:rPr>
          <w:rFonts w:ascii="ITC Avant Garde" w:hAnsi="ITC Avant Garde"/>
          <w:bCs/>
          <w:lang w:eastAsia="es-MX"/>
        </w:rPr>
        <w:t xml:space="preserve"> acredita el mecanismo señalado en el artículo </w:t>
      </w:r>
      <w:r w:rsidRPr="00F82EAB">
        <w:rPr>
          <w:rFonts w:ascii="ITC Avant Garde" w:hAnsi="ITC Avant Garde"/>
        </w:rPr>
        <w:t>8 fracción IV, inciso c) de los Lineamientos Generales para el Otorgamiento de las Concesiones</w:t>
      </w:r>
      <w:r w:rsidRPr="00F82EAB" w:rsidDel="007429ED">
        <w:rPr>
          <w:rFonts w:ascii="ITC Avant Garde" w:hAnsi="ITC Avant Garde"/>
          <w:bCs/>
          <w:lang w:eastAsia="es-MX"/>
        </w:rPr>
        <w:t xml:space="preserve"> </w:t>
      </w:r>
    </w:p>
    <w:p w14:paraId="5B14094E" w14:textId="77777777" w:rsidR="005179B5" w:rsidRDefault="006C797F" w:rsidP="005179B5">
      <w:pPr>
        <w:spacing w:afterLines="120" w:after="288"/>
        <w:jc w:val="both"/>
        <w:rPr>
          <w:rFonts w:ascii="ITC Avant Garde" w:hAnsi="ITC Avant Garde"/>
          <w:bCs/>
        </w:rPr>
      </w:pPr>
      <w:r w:rsidRPr="00F82EAB">
        <w:rPr>
          <w:rFonts w:ascii="ITC Avant Garde" w:hAnsi="ITC Avant Garde"/>
          <w:b/>
          <w:bCs/>
        </w:rPr>
        <w:t>E. Defensa de sus contenidos.</w:t>
      </w:r>
      <w:r w:rsidRPr="00F82EAB">
        <w:rPr>
          <w:rFonts w:ascii="ITC Avant Garde" w:hAnsi="ITC Avant Garde"/>
          <w:bCs/>
        </w:rPr>
        <w:t xml:space="preserve"> </w:t>
      </w:r>
      <w:r w:rsidR="004F7F2A" w:rsidRPr="004F7F2A">
        <w:rPr>
          <w:rFonts w:ascii="ITC Avant Garde" w:hAnsi="ITC Avant Garde"/>
          <w:bCs/>
        </w:rPr>
        <w:t xml:space="preserve">La </w:t>
      </w:r>
      <w:r w:rsidR="004F7F2A">
        <w:rPr>
          <w:rFonts w:ascii="ITC Avant Garde" w:hAnsi="ITC Avant Garde"/>
          <w:bCs/>
        </w:rPr>
        <w:t>U de G</w:t>
      </w:r>
      <w:r w:rsidR="004F7F2A" w:rsidRPr="00560E70">
        <w:rPr>
          <w:rFonts w:ascii="ITC Avant Garde" w:hAnsi="ITC Avant Garde"/>
          <w:bCs/>
        </w:rPr>
        <w:t xml:space="preserve"> manifestó que la Defensa de sus Contenidos consiste en recibir, documentar, procesar y dar seguimiento a las observaciones, quejas, sugerencias, peticiones o señalamientos de las personas que componen la audiencia, esto en términos</w:t>
      </w:r>
      <w:r w:rsidR="004F7F2A">
        <w:rPr>
          <w:rFonts w:ascii="ITC Avant Garde" w:hAnsi="ITC Avant Garde"/>
          <w:bCs/>
        </w:rPr>
        <w:t xml:space="preserve"> de las</w:t>
      </w:r>
      <w:r w:rsidR="004F7F2A" w:rsidRPr="00560E70">
        <w:rPr>
          <w:rFonts w:ascii="ITC Avant Garde" w:hAnsi="ITC Avant Garde"/>
          <w:bCs/>
        </w:rPr>
        <w:t xml:space="preserve"> </w:t>
      </w:r>
      <w:r w:rsidR="004F7F2A" w:rsidRPr="00F82EAB">
        <w:rPr>
          <w:rFonts w:ascii="ITC Avant Garde" w:hAnsi="ITC Avant Garde"/>
          <w:bCs/>
          <w:i/>
        </w:rPr>
        <w:t>“Políticas de Radiodifusión de la Universidad de Guadalajara en Radio y Televisión”</w:t>
      </w:r>
      <w:r w:rsidR="004F7F2A" w:rsidRPr="00560E70">
        <w:rPr>
          <w:rFonts w:ascii="ITC Avant Garde" w:hAnsi="ITC Avant Garde"/>
          <w:bCs/>
        </w:rPr>
        <w:t xml:space="preserve">, para lo cual indicó que se observarían las disposiciones contenidas en su Código de Ética. </w:t>
      </w:r>
    </w:p>
    <w:p w14:paraId="20886D18" w14:textId="77777777" w:rsidR="005179B5" w:rsidRDefault="004F7F2A" w:rsidP="005179B5">
      <w:pPr>
        <w:spacing w:afterLines="120" w:after="288"/>
        <w:jc w:val="both"/>
        <w:rPr>
          <w:rFonts w:ascii="ITC Avant Garde" w:hAnsi="ITC Avant Garde"/>
          <w:bCs/>
        </w:rPr>
      </w:pPr>
      <w:r w:rsidRPr="00560E70">
        <w:rPr>
          <w:rFonts w:ascii="ITC Avant Garde" w:hAnsi="ITC Avant Garde"/>
          <w:bCs/>
        </w:rPr>
        <w:t xml:space="preserve">Al respecto, resulta importante destacar que la existencia de los mecanismos de Defensa de los Contenidos que propone </w:t>
      </w:r>
      <w:r>
        <w:rPr>
          <w:rFonts w:ascii="ITC Avant Garde" w:hAnsi="ITC Avant Garde"/>
          <w:bCs/>
        </w:rPr>
        <w:t>la U de G,</w:t>
      </w:r>
      <w:r w:rsidRPr="00560E70">
        <w:rPr>
          <w:rFonts w:ascii="ITC Avant Garde" w:hAnsi="ITC Avant Garde"/>
          <w:bCs/>
        </w:rPr>
        <w:t xml:space="preserve"> establece</w:t>
      </w:r>
      <w:r>
        <w:rPr>
          <w:rFonts w:ascii="ITC Avant Garde" w:hAnsi="ITC Avant Garde"/>
          <w:bCs/>
        </w:rPr>
        <w:t>n</w:t>
      </w:r>
      <w:r w:rsidRPr="00560E70">
        <w:rPr>
          <w:rFonts w:ascii="ITC Avant Garde" w:hAnsi="ITC Avant Garde"/>
          <w:bCs/>
        </w:rPr>
        <w:t xml:space="preserve"> un vínculo inherente con los principios de transparencia y participación ciudadana en un medio de servicio público.</w:t>
      </w:r>
    </w:p>
    <w:p w14:paraId="72FB1408" w14:textId="77777777" w:rsidR="005179B5" w:rsidRDefault="004F7F2A" w:rsidP="005179B5">
      <w:pPr>
        <w:spacing w:afterLines="120" w:after="288"/>
        <w:jc w:val="both"/>
        <w:rPr>
          <w:rFonts w:ascii="ITC Avant Garde" w:hAnsi="ITC Avant Garde"/>
        </w:rPr>
      </w:pPr>
      <w:r w:rsidRPr="00F82EAB">
        <w:rPr>
          <w:rFonts w:ascii="ITC Avant Garde" w:hAnsi="ITC Avant Garde"/>
          <w:bCs/>
          <w:lang w:eastAsia="es-MX"/>
        </w:rPr>
        <w:lastRenderedPageBreak/>
        <w:t xml:space="preserve">En virtud de lo enunciado, esta autoridad estima que la </w:t>
      </w:r>
      <w:r w:rsidRPr="00F82EAB">
        <w:rPr>
          <w:rFonts w:ascii="ITC Avant Garde" w:hAnsi="ITC Avant Garde"/>
          <w:bCs/>
        </w:rPr>
        <w:t>U de G</w:t>
      </w:r>
      <w:r w:rsidRPr="00F82EAB">
        <w:rPr>
          <w:rFonts w:ascii="ITC Avant Garde" w:hAnsi="ITC Avant Garde"/>
          <w:bCs/>
          <w:lang w:eastAsia="es-MX"/>
        </w:rPr>
        <w:t xml:space="preserve"> acredita el mecanismo señalado en el artículo </w:t>
      </w:r>
      <w:r w:rsidRPr="00F82EAB">
        <w:rPr>
          <w:rFonts w:ascii="ITC Avant Garde" w:hAnsi="ITC Avant Garde"/>
        </w:rPr>
        <w:t>8 fracción IV, inciso d) de los Lineamientos Generales para el Otorgamiento de las Concesiones</w:t>
      </w:r>
    </w:p>
    <w:p w14:paraId="17FAC9A7" w14:textId="77777777" w:rsidR="005179B5" w:rsidRDefault="006C797F" w:rsidP="005179B5">
      <w:pPr>
        <w:spacing w:afterLines="120" w:after="288"/>
        <w:jc w:val="both"/>
        <w:rPr>
          <w:rFonts w:ascii="ITC Avant Garde" w:hAnsi="ITC Avant Garde"/>
          <w:bCs/>
        </w:rPr>
      </w:pPr>
      <w:r w:rsidRPr="00F82EAB">
        <w:rPr>
          <w:rFonts w:ascii="ITC Avant Garde" w:hAnsi="ITC Avant Garde"/>
          <w:b/>
          <w:bCs/>
        </w:rPr>
        <w:t xml:space="preserve">F. Opciones de financiamiento. </w:t>
      </w:r>
      <w:r w:rsidR="008E0CF9" w:rsidRPr="00F82EAB">
        <w:rPr>
          <w:rFonts w:ascii="ITC Avant Garde" w:hAnsi="ITC Avant Garde"/>
          <w:bCs/>
        </w:rPr>
        <w:t>La U de G</w:t>
      </w:r>
      <w:r w:rsidR="008E0CF9" w:rsidRPr="00F82EAB" w:rsidDel="008077CC">
        <w:rPr>
          <w:rFonts w:ascii="ITC Avant Garde" w:hAnsi="ITC Avant Garde"/>
          <w:bCs/>
          <w:lang w:val="es-ES"/>
        </w:rPr>
        <w:t xml:space="preserve"> </w:t>
      </w:r>
      <w:r w:rsidR="008E0CF9" w:rsidRPr="00F82EAB">
        <w:rPr>
          <w:rFonts w:ascii="ITC Avant Garde" w:hAnsi="ITC Avant Garde"/>
          <w:bCs/>
          <w:lang w:val="es-ES"/>
        </w:rPr>
        <w:t xml:space="preserve">manifiesta, conforme a lo señalado en el inciso B del Considerando Tercero, que principalmente se financiara con el presupuesto público que le asigna el Gobierno del Estado de Guadalajara </w:t>
      </w:r>
      <w:r w:rsidR="008E0CF9" w:rsidRPr="00F82EAB">
        <w:rPr>
          <w:rFonts w:ascii="ITC Avant Garde" w:hAnsi="ITC Avant Garde"/>
          <w:bCs/>
        </w:rPr>
        <w:t>para el establecimiento, instalación, operación y mantenimiento de las estaciones a que se refieren las concesiones,</w:t>
      </w:r>
    </w:p>
    <w:p w14:paraId="05D1BC09" w14:textId="77777777" w:rsidR="005179B5" w:rsidRDefault="008E0CF9" w:rsidP="005179B5">
      <w:pPr>
        <w:spacing w:afterLines="120" w:after="288"/>
        <w:jc w:val="both"/>
        <w:rPr>
          <w:rFonts w:ascii="ITC Avant Garde" w:hAnsi="ITC Avant Garde"/>
          <w:bCs/>
          <w:lang w:val="es-ES"/>
        </w:rPr>
      </w:pPr>
      <w:r w:rsidRPr="00F82EAB">
        <w:rPr>
          <w:rFonts w:ascii="ITC Avant Garde" w:hAnsi="ITC Avant Garde"/>
          <w:bCs/>
          <w:lang w:val="es-ES"/>
        </w:rPr>
        <w:t>En adición a lo anterior, el interesado indicó de manera expresa y concreta que puede tener como fuente de ingresos adicional, los donativos en especie o en dinero, esto con fundamento en el artículo 84 fracción VI de la Ley Orgánica en relación con el artículo 88 de la Ley, para lo cual se realizará un convenio de donación, se entregará el bien y la Dirección de Finanzas de la U de G emitirá el comprobante fiscal correspondiente, por lo que la U de G implementará las acciones para aplicar dicha fuente de financiamiento.</w:t>
      </w:r>
    </w:p>
    <w:p w14:paraId="329E47E5" w14:textId="77777777" w:rsidR="005179B5" w:rsidRDefault="008E0CF9" w:rsidP="005179B5">
      <w:pPr>
        <w:autoSpaceDE w:val="0"/>
        <w:autoSpaceDN w:val="0"/>
        <w:adjustRightInd w:val="0"/>
        <w:spacing w:afterLines="120" w:after="288"/>
        <w:jc w:val="both"/>
        <w:rPr>
          <w:rFonts w:ascii="ITC Avant Garde" w:hAnsi="ITC Avant Garde"/>
          <w:bCs/>
          <w:lang w:eastAsia="es-MX"/>
        </w:rPr>
      </w:pPr>
      <w:r w:rsidRPr="00F82EAB">
        <w:rPr>
          <w:rFonts w:ascii="ITC Avant Garde" w:hAnsi="ITC Avant Garde"/>
          <w:bCs/>
          <w:lang w:eastAsia="es-MX"/>
        </w:rPr>
        <w:t xml:space="preserve">En virtud de lo enunciado, esta autoridad estima que la U de G acredita el mecanismo señalado en el artículo </w:t>
      </w:r>
      <w:r w:rsidRPr="00F82EAB">
        <w:rPr>
          <w:rFonts w:ascii="ITC Avant Garde" w:hAnsi="ITC Avant Garde"/>
        </w:rPr>
        <w:t>8 fracción IV, inciso e) de los Lineamientos Generales para el Otorgamiento de las Concesiones.</w:t>
      </w:r>
      <w:r w:rsidRPr="00F82EAB" w:rsidDel="007429ED">
        <w:rPr>
          <w:rFonts w:ascii="ITC Avant Garde" w:hAnsi="ITC Avant Garde"/>
          <w:bCs/>
          <w:lang w:eastAsia="es-MX"/>
        </w:rPr>
        <w:t xml:space="preserve"> </w:t>
      </w:r>
    </w:p>
    <w:p w14:paraId="0D630129" w14:textId="77777777" w:rsidR="005179B5" w:rsidRDefault="006C797F" w:rsidP="005179B5">
      <w:pPr>
        <w:spacing w:afterLines="120" w:after="288"/>
        <w:jc w:val="both"/>
        <w:rPr>
          <w:rFonts w:ascii="ITC Avant Garde" w:hAnsi="ITC Avant Garde"/>
          <w:bCs/>
        </w:rPr>
      </w:pPr>
      <w:r w:rsidRPr="00F82EAB">
        <w:rPr>
          <w:rFonts w:ascii="ITC Avant Garde" w:hAnsi="ITC Avant Garde"/>
          <w:b/>
          <w:bCs/>
        </w:rPr>
        <w:t>G. Pleno acceso a tecnologías</w:t>
      </w:r>
      <w:r w:rsidRPr="00F82EAB">
        <w:rPr>
          <w:rFonts w:ascii="ITC Avant Garde" w:hAnsi="ITC Avant Garde"/>
          <w:bCs/>
        </w:rPr>
        <w:t xml:space="preserve">. </w:t>
      </w:r>
      <w:r w:rsidR="002A3ED8" w:rsidRPr="00F82EAB">
        <w:rPr>
          <w:rFonts w:ascii="ITC Avant Garde" w:hAnsi="ITC Avant Garde"/>
          <w:bCs/>
        </w:rPr>
        <w:t>La U de G manifiesta que adquirirá equipos que permitan usar los últimos adelantos tecnológicos para la radiodifusión en su señal, asimismo, que se encuentra en un proceso de adquisición de equipos para la grabación de las producciones en alta definición (HD), que estarán en los foros de televisión en las instalaciones de</w:t>
      </w:r>
      <w:r w:rsidR="0097043E">
        <w:rPr>
          <w:rFonts w:ascii="ITC Avant Garde" w:hAnsi="ITC Avant Garde"/>
          <w:bCs/>
        </w:rPr>
        <w:t>l SURT</w:t>
      </w:r>
      <w:r w:rsidR="002A3ED8" w:rsidRPr="00F82EAB">
        <w:rPr>
          <w:rFonts w:ascii="ITC Avant Garde" w:hAnsi="ITC Avant Garde"/>
          <w:bCs/>
        </w:rPr>
        <w:t>, mismos que serán usados para todos los canales de televisión.</w:t>
      </w:r>
    </w:p>
    <w:p w14:paraId="15629BDC" w14:textId="77777777" w:rsidR="005179B5" w:rsidRDefault="002A3ED8" w:rsidP="005179B5">
      <w:pPr>
        <w:spacing w:afterLines="120" w:after="288"/>
        <w:jc w:val="both"/>
        <w:rPr>
          <w:rFonts w:ascii="ITC Avant Garde" w:hAnsi="ITC Avant Garde"/>
          <w:bCs/>
        </w:rPr>
      </w:pPr>
      <w:r w:rsidRPr="00F82EAB">
        <w:rPr>
          <w:rFonts w:ascii="ITC Avant Garde" w:hAnsi="ITC Avant Garde"/>
          <w:bCs/>
        </w:rPr>
        <w:t xml:space="preserve">De igual forma señala, que se realizarán las inversiones necesarias para la adquisición de equipos para la radio digital, y que estará invirtiendo y cumpliendo con las implementaciones de nuevos equipos, según se establezcan los adelantos tecnológicos. </w:t>
      </w:r>
    </w:p>
    <w:p w14:paraId="00E6CA97" w14:textId="77777777" w:rsidR="005179B5" w:rsidRDefault="00800BBE" w:rsidP="005179B5">
      <w:pPr>
        <w:autoSpaceDE w:val="0"/>
        <w:autoSpaceDN w:val="0"/>
        <w:adjustRightInd w:val="0"/>
        <w:spacing w:afterLines="120" w:after="288"/>
        <w:jc w:val="both"/>
        <w:rPr>
          <w:rFonts w:ascii="ITC Avant Garde" w:hAnsi="ITC Avant Garde"/>
          <w:bCs/>
        </w:rPr>
      </w:pPr>
      <w:r w:rsidRPr="00F82EAB">
        <w:rPr>
          <w:rFonts w:ascii="ITC Avant Garde" w:hAnsi="ITC Avant Garde"/>
          <w:bCs/>
          <w:lang w:eastAsia="es-MX"/>
        </w:rPr>
        <w:t xml:space="preserve">En virtud de lo enunciado, esta autoridad estima que la </w:t>
      </w:r>
      <w:r w:rsidR="002A3ED8" w:rsidRPr="00F82EAB">
        <w:rPr>
          <w:rFonts w:ascii="ITC Avant Garde" w:hAnsi="ITC Avant Garde"/>
          <w:bCs/>
          <w:lang w:eastAsia="es-MX"/>
        </w:rPr>
        <w:t xml:space="preserve">U de G </w:t>
      </w:r>
      <w:r w:rsidRPr="00F82EAB">
        <w:rPr>
          <w:rFonts w:ascii="ITC Avant Garde" w:hAnsi="ITC Avant Garde"/>
          <w:bCs/>
          <w:lang w:eastAsia="es-MX"/>
        </w:rPr>
        <w:t xml:space="preserve">acredita el mecanismo señalado en el artículo </w:t>
      </w:r>
      <w:r w:rsidRPr="00F82EAB">
        <w:rPr>
          <w:rFonts w:ascii="ITC Avant Garde" w:hAnsi="ITC Avant Garde"/>
        </w:rPr>
        <w:t xml:space="preserve">8 fracción IV, inciso f) de los Lineamientos Generales para el </w:t>
      </w:r>
      <w:r w:rsidRPr="00F82EAB">
        <w:rPr>
          <w:rFonts w:ascii="ITC Avant Garde" w:hAnsi="ITC Avant Garde"/>
          <w:bCs/>
        </w:rPr>
        <w:t xml:space="preserve">Otorgamiento de </w:t>
      </w:r>
      <w:r w:rsidRPr="00F82EAB">
        <w:rPr>
          <w:rFonts w:ascii="ITC Avant Garde" w:hAnsi="ITC Avant Garde"/>
          <w:bCs/>
          <w:lang w:eastAsia="es-MX"/>
        </w:rPr>
        <w:t>las</w:t>
      </w:r>
      <w:r w:rsidRPr="00F82EAB">
        <w:rPr>
          <w:rFonts w:ascii="ITC Avant Garde" w:hAnsi="ITC Avant Garde"/>
          <w:bCs/>
        </w:rPr>
        <w:t xml:space="preserve"> Concesiones</w:t>
      </w:r>
      <w:r w:rsidRPr="00F82EAB" w:rsidDel="007429ED">
        <w:rPr>
          <w:rFonts w:ascii="ITC Avant Garde" w:hAnsi="ITC Avant Garde"/>
          <w:bCs/>
        </w:rPr>
        <w:t xml:space="preserve"> </w:t>
      </w:r>
    </w:p>
    <w:p w14:paraId="019B9C20" w14:textId="77777777" w:rsidR="005179B5" w:rsidRDefault="006C797F" w:rsidP="005179B5">
      <w:pPr>
        <w:spacing w:afterLines="120" w:after="288"/>
        <w:jc w:val="both"/>
        <w:rPr>
          <w:rFonts w:ascii="ITC Avant Garde" w:hAnsi="ITC Avant Garde"/>
          <w:bCs/>
          <w:lang w:eastAsia="es-MX"/>
        </w:rPr>
      </w:pPr>
      <w:r w:rsidRPr="00F82EAB">
        <w:rPr>
          <w:rFonts w:ascii="ITC Avant Garde" w:hAnsi="ITC Avant Garde"/>
          <w:b/>
          <w:bCs/>
        </w:rPr>
        <w:t>H.</w:t>
      </w:r>
      <w:r w:rsidRPr="00F82EAB">
        <w:rPr>
          <w:rFonts w:ascii="ITC Avant Garde" w:hAnsi="ITC Avant Garde"/>
          <w:bCs/>
        </w:rPr>
        <w:t xml:space="preserve"> </w:t>
      </w:r>
      <w:r w:rsidRPr="00F82EAB">
        <w:rPr>
          <w:rFonts w:ascii="ITC Avant Garde" w:hAnsi="ITC Avant Garde"/>
          <w:b/>
          <w:bCs/>
        </w:rPr>
        <w:t xml:space="preserve">Reglas para la expresión de diversidades ideológicas, étnicas y culturales. </w:t>
      </w:r>
      <w:r w:rsidR="008E0CF9" w:rsidRPr="00F82EAB">
        <w:rPr>
          <w:rFonts w:ascii="ITC Avant Garde" w:hAnsi="ITC Avant Garde"/>
          <w:bCs/>
          <w:lang w:eastAsia="es-MX"/>
        </w:rPr>
        <w:t>El Consejo Ciudadano en sesión del 1 de marzo de 2017 con fundamento en el artículo 4 fracción III de los Lineamientos del Consejo Ciudadano de Radiodifusión generó el documento denominado “</w:t>
      </w:r>
      <w:r w:rsidR="008E0CF9" w:rsidRPr="00F82EAB">
        <w:rPr>
          <w:rFonts w:ascii="ITC Avant Garde" w:hAnsi="ITC Avant Garde"/>
          <w:bCs/>
          <w:i/>
          <w:lang w:eastAsia="es-MX"/>
        </w:rPr>
        <w:t xml:space="preserve">Reglas para la Expresión de Diversidades Ideológicos, Étnicos y Culturales </w:t>
      </w:r>
      <w:r w:rsidR="008E0CF9" w:rsidRPr="00F82EAB">
        <w:rPr>
          <w:rFonts w:ascii="ITC Avant Garde" w:hAnsi="ITC Avant Garde"/>
          <w:bCs/>
          <w:i/>
          <w:lang w:eastAsia="es-MX"/>
        </w:rPr>
        <w:lastRenderedPageBreak/>
        <w:t>de Radiodifusión de la Universidad de Guadalajara”</w:t>
      </w:r>
      <w:r w:rsidR="008E0CF9" w:rsidRPr="00F82EAB">
        <w:rPr>
          <w:rFonts w:ascii="ITC Avant Garde" w:hAnsi="ITC Avant Garde"/>
          <w:bCs/>
          <w:lang w:eastAsia="es-MX"/>
        </w:rPr>
        <w:t>, que fueron aprobados por el Consejo de Administración de</w:t>
      </w:r>
      <w:r w:rsidR="0097043E">
        <w:rPr>
          <w:rFonts w:ascii="ITC Avant Garde" w:hAnsi="ITC Avant Garde"/>
          <w:bCs/>
          <w:lang w:eastAsia="es-MX"/>
        </w:rPr>
        <w:t>l SURT</w:t>
      </w:r>
      <w:r w:rsidR="008E0CF9" w:rsidRPr="00F82EAB">
        <w:rPr>
          <w:rFonts w:ascii="ITC Avant Garde" w:hAnsi="ITC Avant Garde"/>
          <w:bCs/>
          <w:lang w:eastAsia="es-MX"/>
        </w:rPr>
        <w:t>, con fundamento en el artículo 74 bis 3 del Estatuto Orgánico del Centro Universitario de Ciencias Económico Administrativas, a efecto de coadyuvar con el buen desarrollo de las tareas de producción y difusión de contenidos, para lo que se tomarán en cuenta las siguientes directrices:</w:t>
      </w:r>
    </w:p>
    <w:p w14:paraId="504B3B17" w14:textId="30F6A819" w:rsidR="008E0CF9" w:rsidRPr="00F82EAB" w:rsidRDefault="008E0CF9" w:rsidP="005179B5">
      <w:pPr>
        <w:spacing w:afterLines="120" w:after="288" w:line="240" w:lineRule="auto"/>
        <w:ind w:left="567" w:right="757"/>
        <w:jc w:val="both"/>
        <w:rPr>
          <w:rFonts w:ascii="ITC Avant Garde" w:hAnsi="ITC Avant Garde"/>
          <w:bCs/>
          <w:i/>
          <w:sz w:val="20"/>
          <w:szCs w:val="20"/>
          <w:lang w:eastAsia="es-MX"/>
        </w:rPr>
      </w:pPr>
      <w:r w:rsidRPr="00F82EAB">
        <w:rPr>
          <w:rFonts w:ascii="ITC Avant Garde" w:hAnsi="ITC Avant Garde"/>
          <w:bCs/>
          <w:i/>
          <w:sz w:val="20"/>
          <w:szCs w:val="20"/>
          <w:lang w:eastAsia="es-MX"/>
        </w:rPr>
        <w:t>“</w:t>
      </w:r>
    </w:p>
    <w:p w14:paraId="7126C023"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Libre acceso a todas las formas del pensamiento como parte del debate, de manera objetiva, crítica y con razón científica.</w:t>
      </w:r>
    </w:p>
    <w:p w14:paraId="76A5F64C"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Contribuir en el desarrollo de la educación y nivel cultural de la población apoyando a desarrollar armónicamente las facultades del ser humano y fomentar en él, a la vez el amor a la Patria, el respeto a los derechos humanos y la conciencia de solidaridad internacional, en la independencia y en la justicia.</w:t>
      </w:r>
    </w:p>
    <w:p w14:paraId="57E6BDEA"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Mejorar y ampliar los programas estratégicos para el desarrollo de la cultura de la Institución y de la sociedad en el estado.</w:t>
      </w:r>
    </w:p>
    <w:p w14:paraId="4A10A109"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Difundir las actividades culturales y artísticas de la universidad en las distintas regiones del estado.</w:t>
      </w:r>
    </w:p>
    <w:p w14:paraId="7AFEA6BD"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Fortalecer la identidad y valores de la Universidad y los sociales.</w:t>
      </w:r>
    </w:p>
    <w:p w14:paraId="164FA403"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Fomentar un pensamiento reflexivo  de los habitantes a través de contenidos objetivos, críticos, independientes, informativos e incluyentes.</w:t>
      </w:r>
    </w:p>
    <w:p w14:paraId="0853CA9B"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Ejercer el derecho de réplica y todos los derechos de las audiencias, así como los derechos humanos.</w:t>
      </w:r>
    </w:p>
    <w:p w14:paraId="119042AD"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Impulsar la diversidad cultural, social y política mediante una amplia oferta de programación que atienda intereses y necesidades de comunicación, información, cultura  y entretenimiento de mayorías y minorías sociales.</w:t>
      </w:r>
    </w:p>
    <w:p w14:paraId="665A9A52"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Fomentar la igualdad de género, el respeto e integrar la expresión de la diversidad sexual.</w:t>
      </w:r>
    </w:p>
    <w:p w14:paraId="3CDF33D3" w14:textId="77777777" w:rsidR="008E0CF9" w:rsidRPr="00F82EAB"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Comunicar y respetar la diversidad de lenguas de los grupos étnicos, su cosmogonía e identidad.</w:t>
      </w:r>
    </w:p>
    <w:p w14:paraId="10AF7C6E" w14:textId="77777777" w:rsidR="005179B5" w:rsidRDefault="008E0CF9" w:rsidP="005179B5">
      <w:pPr>
        <w:pStyle w:val="Prrafodelista"/>
        <w:numPr>
          <w:ilvl w:val="0"/>
          <w:numId w:val="48"/>
        </w:numPr>
        <w:spacing w:afterLines="120" w:after="288"/>
        <w:ind w:left="993" w:right="757"/>
        <w:jc w:val="both"/>
        <w:rPr>
          <w:rFonts w:ascii="ITC Avant Garde" w:hAnsi="ITC Avant Garde"/>
          <w:i/>
          <w:sz w:val="20"/>
        </w:rPr>
      </w:pPr>
      <w:r w:rsidRPr="00F82EAB">
        <w:rPr>
          <w:rFonts w:ascii="ITC Avant Garde" w:hAnsi="ITC Avant Garde"/>
          <w:i/>
          <w:sz w:val="20"/>
        </w:rPr>
        <w:t xml:space="preserve">Las presentes Reglas </w:t>
      </w:r>
      <w:r w:rsidRPr="00F82EAB">
        <w:rPr>
          <w:rFonts w:ascii="ITC Avant Garde" w:hAnsi="ITC Avant Garde"/>
          <w:i/>
          <w:sz w:val="20"/>
          <w:u w:val="single"/>
        </w:rPr>
        <w:t>se ejercerán con el procesamiento establecido para la defensa de las audiencias en las Políticas de Radiodifusión</w:t>
      </w:r>
      <w:r w:rsidRPr="00F82EAB">
        <w:rPr>
          <w:rFonts w:ascii="ITC Avant Garde" w:hAnsi="ITC Avant Garde"/>
          <w:i/>
          <w:sz w:val="20"/>
        </w:rPr>
        <w:t>.”</w:t>
      </w:r>
    </w:p>
    <w:p w14:paraId="77DA9447" w14:textId="77777777" w:rsidR="005179B5" w:rsidRDefault="008E0CF9" w:rsidP="005179B5">
      <w:pPr>
        <w:autoSpaceDE w:val="0"/>
        <w:autoSpaceDN w:val="0"/>
        <w:adjustRightInd w:val="0"/>
        <w:spacing w:afterLines="120" w:after="288"/>
        <w:jc w:val="both"/>
        <w:rPr>
          <w:rFonts w:ascii="ITC Avant Garde" w:hAnsi="ITC Avant Garde"/>
          <w:sz w:val="20"/>
          <w:szCs w:val="20"/>
        </w:rPr>
      </w:pPr>
      <w:r w:rsidRPr="00F82EAB">
        <w:rPr>
          <w:rFonts w:ascii="ITC Avant Garde" w:hAnsi="ITC Avant Garde"/>
          <w:bCs/>
          <w:lang w:eastAsia="es-MX"/>
        </w:rPr>
        <w:t xml:space="preserve">Finalmente, esta autoridad estima que el SPR acredita el mecanismo señalado en el artículo </w:t>
      </w:r>
      <w:r w:rsidRPr="00F82EAB">
        <w:rPr>
          <w:rFonts w:ascii="ITC Avant Garde" w:hAnsi="ITC Avant Garde"/>
        </w:rPr>
        <w:t xml:space="preserve">8 fracción IV, inciso a) de los Lineamientos Generales para el </w:t>
      </w:r>
      <w:r w:rsidRPr="00F82EAB">
        <w:rPr>
          <w:rFonts w:ascii="ITC Avant Garde" w:hAnsi="ITC Avant Garde"/>
          <w:bCs/>
        </w:rPr>
        <w:t xml:space="preserve">Otorgamiento de </w:t>
      </w:r>
      <w:r w:rsidRPr="00F82EAB">
        <w:rPr>
          <w:rFonts w:ascii="ITC Avant Garde" w:hAnsi="ITC Avant Garde"/>
          <w:bCs/>
          <w:lang w:eastAsia="es-MX"/>
        </w:rPr>
        <w:lastRenderedPageBreak/>
        <w:t>las</w:t>
      </w:r>
      <w:r w:rsidRPr="00F82EAB">
        <w:rPr>
          <w:rFonts w:ascii="ITC Avant Garde" w:hAnsi="ITC Avant Garde"/>
          <w:bCs/>
        </w:rPr>
        <w:t xml:space="preserve"> Concesiones, por cuanto hace a las reglas para la expresión de diversidades ideológicas, étnicas y culturales, </w:t>
      </w:r>
      <w:r w:rsidRPr="00F82EAB">
        <w:rPr>
          <w:rFonts w:ascii="ITC Avant Garde" w:hAnsi="ITC Avant Garde"/>
        </w:rPr>
        <w:t>pues las directrices enunciadas aseguran la atención a las necesidades de información, cultura y entretenimiento de una sociedad compleja y plural.</w:t>
      </w:r>
    </w:p>
    <w:p w14:paraId="57DDF5D6" w14:textId="77777777" w:rsidR="005179B5" w:rsidRDefault="006C797F" w:rsidP="005179B5">
      <w:pPr>
        <w:spacing w:afterLines="120" w:after="288"/>
        <w:jc w:val="both"/>
        <w:rPr>
          <w:rFonts w:ascii="ITC Avant Garde" w:hAnsi="ITC Avant Garde"/>
        </w:rPr>
      </w:pPr>
      <w:r w:rsidRPr="00F82EAB">
        <w:rPr>
          <w:rFonts w:ascii="ITC Avant Garde" w:hAnsi="ITC Avant Garde"/>
          <w:bCs/>
        </w:rPr>
        <w:t xml:space="preserve">Por lo antes expuesto, esta </w:t>
      </w:r>
      <w:r w:rsidR="00C75DC2" w:rsidRPr="00F82EAB">
        <w:rPr>
          <w:rFonts w:ascii="ITC Avant Garde" w:hAnsi="ITC Avant Garde"/>
          <w:bCs/>
        </w:rPr>
        <w:t>autoridad</w:t>
      </w:r>
      <w:r w:rsidRPr="00F82EAB">
        <w:rPr>
          <w:rFonts w:ascii="ITC Avant Garde" w:hAnsi="ITC Avant Garde"/>
          <w:bCs/>
        </w:rPr>
        <w:t xml:space="preserve"> considera que </w:t>
      </w:r>
      <w:r w:rsidRPr="00F82EAB">
        <w:rPr>
          <w:rFonts w:ascii="ITC Avant Garde" w:hAnsi="ITC Avant Garde"/>
          <w:bCs/>
          <w:lang w:eastAsia="es-MX"/>
        </w:rPr>
        <w:t xml:space="preserve">la </w:t>
      </w:r>
      <w:r w:rsidR="00821A11" w:rsidRPr="00F82EAB">
        <w:rPr>
          <w:rFonts w:ascii="ITC Avant Garde" w:hAnsi="ITC Avant Garde"/>
          <w:bCs/>
          <w:lang w:eastAsia="es-MX"/>
        </w:rPr>
        <w:t>U de G</w:t>
      </w:r>
      <w:r w:rsidRPr="00F82EAB">
        <w:rPr>
          <w:rFonts w:ascii="ITC Avant Garde" w:hAnsi="ITC Avant Garde"/>
          <w:bCs/>
          <w:lang w:eastAsia="es-MX"/>
        </w:rPr>
        <w:t xml:space="preserve"> </w:t>
      </w:r>
      <w:r w:rsidRPr="00F82EAB">
        <w:rPr>
          <w:rFonts w:ascii="ITC Avant Garde" w:hAnsi="ITC Avant Garde"/>
          <w:bCs/>
        </w:rPr>
        <w:t xml:space="preserve">cumple con los </w:t>
      </w:r>
      <w:r w:rsidRPr="00F82EAB">
        <w:rPr>
          <w:rFonts w:ascii="ITC Avant Garde" w:hAnsi="ITC Avant Garde"/>
        </w:rPr>
        <w:t>mecanismos que aseguran la implementación de los principios a que se refiere el segundo párrafo del artículo 86 de la Ley, así como con el artículo 8 fracción IV de los Lineamientos Generales para el Otorgamiento de las Concesiones, pues las directrices enunciadas aseguran la atención a las necesidades de información, cultura y entretenimiento de una sociedad compleja y plural.</w:t>
      </w:r>
    </w:p>
    <w:p w14:paraId="4F56D571" w14:textId="77777777" w:rsidR="005179B5" w:rsidRDefault="006C797F" w:rsidP="005179B5">
      <w:pPr>
        <w:suppressAutoHyphens/>
        <w:spacing w:afterLines="120" w:after="288"/>
        <w:jc w:val="both"/>
        <w:rPr>
          <w:rFonts w:ascii="ITC Avant Garde" w:hAnsi="ITC Avant Garde"/>
          <w:bCs/>
          <w:color w:val="000000"/>
          <w:lang w:val="es-ES_tradnl"/>
        </w:rPr>
      </w:pPr>
      <w:r w:rsidRPr="00F82EAB">
        <w:rPr>
          <w:rFonts w:ascii="ITC Avant Garde" w:hAnsi="ITC Avant Garde"/>
          <w:bCs/>
          <w:color w:val="000000"/>
          <w:lang w:val="es-ES_tradnl"/>
        </w:rPr>
        <w:t>Cabe hacer mención que, considerando la naturaleza jurídica y los fines de las concesiones para uso público otorgadas, se hace necesario que los concesionarios que presten el servicio de radiodifusión bajo esa modalidad, queden</w:t>
      </w:r>
      <w:r w:rsidRPr="00F82EAB">
        <w:rPr>
          <w:rFonts w:ascii="ITC Avant Garde" w:hAnsi="ITC Avant Garde"/>
          <w:bCs/>
          <w:color w:val="000000"/>
        </w:rPr>
        <w:t xml:space="preserve"> obligados a cumplir durante la vigencia de sus concesiones con lo establecido en los Lineamientos multicitados, en relación con los mecanismos que aseguren los principios establecidos en los artículos Décimo Transitorio del </w:t>
      </w:r>
      <w:r w:rsidRPr="00F82EAB">
        <w:rPr>
          <w:rFonts w:ascii="ITC Avant Garde" w:hAnsi="ITC Avant Garde"/>
          <w:bCs/>
          <w:lang w:eastAsia="es-MX"/>
        </w:rPr>
        <w:t>Decreto de Reforma Constitucional,</w:t>
      </w:r>
      <w:r w:rsidRPr="00F82EAB">
        <w:rPr>
          <w:rFonts w:ascii="ITC Avant Garde" w:hAnsi="ITC Avant Garde"/>
          <w:bCs/>
          <w:i/>
          <w:lang w:eastAsia="es-MX"/>
        </w:rPr>
        <w:t xml:space="preserve"> </w:t>
      </w:r>
      <w:r w:rsidRPr="00F82EAB">
        <w:rPr>
          <w:rFonts w:ascii="ITC Avant Garde" w:hAnsi="ITC Avant Garde"/>
          <w:bCs/>
          <w:color w:val="000000"/>
        </w:rPr>
        <w:t xml:space="preserve">y 86 de la propia Ley: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Razón por la cual, </w:t>
      </w:r>
      <w:r w:rsidR="00821A11" w:rsidRPr="00F82EAB">
        <w:rPr>
          <w:rFonts w:ascii="ITC Avant Garde" w:hAnsi="ITC Avant Garde"/>
          <w:bCs/>
          <w:color w:val="000000"/>
        </w:rPr>
        <w:t>la U de G</w:t>
      </w:r>
      <w:r w:rsidRPr="00F82EAB">
        <w:rPr>
          <w:rFonts w:ascii="ITC Avant Garde" w:hAnsi="ITC Avant Garde"/>
          <w:bCs/>
          <w:color w:val="000000"/>
        </w:rPr>
        <w:t xml:space="preserve"> a través de los </w:t>
      </w:r>
      <w:r w:rsidR="00821A11" w:rsidRPr="00F82EAB">
        <w:rPr>
          <w:rFonts w:ascii="ITC Avant Garde" w:hAnsi="ITC Avant Garde"/>
          <w:bCs/>
          <w:color w:val="000000"/>
        </w:rPr>
        <w:t xml:space="preserve">8 </w:t>
      </w:r>
      <w:r w:rsidR="006D4052" w:rsidRPr="00F82EAB">
        <w:rPr>
          <w:rFonts w:ascii="ITC Avant Garde" w:hAnsi="ITC Avant Garde"/>
          <w:bCs/>
          <w:color w:val="000000"/>
        </w:rPr>
        <w:t>(</w:t>
      </w:r>
      <w:r w:rsidR="00821A11" w:rsidRPr="00F82EAB">
        <w:rPr>
          <w:rFonts w:ascii="ITC Avant Garde" w:hAnsi="ITC Avant Garde"/>
          <w:bCs/>
          <w:color w:val="000000"/>
        </w:rPr>
        <w:t>ocho</w:t>
      </w:r>
      <w:r w:rsidR="006D4052" w:rsidRPr="00F82EAB">
        <w:rPr>
          <w:rFonts w:ascii="ITC Avant Garde" w:hAnsi="ITC Avant Garde"/>
          <w:bCs/>
          <w:color w:val="000000"/>
        </w:rPr>
        <w:t>)</w:t>
      </w:r>
      <w:r w:rsidRPr="00F82EAB">
        <w:rPr>
          <w:rFonts w:ascii="ITC Avant Garde" w:hAnsi="ITC Avant Garde"/>
          <w:bCs/>
          <w:color w:val="000000"/>
        </w:rPr>
        <w:t xml:space="preserve"> </w:t>
      </w:r>
      <w:r w:rsidR="006D4052" w:rsidRPr="00F82EAB">
        <w:rPr>
          <w:rFonts w:ascii="ITC Avant Garde" w:hAnsi="ITC Avant Garde"/>
          <w:bCs/>
          <w:color w:val="000000"/>
        </w:rPr>
        <w:t>T</w:t>
      </w:r>
      <w:r w:rsidRPr="00F82EAB">
        <w:rPr>
          <w:rFonts w:ascii="ITC Avant Garde" w:hAnsi="ITC Avant Garde"/>
          <w:bCs/>
          <w:color w:val="000000"/>
        </w:rPr>
        <w:t xml:space="preserve">ítulos de </w:t>
      </w:r>
      <w:r w:rsidR="00450155" w:rsidRPr="00F82EAB">
        <w:rPr>
          <w:rFonts w:ascii="ITC Avant Garde" w:hAnsi="ITC Avant Garde"/>
          <w:bCs/>
          <w:color w:val="000000"/>
          <w:lang w:val="es-ES"/>
        </w:rPr>
        <w:t>concesión</w:t>
      </w:r>
      <w:r w:rsidRPr="00F82EAB">
        <w:rPr>
          <w:rFonts w:ascii="ITC Avant Garde" w:hAnsi="ITC Avant Garde"/>
          <w:bCs/>
          <w:color w:val="000000"/>
          <w:lang w:val="es-ES"/>
        </w:rPr>
        <w:t xml:space="preserve"> </w:t>
      </w:r>
      <w:r w:rsidRPr="00F82EAB">
        <w:rPr>
          <w:rFonts w:ascii="ITC Avant Garde" w:hAnsi="ITC Avant Garde"/>
          <w:bCs/>
          <w:color w:val="000000"/>
          <w:lang w:val="es-ES_tradnl"/>
        </w:rPr>
        <w:t>para usar y aprovechar bandas de frecuencias del espectro radioeléctrico</w:t>
      </w:r>
      <w:r w:rsidRPr="00F82EAB">
        <w:rPr>
          <w:rFonts w:ascii="ITC Avant Garde" w:hAnsi="ITC Avant Garde"/>
          <w:b/>
          <w:bCs/>
          <w:color w:val="000000"/>
          <w:lang w:val="es-ES_tradnl"/>
        </w:rPr>
        <w:t xml:space="preserve"> </w:t>
      </w:r>
      <w:r w:rsidRPr="00F82EAB">
        <w:rPr>
          <w:rFonts w:ascii="ITC Avant Garde" w:hAnsi="ITC Avant Garde"/>
          <w:bCs/>
          <w:color w:val="000000"/>
        </w:rPr>
        <w:t xml:space="preserve">para la prestación del servicio público de radiodifusión </w:t>
      </w:r>
      <w:r w:rsidRPr="00F82EAB">
        <w:rPr>
          <w:rFonts w:ascii="ITC Avant Garde" w:hAnsi="ITC Avant Garde"/>
          <w:bCs/>
        </w:rPr>
        <w:t xml:space="preserve">que se mencionan en </w:t>
      </w:r>
      <w:r w:rsidR="00821A11" w:rsidRPr="00F82EAB">
        <w:rPr>
          <w:rFonts w:ascii="ITC Avant Garde" w:hAnsi="ITC Avant Garde"/>
          <w:bCs/>
        </w:rPr>
        <w:t>los</w:t>
      </w:r>
      <w:r w:rsidRPr="00F82EAB">
        <w:rPr>
          <w:rFonts w:ascii="ITC Avant Garde" w:hAnsi="ITC Avant Garde"/>
          <w:bCs/>
        </w:rPr>
        <w:t xml:space="preserve"> Antecedente</w:t>
      </w:r>
      <w:r w:rsidR="00821A11" w:rsidRPr="00F82EAB">
        <w:rPr>
          <w:rFonts w:ascii="ITC Avant Garde" w:hAnsi="ITC Avant Garde"/>
          <w:bCs/>
        </w:rPr>
        <w:t>s</w:t>
      </w:r>
      <w:r w:rsidRPr="00F82EAB">
        <w:rPr>
          <w:rFonts w:ascii="ITC Avant Garde" w:hAnsi="ITC Avant Garde"/>
          <w:bCs/>
        </w:rPr>
        <w:t xml:space="preserve"> </w:t>
      </w:r>
      <w:r w:rsidR="00821A11" w:rsidRPr="00F82EAB">
        <w:rPr>
          <w:rFonts w:ascii="ITC Avant Garde" w:hAnsi="ITC Avant Garde"/>
          <w:bCs/>
        </w:rPr>
        <w:t>V y VI</w:t>
      </w:r>
      <w:r w:rsidRPr="00F82EAB">
        <w:rPr>
          <w:rFonts w:ascii="ITC Avant Garde" w:hAnsi="ITC Avant Garde"/>
          <w:bCs/>
        </w:rPr>
        <w:t xml:space="preserve"> de la presente Resolución</w:t>
      </w:r>
      <w:r w:rsidRPr="00F82EAB">
        <w:rPr>
          <w:rFonts w:ascii="ITC Avant Garde" w:hAnsi="ITC Avant Garde"/>
          <w:bCs/>
          <w:color w:val="000000"/>
        </w:rPr>
        <w:t>, deberá observar de manera permanente durante la vigencia de las concesiones los principios señalados que garantizan el carácter de uso público en la prestación de servicios de radiodifusión a que se refieren los artículos anteriormente citados.</w:t>
      </w:r>
    </w:p>
    <w:p w14:paraId="32F397EE" w14:textId="77777777" w:rsidR="005179B5" w:rsidRDefault="006C797F" w:rsidP="005179B5">
      <w:pPr>
        <w:spacing w:afterLines="120" w:after="288"/>
        <w:jc w:val="both"/>
        <w:rPr>
          <w:rFonts w:ascii="ITC Avant Garde" w:eastAsia="Times New Roman" w:hAnsi="ITC Avant Garde"/>
          <w:bCs/>
          <w:color w:val="000000"/>
          <w:lang w:eastAsia="es-MX"/>
        </w:rPr>
      </w:pPr>
      <w:r w:rsidRPr="00F82EAB">
        <w:rPr>
          <w:rFonts w:ascii="ITC Avant Garde" w:eastAsia="Times New Roman" w:hAnsi="ITC Avant Garde"/>
          <w:bCs/>
          <w:color w:val="000000"/>
          <w:lang w:eastAsia="es-MX"/>
        </w:rPr>
        <w:t>En efecto, el artículo Décimo Transitorio del Decreto de Reforma Constitucional en forma categórica establece que los medios públicos que presten el servicio de radiodifusión deben contar con estos mecanismos en la prestación del servicio público de radiodifusión; características y principios rectores que deben guiar su operación en todo momento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de uso público a la concesión.</w:t>
      </w:r>
    </w:p>
    <w:p w14:paraId="30465C0F" w14:textId="77777777" w:rsidR="005179B5" w:rsidRDefault="00AC406D" w:rsidP="005179B5">
      <w:pPr>
        <w:autoSpaceDE w:val="0"/>
        <w:autoSpaceDN w:val="0"/>
        <w:adjustRightInd w:val="0"/>
        <w:spacing w:afterLines="120" w:after="288"/>
        <w:jc w:val="both"/>
        <w:rPr>
          <w:rFonts w:ascii="ITC Avant Garde" w:eastAsia="Times New Roman" w:hAnsi="ITC Avant Garde"/>
          <w:kern w:val="1"/>
          <w:lang w:val="es-ES" w:eastAsia="ar-SA"/>
        </w:rPr>
      </w:pPr>
      <w:r w:rsidRPr="00F82EAB">
        <w:rPr>
          <w:rFonts w:ascii="ITC Avant Garde" w:eastAsia="Times New Roman" w:hAnsi="ITC Avant Garde"/>
          <w:bCs/>
          <w:color w:val="000000"/>
          <w:lang w:eastAsia="es-MX"/>
        </w:rPr>
        <w:lastRenderedPageBreak/>
        <w:t>Ahora bien, es importante señalar que</w:t>
      </w:r>
      <w:r w:rsidRPr="00F82EAB">
        <w:rPr>
          <w:rFonts w:ascii="ITC Avant Garde" w:eastAsia="Times New Roman" w:hAnsi="ITC Avant Garde"/>
          <w:kern w:val="1"/>
          <w:lang w:val="es-ES" w:eastAsia="ar-SA"/>
        </w:rPr>
        <w:t xml:space="preserve"> toda modificación que la </w:t>
      </w:r>
      <w:r w:rsidR="00821A11" w:rsidRPr="00F82EAB">
        <w:rPr>
          <w:rFonts w:ascii="ITC Avant Garde" w:eastAsia="Times New Roman" w:hAnsi="ITC Avant Garde"/>
          <w:kern w:val="1"/>
          <w:lang w:val="es-ES" w:eastAsia="ar-SA"/>
        </w:rPr>
        <w:t>U de G</w:t>
      </w:r>
      <w:r w:rsidR="00A1337E" w:rsidRPr="00F82EAB">
        <w:rPr>
          <w:rFonts w:ascii="ITC Avant Garde" w:eastAsia="Times New Roman" w:hAnsi="ITC Avant Garde"/>
          <w:kern w:val="1"/>
          <w:lang w:val="es-ES" w:eastAsia="ar-SA"/>
        </w:rPr>
        <w:t xml:space="preserve"> </w:t>
      </w:r>
      <w:r w:rsidRPr="00F82EAB">
        <w:rPr>
          <w:rFonts w:ascii="ITC Avant Garde" w:eastAsia="Times New Roman" w:hAnsi="ITC Avant Garde"/>
          <w:kern w:val="1"/>
          <w:lang w:val="es-ES" w:eastAsia="ar-SA"/>
        </w:rPr>
        <w:t>realice a los mecanismos antes indicados, deberá ser autorizada por el Instituto previ</w:t>
      </w:r>
      <w:r w:rsidR="005845BD">
        <w:rPr>
          <w:rFonts w:ascii="ITC Avant Garde" w:eastAsia="Times New Roman" w:hAnsi="ITC Avant Garde"/>
          <w:kern w:val="1"/>
          <w:lang w:val="es-ES" w:eastAsia="ar-SA"/>
        </w:rPr>
        <w:t>amente</w:t>
      </w:r>
      <w:r w:rsidRPr="00F82EAB">
        <w:rPr>
          <w:rFonts w:ascii="ITC Avant Garde" w:eastAsia="Times New Roman" w:hAnsi="ITC Avant Garde"/>
          <w:kern w:val="1"/>
          <w:lang w:val="es-ES" w:eastAsia="ar-SA"/>
        </w:rPr>
        <w:t xml:space="preserve"> a su implementación.</w:t>
      </w:r>
    </w:p>
    <w:p w14:paraId="29888429" w14:textId="77777777" w:rsidR="005179B5" w:rsidRDefault="009741B1" w:rsidP="005179B5">
      <w:pPr>
        <w:shd w:val="clear" w:color="auto" w:fill="FFFFFF" w:themeFill="background1"/>
        <w:spacing w:afterLines="120" w:after="288"/>
        <w:jc w:val="both"/>
        <w:rPr>
          <w:rFonts w:ascii="ITC Avant Garde" w:hAnsi="ITC Avant Garde"/>
          <w:bCs/>
          <w:color w:val="000000"/>
          <w:lang w:eastAsia="es-MX"/>
        </w:rPr>
      </w:pPr>
      <w:r w:rsidRPr="00F82EAB">
        <w:rPr>
          <w:rFonts w:ascii="ITC Avant Garde" w:eastAsia="Times New Roman" w:hAnsi="ITC Avant Garde"/>
          <w:kern w:val="1"/>
          <w:lang w:val="es-ES" w:eastAsia="ar-SA"/>
        </w:rPr>
        <w:t>Por lo anterior, con fundamento en los artículos 28 párrafos décimo quinto, décimo séptimo y décimo octavo de la Constitución Política de los Estados Unidos Mexicanos; 1, Décimo transitorio del “</w:t>
      </w:r>
      <w:r w:rsidRPr="00F82EAB">
        <w:rPr>
          <w:rFonts w:ascii="ITC Avant Garde" w:hAnsi="ITC Avant Garde"/>
          <w:i/>
          <w:lang w:eastAsia="es-MX"/>
        </w:rPr>
        <w:t>Decreto por el que se reforman y adicionan diversas disposiciones de los artículos 6o., 7o., 27, 28, 73, 78, 94 y 105 de la Constitución Política de los Estados Unidos Mexicanos, en materia de telecomunicaciones</w:t>
      </w:r>
      <w:r w:rsidRPr="00F82EAB">
        <w:rPr>
          <w:rFonts w:ascii="ITC Avant Garde" w:eastAsia="Times New Roman" w:hAnsi="ITC Avant Garde"/>
          <w:kern w:val="1"/>
          <w:lang w:val="es-ES" w:eastAsia="ar-SA"/>
        </w:rPr>
        <w:t xml:space="preserve">” </w:t>
      </w:r>
      <w:r w:rsidRPr="00F82EAB">
        <w:rPr>
          <w:rFonts w:ascii="ITC Avant Garde" w:hAnsi="ITC Avant Garde"/>
          <w:bCs/>
          <w:color w:val="000000"/>
          <w:lang w:eastAsia="es-MX"/>
        </w:rPr>
        <w:t xml:space="preserve">1, 2, 3 fracción </w:t>
      </w:r>
      <w:r w:rsidR="003631A2" w:rsidRPr="00F82EAB">
        <w:rPr>
          <w:rFonts w:ascii="ITC Avant Garde" w:hAnsi="ITC Avant Garde"/>
          <w:bCs/>
          <w:color w:val="000000"/>
          <w:lang w:eastAsia="es-MX"/>
        </w:rPr>
        <w:t>XIII</w:t>
      </w:r>
      <w:r w:rsidRPr="00F82EAB">
        <w:rPr>
          <w:rFonts w:ascii="ITC Avant Garde" w:hAnsi="ITC Avant Garde"/>
          <w:bCs/>
          <w:color w:val="000000"/>
          <w:lang w:eastAsia="es-MX"/>
        </w:rPr>
        <w:t xml:space="preserve">, 6 fracción IV, 7, 15 fracción </w:t>
      </w:r>
      <w:r w:rsidR="003631A2" w:rsidRPr="00F82EAB">
        <w:rPr>
          <w:rFonts w:ascii="ITC Avant Garde" w:hAnsi="ITC Avant Garde"/>
          <w:bCs/>
          <w:color w:val="000000"/>
          <w:lang w:eastAsia="es-MX"/>
        </w:rPr>
        <w:t>XXVII</w:t>
      </w:r>
      <w:r w:rsidRPr="00F82EAB">
        <w:rPr>
          <w:rFonts w:ascii="ITC Avant Garde" w:hAnsi="ITC Avant Garde"/>
          <w:bCs/>
          <w:color w:val="000000"/>
          <w:lang w:eastAsia="es-MX"/>
        </w:rPr>
        <w:t xml:space="preserve"> y </w:t>
      </w:r>
      <w:r w:rsidRPr="00F82EAB">
        <w:rPr>
          <w:rFonts w:ascii="ITC Avant Garde" w:eastAsia="Times New Roman" w:hAnsi="ITC Avant Garde"/>
          <w:kern w:val="1"/>
          <w:lang w:val="es-ES" w:eastAsia="ar-SA"/>
        </w:rPr>
        <w:t>86</w:t>
      </w:r>
      <w:r w:rsidR="003631A2" w:rsidRPr="00F82EAB">
        <w:rPr>
          <w:rFonts w:ascii="ITC Avant Garde" w:eastAsia="Times New Roman" w:hAnsi="ITC Avant Garde"/>
          <w:kern w:val="1"/>
          <w:lang w:val="es-ES" w:eastAsia="ar-SA"/>
        </w:rPr>
        <w:t xml:space="preserve"> segundo párrafo</w:t>
      </w:r>
      <w:r w:rsidRPr="00F82EAB">
        <w:rPr>
          <w:rFonts w:ascii="ITC Avant Garde" w:eastAsia="Times New Roman" w:hAnsi="ITC Avant Garde"/>
          <w:kern w:val="1"/>
          <w:lang w:val="es-ES" w:eastAsia="ar-SA"/>
        </w:rPr>
        <w:t xml:space="preserve"> </w:t>
      </w:r>
      <w:r w:rsidRPr="00F82EAB">
        <w:rPr>
          <w:rFonts w:ascii="ITC Avant Garde" w:hAnsi="ITC Avant Garde"/>
          <w:bCs/>
          <w:color w:val="000000"/>
          <w:lang w:eastAsia="es-MX"/>
        </w:rPr>
        <w:t>de la Ley Federal de Telecomunicaciones y Radiodifusión; 35 fracción I, 36, 38, 39 y 57 fracción I de la Ley Federal de Procedimiento Administrativo; 8</w:t>
      </w:r>
      <w:r w:rsidR="003631A2" w:rsidRPr="00F82EAB">
        <w:rPr>
          <w:rFonts w:ascii="ITC Avant Garde" w:hAnsi="ITC Avant Garde"/>
          <w:bCs/>
          <w:color w:val="000000"/>
          <w:lang w:eastAsia="es-MX"/>
        </w:rPr>
        <w:t xml:space="preserve"> fracción IV</w:t>
      </w:r>
      <w:r w:rsidRPr="00F82EAB">
        <w:rPr>
          <w:rFonts w:ascii="ITC Avant Garde" w:hAnsi="ITC Avant Garde"/>
          <w:bCs/>
          <w:color w:val="000000"/>
          <w:lang w:eastAsia="es-MX"/>
        </w:rPr>
        <w:t xml:space="preserve"> y </w:t>
      </w:r>
      <w:r w:rsidRPr="00F82EAB">
        <w:rPr>
          <w:rFonts w:ascii="ITC Avant Garde" w:hAnsi="ITC Avant Garde" w:cs="Calibri"/>
        </w:rPr>
        <w:t>Segundo Transitorio, fracción VIII</w:t>
      </w:r>
      <w:r w:rsidRPr="00F82EAB">
        <w:rPr>
          <w:rFonts w:ascii="ITC Avant Garde" w:hAnsi="ITC Avant Garde"/>
          <w:bCs/>
          <w:color w:val="000000"/>
          <w:lang w:eastAsia="es-MX"/>
        </w:rPr>
        <w:t xml:space="preserve"> de los Lineamientos Generales para el Otorgamiento de las Concesiones </w:t>
      </w:r>
      <w:r w:rsidRPr="00F82EAB">
        <w:rPr>
          <w:rFonts w:ascii="ITC Avant Garde" w:eastAsia="Times New Roman" w:hAnsi="ITC Avant Garde"/>
          <w:bCs/>
          <w:noProof/>
          <w:color w:val="000000"/>
          <w:lang w:val="es-ES" w:eastAsia="es-MX"/>
        </w:rPr>
        <w:t>a que se refiere el Título Cuarto de la Ley Federal de Telecomunicaciones y Radiodifusión</w:t>
      </w:r>
      <w:r w:rsidRPr="00F82EAB">
        <w:rPr>
          <w:rFonts w:ascii="ITC Avant Garde" w:hAnsi="ITC Avant Garde"/>
          <w:bCs/>
          <w:color w:val="000000"/>
          <w:lang w:eastAsia="es-MX"/>
        </w:rPr>
        <w:t>; y 1, 4 fracción V, inciso iii), 32 y 34 fracción I del Estatuto Orgánico del Instituto Federal de Telecomunicaciones y con base en los siguientes:</w:t>
      </w:r>
    </w:p>
    <w:p w14:paraId="233BF56C" w14:textId="77777777" w:rsidR="005179B5" w:rsidRPr="00315B9B" w:rsidRDefault="00697E95" w:rsidP="00315B9B">
      <w:pPr>
        <w:pStyle w:val="Ttulo2"/>
        <w:spacing w:afterLines="100" w:after="240" w:line="276" w:lineRule="auto"/>
        <w:ind w:firstLine="0"/>
        <w:jc w:val="center"/>
        <w:rPr>
          <w:rFonts w:ascii="ITC Avant Garde" w:hAnsi="ITC Avant Garde" w:cs="Arial"/>
          <w:bCs/>
          <w:sz w:val="22"/>
          <w:szCs w:val="22"/>
          <w:lang w:eastAsia="en-US"/>
        </w:rPr>
      </w:pPr>
      <w:r w:rsidRPr="00315B9B">
        <w:rPr>
          <w:rFonts w:ascii="ITC Avant Garde" w:hAnsi="ITC Avant Garde" w:cs="Arial"/>
          <w:bCs/>
          <w:sz w:val="22"/>
          <w:szCs w:val="22"/>
          <w:lang w:eastAsia="en-US"/>
        </w:rPr>
        <w:t>RESOLUTIVOS</w:t>
      </w:r>
    </w:p>
    <w:p w14:paraId="781803EC" w14:textId="77777777" w:rsidR="005179B5" w:rsidRDefault="00697E95" w:rsidP="005179B5">
      <w:pPr>
        <w:spacing w:afterLines="120" w:after="288"/>
        <w:jc w:val="both"/>
        <w:rPr>
          <w:rFonts w:ascii="ITC Avant Garde" w:hAnsi="ITC Avant Garde"/>
          <w:bCs/>
        </w:rPr>
      </w:pPr>
      <w:r w:rsidRPr="00F82EAB">
        <w:rPr>
          <w:rFonts w:ascii="ITC Avant Garde" w:eastAsia="Times New Roman" w:hAnsi="ITC Avant Garde"/>
          <w:b/>
          <w:bCs/>
          <w:kern w:val="1"/>
          <w:lang w:eastAsia="ar-SA"/>
        </w:rPr>
        <w:t xml:space="preserve">PRIMERO. </w:t>
      </w:r>
      <w:r w:rsidR="00FA191D" w:rsidRPr="00F82EAB">
        <w:rPr>
          <w:rFonts w:ascii="ITC Avant Garde" w:hAnsi="ITC Avant Garde"/>
          <w:bCs/>
        </w:rPr>
        <w:t xml:space="preserve">Se </w:t>
      </w:r>
      <w:r w:rsidR="00AC406D" w:rsidRPr="00F82EAB">
        <w:rPr>
          <w:rFonts w:ascii="ITC Avant Garde" w:hAnsi="ITC Avant Garde"/>
          <w:bCs/>
        </w:rPr>
        <w:t>tiene por acreditado</w:t>
      </w:r>
      <w:r w:rsidR="00FA191D" w:rsidRPr="00F82EAB">
        <w:rPr>
          <w:rFonts w:ascii="ITC Avant Garde" w:hAnsi="ITC Avant Garde"/>
          <w:bCs/>
        </w:rPr>
        <w:t xml:space="preserve"> a</w:t>
      </w:r>
      <w:r w:rsidR="00821A11" w:rsidRPr="00F82EAB">
        <w:rPr>
          <w:rFonts w:ascii="ITC Avant Garde" w:hAnsi="ITC Avant Garde"/>
          <w:bCs/>
        </w:rPr>
        <w:t xml:space="preserve"> </w:t>
      </w:r>
      <w:r w:rsidR="00FA191D" w:rsidRPr="00F82EAB">
        <w:rPr>
          <w:rFonts w:ascii="ITC Avant Garde" w:hAnsi="ITC Avant Garde"/>
          <w:bCs/>
        </w:rPr>
        <w:t>l</w:t>
      </w:r>
      <w:r w:rsidR="00821A11" w:rsidRPr="00F82EAB">
        <w:rPr>
          <w:rFonts w:ascii="ITC Avant Garde" w:hAnsi="ITC Avant Garde"/>
          <w:bCs/>
        </w:rPr>
        <w:t>a</w:t>
      </w:r>
      <w:r w:rsidR="00FA191D" w:rsidRPr="00F82EAB">
        <w:rPr>
          <w:rFonts w:ascii="ITC Avant Garde" w:hAnsi="ITC Avant Garde"/>
          <w:bCs/>
        </w:rPr>
        <w:t xml:space="preserve"> </w:t>
      </w:r>
      <w:r w:rsidR="00821A11" w:rsidRPr="00F82EAB">
        <w:rPr>
          <w:rFonts w:ascii="ITC Avant Garde" w:hAnsi="ITC Avant Garde"/>
          <w:b/>
          <w:bCs/>
        </w:rPr>
        <w:t>Universidad de Guadalajara</w:t>
      </w:r>
      <w:r w:rsidR="00FA191D" w:rsidRPr="00F82EAB">
        <w:rPr>
          <w:rFonts w:ascii="ITC Avant Garde" w:hAnsi="ITC Avant Garde"/>
          <w:bCs/>
        </w:rPr>
        <w:t xml:space="preserve">, titular de las </w:t>
      </w:r>
      <w:r w:rsidR="00821A11" w:rsidRPr="00F82EAB">
        <w:rPr>
          <w:rFonts w:ascii="ITC Avant Garde" w:hAnsi="ITC Avant Garde"/>
          <w:b/>
          <w:bCs/>
        </w:rPr>
        <w:t>8</w:t>
      </w:r>
      <w:r w:rsidR="00FA191D" w:rsidRPr="00F82EAB">
        <w:rPr>
          <w:rFonts w:ascii="ITC Avant Garde" w:hAnsi="ITC Avant Garde"/>
          <w:b/>
          <w:bCs/>
        </w:rPr>
        <w:t xml:space="preserve"> (</w:t>
      </w:r>
      <w:r w:rsidR="00821A11" w:rsidRPr="00F82EAB">
        <w:rPr>
          <w:rFonts w:ascii="ITC Avant Garde" w:hAnsi="ITC Avant Garde"/>
          <w:b/>
          <w:bCs/>
        </w:rPr>
        <w:t>ocho</w:t>
      </w:r>
      <w:r w:rsidR="00FA191D" w:rsidRPr="00F82EAB">
        <w:rPr>
          <w:rFonts w:ascii="ITC Avant Garde" w:hAnsi="ITC Avant Garde"/>
          <w:b/>
          <w:bCs/>
        </w:rPr>
        <w:t>) concesiones</w:t>
      </w:r>
      <w:r w:rsidR="00FA191D" w:rsidRPr="00F82EAB">
        <w:rPr>
          <w:rFonts w:ascii="ITC Avant Garde" w:hAnsi="ITC Avant Garde"/>
          <w:bCs/>
        </w:rPr>
        <w:t xml:space="preserve"> para usar y aprovechar bandas de frecuencias del espectro radioeléctrico para uso público para la prestación del servicio de público de </w:t>
      </w:r>
      <w:r w:rsidR="00821A11" w:rsidRPr="00F82EAB">
        <w:rPr>
          <w:rFonts w:ascii="ITC Avant Garde" w:hAnsi="ITC Avant Garde"/>
          <w:bCs/>
        </w:rPr>
        <w:t>radiodifusión en frecuencia modulada</w:t>
      </w:r>
      <w:r w:rsidR="00FA191D" w:rsidRPr="00F82EAB">
        <w:rPr>
          <w:rFonts w:ascii="ITC Avant Garde" w:hAnsi="ITC Avant Garde"/>
          <w:bCs/>
        </w:rPr>
        <w:t xml:space="preserve">, en las localidades que se mencionan en </w:t>
      </w:r>
      <w:r w:rsidR="00821A11" w:rsidRPr="00F82EAB">
        <w:rPr>
          <w:rFonts w:ascii="ITC Avant Garde" w:hAnsi="ITC Avant Garde"/>
          <w:bCs/>
        </w:rPr>
        <w:t>los</w:t>
      </w:r>
      <w:r w:rsidR="00FA191D" w:rsidRPr="00F82EAB">
        <w:rPr>
          <w:rFonts w:ascii="ITC Avant Garde" w:hAnsi="ITC Avant Garde"/>
          <w:bCs/>
        </w:rPr>
        <w:t xml:space="preserve"> Antecedente</w:t>
      </w:r>
      <w:r w:rsidR="00821A11" w:rsidRPr="00F82EAB">
        <w:rPr>
          <w:rFonts w:ascii="ITC Avant Garde" w:hAnsi="ITC Avant Garde"/>
          <w:bCs/>
        </w:rPr>
        <w:t>s</w:t>
      </w:r>
      <w:r w:rsidR="00FA191D" w:rsidRPr="00F82EAB">
        <w:rPr>
          <w:rFonts w:ascii="ITC Avant Garde" w:hAnsi="ITC Avant Garde"/>
          <w:bCs/>
        </w:rPr>
        <w:t xml:space="preserve"> </w:t>
      </w:r>
      <w:r w:rsidR="00821A11" w:rsidRPr="00F82EAB">
        <w:rPr>
          <w:rFonts w:ascii="ITC Avant Garde" w:hAnsi="ITC Avant Garde"/>
          <w:bCs/>
        </w:rPr>
        <w:t>V y VI</w:t>
      </w:r>
      <w:r w:rsidR="00FA191D" w:rsidRPr="00F82EAB">
        <w:rPr>
          <w:rFonts w:ascii="ITC Avant Garde" w:hAnsi="ITC Avant Garde"/>
          <w:bCs/>
        </w:rPr>
        <w:t xml:space="preserve"> de la presente Resolución, el cumplimiento a lo señalado por la Condición 12 de sus Títulos de Concesión, en relación con los mecanismos para garantizar los principios a que se refiere el segundo párrafo del artículo 86 de la Ley Federal de Telecomunicaciones y Radiodifusión, 8, fracción IV y </w:t>
      </w:r>
      <w:r w:rsidR="00FA191D" w:rsidRPr="00F82EAB">
        <w:rPr>
          <w:rFonts w:ascii="ITC Avant Garde" w:hAnsi="ITC Avant Garde" w:cs="Calibri"/>
        </w:rPr>
        <w:t>Segundo Transitorio, fracción VIII</w:t>
      </w:r>
      <w:r w:rsidR="00FA191D" w:rsidRPr="00F82EAB">
        <w:rPr>
          <w:rFonts w:ascii="ITC Avant Garde" w:hAnsi="ITC Avant Garde"/>
          <w:bCs/>
        </w:rPr>
        <w:t xml:space="preserve"> de los Lineamientos Generales para el Otorgamiento de las Concesiones, que aseguran: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en los términos indicados por la presente Resolución. </w:t>
      </w:r>
    </w:p>
    <w:p w14:paraId="6B6E2F43" w14:textId="77777777" w:rsidR="005179B5" w:rsidRDefault="00AC406D" w:rsidP="005179B5">
      <w:pPr>
        <w:spacing w:afterLines="120" w:after="288"/>
        <w:jc w:val="both"/>
        <w:rPr>
          <w:rFonts w:ascii="ITC Avant Garde" w:hAnsi="ITC Avant Garde"/>
          <w:bCs/>
        </w:rPr>
      </w:pPr>
      <w:r w:rsidRPr="00F82EAB">
        <w:rPr>
          <w:rFonts w:ascii="ITC Avant Garde" w:hAnsi="ITC Avant Garde"/>
          <w:bCs/>
        </w:rPr>
        <w:t xml:space="preserve">Asimismo, se hace de su conocimiento que toda modificación que </w:t>
      </w:r>
      <w:r w:rsidR="00821A11" w:rsidRPr="00F82EAB">
        <w:rPr>
          <w:rFonts w:ascii="ITC Avant Garde" w:hAnsi="ITC Avant Garde"/>
          <w:bCs/>
        </w:rPr>
        <w:t xml:space="preserve">la </w:t>
      </w:r>
      <w:r w:rsidR="00821A11" w:rsidRPr="00F82EAB">
        <w:rPr>
          <w:rFonts w:ascii="ITC Avant Garde" w:hAnsi="ITC Avant Garde"/>
          <w:b/>
          <w:bCs/>
        </w:rPr>
        <w:t>Universidad de Guadalajara</w:t>
      </w:r>
      <w:r w:rsidRPr="00F82EAB">
        <w:rPr>
          <w:rFonts w:ascii="ITC Avant Garde" w:hAnsi="ITC Avant Garde"/>
          <w:bCs/>
        </w:rPr>
        <w:t xml:space="preserve"> realice a los mecanismos acreditados, deberá ser autorizada por el Instituto Federal de Telecomunicaciones previ</w:t>
      </w:r>
      <w:r w:rsidR="005845BD">
        <w:rPr>
          <w:rFonts w:ascii="ITC Avant Garde" w:hAnsi="ITC Avant Garde"/>
          <w:bCs/>
        </w:rPr>
        <w:t>amente</w:t>
      </w:r>
      <w:r w:rsidRPr="00F82EAB">
        <w:rPr>
          <w:rFonts w:ascii="ITC Avant Garde" w:hAnsi="ITC Avant Garde"/>
          <w:bCs/>
        </w:rPr>
        <w:t xml:space="preserve"> a su implementación.</w:t>
      </w:r>
    </w:p>
    <w:p w14:paraId="1C0ACA88" w14:textId="77777777" w:rsidR="005179B5" w:rsidRDefault="007D72E9" w:rsidP="005179B5">
      <w:pPr>
        <w:spacing w:afterLines="120" w:after="288"/>
        <w:jc w:val="both"/>
        <w:rPr>
          <w:rFonts w:ascii="ITC Avant Garde" w:hAnsi="ITC Avant Garde"/>
          <w:bCs/>
        </w:rPr>
      </w:pPr>
      <w:r w:rsidRPr="00F82EAB">
        <w:rPr>
          <w:rFonts w:ascii="ITC Avant Garde" w:hAnsi="ITC Avant Garde"/>
          <w:b/>
          <w:bCs/>
        </w:rPr>
        <w:t>SEGUNDO.</w:t>
      </w:r>
      <w:r w:rsidRPr="00F82EAB">
        <w:rPr>
          <w:rFonts w:ascii="ITC Avant Garde" w:hAnsi="ITC Avant Garde"/>
          <w:bCs/>
        </w:rPr>
        <w:t xml:space="preserve"> </w:t>
      </w:r>
      <w:r w:rsidR="00821A11" w:rsidRPr="00F82EAB">
        <w:rPr>
          <w:rFonts w:ascii="ITC Avant Garde" w:hAnsi="ITC Avant Garde"/>
          <w:bCs/>
        </w:rPr>
        <w:t xml:space="preserve">La </w:t>
      </w:r>
      <w:r w:rsidR="00821A11" w:rsidRPr="00F82EAB">
        <w:rPr>
          <w:rFonts w:ascii="ITC Avant Garde" w:hAnsi="ITC Avant Garde"/>
          <w:b/>
          <w:bCs/>
        </w:rPr>
        <w:t>Universidad de Guadalajara</w:t>
      </w:r>
      <w:r w:rsidR="00821A11" w:rsidRPr="00F82EAB" w:rsidDel="00821A11">
        <w:rPr>
          <w:rFonts w:ascii="ITC Avant Garde" w:hAnsi="ITC Avant Garde"/>
          <w:b/>
          <w:bCs/>
        </w:rPr>
        <w:t xml:space="preserve"> </w:t>
      </w:r>
      <w:r w:rsidRPr="00F82EAB">
        <w:rPr>
          <w:rFonts w:ascii="ITC Avant Garde" w:hAnsi="ITC Avant Garde"/>
          <w:bCs/>
        </w:rPr>
        <w:t>queda obligad</w:t>
      </w:r>
      <w:r w:rsidR="00821A11" w:rsidRPr="00F82EAB">
        <w:rPr>
          <w:rFonts w:ascii="ITC Avant Garde" w:hAnsi="ITC Avant Garde"/>
          <w:bCs/>
        </w:rPr>
        <w:t>a</w:t>
      </w:r>
      <w:r w:rsidRPr="00F82EAB">
        <w:rPr>
          <w:rFonts w:ascii="ITC Avant Garde" w:hAnsi="ITC Avant Garde"/>
          <w:bCs/>
        </w:rPr>
        <w:t xml:space="preserve"> a cumplir durante la vigencia de sus concesiones con lo establecido en los Lineamientos Generales para el </w:t>
      </w:r>
      <w:r w:rsidRPr="00F82EAB">
        <w:rPr>
          <w:rFonts w:ascii="ITC Avant Garde" w:hAnsi="ITC Avant Garde"/>
          <w:bCs/>
        </w:rPr>
        <w:lastRenderedPageBreak/>
        <w:t>Otorgamiento de las Concesiones, en relación con los principios señalados que garantizan el carácter de uso público en la prestación de servicios de radiodifusión.</w:t>
      </w:r>
    </w:p>
    <w:p w14:paraId="127A7A1E" w14:textId="77777777" w:rsidR="005179B5" w:rsidRDefault="00951F5C" w:rsidP="005179B5">
      <w:pPr>
        <w:suppressAutoHyphens/>
        <w:spacing w:afterLines="120" w:after="288"/>
        <w:jc w:val="both"/>
        <w:rPr>
          <w:rFonts w:ascii="ITC Avant Garde" w:eastAsia="Times New Roman" w:hAnsi="ITC Avant Garde"/>
          <w:bCs/>
          <w:kern w:val="1"/>
          <w:lang w:eastAsia="ar-SA"/>
        </w:rPr>
      </w:pPr>
      <w:r w:rsidRPr="00F82EAB">
        <w:rPr>
          <w:rFonts w:ascii="ITC Avant Garde" w:eastAsia="Times New Roman" w:hAnsi="ITC Avant Garde"/>
          <w:b/>
          <w:bCs/>
          <w:kern w:val="1"/>
          <w:lang w:eastAsia="ar-SA"/>
        </w:rPr>
        <w:t>TERCERO</w:t>
      </w:r>
      <w:r w:rsidR="00697E95" w:rsidRPr="00F82EAB">
        <w:rPr>
          <w:rFonts w:ascii="ITC Avant Garde" w:eastAsia="Times New Roman" w:hAnsi="ITC Avant Garde"/>
          <w:b/>
          <w:bCs/>
          <w:kern w:val="1"/>
          <w:lang w:eastAsia="ar-SA"/>
        </w:rPr>
        <w:t xml:space="preserve">. </w:t>
      </w:r>
      <w:r w:rsidR="002B593F" w:rsidRPr="00F82EAB">
        <w:rPr>
          <w:rFonts w:ascii="ITC Avant Garde" w:eastAsia="Times New Roman" w:hAnsi="ITC Avant Garde"/>
          <w:bCs/>
          <w:kern w:val="1"/>
          <w:lang w:eastAsia="ar-SA"/>
        </w:rPr>
        <w:t xml:space="preserve">Se instruye a la Unidad de Concesiones y Servicios a notificar personalmente </w:t>
      </w:r>
      <w:r w:rsidR="00821A11" w:rsidRPr="00F82EAB">
        <w:rPr>
          <w:rFonts w:ascii="ITC Avant Garde" w:eastAsia="Times New Roman" w:hAnsi="ITC Avant Garde"/>
          <w:bCs/>
          <w:kern w:val="1"/>
          <w:lang w:eastAsia="ar-SA"/>
        </w:rPr>
        <w:t>a</w:t>
      </w:r>
      <w:r w:rsidR="002B593F" w:rsidRPr="00F82EAB">
        <w:rPr>
          <w:rFonts w:ascii="ITC Avant Garde" w:eastAsia="Times New Roman" w:hAnsi="ITC Avant Garde"/>
          <w:bCs/>
          <w:kern w:val="1"/>
          <w:lang w:eastAsia="ar-SA"/>
        </w:rPr>
        <w:t xml:space="preserve"> </w:t>
      </w:r>
      <w:r w:rsidR="00821A11" w:rsidRPr="00F82EAB">
        <w:rPr>
          <w:rFonts w:ascii="ITC Avant Garde" w:hAnsi="ITC Avant Garde"/>
          <w:bCs/>
        </w:rPr>
        <w:t xml:space="preserve">la </w:t>
      </w:r>
      <w:r w:rsidR="00821A11" w:rsidRPr="00F82EAB">
        <w:rPr>
          <w:rFonts w:ascii="ITC Avant Garde" w:hAnsi="ITC Avant Garde"/>
          <w:b/>
          <w:bCs/>
        </w:rPr>
        <w:t>Universidad de Guadalajara</w:t>
      </w:r>
      <w:r w:rsidR="00C41CC5" w:rsidRPr="00F82EAB" w:rsidDel="00C41CC5">
        <w:rPr>
          <w:rFonts w:ascii="ITC Avant Garde" w:hAnsi="ITC Avant Garde"/>
          <w:b/>
          <w:color w:val="000000"/>
        </w:rPr>
        <w:t xml:space="preserve"> </w:t>
      </w:r>
      <w:r w:rsidR="002B593F" w:rsidRPr="00F82EAB">
        <w:rPr>
          <w:rFonts w:ascii="ITC Avant Garde" w:eastAsia="Times New Roman" w:hAnsi="ITC Avant Garde"/>
          <w:bCs/>
          <w:kern w:val="1"/>
          <w:lang w:eastAsia="ar-SA"/>
        </w:rPr>
        <w:t>la presente Resolución</w:t>
      </w:r>
      <w:r w:rsidR="003B6491" w:rsidRPr="00F82EAB">
        <w:rPr>
          <w:rFonts w:ascii="ITC Avant Garde" w:eastAsia="Times New Roman" w:hAnsi="ITC Avant Garde"/>
          <w:bCs/>
          <w:kern w:val="1"/>
          <w:lang w:eastAsia="ar-SA"/>
        </w:rPr>
        <w:t>.</w:t>
      </w:r>
    </w:p>
    <w:p w14:paraId="22B71A33" w14:textId="3C47B6AC" w:rsidR="001176D4" w:rsidRPr="001176D4" w:rsidRDefault="001176D4" w:rsidP="00315B9B">
      <w:pPr>
        <w:pStyle w:val="Prrafodelista"/>
        <w:spacing w:afterLines="120" w:after="288"/>
        <w:ind w:left="0"/>
        <w:jc w:val="both"/>
        <w:rPr>
          <w:rFonts w:ascii="ITC Avant Garde" w:hAnsi="ITC Avant Garde"/>
          <w:sz w:val="14"/>
          <w:szCs w:val="14"/>
          <w:lang w:eastAsia="es-ES"/>
        </w:rPr>
      </w:pPr>
      <w:r w:rsidRPr="001176D4">
        <w:rPr>
          <w:rFonts w:ascii="ITC Avant Garde" w:hAnsi="ITC Avant Garde"/>
          <w:sz w:val="14"/>
          <w:szCs w:val="14"/>
          <w:lang w:val="es-ES_tradnl"/>
        </w:rPr>
        <w:t xml:space="preserve">La presente Resolución fue aprobada por el Pleno del Instituto Federal de Telecomunicaciones en su LIV Sesión Ordinaria celebrada el 19 de diciembre de 2017, </w:t>
      </w:r>
      <w:r w:rsidRPr="001176D4">
        <w:rPr>
          <w:rFonts w:ascii="ITC Avant Garde" w:hAnsi="ITC Avant Garde"/>
          <w:bCs/>
          <w:sz w:val="14"/>
          <w:szCs w:val="14"/>
          <w:lang w:val="es-ES_tradnl"/>
        </w:rPr>
        <w:t xml:space="preserve">por unanimidad </w:t>
      </w:r>
      <w:r w:rsidRPr="001176D4">
        <w:rPr>
          <w:rFonts w:ascii="ITC Avant Garde" w:hAnsi="ITC Avant Garde"/>
          <w:sz w:val="14"/>
          <w:szCs w:val="14"/>
          <w:lang w:val="es-ES_tradnl"/>
        </w:rPr>
        <w:t>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P/IFT/191217/935.</w:t>
      </w:r>
    </w:p>
    <w:sectPr w:rsidR="001176D4" w:rsidRPr="001176D4" w:rsidSect="001176D4">
      <w:headerReference w:type="even" r:id="rId8"/>
      <w:footerReference w:type="default" r:id="rId9"/>
      <w:headerReference w:type="firs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3D96A" w14:textId="77777777" w:rsidR="00ED6737" w:rsidRDefault="00ED6737">
      <w:pPr>
        <w:spacing w:after="0" w:line="240" w:lineRule="auto"/>
      </w:pPr>
      <w:r>
        <w:separator/>
      </w:r>
    </w:p>
  </w:endnote>
  <w:endnote w:type="continuationSeparator" w:id="0">
    <w:p w14:paraId="2CDDD217" w14:textId="77777777" w:rsidR="00ED6737" w:rsidRDefault="00ED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873938"/>
      <w:docPartObj>
        <w:docPartGallery w:val="Page Numbers (Bottom of Page)"/>
        <w:docPartUnique/>
      </w:docPartObj>
    </w:sdtPr>
    <w:sdtEndPr>
      <w:rPr>
        <w:rFonts w:ascii="ITC Avant Garde" w:hAnsi="ITC Avant Garde"/>
        <w:sz w:val="20"/>
        <w:szCs w:val="20"/>
      </w:rPr>
    </w:sdtEndPr>
    <w:sdtContent>
      <w:p w14:paraId="314A376B" w14:textId="0A501F57" w:rsidR="001176D4" w:rsidRPr="001176D4" w:rsidRDefault="001176D4">
        <w:pPr>
          <w:pStyle w:val="Piedepgina"/>
          <w:jc w:val="right"/>
          <w:rPr>
            <w:rFonts w:ascii="ITC Avant Garde" w:hAnsi="ITC Avant Garde"/>
            <w:sz w:val="20"/>
            <w:szCs w:val="20"/>
          </w:rPr>
        </w:pPr>
        <w:r w:rsidRPr="001176D4">
          <w:rPr>
            <w:rFonts w:ascii="ITC Avant Garde" w:hAnsi="ITC Avant Garde"/>
            <w:sz w:val="20"/>
            <w:szCs w:val="20"/>
          </w:rPr>
          <w:fldChar w:fldCharType="begin"/>
        </w:r>
        <w:r w:rsidRPr="001176D4">
          <w:rPr>
            <w:rFonts w:ascii="ITC Avant Garde" w:hAnsi="ITC Avant Garde"/>
            <w:sz w:val="20"/>
            <w:szCs w:val="20"/>
          </w:rPr>
          <w:instrText>PAGE   \* MERGEFORMAT</w:instrText>
        </w:r>
        <w:r w:rsidRPr="001176D4">
          <w:rPr>
            <w:rFonts w:ascii="ITC Avant Garde" w:hAnsi="ITC Avant Garde"/>
            <w:sz w:val="20"/>
            <w:szCs w:val="20"/>
          </w:rPr>
          <w:fldChar w:fldCharType="separate"/>
        </w:r>
        <w:r w:rsidR="00336D38" w:rsidRPr="00336D38">
          <w:rPr>
            <w:rFonts w:ascii="ITC Avant Garde" w:hAnsi="ITC Avant Garde"/>
            <w:noProof/>
            <w:sz w:val="20"/>
            <w:szCs w:val="20"/>
            <w:lang w:val="es-ES"/>
          </w:rPr>
          <w:t>10</w:t>
        </w:r>
        <w:r w:rsidRPr="001176D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60058" w14:textId="77777777" w:rsidR="00ED6737" w:rsidRDefault="00ED6737">
      <w:pPr>
        <w:spacing w:after="0" w:line="240" w:lineRule="auto"/>
      </w:pPr>
      <w:r>
        <w:separator/>
      </w:r>
    </w:p>
  </w:footnote>
  <w:footnote w:type="continuationSeparator" w:id="0">
    <w:p w14:paraId="2BA1BB99" w14:textId="77777777" w:rsidR="00ED6737" w:rsidRDefault="00ED6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558E" w14:textId="77777777" w:rsidR="00E72E07" w:rsidRDefault="00ED6737">
    <w:pPr>
      <w:pStyle w:val="Encabezado"/>
    </w:pPr>
    <w:r>
      <w:rPr>
        <w:noProof/>
        <w:lang w:eastAsia="es-MX"/>
      </w:rPr>
      <w:pict w14:anchorId="24B97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8211D" w14:textId="77777777" w:rsidR="00E72E07" w:rsidRDefault="00ED6737">
    <w:pPr>
      <w:pStyle w:val="Encabezado"/>
    </w:pPr>
    <w:r>
      <w:rPr>
        <w:noProof/>
        <w:lang w:eastAsia="es-MX"/>
      </w:rPr>
      <w:pict w14:anchorId="7B130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0F5BAB"/>
    <w:multiLevelType w:val="hybridMultilevel"/>
    <w:tmpl w:val="70FABF3C"/>
    <w:lvl w:ilvl="0" w:tplc="6596C0C8">
      <w:start w:val="5"/>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 w15:restartNumberingAfterBreak="0">
    <w:nsid w:val="01F95C98"/>
    <w:multiLevelType w:val="hybridMultilevel"/>
    <w:tmpl w:val="62C6C230"/>
    <w:lvl w:ilvl="0" w:tplc="080A0013">
      <w:start w:val="1"/>
      <w:numFmt w:val="upperRoman"/>
      <w:lvlText w:val="%1."/>
      <w:lvlJc w:val="righ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3" w15:restartNumberingAfterBreak="0">
    <w:nsid w:val="03F27B18"/>
    <w:multiLevelType w:val="hybridMultilevel"/>
    <w:tmpl w:val="245649F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8955D2F"/>
    <w:multiLevelType w:val="hybridMultilevel"/>
    <w:tmpl w:val="2DF8C9A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898699F"/>
    <w:multiLevelType w:val="hybridMultilevel"/>
    <w:tmpl w:val="9AB2096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8D57C01"/>
    <w:multiLevelType w:val="hybridMultilevel"/>
    <w:tmpl w:val="20D605B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9855ED9"/>
    <w:multiLevelType w:val="hybridMultilevel"/>
    <w:tmpl w:val="BEE011AA"/>
    <w:lvl w:ilvl="0" w:tplc="A426C658">
      <w:start w:val="1"/>
      <w:numFmt w:val="lowerLetter"/>
      <w:lvlText w:val="%1)"/>
      <w:lvlJc w:val="left"/>
      <w:pPr>
        <w:ind w:left="720" w:hanging="360"/>
      </w:pPr>
      <w:rPr>
        <w:rFonts w:hint="default"/>
        <w:b/>
      </w:rPr>
    </w:lvl>
    <w:lvl w:ilvl="1" w:tplc="584A9A66">
      <w:start w:val="1"/>
      <w:numFmt w:val="lowerLetter"/>
      <w:lvlText w:val="%2."/>
      <w:lvlJc w:val="left"/>
      <w:pPr>
        <w:ind w:left="928" w:hanging="360"/>
      </w:pPr>
      <w:rPr>
        <w:b/>
        <w:i w:val="0"/>
        <w:sz w:val="22"/>
        <w:szCs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493131"/>
    <w:multiLevelType w:val="hybridMultilevel"/>
    <w:tmpl w:val="14B267D0"/>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9" w15:restartNumberingAfterBreak="0">
    <w:nsid w:val="0E14510A"/>
    <w:multiLevelType w:val="hybridMultilevel"/>
    <w:tmpl w:val="812C01B4"/>
    <w:lvl w:ilvl="0" w:tplc="080A0013">
      <w:start w:val="1"/>
      <w:numFmt w:val="upperRoman"/>
      <w:lvlText w:val="%1."/>
      <w:lvlJc w:val="righ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0" w15:restartNumberingAfterBreak="0">
    <w:nsid w:val="0F167378"/>
    <w:multiLevelType w:val="hybridMultilevel"/>
    <w:tmpl w:val="5A560C1C"/>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1" w15:restartNumberingAfterBreak="0">
    <w:nsid w:val="101D6C92"/>
    <w:multiLevelType w:val="hybridMultilevel"/>
    <w:tmpl w:val="5A560C1C"/>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2" w15:restartNumberingAfterBreak="0">
    <w:nsid w:val="13C92AD9"/>
    <w:multiLevelType w:val="hybridMultilevel"/>
    <w:tmpl w:val="434C1142"/>
    <w:lvl w:ilvl="0" w:tplc="5FF47B2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1693372A"/>
    <w:multiLevelType w:val="hybridMultilevel"/>
    <w:tmpl w:val="289E9B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16C40675"/>
    <w:multiLevelType w:val="hybridMultilevel"/>
    <w:tmpl w:val="09B0E4B0"/>
    <w:lvl w:ilvl="0" w:tplc="A45CE75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7541CB6"/>
    <w:multiLevelType w:val="hybridMultilevel"/>
    <w:tmpl w:val="F258BA9E"/>
    <w:lvl w:ilvl="0" w:tplc="F580B11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6" w15:restartNumberingAfterBreak="0">
    <w:nsid w:val="18D56A73"/>
    <w:multiLevelType w:val="hybridMultilevel"/>
    <w:tmpl w:val="108E5836"/>
    <w:lvl w:ilvl="0" w:tplc="759C77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123D8E"/>
    <w:multiLevelType w:val="hybridMultilevel"/>
    <w:tmpl w:val="5F42E14C"/>
    <w:lvl w:ilvl="0" w:tplc="080A0001">
      <w:start w:val="1"/>
      <w:numFmt w:val="bullet"/>
      <w:lvlText w:val=""/>
      <w:lvlJc w:val="left"/>
      <w:pPr>
        <w:ind w:left="1230" w:hanging="360"/>
      </w:pPr>
      <w:rPr>
        <w:rFonts w:ascii="Symbol" w:hAnsi="Symbol" w:hint="default"/>
      </w:rPr>
    </w:lvl>
    <w:lvl w:ilvl="1" w:tplc="080A0003" w:tentative="1">
      <w:start w:val="1"/>
      <w:numFmt w:val="bullet"/>
      <w:lvlText w:val="o"/>
      <w:lvlJc w:val="left"/>
      <w:pPr>
        <w:ind w:left="1950" w:hanging="360"/>
      </w:pPr>
      <w:rPr>
        <w:rFonts w:ascii="Courier New" w:hAnsi="Courier New" w:cs="Courier New" w:hint="default"/>
      </w:rPr>
    </w:lvl>
    <w:lvl w:ilvl="2" w:tplc="080A0005" w:tentative="1">
      <w:start w:val="1"/>
      <w:numFmt w:val="bullet"/>
      <w:lvlText w:val=""/>
      <w:lvlJc w:val="left"/>
      <w:pPr>
        <w:ind w:left="2670" w:hanging="360"/>
      </w:pPr>
      <w:rPr>
        <w:rFonts w:ascii="Wingdings" w:hAnsi="Wingdings" w:hint="default"/>
      </w:rPr>
    </w:lvl>
    <w:lvl w:ilvl="3" w:tplc="080A0001" w:tentative="1">
      <w:start w:val="1"/>
      <w:numFmt w:val="bullet"/>
      <w:lvlText w:val=""/>
      <w:lvlJc w:val="left"/>
      <w:pPr>
        <w:ind w:left="3390" w:hanging="360"/>
      </w:pPr>
      <w:rPr>
        <w:rFonts w:ascii="Symbol" w:hAnsi="Symbol" w:hint="default"/>
      </w:rPr>
    </w:lvl>
    <w:lvl w:ilvl="4" w:tplc="080A0003" w:tentative="1">
      <w:start w:val="1"/>
      <w:numFmt w:val="bullet"/>
      <w:lvlText w:val="o"/>
      <w:lvlJc w:val="left"/>
      <w:pPr>
        <w:ind w:left="4110" w:hanging="360"/>
      </w:pPr>
      <w:rPr>
        <w:rFonts w:ascii="Courier New" w:hAnsi="Courier New" w:cs="Courier New" w:hint="default"/>
      </w:rPr>
    </w:lvl>
    <w:lvl w:ilvl="5" w:tplc="080A0005" w:tentative="1">
      <w:start w:val="1"/>
      <w:numFmt w:val="bullet"/>
      <w:lvlText w:val=""/>
      <w:lvlJc w:val="left"/>
      <w:pPr>
        <w:ind w:left="4830" w:hanging="360"/>
      </w:pPr>
      <w:rPr>
        <w:rFonts w:ascii="Wingdings" w:hAnsi="Wingdings" w:hint="default"/>
      </w:rPr>
    </w:lvl>
    <w:lvl w:ilvl="6" w:tplc="080A0001" w:tentative="1">
      <w:start w:val="1"/>
      <w:numFmt w:val="bullet"/>
      <w:lvlText w:val=""/>
      <w:lvlJc w:val="left"/>
      <w:pPr>
        <w:ind w:left="5550" w:hanging="360"/>
      </w:pPr>
      <w:rPr>
        <w:rFonts w:ascii="Symbol" w:hAnsi="Symbol" w:hint="default"/>
      </w:rPr>
    </w:lvl>
    <w:lvl w:ilvl="7" w:tplc="080A0003" w:tentative="1">
      <w:start w:val="1"/>
      <w:numFmt w:val="bullet"/>
      <w:lvlText w:val="o"/>
      <w:lvlJc w:val="left"/>
      <w:pPr>
        <w:ind w:left="6270" w:hanging="360"/>
      </w:pPr>
      <w:rPr>
        <w:rFonts w:ascii="Courier New" w:hAnsi="Courier New" w:cs="Courier New" w:hint="default"/>
      </w:rPr>
    </w:lvl>
    <w:lvl w:ilvl="8" w:tplc="080A0005" w:tentative="1">
      <w:start w:val="1"/>
      <w:numFmt w:val="bullet"/>
      <w:lvlText w:val=""/>
      <w:lvlJc w:val="left"/>
      <w:pPr>
        <w:ind w:left="6990" w:hanging="360"/>
      </w:pPr>
      <w:rPr>
        <w:rFonts w:ascii="Wingdings" w:hAnsi="Wingdings" w:hint="default"/>
      </w:rPr>
    </w:lvl>
  </w:abstractNum>
  <w:abstractNum w:abstractNumId="18" w15:restartNumberingAfterBreak="0">
    <w:nsid w:val="20A16DA3"/>
    <w:multiLevelType w:val="hybridMultilevel"/>
    <w:tmpl w:val="97703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2321460"/>
    <w:multiLevelType w:val="hybridMultilevel"/>
    <w:tmpl w:val="9446BD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A50EA7"/>
    <w:multiLevelType w:val="hybridMultilevel"/>
    <w:tmpl w:val="52F260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A86190D"/>
    <w:multiLevelType w:val="hybridMultilevel"/>
    <w:tmpl w:val="806ACBFC"/>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2" w15:restartNumberingAfterBreak="0">
    <w:nsid w:val="2B186123"/>
    <w:multiLevelType w:val="hybridMultilevel"/>
    <w:tmpl w:val="E10AB646"/>
    <w:lvl w:ilvl="0" w:tplc="17E05762">
      <w:start w:val="5"/>
      <w:numFmt w:val="upperLetter"/>
      <w:lvlText w:val="%1."/>
      <w:lvlJc w:val="left"/>
      <w:pPr>
        <w:ind w:left="1800" w:hanging="360"/>
      </w:pPr>
      <w:rPr>
        <w:rFonts w:eastAsia="Calibri"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3" w15:restartNumberingAfterBreak="0">
    <w:nsid w:val="2B593496"/>
    <w:multiLevelType w:val="hybridMultilevel"/>
    <w:tmpl w:val="3E0E1A5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2E860A10"/>
    <w:multiLevelType w:val="hybridMultilevel"/>
    <w:tmpl w:val="6FF0AAEC"/>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E9A050F"/>
    <w:multiLevelType w:val="hybridMultilevel"/>
    <w:tmpl w:val="7A9079D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59D1224"/>
    <w:multiLevelType w:val="hybridMultilevel"/>
    <w:tmpl w:val="5C4EA5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7A73EED"/>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0618E4"/>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C1F2D2A"/>
    <w:multiLevelType w:val="hybridMultilevel"/>
    <w:tmpl w:val="B338F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EA57062"/>
    <w:multiLevelType w:val="hybridMultilevel"/>
    <w:tmpl w:val="7E88CEB2"/>
    <w:lvl w:ilvl="0" w:tplc="080A0013">
      <w:start w:val="1"/>
      <w:numFmt w:val="upperRoman"/>
      <w:lvlText w:val="%1."/>
      <w:lvlJc w:val="right"/>
      <w:pPr>
        <w:ind w:left="10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F9734FD"/>
    <w:multiLevelType w:val="hybridMultilevel"/>
    <w:tmpl w:val="747898E0"/>
    <w:lvl w:ilvl="0" w:tplc="080A0001">
      <w:start w:val="1"/>
      <w:numFmt w:val="bullet"/>
      <w:lvlText w:val=""/>
      <w:lvlJc w:val="left"/>
      <w:pPr>
        <w:ind w:left="1230" w:hanging="360"/>
      </w:pPr>
      <w:rPr>
        <w:rFonts w:ascii="Symbol" w:hAnsi="Symbol" w:hint="default"/>
      </w:rPr>
    </w:lvl>
    <w:lvl w:ilvl="1" w:tplc="080A0003" w:tentative="1">
      <w:start w:val="1"/>
      <w:numFmt w:val="bullet"/>
      <w:lvlText w:val="o"/>
      <w:lvlJc w:val="left"/>
      <w:pPr>
        <w:ind w:left="1950" w:hanging="360"/>
      </w:pPr>
      <w:rPr>
        <w:rFonts w:ascii="Courier New" w:hAnsi="Courier New" w:cs="Courier New" w:hint="default"/>
      </w:rPr>
    </w:lvl>
    <w:lvl w:ilvl="2" w:tplc="080A0005" w:tentative="1">
      <w:start w:val="1"/>
      <w:numFmt w:val="bullet"/>
      <w:lvlText w:val=""/>
      <w:lvlJc w:val="left"/>
      <w:pPr>
        <w:ind w:left="2670" w:hanging="360"/>
      </w:pPr>
      <w:rPr>
        <w:rFonts w:ascii="Wingdings" w:hAnsi="Wingdings" w:hint="default"/>
      </w:rPr>
    </w:lvl>
    <w:lvl w:ilvl="3" w:tplc="080A0001" w:tentative="1">
      <w:start w:val="1"/>
      <w:numFmt w:val="bullet"/>
      <w:lvlText w:val=""/>
      <w:lvlJc w:val="left"/>
      <w:pPr>
        <w:ind w:left="3390" w:hanging="360"/>
      </w:pPr>
      <w:rPr>
        <w:rFonts w:ascii="Symbol" w:hAnsi="Symbol" w:hint="default"/>
      </w:rPr>
    </w:lvl>
    <w:lvl w:ilvl="4" w:tplc="080A0003" w:tentative="1">
      <w:start w:val="1"/>
      <w:numFmt w:val="bullet"/>
      <w:lvlText w:val="o"/>
      <w:lvlJc w:val="left"/>
      <w:pPr>
        <w:ind w:left="4110" w:hanging="360"/>
      </w:pPr>
      <w:rPr>
        <w:rFonts w:ascii="Courier New" w:hAnsi="Courier New" w:cs="Courier New" w:hint="default"/>
      </w:rPr>
    </w:lvl>
    <w:lvl w:ilvl="5" w:tplc="080A0005" w:tentative="1">
      <w:start w:val="1"/>
      <w:numFmt w:val="bullet"/>
      <w:lvlText w:val=""/>
      <w:lvlJc w:val="left"/>
      <w:pPr>
        <w:ind w:left="4830" w:hanging="360"/>
      </w:pPr>
      <w:rPr>
        <w:rFonts w:ascii="Wingdings" w:hAnsi="Wingdings" w:hint="default"/>
      </w:rPr>
    </w:lvl>
    <w:lvl w:ilvl="6" w:tplc="080A0001" w:tentative="1">
      <w:start w:val="1"/>
      <w:numFmt w:val="bullet"/>
      <w:lvlText w:val=""/>
      <w:lvlJc w:val="left"/>
      <w:pPr>
        <w:ind w:left="5550" w:hanging="360"/>
      </w:pPr>
      <w:rPr>
        <w:rFonts w:ascii="Symbol" w:hAnsi="Symbol" w:hint="default"/>
      </w:rPr>
    </w:lvl>
    <w:lvl w:ilvl="7" w:tplc="080A0003" w:tentative="1">
      <w:start w:val="1"/>
      <w:numFmt w:val="bullet"/>
      <w:lvlText w:val="o"/>
      <w:lvlJc w:val="left"/>
      <w:pPr>
        <w:ind w:left="6270" w:hanging="360"/>
      </w:pPr>
      <w:rPr>
        <w:rFonts w:ascii="Courier New" w:hAnsi="Courier New" w:cs="Courier New" w:hint="default"/>
      </w:rPr>
    </w:lvl>
    <w:lvl w:ilvl="8" w:tplc="080A0005" w:tentative="1">
      <w:start w:val="1"/>
      <w:numFmt w:val="bullet"/>
      <w:lvlText w:val=""/>
      <w:lvlJc w:val="left"/>
      <w:pPr>
        <w:ind w:left="6990" w:hanging="360"/>
      </w:pPr>
      <w:rPr>
        <w:rFonts w:ascii="Wingdings" w:hAnsi="Wingdings" w:hint="default"/>
      </w:rPr>
    </w:lvl>
  </w:abstractNum>
  <w:abstractNum w:abstractNumId="32" w15:restartNumberingAfterBreak="0">
    <w:nsid w:val="4683610D"/>
    <w:multiLevelType w:val="hybridMultilevel"/>
    <w:tmpl w:val="C7E2B75A"/>
    <w:lvl w:ilvl="0" w:tplc="080A0001">
      <w:start w:val="1"/>
      <w:numFmt w:val="bullet"/>
      <w:lvlText w:val=""/>
      <w:lvlJc w:val="left"/>
      <w:pPr>
        <w:ind w:left="1230" w:hanging="360"/>
      </w:pPr>
      <w:rPr>
        <w:rFonts w:ascii="Symbol" w:hAnsi="Symbol" w:hint="default"/>
      </w:rPr>
    </w:lvl>
    <w:lvl w:ilvl="1" w:tplc="080A0003" w:tentative="1">
      <w:start w:val="1"/>
      <w:numFmt w:val="bullet"/>
      <w:lvlText w:val="o"/>
      <w:lvlJc w:val="left"/>
      <w:pPr>
        <w:ind w:left="1950" w:hanging="360"/>
      </w:pPr>
      <w:rPr>
        <w:rFonts w:ascii="Courier New" w:hAnsi="Courier New" w:cs="Courier New" w:hint="default"/>
      </w:rPr>
    </w:lvl>
    <w:lvl w:ilvl="2" w:tplc="080A0005" w:tentative="1">
      <w:start w:val="1"/>
      <w:numFmt w:val="bullet"/>
      <w:lvlText w:val=""/>
      <w:lvlJc w:val="left"/>
      <w:pPr>
        <w:ind w:left="2670" w:hanging="360"/>
      </w:pPr>
      <w:rPr>
        <w:rFonts w:ascii="Wingdings" w:hAnsi="Wingdings" w:hint="default"/>
      </w:rPr>
    </w:lvl>
    <w:lvl w:ilvl="3" w:tplc="080A0001" w:tentative="1">
      <w:start w:val="1"/>
      <w:numFmt w:val="bullet"/>
      <w:lvlText w:val=""/>
      <w:lvlJc w:val="left"/>
      <w:pPr>
        <w:ind w:left="3390" w:hanging="360"/>
      </w:pPr>
      <w:rPr>
        <w:rFonts w:ascii="Symbol" w:hAnsi="Symbol" w:hint="default"/>
      </w:rPr>
    </w:lvl>
    <w:lvl w:ilvl="4" w:tplc="080A0003" w:tentative="1">
      <w:start w:val="1"/>
      <w:numFmt w:val="bullet"/>
      <w:lvlText w:val="o"/>
      <w:lvlJc w:val="left"/>
      <w:pPr>
        <w:ind w:left="4110" w:hanging="360"/>
      </w:pPr>
      <w:rPr>
        <w:rFonts w:ascii="Courier New" w:hAnsi="Courier New" w:cs="Courier New" w:hint="default"/>
      </w:rPr>
    </w:lvl>
    <w:lvl w:ilvl="5" w:tplc="080A0005" w:tentative="1">
      <w:start w:val="1"/>
      <w:numFmt w:val="bullet"/>
      <w:lvlText w:val=""/>
      <w:lvlJc w:val="left"/>
      <w:pPr>
        <w:ind w:left="4830" w:hanging="360"/>
      </w:pPr>
      <w:rPr>
        <w:rFonts w:ascii="Wingdings" w:hAnsi="Wingdings" w:hint="default"/>
      </w:rPr>
    </w:lvl>
    <w:lvl w:ilvl="6" w:tplc="080A0001" w:tentative="1">
      <w:start w:val="1"/>
      <w:numFmt w:val="bullet"/>
      <w:lvlText w:val=""/>
      <w:lvlJc w:val="left"/>
      <w:pPr>
        <w:ind w:left="5550" w:hanging="360"/>
      </w:pPr>
      <w:rPr>
        <w:rFonts w:ascii="Symbol" w:hAnsi="Symbol" w:hint="default"/>
      </w:rPr>
    </w:lvl>
    <w:lvl w:ilvl="7" w:tplc="080A0003" w:tentative="1">
      <w:start w:val="1"/>
      <w:numFmt w:val="bullet"/>
      <w:lvlText w:val="o"/>
      <w:lvlJc w:val="left"/>
      <w:pPr>
        <w:ind w:left="6270" w:hanging="360"/>
      </w:pPr>
      <w:rPr>
        <w:rFonts w:ascii="Courier New" w:hAnsi="Courier New" w:cs="Courier New" w:hint="default"/>
      </w:rPr>
    </w:lvl>
    <w:lvl w:ilvl="8" w:tplc="080A0005" w:tentative="1">
      <w:start w:val="1"/>
      <w:numFmt w:val="bullet"/>
      <w:lvlText w:val=""/>
      <w:lvlJc w:val="left"/>
      <w:pPr>
        <w:ind w:left="6990" w:hanging="360"/>
      </w:pPr>
      <w:rPr>
        <w:rFonts w:ascii="Wingdings" w:hAnsi="Wingdings" w:hint="default"/>
      </w:rPr>
    </w:lvl>
  </w:abstractNum>
  <w:abstractNum w:abstractNumId="33" w15:restartNumberingAfterBreak="0">
    <w:nsid w:val="470847D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49C4328B"/>
    <w:multiLevelType w:val="hybridMultilevel"/>
    <w:tmpl w:val="34B68C2A"/>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A072AE3"/>
    <w:multiLevelType w:val="hybridMultilevel"/>
    <w:tmpl w:val="DEF4E5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F831F38"/>
    <w:multiLevelType w:val="hybridMultilevel"/>
    <w:tmpl w:val="DF7E8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144767D"/>
    <w:multiLevelType w:val="hybridMultilevel"/>
    <w:tmpl w:val="72CA1D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2BF2A4D"/>
    <w:multiLevelType w:val="hybridMultilevel"/>
    <w:tmpl w:val="812C01B4"/>
    <w:lvl w:ilvl="0" w:tplc="080A0013">
      <w:start w:val="1"/>
      <w:numFmt w:val="upperRoman"/>
      <w:lvlText w:val="%1."/>
      <w:lvlJc w:val="righ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9" w15:restartNumberingAfterBreak="0">
    <w:nsid w:val="54E763B0"/>
    <w:multiLevelType w:val="hybridMultilevel"/>
    <w:tmpl w:val="51E073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4C73D0"/>
    <w:multiLevelType w:val="hybridMultilevel"/>
    <w:tmpl w:val="A99AF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8AF0BC9"/>
    <w:multiLevelType w:val="hybridMultilevel"/>
    <w:tmpl w:val="BCF4510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5A4A1E04"/>
    <w:multiLevelType w:val="hybridMultilevel"/>
    <w:tmpl w:val="711CB1CC"/>
    <w:lvl w:ilvl="0" w:tplc="B170BD6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5BA9322D"/>
    <w:multiLevelType w:val="hybridMultilevel"/>
    <w:tmpl w:val="24F29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1A25C4"/>
    <w:multiLevelType w:val="hybridMultilevel"/>
    <w:tmpl w:val="711CB1CC"/>
    <w:lvl w:ilvl="0" w:tplc="B170BD6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5CF8591F"/>
    <w:multiLevelType w:val="hybridMultilevel"/>
    <w:tmpl w:val="300EE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43D4211"/>
    <w:multiLevelType w:val="hybridMultilevel"/>
    <w:tmpl w:val="C75E1D68"/>
    <w:lvl w:ilvl="0" w:tplc="3B56BDEA">
      <w:start w:val="1"/>
      <w:numFmt w:val="lowerLetter"/>
      <w:lvlText w:val="%1)"/>
      <w:lvlJc w:val="left"/>
      <w:pPr>
        <w:ind w:left="786" w:hanging="360"/>
      </w:pPr>
      <w:rPr>
        <w:rFonts w:hint="default"/>
        <w:b w:val="0"/>
      </w:rPr>
    </w:lvl>
    <w:lvl w:ilvl="1" w:tplc="A39E8B42">
      <w:start w:val="1"/>
      <w:numFmt w:val="lowerLetter"/>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7" w15:restartNumberingAfterBreak="0">
    <w:nsid w:val="64A54A86"/>
    <w:multiLevelType w:val="hybridMultilevel"/>
    <w:tmpl w:val="89E8F3E6"/>
    <w:lvl w:ilvl="0" w:tplc="817006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A080520"/>
    <w:multiLevelType w:val="hybridMultilevel"/>
    <w:tmpl w:val="EB804BAE"/>
    <w:lvl w:ilvl="0" w:tplc="A8649124">
      <w:start w:val="1"/>
      <w:numFmt w:val="upperRoman"/>
      <w:lvlText w:val="%1."/>
      <w:lvlJc w:val="left"/>
      <w:pPr>
        <w:ind w:left="2705" w:hanging="720"/>
      </w:pPr>
      <w:rPr>
        <w:rFonts w:hint="default"/>
        <w:b/>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49" w15:restartNumberingAfterBreak="0">
    <w:nsid w:val="79921FE2"/>
    <w:multiLevelType w:val="hybridMultilevel"/>
    <w:tmpl w:val="5A560C1C"/>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50"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DBF5864"/>
    <w:multiLevelType w:val="hybridMultilevel"/>
    <w:tmpl w:val="5A560C1C"/>
    <w:lvl w:ilvl="0" w:tplc="056AFE6A">
      <w:start w:val="1"/>
      <w:numFmt w:val="upperRoman"/>
      <w:lvlText w:val="%1."/>
      <w:lvlJc w:val="right"/>
      <w:pPr>
        <w:ind w:left="3054" w:hanging="360"/>
      </w:pPr>
      <w:rPr>
        <w:b w:val="0"/>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52" w15:restartNumberingAfterBreak="0">
    <w:nsid w:val="7F6D4522"/>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16"/>
  </w:num>
  <w:num w:numId="4">
    <w:abstractNumId w:val="50"/>
  </w:num>
  <w:num w:numId="5">
    <w:abstractNumId w:val="8"/>
  </w:num>
  <w:num w:numId="6">
    <w:abstractNumId w:val="30"/>
  </w:num>
  <w:num w:numId="7">
    <w:abstractNumId w:val="7"/>
  </w:num>
  <w:num w:numId="8">
    <w:abstractNumId w:val="15"/>
  </w:num>
  <w:num w:numId="9">
    <w:abstractNumId w:val="48"/>
  </w:num>
  <w:num w:numId="10">
    <w:abstractNumId w:val="22"/>
  </w:num>
  <w:num w:numId="11">
    <w:abstractNumId w:val="1"/>
  </w:num>
  <w:num w:numId="12">
    <w:abstractNumId w:val="20"/>
  </w:num>
  <w:num w:numId="13">
    <w:abstractNumId w:val="36"/>
  </w:num>
  <w:num w:numId="14">
    <w:abstractNumId w:val="41"/>
  </w:num>
  <w:num w:numId="15">
    <w:abstractNumId w:val="13"/>
  </w:num>
  <w:num w:numId="16">
    <w:abstractNumId w:val="5"/>
  </w:num>
  <w:num w:numId="17">
    <w:abstractNumId w:val="25"/>
  </w:num>
  <w:num w:numId="18">
    <w:abstractNumId w:val="12"/>
  </w:num>
  <w:num w:numId="19">
    <w:abstractNumId w:val="18"/>
  </w:num>
  <w:num w:numId="20">
    <w:abstractNumId w:val="37"/>
  </w:num>
  <w:num w:numId="21">
    <w:abstractNumId w:val="46"/>
  </w:num>
  <w:num w:numId="22">
    <w:abstractNumId w:val="47"/>
  </w:num>
  <w:num w:numId="23">
    <w:abstractNumId w:val="38"/>
  </w:num>
  <w:num w:numId="24">
    <w:abstractNumId w:val="29"/>
  </w:num>
  <w:num w:numId="25">
    <w:abstractNumId w:val="9"/>
  </w:num>
  <w:num w:numId="26">
    <w:abstractNumId w:val="39"/>
  </w:num>
  <w:num w:numId="27">
    <w:abstractNumId w:val="2"/>
  </w:num>
  <w:num w:numId="28">
    <w:abstractNumId w:val="3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52"/>
  </w:num>
  <w:num w:numId="32">
    <w:abstractNumId w:val="27"/>
  </w:num>
  <w:num w:numId="33">
    <w:abstractNumId w:val="42"/>
  </w:num>
  <w:num w:numId="34">
    <w:abstractNumId w:val="44"/>
  </w:num>
  <w:num w:numId="35">
    <w:abstractNumId w:val="21"/>
  </w:num>
  <w:num w:numId="36">
    <w:abstractNumId w:val="26"/>
  </w:num>
  <w:num w:numId="37">
    <w:abstractNumId w:val="49"/>
  </w:num>
  <w:num w:numId="38">
    <w:abstractNumId w:val="51"/>
  </w:num>
  <w:num w:numId="39">
    <w:abstractNumId w:val="11"/>
  </w:num>
  <w:num w:numId="40">
    <w:abstractNumId w:val="34"/>
  </w:num>
  <w:num w:numId="41">
    <w:abstractNumId w:val="40"/>
  </w:num>
  <w:num w:numId="42">
    <w:abstractNumId w:val="33"/>
  </w:num>
  <w:num w:numId="43">
    <w:abstractNumId w:val="10"/>
  </w:num>
  <w:num w:numId="44">
    <w:abstractNumId w:val="24"/>
  </w:num>
  <w:num w:numId="45">
    <w:abstractNumId w:val="4"/>
  </w:num>
  <w:num w:numId="46">
    <w:abstractNumId w:val="3"/>
  </w:num>
  <w:num w:numId="47">
    <w:abstractNumId w:val="43"/>
  </w:num>
  <w:num w:numId="48">
    <w:abstractNumId w:val="19"/>
  </w:num>
  <w:num w:numId="49">
    <w:abstractNumId w:val="6"/>
  </w:num>
  <w:num w:numId="50">
    <w:abstractNumId w:val="23"/>
  </w:num>
  <w:num w:numId="51">
    <w:abstractNumId w:val="45"/>
  </w:num>
  <w:num w:numId="52">
    <w:abstractNumId w:val="31"/>
  </w:num>
  <w:num w:numId="53">
    <w:abstractNumId w:val="32"/>
  </w:num>
  <w:num w:numId="54">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14"/>
    <w:rsid w:val="000012AC"/>
    <w:rsid w:val="00001DF6"/>
    <w:rsid w:val="00003708"/>
    <w:rsid w:val="0001006D"/>
    <w:rsid w:val="00011570"/>
    <w:rsid w:val="00011921"/>
    <w:rsid w:val="00011A7E"/>
    <w:rsid w:val="00017BC4"/>
    <w:rsid w:val="00020467"/>
    <w:rsid w:val="00031B2E"/>
    <w:rsid w:val="00032D31"/>
    <w:rsid w:val="0003312C"/>
    <w:rsid w:val="00033224"/>
    <w:rsid w:val="00035ACB"/>
    <w:rsid w:val="00037171"/>
    <w:rsid w:val="000412CB"/>
    <w:rsid w:val="000439CA"/>
    <w:rsid w:val="00043BAF"/>
    <w:rsid w:val="00044BA5"/>
    <w:rsid w:val="0004500F"/>
    <w:rsid w:val="000458C4"/>
    <w:rsid w:val="00046758"/>
    <w:rsid w:val="0004687E"/>
    <w:rsid w:val="000469AD"/>
    <w:rsid w:val="000515FE"/>
    <w:rsid w:val="0005198C"/>
    <w:rsid w:val="000522A4"/>
    <w:rsid w:val="00054F44"/>
    <w:rsid w:val="00055490"/>
    <w:rsid w:val="000563E6"/>
    <w:rsid w:val="000571C3"/>
    <w:rsid w:val="00057DC3"/>
    <w:rsid w:val="00061B7C"/>
    <w:rsid w:val="00062D27"/>
    <w:rsid w:val="00063495"/>
    <w:rsid w:val="00065ED8"/>
    <w:rsid w:val="00066447"/>
    <w:rsid w:val="00066EB2"/>
    <w:rsid w:val="000674D4"/>
    <w:rsid w:val="000679CC"/>
    <w:rsid w:val="0007090E"/>
    <w:rsid w:val="000721C7"/>
    <w:rsid w:val="00072734"/>
    <w:rsid w:val="00073298"/>
    <w:rsid w:val="0007373A"/>
    <w:rsid w:val="00074860"/>
    <w:rsid w:val="000764EA"/>
    <w:rsid w:val="00076A6F"/>
    <w:rsid w:val="00080A05"/>
    <w:rsid w:val="00081272"/>
    <w:rsid w:val="00081C85"/>
    <w:rsid w:val="0008270D"/>
    <w:rsid w:val="000846FA"/>
    <w:rsid w:val="00084960"/>
    <w:rsid w:val="000856B1"/>
    <w:rsid w:val="00085AD3"/>
    <w:rsid w:val="00087936"/>
    <w:rsid w:val="00087D40"/>
    <w:rsid w:val="000903A0"/>
    <w:rsid w:val="0009439F"/>
    <w:rsid w:val="00094584"/>
    <w:rsid w:val="00096AA6"/>
    <w:rsid w:val="00097892"/>
    <w:rsid w:val="00097959"/>
    <w:rsid w:val="000A1170"/>
    <w:rsid w:val="000A146F"/>
    <w:rsid w:val="000A4071"/>
    <w:rsid w:val="000A56B4"/>
    <w:rsid w:val="000A5C9F"/>
    <w:rsid w:val="000B1A56"/>
    <w:rsid w:val="000B1EC3"/>
    <w:rsid w:val="000B2009"/>
    <w:rsid w:val="000B2236"/>
    <w:rsid w:val="000B3BE4"/>
    <w:rsid w:val="000B5673"/>
    <w:rsid w:val="000B5D22"/>
    <w:rsid w:val="000B6498"/>
    <w:rsid w:val="000B7997"/>
    <w:rsid w:val="000C1955"/>
    <w:rsid w:val="000C3677"/>
    <w:rsid w:val="000C4326"/>
    <w:rsid w:val="000C4B95"/>
    <w:rsid w:val="000C50EA"/>
    <w:rsid w:val="000C5D0E"/>
    <w:rsid w:val="000C62D6"/>
    <w:rsid w:val="000D2E06"/>
    <w:rsid w:val="000D4985"/>
    <w:rsid w:val="000D56C7"/>
    <w:rsid w:val="000D6691"/>
    <w:rsid w:val="000D7EC8"/>
    <w:rsid w:val="000D7F0D"/>
    <w:rsid w:val="000E0672"/>
    <w:rsid w:val="000E2C5C"/>
    <w:rsid w:val="000E2CC0"/>
    <w:rsid w:val="000E3701"/>
    <w:rsid w:val="000E3874"/>
    <w:rsid w:val="000E3CAC"/>
    <w:rsid w:val="000E4732"/>
    <w:rsid w:val="000E4BE4"/>
    <w:rsid w:val="000E579A"/>
    <w:rsid w:val="000E75DA"/>
    <w:rsid w:val="000F0314"/>
    <w:rsid w:val="000F45D6"/>
    <w:rsid w:val="000F70D2"/>
    <w:rsid w:val="000F7B07"/>
    <w:rsid w:val="000F7E42"/>
    <w:rsid w:val="0010095B"/>
    <w:rsid w:val="00100DFF"/>
    <w:rsid w:val="001020C9"/>
    <w:rsid w:val="0010441F"/>
    <w:rsid w:val="00111BFD"/>
    <w:rsid w:val="001130C7"/>
    <w:rsid w:val="00113E3E"/>
    <w:rsid w:val="00115464"/>
    <w:rsid w:val="0011558B"/>
    <w:rsid w:val="001162F7"/>
    <w:rsid w:val="0011751E"/>
    <w:rsid w:val="001176D4"/>
    <w:rsid w:val="00117D34"/>
    <w:rsid w:val="00121733"/>
    <w:rsid w:val="00121E65"/>
    <w:rsid w:val="001220C6"/>
    <w:rsid w:val="00122E2D"/>
    <w:rsid w:val="001261CA"/>
    <w:rsid w:val="00126566"/>
    <w:rsid w:val="0013181E"/>
    <w:rsid w:val="00132BB8"/>
    <w:rsid w:val="00134924"/>
    <w:rsid w:val="00135ECA"/>
    <w:rsid w:val="00137DBE"/>
    <w:rsid w:val="00144E37"/>
    <w:rsid w:val="001471C9"/>
    <w:rsid w:val="00152C5C"/>
    <w:rsid w:val="0015300E"/>
    <w:rsid w:val="00153AB7"/>
    <w:rsid w:val="00154266"/>
    <w:rsid w:val="0015494E"/>
    <w:rsid w:val="0015512A"/>
    <w:rsid w:val="00160691"/>
    <w:rsid w:val="00161720"/>
    <w:rsid w:val="00162ACF"/>
    <w:rsid w:val="00163CF1"/>
    <w:rsid w:val="00164BBA"/>
    <w:rsid w:val="00164C5B"/>
    <w:rsid w:val="0016623D"/>
    <w:rsid w:val="00167FB5"/>
    <w:rsid w:val="00170604"/>
    <w:rsid w:val="0017060F"/>
    <w:rsid w:val="0017093D"/>
    <w:rsid w:val="00171BCE"/>
    <w:rsid w:val="00171C91"/>
    <w:rsid w:val="001728D6"/>
    <w:rsid w:val="001733E0"/>
    <w:rsid w:val="001741A0"/>
    <w:rsid w:val="00182DDA"/>
    <w:rsid w:val="00187BEF"/>
    <w:rsid w:val="00196DC0"/>
    <w:rsid w:val="00197901"/>
    <w:rsid w:val="001A0D75"/>
    <w:rsid w:val="001A3153"/>
    <w:rsid w:val="001A3821"/>
    <w:rsid w:val="001A3CD0"/>
    <w:rsid w:val="001A47B3"/>
    <w:rsid w:val="001A608F"/>
    <w:rsid w:val="001A7BFC"/>
    <w:rsid w:val="001A7DC9"/>
    <w:rsid w:val="001B0814"/>
    <w:rsid w:val="001B1476"/>
    <w:rsid w:val="001B3DD1"/>
    <w:rsid w:val="001B4059"/>
    <w:rsid w:val="001B5FA5"/>
    <w:rsid w:val="001C105A"/>
    <w:rsid w:val="001C1884"/>
    <w:rsid w:val="001C3E9F"/>
    <w:rsid w:val="001C5286"/>
    <w:rsid w:val="001C6B3B"/>
    <w:rsid w:val="001C7A3C"/>
    <w:rsid w:val="001D0CF2"/>
    <w:rsid w:val="001D1144"/>
    <w:rsid w:val="001D6139"/>
    <w:rsid w:val="001D64F0"/>
    <w:rsid w:val="001E1607"/>
    <w:rsid w:val="001E190E"/>
    <w:rsid w:val="001E434E"/>
    <w:rsid w:val="001E64B0"/>
    <w:rsid w:val="001F04A9"/>
    <w:rsid w:val="001F0649"/>
    <w:rsid w:val="001F0AF6"/>
    <w:rsid w:val="002029C7"/>
    <w:rsid w:val="002031E4"/>
    <w:rsid w:val="002047F4"/>
    <w:rsid w:val="00204D0E"/>
    <w:rsid w:val="00205B7B"/>
    <w:rsid w:val="00205DD4"/>
    <w:rsid w:val="00206B4B"/>
    <w:rsid w:val="00206E51"/>
    <w:rsid w:val="00212501"/>
    <w:rsid w:val="0021305C"/>
    <w:rsid w:val="00213370"/>
    <w:rsid w:val="00214783"/>
    <w:rsid w:val="002153C6"/>
    <w:rsid w:val="002160F9"/>
    <w:rsid w:val="00216A29"/>
    <w:rsid w:val="00217522"/>
    <w:rsid w:val="00220F0A"/>
    <w:rsid w:val="00221AD8"/>
    <w:rsid w:val="00222974"/>
    <w:rsid w:val="00222F99"/>
    <w:rsid w:val="00223279"/>
    <w:rsid w:val="00224959"/>
    <w:rsid w:val="00225A86"/>
    <w:rsid w:val="002260FC"/>
    <w:rsid w:val="0023120F"/>
    <w:rsid w:val="00233301"/>
    <w:rsid w:val="00233DE8"/>
    <w:rsid w:val="0023403F"/>
    <w:rsid w:val="002368C5"/>
    <w:rsid w:val="00236D71"/>
    <w:rsid w:val="00236E98"/>
    <w:rsid w:val="0024035A"/>
    <w:rsid w:val="002404D6"/>
    <w:rsid w:val="002406BA"/>
    <w:rsid w:val="00241CE1"/>
    <w:rsid w:val="0024301E"/>
    <w:rsid w:val="00244B11"/>
    <w:rsid w:val="00244C9C"/>
    <w:rsid w:val="00245677"/>
    <w:rsid w:val="0024677A"/>
    <w:rsid w:val="00246F36"/>
    <w:rsid w:val="00250E6B"/>
    <w:rsid w:val="00250ED4"/>
    <w:rsid w:val="00250F11"/>
    <w:rsid w:val="00251E37"/>
    <w:rsid w:val="0025208B"/>
    <w:rsid w:val="00254B8F"/>
    <w:rsid w:val="00254B97"/>
    <w:rsid w:val="0025511C"/>
    <w:rsid w:val="00255F6C"/>
    <w:rsid w:val="00256B03"/>
    <w:rsid w:val="00257E2C"/>
    <w:rsid w:val="002603D4"/>
    <w:rsid w:val="00261A1E"/>
    <w:rsid w:val="00262640"/>
    <w:rsid w:val="0026451D"/>
    <w:rsid w:val="002657BB"/>
    <w:rsid w:val="0026754D"/>
    <w:rsid w:val="002735CE"/>
    <w:rsid w:val="00276D74"/>
    <w:rsid w:val="00277564"/>
    <w:rsid w:val="00284049"/>
    <w:rsid w:val="00284546"/>
    <w:rsid w:val="00284CC8"/>
    <w:rsid w:val="00290640"/>
    <w:rsid w:val="00290849"/>
    <w:rsid w:val="00291518"/>
    <w:rsid w:val="00293DC0"/>
    <w:rsid w:val="0029466B"/>
    <w:rsid w:val="002961F0"/>
    <w:rsid w:val="002979AC"/>
    <w:rsid w:val="002A1B41"/>
    <w:rsid w:val="002A37F0"/>
    <w:rsid w:val="002A3D0D"/>
    <w:rsid w:val="002A3ED8"/>
    <w:rsid w:val="002A4545"/>
    <w:rsid w:val="002A549E"/>
    <w:rsid w:val="002A5EEF"/>
    <w:rsid w:val="002A6D3E"/>
    <w:rsid w:val="002B0ABF"/>
    <w:rsid w:val="002B1BBE"/>
    <w:rsid w:val="002B241A"/>
    <w:rsid w:val="002B2469"/>
    <w:rsid w:val="002B2A61"/>
    <w:rsid w:val="002B504F"/>
    <w:rsid w:val="002B5334"/>
    <w:rsid w:val="002B593F"/>
    <w:rsid w:val="002B59D0"/>
    <w:rsid w:val="002B62B9"/>
    <w:rsid w:val="002B768D"/>
    <w:rsid w:val="002C0927"/>
    <w:rsid w:val="002C3063"/>
    <w:rsid w:val="002C3D62"/>
    <w:rsid w:val="002C542F"/>
    <w:rsid w:val="002C631E"/>
    <w:rsid w:val="002C68CE"/>
    <w:rsid w:val="002C691A"/>
    <w:rsid w:val="002C71CD"/>
    <w:rsid w:val="002C75A6"/>
    <w:rsid w:val="002D1E60"/>
    <w:rsid w:val="002D407F"/>
    <w:rsid w:val="002D4523"/>
    <w:rsid w:val="002D4E90"/>
    <w:rsid w:val="002D5378"/>
    <w:rsid w:val="002D5501"/>
    <w:rsid w:val="002D5B24"/>
    <w:rsid w:val="002D6235"/>
    <w:rsid w:val="002D671D"/>
    <w:rsid w:val="002D7E87"/>
    <w:rsid w:val="002E0E24"/>
    <w:rsid w:val="002E3055"/>
    <w:rsid w:val="002E33C0"/>
    <w:rsid w:val="002E3CB0"/>
    <w:rsid w:val="002E71EC"/>
    <w:rsid w:val="002F0A7B"/>
    <w:rsid w:val="002F26EC"/>
    <w:rsid w:val="002F2C1F"/>
    <w:rsid w:val="002F3CD2"/>
    <w:rsid w:val="002F4B62"/>
    <w:rsid w:val="002F5152"/>
    <w:rsid w:val="003017F0"/>
    <w:rsid w:val="00302872"/>
    <w:rsid w:val="00302A01"/>
    <w:rsid w:val="00302D29"/>
    <w:rsid w:val="00305CB6"/>
    <w:rsid w:val="00310541"/>
    <w:rsid w:val="003113BF"/>
    <w:rsid w:val="00311B02"/>
    <w:rsid w:val="0031373C"/>
    <w:rsid w:val="00313A8A"/>
    <w:rsid w:val="00313D1E"/>
    <w:rsid w:val="00314562"/>
    <w:rsid w:val="00314940"/>
    <w:rsid w:val="00314B0A"/>
    <w:rsid w:val="003159FA"/>
    <w:rsid w:val="00315B9B"/>
    <w:rsid w:val="00320048"/>
    <w:rsid w:val="003218F2"/>
    <w:rsid w:val="00322E8F"/>
    <w:rsid w:val="00323BDD"/>
    <w:rsid w:val="00324BC4"/>
    <w:rsid w:val="003260F9"/>
    <w:rsid w:val="00327F3B"/>
    <w:rsid w:val="003306AF"/>
    <w:rsid w:val="003306B6"/>
    <w:rsid w:val="003337D6"/>
    <w:rsid w:val="003348B3"/>
    <w:rsid w:val="00335B13"/>
    <w:rsid w:val="00336D38"/>
    <w:rsid w:val="00337F60"/>
    <w:rsid w:val="003401F4"/>
    <w:rsid w:val="00341A75"/>
    <w:rsid w:val="00342984"/>
    <w:rsid w:val="00342DF6"/>
    <w:rsid w:val="0034345D"/>
    <w:rsid w:val="00343683"/>
    <w:rsid w:val="003470F1"/>
    <w:rsid w:val="00350C24"/>
    <w:rsid w:val="00351129"/>
    <w:rsid w:val="00351CEC"/>
    <w:rsid w:val="00352BC0"/>
    <w:rsid w:val="00352DA4"/>
    <w:rsid w:val="00354197"/>
    <w:rsid w:val="003579DC"/>
    <w:rsid w:val="00360B3A"/>
    <w:rsid w:val="0036274A"/>
    <w:rsid w:val="003631A2"/>
    <w:rsid w:val="00363C3A"/>
    <w:rsid w:val="003651AA"/>
    <w:rsid w:val="00370414"/>
    <w:rsid w:val="00370FEA"/>
    <w:rsid w:val="00372A57"/>
    <w:rsid w:val="00372DD2"/>
    <w:rsid w:val="003745D4"/>
    <w:rsid w:val="00375B59"/>
    <w:rsid w:val="00380280"/>
    <w:rsid w:val="003802BF"/>
    <w:rsid w:val="0038280A"/>
    <w:rsid w:val="00383B93"/>
    <w:rsid w:val="0038559A"/>
    <w:rsid w:val="0038665B"/>
    <w:rsid w:val="00387842"/>
    <w:rsid w:val="003937E7"/>
    <w:rsid w:val="00394171"/>
    <w:rsid w:val="00397EF3"/>
    <w:rsid w:val="003A1D6F"/>
    <w:rsid w:val="003A5931"/>
    <w:rsid w:val="003A5CDD"/>
    <w:rsid w:val="003A631C"/>
    <w:rsid w:val="003A6B92"/>
    <w:rsid w:val="003B01AA"/>
    <w:rsid w:val="003B072E"/>
    <w:rsid w:val="003B110D"/>
    <w:rsid w:val="003B4C3F"/>
    <w:rsid w:val="003B51A5"/>
    <w:rsid w:val="003B6491"/>
    <w:rsid w:val="003C1ECE"/>
    <w:rsid w:val="003C3530"/>
    <w:rsid w:val="003C698B"/>
    <w:rsid w:val="003C7DD6"/>
    <w:rsid w:val="003D0BE3"/>
    <w:rsid w:val="003D608C"/>
    <w:rsid w:val="003D6A1F"/>
    <w:rsid w:val="003E0598"/>
    <w:rsid w:val="003E0FFD"/>
    <w:rsid w:val="003E1847"/>
    <w:rsid w:val="003E5F29"/>
    <w:rsid w:val="003F00CA"/>
    <w:rsid w:val="003F092C"/>
    <w:rsid w:val="003F0C0D"/>
    <w:rsid w:val="003F2A60"/>
    <w:rsid w:val="003F2E2A"/>
    <w:rsid w:val="003F429E"/>
    <w:rsid w:val="003F6E58"/>
    <w:rsid w:val="0040135E"/>
    <w:rsid w:val="00402A53"/>
    <w:rsid w:val="00405DB5"/>
    <w:rsid w:val="00406991"/>
    <w:rsid w:val="004079E8"/>
    <w:rsid w:val="00407BBE"/>
    <w:rsid w:val="00407C01"/>
    <w:rsid w:val="00411DA6"/>
    <w:rsid w:val="0041321B"/>
    <w:rsid w:val="00413798"/>
    <w:rsid w:val="00415B2B"/>
    <w:rsid w:val="00416EAF"/>
    <w:rsid w:val="00423B58"/>
    <w:rsid w:val="00424CE4"/>
    <w:rsid w:val="0042554A"/>
    <w:rsid w:val="00427153"/>
    <w:rsid w:val="00427E7D"/>
    <w:rsid w:val="00430770"/>
    <w:rsid w:val="00433AE1"/>
    <w:rsid w:val="00433DFA"/>
    <w:rsid w:val="00434B60"/>
    <w:rsid w:val="00436A94"/>
    <w:rsid w:val="004411EB"/>
    <w:rsid w:val="00443B0C"/>
    <w:rsid w:val="004470B1"/>
    <w:rsid w:val="00450155"/>
    <w:rsid w:val="004507AF"/>
    <w:rsid w:val="0045245A"/>
    <w:rsid w:val="00457621"/>
    <w:rsid w:val="004632D0"/>
    <w:rsid w:val="00465448"/>
    <w:rsid w:val="00465B18"/>
    <w:rsid w:val="00465EC1"/>
    <w:rsid w:val="00467D89"/>
    <w:rsid w:val="00470A45"/>
    <w:rsid w:val="00472011"/>
    <w:rsid w:val="004764B3"/>
    <w:rsid w:val="00481307"/>
    <w:rsid w:val="0048150F"/>
    <w:rsid w:val="0048186F"/>
    <w:rsid w:val="00481DDE"/>
    <w:rsid w:val="0048232C"/>
    <w:rsid w:val="004828C0"/>
    <w:rsid w:val="004828DA"/>
    <w:rsid w:val="004859D0"/>
    <w:rsid w:val="00487C86"/>
    <w:rsid w:val="00493D1E"/>
    <w:rsid w:val="00494D78"/>
    <w:rsid w:val="004A0BCD"/>
    <w:rsid w:val="004A12D0"/>
    <w:rsid w:val="004B00FE"/>
    <w:rsid w:val="004B3F2A"/>
    <w:rsid w:val="004B5040"/>
    <w:rsid w:val="004B5A64"/>
    <w:rsid w:val="004B5CCF"/>
    <w:rsid w:val="004B696C"/>
    <w:rsid w:val="004B707E"/>
    <w:rsid w:val="004C00C3"/>
    <w:rsid w:val="004C065D"/>
    <w:rsid w:val="004C3DBA"/>
    <w:rsid w:val="004C3E4C"/>
    <w:rsid w:val="004C4D66"/>
    <w:rsid w:val="004C6700"/>
    <w:rsid w:val="004C7188"/>
    <w:rsid w:val="004D1A47"/>
    <w:rsid w:val="004D21EF"/>
    <w:rsid w:val="004D6A3C"/>
    <w:rsid w:val="004E1A73"/>
    <w:rsid w:val="004E1A87"/>
    <w:rsid w:val="004E2624"/>
    <w:rsid w:val="004E465C"/>
    <w:rsid w:val="004E4F2A"/>
    <w:rsid w:val="004E4FFE"/>
    <w:rsid w:val="004E519A"/>
    <w:rsid w:val="004E5B22"/>
    <w:rsid w:val="004F04A0"/>
    <w:rsid w:val="004F1CCF"/>
    <w:rsid w:val="004F2BEB"/>
    <w:rsid w:val="004F393E"/>
    <w:rsid w:val="004F631C"/>
    <w:rsid w:val="004F7AAA"/>
    <w:rsid w:val="004F7B97"/>
    <w:rsid w:val="004F7F2A"/>
    <w:rsid w:val="00501494"/>
    <w:rsid w:val="00501BA2"/>
    <w:rsid w:val="005020B2"/>
    <w:rsid w:val="00502BAC"/>
    <w:rsid w:val="0050332A"/>
    <w:rsid w:val="00504655"/>
    <w:rsid w:val="00505DE0"/>
    <w:rsid w:val="00511487"/>
    <w:rsid w:val="005128AE"/>
    <w:rsid w:val="00513C95"/>
    <w:rsid w:val="00515FD8"/>
    <w:rsid w:val="00515FE2"/>
    <w:rsid w:val="00516DB1"/>
    <w:rsid w:val="005179B5"/>
    <w:rsid w:val="00521203"/>
    <w:rsid w:val="00522E2F"/>
    <w:rsid w:val="00523A01"/>
    <w:rsid w:val="00524B7A"/>
    <w:rsid w:val="00530B0A"/>
    <w:rsid w:val="005321A8"/>
    <w:rsid w:val="005327D3"/>
    <w:rsid w:val="00535482"/>
    <w:rsid w:val="0053576B"/>
    <w:rsid w:val="00536D69"/>
    <w:rsid w:val="005370C0"/>
    <w:rsid w:val="00537579"/>
    <w:rsid w:val="005432C9"/>
    <w:rsid w:val="0054389C"/>
    <w:rsid w:val="00543993"/>
    <w:rsid w:val="00544D98"/>
    <w:rsid w:val="00545722"/>
    <w:rsid w:val="00550B9F"/>
    <w:rsid w:val="00550E71"/>
    <w:rsid w:val="00551728"/>
    <w:rsid w:val="00553AAC"/>
    <w:rsid w:val="00553DD9"/>
    <w:rsid w:val="00554042"/>
    <w:rsid w:val="00557076"/>
    <w:rsid w:val="005574B7"/>
    <w:rsid w:val="00561C5A"/>
    <w:rsid w:val="00565BC2"/>
    <w:rsid w:val="0056697C"/>
    <w:rsid w:val="00566BEC"/>
    <w:rsid w:val="00570F81"/>
    <w:rsid w:val="00575E48"/>
    <w:rsid w:val="00575ECC"/>
    <w:rsid w:val="00575F0F"/>
    <w:rsid w:val="00576560"/>
    <w:rsid w:val="0057703B"/>
    <w:rsid w:val="00577DFE"/>
    <w:rsid w:val="00580A95"/>
    <w:rsid w:val="00580EA7"/>
    <w:rsid w:val="00582FD7"/>
    <w:rsid w:val="00583B25"/>
    <w:rsid w:val="00584533"/>
    <w:rsid w:val="005845BD"/>
    <w:rsid w:val="00584ED0"/>
    <w:rsid w:val="005856C6"/>
    <w:rsid w:val="0058784F"/>
    <w:rsid w:val="00587CB4"/>
    <w:rsid w:val="00587EC5"/>
    <w:rsid w:val="00590586"/>
    <w:rsid w:val="00590DC1"/>
    <w:rsid w:val="00591FC0"/>
    <w:rsid w:val="00595CA9"/>
    <w:rsid w:val="00596B6D"/>
    <w:rsid w:val="005A102C"/>
    <w:rsid w:val="005A1E9D"/>
    <w:rsid w:val="005A4FB4"/>
    <w:rsid w:val="005A5A48"/>
    <w:rsid w:val="005A5F80"/>
    <w:rsid w:val="005B2574"/>
    <w:rsid w:val="005B6CF6"/>
    <w:rsid w:val="005B739F"/>
    <w:rsid w:val="005C0F76"/>
    <w:rsid w:val="005C228B"/>
    <w:rsid w:val="005C2512"/>
    <w:rsid w:val="005C284C"/>
    <w:rsid w:val="005C320C"/>
    <w:rsid w:val="005C3A39"/>
    <w:rsid w:val="005C4A14"/>
    <w:rsid w:val="005C574E"/>
    <w:rsid w:val="005C689A"/>
    <w:rsid w:val="005C6EE0"/>
    <w:rsid w:val="005C703A"/>
    <w:rsid w:val="005C70C4"/>
    <w:rsid w:val="005D2BB0"/>
    <w:rsid w:val="005D43B0"/>
    <w:rsid w:val="005D4703"/>
    <w:rsid w:val="005D646A"/>
    <w:rsid w:val="005E087B"/>
    <w:rsid w:val="005F06C3"/>
    <w:rsid w:val="005F11E8"/>
    <w:rsid w:val="005F25F9"/>
    <w:rsid w:val="005F48B2"/>
    <w:rsid w:val="005F4B59"/>
    <w:rsid w:val="005F7264"/>
    <w:rsid w:val="005F7454"/>
    <w:rsid w:val="0060126E"/>
    <w:rsid w:val="00602FA9"/>
    <w:rsid w:val="00603E75"/>
    <w:rsid w:val="00606479"/>
    <w:rsid w:val="00612E2D"/>
    <w:rsid w:val="00616EFA"/>
    <w:rsid w:val="0062125C"/>
    <w:rsid w:val="00622302"/>
    <w:rsid w:val="00624F25"/>
    <w:rsid w:val="006254CB"/>
    <w:rsid w:val="0062604F"/>
    <w:rsid w:val="00627139"/>
    <w:rsid w:val="006311A3"/>
    <w:rsid w:val="00631893"/>
    <w:rsid w:val="006327D0"/>
    <w:rsid w:val="00632B09"/>
    <w:rsid w:val="006343E0"/>
    <w:rsid w:val="00635848"/>
    <w:rsid w:val="00635AF3"/>
    <w:rsid w:val="00636156"/>
    <w:rsid w:val="0063622F"/>
    <w:rsid w:val="00640FD3"/>
    <w:rsid w:val="00641552"/>
    <w:rsid w:val="00641DE3"/>
    <w:rsid w:val="00642BF1"/>
    <w:rsid w:val="00644707"/>
    <w:rsid w:val="00645290"/>
    <w:rsid w:val="0064706A"/>
    <w:rsid w:val="006477A2"/>
    <w:rsid w:val="0065097C"/>
    <w:rsid w:val="00651CC7"/>
    <w:rsid w:val="00653238"/>
    <w:rsid w:val="00654824"/>
    <w:rsid w:val="00654CD5"/>
    <w:rsid w:val="00660A24"/>
    <w:rsid w:val="006665C2"/>
    <w:rsid w:val="00670D71"/>
    <w:rsid w:val="00673442"/>
    <w:rsid w:val="0067402E"/>
    <w:rsid w:val="006763F3"/>
    <w:rsid w:val="00682042"/>
    <w:rsid w:val="006830C4"/>
    <w:rsid w:val="00685020"/>
    <w:rsid w:val="00685B01"/>
    <w:rsid w:val="00686620"/>
    <w:rsid w:val="00690390"/>
    <w:rsid w:val="00691871"/>
    <w:rsid w:val="0069266F"/>
    <w:rsid w:val="00693868"/>
    <w:rsid w:val="0069427A"/>
    <w:rsid w:val="0069480E"/>
    <w:rsid w:val="00695C7A"/>
    <w:rsid w:val="00696523"/>
    <w:rsid w:val="006969AD"/>
    <w:rsid w:val="00697E95"/>
    <w:rsid w:val="006A3073"/>
    <w:rsid w:val="006A37BD"/>
    <w:rsid w:val="006A4129"/>
    <w:rsid w:val="006B0539"/>
    <w:rsid w:val="006B380F"/>
    <w:rsid w:val="006B57B7"/>
    <w:rsid w:val="006B7353"/>
    <w:rsid w:val="006B79CF"/>
    <w:rsid w:val="006C0434"/>
    <w:rsid w:val="006C063E"/>
    <w:rsid w:val="006C090B"/>
    <w:rsid w:val="006C20FF"/>
    <w:rsid w:val="006C39D5"/>
    <w:rsid w:val="006C3B24"/>
    <w:rsid w:val="006C3C2B"/>
    <w:rsid w:val="006C40A7"/>
    <w:rsid w:val="006C5DA1"/>
    <w:rsid w:val="006C5ECA"/>
    <w:rsid w:val="006C608E"/>
    <w:rsid w:val="006C6B0C"/>
    <w:rsid w:val="006C797F"/>
    <w:rsid w:val="006D0D14"/>
    <w:rsid w:val="006D2F81"/>
    <w:rsid w:val="006D4052"/>
    <w:rsid w:val="006D4970"/>
    <w:rsid w:val="006D6999"/>
    <w:rsid w:val="006D7219"/>
    <w:rsid w:val="006D7999"/>
    <w:rsid w:val="006D7B67"/>
    <w:rsid w:val="006E02E8"/>
    <w:rsid w:val="006E3126"/>
    <w:rsid w:val="006E4BC2"/>
    <w:rsid w:val="006E7AC9"/>
    <w:rsid w:val="006F3767"/>
    <w:rsid w:val="006F3B78"/>
    <w:rsid w:val="006F4CAD"/>
    <w:rsid w:val="007049FC"/>
    <w:rsid w:val="00704F8B"/>
    <w:rsid w:val="0070509A"/>
    <w:rsid w:val="00706474"/>
    <w:rsid w:val="00706B6F"/>
    <w:rsid w:val="00716E7F"/>
    <w:rsid w:val="0071714C"/>
    <w:rsid w:val="00717757"/>
    <w:rsid w:val="00722275"/>
    <w:rsid w:val="00723AA3"/>
    <w:rsid w:val="00724A7F"/>
    <w:rsid w:val="00725F84"/>
    <w:rsid w:val="00726710"/>
    <w:rsid w:val="00730EC1"/>
    <w:rsid w:val="00731C2D"/>
    <w:rsid w:val="00731CB4"/>
    <w:rsid w:val="0073254C"/>
    <w:rsid w:val="00737C83"/>
    <w:rsid w:val="00741E6F"/>
    <w:rsid w:val="00742337"/>
    <w:rsid w:val="00743340"/>
    <w:rsid w:val="00743DF6"/>
    <w:rsid w:val="0074448C"/>
    <w:rsid w:val="007448BD"/>
    <w:rsid w:val="00744D50"/>
    <w:rsid w:val="00744DCA"/>
    <w:rsid w:val="00745E4C"/>
    <w:rsid w:val="00745F2B"/>
    <w:rsid w:val="00747536"/>
    <w:rsid w:val="00747842"/>
    <w:rsid w:val="00747C14"/>
    <w:rsid w:val="00752395"/>
    <w:rsid w:val="00753C1F"/>
    <w:rsid w:val="00755175"/>
    <w:rsid w:val="00755291"/>
    <w:rsid w:val="00755BFE"/>
    <w:rsid w:val="007560E8"/>
    <w:rsid w:val="00756253"/>
    <w:rsid w:val="00756FA7"/>
    <w:rsid w:val="0076223C"/>
    <w:rsid w:val="0076335E"/>
    <w:rsid w:val="007645B0"/>
    <w:rsid w:val="00764B76"/>
    <w:rsid w:val="00766360"/>
    <w:rsid w:val="00766D7A"/>
    <w:rsid w:val="00770D12"/>
    <w:rsid w:val="0077258D"/>
    <w:rsid w:val="00772EF8"/>
    <w:rsid w:val="00772F2F"/>
    <w:rsid w:val="0077326F"/>
    <w:rsid w:val="00774943"/>
    <w:rsid w:val="00781CB4"/>
    <w:rsid w:val="00782043"/>
    <w:rsid w:val="00783CEE"/>
    <w:rsid w:val="00786041"/>
    <w:rsid w:val="00787558"/>
    <w:rsid w:val="00787D88"/>
    <w:rsid w:val="00787EBA"/>
    <w:rsid w:val="00793549"/>
    <w:rsid w:val="00793C7B"/>
    <w:rsid w:val="0079623C"/>
    <w:rsid w:val="00797EAC"/>
    <w:rsid w:val="007A1145"/>
    <w:rsid w:val="007A3AD5"/>
    <w:rsid w:val="007A45E1"/>
    <w:rsid w:val="007A50FE"/>
    <w:rsid w:val="007A51B8"/>
    <w:rsid w:val="007A678D"/>
    <w:rsid w:val="007A7454"/>
    <w:rsid w:val="007A7A99"/>
    <w:rsid w:val="007B473E"/>
    <w:rsid w:val="007B4E3F"/>
    <w:rsid w:val="007B50DE"/>
    <w:rsid w:val="007B5BE8"/>
    <w:rsid w:val="007B6E92"/>
    <w:rsid w:val="007B7FB5"/>
    <w:rsid w:val="007C1227"/>
    <w:rsid w:val="007C12BC"/>
    <w:rsid w:val="007C15D0"/>
    <w:rsid w:val="007C251E"/>
    <w:rsid w:val="007C39DA"/>
    <w:rsid w:val="007C49D4"/>
    <w:rsid w:val="007C50F1"/>
    <w:rsid w:val="007C52FB"/>
    <w:rsid w:val="007D3645"/>
    <w:rsid w:val="007D3C90"/>
    <w:rsid w:val="007D42D4"/>
    <w:rsid w:val="007D72E9"/>
    <w:rsid w:val="007E0840"/>
    <w:rsid w:val="007E1FEE"/>
    <w:rsid w:val="007E33A3"/>
    <w:rsid w:val="007E7086"/>
    <w:rsid w:val="007E70E2"/>
    <w:rsid w:val="007F2113"/>
    <w:rsid w:val="007F5225"/>
    <w:rsid w:val="007F6A32"/>
    <w:rsid w:val="007F6E3E"/>
    <w:rsid w:val="007F6F7E"/>
    <w:rsid w:val="007F7C5F"/>
    <w:rsid w:val="007F7DD5"/>
    <w:rsid w:val="008006B3"/>
    <w:rsid w:val="00800BBE"/>
    <w:rsid w:val="00802D4A"/>
    <w:rsid w:val="008036E1"/>
    <w:rsid w:val="00803BB8"/>
    <w:rsid w:val="0080428A"/>
    <w:rsid w:val="00805123"/>
    <w:rsid w:val="008059BD"/>
    <w:rsid w:val="008077CC"/>
    <w:rsid w:val="00810092"/>
    <w:rsid w:val="00810347"/>
    <w:rsid w:val="00810E0D"/>
    <w:rsid w:val="008130AC"/>
    <w:rsid w:val="0081500E"/>
    <w:rsid w:val="0081743A"/>
    <w:rsid w:val="00821A11"/>
    <w:rsid w:val="00821DEF"/>
    <w:rsid w:val="00822930"/>
    <w:rsid w:val="0082557C"/>
    <w:rsid w:val="00826B8B"/>
    <w:rsid w:val="00827172"/>
    <w:rsid w:val="008274FE"/>
    <w:rsid w:val="00832171"/>
    <w:rsid w:val="00833333"/>
    <w:rsid w:val="0083628A"/>
    <w:rsid w:val="00842D1A"/>
    <w:rsid w:val="00843270"/>
    <w:rsid w:val="00844C58"/>
    <w:rsid w:val="008466E5"/>
    <w:rsid w:val="008467B2"/>
    <w:rsid w:val="00847916"/>
    <w:rsid w:val="00847D0E"/>
    <w:rsid w:val="00860B7B"/>
    <w:rsid w:val="00861AF4"/>
    <w:rsid w:val="00863BAC"/>
    <w:rsid w:val="00864BC4"/>
    <w:rsid w:val="00865420"/>
    <w:rsid w:val="00865B97"/>
    <w:rsid w:val="00866400"/>
    <w:rsid w:val="00867332"/>
    <w:rsid w:val="008678C1"/>
    <w:rsid w:val="00871182"/>
    <w:rsid w:val="00871535"/>
    <w:rsid w:val="0087475A"/>
    <w:rsid w:val="00874D53"/>
    <w:rsid w:val="008769C7"/>
    <w:rsid w:val="00876B53"/>
    <w:rsid w:val="00876EF1"/>
    <w:rsid w:val="00880B68"/>
    <w:rsid w:val="008815AA"/>
    <w:rsid w:val="008852F3"/>
    <w:rsid w:val="00885D83"/>
    <w:rsid w:val="00886DDA"/>
    <w:rsid w:val="008916C8"/>
    <w:rsid w:val="008927E6"/>
    <w:rsid w:val="008927EE"/>
    <w:rsid w:val="00893291"/>
    <w:rsid w:val="008936A8"/>
    <w:rsid w:val="008941F5"/>
    <w:rsid w:val="00895E30"/>
    <w:rsid w:val="00896C88"/>
    <w:rsid w:val="0089767D"/>
    <w:rsid w:val="00897841"/>
    <w:rsid w:val="008A2C26"/>
    <w:rsid w:val="008A39A7"/>
    <w:rsid w:val="008A39AF"/>
    <w:rsid w:val="008A3EAE"/>
    <w:rsid w:val="008B151A"/>
    <w:rsid w:val="008B36A7"/>
    <w:rsid w:val="008B3D66"/>
    <w:rsid w:val="008B4E2A"/>
    <w:rsid w:val="008B5B8D"/>
    <w:rsid w:val="008C06E2"/>
    <w:rsid w:val="008C2064"/>
    <w:rsid w:val="008C240E"/>
    <w:rsid w:val="008C30E9"/>
    <w:rsid w:val="008C32F9"/>
    <w:rsid w:val="008C5D33"/>
    <w:rsid w:val="008D18E6"/>
    <w:rsid w:val="008D1AD3"/>
    <w:rsid w:val="008D5B5C"/>
    <w:rsid w:val="008D606D"/>
    <w:rsid w:val="008D614B"/>
    <w:rsid w:val="008D7442"/>
    <w:rsid w:val="008E08A6"/>
    <w:rsid w:val="008E0CF9"/>
    <w:rsid w:val="008E26D1"/>
    <w:rsid w:val="008E3433"/>
    <w:rsid w:val="008E6EED"/>
    <w:rsid w:val="008F15CA"/>
    <w:rsid w:val="008F5D62"/>
    <w:rsid w:val="008F6269"/>
    <w:rsid w:val="008F6DC5"/>
    <w:rsid w:val="008F726E"/>
    <w:rsid w:val="009011AE"/>
    <w:rsid w:val="00901FDB"/>
    <w:rsid w:val="009020FD"/>
    <w:rsid w:val="00904072"/>
    <w:rsid w:val="00904BEA"/>
    <w:rsid w:val="0090616F"/>
    <w:rsid w:val="0090639C"/>
    <w:rsid w:val="00906C1D"/>
    <w:rsid w:val="009079C9"/>
    <w:rsid w:val="00911FF4"/>
    <w:rsid w:val="00914A81"/>
    <w:rsid w:val="00915474"/>
    <w:rsid w:val="00915658"/>
    <w:rsid w:val="0092057D"/>
    <w:rsid w:val="00921941"/>
    <w:rsid w:val="00925D64"/>
    <w:rsid w:val="009279A8"/>
    <w:rsid w:val="00937ADF"/>
    <w:rsid w:val="009425D2"/>
    <w:rsid w:val="0094316E"/>
    <w:rsid w:val="0094404A"/>
    <w:rsid w:val="00944AB5"/>
    <w:rsid w:val="00945490"/>
    <w:rsid w:val="00945786"/>
    <w:rsid w:val="0094678D"/>
    <w:rsid w:val="00951D02"/>
    <w:rsid w:val="00951E4B"/>
    <w:rsid w:val="00951F5C"/>
    <w:rsid w:val="009562A5"/>
    <w:rsid w:val="00956EA6"/>
    <w:rsid w:val="00957574"/>
    <w:rsid w:val="00960098"/>
    <w:rsid w:val="00960124"/>
    <w:rsid w:val="00961E6E"/>
    <w:rsid w:val="009667EB"/>
    <w:rsid w:val="0097043E"/>
    <w:rsid w:val="00970B30"/>
    <w:rsid w:val="00971B8F"/>
    <w:rsid w:val="0097326A"/>
    <w:rsid w:val="0097328F"/>
    <w:rsid w:val="00974169"/>
    <w:rsid w:val="009741B1"/>
    <w:rsid w:val="009766F3"/>
    <w:rsid w:val="00982D85"/>
    <w:rsid w:val="00983C6A"/>
    <w:rsid w:val="00983FA9"/>
    <w:rsid w:val="00984B6D"/>
    <w:rsid w:val="009860CC"/>
    <w:rsid w:val="00987444"/>
    <w:rsid w:val="00992015"/>
    <w:rsid w:val="009929FC"/>
    <w:rsid w:val="00993105"/>
    <w:rsid w:val="0099624A"/>
    <w:rsid w:val="009A0804"/>
    <w:rsid w:val="009A0D58"/>
    <w:rsid w:val="009A0F3B"/>
    <w:rsid w:val="009A50C9"/>
    <w:rsid w:val="009A51FF"/>
    <w:rsid w:val="009A54C3"/>
    <w:rsid w:val="009A55C8"/>
    <w:rsid w:val="009A7120"/>
    <w:rsid w:val="009B0154"/>
    <w:rsid w:val="009B0A05"/>
    <w:rsid w:val="009B0AD7"/>
    <w:rsid w:val="009B1817"/>
    <w:rsid w:val="009B2E2F"/>
    <w:rsid w:val="009B3771"/>
    <w:rsid w:val="009B46C6"/>
    <w:rsid w:val="009B4D8D"/>
    <w:rsid w:val="009B5D6C"/>
    <w:rsid w:val="009B6D51"/>
    <w:rsid w:val="009C090A"/>
    <w:rsid w:val="009C0B44"/>
    <w:rsid w:val="009C5BDD"/>
    <w:rsid w:val="009C6CD0"/>
    <w:rsid w:val="009D2F04"/>
    <w:rsid w:val="009D3B81"/>
    <w:rsid w:val="009D6EF3"/>
    <w:rsid w:val="009E0BE1"/>
    <w:rsid w:val="009E44FB"/>
    <w:rsid w:val="009E53FB"/>
    <w:rsid w:val="009E5628"/>
    <w:rsid w:val="009E5685"/>
    <w:rsid w:val="009E6E0D"/>
    <w:rsid w:val="009E704E"/>
    <w:rsid w:val="009E7BAF"/>
    <w:rsid w:val="009F0969"/>
    <w:rsid w:val="009F0B88"/>
    <w:rsid w:val="009F2CFE"/>
    <w:rsid w:val="009F400A"/>
    <w:rsid w:val="009F66EA"/>
    <w:rsid w:val="00A01656"/>
    <w:rsid w:val="00A0222B"/>
    <w:rsid w:val="00A04B37"/>
    <w:rsid w:val="00A05C92"/>
    <w:rsid w:val="00A0675B"/>
    <w:rsid w:val="00A06BBB"/>
    <w:rsid w:val="00A1179F"/>
    <w:rsid w:val="00A12AE7"/>
    <w:rsid w:val="00A1337E"/>
    <w:rsid w:val="00A149E3"/>
    <w:rsid w:val="00A161D9"/>
    <w:rsid w:val="00A16F3B"/>
    <w:rsid w:val="00A17201"/>
    <w:rsid w:val="00A17392"/>
    <w:rsid w:val="00A211E1"/>
    <w:rsid w:val="00A2156E"/>
    <w:rsid w:val="00A24B25"/>
    <w:rsid w:val="00A256C8"/>
    <w:rsid w:val="00A25BFD"/>
    <w:rsid w:val="00A2642A"/>
    <w:rsid w:val="00A26634"/>
    <w:rsid w:val="00A32401"/>
    <w:rsid w:val="00A33019"/>
    <w:rsid w:val="00A331CF"/>
    <w:rsid w:val="00A33C46"/>
    <w:rsid w:val="00A3441B"/>
    <w:rsid w:val="00A35FB2"/>
    <w:rsid w:val="00A40F57"/>
    <w:rsid w:val="00A410FC"/>
    <w:rsid w:val="00A423AE"/>
    <w:rsid w:val="00A43FF5"/>
    <w:rsid w:val="00A45C89"/>
    <w:rsid w:val="00A5017A"/>
    <w:rsid w:val="00A523DC"/>
    <w:rsid w:val="00A530B0"/>
    <w:rsid w:val="00A54105"/>
    <w:rsid w:val="00A615A2"/>
    <w:rsid w:val="00A62284"/>
    <w:rsid w:val="00A63658"/>
    <w:rsid w:val="00A64CEF"/>
    <w:rsid w:val="00A663BF"/>
    <w:rsid w:val="00A67DBB"/>
    <w:rsid w:val="00A67EFF"/>
    <w:rsid w:val="00A7094B"/>
    <w:rsid w:val="00A7105F"/>
    <w:rsid w:val="00A713A0"/>
    <w:rsid w:val="00A736CA"/>
    <w:rsid w:val="00A73796"/>
    <w:rsid w:val="00A73958"/>
    <w:rsid w:val="00A74C34"/>
    <w:rsid w:val="00A769B9"/>
    <w:rsid w:val="00A802F6"/>
    <w:rsid w:val="00A80CCC"/>
    <w:rsid w:val="00A8282D"/>
    <w:rsid w:val="00A84C0C"/>
    <w:rsid w:val="00A859B1"/>
    <w:rsid w:val="00A875FE"/>
    <w:rsid w:val="00A87B7F"/>
    <w:rsid w:val="00A87E14"/>
    <w:rsid w:val="00A91608"/>
    <w:rsid w:val="00A94CF9"/>
    <w:rsid w:val="00AA0729"/>
    <w:rsid w:val="00AA07B2"/>
    <w:rsid w:val="00AA207E"/>
    <w:rsid w:val="00AA371D"/>
    <w:rsid w:val="00AA376B"/>
    <w:rsid w:val="00AA3F51"/>
    <w:rsid w:val="00AA4038"/>
    <w:rsid w:val="00AA45A4"/>
    <w:rsid w:val="00AA571D"/>
    <w:rsid w:val="00AA5DE4"/>
    <w:rsid w:val="00AA635D"/>
    <w:rsid w:val="00AA69AE"/>
    <w:rsid w:val="00AB0CD9"/>
    <w:rsid w:val="00AB16BC"/>
    <w:rsid w:val="00AB28EE"/>
    <w:rsid w:val="00AB4BAA"/>
    <w:rsid w:val="00AB4DEA"/>
    <w:rsid w:val="00AB4EE6"/>
    <w:rsid w:val="00AB5D5B"/>
    <w:rsid w:val="00AB5F98"/>
    <w:rsid w:val="00AB66A4"/>
    <w:rsid w:val="00AB7B79"/>
    <w:rsid w:val="00AC04FA"/>
    <w:rsid w:val="00AC0BFE"/>
    <w:rsid w:val="00AC2704"/>
    <w:rsid w:val="00AC276E"/>
    <w:rsid w:val="00AC2791"/>
    <w:rsid w:val="00AC2D6B"/>
    <w:rsid w:val="00AC34A0"/>
    <w:rsid w:val="00AC406D"/>
    <w:rsid w:val="00AC4273"/>
    <w:rsid w:val="00AC76BD"/>
    <w:rsid w:val="00AD0216"/>
    <w:rsid w:val="00AD03C7"/>
    <w:rsid w:val="00AD3FE2"/>
    <w:rsid w:val="00AD40CA"/>
    <w:rsid w:val="00AD4B95"/>
    <w:rsid w:val="00AD6F09"/>
    <w:rsid w:val="00AD7524"/>
    <w:rsid w:val="00AD7E6D"/>
    <w:rsid w:val="00AE135C"/>
    <w:rsid w:val="00AE274E"/>
    <w:rsid w:val="00AE2906"/>
    <w:rsid w:val="00AE3E13"/>
    <w:rsid w:val="00AE4805"/>
    <w:rsid w:val="00AF03C9"/>
    <w:rsid w:val="00AF06BA"/>
    <w:rsid w:val="00AF11C0"/>
    <w:rsid w:val="00AF1AE1"/>
    <w:rsid w:val="00AF443C"/>
    <w:rsid w:val="00AF529D"/>
    <w:rsid w:val="00AF7DB6"/>
    <w:rsid w:val="00B01B1A"/>
    <w:rsid w:val="00B0697B"/>
    <w:rsid w:val="00B12972"/>
    <w:rsid w:val="00B14CAD"/>
    <w:rsid w:val="00B23900"/>
    <w:rsid w:val="00B32C92"/>
    <w:rsid w:val="00B34B0F"/>
    <w:rsid w:val="00B36BAF"/>
    <w:rsid w:val="00B37B74"/>
    <w:rsid w:val="00B40F18"/>
    <w:rsid w:val="00B414AD"/>
    <w:rsid w:val="00B4390D"/>
    <w:rsid w:val="00B43927"/>
    <w:rsid w:val="00B449C8"/>
    <w:rsid w:val="00B46262"/>
    <w:rsid w:val="00B46B20"/>
    <w:rsid w:val="00B50637"/>
    <w:rsid w:val="00B50837"/>
    <w:rsid w:val="00B528A2"/>
    <w:rsid w:val="00B52963"/>
    <w:rsid w:val="00B55964"/>
    <w:rsid w:val="00B56003"/>
    <w:rsid w:val="00B56137"/>
    <w:rsid w:val="00B56B87"/>
    <w:rsid w:val="00B56C06"/>
    <w:rsid w:val="00B56E60"/>
    <w:rsid w:val="00B600FF"/>
    <w:rsid w:val="00B615B7"/>
    <w:rsid w:val="00B61A94"/>
    <w:rsid w:val="00B6304E"/>
    <w:rsid w:val="00B641D0"/>
    <w:rsid w:val="00B64848"/>
    <w:rsid w:val="00B649FC"/>
    <w:rsid w:val="00B65F72"/>
    <w:rsid w:val="00B665A8"/>
    <w:rsid w:val="00B700CA"/>
    <w:rsid w:val="00B7012B"/>
    <w:rsid w:val="00B70D1F"/>
    <w:rsid w:val="00B70F77"/>
    <w:rsid w:val="00B70FED"/>
    <w:rsid w:val="00B7218B"/>
    <w:rsid w:val="00B72AA1"/>
    <w:rsid w:val="00B72F1A"/>
    <w:rsid w:val="00B74145"/>
    <w:rsid w:val="00B74E85"/>
    <w:rsid w:val="00B7600D"/>
    <w:rsid w:val="00B76B35"/>
    <w:rsid w:val="00B84354"/>
    <w:rsid w:val="00B84B1D"/>
    <w:rsid w:val="00B85DBD"/>
    <w:rsid w:val="00B85E51"/>
    <w:rsid w:val="00B87B4D"/>
    <w:rsid w:val="00B9048B"/>
    <w:rsid w:val="00B93679"/>
    <w:rsid w:val="00B93874"/>
    <w:rsid w:val="00B94B07"/>
    <w:rsid w:val="00B95C71"/>
    <w:rsid w:val="00B96E28"/>
    <w:rsid w:val="00B978D1"/>
    <w:rsid w:val="00BA15B3"/>
    <w:rsid w:val="00BA36FD"/>
    <w:rsid w:val="00BA3B1B"/>
    <w:rsid w:val="00BA466A"/>
    <w:rsid w:val="00BA47A5"/>
    <w:rsid w:val="00BA4EC1"/>
    <w:rsid w:val="00BA632B"/>
    <w:rsid w:val="00BA7B2D"/>
    <w:rsid w:val="00BB5E31"/>
    <w:rsid w:val="00BB6A80"/>
    <w:rsid w:val="00BB7185"/>
    <w:rsid w:val="00BB7BDA"/>
    <w:rsid w:val="00BC235E"/>
    <w:rsid w:val="00BC2F06"/>
    <w:rsid w:val="00BC5819"/>
    <w:rsid w:val="00BC6C0D"/>
    <w:rsid w:val="00BD2CEC"/>
    <w:rsid w:val="00BD51D9"/>
    <w:rsid w:val="00BD6CC2"/>
    <w:rsid w:val="00BD744D"/>
    <w:rsid w:val="00BD750C"/>
    <w:rsid w:val="00BE09B0"/>
    <w:rsid w:val="00BE19B5"/>
    <w:rsid w:val="00BE2FEB"/>
    <w:rsid w:val="00BE5463"/>
    <w:rsid w:val="00BE6226"/>
    <w:rsid w:val="00BE6807"/>
    <w:rsid w:val="00BE7ADF"/>
    <w:rsid w:val="00BF151D"/>
    <w:rsid w:val="00BF2D95"/>
    <w:rsid w:val="00BF2F89"/>
    <w:rsid w:val="00BF315A"/>
    <w:rsid w:val="00BF3382"/>
    <w:rsid w:val="00BF3552"/>
    <w:rsid w:val="00C004AA"/>
    <w:rsid w:val="00C00A3B"/>
    <w:rsid w:val="00C01591"/>
    <w:rsid w:val="00C02C35"/>
    <w:rsid w:val="00C0487D"/>
    <w:rsid w:val="00C10EEB"/>
    <w:rsid w:val="00C173D5"/>
    <w:rsid w:val="00C17FEF"/>
    <w:rsid w:val="00C20F3D"/>
    <w:rsid w:val="00C21B7A"/>
    <w:rsid w:val="00C22C9C"/>
    <w:rsid w:val="00C23C30"/>
    <w:rsid w:val="00C27E4D"/>
    <w:rsid w:val="00C3299B"/>
    <w:rsid w:val="00C33343"/>
    <w:rsid w:val="00C41CC5"/>
    <w:rsid w:val="00C41F5A"/>
    <w:rsid w:val="00C4272E"/>
    <w:rsid w:val="00C437D7"/>
    <w:rsid w:val="00C43F90"/>
    <w:rsid w:val="00C45B44"/>
    <w:rsid w:val="00C46675"/>
    <w:rsid w:val="00C47298"/>
    <w:rsid w:val="00C47A75"/>
    <w:rsid w:val="00C508FC"/>
    <w:rsid w:val="00C533AF"/>
    <w:rsid w:val="00C54F03"/>
    <w:rsid w:val="00C651C6"/>
    <w:rsid w:val="00C652F1"/>
    <w:rsid w:val="00C66517"/>
    <w:rsid w:val="00C712A5"/>
    <w:rsid w:val="00C72CF8"/>
    <w:rsid w:val="00C741DC"/>
    <w:rsid w:val="00C746EF"/>
    <w:rsid w:val="00C75CA0"/>
    <w:rsid w:val="00C75DC2"/>
    <w:rsid w:val="00C763FA"/>
    <w:rsid w:val="00C772F3"/>
    <w:rsid w:val="00C77E68"/>
    <w:rsid w:val="00C8031B"/>
    <w:rsid w:val="00C807F1"/>
    <w:rsid w:val="00C82054"/>
    <w:rsid w:val="00C8209A"/>
    <w:rsid w:val="00C82E32"/>
    <w:rsid w:val="00C84A24"/>
    <w:rsid w:val="00C85DBD"/>
    <w:rsid w:val="00C86202"/>
    <w:rsid w:val="00C874C4"/>
    <w:rsid w:val="00C91CB7"/>
    <w:rsid w:val="00C91D0D"/>
    <w:rsid w:val="00C92D92"/>
    <w:rsid w:val="00C96A6E"/>
    <w:rsid w:val="00C97292"/>
    <w:rsid w:val="00C97A55"/>
    <w:rsid w:val="00CA097A"/>
    <w:rsid w:val="00CA0D9B"/>
    <w:rsid w:val="00CA2B83"/>
    <w:rsid w:val="00CA7DF1"/>
    <w:rsid w:val="00CB03F2"/>
    <w:rsid w:val="00CB7335"/>
    <w:rsid w:val="00CB7D2D"/>
    <w:rsid w:val="00CC10BD"/>
    <w:rsid w:val="00CC134B"/>
    <w:rsid w:val="00CC3372"/>
    <w:rsid w:val="00CC3496"/>
    <w:rsid w:val="00CC4377"/>
    <w:rsid w:val="00CC5536"/>
    <w:rsid w:val="00CC6EC5"/>
    <w:rsid w:val="00CC7FAA"/>
    <w:rsid w:val="00CD00C4"/>
    <w:rsid w:val="00CD0910"/>
    <w:rsid w:val="00CD3583"/>
    <w:rsid w:val="00CD52FA"/>
    <w:rsid w:val="00CD77DC"/>
    <w:rsid w:val="00CE36F9"/>
    <w:rsid w:val="00CE3F84"/>
    <w:rsid w:val="00CE41AE"/>
    <w:rsid w:val="00CF053A"/>
    <w:rsid w:val="00CF12DF"/>
    <w:rsid w:val="00CF2554"/>
    <w:rsid w:val="00CF2870"/>
    <w:rsid w:val="00CF3B0D"/>
    <w:rsid w:val="00CF4199"/>
    <w:rsid w:val="00CF5D58"/>
    <w:rsid w:val="00D0093A"/>
    <w:rsid w:val="00D03BEE"/>
    <w:rsid w:val="00D03E61"/>
    <w:rsid w:val="00D0487E"/>
    <w:rsid w:val="00D05A17"/>
    <w:rsid w:val="00D06F9A"/>
    <w:rsid w:val="00D10100"/>
    <w:rsid w:val="00D10850"/>
    <w:rsid w:val="00D118F3"/>
    <w:rsid w:val="00D14285"/>
    <w:rsid w:val="00D14315"/>
    <w:rsid w:val="00D14715"/>
    <w:rsid w:val="00D147F4"/>
    <w:rsid w:val="00D15B49"/>
    <w:rsid w:val="00D15E0E"/>
    <w:rsid w:val="00D22502"/>
    <w:rsid w:val="00D2320E"/>
    <w:rsid w:val="00D24F04"/>
    <w:rsid w:val="00D27024"/>
    <w:rsid w:val="00D27B64"/>
    <w:rsid w:val="00D31763"/>
    <w:rsid w:val="00D321E8"/>
    <w:rsid w:val="00D35EB8"/>
    <w:rsid w:val="00D378EF"/>
    <w:rsid w:val="00D416B2"/>
    <w:rsid w:val="00D45EC1"/>
    <w:rsid w:val="00D462EB"/>
    <w:rsid w:val="00D46D14"/>
    <w:rsid w:val="00D46FC2"/>
    <w:rsid w:val="00D50450"/>
    <w:rsid w:val="00D5290B"/>
    <w:rsid w:val="00D52C20"/>
    <w:rsid w:val="00D53996"/>
    <w:rsid w:val="00D55DC8"/>
    <w:rsid w:val="00D61FC7"/>
    <w:rsid w:val="00D63FFF"/>
    <w:rsid w:val="00D67EBA"/>
    <w:rsid w:val="00D70490"/>
    <w:rsid w:val="00D70BFF"/>
    <w:rsid w:val="00D75580"/>
    <w:rsid w:val="00D773FC"/>
    <w:rsid w:val="00D80A65"/>
    <w:rsid w:val="00D81430"/>
    <w:rsid w:val="00D81497"/>
    <w:rsid w:val="00D82F14"/>
    <w:rsid w:val="00D83B90"/>
    <w:rsid w:val="00D84D7E"/>
    <w:rsid w:val="00D86924"/>
    <w:rsid w:val="00D86E34"/>
    <w:rsid w:val="00D90441"/>
    <w:rsid w:val="00D93561"/>
    <w:rsid w:val="00D93D60"/>
    <w:rsid w:val="00D95FAE"/>
    <w:rsid w:val="00D96BF7"/>
    <w:rsid w:val="00D975B9"/>
    <w:rsid w:val="00DA0399"/>
    <w:rsid w:val="00DA126E"/>
    <w:rsid w:val="00DA1639"/>
    <w:rsid w:val="00DA39A4"/>
    <w:rsid w:val="00DA6BE5"/>
    <w:rsid w:val="00DA706B"/>
    <w:rsid w:val="00DA7ECE"/>
    <w:rsid w:val="00DB10E8"/>
    <w:rsid w:val="00DB1D7A"/>
    <w:rsid w:val="00DB3EB8"/>
    <w:rsid w:val="00DB3F09"/>
    <w:rsid w:val="00DC0079"/>
    <w:rsid w:val="00DC09EB"/>
    <w:rsid w:val="00DC2091"/>
    <w:rsid w:val="00DC2F4C"/>
    <w:rsid w:val="00DC3642"/>
    <w:rsid w:val="00DC47D7"/>
    <w:rsid w:val="00DC59D3"/>
    <w:rsid w:val="00DC634E"/>
    <w:rsid w:val="00DD06B1"/>
    <w:rsid w:val="00DD48DC"/>
    <w:rsid w:val="00DE0F80"/>
    <w:rsid w:val="00DE1CFA"/>
    <w:rsid w:val="00DE2CBE"/>
    <w:rsid w:val="00DE4D75"/>
    <w:rsid w:val="00DE53B3"/>
    <w:rsid w:val="00DE58E9"/>
    <w:rsid w:val="00DE59EB"/>
    <w:rsid w:val="00DE6CFA"/>
    <w:rsid w:val="00DF0E7E"/>
    <w:rsid w:val="00DF4709"/>
    <w:rsid w:val="00DF5B18"/>
    <w:rsid w:val="00DF5D3F"/>
    <w:rsid w:val="00DF6921"/>
    <w:rsid w:val="00DF7402"/>
    <w:rsid w:val="00DF7EC0"/>
    <w:rsid w:val="00E00650"/>
    <w:rsid w:val="00E01087"/>
    <w:rsid w:val="00E02BF0"/>
    <w:rsid w:val="00E04BA0"/>
    <w:rsid w:val="00E05150"/>
    <w:rsid w:val="00E05C4A"/>
    <w:rsid w:val="00E06F07"/>
    <w:rsid w:val="00E07970"/>
    <w:rsid w:val="00E10285"/>
    <w:rsid w:val="00E106D0"/>
    <w:rsid w:val="00E12ADC"/>
    <w:rsid w:val="00E1311C"/>
    <w:rsid w:val="00E13390"/>
    <w:rsid w:val="00E16E4F"/>
    <w:rsid w:val="00E201C0"/>
    <w:rsid w:val="00E20B00"/>
    <w:rsid w:val="00E21CF2"/>
    <w:rsid w:val="00E21DA0"/>
    <w:rsid w:val="00E23987"/>
    <w:rsid w:val="00E252D6"/>
    <w:rsid w:val="00E257DF"/>
    <w:rsid w:val="00E25AC7"/>
    <w:rsid w:val="00E25BB8"/>
    <w:rsid w:val="00E31B56"/>
    <w:rsid w:val="00E367C1"/>
    <w:rsid w:val="00E40AC7"/>
    <w:rsid w:val="00E4157C"/>
    <w:rsid w:val="00E42314"/>
    <w:rsid w:val="00E45A21"/>
    <w:rsid w:val="00E46174"/>
    <w:rsid w:val="00E47BD2"/>
    <w:rsid w:val="00E5136D"/>
    <w:rsid w:val="00E5473A"/>
    <w:rsid w:val="00E548C3"/>
    <w:rsid w:val="00E56382"/>
    <w:rsid w:val="00E609DA"/>
    <w:rsid w:val="00E60FD5"/>
    <w:rsid w:val="00E63858"/>
    <w:rsid w:val="00E63BFD"/>
    <w:rsid w:val="00E63DBC"/>
    <w:rsid w:val="00E6607B"/>
    <w:rsid w:val="00E72263"/>
    <w:rsid w:val="00E72E07"/>
    <w:rsid w:val="00E73191"/>
    <w:rsid w:val="00E75D84"/>
    <w:rsid w:val="00E76B80"/>
    <w:rsid w:val="00E77287"/>
    <w:rsid w:val="00E8279D"/>
    <w:rsid w:val="00E82BC7"/>
    <w:rsid w:val="00E83A59"/>
    <w:rsid w:val="00E84FE7"/>
    <w:rsid w:val="00E860AE"/>
    <w:rsid w:val="00E9204C"/>
    <w:rsid w:val="00E9257A"/>
    <w:rsid w:val="00E92AFC"/>
    <w:rsid w:val="00E933CE"/>
    <w:rsid w:val="00E93767"/>
    <w:rsid w:val="00E939D6"/>
    <w:rsid w:val="00E944E9"/>
    <w:rsid w:val="00E953FD"/>
    <w:rsid w:val="00E9782A"/>
    <w:rsid w:val="00EA18AD"/>
    <w:rsid w:val="00EA2E5D"/>
    <w:rsid w:val="00EA30FA"/>
    <w:rsid w:val="00EA381A"/>
    <w:rsid w:val="00EA627C"/>
    <w:rsid w:val="00EA6C27"/>
    <w:rsid w:val="00EB0F41"/>
    <w:rsid w:val="00EB64BE"/>
    <w:rsid w:val="00EB6B54"/>
    <w:rsid w:val="00EC0A47"/>
    <w:rsid w:val="00EC2DE4"/>
    <w:rsid w:val="00EC4D36"/>
    <w:rsid w:val="00ED10B8"/>
    <w:rsid w:val="00ED2CD2"/>
    <w:rsid w:val="00ED5E5B"/>
    <w:rsid w:val="00ED6737"/>
    <w:rsid w:val="00EE48F2"/>
    <w:rsid w:val="00EF0148"/>
    <w:rsid w:val="00EF29C8"/>
    <w:rsid w:val="00EF30C7"/>
    <w:rsid w:val="00EF55B5"/>
    <w:rsid w:val="00EF722E"/>
    <w:rsid w:val="00EF78D0"/>
    <w:rsid w:val="00EF7C04"/>
    <w:rsid w:val="00F001B5"/>
    <w:rsid w:val="00F00F56"/>
    <w:rsid w:val="00F01291"/>
    <w:rsid w:val="00F020FB"/>
    <w:rsid w:val="00F029B8"/>
    <w:rsid w:val="00F03F65"/>
    <w:rsid w:val="00F04D97"/>
    <w:rsid w:val="00F04F42"/>
    <w:rsid w:val="00F05E84"/>
    <w:rsid w:val="00F05FCF"/>
    <w:rsid w:val="00F060FD"/>
    <w:rsid w:val="00F10902"/>
    <w:rsid w:val="00F11B66"/>
    <w:rsid w:val="00F12711"/>
    <w:rsid w:val="00F12BC1"/>
    <w:rsid w:val="00F1491A"/>
    <w:rsid w:val="00F15B80"/>
    <w:rsid w:val="00F1607F"/>
    <w:rsid w:val="00F23843"/>
    <w:rsid w:val="00F23BC9"/>
    <w:rsid w:val="00F24D57"/>
    <w:rsid w:val="00F25A9A"/>
    <w:rsid w:val="00F273E0"/>
    <w:rsid w:val="00F30400"/>
    <w:rsid w:val="00F30725"/>
    <w:rsid w:val="00F32465"/>
    <w:rsid w:val="00F337B7"/>
    <w:rsid w:val="00F3433C"/>
    <w:rsid w:val="00F41DC1"/>
    <w:rsid w:val="00F420A7"/>
    <w:rsid w:val="00F426CC"/>
    <w:rsid w:val="00F43BBB"/>
    <w:rsid w:val="00F44F5A"/>
    <w:rsid w:val="00F4555B"/>
    <w:rsid w:val="00F4606D"/>
    <w:rsid w:val="00F47861"/>
    <w:rsid w:val="00F47B22"/>
    <w:rsid w:val="00F47C2A"/>
    <w:rsid w:val="00F5184E"/>
    <w:rsid w:val="00F52263"/>
    <w:rsid w:val="00F53205"/>
    <w:rsid w:val="00F56006"/>
    <w:rsid w:val="00F562E6"/>
    <w:rsid w:val="00F56CD5"/>
    <w:rsid w:val="00F574F7"/>
    <w:rsid w:val="00F61240"/>
    <w:rsid w:val="00F62836"/>
    <w:rsid w:val="00F6294E"/>
    <w:rsid w:val="00F62958"/>
    <w:rsid w:val="00F62A82"/>
    <w:rsid w:val="00F64AEE"/>
    <w:rsid w:val="00F650B8"/>
    <w:rsid w:val="00F74508"/>
    <w:rsid w:val="00F748D7"/>
    <w:rsid w:val="00F75842"/>
    <w:rsid w:val="00F76222"/>
    <w:rsid w:val="00F76870"/>
    <w:rsid w:val="00F80D19"/>
    <w:rsid w:val="00F80DFA"/>
    <w:rsid w:val="00F82EAB"/>
    <w:rsid w:val="00F83A99"/>
    <w:rsid w:val="00F849C0"/>
    <w:rsid w:val="00F86492"/>
    <w:rsid w:val="00F87A37"/>
    <w:rsid w:val="00F90976"/>
    <w:rsid w:val="00F910F3"/>
    <w:rsid w:val="00F93C10"/>
    <w:rsid w:val="00F94337"/>
    <w:rsid w:val="00F95166"/>
    <w:rsid w:val="00F95578"/>
    <w:rsid w:val="00F96D0C"/>
    <w:rsid w:val="00FA191D"/>
    <w:rsid w:val="00FA1DFB"/>
    <w:rsid w:val="00FA2E77"/>
    <w:rsid w:val="00FA54F1"/>
    <w:rsid w:val="00FA58CD"/>
    <w:rsid w:val="00FA7349"/>
    <w:rsid w:val="00FB3EF4"/>
    <w:rsid w:val="00FC1A9A"/>
    <w:rsid w:val="00FC4761"/>
    <w:rsid w:val="00FC4A0D"/>
    <w:rsid w:val="00FC4BBF"/>
    <w:rsid w:val="00FC68BF"/>
    <w:rsid w:val="00FC72CE"/>
    <w:rsid w:val="00FC7F8B"/>
    <w:rsid w:val="00FD52F6"/>
    <w:rsid w:val="00FD6576"/>
    <w:rsid w:val="00FD667A"/>
    <w:rsid w:val="00FD66A7"/>
    <w:rsid w:val="00FD7012"/>
    <w:rsid w:val="00FD7A14"/>
    <w:rsid w:val="00FD7E0A"/>
    <w:rsid w:val="00FE0D66"/>
    <w:rsid w:val="00FE3CEF"/>
    <w:rsid w:val="00FE616D"/>
    <w:rsid w:val="00FE6347"/>
    <w:rsid w:val="00FE65FA"/>
    <w:rsid w:val="00FE6E16"/>
    <w:rsid w:val="00FE71BA"/>
    <w:rsid w:val="00FF3699"/>
    <w:rsid w:val="00FF6291"/>
    <w:rsid w:val="00FF63A0"/>
    <w:rsid w:val="00FF66BA"/>
    <w:rsid w:val="00FF6F7C"/>
    <w:rsid w:val="00FF79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3D0B4B"/>
  <w15:chartTrackingRefBased/>
  <w15:docId w15:val="{5E7F16E4-1BE1-47FD-B380-3DEE772D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E1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F15B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315B9B"/>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87E14"/>
    <w:pPr>
      <w:tabs>
        <w:tab w:val="center" w:pos="4419"/>
        <w:tab w:val="right" w:pos="8838"/>
      </w:tabs>
      <w:spacing w:after="0" w:line="240" w:lineRule="auto"/>
    </w:pPr>
  </w:style>
  <w:style w:type="character" w:customStyle="1" w:styleId="EncabezadoCar">
    <w:name w:val="Encabezado Car"/>
    <w:basedOn w:val="Fuentedeprrafopredeter"/>
    <w:link w:val="Encabezado"/>
    <w:rsid w:val="00A87E14"/>
    <w:rPr>
      <w:rFonts w:ascii="Calibri" w:eastAsia="Calibri" w:hAnsi="Calibri" w:cs="Times New Roman"/>
    </w:rPr>
  </w:style>
  <w:style w:type="paragraph" w:styleId="Piedepgina">
    <w:name w:val="footer"/>
    <w:basedOn w:val="Normal"/>
    <w:link w:val="PiedepginaCar"/>
    <w:uiPriority w:val="99"/>
    <w:unhideWhenUsed/>
    <w:rsid w:val="00A87E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7E14"/>
    <w:rPr>
      <w:rFonts w:ascii="Calibri" w:eastAsia="Calibri" w:hAnsi="Calibri" w:cs="Times New Roman"/>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A87E14"/>
    <w:pPr>
      <w:spacing w:after="0" w:line="240" w:lineRule="auto"/>
      <w:ind w:left="708"/>
    </w:pPr>
    <w:rPr>
      <w:rFonts w:ascii="Arial" w:eastAsia="Times New Roman" w:hAnsi="Arial"/>
      <w:sz w:val="24"/>
      <w:szCs w:val="20"/>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A87E14"/>
    <w:rPr>
      <w:rFonts w:ascii="Arial" w:eastAsia="Times New Roman" w:hAnsi="Arial" w:cs="Times New Roman"/>
      <w:sz w:val="24"/>
      <w:szCs w:val="20"/>
    </w:rPr>
  </w:style>
  <w:style w:type="paragraph" w:customStyle="1" w:styleId="estilo30">
    <w:name w:val="estilo30"/>
    <w:basedOn w:val="Normal"/>
    <w:rsid w:val="00A87E14"/>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A87E14"/>
    <w:rPr>
      <w:sz w:val="16"/>
      <w:szCs w:val="16"/>
    </w:rPr>
  </w:style>
  <w:style w:type="paragraph" w:styleId="Textocomentario">
    <w:name w:val="annotation text"/>
    <w:basedOn w:val="Normal"/>
    <w:link w:val="TextocomentarioCar"/>
    <w:uiPriority w:val="99"/>
    <w:semiHidden/>
    <w:unhideWhenUsed/>
    <w:rsid w:val="00A87E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7E14"/>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A87E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E14"/>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87E14"/>
    <w:rPr>
      <w:b/>
      <w:bCs/>
    </w:rPr>
  </w:style>
  <w:style w:type="character" w:customStyle="1" w:styleId="AsuntodelcomentarioCar">
    <w:name w:val="Asunto del comentario Car"/>
    <w:basedOn w:val="TextocomentarioCar"/>
    <w:link w:val="Asuntodelcomentario"/>
    <w:uiPriority w:val="99"/>
    <w:semiHidden/>
    <w:rsid w:val="00A87E14"/>
    <w:rPr>
      <w:rFonts w:ascii="Calibri" w:eastAsia="Calibri" w:hAnsi="Calibri" w:cs="Times New Roman"/>
      <w:b/>
      <w:bCs/>
      <w:sz w:val="20"/>
      <w:szCs w:val="20"/>
    </w:rPr>
  </w:style>
  <w:style w:type="paragraph" w:styleId="Textoindependiente">
    <w:name w:val="Body Text"/>
    <w:basedOn w:val="Normal"/>
    <w:link w:val="TextoindependienteCar"/>
    <w:uiPriority w:val="99"/>
    <w:semiHidden/>
    <w:unhideWhenUsed/>
    <w:rsid w:val="00A87E14"/>
    <w:pPr>
      <w:spacing w:after="120"/>
    </w:pPr>
  </w:style>
  <w:style w:type="character" w:customStyle="1" w:styleId="TextoindependienteCar">
    <w:name w:val="Texto independiente Car"/>
    <w:basedOn w:val="Fuentedeprrafopredeter"/>
    <w:link w:val="Textoindependiente"/>
    <w:uiPriority w:val="99"/>
    <w:semiHidden/>
    <w:rsid w:val="00A87E14"/>
    <w:rPr>
      <w:rFonts w:ascii="Calibri" w:eastAsia="Calibri" w:hAnsi="Calibri" w:cs="Times New Roman"/>
    </w:rPr>
  </w:style>
  <w:style w:type="paragraph" w:styleId="Textonotapie">
    <w:name w:val="footnote text"/>
    <w:basedOn w:val="Normal"/>
    <w:link w:val="TextonotapieCar"/>
    <w:uiPriority w:val="99"/>
    <w:semiHidden/>
    <w:unhideWhenUsed/>
    <w:rsid w:val="00A87E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7E14"/>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87E14"/>
    <w:rPr>
      <w:vertAlign w:val="superscript"/>
    </w:rPr>
  </w:style>
  <w:style w:type="character" w:customStyle="1" w:styleId="apple-converted-space">
    <w:name w:val="apple-converted-space"/>
    <w:basedOn w:val="Fuentedeprrafopredeter"/>
    <w:rsid w:val="00A87E14"/>
  </w:style>
  <w:style w:type="paragraph" w:styleId="Revisin">
    <w:name w:val="Revision"/>
    <w:hidden/>
    <w:uiPriority w:val="99"/>
    <w:semiHidden/>
    <w:rsid w:val="00A87E14"/>
    <w:pPr>
      <w:spacing w:after="0" w:line="240" w:lineRule="auto"/>
    </w:pPr>
    <w:rPr>
      <w:rFonts w:ascii="Calibri" w:eastAsia="Calibri" w:hAnsi="Calibri" w:cs="Times New Roman"/>
    </w:rPr>
  </w:style>
  <w:style w:type="paragraph" w:customStyle="1" w:styleId="Default">
    <w:name w:val="Default"/>
    <w:rsid w:val="00A87E14"/>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A87E1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A87E14"/>
    <w:rPr>
      <w:rFonts w:ascii="Arial" w:eastAsia="Times New Roman" w:hAnsi="Arial" w:cs="Arial"/>
      <w:sz w:val="18"/>
      <w:szCs w:val="20"/>
      <w:lang w:val="es-ES" w:eastAsia="es-ES"/>
    </w:rPr>
  </w:style>
  <w:style w:type="table" w:styleId="Tablaconcuadrcula">
    <w:name w:val="Table Grid"/>
    <w:basedOn w:val="Tablanormal"/>
    <w:uiPriority w:val="39"/>
    <w:rsid w:val="00A87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B66A4"/>
    <w:rPr>
      <w:color w:val="0000FF"/>
      <w:u w:val="single"/>
    </w:rPr>
  </w:style>
  <w:style w:type="character" w:styleId="Hipervnculovisitado">
    <w:name w:val="FollowedHyperlink"/>
    <w:basedOn w:val="Fuentedeprrafopredeter"/>
    <w:uiPriority w:val="99"/>
    <w:semiHidden/>
    <w:unhideWhenUsed/>
    <w:rsid w:val="00436A94"/>
    <w:rPr>
      <w:color w:val="954F72" w:themeColor="followedHyperlink"/>
      <w:u w:val="single"/>
    </w:rPr>
  </w:style>
  <w:style w:type="character" w:customStyle="1" w:styleId="Ttulo1Car">
    <w:name w:val="Título 1 Car"/>
    <w:basedOn w:val="Fuentedeprrafopredeter"/>
    <w:link w:val="Ttulo1"/>
    <w:uiPriority w:val="9"/>
    <w:rsid w:val="00F15B80"/>
    <w:rPr>
      <w:rFonts w:asciiTheme="majorHAnsi" w:eastAsiaTheme="majorEastAsia" w:hAnsiTheme="majorHAnsi" w:cstheme="majorBidi"/>
      <w:color w:val="2E74B5" w:themeColor="accent1" w:themeShade="BF"/>
      <w:sz w:val="32"/>
      <w:szCs w:val="32"/>
    </w:rPr>
  </w:style>
  <w:style w:type="character" w:customStyle="1" w:styleId="Ttulo2Car">
    <w:name w:val="Título 2 Car"/>
    <w:aliases w:val="2TitSec Car"/>
    <w:basedOn w:val="Fuentedeprrafopredeter"/>
    <w:link w:val="Ttulo2"/>
    <w:uiPriority w:val="9"/>
    <w:rsid w:val="00315B9B"/>
    <w:rPr>
      <w:rFonts w:ascii="Arial" w:eastAsia="Times New Roman" w:hAnsi="Arial" w:cs="Times New Roman"/>
      <w:b/>
      <w:sz w:val="24"/>
      <w:szCs w:val="20"/>
      <w:lang w:eastAsia="es-ES"/>
    </w:rPr>
  </w:style>
  <w:style w:type="paragraph" w:customStyle="1" w:styleId="1TitPrin">
    <w:name w:val="1TitPrin"/>
    <w:basedOn w:val="Ttulo1"/>
    <w:link w:val="1TitPrinCar"/>
    <w:autoRedefine/>
    <w:qFormat/>
    <w:rsid w:val="00315B9B"/>
    <w:pPr>
      <w:keepNext w:val="0"/>
      <w:keepLines w:val="0"/>
      <w:spacing w:before="0" w:afterLines="120" w:after="288"/>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315B9B"/>
    <w:rPr>
      <w:rFonts w:ascii="ITC Avant Garde" w:eastAsia="Calibri" w:hAnsi="ITC Avant Garde" w:cs="Arial"/>
      <w:b/>
      <w:color w:val="00000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1194">
      <w:bodyDiv w:val="1"/>
      <w:marLeft w:val="0"/>
      <w:marRight w:val="0"/>
      <w:marTop w:val="0"/>
      <w:marBottom w:val="0"/>
      <w:divBdr>
        <w:top w:val="none" w:sz="0" w:space="0" w:color="auto"/>
        <w:left w:val="none" w:sz="0" w:space="0" w:color="auto"/>
        <w:bottom w:val="none" w:sz="0" w:space="0" w:color="auto"/>
        <w:right w:val="none" w:sz="0" w:space="0" w:color="auto"/>
      </w:divBdr>
      <w:divsChild>
        <w:div w:id="8918349">
          <w:marLeft w:val="2160"/>
          <w:marRight w:val="0"/>
          <w:marTop w:val="0"/>
          <w:marBottom w:val="101"/>
          <w:divBdr>
            <w:top w:val="none" w:sz="0" w:space="0" w:color="auto"/>
            <w:left w:val="none" w:sz="0" w:space="0" w:color="auto"/>
            <w:bottom w:val="none" w:sz="0" w:space="0" w:color="auto"/>
            <w:right w:val="none" w:sz="0" w:space="0" w:color="auto"/>
          </w:divBdr>
        </w:div>
        <w:div w:id="36783804">
          <w:marLeft w:val="1152"/>
          <w:marRight w:val="0"/>
          <w:marTop w:val="0"/>
          <w:marBottom w:val="101"/>
          <w:divBdr>
            <w:top w:val="none" w:sz="0" w:space="0" w:color="auto"/>
            <w:left w:val="none" w:sz="0" w:space="0" w:color="auto"/>
            <w:bottom w:val="none" w:sz="0" w:space="0" w:color="auto"/>
            <w:right w:val="none" w:sz="0" w:space="0" w:color="auto"/>
          </w:divBdr>
        </w:div>
        <w:div w:id="65760563">
          <w:marLeft w:val="1152"/>
          <w:marRight w:val="0"/>
          <w:marTop w:val="0"/>
          <w:marBottom w:val="101"/>
          <w:divBdr>
            <w:top w:val="none" w:sz="0" w:space="0" w:color="auto"/>
            <w:left w:val="none" w:sz="0" w:space="0" w:color="auto"/>
            <w:bottom w:val="none" w:sz="0" w:space="0" w:color="auto"/>
            <w:right w:val="none" w:sz="0" w:space="0" w:color="auto"/>
          </w:divBdr>
        </w:div>
        <w:div w:id="131797746">
          <w:marLeft w:val="1584"/>
          <w:marRight w:val="0"/>
          <w:marTop w:val="0"/>
          <w:marBottom w:val="101"/>
          <w:divBdr>
            <w:top w:val="none" w:sz="0" w:space="0" w:color="auto"/>
            <w:left w:val="none" w:sz="0" w:space="0" w:color="auto"/>
            <w:bottom w:val="none" w:sz="0" w:space="0" w:color="auto"/>
            <w:right w:val="none" w:sz="0" w:space="0" w:color="auto"/>
          </w:divBdr>
        </w:div>
        <w:div w:id="138424112">
          <w:marLeft w:val="1152"/>
          <w:marRight w:val="0"/>
          <w:marTop w:val="0"/>
          <w:marBottom w:val="101"/>
          <w:divBdr>
            <w:top w:val="none" w:sz="0" w:space="0" w:color="auto"/>
            <w:left w:val="none" w:sz="0" w:space="0" w:color="auto"/>
            <w:bottom w:val="none" w:sz="0" w:space="0" w:color="auto"/>
            <w:right w:val="none" w:sz="0" w:space="0" w:color="auto"/>
          </w:divBdr>
        </w:div>
        <w:div w:id="155342138">
          <w:marLeft w:val="1584"/>
          <w:marRight w:val="0"/>
          <w:marTop w:val="0"/>
          <w:marBottom w:val="101"/>
          <w:divBdr>
            <w:top w:val="none" w:sz="0" w:space="0" w:color="auto"/>
            <w:left w:val="none" w:sz="0" w:space="0" w:color="auto"/>
            <w:bottom w:val="none" w:sz="0" w:space="0" w:color="auto"/>
            <w:right w:val="none" w:sz="0" w:space="0" w:color="auto"/>
          </w:divBdr>
        </w:div>
        <w:div w:id="181895115">
          <w:marLeft w:val="1152"/>
          <w:marRight w:val="0"/>
          <w:marTop w:val="0"/>
          <w:marBottom w:val="101"/>
          <w:divBdr>
            <w:top w:val="none" w:sz="0" w:space="0" w:color="auto"/>
            <w:left w:val="none" w:sz="0" w:space="0" w:color="auto"/>
            <w:bottom w:val="none" w:sz="0" w:space="0" w:color="auto"/>
            <w:right w:val="none" w:sz="0" w:space="0" w:color="auto"/>
          </w:divBdr>
        </w:div>
        <w:div w:id="200948218">
          <w:marLeft w:val="1152"/>
          <w:marRight w:val="0"/>
          <w:marTop w:val="0"/>
          <w:marBottom w:val="101"/>
          <w:divBdr>
            <w:top w:val="none" w:sz="0" w:space="0" w:color="auto"/>
            <w:left w:val="none" w:sz="0" w:space="0" w:color="auto"/>
            <w:bottom w:val="none" w:sz="0" w:space="0" w:color="auto"/>
            <w:right w:val="none" w:sz="0" w:space="0" w:color="auto"/>
          </w:divBdr>
        </w:div>
        <w:div w:id="212424333">
          <w:marLeft w:val="1152"/>
          <w:marRight w:val="0"/>
          <w:marTop w:val="0"/>
          <w:marBottom w:val="101"/>
          <w:divBdr>
            <w:top w:val="none" w:sz="0" w:space="0" w:color="auto"/>
            <w:left w:val="none" w:sz="0" w:space="0" w:color="auto"/>
            <w:bottom w:val="none" w:sz="0" w:space="0" w:color="auto"/>
            <w:right w:val="none" w:sz="0" w:space="0" w:color="auto"/>
          </w:divBdr>
        </w:div>
        <w:div w:id="230507546">
          <w:marLeft w:val="1584"/>
          <w:marRight w:val="0"/>
          <w:marTop w:val="0"/>
          <w:marBottom w:val="101"/>
          <w:divBdr>
            <w:top w:val="none" w:sz="0" w:space="0" w:color="auto"/>
            <w:left w:val="none" w:sz="0" w:space="0" w:color="auto"/>
            <w:bottom w:val="none" w:sz="0" w:space="0" w:color="auto"/>
            <w:right w:val="none" w:sz="0" w:space="0" w:color="auto"/>
          </w:divBdr>
        </w:div>
        <w:div w:id="389184464">
          <w:marLeft w:val="1152"/>
          <w:marRight w:val="0"/>
          <w:marTop w:val="0"/>
          <w:marBottom w:val="101"/>
          <w:divBdr>
            <w:top w:val="none" w:sz="0" w:space="0" w:color="auto"/>
            <w:left w:val="none" w:sz="0" w:space="0" w:color="auto"/>
            <w:bottom w:val="none" w:sz="0" w:space="0" w:color="auto"/>
            <w:right w:val="none" w:sz="0" w:space="0" w:color="auto"/>
          </w:divBdr>
        </w:div>
        <w:div w:id="436801518">
          <w:marLeft w:val="1152"/>
          <w:marRight w:val="0"/>
          <w:marTop w:val="0"/>
          <w:marBottom w:val="101"/>
          <w:divBdr>
            <w:top w:val="none" w:sz="0" w:space="0" w:color="auto"/>
            <w:left w:val="none" w:sz="0" w:space="0" w:color="auto"/>
            <w:bottom w:val="none" w:sz="0" w:space="0" w:color="auto"/>
            <w:right w:val="none" w:sz="0" w:space="0" w:color="auto"/>
          </w:divBdr>
        </w:div>
        <w:div w:id="453326416">
          <w:marLeft w:val="720"/>
          <w:marRight w:val="0"/>
          <w:marTop w:val="0"/>
          <w:marBottom w:val="101"/>
          <w:divBdr>
            <w:top w:val="none" w:sz="0" w:space="0" w:color="auto"/>
            <w:left w:val="none" w:sz="0" w:space="0" w:color="auto"/>
            <w:bottom w:val="none" w:sz="0" w:space="0" w:color="auto"/>
            <w:right w:val="none" w:sz="0" w:space="0" w:color="auto"/>
          </w:divBdr>
        </w:div>
        <w:div w:id="500584873">
          <w:marLeft w:val="720"/>
          <w:marRight w:val="0"/>
          <w:marTop w:val="0"/>
          <w:marBottom w:val="101"/>
          <w:divBdr>
            <w:top w:val="none" w:sz="0" w:space="0" w:color="auto"/>
            <w:left w:val="none" w:sz="0" w:space="0" w:color="auto"/>
            <w:bottom w:val="none" w:sz="0" w:space="0" w:color="auto"/>
            <w:right w:val="none" w:sz="0" w:space="0" w:color="auto"/>
          </w:divBdr>
        </w:div>
        <w:div w:id="536435267">
          <w:marLeft w:val="1152"/>
          <w:marRight w:val="0"/>
          <w:marTop w:val="0"/>
          <w:marBottom w:val="101"/>
          <w:divBdr>
            <w:top w:val="none" w:sz="0" w:space="0" w:color="auto"/>
            <w:left w:val="none" w:sz="0" w:space="0" w:color="auto"/>
            <w:bottom w:val="none" w:sz="0" w:space="0" w:color="auto"/>
            <w:right w:val="none" w:sz="0" w:space="0" w:color="auto"/>
          </w:divBdr>
        </w:div>
        <w:div w:id="557789304">
          <w:marLeft w:val="720"/>
          <w:marRight w:val="0"/>
          <w:marTop w:val="0"/>
          <w:marBottom w:val="101"/>
          <w:divBdr>
            <w:top w:val="none" w:sz="0" w:space="0" w:color="auto"/>
            <w:left w:val="none" w:sz="0" w:space="0" w:color="auto"/>
            <w:bottom w:val="none" w:sz="0" w:space="0" w:color="auto"/>
            <w:right w:val="none" w:sz="0" w:space="0" w:color="auto"/>
          </w:divBdr>
        </w:div>
        <w:div w:id="569729268">
          <w:marLeft w:val="1152"/>
          <w:marRight w:val="0"/>
          <w:marTop w:val="0"/>
          <w:marBottom w:val="101"/>
          <w:divBdr>
            <w:top w:val="none" w:sz="0" w:space="0" w:color="auto"/>
            <w:left w:val="none" w:sz="0" w:space="0" w:color="auto"/>
            <w:bottom w:val="none" w:sz="0" w:space="0" w:color="auto"/>
            <w:right w:val="none" w:sz="0" w:space="0" w:color="auto"/>
          </w:divBdr>
        </w:div>
        <w:div w:id="592324238">
          <w:marLeft w:val="1152"/>
          <w:marRight w:val="0"/>
          <w:marTop w:val="0"/>
          <w:marBottom w:val="101"/>
          <w:divBdr>
            <w:top w:val="none" w:sz="0" w:space="0" w:color="auto"/>
            <w:left w:val="none" w:sz="0" w:space="0" w:color="auto"/>
            <w:bottom w:val="none" w:sz="0" w:space="0" w:color="auto"/>
            <w:right w:val="none" w:sz="0" w:space="0" w:color="auto"/>
          </w:divBdr>
        </w:div>
        <w:div w:id="647436421">
          <w:marLeft w:val="1152"/>
          <w:marRight w:val="0"/>
          <w:marTop w:val="0"/>
          <w:marBottom w:val="101"/>
          <w:divBdr>
            <w:top w:val="none" w:sz="0" w:space="0" w:color="auto"/>
            <w:left w:val="none" w:sz="0" w:space="0" w:color="auto"/>
            <w:bottom w:val="none" w:sz="0" w:space="0" w:color="auto"/>
            <w:right w:val="none" w:sz="0" w:space="0" w:color="auto"/>
          </w:divBdr>
        </w:div>
        <w:div w:id="664746145">
          <w:marLeft w:val="2160"/>
          <w:marRight w:val="0"/>
          <w:marTop w:val="0"/>
          <w:marBottom w:val="101"/>
          <w:divBdr>
            <w:top w:val="none" w:sz="0" w:space="0" w:color="auto"/>
            <w:left w:val="none" w:sz="0" w:space="0" w:color="auto"/>
            <w:bottom w:val="none" w:sz="0" w:space="0" w:color="auto"/>
            <w:right w:val="none" w:sz="0" w:space="0" w:color="auto"/>
          </w:divBdr>
        </w:div>
        <w:div w:id="674959433">
          <w:marLeft w:val="1152"/>
          <w:marRight w:val="0"/>
          <w:marTop w:val="0"/>
          <w:marBottom w:val="101"/>
          <w:divBdr>
            <w:top w:val="none" w:sz="0" w:space="0" w:color="auto"/>
            <w:left w:val="none" w:sz="0" w:space="0" w:color="auto"/>
            <w:bottom w:val="none" w:sz="0" w:space="0" w:color="auto"/>
            <w:right w:val="none" w:sz="0" w:space="0" w:color="auto"/>
          </w:divBdr>
        </w:div>
        <w:div w:id="704251313">
          <w:marLeft w:val="1152"/>
          <w:marRight w:val="0"/>
          <w:marTop w:val="0"/>
          <w:marBottom w:val="101"/>
          <w:divBdr>
            <w:top w:val="none" w:sz="0" w:space="0" w:color="auto"/>
            <w:left w:val="none" w:sz="0" w:space="0" w:color="auto"/>
            <w:bottom w:val="none" w:sz="0" w:space="0" w:color="auto"/>
            <w:right w:val="none" w:sz="0" w:space="0" w:color="auto"/>
          </w:divBdr>
        </w:div>
        <w:div w:id="712189455">
          <w:marLeft w:val="1152"/>
          <w:marRight w:val="0"/>
          <w:marTop w:val="0"/>
          <w:marBottom w:val="101"/>
          <w:divBdr>
            <w:top w:val="none" w:sz="0" w:space="0" w:color="auto"/>
            <w:left w:val="none" w:sz="0" w:space="0" w:color="auto"/>
            <w:bottom w:val="none" w:sz="0" w:space="0" w:color="auto"/>
            <w:right w:val="none" w:sz="0" w:space="0" w:color="auto"/>
          </w:divBdr>
        </w:div>
        <w:div w:id="731579450">
          <w:marLeft w:val="720"/>
          <w:marRight w:val="0"/>
          <w:marTop w:val="0"/>
          <w:marBottom w:val="101"/>
          <w:divBdr>
            <w:top w:val="none" w:sz="0" w:space="0" w:color="auto"/>
            <w:left w:val="none" w:sz="0" w:space="0" w:color="auto"/>
            <w:bottom w:val="none" w:sz="0" w:space="0" w:color="auto"/>
            <w:right w:val="none" w:sz="0" w:space="0" w:color="auto"/>
          </w:divBdr>
        </w:div>
        <w:div w:id="744954869">
          <w:marLeft w:val="1152"/>
          <w:marRight w:val="0"/>
          <w:marTop w:val="0"/>
          <w:marBottom w:val="101"/>
          <w:divBdr>
            <w:top w:val="none" w:sz="0" w:space="0" w:color="auto"/>
            <w:left w:val="none" w:sz="0" w:space="0" w:color="auto"/>
            <w:bottom w:val="none" w:sz="0" w:space="0" w:color="auto"/>
            <w:right w:val="none" w:sz="0" w:space="0" w:color="auto"/>
          </w:divBdr>
        </w:div>
        <w:div w:id="753088719">
          <w:marLeft w:val="720"/>
          <w:marRight w:val="0"/>
          <w:marTop w:val="0"/>
          <w:marBottom w:val="101"/>
          <w:divBdr>
            <w:top w:val="none" w:sz="0" w:space="0" w:color="auto"/>
            <w:left w:val="none" w:sz="0" w:space="0" w:color="auto"/>
            <w:bottom w:val="none" w:sz="0" w:space="0" w:color="auto"/>
            <w:right w:val="none" w:sz="0" w:space="0" w:color="auto"/>
          </w:divBdr>
        </w:div>
        <w:div w:id="771127166">
          <w:marLeft w:val="1152"/>
          <w:marRight w:val="0"/>
          <w:marTop w:val="0"/>
          <w:marBottom w:val="101"/>
          <w:divBdr>
            <w:top w:val="none" w:sz="0" w:space="0" w:color="auto"/>
            <w:left w:val="none" w:sz="0" w:space="0" w:color="auto"/>
            <w:bottom w:val="none" w:sz="0" w:space="0" w:color="auto"/>
            <w:right w:val="none" w:sz="0" w:space="0" w:color="auto"/>
          </w:divBdr>
        </w:div>
        <w:div w:id="777453962">
          <w:marLeft w:val="1152"/>
          <w:marRight w:val="0"/>
          <w:marTop w:val="0"/>
          <w:marBottom w:val="101"/>
          <w:divBdr>
            <w:top w:val="none" w:sz="0" w:space="0" w:color="auto"/>
            <w:left w:val="none" w:sz="0" w:space="0" w:color="auto"/>
            <w:bottom w:val="none" w:sz="0" w:space="0" w:color="auto"/>
            <w:right w:val="none" w:sz="0" w:space="0" w:color="auto"/>
          </w:divBdr>
        </w:div>
        <w:div w:id="778716835">
          <w:marLeft w:val="2160"/>
          <w:marRight w:val="0"/>
          <w:marTop w:val="0"/>
          <w:marBottom w:val="101"/>
          <w:divBdr>
            <w:top w:val="none" w:sz="0" w:space="0" w:color="auto"/>
            <w:left w:val="none" w:sz="0" w:space="0" w:color="auto"/>
            <w:bottom w:val="none" w:sz="0" w:space="0" w:color="auto"/>
            <w:right w:val="none" w:sz="0" w:space="0" w:color="auto"/>
          </w:divBdr>
        </w:div>
        <w:div w:id="817573769">
          <w:marLeft w:val="1152"/>
          <w:marRight w:val="0"/>
          <w:marTop w:val="0"/>
          <w:marBottom w:val="101"/>
          <w:divBdr>
            <w:top w:val="none" w:sz="0" w:space="0" w:color="auto"/>
            <w:left w:val="none" w:sz="0" w:space="0" w:color="auto"/>
            <w:bottom w:val="none" w:sz="0" w:space="0" w:color="auto"/>
            <w:right w:val="none" w:sz="0" w:space="0" w:color="auto"/>
          </w:divBdr>
        </w:div>
        <w:div w:id="821653413">
          <w:marLeft w:val="1152"/>
          <w:marRight w:val="0"/>
          <w:marTop w:val="0"/>
          <w:marBottom w:val="101"/>
          <w:divBdr>
            <w:top w:val="none" w:sz="0" w:space="0" w:color="auto"/>
            <w:left w:val="none" w:sz="0" w:space="0" w:color="auto"/>
            <w:bottom w:val="none" w:sz="0" w:space="0" w:color="auto"/>
            <w:right w:val="none" w:sz="0" w:space="0" w:color="auto"/>
          </w:divBdr>
        </w:div>
        <w:div w:id="831995278">
          <w:marLeft w:val="2160"/>
          <w:marRight w:val="0"/>
          <w:marTop w:val="0"/>
          <w:marBottom w:val="101"/>
          <w:divBdr>
            <w:top w:val="none" w:sz="0" w:space="0" w:color="auto"/>
            <w:left w:val="none" w:sz="0" w:space="0" w:color="auto"/>
            <w:bottom w:val="none" w:sz="0" w:space="0" w:color="auto"/>
            <w:right w:val="none" w:sz="0" w:space="0" w:color="auto"/>
          </w:divBdr>
        </w:div>
        <w:div w:id="897668979">
          <w:marLeft w:val="2592"/>
          <w:marRight w:val="0"/>
          <w:marTop w:val="0"/>
          <w:marBottom w:val="101"/>
          <w:divBdr>
            <w:top w:val="none" w:sz="0" w:space="0" w:color="auto"/>
            <w:left w:val="none" w:sz="0" w:space="0" w:color="auto"/>
            <w:bottom w:val="none" w:sz="0" w:space="0" w:color="auto"/>
            <w:right w:val="none" w:sz="0" w:space="0" w:color="auto"/>
          </w:divBdr>
        </w:div>
        <w:div w:id="933323728">
          <w:marLeft w:val="2592"/>
          <w:marRight w:val="0"/>
          <w:marTop w:val="0"/>
          <w:marBottom w:val="101"/>
          <w:divBdr>
            <w:top w:val="none" w:sz="0" w:space="0" w:color="auto"/>
            <w:left w:val="none" w:sz="0" w:space="0" w:color="auto"/>
            <w:bottom w:val="none" w:sz="0" w:space="0" w:color="auto"/>
            <w:right w:val="none" w:sz="0" w:space="0" w:color="auto"/>
          </w:divBdr>
        </w:div>
        <w:div w:id="984315678">
          <w:marLeft w:val="1152"/>
          <w:marRight w:val="0"/>
          <w:marTop w:val="0"/>
          <w:marBottom w:val="101"/>
          <w:divBdr>
            <w:top w:val="none" w:sz="0" w:space="0" w:color="auto"/>
            <w:left w:val="none" w:sz="0" w:space="0" w:color="auto"/>
            <w:bottom w:val="none" w:sz="0" w:space="0" w:color="auto"/>
            <w:right w:val="none" w:sz="0" w:space="0" w:color="auto"/>
          </w:divBdr>
        </w:div>
        <w:div w:id="989096846">
          <w:marLeft w:val="1152"/>
          <w:marRight w:val="0"/>
          <w:marTop w:val="0"/>
          <w:marBottom w:val="101"/>
          <w:divBdr>
            <w:top w:val="none" w:sz="0" w:space="0" w:color="auto"/>
            <w:left w:val="none" w:sz="0" w:space="0" w:color="auto"/>
            <w:bottom w:val="none" w:sz="0" w:space="0" w:color="auto"/>
            <w:right w:val="none" w:sz="0" w:space="0" w:color="auto"/>
          </w:divBdr>
        </w:div>
        <w:div w:id="1048341639">
          <w:marLeft w:val="1152"/>
          <w:marRight w:val="0"/>
          <w:marTop w:val="0"/>
          <w:marBottom w:val="101"/>
          <w:divBdr>
            <w:top w:val="none" w:sz="0" w:space="0" w:color="auto"/>
            <w:left w:val="none" w:sz="0" w:space="0" w:color="auto"/>
            <w:bottom w:val="none" w:sz="0" w:space="0" w:color="auto"/>
            <w:right w:val="none" w:sz="0" w:space="0" w:color="auto"/>
          </w:divBdr>
        </w:div>
        <w:div w:id="1056662003">
          <w:marLeft w:val="0"/>
          <w:marRight w:val="0"/>
          <w:marTop w:val="0"/>
          <w:marBottom w:val="101"/>
          <w:divBdr>
            <w:top w:val="none" w:sz="0" w:space="0" w:color="auto"/>
            <w:left w:val="none" w:sz="0" w:space="0" w:color="auto"/>
            <w:bottom w:val="none" w:sz="0" w:space="0" w:color="auto"/>
            <w:right w:val="none" w:sz="0" w:space="0" w:color="auto"/>
          </w:divBdr>
        </w:div>
        <w:div w:id="1072922489">
          <w:marLeft w:val="1152"/>
          <w:marRight w:val="0"/>
          <w:marTop w:val="0"/>
          <w:marBottom w:val="101"/>
          <w:divBdr>
            <w:top w:val="none" w:sz="0" w:space="0" w:color="auto"/>
            <w:left w:val="none" w:sz="0" w:space="0" w:color="auto"/>
            <w:bottom w:val="none" w:sz="0" w:space="0" w:color="auto"/>
            <w:right w:val="none" w:sz="0" w:space="0" w:color="auto"/>
          </w:divBdr>
        </w:div>
        <w:div w:id="1143499947">
          <w:marLeft w:val="1152"/>
          <w:marRight w:val="0"/>
          <w:marTop w:val="0"/>
          <w:marBottom w:val="101"/>
          <w:divBdr>
            <w:top w:val="none" w:sz="0" w:space="0" w:color="auto"/>
            <w:left w:val="none" w:sz="0" w:space="0" w:color="auto"/>
            <w:bottom w:val="none" w:sz="0" w:space="0" w:color="auto"/>
            <w:right w:val="none" w:sz="0" w:space="0" w:color="auto"/>
          </w:divBdr>
        </w:div>
        <w:div w:id="1148671355">
          <w:marLeft w:val="1152"/>
          <w:marRight w:val="0"/>
          <w:marTop w:val="0"/>
          <w:marBottom w:val="101"/>
          <w:divBdr>
            <w:top w:val="none" w:sz="0" w:space="0" w:color="auto"/>
            <w:left w:val="none" w:sz="0" w:space="0" w:color="auto"/>
            <w:bottom w:val="none" w:sz="0" w:space="0" w:color="auto"/>
            <w:right w:val="none" w:sz="0" w:space="0" w:color="auto"/>
          </w:divBdr>
        </w:div>
        <w:div w:id="1220627403">
          <w:marLeft w:val="1152"/>
          <w:marRight w:val="0"/>
          <w:marTop w:val="0"/>
          <w:marBottom w:val="101"/>
          <w:divBdr>
            <w:top w:val="none" w:sz="0" w:space="0" w:color="auto"/>
            <w:left w:val="none" w:sz="0" w:space="0" w:color="auto"/>
            <w:bottom w:val="none" w:sz="0" w:space="0" w:color="auto"/>
            <w:right w:val="none" w:sz="0" w:space="0" w:color="auto"/>
          </w:divBdr>
        </w:div>
        <w:div w:id="1345324612">
          <w:marLeft w:val="720"/>
          <w:marRight w:val="0"/>
          <w:marTop w:val="0"/>
          <w:marBottom w:val="101"/>
          <w:divBdr>
            <w:top w:val="none" w:sz="0" w:space="0" w:color="auto"/>
            <w:left w:val="none" w:sz="0" w:space="0" w:color="auto"/>
            <w:bottom w:val="none" w:sz="0" w:space="0" w:color="auto"/>
            <w:right w:val="none" w:sz="0" w:space="0" w:color="auto"/>
          </w:divBdr>
        </w:div>
        <w:div w:id="1367019785">
          <w:marLeft w:val="1152"/>
          <w:marRight w:val="0"/>
          <w:marTop w:val="0"/>
          <w:marBottom w:val="101"/>
          <w:divBdr>
            <w:top w:val="none" w:sz="0" w:space="0" w:color="auto"/>
            <w:left w:val="none" w:sz="0" w:space="0" w:color="auto"/>
            <w:bottom w:val="none" w:sz="0" w:space="0" w:color="auto"/>
            <w:right w:val="none" w:sz="0" w:space="0" w:color="auto"/>
          </w:divBdr>
        </w:div>
        <w:div w:id="1370178962">
          <w:marLeft w:val="2160"/>
          <w:marRight w:val="0"/>
          <w:marTop w:val="0"/>
          <w:marBottom w:val="101"/>
          <w:divBdr>
            <w:top w:val="none" w:sz="0" w:space="0" w:color="auto"/>
            <w:left w:val="none" w:sz="0" w:space="0" w:color="auto"/>
            <w:bottom w:val="none" w:sz="0" w:space="0" w:color="auto"/>
            <w:right w:val="none" w:sz="0" w:space="0" w:color="auto"/>
          </w:divBdr>
        </w:div>
        <w:div w:id="1415467334">
          <w:marLeft w:val="1152"/>
          <w:marRight w:val="0"/>
          <w:marTop w:val="0"/>
          <w:marBottom w:val="101"/>
          <w:divBdr>
            <w:top w:val="none" w:sz="0" w:space="0" w:color="auto"/>
            <w:left w:val="none" w:sz="0" w:space="0" w:color="auto"/>
            <w:bottom w:val="none" w:sz="0" w:space="0" w:color="auto"/>
            <w:right w:val="none" w:sz="0" w:space="0" w:color="auto"/>
          </w:divBdr>
        </w:div>
        <w:div w:id="1435202452">
          <w:marLeft w:val="1152"/>
          <w:marRight w:val="0"/>
          <w:marTop w:val="0"/>
          <w:marBottom w:val="101"/>
          <w:divBdr>
            <w:top w:val="none" w:sz="0" w:space="0" w:color="auto"/>
            <w:left w:val="none" w:sz="0" w:space="0" w:color="auto"/>
            <w:bottom w:val="none" w:sz="0" w:space="0" w:color="auto"/>
            <w:right w:val="none" w:sz="0" w:space="0" w:color="auto"/>
          </w:divBdr>
        </w:div>
        <w:div w:id="1462385675">
          <w:marLeft w:val="1152"/>
          <w:marRight w:val="0"/>
          <w:marTop w:val="0"/>
          <w:marBottom w:val="101"/>
          <w:divBdr>
            <w:top w:val="none" w:sz="0" w:space="0" w:color="auto"/>
            <w:left w:val="none" w:sz="0" w:space="0" w:color="auto"/>
            <w:bottom w:val="none" w:sz="0" w:space="0" w:color="auto"/>
            <w:right w:val="none" w:sz="0" w:space="0" w:color="auto"/>
          </w:divBdr>
        </w:div>
        <w:div w:id="1511677396">
          <w:marLeft w:val="1152"/>
          <w:marRight w:val="0"/>
          <w:marTop w:val="0"/>
          <w:marBottom w:val="101"/>
          <w:divBdr>
            <w:top w:val="none" w:sz="0" w:space="0" w:color="auto"/>
            <w:left w:val="none" w:sz="0" w:space="0" w:color="auto"/>
            <w:bottom w:val="none" w:sz="0" w:space="0" w:color="auto"/>
            <w:right w:val="none" w:sz="0" w:space="0" w:color="auto"/>
          </w:divBdr>
        </w:div>
        <w:div w:id="1521237194">
          <w:marLeft w:val="1152"/>
          <w:marRight w:val="0"/>
          <w:marTop w:val="0"/>
          <w:marBottom w:val="101"/>
          <w:divBdr>
            <w:top w:val="none" w:sz="0" w:space="0" w:color="auto"/>
            <w:left w:val="none" w:sz="0" w:space="0" w:color="auto"/>
            <w:bottom w:val="none" w:sz="0" w:space="0" w:color="auto"/>
            <w:right w:val="none" w:sz="0" w:space="0" w:color="auto"/>
          </w:divBdr>
        </w:div>
        <w:div w:id="1655144217">
          <w:marLeft w:val="1152"/>
          <w:marRight w:val="0"/>
          <w:marTop w:val="0"/>
          <w:marBottom w:val="101"/>
          <w:divBdr>
            <w:top w:val="none" w:sz="0" w:space="0" w:color="auto"/>
            <w:left w:val="none" w:sz="0" w:space="0" w:color="auto"/>
            <w:bottom w:val="none" w:sz="0" w:space="0" w:color="auto"/>
            <w:right w:val="none" w:sz="0" w:space="0" w:color="auto"/>
          </w:divBdr>
        </w:div>
        <w:div w:id="1661344456">
          <w:marLeft w:val="1584"/>
          <w:marRight w:val="0"/>
          <w:marTop w:val="0"/>
          <w:marBottom w:val="101"/>
          <w:divBdr>
            <w:top w:val="none" w:sz="0" w:space="0" w:color="auto"/>
            <w:left w:val="none" w:sz="0" w:space="0" w:color="auto"/>
            <w:bottom w:val="none" w:sz="0" w:space="0" w:color="auto"/>
            <w:right w:val="none" w:sz="0" w:space="0" w:color="auto"/>
          </w:divBdr>
        </w:div>
        <w:div w:id="1684043172">
          <w:marLeft w:val="1152"/>
          <w:marRight w:val="0"/>
          <w:marTop w:val="0"/>
          <w:marBottom w:val="101"/>
          <w:divBdr>
            <w:top w:val="none" w:sz="0" w:space="0" w:color="auto"/>
            <w:left w:val="none" w:sz="0" w:space="0" w:color="auto"/>
            <w:bottom w:val="none" w:sz="0" w:space="0" w:color="auto"/>
            <w:right w:val="none" w:sz="0" w:space="0" w:color="auto"/>
          </w:divBdr>
        </w:div>
        <w:div w:id="1710714832">
          <w:marLeft w:val="2160"/>
          <w:marRight w:val="0"/>
          <w:marTop w:val="0"/>
          <w:marBottom w:val="101"/>
          <w:divBdr>
            <w:top w:val="none" w:sz="0" w:space="0" w:color="auto"/>
            <w:left w:val="none" w:sz="0" w:space="0" w:color="auto"/>
            <w:bottom w:val="none" w:sz="0" w:space="0" w:color="auto"/>
            <w:right w:val="none" w:sz="0" w:space="0" w:color="auto"/>
          </w:divBdr>
        </w:div>
        <w:div w:id="1879389355">
          <w:marLeft w:val="1152"/>
          <w:marRight w:val="0"/>
          <w:marTop w:val="0"/>
          <w:marBottom w:val="101"/>
          <w:divBdr>
            <w:top w:val="none" w:sz="0" w:space="0" w:color="auto"/>
            <w:left w:val="none" w:sz="0" w:space="0" w:color="auto"/>
            <w:bottom w:val="none" w:sz="0" w:space="0" w:color="auto"/>
            <w:right w:val="none" w:sz="0" w:space="0" w:color="auto"/>
          </w:divBdr>
        </w:div>
        <w:div w:id="1899198077">
          <w:marLeft w:val="1152"/>
          <w:marRight w:val="0"/>
          <w:marTop w:val="0"/>
          <w:marBottom w:val="101"/>
          <w:divBdr>
            <w:top w:val="none" w:sz="0" w:space="0" w:color="auto"/>
            <w:left w:val="none" w:sz="0" w:space="0" w:color="auto"/>
            <w:bottom w:val="none" w:sz="0" w:space="0" w:color="auto"/>
            <w:right w:val="none" w:sz="0" w:space="0" w:color="auto"/>
          </w:divBdr>
        </w:div>
        <w:div w:id="1908613440">
          <w:marLeft w:val="1152"/>
          <w:marRight w:val="0"/>
          <w:marTop w:val="0"/>
          <w:marBottom w:val="101"/>
          <w:divBdr>
            <w:top w:val="none" w:sz="0" w:space="0" w:color="auto"/>
            <w:left w:val="none" w:sz="0" w:space="0" w:color="auto"/>
            <w:bottom w:val="none" w:sz="0" w:space="0" w:color="auto"/>
            <w:right w:val="none" w:sz="0" w:space="0" w:color="auto"/>
          </w:divBdr>
        </w:div>
        <w:div w:id="1925216933">
          <w:marLeft w:val="1152"/>
          <w:marRight w:val="0"/>
          <w:marTop w:val="0"/>
          <w:marBottom w:val="101"/>
          <w:divBdr>
            <w:top w:val="none" w:sz="0" w:space="0" w:color="auto"/>
            <w:left w:val="none" w:sz="0" w:space="0" w:color="auto"/>
            <w:bottom w:val="none" w:sz="0" w:space="0" w:color="auto"/>
            <w:right w:val="none" w:sz="0" w:space="0" w:color="auto"/>
          </w:divBdr>
        </w:div>
        <w:div w:id="1943487771">
          <w:marLeft w:val="1152"/>
          <w:marRight w:val="0"/>
          <w:marTop w:val="0"/>
          <w:marBottom w:val="101"/>
          <w:divBdr>
            <w:top w:val="none" w:sz="0" w:space="0" w:color="auto"/>
            <w:left w:val="none" w:sz="0" w:space="0" w:color="auto"/>
            <w:bottom w:val="none" w:sz="0" w:space="0" w:color="auto"/>
            <w:right w:val="none" w:sz="0" w:space="0" w:color="auto"/>
          </w:divBdr>
        </w:div>
        <w:div w:id="1956523993">
          <w:marLeft w:val="1152"/>
          <w:marRight w:val="0"/>
          <w:marTop w:val="0"/>
          <w:marBottom w:val="101"/>
          <w:divBdr>
            <w:top w:val="none" w:sz="0" w:space="0" w:color="auto"/>
            <w:left w:val="none" w:sz="0" w:space="0" w:color="auto"/>
            <w:bottom w:val="none" w:sz="0" w:space="0" w:color="auto"/>
            <w:right w:val="none" w:sz="0" w:space="0" w:color="auto"/>
          </w:divBdr>
        </w:div>
        <w:div w:id="1979459584">
          <w:marLeft w:val="1152"/>
          <w:marRight w:val="0"/>
          <w:marTop w:val="0"/>
          <w:marBottom w:val="101"/>
          <w:divBdr>
            <w:top w:val="none" w:sz="0" w:space="0" w:color="auto"/>
            <w:left w:val="none" w:sz="0" w:space="0" w:color="auto"/>
            <w:bottom w:val="none" w:sz="0" w:space="0" w:color="auto"/>
            <w:right w:val="none" w:sz="0" w:space="0" w:color="auto"/>
          </w:divBdr>
        </w:div>
        <w:div w:id="2019310288">
          <w:marLeft w:val="2160"/>
          <w:marRight w:val="0"/>
          <w:marTop w:val="0"/>
          <w:marBottom w:val="101"/>
          <w:divBdr>
            <w:top w:val="none" w:sz="0" w:space="0" w:color="auto"/>
            <w:left w:val="none" w:sz="0" w:space="0" w:color="auto"/>
            <w:bottom w:val="none" w:sz="0" w:space="0" w:color="auto"/>
            <w:right w:val="none" w:sz="0" w:space="0" w:color="auto"/>
          </w:divBdr>
        </w:div>
        <w:div w:id="2045014114">
          <w:marLeft w:val="720"/>
          <w:marRight w:val="0"/>
          <w:marTop w:val="0"/>
          <w:marBottom w:val="101"/>
          <w:divBdr>
            <w:top w:val="none" w:sz="0" w:space="0" w:color="auto"/>
            <w:left w:val="none" w:sz="0" w:space="0" w:color="auto"/>
            <w:bottom w:val="none" w:sz="0" w:space="0" w:color="auto"/>
            <w:right w:val="none" w:sz="0" w:space="0" w:color="auto"/>
          </w:divBdr>
        </w:div>
        <w:div w:id="2080516369">
          <w:marLeft w:val="1152"/>
          <w:marRight w:val="0"/>
          <w:marTop w:val="0"/>
          <w:marBottom w:val="101"/>
          <w:divBdr>
            <w:top w:val="none" w:sz="0" w:space="0" w:color="auto"/>
            <w:left w:val="none" w:sz="0" w:space="0" w:color="auto"/>
            <w:bottom w:val="none" w:sz="0" w:space="0" w:color="auto"/>
            <w:right w:val="none" w:sz="0" w:space="0" w:color="auto"/>
          </w:divBdr>
        </w:div>
        <w:div w:id="2115977870">
          <w:marLeft w:val="2160"/>
          <w:marRight w:val="0"/>
          <w:marTop w:val="0"/>
          <w:marBottom w:val="101"/>
          <w:divBdr>
            <w:top w:val="none" w:sz="0" w:space="0" w:color="auto"/>
            <w:left w:val="none" w:sz="0" w:space="0" w:color="auto"/>
            <w:bottom w:val="none" w:sz="0" w:space="0" w:color="auto"/>
            <w:right w:val="none" w:sz="0" w:space="0" w:color="auto"/>
          </w:divBdr>
        </w:div>
        <w:div w:id="2141872055">
          <w:marLeft w:val="720"/>
          <w:marRight w:val="0"/>
          <w:marTop w:val="0"/>
          <w:marBottom w:val="101"/>
          <w:divBdr>
            <w:top w:val="none" w:sz="0" w:space="0" w:color="auto"/>
            <w:left w:val="none" w:sz="0" w:space="0" w:color="auto"/>
            <w:bottom w:val="none" w:sz="0" w:space="0" w:color="auto"/>
            <w:right w:val="none" w:sz="0" w:space="0" w:color="auto"/>
          </w:divBdr>
        </w:div>
      </w:divsChild>
    </w:div>
    <w:div w:id="1462991436">
      <w:bodyDiv w:val="1"/>
      <w:marLeft w:val="0"/>
      <w:marRight w:val="0"/>
      <w:marTop w:val="0"/>
      <w:marBottom w:val="0"/>
      <w:divBdr>
        <w:top w:val="none" w:sz="0" w:space="0" w:color="auto"/>
        <w:left w:val="none" w:sz="0" w:space="0" w:color="auto"/>
        <w:bottom w:val="none" w:sz="0" w:space="0" w:color="auto"/>
        <w:right w:val="none" w:sz="0" w:space="0" w:color="auto"/>
      </w:divBdr>
      <w:divsChild>
        <w:div w:id="1247574170">
          <w:marLeft w:val="0"/>
          <w:marRight w:val="0"/>
          <w:marTop w:val="0"/>
          <w:marBottom w:val="101"/>
          <w:divBdr>
            <w:top w:val="none" w:sz="0" w:space="0" w:color="auto"/>
            <w:left w:val="none" w:sz="0" w:space="0" w:color="auto"/>
            <w:bottom w:val="none" w:sz="0" w:space="0" w:color="auto"/>
            <w:right w:val="none" w:sz="0" w:space="0" w:color="auto"/>
          </w:divBdr>
        </w:div>
        <w:div w:id="1611624922">
          <w:marLeft w:val="0"/>
          <w:marRight w:val="0"/>
          <w:marTop w:val="0"/>
          <w:marBottom w:val="101"/>
          <w:divBdr>
            <w:top w:val="none" w:sz="0" w:space="0" w:color="auto"/>
            <w:left w:val="none" w:sz="0" w:space="0" w:color="auto"/>
            <w:bottom w:val="none" w:sz="0" w:space="0" w:color="auto"/>
            <w:right w:val="none" w:sz="0" w:space="0" w:color="auto"/>
          </w:divBdr>
        </w:div>
        <w:div w:id="1654528257">
          <w:marLeft w:val="0"/>
          <w:marRight w:val="0"/>
          <w:marTop w:val="0"/>
          <w:marBottom w:val="101"/>
          <w:divBdr>
            <w:top w:val="none" w:sz="0" w:space="0" w:color="auto"/>
            <w:left w:val="none" w:sz="0" w:space="0" w:color="auto"/>
            <w:bottom w:val="none" w:sz="0" w:space="0" w:color="auto"/>
            <w:right w:val="none" w:sz="0" w:space="0" w:color="auto"/>
          </w:divBdr>
        </w:div>
        <w:div w:id="1769888686">
          <w:marLeft w:val="0"/>
          <w:marRight w:val="0"/>
          <w:marTop w:val="0"/>
          <w:marBottom w:val="101"/>
          <w:divBdr>
            <w:top w:val="none" w:sz="0" w:space="0" w:color="auto"/>
            <w:left w:val="none" w:sz="0" w:space="0" w:color="auto"/>
            <w:bottom w:val="none" w:sz="0" w:space="0" w:color="auto"/>
            <w:right w:val="none" w:sz="0" w:space="0" w:color="auto"/>
          </w:divBdr>
        </w:div>
      </w:divsChild>
    </w:div>
    <w:div w:id="1694187874">
      <w:bodyDiv w:val="1"/>
      <w:marLeft w:val="0"/>
      <w:marRight w:val="0"/>
      <w:marTop w:val="0"/>
      <w:marBottom w:val="0"/>
      <w:divBdr>
        <w:top w:val="none" w:sz="0" w:space="0" w:color="auto"/>
        <w:left w:val="none" w:sz="0" w:space="0" w:color="auto"/>
        <w:bottom w:val="none" w:sz="0" w:space="0" w:color="auto"/>
        <w:right w:val="none" w:sz="0" w:space="0" w:color="auto"/>
      </w:divBdr>
    </w:div>
    <w:div w:id="1718316582">
      <w:bodyDiv w:val="1"/>
      <w:marLeft w:val="0"/>
      <w:marRight w:val="0"/>
      <w:marTop w:val="0"/>
      <w:marBottom w:val="0"/>
      <w:divBdr>
        <w:top w:val="none" w:sz="0" w:space="0" w:color="auto"/>
        <w:left w:val="none" w:sz="0" w:space="0" w:color="auto"/>
        <w:bottom w:val="none" w:sz="0" w:space="0" w:color="auto"/>
        <w:right w:val="none" w:sz="0" w:space="0" w:color="auto"/>
      </w:divBdr>
    </w:div>
    <w:div w:id="1837838079">
      <w:bodyDiv w:val="1"/>
      <w:marLeft w:val="0"/>
      <w:marRight w:val="0"/>
      <w:marTop w:val="0"/>
      <w:marBottom w:val="0"/>
      <w:divBdr>
        <w:top w:val="none" w:sz="0" w:space="0" w:color="auto"/>
        <w:left w:val="none" w:sz="0" w:space="0" w:color="auto"/>
        <w:bottom w:val="none" w:sz="0" w:space="0" w:color="auto"/>
        <w:right w:val="none" w:sz="0" w:space="0" w:color="auto"/>
      </w:divBdr>
      <w:divsChild>
        <w:div w:id="165484865">
          <w:marLeft w:val="1440"/>
          <w:marRight w:val="0"/>
          <w:marTop w:val="0"/>
          <w:marBottom w:val="101"/>
          <w:divBdr>
            <w:top w:val="none" w:sz="0" w:space="0" w:color="auto"/>
            <w:left w:val="none" w:sz="0" w:space="0" w:color="auto"/>
            <w:bottom w:val="none" w:sz="0" w:space="0" w:color="auto"/>
            <w:right w:val="none" w:sz="0" w:space="0" w:color="auto"/>
          </w:divBdr>
        </w:div>
        <w:div w:id="437065321">
          <w:marLeft w:val="720"/>
          <w:marRight w:val="0"/>
          <w:marTop w:val="0"/>
          <w:marBottom w:val="101"/>
          <w:divBdr>
            <w:top w:val="none" w:sz="0" w:space="0" w:color="auto"/>
            <w:left w:val="none" w:sz="0" w:space="0" w:color="auto"/>
            <w:bottom w:val="none" w:sz="0" w:space="0" w:color="auto"/>
            <w:right w:val="none" w:sz="0" w:space="0" w:color="auto"/>
          </w:divBdr>
        </w:div>
        <w:div w:id="498035797">
          <w:marLeft w:val="720"/>
          <w:marRight w:val="0"/>
          <w:marTop w:val="0"/>
          <w:marBottom w:val="101"/>
          <w:divBdr>
            <w:top w:val="none" w:sz="0" w:space="0" w:color="auto"/>
            <w:left w:val="none" w:sz="0" w:space="0" w:color="auto"/>
            <w:bottom w:val="none" w:sz="0" w:space="0" w:color="auto"/>
            <w:right w:val="none" w:sz="0" w:space="0" w:color="auto"/>
          </w:divBdr>
        </w:div>
        <w:div w:id="498161743">
          <w:marLeft w:val="1440"/>
          <w:marRight w:val="0"/>
          <w:marTop w:val="0"/>
          <w:marBottom w:val="101"/>
          <w:divBdr>
            <w:top w:val="none" w:sz="0" w:space="0" w:color="auto"/>
            <w:left w:val="none" w:sz="0" w:space="0" w:color="auto"/>
            <w:bottom w:val="none" w:sz="0" w:space="0" w:color="auto"/>
            <w:right w:val="none" w:sz="0" w:space="0" w:color="auto"/>
          </w:divBdr>
        </w:div>
        <w:div w:id="589701263">
          <w:marLeft w:val="720"/>
          <w:marRight w:val="0"/>
          <w:marTop w:val="0"/>
          <w:marBottom w:val="101"/>
          <w:divBdr>
            <w:top w:val="none" w:sz="0" w:space="0" w:color="auto"/>
            <w:left w:val="none" w:sz="0" w:space="0" w:color="auto"/>
            <w:bottom w:val="none" w:sz="0" w:space="0" w:color="auto"/>
            <w:right w:val="none" w:sz="0" w:space="0" w:color="auto"/>
          </w:divBdr>
        </w:div>
        <w:div w:id="647823720">
          <w:marLeft w:val="720"/>
          <w:marRight w:val="0"/>
          <w:marTop w:val="0"/>
          <w:marBottom w:val="101"/>
          <w:divBdr>
            <w:top w:val="none" w:sz="0" w:space="0" w:color="auto"/>
            <w:left w:val="none" w:sz="0" w:space="0" w:color="auto"/>
            <w:bottom w:val="none" w:sz="0" w:space="0" w:color="auto"/>
            <w:right w:val="none" w:sz="0" w:space="0" w:color="auto"/>
          </w:divBdr>
        </w:div>
        <w:div w:id="655493991">
          <w:marLeft w:val="720"/>
          <w:marRight w:val="0"/>
          <w:marTop w:val="0"/>
          <w:marBottom w:val="101"/>
          <w:divBdr>
            <w:top w:val="none" w:sz="0" w:space="0" w:color="auto"/>
            <w:left w:val="none" w:sz="0" w:space="0" w:color="auto"/>
            <w:bottom w:val="none" w:sz="0" w:space="0" w:color="auto"/>
            <w:right w:val="none" w:sz="0" w:space="0" w:color="auto"/>
          </w:divBdr>
        </w:div>
        <w:div w:id="1159921962">
          <w:marLeft w:val="1440"/>
          <w:marRight w:val="0"/>
          <w:marTop w:val="0"/>
          <w:marBottom w:val="101"/>
          <w:divBdr>
            <w:top w:val="none" w:sz="0" w:space="0" w:color="auto"/>
            <w:left w:val="none" w:sz="0" w:space="0" w:color="auto"/>
            <w:bottom w:val="none" w:sz="0" w:space="0" w:color="auto"/>
            <w:right w:val="none" w:sz="0" w:space="0" w:color="auto"/>
          </w:divBdr>
        </w:div>
        <w:div w:id="1242717800">
          <w:marLeft w:val="720"/>
          <w:marRight w:val="0"/>
          <w:marTop w:val="0"/>
          <w:marBottom w:val="101"/>
          <w:divBdr>
            <w:top w:val="none" w:sz="0" w:space="0" w:color="auto"/>
            <w:left w:val="none" w:sz="0" w:space="0" w:color="auto"/>
            <w:bottom w:val="none" w:sz="0" w:space="0" w:color="auto"/>
            <w:right w:val="none" w:sz="0" w:space="0" w:color="auto"/>
          </w:divBdr>
        </w:div>
        <w:div w:id="1325820473">
          <w:marLeft w:val="1440"/>
          <w:marRight w:val="0"/>
          <w:marTop w:val="0"/>
          <w:marBottom w:val="101"/>
          <w:divBdr>
            <w:top w:val="none" w:sz="0" w:space="0" w:color="auto"/>
            <w:left w:val="none" w:sz="0" w:space="0" w:color="auto"/>
            <w:bottom w:val="none" w:sz="0" w:space="0" w:color="auto"/>
            <w:right w:val="none" w:sz="0" w:space="0" w:color="auto"/>
          </w:divBdr>
        </w:div>
        <w:div w:id="1467165840">
          <w:marLeft w:val="720"/>
          <w:marRight w:val="0"/>
          <w:marTop w:val="0"/>
          <w:marBottom w:val="101"/>
          <w:divBdr>
            <w:top w:val="none" w:sz="0" w:space="0" w:color="auto"/>
            <w:left w:val="none" w:sz="0" w:space="0" w:color="auto"/>
            <w:bottom w:val="none" w:sz="0" w:space="0" w:color="auto"/>
            <w:right w:val="none" w:sz="0" w:space="0" w:color="auto"/>
          </w:divBdr>
        </w:div>
        <w:div w:id="1489520838">
          <w:marLeft w:val="1440"/>
          <w:marRight w:val="0"/>
          <w:marTop w:val="0"/>
          <w:marBottom w:val="101"/>
          <w:divBdr>
            <w:top w:val="none" w:sz="0" w:space="0" w:color="auto"/>
            <w:left w:val="none" w:sz="0" w:space="0" w:color="auto"/>
            <w:bottom w:val="none" w:sz="0" w:space="0" w:color="auto"/>
            <w:right w:val="none" w:sz="0" w:space="0" w:color="auto"/>
          </w:divBdr>
        </w:div>
        <w:div w:id="1685086726">
          <w:marLeft w:val="1440"/>
          <w:marRight w:val="0"/>
          <w:marTop w:val="0"/>
          <w:marBottom w:val="101"/>
          <w:divBdr>
            <w:top w:val="none" w:sz="0" w:space="0" w:color="auto"/>
            <w:left w:val="none" w:sz="0" w:space="0" w:color="auto"/>
            <w:bottom w:val="none" w:sz="0" w:space="0" w:color="auto"/>
            <w:right w:val="none" w:sz="0" w:space="0" w:color="auto"/>
          </w:divBdr>
        </w:div>
        <w:div w:id="1938323583">
          <w:marLeft w:val="144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3C656-8393-40B7-95D1-07E61ABD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8881</Words>
  <Characters>48849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Camarena Bustos</dc:creator>
  <cp:keywords/>
  <dc:description/>
  <cp:lastModifiedBy>Cesar Vicente Perez Gaytan</cp:lastModifiedBy>
  <cp:revision>2</cp:revision>
  <dcterms:created xsi:type="dcterms:W3CDTF">2018-03-12T21:56:00Z</dcterms:created>
  <dcterms:modified xsi:type="dcterms:W3CDTF">2018-03-12T21:56:00Z</dcterms:modified>
</cp:coreProperties>
</file>