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9F579" w14:textId="77777777" w:rsidR="009E3CFE" w:rsidRDefault="00A06EE5" w:rsidP="009E3CFE">
      <w:pPr>
        <w:keepNext/>
        <w:jc w:val="both"/>
        <w:outlineLvl w:val="1"/>
        <w:rPr>
          <w:rFonts w:ascii="ITC Avant Garde" w:eastAsia="Times New Roman" w:hAnsi="ITC Avant Garde"/>
          <w:b/>
          <w:bCs/>
          <w:lang w:val="es-ES" w:eastAsia="es-ES"/>
        </w:rPr>
      </w:pPr>
      <w:bookmarkStart w:id="0" w:name="_GoBack"/>
      <w:bookmarkEnd w:id="0"/>
      <w:r w:rsidRPr="00746B6C">
        <w:rPr>
          <w:rFonts w:ascii="ITC Avant Garde" w:eastAsia="Times New Roman" w:hAnsi="ITC Avant Garde"/>
          <w:b/>
          <w:bCs/>
          <w:lang w:val="es-ES" w:eastAsia="es-ES"/>
        </w:rPr>
        <w:t xml:space="preserve">RESOLUCIÓN MEDIANTE LA CUAL EL PLENO DEL INSTITUTO FEDERAL DE TELECOMUNICACIONES </w:t>
      </w:r>
      <w:r w:rsidR="00084280" w:rsidRPr="00746B6C">
        <w:rPr>
          <w:rFonts w:ascii="ITC Avant Garde" w:eastAsia="Times New Roman" w:hAnsi="ITC Avant Garde"/>
          <w:b/>
          <w:bCs/>
          <w:lang w:val="es-ES" w:eastAsia="es-ES"/>
        </w:rPr>
        <w:t>EN CUMPLIMIENTO A LA EJEC</w:t>
      </w:r>
      <w:r w:rsidR="00C6288B" w:rsidRPr="00746B6C">
        <w:rPr>
          <w:rFonts w:ascii="ITC Avant Garde" w:eastAsia="Times New Roman" w:hAnsi="ITC Avant Garde"/>
          <w:b/>
          <w:bCs/>
          <w:lang w:val="es-ES" w:eastAsia="es-ES"/>
        </w:rPr>
        <w:t>UTORIA DEL AMPARO EN REVISIÓN 159</w:t>
      </w:r>
      <w:r w:rsidR="00084280" w:rsidRPr="00746B6C">
        <w:rPr>
          <w:rFonts w:ascii="ITC Avant Garde" w:eastAsia="Times New Roman" w:hAnsi="ITC Avant Garde"/>
          <w:b/>
          <w:bCs/>
          <w:lang w:val="es-ES" w:eastAsia="es-ES"/>
        </w:rPr>
        <w:t>/2016 DEJA INSUBSISTENTE EL ACUERDO P/IFT/</w:t>
      </w:r>
      <w:r w:rsidR="00C6288B" w:rsidRPr="00746B6C">
        <w:rPr>
          <w:rFonts w:ascii="ITC Avant Garde" w:eastAsia="Times New Roman" w:hAnsi="ITC Avant Garde"/>
          <w:b/>
          <w:bCs/>
          <w:lang w:val="es-ES" w:eastAsia="es-ES"/>
        </w:rPr>
        <w:t>EXT/071015/130</w:t>
      </w:r>
      <w:r w:rsidR="0087241E" w:rsidRPr="00746B6C">
        <w:rPr>
          <w:rFonts w:ascii="ITC Avant Garde" w:eastAsia="Times New Roman" w:hAnsi="ITC Avant Garde"/>
          <w:b/>
          <w:bCs/>
          <w:lang w:val="es-ES" w:eastAsia="es-ES"/>
        </w:rPr>
        <w:t xml:space="preserve"> Y</w:t>
      </w:r>
      <w:r w:rsidR="00084280" w:rsidRPr="00746B6C">
        <w:rPr>
          <w:rFonts w:ascii="ITC Avant Garde" w:eastAsia="Times New Roman" w:hAnsi="ITC Avant Garde"/>
          <w:b/>
          <w:bCs/>
          <w:lang w:val="es-ES" w:eastAsia="es-ES"/>
        </w:rPr>
        <w:t xml:space="preserve"> DETERMINA LAS CONDICIONES DE INTERCONEXIÓN NO CONVENIDAS ENTRE</w:t>
      </w:r>
      <w:r w:rsidR="000227F0" w:rsidRPr="00746B6C">
        <w:t xml:space="preserve"> </w:t>
      </w:r>
      <w:r w:rsidR="000227F0" w:rsidRPr="00746B6C">
        <w:rPr>
          <w:rFonts w:ascii="ITC Avant Garde" w:eastAsia="Times New Roman" w:hAnsi="ITC Avant Garde"/>
          <w:b/>
          <w:bCs/>
          <w:lang w:val="es-ES" w:eastAsia="es-ES"/>
        </w:rPr>
        <w:t>RADIOMÓVIL DIPSA, S.A. DE C.V. Y LAS EMPRESAS CABLEMÁS TELECOMUNICACIONES, S.A. DE C.V., TV CABLE DE ORIENTE, S.A. DE C.V., TELE AZTECA, S.A. DE C.V. Y MÉXICO RED DE TELECOMUNICACIONES, S. DE R.L. DE C.V.</w:t>
      </w:r>
      <w:r w:rsidR="00293492" w:rsidRPr="00746B6C">
        <w:rPr>
          <w:rFonts w:ascii="ITC Avant Garde" w:eastAsia="Times New Roman" w:hAnsi="ITC Avant Garde"/>
          <w:b/>
          <w:bCs/>
          <w:lang w:val="es-ES" w:eastAsia="es-ES"/>
        </w:rPr>
        <w:t>,</w:t>
      </w:r>
      <w:r w:rsidR="000227F0" w:rsidRPr="00746B6C">
        <w:rPr>
          <w:rFonts w:ascii="ITC Avant Garde" w:eastAsia="Times New Roman" w:hAnsi="ITC Avant Garde"/>
          <w:b/>
          <w:bCs/>
          <w:lang w:val="es-ES" w:eastAsia="es-ES"/>
        </w:rPr>
        <w:t xml:space="preserve"> APLICABLES DEL 1 ENERO DE 2015 AL 31 DE DICIEM</w:t>
      </w:r>
      <w:r w:rsidR="0087241E" w:rsidRPr="00746B6C">
        <w:rPr>
          <w:rFonts w:ascii="ITC Avant Garde" w:eastAsia="Times New Roman" w:hAnsi="ITC Avant Garde"/>
          <w:b/>
          <w:bCs/>
          <w:lang w:val="es-ES" w:eastAsia="es-ES"/>
        </w:rPr>
        <w:t>BRE DE 2016.</w:t>
      </w:r>
    </w:p>
    <w:p w14:paraId="697BCD86" w14:textId="77777777" w:rsidR="009E3CFE" w:rsidRDefault="00C25F00" w:rsidP="009E3CFE">
      <w:pPr>
        <w:pStyle w:val="Ttulo3"/>
        <w:keepNext w:val="0"/>
        <w:widowControl w:val="0"/>
        <w:spacing w:after="200" w:line="276" w:lineRule="auto"/>
        <w:ind w:left="0"/>
        <w:jc w:val="center"/>
        <w:rPr>
          <w:rFonts w:ascii="ITC Avant Garde" w:hAnsi="ITC Avant Garde" w:cs="Times New Roman"/>
          <w:szCs w:val="22"/>
        </w:rPr>
      </w:pPr>
      <w:r w:rsidRPr="00746B6C">
        <w:rPr>
          <w:rFonts w:ascii="ITC Avant Garde" w:hAnsi="ITC Avant Garde" w:cs="Times New Roman"/>
          <w:szCs w:val="22"/>
        </w:rPr>
        <w:t>ANTECEDENTES</w:t>
      </w:r>
    </w:p>
    <w:p w14:paraId="08F77CF4" w14:textId="77777777" w:rsidR="009E3CFE" w:rsidRDefault="00293492" w:rsidP="009E3CFE">
      <w:pPr>
        <w:numPr>
          <w:ilvl w:val="0"/>
          <w:numId w:val="1"/>
        </w:numPr>
        <w:tabs>
          <w:tab w:val="clear" w:pos="680"/>
          <w:tab w:val="num" w:pos="709"/>
          <w:tab w:val="left" w:pos="9356"/>
        </w:tabs>
        <w:ind w:left="567" w:right="107" w:hanging="425"/>
        <w:jc w:val="both"/>
        <w:rPr>
          <w:rFonts w:ascii="ITC Avant Garde" w:hAnsi="ITC Avant Garde"/>
          <w:b/>
          <w:bCs/>
          <w:lang w:val="es-ES"/>
        </w:rPr>
      </w:pPr>
      <w:r w:rsidRPr="00746B6C">
        <w:rPr>
          <w:rFonts w:ascii="ITC Avant Garde" w:hAnsi="ITC Avant Garde"/>
          <w:b/>
        </w:rPr>
        <w:t>Radiomóvil Dipsa, S.A. de C.V.</w:t>
      </w:r>
      <w:r w:rsidR="00577A31" w:rsidRPr="00746B6C">
        <w:rPr>
          <w:rFonts w:ascii="ITC Avant Garde" w:hAnsi="ITC Avant Garde" w:cs="Arial"/>
          <w:b/>
          <w:bCs/>
        </w:rPr>
        <w:t xml:space="preserve">, </w:t>
      </w:r>
      <w:r w:rsidR="00A10EC9" w:rsidRPr="00746B6C">
        <w:rPr>
          <w:rFonts w:ascii="ITC Avant Garde" w:hAnsi="ITC Avant Garde" w:cs="Arial"/>
          <w:b/>
        </w:rPr>
        <w:t>(en lo sucesivo, “Tel</w:t>
      </w:r>
      <w:r w:rsidRPr="00746B6C">
        <w:rPr>
          <w:rFonts w:ascii="ITC Avant Garde" w:hAnsi="ITC Avant Garde" w:cs="Arial"/>
          <w:b/>
        </w:rPr>
        <w:t>cel</w:t>
      </w:r>
      <w:r w:rsidR="00A10EC9" w:rsidRPr="00746B6C">
        <w:rPr>
          <w:rFonts w:ascii="ITC Avant Garde" w:hAnsi="ITC Avant Garde" w:cs="Arial"/>
          <w:b/>
        </w:rPr>
        <w:t>”),</w:t>
      </w:r>
      <w:r w:rsidR="00577A31" w:rsidRPr="00746B6C">
        <w:rPr>
          <w:rFonts w:ascii="ITC Avant Garde" w:hAnsi="ITC Avant Garde" w:cs="Arial"/>
        </w:rPr>
        <w:t xml:space="preserve"> </w:t>
      </w:r>
      <w:r w:rsidR="00577A31" w:rsidRPr="00746B6C">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0F75B163" w14:textId="77777777" w:rsidR="009E3CFE" w:rsidRDefault="00293492" w:rsidP="009E3CFE">
      <w:pPr>
        <w:numPr>
          <w:ilvl w:val="0"/>
          <w:numId w:val="1"/>
        </w:numPr>
        <w:tabs>
          <w:tab w:val="clear" w:pos="680"/>
          <w:tab w:val="num" w:pos="709"/>
          <w:tab w:val="left" w:pos="9356"/>
        </w:tabs>
        <w:ind w:left="567" w:right="107" w:hanging="425"/>
        <w:jc w:val="both"/>
        <w:rPr>
          <w:rFonts w:ascii="ITC Avant Garde" w:hAnsi="ITC Avant Garde" w:cs="Arial"/>
          <w:b/>
          <w:snapToGrid w:val="0"/>
        </w:rPr>
      </w:pPr>
      <w:r w:rsidRPr="00746B6C">
        <w:rPr>
          <w:rFonts w:ascii="ITC Avant Garde" w:eastAsia="Times New Roman" w:hAnsi="ITC Avant Garde"/>
          <w:b/>
          <w:bCs/>
          <w:lang w:val="es-ES" w:eastAsia="es-ES"/>
        </w:rPr>
        <w:t xml:space="preserve">Cablemás Telecomunicaciones, S.A. de C.V., TV Cable de Oriente, S.A. de C.V., Tele Azteca, S.A. de C.V. y México Red de Telecomunicaciones, S. de R.L. de C.V., </w:t>
      </w:r>
      <w:r w:rsidR="00577A31" w:rsidRPr="00746B6C">
        <w:rPr>
          <w:rFonts w:ascii="ITC Avant Garde" w:hAnsi="ITC Avant Garde" w:cs="Arial"/>
          <w:b/>
          <w:snapToGrid w:val="0"/>
        </w:rPr>
        <w:t xml:space="preserve">(en lo sucesivo, </w:t>
      </w:r>
      <w:r w:rsidRPr="00746B6C">
        <w:rPr>
          <w:rFonts w:ascii="ITC Avant Garde" w:hAnsi="ITC Avant Garde" w:cs="Arial"/>
          <w:b/>
          <w:snapToGrid w:val="0"/>
        </w:rPr>
        <w:t xml:space="preserve">conjuntamente </w:t>
      </w:r>
      <w:r w:rsidR="00577A31" w:rsidRPr="00746B6C">
        <w:rPr>
          <w:rFonts w:ascii="ITC Avant Garde" w:hAnsi="ITC Avant Garde" w:cs="Arial"/>
          <w:b/>
          <w:snapToGrid w:val="0"/>
        </w:rPr>
        <w:t>“</w:t>
      </w:r>
      <w:r w:rsidRPr="00746B6C">
        <w:rPr>
          <w:rFonts w:ascii="ITC Avant Garde" w:hAnsi="ITC Avant Garde" w:cs="Arial"/>
          <w:b/>
          <w:snapToGrid w:val="0"/>
        </w:rPr>
        <w:t>Grupo Televisa</w:t>
      </w:r>
      <w:r w:rsidR="00577A31" w:rsidRPr="00746B6C">
        <w:rPr>
          <w:rFonts w:ascii="ITC Avant Garde" w:hAnsi="ITC Avant Garde" w:cs="Arial"/>
          <w:b/>
          <w:snapToGrid w:val="0"/>
        </w:rPr>
        <w:t>”)</w:t>
      </w:r>
      <w:r w:rsidRPr="00746B6C">
        <w:rPr>
          <w:rFonts w:ascii="ITC Avant Garde" w:hAnsi="ITC Avant Garde" w:cs="Arial"/>
          <w:b/>
          <w:snapToGrid w:val="0"/>
        </w:rPr>
        <w:t>,</w:t>
      </w:r>
      <w:r w:rsidR="00577A31" w:rsidRPr="00746B6C">
        <w:rPr>
          <w:rFonts w:ascii="ITC Avant Garde" w:hAnsi="ITC Avant Garde" w:cs="Arial"/>
          <w:snapToGrid w:val="0"/>
        </w:rPr>
        <w:t xml:space="preserve"> </w:t>
      </w:r>
      <w:r w:rsidRPr="00746B6C">
        <w:rPr>
          <w:rFonts w:ascii="ITC Avant Garde" w:hAnsi="ITC Avant Garde" w:cs="Arial"/>
          <w:snapToGrid w:val="0"/>
        </w:rPr>
        <w:t xml:space="preserve">son </w:t>
      </w:r>
      <w:r w:rsidR="00577A31" w:rsidRPr="00746B6C">
        <w:rPr>
          <w:rFonts w:ascii="ITC Avant Garde" w:hAnsi="ITC Avant Garde" w:cs="Arial"/>
          <w:snapToGrid w:val="0"/>
        </w:rPr>
        <w:t>concesionario</w:t>
      </w:r>
      <w:r w:rsidRPr="00746B6C">
        <w:rPr>
          <w:rFonts w:ascii="ITC Avant Garde" w:hAnsi="ITC Avant Garde" w:cs="Arial"/>
          <w:snapToGrid w:val="0"/>
        </w:rPr>
        <w:t>s</w:t>
      </w:r>
      <w:r w:rsidR="00577A31" w:rsidRPr="00746B6C">
        <w:rPr>
          <w:rFonts w:ascii="ITC Avant Garde" w:hAnsi="ITC Avant Garde" w:cs="Arial"/>
          <w:snapToGrid w:val="0"/>
        </w:rPr>
        <w:t xml:space="preserve"> que cuenta</w:t>
      </w:r>
      <w:r w:rsidRPr="00746B6C">
        <w:rPr>
          <w:rFonts w:ascii="ITC Avant Garde" w:hAnsi="ITC Avant Garde" w:cs="Arial"/>
          <w:snapToGrid w:val="0"/>
        </w:rPr>
        <w:t>n</w:t>
      </w:r>
      <w:r w:rsidR="00577A31" w:rsidRPr="00746B6C">
        <w:rPr>
          <w:rFonts w:ascii="ITC Avant Garde" w:hAnsi="ITC Avant Garde" w:cs="Arial"/>
          <w:snapToGrid w:val="0"/>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204481D4" w14:textId="77777777" w:rsidR="009E3CFE" w:rsidRDefault="00586F9B" w:rsidP="009E3CFE">
      <w:pPr>
        <w:tabs>
          <w:tab w:val="left" w:pos="9356"/>
        </w:tabs>
        <w:ind w:left="567" w:right="107"/>
        <w:jc w:val="both"/>
        <w:rPr>
          <w:rFonts w:ascii="ITC Avant Garde" w:hAnsi="ITC Avant Garde" w:cs="Arial"/>
          <w:snapToGrid w:val="0"/>
        </w:rPr>
      </w:pPr>
      <w:r w:rsidRPr="00746B6C">
        <w:rPr>
          <w:rFonts w:ascii="ITC Avant Garde" w:hAnsi="ITC Avant Garde"/>
          <w:bCs/>
        </w:rPr>
        <w:t>El 1 de agosto de 2016, Grupo Televisa informó de la fusión de la empresa TV Cable de Oriente, S.A. de C.V. en su carácter de fusionante y las empresas Tlaxcable, S.A. de C.V., Grupo Cable TV de San Luis Potosí, S.A. de C.V. y Televisión por Cable de Tabasco, S.A. de C.V., en su carácter de fusionadas, así como la fusión de la empresa Cablemás Telecomunicaciones, S.A. de C.V. en su carácter de fusionante y las empresas TVI Nacional, S.A. de C.V. y Tele Cable del Estado de México, S.A. de C.V., en su carácter de fusionadas.</w:t>
      </w:r>
    </w:p>
    <w:p w14:paraId="3F5F2EF1" w14:textId="77777777" w:rsidR="009E3CFE" w:rsidRDefault="00111E9B" w:rsidP="009E3CFE">
      <w:pPr>
        <w:numPr>
          <w:ilvl w:val="0"/>
          <w:numId w:val="1"/>
        </w:numPr>
        <w:tabs>
          <w:tab w:val="clear" w:pos="680"/>
          <w:tab w:val="num" w:pos="709"/>
          <w:tab w:val="left" w:pos="9356"/>
        </w:tabs>
        <w:ind w:left="567" w:right="107" w:hanging="425"/>
        <w:jc w:val="both"/>
        <w:rPr>
          <w:rFonts w:ascii="ITC Avant Garde" w:eastAsia="Times New Roman" w:hAnsi="ITC Avant Garde"/>
          <w:lang w:val="es-ES" w:eastAsia="es-ES"/>
        </w:rPr>
      </w:pPr>
      <w:r w:rsidRPr="00746B6C">
        <w:rPr>
          <w:rFonts w:ascii="ITC Avant Garde" w:eastAsia="Times New Roman" w:hAnsi="ITC Avant Garde"/>
          <w:b/>
          <w:lang w:val="es-ES" w:eastAsia="es-ES"/>
        </w:rPr>
        <w:t xml:space="preserve">Determinación del Agente Económico Preponderante. </w:t>
      </w:r>
      <w:r w:rsidRPr="00746B6C">
        <w:rPr>
          <w:rFonts w:ascii="ITC Avant Garde" w:eastAsia="Times New Roman" w:hAnsi="ITC Avant Garde"/>
          <w:lang w:val="es-ES" w:eastAsia="es-ES"/>
        </w:rPr>
        <w:t xml:space="preserve">El 6 de marzo de 2014, el Pleno del Instituto, en su V Sesión Extraordinaria aprobó la </w:t>
      </w:r>
      <w:r w:rsidRPr="00746B6C">
        <w:rPr>
          <w:rFonts w:ascii="ITC Avant Garde" w:eastAsia="Times New Roman" w:hAnsi="ITC Avant Garde"/>
          <w:i/>
          <w:lang w:val="es-ES" w:eastAsia="es-ES"/>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w:t>
      </w:r>
      <w:r w:rsidRPr="00746B6C">
        <w:rPr>
          <w:rFonts w:ascii="ITC Avant Garde" w:eastAsia="Times New Roman" w:hAnsi="ITC Avant Garde"/>
          <w:i/>
          <w:lang w:val="es-ES" w:eastAsia="es-ES"/>
        </w:rPr>
        <w:lastRenderedPageBreak/>
        <w:t>TELECOMUNICACIONES Y LE IMPONE LAS MEDIDAS NECESARIAS PARA EVITAR QUE SE AFECTE LA COMPETENCIA Y LA LIBRE CONCURRENCIA”,</w:t>
      </w:r>
      <w:r w:rsidRPr="00746B6C">
        <w:rPr>
          <w:rFonts w:ascii="ITC Avant Garde" w:eastAsia="Times New Roman" w:hAnsi="ITC Avant Garde"/>
          <w:lang w:val="es-ES" w:eastAsia="es-ES"/>
        </w:rPr>
        <w:t xml:space="preserve"> aprobada mediante Acuerdo P/IFT/EXT/060314/76 (en lo sucesivo, la “Resolución del AEP”).</w:t>
      </w:r>
    </w:p>
    <w:p w14:paraId="184F31DE" w14:textId="77777777" w:rsidR="009E3CFE" w:rsidRDefault="00111E9B" w:rsidP="009E3CFE">
      <w:pPr>
        <w:tabs>
          <w:tab w:val="left" w:pos="9356"/>
        </w:tabs>
        <w:ind w:left="567" w:right="107"/>
        <w:jc w:val="both"/>
        <w:rPr>
          <w:rFonts w:ascii="ITC Avant Garde" w:eastAsia="Times New Roman" w:hAnsi="ITC Avant Garde"/>
          <w:lang w:val="es-ES" w:eastAsia="es-ES"/>
        </w:rPr>
      </w:pPr>
      <w:r w:rsidRPr="00746B6C">
        <w:rPr>
          <w:rFonts w:ascii="ITC Avant Garde" w:hAnsi="ITC Avant Garde"/>
          <w:lang w:val="es-ES"/>
        </w:rPr>
        <w:t xml:space="preserve">Dentro del Acuerdo P/IFT/EXT/060314/76 como Anexo 1, el Pleno del Instituto aprobó las </w:t>
      </w:r>
      <w:r w:rsidRPr="00746B6C">
        <w:rPr>
          <w:rFonts w:ascii="ITC Avant Garde" w:hAnsi="ITC Avant Garde"/>
          <w:i/>
          <w:lang w:val="es-ES"/>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Pr="00746B6C">
        <w:rPr>
          <w:rFonts w:ascii="ITC Avant Garde" w:hAnsi="ITC Avant Garde"/>
          <w:lang w:val="es-ES"/>
        </w:rPr>
        <w:t xml:space="preserve"> (en lo sucesivo, las “Medidas Móviles”).</w:t>
      </w:r>
    </w:p>
    <w:p w14:paraId="6A006D85" w14:textId="77777777" w:rsidR="009E3CFE" w:rsidRDefault="00DC4719" w:rsidP="009E3CFE">
      <w:pPr>
        <w:numPr>
          <w:ilvl w:val="0"/>
          <w:numId w:val="1"/>
        </w:numPr>
        <w:tabs>
          <w:tab w:val="num" w:pos="567"/>
        </w:tabs>
        <w:ind w:left="567" w:right="45" w:hanging="567"/>
        <w:jc w:val="both"/>
        <w:rPr>
          <w:rFonts w:ascii="ITC Avant Garde" w:hAnsi="ITC Avant Garde" w:cs="Arial"/>
          <w:bCs/>
          <w:i/>
        </w:rPr>
      </w:pPr>
      <w:r w:rsidRPr="00746B6C">
        <w:rPr>
          <w:rFonts w:ascii="ITC Avant Garde" w:hAnsi="ITC Avant Garde" w:cs="Arial"/>
          <w:b/>
          <w:bCs/>
        </w:rPr>
        <w:t xml:space="preserve">Metodología para el cálculo de costos de interconexión. </w:t>
      </w:r>
      <w:r w:rsidRPr="00746B6C">
        <w:rPr>
          <w:rFonts w:ascii="ITC Avant Garde" w:hAnsi="ITC Avant Garde" w:cs="Arial"/>
          <w:bCs/>
        </w:rPr>
        <w:t>El 18 de diciembre de 2014, el Instituto publicó en el DOF, el “</w:t>
      </w:r>
      <w:r w:rsidRPr="00746B6C">
        <w:rPr>
          <w:rFonts w:ascii="ITC Avant Garde" w:hAnsi="ITC Avant Garde" w:cs="Arial"/>
          <w:bCs/>
          <w:i/>
        </w:rPr>
        <w:t xml:space="preserve">ACUERDO </w:t>
      </w:r>
      <w:r w:rsidR="00157BBE" w:rsidRPr="00746B6C">
        <w:rPr>
          <w:rFonts w:ascii="ITC Avant Garde" w:hAnsi="ITC Avant Garde" w:cs="Arial"/>
          <w:bCs/>
          <w:i/>
        </w:rPr>
        <w:t>mediante el cual el</w:t>
      </w:r>
      <w:r w:rsidR="006B6E39" w:rsidRPr="00746B6C">
        <w:rPr>
          <w:rFonts w:ascii="ITC Avant Garde" w:hAnsi="ITC Avant Garde" w:cs="Arial"/>
          <w:bCs/>
          <w:i/>
        </w:rPr>
        <w:t xml:space="preserve"> </w:t>
      </w:r>
      <w:r w:rsidR="00157BBE" w:rsidRPr="00746B6C">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746B6C">
        <w:rPr>
          <w:rFonts w:ascii="ITC Avant Garde" w:hAnsi="ITC Avant Garde" w:cs="Arial"/>
          <w:bCs/>
          <w:i/>
        </w:rPr>
        <w:t xml:space="preserve">”, </w:t>
      </w:r>
      <w:r w:rsidRPr="00746B6C">
        <w:rPr>
          <w:rFonts w:ascii="ITC Avant Garde" w:hAnsi="ITC Avant Garde" w:cs="Arial"/>
          <w:bCs/>
        </w:rPr>
        <w:t>aprobado por el Pleno del Instituto mediante Acuerdo P/IFT/EXT//161214/277 (en lo</w:t>
      </w:r>
      <w:r w:rsidRPr="00746B6C">
        <w:rPr>
          <w:rFonts w:ascii="ITC Avant Garde" w:hAnsi="ITC Avant Garde" w:cs="Arial"/>
          <w:bCs/>
          <w:i/>
        </w:rPr>
        <w:t xml:space="preserve"> </w:t>
      </w:r>
      <w:r w:rsidRPr="00746B6C">
        <w:rPr>
          <w:rFonts w:ascii="ITC Avant Garde" w:hAnsi="ITC Avant Garde" w:cs="Arial"/>
          <w:bCs/>
        </w:rPr>
        <w:t>sucesivo la “Metodología de Costos”).</w:t>
      </w:r>
    </w:p>
    <w:p w14:paraId="3373F671" w14:textId="77777777" w:rsidR="009E3CFE" w:rsidRDefault="00750D8A" w:rsidP="009E3CFE">
      <w:pPr>
        <w:numPr>
          <w:ilvl w:val="0"/>
          <w:numId w:val="1"/>
        </w:numPr>
        <w:tabs>
          <w:tab w:val="clear" w:pos="680"/>
          <w:tab w:val="num" w:pos="567"/>
        </w:tabs>
        <w:ind w:left="567" w:hanging="567"/>
        <w:jc w:val="both"/>
        <w:rPr>
          <w:rFonts w:ascii="ITC Avant Garde" w:hAnsi="ITC Avant Garde" w:cs="Arial"/>
          <w:b/>
        </w:rPr>
      </w:pPr>
      <w:r w:rsidRPr="00746B6C">
        <w:rPr>
          <w:rFonts w:ascii="ITC Avant Garde" w:hAnsi="ITC Avant Garde" w:cs="Arial"/>
          <w:b/>
        </w:rPr>
        <w:t xml:space="preserve">Publicación de Tarifas de Interconexión del año 2015. </w:t>
      </w:r>
      <w:r w:rsidRPr="00746B6C">
        <w:rPr>
          <w:rFonts w:ascii="ITC Avant Garde" w:hAnsi="ITC Avant Garde" w:cs="Arial"/>
        </w:rPr>
        <w:t>El 29 de diciembre de 2014, el Instituto publicó en el DOF el “</w:t>
      </w:r>
      <w:r w:rsidRPr="00746B6C">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746B6C">
        <w:rPr>
          <w:rFonts w:ascii="ITC Avant Garde" w:hAnsi="ITC Avant Garde" w:cs="Arial"/>
        </w:rPr>
        <w:t xml:space="preserve"> aprobado mediante Acuerdo P/IFT/EXT/191214/284 (en lo sucesivo, el “Acuerdo de Tarifas 2015”).</w:t>
      </w:r>
    </w:p>
    <w:p w14:paraId="6DD38511" w14:textId="77777777" w:rsidR="009E3CFE" w:rsidRDefault="00A7512D" w:rsidP="009E3CFE">
      <w:pPr>
        <w:numPr>
          <w:ilvl w:val="0"/>
          <w:numId w:val="1"/>
        </w:numPr>
        <w:ind w:left="567" w:right="45" w:hanging="567"/>
        <w:jc w:val="both"/>
        <w:rPr>
          <w:rFonts w:ascii="ITC Avant Garde" w:hAnsi="ITC Avant Garde" w:cs="Arial"/>
          <w:b/>
        </w:rPr>
      </w:pPr>
      <w:r w:rsidRPr="00746B6C">
        <w:rPr>
          <w:rFonts w:ascii="ITC Avant Garde" w:hAnsi="ITC Avant Garde"/>
          <w:b/>
          <w:bCs/>
          <w:lang w:val="es-ES" w:eastAsia="es-ES"/>
        </w:rPr>
        <w:t>Sistema Electrónico de Solicitudes de Interconexión.</w:t>
      </w:r>
      <w:r w:rsidRPr="00746B6C">
        <w:rPr>
          <w:rFonts w:ascii="ITC Avant Garde" w:hAnsi="ITC Avant Garde"/>
          <w:bCs/>
          <w:lang w:val="es-ES" w:eastAsia="es-ES"/>
        </w:rPr>
        <w:t xml:space="preserve"> El 29 de diciembre de 2014 se publicó en el DOF el </w:t>
      </w:r>
      <w:r w:rsidRPr="00746B6C">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746B6C">
        <w:rPr>
          <w:rFonts w:ascii="ITC Avant Garde" w:hAnsi="ITC Avant Garde"/>
          <w:bCs/>
          <w:lang w:val="es-ES" w:eastAsia="es-ES"/>
        </w:rPr>
        <w:t>mediante el cual se estableció</w:t>
      </w:r>
      <w:r w:rsidR="005160CE" w:rsidRPr="00746B6C">
        <w:rPr>
          <w:rFonts w:ascii="ITC Avant Garde" w:hAnsi="ITC Avant Garde"/>
          <w:bCs/>
          <w:lang w:val="es-ES" w:eastAsia="es-ES"/>
        </w:rPr>
        <w:t xml:space="preserve"> el Sistema Electrónico de Solicitudes de Interconexión, (en lo sucesivo, el “SESI”).</w:t>
      </w:r>
    </w:p>
    <w:p w14:paraId="5ACB5D92" w14:textId="77777777" w:rsidR="009E3CFE" w:rsidRDefault="00111E9B" w:rsidP="009E3CFE">
      <w:pPr>
        <w:numPr>
          <w:ilvl w:val="0"/>
          <w:numId w:val="1"/>
        </w:numPr>
        <w:tabs>
          <w:tab w:val="clear" w:pos="680"/>
          <w:tab w:val="num" w:pos="567"/>
        </w:tabs>
        <w:ind w:left="567" w:hanging="567"/>
        <w:jc w:val="both"/>
        <w:rPr>
          <w:rFonts w:ascii="ITC Avant Garde" w:hAnsi="ITC Avant Garde"/>
          <w:bCs/>
          <w:lang w:val="es-ES" w:eastAsia="es-ES"/>
        </w:rPr>
      </w:pPr>
      <w:r w:rsidRPr="00746B6C">
        <w:rPr>
          <w:rFonts w:ascii="ITC Avant Garde" w:hAnsi="ITC Avant Garde"/>
          <w:b/>
          <w:bCs/>
          <w:lang w:val="es-ES" w:eastAsia="es-ES"/>
        </w:rPr>
        <w:t xml:space="preserve">Condiciones Técnicas Mínimas.- </w:t>
      </w:r>
      <w:r w:rsidRPr="00746B6C">
        <w:rPr>
          <w:rFonts w:ascii="ITC Avant Garde" w:hAnsi="ITC Avant Garde"/>
          <w:bCs/>
          <w:lang w:val="es-ES" w:eastAsia="es-ES"/>
        </w:rPr>
        <w:t xml:space="preserve">El 31 de diciembre de 2014 se publicó en el DOF, mediante acuerdo P/IFT/EXT/191214/283, el </w:t>
      </w:r>
      <w:r w:rsidRPr="00746B6C">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w:t>
      </w:r>
      <w:r w:rsidRPr="00746B6C">
        <w:rPr>
          <w:rFonts w:ascii="ITC Avant Garde" w:hAnsi="ITC Avant Garde"/>
          <w:bCs/>
          <w:lang w:val="es-ES" w:eastAsia="es-ES"/>
        </w:rPr>
        <w:t>, (en lo sucesivo, “Condiciones Técnicas Mínimas”).</w:t>
      </w:r>
    </w:p>
    <w:p w14:paraId="71D95C96" w14:textId="77777777" w:rsidR="009E3CFE" w:rsidRDefault="00394255" w:rsidP="009E3CFE">
      <w:pPr>
        <w:numPr>
          <w:ilvl w:val="0"/>
          <w:numId w:val="1"/>
        </w:numPr>
        <w:tabs>
          <w:tab w:val="clear" w:pos="680"/>
          <w:tab w:val="num" w:pos="567"/>
        </w:tabs>
        <w:ind w:left="567" w:hanging="567"/>
        <w:jc w:val="both"/>
        <w:rPr>
          <w:rFonts w:ascii="ITC Avant Garde" w:hAnsi="ITC Avant Garde"/>
          <w:bCs/>
          <w:lang w:val="es-ES"/>
        </w:rPr>
      </w:pPr>
      <w:r w:rsidRPr="00746B6C">
        <w:rPr>
          <w:rFonts w:ascii="ITC Avant Garde" w:eastAsia="Times New Roman" w:hAnsi="ITC Avant Garde"/>
          <w:b/>
          <w:bCs/>
          <w:lang w:val="es-ES" w:eastAsia="es-ES"/>
        </w:rPr>
        <w:lastRenderedPageBreak/>
        <w:t xml:space="preserve">Solicitud de resolución de condiciones de interconexión no convenidas. </w:t>
      </w:r>
      <w:r w:rsidR="006F5264" w:rsidRPr="00746B6C">
        <w:rPr>
          <w:rFonts w:ascii="ITC Avant Garde" w:hAnsi="ITC Avant Garde"/>
          <w:lang w:val="es-ES"/>
        </w:rPr>
        <w:t xml:space="preserve">. </w:t>
      </w:r>
      <w:r w:rsidR="006F5264" w:rsidRPr="00746B6C">
        <w:rPr>
          <w:rFonts w:ascii="ITC Avant Garde" w:hAnsi="ITC Avant Garde"/>
          <w:bCs/>
          <w:lang w:val="es-ES"/>
        </w:rPr>
        <w:t>El 5 de mayo de 2015, el representante legal de Telcel presentó ante el Instituto, escrito mediante el cual solicitó su intervención para resolver los términos, tarifas y condiciones que no pudo convenir con TVI Nacional, S.A. de C.V., Tlaxcable, S.A. de C.V., Grupo Cable TV de San Luis Potosí, S.A. de C.V., Tele Azteca, S.A. de C.V., Telecable del Estado de México, S.A. de C.V., Televisión por Cable de Tabasco, S.A. de C.V. y México Red de Telecomunicaciones, S. de R.L. de C.V., para la interconexión de sus respectivas redes públicas de telecomunicaciones que aplicaran para el ejercicio 2015 y 2016 (en lo sucesivo, la “Solicitud de Resolución”).</w:t>
      </w:r>
    </w:p>
    <w:p w14:paraId="37525F50" w14:textId="77777777" w:rsidR="009E3CFE" w:rsidRDefault="00577A31" w:rsidP="009E3CFE">
      <w:pPr>
        <w:tabs>
          <w:tab w:val="left" w:pos="567"/>
        </w:tabs>
        <w:ind w:left="567" w:right="45"/>
        <w:jc w:val="both"/>
        <w:rPr>
          <w:rFonts w:ascii="ITC Avant Garde" w:eastAsia="Times New Roman" w:hAnsi="ITC Avant Garde"/>
          <w:lang w:eastAsia="es-ES"/>
        </w:rPr>
      </w:pPr>
      <w:r w:rsidRPr="00746B6C">
        <w:rPr>
          <w:rFonts w:ascii="ITC Avant Garde" w:eastAsia="Times New Roman" w:hAnsi="ITC Avant Garde"/>
          <w:lang w:eastAsia="es-ES"/>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414D812C" w14:textId="77777777" w:rsidR="009E3CFE" w:rsidRDefault="00577A31" w:rsidP="009E3CFE">
      <w:pPr>
        <w:tabs>
          <w:tab w:val="left" w:pos="567"/>
        </w:tabs>
        <w:ind w:left="567" w:right="45"/>
        <w:jc w:val="both"/>
        <w:rPr>
          <w:rFonts w:ascii="ITC Avant Garde" w:eastAsia="Times New Roman" w:hAnsi="ITC Avant Garde"/>
          <w:lang w:eastAsia="es-ES"/>
        </w:rPr>
      </w:pPr>
      <w:r w:rsidRPr="00746B6C">
        <w:rPr>
          <w:rFonts w:ascii="ITC Avant Garde" w:eastAsia="Times New Roman" w:hAnsi="ITC Avant Garde"/>
          <w:lang w:eastAsia="es-ES"/>
        </w:rPr>
        <w:t xml:space="preserve">Es así que con fecha </w:t>
      </w:r>
      <w:r w:rsidR="006F5264" w:rsidRPr="00746B6C">
        <w:rPr>
          <w:rFonts w:ascii="ITC Avant Garde" w:eastAsia="Times New Roman" w:hAnsi="ITC Avant Garde"/>
          <w:lang w:eastAsia="es-ES"/>
        </w:rPr>
        <w:t>15</w:t>
      </w:r>
      <w:r w:rsidR="00E54DF0" w:rsidRPr="00746B6C">
        <w:rPr>
          <w:rFonts w:ascii="ITC Avant Garde" w:eastAsia="Times New Roman" w:hAnsi="ITC Avant Garde"/>
          <w:lang w:eastAsia="es-ES"/>
        </w:rPr>
        <w:t xml:space="preserve"> de septiembre de 2015</w:t>
      </w:r>
      <w:r w:rsidRPr="00746B6C">
        <w:rPr>
          <w:rFonts w:ascii="ITC Avant Garde" w:eastAsia="Times New Roman" w:hAnsi="ITC Avant Garde"/>
          <w:lang w:eastAsia="es-ES"/>
        </w:rPr>
        <w:t xml:space="preserve"> el Instituto notificó a las partes que el procedimiento guardaba estado para que el Pleno del Instituto dictase la resolución correspondiente.</w:t>
      </w:r>
    </w:p>
    <w:p w14:paraId="0F8D182D" w14:textId="77777777" w:rsidR="009E3CFE" w:rsidRDefault="00F707B6" w:rsidP="009E3CFE">
      <w:pPr>
        <w:numPr>
          <w:ilvl w:val="0"/>
          <w:numId w:val="1"/>
        </w:numPr>
        <w:tabs>
          <w:tab w:val="left" w:pos="567"/>
        </w:tabs>
        <w:ind w:left="567" w:right="45" w:hanging="567"/>
        <w:jc w:val="both"/>
        <w:rPr>
          <w:rFonts w:ascii="ITC Avant Garde" w:eastAsia="Times New Roman" w:hAnsi="ITC Avant Garde"/>
          <w:lang w:val="es-ES" w:eastAsia="es-ES"/>
        </w:rPr>
      </w:pPr>
      <w:r w:rsidRPr="00746B6C">
        <w:rPr>
          <w:rFonts w:ascii="ITC Avant Garde" w:hAnsi="ITC Avant Garde" w:cs="Arial"/>
          <w:b/>
        </w:rPr>
        <w:t>Publicación de Tarifas de Interconexión del año 2016.</w:t>
      </w:r>
      <w:r w:rsidRPr="00746B6C">
        <w:rPr>
          <w:rFonts w:ascii="ITC Avant Garde" w:hAnsi="ITC Avant Garde" w:cs="Arial"/>
        </w:rPr>
        <w:t xml:space="preserve"> El 1 de octubre de 2015, el Instituto publicó en el DOF el “</w:t>
      </w:r>
      <w:r w:rsidRPr="00746B6C">
        <w:rPr>
          <w:rFonts w:ascii="ITC Avant Garde" w:hAnsi="ITC Avant Garde" w:cs="Arial"/>
          <w:i/>
        </w:rPr>
        <w:t>ACUERDO</w:t>
      </w:r>
      <w:r w:rsidRPr="00746B6C">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P/IFT/EXT/120815/347 (en lo sucesivo, el “Acuerdo de Tarifas 2016”).</w:t>
      </w:r>
    </w:p>
    <w:p w14:paraId="1B6E61BE" w14:textId="77777777" w:rsidR="009E3CFE" w:rsidRDefault="006F5264" w:rsidP="009E3CFE">
      <w:pPr>
        <w:numPr>
          <w:ilvl w:val="0"/>
          <w:numId w:val="1"/>
        </w:numPr>
        <w:tabs>
          <w:tab w:val="left" w:pos="567"/>
        </w:tabs>
        <w:ind w:left="567" w:right="45" w:hanging="567"/>
        <w:jc w:val="both"/>
        <w:rPr>
          <w:rFonts w:ascii="ITC Avant Garde" w:hAnsi="ITC Avant Garde" w:cs="Arial"/>
          <w:bCs/>
        </w:rPr>
      </w:pPr>
      <w:r w:rsidRPr="00746B6C">
        <w:rPr>
          <w:rFonts w:ascii="ITC Avant Garde" w:hAnsi="ITC Avant Garde"/>
          <w:b/>
          <w:lang w:val="es-ES"/>
        </w:rPr>
        <w:t>Emisión</w:t>
      </w:r>
      <w:r w:rsidRPr="00746B6C">
        <w:rPr>
          <w:rFonts w:ascii="ITC Avant Garde" w:hAnsi="ITC Avant Garde" w:cs="Arial"/>
          <w:b/>
        </w:rPr>
        <w:t xml:space="preserve"> del </w:t>
      </w:r>
      <w:r w:rsidRPr="00746B6C">
        <w:rPr>
          <w:rFonts w:ascii="ITC Avant Garde" w:hAnsi="ITC Avant Garde"/>
          <w:b/>
          <w:lang w:val="es-ES"/>
        </w:rPr>
        <w:t>Acuerdo</w:t>
      </w:r>
      <w:r w:rsidRPr="00746B6C">
        <w:rPr>
          <w:rFonts w:ascii="ITC Avant Garde" w:hAnsi="ITC Avant Garde" w:cs="Arial"/>
          <w:b/>
        </w:rPr>
        <w:t xml:space="preserve"> P/IFT/</w:t>
      </w:r>
      <w:r w:rsidR="007076EE" w:rsidRPr="00746B6C">
        <w:rPr>
          <w:rFonts w:ascii="ITC Avant Garde" w:hAnsi="ITC Avant Garde" w:cs="Arial"/>
          <w:b/>
        </w:rPr>
        <w:t>EXT/071015/130</w:t>
      </w:r>
      <w:r w:rsidRPr="00746B6C">
        <w:rPr>
          <w:rFonts w:ascii="ITC Avant Garde" w:hAnsi="ITC Avant Garde" w:cs="Arial"/>
          <w:b/>
        </w:rPr>
        <w:t xml:space="preserve">. </w:t>
      </w:r>
      <w:r w:rsidRPr="00746B6C">
        <w:rPr>
          <w:rFonts w:ascii="ITC Avant Garde" w:hAnsi="ITC Avant Garde" w:cs="Arial"/>
        </w:rPr>
        <w:t xml:space="preserve">El </w:t>
      </w:r>
      <w:r w:rsidR="007076EE" w:rsidRPr="00746B6C">
        <w:rPr>
          <w:rFonts w:ascii="ITC Avant Garde" w:hAnsi="ITC Avant Garde" w:cs="Arial"/>
        </w:rPr>
        <w:t>7 de octubre</w:t>
      </w:r>
      <w:r w:rsidRPr="00746B6C">
        <w:rPr>
          <w:rFonts w:ascii="ITC Avant Garde" w:hAnsi="ITC Avant Garde" w:cs="Arial"/>
        </w:rPr>
        <w:t xml:space="preserve"> de 2015, el Pleno del Instituto Federal de Telecomunicaciones en su </w:t>
      </w:r>
      <w:r w:rsidR="007076EE" w:rsidRPr="00746B6C">
        <w:rPr>
          <w:rFonts w:ascii="ITC Avant Garde" w:hAnsi="ITC Avant Garde" w:cs="Arial"/>
        </w:rPr>
        <w:t>XXXVI Sesión Extraordinari</w:t>
      </w:r>
      <w:r w:rsidRPr="00746B6C">
        <w:rPr>
          <w:rFonts w:ascii="ITC Avant Garde" w:hAnsi="ITC Avant Garde" w:cs="Arial"/>
        </w:rPr>
        <w:t>a, mediante Acuerdo</w:t>
      </w:r>
      <w:r w:rsidRPr="00746B6C">
        <w:rPr>
          <w:rFonts w:ascii="ITC Avant Garde" w:hAnsi="ITC Avant Garde" w:cs="Arial"/>
          <w:b/>
        </w:rPr>
        <w:t xml:space="preserve"> </w:t>
      </w:r>
      <w:r w:rsidR="007076EE" w:rsidRPr="00746B6C">
        <w:rPr>
          <w:rFonts w:ascii="ITC Avant Garde" w:hAnsi="ITC Avant Garde" w:cs="Arial"/>
        </w:rPr>
        <w:t>P/IFT/EXT/071015/130</w:t>
      </w:r>
      <w:r w:rsidRPr="00746B6C">
        <w:rPr>
          <w:rFonts w:ascii="ITC Avant Garde" w:hAnsi="ITC Avant Garde" w:cs="Arial"/>
        </w:rPr>
        <w:t xml:space="preserve">, </w:t>
      </w:r>
      <w:r w:rsidRPr="00746B6C">
        <w:rPr>
          <w:rFonts w:ascii="ITC Avant Garde" w:hAnsi="ITC Avant Garde" w:cs="Arial"/>
          <w:bCs/>
        </w:rPr>
        <w:t>emitió la “</w:t>
      </w:r>
      <w:r w:rsidR="007076EE" w:rsidRPr="00746B6C">
        <w:rPr>
          <w:rFonts w:ascii="ITC Avant Garde" w:hAnsi="ITC Avant Garde" w:cs="Arial"/>
          <w:bCs/>
          <w:i/>
        </w:rPr>
        <w:t>RESOLUCIÓN MEDIANTE LA CUAL EL PLENO DEL INSTITUTO FEDERAL DE TELECOMUNICACIONES DETERMINA LAS CONDICIONES DE INTERCONEXIÓN NO CONVENIDAS ENTRE RADIOMÓVIL DIPSA, S.A DE C.V. Y LAS EMPRESAS TVI NACIONAL, S.A. DE C.V., TLAXCABLE, S.A. DE C.V., GRUPO CABLE TV DE SAN LUIS POTOSÍ, S.A. DE C.V., TELE AZTECA, S.A. DE C.V., TELECABLE DEL ESTADO DE MÉXICO, S.A. DE C.V., TELEVISIÓN POR CABLE DE TABASCO, S.A. DE C.V., Y MÉXICO RED DE TELECOMUNICACIONES, S. DE R.L. DE C.V. APLICABLES DEL 1 ENERO DE 2015 AL 31 DE DICIEMBRE DE 2016</w:t>
      </w:r>
      <w:r w:rsidRPr="00746B6C">
        <w:rPr>
          <w:rFonts w:ascii="ITC Avant Garde" w:hAnsi="ITC Avant Garde" w:cs="Arial"/>
          <w:bCs/>
        </w:rPr>
        <w:t>”.</w:t>
      </w:r>
    </w:p>
    <w:p w14:paraId="47A35ADC" w14:textId="77777777" w:rsidR="009E3CFE" w:rsidRDefault="00E54DF0" w:rsidP="009E3CFE">
      <w:pPr>
        <w:numPr>
          <w:ilvl w:val="0"/>
          <w:numId w:val="1"/>
        </w:numPr>
        <w:tabs>
          <w:tab w:val="left" w:pos="567"/>
        </w:tabs>
        <w:ind w:left="567" w:right="45" w:hanging="567"/>
        <w:jc w:val="both"/>
        <w:rPr>
          <w:rFonts w:ascii="ITC Avant Garde" w:hAnsi="ITC Avant Garde"/>
          <w:lang w:val="es-ES"/>
        </w:rPr>
      </w:pPr>
      <w:r w:rsidRPr="00746B6C">
        <w:rPr>
          <w:rFonts w:ascii="ITC Avant Garde" w:hAnsi="ITC Avant Garde" w:cs="Arial"/>
          <w:b/>
        </w:rPr>
        <w:lastRenderedPageBreak/>
        <w:t>Cumplimento</w:t>
      </w:r>
      <w:r w:rsidRPr="00746B6C">
        <w:rPr>
          <w:rFonts w:ascii="ITC Avant Garde" w:hAnsi="ITC Avant Garde" w:cs="Arial"/>
          <w:b/>
          <w:bCs/>
        </w:rPr>
        <w:t xml:space="preserve"> </w:t>
      </w:r>
      <w:r w:rsidRPr="00746B6C">
        <w:rPr>
          <w:rFonts w:ascii="ITC Avant Garde" w:hAnsi="ITC Avant Garde"/>
          <w:b/>
          <w:lang w:val="es-ES"/>
        </w:rPr>
        <w:t>a la ejec</w:t>
      </w:r>
      <w:r w:rsidR="000243F8" w:rsidRPr="00746B6C">
        <w:rPr>
          <w:rFonts w:ascii="ITC Avant Garde" w:hAnsi="ITC Avant Garde"/>
          <w:b/>
          <w:lang w:val="es-ES"/>
        </w:rPr>
        <w:t xml:space="preserve">utoria del amparo en revisión </w:t>
      </w:r>
      <w:r w:rsidRPr="00746B6C">
        <w:rPr>
          <w:rFonts w:ascii="ITC Avant Garde" w:hAnsi="ITC Avant Garde"/>
          <w:b/>
          <w:lang w:val="es-ES"/>
        </w:rPr>
        <w:t>R.</w:t>
      </w:r>
      <w:r w:rsidR="000243F8" w:rsidRPr="00746B6C">
        <w:rPr>
          <w:rFonts w:ascii="ITC Avant Garde" w:hAnsi="ITC Avant Garde"/>
          <w:b/>
          <w:lang w:val="es-ES"/>
        </w:rPr>
        <w:t>A.</w:t>
      </w:r>
      <w:r w:rsidRPr="00746B6C">
        <w:rPr>
          <w:rFonts w:ascii="ITC Avant Garde" w:hAnsi="ITC Avant Garde"/>
          <w:b/>
          <w:lang w:val="es-ES"/>
        </w:rPr>
        <w:t xml:space="preserve"> </w:t>
      </w:r>
      <w:r w:rsidR="000243F8" w:rsidRPr="00746B6C">
        <w:rPr>
          <w:rFonts w:ascii="ITC Avant Garde" w:hAnsi="ITC Avant Garde"/>
          <w:b/>
          <w:lang w:val="es-ES"/>
        </w:rPr>
        <w:t>159</w:t>
      </w:r>
      <w:r w:rsidRPr="00746B6C">
        <w:rPr>
          <w:rFonts w:ascii="ITC Avant Garde" w:hAnsi="ITC Avant Garde"/>
          <w:b/>
          <w:lang w:val="es-ES"/>
        </w:rPr>
        <w:t>/2016</w:t>
      </w:r>
      <w:r w:rsidRPr="00746B6C">
        <w:rPr>
          <w:rFonts w:ascii="ITC Avant Garde" w:hAnsi="ITC Avant Garde"/>
          <w:lang w:val="es-ES"/>
        </w:rPr>
        <w:t xml:space="preserve">. Mediante ejecutoria de fecha </w:t>
      </w:r>
      <w:r w:rsidR="000243F8" w:rsidRPr="00746B6C">
        <w:rPr>
          <w:rFonts w:ascii="ITC Avant Garde" w:hAnsi="ITC Avant Garde"/>
          <w:lang w:val="es-ES"/>
        </w:rPr>
        <w:t>16 de noviembre</w:t>
      </w:r>
      <w:r w:rsidRPr="00746B6C">
        <w:rPr>
          <w:rFonts w:ascii="ITC Avant Garde" w:hAnsi="ITC Avant Garde"/>
          <w:lang w:val="es-ES"/>
        </w:rPr>
        <w:t xml:space="preserve"> de 2017 correspo</w:t>
      </w:r>
      <w:r w:rsidR="00C130B9" w:rsidRPr="00746B6C">
        <w:rPr>
          <w:rFonts w:ascii="ITC Avant Garde" w:hAnsi="ITC Avant Garde"/>
          <w:lang w:val="es-ES"/>
        </w:rPr>
        <w:t xml:space="preserve">ndiente al amparo en revisión </w:t>
      </w:r>
      <w:r w:rsidRPr="00746B6C">
        <w:rPr>
          <w:rFonts w:ascii="ITC Avant Garde" w:hAnsi="ITC Avant Garde"/>
          <w:lang w:val="es-ES"/>
        </w:rPr>
        <w:t>R.</w:t>
      </w:r>
      <w:r w:rsidR="00C130B9" w:rsidRPr="00746B6C">
        <w:rPr>
          <w:rFonts w:ascii="ITC Avant Garde" w:hAnsi="ITC Avant Garde"/>
          <w:lang w:val="es-ES"/>
        </w:rPr>
        <w:t>A.</w:t>
      </w:r>
      <w:r w:rsidRPr="00746B6C">
        <w:rPr>
          <w:rFonts w:ascii="ITC Avant Garde" w:hAnsi="ITC Avant Garde"/>
          <w:lang w:val="es-ES"/>
        </w:rPr>
        <w:t xml:space="preserve"> </w:t>
      </w:r>
      <w:r w:rsidR="000243F8" w:rsidRPr="00746B6C">
        <w:rPr>
          <w:rFonts w:ascii="ITC Avant Garde" w:hAnsi="ITC Avant Garde"/>
          <w:lang w:val="es-ES"/>
        </w:rPr>
        <w:t>159</w:t>
      </w:r>
      <w:r w:rsidRPr="00746B6C">
        <w:rPr>
          <w:rFonts w:ascii="ITC Avant Garde" w:hAnsi="ITC Avant Garde"/>
          <w:lang w:val="es-ES"/>
        </w:rPr>
        <w:t xml:space="preserve">/2016, </w:t>
      </w:r>
      <w:r w:rsidR="007117BE" w:rsidRPr="00746B6C">
        <w:rPr>
          <w:rFonts w:ascii="ITC Avant Garde" w:hAnsi="ITC Avant Garde" w:cs="Arial"/>
          <w:szCs w:val="20"/>
        </w:rPr>
        <w:t xml:space="preserve">el </w:t>
      </w:r>
      <w:r w:rsidR="000243F8" w:rsidRPr="00746B6C">
        <w:rPr>
          <w:rFonts w:ascii="ITC Avant Garde" w:hAnsi="ITC Avant Garde" w:cs="Arial"/>
          <w:szCs w:val="20"/>
        </w:rPr>
        <w:t>Primer</w:t>
      </w:r>
      <w:r w:rsidR="007117BE" w:rsidRPr="00746B6C">
        <w:rPr>
          <w:rFonts w:ascii="ITC Avant Garde" w:hAnsi="ITC Avant Garde" w:cs="Arial"/>
          <w:szCs w:val="20"/>
        </w:rPr>
        <w:t xml:space="preserve"> Tribunal Colegiado en Materia Administrativa Especializado en Competencia Económica, Radiodifusión y Telecomunicaciones</w:t>
      </w:r>
      <w:r w:rsidR="002818FE" w:rsidRPr="00746B6C">
        <w:rPr>
          <w:rFonts w:ascii="ITC Avant Garde" w:hAnsi="ITC Avant Garde" w:cs="Arial"/>
          <w:szCs w:val="20"/>
        </w:rPr>
        <w:t xml:space="preserve"> </w:t>
      </w:r>
      <w:r w:rsidR="002818FE" w:rsidRPr="00746B6C">
        <w:rPr>
          <w:rFonts w:ascii="ITC Avant Garde" w:hAnsi="ITC Avant Garde" w:cs="Arial"/>
          <w:bCs/>
        </w:rPr>
        <w:t>con residencia en la Ciudad de México y jurisdicción en toda la República</w:t>
      </w:r>
      <w:r w:rsidR="007117BE" w:rsidRPr="00746B6C">
        <w:rPr>
          <w:rFonts w:ascii="ITC Avant Garde" w:hAnsi="ITC Avant Garde" w:cs="Arial"/>
          <w:szCs w:val="20"/>
        </w:rPr>
        <w:t xml:space="preserve">, </w:t>
      </w:r>
      <w:r w:rsidRPr="00746B6C">
        <w:rPr>
          <w:rFonts w:ascii="ITC Avant Garde" w:hAnsi="ITC Avant Garde"/>
          <w:lang w:val="es-ES"/>
        </w:rPr>
        <w:t xml:space="preserve">resolvió </w:t>
      </w:r>
      <w:r w:rsidR="000243F8" w:rsidRPr="00746B6C">
        <w:rPr>
          <w:rFonts w:ascii="ITC Avant Garde" w:hAnsi="ITC Avant Garde"/>
          <w:lang w:val="es-ES"/>
        </w:rPr>
        <w:t>modificar</w:t>
      </w:r>
      <w:r w:rsidR="00A9106F" w:rsidRPr="00746B6C">
        <w:rPr>
          <w:rFonts w:ascii="ITC Avant Garde" w:hAnsi="ITC Avant Garde"/>
          <w:lang w:val="es-ES"/>
        </w:rPr>
        <w:t xml:space="preserve"> la sentencia del juicio de amparo 16</w:t>
      </w:r>
      <w:r w:rsidR="000243F8" w:rsidRPr="00746B6C">
        <w:rPr>
          <w:rFonts w:ascii="ITC Avant Garde" w:hAnsi="ITC Avant Garde"/>
          <w:lang w:val="es-ES"/>
        </w:rPr>
        <w:t>90</w:t>
      </w:r>
      <w:r w:rsidR="00A9106F" w:rsidRPr="00746B6C">
        <w:rPr>
          <w:rFonts w:ascii="ITC Avant Garde" w:hAnsi="ITC Avant Garde"/>
          <w:lang w:val="es-ES"/>
        </w:rPr>
        <w:t xml:space="preserve">/2015 </w:t>
      </w:r>
      <w:r w:rsidR="00A9106F" w:rsidRPr="00746B6C">
        <w:rPr>
          <w:rFonts w:ascii="ITC Avant Garde" w:hAnsi="ITC Avant Garde"/>
          <w:bCs/>
          <w:lang w:val="es-ES"/>
        </w:rPr>
        <w:t>del índice del Juzgado Primero de Distrito en Materia Administrativa Especializado en Competencia Económica, Radiodifusión y Telecomunicaciones</w:t>
      </w:r>
      <w:r w:rsidR="002818FE" w:rsidRPr="00746B6C">
        <w:rPr>
          <w:rFonts w:ascii="ITC Avant Garde" w:hAnsi="ITC Avant Garde"/>
          <w:bCs/>
          <w:lang w:val="es-ES"/>
        </w:rPr>
        <w:t xml:space="preserve"> </w:t>
      </w:r>
      <w:r w:rsidR="002818FE" w:rsidRPr="00746B6C">
        <w:rPr>
          <w:rFonts w:ascii="ITC Avant Garde" w:hAnsi="ITC Avant Garde" w:cs="Arial"/>
          <w:bCs/>
        </w:rPr>
        <w:t>con residencia en la Ciudad de México y jurisdicción en toda la República</w:t>
      </w:r>
      <w:r w:rsidR="00A9106F" w:rsidRPr="00746B6C">
        <w:rPr>
          <w:rFonts w:ascii="ITC Avant Garde" w:hAnsi="ITC Avant Garde"/>
          <w:bCs/>
          <w:lang w:val="es-ES"/>
        </w:rPr>
        <w:t>, y conced</w:t>
      </w:r>
      <w:r w:rsidR="00DC0286" w:rsidRPr="00746B6C">
        <w:rPr>
          <w:rFonts w:ascii="ITC Avant Garde" w:hAnsi="ITC Avant Garde"/>
          <w:bCs/>
          <w:lang w:val="es-ES"/>
        </w:rPr>
        <w:t>er</w:t>
      </w:r>
      <w:r w:rsidRPr="00746B6C">
        <w:rPr>
          <w:rFonts w:ascii="ITC Avant Garde" w:hAnsi="ITC Avant Garde"/>
          <w:lang w:val="es-ES"/>
        </w:rPr>
        <w:t xml:space="preserve"> el amparo</w:t>
      </w:r>
      <w:r w:rsidR="00DC0286" w:rsidRPr="00746B6C">
        <w:rPr>
          <w:rFonts w:ascii="ITC Avant Garde" w:hAnsi="ITC Avant Garde"/>
          <w:lang w:val="es-ES"/>
        </w:rPr>
        <w:t xml:space="preserve"> a Tel</w:t>
      </w:r>
      <w:r w:rsidR="000243F8" w:rsidRPr="00746B6C">
        <w:rPr>
          <w:rFonts w:ascii="ITC Avant Garde" w:hAnsi="ITC Avant Garde"/>
          <w:lang w:val="es-ES"/>
        </w:rPr>
        <w:t>cel</w:t>
      </w:r>
      <w:r w:rsidR="00550748" w:rsidRPr="00746B6C">
        <w:rPr>
          <w:rFonts w:ascii="ITC Avant Garde" w:hAnsi="ITC Avant Garde"/>
          <w:lang w:val="es-ES"/>
        </w:rPr>
        <w:t>.</w:t>
      </w:r>
    </w:p>
    <w:p w14:paraId="4791159D" w14:textId="77777777" w:rsidR="009E3CFE" w:rsidRDefault="00F11878" w:rsidP="009E3CFE">
      <w:pPr>
        <w:widowControl w:val="0"/>
        <w:jc w:val="both"/>
        <w:rPr>
          <w:rFonts w:ascii="ITC Avant Garde" w:eastAsia="Times New Roman" w:hAnsi="ITC Avant Garde"/>
          <w:lang w:eastAsia="es-ES"/>
        </w:rPr>
      </w:pPr>
      <w:bookmarkStart w:id="1" w:name="HipótesisNormativa"/>
      <w:r w:rsidRPr="00746B6C">
        <w:rPr>
          <w:rFonts w:ascii="ITC Avant Garde" w:eastAsia="Times New Roman" w:hAnsi="ITC Avant Garde"/>
          <w:lang w:eastAsia="es-ES"/>
        </w:rPr>
        <w:t>En virtud de los referidos Antecedentes, y</w:t>
      </w:r>
    </w:p>
    <w:p w14:paraId="56AAF910" w14:textId="77777777" w:rsidR="009E3CFE" w:rsidRDefault="00F11878" w:rsidP="009E3CFE">
      <w:pPr>
        <w:widowControl w:val="0"/>
        <w:jc w:val="center"/>
        <w:outlineLvl w:val="2"/>
        <w:rPr>
          <w:rFonts w:ascii="ITC Avant Garde" w:eastAsia="Times New Roman" w:hAnsi="ITC Avant Garde"/>
          <w:b/>
          <w:bCs/>
        </w:rPr>
      </w:pPr>
      <w:r w:rsidRPr="00746B6C">
        <w:rPr>
          <w:rFonts w:ascii="ITC Avant Garde" w:eastAsia="Times New Roman" w:hAnsi="ITC Avant Garde"/>
          <w:b/>
          <w:bCs/>
        </w:rPr>
        <w:t>CONSIDERANDO</w:t>
      </w:r>
    </w:p>
    <w:p w14:paraId="41302FED" w14:textId="77777777" w:rsidR="009E3CFE" w:rsidRDefault="00D6798E" w:rsidP="009E3CFE">
      <w:pPr>
        <w:widowControl w:val="0"/>
        <w:tabs>
          <w:tab w:val="left" w:pos="720"/>
          <w:tab w:val="center" w:pos="4419"/>
          <w:tab w:val="right" w:pos="8838"/>
        </w:tabs>
        <w:jc w:val="both"/>
        <w:rPr>
          <w:rFonts w:ascii="ITC Avant Garde" w:hAnsi="ITC Avant Garde" w:cs="Arial"/>
        </w:rPr>
      </w:pPr>
      <w:r w:rsidRPr="00746B6C">
        <w:rPr>
          <w:rFonts w:ascii="ITC Avant Garde" w:eastAsia="Times New Roman" w:hAnsi="ITC Avant Garde" w:cs="Arial"/>
          <w:b/>
          <w:szCs w:val="20"/>
        </w:rPr>
        <w:t xml:space="preserve">PRIMERO.- Cumplimiento a la ejecutoria </w:t>
      </w:r>
      <w:r w:rsidRPr="00746B6C">
        <w:rPr>
          <w:rFonts w:ascii="ITC Avant Garde" w:hAnsi="ITC Avant Garde"/>
          <w:b/>
          <w:lang w:val="es-ES"/>
        </w:rPr>
        <w:t xml:space="preserve">del amparo en revisión </w:t>
      </w:r>
      <w:r w:rsidR="006340C7" w:rsidRPr="00746B6C">
        <w:rPr>
          <w:rFonts w:ascii="ITC Avant Garde" w:hAnsi="ITC Avant Garde"/>
          <w:b/>
          <w:lang w:val="es-ES"/>
        </w:rPr>
        <w:t>R.A.</w:t>
      </w:r>
      <w:r w:rsidRPr="00746B6C">
        <w:rPr>
          <w:rFonts w:ascii="ITC Avant Garde" w:hAnsi="ITC Avant Garde"/>
          <w:b/>
          <w:lang w:val="es-ES"/>
        </w:rPr>
        <w:t xml:space="preserve"> </w:t>
      </w:r>
      <w:r w:rsidR="006340C7" w:rsidRPr="00746B6C">
        <w:rPr>
          <w:rFonts w:ascii="ITC Avant Garde" w:hAnsi="ITC Avant Garde"/>
          <w:b/>
          <w:lang w:val="es-ES"/>
        </w:rPr>
        <w:t>159</w:t>
      </w:r>
      <w:r w:rsidRPr="00746B6C">
        <w:rPr>
          <w:rFonts w:ascii="ITC Avant Garde" w:hAnsi="ITC Avant Garde"/>
          <w:b/>
          <w:lang w:val="es-ES"/>
        </w:rPr>
        <w:t>/2016</w:t>
      </w:r>
      <w:r w:rsidRPr="00746B6C">
        <w:rPr>
          <w:rFonts w:ascii="ITC Avant Garde" w:eastAsia="Times New Roman" w:hAnsi="ITC Avant Garde" w:cs="Arial"/>
          <w:b/>
          <w:szCs w:val="20"/>
        </w:rPr>
        <w:t xml:space="preserve">. </w:t>
      </w:r>
      <w:r w:rsidRPr="00746B6C">
        <w:rPr>
          <w:rFonts w:ascii="ITC Avant Garde" w:eastAsia="Times New Roman" w:hAnsi="ITC Avant Garde" w:cs="Arial"/>
          <w:szCs w:val="20"/>
        </w:rPr>
        <w:t xml:space="preserve">Con </w:t>
      </w:r>
      <w:r w:rsidRPr="00746B6C">
        <w:rPr>
          <w:rFonts w:ascii="ITC Avant Garde" w:eastAsia="Times New Roman" w:hAnsi="ITC Avant Garde"/>
          <w:szCs w:val="20"/>
        </w:rPr>
        <w:t xml:space="preserve">fecha </w:t>
      </w:r>
      <w:r w:rsidR="00B52C94" w:rsidRPr="00746B6C">
        <w:rPr>
          <w:rFonts w:ascii="ITC Avant Garde" w:eastAsia="Times New Roman" w:hAnsi="ITC Avant Garde"/>
          <w:szCs w:val="20"/>
        </w:rPr>
        <w:t>7 de octubre</w:t>
      </w:r>
      <w:r w:rsidRPr="00746B6C">
        <w:rPr>
          <w:rFonts w:ascii="ITC Avant Garde" w:eastAsia="Times New Roman" w:hAnsi="ITC Avant Garde"/>
          <w:szCs w:val="20"/>
        </w:rPr>
        <w:t xml:space="preserve"> de 2015, el Pleno del Instituto emitió la “</w:t>
      </w:r>
      <w:r w:rsidR="00B52C94" w:rsidRPr="00746B6C">
        <w:rPr>
          <w:rFonts w:ascii="ITC Avant Garde" w:eastAsia="Times New Roman" w:hAnsi="ITC Avant Garde"/>
          <w:szCs w:val="20"/>
        </w:rPr>
        <w:t>RESOLUCIÓN MEDIANTE LA CUAL EL PLENO DEL INSTITUTO FEDERAL DE TELECOMUNICACIONES DETERMINA LAS CONDICIONES DE INTERCONEXIÓN NO CONVENIDAS ENTRE RADIOMÓVIL DIPSA, S.A DE C.V. Y LAS EMPRESAS TVI NACIONAL, S.A. DE C.V., TLAXCABLE, S.A. DE C.V., GRUPO CABLE TV DE SAN LUIS POTOSÍ, S.A. DE C.V., TELE AZTECA, S.A. DE C.V., TELECABLE DEL ESTADO DE MÉXICO, S.A. DE C.V., TELEVISIÓN POR CABLE DE TABASCO, S.A. DE C.V., Y MÉXICO RED DE TELECOMUNICACIONES, S. DE R.L. DE C.V. APLICABLES DEL 1 ENERO DE 2015 AL 31 DE DICIEMBRE DE 2016</w:t>
      </w:r>
      <w:r w:rsidRPr="00746B6C">
        <w:rPr>
          <w:rFonts w:ascii="ITC Avant Garde" w:eastAsia="Times New Roman" w:hAnsi="ITC Avant Garde"/>
          <w:szCs w:val="20"/>
        </w:rPr>
        <w:t xml:space="preserve">”, aprobada en su </w:t>
      </w:r>
      <w:r w:rsidR="00B52C94" w:rsidRPr="00746B6C">
        <w:rPr>
          <w:rFonts w:ascii="ITC Avant Garde" w:hAnsi="ITC Avant Garde" w:cs="Arial"/>
        </w:rPr>
        <w:t>XXXVI Sesión Extraordinaria, mediante Acuerdo P/IFT/EXT/071015/130.</w:t>
      </w:r>
    </w:p>
    <w:p w14:paraId="7A410E11" w14:textId="77777777" w:rsidR="009E3CFE" w:rsidRDefault="00FC16B2" w:rsidP="009E3CFE">
      <w:pPr>
        <w:pStyle w:val="Textoindependiente"/>
        <w:spacing w:after="200" w:line="276" w:lineRule="auto"/>
        <w:rPr>
          <w:rFonts w:ascii="ITC Avant Garde" w:hAnsi="ITC Avant Garde" w:cs="Arial"/>
          <w:bCs/>
        </w:rPr>
      </w:pPr>
      <w:r w:rsidRPr="00746B6C">
        <w:rPr>
          <w:rFonts w:ascii="ITC Avant Garde" w:hAnsi="ITC Avant Garde" w:cs="Arial"/>
          <w:bCs/>
        </w:rPr>
        <w:t>En consecuencia, el 11</w:t>
      </w:r>
      <w:r w:rsidR="00286F3B" w:rsidRPr="00746B6C">
        <w:rPr>
          <w:rFonts w:ascii="ITC Avant Garde" w:hAnsi="ITC Avant Garde" w:cs="Arial"/>
          <w:bCs/>
        </w:rPr>
        <w:t xml:space="preserve"> de noviembre de 2015, </w:t>
      </w:r>
      <w:r w:rsidRPr="00746B6C">
        <w:rPr>
          <w:rFonts w:ascii="ITC Avant Garde" w:hAnsi="ITC Avant Garde" w:cs="Arial"/>
          <w:bCs/>
        </w:rPr>
        <w:t>los</w:t>
      </w:r>
      <w:r w:rsidR="00286F3B" w:rsidRPr="00746B6C">
        <w:rPr>
          <w:rFonts w:ascii="ITC Avant Garde" w:hAnsi="ITC Avant Garde" w:cs="Arial"/>
          <w:bCs/>
        </w:rPr>
        <w:t xml:space="preserve"> apoderado</w:t>
      </w:r>
      <w:r w:rsidRPr="00746B6C">
        <w:rPr>
          <w:rFonts w:ascii="ITC Avant Garde" w:hAnsi="ITC Avant Garde" w:cs="Arial"/>
          <w:bCs/>
        </w:rPr>
        <w:t>s</w:t>
      </w:r>
      <w:r w:rsidR="00286F3B" w:rsidRPr="00746B6C">
        <w:rPr>
          <w:rFonts w:ascii="ITC Avant Garde" w:hAnsi="ITC Avant Garde" w:cs="Arial"/>
          <w:bCs/>
        </w:rPr>
        <w:t xml:space="preserve"> legal</w:t>
      </w:r>
      <w:r w:rsidRPr="00746B6C">
        <w:rPr>
          <w:rFonts w:ascii="ITC Avant Garde" w:hAnsi="ITC Avant Garde" w:cs="Arial"/>
          <w:bCs/>
        </w:rPr>
        <w:t>es</w:t>
      </w:r>
      <w:r w:rsidR="00286F3B" w:rsidRPr="00746B6C">
        <w:rPr>
          <w:rFonts w:ascii="ITC Avant Garde" w:hAnsi="ITC Avant Garde" w:cs="Arial"/>
          <w:bCs/>
        </w:rPr>
        <w:t xml:space="preserve"> de Tel</w:t>
      </w:r>
      <w:r w:rsidRPr="00746B6C">
        <w:rPr>
          <w:rFonts w:ascii="ITC Avant Garde" w:hAnsi="ITC Avant Garde" w:cs="Arial"/>
          <w:bCs/>
        </w:rPr>
        <w:t>cel presentaron</w:t>
      </w:r>
      <w:r w:rsidR="00286F3B" w:rsidRPr="00746B6C">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w:t>
      </w:r>
      <w:r w:rsidRPr="00746B6C">
        <w:rPr>
          <w:rFonts w:ascii="ITC Avant Garde" w:hAnsi="ITC Avant Garde" w:cs="Arial"/>
          <w:bCs/>
        </w:rPr>
        <w:t>escrito mediante el cual demandaron</w:t>
      </w:r>
      <w:r w:rsidR="00286F3B" w:rsidRPr="00746B6C">
        <w:rPr>
          <w:rFonts w:ascii="ITC Avant Garde" w:hAnsi="ITC Avant Garde" w:cs="Arial"/>
          <w:bCs/>
        </w:rPr>
        <w:t xml:space="preserve"> el amparo y protección de la justicia federal, señalando entre otros, como acto reclamado la resolución citada en el párrafo anterior.</w:t>
      </w:r>
    </w:p>
    <w:p w14:paraId="32B44EDA" w14:textId="77777777" w:rsidR="009E3CFE" w:rsidRDefault="00286F3B" w:rsidP="009E3CFE">
      <w:pPr>
        <w:pStyle w:val="Textoindependiente"/>
        <w:spacing w:after="200" w:line="276" w:lineRule="auto"/>
        <w:rPr>
          <w:rFonts w:ascii="ITC Avant Garde" w:hAnsi="ITC Avant Garde" w:cs="Arial"/>
          <w:bCs/>
        </w:rPr>
      </w:pPr>
      <w:r w:rsidRPr="00746B6C">
        <w:rPr>
          <w:rFonts w:ascii="ITC Avant Garde" w:hAnsi="ITC Avant Garde" w:cs="Arial"/>
          <w:bCs/>
        </w:rPr>
        <w:t xml:space="preserve">Mediante Acuerdo de fecha </w:t>
      </w:r>
      <w:r w:rsidR="00B01532" w:rsidRPr="00746B6C">
        <w:rPr>
          <w:rFonts w:ascii="ITC Avant Garde" w:hAnsi="ITC Avant Garde" w:cs="Arial"/>
          <w:bCs/>
        </w:rPr>
        <w:t>12</w:t>
      </w:r>
      <w:r w:rsidRPr="00746B6C">
        <w:rPr>
          <w:rFonts w:ascii="ITC Avant Garde" w:hAnsi="ITC Avant Garde" w:cs="Arial"/>
          <w:bCs/>
        </w:rPr>
        <w:t xml:space="preserve"> de noviembre de 2015, la Juez Primero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F377AC" w:rsidRPr="00746B6C">
        <w:rPr>
          <w:rFonts w:ascii="ITC Avant Garde" w:hAnsi="ITC Avant Garde" w:cs="Arial"/>
          <w:bCs/>
        </w:rPr>
        <w:t>con el número de expediente 1690</w:t>
      </w:r>
      <w:r w:rsidRPr="00746B6C">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F377AC" w:rsidRPr="00746B6C">
        <w:rPr>
          <w:rFonts w:ascii="ITC Avant Garde" w:hAnsi="ITC Avant Garde" w:cs="Arial"/>
          <w:bCs/>
        </w:rPr>
        <w:t>1 de julio</w:t>
      </w:r>
      <w:r w:rsidRPr="00746B6C">
        <w:rPr>
          <w:rFonts w:ascii="ITC Avant Garde" w:hAnsi="ITC Avant Garde" w:cs="Arial"/>
          <w:bCs/>
        </w:rPr>
        <w:t xml:space="preserve"> de 2016 dictó sentencia</w:t>
      </w:r>
      <w:r w:rsidR="00F377AC" w:rsidRPr="00746B6C">
        <w:rPr>
          <w:rFonts w:ascii="ITC Avant Garde" w:hAnsi="ITC Avant Garde" w:cs="Arial"/>
          <w:bCs/>
        </w:rPr>
        <w:t xml:space="preserve">, terminada de </w:t>
      </w:r>
      <w:r w:rsidR="00F377AC" w:rsidRPr="00746B6C">
        <w:rPr>
          <w:rFonts w:ascii="ITC Avant Garde" w:hAnsi="ITC Avant Garde" w:cs="Arial"/>
          <w:bCs/>
        </w:rPr>
        <w:lastRenderedPageBreak/>
        <w:t>engrosar el 23 de septiembre de 2016</w:t>
      </w:r>
      <w:r w:rsidRPr="00746B6C">
        <w:rPr>
          <w:rFonts w:ascii="ITC Avant Garde" w:hAnsi="ITC Avant Garde" w:cs="Arial"/>
          <w:bCs/>
        </w:rPr>
        <w:t xml:space="preserve">, a través de la cual </w:t>
      </w:r>
      <w:r w:rsidR="00737969" w:rsidRPr="00746B6C">
        <w:rPr>
          <w:rFonts w:ascii="ITC Avant Garde" w:hAnsi="ITC Avant Garde" w:cs="Arial"/>
          <w:bCs/>
        </w:rPr>
        <w:t xml:space="preserve">se otorgó el amparo y protección de la justica </w:t>
      </w:r>
      <w:r w:rsidR="00864E8A" w:rsidRPr="00746B6C">
        <w:rPr>
          <w:rFonts w:ascii="ITC Avant Garde" w:hAnsi="ITC Avant Garde" w:cs="Arial"/>
          <w:bCs/>
        </w:rPr>
        <w:t>a Te</w:t>
      </w:r>
      <w:r w:rsidR="00F377AC" w:rsidRPr="00746B6C">
        <w:rPr>
          <w:rFonts w:ascii="ITC Avant Garde" w:hAnsi="ITC Avant Garde" w:cs="Arial"/>
          <w:bCs/>
        </w:rPr>
        <w:t>lcel.</w:t>
      </w:r>
    </w:p>
    <w:p w14:paraId="597FF0D5" w14:textId="77777777" w:rsidR="009E3CFE" w:rsidRDefault="00864E8A" w:rsidP="009E3CFE">
      <w:pPr>
        <w:pStyle w:val="Textoindependiente"/>
        <w:spacing w:after="200" w:line="276" w:lineRule="auto"/>
        <w:rPr>
          <w:rFonts w:ascii="ITC Avant Garde" w:hAnsi="ITC Avant Garde" w:cs="Arial"/>
          <w:bCs/>
        </w:rPr>
      </w:pPr>
      <w:r w:rsidRPr="00746B6C">
        <w:rPr>
          <w:rFonts w:ascii="ITC Avant Garde" w:hAnsi="ITC Avant Garde" w:cs="Arial"/>
          <w:bCs/>
        </w:rPr>
        <w:t xml:space="preserve">Ahora bien, dado que </w:t>
      </w:r>
      <w:r w:rsidR="005B47FB" w:rsidRPr="00746B6C">
        <w:rPr>
          <w:rFonts w:ascii="ITC Avant Garde" w:hAnsi="ITC Avant Garde" w:cs="Arial"/>
          <w:bCs/>
        </w:rPr>
        <w:t>Grupo Televisa, Telcel, el Presidente de la República y la Cámara de Senadores</w:t>
      </w:r>
      <w:r w:rsidR="00CE5231" w:rsidRPr="00746B6C">
        <w:rPr>
          <w:rFonts w:ascii="ITC Avant Garde" w:hAnsi="ITC Avant Garde" w:cs="Arial"/>
          <w:bCs/>
        </w:rPr>
        <w:t xml:space="preserve"> quedaron</w:t>
      </w:r>
      <w:r w:rsidRPr="00746B6C">
        <w:rPr>
          <w:rFonts w:ascii="ITC Avant Garde" w:hAnsi="ITC Avant Garde" w:cs="Arial"/>
          <w:bCs/>
        </w:rPr>
        <w:t xml:space="preserve"> inconforme</w:t>
      </w:r>
      <w:r w:rsidR="00CE5231" w:rsidRPr="00746B6C">
        <w:rPr>
          <w:rFonts w:ascii="ITC Avant Garde" w:hAnsi="ITC Avant Garde" w:cs="Arial"/>
          <w:bCs/>
        </w:rPr>
        <w:t>s</w:t>
      </w:r>
      <w:r w:rsidRPr="00746B6C">
        <w:rPr>
          <w:rFonts w:ascii="ITC Avant Garde" w:hAnsi="ITC Avant Garde" w:cs="Arial"/>
          <w:bCs/>
        </w:rPr>
        <w:t xml:space="preserve"> con la sentencia </w:t>
      </w:r>
      <w:r w:rsidR="00CE5231" w:rsidRPr="00746B6C">
        <w:rPr>
          <w:rFonts w:ascii="ITC Avant Garde" w:hAnsi="ITC Avant Garde" w:cs="Arial"/>
          <w:bCs/>
        </w:rPr>
        <w:t>interpusieron</w:t>
      </w:r>
      <w:r w:rsidR="0015729A" w:rsidRPr="00746B6C">
        <w:rPr>
          <w:rFonts w:ascii="ITC Avant Garde" w:hAnsi="ITC Avant Garde" w:cs="Arial"/>
          <w:bCs/>
        </w:rPr>
        <w:t xml:space="preserve"> </w:t>
      </w:r>
      <w:r w:rsidRPr="00746B6C">
        <w:rPr>
          <w:rFonts w:ascii="ITC Avant Garde" w:hAnsi="ITC Avant Garde" w:cs="Arial"/>
          <w:bCs/>
        </w:rPr>
        <w:t>recurso</w:t>
      </w:r>
      <w:r w:rsidR="005B47FB" w:rsidRPr="00746B6C">
        <w:rPr>
          <w:rFonts w:ascii="ITC Avant Garde" w:hAnsi="ITC Avant Garde" w:cs="Arial"/>
          <w:bCs/>
        </w:rPr>
        <w:t>s</w:t>
      </w:r>
      <w:r w:rsidRPr="00746B6C">
        <w:rPr>
          <w:rFonts w:ascii="ITC Avant Garde" w:hAnsi="ITC Avant Garde" w:cs="Arial"/>
          <w:bCs/>
        </w:rPr>
        <w:t xml:space="preserve"> de revisión, </w:t>
      </w:r>
      <w:r w:rsidR="005B47FB" w:rsidRPr="00746B6C">
        <w:rPr>
          <w:rFonts w:ascii="ITC Avant Garde" w:hAnsi="ITC Avant Garde" w:cs="Arial"/>
          <w:bCs/>
        </w:rPr>
        <w:t xml:space="preserve">los cuales </w:t>
      </w:r>
      <w:r w:rsidRPr="00746B6C">
        <w:rPr>
          <w:rFonts w:ascii="ITC Avant Garde" w:hAnsi="ITC Avant Garde" w:cs="Arial"/>
          <w:bCs/>
        </w:rPr>
        <w:t>fue</w:t>
      </w:r>
      <w:r w:rsidR="005B47FB" w:rsidRPr="00746B6C">
        <w:rPr>
          <w:rFonts w:ascii="ITC Avant Garde" w:hAnsi="ITC Avant Garde" w:cs="Arial"/>
          <w:bCs/>
        </w:rPr>
        <w:t>ron</w:t>
      </w:r>
      <w:r w:rsidRPr="00746B6C">
        <w:rPr>
          <w:rFonts w:ascii="ITC Avant Garde" w:hAnsi="ITC Avant Garde" w:cs="Arial"/>
          <w:bCs/>
        </w:rPr>
        <w:t xml:space="preserve"> turnado</w:t>
      </w:r>
      <w:r w:rsidR="005B47FB" w:rsidRPr="00746B6C">
        <w:rPr>
          <w:rFonts w:ascii="ITC Avant Garde" w:hAnsi="ITC Avant Garde" w:cs="Arial"/>
          <w:bCs/>
        </w:rPr>
        <w:t>s</w:t>
      </w:r>
      <w:r w:rsidRPr="00746B6C">
        <w:rPr>
          <w:rFonts w:ascii="ITC Avant Garde" w:hAnsi="ITC Avant Garde" w:cs="Arial"/>
          <w:bCs/>
        </w:rPr>
        <w:t xml:space="preserve"> al </w:t>
      </w:r>
      <w:r w:rsidR="005B47FB" w:rsidRPr="00746B6C">
        <w:rPr>
          <w:rFonts w:ascii="ITC Avant Garde" w:hAnsi="ITC Avant Garde" w:cs="Arial"/>
          <w:bCs/>
        </w:rPr>
        <w:t>Primer</w:t>
      </w:r>
      <w:r w:rsidRPr="00746B6C">
        <w:rPr>
          <w:rFonts w:ascii="ITC Avant Garde" w:hAnsi="ITC Avant Garde" w:cs="Arial"/>
          <w:bCs/>
        </w:rPr>
        <w:t xml:space="preserve"> Tribunal Colegiado de Circuito en Materia Administrativa especializado en Competencia Económica, Radiodifusión y Telecomunicaciones con residencia en la Ciudad de México y jurisdicción en toda la República, </w:t>
      </w:r>
      <w:r w:rsidR="005B47FB" w:rsidRPr="00746B6C">
        <w:rPr>
          <w:rFonts w:ascii="ITC Avant Garde" w:hAnsi="ITC Avant Garde" w:cs="Arial"/>
          <w:bCs/>
        </w:rPr>
        <w:t xml:space="preserve">los cuales, con excepción del presentado por la Cámara de Senadores, </w:t>
      </w:r>
      <w:r w:rsidRPr="00746B6C">
        <w:rPr>
          <w:rFonts w:ascii="ITC Avant Garde" w:hAnsi="ITC Avant Garde" w:cs="Arial"/>
          <w:bCs/>
        </w:rPr>
        <w:t>se admiti</w:t>
      </w:r>
      <w:r w:rsidR="005B47FB" w:rsidRPr="00746B6C">
        <w:rPr>
          <w:rFonts w:ascii="ITC Avant Garde" w:hAnsi="ITC Avant Garde" w:cs="Arial"/>
          <w:bCs/>
        </w:rPr>
        <w:t xml:space="preserve">eron </w:t>
      </w:r>
      <w:r w:rsidRPr="00746B6C">
        <w:rPr>
          <w:rFonts w:ascii="ITC Avant Garde" w:hAnsi="ITC Avant Garde" w:cs="Arial"/>
          <w:bCs/>
        </w:rPr>
        <w:t>a trámite y se registr</w:t>
      </w:r>
      <w:r w:rsidR="005B47FB" w:rsidRPr="00746B6C">
        <w:rPr>
          <w:rFonts w:ascii="ITC Avant Garde" w:hAnsi="ITC Avant Garde" w:cs="Arial"/>
          <w:bCs/>
        </w:rPr>
        <w:t>aron bajo el toca R.A. 159</w:t>
      </w:r>
      <w:r w:rsidRPr="00746B6C">
        <w:rPr>
          <w:rFonts w:ascii="ITC Avant Garde" w:hAnsi="ITC Avant Garde" w:cs="Arial"/>
          <w:bCs/>
        </w:rPr>
        <w:t>/2016</w:t>
      </w:r>
      <w:r w:rsidR="00A31296" w:rsidRPr="00746B6C">
        <w:rPr>
          <w:rFonts w:ascii="ITC Avant Garde" w:hAnsi="ITC Avant Garde" w:cs="Arial"/>
          <w:bCs/>
        </w:rPr>
        <w:t>.</w:t>
      </w:r>
    </w:p>
    <w:p w14:paraId="693D16E2" w14:textId="77777777" w:rsidR="009E3CFE" w:rsidRDefault="00864E8A" w:rsidP="009E3CFE">
      <w:pPr>
        <w:pStyle w:val="Textoindependiente"/>
        <w:spacing w:after="200" w:line="276" w:lineRule="auto"/>
        <w:rPr>
          <w:rFonts w:ascii="ITC Avant Garde" w:hAnsi="ITC Avant Garde" w:cs="Arial"/>
          <w:bCs/>
        </w:rPr>
      </w:pPr>
      <w:r w:rsidRPr="00746B6C">
        <w:rPr>
          <w:rFonts w:ascii="ITC Avant Garde" w:hAnsi="ITC Avant Garde" w:cs="Arial"/>
          <w:bCs/>
        </w:rPr>
        <w:t xml:space="preserve">En tal virtud, </w:t>
      </w:r>
      <w:r w:rsidR="007A6B89" w:rsidRPr="00746B6C">
        <w:rPr>
          <w:rFonts w:ascii="ITC Avant Garde" w:hAnsi="ITC Avant Garde" w:cs="Arial"/>
          <w:bCs/>
        </w:rPr>
        <w:t xml:space="preserve">los autos </w:t>
      </w:r>
      <w:r w:rsidRPr="00746B6C">
        <w:rPr>
          <w:rFonts w:ascii="ITC Avant Garde" w:hAnsi="ITC Avant Garde" w:cs="Arial"/>
          <w:bCs/>
        </w:rPr>
        <w:t>fueron turnados al Magistrado ponente para la formulaci</w:t>
      </w:r>
      <w:r w:rsidR="007A6B89" w:rsidRPr="00746B6C">
        <w:rPr>
          <w:rFonts w:ascii="ITC Avant Garde" w:hAnsi="ITC Avant Garde" w:cs="Arial"/>
          <w:bCs/>
        </w:rPr>
        <w:t>ón del proyecto de resolución correspondiente</w:t>
      </w:r>
      <w:r w:rsidRPr="00746B6C">
        <w:rPr>
          <w:rFonts w:ascii="ITC Avant Garde" w:hAnsi="ITC Avant Garde" w:cs="Arial"/>
          <w:bCs/>
        </w:rPr>
        <w:t xml:space="preserve">, y mediante sesión celebrada el </w:t>
      </w:r>
      <w:r w:rsidR="007A6B89" w:rsidRPr="00746B6C">
        <w:rPr>
          <w:rFonts w:ascii="ITC Avant Garde" w:hAnsi="ITC Avant Garde" w:cs="Arial"/>
          <w:bCs/>
        </w:rPr>
        <w:t>5 de enero de 2017</w:t>
      </w:r>
      <w:r w:rsidRPr="00746B6C">
        <w:rPr>
          <w:rFonts w:ascii="ITC Avant Garde" w:hAnsi="ITC Avant Garde" w:cs="Arial"/>
          <w:bCs/>
        </w:rPr>
        <w:t>, se resolvió:</w:t>
      </w:r>
    </w:p>
    <w:p w14:paraId="139815E6" w14:textId="77777777" w:rsidR="009E3CFE" w:rsidRDefault="0028648F"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sz w:val="18"/>
        </w:rPr>
        <w:t>«</w:t>
      </w:r>
      <w:r w:rsidR="00864E8A" w:rsidRPr="00746B6C">
        <w:rPr>
          <w:rFonts w:ascii="ITC Avant Garde" w:hAnsi="ITC Avant Garde" w:cs="Arial"/>
          <w:b/>
          <w:bCs/>
          <w:i/>
          <w:sz w:val="18"/>
        </w:rPr>
        <w:t>PRIMERO.</w:t>
      </w:r>
      <w:r w:rsidR="00864E8A" w:rsidRPr="00746B6C">
        <w:rPr>
          <w:rFonts w:ascii="ITC Avant Garde" w:hAnsi="ITC Avant Garde" w:cs="Arial"/>
          <w:bCs/>
          <w:i/>
          <w:sz w:val="18"/>
        </w:rPr>
        <w:t xml:space="preserve"> </w:t>
      </w:r>
      <w:r w:rsidR="007A6B89" w:rsidRPr="00746B6C">
        <w:rPr>
          <w:rFonts w:ascii="ITC Avant Garde" w:hAnsi="ITC Avant Garde" w:cs="Arial"/>
          <w:bCs/>
          <w:i/>
          <w:sz w:val="18"/>
        </w:rPr>
        <w:t>Se declara la incompetencia legal del tribunal para conocer del tema de constitucionalidad del artículo vigésimo transitorio, segundo párrafo de la Ley Federal de Telecomunicaciones y Radiodifusión.</w:t>
      </w:r>
    </w:p>
    <w:p w14:paraId="53985CC1" w14:textId="77777777" w:rsidR="009E3CFE" w:rsidRDefault="0028648F"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
          <w:bCs/>
          <w:i/>
          <w:sz w:val="18"/>
        </w:rPr>
        <w:t>SEGUNDO.</w:t>
      </w:r>
      <w:r w:rsidRPr="00746B6C">
        <w:rPr>
          <w:rFonts w:ascii="ITC Avant Garde" w:hAnsi="ITC Avant Garde" w:cs="Arial"/>
          <w:bCs/>
          <w:i/>
          <w:sz w:val="18"/>
        </w:rPr>
        <w:t xml:space="preserve"> </w:t>
      </w:r>
      <w:r w:rsidR="007A6B89" w:rsidRPr="00746B6C">
        <w:rPr>
          <w:rFonts w:ascii="ITC Avant Garde" w:hAnsi="ITC Avant Garde" w:cs="Arial"/>
          <w:b/>
          <w:bCs/>
          <w:i/>
          <w:sz w:val="18"/>
        </w:rPr>
        <w:t>Remítanse a la Suprema Corte de Justicia de la Nación</w:t>
      </w:r>
      <w:r w:rsidR="007A6B89" w:rsidRPr="00746B6C">
        <w:rPr>
          <w:rFonts w:ascii="ITC Avant Garde" w:hAnsi="ITC Avant Garde" w:cs="Arial"/>
          <w:bCs/>
          <w:i/>
          <w:sz w:val="18"/>
        </w:rPr>
        <w:t xml:space="preserve"> los autos del juicio de amparo indirecto 1690/2015, del índice del Juzgado Primero de Distrito en Materia Administrativa Especializado en Competencia Económica, Radiodifusi</w:t>
      </w:r>
      <w:r w:rsidR="00F22654" w:rsidRPr="00746B6C">
        <w:rPr>
          <w:rFonts w:ascii="ITC Avant Garde" w:hAnsi="ITC Avant Garde" w:cs="Arial"/>
          <w:bCs/>
          <w:i/>
          <w:sz w:val="18"/>
        </w:rPr>
        <w:t>ón y Telecomunicaciones, con residencia en la Ciudad de México y jurisdicción en toda la República.!»</w:t>
      </w:r>
    </w:p>
    <w:p w14:paraId="707E3FEC" w14:textId="77777777" w:rsidR="009E3CFE" w:rsidRDefault="00C47423" w:rsidP="009E3CFE">
      <w:pPr>
        <w:pStyle w:val="Textoindependiente"/>
        <w:spacing w:after="200" w:line="276" w:lineRule="auto"/>
        <w:rPr>
          <w:rFonts w:ascii="ITC Avant Garde" w:hAnsi="ITC Avant Garde" w:cs="Arial"/>
          <w:bCs/>
        </w:rPr>
      </w:pPr>
      <w:r w:rsidRPr="00746B6C">
        <w:rPr>
          <w:rFonts w:ascii="ITC Avant Garde" w:hAnsi="ITC Avant Garde" w:cs="Arial"/>
          <w:bCs/>
        </w:rPr>
        <w:t xml:space="preserve">Es así, que mediante acuerdo de </w:t>
      </w:r>
      <w:r w:rsidR="00F22654" w:rsidRPr="00746B6C">
        <w:rPr>
          <w:rFonts w:ascii="ITC Avant Garde" w:hAnsi="ITC Avant Garde" w:cs="Arial"/>
          <w:bCs/>
        </w:rPr>
        <w:t xml:space="preserve">24 de enero de 2017, el Ministro Presidente de </w:t>
      </w:r>
      <w:r w:rsidRPr="00746B6C">
        <w:rPr>
          <w:rFonts w:ascii="ITC Avant Garde" w:hAnsi="ITC Avant Garde" w:cs="Arial"/>
          <w:bCs/>
        </w:rPr>
        <w:t>la Suprema Corte de Justicia de la Nación (en lo sucesivo, “SCJN”)</w:t>
      </w:r>
      <w:r w:rsidR="00F22654" w:rsidRPr="00746B6C">
        <w:rPr>
          <w:rFonts w:ascii="ITC Avant Garde" w:hAnsi="ITC Avant Garde" w:cs="Arial"/>
          <w:bCs/>
        </w:rPr>
        <w:t>, ordenó turnar y enviar los autos a la Segunda Sala a fin de que su presidente dictara el auto de radicación correspondiente, y en sesión de 28 de junio de 2017, se resolvió lo siguiente:</w:t>
      </w:r>
    </w:p>
    <w:p w14:paraId="2DA11D7F" w14:textId="77777777" w:rsidR="009E3CFE" w:rsidRDefault="00A150EA"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sz w:val="18"/>
        </w:rPr>
        <w:t>«</w:t>
      </w:r>
      <w:r w:rsidRPr="00746B6C">
        <w:rPr>
          <w:rFonts w:ascii="ITC Avant Garde" w:hAnsi="ITC Avant Garde" w:cs="Arial"/>
          <w:b/>
          <w:bCs/>
          <w:i/>
          <w:sz w:val="18"/>
        </w:rPr>
        <w:t>PRIMERO.</w:t>
      </w:r>
      <w:r w:rsidRPr="00746B6C">
        <w:rPr>
          <w:rFonts w:ascii="ITC Avant Garde" w:hAnsi="ITC Avant Garde" w:cs="Arial"/>
          <w:bCs/>
          <w:i/>
          <w:sz w:val="18"/>
        </w:rPr>
        <w:t xml:space="preserve"> </w:t>
      </w:r>
      <w:r w:rsidR="00F22654" w:rsidRPr="00746B6C">
        <w:rPr>
          <w:rFonts w:ascii="ITC Avant Garde" w:hAnsi="ITC Avant Garde" w:cs="Arial"/>
          <w:bCs/>
          <w:i/>
          <w:sz w:val="18"/>
        </w:rPr>
        <w:t>En la materia de la revisión, se modifica la sentencia recurrida.</w:t>
      </w:r>
    </w:p>
    <w:p w14:paraId="18697DC4" w14:textId="77777777" w:rsidR="009E3CFE" w:rsidRDefault="00F22654"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
          <w:bCs/>
          <w:i/>
          <w:sz w:val="18"/>
        </w:rPr>
        <w:t xml:space="preserve">SEGUNDO. </w:t>
      </w:r>
      <w:r w:rsidRPr="00746B6C">
        <w:rPr>
          <w:rFonts w:ascii="ITC Avant Garde" w:hAnsi="ITC Avant Garde" w:cs="Arial"/>
          <w:bCs/>
          <w:i/>
          <w:sz w:val="18"/>
        </w:rPr>
        <w:t>Se sobresee en el juicio de amparo respecto del artículo vigésimo transitorio, segundo párrafo, de la Ley Federal de Telecomunicaciones y Radiodifusión.</w:t>
      </w:r>
    </w:p>
    <w:p w14:paraId="072EF446" w14:textId="77777777" w:rsidR="009E3CFE" w:rsidRDefault="00F22654"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
          <w:bCs/>
          <w:i/>
          <w:sz w:val="18"/>
        </w:rPr>
        <w:t>TERCERO.</w:t>
      </w:r>
      <w:r w:rsidRPr="00746B6C">
        <w:rPr>
          <w:rFonts w:ascii="ITC Avant Garde" w:hAnsi="ITC Avant Garde" w:cs="Arial"/>
          <w:bCs/>
          <w:i/>
          <w:sz w:val="18"/>
        </w:rPr>
        <w:t xml:space="preserve"> Queda sin materia el recurso de revisión adhesivo en los temas de constitucionalidad.</w:t>
      </w:r>
    </w:p>
    <w:p w14:paraId="3F86A564" w14:textId="77777777" w:rsidR="009E3CFE" w:rsidRDefault="00F22654"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
          <w:bCs/>
          <w:i/>
          <w:sz w:val="18"/>
        </w:rPr>
        <w:t>CUARTO.</w:t>
      </w:r>
      <w:r w:rsidRPr="00746B6C">
        <w:rPr>
          <w:rFonts w:ascii="ITC Avant Garde" w:hAnsi="ITC Avant Garde" w:cs="Arial"/>
          <w:bCs/>
          <w:i/>
          <w:sz w:val="18"/>
        </w:rPr>
        <w:t xml:space="preserve"> Se reserva jurisdicción al Tribunal Colegiado de Circuito que previno en el conocimiento del recurso de revisión, para el efecto de que resuelva las cuestiones de su competencia que subsistan en este recurso de revisión”.</w:t>
      </w:r>
    </w:p>
    <w:p w14:paraId="78F5745E" w14:textId="77777777" w:rsidR="009E3CFE" w:rsidRDefault="002303EF" w:rsidP="009E3CFE">
      <w:pPr>
        <w:widowControl w:val="0"/>
        <w:tabs>
          <w:tab w:val="left" w:pos="720"/>
          <w:tab w:val="center" w:pos="4419"/>
          <w:tab w:val="right" w:pos="8838"/>
        </w:tabs>
        <w:jc w:val="both"/>
        <w:rPr>
          <w:rFonts w:ascii="ITC Avant Garde" w:eastAsia="Times New Roman" w:hAnsi="ITC Avant Garde" w:cs="Arial"/>
          <w:szCs w:val="20"/>
        </w:rPr>
      </w:pPr>
      <w:r w:rsidRPr="00746B6C">
        <w:rPr>
          <w:rFonts w:ascii="ITC Avant Garde" w:hAnsi="ITC Avant Garde" w:cs="Arial"/>
          <w:bCs/>
        </w:rPr>
        <w:t xml:space="preserve">En virtud de lo anterior, y en cumplimiento a lo ordenado por la Segunda Sala de la Suprema Corte de Justicia de la Nación, el </w:t>
      </w:r>
      <w:r w:rsidR="00F22654" w:rsidRPr="00746B6C">
        <w:rPr>
          <w:rFonts w:ascii="ITC Avant Garde" w:hAnsi="ITC Avant Garde" w:cs="Arial"/>
          <w:bCs/>
        </w:rPr>
        <w:t>Primer</w:t>
      </w:r>
      <w:r w:rsidRPr="00746B6C">
        <w:rPr>
          <w:rFonts w:ascii="ITC Avant Garde" w:hAnsi="ITC Avant Garde" w:cs="Arial"/>
          <w:bCs/>
        </w:rPr>
        <w:t xml:space="preserve"> Tribunal Colegiado de Circuito en Materia Administrativa especializado en Competencia Económica, Radiodifusión y Telecomunicaciones con residencia en la Ciudad de México y jurisdicción en toda la República, asumió la competencia para seguir conociendo del asunto, </w:t>
      </w:r>
      <w:r w:rsidR="00086F61" w:rsidRPr="00746B6C">
        <w:rPr>
          <w:rFonts w:ascii="ITC Avant Garde" w:eastAsia="Times New Roman" w:hAnsi="ITC Avant Garde" w:cs="Arial"/>
          <w:szCs w:val="20"/>
        </w:rPr>
        <w:t xml:space="preserve">por lo que en </w:t>
      </w:r>
      <w:r w:rsidR="00086F61" w:rsidRPr="00746B6C">
        <w:rPr>
          <w:rFonts w:ascii="ITC Avant Garde" w:eastAsia="Times New Roman" w:hAnsi="ITC Avant Garde" w:cs="Arial"/>
          <w:szCs w:val="20"/>
        </w:rPr>
        <w:lastRenderedPageBreak/>
        <w:t xml:space="preserve">su ejecutoria de fecha </w:t>
      </w:r>
      <w:r w:rsidR="00F22654" w:rsidRPr="00746B6C">
        <w:rPr>
          <w:rFonts w:ascii="ITC Avant Garde" w:eastAsia="Times New Roman" w:hAnsi="ITC Avant Garde" w:cs="Arial"/>
          <w:szCs w:val="20"/>
        </w:rPr>
        <w:t>16 de noviembre</w:t>
      </w:r>
      <w:r w:rsidR="00086F61" w:rsidRPr="00746B6C">
        <w:rPr>
          <w:rFonts w:ascii="ITC Avant Garde" w:eastAsia="Times New Roman" w:hAnsi="ITC Avant Garde" w:cs="Arial"/>
          <w:szCs w:val="20"/>
        </w:rPr>
        <w:t xml:space="preserve"> de 2017, consideró lo siguiente:</w:t>
      </w:r>
    </w:p>
    <w:p w14:paraId="34C7FE10" w14:textId="77777777" w:rsidR="009E3CFE" w:rsidRDefault="00086F61"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sz w:val="18"/>
        </w:rPr>
        <w:t>«</w:t>
      </w:r>
      <w:r w:rsidR="008F2F6C" w:rsidRPr="00746B6C">
        <w:rPr>
          <w:rFonts w:ascii="ITC Avant Garde" w:hAnsi="ITC Avant Garde" w:cs="Arial"/>
          <w:b/>
          <w:bCs/>
          <w:i/>
          <w:sz w:val="18"/>
        </w:rPr>
        <w:t>QUINTO.</w:t>
      </w:r>
      <w:r w:rsidR="009D6903" w:rsidRPr="00746B6C">
        <w:rPr>
          <w:rFonts w:ascii="ITC Avant Garde" w:hAnsi="ITC Avant Garde" w:cs="Arial"/>
          <w:bCs/>
          <w:i/>
          <w:sz w:val="18"/>
        </w:rPr>
        <w:t xml:space="preserve"> </w:t>
      </w:r>
      <w:r w:rsidR="009D6903" w:rsidRPr="00746B6C">
        <w:rPr>
          <w:rFonts w:ascii="ITC Avant Garde" w:hAnsi="ITC Avant Garde" w:cs="Arial"/>
          <w:b/>
          <w:bCs/>
          <w:i/>
          <w:sz w:val="18"/>
        </w:rPr>
        <w:t>Modificación de la sentencia recurrida (…)</w:t>
      </w:r>
    </w:p>
    <w:p w14:paraId="48A256DD" w14:textId="77777777" w:rsidR="009E3CFE" w:rsidRDefault="009D6903"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Ahora bien, las consideraciones que sustentan el amparo en revisión 329/2016 del índice de la Segunda Sala de la Suprema Corte de Justicia de la Nación, que sirvieron de sustento para sobreseer en el juicio respecto del artículo vigésimo transitorio, segundo párrafo de la Ley Federal de Telecomunicaciones y Radiodifusión</w:t>
      </w:r>
      <w:r w:rsidR="00BA1C0A" w:rsidRPr="00746B6C">
        <w:rPr>
          <w:rFonts w:ascii="ITC Avant Garde" w:hAnsi="ITC Avant Garde" w:cs="Arial"/>
          <w:bCs/>
          <w:i/>
          <w:sz w:val="18"/>
        </w:rPr>
        <w:t>, son las siguientes:</w:t>
      </w:r>
    </w:p>
    <w:p w14:paraId="5768C83A" w14:textId="77777777" w:rsidR="009E3CFE" w:rsidRDefault="00BA1C0A"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b/>
          <w:i/>
          <w:iCs/>
          <w:sz w:val="18"/>
          <w:szCs w:val="24"/>
          <w:lang w:val="es-ES" w:eastAsia="es-ES"/>
        </w:rPr>
        <w:t xml:space="preserve">“(…) </w:t>
      </w:r>
      <w:r w:rsidR="00224123" w:rsidRPr="00746B6C">
        <w:rPr>
          <w:rFonts w:ascii="ITC Avant Garde" w:eastAsia="Times New Roman" w:hAnsi="ITC Avant Garde"/>
          <w:b/>
          <w:i/>
          <w:iCs/>
          <w:sz w:val="18"/>
          <w:szCs w:val="24"/>
          <w:lang w:val="es-ES" w:eastAsia="es-ES"/>
        </w:rPr>
        <w:t>QUINTO. Estudio de fondo.</w:t>
      </w:r>
      <w:r w:rsidR="00224123" w:rsidRPr="00746B6C">
        <w:rPr>
          <w:rFonts w:ascii="ITC Avant Garde" w:eastAsia="Times New Roman" w:hAnsi="ITC Avant Garde"/>
          <w:i/>
          <w:iCs/>
          <w:sz w:val="18"/>
          <w:szCs w:val="24"/>
          <w:lang w:val="es-ES" w:eastAsia="es-ES"/>
        </w:rPr>
        <w:t xml:space="preserve"> Una vez precisado lo anterior, es necesario reiterar que el artículo vigésimo transitorio, segundo párrafo, de la Ley Federal de Telecomunicaciones y Radiodifusión, cuya constitucionalidad fue combatida por la quejosa, establece lo siguiente:</w:t>
      </w:r>
    </w:p>
    <w:p w14:paraId="5D9EF5F2" w14:textId="77777777" w:rsidR="009E3CFE" w:rsidRDefault="00BA1C0A"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r w:rsidR="00224123" w:rsidRPr="00746B6C">
        <w:rPr>
          <w:rFonts w:ascii="ITC Avant Garde" w:eastAsia="Times New Roman" w:hAnsi="ITC Avant Garde"/>
          <w:i/>
          <w:iCs/>
          <w:sz w:val="18"/>
          <w:szCs w:val="24"/>
          <w:lang w:val="es-ES" w:eastAsia="es-ES"/>
        </w:rPr>
        <w:t>transcribe)</w:t>
      </w:r>
    </w:p>
    <w:p w14:paraId="72AA6DFC"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Así las cosas, la litis del presente amparo en revisión, consiste en dilucidar el contenido y alcance de la disposición antes transcrita, en tanto los recursos que fueron interpuestos se encuentran encaminados a determinar la interpretación que se debe realizar de la misma.</w:t>
      </w:r>
    </w:p>
    <w:p w14:paraId="2ECFF1CC"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14:paraId="7EE54CA6"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Atendiendo a dicho sistema normativo, cabe señalar que en términos del penúltimo párrafo del artículo 129 de la Ley Federal de Telecomunicaciones y Radiodifusión</w:t>
      </w:r>
      <w:r w:rsidR="00076E0E" w:rsidRPr="00746B6C">
        <w:rPr>
          <w:rStyle w:val="Refdenotaalpie"/>
          <w:rFonts w:ascii="ITC Avant Garde" w:eastAsia="Times New Roman" w:hAnsi="ITC Avant Garde"/>
          <w:i/>
          <w:iCs/>
          <w:sz w:val="18"/>
          <w:szCs w:val="24"/>
          <w:lang w:val="es-ES" w:eastAsia="es-ES"/>
        </w:rPr>
        <w:footnoteReference w:id="2"/>
      </w:r>
      <w:r w:rsidRPr="00746B6C">
        <w:rPr>
          <w:rFonts w:ascii="ITC Avant Garde" w:eastAsia="Times New Roman" w:hAnsi="ITC Avant Garde"/>
          <w:i/>
          <w:iCs/>
          <w:sz w:val="18"/>
          <w:szCs w:val="24"/>
          <w:lang w:val="es-ES" w:eastAsia="es-ES"/>
        </w:rPr>
        <w:t xml:space="preserve">, 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w:t>
      </w:r>
      <w:r w:rsidRPr="00746B6C">
        <w:rPr>
          <w:rFonts w:ascii="ITC Avant Garde" w:eastAsia="Times New Roman" w:hAnsi="ITC Avant Garde"/>
          <w:b/>
          <w:i/>
          <w:iCs/>
          <w:sz w:val="18"/>
          <w:szCs w:val="24"/>
          <w:lang w:val="es-ES" w:eastAsia="es-ES"/>
        </w:rPr>
        <w:t>a más tardar el quince de julio de cada año</w:t>
      </w:r>
      <w:r w:rsidRPr="00746B6C">
        <w:rPr>
          <w:rFonts w:ascii="ITC Avant Garde" w:eastAsia="Times New Roman" w:hAnsi="ITC Avant Garde"/>
          <w:i/>
          <w:iCs/>
          <w:sz w:val="18"/>
          <w:szCs w:val="24"/>
          <w:lang w:val="es-ES" w:eastAsia="es-ES"/>
        </w:rPr>
        <w:t>.</w:t>
      </w:r>
    </w:p>
    <w:p w14:paraId="3372F991"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Lo anterior tiene como objeto que el Instituto Federal de Telecomunicaciones pueda resolver, conforme al procedimiento que establece el propio artículo las condiciones no convenidas –incluidas las tarifas-, </w:t>
      </w:r>
      <w:r w:rsidRPr="00746B6C">
        <w:rPr>
          <w:rFonts w:ascii="ITC Avant Garde" w:eastAsia="Times New Roman" w:hAnsi="ITC Avant Garde"/>
          <w:b/>
          <w:i/>
          <w:iCs/>
          <w:sz w:val="18"/>
          <w:szCs w:val="24"/>
          <w:lang w:val="es-ES" w:eastAsia="es-ES"/>
        </w:rPr>
        <w:t>antes del quince de diciembre</w:t>
      </w:r>
      <w:r w:rsidRPr="00746B6C">
        <w:rPr>
          <w:rFonts w:ascii="ITC Avant Garde" w:eastAsia="Times New Roman" w:hAnsi="ITC Avant Garde"/>
          <w:i/>
          <w:iCs/>
          <w:sz w:val="18"/>
          <w:szCs w:val="24"/>
          <w:lang w:val="es-ES" w:eastAsia="es-ES"/>
        </w:rPr>
        <w:t xml:space="preserve">, </w:t>
      </w:r>
      <w:r w:rsidRPr="00746B6C">
        <w:rPr>
          <w:rFonts w:ascii="ITC Avant Garde" w:eastAsia="Times New Roman" w:hAnsi="ITC Avant Garde"/>
          <w:i/>
          <w:iCs/>
          <w:sz w:val="18"/>
          <w:szCs w:val="24"/>
          <w:lang w:val="es-ES" w:eastAsia="es-ES"/>
        </w:rPr>
        <w:lastRenderedPageBreak/>
        <w:t>para que así, las nuevas condiciones inicien su vigencia a partir del primero de enero del año siguiente.</w:t>
      </w:r>
    </w:p>
    <w:p w14:paraId="2264B0EF"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r w:rsidR="00640C1A" w:rsidRPr="00746B6C">
        <w:rPr>
          <w:rStyle w:val="Refdenotaalpie"/>
          <w:rFonts w:ascii="ITC Avant Garde" w:eastAsia="Times New Roman" w:hAnsi="ITC Avant Garde"/>
          <w:i/>
          <w:iCs/>
          <w:sz w:val="18"/>
          <w:szCs w:val="24"/>
          <w:lang w:val="es-ES" w:eastAsia="es-ES"/>
        </w:rPr>
        <w:footnoteReference w:id="3"/>
      </w:r>
    </w:p>
    <w:p w14:paraId="5AC3AC4D" w14:textId="77777777" w:rsidR="009E3CFE" w:rsidRDefault="00224123" w:rsidP="009E3CFE">
      <w:pPr>
        <w:ind w:left="1134" w:right="957"/>
        <w:jc w:val="both"/>
        <w:rPr>
          <w:rFonts w:ascii="ITC Avant Garde" w:eastAsia="Times New Roman" w:hAnsi="ITC Avant Garde"/>
          <w:b/>
          <w:i/>
          <w:iCs/>
          <w:sz w:val="18"/>
          <w:szCs w:val="24"/>
          <w:lang w:val="es-ES" w:eastAsia="es-ES"/>
        </w:rPr>
      </w:pPr>
      <w:r w:rsidRPr="00746B6C">
        <w:rPr>
          <w:rFonts w:ascii="ITC Avant Garde" w:eastAsia="Times New Roman" w:hAnsi="ITC Avant Garde"/>
          <w:i/>
          <w:iCs/>
          <w:sz w:val="18"/>
          <w:szCs w:val="24"/>
          <w:lang w:val="es-ES" w:eastAsia="es-ES"/>
        </w:rPr>
        <w:t xml:space="preserve">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w:t>
      </w:r>
      <w:r w:rsidRPr="00746B6C">
        <w:rPr>
          <w:rFonts w:ascii="ITC Avant Garde" w:eastAsia="Times New Roman" w:hAnsi="ITC Avant Garde"/>
          <w:b/>
          <w:i/>
          <w:iCs/>
          <w:sz w:val="18"/>
          <w:szCs w:val="24"/>
          <w:lang w:val="es-ES" w:eastAsia="es-ES"/>
        </w:rPr>
        <w:t>a más tardar el quince de julio de dos mil catorce.</w:t>
      </w:r>
    </w:p>
    <w:p w14:paraId="214F099B"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w:t>
      </w:r>
      <w:r w:rsidR="00477F43" w:rsidRPr="00746B6C">
        <w:rPr>
          <w:rStyle w:val="Refdenotaalpie"/>
          <w:rFonts w:ascii="ITC Avant Garde" w:eastAsia="Times New Roman" w:hAnsi="ITC Avant Garde"/>
          <w:i/>
          <w:iCs/>
          <w:sz w:val="18"/>
          <w:szCs w:val="24"/>
          <w:lang w:val="es-ES" w:eastAsia="es-ES"/>
        </w:rPr>
        <w:footnoteReference w:id="4"/>
      </w:r>
      <w:r w:rsidRPr="00746B6C">
        <w:rPr>
          <w:rFonts w:ascii="ITC Avant Garde" w:eastAsia="Times New Roman" w:hAnsi="ITC Avant Garde"/>
          <w:i/>
          <w:iCs/>
          <w:sz w:val="18"/>
          <w:szCs w:val="24"/>
          <w:lang w:val="es-ES" w:eastAsia="es-ES"/>
        </w:rPr>
        <w:t xml:space="preserve"> señala de manera categórica que el Decreto entraría en vigor a los treinta días naturales siguientes a la publicación.</w:t>
      </w:r>
    </w:p>
    <w:p w14:paraId="052FEE27" w14:textId="77777777" w:rsidR="009E3CFE" w:rsidRDefault="00224123"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14:paraId="36638511" w14:textId="77777777" w:rsidR="009E3CFE" w:rsidRDefault="00B93D02"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1EF03F37" w14:textId="77777777" w:rsidR="009E3CFE" w:rsidRDefault="00B93D02"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En tales condiciones normativas, frente a la imposibilidad de aplicar los plazos a que se ha hecho referencia, cobran particular relevancia las disposiciones transitorias de la Ley Federal de Telecomunicaciones y Radiodifusión, puesto que </w:t>
      </w:r>
      <w:r w:rsidRPr="00746B6C">
        <w:rPr>
          <w:rFonts w:ascii="ITC Avant Garde" w:eastAsia="Times New Roman" w:hAnsi="ITC Avant Garde"/>
          <w:i/>
          <w:iCs/>
          <w:sz w:val="18"/>
          <w:szCs w:val="24"/>
          <w:lang w:val="es-ES" w:eastAsia="es-ES"/>
        </w:rPr>
        <w:lastRenderedPageBreak/>
        <w:t>tales disposiciones tienen por objeto precisar cómo se tiene que llevar a cabo la transición entre dos sistemas normativos diversos a partir de una reforma constitucional y legal, con la intención de dotar de certeza en las relaciones jurídicas sobre normas aplicables y el modo en que los operadores del sistema deben llevar a cabo el tratamiento de situaciones de posible conflicto.</w:t>
      </w:r>
      <w:r w:rsidR="002008F1" w:rsidRPr="00746B6C">
        <w:rPr>
          <w:rStyle w:val="Refdenotaalpie"/>
          <w:rFonts w:ascii="ITC Avant Garde" w:eastAsia="Times New Roman" w:hAnsi="ITC Avant Garde"/>
          <w:i/>
          <w:iCs/>
          <w:sz w:val="18"/>
          <w:szCs w:val="24"/>
          <w:lang w:val="es-ES" w:eastAsia="es-ES"/>
        </w:rPr>
        <w:footnoteReference w:id="5"/>
      </w:r>
    </w:p>
    <w:p w14:paraId="3C672758" w14:textId="77777777" w:rsidR="009E3CFE" w:rsidRDefault="00B93D02"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7B89B6DC" w14:textId="77777777" w:rsidR="009E3CFE" w:rsidRDefault="00B93D02"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En consideración a lo anterior, esta Segunda Sala advierte que la problemática concerniente a la fijación de las condiciones no convenidas entre concesionarios distintos al preponderante para dos mil quince, tratándose de las tarifas de terminación de tráfico, debe ser resuelta necesariamente a través de la aplicación del artículo vigésimo, segundo párrafo; que es precisamente el numeral reclamado en el presente asunto.</w:t>
      </w:r>
    </w:p>
    <w:p w14:paraId="3F0D5E3C" w14:textId="77777777" w:rsidR="009E3CFE" w:rsidRDefault="00E81C5D"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p>
    <w:p w14:paraId="33531756" w14:textId="77777777" w:rsidR="009E3CFE" w:rsidRDefault="00E81C5D"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Adicionalmente, por lo que respecta al campo de aplicación material del artículo reclamado, cabe puntualizar, a partir de una interpretación conjunta con el artículo 131 de la propia Ley Federal de Telecomunicaciones y Radiodifusión, que éste se actualiza en relación a las </w:t>
      </w:r>
      <w:r w:rsidRPr="00746B6C">
        <w:rPr>
          <w:rFonts w:ascii="ITC Avant Garde" w:eastAsia="Times New Roman" w:hAnsi="ITC Avant Garde"/>
          <w:b/>
          <w:i/>
          <w:iCs/>
          <w:sz w:val="18"/>
          <w:szCs w:val="24"/>
          <w:lang w:val="es-ES" w:eastAsia="es-ES"/>
        </w:rPr>
        <w:t>tarifas de terminación de tráfico</w:t>
      </w:r>
      <w:r w:rsidRPr="00746B6C">
        <w:rPr>
          <w:rFonts w:ascii="ITC Avant Garde" w:eastAsia="Times New Roman" w:hAnsi="ITC Avant Garde"/>
          <w:i/>
          <w:iCs/>
          <w:sz w:val="18"/>
          <w:szCs w:val="24"/>
          <w:lang w:val="es-ES" w:eastAsia="es-ES"/>
        </w:rPr>
        <w:t xml:space="preserve">, aunado a que el mismo se refiere a dos tipos de tarifas, en atención a que la terminación de tráfico sea en la red del agente económico preponderante, o bien, en la red del </w:t>
      </w:r>
      <w:r w:rsidR="001D623E" w:rsidRPr="00746B6C">
        <w:rPr>
          <w:rFonts w:ascii="ITC Avant Garde" w:eastAsia="Times New Roman" w:hAnsi="ITC Avant Garde"/>
          <w:i/>
          <w:iCs/>
          <w:sz w:val="18"/>
          <w:szCs w:val="24"/>
          <w:lang w:val="es-ES" w:eastAsia="es-ES"/>
        </w:rPr>
        <w:t>resto de</w:t>
      </w:r>
      <w:r w:rsidRPr="00746B6C">
        <w:rPr>
          <w:rFonts w:ascii="ITC Avant Garde" w:eastAsia="Times New Roman" w:hAnsi="ITC Avant Garde"/>
          <w:i/>
          <w:iCs/>
          <w:sz w:val="18"/>
          <w:szCs w:val="24"/>
          <w:lang w:val="es-ES" w:eastAsia="es-ES"/>
        </w:rPr>
        <w:t xml:space="preserve"> concesionarios. En este último 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p>
    <w:p w14:paraId="0E54617C" w14:textId="77777777" w:rsidR="009E3CFE" w:rsidRDefault="00E81C5D"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Una vez precisado lo anterior, esta Segunda Sala de la Suprema Corte de Justicia de la Nación, a través de una interpretación sistemática, arriba a la conclusión de que la disposición reclamada es constitucional, en tanto la misma se ajusta a los principios constitucionales, legales y jurisprudenciales del sistema de interconexión en nuestro país, mismos que fueron expuestos en el considerando tercero de la presente sentencia de acuerdo con lo siguiente:</w:t>
      </w:r>
    </w:p>
    <w:p w14:paraId="03228D57"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lastRenderedPageBreak/>
        <w:t>(I) En primer término, la disposición es constitucional, debido a que permite que los concesionarios ejerzan su libertad de comercio, consistente en la fijación de tarifas de interconexión.</w:t>
      </w:r>
    </w:p>
    <w:p w14:paraId="722144BF"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0D400444"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w:t>
      </w:r>
      <w:r w:rsidRPr="00746B6C">
        <w:rPr>
          <w:rFonts w:ascii="ITC Avant Garde" w:eastAsia="Times New Roman" w:hAnsi="ITC Avant Garde"/>
          <w:b/>
          <w:i/>
          <w:iCs/>
          <w:sz w:val="18"/>
          <w:szCs w:val="24"/>
          <w:lang w:val="es-ES" w:eastAsia="es-ES"/>
        </w:rPr>
        <w:t>hasta en tanto los concesionarios no acuerden las tarifas de interconexión</w:t>
      </w:r>
      <w:r w:rsidRPr="00746B6C">
        <w:rPr>
          <w:rFonts w:ascii="ITC Avant Garde" w:eastAsia="Times New Roman" w:hAnsi="ITC Avant Garde"/>
          <w:i/>
          <w:iCs/>
          <w:sz w:val="18"/>
          <w:szCs w:val="24"/>
          <w:lang w:val="es-ES" w:eastAsia="es-ES"/>
        </w:rPr>
        <w:t>, o el órgano regulador no resuelva la dispuesta, seguirán en vigor las que se venían aplicando.</w:t>
      </w:r>
    </w:p>
    <w:p w14:paraId="7DE6E038"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0A4E58AA"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w:t>
      </w:r>
      <w:r w:rsidRPr="00746B6C">
        <w:rPr>
          <w:rFonts w:ascii="ITC Avant Garde" w:eastAsia="Times New Roman" w:hAnsi="ITC Avant Garde"/>
          <w:b/>
          <w:i/>
          <w:iCs/>
          <w:sz w:val="18"/>
          <w:szCs w:val="24"/>
          <w:lang w:val="es-ES" w:eastAsia="es-ES"/>
        </w:rPr>
        <w:t>no existe una total libertad tarifaria en materia de interconexión</w:t>
      </w:r>
      <w:r w:rsidRPr="00746B6C">
        <w:rPr>
          <w:rFonts w:ascii="ITC Avant Garde" w:eastAsia="Times New Roman" w:hAnsi="ITC Avant Garde"/>
          <w:i/>
          <w:iCs/>
          <w:sz w:val="18"/>
          <w:szCs w:val="24"/>
          <w:lang w:val="es-ES" w:eastAsia="es-ES"/>
        </w:rPr>
        <w:t>, pues incluso las tarifas convenidas entre las partes se encuentran limitadas por un marco legal que ha sido expuesto en la presente sentencia.</w:t>
      </w:r>
    </w:p>
    <w:p w14:paraId="39FA9683"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r w:rsidRPr="00746B6C">
        <w:rPr>
          <w:rFonts w:ascii="ITC Avant Garde" w:eastAsia="Times New Roman" w:hAnsi="ITC Avant Garde"/>
          <w:b/>
          <w:i/>
          <w:iCs/>
          <w:sz w:val="18"/>
          <w:szCs w:val="24"/>
          <w:lang w:val="es-ES" w:eastAsia="es-ES"/>
        </w:rPr>
        <w:t>II</w:t>
      </w:r>
      <w:r w:rsidRPr="00746B6C">
        <w:rPr>
          <w:rFonts w:ascii="ITC Avant Garde" w:eastAsia="Times New Roman" w:hAnsi="ITC Avant Garde"/>
          <w:i/>
          <w:iCs/>
          <w:sz w:val="18"/>
          <w:szCs w:val="24"/>
          <w:lang w:val="es-ES" w:eastAsia="es-ES"/>
        </w:rPr>
        <w:t>) De igual forma, la disposición es constitucional, pues permite que el órgano regulador despliegue y ejerza de manera plena las facultades que constitucional y legalmente tiene asignadas.</w:t>
      </w:r>
    </w:p>
    <w:p w14:paraId="370BD542"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Lo anterior se debe a que el precepto reclamado reconoce que se continuará con las tarifas que se venían aplicando, hasta en tanto los concesionarios no convengan en nuevas condiciones, o el Instituto Federal de Telecomunicaciones fije aquéllas no convenidas, reconociendo por tanto la posibilidad de que éste ejerza sus facultades de regulación, las cuales se deben entender en el sentido de que el Instituto puede, en su caso, </w:t>
      </w:r>
      <w:r w:rsidRPr="00746B6C">
        <w:rPr>
          <w:rFonts w:ascii="ITC Avant Garde" w:eastAsia="Times New Roman" w:hAnsi="ITC Avant Garde"/>
          <w:b/>
          <w:i/>
          <w:iCs/>
          <w:sz w:val="18"/>
          <w:szCs w:val="24"/>
          <w:lang w:val="es-ES" w:eastAsia="es-ES"/>
        </w:rPr>
        <w:t>fijar las tarifas aplicables a todo dos mil quince</w:t>
      </w:r>
      <w:r w:rsidRPr="00746B6C">
        <w:rPr>
          <w:rFonts w:ascii="ITC Avant Garde" w:eastAsia="Times New Roman" w:hAnsi="ITC Avant Garde"/>
          <w:i/>
          <w:iCs/>
          <w:sz w:val="18"/>
          <w:szCs w:val="24"/>
          <w:lang w:val="es-ES" w:eastAsia="es-ES"/>
        </w:rPr>
        <w:t>, y no solamente las que se cobrarán a partir del dictado de la resolución.</w:t>
      </w:r>
    </w:p>
    <w:p w14:paraId="2EE8ED8D"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 xml:space="preserve">Esto es, 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traduce en que: </w:t>
      </w:r>
      <w:r w:rsidRPr="00746B6C">
        <w:rPr>
          <w:rFonts w:ascii="ITC Avant Garde" w:eastAsia="Times New Roman" w:hAnsi="ITC Avant Garde"/>
          <w:b/>
          <w:i/>
          <w:iCs/>
          <w:sz w:val="18"/>
          <w:szCs w:val="24"/>
          <w:lang w:val="es-ES" w:eastAsia="es-ES"/>
        </w:rPr>
        <w:t>a)</w:t>
      </w:r>
      <w:r w:rsidRPr="00746B6C">
        <w:rPr>
          <w:rFonts w:ascii="ITC Avant Garde" w:eastAsia="Times New Roman" w:hAnsi="ITC Avant Garde"/>
          <w:i/>
          <w:iCs/>
          <w:sz w:val="18"/>
          <w:szCs w:val="24"/>
          <w:lang w:val="es-ES" w:eastAsia="es-ES"/>
        </w:rPr>
        <w:t xml:space="preserve"> el regulador pueda declinar la resolución del desacuerdo de interconexión que se le presenta para el periodo ya transcurrido de dos mil quince hasta el dictado de su resolución; o </w:t>
      </w:r>
      <w:r w:rsidRPr="00746B6C">
        <w:rPr>
          <w:rFonts w:ascii="ITC Avant Garde" w:eastAsia="Times New Roman" w:hAnsi="ITC Avant Garde"/>
          <w:b/>
          <w:i/>
          <w:iCs/>
          <w:sz w:val="18"/>
          <w:szCs w:val="24"/>
          <w:lang w:val="es-ES" w:eastAsia="es-ES"/>
        </w:rPr>
        <w:t>b)</w:t>
      </w:r>
      <w:r w:rsidRPr="00746B6C">
        <w:rPr>
          <w:rFonts w:ascii="ITC Avant Garde" w:eastAsia="Times New Roman" w:hAnsi="ITC Avant Garde"/>
          <w:i/>
          <w:iCs/>
          <w:sz w:val="18"/>
          <w:szCs w:val="24"/>
          <w:lang w:val="es-ES" w:eastAsia="es-ES"/>
        </w:rPr>
        <w:t xml:space="preserve"> que pueda resolver el desacuerdo para dos mil quince simplemente aplicando las tarifas de dos mil catorce –con independencia de que al aplicar el modelo de costos correspondiente conforme a la ley vigente, la tarifa pueda coincidir numéricamente con la del año anterior-.</w:t>
      </w:r>
    </w:p>
    <w:p w14:paraId="1FAA0551"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lastRenderedPageBreak/>
        <w:t>En otras palabras, no existe fundamento normativo para afirmar que la nueva tarifa únicamente pueda tener efectos a partir de la celebración del convenio o de la emisión de la resolución del desacuerdo respectivo;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conjunto de normas aplicables en materia de interconexión, sino con la naturaleza regulatoria del Instituto Federal de Telecomunicaciones prevista a nivel constitucional y legal.</w:t>
      </w:r>
    </w:p>
    <w:p w14:paraId="41085081" w14:textId="77777777" w:rsidR="009E3CFE" w:rsidRDefault="0084015B"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1D046AEE"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r w:rsidRPr="00746B6C">
        <w:rPr>
          <w:rFonts w:ascii="ITC Avant Garde" w:eastAsia="Times New Roman" w:hAnsi="ITC Avant Garde"/>
          <w:b/>
          <w:i/>
          <w:iCs/>
          <w:sz w:val="18"/>
          <w:szCs w:val="24"/>
          <w:lang w:val="es-ES" w:eastAsia="es-ES"/>
        </w:rPr>
        <w:t>III</w:t>
      </w:r>
      <w:r w:rsidRPr="00746B6C">
        <w:rPr>
          <w:rFonts w:ascii="ITC Avant Garde" w:eastAsia="Times New Roman" w:hAnsi="ITC Avant Garde"/>
          <w:i/>
          <w:iCs/>
          <w:sz w:val="18"/>
          <w:szCs w:val="24"/>
          <w:lang w:val="es-ES" w:eastAsia="es-ES"/>
        </w:rPr>
        <w:t>)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4D072C4E"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Sin embargo,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14:paraId="304F8CC4"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56454B5D"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r w:rsidRPr="00746B6C">
        <w:rPr>
          <w:rFonts w:ascii="ITC Avant Garde" w:eastAsia="Times New Roman" w:hAnsi="ITC Avant Garde"/>
          <w:b/>
          <w:i/>
          <w:iCs/>
          <w:sz w:val="18"/>
          <w:szCs w:val="24"/>
          <w:lang w:val="es-ES" w:eastAsia="es-ES"/>
        </w:rPr>
        <w:t>IV</w:t>
      </w:r>
      <w:r w:rsidRPr="00746B6C">
        <w:rPr>
          <w:rFonts w:ascii="ITC Avant Garde" w:eastAsia="Times New Roman" w:hAnsi="ITC Avant Garde"/>
          <w:i/>
          <w:iCs/>
          <w:sz w:val="18"/>
          <w:szCs w:val="24"/>
          <w:lang w:val="es-ES" w:eastAsia="es-ES"/>
        </w:rPr>
        <w:t xml:space="preserve">) Finalmente, la disposición reclamada es constitucional, en tanto en su interpretación y aplicación se tome en consideración la </w:t>
      </w:r>
      <w:r w:rsidRPr="00746B6C">
        <w:rPr>
          <w:rFonts w:ascii="ITC Avant Garde" w:eastAsia="Times New Roman" w:hAnsi="ITC Avant Garde"/>
          <w:b/>
          <w:i/>
          <w:iCs/>
          <w:sz w:val="18"/>
          <w:szCs w:val="24"/>
          <w:lang w:val="es-ES" w:eastAsia="es-ES"/>
        </w:rPr>
        <w:t>necesaria compensación</w:t>
      </w:r>
      <w:r w:rsidRPr="00746B6C">
        <w:rPr>
          <w:rFonts w:ascii="ITC Avant Garde" w:eastAsia="Times New Roman" w:hAnsi="ITC Avant Garde"/>
          <w:i/>
          <w:iCs/>
          <w:sz w:val="18"/>
          <w:szCs w:val="24"/>
          <w:lang w:val="es-ES" w:eastAsia="es-ES"/>
        </w:rPr>
        <w:t xml:space="preserve"> o “</w:t>
      </w:r>
      <w:r w:rsidRPr="00746B6C">
        <w:rPr>
          <w:rFonts w:ascii="ITC Avant Garde" w:eastAsia="Times New Roman" w:hAnsi="ITC Avant Garde"/>
          <w:b/>
          <w:i/>
          <w:iCs/>
          <w:sz w:val="18"/>
          <w:szCs w:val="24"/>
          <w:lang w:val="es-ES" w:eastAsia="es-ES"/>
        </w:rPr>
        <w:t>pago por diferencias</w:t>
      </w:r>
      <w:r w:rsidRPr="00746B6C">
        <w:rPr>
          <w:rFonts w:ascii="ITC Avant Garde" w:eastAsia="Times New Roman" w:hAnsi="ITC Avant Garde"/>
          <w:i/>
          <w:iCs/>
          <w:sz w:val="18"/>
          <w:szCs w:val="24"/>
          <w:lang w:val="es-ES" w:eastAsia="es-ES"/>
        </w:rPr>
        <w:t>” que tiene que existir en torno a las tarifas que fueron cobradas antes de celebrado el convenio o previo a que el órgano regulador fijara las condiciones no convenidas.</w:t>
      </w:r>
    </w:p>
    <w:p w14:paraId="48122D12"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5557B145"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lastRenderedPageBreak/>
        <w:t xml:space="preserve">Lo anterior, es coincidente con lo resuelto por el Tribunal Pleno de esta Suprema Corte en la </w:t>
      </w:r>
      <w:r w:rsidRPr="00746B6C">
        <w:rPr>
          <w:rFonts w:ascii="ITC Avant Garde" w:eastAsia="Times New Roman" w:hAnsi="ITC Avant Garde"/>
          <w:b/>
          <w:i/>
          <w:iCs/>
          <w:sz w:val="18"/>
          <w:szCs w:val="24"/>
          <w:lang w:val="es-ES" w:eastAsia="es-ES"/>
        </w:rPr>
        <w:t>contradicción de tesis 2</w:t>
      </w:r>
      <w:r w:rsidR="00DF3CBA" w:rsidRPr="00746B6C">
        <w:rPr>
          <w:rFonts w:ascii="ITC Avant Garde" w:eastAsia="Times New Roman" w:hAnsi="ITC Avant Garde"/>
          <w:b/>
          <w:i/>
          <w:iCs/>
          <w:sz w:val="18"/>
          <w:szCs w:val="24"/>
          <w:lang w:val="es-ES" w:eastAsia="es-ES"/>
        </w:rPr>
        <w:t>68</w:t>
      </w:r>
      <w:r w:rsidRPr="00746B6C">
        <w:rPr>
          <w:rFonts w:ascii="ITC Avant Garde" w:eastAsia="Times New Roman" w:hAnsi="ITC Avant Garde"/>
          <w:b/>
          <w:i/>
          <w:iCs/>
          <w:sz w:val="18"/>
          <w:szCs w:val="24"/>
          <w:lang w:val="es-ES" w:eastAsia="es-ES"/>
        </w:rPr>
        <w:t>/2010</w:t>
      </w:r>
      <w:r w:rsidRPr="00746B6C">
        <w:rPr>
          <w:rFonts w:ascii="ITC Avant Garde" w:eastAsia="Times New Roman" w:hAnsi="ITC Avant Garde"/>
          <w:i/>
          <w:iCs/>
          <w:sz w:val="18"/>
          <w:szCs w:val="24"/>
          <w:lang w:val="es-ES" w:eastAsia="es-ES"/>
        </w:rPr>
        <w:t xml:space="preserve">, en la que se determinó que las condiciones de interconexión siempre deben de considerarse de interés social, pues forman parte de todo un sistema 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w:t>
      </w:r>
      <w:r w:rsidRPr="00746B6C">
        <w:rPr>
          <w:rFonts w:ascii="ITC Avant Garde" w:eastAsia="Times New Roman" w:hAnsi="ITC Avant Garde"/>
          <w:b/>
          <w:i/>
          <w:iCs/>
          <w:sz w:val="18"/>
          <w:szCs w:val="24"/>
          <w:lang w:val="es-ES" w:eastAsia="es-ES"/>
        </w:rPr>
        <w:t>hasta en tanto</w:t>
      </w:r>
      <w:r w:rsidRPr="00746B6C">
        <w:rPr>
          <w:rFonts w:ascii="ITC Avant Garde" w:eastAsia="Times New Roman" w:hAnsi="ITC Avant Garde"/>
          <w:i/>
          <w:iCs/>
          <w:sz w:val="18"/>
          <w:szCs w:val="24"/>
          <w:lang w:val="es-ES" w:eastAsia="es-ES"/>
        </w:rPr>
        <w:t xml:space="preserve"> no se resuelvan los aspectos no acordados por las partes, en el caso específico de las tarifas, </w:t>
      </w:r>
      <w:r w:rsidRPr="00746B6C">
        <w:rPr>
          <w:rFonts w:ascii="ITC Avant Garde" w:eastAsia="Times New Roman" w:hAnsi="ITC Avant Garde"/>
          <w:b/>
          <w:i/>
          <w:iCs/>
          <w:sz w:val="18"/>
          <w:szCs w:val="24"/>
          <w:lang w:val="es-ES" w:eastAsia="es-ES"/>
        </w:rPr>
        <w:t>regirá la que hasta ese momento se encontraba vigente</w:t>
      </w:r>
      <w:r w:rsidRPr="00746B6C">
        <w:rPr>
          <w:rFonts w:ascii="ITC Avant Garde" w:eastAsia="Times New Roman" w:hAnsi="ITC Avant Garde"/>
          <w:i/>
          <w:iCs/>
          <w:sz w:val="18"/>
          <w:szCs w:val="24"/>
          <w:lang w:val="es-ES" w:eastAsia="es-ES"/>
        </w:rPr>
        <w:t>.</w:t>
      </w:r>
    </w:p>
    <w:p w14:paraId="31740844" w14:textId="77777777" w:rsidR="009E3CFE" w:rsidRDefault="006B579C" w:rsidP="009E3CFE">
      <w:pPr>
        <w:ind w:left="1134" w:right="957"/>
        <w:jc w:val="both"/>
        <w:rPr>
          <w:rFonts w:ascii="ITC Avant Garde" w:eastAsia="Times New Roman" w:hAnsi="ITC Avant Garde"/>
          <w:b/>
          <w:i/>
          <w:iCs/>
          <w:sz w:val="18"/>
          <w:szCs w:val="24"/>
          <w:lang w:val="es-ES" w:eastAsia="es-ES"/>
        </w:rPr>
      </w:pPr>
      <w:r w:rsidRPr="00746B6C">
        <w:rPr>
          <w:rFonts w:ascii="ITC Avant Garde" w:eastAsia="Times New Roman" w:hAnsi="ITC Avant Garde"/>
          <w:i/>
          <w:iCs/>
          <w:sz w:val="18"/>
          <w:szCs w:val="24"/>
          <w:lang w:val="es-ES" w:eastAsia="es-ES"/>
        </w:rPr>
        <w:t xml:space="preserve">En consecuencia, el artículo vigésimo transitorio, segundo párrafo, de la Ley Federal de Telecomunicaciones y Radiodifusión implica que hasta en tanto no se celebre un convenio entre concesionarios o el órgano regulador no fije las tarifas para dos mil quince, se continuarán aplicando las relativas a dos mil catorce; </w:t>
      </w:r>
      <w:r w:rsidRPr="00746B6C">
        <w:rPr>
          <w:rFonts w:ascii="ITC Avant Garde" w:eastAsia="Times New Roman" w:hAnsi="ITC Avant Garde"/>
          <w:b/>
          <w:i/>
          <w:iCs/>
          <w:sz w:val="18"/>
          <w:szCs w:val="24"/>
          <w:lang w:val="es-ES" w:eastAsia="es-ES"/>
        </w:rPr>
        <w:t xml:space="preserve">pero una vez celebrado el convenio o emitida la resolución, se deberá realizar cuando así corresponda, el </w:t>
      </w:r>
      <w:r w:rsidR="00A8438D" w:rsidRPr="00746B6C">
        <w:rPr>
          <w:rFonts w:ascii="ITC Avant Garde" w:eastAsia="Times New Roman" w:hAnsi="ITC Avant Garde"/>
          <w:b/>
          <w:i/>
          <w:iCs/>
          <w:sz w:val="18"/>
          <w:szCs w:val="24"/>
          <w:lang w:val="es-ES" w:eastAsia="es-ES"/>
        </w:rPr>
        <w:t>‘</w:t>
      </w:r>
      <w:r w:rsidRPr="00746B6C">
        <w:rPr>
          <w:rFonts w:ascii="ITC Avant Garde" w:eastAsia="Times New Roman" w:hAnsi="ITC Avant Garde"/>
          <w:b/>
          <w:i/>
          <w:iCs/>
          <w:sz w:val="18"/>
          <w:szCs w:val="24"/>
          <w:lang w:val="es-ES" w:eastAsia="es-ES"/>
        </w:rPr>
        <w:t>pago por diferencias</w:t>
      </w:r>
      <w:r w:rsidR="00A8438D" w:rsidRPr="00746B6C">
        <w:rPr>
          <w:rFonts w:ascii="ITC Avant Garde" w:eastAsia="Times New Roman" w:hAnsi="ITC Avant Garde"/>
          <w:b/>
          <w:i/>
          <w:iCs/>
          <w:sz w:val="18"/>
          <w:szCs w:val="24"/>
          <w:lang w:val="es-ES" w:eastAsia="es-ES"/>
        </w:rPr>
        <w:t>’</w:t>
      </w:r>
      <w:r w:rsidRPr="00746B6C">
        <w:rPr>
          <w:rFonts w:ascii="ITC Avant Garde" w:eastAsia="Times New Roman" w:hAnsi="ITC Avant Garde"/>
          <w:b/>
          <w:i/>
          <w:iCs/>
          <w:sz w:val="18"/>
          <w:szCs w:val="24"/>
          <w:lang w:val="es-ES" w:eastAsia="es-ES"/>
        </w:rPr>
        <w:t xml:space="preserve"> para los montos que ya fueron cobrados, a efecto de que durante todo dos mil quince se cobren efectivamente las nuevas condiciones.</w:t>
      </w:r>
    </w:p>
    <w:p w14:paraId="52666288"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w:t>
      </w:r>
    </w:p>
    <w:p w14:paraId="4D0C1386" w14:textId="77777777" w:rsidR="009E3CFE" w:rsidRDefault="006B579C" w:rsidP="009E3CFE">
      <w:pPr>
        <w:ind w:left="1134" w:right="957"/>
        <w:jc w:val="both"/>
        <w:rPr>
          <w:rFonts w:ascii="ITC Avant Garde" w:eastAsia="Times New Roman" w:hAnsi="ITC Avant Garde"/>
          <w:i/>
          <w:iCs/>
          <w:sz w:val="18"/>
          <w:szCs w:val="24"/>
          <w:lang w:val="es-ES" w:eastAsia="es-ES"/>
        </w:rPr>
      </w:pPr>
      <w:r w:rsidRPr="00746B6C">
        <w:rPr>
          <w:rFonts w:ascii="ITC Avant Garde" w:eastAsia="Times New Roman" w:hAnsi="ITC Avant Garde"/>
          <w:i/>
          <w:iCs/>
          <w:sz w:val="18"/>
          <w:szCs w:val="24"/>
          <w:lang w:val="es-ES" w:eastAsia="es-ES"/>
        </w:rPr>
        <w:t>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fueron convenidas o fijadas para do</w:t>
      </w:r>
      <w:r w:rsidR="00A8438D" w:rsidRPr="00746B6C">
        <w:rPr>
          <w:rFonts w:ascii="ITC Avant Garde" w:eastAsia="Times New Roman" w:hAnsi="ITC Avant Garde"/>
          <w:i/>
          <w:iCs/>
          <w:sz w:val="18"/>
          <w:szCs w:val="24"/>
          <w:lang w:val="es-ES" w:eastAsia="es-ES"/>
        </w:rPr>
        <w:t xml:space="preserve">s mil catorce. </w:t>
      </w:r>
      <w:r w:rsidR="00A8438D" w:rsidRPr="00746B6C">
        <w:rPr>
          <w:rFonts w:ascii="ITC Avant Garde" w:eastAsia="Times New Roman" w:hAnsi="ITC Avant Garde"/>
          <w:b/>
          <w:i/>
          <w:iCs/>
          <w:sz w:val="18"/>
          <w:szCs w:val="24"/>
          <w:lang w:val="es-ES" w:eastAsia="es-ES"/>
        </w:rPr>
        <w:t xml:space="preserve">Pero lo anterior </w:t>
      </w:r>
      <w:r w:rsidRPr="00746B6C">
        <w:rPr>
          <w:rFonts w:ascii="ITC Avant Garde" w:eastAsia="Times New Roman" w:hAnsi="ITC Avant Garde"/>
          <w:b/>
          <w:i/>
          <w:iCs/>
          <w:sz w:val="18"/>
          <w:szCs w:val="24"/>
          <w:lang w:val="es-ES" w:eastAsia="es-ES"/>
        </w:rPr>
        <w:t>no es obstáculo para que se acuerden o fijen las tarifas para el periodo comprendido desde el primero de enero de dos mil quince</w:t>
      </w:r>
      <w:r w:rsidRPr="00746B6C">
        <w:rPr>
          <w:rFonts w:ascii="ITC Avant Garde" w:eastAsia="Times New Roman" w:hAnsi="ITC Avant Garde"/>
          <w:i/>
          <w:iCs/>
          <w:sz w:val="18"/>
          <w:szCs w:val="24"/>
          <w:lang w:val="es-ES" w:eastAsia="es-ES"/>
        </w:rPr>
        <w:t>, supuesto en el que el convenio o resolución señalará el modo de realizar el “pago por diferencias” para las tarifas que ya fueron cobradas.</w:t>
      </w:r>
    </w:p>
    <w:p w14:paraId="6D0476F9" w14:textId="77777777" w:rsidR="009E3CFE" w:rsidRDefault="006B579C" w:rsidP="009E3CFE">
      <w:pPr>
        <w:ind w:left="1134" w:right="957"/>
        <w:jc w:val="both"/>
        <w:rPr>
          <w:rFonts w:ascii="ITC Avant Garde" w:eastAsia="Times New Roman" w:hAnsi="ITC Avant Garde"/>
          <w:iCs/>
          <w:sz w:val="18"/>
          <w:szCs w:val="24"/>
          <w:lang w:val="es-ES" w:eastAsia="es-ES"/>
        </w:rPr>
      </w:pPr>
      <w:r w:rsidRPr="00746B6C">
        <w:rPr>
          <w:rFonts w:ascii="ITC Avant Garde" w:eastAsia="Times New Roman" w:hAnsi="ITC Avant Garde"/>
          <w:iCs/>
          <w:sz w:val="18"/>
          <w:szCs w:val="24"/>
          <w:lang w:val="es-ES" w:eastAsia="es-ES"/>
        </w:rPr>
        <w:t>[…]</w:t>
      </w:r>
      <w:r w:rsidR="00A8438D" w:rsidRPr="00746B6C">
        <w:rPr>
          <w:rFonts w:ascii="ITC Avant Garde" w:eastAsia="Times New Roman" w:hAnsi="ITC Avant Garde"/>
          <w:iCs/>
          <w:sz w:val="18"/>
          <w:szCs w:val="24"/>
          <w:lang w:val="es-ES" w:eastAsia="es-ES"/>
        </w:rPr>
        <w:t>”</w:t>
      </w:r>
    </w:p>
    <w:p w14:paraId="5D9C0CCD" w14:textId="77777777" w:rsidR="009E3CFE" w:rsidRDefault="00094E0D"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De la transcripción que antecede, se desprende que la Segunda Sala de la Suprema Corte de Justicia de la Nación</w:t>
      </w:r>
      <w:r w:rsidR="004905EE" w:rsidRPr="00746B6C">
        <w:rPr>
          <w:rFonts w:ascii="ITC Avant Garde" w:hAnsi="ITC Avant Garde" w:cs="Arial"/>
          <w:bCs/>
          <w:i/>
          <w:sz w:val="18"/>
        </w:rPr>
        <w:t xml:space="preserve"> consideró que el artículo vigésimo transitorio, segundo párrafo, de la Ley Federal de Telecomunicaciones y Radiodifusión es constitucional en razón de que no resulta contrario a la libertad de comercio –en su vertiente de libertad tarifaria-, ni al resto de las disposiciones concernientes al sistema de interconexión de redes públicas de interconexión.</w:t>
      </w:r>
    </w:p>
    <w:p w14:paraId="1C6448EF" w14:textId="77777777" w:rsidR="009E3CFE" w:rsidRDefault="004905EE"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 xml:space="preserve">En consecuencia, en lo que es competencia de este órgano colegiado se </w:t>
      </w:r>
      <w:r w:rsidRPr="00746B6C">
        <w:rPr>
          <w:rFonts w:ascii="ITC Avant Garde" w:hAnsi="ITC Avant Garde" w:cs="Arial"/>
          <w:b/>
          <w:bCs/>
          <w:i/>
          <w:sz w:val="18"/>
        </w:rPr>
        <w:t>modifica</w:t>
      </w:r>
      <w:r w:rsidRPr="00746B6C">
        <w:rPr>
          <w:rFonts w:ascii="ITC Avant Garde" w:hAnsi="ITC Avant Garde" w:cs="Arial"/>
          <w:bCs/>
          <w:i/>
          <w:sz w:val="18"/>
        </w:rPr>
        <w:t xml:space="preserve"> la sentencia recurrida y con fundamente en el artículo 93, fracción IV, de la Ley de Amparo, procede a estudiar los conceptos de violación omitidos por la Juez de Distrito.</w:t>
      </w:r>
    </w:p>
    <w:p w14:paraId="3A96BEC2" w14:textId="77777777" w:rsidR="009E3CFE" w:rsidRDefault="004905EE"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
          <w:bCs/>
          <w:i/>
          <w:sz w:val="18"/>
        </w:rPr>
        <w:t>SEXTO. Estudio de los agravios que se dejaron de analizar</w:t>
      </w:r>
      <w:r w:rsidRPr="00746B6C">
        <w:rPr>
          <w:rFonts w:ascii="ITC Avant Garde" w:hAnsi="ITC Avant Garde" w:cs="Arial"/>
          <w:bCs/>
          <w:i/>
          <w:sz w:val="18"/>
        </w:rPr>
        <w:t xml:space="preserve">. Inconstitucionalidad del punto de acuerdo primero, párrafo tercero del “Acuerdo mediante el cual el Pleno del Instituto Federal de Telecomunicaciones determina las tarifas de interconexión resultado de la metodología para el cálculo de costos de interconexión que se utilizará para resolver los desacuerdos de </w:t>
      </w:r>
      <w:r w:rsidRPr="00746B6C">
        <w:rPr>
          <w:rFonts w:ascii="ITC Avant Garde" w:hAnsi="ITC Avant Garde" w:cs="Arial"/>
          <w:bCs/>
          <w:i/>
          <w:sz w:val="18"/>
        </w:rPr>
        <w:lastRenderedPageBreak/>
        <w:t>interconexión que se presenten respecto de las condiciones aplicables al año 2015”</w:t>
      </w:r>
      <w:r w:rsidR="00AD710F" w:rsidRPr="00746B6C">
        <w:rPr>
          <w:rFonts w:ascii="ITC Avant Garde" w:hAnsi="ITC Avant Garde" w:cs="Arial"/>
          <w:bCs/>
          <w:i/>
          <w:sz w:val="18"/>
        </w:rPr>
        <w:t>, publicado en el Diario Oficial de la Federación el veintinueve de diciembre de dos mil quince.</w:t>
      </w:r>
    </w:p>
    <w:p w14:paraId="3E6485F4" w14:textId="77777777" w:rsidR="009E3CFE" w:rsidRDefault="00AD710F"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 xml:space="preserve">En el </w:t>
      </w:r>
      <w:r w:rsidRPr="00746B6C">
        <w:rPr>
          <w:rFonts w:ascii="ITC Avant Garde" w:hAnsi="ITC Avant Garde" w:cs="Arial"/>
          <w:b/>
          <w:bCs/>
          <w:i/>
          <w:sz w:val="18"/>
        </w:rPr>
        <w:t>primero concepto de violación</w:t>
      </w:r>
      <w:r w:rsidRPr="00746B6C">
        <w:rPr>
          <w:rFonts w:ascii="ITC Avant Garde" w:hAnsi="ITC Avant Garde" w:cs="Arial"/>
          <w:bCs/>
          <w:i/>
          <w:sz w:val="18"/>
        </w:rPr>
        <w:t xml:space="preserve"> la quejosa, en esencia, aduce que la resolución reclamada transgrede los artículos 14 y 16 constitucionales, en razón de que el Pleno del Instituto Federal de Telecomunicaciones, interpretó incorrectamente el contenido del artículo Vigésimo Transitorio, párrafo segundo, de la Ley Federal de Telecomunicaciones y Radiodifusión, al determinar que de conformidad con dicho numeral, las tarifas fijadas por el órgano regulador solo serán aplicables a partir del dictado de la resolución de desacuerdo de interconexión correspondiente.</w:t>
      </w:r>
    </w:p>
    <w:p w14:paraId="3E17A470" w14:textId="77777777" w:rsidR="009E3CFE" w:rsidRDefault="00B22407"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w:t>
      </w:r>
    </w:p>
    <w:p w14:paraId="68B1EBF3" w14:textId="77777777" w:rsidR="009E3CFE" w:rsidRDefault="00B22407"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Sostiene que el segundo párrafo del artículo Vigésimo transitorio, tuvo como finalidad salvaguardar las tarifas vigentes al momento de la entrada en vigor de la Ley Federal de Telecomunicaciones y Radiodifusión, con excepción de las relativas a la terminación de tráfico en la red del agente económico preponderante, y la de una supuesta habilitación al instituto para extender o dar efectos ultractivos a las tarifas aplicables al periodo inmediatamente anterior, por lo que el órgano regulador no debió limitar la vigencia de las tarifas por terminación determinadas en el Acuerdo reclamada, al periodo comprendido entre la emisión de la resolución de desacuerdo y el treinta y uno de diciembre de dos mil quince, sino que debió especificar que dichas tarifas se aplicarían para todo el ejercicio de la anualidad de dos mil quince.</w:t>
      </w:r>
    </w:p>
    <w:p w14:paraId="32AC4021" w14:textId="77777777" w:rsidR="009E3CFE" w:rsidRDefault="00B22407"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 xml:space="preserve">Lo argumentos sintetizados resultan </w:t>
      </w:r>
      <w:r w:rsidRPr="00746B6C">
        <w:rPr>
          <w:rFonts w:ascii="ITC Avant Garde" w:hAnsi="ITC Avant Garde" w:cs="Arial"/>
          <w:b/>
          <w:bCs/>
          <w:i/>
          <w:sz w:val="18"/>
        </w:rPr>
        <w:t xml:space="preserve">fundados </w:t>
      </w:r>
      <w:r w:rsidRPr="00746B6C">
        <w:rPr>
          <w:rFonts w:ascii="ITC Avant Garde" w:hAnsi="ITC Avant Garde" w:cs="Arial"/>
          <w:bCs/>
          <w:i/>
          <w:sz w:val="18"/>
        </w:rPr>
        <w:t xml:space="preserve">y </w:t>
      </w:r>
      <w:r w:rsidRPr="00746B6C">
        <w:rPr>
          <w:rFonts w:ascii="ITC Avant Garde" w:hAnsi="ITC Avant Garde" w:cs="Arial"/>
          <w:b/>
          <w:bCs/>
          <w:i/>
          <w:sz w:val="18"/>
        </w:rPr>
        <w:t>suficientes</w:t>
      </w:r>
      <w:r w:rsidRPr="00746B6C">
        <w:rPr>
          <w:rFonts w:ascii="ITC Avant Garde" w:hAnsi="ITC Avant Garde" w:cs="Arial"/>
          <w:bCs/>
          <w:i/>
          <w:sz w:val="18"/>
        </w:rPr>
        <w:t xml:space="preserve"> para conceder el amparo solicitado a la quejosa.</w:t>
      </w:r>
    </w:p>
    <w:p w14:paraId="44CE6908" w14:textId="77777777" w:rsidR="009E3CFE" w:rsidRDefault="00B22407"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w:t>
      </w:r>
    </w:p>
    <w:p w14:paraId="4387B63E" w14:textId="77777777" w:rsidR="009E3CFE" w:rsidRDefault="00272D64"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Así, atendiendo a la interpretación correcta del artículo vigésimo transitorio, segundo párrafo, de la Ley Federal de Telecomunicaciones y Radiodifusión, el Instituto Federal de Telecomunicaciones se encontraba obligado a resolver el desacuerdo de interconexión respecto de todo el año dos mil quince.</w:t>
      </w:r>
    </w:p>
    <w:p w14:paraId="3CD9D66A" w14:textId="77777777" w:rsidR="009E3CFE" w:rsidRDefault="00272D64"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Ello es así, ya que como lo sostuvo la Segunda Sala de la Suprema Corte de Justicia de la Nación, la expresión empleada por el legislador “hasta en tanto los concesionarios no acuerden las tarifas de interconexión correspondientes”, implica que hasta dicho acuerdo se continuará aplicando la tarifa previamente fijada para dos mil catorce –por los concesionarios o por el órgano regulador en la fase de desacuerdo-, pero ello no se traduce en que el Instituto Federal de Telecomunicaciones pueda declinar la resolución del desacuerdo de interconexión que se le presenta para el periodo ya transcurrido de dos mil quince hasta el dictado de su resolución; o que se pueda resolver el desacuerdo para dos mil quince simplemente aplicando las tarifas de dos mi catorce.</w:t>
      </w:r>
    </w:p>
    <w:p w14:paraId="7B516752" w14:textId="77777777" w:rsidR="009E3CFE" w:rsidRDefault="00272D64"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Esto es, no existe fundamento normativo para afirmar que la nueva tarifa sólo pueda tener efectos a partir de la resolución del desacuerdo respectivo pues el precepto</w:t>
      </w:r>
      <w:r w:rsidR="00F36DD0" w:rsidRPr="00746B6C">
        <w:rPr>
          <w:rFonts w:ascii="ITC Avant Garde" w:hAnsi="ITC Avant Garde" w:cs="Arial"/>
          <w:bCs/>
          <w:i/>
          <w:sz w:val="18"/>
        </w:rPr>
        <w:t xml:space="preserve"> aludido permite que el órgano regulador fije las condiciones para todo el periodo en cuestión, que en el caso particular inicia el uno de enero; ya que tal interpretación es más armónica no solo con el conjunto de normar aplicables en materia de interconexión, sino con la naturaleza regulatoria del Instituto Federal de Telecomunicaciones prevista a nivel constitucional y legal.</w:t>
      </w:r>
    </w:p>
    <w:p w14:paraId="797AE29A" w14:textId="77777777" w:rsidR="009E3CFE" w:rsidRDefault="00F36DD0"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lastRenderedPageBreak/>
        <w:t>De ahí que, sea incorrecto que en el Acuerdo reclamado el Instituto Federal de Telecomunicaciones haya determinado que las tarifas por terminación de tráfico en la red de los concesionarios distintos del preponderante, sólo tendrían efectos a partir del momento en que el instituto resolviera el desacuerdo respectivo, y hasta el treinta y uno de diciembre de dos mil quince, pues, se insiste, de acuerdo a una interpretación armónica del artículo vigésimo transitorio, segundo párrafo de la Ley Federal de Telecomunicaciones y Radiodifusión</w:t>
      </w:r>
      <w:r w:rsidR="00513277" w:rsidRPr="00746B6C">
        <w:rPr>
          <w:rFonts w:ascii="ITC Avant Garde" w:hAnsi="ITC Avant Garde" w:cs="Arial"/>
          <w:bCs/>
          <w:i/>
          <w:sz w:val="18"/>
        </w:rPr>
        <w:t xml:space="preserve">, la expresión “hasta en tanto los concesionarios a que se refiere ese inciso no acuerden las tarifas de interconexión correspondientes” implica que hasta dicho acuerdo se continuará aplicando la tarifa previamente fijada para dos mil catorce –por los concesionarios o por el órgano regulador-, pero el Instituto Federal de Telecomunicaciones debía de fijar las tarifas aplicables a todo el año dos mil quince y no solamente las que se </w:t>
      </w:r>
      <w:r w:rsidR="0050137A" w:rsidRPr="00746B6C">
        <w:rPr>
          <w:rFonts w:ascii="ITC Avant Garde" w:hAnsi="ITC Avant Garde" w:cs="Arial"/>
          <w:bCs/>
          <w:i/>
          <w:sz w:val="18"/>
        </w:rPr>
        <w:t>cobraran a partir del dictado de la resolución de desacuerdo; de ahí lo fundado los argumentos en estudio.</w:t>
      </w:r>
    </w:p>
    <w:p w14:paraId="07565DC4" w14:textId="77777777" w:rsidR="009E3CFE" w:rsidRDefault="00F36DD0"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w:t>
      </w:r>
    </w:p>
    <w:p w14:paraId="22036355" w14:textId="77777777" w:rsidR="009E3CFE" w:rsidRDefault="0050137A"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Por lo tanto, al estimarse incorrecta la interpretación que la autoridad responsable otorgó al artículo Vigésimo Transitorio, segundo párrafo, tanto el Acuerdo reclamado con en la resolución de siete de octubre de dos mil quince, devienen fundados los argumentos de estudio.</w:t>
      </w:r>
    </w:p>
    <w:p w14:paraId="4D168FF4" w14:textId="77777777" w:rsidR="009E3CFE" w:rsidRDefault="0050137A"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 xml:space="preserve">En las relatadas circunstancias lo precedente es </w:t>
      </w:r>
      <w:r w:rsidRPr="00746B6C">
        <w:rPr>
          <w:rFonts w:ascii="ITC Avant Garde" w:hAnsi="ITC Avant Garde" w:cs="Arial"/>
          <w:b/>
          <w:bCs/>
          <w:i/>
          <w:sz w:val="18"/>
        </w:rPr>
        <w:t>conceder</w:t>
      </w:r>
      <w:r w:rsidRPr="00746B6C">
        <w:rPr>
          <w:rFonts w:ascii="ITC Avant Garde" w:hAnsi="ITC Avant Garde" w:cs="Arial"/>
          <w:bCs/>
          <w:i/>
          <w:sz w:val="18"/>
        </w:rPr>
        <w:t xml:space="preserve"> el amparo y protección de la Justicia Federal solicitado por </w:t>
      </w:r>
      <w:r w:rsidRPr="00746B6C">
        <w:rPr>
          <w:rFonts w:ascii="ITC Avant Garde" w:hAnsi="ITC Avant Garde" w:cs="Arial"/>
          <w:b/>
          <w:bCs/>
          <w:i/>
          <w:sz w:val="18"/>
        </w:rPr>
        <w:t>Radiomóvil Dipsa, sociedad anónima de capital variable</w:t>
      </w:r>
      <w:r w:rsidRPr="00746B6C">
        <w:rPr>
          <w:rFonts w:ascii="ITC Avant Garde" w:hAnsi="ITC Avant Garde" w:cs="Arial"/>
          <w:bCs/>
          <w:i/>
          <w:sz w:val="18"/>
        </w:rPr>
        <w:t xml:space="preserve">, sólo para el efecto de que el </w:t>
      </w:r>
      <w:r w:rsidRPr="00746B6C">
        <w:rPr>
          <w:rFonts w:ascii="ITC Avant Garde" w:hAnsi="ITC Avant Garde" w:cs="Arial"/>
          <w:b/>
          <w:bCs/>
          <w:i/>
          <w:sz w:val="18"/>
        </w:rPr>
        <w:t xml:space="preserve">Pleno del Instituto Federal de Telecomunicaciones, </w:t>
      </w:r>
      <w:r w:rsidRPr="00746B6C">
        <w:rPr>
          <w:rFonts w:ascii="ITC Avant Garde" w:hAnsi="ITC Avant Garde" w:cs="Arial"/>
          <w:b/>
          <w:bCs/>
          <w:i/>
          <w:sz w:val="18"/>
          <w:u w:val="single"/>
        </w:rPr>
        <w:t>desincorpore de su esfera jurídica</w:t>
      </w:r>
      <w:r w:rsidRPr="00746B6C">
        <w:rPr>
          <w:rFonts w:ascii="ITC Avant Garde" w:hAnsi="ITC Avant Garde" w:cs="Arial"/>
          <w:b/>
          <w:bCs/>
          <w:i/>
          <w:sz w:val="18"/>
        </w:rPr>
        <w:t xml:space="preserve"> el</w:t>
      </w:r>
      <w:r w:rsidRPr="00746B6C">
        <w:rPr>
          <w:rFonts w:ascii="ITC Avant Garde" w:hAnsi="ITC Avant Garde" w:cs="Arial"/>
          <w:bCs/>
          <w:i/>
          <w:sz w:val="18"/>
        </w:rPr>
        <w:t xml:space="preserve"> “Acuerdo mediante el cual el Pleno del Instituto Federal de Telecomunicaciones determina las tarifas de interconexión resultado de la metodología para el cálculo de costos de </w:t>
      </w:r>
      <w:r w:rsidR="00CA0EBA" w:rsidRPr="00746B6C">
        <w:rPr>
          <w:rFonts w:ascii="ITC Avant Garde" w:hAnsi="ITC Avant Garde" w:cs="Arial"/>
          <w:bCs/>
          <w:i/>
          <w:sz w:val="18"/>
        </w:rPr>
        <w:t>interconexión</w:t>
      </w:r>
      <w:r w:rsidRPr="00746B6C">
        <w:rPr>
          <w:rFonts w:ascii="ITC Avant Garde" w:hAnsi="ITC Avant Garde" w:cs="Arial"/>
          <w:bCs/>
          <w:i/>
          <w:sz w:val="18"/>
        </w:rPr>
        <w:t xml:space="preserve"> que se </w:t>
      </w:r>
      <w:r w:rsidR="00CA0EBA" w:rsidRPr="00746B6C">
        <w:rPr>
          <w:rFonts w:ascii="ITC Avant Garde" w:hAnsi="ITC Avant Garde" w:cs="Arial"/>
          <w:bCs/>
          <w:i/>
          <w:sz w:val="18"/>
        </w:rPr>
        <w:t xml:space="preserve">utilizará para resolver los desacuerdos </w:t>
      </w:r>
      <w:r w:rsidR="00410F89" w:rsidRPr="00746B6C">
        <w:rPr>
          <w:rFonts w:ascii="ITC Avant Garde" w:hAnsi="ITC Avant Garde" w:cs="Arial"/>
          <w:bCs/>
          <w:i/>
          <w:sz w:val="18"/>
        </w:rPr>
        <w:t>de interconexión que se presenten respecto de las condiciones aplicables al año 2015”, publicado en el Diario Oficial de la Federación el veintinueve de diciembre de dos mil quince [sic], en lo relativo a que dichas tarifas solamente podrán ser aplicadas desde su resolución.</w:t>
      </w:r>
    </w:p>
    <w:p w14:paraId="306B911E" w14:textId="77777777" w:rsidR="009E3CFE" w:rsidRDefault="00410F89"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 xml:space="preserve">Como consecuencia de ello, la responsable </w:t>
      </w:r>
      <w:r w:rsidRPr="00746B6C">
        <w:rPr>
          <w:rFonts w:ascii="ITC Avant Garde" w:hAnsi="ITC Avant Garde" w:cs="Arial"/>
          <w:b/>
          <w:bCs/>
          <w:i/>
          <w:sz w:val="18"/>
          <w:u w:val="single"/>
        </w:rPr>
        <w:t>deje insubsistente</w:t>
      </w:r>
      <w:r w:rsidRPr="00746B6C">
        <w:rPr>
          <w:rFonts w:ascii="ITC Avant Garde" w:hAnsi="ITC Avant Garde" w:cs="Arial"/>
          <w:bCs/>
          <w:i/>
          <w:sz w:val="18"/>
        </w:rPr>
        <w:t xml:space="preserve"> la “Resolución mediante la cual el Pleno del Instituto Federal de Telecomunicaciones determina las condiciones de interconexión no convenidas entre Radiomóvil Dipsa, S.A. de C.V. y las empresas TVI Nacional, S.A. de C.V., </w:t>
      </w:r>
      <w:r w:rsidR="00801808" w:rsidRPr="00746B6C">
        <w:rPr>
          <w:rFonts w:ascii="ITC Avant Garde" w:hAnsi="ITC Avant Garde" w:cs="Arial"/>
          <w:bCs/>
          <w:i/>
          <w:sz w:val="18"/>
        </w:rPr>
        <w:t>Tlaxcable, S.A. de</w:t>
      </w:r>
      <w:r w:rsidRPr="00746B6C">
        <w:rPr>
          <w:rFonts w:ascii="ITC Avant Garde" w:hAnsi="ITC Avant Garde" w:cs="Arial"/>
          <w:bCs/>
          <w:i/>
          <w:sz w:val="18"/>
        </w:rPr>
        <w:t xml:space="preserve"> C.V., </w:t>
      </w:r>
      <w:r w:rsidR="00801808" w:rsidRPr="00746B6C">
        <w:rPr>
          <w:rFonts w:ascii="ITC Avant Garde" w:hAnsi="ITC Avant Garde" w:cs="Arial"/>
          <w:bCs/>
          <w:i/>
          <w:sz w:val="18"/>
        </w:rPr>
        <w:t>Grupo Cable TV de San Luis Potosí, S.A. de</w:t>
      </w:r>
      <w:r w:rsidRPr="00746B6C">
        <w:rPr>
          <w:rFonts w:ascii="ITC Avant Garde" w:hAnsi="ITC Avant Garde" w:cs="Arial"/>
          <w:bCs/>
          <w:i/>
          <w:sz w:val="18"/>
        </w:rPr>
        <w:t xml:space="preserve"> C.V., </w:t>
      </w:r>
      <w:r w:rsidR="00801808" w:rsidRPr="00746B6C">
        <w:rPr>
          <w:rFonts w:ascii="ITC Avant Garde" w:hAnsi="ITC Avant Garde" w:cs="Arial"/>
          <w:bCs/>
          <w:i/>
          <w:sz w:val="18"/>
        </w:rPr>
        <w:t>Tele Azteca, S.A. de</w:t>
      </w:r>
      <w:r w:rsidRPr="00746B6C">
        <w:rPr>
          <w:rFonts w:ascii="ITC Avant Garde" w:hAnsi="ITC Avant Garde" w:cs="Arial"/>
          <w:bCs/>
          <w:i/>
          <w:sz w:val="18"/>
        </w:rPr>
        <w:t xml:space="preserve"> C.V., </w:t>
      </w:r>
      <w:r w:rsidR="00791440" w:rsidRPr="00746B6C">
        <w:rPr>
          <w:rFonts w:ascii="ITC Avant Garde" w:hAnsi="ITC Avant Garde" w:cs="Arial"/>
          <w:bCs/>
          <w:i/>
          <w:sz w:val="18"/>
        </w:rPr>
        <w:t>Telecable del Estado de México, S.A. de</w:t>
      </w:r>
      <w:r w:rsidRPr="00746B6C">
        <w:rPr>
          <w:rFonts w:ascii="ITC Avant Garde" w:hAnsi="ITC Avant Garde" w:cs="Arial"/>
          <w:bCs/>
          <w:i/>
          <w:sz w:val="18"/>
        </w:rPr>
        <w:t xml:space="preserve"> C.V., </w:t>
      </w:r>
      <w:r w:rsidR="00791440" w:rsidRPr="00746B6C">
        <w:rPr>
          <w:rFonts w:ascii="ITC Avant Garde" w:hAnsi="ITC Avant Garde" w:cs="Arial"/>
          <w:bCs/>
          <w:i/>
          <w:sz w:val="18"/>
        </w:rPr>
        <w:t>Televisión por Cable de Tabasco, S.A. de</w:t>
      </w:r>
      <w:r w:rsidRPr="00746B6C">
        <w:rPr>
          <w:rFonts w:ascii="ITC Avant Garde" w:hAnsi="ITC Avant Garde" w:cs="Arial"/>
          <w:bCs/>
          <w:i/>
          <w:sz w:val="18"/>
        </w:rPr>
        <w:t xml:space="preserve"> C.V., </w:t>
      </w:r>
      <w:r w:rsidR="00791440" w:rsidRPr="00746B6C">
        <w:rPr>
          <w:rFonts w:ascii="ITC Avant Garde" w:hAnsi="ITC Avant Garde" w:cs="Arial"/>
          <w:bCs/>
          <w:i/>
          <w:sz w:val="18"/>
        </w:rPr>
        <w:t>y</w:t>
      </w:r>
      <w:r w:rsidRPr="00746B6C">
        <w:rPr>
          <w:rFonts w:ascii="ITC Avant Garde" w:hAnsi="ITC Avant Garde" w:cs="Arial"/>
          <w:bCs/>
          <w:i/>
          <w:sz w:val="18"/>
        </w:rPr>
        <w:t xml:space="preserve"> </w:t>
      </w:r>
      <w:r w:rsidR="00791440" w:rsidRPr="00746B6C">
        <w:rPr>
          <w:rFonts w:ascii="ITC Avant Garde" w:hAnsi="ITC Avant Garde" w:cs="Arial"/>
          <w:bCs/>
          <w:i/>
          <w:sz w:val="18"/>
        </w:rPr>
        <w:t>México Red de Telecomunicaciones, S. de R.L. de</w:t>
      </w:r>
      <w:r w:rsidRPr="00746B6C">
        <w:rPr>
          <w:rFonts w:ascii="ITC Avant Garde" w:hAnsi="ITC Avant Garde" w:cs="Arial"/>
          <w:bCs/>
          <w:i/>
          <w:sz w:val="18"/>
        </w:rPr>
        <w:t xml:space="preserve"> C.V. </w:t>
      </w:r>
      <w:r w:rsidR="00791440" w:rsidRPr="00746B6C">
        <w:rPr>
          <w:rFonts w:ascii="ITC Avant Garde" w:hAnsi="ITC Avant Garde" w:cs="Arial"/>
          <w:bCs/>
          <w:i/>
          <w:sz w:val="18"/>
        </w:rPr>
        <w:t xml:space="preserve">aplicables del 1 enero de 2015 al 31 de diciembre de 2016” pues como se ha sostenido en la presente sentencia, dicha autoridad se encontraba obligada a resolver el desacuerdo de interconexión respecto de todo el año dos mil quince, </w:t>
      </w:r>
      <w:r w:rsidR="00791440" w:rsidRPr="00746B6C">
        <w:rPr>
          <w:rFonts w:ascii="ITC Avant Garde" w:hAnsi="ITC Avant Garde" w:cs="Arial"/>
          <w:b/>
          <w:bCs/>
          <w:i/>
          <w:sz w:val="18"/>
          <w:u w:val="single"/>
        </w:rPr>
        <w:t>y proceda a emitir una nueva</w:t>
      </w:r>
      <w:r w:rsidR="00791440" w:rsidRPr="00746B6C">
        <w:rPr>
          <w:rFonts w:ascii="ITC Avant Garde" w:hAnsi="ITC Avant Garde" w:cs="Arial"/>
          <w:bCs/>
          <w:i/>
          <w:sz w:val="18"/>
        </w:rPr>
        <w:t xml:space="preserve"> en la cual, para la fijación de las tarifas para el periodo del uno de enero al once de agosto de dos mil quince, atienda a la interpretación que del vigésimo transitorio, segundo párrafo, de la Ley Federal de Telecomunicaciones y Radiodifusión, fijó la Segunda Sala de la Suprema Corte de Justicia de la Nación, y proceda a resolver el desacuerdo de interconexión respecto de todo el período que le fue solicitado.</w:t>
      </w:r>
    </w:p>
    <w:p w14:paraId="1DCC1A95" w14:textId="77777777" w:rsidR="009E3CFE" w:rsidRDefault="00791440"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 xml:space="preserve">Asimismo, con la finalidad de salvaguardar la seguridad y certeza jurídicas de las partes involucradas, deberá señalar el modo de realizar el “pago por diferencias” para las tarifas que ya fueron cobradas, con el fin de compensar los montos ya cobrados </w:t>
      </w:r>
      <w:r w:rsidR="00DF6BC0" w:rsidRPr="00746B6C">
        <w:rPr>
          <w:rFonts w:ascii="ITC Avant Garde" w:hAnsi="ITC Avant Garde" w:cs="Arial"/>
          <w:bCs/>
          <w:i/>
          <w:sz w:val="18"/>
        </w:rPr>
        <w:t xml:space="preserve">hasta la emisión </w:t>
      </w:r>
      <w:r w:rsidR="00DF6BC0" w:rsidRPr="00746B6C">
        <w:rPr>
          <w:rFonts w:ascii="ITC Avant Garde" w:hAnsi="ITC Avant Garde" w:cs="Arial"/>
          <w:bCs/>
          <w:i/>
          <w:sz w:val="18"/>
        </w:rPr>
        <w:lastRenderedPageBreak/>
        <w:t>de la resolución, para que todo el dos mil quince se cobren efectivamente las nuevas condiciones.</w:t>
      </w:r>
    </w:p>
    <w:p w14:paraId="23ECC5E6" w14:textId="77777777" w:rsidR="009E3CFE" w:rsidRDefault="00794167" w:rsidP="009E3CFE">
      <w:pPr>
        <w:pStyle w:val="Textoindependiente"/>
        <w:spacing w:after="200" w:line="276" w:lineRule="auto"/>
        <w:ind w:left="567" w:right="532"/>
        <w:rPr>
          <w:rFonts w:ascii="ITC Avant Garde" w:hAnsi="ITC Avant Garde" w:cs="Arial"/>
          <w:bCs/>
          <w:i/>
          <w:sz w:val="18"/>
        </w:rPr>
      </w:pPr>
      <w:r w:rsidRPr="00746B6C">
        <w:rPr>
          <w:rFonts w:ascii="ITC Avant Garde" w:hAnsi="ITC Avant Garde" w:cs="Arial"/>
          <w:bCs/>
          <w:i/>
          <w:sz w:val="18"/>
        </w:rPr>
        <w:t>Por lo</w:t>
      </w:r>
      <w:r w:rsidR="00114F80" w:rsidRPr="00746B6C">
        <w:rPr>
          <w:rFonts w:ascii="ITC Avant Garde" w:hAnsi="ITC Avant Garde" w:cs="Arial"/>
          <w:bCs/>
          <w:i/>
          <w:sz w:val="18"/>
        </w:rPr>
        <w:t xml:space="preserve"> expuesto, fundado y con apoyo además en los artículos </w:t>
      </w:r>
      <w:r w:rsidRPr="00746B6C">
        <w:rPr>
          <w:rFonts w:ascii="ITC Avant Garde" w:hAnsi="ITC Avant Garde" w:cs="Arial"/>
          <w:bCs/>
          <w:i/>
          <w:sz w:val="18"/>
        </w:rPr>
        <w:t xml:space="preserve">83, 85 y 91 </w:t>
      </w:r>
      <w:r w:rsidR="00114F80" w:rsidRPr="00746B6C">
        <w:rPr>
          <w:rFonts w:ascii="ITC Avant Garde" w:hAnsi="ITC Avant Garde" w:cs="Arial"/>
          <w:bCs/>
          <w:i/>
          <w:sz w:val="18"/>
        </w:rPr>
        <w:t xml:space="preserve"> dela Ley de Amparo</w:t>
      </w:r>
      <w:r w:rsidRPr="00746B6C">
        <w:rPr>
          <w:rFonts w:ascii="ITC Avant Garde" w:hAnsi="ITC Avant Garde" w:cs="Arial"/>
          <w:bCs/>
          <w:i/>
          <w:sz w:val="18"/>
        </w:rPr>
        <w:t>, y 37,</w:t>
      </w:r>
      <w:r w:rsidR="00114F80" w:rsidRPr="00746B6C">
        <w:rPr>
          <w:rFonts w:ascii="ITC Avant Garde" w:hAnsi="ITC Avant Garde" w:cs="Arial"/>
          <w:bCs/>
          <w:i/>
          <w:sz w:val="18"/>
        </w:rPr>
        <w:t xml:space="preserve"> fracción II de la Ley Orgánica del Poder Judicial de la Federación, </w:t>
      </w:r>
      <w:r w:rsidR="00114F80" w:rsidRPr="00746B6C">
        <w:rPr>
          <w:rFonts w:ascii="ITC Avant Garde" w:hAnsi="ITC Avant Garde" w:cs="Arial"/>
          <w:b/>
          <w:bCs/>
          <w:i/>
          <w:sz w:val="18"/>
        </w:rPr>
        <w:t>se resuelve</w:t>
      </w:r>
      <w:r w:rsidR="00114F80" w:rsidRPr="00746B6C">
        <w:rPr>
          <w:rFonts w:ascii="ITC Avant Garde" w:hAnsi="ITC Avant Garde" w:cs="Arial"/>
          <w:bCs/>
          <w:i/>
          <w:sz w:val="18"/>
        </w:rPr>
        <w:t>:</w:t>
      </w:r>
    </w:p>
    <w:p w14:paraId="7951CBEB" w14:textId="77777777" w:rsidR="009E3CFE" w:rsidRDefault="00114F80" w:rsidP="009E3CFE">
      <w:pPr>
        <w:ind w:left="567" w:right="567"/>
        <w:jc w:val="both"/>
        <w:rPr>
          <w:rFonts w:ascii="ITC Avant Garde" w:eastAsia="Times New Roman" w:hAnsi="ITC Avant Garde"/>
          <w:i/>
          <w:iCs/>
          <w:sz w:val="18"/>
          <w:szCs w:val="24"/>
          <w:lang w:val="es-ES" w:eastAsia="es-ES"/>
        </w:rPr>
      </w:pPr>
      <w:r w:rsidRPr="00746B6C">
        <w:rPr>
          <w:rFonts w:ascii="ITC Avant Garde" w:eastAsia="Times New Roman" w:hAnsi="ITC Avant Garde"/>
          <w:b/>
          <w:i/>
          <w:iCs/>
          <w:sz w:val="18"/>
          <w:szCs w:val="24"/>
          <w:lang w:val="es-ES" w:eastAsia="es-ES"/>
        </w:rPr>
        <w:t>PRIMERO.</w:t>
      </w:r>
      <w:r w:rsidRPr="00746B6C">
        <w:rPr>
          <w:rFonts w:ascii="ITC Avant Garde" w:eastAsia="Times New Roman" w:hAnsi="ITC Avant Garde"/>
          <w:i/>
          <w:iCs/>
          <w:sz w:val="18"/>
          <w:szCs w:val="24"/>
          <w:lang w:val="es-ES" w:eastAsia="es-ES"/>
        </w:rPr>
        <w:t xml:space="preserve"> </w:t>
      </w:r>
      <w:r w:rsidR="00794167" w:rsidRPr="00746B6C">
        <w:rPr>
          <w:rFonts w:ascii="ITC Avant Garde" w:eastAsia="Times New Roman" w:hAnsi="ITC Avant Garde"/>
          <w:i/>
          <w:iCs/>
          <w:sz w:val="18"/>
          <w:szCs w:val="24"/>
          <w:lang w:val="es-ES" w:eastAsia="es-ES"/>
        </w:rPr>
        <w:t xml:space="preserve">Se </w:t>
      </w:r>
      <w:r w:rsidR="00794167" w:rsidRPr="00746B6C">
        <w:rPr>
          <w:rFonts w:ascii="ITC Avant Garde" w:eastAsia="Times New Roman" w:hAnsi="ITC Avant Garde"/>
          <w:b/>
          <w:i/>
          <w:iCs/>
          <w:sz w:val="18"/>
          <w:szCs w:val="24"/>
          <w:lang w:val="es-ES" w:eastAsia="es-ES"/>
        </w:rPr>
        <w:t>modifica</w:t>
      </w:r>
      <w:r w:rsidR="00794167" w:rsidRPr="00746B6C">
        <w:rPr>
          <w:rFonts w:ascii="ITC Avant Garde" w:eastAsia="Times New Roman" w:hAnsi="ITC Avant Garde"/>
          <w:i/>
          <w:iCs/>
          <w:sz w:val="18"/>
          <w:szCs w:val="24"/>
          <w:lang w:val="es-ES" w:eastAsia="es-ES"/>
        </w:rPr>
        <w:t xml:space="preserve"> la sentencia </w:t>
      </w:r>
      <w:r w:rsidR="00DD69DD" w:rsidRPr="00746B6C">
        <w:rPr>
          <w:rFonts w:ascii="ITC Avant Garde" w:eastAsia="Times New Roman" w:hAnsi="ITC Avant Garde"/>
          <w:i/>
          <w:iCs/>
          <w:sz w:val="18"/>
          <w:szCs w:val="24"/>
          <w:lang w:val="es-ES" w:eastAsia="es-ES"/>
        </w:rPr>
        <w:t>recurrida, en lo que es competencia de este tribunal, dictada en el juicio de amparo 1690/2016 del índice del Juzgado Primero de Distrito en Materia Administrativa Especializado en Competencia Económica, Radiodifusión y Telecomunicaciones con residencia en la Ciudad de México y jurisdicción en toda la República.</w:t>
      </w:r>
    </w:p>
    <w:p w14:paraId="3D9A6F22" w14:textId="77777777" w:rsidR="009E3CFE" w:rsidRDefault="00DD69DD" w:rsidP="009E3CFE">
      <w:pPr>
        <w:ind w:left="567" w:right="567"/>
        <w:jc w:val="both"/>
        <w:rPr>
          <w:rFonts w:ascii="ITC Avant Garde" w:eastAsia="Times New Roman" w:hAnsi="ITC Avant Garde"/>
          <w:i/>
          <w:iCs/>
          <w:sz w:val="18"/>
          <w:szCs w:val="24"/>
          <w:lang w:val="es-ES" w:eastAsia="es-ES"/>
        </w:rPr>
      </w:pPr>
      <w:r w:rsidRPr="00746B6C">
        <w:rPr>
          <w:rFonts w:ascii="ITC Avant Garde" w:eastAsia="Times New Roman" w:hAnsi="ITC Avant Garde"/>
          <w:b/>
          <w:i/>
          <w:iCs/>
          <w:sz w:val="18"/>
          <w:szCs w:val="24"/>
          <w:lang w:val="es-ES" w:eastAsia="es-ES"/>
        </w:rPr>
        <w:t xml:space="preserve">SEGUNDO. </w:t>
      </w:r>
      <w:r w:rsidRPr="00746B6C">
        <w:rPr>
          <w:rFonts w:ascii="ITC Avant Garde" w:eastAsia="Times New Roman" w:hAnsi="ITC Avant Garde"/>
          <w:i/>
          <w:iCs/>
          <w:sz w:val="18"/>
          <w:szCs w:val="24"/>
          <w:lang w:val="es-ES" w:eastAsia="es-ES"/>
        </w:rPr>
        <w:t xml:space="preserve">La Justicia de la Unión </w:t>
      </w:r>
      <w:r w:rsidRPr="00746B6C">
        <w:rPr>
          <w:rFonts w:ascii="ITC Avant Garde" w:eastAsia="Times New Roman" w:hAnsi="ITC Avant Garde"/>
          <w:b/>
          <w:i/>
          <w:iCs/>
          <w:sz w:val="18"/>
          <w:szCs w:val="24"/>
          <w:lang w:val="es-ES" w:eastAsia="es-ES"/>
        </w:rPr>
        <w:t xml:space="preserve">ampara y protege </w:t>
      </w:r>
      <w:r w:rsidRPr="00746B6C">
        <w:rPr>
          <w:rFonts w:ascii="ITC Avant Garde" w:eastAsia="Times New Roman" w:hAnsi="ITC Avant Garde"/>
          <w:i/>
          <w:iCs/>
          <w:sz w:val="18"/>
          <w:szCs w:val="24"/>
          <w:lang w:val="es-ES" w:eastAsia="es-ES"/>
        </w:rPr>
        <w:t xml:space="preserve">a </w:t>
      </w:r>
      <w:r w:rsidRPr="00746B6C">
        <w:rPr>
          <w:rFonts w:ascii="ITC Avant Garde" w:eastAsia="Times New Roman" w:hAnsi="ITC Avant Garde"/>
          <w:b/>
          <w:i/>
          <w:iCs/>
          <w:sz w:val="18"/>
          <w:szCs w:val="24"/>
          <w:lang w:val="es-ES" w:eastAsia="es-ES"/>
        </w:rPr>
        <w:t>Radiomóvil Dipsa, sociedad anónima de capital variable,</w:t>
      </w:r>
      <w:r w:rsidRPr="00746B6C">
        <w:rPr>
          <w:rFonts w:ascii="ITC Avant Garde" w:eastAsia="Times New Roman" w:hAnsi="ITC Avant Garde"/>
          <w:i/>
          <w:iCs/>
          <w:sz w:val="18"/>
          <w:szCs w:val="24"/>
          <w:lang w:val="es-ES" w:eastAsia="es-ES"/>
        </w:rPr>
        <w:t xml:space="preserve"> contra el acto y por la autoridad responsable precisados en el resultando primero de esta sentencia y, por los motivos expuestos en el considerando </w:t>
      </w:r>
      <w:r w:rsidRPr="00746B6C">
        <w:rPr>
          <w:rFonts w:ascii="ITC Avant Garde" w:eastAsia="Times New Roman" w:hAnsi="ITC Avant Garde"/>
          <w:b/>
          <w:i/>
          <w:iCs/>
          <w:sz w:val="18"/>
          <w:szCs w:val="24"/>
          <w:lang w:val="es-ES" w:eastAsia="es-ES"/>
        </w:rPr>
        <w:t>sexto</w:t>
      </w:r>
      <w:r w:rsidRPr="00746B6C">
        <w:rPr>
          <w:rFonts w:ascii="ITC Avant Garde" w:eastAsia="Times New Roman" w:hAnsi="ITC Avant Garde"/>
          <w:i/>
          <w:iCs/>
          <w:sz w:val="18"/>
          <w:szCs w:val="24"/>
          <w:lang w:val="es-ES" w:eastAsia="es-ES"/>
        </w:rPr>
        <w:t xml:space="preserve"> de esta ejecutoria. </w:t>
      </w:r>
    </w:p>
    <w:p w14:paraId="4AE7BAEF" w14:textId="77777777" w:rsidR="009E3CFE" w:rsidRDefault="002818FE" w:rsidP="009E3CFE">
      <w:pPr>
        <w:ind w:left="567" w:right="567"/>
        <w:jc w:val="both"/>
        <w:rPr>
          <w:rFonts w:ascii="ITC Avant Garde" w:hAnsi="ITC Avant Garde" w:cs="Arial"/>
          <w:bCs/>
          <w:i/>
          <w:sz w:val="18"/>
        </w:rPr>
      </w:pPr>
      <w:r w:rsidRPr="00746B6C">
        <w:rPr>
          <w:rFonts w:ascii="ITC Avant Garde" w:hAnsi="ITC Avant Garde" w:cs="Arial"/>
          <w:bCs/>
          <w:i/>
          <w:sz w:val="18"/>
        </w:rPr>
        <w:t>[…]</w:t>
      </w:r>
      <w:r w:rsidR="00974719" w:rsidRPr="00746B6C">
        <w:rPr>
          <w:rFonts w:ascii="ITC Avant Garde" w:hAnsi="ITC Avant Garde" w:cs="Arial"/>
          <w:bCs/>
          <w:i/>
          <w:sz w:val="18"/>
        </w:rPr>
        <w:t>»</w:t>
      </w:r>
    </w:p>
    <w:p w14:paraId="5F0B3AA9" w14:textId="77777777" w:rsidR="009E3CFE" w:rsidRDefault="002818FE" w:rsidP="009E3CFE">
      <w:pPr>
        <w:widowControl w:val="0"/>
        <w:tabs>
          <w:tab w:val="left" w:pos="720"/>
          <w:tab w:val="center" w:pos="4419"/>
          <w:tab w:val="right" w:pos="8838"/>
        </w:tabs>
        <w:jc w:val="both"/>
        <w:rPr>
          <w:rFonts w:ascii="ITC Avant Garde" w:eastAsia="Times New Roman" w:hAnsi="ITC Avant Garde"/>
          <w:szCs w:val="20"/>
        </w:rPr>
      </w:pPr>
      <w:r w:rsidRPr="00746B6C">
        <w:rPr>
          <w:rFonts w:ascii="ITC Avant Garde" w:eastAsia="Times New Roman" w:hAnsi="ITC Avant Garde" w:cs="Arial"/>
          <w:szCs w:val="20"/>
        </w:rPr>
        <w:t xml:space="preserve">Es así que con fecha </w:t>
      </w:r>
      <w:r w:rsidR="00DD69DD" w:rsidRPr="00746B6C">
        <w:rPr>
          <w:rFonts w:ascii="ITC Avant Garde" w:eastAsia="Times New Roman" w:hAnsi="ITC Avant Garde" w:cs="Arial"/>
          <w:szCs w:val="20"/>
        </w:rPr>
        <w:t>27</w:t>
      </w:r>
      <w:r w:rsidRPr="00746B6C">
        <w:rPr>
          <w:rFonts w:ascii="ITC Avant Garde" w:eastAsia="Times New Roman" w:hAnsi="ITC Avant Garde" w:cs="Arial"/>
          <w:szCs w:val="20"/>
        </w:rPr>
        <w:t xml:space="preserve"> de noviembre de 2017, se recibió en la Oficialía de Partes de este Instituto, la ejecutoria correspo</w:t>
      </w:r>
      <w:r w:rsidR="0044507A" w:rsidRPr="00746B6C">
        <w:rPr>
          <w:rFonts w:ascii="ITC Avant Garde" w:eastAsia="Times New Roman" w:hAnsi="ITC Avant Garde" w:cs="Arial"/>
          <w:szCs w:val="20"/>
        </w:rPr>
        <w:t>ndiente al amparo en revisión 159/2016, de fecha 16</w:t>
      </w:r>
      <w:r w:rsidRPr="00746B6C">
        <w:rPr>
          <w:rFonts w:ascii="ITC Avant Garde" w:eastAsia="Times New Roman" w:hAnsi="ITC Avant Garde" w:cs="Arial"/>
          <w:szCs w:val="20"/>
        </w:rPr>
        <w:t xml:space="preserve"> de </w:t>
      </w:r>
      <w:r w:rsidR="0044507A" w:rsidRPr="00746B6C">
        <w:rPr>
          <w:rFonts w:ascii="ITC Avant Garde" w:eastAsia="Times New Roman" w:hAnsi="ITC Avant Garde" w:cs="Arial"/>
          <w:szCs w:val="20"/>
        </w:rPr>
        <w:t>noviembre</w:t>
      </w:r>
      <w:r w:rsidRPr="00746B6C">
        <w:rPr>
          <w:rFonts w:ascii="ITC Avant Garde" w:eastAsia="Times New Roman" w:hAnsi="ITC Avant Garde" w:cs="Arial"/>
          <w:szCs w:val="20"/>
        </w:rPr>
        <w:t xml:space="preserve"> de 2017, emitida por el </w:t>
      </w:r>
      <w:r w:rsidR="0044507A" w:rsidRPr="00746B6C">
        <w:rPr>
          <w:rFonts w:ascii="ITC Avant Garde" w:hAnsi="ITC Avant Garde" w:cs="Arial"/>
          <w:szCs w:val="20"/>
        </w:rPr>
        <w:t>Primer</w:t>
      </w:r>
      <w:r w:rsidRPr="00746B6C">
        <w:rPr>
          <w:rFonts w:ascii="ITC Avant Garde" w:hAnsi="ITC Avant Garde" w:cs="Arial"/>
          <w:szCs w:val="20"/>
        </w:rPr>
        <w:t xml:space="preserve"> Tribunal Colegiado en Materia Administrativa Especializado en Competencia Económica, Radiodifusión y Telecomunicaciones </w:t>
      </w:r>
      <w:r w:rsidRPr="00746B6C">
        <w:rPr>
          <w:rFonts w:ascii="ITC Avant Garde" w:hAnsi="ITC Avant Garde" w:cs="Arial"/>
          <w:bCs/>
        </w:rPr>
        <w:t>con residencia en la Ciudad de México y jurisdicción en toda la República</w:t>
      </w:r>
      <w:r w:rsidR="00626498" w:rsidRPr="00746B6C">
        <w:rPr>
          <w:rFonts w:ascii="ITC Avant Garde" w:eastAsia="Times New Roman" w:hAnsi="ITC Avant Garde" w:cs="Arial"/>
          <w:szCs w:val="20"/>
        </w:rPr>
        <w:t>.</w:t>
      </w:r>
    </w:p>
    <w:p w14:paraId="562465DA" w14:textId="77777777" w:rsidR="009E3CFE" w:rsidRDefault="00811047" w:rsidP="009E3CFE">
      <w:pPr>
        <w:pStyle w:val="Textoindependiente"/>
        <w:spacing w:after="200" w:line="276" w:lineRule="auto"/>
        <w:rPr>
          <w:rFonts w:ascii="ITC Avant Garde" w:eastAsia="Calibri" w:hAnsi="ITC Avant Garde"/>
          <w:szCs w:val="22"/>
        </w:rPr>
      </w:pPr>
      <w:r w:rsidRPr="00746B6C">
        <w:rPr>
          <w:rFonts w:ascii="ITC Avant Garde" w:eastAsia="Calibri" w:hAnsi="ITC Avant Garde"/>
          <w:szCs w:val="22"/>
        </w:rPr>
        <w:t>En tal virtud, es menester precisar que los efectos de la ejecutoria referida están acotados a lo siguiente:</w:t>
      </w:r>
    </w:p>
    <w:p w14:paraId="180F6DBB" w14:textId="77777777" w:rsidR="009E3CFE" w:rsidRDefault="00811047" w:rsidP="009E3CFE">
      <w:pPr>
        <w:pStyle w:val="Prrafodelista"/>
        <w:numPr>
          <w:ilvl w:val="0"/>
          <w:numId w:val="40"/>
        </w:numPr>
        <w:spacing w:after="200" w:line="276" w:lineRule="auto"/>
        <w:ind w:left="567"/>
        <w:rPr>
          <w:rFonts w:ascii="ITC Avant Garde" w:hAnsi="ITC Avant Garde"/>
        </w:rPr>
      </w:pPr>
      <w:r w:rsidRPr="00746B6C">
        <w:rPr>
          <w:rFonts w:ascii="ITC Avant Garde" w:hAnsi="ITC Avant Garde"/>
        </w:rPr>
        <w:t xml:space="preserve">El Instituto debe desincorporar de la esfera jurídica de </w:t>
      </w:r>
      <w:r w:rsidR="00AD53E0" w:rsidRPr="00746B6C">
        <w:rPr>
          <w:rFonts w:ascii="ITC Avant Garde" w:hAnsi="ITC Avant Garde"/>
        </w:rPr>
        <w:t>Telcel</w:t>
      </w:r>
      <w:r w:rsidRPr="00746B6C">
        <w:rPr>
          <w:rFonts w:ascii="ITC Avant Garde" w:hAnsi="ITC Avant Garde"/>
        </w:rPr>
        <w:t>,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en lo relativo a que dichas tarifas solo podrán ser aplicadas desde su resolución.</w:t>
      </w:r>
    </w:p>
    <w:p w14:paraId="1EBCBA47" w14:textId="77777777" w:rsidR="009E3CFE" w:rsidRDefault="00F577AD" w:rsidP="009E3CFE">
      <w:pPr>
        <w:pStyle w:val="Prrafodelista"/>
        <w:numPr>
          <w:ilvl w:val="0"/>
          <w:numId w:val="40"/>
        </w:numPr>
        <w:spacing w:after="200" w:line="276" w:lineRule="auto"/>
        <w:ind w:left="567"/>
        <w:rPr>
          <w:rFonts w:ascii="ITC Avant Garde" w:hAnsi="ITC Avant Garde"/>
        </w:rPr>
      </w:pPr>
      <w:r w:rsidRPr="00746B6C">
        <w:rPr>
          <w:rFonts w:ascii="ITC Avant Garde" w:hAnsi="ITC Avant Garde"/>
        </w:rPr>
        <w:t xml:space="preserve">Dejar insubsistente la resolución de desacuerdo de interconexión de </w:t>
      </w:r>
      <w:r w:rsidR="000B214B" w:rsidRPr="00746B6C">
        <w:rPr>
          <w:rFonts w:ascii="ITC Avant Garde" w:hAnsi="ITC Avant Garde"/>
        </w:rPr>
        <w:t xml:space="preserve">siete de octubre de </w:t>
      </w:r>
      <w:r w:rsidRPr="00746B6C">
        <w:rPr>
          <w:rFonts w:ascii="ITC Avant Garde" w:hAnsi="ITC Avant Garde"/>
        </w:rPr>
        <w:t>dos mil quince</w:t>
      </w:r>
      <w:r w:rsidR="000B214B" w:rsidRPr="00746B6C">
        <w:rPr>
          <w:rFonts w:ascii="ITC Avant Garde" w:hAnsi="ITC Avant Garde"/>
        </w:rPr>
        <w:t>.</w:t>
      </w:r>
    </w:p>
    <w:p w14:paraId="2726EBCD" w14:textId="77777777" w:rsidR="009E3CFE" w:rsidRDefault="00811047" w:rsidP="009E3CFE">
      <w:pPr>
        <w:pStyle w:val="Prrafodelista"/>
        <w:numPr>
          <w:ilvl w:val="0"/>
          <w:numId w:val="40"/>
        </w:numPr>
        <w:spacing w:after="200" w:line="276" w:lineRule="auto"/>
        <w:ind w:left="567"/>
        <w:rPr>
          <w:rFonts w:ascii="ITC Avant Garde" w:hAnsi="ITC Avant Garde"/>
        </w:rPr>
      </w:pPr>
      <w:r w:rsidRPr="00746B6C">
        <w:rPr>
          <w:rFonts w:ascii="ITC Avant Garde" w:hAnsi="ITC Avant Garde"/>
        </w:rPr>
        <w:t xml:space="preserve">El Instituto debe </w:t>
      </w:r>
      <w:r w:rsidR="000B214B" w:rsidRPr="00746B6C">
        <w:rPr>
          <w:rFonts w:ascii="ITC Avant Garde" w:hAnsi="ITC Avant Garde"/>
        </w:rPr>
        <w:t xml:space="preserve">emitir una nueva resolución en la que para </w:t>
      </w:r>
      <w:r w:rsidRPr="00746B6C">
        <w:rPr>
          <w:rFonts w:ascii="ITC Avant Garde" w:hAnsi="ITC Avant Garde"/>
        </w:rPr>
        <w:t xml:space="preserve">determinar las tarifas de interconexión para el periodo del 1 de enero al </w:t>
      </w:r>
      <w:r w:rsidR="00D602E0" w:rsidRPr="00746B6C">
        <w:rPr>
          <w:rFonts w:ascii="ITC Avant Garde" w:hAnsi="ITC Avant Garde"/>
        </w:rPr>
        <w:t>6 de octubre</w:t>
      </w:r>
      <w:r w:rsidRPr="00746B6C">
        <w:rPr>
          <w:rFonts w:ascii="ITC Avant Garde" w:hAnsi="ITC Avant Garde"/>
        </w:rPr>
        <w:t xml:space="preserve"> de 2015, deberá </w:t>
      </w:r>
      <w:r w:rsidR="000B214B" w:rsidRPr="00746B6C">
        <w:rPr>
          <w:rFonts w:ascii="ITC Avant Garde" w:hAnsi="ITC Avant Garde"/>
        </w:rPr>
        <w:t>atender</w:t>
      </w:r>
      <w:r w:rsidRPr="00746B6C">
        <w:rPr>
          <w:rFonts w:ascii="ITC Avant Garde" w:hAnsi="ITC Avant Garde"/>
        </w:rPr>
        <w:t xml:space="preserve"> a la interpretación realizada por la Segunda Sala de la SCJN, esto es aplicando la metodología de costos que en términos de la ley vigente se considere, así como el modelo de costos correspondiente; y que una vez fijadas las tarifas, las partes deberán proceder a realizar el pago por diferencias que corresponda.</w:t>
      </w:r>
    </w:p>
    <w:p w14:paraId="3C1164FD" w14:textId="77777777" w:rsidR="009E3CFE" w:rsidRDefault="00AB22A5" w:rsidP="009E3CFE">
      <w:pPr>
        <w:pStyle w:val="Textoindependiente"/>
        <w:spacing w:after="200" w:line="276" w:lineRule="auto"/>
        <w:rPr>
          <w:rFonts w:ascii="ITC Avant Garde" w:hAnsi="ITC Avant Garde" w:cs="Arial"/>
        </w:rPr>
      </w:pPr>
      <w:r w:rsidRPr="00746B6C">
        <w:rPr>
          <w:rFonts w:ascii="ITC Avant Garde" w:hAnsi="ITC Avant Garde" w:cs="Arial"/>
        </w:rPr>
        <w:lastRenderedPageBreak/>
        <w:t xml:space="preserve">Al respecto, resulta menester </w:t>
      </w:r>
      <w:r w:rsidR="00F75A64" w:rsidRPr="00746B6C">
        <w:rPr>
          <w:rFonts w:ascii="ITC Avant Garde" w:hAnsi="ITC Avant Garde" w:cs="Arial"/>
        </w:rPr>
        <w:t xml:space="preserve">señalar </w:t>
      </w:r>
      <w:r w:rsidRPr="00746B6C">
        <w:rPr>
          <w:rFonts w:ascii="ITC Avant Garde" w:hAnsi="ITC Avant Garde" w:cs="Arial"/>
        </w:rPr>
        <w:t xml:space="preserve">que </w:t>
      </w:r>
      <w:r w:rsidR="00F75A64" w:rsidRPr="00746B6C">
        <w:rPr>
          <w:rFonts w:ascii="ITC Avant Garde" w:hAnsi="ITC Avant Garde" w:cs="Arial"/>
        </w:rPr>
        <w:t xml:space="preserve">el Pleno del Instituto mediante </w:t>
      </w:r>
      <w:r w:rsidRPr="00746B6C">
        <w:rPr>
          <w:rFonts w:ascii="ITC Avant Garde" w:hAnsi="ITC Avant Garde" w:cs="Arial"/>
        </w:rPr>
        <w:t>Acuerdo P/IFT/120917/547</w:t>
      </w:r>
      <w:r w:rsidRPr="00746B6C">
        <w:rPr>
          <w:rStyle w:val="Refdenotaalpie"/>
          <w:rFonts w:ascii="ITC Avant Garde" w:hAnsi="ITC Avant Garde" w:cs="Arial"/>
        </w:rPr>
        <w:footnoteReference w:customMarkFollows="1" w:id="6"/>
        <w:sym w:font="Symbol" w:char="F031"/>
      </w:r>
      <w:r w:rsidRPr="00746B6C">
        <w:rPr>
          <w:rFonts w:ascii="ITC Avant Garde" w:hAnsi="ITC Avant Garde" w:cs="Arial"/>
        </w:rPr>
        <w:t xml:space="preserve"> aprobado en la XXXVII Sesión Ordinaria celebrada el 12 de septiembre de 2017, resolvió, entre otros, lo siguiente:</w:t>
      </w:r>
    </w:p>
    <w:p w14:paraId="2B506440" w14:textId="1B30D96A" w:rsidR="00AB22A5" w:rsidRPr="00746B6C" w:rsidRDefault="00AB22A5" w:rsidP="009E3CFE">
      <w:pPr>
        <w:ind w:left="567" w:right="533"/>
        <w:jc w:val="both"/>
        <w:rPr>
          <w:rFonts w:ascii="ITC Avant Garde" w:hAnsi="ITC Avant Garde" w:cs="Arial"/>
          <w:b/>
          <w:i/>
          <w:sz w:val="18"/>
        </w:rPr>
      </w:pPr>
      <w:r w:rsidRPr="00746B6C">
        <w:rPr>
          <w:rFonts w:ascii="ITC Avant Garde" w:hAnsi="ITC Avant Garde" w:cs="Arial"/>
          <w:b/>
          <w:i/>
          <w:sz w:val="18"/>
        </w:rPr>
        <w:t>«</w:t>
      </w:r>
      <w:r w:rsidRPr="00746B6C">
        <w:rPr>
          <w:rFonts w:ascii="ITC Avant Garde" w:hAnsi="ITC Avant Garde" w:cs="Arial"/>
          <w:b/>
          <w:i/>
          <w:sz w:val="20"/>
        </w:rPr>
        <w:t xml:space="preserve">PRIMERO.- </w:t>
      </w:r>
      <w:r w:rsidRPr="00746B6C">
        <w:rPr>
          <w:rFonts w:ascii="ITC Avant Garde" w:hAnsi="ITC Avant Garde" w:cs="Arial"/>
          <w:i/>
          <w:sz w:val="20"/>
        </w:rPr>
        <w:t>En cumplimiento a la ejecutoria de fecha 21 de junio de 2017 emitida por Segunda Sala de la Suprema Corte de Justicia de la Nación correspondiente al amparo en revisión 329/2016, y a fin de que dicha determinación no le sea aplicada en el futuro, se desincorpora de la esfera jurídica de Radiomóvil Dipsa, S.A. de C.V. el antepenúltimo párrafo del Acuerdo Primero del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publicado el 29 de diciembre de 2014 en el Diario Oficial de la Federación, el cual señala que:</w:t>
      </w:r>
    </w:p>
    <w:p w14:paraId="2380817B" w14:textId="77777777" w:rsidR="009E3CFE" w:rsidRDefault="00AB22A5" w:rsidP="009E3CFE">
      <w:pPr>
        <w:spacing w:before="240"/>
        <w:ind w:left="1134" w:right="1099"/>
        <w:jc w:val="both"/>
        <w:rPr>
          <w:rFonts w:ascii="ITC Avant Garde" w:hAnsi="ITC Avant Garde" w:cs="Arial"/>
        </w:rPr>
      </w:pPr>
      <w:r w:rsidRPr="00746B6C">
        <w:rPr>
          <w:rFonts w:ascii="ITC Avant Garde" w:hAnsi="ITC Avant Garde" w:cs="Arial"/>
        </w:rPr>
        <w:t>“</w:t>
      </w:r>
      <w:r w:rsidRPr="00746B6C">
        <w:rPr>
          <w:rFonts w:ascii="ITC Avant Garde" w:hAnsi="ITC Avant Garde" w:cs="Arial"/>
          <w:sz w:val="18"/>
        </w:rPr>
        <w:t>En términos de lo dispuesto por el artículo Vigésimo transitorio del Decreto de la LFTyR, el Instituto resolverá los diferendos que se promuevan sobre las tarifas de interconexión por servicios prestados en el 2015 con base en las tarifas señaladas, mismas que serán aplicables desde su resolución.”»</w:t>
      </w:r>
    </w:p>
    <w:p w14:paraId="17D4D3EB" w14:textId="77777777" w:rsidR="009E3CFE" w:rsidRDefault="009B1218" w:rsidP="009E3CFE">
      <w:pPr>
        <w:pStyle w:val="Textoindependiente"/>
        <w:spacing w:after="200" w:line="276" w:lineRule="auto"/>
        <w:rPr>
          <w:rFonts w:ascii="ITC Avant Garde" w:hAnsi="ITC Avant Garde" w:cs="Arial"/>
        </w:rPr>
      </w:pPr>
      <w:r w:rsidRPr="00746B6C">
        <w:rPr>
          <w:rFonts w:ascii="ITC Avant Garde" w:hAnsi="ITC Avant Garde" w:cs="Arial"/>
        </w:rPr>
        <w:t xml:space="preserve">De lo anterior, se </w:t>
      </w:r>
      <w:r w:rsidR="006A632A" w:rsidRPr="00746B6C">
        <w:rPr>
          <w:rFonts w:ascii="ITC Avant Garde" w:hAnsi="ITC Avant Garde" w:cs="Arial"/>
        </w:rPr>
        <w:t>desprende</w:t>
      </w:r>
      <w:r w:rsidRPr="00746B6C">
        <w:rPr>
          <w:rFonts w:ascii="ITC Avant Garde" w:hAnsi="ITC Avant Garde" w:cs="Arial"/>
        </w:rPr>
        <w:t xml:space="preserve"> que el Pleno del Instituto</w:t>
      </w:r>
      <w:r w:rsidR="006A632A" w:rsidRPr="00746B6C">
        <w:rPr>
          <w:rFonts w:ascii="ITC Avant Garde" w:hAnsi="ITC Avant Garde" w:cs="Arial"/>
        </w:rPr>
        <w:t xml:space="preserve"> </w:t>
      </w:r>
      <w:r w:rsidR="004244D8" w:rsidRPr="00746B6C">
        <w:rPr>
          <w:rFonts w:ascii="ITC Avant Garde" w:hAnsi="ITC Avant Garde" w:cs="Arial"/>
        </w:rPr>
        <w:t xml:space="preserve">mediante Acuerdo P/IFT/120917/547 </w:t>
      </w:r>
      <w:r w:rsidRPr="00746B6C">
        <w:rPr>
          <w:rFonts w:ascii="ITC Avant Garde" w:hAnsi="ITC Avant Garde" w:cs="Arial"/>
        </w:rPr>
        <w:t xml:space="preserve">ha dado cabal cumplimiento a lo mandatado en el sentido de </w:t>
      </w:r>
      <w:r w:rsidR="00F75A64" w:rsidRPr="00746B6C">
        <w:rPr>
          <w:rFonts w:ascii="ITC Avant Garde" w:hAnsi="ITC Avant Garde" w:cs="Arial"/>
        </w:rPr>
        <w:t>desincorpora</w:t>
      </w:r>
      <w:r w:rsidRPr="00746B6C">
        <w:rPr>
          <w:rFonts w:ascii="ITC Avant Garde" w:hAnsi="ITC Avant Garde" w:cs="Arial"/>
        </w:rPr>
        <w:t>r</w:t>
      </w:r>
      <w:r w:rsidR="00F75A64" w:rsidRPr="00746B6C">
        <w:rPr>
          <w:rFonts w:ascii="ITC Avant Garde" w:hAnsi="ITC Avant Garde" w:cs="Arial"/>
        </w:rPr>
        <w:t xml:space="preserve"> de la esfera jurídica de Telcel el antepenúltimo párrafo del Acuerdo PRIMERO del Acuerdo de Tarifas 2015</w:t>
      </w:r>
      <w:r w:rsidR="002C5FA6" w:rsidRPr="00746B6C">
        <w:rPr>
          <w:rFonts w:ascii="ITC Avant Garde" w:hAnsi="ITC Avant Garde" w:cs="Arial"/>
        </w:rPr>
        <w:t>.</w:t>
      </w:r>
    </w:p>
    <w:p w14:paraId="5D542AEE" w14:textId="77777777" w:rsidR="009E3CFE" w:rsidRDefault="006A632A" w:rsidP="009E3CFE">
      <w:pPr>
        <w:pStyle w:val="Textoindependiente"/>
        <w:spacing w:after="200" w:line="276" w:lineRule="auto"/>
        <w:rPr>
          <w:rFonts w:ascii="ITC Avant Garde" w:hAnsi="ITC Avant Garde" w:cs="Arial"/>
          <w:i/>
        </w:rPr>
      </w:pPr>
      <w:r w:rsidRPr="00746B6C">
        <w:rPr>
          <w:rFonts w:ascii="ITC Avant Garde" w:hAnsi="ITC Avant Garde" w:cs="Arial"/>
          <w:lang w:val="es-ES"/>
        </w:rPr>
        <w:t>Asimismo, es preciso</w:t>
      </w:r>
      <w:r w:rsidR="00D602E0" w:rsidRPr="00746B6C">
        <w:rPr>
          <w:rFonts w:ascii="ITC Avant Garde" w:hAnsi="ITC Avant Garde" w:cs="Arial"/>
        </w:rPr>
        <w:t xml:space="preserve"> señalar, que si bien la ejecutoria correspondiente al amparo en revisión 159/2016, de fecha 16 de noviembre de 2017, emitida por el Primer Tribunal Colegiado en Materia Administrativa Especializado en Competencia Económica, Radiodifusión y Telecomunicaciones </w:t>
      </w:r>
      <w:r w:rsidR="00D602E0" w:rsidRPr="00746B6C">
        <w:rPr>
          <w:rFonts w:ascii="ITC Avant Garde" w:hAnsi="ITC Avant Garde" w:cs="Arial"/>
          <w:bCs/>
        </w:rPr>
        <w:t>con residencia en la Ciudad de México y jurisdicción en toda la República, señala a foja 54 que “</w:t>
      </w:r>
      <w:r w:rsidR="00D602E0" w:rsidRPr="00746B6C">
        <w:rPr>
          <w:rFonts w:ascii="ITC Avant Garde" w:hAnsi="ITC Avant Garde" w:cs="Arial"/>
          <w:bCs/>
          <w:i/>
        </w:rPr>
        <w:t xml:space="preserve">…para la fijación de las tarifas para el periodo del uno de enero al once de agosto de dos mil quince, atienda a la interpretación que del vigésimo transitorio, segundo párrafo, de la Ley Federal de Telecomunicaciones y Radiodifusión, fijó la Segunda Sala de la Suprema Corte de Justicia de la Nación, y proceda a resolver el desacuerdo de interconexión respecto de todo el período que le fue solicitado”, se señala que la fecha en la que se emitió la resolución reclamada fue el 7 de octubre de 2015, por lo que fue durante el periodo comprendido del 1 de enero al 6 de octubre de 2015, cuando este Instituto aplicó citado vigésimo transitorio, por lo que en congruencia con lo señalado por la Segunda Sala de la Suprema Corte de Justicia de la Nación, el Instituto deberá determinar las </w:t>
      </w:r>
      <w:r w:rsidR="00D602E0" w:rsidRPr="00746B6C">
        <w:rPr>
          <w:rFonts w:ascii="ITC Avant Garde" w:hAnsi="ITC Avant Garde" w:cs="Arial"/>
          <w:bCs/>
          <w:i/>
        </w:rPr>
        <w:lastRenderedPageBreak/>
        <w:t xml:space="preserve">tarifas </w:t>
      </w:r>
      <w:r w:rsidR="00080D12" w:rsidRPr="00746B6C">
        <w:rPr>
          <w:rFonts w:ascii="ITC Avant Garde" w:hAnsi="ITC Avant Garde" w:cs="Arial"/>
          <w:bCs/>
          <w:i/>
        </w:rPr>
        <w:t>las tarifas de interconexión para el periodo del 1 de enero al 6 de octubre de 2015.</w:t>
      </w:r>
    </w:p>
    <w:p w14:paraId="72BA235C" w14:textId="77777777" w:rsidR="009E3CFE" w:rsidRDefault="00811047" w:rsidP="009E3CFE">
      <w:pPr>
        <w:pStyle w:val="Textoindependiente"/>
        <w:spacing w:after="200" w:line="276" w:lineRule="auto"/>
        <w:rPr>
          <w:rFonts w:ascii="ITC Avant Garde" w:hAnsi="ITC Avant Garde" w:cs="Arial"/>
        </w:rPr>
      </w:pPr>
      <w:r w:rsidRPr="00746B6C">
        <w:rPr>
          <w:rFonts w:ascii="ITC Avant Garde" w:hAnsi="ITC Avant Garde" w:cs="Arial"/>
        </w:rPr>
        <w:t xml:space="preserve">En virtud de lo anterior, y en cumplimiento a la citada ejecutoria, se deja insubsistente la resolución de fecha </w:t>
      </w:r>
      <w:r w:rsidR="001B33E6" w:rsidRPr="00746B6C">
        <w:rPr>
          <w:rFonts w:ascii="ITC Avant Garde" w:hAnsi="ITC Avant Garde" w:cs="Arial"/>
        </w:rPr>
        <w:t>7 de octubre</w:t>
      </w:r>
      <w:r w:rsidRPr="00746B6C">
        <w:rPr>
          <w:rFonts w:ascii="ITC Avant Garde" w:hAnsi="ITC Avant Garde" w:cs="Arial"/>
        </w:rPr>
        <w:t xml:space="preserve"> de 2015, contenida en el Acuerdo P/IFT/</w:t>
      </w:r>
      <w:r w:rsidR="001B33E6" w:rsidRPr="00746B6C">
        <w:rPr>
          <w:rFonts w:ascii="ITC Avant Garde" w:hAnsi="ITC Avant Garde" w:cs="Arial"/>
        </w:rPr>
        <w:t>EXT/071015</w:t>
      </w:r>
      <w:r w:rsidR="00084280" w:rsidRPr="00746B6C">
        <w:rPr>
          <w:rFonts w:ascii="ITC Avant Garde" w:hAnsi="ITC Avant Garde" w:cs="Arial"/>
        </w:rPr>
        <w:t>/</w:t>
      </w:r>
      <w:r w:rsidR="001B33E6" w:rsidRPr="00746B6C">
        <w:rPr>
          <w:rFonts w:ascii="ITC Avant Garde" w:hAnsi="ITC Avant Garde" w:cs="Arial"/>
        </w:rPr>
        <w:t>130</w:t>
      </w:r>
      <w:r w:rsidRPr="00746B6C">
        <w:rPr>
          <w:rFonts w:ascii="ITC Avant Garde" w:hAnsi="ITC Avant Garde" w:cs="Arial"/>
        </w:rPr>
        <w:t xml:space="preserve">, </w:t>
      </w:r>
      <w:r w:rsidR="008F56FD" w:rsidRPr="00746B6C">
        <w:rPr>
          <w:rFonts w:ascii="ITC Avant Garde" w:hAnsi="ITC Avant Garde" w:cs="Arial"/>
        </w:rPr>
        <w:t>y en éste acto se emite otra en la que</w:t>
      </w:r>
      <w:r w:rsidR="00C60827" w:rsidRPr="00746B6C">
        <w:rPr>
          <w:rFonts w:ascii="ITC Avant Garde" w:hAnsi="ITC Avant Garde" w:cs="Arial"/>
        </w:rPr>
        <w:t xml:space="preserve"> para la determinación de las tarifas de interconexión q</w:t>
      </w:r>
      <w:r w:rsidR="008F56FD" w:rsidRPr="00746B6C">
        <w:rPr>
          <w:rFonts w:ascii="ITC Avant Garde" w:hAnsi="ITC Avant Garde" w:cs="Arial"/>
        </w:rPr>
        <w:t>ue T</w:t>
      </w:r>
      <w:r w:rsidR="001B33E6" w:rsidRPr="00746B6C">
        <w:rPr>
          <w:rFonts w:ascii="ITC Avant Garde" w:hAnsi="ITC Avant Garde" w:cs="Arial"/>
        </w:rPr>
        <w:t>elcel</w:t>
      </w:r>
      <w:r w:rsidR="008F56FD" w:rsidRPr="00746B6C">
        <w:rPr>
          <w:rFonts w:ascii="ITC Avant Garde" w:hAnsi="ITC Avant Garde" w:cs="Arial"/>
        </w:rPr>
        <w:t xml:space="preserve"> deberá pagar</w:t>
      </w:r>
      <w:r w:rsidR="00C60827" w:rsidRPr="00746B6C">
        <w:rPr>
          <w:rFonts w:ascii="ITC Avant Garde" w:hAnsi="ITC Avant Garde" w:cs="Arial"/>
        </w:rPr>
        <w:t xml:space="preserve"> a </w:t>
      </w:r>
      <w:r w:rsidR="001B33E6" w:rsidRPr="00746B6C">
        <w:rPr>
          <w:rFonts w:ascii="ITC Avant Garde" w:hAnsi="ITC Avant Garde" w:cs="Arial"/>
        </w:rPr>
        <w:t>Grupo Televisa</w:t>
      </w:r>
      <w:r w:rsidR="00C60827" w:rsidRPr="00746B6C">
        <w:rPr>
          <w:rFonts w:ascii="ITC Avant Garde" w:hAnsi="ITC Avant Garde" w:cs="Arial"/>
        </w:rPr>
        <w:t>,</w:t>
      </w:r>
      <w:r w:rsidR="008F56FD" w:rsidRPr="00746B6C">
        <w:rPr>
          <w:rFonts w:ascii="ITC Avant Garde" w:hAnsi="ITC Avant Garde" w:cs="Arial"/>
        </w:rPr>
        <w:t xml:space="preserve"> </w:t>
      </w:r>
      <w:r w:rsidR="00C60827" w:rsidRPr="00746B6C">
        <w:rPr>
          <w:rFonts w:ascii="ITC Avant Garde" w:hAnsi="ITC Avant Garde" w:cs="Arial"/>
        </w:rPr>
        <w:t xml:space="preserve">por servicios de terminación del Servicio Local en usuarios fijos para el periodo comprendido entre el 1 de enero al </w:t>
      </w:r>
      <w:r w:rsidR="001B33E6" w:rsidRPr="00746B6C">
        <w:rPr>
          <w:rFonts w:ascii="ITC Avant Garde" w:hAnsi="ITC Avant Garde" w:cs="Arial"/>
        </w:rPr>
        <w:t>6 de octubre</w:t>
      </w:r>
      <w:r w:rsidR="00C60827" w:rsidRPr="00746B6C">
        <w:rPr>
          <w:rFonts w:ascii="ITC Avant Garde" w:hAnsi="ITC Avant Garde" w:cs="Arial"/>
        </w:rPr>
        <w:t xml:space="preserve"> de 2015, </w:t>
      </w:r>
      <w:r w:rsidR="0015729A" w:rsidRPr="00746B6C">
        <w:rPr>
          <w:rFonts w:ascii="ITC Avant Garde" w:hAnsi="ITC Avant Garde" w:cs="Arial"/>
        </w:rPr>
        <w:t xml:space="preserve">a través de la presente resolución se hace extensiva la tarifa fijada para el periodo del </w:t>
      </w:r>
      <w:r w:rsidR="001B33E6" w:rsidRPr="00746B6C">
        <w:rPr>
          <w:rFonts w:ascii="ITC Avant Garde" w:hAnsi="ITC Avant Garde" w:cs="Arial"/>
        </w:rPr>
        <w:t>7 de octubre</w:t>
      </w:r>
      <w:r w:rsidR="0015729A" w:rsidRPr="00746B6C">
        <w:rPr>
          <w:rFonts w:ascii="ITC Avant Garde" w:hAnsi="ITC Avant Garde" w:cs="Arial"/>
        </w:rPr>
        <w:t xml:space="preserve"> al </w:t>
      </w:r>
      <w:r w:rsidR="00786A03" w:rsidRPr="00746B6C">
        <w:rPr>
          <w:rFonts w:ascii="ITC Avant Garde" w:hAnsi="ITC Avant Garde" w:cs="Arial"/>
        </w:rPr>
        <w:t>31</w:t>
      </w:r>
      <w:r w:rsidR="0015729A" w:rsidRPr="00746B6C">
        <w:rPr>
          <w:rFonts w:ascii="ITC Avant Garde" w:hAnsi="ITC Avant Garde" w:cs="Arial"/>
        </w:rPr>
        <w:t xml:space="preserve"> de diciembre de dos mil quince</w:t>
      </w:r>
      <w:r w:rsidR="00786A03" w:rsidRPr="00746B6C">
        <w:rPr>
          <w:rFonts w:ascii="ITC Avant Garde" w:hAnsi="ITC Avant Garde" w:cs="Arial"/>
        </w:rPr>
        <w:t>.</w:t>
      </w:r>
    </w:p>
    <w:p w14:paraId="0BCC0ABE" w14:textId="77777777" w:rsidR="009E3CFE" w:rsidRDefault="00811047" w:rsidP="009E3CFE">
      <w:pPr>
        <w:jc w:val="both"/>
        <w:rPr>
          <w:rFonts w:ascii="ITC Avant Garde" w:hAnsi="ITC Avant Garde"/>
          <w:spacing w:val="-4"/>
          <w:sz w:val="20"/>
        </w:rPr>
      </w:pPr>
      <w:r w:rsidRPr="00746B6C">
        <w:rPr>
          <w:rFonts w:ascii="ITC Avant Garde" w:hAnsi="ITC Avant Garde"/>
          <w:spacing w:val="-4"/>
        </w:rPr>
        <w:t xml:space="preserve">Aunado a lo anterior, y de conformidad con lo mandatado por </w:t>
      </w:r>
      <w:r w:rsidR="001B33E6" w:rsidRPr="00746B6C">
        <w:rPr>
          <w:rFonts w:ascii="ITC Avant Garde" w:hAnsi="ITC Avant Garde" w:cs="Arial"/>
          <w:szCs w:val="20"/>
        </w:rPr>
        <w:t>Primer</w:t>
      </w:r>
      <w:r w:rsidR="00626498" w:rsidRPr="00746B6C">
        <w:rPr>
          <w:rFonts w:ascii="ITC Avant Garde" w:hAnsi="ITC Avant Garde" w:cs="Arial"/>
          <w:szCs w:val="20"/>
        </w:rPr>
        <w:t xml:space="preserve"> Tribunal Colegiado en Materia Administrativa Especializado en Competencia Económica, Radiodifusión y Telecomunicaciones </w:t>
      </w:r>
      <w:r w:rsidR="00626498" w:rsidRPr="00746B6C">
        <w:rPr>
          <w:rFonts w:ascii="ITC Avant Garde" w:hAnsi="ITC Avant Garde" w:cs="Arial"/>
          <w:bCs/>
        </w:rPr>
        <w:t>con residencia en la Ciudad de México y jurisdicción en toda la República</w:t>
      </w:r>
      <w:r w:rsidRPr="00746B6C">
        <w:rPr>
          <w:rFonts w:ascii="ITC Avant Garde" w:hAnsi="ITC Avant Garde"/>
          <w:spacing w:val="-4"/>
        </w:rPr>
        <w:t xml:space="preserve">, se deberá </w:t>
      </w:r>
      <w:r w:rsidR="00E01D0C" w:rsidRPr="00746B6C">
        <w:rPr>
          <w:rFonts w:ascii="ITC Avant Garde" w:hAnsi="ITC Avant Garde"/>
          <w:spacing w:val="-4"/>
        </w:rPr>
        <w:t xml:space="preserve">señalar el modo a </w:t>
      </w:r>
      <w:r w:rsidRPr="00746B6C">
        <w:rPr>
          <w:rFonts w:ascii="ITC Avant Garde" w:hAnsi="ITC Avant Garde"/>
          <w:spacing w:val="-4"/>
        </w:rPr>
        <w:t>realizar el “pago por diferencias” para los montos que ya fueron cobrados, a efecto de que durante todo dos mil quince se cobren efectivamente las nuevas condiciones.</w:t>
      </w:r>
    </w:p>
    <w:p w14:paraId="6FFC8FA5" w14:textId="77777777" w:rsidR="009E3CFE" w:rsidRDefault="001A7FB8" w:rsidP="009E3CFE">
      <w:pPr>
        <w:pStyle w:val="Textoindependiente"/>
        <w:spacing w:after="200" w:line="276" w:lineRule="auto"/>
        <w:rPr>
          <w:rFonts w:ascii="ITC Avant Garde" w:hAnsi="ITC Avant Garde" w:cs="Arial"/>
          <w:bCs/>
          <w:szCs w:val="22"/>
        </w:rPr>
      </w:pPr>
      <w:r w:rsidRPr="00746B6C">
        <w:rPr>
          <w:rFonts w:ascii="ITC Avant Garde" w:hAnsi="ITC Avant Garde" w:cs="Arial"/>
          <w:b/>
          <w:bCs/>
          <w:lang w:val="es-ES"/>
        </w:rPr>
        <w:t>SEGUNDO.- Competencia del Instituto</w:t>
      </w:r>
      <w:r w:rsidRPr="00746B6C">
        <w:rPr>
          <w:rFonts w:ascii="ITC Avant Garde" w:hAnsi="ITC Avant Garde" w:cs="Arial"/>
          <w:bCs/>
          <w:lang w:val="es-ES"/>
        </w:rPr>
        <w:t xml:space="preserve">. </w:t>
      </w:r>
      <w:r w:rsidRPr="00746B6C">
        <w:rPr>
          <w:rFonts w:ascii="ITC Avant Garde" w:hAnsi="ITC Avant Garde" w:cs="Arial"/>
          <w:bCs/>
        </w:rPr>
        <w:t xml:space="preserve">De conformidad con los artículos 6°, apartado B fracción II, 28, párrafos décimo quinto y décimo sexto de la Constitución </w:t>
      </w:r>
      <w:r w:rsidRPr="00746B6C">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261F8C28" w14:textId="77777777" w:rsidR="009E3CFE" w:rsidRDefault="001A7FB8" w:rsidP="009E3CFE">
      <w:pPr>
        <w:pStyle w:val="Textoindependiente"/>
        <w:spacing w:after="200" w:line="276" w:lineRule="auto"/>
        <w:rPr>
          <w:rFonts w:ascii="ITC Avant Garde" w:hAnsi="ITC Avant Garde" w:cs="Arial"/>
          <w:bCs/>
          <w:szCs w:val="22"/>
        </w:rPr>
      </w:pPr>
      <w:r w:rsidRPr="00746B6C">
        <w:rPr>
          <w:rFonts w:ascii="ITC Avant Garde" w:hAnsi="ITC Avant Garde" w:cs="Arial"/>
          <w:bCs/>
          <w:szCs w:val="22"/>
          <w:lang w:val="es-ES"/>
        </w:rPr>
        <w:t xml:space="preserve">Con fundamento </w:t>
      </w:r>
      <w:r w:rsidRPr="00746B6C">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6883A4EF" w14:textId="77777777" w:rsidR="009E3CFE" w:rsidRDefault="001A7FB8" w:rsidP="009E3CFE">
      <w:pPr>
        <w:pStyle w:val="Textoindependiente"/>
        <w:spacing w:after="200" w:line="276" w:lineRule="auto"/>
        <w:rPr>
          <w:rFonts w:ascii="ITC Avant Garde" w:hAnsi="ITC Avant Garde" w:cs="Arial"/>
          <w:bCs/>
          <w:szCs w:val="22"/>
        </w:rPr>
      </w:pPr>
      <w:r w:rsidRPr="00746B6C">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3BE8C0E" w14:textId="77777777" w:rsidR="009E3CFE" w:rsidRDefault="001A7FB8" w:rsidP="009E3CFE">
      <w:pPr>
        <w:pStyle w:val="Textoindependiente"/>
        <w:spacing w:after="200" w:line="276" w:lineRule="auto"/>
        <w:rPr>
          <w:rFonts w:ascii="ITC Avant Garde" w:hAnsi="ITC Avant Garde"/>
          <w:szCs w:val="22"/>
        </w:rPr>
      </w:pPr>
      <w:r w:rsidRPr="00746B6C">
        <w:rPr>
          <w:rFonts w:ascii="ITC Avant Garde" w:hAnsi="ITC Avant Garde"/>
          <w:szCs w:val="22"/>
        </w:rPr>
        <w:t xml:space="preserve">Por lo anterior y de conformidad con lo dispuesto en los artículos indicados, el Pleno del Instituto resulta competente para emitir la presente Resolución que determina las </w:t>
      </w:r>
      <w:r w:rsidRPr="00746B6C">
        <w:rPr>
          <w:rFonts w:ascii="ITC Avant Garde" w:hAnsi="ITC Avant Garde"/>
          <w:szCs w:val="22"/>
        </w:rPr>
        <w:lastRenderedPageBreak/>
        <w:t>condiciones de interconexión no convenidas entre los concesionarios de redes públicas de telecomunicaciones, antes señalados.</w:t>
      </w:r>
    </w:p>
    <w:p w14:paraId="092ECF86" w14:textId="77777777" w:rsidR="009E3CFE" w:rsidRDefault="001A7FB8" w:rsidP="009E3CFE">
      <w:pPr>
        <w:pStyle w:val="Textoindependiente"/>
        <w:spacing w:after="200" w:line="276" w:lineRule="auto"/>
        <w:rPr>
          <w:rFonts w:ascii="ITC Avant Garde" w:hAnsi="ITC Avant Garde" w:cs="Arial"/>
        </w:rPr>
      </w:pPr>
      <w:r w:rsidRPr="00746B6C">
        <w:rPr>
          <w:rFonts w:ascii="ITC Avant Garde" w:hAnsi="ITC Avant Garde" w:cs="Arial"/>
          <w:b/>
        </w:rPr>
        <w:t>TERCERO</w:t>
      </w:r>
      <w:r w:rsidR="00F413A3" w:rsidRPr="00746B6C">
        <w:rPr>
          <w:rFonts w:ascii="ITC Avant Garde" w:hAnsi="ITC Avant Garde" w:cs="Arial"/>
          <w:b/>
        </w:rPr>
        <w:t xml:space="preserve">.- </w:t>
      </w:r>
      <w:r w:rsidR="00D24D52" w:rsidRPr="00746B6C">
        <w:rPr>
          <w:rFonts w:ascii="ITC Avant Garde" w:hAnsi="ITC Avant Garde" w:cs="Arial"/>
          <w:b/>
        </w:rPr>
        <w:t xml:space="preserve">Importancia y obligatoriedad de la interconexión e Interés Público.- </w:t>
      </w:r>
      <w:r w:rsidR="00D24D52" w:rsidRPr="00746B6C">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9D7585A" w14:textId="77777777" w:rsidR="009E3CFE" w:rsidRDefault="00D24D52" w:rsidP="009E3CFE">
      <w:pPr>
        <w:pStyle w:val="Textoindependiente"/>
        <w:spacing w:after="200" w:line="276" w:lineRule="auto"/>
        <w:rPr>
          <w:rFonts w:ascii="ITC Avant Garde" w:hAnsi="ITC Avant Garde" w:cs="Arial"/>
        </w:rPr>
      </w:pPr>
      <w:r w:rsidRPr="00746B6C">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3674FE21" w14:textId="77777777" w:rsidR="009E3CFE" w:rsidRDefault="00D24D52" w:rsidP="009E3CFE">
      <w:pPr>
        <w:pStyle w:val="Textoindependiente"/>
        <w:spacing w:after="200" w:line="276" w:lineRule="auto"/>
        <w:rPr>
          <w:rFonts w:ascii="ITC Avant Garde" w:hAnsi="ITC Avant Garde" w:cs="Arial"/>
        </w:rPr>
      </w:pPr>
      <w:r w:rsidRPr="00746B6C">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36D0B314" w14:textId="77777777" w:rsidR="009E3CFE" w:rsidRDefault="00D24D52" w:rsidP="009E3CFE">
      <w:pPr>
        <w:pStyle w:val="Textoindependiente"/>
        <w:spacing w:after="200" w:line="276" w:lineRule="auto"/>
        <w:rPr>
          <w:rFonts w:ascii="ITC Avant Garde" w:hAnsi="ITC Avant Garde" w:cs="Arial"/>
        </w:rPr>
      </w:pPr>
      <w:r w:rsidRPr="00746B6C">
        <w:rPr>
          <w:rFonts w:ascii="ITC Avant Garde" w:hAnsi="ITC Avant Garde" w:cs="Arial"/>
        </w:rPr>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73BBEC9C" w14:textId="77777777" w:rsidR="009E3CFE" w:rsidRDefault="00D24D52" w:rsidP="009E3CFE">
      <w:pPr>
        <w:pStyle w:val="Textoindependiente"/>
        <w:spacing w:after="200" w:line="276" w:lineRule="auto"/>
        <w:rPr>
          <w:rFonts w:ascii="ITC Avant Garde" w:hAnsi="ITC Avant Garde" w:cs="Arial"/>
        </w:rPr>
      </w:pPr>
      <w:r w:rsidRPr="00746B6C">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w:t>
      </w:r>
      <w:r w:rsidRPr="00746B6C">
        <w:rPr>
          <w:rFonts w:ascii="ITC Avant Garde" w:hAnsi="ITC Avant Garde" w:cs="Arial"/>
        </w:rPr>
        <w:lastRenderedPageBreak/>
        <w:t>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AE3EC5A" w14:textId="77777777" w:rsidR="009E3CFE" w:rsidRDefault="00D24D52" w:rsidP="009E3CFE">
      <w:pPr>
        <w:pStyle w:val="Textoindependiente"/>
        <w:spacing w:after="200" w:line="276" w:lineRule="auto"/>
        <w:rPr>
          <w:rFonts w:ascii="ITC Avant Garde" w:hAnsi="ITC Avant Garde" w:cs="Arial"/>
          <w:spacing w:val="-2"/>
          <w:szCs w:val="22"/>
        </w:rPr>
      </w:pPr>
      <w:r w:rsidRPr="00746B6C">
        <w:rPr>
          <w:rFonts w:ascii="ITC Avant Garde" w:hAnsi="ITC Avant Garde" w:cs="Arial"/>
          <w:spacing w:val="-2"/>
          <w:szCs w:val="22"/>
        </w:rPr>
        <w:t xml:space="preserve">En consecuencia, en autos está acreditado que </w:t>
      </w:r>
      <w:r w:rsidR="00590DC1" w:rsidRPr="00746B6C">
        <w:rPr>
          <w:rFonts w:ascii="ITC Avant Garde" w:hAnsi="ITC Avant Garde" w:cs="Arial"/>
          <w:spacing w:val="-2"/>
          <w:szCs w:val="22"/>
        </w:rPr>
        <w:t>T</w:t>
      </w:r>
      <w:r w:rsidR="003C5024" w:rsidRPr="00746B6C">
        <w:rPr>
          <w:rFonts w:ascii="ITC Avant Garde" w:hAnsi="ITC Avant Garde" w:cs="Arial"/>
          <w:spacing w:val="-2"/>
          <w:szCs w:val="22"/>
        </w:rPr>
        <w:t>elcel</w:t>
      </w:r>
      <w:r w:rsidR="00590DC1" w:rsidRPr="00746B6C">
        <w:rPr>
          <w:rFonts w:ascii="ITC Avant Garde" w:hAnsi="ITC Avant Garde" w:cs="Arial"/>
          <w:spacing w:val="-2"/>
          <w:szCs w:val="22"/>
        </w:rPr>
        <w:t xml:space="preserve"> y </w:t>
      </w:r>
      <w:r w:rsidR="003C5024" w:rsidRPr="00746B6C">
        <w:rPr>
          <w:rFonts w:ascii="ITC Avant Garde" w:hAnsi="ITC Avant Garde" w:cs="Arial"/>
          <w:spacing w:val="-2"/>
          <w:szCs w:val="22"/>
        </w:rPr>
        <w:t>Grupo Televisa</w:t>
      </w:r>
      <w:r w:rsidRPr="00746B6C">
        <w:rPr>
          <w:rFonts w:ascii="ITC Avant Garde" w:hAnsi="ITC Avant Garde" w:cs="Arial"/>
          <w:spacing w:val="-2"/>
          <w:szCs w:val="22"/>
        </w:rPr>
        <w:t xml:space="preserve"> tienen el carácter de concesionarios que operan una red pública de telecomunicaciones y que efectivamente </w:t>
      </w:r>
      <w:r w:rsidR="005B4AB8" w:rsidRPr="00746B6C">
        <w:rPr>
          <w:rFonts w:ascii="ITC Avant Garde" w:hAnsi="ITC Avant Garde" w:cs="Arial"/>
          <w:spacing w:val="-2"/>
          <w:szCs w:val="22"/>
        </w:rPr>
        <w:t>Telcel</w:t>
      </w:r>
      <w:r w:rsidRPr="00746B6C">
        <w:rPr>
          <w:rFonts w:ascii="ITC Avant Garde" w:hAnsi="ITC Avant Garde" w:cs="Arial"/>
          <w:spacing w:val="-2"/>
          <w:szCs w:val="22"/>
        </w:rPr>
        <w:t xml:space="preserve"> requirió a </w:t>
      </w:r>
      <w:r w:rsidR="005B4AB8" w:rsidRPr="00746B6C">
        <w:rPr>
          <w:rFonts w:ascii="ITC Avant Garde" w:hAnsi="ITC Avant Garde"/>
          <w:lang w:val="es-ES" w:eastAsia="es-ES"/>
        </w:rPr>
        <w:t xml:space="preserve">Grupo Televisa </w:t>
      </w:r>
      <w:r w:rsidRPr="00746B6C">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3F79680A" w14:textId="77777777" w:rsidR="009E3CFE" w:rsidRDefault="00D24D52" w:rsidP="009E3CFE">
      <w:pPr>
        <w:pStyle w:val="Textoindependiente"/>
        <w:spacing w:after="200" w:line="276" w:lineRule="auto"/>
        <w:rPr>
          <w:rFonts w:ascii="ITC Avant Garde" w:hAnsi="ITC Avant Garde" w:cs="Arial"/>
          <w:szCs w:val="22"/>
        </w:rPr>
      </w:pPr>
      <w:r w:rsidRPr="00746B6C">
        <w:rPr>
          <w:rFonts w:ascii="ITC Avant Garde" w:hAnsi="ITC Avant Garde" w:cs="Arial"/>
          <w:szCs w:val="22"/>
        </w:rPr>
        <w:t xml:space="preserve">Por ello, conforme al artículo 124 de la LFTR, </w:t>
      </w:r>
      <w:r w:rsidR="003C5024" w:rsidRPr="00746B6C">
        <w:rPr>
          <w:rFonts w:ascii="ITC Avant Garde" w:hAnsi="ITC Avant Garde" w:cs="Arial"/>
          <w:spacing w:val="-2"/>
          <w:szCs w:val="22"/>
        </w:rPr>
        <w:t>Tel</w:t>
      </w:r>
      <w:r w:rsidR="00A82434" w:rsidRPr="00746B6C">
        <w:rPr>
          <w:rFonts w:ascii="ITC Avant Garde" w:hAnsi="ITC Avant Garde" w:cs="Arial"/>
          <w:spacing w:val="-2"/>
          <w:szCs w:val="22"/>
        </w:rPr>
        <w:t>cel y Grupo Televisa</w:t>
      </w:r>
      <w:r w:rsidRPr="00746B6C">
        <w:rPr>
          <w:rFonts w:ascii="ITC Avant Garde" w:hAnsi="ITC Avant Garde"/>
          <w:lang w:val="es-ES" w:eastAsia="es-ES"/>
        </w:rPr>
        <w:t xml:space="preserve"> </w:t>
      </w:r>
      <w:r w:rsidRPr="00746B6C">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4B703516" w14:textId="77777777" w:rsidR="009E3CFE" w:rsidRDefault="00590DC1" w:rsidP="009E3CFE">
      <w:pPr>
        <w:jc w:val="both"/>
        <w:rPr>
          <w:rFonts w:ascii="ITC Avant Garde" w:hAnsi="ITC Avant Garde"/>
          <w:szCs w:val="24"/>
        </w:rPr>
      </w:pPr>
      <w:r w:rsidRPr="00746B6C">
        <w:rPr>
          <w:rFonts w:ascii="ITC Avant Garde" w:eastAsia="Times New Roman" w:hAnsi="ITC Avant Garde"/>
          <w:b/>
          <w:lang w:eastAsia="es-ES"/>
        </w:rPr>
        <w:t>CUARTO</w:t>
      </w:r>
      <w:r w:rsidR="002920C0" w:rsidRPr="00746B6C">
        <w:rPr>
          <w:rFonts w:ascii="ITC Avant Garde" w:eastAsia="Times New Roman" w:hAnsi="ITC Avant Garde"/>
          <w:b/>
          <w:lang w:eastAsia="es-ES"/>
        </w:rPr>
        <w:t xml:space="preserve">.- </w:t>
      </w:r>
      <w:bookmarkEnd w:id="1"/>
      <w:r w:rsidR="007D2D4B" w:rsidRPr="00746B6C">
        <w:rPr>
          <w:rFonts w:ascii="ITC Avant Garde" w:hAnsi="ITC Avant Garde" w:cs="Arial"/>
          <w:b/>
        </w:rPr>
        <w:t>Valoración de las pruebas ofrecidas por las partes</w:t>
      </w:r>
      <w:r w:rsidR="007D2D4B" w:rsidRPr="00746B6C">
        <w:rPr>
          <w:rFonts w:ascii="ITC Avant Garde" w:hAnsi="ITC Avant Garde"/>
          <w:szCs w:val="24"/>
        </w:rPr>
        <w:t>. En términos generales la prueba es el medio de demostración de la realidad de un hecho o de la existencia de un acto. Es así que dentro del procedimiento de mérito, la prueba cumple la siguiente función: i) fija los hechos materia del desacuerdo, ii) generar certeza acerca de las afirmaciones y alegaciones de los concesionarios sujetos del desacuerdo.</w:t>
      </w:r>
    </w:p>
    <w:p w14:paraId="7341455C" w14:textId="77777777" w:rsidR="009E3CFE" w:rsidRDefault="007D2D4B" w:rsidP="009E3CFE">
      <w:pPr>
        <w:jc w:val="both"/>
        <w:rPr>
          <w:rFonts w:ascii="ITC Avant Garde" w:hAnsi="ITC Avant Garde"/>
          <w:szCs w:val="24"/>
        </w:rPr>
      </w:pPr>
      <w:r w:rsidRPr="00746B6C">
        <w:rPr>
          <w:rFonts w:ascii="ITC Avant Garde" w:hAnsi="ITC Avant Garde"/>
          <w:szCs w:val="24"/>
        </w:rPr>
        <w:t xml:space="preserve">Por su parte la Ley Federal de Procedimiento Administrativo </w:t>
      </w:r>
      <w:r w:rsidR="007A6D61" w:rsidRPr="00746B6C">
        <w:rPr>
          <w:rFonts w:ascii="ITC Avant Garde" w:hAnsi="ITC Avant Garde"/>
          <w:szCs w:val="24"/>
        </w:rPr>
        <w:t xml:space="preserve">y el Código Federal de Procedimientos Civiles (en lo sucesivo, el “CFPC”) </w:t>
      </w:r>
      <w:r w:rsidRPr="00746B6C">
        <w:rPr>
          <w:rFonts w:ascii="ITC Avant Garde" w:hAnsi="ITC Avant Garde"/>
          <w:szCs w:val="24"/>
        </w:rPr>
        <w:t xml:space="preserve">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12A76EC3" w14:textId="77777777" w:rsidR="009E3CFE" w:rsidRDefault="00A82434" w:rsidP="009E3CFE">
      <w:pPr>
        <w:ind w:right="20"/>
        <w:jc w:val="both"/>
        <w:rPr>
          <w:rFonts w:ascii="ITC Avant Garde" w:hAnsi="ITC Avant Garde"/>
        </w:rPr>
      </w:pPr>
      <w:r w:rsidRPr="00746B6C">
        <w:rPr>
          <w:rFonts w:ascii="ITC Avant Garde" w:hAnsi="ITC Avant Garde"/>
        </w:rPr>
        <w:t xml:space="preserve">En ese sentido, dado que Telcel no ofreció pruebas de su parte, </w:t>
      </w:r>
      <w:r w:rsidRPr="00746B6C">
        <w:rPr>
          <w:rFonts w:ascii="ITC Avant Garde" w:hAnsi="ITC Avant Garde"/>
          <w:szCs w:val="24"/>
        </w:rPr>
        <w:t>este Instituto valora las pruebas ofrecidas por Grupo Televisa en el sentido siguiente:</w:t>
      </w:r>
    </w:p>
    <w:p w14:paraId="04BC7DF9" w14:textId="77777777" w:rsidR="009E3CFE" w:rsidRDefault="00590DC1" w:rsidP="009E3CFE">
      <w:pPr>
        <w:jc w:val="both"/>
        <w:rPr>
          <w:rFonts w:ascii="ITC Avant Garde" w:hAnsi="ITC Avant Garde"/>
          <w:b/>
          <w:szCs w:val="24"/>
        </w:rPr>
      </w:pPr>
      <w:r w:rsidRPr="00746B6C">
        <w:rPr>
          <w:rFonts w:ascii="ITC Avant Garde" w:hAnsi="ITC Avant Garde"/>
          <w:b/>
          <w:szCs w:val="24"/>
        </w:rPr>
        <w:t>4</w:t>
      </w:r>
      <w:r w:rsidR="007D2D4B" w:rsidRPr="00746B6C">
        <w:rPr>
          <w:rFonts w:ascii="ITC Avant Garde" w:hAnsi="ITC Avant Garde"/>
          <w:b/>
          <w:szCs w:val="24"/>
        </w:rPr>
        <w:t xml:space="preserve">.1 Pruebas ofrecidas por </w:t>
      </w:r>
      <w:r w:rsidR="002916F1" w:rsidRPr="00746B6C">
        <w:rPr>
          <w:rFonts w:ascii="ITC Avant Garde" w:hAnsi="ITC Avant Garde"/>
          <w:b/>
          <w:szCs w:val="24"/>
        </w:rPr>
        <w:t>Grupo Televisa</w:t>
      </w:r>
    </w:p>
    <w:p w14:paraId="0E0BE7DE" w14:textId="77777777" w:rsidR="009E3CFE" w:rsidRDefault="002916F1" w:rsidP="009E3CFE">
      <w:pPr>
        <w:pStyle w:val="Prrafodelista"/>
        <w:numPr>
          <w:ilvl w:val="0"/>
          <w:numId w:val="42"/>
        </w:numPr>
        <w:spacing w:after="200" w:line="276" w:lineRule="auto"/>
        <w:ind w:left="284" w:right="45" w:hanging="284"/>
        <w:rPr>
          <w:rFonts w:ascii="ITC Avant Garde" w:hAnsi="ITC Avant Garde"/>
        </w:rPr>
      </w:pPr>
      <w:r w:rsidRPr="00746B6C">
        <w:rPr>
          <w:rFonts w:ascii="ITC Avant Garde" w:hAnsi="ITC Avant Garde" w:cs="Arial"/>
          <w:lang w:val="es-ES_tradnl"/>
        </w:rPr>
        <w:t>Referente a la prueba pericial ofrecida por Grupo Televisa, este Instituto valora la misma en términos del artículo 211 del CFPC de la siguiente manera:</w:t>
      </w:r>
    </w:p>
    <w:p w14:paraId="788EE7C0" w14:textId="77777777" w:rsidR="009E3CFE" w:rsidRDefault="002916F1" w:rsidP="009E3CFE">
      <w:pPr>
        <w:widowControl w:val="0"/>
        <w:rPr>
          <w:rFonts w:ascii="ITC Avant Garde" w:hAnsi="ITC Avant Garde"/>
          <w:b/>
          <w:bCs/>
        </w:rPr>
      </w:pPr>
      <w:r w:rsidRPr="00746B6C">
        <w:rPr>
          <w:rFonts w:ascii="ITC Avant Garde" w:hAnsi="ITC Avant Garde"/>
          <w:b/>
          <w:bCs/>
        </w:rPr>
        <w:t>Preguntas en materia económica propuestas por Grupo Televisa</w:t>
      </w:r>
    </w:p>
    <w:p w14:paraId="2BE1EED7" w14:textId="77777777" w:rsidR="009E3CFE" w:rsidRDefault="002916F1" w:rsidP="009E3CFE">
      <w:pPr>
        <w:widowControl w:val="0"/>
        <w:jc w:val="both"/>
        <w:rPr>
          <w:rFonts w:ascii="ITC Avant Garde" w:hAnsi="ITC Avant Garde"/>
        </w:rPr>
      </w:pPr>
      <w:r w:rsidRPr="00746B6C">
        <w:rPr>
          <w:rFonts w:ascii="ITC Avant Garde" w:hAnsi="ITC Avant Garde"/>
          <w:b/>
        </w:rPr>
        <w:t>Pregunta 1.</w:t>
      </w:r>
      <w:r w:rsidRPr="00746B6C">
        <w:rPr>
          <w:rFonts w:ascii="ITC Avant Garde" w:hAnsi="ITC Avant Garde"/>
        </w:rPr>
        <w:t xml:space="preserve"> Se solicitó al perito mencionar qué debe entenderse por regulación asimétrica en tarifas de interconexión.</w:t>
      </w:r>
    </w:p>
    <w:p w14:paraId="7D0DCDA5" w14:textId="77777777" w:rsidR="009E3CFE" w:rsidRDefault="002916F1" w:rsidP="009E3CFE">
      <w:pPr>
        <w:pStyle w:val="Textoindependiente"/>
        <w:widowControl w:val="0"/>
        <w:spacing w:after="200" w:line="276" w:lineRule="auto"/>
        <w:rPr>
          <w:rFonts w:ascii="ITC Avant Garde" w:eastAsia="Calibri" w:hAnsi="ITC Avant Garde"/>
          <w:szCs w:val="22"/>
        </w:rPr>
      </w:pPr>
      <w:r w:rsidRPr="00746B6C">
        <w:rPr>
          <w:rFonts w:ascii="ITC Avant Garde" w:eastAsia="Calibri" w:hAnsi="ITC Avant Garde"/>
          <w:szCs w:val="22"/>
        </w:rPr>
        <w:t xml:space="preserve">El perito de </w:t>
      </w:r>
      <w:r w:rsidR="004A3E30" w:rsidRPr="00746B6C">
        <w:rPr>
          <w:rFonts w:ascii="ITC Avant Garde" w:eastAsia="Calibri" w:hAnsi="ITC Avant Garde"/>
          <w:szCs w:val="22"/>
        </w:rPr>
        <w:t>Grupo Televisa</w:t>
      </w:r>
      <w:r w:rsidRPr="00746B6C">
        <w:rPr>
          <w:rFonts w:ascii="ITC Avant Garde" w:eastAsia="Calibri" w:hAnsi="ITC Avant Garde"/>
          <w:szCs w:val="22"/>
        </w:rPr>
        <w:t xml:space="preserve"> respondió que la regulación se refiere a normas o reglas de </w:t>
      </w:r>
      <w:r w:rsidRPr="00746B6C">
        <w:rPr>
          <w:rFonts w:ascii="ITC Avant Garde" w:eastAsia="Calibri" w:hAnsi="ITC Avant Garde"/>
          <w:szCs w:val="22"/>
        </w:rPr>
        <w:lastRenderedPageBreak/>
        <w:t>aplicación general para todas las empresas en determinado sector, sin embargo, en algunos casos estas reglas no son suficientes para que los operadores puedan competir realmente. Por consiguiente bajo una regulación asimétrica las empresas son sujetas a diferentes niveles de restricciones regulatorias. En el caso de la infraestructura se pueden imponer distintas tarifas a los operadores considerando el tamaño de su red, participación de mercado, entre otros. Los operadores de mayor participación de mercado están obligados a cobrar una tarifa de interconexión menor que aquellos con diferentes características. De lo que se concluye que la regulación asimétrica es la aplicación diferenciada de las restricciones regulatorias.</w:t>
      </w:r>
    </w:p>
    <w:p w14:paraId="63A34ED8" w14:textId="77777777" w:rsidR="009E3CFE" w:rsidRDefault="002916F1" w:rsidP="009E3CFE">
      <w:pPr>
        <w:widowControl w:val="0"/>
        <w:jc w:val="both"/>
        <w:rPr>
          <w:rFonts w:ascii="ITC Avant Garde" w:hAnsi="ITC Avant Garde"/>
        </w:rPr>
      </w:pPr>
      <w:r w:rsidRPr="00746B6C">
        <w:rPr>
          <w:rFonts w:ascii="ITC Avant Garde" w:hAnsi="ITC Avant Garde"/>
        </w:rPr>
        <w:t xml:space="preserve">Este Instituto coincide con el perito de </w:t>
      </w:r>
      <w:r w:rsidR="00EC634E" w:rsidRPr="00746B6C">
        <w:rPr>
          <w:rFonts w:ascii="ITC Avant Garde" w:hAnsi="ITC Avant Garde"/>
        </w:rPr>
        <w:t>Grupo Televisa</w:t>
      </w:r>
      <w:r w:rsidRPr="00746B6C">
        <w:rPr>
          <w:rFonts w:ascii="ITC Avant Garde" w:hAnsi="ITC Avant Garde"/>
        </w:rPr>
        <w:t xml:space="preserve"> en el sentido de que la regulación asimétrica implica establecer obligaciones diferentes a las establecidas al resto del mercado a aquellos operadores, que bajo los marcos regulatorios de cada país, son considerados con poder significativo del mercado.</w:t>
      </w:r>
    </w:p>
    <w:p w14:paraId="33D7227F" w14:textId="77777777" w:rsidR="009E3CFE" w:rsidRDefault="004A3E30" w:rsidP="009E3CFE">
      <w:pPr>
        <w:ind w:right="20"/>
        <w:jc w:val="both"/>
        <w:rPr>
          <w:rFonts w:ascii="ITC Avant Garde" w:eastAsia="Times New Roman" w:hAnsi="ITC Avant Garde"/>
        </w:rPr>
      </w:pPr>
      <w:r w:rsidRPr="00746B6C">
        <w:rPr>
          <w:rFonts w:ascii="ITC Avant Garde" w:eastAsia="Times New Roman" w:hAnsi="ITC Avant Garde"/>
          <w:b/>
        </w:rPr>
        <w:t xml:space="preserve">Pregunta 2. </w:t>
      </w:r>
      <w:r w:rsidRPr="00746B6C">
        <w:rPr>
          <w:rFonts w:ascii="ITC Avant Garde" w:eastAsia="Times New Roman" w:hAnsi="ITC Avant Garde"/>
        </w:rPr>
        <w:t>Se solicitó al perito explicar cuál es la experiencia internacional con la aplicación de tarifas asimétricas de interconexión.</w:t>
      </w:r>
    </w:p>
    <w:p w14:paraId="12E3C907" w14:textId="77777777" w:rsidR="009E3CFE" w:rsidRDefault="004A3E30" w:rsidP="009E3CFE">
      <w:pPr>
        <w:ind w:right="20"/>
        <w:jc w:val="both"/>
        <w:rPr>
          <w:rFonts w:ascii="ITC Avant Garde" w:eastAsia="Times New Roman" w:hAnsi="ITC Avant Garde"/>
        </w:rPr>
      </w:pPr>
      <w:r w:rsidRPr="00746B6C">
        <w:rPr>
          <w:rFonts w:ascii="ITC Avant Garde" w:eastAsia="Times New Roman" w:hAnsi="ITC Avant Garde"/>
        </w:rPr>
        <w:t>El perito de Grupo Televisa señaló que países con características similares al mercado mexicano han implementado un régimen de tarifas asimétricas con la intención de fomentar la entrada de nuevos operadores al mercado y consolidarse como nuevas opciones para los competidores.</w:t>
      </w:r>
    </w:p>
    <w:p w14:paraId="718AB9D2" w14:textId="77777777" w:rsidR="009E3CFE" w:rsidRDefault="004A3E30"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Cabe mencionar que de conformidad con el antecedente XVIII de la preste Resolución Telcel no designó perito en materia de Economía y por lo tanto no dio respuesta a la prueba pericial sin embargo, en su escrito de alegatos y referente a la presente pregunta manifestó que la Comisión Europea, en la Recomendación sobre “El Tratamiento regulatorio de los cargos de terminación fijos y móviles en la Unión Europea” del 2009, considera que dicha asimetría no es una política regulatoria adecuada para solucionar los desbalances de tráfico de los entrantes; por el contrario, puede agravar estos desbalances y, por lo tanto, es una política regulatoria que no fortalece las condiciones de competencia de los entrantes. </w:t>
      </w:r>
    </w:p>
    <w:p w14:paraId="2A63FA49" w14:textId="77777777" w:rsidR="009E3CFE" w:rsidRDefault="004A3E30" w:rsidP="009E3CFE">
      <w:pPr>
        <w:autoSpaceDE w:val="0"/>
        <w:autoSpaceDN w:val="0"/>
        <w:adjustRightInd w:val="0"/>
        <w:jc w:val="both"/>
        <w:rPr>
          <w:rFonts w:ascii="ITC Avant Garde" w:hAnsi="ITC Avant Garde" w:cs="Helvetica"/>
          <w:lang w:eastAsia="es-MX"/>
        </w:rPr>
      </w:pPr>
      <w:r w:rsidRPr="00746B6C">
        <w:rPr>
          <w:rFonts w:ascii="ITC Avant Garde" w:hAnsi="ITC Avant Garde" w:cs="Helvetica"/>
          <w:lang w:eastAsia="es-MX"/>
        </w:rPr>
        <w:t>Telcel señala que los argumentos utilizados por los reguladores para preferir la simetría sobre la asimetría generalmente son los siguientes:</w:t>
      </w:r>
    </w:p>
    <w:p w14:paraId="15D5693D" w14:textId="77777777" w:rsidR="009E3CFE" w:rsidRDefault="00950AB6" w:rsidP="009E3CFE">
      <w:pPr>
        <w:pStyle w:val="Prrafodelista"/>
        <w:numPr>
          <w:ilvl w:val="0"/>
          <w:numId w:val="43"/>
        </w:numPr>
        <w:autoSpaceDE w:val="0"/>
        <w:autoSpaceDN w:val="0"/>
        <w:adjustRightInd w:val="0"/>
        <w:spacing w:after="200" w:line="276" w:lineRule="auto"/>
        <w:ind w:left="714" w:hanging="357"/>
        <w:rPr>
          <w:rFonts w:ascii="ITC Avant Garde" w:hAnsi="ITC Avant Garde" w:cs="Helvetica"/>
          <w:lang w:eastAsia="es-MX"/>
        </w:rPr>
      </w:pPr>
      <w:r w:rsidRPr="00746B6C">
        <w:rPr>
          <w:rFonts w:ascii="ITC Avant Garde" w:hAnsi="ITC Avant Garde" w:cs="Helvetica"/>
          <w:lang w:eastAsia="es-MX"/>
        </w:rPr>
        <w:t>Las tarifas asimétricas podrían ayudar a los entrantes, pero deben ser aplicadas solo de manera TEMPORAL y en fases tempranas. Al crecer los operadores entrantes deberían observar costos que convergen al costo de las empresas establecidas. En nuestro panorama nacional, ninguna de las empresas de Grupo Televisa podría considerarse como un operador entrante.</w:t>
      </w:r>
    </w:p>
    <w:p w14:paraId="3C1273DE" w14:textId="77777777" w:rsidR="009E3CFE" w:rsidRDefault="00950AB6" w:rsidP="009E3CFE">
      <w:pPr>
        <w:pStyle w:val="Prrafodelista"/>
        <w:numPr>
          <w:ilvl w:val="0"/>
          <w:numId w:val="43"/>
        </w:numPr>
        <w:autoSpaceDE w:val="0"/>
        <w:autoSpaceDN w:val="0"/>
        <w:adjustRightInd w:val="0"/>
        <w:spacing w:after="200" w:line="276" w:lineRule="auto"/>
        <w:rPr>
          <w:rFonts w:ascii="ITC Avant Garde" w:hAnsi="ITC Avant Garde" w:cs="Helvetica"/>
          <w:lang w:eastAsia="es-MX"/>
        </w:rPr>
      </w:pPr>
      <w:r w:rsidRPr="00746B6C">
        <w:rPr>
          <w:rFonts w:ascii="ITC Avant Garde" w:hAnsi="ITC Avant Garde" w:cs="Helvetica"/>
          <w:lang w:eastAsia="es-MX"/>
        </w:rPr>
        <w:lastRenderedPageBreak/>
        <w:t>Las tarifas asimétricas generan ineficiencia en el mercado, pues fomentan que las empresas pequeñas permanezcan pequeñas e ineficientes por más tiempo del que estrictamente es necesario para crecer. Esto disminuye el bienestar social, pues se desincentiva la penetración y expansión de los competidores entrantes (especialmente en zonas rurales). Adicionalmente, se distorsiona el patrón de competencia.</w:t>
      </w:r>
    </w:p>
    <w:p w14:paraId="68F446E0" w14:textId="77777777" w:rsidR="009E3CFE" w:rsidRDefault="00950AB6" w:rsidP="009E3CFE">
      <w:pPr>
        <w:pStyle w:val="Prrafodelista"/>
        <w:numPr>
          <w:ilvl w:val="0"/>
          <w:numId w:val="43"/>
        </w:numPr>
        <w:autoSpaceDE w:val="0"/>
        <w:autoSpaceDN w:val="0"/>
        <w:adjustRightInd w:val="0"/>
        <w:spacing w:after="200" w:line="276" w:lineRule="auto"/>
        <w:rPr>
          <w:rFonts w:ascii="ITC Avant Garde" w:hAnsi="ITC Avant Garde" w:cs="Helvetica"/>
          <w:lang w:eastAsia="es-MX"/>
        </w:rPr>
      </w:pPr>
      <w:r w:rsidRPr="00746B6C">
        <w:rPr>
          <w:rFonts w:ascii="ITC Avant Garde" w:hAnsi="ITC Avant Garde" w:cs="Helvetica"/>
          <w:lang w:eastAsia="es-MX"/>
        </w:rPr>
        <w:t>Las tarifas asimétricas pueden generar confusión entre los usuarios, pues no se sabe con certeza qué tarifa va a aplicar</w:t>
      </w:r>
      <w:r w:rsidR="00455753" w:rsidRPr="00746B6C">
        <w:rPr>
          <w:rFonts w:ascii="ITC Avant Garde" w:hAnsi="ITC Avant Garde" w:cs="Helvetica"/>
          <w:lang w:eastAsia="es-MX"/>
        </w:rPr>
        <w:t>se</w:t>
      </w:r>
      <w:r w:rsidRPr="00746B6C">
        <w:rPr>
          <w:rFonts w:ascii="ITC Avant Garde" w:hAnsi="ITC Avant Garde" w:cs="Helvetica"/>
          <w:lang w:eastAsia="es-MX"/>
        </w:rPr>
        <w:t xml:space="preserve"> al llamar a un usuario de otro concesionario, lo cual disminuye el bienestar social.</w:t>
      </w:r>
    </w:p>
    <w:p w14:paraId="59FC1141" w14:textId="77777777" w:rsidR="009E3CFE" w:rsidRDefault="00950AB6" w:rsidP="009E3CFE">
      <w:pPr>
        <w:pStyle w:val="Prrafodelista"/>
        <w:numPr>
          <w:ilvl w:val="0"/>
          <w:numId w:val="43"/>
        </w:numPr>
        <w:autoSpaceDE w:val="0"/>
        <w:autoSpaceDN w:val="0"/>
        <w:adjustRightInd w:val="0"/>
        <w:spacing w:after="200" w:line="276" w:lineRule="auto"/>
        <w:rPr>
          <w:rFonts w:ascii="ITC Avant Garde" w:hAnsi="ITC Avant Garde" w:cs="Helvetica"/>
          <w:lang w:eastAsia="es-MX"/>
        </w:rPr>
      </w:pPr>
      <w:r w:rsidRPr="00746B6C">
        <w:rPr>
          <w:rFonts w:ascii="ITC Avant Garde" w:hAnsi="ITC Avant Garde" w:cs="Helvetica"/>
          <w:lang w:eastAsia="es-MX"/>
        </w:rPr>
        <w:t>En un mercado maduro, las tarifas asimétricas son muy nocivas para el fomento a la competencia.</w:t>
      </w:r>
    </w:p>
    <w:p w14:paraId="3A7B7017" w14:textId="77777777" w:rsidR="009E3CFE" w:rsidRDefault="00950AB6" w:rsidP="009E3CFE">
      <w:pPr>
        <w:jc w:val="both"/>
        <w:rPr>
          <w:rFonts w:ascii="ITC Avant Garde" w:eastAsia="Times New Roman" w:hAnsi="ITC Avant Garde"/>
          <w:b/>
          <w:lang w:eastAsia="es-ES"/>
        </w:rPr>
      </w:pPr>
      <w:r w:rsidRPr="00746B6C">
        <w:rPr>
          <w:rFonts w:ascii="ITC Avant Garde" w:eastAsia="Times New Roman" w:hAnsi="ITC Avant Garde"/>
          <w:lang w:eastAsia="es-ES"/>
        </w:rPr>
        <w:t>De lo anterior, Telcel concluye que la implementación de tarifas de interconexión asimétricas no es una herramienta regulatoria de utilidad para equilibrar las condiciones de mercado, ni para favorecer la competencia, menos aún frente al panorama nacional.</w:t>
      </w:r>
    </w:p>
    <w:p w14:paraId="7719A4E3" w14:textId="77777777" w:rsidR="009E3CFE" w:rsidRDefault="00950AB6" w:rsidP="009E3CFE">
      <w:pPr>
        <w:ind w:right="49"/>
        <w:jc w:val="both"/>
        <w:rPr>
          <w:rFonts w:ascii="ITC Avant Garde" w:eastAsiaTheme="minorHAnsi" w:hAnsi="ITC Avant Garde"/>
        </w:rPr>
      </w:pPr>
      <w:r w:rsidRPr="00746B6C">
        <w:rPr>
          <w:rFonts w:ascii="ITC Avant Garde" w:eastAsiaTheme="minorHAnsi" w:hAnsi="ITC Avant Garde"/>
        </w:rPr>
        <w:t xml:space="preserve">Por lo que hace a la respuesta ofrecida por el perito de Grupo Televisa, este Instituto coincide en cuanto a que el objetivo de una regulación asimétrica es equilibrar las fuerzas del mercado y facilitar la entrada y establecimiento de nuevos competidores. </w:t>
      </w:r>
    </w:p>
    <w:p w14:paraId="40344A75" w14:textId="77777777" w:rsidR="009E3CFE" w:rsidRDefault="00950AB6" w:rsidP="009E3CFE">
      <w:pPr>
        <w:ind w:right="49"/>
        <w:jc w:val="both"/>
        <w:rPr>
          <w:rFonts w:ascii="ITC Avant Garde" w:eastAsiaTheme="minorHAnsi" w:hAnsi="ITC Avant Garde"/>
        </w:rPr>
      </w:pPr>
      <w:r w:rsidRPr="00746B6C">
        <w:rPr>
          <w:rFonts w:ascii="ITC Avant Garde" w:eastAsiaTheme="minorHAnsi" w:hAnsi="ITC Avant Garde"/>
        </w:rPr>
        <w:t>En relación a las manifestaciones de Telcel se señala que las mismas cobran contexto en el que las refiere la Comisión Europea ya que la simetría que considera la Comisión Europea es una en la cual se establece un sobreprecio a la tarifa de interconexión con lo cual resulta en una tarifa por encima del costo misma que es aplicable a los operadores de menor escala y que efectivamente ha sido aplicada de manera temporal, sin embargo, la asimetría considerada por la Metodología de Costos y el Acuerdo de Tarifas 2015 considera tarifas basadas en costos sin embargo, únicamente distingue diferencias en la escala de operación entre el Agente Económico Preponderante y el resto de los concesionarios basándose en un criterio objetivo como lo es el carácter preponderante de dicho operador mismo que está expresamente reconocido por el artículo 131 de la LFTR.</w:t>
      </w:r>
    </w:p>
    <w:p w14:paraId="32C145BC" w14:textId="77777777" w:rsidR="009E3CFE" w:rsidRDefault="00950AB6" w:rsidP="009E3CFE">
      <w:pPr>
        <w:ind w:right="20"/>
        <w:jc w:val="both"/>
        <w:rPr>
          <w:rFonts w:ascii="ITC Avant Garde" w:eastAsia="Times New Roman" w:hAnsi="ITC Avant Garde"/>
        </w:rPr>
      </w:pPr>
      <w:r w:rsidRPr="00746B6C">
        <w:rPr>
          <w:rFonts w:ascii="ITC Avant Garde" w:eastAsia="Times New Roman" w:hAnsi="ITC Avant Garde"/>
          <w:b/>
        </w:rPr>
        <w:t xml:space="preserve">Pregunta 3. </w:t>
      </w:r>
      <w:r w:rsidRPr="00746B6C">
        <w:rPr>
          <w:rFonts w:ascii="ITC Avant Garde" w:eastAsia="Times New Roman" w:hAnsi="ITC Avant Garde"/>
        </w:rPr>
        <w:t>Se solicitó al perito señalar qué se entiende por asimetrías naturales de redes según la teoría y literatura económica especializada.</w:t>
      </w:r>
    </w:p>
    <w:p w14:paraId="1342DA43" w14:textId="77777777" w:rsidR="009E3CFE" w:rsidRDefault="00950AB6" w:rsidP="009E3CFE">
      <w:pPr>
        <w:ind w:right="20"/>
        <w:jc w:val="both"/>
        <w:rPr>
          <w:rFonts w:ascii="ITC Avant Garde" w:hAnsi="ITC Avant Garde"/>
          <w:szCs w:val="24"/>
        </w:rPr>
      </w:pPr>
      <w:r w:rsidRPr="00746B6C">
        <w:rPr>
          <w:rFonts w:ascii="ITC Avant Garde" w:eastAsia="Times New Roman" w:hAnsi="ITC Avant Garde"/>
        </w:rPr>
        <w:t xml:space="preserve">El perito de Grupo Televisa respondió que en la telefonía fija debe tenerse en cuenta que la existencia de economías de escala implica que los operadores más pequeños tienen un costo medio más elevado, de manera que si se impone una tarifa idéntica para todos los operadores, los más pequeños están en desventaja. La regulación asimétrica crea mayores incentivos de entrada respecto a una regulación que </w:t>
      </w:r>
      <w:r w:rsidRPr="00746B6C">
        <w:rPr>
          <w:rFonts w:ascii="ITC Avant Garde" w:eastAsia="Times New Roman" w:hAnsi="ITC Avant Garde"/>
        </w:rPr>
        <w:lastRenderedPageBreak/>
        <w:t>imponga tarifas idénticas a todos los operadores por tal razón, las tarifas asimétricas se justifican cuando las condiciones del mercado no son favorables a la competencia.</w:t>
      </w:r>
    </w:p>
    <w:p w14:paraId="74E2FFF6" w14:textId="77777777" w:rsidR="009E3CFE" w:rsidRDefault="00950AB6" w:rsidP="009E3CFE">
      <w:pPr>
        <w:widowControl w:val="0"/>
        <w:jc w:val="both"/>
        <w:rPr>
          <w:rFonts w:ascii="ITC Avant Garde" w:eastAsia="Times New Roman" w:hAnsi="ITC Avant Garde"/>
          <w:szCs w:val="24"/>
        </w:rPr>
      </w:pPr>
      <w:r w:rsidRPr="00746B6C">
        <w:rPr>
          <w:rFonts w:ascii="ITC Avant Garde" w:hAnsi="ITC Avant Garde"/>
          <w:szCs w:val="24"/>
        </w:rPr>
        <w:t xml:space="preserve">En relación a la respuesta del perito de </w:t>
      </w:r>
      <w:r w:rsidR="00516285" w:rsidRPr="00746B6C">
        <w:rPr>
          <w:rFonts w:ascii="ITC Avant Garde" w:hAnsi="ITC Avant Garde"/>
          <w:szCs w:val="24"/>
        </w:rPr>
        <w:t>Grupo Televisa</w:t>
      </w:r>
      <w:r w:rsidRPr="00746B6C">
        <w:rPr>
          <w:rFonts w:ascii="ITC Avant Garde" w:hAnsi="ITC Avant Garde"/>
          <w:szCs w:val="24"/>
        </w:rPr>
        <w:t xml:space="preserve"> se señala que se coincide en que la literatura especializada señala que el costo medio unitario de producción es menor a medida que se incrementa la escala de producción cuando existen rendimientos crecientes de escala</w:t>
      </w:r>
      <w:r w:rsidRPr="00746B6C">
        <w:rPr>
          <w:rFonts w:ascii="ITC Avant Garde" w:eastAsia="Times New Roman" w:hAnsi="ITC Avant Garde"/>
          <w:szCs w:val="24"/>
        </w:rPr>
        <w:t>.</w:t>
      </w:r>
    </w:p>
    <w:p w14:paraId="01A2062C" w14:textId="77777777" w:rsidR="009E3CFE" w:rsidRDefault="00950AB6" w:rsidP="009E3CFE">
      <w:pPr>
        <w:widowControl w:val="0"/>
        <w:jc w:val="both"/>
        <w:rPr>
          <w:rFonts w:ascii="ITC Avant Garde" w:hAnsi="ITC Avant Garde"/>
          <w:szCs w:val="24"/>
        </w:rPr>
      </w:pPr>
      <w:r w:rsidRPr="00746B6C">
        <w:rPr>
          <w:rFonts w:ascii="ITC Avant Garde" w:hAnsi="ITC Avant Garde"/>
          <w:szCs w:val="24"/>
        </w:rPr>
        <w:t>Sin embargo, también la literatura señala que se debe establecer una regulación asimétrica a un determinado operador cuando se observan elementos objetivos como particularmente cuando esto se traduce en la existencia de conductas o posibles conductas contrarias a una sana competencia. El establecimiento de una regulación asimétrica debe ser precedida por un análisis del mercado a efecto de analizar si existe un agente con poder sustancial de mercado o un agente preponderante.</w:t>
      </w:r>
    </w:p>
    <w:p w14:paraId="2C6C321F" w14:textId="77777777" w:rsidR="009E3CFE" w:rsidRDefault="00950AB6" w:rsidP="009E3CFE">
      <w:pPr>
        <w:ind w:right="20"/>
        <w:jc w:val="both"/>
        <w:rPr>
          <w:rFonts w:ascii="ITC Avant Garde" w:hAnsi="ITC Avant Garde"/>
          <w:szCs w:val="24"/>
        </w:rPr>
      </w:pPr>
      <w:r w:rsidRPr="00746B6C">
        <w:rPr>
          <w:rFonts w:ascii="ITC Avant Garde" w:hAnsi="ITC Avant Garde"/>
          <w:b/>
          <w:szCs w:val="24"/>
        </w:rPr>
        <w:t xml:space="preserve">Pregunta 4. </w:t>
      </w:r>
      <w:r w:rsidRPr="00746B6C">
        <w:rPr>
          <w:rFonts w:ascii="ITC Avant Garde" w:hAnsi="ITC Avant Garde"/>
          <w:szCs w:val="24"/>
        </w:rPr>
        <w:t>Se solicitó al perito s</w:t>
      </w:r>
      <w:r w:rsidR="00516285" w:rsidRPr="00746B6C">
        <w:rPr>
          <w:rFonts w:ascii="ITC Avant Garde" w:hAnsi="ITC Avant Garde"/>
          <w:szCs w:val="24"/>
        </w:rPr>
        <w:t>eñalar si de acuerdo con la LFT</w:t>
      </w:r>
      <w:r w:rsidRPr="00746B6C">
        <w:rPr>
          <w:rFonts w:ascii="ITC Avant Garde" w:hAnsi="ITC Avant Garde"/>
          <w:szCs w:val="24"/>
        </w:rPr>
        <w:t>R la tarifa de interconexión que debe aplicarse a los operadores distintos al Agente Económico Preponderante (en lo sucesivo, “AEP”) debe ser asimétrica.</w:t>
      </w:r>
    </w:p>
    <w:p w14:paraId="194B5A4F" w14:textId="77777777" w:rsidR="009E3CFE" w:rsidRDefault="00950AB6" w:rsidP="009E3CFE">
      <w:pPr>
        <w:ind w:right="20"/>
        <w:jc w:val="both"/>
        <w:rPr>
          <w:rFonts w:ascii="ITC Avant Garde" w:hAnsi="ITC Avant Garde"/>
          <w:szCs w:val="24"/>
        </w:rPr>
      </w:pPr>
      <w:r w:rsidRPr="00746B6C">
        <w:rPr>
          <w:rFonts w:ascii="ITC Avant Garde" w:hAnsi="ITC Avant Garde"/>
          <w:szCs w:val="24"/>
        </w:rPr>
        <w:t xml:space="preserve">Al respecto, el perito de </w:t>
      </w:r>
      <w:r w:rsidR="00EC634E" w:rsidRPr="00746B6C">
        <w:rPr>
          <w:rFonts w:ascii="ITC Avant Garde" w:hAnsi="ITC Avant Garde"/>
          <w:szCs w:val="24"/>
        </w:rPr>
        <w:t>Grupo Televisa</w:t>
      </w:r>
      <w:r w:rsidRPr="00746B6C">
        <w:rPr>
          <w:rFonts w:ascii="ITC Avant Garde" w:hAnsi="ITC Avant Garde"/>
          <w:szCs w:val="24"/>
        </w:rPr>
        <w:t xml:space="preserve"> respondió que la ley obliga al Instituto a considerar las asimetrías naturales de las redes para determinar la tarifa de interconexión que deberán pagarse los concesionarios distintos al AEP. </w:t>
      </w:r>
    </w:p>
    <w:p w14:paraId="3DDE3BF2" w14:textId="77777777" w:rsidR="009E3CFE" w:rsidRDefault="00950AB6" w:rsidP="009E3CFE">
      <w:pPr>
        <w:ind w:right="20"/>
        <w:jc w:val="both"/>
        <w:rPr>
          <w:rFonts w:ascii="ITC Avant Garde" w:hAnsi="ITC Avant Garde" w:cs="Arial"/>
          <w:bCs/>
        </w:rPr>
      </w:pPr>
      <w:r w:rsidRPr="00746B6C">
        <w:rPr>
          <w:rFonts w:ascii="ITC Avant Garde" w:hAnsi="ITC Avant Garde"/>
          <w:szCs w:val="24"/>
        </w:rPr>
        <w:t xml:space="preserve">Referente a la respuesta ofrecida por el perito de </w:t>
      </w:r>
      <w:r w:rsidR="00516285" w:rsidRPr="00746B6C">
        <w:rPr>
          <w:rFonts w:ascii="ITC Avant Garde" w:hAnsi="ITC Avant Garde"/>
          <w:szCs w:val="24"/>
        </w:rPr>
        <w:t>Grupo Televisa</w:t>
      </w:r>
      <w:r w:rsidRPr="00746B6C">
        <w:rPr>
          <w:rFonts w:ascii="ITC Avant Garde" w:hAnsi="ITC Avant Garde"/>
          <w:szCs w:val="24"/>
        </w:rPr>
        <w:t xml:space="preserve">, este Instituto coincide con la respuesta del concesionario en el sentido de que el Instituto está obligado a emitir una metodología de costos tomando en cuenta las asimetrías </w:t>
      </w:r>
      <w:r w:rsidRPr="00746B6C">
        <w:rPr>
          <w:rFonts w:ascii="ITC Avant Garde" w:hAnsi="ITC Avant Garde" w:cs="Arial"/>
          <w:bCs/>
        </w:rPr>
        <w:t>naturales de las redes a ser interconectadas, la participación de mercado o cualquier otro factor que el instituto considere necesario, sin embargo cabe aclarar que esto no implica la obligación de crear un modelo de costos para cada uno de los operadores en virtud de que el Decreto señala que a efecto de promover una competencia efectiva se deben establecer al AEP las medidas necesarias para evitar que se afecte la competencia y la libre concurrencia. Esto es, el establecimiento de condiciones equitativas de competencia se logrará regulando al AEP.</w:t>
      </w:r>
    </w:p>
    <w:p w14:paraId="72600281" w14:textId="77777777" w:rsidR="009E3CFE" w:rsidRDefault="00950AB6" w:rsidP="009E3CFE">
      <w:pPr>
        <w:ind w:right="20"/>
        <w:jc w:val="both"/>
        <w:rPr>
          <w:rFonts w:ascii="ITC Avant Garde" w:hAnsi="ITC Avant Garde"/>
          <w:szCs w:val="24"/>
        </w:rPr>
      </w:pPr>
      <w:r w:rsidRPr="00746B6C">
        <w:rPr>
          <w:rFonts w:ascii="ITC Avant Garde" w:hAnsi="ITC Avant Garde"/>
          <w:b/>
          <w:szCs w:val="24"/>
        </w:rPr>
        <w:t xml:space="preserve">Pregunta 5. </w:t>
      </w:r>
      <w:r w:rsidRPr="00746B6C">
        <w:rPr>
          <w:rFonts w:ascii="ITC Avant Garde" w:hAnsi="ITC Avant Garde"/>
          <w:szCs w:val="24"/>
        </w:rPr>
        <w:t>Se solicitó al perito que mencionaran los elementos mí</w:t>
      </w:r>
      <w:r w:rsidR="00516285" w:rsidRPr="00746B6C">
        <w:rPr>
          <w:rFonts w:ascii="ITC Avant Garde" w:hAnsi="ITC Avant Garde"/>
          <w:szCs w:val="24"/>
        </w:rPr>
        <w:t>nimos, conforme a la LFT</w:t>
      </w:r>
      <w:r w:rsidRPr="00746B6C">
        <w:rPr>
          <w:rFonts w:ascii="ITC Avant Garde" w:hAnsi="ITC Avant Garde"/>
          <w:szCs w:val="24"/>
        </w:rPr>
        <w:t>R, que deben ser considerados por el Instituto en la metodología que utilice para determinar la tarifa de interconexión en el caso de los operadores distintos al AEP.</w:t>
      </w:r>
    </w:p>
    <w:p w14:paraId="6D4827F1" w14:textId="77777777" w:rsidR="009E3CFE" w:rsidRDefault="00950AB6" w:rsidP="009E3CFE">
      <w:pPr>
        <w:ind w:right="20"/>
        <w:jc w:val="both"/>
        <w:rPr>
          <w:rFonts w:ascii="ITC Avant Garde" w:hAnsi="ITC Avant Garde"/>
          <w:szCs w:val="24"/>
        </w:rPr>
      </w:pPr>
      <w:r w:rsidRPr="00746B6C">
        <w:rPr>
          <w:rFonts w:ascii="ITC Avant Garde" w:hAnsi="ITC Avant Garde"/>
          <w:szCs w:val="24"/>
        </w:rPr>
        <w:t xml:space="preserve">El perito de </w:t>
      </w:r>
      <w:r w:rsidR="00516285" w:rsidRPr="00746B6C">
        <w:rPr>
          <w:rFonts w:ascii="ITC Avant Garde" w:hAnsi="ITC Avant Garde"/>
          <w:szCs w:val="24"/>
        </w:rPr>
        <w:t>Grupo Televisa</w:t>
      </w:r>
      <w:r w:rsidRPr="00746B6C">
        <w:rPr>
          <w:rFonts w:ascii="ITC Avant Garde" w:hAnsi="ITC Avant Garde"/>
          <w:szCs w:val="24"/>
        </w:rPr>
        <w:t xml:space="preserve"> señaló que dichos elementos corresponden a la participación de mercado, horarios de congestionamiento de tráfico y el volumen de tráfico, así como otros elementos que el Instituto considere relevantes.</w:t>
      </w:r>
    </w:p>
    <w:p w14:paraId="6DAD74BA" w14:textId="77777777" w:rsidR="009E3CFE" w:rsidRDefault="00950AB6" w:rsidP="009E3CFE">
      <w:pPr>
        <w:ind w:right="20"/>
        <w:jc w:val="both"/>
        <w:rPr>
          <w:rFonts w:ascii="ITC Avant Garde" w:hAnsi="ITC Avant Garde"/>
          <w:szCs w:val="24"/>
        </w:rPr>
      </w:pPr>
      <w:r w:rsidRPr="00746B6C">
        <w:rPr>
          <w:rFonts w:ascii="ITC Avant Garde" w:hAnsi="ITC Avant Garde"/>
          <w:szCs w:val="24"/>
        </w:rPr>
        <w:lastRenderedPageBreak/>
        <w:t>Referente a la respuesta ofrecida por el perito, este Instituto coincide con la respuesta de los peritos en cuanto a los elementos que considera el Instituto en la metodología de costos para determinar las tarifas de interconexión</w:t>
      </w:r>
      <w:r w:rsidR="00516285" w:rsidRPr="00746B6C">
        <w:rPr>
          <w:rFonts w:ascii="ITC Avant Garde" w:hAnsi="ITC Avant Garde"/>
          <w:szCs w:val="24"/>
        </w:rPr>
        <w:t xml:space="preserve"> toda vez </w:t>
      </w:r>
      <w:r w:rsidRPr="00746B6C">
        <w:rPr>
          <w:rFonts w:ascii="ITC Avant Garde" w:hAnsi="ITC Avant Garde"/>
          <w:szCs w:val="24"/>
        </w:rPr>
        <w:t>que los que mencionan los peritos son los establecid</w:t>
      </w:r>
      <w:r w:rsidR="00516285" w:rsidRPr="00746B6C">
        <w:rPr>
          <w:rFonts w:ascii="ITC Avant Garde" w:hAnsi="ITC Avant Garde"/>
          <w:szCs w:val="24"/>
        </w:rPr>
        <w:t>os en el artículo 131 de la LFT</w:t>
      </w:r>
      <w:r w:rsidRPr="00746B6C">
        <w:rPr>
          <w:rFonts w:ascii="ITC Avant Garde" w:hAnsi="ITC Avant Garde"/>
          <w:szCs w:val="24"/>
        </w:rPr>
        <w:t>R.</w:t>
      </w:r>
    </w:p>
    <w:p w14:paraId="41D7B5EA" w14:textId="77777777" w:rsidR="009E3CFE" w:rsidRDefault="00950AB6" w:rsidP="009E3CFE">
      <w:pPr>
        <w:ind w:right="20"/>
        <w:jc w:val="both"/>
        <w:rPr>
          <w:rFonts w:ascii="ITC Avant Garde" w:hAnsi="ITC Avant Garde"/>
          <w:szCs w:val="24"/>
        </w:rPr>
      </w:pPr>
      <w:r w:rsidRPr="00746B6C">
        <w:rPr>
          <w:rFonts w:ascii="ITC Avant Garde" w:hAnsi="ITC Avant Garde"/>
          <w:b/>
          <w:szCs w:val="24"/>
        </w:rPr>
        <w:t xml:space="preserve">Pregunta 6. </w:t>
      </w:r>
      <w:r w:rsidRPr="00746B6C">
        <w:rPr>
          <w:rFonts w:ascii="ITC Avant Garde" w:hAnsi="ITC Avant Garde"/>
          <w:szCs w:val="24"/>
        </w:rPr>
        <w:t>Se requirió al perito que señalara si para el cálculo de la tarifa de terminación determinada para los operadores distintos al AEP y señalada en el Acuerdo de Tarifas 2015, se consideraron las asimetrías naturales de las redes y la participación de mercado tal como lo s</w:t>
      </w:r>
      <w:r w:rsidR="00516285" w:rsidRPr="00746B6C">
        <w:rPr>
          <w:rFonts w:ascii="ITC Avant Garde" w:hAnsi="ITC Avant Garde"/>
          <w:szCs w:val="24"/>
        </w:rPr>
        <w:t>eñala el artículo 131 de la LFT</w:t>
      </w:r>
      <w:r w:rsidRPr="00746B6C">
        <w:rPr>
          <w:rFonts w:ascii="ITC Avant Garde" w:hAnsi="ITC Avant Garde"/>
          <w:szCs w:val="24"/>
        </w:rPr>
        <w:t>R.</w:t>
      </w:r>
    </w:p>
    <w:p w14:paraId="1824006D" w14:textId="77777777" w:rsidR="009E3CFE" w:rsidRDefault="00950AB6" w:rsidP="009E3CFE">
      <w:pPr>
        <w:ind w:right="20"/>
        <w:jc w:val="both"/>
        <w:rPr>
          <w:rFonts w:ascii="ITC Avant Garde" w:hAnsi="ITC Avant Garde"/>
          <w:szCs w:val="24"/>
        </w:rPr>
      </w:pPr>
      <w:r w:rsidRPr="00746B6C">
        <w:rPr>
          <w:rFonts w:ascii="ITC Avant Garde" w:hAnsi="ITC Avant Garde"/>
          <w:szCs w:val="24"/>
        </w:rPr>
        <w:t xml:space="preserve">Al respecto el perito de </w:t>
      </w:r>
      <w:r w:rsidR="00A06AB7" w:rsidRPr="00746B6C">
        <w:rPr>
          <w:rFonts w:ascii="ITC Avant Garde" w:hAnsi="ITC Avant Garde"/>
          <w:szCs w:val="24"/>
        </w:rPr>
        <w:t>Grupo Televisa</w:t>
      </w:r>
      <w:r w:rsidRPr="00746B6C">
        <w:rPr>
          <w:rFonts w:ascii="ITC Avant Garde" w:hAnsi="ITC Avant Garde"/>
          <w:szCs w:val="24"/>
        </w:rPr>
        <w:t xml:space="preserve"> señaló que el Acuerdo de Tarifas 2015 no consideró las asimetrías naturales de las redes de los concesionarios distintos al AEP para fijar la tarifa de interconexión para el tráfico que termina en sus redes. Por otra parte en dicho acuerdo se señala que para los operadores distintos al AEP se considera una participación de mercado de 36% y que cada usuario tiene al menos dos opciones de operador, por lo que tales supuestos están fuera de la realidad. Ningún operador distinto al AEP cuenta con tal participación de mercado, no existe una empresa de cable o telecomunicaciones distinta al AEP con cobertura nacional.</w:t>
      </w:r>
    </w:p>
    <w:p w14:paraId="4EF62FE4" w14:textId="77777777" w:rsidR="009E3CFE" w:rsidRDefault="00950AB6" w:rsidP="009E3CFE">
      <w:pPr>
        <w:jc w:val="both"/>
        <w:rPr>
          <w:rFonts w:ascii="ITC Avant Garde" w:hAnsi="ITC Avant Garde"/>
          <w:szCs w:val="24"/>
        </w:rPr>
      </w:pPr>
      <w:r w:rsidRPr="00746B6C">
        <w:rPr>
          <w:rFonts w:ascii="ITC Avant Garde" w:hAnsi="ITC Avant Garde"/>
          <w:szCs w:val="24"/>
        </w:rPr>
        <w:t xml:space="preserve">El Instituto desestima la respuesta del perito de </w:t>
      </w:r>
      <w:r w:rsidR="00A06AB7" w:rsidRPr="00746B6C">
        <w:rPr>
          <w:rFonts w:ascii="ITC Avant Garde" w:hAnsi="ITC Avant Garde"/>
          <w:szCs w:val="24"/>
        </w:rPr>
        <w:t>Grupo Televisa</w:t>
      </w:r>
      <w:r w:rsidRPr="00746B6C">
        <w:rPr>
          <w:rFonts w:ascii="ITC Avant Garde" w:hAnsi="ITC Avant Garde"/>
          <w:szCs w:val="24"/>
        </w:rPr>
        <w:t xml:space="preserve"> toda vez que el Instituto consideró las asimetrías naturales señaladas en el artículo 131 de la LFTR en la elaboración del modelo de costos, y para tal efecto se apegó a lo establecido en la Metodología de Costos.</w:t>
      </w:r>
    </w:p>
    <w:p w14:paraId="44EB02A6" w14:textId="77777777" w:rsidR="009E3CFE" w:rsidRDefault="00950AB6" w:rsidP="009E3CFE">
      <w:pPr>
        <w:jc w:val="both"/>
        <w:rPr>
          <w:rFonts w:ascii="ITC Avant Garde" w:hAnsi="ITC Avant Garde"/>
          <w:szCs w:val="24"/>
        </w:rPr>
      </w:pPr>
      <w:r w:rsidRPr="00746B6C">
        <w:rPr>
          <w:rFonts w:ascii="ITC Avant Garde" w:hAnsi="ITC Avant Garde"/>
          <w:szCs w:val="24"/>
        </w:rPr>
        <w:t xml:space="preserve">Dicha metodología consideró que el artículo 131 de la </w:t>
      </w:r>
      <w:r w:rsidR="00A06AB7" w:rsidRPr="00746B6C">
        <w:rPr>
          <w:rFonts w:ascii="ITC Avant Garde" w:hAnsi="ITC Avant Garde"/>
          <w:szCs w:val="24"/>
        </w:rPr>
        <w:t>LFT</w:t>
      </w:r>
      <w:r w:rsidRPr="00746B6C">
        <w:rPr>
          <w:rFonts w:ascii="ITC Avant Garde" w:hAnsi="ITC Avant Garde"/>
          <w:szCs w:val="24"/>
        </w:rPr>
        <w:t>R señalaba expresamente dos situaciones en las cuales se observaban diferencias objetivas bajo las que se pueden establecer tarifas asimétricas de interconexión: en el primer caso, existe un agente económico preponderante en el sector telecomunicaciones; el segundo caso, está presente un agente con poder sustancial en el mercado relevante de terminación de llamadas y mensajes cortos.</w:t>
      </w:r>
    </w:p>
    <w:p w14:paraId="2D3357AD" w14:textId="2321E64A" w:rsidR="009E3CFE" w:rsidRDefault="00950AB6" w:rsidP="009E3CFE">
      <w:pPr>
        <w:jc w:val="both"/>
        <w:rPr>
          <w:rFonts w:ascii="ITC Avant Garde" w:hAnsi="ITC Avant Garde"/>
          <w:szCs w:val="24"/>
        </w:rPr>
      </w:pPr>
      <w:r w:rsidRPr="00746B6C">
        <w:rPr>
          <w:rFonts w:ascii="ITC Avant Garde" w:hAnsi="ITC Avant Garde"/>
          <w:szCs w:val="24"/>
        </w:rPr>
        <w:t>Asimismo, es preciso mencionar que históricamente los órganos reguladores han llevado a cabo un trato asimétrico en el cálculo de los costos de interconexión entre redes fijas y móviles. La diferenciación radica en que en las redes fijas, el usuario tiene un acceso dedicado exclusivamente para su uso, normalmente a través de un par de cobre o más recientemente de fibra óptica, lo que representa inversiones en las que el concesionario debe incurrir con independencia de que el usuario deci</w:t>
      </w:r>
      <w:r w:rsidR="007130F8">
        <w:rPr>
          <w:rFonts w:ascii="ITC Avant Garde" w:hAnsi="ITC Avant Garde"/>
          <w:szCs w:val="24"/>
        </w:rPr>
        <w:t>da hacer uso o no del servicio.</w:t>
      </w:r>
    </w:p>
    <w:p w14:paraId="02434721" w14:textId="77777777" w:rsidR="009E3CFE" w:rsidRDefault="00950AB6" w:rsidP="009E3CFE">
      <w:pPr>
        <w:jc w:val="both"/>
        <w:rPr>
          <w:rFonts w:ascii="ITC Avant Garde" w:hAnsi="ITC Avant Garde"/>
          <w:szCs w:val="24"/>
        </w:rPr>
      </w:pPr>
      <w:r w:rsidRPr="00746B6C">
        <w:rPr>
          <w:rFonts w:ascii="ITC Avant Garde" w:hAnsi="ITC Avant Garde"/>
          <w:szCs w:val="24"/>
        </w:rPr>
        <w:t xml:space="preserve">En el caso del servicio móvil, el usuario no cuenta con capacidad de red dedicada para su uso exclusivo, sino que únicamente hace uso de la misma en la medida en que se conecta por medio de una llamada </w:t>
      </w:r>
      <w:r w:rsidR="00A06AB7" w:rsidRPr="00746B6C">
        <w:rPr>
          <w:rFonts w:ascii="ITC Avant Garde" w:hAnsi="ITC Avant Garde"/>
          <w:szCs w:val="24"/>
        </w:rPr>
        <w:t>de voz o una conexión de datos.</w:t>
      </w:r>
    </w:p>
    <w:p w14:paraId="79DEBB6E" w14:textId="32E9DECA" w:rsidR="009E3CFE" w:rsidRDefault="00950AB6" w:rsidP="009E3CFE">
      <w:pPr>
        <w:jc w:val="both"/>
        <w:rPr>
          <w:rFonts w:ascii="ITC Avant Garde" w:hAnsi="ITC Avant Garde"/>
          <w:szCs w:val="24"/>
        </w:rPr>
      </w:pPr>
      <w:r w:rsidRPr="00746B6C">
        <w:rPr>
          <w:rFonts w:ascii="ITC Avant Garde" w:hAnsi="ITC Avant Garde"/>
          <w:szCs w:val="24"/>
        </w:rPr>
        <w:lastRenderedPageBreak/>
        <w:t xml:space="preserve">Esta asimetría natural de los servicios fijos y móviles propicia que en el caso de los primeros, exista un costo fijo relacionado con la capacidad dedicada para el usuario final, que no existe en el servicio móvil, lo cual genera distintos comportamientos en los costos respectivos, en ninguna otra situación se observa una diferenciación objetiva que permita llevar a que se consideren costos distintos por cada operador como lo señala el perito de </w:t>
      </w:r>
      <w:r w:rsidR="00A06AB7" w:rsidRPr="00746B6C">
        <w:rPr>
          <w:rFonts w:ascii="ITC Avant Garde" w:hAnsi="ITC Avant Garde"/>
          <w:szCs w:val="24"/>
        </w:rPr>
        <w:t>Grupo Televisa</w:t>
      </w:r>
      <w:r w:rsidR="007130F8">
        <w:rPr>
          <w:rFonts w:ascii="ITC Avant Garde" w:hAnsi="ITC Avant Garde"/>
          <w:szCs w:val="24"/>
        </w:rPr>
        <w:t>.</w:t>
      </w:r>
    </w:p>
    <w:p w14:paraId="7660E732" w14:textId="77777777" w:rsidR="009E3CFE" w:rsidRDefault="00950AB6" w:rsidP="009E3CFE">
      <w:pPr>
        <w:jc w:val="both"/>
        <w:rPr>
          <w:rFonts w:ascii="ITC Avant Garde" w:hAnsi="ITC Avant Garde"/>
        </w:rPr>
      </w:pPr>
      <w:r w:rsidRPr="00746B6C">
        <w:rPr>
          <w:rFonts w:ascii="ITC Avant Garde" w:hAnsi="ITC Avant Garde"/>
        </w:rPr>
        <w:t>Ahora bien, del análisis integral al dictamen pericial en todas las preguntas, este Instituto concluye que si bien en algunas es coincidente y en otras divergente, no le genera convicción de que las condiciones no convenidas sujetas a resolución, puedan regularse de diversa forma a las resueltas en la presente, lo anterior en términos del artículo 211 del CFPC.</w:t>
      </w:r>
    </w:p>
    <w:p w14:paraId="522BC988" w14:textId="77777777" w:rsidR="009E3CFE" w:rsidRDefault="00950AB6" w:rsidP="009E3CFE">
      <w:pPr>
        <w:pStyle w:val="Prrafodelista"/>
        <w:numPr>
          <w:ilvl w:val="0"/>
          <w:numId w:val="42"/>
        </w:numPr>
        <w:spacing w:after="200" w:line="276" w:lineRule="auto"/>
        <w:ind w:left="284" w:right="45" w:hanging="284"/>
        <w:rPr>
          <w:rFonts w:ascii="ITC Avant Garde" w:hAnsi="ITC Avant Garde"/>
          <w:b/>
          <w:u w:val="single"/>
        </w:rPr>
      </w:pPr>
      <w:r w:rsidRPr="00746B6C">
        <w:rPr>
          <w:rFonts w:ascii="ITC Avant Garde" w:hAnsi="ITC Avant Garde"/>
        </w:rPr>
        <w:t>En relación a la Presuncional, en su doble aspecto, legal y humana, ofrecida como prueba, se les da valor probatorio en términos del artículo 218 del CFPC al ser ésta la consecuencia lógica y natural de hechos conocidos y probados al momento de hacer la deducción respectiva.</w:t>
      </w:r>
    </w:p>
    <w:p w14:paraId="35DE2978" w14:textId="77777777" w:rsidR="009E3CFE" w:rsidRDefault="00950AB6" w:rsidP="009E3CFE">
      <w:pPr>
        <w:pStyle w:val="Prrafodelista"/>
        <w:numPr>
          <w:ilvl w:val="0"/>
          <w:numId w:val="42"/>
        </w:numPr>
        <w:spacing w:after="200" w:line="276" w:lineRule="auto"/>
        <w:ind w:left="284" w:right="45" w:hanging="284"/>
        <w:rPr>
          <w:rFonts w:ascii="ITC Avant Garde" w:hAnsi="ITC Avant Garde"/>
        </w:rPr>
      </w:pPr>
      <w:r w:rsidRPr="00746B6C">
        <w:rPr>
          <w:rFonts w:ascii="ITC Avant Garde" w:hAnsi="ITC Avant Garde"/>
        </w:rPr>
        <w:t>Respecto a las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707C7C2A" w14:textId="77777777" w:rsidR="009E3CFE" w:rsidRDefault="00590DC1" w:rsidP="009E3CFE">
      <w:pPr>
        <w:jc w:val="both"/>
        <w:rPr>
          <w:rFonts w:ascii="ITC Avant Garde" w:hAnsi="ITC Avant Garde" w:cs="Arial"/>
        </w:rPr>
      </w:pPr>
      <w:r w:rsidRPr="00746B6C">
        <w:rPr>
          <w:rFonts w:ascii="ITC Avant Garde" w:hAnsi="ITC Avant Garde"/>
          <w:b/>
          <w:szCs w:val="24"/>
        </w:rPr>
        <w:t>QUINTO</w:t>
      </w:r>
      <w:r w:rsidR="00F203B5" w:rsidRPr="00746B6C">
        <w:rPr>
          <w:rFonts w:ascii="ITC Avant Garde" w:hAnsi="ITC Avant Garde"/>
          <w:b/>
          <w:szCs w:val="24"/>
        </w:rPr>
        <w:t xml:space="preserve">.- </w:t>
      </w:r>
      <w:r w:rsidR="000D456F" w:rsidRPr="00746B6C">
        <w:rPr>
          <w:rFonts w:ascii="ITC Avant Garde" w:eastAsia="Times New Roman" w:hAnsi="ITC Avant Garde"/>
          <w:b/>
          <w:lang w:eastAsia="es-ES"/>
        </w:rPr>
        <w:t>Condiciones no convenidas sujetas a resolución</w:t>
      </w:r>
      <w:r w:rsidR="000D456F" w:rsidRPr="00746B6C">
        <w:rPr>
          <w:rFonts w:ascii="ITC Avant Garde" w:eastAsia="Times New Roman" w:hAnsi="ITC Avant Garde"/>
          <w:lang w:eastAsia="es-ES"/>
        </w:rPr>
        <w:t xml:space="preserve">.- </w:t>
      </w:r>
      <w:r w:rsidR="000D456F" w:rsidRPr="00746B6C">
        <w:rPr>
          <w:rFonts w:ascii="ITC Avant Garde" w:hAnsi="ITC Avant Garde"/>
        </w:rPr>
        <w:t>En la Solicitud de Resolución,</w:t>
      </w:r>
      <w:r w:rsidR="000D456F" w:rsidRPr="00746B6C">
        <w:rPr>
          <w:rFonts w:ascii="ITC Avant Garde" w:hAnsi="ITC Avant Garde"/>
          <w:b/>
        </w:rPr>
        <w:t xml:space="preserve"> </w:t>
      </w:r>
      <w:r w:rsidR="000D456F" w:rsidRPr="00746B6C">
        <w:rPr>
          <w:rFonts w:ascii="ITC Avant Garde" w:eastAsia="Times New Roman" w:hAnsi="ITC Avant Garde"/>
          <w:lang w:eastAsia="es-ES"/>
        </w:rPr>
        <w:t>Telcel plantea las siguientes condiciones, términos y tarifas de interconexión que no pudo convenir con Grupo Televisa:</w:t>
      </w:r>
    </w:p>
    <w:p w14:paraId="0A896742" w14:textId="77777777" w:rsidR="009E3CFE" w:rsidRDefault="00B81F2F" w:rsidP="009E3CFE">
      <w:pPr>
        <w:pStyle w:val="Prrafodelista"/>
        <w:numPr>
          <w:ilvl w:val="0"/>
          <w:numId w:val="44"/>
        </w:numPr>
        <w:spacing w:after="200" w:line="276" w:lineRule="auto"/>
        <w:rPr>
          <w:rFonts w:ascii="ITC Avant Garde" w:hAnsi="ITC Avant Garde"/>
          <w:szCs w:val="22"/>
        </w:rPr>
      </w:pPr>
      <w:r w:rsidRPr="00746B6C">
        <w:rPr>
          <w:rFonts w:ascii="ITC Avant Garde" w:hAnsi="ITC Avant Garde"/>
          <w:szCs w:val="22"/>
        </w:rPr>
        <w:t xml:space="preserve">Tarifa de interconexión que Telcel deberá pagar a Grupo Televisa por servicios de terminación de tráfico público conmutado en las redes de servicio local fijo de Grupo Televisa, durante el periodo comprendido del 1º de enero al 31 de diciembre de 2015 y del 1º de enero al 31 de diciembre de 2016. </w:t>
      </w:r>
    </w:p>
    <w:p w14:paraId="5BBE386A" w14:textId="77777777" w:rsidR="009E3CFE" w:rsidRDefault="004E108F" w:rsidP="009E3CFE">
      <w:pPr>
        <w:jc w:val="both"/>
        <w:rPr>
          <w:rFonts w:ascii="ITC Avant Garde" w:eastAsia="Times New Roman" w:hAnsi="ITC Avant Garde"/>
        </w:rPr>
      </w:pPr>
      <w:r w:rsidRPr="00746B6C">
        <w:rPr>
          <w:rFonts w:ascii="ITC Avant Garde" w:eastAsia="Times New Roman" w:hAnsi="ITC Avant Garde"/>
        </w:rPr>
        <w:t xml:space="preserve">Por su parte, Grupo Televisa, en los diversos escritos presentados en el procedimiento en que se actúa, además de formular manifestaciones respecto a la improcedencia tanto de la Solicitud de Resolución, como del presente procedimiento administrativo, planteó las siguientes condiciones de interconexión no convenidas: </w:t>
      </w:r>
    </w:p>
    <w:p w14:paraId="7CB9373C" w14:textId="77777777" w:rsidR="009E3CFE" w:rsidRDefault="004E108F" w:rsidP="009E3CFE">
      <w:pPr>
        <w:pStyle w:val="Prrafodelista"/>
        <w:numPr>
          <w:ilvl w:val="0"/>
          <w:numId w:val="44"/>
        </w:numPr>
        <w:spacing w:after="200" w:line="276" w:lineRule="auto"/>
        <w:rPr>
          <w:rFonts w:ascii="ITC Avant Garde" w:hAnsi="ITC Avant Garde"/>
        </w:rPr>
      </w:pPr>
      <w:r w:rsidRPr="00746B6C">
        <w:rPr>
          <w:rFonts w:ascii="ITC Avant Garde" w:hAnsi="ITC Avant Garde"/>
        </w:rPr>
        <w:t xml:space="preserve">La obligación de celebrar un convenio de interconexión entre la red pública de telecomunicaciones de Grupo Televisa y la red pública de telecomunicaciones móvil de Telcel. </w:t>
      </w:r>
    </w:p>
    <w:p w14:paraId="6AB0FC24" w14:textId="77777777" w:rsidR="009E3CFE" w:rsidRDefault="004E108F" w:rsidP="009E3CFE">
      <w:pPr>
        <w:pStyle w:val="Prrafodelista"/>
        <w:numPr>
          <w:ilvl w:val="0"/>
          <w:numId w:val="44"/>
        </w:numPr>
        <w:spacing w:after="200" w:line="276" w:lineRule="auto"/>
        <w:rPr>
          <w:rFonts w:ascii="ITC Avant Garde" w:hAnsi="ITC Avant Garde"/>
          <w:szCs w:val="22"/>
        </w:rPr>
      </w:pPr>
      <w:r w:rsidRPr="00746B6C">
        <w:rPr>
          <w:rFonts w:ascii="ITC Avant Garde" w:hAnsi="ITC Avant Garde"/>
          <w:szCs w:val="22"/>
        </w:rPr>
        <w:t xml:space="preserve">Las contraprestaciones que Telcel deba pagar a Grupo Televisa por los servicios de interconexión solamente por lo que respecta al periodo comprendido desde </w:t>
      </w:r>
      <w:r w:rsidRPr="00746B6C">
        <w:rPr>
          <w:rFonts w:ascii="ITC Avant Garde" w:hAnsi="ITC Avant Garde"/>
          <w:szCs w:val="22"/>
        </w:rPr>
        <w:lastRenderedPageBreak/>
        <w:t xml:space="preserve">la fecha en que resuelva el Instituto el presente desacuerdo y hasta el 31 de diciembre de 2015, mismas que se determinarán con base en la duración real de las llamadas, sin redondeo al minuto siguiente, debiendo para tal efecto sumar la duración de todas las llamadas completadas en el periodo de facturación correspondiente, medidas en segundos, y multiplicar los minutos equivalente a dicha suma, por la tarifa correspondiente. </w:t>
      </w:r>
    </w:p>
    <w:p w14:paraId="19C5FA84" w14:textId="77777777" w:rsidR="009E3CFE" w:rsidRDefault="004E108F" w:rsidP="009E3CFE">
      <w:pPr>
        <w:pStyle w:val="Prrafodelista"/>
        <w:numPr>
          <w:ilvl w:val="0"/>
          <w:numId w:val="44"/>
        </w:numPr>
        <w:spacing w:after="200" w:line="276" w:lineRule="auto"/>
        <w:rPr>
          <w:rFonts w:ascii="ITC Avant Garde" w:hAnsi="ITC Avant Garde"/>
          <w:szCs w:val="22"/>
        </w:rPr>
      </w:pPr>
      <w:r w:rsidRPr="00746B6C">
        <w:rPr>
          <w:rFonts w:ascii="ITC Avant Garde" w:hAnsi="ITC Avant Garde"/>
          <w:szCs w:val="22"/>
        </w:rPr>
        <w:t>La determinación de que en adición a los protocolos de interconexión a través de los cuales actualmente se cursa el tráfico entre la red de Grupo Televisa y Telcel, también se pueda realizar a través de protocolo IP entre la red del servicio fijo de Grupo Televisa y la red del servicio móvil de Telcel, en su versión SIP (Session Initiation Protocol).</w:t>
      </w:r>
    </w:p>
    <w:p w14:paraId="3068BFB4" w14:textId="36B6B18B" w:rsidR="009E3CFE" w:rsidRDefault="00E12290" w:rsidP="009E3CFE">
      <w:pPr>
        <w:pStyle w:val="Textoindependiente"/>
        <w:spacing w:after="200" w:line="276" w:lineRule="auto"/>
        <w:rPr>
          <w:rFonts w:ascii="ITC Avant Garde" w:hAnsi="ITC Avant Garde"/>
          <w:szCs w:val="22"/>
        </w:rPr>
      </w:pPr>
      <w:r w:rsidRPr="00746B6C">
        <w:rPr>
          <w:rFonts w:ascii="ITC Avant Garde" w:hAnsi="ITC Avant Garde"/>
          <w:szCs w:val="22"/>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81DBE41" w14:textId="77777777" w:rsidR="009E3CFE" w:rsidRDefault="00E12290" w:rsidP="009E3CFE">
      <w:pPr>
        <w:jc w:val="both"/>
        <w:rPr>
          <w:rFonts w:ascii="ITC Avant Garde" w:eastAsia="Times New Roman" w:hAnsi="ITC Avant Garde"/>
        </w:rPr>
      </w:pPr>
      <w:r w:rsidRPr="00746B6C">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149C4E76" w14:textId="77777777" w:rsidR="009E3CFE" w:rsidRDefault="00E12290" w:rsidP="009E3CFE">
      <w:pPr>
        <w:jc w:val="both"/>
        <w:rPr>
          <w:rFonts w:ascii="ITC Avant Garde" w:eastAsia="Times New Roman" w:hAnsi="ITC Avant Garde"/>
        </w:rPr>
      </w:pPr>
      <w:r w:rsidRPr="00746B6C">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3E5DB560" w14:textId="77777777" w:rsidR="009E3CFE" w:rsidRDefault="00E12290" w:rsidP="009E3CFE">
      <w:pPr>
        <w:pStyle w:val="Textoindependiente"/>
        <w:spacing w:after="200" w:line="276" w:lineRule="auto"/>
        <w:rPr>
          <w:rFonts w:ascii="ITC Avant Garde" w:hAnsi="ITC Avant Garde"/>
          <w:szCs w:val="22"/>
        </w:rPr>
      </w:pPr>
      <w:r w:rsidRPr="00746B6C">
        <w:rPr>
          <w:rFonts w:ascii="ITC Avant Garde" w:hAnsi="ITC Avant Garde"/>
          <w:szCs w:val="22"/>
        </w:rPr>
        <w:t>Por lo que en términos del artículo 129 de la LFTR es procedente resolver las condiciones solicitadas por ambas partes.</w:t>
      </w:r>
    </w:p>
    <w:p w14:paraId="2CF5EC03" w14:textId="77777777" w:rsidR="009E3CFE" w:rsidRDefault="00E12290" w:rsidP="009E3CFE">
      <w:pPr>
        <w:jc w:val="both"/>
        <w:rPr>
          <w:rFonts w:ascii="ITC Avant Garde" w:eastAsia="Times New Roman" w:hAnsi="ITC Avant Garde"/>
        </w:rPr>
      </w:pPr>
      <w:r w:rsidRPr="00746B6C">
        <w:rPr>
          <w:rFonts w:ascii="ITC Avant Garde" w:eastAsia="Times New Roman" w:hAnsi="ITC Avant Garde"/>
        </w:rPr>
        <w:t>En ese sentido, las condiciones no convenidas sobre las cuales se pronunciará el Instituto serán las siguientes:</w:t>
      </w:r>
    </w:p>
    <w:p w14:paraId="5657DE63" w14:textId="77777777" w:rsidR="009E3CFE" w:rsidRDefault="00E12290" w:rsidP="009E3CFE">
      <w:pPr>
        <w:pStyle w:val="Prrafodelista"/>
        <w:numPr>
          <w:ilvl w:val="0"/>
          <w:numId w:val="46"/>
        </w:numPr>
        <w:spacing w:after="200" w:line="276" w:lineRule="auto"/>
        <w:rPr>
          <w:rFonts w:ascii="ITC Avant Garde" w:hAnsi="ITC Avant Garde"/>
          <w:szCs w:val="22"/>
        </w:rPr>
      </w:pPr>
      <w:r w:rsidRPr="00746B6C">
        <w:rPr>
          <w:rFonts w:ascii="ITC Avant Garde" w:hAnsi="ITC Avant Garde"/>
          <w:szCs w:val="22"/>
        </w:rPr>
        <w:t xml:space="preserve">Tarifa de interconexión que Telcel deberá pagar a Grupo Televisa por servicios de terminación de tráfico público conmutado en las redes de servicio local fijo </w:t>
      </w:r>
      <w:r w:rsidRPr="00746B6C">
        <w:rPr>
          <w:rFonts w:ascii="ITC Avant Garde" w:hAnsi="ITC Avant Garde"/>
          <w:szCs w:val="22"/>
        </w:rPr>
        <w:lastRenderedPageBreak/>
        <w:t xml:space="preserve">de Grupo Televisa, durante el periodo comprendido del 1º de enero al 31 de diciembre de 2015 y del 1º de enero al 31 de diciembre de 2016. </w:t>
      </w:r>
    </w:p>
    <w:p w14:paraId="5AEC9EF5" w14:textId="77777777" w:rsidR="009E3CFE" w:rsidRDefault="00E12290" w:rsidP="009E3CFE">
      <w:pPr>
        <w:pStyle w:val="Prrafodelista"/>
        <w:numPr>
          <w:ilvl w:val="0"/>
          <w:numId w:val="46"/>
        </w:numPr>
        <w:spacing w:after="200" w:line="276" w:lineRule="auto"/>
        <w:rPr>
          <w:rFonts w:ascii="ITC Avant Garde" w:hAnsi="ITC Avant Garde"/>
        </w:rPr>
      </w:pPr>
      <w:r w:rsidRPr="00746B6C">
        <w:rPr>
          <w:rFonts w:ascii="ITC Avant Garde" w:hAnsi="ITC Avant Garde"/>
        </w:rPr>
        <w:t xml:space="preserve">La obligación de celebrar un convenio de interconexión entre la red pública de telecomunicaciones de Grupo Televisa y la red pública de telecomunicaciones móvil de Telcel. </w:t>
      </w:r>
    </w:p>
    <w:p w14:paraId="4EE84389" w14:textId="77777777" w:rsidR="009E3CFE" w:rsidRDefault="00E12290" w:rsidP="009E3CFE">
      <w:pPr>
        <w:pStyle w:val="Prrafodelista"/>
        <w:numPr>
          <w:ilvl w:val="0"/>
          <w:numId w:val="46"/>
        </w:numPr>
        <w:spacing w:after="200" w:line="276" w:lineRule="auto"/>
        <w:rPr>
          <w:rFonts w:ascii="ITC Avant Garde" w:hAnsi="ITC Avant Garde"/>
          <w:szCs w:val="22"/>
        </w:rPr>
      </w:pPr>
      <w:r w:rsidRPr="00746B6C">
        <w:rPr>
          <w:rFonts w:ascii="ITC Avant Garde" w:hAnsi="ITC Avant Garde"/>
          <w:szCs w:val="22"/>
        </w:rPr>
        <w:t xml:space="preserve">Las contraprestaciones que Telcel deba pagar a Grupo Televisa por los servicios de interconexión solamente por lo que respecta al periodo comprendido desde la fecha en que resuelva el Instituto el presente desacuerdo y hasta el 31 de diciembre de 2015, mismas que se determinarán con base en la duración real de las llamadas, sin redondeo al minuto siguiente, debiendo para tal efecto sumar la duración de todas las llamadas completadas en el periodo de facturación correspondiente, medidas en segundos, y multiplicar los minutos equivalente a dicha suma, por la tarifa correspondiente. </w:t>
      </w:r>
    </w:p>
    <w:p w14:paraId="56867E72" w14:textId="77777777" w:rsidR="009E3CFE" w:rsidRDefault="00E12290" w:rsidP="009E3CFE">
      <w:pPr>
        <w:pStyle w:val="Prrafodelista"/>
        <w:numPr>
          <w:ilvl w:val="0"/>
          <w:numId w:val="46"/>
        </w:numPr>
        <w:spacing w:after="200" w:line="276" w:lineRule="auto"/>
        <w:rPr>
          <w:rFonts w:ascii="ITC Avant Garde" w:eastAsia="Calibri" w:hAnsi="ITC Avant Garde"/>
          <w:szCs w:val="22"/>
        </w:rPr>
      </w:pPr>
      <w:r w:rsidRPr="00746B6C">
        <w:rPr>
          <w:rFonts w:ascii="ITC Avant Garde" w:eastAsia="Calibri" w:hAnsi="ITC Avant Garde"/>
          <w:szCs w:val="22"/>
        </w:rPr>
        <w:t>La determinación de que en adición a los protocolos de interconexión a través de los cuales actualmente se cursa el tráfico entre la red de Grupo Televisa y Telcel, también se pueda realizar a través de protocolo IP entre la red del servicio fijo de Grupo Televisa y la red del servicio móvil de Telcel, en su versión SIP (Session Initiation Protocol).</w:t>
      </w:r>
    </w:p>
    <w:p w14:paraId="23AA894E" w14:textId="77777777" w:rsidR="009E3CFE" w:rsidRDefault="00E12290" w:rsidP="009E3CFE">
      <w:pPr>
        <w:jc w:val="both"/>
        <w:rPr>
          <w:rFonts w:ascii="ITC Avant Garde" w:hAnsi="ITC Avant Garde" w:cs="Arial"/>
          <w:lang w:val="es-ES"/>
        </w:rPr>
      </w:pPr>
      <w:r w:rsidRPr="00746B6C">
        <w:rPr>
          <w:rFonts w:ascii="ITC Avant Garde" w:eastAsia="Times New Roman" w:hAnsi="ITC Avant Garde"/>
        </w:rPr>
        <w:t xml:space="preserve">Ahora bien, previamente al análisis de las condiciones no convenidas, el Instituto procede, en primera instancia, a analizar específicamente las argumentaciones generales Grupo Televisa en relación con el presente procedimiento, para posteriormente resolver sobre </w:t>
      </w:r>
      <w:r w:rsidRPr="00746B6C">
        <w:rPr>
          <w:rFonts w:ascii="ITC Avant Garde" w:hAnsi="ITC Avant Garde" w:cs="Arial"/>
          <w:lang w:val="es-ES"/>
        </w:rPr>
        <w:t>aquellos puntos de desacuerdo que en materia de interconexión fueron sometidos por las partes.</w:t>
      </w:r>
    </w:p>
    <w:p w14:paraId="31D88452" w14:textId="77777777" w:rsidR="009E3CFE" w:rsidRDefault="00EC73B4" w:rsidP="009E3CFE">
      <w:pPr>
        <w:pStyle w:val="Prrafodelista"/>
        <w:numPr>
          <w:ilvl w:val="0"/>
          <w:numId w:val="47"/>
        </w:numPr>
        <w:spacing w:after="200" w:line="276" w:lineRule="auto"/>
        <w:ind w:left="426" w:hanging="426"/>
        <w:rPr>
          <w:rFonts w:ascii="ITC Avant Garde" w:hAnsi="ITC Avant Garde"/>
          <w:b/>
        </w:rPr>
      </w:pPr>
      <w:r w:rsidRPr="00746B6C">
        <w:rPr>
          <w:rFonts w:ascii="ITC Avant Garde" w:hAnsi="ITC Avant Garde"/>
          <w:b/>
        </w:rPr>
        <w:t>Improcedencia del inicio del desacuerdo de interconexión</w:t>
      </w:r>
    </w:p>
    <w:p w14:paraId="273FA969"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La apoderada legal de Grupo Televisa señala que es improcedente el procedimiento de Desacuerdo de interconexión iniciado por Telcel en virtud del Acuerdo del Sistema. </w:t>
      </w:r>
      <w:r w:rsidR="00EC634E" w:rsidRPr="00746B6C">
        <w:rPr>
          <w:rFonts w:ascii="ITC Avant Garde" w:eastAsia="Times New Roman" w:hAnsi="ITC Avant Garde"/>
          <w:lang w:eastAsia="es-ES"/>
        </w:rPr>
        <w:t>Grupo Televisa</w:t>
      </w:r>
      <w:r w:rsidRPr="00746B6C">
        <w:rPr>
          <w:rFonts w:ascii="ITC Avant Garde" w:eastAsia="Times New Roman" w:hAnsi="ITC Avant Garde"/>
          <w:lang w:eastAsia="es-ES"/>
        </w:rPr>
        <w:t xml:space="preserve"> señala que de acuerdo a lo establecido en el numeral 3.3.6, del Acuerdo del Sistema, denominado “Requisitos de la solicitud electrónica para tramitar la suscripción del convenio de interconexión o para acordar nuevas condiciones de interconexión”, Telcel no cumplió con los requisitos establecidos en dicho numeral, ya que Telcel de manera expresa y obligatoria debió elaborar un escrito, que su representante legal firmara y adjuntara en formato PDF a la solicitud planteada, violentando los principios de seguridad jurídica y debido proceso de Grupo Televisa. </w:t>
      </w:r>
    </w:p>
    <w:p w14:paraId="19B88FA1"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Asimismo, manifiesta que el incumplimiento de Telcel al Acuerdo del Sistema, en particular en no haber adjuntado el escrito debidamente firmado por su representante legal, es un hecho notorio, en términos de la jurisprudencia por reiteración XX.2º J/24,  </w:t>
      </w:r>
      <w:r w:rsidRPr="00746B6C">
        <w:rPr>
          <w:rFonts w:ascii="ITC Avant Garde" w:eastAsia="Times New Roman" w:hAnsi="ITC Avant Garde"/>
          <w:lang w:eastAsia="es-ES"/>
        </w:rPr>
        <w:lastRenderedPageBreak/>
        <w:t>señalando que dicho trámite se encuentra disponible para consulta pública en el SESI del Instituto.</w:t>
      </w:r>
    </w:p>
    <w:p w14:paraId="1334A558"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Por lo anterior, la representante legal de Grupo Televisa concluye que es procedente que el presente procedimiento se reponga en sus términos a fin de que se cumpla con lo establecido en el Acuerdo del Sistema y en lo establecido en el artículo 129 de la </w:t>
      </w:r>
      <w:r w:rsidR="00EC634E" w:rsidRPr="00746B6C">
        <w:rPr>
          <w:rFonts w:ascii="ITC Avant Garde" w:eastAsia="Times New Roman" w:hAnsi="ITC Avant Garde"/>
          <w:lang w:eastAsia="es-ES"/>
        </w:rPr>
        <w:t>LFTR</w:t>
      </w:r>
      <w:r w:rsidRPr="00746B6C">
        <w:rPr>
          <w:rFonts w:ascii="ITC Avant Garde" w:eastAsia="Times New Roman" w:hAnsi="ITC Avant Garde"/>
          <w:lang w:eastAsia="es-ES"/>
        </w:rPr>
        <w:t xml:space="preserve">, a efecto de que no se deje en estado de indefensión a su representada. </w:t>
      </w:r>
    </w:p>
    <w:p w14:paraId="5BD06362"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Por último, </w:t>
      </w:r>
      <w:r w:rsidR="00931B34" w:rsidRPr="00746B6C">
        <w:rPr>
          <w:rFonts w:ascii="ITC Avant Garde" w:eastAsia="Times New Roman" w:hAnsi="ITC Avant Garde"/>
          <w:lang w:eastAsia="es-ES"/>
        </w:rPr>
        <w:t>Grupo Televisa</w:t>
      </w:r>
      <w:r w:rsidRPr="00746B6C">
        <w:rPr>
          <w:rFonts w:ascii="ITC Avant Garde" w:eastAsia="Times New Roman" w:hAnsi="ITC Avant Garde"/>
          <w:lang w:eastAsia="es-ES"/>
        </w:rPr>
        <w:t xml:space="preserve"> menciona que el incumplimiento de Telcel viola también lo establecido en la LFPA en su artículo 19, ya que en el caso en el que no se hubiere acreditado la representación legal, tal situación debe tenerse como una causal de improcedencia y, en consecuencia, la autoridad debió prevenir a Telcel para que corrigiera la irregularidad en su inicio de negociaciones y demostrar o acreditar su personalidad y, haber procedido a desechar el inicio de negociaciones y en el caso que nos ocupa el Desacuerdo planteado por Telcel. </w:t>
      </w:r>
    </w:p>
    <w:p w14:paraId="5737A013"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Por su parte, el representante legal de Telcel señala que las manifestaciones rendidas por </w:t>
      </w:r>
      <w:r w:rsidR="00EC634E" w:rsidRPr="00746B6C">
        <w:rPr>
          <w:rFonts w:ascii="ITC Avant Garde" w:eastAsia="Times New Roman" w:hAnsi="ITC Avant Garde"/>
          <w:lang w:eastAsia="es-ES"/>
        </w:rPr>
        <w:t>Grupo Televisa</w:t>
      </w:r>
      <w:r w:rsidRPr="00746B6C">
        <w:rPr>
          <w:rFonts w:ascii="ITC Avant Garde" w:eastAsia="Times New Roman" w:hAnsi="ITC Avant Garde"/>
          <w:lang w:eastAsia="es-ES"/>
        </w:rPr>
        <w:t xml:space="preserve"> revelan su intención por que el Instituto no ejerza su facultad de rectoría en el sector de las telecomunicaciones para resolver el desacuerdo de interconexión materia del presente procedimiento, empleando al efecto argumentos sustentados en premisas inexactas, por lo que devienen en inoperantes e infundados. </w:t>
      </w:r>
    </w:p>
    <w:p w14:paraId="32AD96D2"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Manifiesta Telcel que, la interpretación del Acuerdo del Sistema realizada por</w:t>
      </w:r>
      <w:r w:rsidR="00931B34" w:rsidRPr="00746B6C">
        <w:rPr>
          <w:rFonts w:ascii="ITC Avant Garde" w:eastAsia="Times New Roman" w:hAnsi="ITC Avant Garde"/>
          <w:lang w:eastAsia="es-ES"/>
        </w:rPr>
        <w:t xml:space="preserve"> Grupo Televisa</w:t>
      </w:r>
      <w:r w:rsidRPr="00746B6C">
        <w:rPr>
          <w:rFonts w:ascii="ITC Avant Garde" w:eastAsia="Times New Roman" w:hAnsi="ITC Avant Garde"/>
          <w:lang w:eastAsia="es-ES"/>
        </w:rPr>
        <w:t xml:space="preserve"> es incorrecta, ya que dicho Acuerdo no obliga al concesionario que dé inicio a un desacuerdo a elaborar un escrito formal y físico para dicho propósito y adjuntarlo al SESI. Señala que lo que el numeral 3.3.6 del Acuerdo del Sistema establece la obligación de adjuntar aquellos escritos a través de los cuales los concesionarios hubieran entablado negociaciones posteriores al inicio del procedimiento realizado vía SESI. Cuestión que no sucedió, en virtud de la falta de interés de </w:t>
      </w:r>
      <w:r w:rsidR="00931B34" w:rsidRPr="00746B6C">
        <w:rPr>
          <w:rFonts w:ascii="ITC Avant Garde" w:eastAsia="Times New Roman" w:hAnsi="ITC Avant Garde"/>
          <w:lang w:eastAsia="es-ES"/>
        </w:rPr>
        <w:t>Grupo Televisa.</w:t>
      </w:r>
    </w:p>
    <w:p w14:paraId="6B602826"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Continúa Telcel señalando que, si la intención del órgano regulador hubiese sido que el acto que detona el proceso de negociación, es decir, el escrito de solicitud de inicio, debe adjuntarse en archivo digital en formato PDF, firmado por el representante legal del concesionario solicitante, así lo habría expresado en el Acuerdo, pero no fue esa la determinación del Instituto, por lo que deben estimarse como infundados los argumentos de procedencia planteados por </w:t>
      </w:r>
      <w:r w:rsidR="00931B34" w:rsidRPr="00746B6C">
        <w:rPr>
          <w:rFonts w:ascii="ITC Avant Garde" w:eastAsia="Times New Roman" w:hAnsi="ITC Avant Garde"/>
          <w:lang w:eastAsia="es-ES"/>
        </w:rPr>
        <w:t>Grupo Televisa.</w:t>
      </w:r>
    </w:p>
    <w:p w14:paraId="5800F671"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Al respecto, haciendo referencia al Considerando Tercero y el apartado número 4 del Acuerdo del Sistema, así como el artículo 129 de la LFTR, Telcel argumenta que el Acuerdo del Sistema fue emitido con el objetivo de implementar una herramienta informática y simplificada, dotada de medidas de seguridad y validación de usuario, </w:t>
      </w:r>
      <w:r w:rsidRPr="00746B6C">
        <w:rPr>
          <w:rFonts w:ascii="ITC Avant Garde" w:eastAsia="Times New Roman" w:hAnsi="ITC Avant Garde"/>
          <w:lang w:eastAsia="es-ES"/>
        </w:rPr>
        <w:lastRenderedPageBreak/>
        <w:t xml:space="preserve">y que la parte solicitada sea sabedora de las peticiones o solicitudes de su contraparte.  </w:t>
      </w:r>
    </w:p>
    <w:p w14:paraId="380FF603"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Telcel manifiesta que dio inicio al presente procedimiento mediante los estándares de simplificación regu</w:t>
      </w:r>
      <w:r w:rsidR="00931B34" w:rsidRPr="00746B6C">
        <w:rPr>
          <w:rFonts w:ascii="ITC Avant Garde" w:eastAsia="Times New Roman" w:hAnsi="ITC Avant Garde"/>
          <w:lang w:eastAsia="es-ES"/>
        </w:rPr>
        <w:t>latoria establecidos por la LFT</w:t>
      </w:r>
      <w:r w:rsidRPr="00746B6C">
        <w:rPr>
          <w:rFonts w:ascii="ITC Avant Garde" w:eastAsia="Times New Roman" w:hAnsi="ITC Avant Garde"/>
          <w:lang w:eastAsia="es-ES"/>
        </w:rPr>
        <w:t xml:space="preserve">R y el Acuerdo del Sistema, dando aviso a </w:t>
      </w:r>
      <w:r w:rsidR="00EC634E" w:rsidRPr="00746B6C">
        <w:rPr>
          <w:rFonts w:ascii="ITC Avant Garde" w:eastAsia="Times New Roman" w:hAnsi="ITC Avant Garde"/>
          <w:lang w:eastAsia="es-ES"/>
        </w:rPr>
        <w:t>Grupo Televisa</w:t>
      </w:r>
      <w:r w:rsidRPr="00746B6C">
        <w:rPr>
          <w:rFonts w:ascii="ITC Avant Garde" w:eastAsia="Times New Roman" w:hAnsi="ITC Avant Garde"/>
          <w:lang w:eastAsia="es-ES"/>
        </w:rPr>
        <w:t xml:space="preserve"> con quien resulta necesario establecer condiciones de interconexión aplicables a los años 2015 y 2016, por medio de la herramienta remota implementada por dicho Instituto y a través de su representante legal, cuya legitimación se encuentra previamente validada por el Instituto, de conformidad con las condiciones contenidas en los numerales 2.3 a 2.6 del Acuerdo del Sistema. </w:t>
      </w:r>
    </w:p>
    <w:p w14:paraId="3CDB3C02" w14:textId="77777777" w:rsidR="009E3CFE" w:rsidRDefault="00EC73B4"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Concluye Telcel que resulta infunda la petición de </w:t>
      </w:r>
      <w:r w:rsidR="00931B34" w:rsidRPr="00746B6C">
        <w:rPr>
          <w:rFonts w:ascii="ITC Avant Garde" w:eastAsia="Times New Roman" w:hAnsi="ITC Avant Garde"/>
          <w:lang w:eastAsia="es-ES"/>
        </w:rPr>
        <w:t>Grupo Televisa</w:t>
      </w:r>
      <w:r w:rsidRPr="00746B6C">
        <w:rPr>
          <w:rFonts w:ascii="ITC Avant Garde" w:eastAsia="Times New Roman" w:hAnsi="ITC Avant Garde"/>
          <w:lang w:eastAsia="es-ES"/>
        </w:rPr>
        <w:t xml:space="preserve">, en el sentido de solicitar que el procedimiento se reponga, toda vez que contrariamente a su pretensión, Telcel cumplió con los lineamientos prescritos en el Acuerdo del Sistema y en el artículo 129 de la </w:t>
      </w:r>
      <w:r w:rsidR="00EC634E" w:rsidRPr="00746B6C">
        <w:rPr>
          <w:rFonts w:ascii="ITC Avant Garde" w:eastAsia="Times New Roman" w:hAnsi="ITC Avant Garde"/>
          <w:lang w:eastAsia="es-ES"/>
        </w:rPr>
        <w:t>LFTR</w:t>
      </w:r>
      <w:r w:rsidRPr="00746B6C">
        <w:rPr>
          <w:rFonts w:ascii="ITC Avant Garde" w:eastAsia="Times New Roman" w:hAnsi="ITC Avant Garde"/>
          <w:lang w:eastAsia="es-ES"/>
        </w:rPr>
        <w:t xml:space="preserve"> para solicitar el inicio de negociaciones. </w:t>
      </w:r>
    </w:p>
    <w:p w14:paraId="48D92369" w14:textId="77777777" w:rsidR="009E3CFE" w:rsidRDefault="00EC73B4" w:rsidP="009E3CFE">
      <w:pPr>
        <w:jc w:val="both"/>
        <w:rPr>
          <w:rFonts w:ascii="ITC Avant Garde" w:eastAsia="Times New Roman" w:hAnsi="ITC Avant Garde"/>
          <w:b/>
          <w:lang w:eastAsia="es-ES"/>
        </w:rPr>
      </w:pPr>
      <w:r w:rsidRPr="00746B6C">
        <w:rPr>
          <w:rFonts w:ascii="ITC Avant Garde" w:eastAsia="Times New Roman" w:hAnsi="ITC Avant Garde"/>
          <w:b/>
          <w:lang w:eastAsia="es-ES"/>
        </w:rPr>
        <w:t>Consideraciones del Instituto</w:t>
      </w:r>
    </w:p>
    <w:p w14:paraId="50179BF4" w14:textId="2594053C" w:rsidR="009E3CFE" w:rsidRDefault="00EC73B4" w:rsidP="009E3CFE">
      <w:pPr>
        <w:jc w:val="both"/>
        <w:rPr>
          <w:rFonts w:ascii="ITC Avant Garde" w:hAnsi="ITC Avant Garde" w:cs="Arial"/>
        </w:rPr>
      </w:pPr>
      <w:r w:rsidRPr="00746B6C">
        <w:rPr>
          <w:rFonts w:ascii="ITC Avant Garde" w:hAnsi="ITC Avant Garde" w:cs="Arial"/>
        </w:rPr>
        <w:t xml:space="preserve">Las manifestaciones de </w:t>
      </w:r>
      <w:r w:rsidR="00C36C17" w:rsidRPr="00746B6C">
        <w:rPr>
          <w:rFonts w:ascii="ITC Avant Garde" w:hAnsi="ITC Avant Garde" w:cs="Arial"/>
        </w:rPr>
        <w:t>Grupo Televisa</w:t>
      </w:r>
      <w:r w:rsidRPr="00746B6C">
        <w:rPr>
          <w:rFonts w:ascii="ITC Avant Garde" w:hAnsi="ITC Avant Garde" w:cs="Arial"/>
        </w:rPr>
        <w:t xml:space="preserve"> resultan inoperantes por infundadas toda vez que la solicitud presentada por Telcel cumple con los requisitos establecidos en el marco normativo vigente, esto es, lo estableci</w:t>
      </w:r>
      <w:r w:rsidR="00C36C17" w:rsidRPr="00746B6C">
        <w:rPr>
          <w:rFonts w:ascii="ITC Avant Garde" w:hAnsi="ITC Avant Garde" w:cs="Arial"/>
        </w:rPr>
        <w:t>do en el artículo 129 de la LFT</w:t>
      </w:r>
      <w:r w:rsidRPr="00746B6C">
        <w:rPr>
          <w:rFonts w:ascii="ITC Avant Garde" w:hAnsi="ITC Avant Garde" w:cs="Arial"/>
        </w:rPr>
        <w:t xml:space="preserve">R es decir: que el solicitante del desacuerdo de interconexión sea concesionario de red pública de telecomunicaciones, que la persona a quien se le solicitaron las negociaciones sea concesionario de red pública de telecomunicaciones, y esté registrado en el SESI, que haya transcurrido el plazo de 60 días naturales para las negociaciones en el SESI, </w:t>
      </w:r>
      <w:r w:rsidRPr="00746B6C">
        <w:rPr>
          <w:rFonts w:asciiTheme="minorHAnsi" w:eastAsiaTheme="minorEastAsia" w:cs="Arial"/>
          <w:kern w:val="24"/>
          <w:sz w:val="36"/>
          <w:szCs w:val="36"/>
          <w:lang w:eastAsia="es-MX"/>
        </w:rPr>
        <w:t xml:space="preserve"> </w:t>
      </w:r>
      <w:r w:rsidRPr="00746B6C">
        <w:rPr>
          <w:rFonts w:ascii="ITC Avant Garde" w:hAnsi="ITC Avant Garde" w:cs="Arial"/>
        </w:rPr>
        <w:t>que la solicitud haya sido presentada dentro los 45 días hábiles contados a partir del día hábil siguiente al en que hubiere concluido el plazo anterior y, que los términos, tarifas y condiciones se hay</w:t>
      </w:r>
      <w:r w:rsidR="007130F8">
        <w:rPr>
          <w:rFonts w:ascii="ITC Avant Garde" w:hAnsi="ITC Avant Garde" w:cs="Arial"/>
        </w:rPr>
        <w:t>an negociado a través del SESI.</w:t>
      </w:r>
    </w:p>
    <w:p w14:paraId="46399BB1" w14:textId="77777777" w:rsidR="009E3CFE" w:rsidRDefault="00EC73B4" w:rsidP="009E3CFE">
      <w:pPr>
        <w:jc w:val="both"/>
        <w:rPr>
          <w:rFonts w:ascii="ITC Avant Garde" w:hAnsi="ITC Avant Garde" w:cs="Arial"/>
        </w:rPr>
      </w:pPr>
      <w:r w:rsidRPr="00746B6C">
        <w:rPr>
          <w:rFonts w:ascii="ITC Avant Garde" w:hAnsi="ITC Avant Garde" w:cs="Arial"/>
        </w:rPr>
        <w:t xml:space="preserve">De igual manera, las negociaciones realizadas en el SESI deben de cumplir con lo establecido del Acuerdo del Sistema, sin embargo, respecto del requisito que a decir de </w:t>
      </w:r>
      <w:r w:rsidR="005B55EB" w:rsidRPr="00746B6C">
        <w:rPr>
          <w:rFonts w:ascii="ITC Avant Garde" w:hAnsi="ITC Avant Garde" w:cs="Arial"/>
        </w:rPr>
        <w:t>Grupo Televisa</w:t>
      </w:r>
      <w:r w:rsidRPr="00746B6C">
        <w:rPr>
          <w:rFonts w:ascii="ITC Avant Garde" w:hAnsi="ITC Avant Garde" w:cs="Arial"/>
        </w:rPr>
        <w:t xml:space="preserve"> fue omitido por Telcel, esto es el cumplimiento del numeral 3.3.6 ya que no presenta ningún documento firmado por el representante legal, este Instituto señala que de conformidad con el numeral 3 del Acuerdo del  Sistema la solicitud es electrónica, por lo que el inicio de negociaciones y las negociaciones subsecuentes pueden llevarse a cabo enteramente de manera electrónica, por lo que la inclusión de escritos de negociaciones es opcional; no obstante, cuando estos se incluyen deben venir firmados por el representante legal.</w:t>
      </w:r>
    </w:p>
    <w:p w14:paraId="21BC9912" w14:textId="77777777" w:rsidR="009E3CFE" w:rsidRDefault="00EC73B4" w:rsidP="009E3CFE">
      <w:pPr>
        <w:jc w:val="both"/>
        <w:rPr>
          <w:rFonts w:ascii="ITC Avant Garde" w:hAnsi="ITC Avant Garde" w:cs="Arial"/>
          <w:bCs/>
        </w:rPr>
      </w:pPr>
      <w:r w:rsidRPr="00746B6C">
        <w:rPr>
          <w:rFonts w:ascii="ITC Avant Garde" w:hAnsi="ITC Avant Garde" w:cs="Arial"/>
        </w:rPr>
        <w:t xml:space="preserve">Lo anterior toda vez que en la </w:t>
      </w:r>
      <w:r w:rsidRPr="00746B6C">
        <w:rPr>
          <w:rFonts w:ascii="ITC Avant Garde" w:hAnsi="ITC Avant Garde" w:cs="Arial"/>
          <w:bCs/>
        </w:rPr>
        <w:t xml:space="preserve">pantalla del SESI quedó acreditado que Telcel señaló expresamente lo siguiente: </w:t>
      </w:r>
      <w:r w:rsidRPr="00746B6C">
        <w:rPr>
          <w:rFonts w:ascii="ITC Avant Garde" w:hAnsi="ITC Avant Garde" w:cs="Arial"/>
          <w:bCs/>
          <w:i/>
        </w:rPr>
        <w:t xml:space="preserve">“…formalmente les solicitamos llevar a cabo las negociaciones para acordar las tarifas de interconexión que Telcel deberá pagar por </w:t>
      </w:r>
      <w:r w:rsidRPr="00746B6C">
        <w:rPr>
          <w:rFonts w:ascii="ITC Avant Garde" w:hAnsi="ITC Avant Garde" w:cs="Arial"/>
          <w:bCs/>
          <w:i/>
        </w:rPr>
        <w:lastRenderedPageBreak/>
        <w:t>servicios de terminación de tráfico público conmutado en la red pública de telecomunicaciones de su representada durante el periodo comprendido del 1° de enero al 31 de diciembre de 2015 y del 1° de enero al 31 de diciembre de 2016.  …”</w:t>
      </w:r>
      <w:r w:rsidRPr="00746B6C">
        <w:rPr>
          <w:rFonts w:ascii="ITC Avant Garde" w:hAnsi="ITC Avant Garde" w:cs="Arial"/>
          <w:bCs/>
        </w:rPr>
        <w:t>, por lo que resulta claro para este Instituto que Telcel indicó claramente cuál era el servicio de interconexión objeto de la negociación.</w:t>
      </w:r>
    </w:p>
    <w:p w14:paraId="1A933176" w14:textId="77777777" w:rsidR="009E3CFE" w:rsidRDefault="00EC73B4" w:rsidP="009E3CFE">
      <w:pPr>
        <w:jc w:val="both"/>
        <w:rPr>
          <w:rFonts w:ascii="ITC Avant Garde" w:hAnsi="ITC Avant Garde" w:cs="Arial"/>
        </w:rPr>
      </w:pPr>
      <w:r w:rsidRPr="00746B6C">
        <w:rPr>
          <w:rFonts w:ascii="ITC Avant Garde" w:hAnsi="ITC Avant Garde" w:cs="Arial"/>
        </w:rPr>
        <w:t xml:space="preserve">La anterior verificación permite al Instituto que al pronunciarse sobre la </w:t>
      </w:r>
      <w:r w:rsidRPr="00746B6C">
        <w:rPr>
          <w:rFonts w:ascii="ITC Avant Garde" w:hAnsi="ITC Avant Garde" w:cs="Arial"/>
          <w:bCs/>
        </w:rPr>
        <w:t xml:space="preserve">procedencia y admisión de la solicitud de resolución, </w:t>
      </w:r>
      <w:r w:rsidRPr="00746B6C">
        <w:rPr>
          <w:rFonts w:ascii="ITC Avant Garde" w:hAnsi="ITC Avant Garde" w:cs="Arial"/>
        </w:rPr>
        <w:t>se</w:t>
      </w:r>
      <w:r w:rsidRPr="00746B6C">
        <w:rPr>
          <w:rFonts w:ascii="ITC Avant Garde" w:hAnsi="ITC Avant Garde" w:cs="Arial"/>
          <w:bCs/>
        </w:rPr>
        <w:t xml:space="preserve"> </w:t>
      </w:r>
      <w:r w:rsidRPr="00746B6C">
        <w:rPr>
          <w:rFonts w:ascii="ITC Avant Garde" w:hAnsi="ITC Avant Garde" w:cs="Arial"/>
        </w:rPr>
        <w:t>cumpla con la hipótesis normativa que establece el artículo 129 de la LFTR, en el sentido de que:</w:t>
      </w:r>
    </w:p>
    <w:p w14:paraId="49570C50" w14:textId="5B490009" w:rsidR="00EC73B4" w:rsidRPr="00746B6C" w:rsidRDefault="00EC73B4" w:rsidP="009E3CFE">
      <w:pPr>
        <w:numPr>
          <w:ilvl w:val="0"/>
          <w:numId w:val="48"/>
        </w:numPr>
        <w:tabs>
          <w:tab w:val="clear" w:pos="720"/>
          <w:tab w:val="num" w:pos="567"/>
        </w:tabs>
        <w:ind w:left="567"/>
        <w:jc w:val="both"/>
        <w:rPr>
          <w:rFonts w:ascii="ITC Avant Garde" w:hAnsi="ITC Avant Garde" w:cs="Arial"/>
        </w:rPr>
      </w:pPr>
      <w:r w:rsidRPr="00746B6C">
        <w:rPr>
          <w:rFonts w:ascii="ITC Avant Garde" w:hAnsi="ITC Avant Garde" w:cs="Arial"/>
        </w:rPr>
        <w:t>Se tiene plena certeza de quien es el concesionario solicitante.</w:t>
      </w:r>
    </w:p>
    <w:p w14:paraId="2B8043FD" w14:textId="77777777" w:rsidR="00EC73B4" w:rsidRPr="00746B6C" w:rsidRDefault="00EC73B4" w:rsidP="009E3CFE">
      <w:pPr>
        <w:numPr>
          <w:ilvl w:val="0"/>
          <w:numId w:val="48"/>
        </w:numPr>
        <w:tabs>
          <w:tab w:val="clear" w:pos="720"/>
          <w:tab w:val="num" w:pos="567"/>
        </w:tabs>
        <w:ind w:left="567"/>
        <w:jc w:val="both"/>
        <w:rPr>
          <w:rFonts w:ascii="ITC Avant Garde" w:hAnsi="ITC Avant Garde" w:cs="Arial"/>
        </w:rPr>
      </w:pPr>
      <w:r w:rsidRPr="00746B6C">
        <w:rPr>
          <w:rFonts w:ascii="ITC Avant Garde" w:hAnsi="ITC Avant Garde" w:cs="Arial"/>
        </w:rPr>
        <w:t>Se tiene plena certeza de quien es el concesionario solicitado.</w:t>
      </w:r>
    </w:p>
    <w:p w14:paraId="72BCFC1A" w14:textId="77777777" w:rsidR="00EC73B4" w:rsidRPr="00746B6C" w:rsidRDefault="00EC73B4" w:rsidP="009E3CFE">
      <w:pPr>
        <w:numPr>
          <w:ilvl w:val="0"/>
          <w:numId w:val="48"/>
        </w:numPr>
        <w:tabs>
          <w:tab w:val="clear" w:pos="720"/>
          <w:tab w:val="num" w:pos="567"/>
        </w:tabs>
        <w:ind w:left="567"/>
        <w:jc w:val="both"/>
        <w:rPr>
          <w:rFonts w:ascii="ITC Avant Garde" w:hAnsi="ITC Avant Garde" w:cs="Arial"/>
        </w:rPr>
      </w:pPr>
      <w:r w:rsidRPr="00746B6C">
        <w:rPr>
          <w:rFonts w:ascii="ITC Avant Garde" w:hAnsi="ITC Avant Garde" w:cs="Arial"/>
        </w:rPr>
        <w:t>Se acredita fehacientemente cuáles fueron las condiciones de interconexión no convenidas.</w:t>
      </w:r>
    </w:p>
    <w:p w14:paraId="57205E51" w14:textId="77777777" w:rsidR="00EC73B4" w:rsidRPr="00746B6C" w:rsidRDefault="00EC73B4" w:rsidP="009E3CFE">
      <w:pPr>
        <w:numPr>
          <w:ilvl w:val="0"/>
          <w:numId w:val="48"/>
        </w:numPr>
        <w:tabs>
          <w:tab w:val="clear" w:pos="720"/>
          <w:tab w:val="num" w:pos="567"/>
        </w:tabs>
        <w:ind w:left="567"/>
        <w:jc w:val="both"/>
        <w:rPr>
          <w:rFonts w:ascii="ITC Avant Garde" w:hAnsi="ITC Avant Garde" w:cs="Arial"/>
        </w:rPr>
      </w:pPr>
      <w:r w:rsidRPr="00746B6C">
        <w:rPr>
          <w:rFonts w:ascii="ITC Avant Garde" w:hAnsi="ITC Avant Garde" w:cs="Arial"/>
        </w:rPr>
        <w:t>Se tiene certeza de la temporalidad en la aplicación de las condiciones no convenidas, en particular de la tarifa de interconexión.</w:t>
      </w:r>
    </w:p>
    <w:p w14:paraId="0FCF206C" w14:textId="77777777" w:rsidR="00EC73B4" w:rsidRPr="00746B6C" w:rsidRDefault="00EC73B4" w:rsidP="009E3CFE">
      <w:pPr>
        <w:numPr>
          <w:ilvl w:val="0"/>
          <w:numId w:val="48"/>
        </w:numPr>
        <w:tabs>
          <w:tab w:val="clear" w:pos="720"/>
          <w:tab w:val="num" w:pos="567"/>
        </w:tabs>
        <w:ind w:left="567"/>
        <w:jc w:val="both"/>
        <w:rPr>
          <w:rFonts w:ascii="ITC Avant Garde" w:hAnsi="ITC Avant Garde" w:cs="Arial"/>
        </w:rPr>
      </w:pPr>
      <w:r w:rsidRPr="00746B6C">
        <w:rPr>
          <w:rFonts w:ascii="ITC Avant Garde" w:hAnsi="ITC Avant Garde" w:cs="Arial"/>
        </w:rPr>
        <w:t xml:space="preserve">Se acredita fehacientemente que se realizaron negociaciones entre concesionarios y que las mismas </w:t>
      </w:r>
      <w:r w:rsidRPr="00746B6C">
        <w:rPr>
          <w:rFonts w:ascii="ITC Avant Garde" w:hAnsi="ITC Avant Garde" w:cs="Arial"/>
          <w:bCs/>
        </w:rPr>
        <w:t>se llevaron a cabo a través del sistema en los términos que prevé la ley</w:t>
      </w:r>
      <w:r w:rsidRPr="00746B6C">
        <w:rPr>
          <w:rFonts w:ascii="ITC Avant Garde" w:hAnsi="ITC Avant Garde" w:cs="Arial"/>
        </w:rPr>
        <w:t>.</w:t>
      </w:r>
    </w:p>
    <w:p w14:paraId="13FA4044" w14:textId="77777777" w:rsidR="009E3CFE" w:rsidRDefault="00EC73B4" w:rsidP="009E3CFE">
      <w:pPr>
        <w:numPr>
          <w:ilvl w:val="0"/>
          <w:numId w:val="48"/>
        </w:numPr>
        <w:tabs>
          <w:tab w:val="clear" w:pos="720"/>
          <w:tab w:val="num" w:pos="567"/>
        </w:tabs>
        <w:ind w:left="567"/>
        <w:jc w:val="both"/>
        <w:rPr>
          <w:rFonts w:ascii="ITC Avant Garde" w:hAnsi="ITC Avant Garde" w:cs="Arial"/>
        </w:rPr>
      </w:pPr>
      <w:r w:rsidRPr="00746B6C">
        <w:rPr>
          <w:rFonts w:ascii="ITC Avant Garde" w:hAnsi="ITC Avant Garde" w:cs="Arial"/>
        </w:rPr>
        <w:t>Se tiene certeza que se cumplió con el plazo de 60 días naturales para las negociaciones, y los 45 días hábiles para ingresar la solicitud de resolución ante el Instituto.</w:t>
      </w:r>
    </w:p>
    <w:p w14:paraId="0BBECA71" w14:textId="77777777" w:rsidR="009E3CFE" w:rsidRDefault="00EC73B4" w:rsidP="009E3CFE">
      <w:pPr>
        <w:jc w:val="both"/>
        <w:rPr>
          <w:rFonts w:ascii="ITC Avant Garde" w:eastAsia="Times New Roman" w:hAnsi="ITC Avant Garde"/>
          <w:szCs w:val="24"/>
          <w:lang w:eastAsia="es-ES"/>
        </w:rPr>
      </w:pPr>
      <w:r w:rsidRPr="00746B6C">
        <w:rPr>
          <w:rFonts w:ascii="ITC Avant Garde" w:eastAsia="Times New Roman" w:hAnsi="ITC Avant Garde"/>
          <w:szCs w:val="24"/>
          <w:lang w:eastAsia="es-ES"/>
        </w:rPr>
        <w:t xml:space="preserve">Lo anterior es consistente con lo señalado en el último párrafo del artículo 129 de la LFTR, en el sentido de que es obligación del Instituto favorecer </w:t>
      </w:r>
      <w:r w:rsidRPr="00746B6C">
        <w:rPr>
          <w:rFonts w:ascii="ITC Avant Garde" w:eastAsia="Times New Roman" w:hAnsi="ITC Avant Garde"/>
          <w:szCs w:val="24"/>
          <w:u w:val="single"/>
          <w:lang w:eastAsia="es-ES"/>
        </w:rPr>
        <w:t>la pronta y efectiva interconexión entre redes públicas de telecomunicaciones por lo que el procedimiento administrativo debió desahogarse en forma transparente, pronta, expedita y deben evitarse actuaciones procesales que tengan como consecuencia retrasar la interconexión efectiva entre redes públicas de telecomunicaciones o las condiciones no convenidas que permitan la prestación de los servicios públicos de telecomunicaciones.</w:t>
      </w:r>
    </w:p>
    <w:p w14:paraId="277D5994" w14:textId="77777777" w:rsidR="009E3CFE" w:rsidRDefault="006934AA" w:rsidP="009E3CFE">
      <w:pPr>
        <w:jc w:val="both"/>
        <w:rPr>
          <w:rFonts w:ascii="ITC Avant Garde" w:eastAsia="Times New Roman" w:hAnsi="ITC Avant Garde"/>
          <w:lang w:eastAsia="es-ES"/>
        </w:rPr>
      </w:pPr>
      <w:r w:rsidRPr="00746B6C">
        <w:rPr>
          <w:rFonts w:ascii="ITC Avant Garde" w:eastAsia="Times New Roman" w:hAnsi="ITC Avant Garde"/>
          <w:lang w:eastAsia="es-ES"/>
        </w:rPr>
        <w:t>Una vez analizadas las manifestaciones generales de Grupo Televisa, en términos del artículo 129 de la LFTR se procede a resolver sobre las condiciones no convenidas.</w:t>
      </w:r>
    </w:p>
    <w:p w14:paraId="192654AA" w14:textId="77777777" w:rsidR="009E3CFE" w:rsidRDefault="00B7738A" w:rsidP="009E3CFE">
      <w:pPr>
        <w:pStyle w:val="Prrafodelista"/>
        <w:numPr>
          <w:ilvl w:val="0"/>
          <w:numId w:val="33"/>
        </w:numPr>
        <w:spacing w:after="200" w:line="276" w:lineRule="auto"/>
        <w:ind w:left="284" w:hanging="284"/>
        <w:rPr>
          <w:rFonts w:ascii="ITC Avant Garde" w:hAnsi="ITC Avant Garde" w:cs="Arial"/>
          <w:b/>
        </w:rPr>
      </w:pPr>
      <w:r w:rsidRPr="00746B6C">
        <w:rPr>
          <w:rFonts w:ascii="ITC Avant Garde" w:hAnsi="ITC Avant Garde" w:cs="Arial"/>
          <w:b/>
        </w:rPr>
        <w:t>Tarifas de interconexión para los ejercicios 2015 y 2016.</w:t>
      </w:r>
    </w:p>
    <w:p w14:paraId="5D34E492" w14:textId="77777777" w:rsidR="009E3CFE" w:rsidRDefault="0054738F" w:rsidP="009E3CFE">
      <w:pPr>
        <w:jc w:val="both"/>
        <w:rPr>
          <w:rFonts w:ascii="ITC Avant Garde" w:eastAsia="Times New Roman" w:hAnsi="ITC Avant Garde"/>
          <w:b/>
          <w:szCs w:val="24"/>
          <w:lang w:eastAsia="es-ES"/>
        </w:rPr>
      </w:pPr>
      <w:r w:rsidRPr="00746B6C">
        <w:rPr>
          <w:rFonts w:ascii="ITC Avant Garde" w:eastAsia="Times New Roman" w:hAnsi="ITC Avant Garde"/>
          <w:b/>
          <w:szCs w:val="24"/>
          <w:lang w:eastAsia="es-ES"/>
        </w:rPr>
        <w:t xml:space="preserve">Argumentos de las partes </w:t>
      </w:r>
    </w:p>
    <w:p w14:paraId="77488821" w14:textId="77777777" w:rsidR="009E3CFE" w:rsidRDefault="00875011" w:rsidP="009E3CFE">
      <w:pPr>
        <w:jc w:val="both"/>
        <w:rPr>
          <w:rFonts w:ascii="ITC Avant Garde" w:eastAsia="Times New Roman" w:hAnsi="ITC Avant Garde"/>
          <w:lang w:eastAsia="es-ES"/>
        </w:rPr>
      </w:pPr>
      <w:r w:rsidRPr="00746B6C">
        <w:rPr>
          <w:rFonts w:ascii="ITC Avant Garde" w:eastAsia="Times New Roman" w:hAnsi="ITC Avant Garde"/>
          <w:lang w:eastAsia="es-ES"/>
        </w:rPr>
        <w:lastRenderedPageBreak/>
        <w:t>Respecto de la petición de Telcel sobre que se determine la tarifa de interconexión para el periodo del 1 de enero de 2015 al 31 de diciembre de 2015 y 1 de enero de 2016 al 31 de diciembre de 2016, Grupo Televisa señaló que las contraprestaciones que Telcel deba pagarle por los servicios de interconexión sea solamente por lo que respecta al periodo comprendido desde la fecha en que resuelva el Instituto el presente desacuerdo y hasta el 31 de diciembre de 2015.</w:t>
      </w:r>
    </w:p>
    <w:p w14:paraId="44E03291" w14:textId="77777777" w:rsidR="009E3CFE" w:rsidRDefault="00875011"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Asimismo, señala </w:t>
      </w:r>
      <w:r w:rsidR="00EC634E" w:rsidRPr="00746B6C">
        <w:rPr>
          <w:rFonts w:ascii="ITC Avant Garde" w:eastAsia="Times New Roman" w:hAnsi="ITC Avant Garde"/>
          <w:lang w:eastAsia="es-ES"/>
        </w:rPr>
        <w:t>Grupo Televisa</w:t>
      </w:r>
      <w:r w:rsidRPr="00746B6C">
        <w:rPr>
          <w:rFonts w:ascii="ITC Avant Garde" w:eastAsia="Times New Roman" w:hAnsi="ITC Avant Garde"/>
          <w:lang w:eastAsia="es-ES"/>
        </w:rPr>
        <w:t xml:space="preserve"> que la tarifa de interconexión deberá de ser acorde con lo establecido en el artículo 131 de la LFTR y con las mejores prácticas internacionales actuales; esto es, acorde con las “asimetrías naturales de las redes”, considerando la participación de mercado y la declaratoria de Agente Económico Preponderante de Telcel.</w:t>
      </w:r>
    </w:p>
    <w:p w14:paraId="0145EC5C" w14:textId="77777777" w:rsidR="009E3CFE" w:rsidRDefault="00875011"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Por su parte, Telcel solicitó que la tarifa que fije el Instituto efectivamente comprenda el periodo que se sujetó a desacuerdo, esto es, del 1º de enero al 31 de diciembre de 2015 y del 1º de enero de 2016 al 31 de diciembre de 2016. </w:t>
      </w:r>
    </w:p>
    <w:p w14:paraId="153EC265" w14:textId="77777777" w:rsidR="009E3CFE" w:rsidRDefault="00875011" w:rsidP="009E3CFE">
      <w:pPr>
        <w:jc w:val="both"/>
        <w:rPr>
          <w:rFonts w:ascii="ITC Avant Garde" w:eastAsia="Times New Roman" w:hAnsi="ITC Avant Garde"/>
          <w:lang w:eastAsia="es-ES"/>
        </w:rPr>
      </w:pPr>
      <w:r w:rsidRPr="00746B6C">
        <w:rPr>
          <w:rFonts w:ascii="ITC Avant Garde" w:eastAsia="Times New Roman" w:hAnsi="ITC Avant Garde"/>
          <w:lang w:eastAsia="es-ES"/>
        </w:rPr>
        <w:t>En sus alegatos el representante legal de Telcel señala que el Instituto cuenta con facultades para resolver los desacuerdos que se susciten para el año 2016, como lo señala Grupo Televisa en su escrito de manifestaciones. Señala que la Metodología de Costos dispone en el párrafo segundo de su numeral Décimo Tercero que, si bien los resultados del Modelo de Costos del Servicios de Interconexión relevante tendrán vigencia del 1º de enero al 31 de diciembre de cada año, no menos es cierto que el Instituto, a petición de las partes que sometan a consideración de éste el desacuerdo de interconexión de que se trate, podrá resolver tarifas para los Servicios de Interconexión para periodos multianuales.</w:t>
      </w:r>
    </w:p>
    <w:p w14:paraId="58EFC239" w14:textId="77777777" w:rsidR="009E3CFE" w:rsidRDefault="00875011" w:rsidP="009E3CFE">
      <w:pPr>
        <w:jc w:val="both"/>
        <w:rPr>
          <w:rFonts w:ascii="ITC Avant Garde" w:eastAsia="Times New Roman" w:hAnsi="ITC Avant Garde"/>
          <w:lang w:eastAsia="es-ES"/>
        </w:rPr>
      </w:pPr>
      <w:r w:rsidRPr="00746B6C">
        <w:rPr>
          <w:rFonts w:ascii="ITC Avant Garde" w:eastAsia="Times New Roman" w:hAnsi="ITC Avant Garde"/>
          <w:lang w:eastAsia="es-ES"/>
        </w:rPr>
        <w:t>Asimismo, Telcel señala que el Acuerdo de Tarifas 2015 incorpora en su Considerando Tercero el contenido de la Metodología de Costos. Este instrumento establece en su artículo Primero Transitorio que la Metodología de Costos incluirá un factor de gradualidad para el periodo 2015. Además, en su considerando Quinto y en referencia a dicho factor de gradualidad, destaca que su fin es otorgar certeza a los concesionarios en el sentido de que al tener conocimiento de la evolución que tendrán en el futuro las tarifas de interconexión que estarán vigentes para la autoridad reguladora, podrán tomar las previsiones necesarias para ajustar sus planes de negocios y comerciales ante el nuevo entorno regulatorio. Asimismo, refiere que el año 2015 es considerado como un periodo de transición -debido a la entrada de un nuevo entorno regulatorio- por lo que para la determinación de la tarifa de interconexión se deberá aplicar un factor de gradualidad que consiste en un margen adicional sobre el costo calculado con base la metodología CILP puro, mientras que a partir del 1 de enero de 2016 la tarifa será indubitablemente igual al costo determinado con base en el CILP puro, sin añadir un margen adicional de gradualidad.</w:t>
      </w:r>
    </w:p>
    <w:p w14:paraId="321EBF35" w14:textId="77777777" w:rsidR="009E3CFE" w:rsidRDefault="00875011" w:rsidP="009E3CFE">
      <w:pPr>
        <w:jc w:val="both"/>
        <w:rPr>
          <w:rFonts w:ascii="ITC Avant Garde" w:eastAsia="Times New Roman" w:hAnsi="ITC Avant Garde"/>
          <w:lang w:eastAsia="es-ES"/>
        </w:rPr>
      </w:pPr>
      <w:r w:rsidRPr="00746B6C">
        <w:rPr>
          <w:rFonts w:ascii="ITC Avant Garde" w:eastAsia="Times New Roman" w:hAnsi="ITC Avant Garde"/>
          <w:lang w:eastAsia="es-ES"/>
        </w:rPr>
        <w:lastRenderedPageBreak/>
        <w:t xml:space="preserve">Telcel concluye que, de las consideraciones apuntadas, el Instituto cuenta con los elementos técnicos y económicos necesarios para resolver no solamente las tarifas del periodo 2015, sino también las del periodo 2016, siendo que el hecho de que el Acuerdo de Tarifas 2015 prevea de manera expresa el monto de las tarifas aplicables para el año 2015, no es obstáculo para que el Instituto se pronuncie sobre tarifas multianuales, exceptuando la aplicación del factor de gradualidad para el periodo que trascienda al 2015. </w:t>
      </w:r>
    </w:p>
    <w:p w14:paraId="131E4BF8" w14:textId="77777777" w:rsidR="009E3CFE" w:rsidRDefault="00875011" w:rsidP="009E3CFE">
      <w:pPr>
        <w:widowControl w:val="0"/>
        <w:jc w:val="both"/>
        <w:rPr>
          <w:rFonts w:ascii="ITC Avant Garde" w:eastAsia="Times New Roman" w:hAnsi="ITC Avant Garde" w:cs="Arial"/>
        </w:rPr>
      </w:pPr>
      <w:r w:rsidRPr="00746B6C">
        <w:rPr>
          <w:rFonts w:ascii="ITC Avant Garde" w:eastAsia="Times New Roman" w:hAnsi="ITC Avant Garde" w:cs="Arial"/>
        </w:rPr>
        <w:t>En sus alegatos, Telcel reitera su solicitud para que el Instituto resuelva las tarifas para la prestación de servicio de interconexión por la terminación de llamadas en la red del servicio local fijo de</w:t>
      </w:r>
      <w:r w:rsidR="00FE7F17" w:rsidRPr="00746B6C">
        <w:rPr>
          <w:rFonts w:ascii="ITC Avant Garde" w:eastAsia="Times New Roman" w:hAnsi="ITC Avant Garde" w:cs="Arial"/>
        </w:rPr>
        <w:t xml:space="preserve"> Grupo Televisa</w:t>
      </w:r>
      <w:r w:rsidRPr="00746B6C">
        <w:rPr>
          <w:rFonts w:ascii="ITC Avant Garde" w:eastAsia="Times New Roman" w:hAnsi="ITC Avant Garde" w:cs="Arial"/>
        </w:rPr>
        <w:t xml:space="preserve"> para para el periodo comprendido del 1 de enero al 31 de diciembre de 2015, y del 1 de enero al 31 de diciembre de 2016, independientemente de si el Instituto considera adecuado resolver el presente desacuerdo conforme a todas y cada una de las disposiciones contenidas en el Acuerdo de Tarifas y tomando en cuenta la reserva de derechos que Telcel formuló en los documentos presentados ante el Instituto. </w:t>
      </w:r>
    </w:p>
    <w:p w14:paraId="38443E11" w14:textId="77777777" w:rsidR="009E3CFE" w:rsidRDefault="00595F36" w:rsidP="009E3CFE">
      <w:pPr>
        <w:jc w:val="both"/>
        <w:rPr>
          <w:rFonts w:ascii="ITC Avant Garde" w:eastAsia="Times New Roman" w:hAnsi="ITC Avant Garde"/>
          <w:b/>
          <w:szCs w:val="24"/>
          <w:lang w:eastAsia="es-ES"/>
        </w:rPr>
      </w:pPr>
      <w:r w:rsidRPr="00746B6C">
        <w:rPr>
          <w:rFonts w:ascii="ITC Avant Garde" w:eastAsia="Times New Roman" w:hAnsi="ITC Avant Garde"/>
          <w:b/>
          <w:szCs w:val="24"/>
          <w:lang w:eastAsia="es-ES"/>
        </w:rPr>
        <w:t>Consideraciones del Instituto</w:t>
      </w:r>
    </w:p>
    <w:p w14:paraId="06FC6B78" w14:textId="77777777" w:rsidR="009E3CFE" w:rsidRDefault="00F60B06" w:rsidP="009E3CFE">
      <w:pPr>
        <w:jc w:val="both"/>
        <w:rPr>
          <w:rFonts w:ascii="ITC Avant Garde" w:hAnsi="ITC Avant Garde" w:cs="Arial"/>
        </w:rPr>
      </w:pPr>
      <w:r w:rsidRPr="00746B6C">
        <w:rPr>
          <w:rFonts w:ascii="ITC Avant Garde" w:hAnsi="ITC Avant Garde" w:cs="Arial"/>
        </w:rPr>
        <w:t xml:space="preserve">Para la determinación de las tarifas de interconexión en las redes públicas de telecomunicaciones de </w:t>
      </w:r>
      <w:r w:rsidR="00FE7F17" w:rsidRPr="00746B6C">
        <w:rPr>
          <w:rFonts w:ascii="ITC Avant Garde" w:hAnsi="ITC Avant Garde" w:cs="Arial"/>
        </w:rPr>
        <w:t>Telcel y Grupo Televisa</w:t>
      </w:r>
      <w:r w:rsidRPr="00746B6C">
        <w:rPr>
          <w:rFonts w:ascii="ITC Avant Garde" w:hAnsi="ITC Avant Garde" w:cs="Arial"/>
        </w:rPr>
        <w:t>, se debe considerar que la propia LFTR establece el marco normativo y regulatorio aplicable para la fijación de las tarifas de interconexión.</w:t>
      </w:r>
    </w:p>
    <w:p w14:paraId="305DEEB4" w14:textId="77777777" w:rsidR="009E3CFE" w:rsidRDefault="00F60B06" w:rsidP="009E3CFE">
      <w:pPr>
        <w:widowControl w:val="0"/>
        <w:jc w:val="both"/>
        <w:rPr>
          <w:rFonts w:ascii="ITC Avant Garde" w:hAnsi="ITC Avant Garde" w:cs="Arial"/>
        </w:rPr>
      </w:pPr>
      <w:r w:rsidRPr="00746B6C">
        <w:rPr>
          <w:rFonts w:ascii="ITC Avant Garde" w:eastAsia="Times New Roman" w:hAnsi="ITC Avant Garde" w:cs="Arial"/>
        </w:rPr>
        <w:t xml:space="preserve">A tal efecto, </w:t>
      </w:r>
      <w:r w:rsidRPr="00746B6C">
        <w:rPr>
          <w:rFonts w:ascii="ITC Avant Garde" w:hAnsi="ITC Avant Garde" w:cs="Arial"/>
        </w:rPr>
        <w:t>el artículo 131 de la LFTR dispone lo siguiente:</w:t>
      </w:r>
    </w:p>
    <w:p w14:paraId="430AF400"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i/>
          <w:sz w:val="18"/>
          <w:szCs w:val="18"/>
        </w:rPr>
        <w:t>«</w:t>
      </w:r>
      <w:r w:rsidRPr="00746B6C">
        <w:rPr>
          <w:rFonts w:ascii="ITC Avant Garde" w:hAnsi="ITC Avant Garde" w:cs="Arial"/>
          <w:b/>
          <w:i/>
          <w:sz w:val="18"/>
          <w:szCs w:val="18"/>
        </w:rPr>
        <w:t>Artículo 131.</w:t>
      </w:r>
      <w:r w:rsidRPr="00746B6C">
        <w:rPr>
          <w:rFonts w:ascii="ITC Avant Garde" w:hAnsi="ITC Avant Garde" w:cs="Arial"/>
          <w:i/>
          <w:sz w:val="18"/>
          <w:szCs w:val="18"/>
        </w:rPr>
        <w:t xml:space="preserve"> […]</w:t>
      </w:r>
    </w:p>
    <w:p w14:paraId="19B4F658"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i/>
          <w:sz w:val="18"/>
          <w:szCs w:val="18"/>
        </w:rPr>
        <w:t>[…]</w:t>
      </w:r>
    </w:p>
    <w:p w14:paraId="20F5810A"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b/>
          <w:i/>
          <w:sz w:val="18"/>
          <w:szCs w:val="18"/>
        </w:rPr>
        <w:t>b)</w:t>
      </w:r>
      <w:r w:rsidRPr="00746B6C">
        <w:rPr>
          <w:rFonts w:ascii="ITC Avant Garde" w:hAnsi="ITC Avant Garde" w:cs="Arial"/>
          <w:i/>
          <w:sz w:val="18"/>
          <w:szCs w:val="18"/>
        </w:rPr>
        <w:t xml:space="preserve"> Para el tráfico que termine en la red de los demás concesionarios, la tarifa de interconexión será negociada libremente.</w:t>
      </w:r>
    </w:p>
    <w:p w14:paraId="6FD579C6"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DA41756"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DC67BA5"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5B70D702" w14:textId="77777777" w:rsidR="009E3CFE" w:rsidRDefault="00F60B06" w:rsidP="009E3CFE">
      <w:pPr>
        <w:ind w:left="567" w:right="615"/>
        <w:jc w:val="both"/>
        <w:rPr>
          <w:rFonts w:ascii="ITC Avant Garde" w:hAnsi="ITC Avant Garde" w:cs="Arial"/>
          <w:i/>
          <w:sz w:val="18"/>
          <w:szCs w:val="18"/>
        </w:rPr>
      </w:pPr>
      <w:r w:rsidRPr="00746B6C">
        <w:rPr>
          <w:rFonts w:ascii="ITC Avant Garde" w:hAnsi="ITC Avant Garde" w:cs="Arial"/>
          <w:i/>
          <w:sz w:val="18"/>
          <w:szCs w:val="18"/>
        </w:rPr>
        <w:lastRenderedPageBreak/>
        <w:t>[…]»</w:t>
      </w:r>
    </w:p>
    <w:p w14:paraId="65712564" w14:textId="77777777" w:rsidR="009E3CFE" w:rsidRDefault="00F60B06" w:rsidP="009E3CFE">
      <w:pPr>
        <w:ind w:right="20"/>
        <w:jc w:val="both"/>
        <w:rPr>
          <w:rFonts w:ascii="ITC Avant Garde" w:hAnsi="ITC Avant Garde" w:cs="Arial"/>
          <w:b/>
        </w:rPr>
      </w:pPr>
      <w:r w:rsidRPr="00746B6C">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4848FF5" w14:textId="77777777" w:rsidR="009E3CFE" w:rsidRDefault="00F60B06" w:rsidP="009E3CFE">
      <w:pPr>
        <w:ind w:right="20"/>
        <w:jc w:val="both"/>
        <w:rPr>
          <w:rFonts w:ascii="ITC Avant Garde" w:hAnsi="ITC Avant Garde" w:cs="Arial"/>
        </w:rPr>
      </w:pPr>
      <w:r w:rsidRPr="00746B6C">
        <w:rPr>
          <w:rFonts w:ascii="ITC Avant Garde" w:hAnsi="ITC Avant Garde" w:cs="Arial"/>
        </w:rPr>
        <w:t>En este orden de ideas, el artículo 137 de la LFTR señala a la letra lo siguiente:</w:t>
      </w:r>
    </w:p>
    <w:p w14:paraId="536C392C" w14:textId="77777777" w:rsidR="009E3CFE" w:rsidRDefault="00F60B06" w:rsidP="009E3CFE">
      <w:pPr>
        <w:tabs>
          <w:tab w:val="left" w:pos="4678"/>
        </w:tabs>
        <w:ind w:left="567" w:right="615"/>
        <w:jc w:val="both"/>
        <w:rPr>
          <w:rFonts w:ascii="ITC Avant Garde" w:hAnsi="ITC Avant Garde" w:cs="Arial"/>
          <w:i/>
          <w:sz w:val="18"/>
          <w:szCs w:val="18"/>
        </w:rPr>
      </w:pPr>
      <w:r w:rsidRPr="00746B6C">
        <w:rPr>
          <w:rFonts w:ascii="ITC Avant Garde" w:hAnsi="ITC Avant Garde" w:cs="Arial"/>
          <w:b/>
          <w:i/>
          <w:sz w:val="18"/>
          <w:szCs w:val="18"/>
        </w:rPr>
        <w:t>“Artículo 137.</w:t>
      </w:r>
      <w:r w:rsidRPr="00746B6C">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34964B8" w14:textId="77777777" w:rsidR="009E3CFE" w:rsidRDefault="00EE038B" w:rsidP="009E3CFE">
      <w:pPr>
        <w:ind w:right="20"/>
        <w:jc w:val="both"/>
        <w:rPr>
          <w:rFonts w:ascii="ITC Avant Garde" w:eastAsia="Times New Roman" w:hAnsi="ITC Avant Garde" w:cs="Arial"/>
        </w:rPr>
      </w:pPr>
      <w:r w:rsidRPr="00746B6C">
        <w:rPr>
          <w:rFonts w:ascii="ITC Avant Garde" w:eastAsia="Times New Roman" w:hAnsi="ITC Avant Garde" w:cs="Arial"/>
        </w:rPr>
        <w:t>En apego a dicha metodología y en cumplimiento a lo establecido en el artículo 137 de la LFTR, el Instituto publicó en el DOF el 29 de diciembre de 2014 y el 1 de octubre de 2015, el Acuerdo de Tarifas 2015 y el Acuerdo de Tarifas 2016, respectivamente, los cuales contienen las tarifas para los Servicios de Interconexión que han resultado de la Metodología de Costos, y que el Instituto utilizará para resolver los desacuerdos de interconexión en materia de tarifas aplicables del 1 de enero al 31 de diciembre del 2015 y del 1 de enero al 31 de diciembre del 2016.</w:t>
      </w:r>
    </w:p>
    <w:p w14:paraId="16B3DDDF" w14:textId="2F6C5A7D" w:rsidR="009E3CFE" w:rsidRDefault="00EE038B" w:rsidP="009E3CFE">
      <w:pPr>
        <w:ind w:right="20"/>
        <w:jc w:val="both"/>
        <w:rPr>
          <w:rFonts w:ascii="ITC Avant Garde" w:hAnsi="ITC Avant Garde"/>
          <w:spacing w:val="-4"/>
        </w:rPr>
      </w:pPr>
      <w:r w:rsidRPr="00746B6C">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w:t>
      </w:r>
      <w:r w:rsidR="007130F8">
        <w:rPr>
          <w:rFonts w:ascii="ITC Avant Garde" w:hAnsi="ITC Avant Garde"/>
          <w:spacing w:val="-4"/>
        </w:rPr>
        <w:t>2015 y Acuerdo de Tarifas 2016.</w:t>
      </w:r>
    </w:p>
    <w:p w14:paraId="565C598F" w14:textId="77777777" w:rsidR="009E3CFE" w:rsidRDefault="00EE038B" w:rsidP="009E3CFE">
      <w:pPr>
        <w:ind w:right="20"/>
        <w:jc w:val="both"/>
        <w:rPr>
          <w:rFonts w:ascii="ITC Avant Garde" w:hAnsi="ITC Avant Garde" w:cs="Arial"/>
        </w:rPr>
      </w:pPr>
      <w:r w:rsidRPr="00746B6C">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408D8E4" w14:textId="77777777" w:rsidR="009E3CFE" w:rsidRDefault="002072A5" w:rsidP="009E3CFE">
      <w:pPr>
        <w:jc w:val="both"/>
        <w:rPr>
          <w:rFonts w:ascii="ITC Avant Garde" w:eastAsia="Times New Roman" w:hAnsi="ITC Avant Garde" w:cs="Arial"/>
        </w:rPr>
      </w:pPr>
      <w:r w:rsidRPr="00746B6C">
        <w:rPr>
          <w:rFonts w:ascii="ITC Avant Garde" w:hAnsi="ITC Avant Garde" w:cs="Arial"/>
        </w:rPr>
        <w:t xml:space="preserve">En tal virtud, la tarifa </w:t>
      </w:r>
      <w:r w:rsidR="00B838BC" w:rsidRPr="00746B6C">
        <w:rPr>
          <w:rFonts w:ascii="ITC Avant Garde" w:hAnsi="ITC Avant Garde"/>
          <w:spacing w:val="-4"/>
          <w:lang w:val="es-ES"/>
        </w:rPr>
        <w:t xml:space="preserve">los Servicios de Interconexión </w:t>
      </w:r>
      <w:r w:rsidR="00A130EB" w:rsidRPr="00746B6C">
        <w:rPr>
          <w:rFonts w:ascii="ITC Avant Garde" w:hAnsi="ITC Avant Garde" w:cs="Arial"/>
        </w:rPr>
        <w:t>que Tel</w:t>
      </w:r>
      <w:r w:rsidR="00FE7F17" w:rsidRPr="00746B6C">
        <w:rPr>
          <w:rFonts w:ascii="ITC Avant Garde" w:hAnsi="ITC Avant Garde" w:cs="Arial"/>
        </w:rPr>
        <w:t>cel deberá pagarle a Grupo Televisa</w:t>
      </w:r>
      <w:r w:rsidR="00A130EB" w:rsidRPr="00746B6C">
        <w:t xml:space="preserve"> </w:t>
      </w:r>
      <w:r w:rsidR="00A130EB" w:rsidRPr="00746B6C">
        <w:rPr>
          <w:rFonts w:ascii="ITC Avant Garde" w:eastAsia="Times New Roman" w:hAnsi="ITC Avant Garde" w:cs="Arial"/>
        </w:rPr>
        <w:t>por servicios de terminación del servicio local en usuarios fijos, será la siguiente:</w:t>
      </w:r>
    </w:p>
    <w:p w14:paraId="45CE3DB9" w14:textId="77777777" w:rsidR="009E3CFE" w:rsidRDefault="00A130EB" w:rsidP="009E3CFE">
      <w:pPr>
        <w:pStyle w:val="Prrafodelista"/>
        <w:numPr>
          <w:ilvl w:val="0"/>
          <w:numId w:val="32"/>
        </w:numPr>
        <w:spacing w:after="200" w:line="276" w:lineRule="auto"/>
        <w:rPr>
          <w:rFonts w:ascii="ITC Avant Garde" w:hAnsi="ITC Avant Garde"/>
          <w:b/>
          <w:spacing w:val="-4"/>
          <w:lang w:val="es-ES"/>
        </w:rPr>
      </w:pPr>
      <w:r w:rsidRPr="00746B6C">
        <w:rPr>
          <w:rFonts w:ascii="ITC Avant Garde" w:hAnsi="ITC Avant Garde"/>
          <w:b/>
          <w:spacing w:val="-4"/>
          <w:lang w:val="es-ES"/>
        </w:rPr>
        <w:t xml:space="preserve">Del </w:t>
      </w:r>
      <w:r w:rsidR="001A7FB8" w:rsidRPr="00746B6C">
        <w:rPr>
          <w:rFonts w:ascii="ITC Avant Garde" w:hAnsi="ITC Avant Garde"/>
          <w:b/>
          <w:spacing w:val="-4"/>
          <w:lang w:val="es-ES"/>
        </w:rPr>
        <w:t>1 de enero</w:t>
      </w:r>
      <w:r w:rsidRPr="00746B6C">
        <w:rPr>
          <w:rFonts w:ascii="ITC Avant Garde" w:hAnsi="ITC Avant Garde"/>
          <w:b/>
          <w:spacing w:val="-4"/>
          <w:lang w:val="es-ES"/>
        </w:rPr>
        <w:t xml:space="preserve"> al 31 de diciembre de 2015, será de $0.004179 pesos M.N. por minuto de interconexión.</w:t>
      </w:r>
    </w:p>
    <w:p w14:paraId="12F11168" w14:textId="77777777" w:rsidR="009E3CFE" w:rsidRDefault="003056B3" w:rsidP="009E3CFE">
      <w:pPr>
        <w:pStyle w:val="Prrafodelista"/>
        <w:numPr>
          <w:ilvl w:val="0"/>
          <w:numId w:val="32"/>
        </w:numPr>
        <w:spacing w:after="200" w:line="276" w:lineRule="auto"/>
        <w:rPr>
          <w:rFonts w:ascii="ITC Avant Garde" w:hAnsi="ITC Avant Garde"/>
          <w:b/>
        </w:rPr>
      </w:pPr>
      <w:r w:rsidRPr="00746B6C">
        <w:rPr>
          <w:rFonts w:ascii="ITC Avant Garde" w:hAnsi="ITC Avant Garde"/>
          <w:b/>
        </w:rPr>
        <w:t>Del 1 de enero al 31 de diciembre de 2016, será de $0.003088 pesos M.N. por minuto de interconexión.</w:t>
      </w:r>
    </w:p>
    <w:p w14:paraId="2FAA6C47" w14:textId="77777777" w:rsidR="009E3CFE" w:rsidRDefault="0062079E" w:rsidP="009E3CFE">
      <w:pPr>
        <w:jc w:val="both"/>
        <w:rPr>
          <w:rFonts w:ascii="ITC Avant Garde" w:hAnsi="ITC Avant Garde" w:cs="Arial"/>
        </w:rPr>
      </w:pPr>
      <w:r w:rsidRPr="00746B6C">
        <w:rPr>
          <w:rFonts w:ascii="ITC Avant Garde" w:hAnsi="ITC Avant Garde" w:cs="Arial"/>
        </w:rPr>
        <w:t xml:space="preserve">El cálculo de las contraprestaciones se realizará con base en la duración real de las llamadas, sin redondear al minuto, debiendo para tal efecto sumar la duración de todas las llamadas completadas en el período de facturación correspondiente, </w:t>
      </w:r>
      <w:r w:rsidRPr="00746B6C">
        <w:rPr>
          <w:rFonts w:ascii="ITC Avant Garde" w:hAnsi="ITC Avant Garde" w:cs="Arial"/>
        </w:rPr>
        <w:lastRenderedPageBreak/>
        <w:t>medidas en segundos, y multiplicar los minutos equivalentes a dicha suma, por la tarifa correspondiente.</w:t>
      </w:r>
    </w:p>
    <w:p w14:paraId="40FFF672" w14:textId="77777777" w:rsidR="009E3CFE" w:rsidRDefault="0062079E" w:rsidP="009E3CFE">
      <w:pPr>
        <w:jc w:val="both"/>
        <w:rPr>
          <w:rFonts w:ascii="ITC Avant Garde" w:eastAsia="Times New Roman" w:hAnsi="ITC Avant Garde" w:cs="Arial"/>
          <w:lang w:eastAsia="es-ES"/>
        </w:rPr>
      </w:pPr>
      <w:r w:rsidRPr="00746B6C">
        <w:rPr>
          <w:rFonts w:ascii="ITC Avant Garde" w:hAnsi="ITC Avant Garde" w:cs="Arial"/>
        </w:rPr>
        <w:t>Asimismo, las tarifas anteriores ya incluyen el costo correspondiente a los puertos necesarios para la interconexión.</w:t>
      </w:r>
    </w:p>
    <w:p w14:paraId="7453CDC5" w14:textId="77777777" w:rsidR="009E3CFE" w:rsidRDefault="004D1358" w:rsidP="009E3CFE">
      <w:pPr>
        <w:pStyle w:val="Prrafodelista"/>
        <w:numPr>
          <w:ilvl w:val="0"/>
          <w:numId w:val="33"/>
        </w:numPr>
        <w:spacing w:after="200" w:line="276" w:lineRule="auto"/>
        <w:ind w:left="284" w:hanging="284"/>
        <w:rPr>
          <w:rFonts w:ascii="ITC Avant Garde" w:hAnsi="ITC Avant Garde"/>
          <w:b/>
        </w:rPr>
      </w:pPr>
      <w:r w:rsidRPr="00746B6C">
        <w:rPr>
          <w:rFonts w:ascii="ITC Avant Garde" w:hAnsi="ITC Avant Garde" w:cs="Arial"/>
          <w:b/>
        </w:rPr>
        <w:t>Interconexión</w:t>
      </w:r>
      <w:r w:rsidRPr="00746B6C">
        <w:rPr>
          <w:rFonts w:ascii="ITC Avant Garde" w:hAnsi="ITC Avant Garde"/>
          <w:b/>
        </w:rPr>
        <w:t xml:space="preserve"> IP</w:t>
      </w:r>
    </w:p>
    <w:p w14:paraId="704EBF96" w14:textId="77777777" w:rsidR="009E3CFE" w:rsidRDefault="004D1358"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Grupo Televisa señala que los avances tecnológicos conllevan obviamente una maduración de tecnologías, de compatibilidad de redes, es por ello que dada la experiencia internacional, y tal y como ya lo ha resuelto el Instituto en diversos desacuerdos de interconexión, la tecnología IP trae consigo que mediante su implementación se puedan prestar más y mejores servicios, con un costo más bajo. </w:t>
      </w:r>
    </w:p>
    <w:p w14:paraId="08439DF0" w14:textId="77777777" w:rsidR="009E3CFE" w:rsidRDefault="004D1358"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Por su parte, el representante legal de Telcel señala que, Grupo Televisa pretende desconocer la procedencia de la solicitud de Telcel, sustentando sus manifestaciones en una incorrecta y tendenciosa interpretación del Acuerdo del Sistema, pero, también manifiesta que, si le resulta de beneficio el trámite iniciado por Telcel para hacer extensivas sus peticiones. </w:t>
      </w:r>
    </w:p>
    <w:p w14:paraId="3D9F8E7E" w14:textId="77777777" w:rsidR="009E3CFE" w:rsidRDefault="004D1358" w:rsidP="009E3CFE">
      <w:pPr>
        <w:jc w:val="both"/>
        <w:rPr>
          <w:rFonts w:ascii="ITC Avant Garde" w:eastAsia="Times New Roman" w:hAnsi="ITC Avant Garde"/>
          <w:lang w:eastAsia="es-ES"/>
        </w:rPr>
      </w:pPr>
      <w:r w:rsidRPr="00746B6C">
        <w:rPr>
          <w:rFonts w:ascii="ITC Avant Garde" w:eastAsia="Times New Roman" w:hAnsi="ITC Avant Garde"/>
          <w:lang w:eastAsia="es-ES"/>
        </w:rPr>
        <w:t xml:space="preserve">Así, el representante legal de Telcel aclara que su representada está en la mejor disposición de analizar y, en su caso, convenir el uso del protocolo que más convenga a ambas partes, sobre bases de trato no discriminatorio, una vez que cuente con la información y los requerimientos técnicos necesarios para ello. </w:t>
      </w:r>
    </w:p>
    <w:p w14:paraId="4D4191EB" w14:textId="77777777" w:rsidR="009E3CFE" w:rsidRDefault="004D1358" w:rsidP="009E3CFE">
      <w:pPr>
        <w:jc w:val="both"/>
        <w:rPr>
          <w:rFonts w:ascii="ITC Avant Garde" w:hAnsi="ITC Avant Garde"/>
          <w:b/>
        </w:rPr>
      </w:pPr>
      <w:r w:rsidRPr="00746B6C">
        <w:rPr>
          <w:rFonts w:ascii="ITC Avant Garde" w:hAnsi="ITC Avant Garde"/>
          <w:b/>
        </w:rPr>
        <w:t>Consideraciones del Instituto</w:t>
      </w:r>
    </w:p>
    <w:p w14:paraId="60C66AB0" w14:textId="77777777" w:rsidR="009E3CFE" w:rsidRDefault="004D1358" w:rsidP="009E3CFE">
      <w:pPr>
        <w:jc w:val="both"/>
        <w:rPr>
          <w:rFonts w:ascii="ITC Avant Garde" w:hAnsi="ITC Avant Garde"/>
        </w:rPr>
      </w:pPr>
      <w:r w:rsidRPr="00746B6C">
        <w:rPr>
          <w:rFonts w:ascii="ITC Avant Garde" w:hAnsi="ITC Avant Garde"/>
        </w:rPr>
        <w:t>El artículo 127 de la LFTR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así como que los señalados en las fracciones I a IV de dicho artículo serán obligatorios para el resto de los concesionarios.</w:t>
      </w:r>
    </w:p>
    <w:p w14:paraId="5C4CCC09" w14:textId="77777777" w:rsidR="009E3CFE" w:rsidRDefault="004D1358" w:rsidP="009E3CFE">
      <w:pPr>
        <w:jc w:val="both"/>
        <w:rPr>
          <w:rFonts w:ascii="ITC Avant Garde" w:hAnsi="ITC Avant Garde"/>
        </w:rPr>
      </w:pPr>
      <w:r w:rsidRPr="00746B6C">
        <w:rPr>
          <w:rFonts w:ascii="ITC Avant Garde" w:hAnsi="ITC Avant Garde"/>
        </w:rPr>
        <w:t xml:space="preserve">De lo anterior se colige que la prestación del servicio de señalización es obligatoria para todos los concesionarios de redes públicas de telecomunicaciones, por lo que Grupo Televisa y Telcel se encuentran obligadas a proveerse mutuamente dicho servicio. </w:t>
      </w:r>
    </w:p>
    <w:p w14:paraId="6D76AB84" w14:textId="77777777" w:rsidR="009E3CFE" w:rsidRDefault="004D1358" w:rsidP="009E3CFE">
      <w:pPr>
        <w:jc w:val="both"/>
        <w:rPr>
          <w:rFonts w:ascii="ITC Avant Garde" w:hAnsi="ITC Avant Garde"/>
        </w:rPr>
      </w:pPr>
      <w:r w:rsidRPr="00746B6C">
        <w:rPr>
          <w:rFonts w:ascii="ITC Avant Garde" w:hAnsi="ITC Avant Garde"/>
        </w:rPr>
        <w:t xml:space="preserve">Por otro lado, </w:t>
      </w:r>
      <w:r w:rsidRPr="00746B6C">
        <w:rPr>
          <w:rFonts w:ascii="ITC Avant Garde" w:hAnsi="ITC Avant Garde" w:cs="Arial"/>
        </w:rPr>
        <w:t>en el numeral 7 del Plan Técnico Fundamental de Señalización (en lo sucesivo, “Plan de Señalización”) publicado en el DOF el 21 de junio de 1996 se establece lo siguiente:</w:t>
      </w:r>
    </w:p>
    <w:p w14:paraId="1D7557C0" w14:textId="093C6837" w:rsidR="004D1358" w:rsidRPr="00746B6C" w:rsidRDefault="004D1358" w:rsidP="009E3CFE">
      <w:pPr>
        <w:shd w:val="clear" w:color="auto" w:fill="FFFFFF"/>
        <w:ind w:left="567" w:right="532"/>
        <w:jc w:val="both"/>
        <w:rPr>
          <w:rFonts w:ascii="ITC Avant Garde" w:eastAsia="Times New Roman" w:hAnsi="ITC Avant Garde" w:cs="Arial"/>
          <w:b/>
          <w:bCs/>
          <w:i/>
          <w:sz w:val="18"/>
          <w:szCs w:val="18"/>
          <w:lang w:val="es-ES" w:eastAsia="es-MX"/>
        </w:rPr>
      </w:pPr>
      <w:r w:rsidRPr="00746B6C">
        <w:rPr>
          <w:rFonts w:ascii="ITC Avant Garde" w:eastAsia="Times New Roman" w:hAnsi="ITC Avant Garde" w:cs="Arial"/>
          <w:b/>
          <w:bCs/>
          <w:i/>
          <w:sz w:val="18"/>
          <w:szCs w:val="18"/>
          <w:lang w:val="es-ES" w:eastAsia="es-MX"/>
        </w:rPr>
        <w:t>“7. PROTOCOLOS DE SEÑALIZACIÓN</w:t>
      </w:r>
    </w:p>
    <w:p w14:paraId="77199B12" w14:textId="77777777" w:rsidR="009E3CFE" w:rsidRDefault="004D1358" w:rsidP="009E3CFE">
      <w:pPr>
        <w:shd w:val="clear" w:color="auto" w:fill="FFFFFF"/>
        <w:ind w:left="567" w:right="532"/>
        <w:jc w:val="both"/>
        <w:rPr>
          <w:rFonts w:ascii="ITC Avant Garde" w:eastAsia="Times New Roman" w:hAnsi="ITC Avant Garde" w:cs="Arial"/>
          <w:bCs/>
          <w:i/>
          <w:sz w:val="18"/>
          <w:szCs w:val="18"/>
          <w:lang w:val="es-ES" w:eastAsia="es-MX"/>
        </w:rPr>
      </w:pPr>
      <w:r w:rsidRPr="00746B6C">
        <w:rPr>
          <w:rFonts w:ascii="ITC Avant Garde" w:eastAsia="Times New Roman" w:hAnsi="ITC Avant Garde" w:cs="Arial"/>
          <w:bCs/>
          <w:i/>
          <w:sz w:val="18"/>
          <w:szCs w:val="18"/>
          <w:lang w:val="es-ES" w:eastAsia="es-MX"/>
        </w:rPr>
        <w:lastRenderedPageBreak/>
        <w:t>7.1. El protocolo PAUSI-MX será el protocolo que deberán usar las redes públicas de telecomunicaciones para su interconexión.”</w:t>
      </w:r>
    </w:p>
    <w:p w14:paraId="53262F87" w14:textId="77777777" w:rsidR="009E3CFE" w:rsidRDefault="004D1358" w:rsidP="009E3CFE">
      <w:pPr>
        <w:jc w:val="both"/>
        <w:rPr>
          <w:rFonts w:ascii="ITC Avant Garde" w:hAnsi="ITC Avant Garde" w:cs="Arial"/>
        </w:rPr>
      </w:pPr>
      <w:r w:rsidRPr="00746B6C">
        <w:rPr>
          <w:rFonts w:ascii="ITC Avant Garde" w:hAnsi="ITC Avant Garde" w:cs="Arial"/>
        </w:rPr>
        <w:t xml:space="preserve">Asimismo, en la </w:t>
      </w:r>
      <w:r w:rsidRPr="00746B6C">
        <w:rPr>
          <w:rFonts w:ascii="ITC Avant Garde" w:hAnsi="ITC Avant Garde" w:cs="Arial"/>
          <w:i/>
        </w:rPr>
        <w:t xml:space="preserve">“Resolución por la que el Pleno de la Comisión Federal de Telecomunicaciones modifica el Plan Técnico Fundamental de Señalización publicado el 21 de junio de 1996 en el Diario Oficial de la Federación” </w:t>
      </w:r>
      <w:r w:rsidRPr="00746B6C">
        <w:rPr>
          <w:rFonts w:ascii="ITC Avant Garde" w:hAnsi="ITC Avant Garde" w:cs="Arial"/>
        </w:rPr>
        <w:t>(en lo sucesivo, “Modificación al Plan de Señalización”), publicada en el DOF el 14 de octubre de 2011 se establece lo siguiente:</w:t>
      </w:r>
    </w:p>
    <w:p w14:paraId="6D625209" w14:textId="77777777" w:rsidR="009E3CFE" w:rsidRDefault="004D1358" w:rsidP="009E3CFE">
      <w:pPr>
        <w:shd w:val="clear" w:color="auto" w:fill="FFFFFF"/>
        <w:ind w:left="567" w:right="532"/>
        <w:jc w:val="both"/>
        <w:rPr>
          <w:rFonts w:ascii="ITC Avant Garde" w:eastAsia="Times New Roman" w:hAnsi="ITC Avant Garde" w:cs="Arial"/>
          <w:bCs/>
          <w:i/>
          <w:sz w:val="18"/>
          <w:szCs w:val="18"/>
          <w:lang w:val="es-ES" w:eastAsia="es-MX"/>
        </w:rPr>
      </w:pPr>
      <w:r w:rsidRPr="00746B6C">
        <w:rPr>
          <w:rFonts w:ascii="ITC Avant Garde" w:eastAsia="Times New Roman" w:hAnsi="ITC Avant Garde" w:cs="Arial"/>
          <w:bCs/>
          <w:i/>
          <w:sz w:val="18"/>
          <w:szCs w:val="18"/>
          <w:lang w:val="es-ES" w:eastAsia="es-MX"/>
        </w:rPr>
        <w:t>“</w:t>
      </w:r>
      <w:r w:rsidRPr="00746B6C">
        <w:rPr>
          <w:rFonts w:ascii="ITC Avant Garde" w:eastAsia="Times New Roman" w:hAnsi="ITC Avant Garde" w:cs="Arial"/>
          <w:b/>
          <w:bCs/>
          <w:i/>
          <w:sz w:val="18"/>
          <w:szCs w:val="18"/>
          <w:lang w:val="es-ES" w:eastAsia="es-MX"/>
        </w:rPr>
        <w:t xml:space="preserve">7.1 </w:t>
      </w:r>
      <w:r w:rsidRPr="00746B6C">
        <w:rPr>
          <w:rFonts w:ascii="ITC Avant Garde" w:eastAsia="Times New Roman" w:hAnsi="ITC Avant Garde" w:cs="Arial"/>
          <w:bCs/>
          <w:i/>
          <w:sz w:val="18"/>
          <w:szCs w:val="18"/>
          <w:lang w:val="es-ES" w:eastAsia="es-MX"/>
        </w:rPr>
        <w:t>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326822D5" w14:textId="77777777" w:rsidR="009E3CFE" w:rsidRDefault="004D1358" w:rsidP="009E3CFE">
      <w:pPr>
        <w:shd w:val="clear" w:color="auto" w:fill="FFFFFF"/>
        <w:ind w:left="567" w:right="532"/>
        <w:jc w:val="both"/>
        <w:rPr>
          <w:rFonts w:ascii="ITC Avant Garde" w:eastAsia="Times New Roman" w:hAnsi="ITC Avant Garde" w:cs="Arial"/>
          <w:bCs/>
          <w:i/>
          <w:sz w:val="18"/>
          <w:szCs w:val="18"/>
          <w:lang w:val="es-ES" w:eastAsia="es-MX"/>
        </w:rPr>
      </w:pPr>
      <w:r w:rsidRPr="00746B6C">
        <w:rPr>
          <w:rFonts w:ascii="ITC Avant Garde" w:eastAsia="Times New Roman" w:hAnsi="ITC Avant Garde" w:cs="Arial"/>
          <w:bCs/>
          <w:i/>
          <w:sz w:val="18"/>
          <w:szCs w:val="18"/>
          <w:lang w:val="es-ES" w:eastAsia="es-MX"/>
        </w:rPr>
        <w:t>Los protocolos que un concesionario haya establecido para interconectarse con otro operador, inclusive tratándose de interconexión con redes extranjeras, deberán hacerse disponibles a otros concesionarios que se lo soliciten.”</w:t>
      </w:r>
    </w:p>
    <w:p w14:paraId="7142C6B9" w14:textId="77777777" w:rsidR="009E3CFE" w:rsidRDefault="004D1358" w:rsidP="009E3CFE">
      <w:pPr>
        <w:jc w:val="both"/>
        <w:rPr>
          <w:rFonts w:ascii="ITC Avant Garde" w:hAnsi="ITC Avant Garde"/>
        </w:rPr>
      </w:pPr>
      <w:r w:rsidRPr="00746B6C">
        <w:rPr>
          <w:rFonts w:ascii="ITC Avant Garde" w:hAnsi="ITC Avant Garde"/>
        </w:rPr>
        <w:t>De lo anterior es posible concluir que el protocolo de señalización PAUSI-MX es obligatorio para todos los concesionarios y que en caso de que éstos hayan establecido un protocolo distinto, también deberán hacerlo disponible a todo aquel que se lo solicite.</w:t>
      </w:r>
    </w:p>
    <w:p w14:paraId="74616246" w14:textId="77777777" w:rsidR="009E3CFE" w:rsidRDefault="004D1358" w:rsidP="009E3CFE">
      <w:pPr>
        <w:jc w:val="both"/>
        <w:rPr>
          <w:rFonts w:ascii="ITC Avant Garde" w:eastAsia="Times New Roman" w:hAnsi="ITC Avant Garde" w:cs="Arial"/>
          <w:bCs/>
          <w:lang w:eastAsia="es-ES"/>
        </w:rPr>
      </w:pPr>
      <w:r w:rsidRPr="00746B6C">
        <w:rPr>
          <w:rFonts w:ascii="ITC Avant Garde" w:eastAsia="Times New Roman" w:hAnsi="ITC Avant Garde"/>
          <w:szCs w:val="24"/>
          <w:lang w:eastAsia="es-ES"/>
        </w:rPr>
        <w:t xml:space="preserve">No obstante lo anterior es importante señalar que </w:t>
      </w:r>
      <w:r w:rsidRPr="00746B6C">
        <w:rPr>
          <w:rFonts w:ascii="ITC Avant Garde" w:eastAsia="Times New Roman" w:hAnsi="ITC Avant Garde" w:cs="Arial"/>
          <w:lang w:eastAsia="es-MX"/>
        </w:rPr>
        <w:t>la Medida Octava de las Medidas Móviles establece lo siguiente:</w:t>
      </w:r>
    </w:p>
    <w:p w14:paraId="506DB1CE" w14:textId="77777777" w:rsidR="009E3CFE" w:rsidRDefault="004D1358" w:rsidP="009E3CFE">
      <w:pPr>
        <w:tabs>
          <w:tab w:val="left" w:pos="8789"/>
        </w:tabs>
        <w:adjustRightInd w:val="0"/>
        <w:ind w:left="567" w:right="532"/>
        <w:jc w:val="both"/>
        <w:rPr>
          <w:rFonts w:ascii="ITC Avant Garde" w:eastAsia="Times New Roman" w:hAnsi="ITC Avant Garde" w:cs="Arial"/>
          <w:bCs/>
          <w:i/>
          <w:sz w:val="18"/>
          <w:szCs w:val="18"/>
          <w:lang w:val="es-ES_tradnl" w:eastAsia="es-ES"/>
        </w:rPr>
      </w:pPr>
      <w:r w:rsidRPr="00746B6C">
        <w:rPr>
          <w:rFonts w:ascii="ITC Avant Garde" w:eastAsia="Times New Roman" w:hAnsi="ITC Avant Garde" w:cs="Arial"/>
          <w:b/>
          <w:bCs/>
          <w:i/>
          <w:sz w:val="18"/>
          <w:szCs w:val="18"/>
          <w:lang w:eastAsia="es-ES"/>
        </w:rPr>
        <w:t>“</w:t>
      </w:r>
      <w:r w:rsidRPr="00746B6C">
        <w:rPr>
          <w:rFonts w:ascii="ITC Avant Garde" w:eastAsia="Times New Roman" w:hAnsi="ITC Avant Garde" w:cs="Arial"/>
          <w:b/>
          <w:bCs/>
          <w:i/>
          <w:sz w:val="18"/>
          <w:szCs w:val="18"/>
          <w:lang w:val="es-ES_tradnl" w:eastAsia="es-ES"/>
        </w:rPr>
        <w:t>OCTAVA.-</w:t>
      </w:r>
      <w:r w:rsidRPr="00746B6C">
        <w:rPr>
          <w:rFonts w:ascii="ITC Avant Garde" w:eastAsia="Times New Roman" w:hAnsi="ITC Avant Garde" w:cs="Arial"/>
          <w:bCs/>
          <w:i/>
          <w:sz w:val="18"/>
          <w:szCs w:val="18"/>
          <w:lang w:val="es-ES_tradnl" w:eastAsia="es-ES"/>
        </w:rPr>
        <w:t xml:space="preserve"> El Agente Económico Preponderante deberá, a solicitud del Concesionario Solicitante, permitir el intercambio de Tráfico mediante los protocolos de señalización SIP (Session Initiation Protocol), H.323 o aquel protocolo que determine el Instituto  para la Interconexión IP (Internet Protocol) de su red con la del Concesionario Solicitante.”  </w:t>
      </w:r>
    </w:p>
    <w:p w14:paraId="2A56164D" w14:textId="77777777" w:rsidR="009E3CFE" w:rsidRDefault="004D1358" w:rsidP="009E3CFE">
      <w:pPr>
        <w:jc w:val="both"/>
        <w:rPr>
          <w:rFonts w:ascii="ITC Avant Garde" w:eastAsia="Times New Roman" w:hAnsi="ITC Avant Garde" w:cs="Arial"/>
          <w:lang w:eastAsia="es-MX"/>
        </w:rPr>
      </w:pPr>
      <w:r w:rsidRPr="00746B6C">
        <w:rPr>
          <w:rFonts w:ascii="ITC Avant Garde" w:eastAsia="Times New Roman" w:hAnsi="ITC Avant Garde" w:cs="Arial"/>
          <w:lang w:eastAsia="es-MX"/>
        </w:rPr>
        <w:t>De esta forma, las Medidas Móviles determinan la obligación a cargo del Agente Económico Preponderante de permitir la interconexión IP (Internet Protocol), mediante los protocolos de señalización SIP (Session Initiation Protocol), H.323 o aquel protoc</w:t>
      </w:r>
      <w:r w:rsidR="00222809" w:rsidRPr="00746B6C">
        <w:rPr>
          <w:rFonts w:ascii="ITC Avant Garde" w:eastAsia="Times New Roman" w:hAnsi="ITC Avant Garde" w:cs="Arial"/>
          <w:lang w:eastAsia="es-MX"/>
        </w:rPr>
        <w:t>olo que determine el Instituto.</w:t>
      </w:r>
    </w:p>
    <w:p w14:paraId="47CB9785" w14:textId="77777777" w:rsidR="009E3CFE" w:rsidRDefault="004D1358" w:rsidP="009E3CFE">
      <w:pPr>
        <w:jc w:val="both"/>
        <w:rPr>
          <w:rFonts w:ascii="ITC Avant Garde" w:hAnsi="ITC Avant Garde" w:cs="Arial"/>
        </w:rPr>
      </w:pPr>
      <w:r w:rsidRPr="00746B6C">
        <w:rPr>
          <w:rFonts w:ascii="ITC Avant Garde" w:hAnsi="ITC Avant Garde" w:cs="Arial"/>
        </w:rPr>
        <w:t>Por otra parte, a efecto de dotar de certeza a los operadores y homologar los criterios necesarios para alcanzar la interconexión IP, en las Medidas Móviles se impuso la Medida Transitoria Octava, en los siguientes términos:</w:t>
      </w:r>
    </w:p>
    <w:p w14:paraId="287638EC" w14:textId="77777777" w:rsidR="009E3CFE" w:rsidRDefault="004D1358" w:rsidP="009E3CFE">
      <w:pPr>
        <w:ind w:left="567" w:right="532"/>
        <w:jc w:val="both"/>
        <w:rPr>
          <w:rFonts w:ascii="ITC Avant Garde" w:hAnsi="ITC Avant Garde" w:cs="Arial"/>
          <w:bCs/>
          <w:i/>
          <w:sz w:val="18"/>
          <w:szCs w:val="18"/>
        </w:rPr>
      </w:pPr>
      <w:r w:rsidRPr="00746B6C">
        <w:rPr>
          <w:rFonts w:ascii="ITC Avant Garde" w:hAnsi="ITC Avant Garde" w:cs="Arial"/>
          <w:bCs/>
          <w:i/>
          <w:sz w:val="18"/>
          <w:szCs w:val="18"/>
        </w:rPr>
        <w:t>“OCTAVA.- El Instituto dará inicio a los trabajos para definir los términos de Interconexión bajo protocolos de Internet (Internet Protocol), entre ellos el de inicio de sesión (SIP, por sus siglas en Inglés) y/o la recomendación internacional H.323 dentro de los noventa días naturales posteriores a la entrada en vigor de las presentes medidas.”</w:t>
      </w:r>
    </w:p>
    <w:p w14:paraId="7648BF99" w14:textId="77777777" w:rsidR="009E3CFE" w:rsidRDefault="004D1358" w:rsidP="009E3CFE">
      <w:pPr>
        <w:jc w:val="both"/>
        <w:rPr>
          <w:rFonts w:ascii="ITC Avant Garde" w:hAnsi="ITC Avant Garde" w:cs="Arial"/>
        </w:rPr>
      </w:pPr>
      <w:r w:rsidRPr="00746B6C">
        <w:rPr>
          <w:rFonts w:ascii="ITC Avant Garde" w:hAnsi="ITC Avant Garde" w:cs="Arial"/>
        </w:rPr>
        <w:lastRenderedPageBreak/>
        <w:t xml:space="preserve">En este sentido, el 31 de diciembre de 2014 el Instituto publicó en el DOF las Condiciones Técnicas Mínimas, mediante las cuales se establecieron los parámetros mínimos para llevar acabo la interconexión por medio del protocolo SIP; es así que por medio del establecimiento de dichos parámetros resulta técnicamente factible prestar el servicio de interconexión IP mediante la utilización del protocolo SIP. </w:t>
      </w:r>
    </w:p>
    <w:p w14:paraId="62BA9300" w14:textId="77777777" w:rsidR="009E3CFE" w:rsidRDefault="004D1358" w:rsidP="009E3CFE">
      <w:pPr>
        <w:jc w:val="both"/>
        <w:rPr>
          <w:rFonts w:ascii="ITC Avant Garde" w:hAnsi="ITC Avant Garde" w:cs="Arial"/>
        </w:rPr>
      </w:pPr>
      <w:r w:rsidRPr="00746B6C">
        <w:rPr>
          <w:rFonts w:ascii="ITC Avant Garde" w:hAnsi="ITC Avant Garde" w:cs="Arial"/>
        </w:rPr>
        <w:t xml:space="preserve">A mayor abundamiento, de las constancias que obran en los expedientes de este Instituto se observa que el 7 de julio de 2015 con número de folio 9944, se inscribió en el Registro Público de Telecomunicaciones el Convenio para la interconexión de la red del servicio de larga distancia de </w:t>
      </w:r>
      <w:r w:rsidRPr="00746B6C">
        <w:rPr>
          <w:rFonts w:ascii="ITC Avant Garde" w:eastAsia="Times New Roman" w:hAnsi="ITC Avant Garde"/>
          <w:bCs/>
          <w:lang w:val="es-ES" w:eastAsia="es-ES"/>
        </w:rPr>
        <w:t>Operadora Unefon, S.A. de C.V.</w:t>
      </w:r>
      <w:r w:rsidRPr="00746B6C">
        <w:rPr>
          <w:rFonts w:ascii="ITC Avant Garde" w:hAnsi="ITC Avant Garde" w:cs="Arial"/>
        </w:rPr>
        <w:t>, con la red local móvil de Radiomóvil Dipsa, S.A. de C.V., en el que se incluye la interconexión mediante el protocolo de señalización SIP (Session Initiation Protocol), por lo que en términos del numeral 7.1 del Plan de Interconexión, Telcel estará obligado a hacer disponible dicho protocolo de Interconexión a otros concesionarios.</w:t>
      </w:r>
    </w:p>
    <w:p w14:paraId="4C003101" w14:textId="77777777" w:rsidR="009E3CFE" w:rsidRDefault="004D1358" w:rsidP="009E3CFE">
      <w:pPr>
        <w:jc w:val="both"/>
        <w:rPr>
          <w:rFonts w:ascii="ITC Avant Garde" w:hAnsi="ITC Avant Garde"/>
          <w:lang w:eastAsia="es-ES"/>
        </w:rPr>
      </w:pPr>
      <w:r w:rsidRPr="00746B6C">
        <w:rPr>
          <w:rFonts w:ascii="ITC Avant Garde" w:hAnsi="ITC Avant Garde"/>
          <w:lang w:eastAsia="es-ES"/>
        </w:rPr>
        <w:t>No pasa por alto a este Instituto que en el sector telecomunicaciones existe una tendencia hacia la migración de las redes de telecomunicaciones a redes de próxima generación (NGN, por sus siglas en inglés) basadas en tecnologías IP, en las que mediante una misma red de telecomunicaciones se prestar múltiples servicios como voz, datos y video.</w:t>
      </w:r>
    </w:p>
    <w:p w14:paraId="3B2700D0" w14:textId="77777777" w:rsidR="009E3CFE" w:rsidRDefault="004D1358" w:rsidP="009E3CFE">
      <w:pPr>
        <w:jc w:val="both"/>
        <w:rPr>
          <w:rFonts w:ascii="ITC Avant Garde" w:hAnsi="ITC Avant Garde"/>
          <w:lang w:eastAsia="es-ES"/>
        </w:rPr>
      </w:pPr>
      <w:r w:rsidRPr="00746B6C">
        <w:rPr>
          <w:rFonts w:ascii="ITC Avant Garde" w:hAnsi="ITC Avant Garde"/>
          <w:lang w:eastAsia="es-ES"/>
        </w:rPr>
        <w:t>La tecnología IP ha implicado una reducción en los costos de prestación de servicios de telecomunicaciones permitiendo reducir los costos unitarios de los operadores debido a que las economías de alcance permiten repartir los costos fijos entre un mayor número de servicios.</w:t>
      </w:r>
    </w:p>
    <w:p w14:paraId="41629BFA" w14:textId="77777777" w:rsidR="009E3CFE" w:rsidRDefault="004D1358" w:rsidP="009E3CFE">
      <w:pPr>
        <w:jc w:val="both"/>
        <w:rPr>
          <w:rFonts w:ascii="ITC Avant Garde" w:hAnsi="ITC Avant Garde"/>
          <w:lang w:eastAsia="es-ES"/>
        </w:rPr>
      </w:pPr>
      <w:r w:rsidRPr="00746B6C">
        <w:rPr>
          <w:rFonts w:ascii="ITC Avant Garde" w:hAnsi="ITC Avant Garde"/>
          <w:lang w:eastAsia="es-ES"/>
        </w:rPr>
        <w:t>En este sentido, tomando en cuenta la factibilidad jurídica, el desarrollo tecnológico, la innovación y dinamismo de las telecomunicaciones, existe la necesidad que en todo momento quede garantizado el correcto enrutamiento de las comunicaciones para el intercambio de información entre redes con la adopción de diseños de arquitectura abierta de red, tal y como se establece en la Ley, asegurando con ello la neutralidad tecnológica.</w:t>
      </w:r>
    </w:p>
    <w:p w14:paraId="39F76149" w14:textId="77777777" w:rsidR="009E3CFE" w:rsidRDefault="004D1358" w:rsidP="009E3CFE">
      <w:pPr>
        <w:jc w:val="both"/>
        <w:rPr>
          <w:rFonts w:ascii="ITC Avant Garde" w:hAnsi="ITC Avant Garde"/>
        </w:rPr>
      </w:pPr>
      <w:r w:rsidRPr="00746B6C">
        <w:rPr>
          <w:rFonts w:ascii="ITC Avant Garde" w:hAnsi="ITC Avant Garde"/>
          <w:lang w:eastAsia="es-ES"/>
        </w:rPr>
        <w:t>Por lo anterior,</w:t>
      </w:r>
      <w:r w:rsidRPr="00746B6C">
        <w:rPr>
          <w:rFonts w:ascii="ITC Avant Garde" w:hAnsi="ITC Avant Garde"/>
        </w:rPr>
        <w:t xml:space="preserve"> </w:t>
      </w:r>
      <w:r w:rsidRPr="00746B6C">
        <w:rPr>
          <w:rFonts w:ascii="ITC Avant Garde" w:hAnsi="ITC Avant Garde" w:cs="Arial"/>
        </w:rPr>
        <w:t xml:space="preserve">y toda vez que el supuesto de la definición los términos y condiciones aplicables a la interconexión IP mediante la utilización del protocolo SIP al que se refiere la Medida Octava Transitoria antes citada  ha sido actualizado con la publicación de las Condiciones Técnicas Mínimas, y que Telcel ha suscrito un Convenio de Interconexión que incluye la interconexión mediante el protocolo de señalización SIP (Session Initiation Protocol),  este Instituto determina que Telcel deberá otorgar a </w:t>
      </w:r>
      <w:r w:rsidR="00EC634E" w:rsidRPr="00746B6C">
        <w:rPr>
          <w:rFonts w:ascii="ITC Avant Garde" w:hAnsi="ITC Avant Garde" w:cs="Arial"/>
        </w:rPr>
        <w:t>Grupo Televisa</w:t>
      </w:r>
      <w:r w:rsidRPr="00746B6C">
        <w:rPr>
          <w:rFonts w:ascii="ITC Avant Garde" w:hAnsi="ITC Avant Garde" w:cs="Arial"/>
        </w:rPr>
        <w:t xml:space="preserve"> la interconexión mediante el protocolo de señalización SIP, en términos de lo establecido en la Resolución del AEP, las Condiciones Técnicas Mínimas </w:t>
      </w:r>
      <w:r w:rsidRPr="00746B6C">
        <w:rPr>
          <w:rFonts w:ascii="ITC Avant Garde" w:hAnsi="ITC Avant Garde" w:cs="Arial"/>
          <w:bCs/>
        </w:rPr>
        <w:t xml:space="preserve">o </w:t>
      </w:r>
      <w:r w:rsidRPr="00746B6C">
        <w:rPr>
          <w:rFonts w:ascii="ITC Avant Garde" w:hAnsi="ITC Avant Garde" w:cs="Arial"/>
          <w:bCs/>
        </w:rPr>
        <w:lastRenderedPageBreak/>
        <w:t xml:space="preserve">aquellas que las modifiquen o sustituyan </w:t>
      </w:r>
      <w:r w:rsidRPr="00746B6C">
        <w:rPr>
          <w:rFonts w:ascii="ITC Avant Garde" w:hAnsi="ITC Avant Garde" w:cs="Arial"/>
        </w:rPr>
        <w:t>y en términos no discriminatorios respecto de los convenido con otros concesionarios.</w:t>
      </w:r>
    </w:p>
    <w:p w14:paraId="7F372A3B" w14:textId="77777777" w:rsidR="009E3CFE" w:rsidRDefault="004D1358" w:rsidP="009E3CFE">
      <w:pPr>
        <w:jc w:val="both"/>
        <w:rPr>
          <w:rFonts w:ascii="ITC Avant Garde" w:hAnsi="ITC Avant Garde" w:cs="Arial"/>
        </w:rPr>
      </w:pPr>
      <w:r w:rsidRPr="00746B6C">
        <w:rPr>
          <w:rFonts w:ascii="ITC Avant Garde" w:hAnsi="ITC Avant Garde" w:cs="Arial"/>
        </w:rPr>
        <w:t xml:space="preserve">Asimismo, y toda vez que es el propio </w:t>
      </w:r>
      <w:r w:rsidR="005D61A6" w:rsidRPr="00746B6C">
        <w:rPr>
          <w:rFonts w:ascii="ITC Avant Garde" w:hAnsi="ITC Avant Garde" w:cs="Arial"/>
        </w:rPr>
        <w:t>Grupo Televisa</w:t>
      </w:r>
      <w:r w:rsidRPr="00746B6C">
        <w:rPr>
          <w:rFonts w:ascii="ITC Avant Garde" w:hAnsi="ITC Avant Garde" w:cs="Arial"/>
        </w:rPr>
        <w:t xml:space="preserve"> quien ha solicitado a Telcel la interconexión mediante el protocolo de Internet (IP) en su modalidad SIP, y que por virtud de la presente Resolución se genera la obligación de interconectarse mediante dicha modalidad técnica, </w:t>
      </w:r>
      <w:r w:rsidR="005D61A6" w:rsidRPr="00746B6C">
        <w:rPr>
          <w:rFonts w:ascii="ITC Avant Garde" w:hAnsi="ITC Avant Garde" w:cs="Arial"/>
        </w:rPr>
        <w:t>Grupo Televisa</w:t>
      </w:r>
      <w:r w:rsidRPr="00746B6C">
        <w:rPr>
          <w:rFonts w:ascii="ITC Avant Garde" w:hAnsi="ITC Avant Garde" w:cs="Arial"/>
        </w:rPr>
        <w:t xml:space="preserve"> deberá otorgar la interconexión mediante el protocolo de señalización SIP (Session Initiation Protocol), en términos no discriminatorios a los concesionarios que en un futuro lo soliciten.</w:t>
      </w:r>
    </w:p>
    <w:p w14:paraId="1F0339FC" w14:textId="77777777" w:rsidR="009E3CFE" w:rsidRDefault="004D1358" w:rsidP="009E3CFE">
      <w:pPr>
        <w:jc w:val="both"/>
        <w:rPr>
          <w:rFonts w:ascii="ITC Avant Garde" w:hAnsi="ITC Avant Garde" w:cs="Arial"/>
        </w:rPr>
      </w:pPr>
      <w:r w:rsidRPr="00746B6C">
        <w:rPr>
          <w:rFonts w:ascii="ITC Avant Garde" w:hAnsi="ITC Avant Garde" w:cs="Arial"/>
        </w:rPr>
        <w:t>Lo anterior, sin perjuicio de que los protocolos de interconexión obligatorios para las partes serán aquellos que se establezcan a través de las disposiciones legales y administrativas aplicables.</w:t>
      </w:r>
    </w:p>
    <w:p w14:paraId="3FFC7910" w14:textId="77777777" w:rsidR="009E3CFE" w:rsidRDefault="00A70124" w:rsidP="009E3CFE">
      <w:pPr>
        <w:jc w:val="both"/>
        <w:rPr>
          <w:rFonts w:ascii="ITC Avant Garde" w:hAnsi="ITC Avant Garde" w:cs="Arial"/>
        </w:rPr>
      </w:pPr>
      <w:r w:rsidRPr="00746B6C">
        <w:rPr>
          <w:rFonts w:ascii="ITC Avant Garde" w:hAnsi="ITC Avant Garde" w:cs="Arial"/>
        </w:rPr>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12578" w:rsidRPr="00746B6C">
        <w:rPr>
          <w:rFonts w:ascii="ITC Avant Garde" w:hAnsi="ITC Avant Garde" w:cs="Arial"/>
        </w:rPr>
        <w:t>LFTR</w:t>
      </w:r>
      <w:r w:rsidRPr="00746B6C">
        <w:rPr>
          <w:rFonts w:ascii="ITC Avant Garde" w:hAnsi="ITC Avant Garde" w:cs="Arial"/>
        </w:rPr>
        <w:t>, la presente Resolución será inscrita en el Registro Público de Telecomunicaciones a cargo del propio Instituto.</w:t>
      </w:r>
    </w:p>
    <w:p w14:paraId="1EDE6238" w14:textId="77777777" w:rsidR="009E3CFE" w:rsidRDefault="00A70124" w:rsidP="009E3CFE">
      <w:pPr>
        <w:pStyle w:val="Textoindependiente"/>
        <w:spacing w:after="200" w:line="276" w:lineRule="auto"/>
        <w:rPr>
          <w:rFonts w:ascii="ITC Avant Garde" w:eastAsia="Calibri" w:hAnsi="ITC Avant Garde" w:cs="Arial"/>
          <w:szCs w:val="22"/>
        </w:rPr>
      </w:pPr>
      <w:r w:rsidRPr="00746B6C">
        <w:rPr>
          <w:rFonts w:ascii="ITC Avant Garde" w:eastAsia="Calibri" w:hAnsi="ITC Avant Garde" w:cs="Arial"/>
          <w:szCs w:val="22"/>
        </w:rPr>
        <w:t xml:space="preserve">Lo anterior, sin perjuicio de que </w:t>
      </w:r>
      <w:r w:rsidR="005D61A6" w:rsidRPr="00746B6C">
        <w:rPr>
          <w:rFonts w:ascii="ITC Avant Garde" w:eastAsia="Calibri" w:hAnsi="ITC Avant Garde" w:cs="Arial"/>
          <w:szCs w:val="22"/>
        </w:rPr>
        <w:t>Telcel y Grupo Televisa</w:t>
      </w:r>
      <w:r w:rsidRPr="00746B6C">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w:t>
      </w:r>
      <w:r w:rsidR="0062079E" w:rsidRPr="00746B6C">
        <w:rPr>
          <w:rFonts w:ascii="ITC Avant Garde" w:eastAsia="Calibri" w:hAnsi="ITC Avant Garde" w:cs="Arial"/>
          <w:szCs w:val="22"/>
        </w:rPr>
        <w:t>28 y 177 fracción VII de la LFT</w:t>
      </w:r>
      <w:r w:rsidRPr="00746B6C">
        <w:rPr>
          <w:rFonts w:ascii="ITC Avant Garde" w:eastAsia="Calibri" w:hAnsi="ITC Avant Garde" w:cs="Arial"/>
          <w:szCs w:val="22"/>
        </w:rPr>
        <w:t>R.</w:t>
      </w:r>
    </w:p>
    <w:p w14:paraId="350C9CAD" w14:textId="77777777" w:rsidR="009E3CFE" w:rsidRDefault="009662AD" w:rsidP="009E3CFE">
      <w:pPr>
        <w:pStyle w:val="Textoindependiente"/>
        <w:spacing w:after="200" w:line="276" w:lineRule="auto"/>
        <w:rPr>
          <w:rFonts w:ascii="ITC Avant Garde" w:eastAsia="Calibri" w:hAnsi="ITC Avant Garde" w:cs="Arial"/>
          <w:szCs w:val="22"/>
        </w:rPr>
      </w:pPr>
      <w:r w:rsidRPr="00746B6C">
        <w:rPr>
          <w:rFonts w:ascii="ITC Avant Garde" w:eastAsia="Calibri" w:hAnsi="ITC Avant Garde" w:cs="Arial"/>
          <w:szCs w:val="22"/>
        </w:rPr>
        <w:t>Con base en lo anterior y con fundamento en lo dispuesto por los artículos, 28, párrafo décimo quinto y décimo sexto de la Constitución Política de los Estados Unidos Mexicanos, 197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fracción I de la Ley Federal de Procedimiento Administrativo y 4 fracción I y 6, fracción XXXVII, del Estatuto Orgánico del Instituto Federal de Telecomunicaciones, el Pleno del Instituto Federal de Telecomunicaciones emite los siguientes:</w:t>
      </w:r>
    </w:p>
    <w:p w14:paraId="1212CE5D" w14:textId="77777777" w:rsidR="009E3CFE" w:rsidRPr="007F39E2" w:rsidRDefault="00AC04A2" w:rsidP="007F39E2">
      <w:pPr>
        <w:widowControl w:val="0"/>
        <w:jc w:val="center"/>
        <w:outlineLvl w:val="2"/>
        <w:rPr>
          <w:rFonts w:ascii="ITC Avant Garde" w:eastAsia="Times New Roman" w:hAnsi="ITC Avant Garde"/>
          <w:b/>
          <w:bCs/>
        </w:rPr>
      </w:pPr>
      <w:r w:rsidRPr="007F39E2">
        <w:rPr>
          <w:rFonts w:ascii="ITC Avant Garde" w:eastAsia="Times New Roman" w:hAnsi="ITC Avant Garde"/>
          <w:b/>
          <w:bCs/>
        </w:rPr>
        <w:lastRenderedPageBreak/>
        <w:t>RESOLUTIVOS</w:t>
      </w:r>
    </w:p>
    <w:p w14:paraId="300E8BA3" w14:textId="77777777" w:rsidR="009E3CFE" w:rsidRDefault="00C130B9" w:rsidP="009E3CFE">
      <w:pPr>
        <w:jc w:val="both"/>
        <w:rPr>
          <w:rFonts w:ascii="ITC Avant Garde" w:eastAsia="Times New Roman" w:hAnsi="ITC Avant Garde"/>
          <w:bCs/>
          <w:lang w:eastAsia="es-ES"/>
        </w:rPr>
      </w:pPr>
      <w:r w:rsidRPr="00746B6C">
        <w:rPr>
          <w:rFonts w:ascii="ITC Avant Garde" w:hAnsi="ITC Avant Garde" w:cs="Arial"/>
          <w:b/>
        </w:rPr>
        <w:t>PRIMERO</w:t>
      </w:r>
      <w:r w:rsidRPr="00746B6C">
        <w:rPr>
          <w:rFonts w:ascii="ITC Avant Garde" w:hAnsi="ITC Avant Garde" w:cs="Arial"/>
        </w:rPr>
        <w:t xml:space="preserve">.- </w:t>
      </w:r>
      <w:r w:rsidRPr="00746B6C">
        <w:rPr>
          <w:rFonts w:ascii="ITC Avant Garde" w:eastAsia="Times New Roman" w:hAnsi="ITC Avant Garde"/>
          <w:bCs/>
          <w:lang w:eastAsia="es-ES"/>
        </w:rPr>
        <w:t xml:space="preserve">Se deja insubsistente la </w:t>
      </w:r>
      <w:r w:rsidR="005D61A6" w:rsidRPr="00746B6C">
        <w:rPr>
          <w:rFonts w:ascii="ITC Avant Garde" w:eastAsia="Times New Roman" w:hAnsi="ITC Avant Garde"/>
          <w:bCs/>
          <w:lang w:eastAsia="es-ES"/>
        </w:rPr>
        <w:t>RESOLUCIÓN MEDIANTE LA CUAL EL PLENO DEL INSTITUTO FEDERAL DE TELECOMUNICACIONES DETERMINA LAS CONDICIONES DE INTERCONEXIÓN NO CONVENIDAS ENTRE RADIOMÓVIL DIPSA, S.A. DE C.V. Y LAS EMPRESAS TVI NACIONAL, S.A. DE C.V., TLAXCABLE, S.A. DE C.V., GRUPO CABLE TV DE SAN LUIS POTOSÍ, S.A. DE C.V., TELE AZTECA, S.A. DE C.V., TELECABLE DEL ESTADO DE MÉXICO, S.A. DE C.V., TELEVISIÓN POR CABLE DE TABASCO, S.A. DE C.V., Y MÉXICO RED DE TELECOMUNICACIONES, S. DE R.L. DE C.V. APLICABLES DEL 1 ENERO DE 2015 AL 31 DE DICIEMBRE DE 2016</w:t>
      </w:r>
      <w:r w:rsidRPr="00746B6C">
        <w:rPr>
          <w:rFonts w:ascii="ITC Avant Garde" w:eastAsia="Times New Roman" w:hAnsi="ITC Avant Garde"/>
          <w:bCs/>
          <w:lang w:eastAsia="es-ES"/>
        </w:rPr>
        <w:t>, emitida mediante Acuerdo P/IFT/</w:t>
      </w:r>
      <w:r w:rsidR="005D61A6" w:rsidRPr="00746B6C">
        <w:rPr>
          <w:rFonts w:ascii="ITC Avant Garde" w:eastAsia="Times New Roman" w:hAnsi="ITC Avant Garde"/>
          <w:bCs/>
          <w:lang w:eastAsia="es-ES"/>
        </w:rPr>
        <w:t>EXT/071015/130</w:t>
      </w:r>
      <w:r w:rsidRPr="00746B6C">
        <w:rPr>
          <w:rFonts w:ascii="ITC Avant Garde" w:eastAsia="Times New Roman" w:hAnsi="ITC Avant Garde"/>
          <w:bCs/>
          <w:lang w:eastAsia="es-ES"/>
        </w:rPr>
        <w:t xml:space="preserve"> en cumplimiento a la ejecutoria de fecha 1</w:t>
      </w:r>
      <w:r w:rsidR="005D61A6" w:rsidRPr="00746B6C">
        <w:rPr>
          <w:rFonts w:ascii="ITC Avant Garde" w:eastAsia="Times New Roman" w:hAnsi="ITC Avant Garde"/>
          <w:bCs/>
          <w:lang w:eastAsia="es-ES"/>
        </w:rPr>
        <w:t xml:space="preserve">6 de noviembre </w:t>
      </w:r>
      <w:r w:rsidRPr="00746B6C">
        <w:rPr>
          <w:rFonts w:ascii="ITC Avant Garde" w:eastAsia="Times New Roman" w:hAnsi="ITC Avant Garde"/>
          <w:bCs/>
          <w:lang w:eastAsia="es-ES"/>
        </w:rPr>
        <w:t xml:space="preserve">de 2017, emitida por el </w:t>
      </w:r>
      <w:r w:rsidR="005D61A6" w:rsidRPr="00746B6C">
        <w:rPr>
          <w:rFonts w:ascii="ITC Avant Garde" w:eastAsia="Times New Roman" w:hAnsi="ITC Avant Garde"/>
          <w:bCs/>
          <w:lang w:eastAsia="es-ES"/>
        </w:rPr>
        <w:t>Primer</w:t>
      </w:r>
      <w:r w:rsidRPr="00746B6C">
        <w:rPr>
          <w:rFonts w:ascii="ITC Avant Garde" w:eastAsia="Times New Roman" w:hAnsi="ITC Avant Garde"/>
          <w:bCs/>
          <w:lang w:eastAsia="es-ES"/>
        </w:rPr>
        <w:t xml:space="preserve"> Tribunal Colegiado de Circuito en Materia Administrativa Especializado en Competencia Económica, Radiodifusión y Telecomunicaciones correspondien</w:t>
      </w:r>
      <w:r w:rsidR="00D50035" w:rsidRPr="00746B6C">
        <w:rPr>
          <w:rFonts w:ascii="ITC Avant Garde" w:eastAsia="Times New Roman" w:hAnsi="ITC Avant Garde"/>
          <w:bCs/>
          <w:lang w:eastAsia="es-ES"/>
        </w:rPr>
        <w:t>te al amparo en revisión R.A. 159</w:t>
      </w:r>
      <w:r w:rsidRPr="00746B6C">
        <w:rPr>
          <w:rFonts w:ascii="ITC Avant Garde" w:eastAsia="Times New Roman" w:hAnsi="ITC Avant Garde"/>
          <w:bCs/>
          <w:lang w:eastAsia="es-ES"/>
        </w:rPr>
        <w:t>/2016.</w:t>
      </w:r>
    </w:p>
    <w:p w14:paraId="23A08A41" w14:textId="76838EEA" w:rsidR="009E3CFE" w:rsidRDefault="00C130B9" w:rsidP="009E3CFE">
      <w:pPr>
        <w:jc w:val="both"/>
        <w:rPr>
          <w:rFonts w:ascii="ITC Avant Garde" w:hAnsi="ITC Avant Garde" w:cs="Arial"/>
        </w:rPr>
      </w:pPr>
      <w:r w:rsidRPr="00746B6C">
        <w:rPr>
          <w:rFonts w:ascii="ITC Avant Garde" w:hAnsi="ITC Avant Garde" w:cs="Arial"/>
          <w:b/>
        </w:rPr>
        <w:t>SEGUNDO</w:t>
      </w:r>
      <w:r w:rsidR="00946933" w:rsidRPr="00746B6C">
        <w:rPr>
          <w:rFonts w:ascii="ITC Avant Garde" w:hAnsi="ITC Avant Garde" w:cs="Arial"/>
        </w:rPr>
        <w:t xml:space="preserve">.- </w:t>
      </w:r>
      <w:r w:rsidR="00E34502" w:rsidRPr="00746B6C">
        <w:rPr>
          <w:rFonts w:ascii="ITC Avant Garde" w:hAnsi="ITC Avant Garde" w:cs="Arial"/>
        </w:rPr>
        <w:t>En términos de lo señalado en el Considerando PRIMERO de la presente Resolución, l</w:t>
      </w:r>
      <w:r w:rsidR="00617D3E" w:rsidRPr="00746B6C">
        <w:rPr>
          <w:rFonts w:ascii="ITC Avant Garde" w:hAnsi="ITC Avant Garde" w:cs="Arial"/>
        </w:rPr>
        <w:t xml:space="preserve">a tarifa de interconexión que </w:t>
      </w:r>
      <w:r w:rsidR="00E52F1A" w:rsidRPr="00746B6C">
        <w:rPr>
          <w:rFonts w:ascii="ITC Avant Garde" w:hAnsi="ITC Avant Garde"/>
        </w:rPr>
        <w:t>Radiomóvil Dipsa, S.A. de C.V.</w:t>
      </w:r>
      <w:r w:rsidR="00B76A6B" w:rsidRPr="00746B6C">
        <w:rPr>
          <w:rFonts w:ascii="ITC Avant Garde" w:hAnsi="ITC Avant Garde" w:cs="Arial"/>
          <w:bCs/>
        </w:rPr>
        <w:t>,</w:t>
      </w:r>
      <w:r w:rsidR="00B76A6B" w:rsidRPr="00746B6C">
        <w:rPr>
          <w:rFonts w:ascii="ITC Avant Garde" w:hAnsi="ITC Avant Garde" w:cs="Arial"/>
          <w:b/>
          <w:bCs/>
        </w:rPr>
        <w:t xml:space="preserve"> </w:t>
      </w:r>
      <w:r w:rsidR="00617D3E" w:rsidRPr="00746B6C">
        <w:rPr>
          <w:rFonts w:ascii="ITC Avant Garde" w:hAnsi="ITC Avant Garde" w:cs="Arial"/>
        </w:rPr>
        <w:t>deberá pagar a</w:t>
      </w:r>
      <w:r w:rsidR="00BD522D" w:rsidRPr="00746B6C">
        <w:rPr>
          <w:rFonts w:ascii="ITC Avant Garde" w:hAnsi="ITC Avant Garde" w:cs="Arial"/>
        </w:rPr>
        <w:t xml:space="preserve"> Cablemás Telecomunicaciones, S.A. de C.V., TV Cable de Oriente, S.A. de C.V., Tele Azteca, S.A. de C.V. y México Red de Telecomunicaciones, S. de R.L. de C.V.</w:t>
      </w:r>
      <w:r w:rsidR="0005250B" w:rsidRPr="00746B6C">
        <w:rPr>
          <w:rFonts w:ascii="ITC Avant Garde" w:hAnsi="ITC Avant Garde" w:cs="Arial"/>
        </w:rPr>
        <w:t>, por servicios de terminación del Servicio Local en usuarios fijos, será la siguiente:</w:t>
      </w:r>
    </w:p>
    <w:p w14:paraId="3E640E93" w14:textId="77777777" w:rsidR="009E3CFE" w:rsidRDefault="009662AD" w:rsidP="009E3CFE">
      <w:pPr>
        <w:pStyle w:val="ROMANOS"/>
        <w:numPr>
          <w:ilvl w:val="0"/>
          <w:numId w:val="34"/>
        </w:numPr>
        <w:tabs>
          <w:tab w:val="clear" w:pos="720"/>
          <w:tab w:val="left" w:pos="567"/>
        </w:tabs>
        <w:spacing w:after="200" w:line="276" w:lineRule="auto"/>
        <w:ind w:left="567" w:hanging="283"/>
        <w:rPr>
          <w:rFonts w:ascii="ITC Avant Garde" w:hAnsi="ITC Avant Garde"/>
          <w:b/>
          <w:sz w:val="22"/>
          <w:szCs w:val="22"/>
        </w:rPr>
      </w:pPr>
      <w:r w:rsidRPr="00746B6C">
        <w:rPr>
          <w:rFonts w:ascii="ITC Avant Garde" w:hAnsi="ITC Avant Garde"/>
          <w:b/>
          <w:sz w:val="22"/>
          <w:szCs w:val="22"/>
        </w:rPr>
        <w:t xml:space="preserve">Del </w:t>
      </w:r>
      <w:r w:rsidR="00E34502" w:rsidRPr="00746B6C">
        <w:rPr>
          <w:rFonts w:ascii="ITC Avant Garde" w:hAnsi="ITC Avant Garde"/>
          <w:b/>
          <w:sz w:val="22"/>
          <w:szCs w:val="22"/>
        </w:rPr>
        <w:t>1 de enero</w:t>
      </w:r>
      <w:r w:rsidRPr="00746B6C">
        <w:rPr>
          <w:rFonts w:ascii="ITC Avant Garde" w:hAnsi="ITC Avant Garde"/>
          <w:b/>
          <w:sz w:val="22"/>
          <w:szCs w:val="22"/>
        </w:rPr>
        <w:t xml:space="preserve"> al 31 de diciembre de 2015 será de $0.004179 pesos M.N. por minuto de interconexión.</w:t>
      </w:r>
    </w:p>
    <w:p w14:paraId="7317FFA8" w14:textId="77777777" w:rsidR="009E3CFE" w:rsidRDefault="00BD522D" w:rsidP="009E3CFE">
      <w:pPr>
        <w:jc w:val="both"/>
        <w:rPr>
          <w:rFonts w:ascii="ITC Avant Garde" w:eastAsia="Times New Roman" w:hAnsi="ITC Avant Garde"/>
          <w:lang w:eastAsia="es-ES"/>
        </w:rPr>
      </w:pPr>
      <w:r w:rsidRPr="00746B6C">
        <w:rPr>
          <w:rFonts w:ascii="ITC Avant Garde" w:eastAsia="Times New Roman" w:hAnsi="ITC Avant Garde"/>
          <w:lang w:eastAsia="es-ES"/>
        </w:rPr>
        <w:t>La tarifa anterior ya incluye el costo correspondiente a los puertos necesarios para la interconexión.</w:t>
      </w:r>
    </w:p>
    <w:p w14:paraId="758084C9" w14:textId="77777777" w:rsidR="009E3CFE" w:rsidRDefault="00BD522D" w:rsidP="009E3CFE">
      <w:pPr>
        <w:jc w:val="both"/>
        <w:rPr>
          <w:rFonts w:ascii="ITC Avant Garde" w:hAnsi="ITC Avant Garde" w:cs="Arial"/>
        </w:rPr>
      </w:pPr>
      <w:r w:rsidRPr="00746B6C">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0563C37" w14:textId="77777777" w:rsidR="009E3CFE" w:rsidRDefault="006A632A" w:rsidP="009E3CFE">
      <w:pPr>
        <w:jc w:val="both"/>
        <w:rPr>
          <w:rFonts w:ascii="ITC Avant Garde" w:hAnsi="ITC Avant Garde"/>
        </w:rPr>
      </w:pPr>
      <w:r w:rsidRPr="00746B6C">
        <w:rPr>
          <w:rFonts w:ascii="ITC Avant Garde" w:hAnsi="ITC Avant Garde" w:cs="Arial"/>
          <w:b/>
        </w:rPr>
        <w:t>TERCERO</w:t>
      </w:r>
      <w:r w:rsidR="007D17BF" w:rsidRPr="00746B6C">
        <w:rPr>
          <w:rFonts w:ascii="ITC Avant Garde" w:hAnsi="ITC Avant Garde" w:cs="Arial"/>
        </w:rPr>
        <w:t xml:space="preserve">.- La tarifa de interconexión que </w:t>
      </w:r>
      <w:r w:rsidR="00BD522D" w:rsidRPr="00746B6C">
        <w:rPr>
          <w:rFonts w:ascii="ITC Avant Garde" w:hAnsi="ITC Avant Garde"/>
        </w:rPr>
        <w:t>Radiomóvil Dipsa, S.A. de C.V., deberá pagar a Cablemás Telecomunicaciones, S.A. de C.V., TV Cable de Oriente, S.A. de C.V., Tele Azteca, S.A. de C.V. y México Red de Telecomunicaciones, S. de R.L. de C.V., por servicios de terminación del Servicio Local en usuarios fijos, será la siguiente:</w:t>
      </w:r>
    </w:p>
    <w:p w14:paraId="406418F6" w14:textId="77777777" w:rsidR="009E3CFE" w:rsidRDefault="007D17BF" w:rsidP="009E3CFE">
      <w:pPr>
        <w:pStyle w:val="ROMANOS"/>
        <w:numPr>
          <w:ilvl w:val="0"/>
          <w:numId w:val="34"/>
        </w:numPr>
        <w:tabs>
          <w:tab w:val="clear" w:pos="720"/>
          <w:tab w:val="left" w:pos="567"/>
        </w:tabs>
        <w:spacing w:after="200" w:line="276" w:lineRule="auto"/>
        <w:ind w:left="567" w:hanging="283"/>
        <w:rPr>
          <w:rFonts w:ascii="ITC Avant Garde" w:hAnsi="ITC Avant Garde"/>
          <w:b/>
          <w:sz w:val="22"/>
          <w:szCs w:val="22"/>
        </w:rPr>
      </w:pPr>
      <w:r w:rsidRPr="00746B6C">
        <w:rPr>
          <w:rFonts w:ascii="ITC Avant Garde" w:hAnsi="ITC Avant Garde"/>
          <w:b/>
          <w:sz w:val="22"/>
          <w:szCs w:val="22"/>
        </w:rPr>
        <w:t>Del 1 de enero</w:t>
      </w:r>
      <w:r w:rsidR="00807FFD" w:rsidRPr="00746B6C">
        <w:rPr>
          <w:rFonts w:ascii="ITC Avant Garde" w:hAnsi="ITC Avant Garde"/>
          <w:b/>
          <w:sz w:val="22"/>
          <w:szCs w:val="22"/>
        </w:rPr>
        <w:t xml:space="preserve"> </w:t>
      </w:r>
      <w:r w:rsidRPr="00746B6C">
        <w:rPr>
          <w:rFonts w:ascii="ITC Avant Garde" w:hAnsi="ITC Avant Garde"/>
          <w:b/>
          <w:sz w:val="22"/>
          <w:szCs w:val="22"/>
        </w:rPr>
        <w:t>al 31 de diciembre de 2016, $0.003088 pesos M.N. por minuto de interconexión.</w:t>
      </w:r>
    </w:p>
    <w:p w14:paraId="38E7A210" w14:textId="77777777" w:rsidR="009E3CFE" w:rsidRDefault="00BD522D" w:rsidP="009E3CFE">
      <w:pPr>
        <w:jc w:val="both"/>
        <w:rPr>
          <w:rFonts w:ascii="ITC Avant Garde" w:hAnsi="ITC Avant Garde" w:cs="Arial"/>
        </w:rPr>
      </w:pPr>
      <w:r w:rsidRPr="00746B6C">
        <w:rPr>
          <w:rFonts w:ascii="ITC Avant Garde" w:hAnsi="ITC Avant Garde" w:cs="Arial"/>
        </w:rPr>
        <w:t>La tarifa anterior ya incluye el costo correspondiente a los puertos necesarios para la interconexión.</w:t>
      </w:r>
    </w:p>
    <w:p w14:paraId="3FCA2121" w14:textId="77777777" w:rsidR="009E3CFE" w:rsidRDefault="00BD522D" w:rsidP="009E3CFE">
      <w:pPr>
        <w:pStyle w:val="Textoindependiente"/>
        <w:spacing w:after="200" w:line="276" w:lineRule="auto"/>
        <w:rPr>
          <w:rFonts w:ascii="ITC Avant Garde" w:eastAsia="Calibri" w:hAnsi="ITC Avant Garde" w:cs="Arial"/>
          <w:szCs w:val="22"/>
        </w:rPr>
      </w:pPr>
      <w:r w:rsidRPr="00746B6C">
        <w:rPr>
          <w:rFonts w:ascii="ITC Avant Garde" w:eastAsia="Calibri" w:hAnsi="ITC Avant Garde" w:cs="Arial"/>
          <w:szCs w:val="22"/>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008644D8" w14:textId="77777777" w:rsidR="009E3CFE" w:rsidRDefault="006A632A" w:rsidP="009E3CFE">
      <w:pPr>
        <w:jc w:val="both"/>
        <w:rPr>
          <w:rFonts w:ascii="ITC Avant Garde" w:hAnsi="ITC Avant Garde" w:cs="Arial"/>
        </w:rPr>
      </w:pPr>
      <w:r w:rsidRPr="00746B6C">
        <w:rPr>
          <w:rFonts w:ascii="ITC Avant Garde" w:hAnsi="ITC Avant Garde" w:cs="Arial"/>
          <w:b/>
        </w:rPr>
        <w:t>CUARTO</w:t>
      </w:r>
      <w:r w:rsidR="009662AD" w:rsidRPr="00746B6C">
        <w:rPr>
          <w:rFonts w:ascii="ITC Avant Garde" w:hAnsi="ITC Avant Garde" w:cs="Arial"/>
          <w:b/>
        </w:rPr>
        <w:t xml:space="preserve">.- </w:t>
      </w:r>
      <w:r w:rsidR="00E34502" w:rsidRPr="00746B6C">
        <w:rPr>
          <w:rFonts w:ascii="ITC Avant Garde" w:hAnsi="ITC Avant Garde" w:cs="Arial"/>
        </w:rPr>
        <w:t xml:space="preserve">En cumplimiento a la ejecutoria de fecha </w:t>
      </w:r>
      <w:r w:rsidR="00C54633" w:rsidRPr="00746B6C">
        <w:rPr>
          <w:rFonts w:ascii="ITC Avant Garde" w:hAnsi="ITC Avant Garde" w:cs="Arial"/>
        </w:rPr>
        <w:t>16 de noviembre</w:t>
      </w:r>
      <w:r w:rsidR="00E34502" w:rsidRPr="00746B6C">
        <w:rPr>
          <w:rFonts w:ascii="ITC Avant Garde" w:hAnsi="ITC Avant Garde" w:cs="Arial"/>
        </w:rPr>
        <w:t xml:space="preserve"> de 2017 emitida por el </w:t>
      </w:r>
      <w:r w:rsidR="00C54633" w:rsidRPr="00746B6C">
        <w:rPr>
          <w:rFonts w:ascii="ITC Avant Garde" w:hAnsi="ITC Avant Garde" w:cs="Arial"/>
        </w:rPr>
        <w:t>Primer</w:t>
      </w:r>
      <w:r w:rsidR="00E34502" w:rsidRPr="00746B6C">
        <w:rPr>
          <w:rFonts w:ascii="ITC Avant Garde" w:hAnsi="ITC Avant Garde" w:cs="Arial"/>
        </w:rPr>
        <w:t xml:space="preserve"> Tribunal Colegiado en Materia Administrativa Especializado en Competencia Económica, Radiodifusión y Telecomunicaciones con residencia en la Ciudad de México y jurisdicción en toda la República correspo</w:t>
      </w:r>
      <w:r w:rsidR="00C54633" w:rsidRPr="00746B6C">
        <w:rPr>
          <w:rFonts w:ascii="ITC Avant Garde" w:hAnsi="ITC Avant Garde" w:cs="Arial"/>
        </w:rPr>
        <w:t>ndiente al amparo en revisión 159</w:t>
      </w:r>
      <w:r w:rsidR="00E34502" w:rsidRPr="00746B6C">
        <w:rPr>
          <w:rFonts w:ascii="ITC Avant Garde" w:hAnsi="ITC Avant Garde" w:cs="Arial"/>
        </w:rPr>
        <w:t xml:space="preserve">/2016, para el periodo del 1 de enero al </w:t>
      </w:r>
      <w:r w:rsidR="00C54633" w:rsidRPr="00746B6C">
        <w:rPr>
          <w:rFonts w:ascii="ITC Avant Garde" w:hAnsi="ITC Avant Garde" w:cs="Arial"/>
        </w:rPr>
        <w:t>6 de octubre</w:t>
      </w:r>
      <w:r w:rsidR="00E34502" w:rsidRPr="00746B6C">
        <w:rPr>
          <w:rFonts w:ascii="ITC Avant Garde" w:hAnsi="ITC Avant Garde" w:cs="Arial"/>
        </w:rPr>
        <w:t xml:space="preserve"> de 2015, las partes deberán pagarse las diferencias que en su caso resulten, entre las tarifas que fueron efectivamente cobradas y las determinadas en la presente Resolución.</w:t>
      </w:r>
    </w:p>
    <w:p w14:paraId="6EDB5BEC" w14:textId="77777777" w:rsidR="009E3CFE" w:rsidRDefault="00AF35DC" w:rsidP="009E3CFE">
      <w:pPr>
        <w:jc w:val="both"/>
        <w:rPr>
          <w:rFonts w:ascii="ITC Avant Garde" w:hAnsi="ITC Avant Garde" w:cs="Arial"/>
          <w:bCs/>
          <w:i/>
        </w:rPr>
      </w:pPr>
      <w:r w:rsidRPr="00746B6C">
        <w:rPr>
          <w:rFonts w:ascii="ITC Avant Garde" w:hAnsi="ITC Avant Garde" w:cs="Arial"/>
          <w:b/>
        </w:rPr>
        <w:t>QUINTO.-</w:t>
      </w:r>
      <w:r w:rsidRPr="00746B6C">
        <w:rPr>
          <w:rFonts w:ascii="ITC Avant Garde" w:hAnsi="ITC Avant Garde" w:cs="Arial"/>
        </w:rPr>
        <w:t xml:space="preserve"> </w:t>
      </w:r>
      <w:r w:rsidRPr="00746B6C">
        <w:rPr>
          <w:rFonts w:ascii="ITC Avant Garde" w:hAnsi="ITC Avant Garde"/>
        </w:rPr>
        <w:t xml:space="preserve">Radiomóvil Dipsa, S.A. de C.V. deberá otorgar a Cablemás Telecomunicaciones, S.A. de C.V., TV Cable de Oriente, S.A. de C.V., Tele Azteca, S.A. de C.V. y México Red de Telecomunicaciones, S. de R.L. de C.V. </w:t>
      </w:r>
      <w:r w:rsidRPr="00746B6C">
        <w:rPr>
          <w:rFonts w:ascii="ITC Avant Garde" w:hAnsi="ITC Avant Garde" w:cs="Arial"/>
          <w:bCs/>
        </w:rPr>
        <w:t>el intercambio de tráfico mediante el Protocolo de Internet (IP), en términos de lo establecido en las “</w:t>
      </w:r>
      <w:r w:rsidRPr="00746B6C">
        <w:rPr>
          <w:rFonts w:ascii="ITC Avant Garde" w:hAnsi="ITC Avant Garde" w:cs="Arial"/>
          <w:i/>
          <w:snapToGrid w:val="0"/>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Pr="00746B6C">
        <w:rPr>
          <w:rFonts w:ascii="ITC Avant Garde" w:hAnsi="ITC Avant Garde" w:cs="Arial"/>
          <w:bCs/>
        </w:rPr>
        <w:t xml:space="preserve"> el “</w:t>
      </w:r>
      <w:r w:rsidRPr="00746B6C">
        <w:rPr>
          <w:rFonts w:ascii="ITC Avant Garde" w:hAnsi="ITC Avant Garde" w:cs="Arial"/>
          <w:bCs/>
          <w:i/>
        </w:rPr>
        <w:t xml:space="preserve">Acuerdo mediante el cual el Pleno del Instituto Federal de Telecomunicaciones establece las condiciones técnicas mínimas para la interconexión entre concesionarios que operen redes públicas de telecomunicaciones”, </w:t>
      </w:r>
      <w:r w:rsidRPr="00746B6C">
        <w:rPr>
          <w:rFonts w:ascii="ITC Avant Garde" w:hAnsi="ITC Avant Garde" w:cs="Arial"/>
          <w:bCs/>
        </w:rPr>
        <w:t>o aquellas que las modifiquen o sustituyan y el</w:t>
      </w:r>
      <w:r w:rsidRPr="00746B6C">
        <w:rPr>
          <w:rFonts w:ascii="ITC Avant Garde" w:hAnsi="ITC Avant Garde" w:cs="Arial"/>
          <w:bCs/>
          <w:i/>
        </w:rPr>
        <w:t xml:space="preserve"> “Acuerdo mediante el cual el Pleno del Instituto Federal de Telecomunicaciones define los puntos de interconexión a la red del Agente Económico Preponderante”.</w:t>
      </w:r>
    </w:p>
    <w:p w14:paraId="0B0B4429" w14:textId="77777777" w:rsidR="009E3CFE" w:rsidRDefault="00AF35DC" w:rsidP="009E3CFE">
      <w:pPr>
        <w:jc w:val="both"/>
        <w:rPr>
          <w:rFonts w:ascii="ITC Avant Garde" w:hAnsi="ITC Avant Garde" w:cs="Arial"/>
          <w:bCs/>
        </w:rPr>
      </w:pPr>
      <w:r w:rsidRPr="00746B6C">
        <w:rPr>
          <w:rFonts w:ascii="ITC Avant Garde" w:hAnsi="ITC Avant Garde" w:cs="Arial"/>
          <w:bCs/>
        </w:rPr>
        <w:t>Lo anterior, sin perjuicio de que las partes cumplan con las disposiciones administrativas de carácter general que establezcan las normas técnicas relativas a los protocolos de señalización o estándares de transmisión, y aquellas disposiciones en materia de calidad y seguridad en la provisión de servicios de interconexión, que en su caso emita el Instituto Federal de Telecomunicaciones.</w:t>
      </w:r>
    </w:p>
    <w:p w14:paraId="79180743" w14:textId="77777777" w:rsidR="009E3CFE" w:rsidRDefault="00AF35DC" w:rsidP="009E3CFE">
      <w:pPr>
        <w:jc w:val="both"/>
        <w:rPr>
          <w:rFonts w:ascii="ITC Avant Garde" w:hAnsi="ITC Avant Garde" w:cs="Arial"/>
        </w:rPr>
      </w:pPr>
      <w:r w:rsidRPr="00746B6C">
        <w:rPr>
          <w:rFonts w:ascii="ITC Avant Garde" w:hAnsi="ITC Avant Garde" w:cs="Arial"/>
          <w:b/>
        </w:rPr>
        <w:t>SEXTO</w:t>
      </w:r>
      <w:r w:rsidR="00C37862" w:rsidRPr="00746B6C">
        <w:rPr>
          <w:rFonts w:ascii="ITC Avant Garde" w:hAnsi="ITC Avant Garde" w:cs="Arial"/>
          <w:b/>
        </w:rPr>
        <w:t>.-</w:t>
      </w:r>
      <w:r w:rsidR="00C37862" w:rsidRPr="00746B6C">
        <w:rPr>
          <w:rFonts w:ascii="ITC Avant Garde" w:hAnsi="ITC Avant Garde" w:cs="Arial"/>
        </w:rPr>
        <w:t xml:space="preserve"> </w:t>
      </w:r>
      <w:r w:rsidR="00A258E3" w:rsidRPr="00746B6C">
        <w:rPr>
          <w:rFonts w:ascii="ITC Avant Garde" w:hAnsi="ITC Avant Garde" w:cs="Arial"/>
        </w:rPr>
        <w:t>Dentro de los</w:t>
      </w:r>
      <w:r w:rsidR="0054738F" w:rsidRPr="00746B6C">
        <w:rPr>
          <w:rFonts w:ascii="ITC Avant Garde" w:hAnsi="ITC Avant Garde" w:cs="Arial"/>
        </w:rPr>
        <w:t xml:space="preserve"> </w:t>
      </w:r>
      <w:r w:rsidR="001960F0" w:rsidRPr="00746B6C">
        <w:rPr>
          <w:rFonts w:ascii="ITC Avant Garde" w:hAnsi="ITC Avant Garde" w:cs="Arial"/>
        </w:rPr>
        <w:t xml:space="preserve">diez </w:t>
      </w:r>
      <w:r w:rsidR="00A258E3" w:rsidRPr="00746B6C">
        <w:rPr>
          <w:rFonts w:ascii="ITC Avant Garde" w:hAnsi="ITC Avant Garde" w:cs="Arial"/>
        </w:rPr>
        <w:t xml:space="preserve">(10) </w:t>
      </w:r>
      <w:r w:rsidR="001960F0" w:rsidRPr="00746B6C">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C54633" w:rsidRPr="00746B6C">
        <w:rPr>
          <w:rFonts w:ascii="ITC Avant Garde" w:hAnsi="ITC Avant Garde"/>
        </w:rPr>
        <w:t>Radiomóvil Dipsa, S.A. de C.V. y las empresas Cablemás Telecomunicaciones, S.A. de C.V., TV Cable de Oriente, S.A. de C.V., Tele Azteca, S.A. de C.V. y México Red de Telecomunicaciones, S. de R.L. de C.V.</w:t>
      </w:r>
      <w:r w:rsidR="001960F0" w:rsidRPr="00746B6C">
        <w:rPr>
          <w:rFonts w:ascii="ITC Avant Garde" w:hAnsi="ITC Avant Garde"/>
        </w:rPr>
        <w:t xml:space="preserve">, </w:t>
      </w:r>
      <w:r w:rsidR="001960F0" w:rsidRPr="00746B6C">
        <w:rPr>
          <w:rFonts w:ascii="ITC Avant Garde" w:hAnsi="ITC Avant Garde" w:cs="Arial"/>
        </w:rPr>
        <w:t xml:space="preserve">deberán celebrar los convenios de interconexión de sus redes públicas de telecomunicaciones conforme a los términos y condiciones determinados </w:t>
      </w:r>
      <w:r w:rsidR="001960F0" w:rsidRPr="00746B6C">
        <w:rPr>
          <w:rFonts w:ascii="ITC Avant Garde" w:hAnsi="ITC Avant Garde" w:cs="Arial"/>
        </w:rPr>
        <w:lastRenderedPageBreak/>
        <w:t xml:space="preserve">en </w:t>
      </w:r>
      <w:r w:rsidR="00C37862" w:rsidRPr="00746B6C">
        <w:rPr>
          <w:rFonts w:ascii="ITC Avant Garde" w:hAnsi="ITC Avant Garde" w:cs="Arial"/>
        </w:rPr>
        <w:t>el</w:t>
      </w:r>
      <w:r w:rsidR="00455BEF" w:rsidRPr="00746B6C">
        <w:rPr>
          <w:rFonts w:ascii="ITC Avant Garde" w:hAnsi="ITC Avant Garde" w:cs="Arial"/>
        </w:rPr>
        <w:t xml:space="preserve"> Resolutivo </w:t>
      </w:r>
      <w:r w:rsidR="006A632A" w:rsidRPr="00746B6C">
        <w:rPr>
          <w:rFonts w:ascii="ITC Avant Garde" w:hAnsi="ITC Avant Garde" w:cs="Arial"/>
        </w:rPr>
        <w:t>SEGUNDO, TERCERO</w:t>
      </w:r>
      <w:r w:rsidRPr="00746B6C">
        <w:rPr>
          <w:rFonts w:ascii="ITC Avant Garde" w:hAnsi="ITC Avant Garde" w:cs="Arial"/>
        </w:rPr>
        <w:t xml:space="preserve">, </w:t>
      </w:r>
      <w:r w:rsidR="006A632A" w:rsidRPr="00746B6C">
        <w:rPr>
          <w:rFonts w:ascii="ITC Avant Garde" w:hAnsi="ITC Avant Garde" w:cs="Arial"/>
        </w:rPr>
        <w:t>CUARTO</w:t>
      </w:r>
      <w:r w:rsidR="009662AD" w:rsidRPr="00746B6C">
        <w:rPr>
          <w:rFonts w:ascii="ITC Avant Garde" w:hAnsi="ITC Avant Garde" w:cs="Arial"/>
        </w:rPr>
        <w:t xml:space="preserve"> </w:t>
      </w:r>
      <w:r w:rsidRPr="00746B6C">
        <w:rPr>
          <w:rFonts w:ascii="ITC Avant Garde" w:hAnsi="ITC Avant Garde" w:cs="Arial"/>
        </w:rPr>
        <w:t xml:space="preserve">y QUINTO </w:t>
      </w:r>
      <w:r w:rsidR="001960F0" w:rsidRPr="00746B6C">
        <w:rPr>
          <w:rFonts w:ascii="ITC Avant Garde" w:hAnsi="ITC Avant Garde" w:cs="Arial"/>
        </w:rPr>
        <w:t xml:space="preserve">de la presente Resolución. </w:t>
      </w:r>
      <w:r w:rsidR="00C37862" w:rsidRPr="00746B6C">
        <w:rPr>
          <w:rFonts w:ascii="ITC Avant Garde" w:hAnsi="ITC Avant Garde" w:cs="Arial"/>
        </w:rPr>
        <w:t>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CDD5C61" w14:textId="77777777" w:rsidR="009E3CFE" w:rsidRDefault="00AF35DC" w:rsidP="009E3CFE">
      <w:pPr>
        <w:jc w:val="both"/>
        <w:rPr>
          <w:rFonts w:ascii="ITC Avant Garde" w:hAnsi="ITC Avant Garde" w:cs="Arial"/>
        </w:rPr>
      </w:pPr>
      <w:r w:rsidRPr="00746B6C">
        <w:rPr>
          <w:rFonts w:ascii="ITC Avant Garde" w:hAnsi="ITC Avant Garde" w:cs="Arial"/>
          <w:b/>
        </w:rPr>
        <w:t>SÉPTIMO</w:t>
      </w:r>
      <w:r w:rsidR="00C37862" w:rsidRPr="00746B6C">
        <w:rPr>
          <w:rFonts w:ascii="ITC Avant Garde" w:hAnsi="ITC Avant Garde" w:cs="Arial"/>
          <w:b/>
        </w:rPr>
        <w:t>.-</w:t>
      </w:r>
      <w:r w:rsidR="00A1228C" w:rsidRPr="00746B6C">
        <w:rPr>
          <w:rFonts w:ascii="ITC Avant Garde" w:hAnsi="ITC Avant Garde" w:cs="Arial"/>
          <w:b/>
        </w:rPr>
        <w:t xml:space="preserve"> </w:t>
      </w:r>
      <w:r w:rsidR="00506FE7" w:rsidRPr="00746B6C">
        <w:rPr>
          <w:rFonts w:ascii="ITC Avant Garde" w:hAnsi="ITC Avant Garde" w:cs="Arial"/>
        </w:rPr>
        <w:t xml:space="preserve">En cumplimiento a lo dispuesto en los artículos 312 y 313 de la Ley Federal de Telecomunicaciones y Radiodifusión, se hace del conocimiento de </w:t>
      </w:r>
      <w:r w:rsidR="00C54633" w:rsidRPr="00746B6C">
        <w:rPr>
          <w:rFonts w:ascii="ITC Avant Garde" w:hAnsi="ITC Avant Garde" w:cs="Arial"/>
        </w:rPr>
        <w:t>Radiomóvil Dipsa, S.A. de C.V. y las empresas Cablemás Telecomunicaciones, S.A. de C.V., TV Cable de Oriente, S.A. de C.V., Tele Azteca, S.A. de C.V. y México Red de Telecomunicaciones, S. de R.L. de C.V.</w:t>
      </w:r>
      <w:r w:rsidR="00B76A6B" w:rsidRPr="00746B6C">
        <w:rPr>
          <w:rFonts w:ascii="ITC Avant Garde" w:hAnsi="ITC Avant Garde" w:cs="Arial"/>
          <w:bCs/>
        </w:rPr>
        <w:t>,</w:t>
      </w:r>
      <w:r w:rsidR="00B76A6B" w:rsidRPr="00746B6C">
        <w:rPr>
          <w:rFonts w:ascii="ITC Avant Garde" w:hAnsi="ITC Avant Garde" w:cs="Arial"/>
          <w:b/>
          <w:bCs/>
        </w:rPr>
        <w:t xml:space="preserve"> </w:t>
      </w:r>
      <w:r w:rsidR="00506FE7" w:rsidRPr="00746B6C">
        <w:rPr>
          <w:rFonts w:ascii="ITC Avant Garde" w:hAnsi="ITC Avant Garde"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0EA7A833" w14:textId="78FA2656" w:rsidR="009E3CFE" w:rsidRDefault="00AF35DC" w:rsidP="001C1F99">
      <w:pPr>
        <w:jc w:val="both"/>
        <w:rPr>
          <w:rFonts w:ascii="ITC Avant Garde" w:hAnsi="ITC Avant Garde" w:cs="Arial"/>
        </w:rPr>
      </w:pPr>
      <w:r w:rsidRPr="00746B6C">
        <w:rPr>
          <w:rFonts w:ascii="ITC Avant Garde" w:hAnsi="ITC Avant Garde" w:cs="Arial"/>
          <w:b/>
          <w:bCs/>
        </w:rPr>
        <w:t>OCTAVO</w:t>
      </w:r>
      <w:r w:rsidR="00C37862" w:rsidRPr="00746B6C">
        <w:rPr>
          <w:rFonts w:ascii="ITC Avant Garde" w:hAnsi="ITC Avant Garde" w:cs="Arial"/>
          <w:b/>
          <w:snapToGrid w:val="0"/>
        </w:rPr>
        <w:t>.-</w:t>
      </w:r>
      <w:r w:rsidR="00C37862" w:rsidRPr="00746B6C">
        <w:rPr>
          <w:rFonts w:ascii="ITC Avant Garde" w:hAnsi="ITC Avant Garde" w:cs="Arial"/>
        </w:rPr>
        <w:t xml:space="preserve"> Notifíquese personalmente a los representantes legales de </w:t>
      </w:r>
      <w:r w:rsidR="00A1228C" w:rsidRPr="00746B6C">
        <w:rPr>
          <w:rFonts w:ascii="ITC Avant Garde" w:hAnsi="ITC Avant Garde"/>
        </w:rPr>
        <w:t>Radiomóvil Dipsa, S.A. de C.V. y las empresas Cablemás Telecomunicaciones, S.A. de C.V., TV Cable de Oriente, S.A. de C.V., Tele Azteca, S.A. de C.V. y México Red de Telecomunicaciones, S. de R.L. de C.V.</w:t>
      </w:r>
      <w:r w:rsidRPr="00746B6C">
        <w:rPr>
          <w:rFonts w:ascii="ITC Avant Garde" w:hAnsi="ITC Avant Garde"/>
        </w:rPr>
        <w:t xml:space="preserve"> </w:t>
      </w:r>
      <w:r w:rsidR="00C37862" w:rsidRPr="00746B6C">
        <w:rPr>
          <w:rFonts w:ascii="ITC Avant Garde" w:hAnsi="ITC Avant Garde" w:cs="Arial"/>
          <w:bCs/>
        </w:rPr>
        <w:t>el</w:t>
      </w:r>
      <w:r w:rsidR="00C37862" w:rsidRPr="00746B6C">
        <w:rPr>
          <w:rFonts w:ascii="ITC Avant Garde" w:hAnsi="ITC Avant Garde" w:cs="Arial"/>
        </w:rPr>
        <w:t xml:space="preserve"> contenido de la presente Resolución, en términos de lo establecido en el artículo 129 fracción VIII de la Ley Federal de Telecomunicaciones y Radiodifusión.</w:t>
      </w:r>
    </w:p>
    <w:p w14:paraId="52D0B71A" w14:textId="77777777" w:rsidR="009E3CFE" w:rsidRDefault="00B43655" w:rsidP="001C1F99">
      <w:pPr>
        <w:pStyle w:val="Prrafodelista"/>
        <w:ind w:left="0"/>
        <w:rPr>
          <w:rFonts w:ascii="ITC Avant Garde" w:hAnsi="ITC Avant Garde"/>
          <w:sz w:val="12"/>
          <w:szCs w:val="12"/>
          <w:lang w:val="es-ES_tradnl"/>
        </w:rPr>
      </w:pPr>
      <w:r w:rsidRPr="00B43655">
        <w:rPr>
          <w:rFonts w:ascii="ITC Avant Garde" w:hAnsi="ITC Avant Garde"/>
          <w:sz w:val="12"/>
          <w:szCs w:val="12"/>
          <w:lang w:val="es-ES_tradnl"/>
        </w:rPr>
        <w:t xml:space="preserve">La presente Resolución fue aprobada por el Pleno del Instituto Federal de Telecomunicaciones en su LIV Sesión Ordinaria celebrada el 19 de diciembre de 2017, en lo general </w:t>
      </w:r>
      <w:r w:rsidRPr="00B43655">
        <w:rPr>
          <w:rFonts w:ascii="ITC Avant Garde" w:hAnsi="ITC Avant Garde"/>
          <w:bCs/>
          <w:sz w:val="12"/>
          <w:szCs w:val="12"/>
          <w:lang w:val="es-ES_tradnl"/>
        </w:rPr>
        <w:t xml:space="preserve">por unanimidad </w:t>
      </w:r>
      <w:r w:rsidRPr="00B43655">
        <w:rPr>
          <w:rFonts w:ascii="ITC Avant Garde" w:hAnsi="ITC Avant Garde"/>
          <w:sz w:val="12"/>
          <w:szCs w:val="12"/>
          <w:lang w:val="es-ES_tradnl"/>
        </w:rPr>
        <w:t>de votos de los Comisionados Gabriel Oswaldo Contreras Saldívar, Adriana Sofía Labardini Inzunza, María Elena Estavillo Flores, Mario Germán Fromow Rangel, Adolfo Cuevas Teja, Javier Juárez Mojica y Arturo Robles Rovalo.</w:t>
      </w:r>
    </w:p>
    <w:p w14:paraId="13D22510" w14:textId="77777777" w:rsidR="009E3CFE" w:rsidRDefault="00B43655" w:rsidP="001C1F99">
      <w:pPr>
        <w:pStyle w:val="Prrafodelista"/>
        <w:ind w:left="0"/>
        <w:rPr>
          <w:rFonts w:ascii="ITC Avant Garde" w:hAnsi="ITC Avant Garde"/>
          <w:sz w:val="12"/>
          <w:szCs w:val="12"/>
          <w:lang w:val="es-ES_tradnl"/>
        </w:rPr>
      </w:pPr>
      <w:r w:rsidRPr="00B43655">
        <w:rPr>
          <w:rFonts w:ascii="ITC Avant Garde" w:hAnsi="ITC Avant Garde"/>
          <w:sz w:val="12"/>
          <w:szCs w:val="12"/>
          <w:lang w:val="es-ES_tradnl"/>
        </w:rPr>
        <w:t xml:space="preserve">En lo particular, la Comisionada María Elena Estavillo Flores manifiesta voto en contra del Resolutivo Tercero por la forma en que se determinaron las tarifas 2016; y del Resolutivo Sexto en lo que se refiere a la inclusión de las tarifas 2016 en el Convenio. </w:t>
      </w:r>
    </w:p>
    <w:p w14:paraId="3C627947" w14:textId="28D35A48" w:rsidR="007130F8" w:rsidRPr="007130F8" w:rsidRDefault="00B43655" w:rsidP="001C1F99">
      <w:pPr>
        <w:pStyle w:val="Prrafodelista"/>
        <w:ind w:left="0"/>
        <w:rPr>
          <w:rFonts w:ascii="ITC Avant Garde" w:hAnsi="ITC Avant Garde"/>
          <w:sz w:val="12"/>
          <w:szCs w:val="12"/>
          <w:lang w:val="es-ES_tradnl"/>
        </w:rPr>
      </w:pPr>
      <w:r w:rsidRPr="00B43655">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P/IFT/191217/916.</w:t>
      </w:r>
    </w:p>
    <w:sectPr w:rsidR="007130F8" w:rsidRPr="007130F8" w:rsidSect="004C2B0E">
      <w:headerReference w:type="even" r:id="rId11"/>
      <w:headerReference w:type="default" r:id="rId12"/>
      <w:footerReference w:type="default" r:id="rId13"/>
      <w:headerReference w:type="first" r:id="rId14"/>
      <w:footnotePr>
        <w:numStart w:val="33"/>
      </w:footnotePr>
      <w:pgSz w:w="12240" w:h="15840"/>
      <w:pgMar w:top="1985" w:right="153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33C6" w14:textId="77777777" w:rsidR="00E83A73" w:rsidRDefault="00E83A73" w:rsidP="00072BC8">
      <w:pPr>
        <w:spacing w:after="0" w:line="240" w:lineRule="auto"/>
      </w:pPr>
      <w:r>
        <w:separator/>
      </w:r>
    </w:p>
  </w:endnote>
  <w:endnote w:type="continuationSeparator" w:id="0">
    <w:p w14:paraId="1E45EC50" w14:textId="77777777" w:rsidR="00E83A73" w:rsidRDefault="00E83A73" w:rsidP="00072BC8">
      <w:pPr>
        <w:spacing w:after="0" w:line="240" w:lineRule="auto"/>
      </w:pPr>
      <w:r>
        <w:continuationSeparator/>
      </w:r>
    </w:p>
  </w:endnote>
  <w:endnote w:type="continuationNotice" w:id="1">
    <w:p w14:paraId="1921905B" w14:textId="77777777" w:rsidR="00E83A73" w:rsidRDefault="00E83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56527"/>
      <w:docPartObj>
        <w:docPartGallery w:val="Page Numbers (Bottom of Page)"/>
        <w:docPartUnique/>
      </w:docPartObj>
    </w:sdtPr>
    <w:sdtEndPr>
      <w:rPr>
        <w:rFonts w:ascii="ITC Avant Garde" w:hAnsi="ITC Avant Garde"/>
        <w:sz w:val="20"/>
        <w:szCs w:val="20"/>
      </w:rPr>
    </w:sdtEndPr>
    <w:sdtContent>
      <w:p w14:paraId="0E110A20" w14:textId="6263A805" w:rsidR="00AB22A5" w:rsidRPr="001C1F99" w:rsidRDefault="00741EBF" w:rsidP="001C1F99">
        <w:pPr>
          <w:pStyle w:val="Piedepgina"/>
          <w:jc w:val="right"/>
          <w:rPr>
            <w:rFonts w:ascii="ITC Avant Garde" w:hAnsi="ITC Avant Garde"/>
            <w:sz w:val="20"/>
            <w:szCs w:val="20"/>
          </w:rPr>
        </w:pPr>
        <w:r w:rsidRPr="00741EBF">
          <w:rPr>
            <w:rFonts w:ascii="ITC Avant Garde" w:hAnsi="ITC Avant Garde"/>
            <w:sz w:val="20"/>
            <w:szCs w:val="20"/>
          </w:rPr>
          <w:fldChar w:fldCharType="begin"/>
        </w:r>
        <w:r w:rsidRPr="00741EBF">
          <w:rPr>
            <w:rFonts w:ascii="ITC Avant Garde" w:hAnsi="ITC Avant Garde"/>
            <w:sz w:val="20"/>
            <w:szCs w:val="20"/>
          </w:rPr>
          <w:instrText>PAGE   \* MERGEFORMAT</w:instrText>
        </w:r>
        <w:r w:rsidRPr="00741EBF">
          <w:rPr>
            <w:rFonts w:ascii="ITC Avant Garde" w:hAnsi="ITC Avant Garde"/>
            <w:sz w:val="20"/>
            <w:szCs w:val="20"/>
          </w:rPr>
          <w:fldChar w:fldCharType="separate"/>
        </w:r>
        <w:r w:rsidR="001C1F99" w:rsidRPr="001C1F99">
          <w:rPr>
            <w:rFonts w:ascii="ITC Avant Garde" w:hAnsi="ITC Avant Garde"/>
            <w:noProof/>
            <w:sz w:val="20"/>
            <w:szCs w:val="20"/>
            <w:lang w:val="es-ES"/>
          </w:rPr>
          <w:t>2</w:t>
        </w:r>
        <w:r w:rsidRPr="00741EB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1B993" w14:textId="77777777" w:rsidR="00E83A73" w:rsidRDefault="00E83A73" w:rsidP="00072BC8">
      <w:pPr>
        <w:spacing w:after="0" w:line="240" w:lineRule="auto"/>
      </w:pPr>
      <w:r>
        <w:separator/>
      </w:r>
    </w:p>
  </w:footnote>
  <w:footnote w:type="continuationSeparator" w:id="0">
    <w:p w14:paraId="7E5A10C4" w14:textId="77777777" w:rsidR="00E83A73" w:rsidRDefault="00E83A73" w:rsidP="00072BC8">
      <w:pPr>
        <w:spacing w:after="0" w:line="240" w:lineRule="auto"/>
      </w:pPr>
      <w:r>
        <w:continuationSeparator/>
      </w:r>
    </w:p>
  </w:footnote>
  <w:footnote w:type="continuationNotice" w:id="1">
    <w:p w14:paraId="67F8E551" w14:textId="77777777" w:rsidR="00E83A73" w:rsidRDefault="00E83A73">
      <w:pPr>
        <w:spacing w:after="0" w:line="240" w:lineRule="auto"/>
      </w:pPr>
    </w:p>
  </w:footnote>
  <w:footnote w:id="2">
    <w:p w14:paraId="1D794C4F" w14:textId="77777777" w:rsidR="00AB22A5" w:rsidRPr="000C17F6" w:rsidRDefault="00AB22A5" w:rsidP="000C17F6">
      <w:pPr>
        <w:pStyle w:val="Textonotapie"/>
        <w:jc w:val="both"/>
        <w:rPr>
          <w:rFonts w:ascii="ITC Avant Garde" w:hAnsi="ITC Avant Garde"/>
          <w:i/>
          <w:lang w:val="es-MX"/>
        </w:rPr>
      </w:pPr>
      <w:r w:rsidRPr="000C17F6">
        <w:rPr>
          <w:rStyle w:val="Refdenotaalpie"/>
          <w:rFonts w:ascii="ITC Avant Garde" w:hAnsi="ITC Avant Garde"/>
          <w:i/>
          <w:sz w:val="18"/>
        </w:rPr>
        <w:footnoteRef/>
      </w:r>
      <w:r w:rsidRPr="000C17F6">
        <w:rPr>
          <w:rFonts w:ascii="ITC Avant Garde" w:hAnsi="ITC Avant Garde"/>
          <w:i/>
          <w:sz w:val="18"/>
        </w:rPr>
        <w:t xml:space="preserv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tarifas, antes del 15 de diciembre para que las nuevas condiciones de interconexión inicien su vigencia el 1 de enero del siguiente año.</w:t>
      </w:r>
      <w:r>
        <w:rPr>
          <w:rFonts w:ascii="ITC Avant Garde" w:hAnsi="ITC Avant Garde"/>
          <w:i/>
          <w:sz w:val="18"/>
        </w:rPr>
        <w:t>”</w:t>
      </w:r>
    </w:p>
  </w:footnote>
  <w:footnote w:id="3">
    <w:p w14:paraId="51713E3A" w14:textId="77777777" w:rsidR="00AB22A5" w:rsidRPr="00230E5F" w:rsidRDefault="00AB22A5" w:rsidP="00230E5F">
      <w:pPr>
        <w:pStyle w:val="Textonotapie"/>
        <w:jc w:val="both"/>
        <w:rPr>
          <w:rFonts w:ascii="ITC Avant Garde" w:hAnsi="ITC Avant Garde"/>
          <w:i/>
          <w:sz w:val="18"/>
          <w:lang w:val="es-MX"/>
        </w:rPr>
      </w:pPr>
      <w:r w:rsidRPr="00640C1A">
        <w:rPr>
          <w:rStyle w:val="Refdenotaalpie"/>
          <w:rFonts w:ascii="ITC Avant Garde" w:hAnsi="ITC Avant Garde"/>
          <w:i/>
          <w:sz w:val="18"/>
        </w:rPr>
        <w:footnoteRef/>
      </w:r>
      <w:r w:rsidRPr="00640C1A">
        <w:rPr>
          <w:rFonts w:ascii="ITC Avant Garde" w:hAnsi="ITC Avant Garde"/>
          <w:i/>
          <w:sz w:val="18"/>
        </w:rPr>
        <w:t xml:space="preserve"> </w:t>
      </w:r>
      <w:r w:rsidRPr="00640C1A">
        <w:rPr>
          <w:rFonts w:ascii="ITC Avant Garde" w:hAnsi="ITC Avant Garde"/>
          <w:i/>
          <w:sz w:val="18"/>
          <w:lang w:val="es-MX"/>
        </w:rPr>
        <w:t xml:space="preserve">En el mismo sentido </w:t>
      </w:r>
      <w:r>
        <w:rPr>
          <w:rFonts w:ascii="ITC Avant Garde" w:hAnsi="ITC Avant Garde"/>
          <w:i/>
          <w:sz w:val="18"/>
          <w:lang w:val="es-MX"/>
        </w:rPr>
        <w:t xml:space="preserve">se advierten las consideraciones del Dictamen de las Comisiones Unidas de Comunicaciones y Transportes, Radio, Televisión y Cinematografía, y de Estudios Legislativos, de cuatro de julio de dos mil catorce, emitido por el Senado de la República. En tal Dictamen se estableció lo siguiente: “Tratándose de redes interconectadas en las que los convenios de interconexión respectivos estén por vencer, estas Comisiones Dictaminadores han considerado necesario prever el momento en que deberá presentarse la solicitud de resolución de desacuerdo de interconexión, es decir, a más tardar el 15 de julio de cada año. De esta manera existirá el espacio de tiempo suficiente para que se desahogue el procedimiento respectivo y el Instituto resuelva antes del 15 de diciembre de tal manera que las nuevas condiciones de interconexión inicien su vigencia el 1 de enero del siguiente año. Los beneficios de esta disposición son importantes, ya que se obliga a los concesionarios con convenios suscritos a iniciar negociaciones previamente al vencimiento de sus convenios, se reduce la dilación que padecía el sector para la resolución de los asuntos y se evita que los concesionarios tengan que realizar liquidaciones por periodos anteriores a la fecha de resolución del Instituto en cumplimiento a las cláusulas de aplicación continuas pactadas en sus respectivos convenios de interconexión, pues el objetivo es que tengan hacia futuro las tarifas y condiciones de interconexión determinadas”. </w:t>
      </w:r>
    </w:p>
  </w:footnote>
  <w:footnote w:id="4">
    <w:p w14:paraId="006D1483" w14:textId="77777777" w:rsidR="00AB22A5" w:rsidRPr="00477F43" w:rsidRDefault="00AB22A5" w:rsidP="00477F43">
      <w:pPr>
        <w:pStyle w:val="Textonotapie"/>
        <w:jc w:val="both"/>
        <w:rPr>
          <w:rFonts w:ascii="ITC Avant Garde" w:hAnsi="ITC Avant Garde"/>
          <w:lang w:val="es-MX"/>
        </w:rPr>
      </w:pPr>
      <w:r w:rsidRPr="00477F43">
        <w:rPr>
          <w:rStyle w:val="Refdenotaalpie"/>
          <w:rFonts w:ascii="ITC Avant Garde" w:hAnsi="ITC Avant Garde"/>
          <w:sz w:val="18"/>
        </w:rPr>
        <w:footnoteRef/>
      </w:r>
      <w:r w:rsidRPr="00477F43">
        <w:rPr>
          <w:rFonts w:ascii="ITC Avant Garde" w:hAnsi="ITC Avant Garde"/>
          <w:sz w:val="18"/>
        </w:rPr>
        <w:t xml:space="preserve"> </w:t>
      </w:r>
      <w:r>
        <w:rPr>
          <w:rFonts w:ascii="ITC Avant Garde" w:hAnsi="ITC Avant Garde"/>
          <w:sz w:val="18"/>
        </w:rPr>
        <w:t>“</w:t>
      </w:r>
      <w:r w:rsidRPr="00477F43">
        <w:rPr>
          <w:rFonts w:ascii="ITC Avant Garde" w:hAnsi="ITC Avant Garde"/>
          <w:b/>
          <w:sz w:val="18"/>
        </w:rPr>
        <w:t>PRIMERO</w:t>
      </w:r>
      <w:r w:rsidRPr="00477F43">
        <w:rPr>
          <w:rFonts w:ascii="ITC Avant Garde" w:hAnsi="ITC Avant Garde"/>
          <w:sz w:val="18"/>
        </w:rPr>
        <w:t>. El presente Decreto entrará en vigor a los treinta días naturales siguientes a su publicación en el Diario Oficial de la Federación, sin perjuicio de lo dispuesto en los transitorios siguientes.</w:t>
      </w:r>
      <w:r>
        <w:rPr>
          <w:rFonts w:ascii="ITC Avant Garde" w:hAnsi="ITC Avant Garde"/>
          <w:sz w:val="18"/>
        </w:rPr>
        <w:t>”</w:t>
      </w:r>
    </w:p>
  </w:footnote>
  <w:footnote w:id="5">
    <w:p w14:paraId="73B8861B" w14:textId="77777777" w:rsidR="00AB22A5" w:rsidRPr="001E1155" w:rsidRDefault="00AB22A5" w:rsidP="002008F1">
      <w:pPr>
        <w:pStyle w:val="Textonotapie"/>
        <w:jc w:val="both"/>
        <w:rPr>
          <w:rFonts w:ascii="ITC Avant Garde" w:hAnsi="ITC Avant Garde"/>
          <w:b/>
          <w:i/>
          <w:lang w:val="es-MX"/>
        </w:rPr>
      </w:pPr>
      <w:r w:rsidRPr="002008F1">
        <w:rPr>
          <w:rStyle w:val="Refdenotaalpie"/>
          <w:rFonts w:ascii="ITC Avant Garde" w:hAnsi="ITC Avant Garde"/>
          <w:i/>
          <w:sz w:val="18"/>
        </w:rPr>
        <w:footnoteRef/>
      </w:r>
      <w:r w:rsidRPr="002008F1">
        <w:rPr>
          <w:rFonts w:ascii="ITC Avant Garde" w:hAnsi="ITC Avant Garde"/>
          <w:i/>
          <w:sz w:val="18"/>
        </w:rPr>
        <w:t xml:space="preserve"> Lo anterior se encuentra </w:t>
      </w:r>
      <w:r>
        <w:rPr>
          <w:rFonts w:ascii="ITC Avant Garde" w:hAnsi="ITC Avant Garde"/>
          <w:i/>
          <w:sz w:val="18"/>
        </w:rPr>
        <w:t xml:space="preserve">corroborado por el Dictamen elaborado en el Senado de la República, en torno a la aprobación de la Ley Federal de Telecomunicaciones y Radiodifusión, en el que se indicó la necesidad de establecer un procedimiento que regule de manera clara los plazos y supuestos en los que se deben desahogar los desacuerdos de interconexión entre concesionarios. Por tanto, se estableció que las disposiciones transitorias del Decreto </w:t>
      </w:r>
      <w:r>
        <w:rPr>
          <w:rFonts w:ascii="ITC Avant Garde" w:hAnsi="ITC Avant Garde"/>
          <w:b/>
          <w:i/>
          <w:sz w:val="18"/>
        </w:rPr>
        <w:t xml:space="preserve">tienen por objeto hacer efectiva la aplicación de las leyes expedidas, evitando incertidumbre jurídica, vacíos o confusión entre los sistemas legales </w:t>
      </w:r>
      <w:r>
        <w:rPr>
          <w:rFonts w:ascii="ITC Avant Garde" w:hAnsi="ITC Avant Garde"/>
          <w:i/>
          <w:sz w:val="18"/>
        </w:rPr>
        <w:t>–el que se encontraba vigente y el que entraría en vigor-. Al respecto, véase el Dictamen de las Comisiones Unidas de Comunicaciones y Transportes, Radio, Televisión, y Cinematografía, y de Estudios Legislativos, de cuatro de julio de dos mil catorce, emitido por el Senado de la República, Gaceta No. 1, pp.299 y 334.</w:t>
      </w:r>
    </w:p>
  </w:footnote>
  <w:footnote w:id="6">
    <w:p w14:paraId="08FDB392" w14:textId="44FA76BB" w:rsidR="00AB22A5" w:rsidRPr="00AB22A5" w:rsidRDefault="00AB22A5">
      <w:pPr>
        <w:pStyle w:val="Textonotapie"/>
        <w:rPr>
          <w:rFonts w:ascii="ITC Avant Garde" w:hAnsi="ITC Avant Garde"/>
          <w:lang w:val="es-MX"/>
        </w:rPr>
      </w:pPr>
      <w:r w:rsidRPr="00AB22A5">
        <w:rPr>
          <w:rStyle w:val="Refdenotaalpie"/>
          <w:rFonts w:ascii="ITC Avant Garde" w:hAnsi="ITC Avant Garde"/>
        </w:rPr>
        <w:sym w:font="Symbol" w:char="F031"/>
      </w:r>
      <w:r w:rsidRPr="00AB22A5">
        <w:rPr>
          <w:rFonts w:ascii="ITC Avant Garde" w:hAnsi="ITC Avant Garde"/>
        </w:rPr>
        <w:t xml:space="preserve"> </w:t>
      </w:r>
      <w:r w:rsidRPr="007130F8">
        <w:rPr>
          <w:rFonts w:ascii="ITC Avant Garde" w:hAnsi="ITC Avant Garde"/>
        </w:rPr>
        <w:t>http://apps.ift.org.mx/publicdata/P_IFT_120917_547.pdf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40BE" w14:textId="77777777" w:rsidR="00AB22A5" w:rsidRDefault="00E83A73">
    <w:pPr>
      <w:pStyle w:val="Encabezado"/>
    </w:pPr>
    <w:r>
      <w:rPr>
        <w:noProof/>
        <w:lang w:eastAsia="es-MX"/>
      </w:rPr>
      <w:pict w14:anchorId="099EE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61B3" w14:textId="77777777" w:rsidR="00AB22A5" w:rsidRDefault="00AB22A5" w:rsidP="0067246B">
    <w:pPr>
      <w:pStyle w:val="Encabezado"/>
      <w:tabs>
        <w:tab w:val="clear" w:pos="4419"/>
        <w:tab w:val="clear" w:pos="8838"/>
        <w:tab w:val="left" w:pos="586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C7C7" w14:textId="77777777" w:rsidR="00AB22A5" w:rsidRDefault="00E83A73">
    <w:pPr>
      <w:pStyle w:val="Encabezado"/>
    </w:pPr>
    <w:r>
      <w:rPr>
        <w:noProof/>
        <w:lang w:eastAsia="es-MX"/>
      </w:rPr>
      <w:pict w14:anchorId="30A3F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A4518A2"/>
    <w:multiLevelType w:val="hybridMultilevel"/>
    <w:tmpl w:val="E46A48AA"/>
    <w:lvl w:ilvl="0" w:tplc="FA3A1440">
      <w:start w:val="1"/>
      <w:numFmt w:val="lowerRoman"/>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15:restartNumberingAfterBreak="0">
    <w:nsid w:val="0B4F0D8F"/>
    <w:multiLevelType w:val="hybridMultilevel"/>
    <w:tmpl w:val="6E54090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6"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FE35F7"/>
    <w:multiLevelType w:val="hybridMultilevel"/>
    <w:tmpl w:val="6FAEE3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2EFD518F"/>
    <w:multiLevelType w:val="hybridMultilevel"/>
    <w:tmpl w:val="62826A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4"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DC3B7A"/>
    <w:multiLevelType w:val="hybridMultilevel"/>
    <w:tmpl w:val="37949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024A2"/>
    <w:multiLevelType w:val="hybridMultilevel"/>
    <w:tmpl w:val="62826A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5"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40"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2" w15:restartNumberingAfterBreak="0">
    <w:nsid w:val="69095C3A"/>
    <w:multiLevelType w:val="hybridMultilevel"/>
    <w:tmpl w:val="770C9F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4" w15:restartNumberingAfterBreak="0">
    <w:nsid w:val="75D840CD"/>
    <w:multiLevelType w:val="hybridMultilevel"/>
    <w:tmpl w:val="2260010E"/>
    <w:lvl w:ilvl="0" w:tplc="C9DA3AB8">
      <w:start w:val="1"/>
      <w:numFmt w:val="lowerRoman"/>
      <w:lvlText w:val="(%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6"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8"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num w:numId="1">
    <w:abstractNumId w:val="33"/>
  </w:num>
  <w:num w:numId="2">
    <w:abstractNumId w:val="23"/>
  </w:num>
  <w:num w:numId="3">
    <w:abstractNumId w:val="36"/>
  </w:num>
  <w:num w:numId="4">
    <w:abstractNumId w:val="0"/>
  </w:num>
  <w:num w:numId="5">
    <w:abstractNumId w:val="1"/>
  </w:num>
  <w:num w:numId="6">
    <w:abstractNumId w:val="29"/>
  </w:num>
  <w:num w:numId="7">
    <w:abstractNumId w:val="27"/>
  </w:num>
  <w:num w:numId="8">
    <w:abstractNumId w:val="32"/>
  </w:num>
  <w:num w:numId="9">
    <w:abstractNumId w:val="15"/>
  </w:num>
  <w:num w:numId="10">
    <w:abstractNumId w:val="28"/>
  </w:num>
  <w:num w:numId="11">
    <w:abstractNumId w:val="14"/>
  </w:num>
  <w:num w:numId="12">
    <w:abstractNumId w:val="37"/>
  </w:num>
  <w:num w:numId="13">
    <w:abstractNumId w:val="49"/>
  </w:num>
  <w:num w:numId="14">
    <w:abstractNumId w:val="45"/>
  </w:num>
  <w:num w:numId="15">
    <w:abstractNumId w:val="4"/>
  </w:num>
  <w:num w:numId="16">
    <w:abstractNumId w:val="7"/>
  </w:num>
  <w:num w:numId="17">
    <w:abstractNumId w:val="47"/>
  </w:num>
  <w:num w:numId="18">
    <w:abstractNumId w:val="43"/>
  </w:num>
  <w:num w:numId="19">
    <w:abstractNumId w:val="3"/>
  </w:num>
  <w:num w:numId="20">
    <w:abstractNumId w:val="41"/>
  </w:num>
  <w:num w:numId="21">
    <w:abstractNumId w:val="34"/>
  </w:num>
  <w:num w:numId="22">
    <w:abstractNumId w:val="6"/>
  </w:num>
  <w:num w:numId="23">
    <w:abstractNumId w:val="18"/>
  </w:num>
  <w:num w:numId="24">
    <w:abstractNumId w:val="17"/>
  </w:num>
  <w:num w:numId="25">
    <w:abstractNumId w:val="48"/>
  </w:num>
  <w:num w:numId="26">
    <w:abstractNumId w:val="5"/>
  </w:num>
  <w:num w:numId="27">
    <w:abstractNumId w:val="40"/>
  </w:num>
  <w:num w:numId="28">
    <w:abstractNumId w:val="44"/>
  </w:num>
  <w:num w:numId="29">
    <w:abstractNumId w:val="13"/>
  </w:num>
  <w:num w:numId="30">
    <w:abstractNumId w:val="24"/>
  </w:num>
  <w:num w:numId="31">
    <w:abstractNumId w:val="35"/>
  </w:num>
  <w:num w:numId="32">
    <w:abstractNumId w:val="26"/>
  </w:num>
  <w:num w:numId="33">
    <w:abstractNumId w:val="10"/>
  </w:num>
  <w:num w:numId="34">
    <w:abstractNumId w:val="21"/>
  </w:num>
  <w:num w:numId="35">
    <w:abstractNumId w:val="39"/>
  </w:num>
  <w:num w:numId="36">
    <w:abstractNumId w:val="2"/>
  </w:num>
  <w:num w:numId="37">
    <w:abstractNumId w:val="12"/>
  </w:num>
  <w:num w:numId="38">
    <w:abstractNumId w:val="31"/>
  </w:num>
  <w:num w:numId="39">
    <w:abstractNumId w:val="46"/>
  </w:num>
  <w:num w:numId="40">
    <w:abstractNumId w:val="19"/>
  </w:num>
  <w:num w:numId="41">
    <w:abstractNumId w:val="16"/>
  </w:num>
  <w:num w:numId="42">
    <w:abstractNumId w:val="8"/>
  </w:num>
  <w:num w:numId="43">
    <w:abstractNumId w:val="20"/>
  </w:num>
  <w:num w:numId="44">
    <w:abstractNumId w:val="30"/>
  </w:num>
  <w:num w:numId="45">
    <w:abstractNumId w:val="25"/>
  </w:num>
  <w:num w:numId="46">
    <w:abstractNumId w:val="22"/>
  </w:num>
  <w:num w:numId="47">
    <w:abstractNumId w:val="42"/>
  </w:num>
  <w:num w:numId="48">
    <w:abstractNumId w:val="11"/>
  </w:num>
  <w:num w:numId="49">
    <w:abstractNumId w:val="9"/>
  </w:num>
  <w:num w:numId="50">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66"/>
    <o:shapelayout v:ext="edit">
      <o:idmap v:ext="edit" data="2"/>
    </o:shapelayout>
  </w:hdrShapeDefaults>
  <w:footnotePr>
    <w:numStart w:val="33"/>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272E"/>
    <w:rsid w:val="000036B5"/>
    <w:rsid w:val="00011447"/>
    <w:rsid w:val="00011629"/>
    <w:rsid w:val="00014F2E"/>
    <w:rsid w:val="000154B0"/>
    <w:rsid w:val="000166AF"/>
    <w:rsid w:val="00020418"/>
    <w:rsid w:val="00021C46"/>
    <w:rsid w:val="000227F0"/>
    <w:rsid w:val="000243F8"/>
    <w:rsid w:val="00026175"/>
    <w:rsid w:val="00033BE9"/>
    <w:rsid w:val="000358CA"/>
    <w:rsid w:val="000370FC"/>
    <w:rsid w:val="000377C2"/>
    <w:rsid w:val="000408BD"/>
    <w:rsid w:val="00041BB5"/>
    <w:rsid w:val="00042E7E"/>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76E0E"/>
    <w:rsid w:val="00080D12"/>
    <w:rsid w:val="00081068"/>
    <w:rsid w:val="00081503"/>
    <w:rsid w:val="00081B80"/>
    <w:rsid w:val="00081CFB"/>
    <w:rsid w:val="00083ECA"/>
    <w:rsid w:val="00084267"/>
    <w:rsid w:val="00084280"/>
    <w:rsid w:val="00084DCF"/>
    <w:rsid w:val="00086F61"/>
    <w:rsid w:val="000870E9"/>
    <w:rsid w:val="000901D2"/>
    <w:rsid w:val="00090CD2"/>
    <w:rsid w:val="00091012"/>
    <w:rsid w:val="00094E0D"/>
    <w:rsid w:val="00096D65"/>
    <w:rsid w:val="00096FE1"/>
    <w:rsid w:val="00097486"/>
    <w:rsid w:val="00097822"/>
    <w:rsid w:val="000978F0"/>
    <w:rsid w:val="000A051A"/>
    <w:rsid w:val="000A05E5"/>
    <w:rsid w:val="000A2091"/>
    <w:rsid w:val="000A2AF8"/>
    <w:rsid w:val="000A59FA"/>
    <w:rsid w:val="000A5E4A"/>
    <w:rsid w:val="000A7620"/>
    <w:rsid w:val="000A7D62"/>
    <w:rsid w:val="000B0DC1"/>
    <w:rsid w:val="000B214B"/>
    <w:rsid w:val="000B334C"/>
    <w:rsid w:val="000B3735"/>
    <w:rsid w:val="000B48AE"/>
    <w:rsid w:val="000C17F6"/>
    <w:rsid w:val="000C1F38"/>
    <w:rsid w:val="000C27E7"/>
    <w:rsid w:val="000C2CF4"/>
    <w:rsid w:val="000C4877"/>
    <w:rsid w:val="000C577A"/>
    <w:rsid w:val="000C5ED9"/>
    <w:rsid w:val="000C6FC6"/>
    <w:rsid w:val="000C7665"/>
    <w:rsid w:val="000C7A02"/>
    <w:rsid w:val="000D0337"/>
    <w:rsid w:val="000D04CA"/>
    <w:rsid w:val="000D0A2C"/>
    <w:rsid w:val="000D1A16"/>
    <w:rsid w:val="000D456F"/>
    <w:rsid w:val="000D4A3A"/>
    <w:rsid w:val="000E02DB"/>
    <w:rsid w:val="000E305E"/>
    <w:rsid w:val="000E3644"/>
    <w:rsid w:val="000E494A"/>
    <w:rsid w:val="000E4C0A"/>
    <w:rsid w:val="000E6467"/>
    <w:rsid w:val="000E6F53"/>
    <w:rsid w:val="000F15CE"/>
    <w:rsid w:val="000F1ABE"/>
    <w:rsid w:val="000F3AAC"/>
    <w:rsid w:val="000F4101"/>
    <w:rsid w:val="000F5BEC"/>
    <w:rsid w:val="001003BA"/>
    <w:rsid w:val="00102C7D"/>
    <w:rsid w:val="00104092"/>
    <w:rsid w:val="00104664"/>
    <w:rsid w:val="00104C74"/>
    <w:rsid w:val="0010524D"/>
    <w:rsid w:val="00106523"/>
    <w:rsid w:val="001100CF"/>
    <w:rsid w:val="0011030F"/>
    <w:rsid w:val="00111E9B"/>
    <w:rsid w:val="0011309A"/>
    <w:rsid w:val="00114F80"/>
    <w:rsid w:val="001165A0"/>
    <w:rsid w:val="00117388"/>
    <w:rsid w:val="001175D7"/>
    <w:rsid w:val="001206E4"/>
    <w:rsid w:val="00120E4C"/>
    <w:rsid w:val="00121FD1"/>
    <w:rsid w:val="001226C1"/>
    <w:rsid w:val="00122BFF"/>
    <w:rsid w:val="0012304B"/>
    <w:rsid w:val="00125F77"/>
    <w:rsid w:val="001272DB"/>
    <w:rsid w:val="00132D70"/>
    <w:rsid w:val="0013473E"/>
    <w:rsid w:val="00140E59"/>
    <w:rsid w:val="0014228B"/>
    <w:rsid w:val="0014251D"/>
    <w:rsid w:val="001514AC"/>
    <w:rsid w:val="00153C43"/>
    <w:rsid w:val="0015729A"/>
    <w:rsid w:val="00157BBE"/>
    <w:rsid w:val="001647F5"/>
    <w:rsid w:val="00165008"/>
    <w:rsid w:val="001755FC"/>
    <w:rsid w:val="00175EFA"/>
    <w:rsid w:val="00176C83"/>
    <w:rsid w:val="00176F5F"/>
    <w:rsid w:val="001813C5"/>
    <w:rsid w:val="001840B6"/>
    <w:rsid w:val="00186CD7"/>
    <w:rsid w:val="0018768D"/>
    <w:rsid w:val="00190EAA"/>
    <w:rsid w:val="00190EE0"/>
    <w:rsid w:val="00192DFF"/>
    <w:rsid w:val="0019438F"/>
    <w:rsid w:val="0019449A"/>
    <w:rsid w:val="00195182"/>
    <w:rsid w:val="00195B18"/>
    <w:rsid w:val="00195DC5"/>
    <w:rsid w:val="001960F0"/>
    <w:rsid w:val="001974C9"/>
    <w:rsid w:val="001A3742"/>
    <w:rsid w:val="001A48DD"/>
    <w:rsid w:val="001A4C2D"/>
    <w:rsid w:val="001A7B3A"/>
    <w:rsid w:val="001A7F98"/>
    <w:rsid w:val="001A7FB8"/>
    <w:rsid w:val="001B2681"/>
    <w:rsid w:val="001B2DF4"/>
    <w:rsid w:val="001B2F74"/>
    <w:rsid w:val="001B33C4"/>
    <w:rsid w:val="001B33E6"/>
    <w:rsid w:val="001B48C1"/>
    <w:rsid w:val="001B58A1"/>
    <w:rsid w:val="001B6768"/>
    <w:rsid w:val="001C1F99"/>
    <w:rsid w:val="001C567C"/>
    <w:rsid w:val="001C5A3B"/>
    <w:rsid w:val="001C7059"/>
    <w:rsid w:val="001D0D90"/>
    <w:rsid w:val="001D169C"/>
    <w:rsid w:val="001D2FA2"/>
    <w:rsid w:val="001D4B4D"/>
    <w:rsid w:val="001D5838"/>
    <w:rsid w:val="001D623E"/>
    <w:rsid w:val="001E0251"/>
    <w:rsid w:val="001E1155"/>
    <w:rsid w:val="001E3033"/>
    <w:rsid w:val="001E3E45"/>
    <w:rsid w:val="001E69C3"/>
    <w:rsid w:val="001E7BAE"/>
    <w:rsid w:val="001F113D"/>
    <w:rsid w:val="001F15CE"/>
    <w:rsid w:val="001F18D0"/>
    <w:rsid w:val="001F2F07"/>
    <w:rsid w:val="001F3BC9"/>
    <w:rsid w:val="002007A5"/>
    <w:rsid w:val="002008F1"/>
    <w:rsid w:val="002012FB"/>
    <w:rsid w:val="002032A7"/>
    <w:rsid w:val="00204F43"/>
    <w:rsid w:val="0020508C"/>
    <w:rsid w:val="00205E1F"/>
    <w:rsid w:val="002072A5"/>
    <w:rsid w:val="00207FD9"/>
    <w:rsid w:val="00210F73"/>
    <w:rsid w:val="00217CF8"/>
    <w:rsid w:val="002213D1"/>
    <w:rsid w:val="00222809"/>
    <w:rsid w:val="00223B93"/>
    <w:rsid w:val="00224123"/>
    <w:rsid w:val="00224383"/>
    <w:rsid w:val="002303EF"/>
    <w:rsid w:val="00230E5F"/>
    <w:rsid w:val="0023288D"/>
    <w:rsid w:val="0023752B"/>
    <w:rsid w:val="00237BC9"/>
    <w:rsid w:val="00242E29"/>
    <w:rsid w:val="00243B52"/>
    <w:rsid w:val="00243B5A"/>
    <w:rsid w:val="00244F4B"/>
    <w:rsid w:val="00250617"/>
    <w:rsid w:val="0025109B"/>
    <w:rsid w:val="00253E94"/>
    <w:rsid w:val="00254946"/>
    <w:rsid w:val="00256BFE"/>
    <w:rsid w:val="002659C5"/>
    <w:rsid w:val="00266BE5"/>
    <w:rsid w:val="0026774F"/>
    <w:rsid w:val="00272B28"/>
    <w:rsid w:val="00272D64"/>
    <w:rsid w:val="002803B3"/>
    <w:rsid w:val="002818FE"/>
    <w:rsid w:val="00281965"/>
    <w:rsid w:val="0028363B"/>
    <w:rsid w:val="00283CAC"/>
    <w:rsid w:val="00284EB9"/>
    <w:rsid w:val="00285020"/>
    <w:rsid w:val="0028648F"/>
    <w:rsid w:val="002866A8"/>
    <w:rsid w:val="00286F3B"/>
    <w:rsid w:val="002916F1"/>
    <w:rsid w:val="0029172A"/>
    <w:rsid w:val="002920C0"/>
    <w:rsid w:val="00293492"/>
    <w:rsid w:val="00293706"/>
    <w:rsid w:val="00293D63"/>
    <w:rsid w:val="00295D41"/>
    <w:rsid w:val="002960C7"/>
    <w:rsid w:val="0029760C"/>
    <w:rsid w:val="002A28EA"/>
    <w:rsid w:val="002A489F"/>
    <w:rsid w:val="002B20B2"/>
    <w:rsid w:val="002B4382"/>
    <w:rsid w:val="002B711E"/>
    <w:rsid w:val="002C05D5"/>
    <w:rsid w:val="002C12B0"/>
    <w:rsid w:val="002C21CB"/>
    <w:rsid w:val="002C50F4"/>
    <w:rsid w:val="002C5788"/>
    <w:rsid w:val="002C5FA6"/>
    <w:rsid w:val="002D1D4B"/>
    <w:rsid w:val="002D2EF5"/>
    <w:rsid w:val="002D4C98"/>
    <w:rsid w:val="002D7669"/>
    <w:rsid w:val="002D7CFE"/>
    <w:rsid w:val="002D7FBC"/>
    <w:rsid w:val="002E015C"/>
    <w:rsid w:val="002E1682"/>
    <w:rsid w:val="002E6B97"/>
    <w:rsid w:val="002E71F1"/>
    <w:rsid w:val="002F3BC8"/>
    <w:rsid w:val="00302363"/>
    <w:rsid w:val="003036EF"/>
    <w:rsid w:val="003056B3"/>
    <w:rsid w:val="00307639"/>
    <w:rsid w:val="00307F97"/>
    <w:rsid w:val="00311A21"/>
    <w:rsid w:val="0031277B"/>
    <w:rsid w:val="00315919"/>
    <w:rsid w:val="00317409"/>
    <w:rsid w:val="003218F8"/>
    <w:rsid w:val="00321C60"/>
    <w:rsid w:val="003238F8"/>
    <w:rsid w:val="0032701F"/>
    <w:rsid w:val="00327613"/>
    <w:rsid w:val="00327E11"/>
    <w:rsid w:val="00331467"/>
    <w:rsid w:val="0033217E"/>
    <w:rsid w:val="00342329"/>
    <w:rsid w:val="00343316"/>
    <w:rsid w:val="00353A56"/>
    <w:rsid w:val="00360FFA"/>
    <w:rsid w:val="0036240A"/>
    <w:rsid w:val="00367B4C"/>
    <w:rsid w:val="00370258"/>
    <w:rsid w:val="00370F9A"/>
    <w:rsid w:val="003719BA"/>
    <w:rsid w:val="00373118"/>
    <w:rsid w:val="003776F0"/>
    <w:rsid w:val="00383334"/>
    <w:rsid w:val="00384051"/>
    <w:rsid w:val="00385C0C"/>
    <w:rsid w:val="00390921"/>
    <w:rsid w:val="00390CDA"/>
    <w:rsid w:val="0039193D"/>
    <w:rsid w:val="0039261A"/>
    <w:rsid w:val="00394255"/>
    <w:rsid w:val="00394A6D"/>
    <w:rsid w:val="00395431"/>
    <w:rsid w:val="003A1BA9"/>
    <w:rsid w:val="003A2FA7"/>
    <w:rsid w:val="003A3C8A"/>
    <w:rsid w:val="003A3EA3"/>
    <w:rsid w:val="003A49C5"/>
    <w:rsid w:val="003A5479"/>
    <w:rsid w:val="003A5C87"/>
    <w:rsid w:val="003A7B99"/>
    <w:rsid w:val="003B083D"/>
    <w:rsid w:val="003B12CC"/>
    <w:rsid w:val="003B3FCD"/>
    <w:rsid w:val="003B4F28"/>
    <w:rsid w:val="003B72C8"/>
    <w:rsid w:val="003B73BD"/>
    <w:rsid w:val="003C0C79"/>
    <w:rsid w:val="003C27D5"/>
    <w:rsid w:val="003C5024"/>
    <w:rsid w:val="003C6222"/>
    <w:rsid w:val="003C657A"/>
    <w:rsid w:val="003C6814"/>
    <w:rsid w:val="003D2034"/>
    <w:rsid w:val="003D2097"/>
    <w:rsid w:val="003D719A"/>
    <w:rsid w:val="003D7830"/>
    <w:rsid w:val="003E14D5"/>
    <w:rsid w:val="003E53A0"/>
    <w:rsid w:val="003E75E6"/>
    <w:rsid w:val="003F446D"/>
    <w:rsid w:val="003F5ABC"/>
    <w:rsid w:val="003F6162"/>
    <w:rsid w:val="0040074C"/>
    <w:rsid w:val="004007ED"/>
    <w:rsid w:val="00400F9A"/>
    <w:rsid w:val="0040400F"/>
    <w:rsid w:val="00405470"/>
    <w:rsid w:val="00406D63"/>
    <w:rsid w:val="00410F89"/>
    <w:rsid w:val="00411569"/>
    <w:rsid w:val="00412AEE"/>
    <w:rsid w:val="00412FF6"/>
    <w:rsid w:val="004203FE"/>
    <w:rsid w:val="004244D8"/>
    <w:rsid w:val="0042574E"/>
    <w:rsid w:val="00425C7A"/>
    <w:rsid w:val="004265EF"/>
    <w:rsid w:val="0043063B"/>
    <w:rsid w:val="00434B05"/>
    <w:rsid w:val="00436827"/>
    <w:rsid w:val="00436B02"/>
    <w:rsid w:val="00436E7F"/>
    <w:rsid w:val="0044507A"/>
    <w:rsid w:val="00450BDC"/>
    <w:rsid w:val="00450F7F"/>
    <w:rsid w:val="004511A0"/>
    <w:rsid w:val="00454A4E"/>
    <w:rsid w:val="00455479"/>
    <w:rsid w:val="00455753"/>
    <w:rsid w:val="00455BEF"/>
    <w:rsid w:val="0045681D"/>
    <w:rsid w:val="00457370"/>
    <w:rsid w:val="00460408"/>
    <w:rsid w:val="00460F82"/>
    <w:rsid w:val="00461629"/>
    <w:rsid w:val="00463A03"/>
    <w:rsid w:val="00466E9A"/>
    <w:rsid w:val="004677D2"/>
    <w:rsid w:val="00477E8A"/>
    <w:rsid w:val="00477F43"/>
    <w:rsid w:val="00483036"/>
    <w:rsid w:val="00483F69"/>
    <w:rsid w:val="00484CCD"/>
    <w:rsid w:val="004905EE"/>
    <w:rsid w:val="0049721A"/>
    <w:rsid w:val="00497331"/>
    <w:rsid w:val="00497CA5"/>
    <w:rsid w:val="004A2786"/>
    <w:rsid w:val="004A3929"/>
    <w:rsid w:val="004A3E30"/>
    <w:rsid w:val="004A5DB0"/>
    <w:rsid w:val="004B2EE9"/>
    <w:rsid w:val="004C04C8"/>
    <w:rsid w:val="004C2B0E"/>
    <w:rsid w:val="004C417D"/>
    <w:rsid w:val="004C6858"/>
    <w:rsid w:val="004D1358"/>
    <w:rsid w:val="004E108F"/>
    <w:rsid w:val="004E1AE6"/>
    <w:rsid w:val="004E20D1"/>
    <w:rsid w:val="004E3E69"/>
    <w:rsid w:val="004E41F0"/>
    <w:rsid w:val="004E5330"/>
    <w:rsid w:val="004E5E44"/>
    <w:rsid w:val="004E6845"/>
    <w:rsid w:val="004E7A60"/>
    <w:rsid w:val="004F2F10"/>
    <w:rsid w:val="004F38AB"/>
    <w:rsid w:val="0050137A"/>
    <w:rsid w:val="0050145B"/>
    <w:rsid w:val="005039AE"/>
    <w:rsid w:val="00504FF0"/>
    <w:rsid w:val="00506798"/>
    <w:rsid w:val="00506FE7"/>
    <w:rsid w:val="0051108D"/>
    <w:rsid w:val="005112D1"/>
    <w:rsid w:val="00513277"/>
    <w:rsid w:val="0051432C"/>
    <w:rsid w:val="0051488F"/>
    <w:rsid w:val="005160CE"/>
    <w:rsid w:val="00516285"/>
    <w:rsid w:val="00516539"/>
    <w:rsid w:val="00516A2D"/>
    <w:rsid w:val="00517FC6"/>
    <w:rsid w:val="00526B1D"/>
    <w:rsid w:val="005306E4"/>
    <w:rsid w:val="00531101"/>
    <w:rsid w:val="00531974"/>
    <w:rsid w:val="00532D4D"/>
    <w:rsid w:val="005339FC"/>
    <w:rsid w:val="00534A1C"/>
    <w:rsid w:val="00534DA1"/>
    <w:rsid w:val="00536328"/>
    <w:rsid w:val="00537EAE"/>
    <w:rsid w:val="00543D44"/>
    <w:rsid w:val="0054738F"/>
    <w:rsid w:val="00550748"/>
    <w:rsid w:val="00557E14"/>
    <w:rsid w:val="005631DA"/>
    <w:rsid w:val="00563BD7"/>
    <w:rsid w:val="00563BF8"/>
    <w:rsid w:val="00563F87"/>
    <w:rsid w:val="0056638E"/>
    <w:rsid w:val="00572386"/>
    <w:rsid w:val="00572734"/>
    <w:rsid w:val="00576465"/>
    <w:rsid w:val="0057731F"/>
    <w:rsid w:val="00577A31"/>
    <w:rsid w:val="005801C0"/>
    <w:rsid w:val="00580550"/>
    <w:rsid w:val="005811A6"/>
    <w:rsid w:val="005824AB"/>
    <w:rsid w:val="00584693"/>
    <w:rsid w:val="00584850"/>
    <w:rsid w:val="00585B2F"/>
    <w:rsid w:val="005860A8"/>
    <w:rsid w:val="00586C89"/>
    <w:rsid w:val="00586F9B"/>
    <w:rsid w:val="00590DC1"/>
    <w:rsid w:val="00591B49"/>
    <w:rsid w:val="00595F36"/>
    <w:rsid w:val="00596401"/>
    <w:rsid w:val="00597908"/>
    <w:rsid w:val="005A115B"/>
    <w:rsid w:val="005A7F63"/>
    <w:rsid w:val="005B0A5C"/>
    <w:rsid w:val="005B0B51"/>
    <w:rsid w:val="005B1A19"/>
    <w:rsid w:val="005B299D"/>
    <w:rsid w:val="005B3866"/>
    <w:rsid w:val="005B47FB"/>
    <w:rsid w:val="005B4AB8"/>
    <w:rsid w:val="005B55EB"/>
    <w:rsid w:val="005C050E"/>
    <w:rsid w:val="005C1F9F"/>
    <w:rsid w:val="005C2DBE"/>
    <w:rsid w:val="005C3CB3"/>
    <w:rsid w:val="005C4345"/>
    <w:rsid w:val="005C44EF"/>
    <w:rsid w:val="005C4D9E"/>
    <w:rsid w:val="005C5CC2"/>
    <w:rsid w:val="005D44BA"/>
    <w:rsid w:val="005D61A6"/>
    <w:rsid w:val="005D6448"/>
    <w:rsid w:val="005D64CC"/>
    <w:rsid w:val="005D675F"/>
    <w:rsid w:val="005D723B"/>
    <w:rsid w:val="005E3257"/>
    <w:rsid w:val="005E6BF9"/>
    <w:rsid w:val="005F0C9F"/>
    <w:rsid w:val="005F173C"/>
    <w:rsid w:val="005F2C5B"/>
    <w:rsid w:val="005F35B7"/>
    <w:rsid w:val="005F5681"/>
    <w:rsid w:val="005F641C"/>
    <w:rsid w:val="005F7648"/>
    <w:rsid w:val="00607516"/>
    <w:rsid w:val="00612A65"/>
    <w:rsid w:val="00613081"/>
    <w:rsid w:val="00613C68"/>
    <w:rsid w:val="00614679"/>
    <w:rsid w:val="0061535D"/>
    <w:rsid w:val="006164A2"/>
    <w:rsid w:val="00617D3E"/>
    <w:rsid w:val="0062079E"/>
    <w:rsid w:val="00621B17"/>
    <w:rsid w:val="00623521"/>
    <w:rsid w:val="00623BDA"/>
    <w:rsid w:val="0062436E"/>
    <w:rsid w:val="00625030"/>
    <w:rsid w:val="006259FF"/>
    <w:rsid w:val="00625D13"/>
    <w:rsid w:val="00626498"/>
    <w:rsid w:val="00627AA8"/>
    <w:rsid w:val="00631D55"/>
    <w:rsid w:val="006340C7"/>
    <w:rsid w:val="00640C1A"/>
    <w:rsid w:val="00640D6D"/>
    <w:rsid w:val="00640D86"/>
    <w:rsid w:val="00641BAE"/>
    <w:rsid w:val="00642729"/>
    <w:rsid w:val="00644D33"/>
    <w:rsid w:val="006451F4"/>
    <w:rsid w:val="006458FC"/>
    <w:rsid w:val="00646BCE"/>
    <w:rsid w:val="00646E5B"/>
    <w:rsid w:val="00653AA8"/>
    <w:rsid w:val="0065447B"/>
    <w:rsid w:val="00654BF8"/>
    <w:rsid w:val="00654EC5"/>
    <w:rsid w:val="00656863"/>
    <w:rsid w:val="00661DD9"/>
    <w:rsid w:val="00662438"/>
    <w:rsid w:val="00663F7D"/>
    <w:rsid w:val="0067159F"/>
    <w:rsid w:val="0067246B"/>
    <w:rsid w:val="00673A58"/>
    <w:rsid w:val="00673B76"/>
    <w:rsid w:val="00674D35"/>
    <w:rsid w:val="00675562"/>
    <w:rsid w:val="00676A1B"/>
    <w:rsid w:val="00677524"/>
    <w:rsid w:val="006858B0"/>
    <w:rsid w:val="006863EE"/>
    <w:rsid w:val="00690651"/>
    <w:rsid w:val="0069339A"/>
    <w:rsid w:val="006934AA"/>
    <w:rsid w:val="006A0F32"/>
    <w:rsid w:val="006A15A7"/>
    <w:rsid w:val="006A1F3E"/>
    <w:rsid w:val="006A632A"/>
    <w:rsid w:val="006A6728"/>
    <w:rsid w:val="006A718C"/>
    <w:rsid w:val="006B00C8"/>
    <w:rsid w:val="006B3061"/>
    <w:rsid w:val="006B579C"/>
    <w:rsid w:val="006B6E39"/>
    <w:rsid w:val="006B7975"/>
    <w:rsid w:val="006C1D5C"/>
    <w:rsid w:val="006C2424"/>
    <w:rsid w:val="006C3B66"/>
    <w:rsid w:val="006C64FC"/>
    <w:rsid w:val="006C78CB"/>
    <w:rsid w:val="006D1173"/>
    <w:rsid w:val="006D283A"/>
    <w:rsid w:val="006D2D10"/>
    <w:rsid w:val="006E06BA"/>
    <w:rsid w:val="006E1F9B"/>
    <w:rsid w:val="006E2CF3"/>
    <w:rsid w:val="006E4383"/>
    <w:rsid w:val="006E490B"/>
    <w:rsid w:val="006E7757"/>
    <w:rsid w:val="006E7DBD"/>
    <w:rsid w:val="006F251D"/>
    <w:rsid w:val="006F3F35"/>
    <w:rsid w:val="006F5264"/>
    <w:rsid w:val="006F5C15"/>
    <w:rsid w:val="00706D65"/>
    <w:rsid w:val="00706E09"/>
    <w:rsid w:val="007076EE"/>
    <w:rsid w:val="007101A1"/>
    <w:rsid w:val="007117BE"/>
    <w:rsid w:val="00711FEF"/>
    <w:rsid w:val="007130F8"/>
    <w:rsid w:val="00714688"/>
    <w:rsid w:val="007167AC"/>
    <w:rsid w:val="00721375"/>
    <w:rsid w:val="00721E96"/>
    <w:rsid w:val="00722E20"/>
    <w:rsid w:val="00737377"/>
    <w:rsid w:val="00737969"/>
    <w:rsid w:val="00741EBF"/>
    <w:rsid w:val="007422A3"/>
    <w:rsid w:val="00743530"/>
    <w:rsid w:val="0074416D"/>
    <w:rsid w:val="00746B6C"/>
    <w:rsid w:val="00750D8A"/>
    <w:rsid w:val="00753C5F"/>
    <w:rsid w:val="00753E5C"/>
    <w:rsid w:val="00761C83"/>
    <w:rsid w:val="00763D2A"/>
    <w:rsid w:val="007660DB"/>
    <w:rsid w:val="00767EB2"/>
    <w:rsid w:val="007711CF"/>
    <w:rsid w:val="007733A5"/>
    <w:rsid w:val="00773807"/>
    <w:rsid w:val="007759EF"/>
    <w:rsid w:val="00775BE7"/>
    <w:rsid w:val="00777CD3"/>
    <w:rsid w:val="00781F67"/>
    <w:rsid w:val="0078573C"/>
    <w:rsid w:val="00785CB9"/>
    <w:rsid w:val="00786A03"/>
    <w:rsid w:val="007874EE"/>
    <w:rsid w:val="00791440"/>
    <w:rsid w:val="0079267E"/>
    <w:rsid w:val="00794167"/>
    <w:rsid w:val="00795AF2"/>
    <w:rsid w:val="007964DF"/>
    <w:rsid w:val="00796567"/>
    <w:rsid w:val="007A6B89"/>
    <w:rsid w:val="007A6D61"/>
    <w:rsid w:val="007B16D1"/>
    <w:rsid w:val="007B1C84"/>
    <w:rsid w:val="007B2A2F"/>
    <w:rsid w:val="007B5275"/>
    <w:rsid w:val="007B613D"/>
    <w:rsid w:val="007B7BCF"/>
    <w:rsid w:val="007C3CBD"/>
    <w:rsid w:val="007C75AA"/>
    <w:rsid w:val="007D17BF"/>
    <w:rsid w:val="007D2D4B"/>
    <w:rsid w:val="007D4DB7"/>
    <w:rsid w:val="007D74D8"/>
    <w:rsid w:val="007D7F84"/>
    <w:rsid w:val="007E18DA"/>
    <w:rsid w:val="007E1BB8"/>
    <w:rsid w:val="007E2CA1"/>
    <w:rsid w:val="007E3008"/>
    <w:rsid w:val="007E5602"/>
    <w:rsid w:val="007F1C14"/>
    <w:rsid w:val="007F349B"/>
    <w:rsid w:val="007F37B5"/>
    <w:rsid w:val="007F39E2"/>
    <w:rsid w:val="007F57E7"/>
    <w:rsid w:val="007F74B8"/>
    <w:rsid w:val="00800247"/>
    <w:rsid w:val="00801808"/>
    <w:rsid w:val="00807FFD"/>
    <w:rsid w:val="00811047"/>
    <w:rsid w:val="00813158"/>
    <w:rsid w:val="00813237"/>
    <w:rsid w:val="00813A32"/>
    <w:rsid w:val="0081546C"/>
    <w:rsid w:val="0081616C"/>
    <w:rsid w:val="008166FF"/>
    <w:rsid w:val="00821BC8"/>
    <w:rsid w:val="00823B48"/>
    <w:rsid w:val="00832075"/>
    <w:rsid w:val="008329A3"/>
    <w:rsid w:val="00832AC6"/>
    <w:rsid w:val="00832DC1"/>
    <w:rsid w:val="00833151"/>
    <w:rsid w:val="008339A0"/>
    <w:rsid w:val="0083675D"/>
    <w:rsid w:val="0084015B"/>
    <w:rsid w:val="00842B3D"/>
    <w:rsid w:val="00843E2C"/>
    <w:rsid w:val="00846B32"/>
    <w:rsid w:val="0085225C"/>
    <w:rsid w:val="00852C0D"/>
    <w:rsid w:val="00852D17"/>
    <w:rsid w:val="008545B1"/>
    <w:rsid w:val="008604EC"/>
    <w:rsid w:val="008611AA"/>
    <w:rsid w:val="008628B4"/>
    <w:rsid w:val="008648E7"/>
    <w:rsid w:val="00864E8A"/>
    <w:rsid w:val="00864EA0"/>
    <w:rsid w:val="00865478"/>
    <w:rsid w:val="00865A8A"/>
    <w:rsid w:val="00867046"/>
    <w:rsid w:val="008670BE"/>
    <w:rsid w:val="008702DD"/>
    <w:rsid w:val="00870F1D"/>
    <w:rsid w:val="0087241E"/>
    <w:rsid w:val="00875011"/>
    <w:rsid w:val="00880192"/>
    <w:rsid w:val="0088030D"/>
    <w:rsid w:val="0088046E"/>
    <w:rsid w:val="008814D3"/>
    <w:rsid w:val="00883BE7"/>
    <w:rsid w:val="00885298"/>
    <w:rsid w:val="008858D5"/>
    <w:rsid w:val="00892BAB"/>
    <w:rsid w:val="00894C41"/>
    <w:rsid w:val="00895C16"/>
    <w:rsid w:val="00896A8A"/>
    <w:rsid w:val="008A0EDD"/>
    <w:rsid w:val="008A1FF8"/>
    <w:rsid w:val="008A423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2646"/>
    <w:rsid w:val="008E46F2"/>
    <w:rsid w:val="008E5006"/>
    <w:rsid w:val="008E6E32"/>
    <w:rsid w:val="008E7682"/>
    <w:rsid w:val="008F1F51"/>
    <w:rsid w:val="008F2F6C"/>
    <w:rsid w:val="008F56FD"/>
    <w:rsid w:val="00901932"/>
    <w:rsid w:val="00904329"/>
    <w:rsid w:val="009048A7"/>
    <w:rsid w:val="0090537E"/>
    <w:rsid w:val="009055AD"/>
    <w:rsid w:val="00906186"/>
    <w:rsid w:val="00906B3D"/>
    <w:rsid w:val="00912F65"/>
    <w:rsid w:val="00912FE7"/>
    <w:rsid w:val="009141C6"/>
    <w:rsid w:val="00914D23"/>
    <w:rsid w:val="0091646C"/>
    <w:rsid w:val="00916A7E"/>
    <w:rsid w:val="00916B56"/>
    <w:rsid w:val="00922232"/>
    <w:rsid w:val="00922B23"/>
    <w:rsid w:val="00925F61"/>
    <w:rsid w:val="009273DE"/>
    <w:rsid w:val="009317CD"/>
    <w:rsid w:val="00931B34"/>
    <w:rsid w:val="009368CE"/>
    <w:rsid w:val="0094254B"/>
    <w:rsid w:val="009448F5"/>
    <w:rsid w:val="00945D02"/>
    <w:rsid w:val="00946933"/>
    <w:rsid w:val="00946B26"/>
    <w:rsid w:val="00950AB6"/>
    <w:rsid w:val="00957461"/>
    <w:rsid w:val="00962602"/>
    <w:rsid w:val="00965162"/>
    <w:rsid w:val="009662AD"/>
    <w:rsid w:val="009669DE"/>
    <w:rsid w:val="00967D24"/>
    <w:rsid w:val="00971FBE"/>
    <w:rsid w:val="00973367"/>
    <w:rsid w:val="00973D49"/>
    <w:rsid w:val="00974719"/>
    <w:rsid w:val="00975176"/>
    <w:rsid w:val="00975396"/>
    <w:rsid w:val="0098189F"/>
    <w:rsid w:val="009829A7"/>
    <w:rsid w:val="00985B6D"/>
    <w:rsid w:val="00986149"/>
    <w:rsid w:val="00990969"/>
    <w:rsid w:val="009932C8"/>
    <w:rsid w:val="0099404A"/>
    <w:rsid w:val="009A1089"/>
    <w:rsid w:val="009A1A86"/>
    <w:rsid w:val="009A4640"/>
    <w:rsid w:val="009A50DC"/>
    <w:rsid w:val="009A52AC"/>
    <w:rsid w:val="009B07DB"/>
    <w:rsid w:val="009B1218"/>
    <w:rsid w:val="009B616D"/>
    <w:rsid w:val="009B63D3"/>
    <w:rsid w:val="009B7E3F"/>
    <w:rsid w:val="009C08AF"/>
    <w:rsid w:val="009C307B"/>
    <w:rsid w:val="009C3918"/>
    <w:rsid w:val="009D02B5"/>
    <w:rsid w:val="009D0466"/>
    <w:rsid w:val="009D0C9B"/>
    <w:rsid w:val="009D368F"/>
    <w:rsid w:val="009D5A07"/>
    <w:rsid w:val="009D6903"/>
    <w:rsid w:val="009D726E"/>
    <w:rsid w:val="009D7D03"/>
    <w:rsid w:val="009E15ED"/>
    <w:rsid w:val="009E3CFE"/>
    <w:rsid w:val="009E4A70"/>
    <w:rsid w:val="009E5857"/>
    <w:rsid w:val="009E626A"/>
    <w:rsid w:val="009E65BF"/>
    <w:rsid w:val="009E7808"/>
    <w:rsid w:val="009F23FB"/>
    <w:rsid w:val="009F3D3D"/>
    <w:rsid w:val="009F4026"/>
    <w:rsid w:val="009F5FA2"/>
    <w:rsid w:val="00A04DB3"/>
    <w:rsid w:val="00A06AB7"/>
    <w:rsid w:val="00A06D46"/>
    <w:rsid w:val="00A06EE5"/>
    <w:rsid w:val="00A10EC9"/>
    <w:rsid w:val="00A1228C"/>
    <w:rsid w:val="00A130EB"/>
    <w:rsid w:val="00A133F1"/>
    <w:rsid w:val="00A144E9"/>
    <w:rsid w:val="00A150EA"/>
    <w:rsid w:val="00A17918"/>
    <w:rsid w:val="00A20403"/>
    <w:rsid w:val="00A2333F"/>
    <w:rsid w:val="00A258E3"/>
    <w:rsid w:val="00A25DBD"/>
    <w:rsid w:val="00A26579"/>
    <w:rsid w:val="00A26A82"/>
    <w:rsid w:val="00A31296"/>
    <w:rsid w:val="00A31649"/>
    <w:rsid w:val="00A33134"/>
    <w:rsid w:val="00A36073"/>
    <w:rsid w:val="00A362F8"/>
    <w:rsid w:val="00A40995"/>
    <w:rsid w:val="00A431DA"/>
    <w:rsid w:val="00A4431E"/>
    <w:rsid w:val="00A44AEF"/>
    <w:rsid w:val="00A47ACB"/>
    <w:rsid w:val="00A50269"/>
    <w:rsid w:val="00A5312F"/>
    <w:rsid w:val="00A54818"/>
    <w:rsid w:val="00A66049"/>
    <w:rsid w:val="00A67924"/>
    <w:rsid w:val="00A70124"/>
    <w:rsid w:val="00A70732"/>
    <w:rsid w:val="00A71E92"/>
    <w:rsid w:val="00A7315C"/>
    <w:rsid w:val="00A7426B"/>
    <w:rsid w:val="00A74316"/>
    <w:rsid w:val="00A7512D"/>
    <w:rsid w:val="00A77EE0"/>
    <w:rsid w:val="00A8213D"/>
    <w:rsid w:val="00A82434"/>
    <w:rsid w:val="00A8438D"/>
    <w:rsid w:val="00A8499D"/>
    <w:rsid w:val="00A850C1"/>
    <w:rsid w:val="00A86A0C"/>
    <w:rsid w:val="00A9106F"/>
    <w:rsid w:val="00A91D02"/>
    <w:rsid w:val="00A91F6F"/>
    <w:rsid w:val="00A92E0D"/>
    <w:rsid w:val="00A95361"/>
    <w:rsid w:val="00A95AE0"/>
    <w:rsid w:val="00A95CB1"/>
    <w:rsid w:val="00A96B51"/>
    <w:rsid w:val="00A97227"/>
    <w:rsid w:val="00AA1914"/>
    <w:rsid w:val="00AA6A37"/>
    <w:rsid w:val="00AB04AF"/>
    <w:rsid w:val="00AB22A5"/>
    <w:rsid w:val="00AB3AFA"/>
    <w:rsid w:val="00AB4E60"/>
    <w:rsid w:val="00AB61E8"/>
    <w:rsid w:val="00AB7BD4"/>
    <w:rsid w:val="00AC035E"/>
    <w:rsid w:val="00AC04A2"/>
    <w:rsid w:val="00AC30E6"/>
    <w:rsid w:val="00AC4B22"/>
    <w:rsid w:val="00AC5611"/>
    <w:rsid w:val="00AD0379"/>
    <w:rsid w:val="00AD1D7A"/>
    <w:rsid w:val="00AD2A27"/>
    <w:rsid w:val="00AD34A3"/>
    <w:rsid w:val="00AD53E0"/>
    <w:rsid w:val="00AD54D6"/>
    <w:rsid w:val="00AD710F"/>
    <w:rsid w:val="00AE0144"/>
    <w:rsid w:val="00AE1A75"/>
    <w:rsid w:val="00AE490B"/>
    <w:rsid w:val="00AE4963"/>
    <w:rsid w:val="00AE5778"/>
    <w:rsid w:val="00AE6305"/>
    <w:rsid w:val="00AE7BF4"/>
    <w:rsid w:val="00AF0992"/>
    <w:rsid w:val="00AF2474"/>
    <w:rsid w:val="00AF35DC"/>
    <w:rsid w:val="00AF6655"/>
    <w:rsid w:val="00AF746D"/>
    <w:rsid w:val="00B00254"/>
    <w:rsid w:val="00B00DD2"/>
    <w:rsid w:val="00B01532"/>
    <w:rsid w:val="00B016AC"/>
    <w:rsid w:val="00B018AF"/>
    <w:rsid w:val="00B04D8E"/>
    <w:rsid w:val="00B053F4"/>
    <w:rsid w:val="00B078BF"/>
    <w:rsid w:val="00B11341"/>
    <w:rsid w:val="00B114A0"/>
    <w:rsid w:val="00B114F0"/>
    <w:rsid w:val="00B12060"/>
    <w:rsid w:val="00B12A7B"/>
    <w:rsid w:val="00B1374F"/>
    <w:rsid w:val="00B161F2"/>
    <w:rsid w:val="00B16D52"/>
    <w:rsid w:val="00B20E30"/>
    <w:rsid w:val="00B2152D"/>
    <w:rsid w:val="00B217FC"/>
    <w:rsid w:val="00B22407"/>
    <w:rsid w:val="00B228A5"/>
    <w:rsid w:val="00B2338B"/>
    <w:rsid w:val="00B25AE9"/>
    <w:rsid w:val="00B27916"/>
    <w:rsid w:val="00B307CF"/>
    <w:rsid w:val="00B314BD"/>
    <w:rsid w:val="00B32EAF"/>
    <w:rsid w:val="00B333E6"/>
    <w:rsid w:val="00B35EE2"/>
    <w:rsid w:val="00B410D3"/>
    <w:rsid w:val="00B424A2"/>
    <w:rsid w:val="00B43291"/>
    <w:rsid w:val="00B43655"/>
    <w:rsid w:val="00B43C89"/>
    <w:rsid w:val="00B5032D"/>
    <w:rsid w:val="00B514ED"/>
    <w:rsid w:val="00B51A8D"/>
    <w:rsid w:val="00B5253F"/>
    <w:rsid w:val="00B52C94"/>
    <w:rsid w:val="00B53B55"/>
    <w:rsid w:val="00B54175"/>
    <w:rsid w:val="00B54661"/>
    <w:rsid w:val="00B54F1C"/>
    <w:rsid w:val="00B56ACF"/>
    <w:rsid w:val="00B6064D"/>
    <w:rsid w:val="00B61D48"/>
    <w:rsid w:val="00B639C4"/>
    <w:rsid w:val="00B63ABD"/>
    <w:rsid w:val="00B67744"/>
    <w:rsid w:val="00B71E41"/>
    <w:rsid w:val="00B7493A"/>
    <w:rsid w:val="00B761D6"/>
    <w:rsid w:val="00B763E3"/>
    <w:rsid w:val="00B76A6B"/>
    <w:rsid w:val="00B7738A"/>
    <w:rsid w:val="00B81F2F"/>
    <w:rsid w:val="00B825DE"/>
    <w:rsid w:val="00B837A6"/>
    <w:rsid w:val="00B838BC"/>
    <w:rsid w:val="00B84B9C"/>
    <w:rsid w:val="00B85774"/>
    <w:rsid w:val="00B86EA8"/>
    <w:rsid w:val="00B90D6E"/>
    <w:rsid w:val="00B90FB7"/>
    <w:rsid w:val="00B9304A"/>
    <w:rsid w:val="00B93D02"/>
    <w:rsid w:val="00B93D94"/>
    <w:rsid w:val="00B9618E"/>
    <w:rsid w:val="00BA064C"/>
    <w:rsid w:val="00BA1C0A"/>
    <w:rsid w:val="00BA6EDA"/>
    <w:rsid w:val="00BA70C1"/>
    <w:rsid w:val="00BA7508"/>
    <w:rsid w:val="00BA7770"/>
    <w:rsid w:val="00BB1103"/>
    <w:rsid w:val="00BB22C6"/>
    <w:rsid w:val="00BB285F"/>
    <w:rsid w:val="00BB504D"/>
    <w:rsid w:val="00BB5F80"/>
    <w:rsid w:val="00BB71F5"/>
    <w:rsid w:val="00BC4D51"/>
    <w:rsid w:val="00BD4348"/>
    <w:rsid w:val="00BD522D"/>
    <w:rsid w:val="00BE0528"/>
    <w:rsid w:val="00BE1367"/>
    <w:rsid w:val="00BE1898"/>
    <w:rsid w:val="00BE252E"/>
    <w:rsid w:val="00BE427F"/>
    <w:rsid w:val="00BE7E9A"/>
    <w:rsid w:val="00BF1CFD"/>
    <w:rsid w:val="00BF2180"/>
    <w:rsid w:val="00BF30D8"/>
    <w:rsid w:val="00BF55ED"/>
    <w:rsid w:val="00C0017E"/>
    <w:rsid w:val="00C00AAD"/>
    <w:rsid w:val="00C00B7C"/>
    <w:rsid w:val="00C061C1"/>
    <w:rsid w:val="00C121DE"/>
    <w:rsid w:val="00C130B9"/>
    <w:rsid w:val="00C1467B"/>
    <w:rsid w:val="00C15742"/>
    <w:rsid w:val="00C16F5D"/>
    <w:rsid w:val="00C25F00"/>
    <w:rsid w:val="00C2605C"/>
    <w:rsid w:val="00C26133"/>
    <w:rsid w:val="00C32053"/>
    <w:rsid w:val="00C35EE7"/>
    <w:rsid w:val="00C36C17"/>
    <w:rsid w:val="00C37862"/>
    <w:rsid w:val="00C42477"/>
    <w:rsid w:val="00C43215"/>
    <w:rsid w:val="00C47423"/>
    <w:rsid w:val="00C47AEE"/>
    <w:rsid w:val="00C54633"/>
    <w:rsid w:val="00C547B6"/>
    <w:rsid w:val="00C60827"/>
    <w:rsid w:val="00C62307"/>
    <w:rsid w:val="00C6288B"/>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5888"/>
    <w:rsid w:val="00CA02D1"/>
    <w:rsid w:val="00CA0EBA"/>
    <w:rsid w:val="00CA4792"/>
    <w:rsid w:val="00CA490C"/>
    <w:rsid w:val="00CA5719"/>
    <w:rsid w:val="00CB006D"/>
    <w:rsid w:val="00CB0DB6"/>
    <w:rsid w:val="00CB2D9F"/>
    <w:rsid w:val="00CB3049"/>
    <w:rsid w:val="00CB45C7"/>
    <w:rsid w:val="00CB523C"/>
    <w:rsid w:val="00CB558D"/>
    <w:rsid w:val="00CB6A0E"/>
    <w:rsid w:val="00CC3F97"/>
    <w:rsid w:val="00CC4DB6"/>
    <w:rsid w:val="00CC50D1"/>
    <w:rsid w:val="00CC6A85"/>
    <w:rsid w:val="00CC7A9E"/>
    <w:rsid w:val="00CD2334"/>
    <w:rsid w:val="00CD3AF0"/>
    <w:rsid w:val="00CD46BA"/>
    <w:rsid w:val="00CD74E9"/>
    <w:rsid w:val="00CE0199"/>
    <w:rsid w:val="00CE51BA"/>
    <w:rsid w:val="00CE5231"/>
    <w:rsid w:val="00CE712C"/>
    <w:rsid w:val="00CF084B"/>
    <w:rsid w:val="00CF35D8"/>
    <w:rsid w:val="00D01A31"/>
    <w:rsid w:val="00D11A0B"/>
    <w:rsid w:val="00D12578"/>
    <w:rsid w:val="00D159A4"/>
    <w:rsid w:val="00D20C63"/>
    <w:rsid w:val="00D2366D"/>
    <w:rsid w:val="00D24D52"/>
    <w:rsid w:val="00D25CA6"/>
    <w:rsid w:val="00D26A5F"/>
    <w:rsid w:val="00D341EA"/>
    <w:rsid w:val="00D4008B"/>
    <w:rsid w:val="00D40744"/>
    <w:rsid w:val="00D4516C"/>
    <w:rsid w:val="00D46C0A"/>
    <w:rsid w:val="00D50035"/>
    <w:rsid w:val="00D508A1"/>
    <w:rsid w:val="00D511D7"/>
    <w:rsid w:val="00D527C4"/>
    <w:rsid w:val="00D53241"/>
    <w:rsid w:val="00D53F28"/>
    <w:rsid w:val="00D57188"/>
    <w:rsid w:val="00D602E0"/>
    <w:rsid w:val="00D61C59"/>
    <w:rsid w:val="00D6798E"/>
    <w:rsid w:val="00D70FE7"/>
    <w:rsid w:val="00D74472"/>
    <w:rsid w:val="00D82F2E"/>
    <w:rsid w:val="00D846C0"/>
    <w:rsid w:val="00D862E4"/>
    <w:rsid w:val="00D8670A"/>
    <w:rsid w:val="00D94FDF"/>
    <w:rsid w:val="00D95B28"/>
    <w:rsid w:val="00D96107"/>
    <w:rsid w:val="00D97E2E"/>
    <w:rsid w:val="00DA26BF"/>
    <w:rsid w:val="00DB57A5"/>
    <w:rsid w:val="00DB61F0"/>
    <w:rsid w:val="00DB75E8"/>
    <w:rsid w:val="00DC0286"/>
    <w:rsid w:val="00DC08AF"/>
    <w:rsid w:val="00DC22B1"/>
    <w:rsid w:val="00DC4719"/>
    <w:rsid w:val="00DC5DF9"/>
    <w:rsid w:val="00DC7B1B"/>
    <w:rsid w:val="00DD42C1"/>
    <w:rsid w:val="00DD5863"/>
    <w:rsid w:val="00DD69DD"/>
    <w:rsid w:val="00DE0E82"/>
    <w:rsid w:val="00DE2D2A"/>
    <w:rsid w:val="00DF0FA4"/>
    <w:rsid w:val="00DF1595"/>
    <w:rsid w:val="00DF3CBA"/>
    <w:rsid w:val="00DF5BCF"/>
    <w:rsid w:val="00DF5C3B"/>
    <w:rsid w:val="00DF6BC0"/>
    <w:rsid w:val="00E01D0C"/>
    <w:rsid w:val="00E03E63"/>
    <w:rsid w:val="00E0414E"/>
    <w:rsid w:val="00E05FD7"/>
    <w:rsid w:val="00E06A0B"/>
    <w:rsid w:val="00E12290"/>
    <w:rsid w:val="00E135BC"/>
    <w:rsid w:val="00E153F3"/>
    <w:rsid w:val="00E17263"/>
    <w:rsid w:val="00E2111C"/>
    <w:rsid w:val="00E22E27"/>
    <w:rsid w:val="00E2354C"/>
    <w:rsid w:val="00E306CE"/>
    <w:rsid w:val="00E31F63"/>
    <w:rsid w:val="00E32206"/>
    <w:rsid w:val="00E34502"/>
    <w:rsid w:val="00E34934"/>
    <w:rsid w:val="00E35FA1"/>
    <w:rsid w:val="00E362BD"/>
    <w:rsid w:val="00E3721A"/>
    <w:rsid w:val="00E41834"/>
    <w:rsid w:val="00E44093"/>
    <w:rsid w:val="00E44B15"/>
    <w:rsid w:val="00E46A95"/>
    <w:rsid w:val="00E52477"/>
    <w:rsid w:val="00E52655"/>
    <w:rsid w:val="00E52F1A"/>
    <w:rsid w:val="00E5440B"/>
    <w:rsid w:val="00E54A93"/>
    <w:rsid w:val="00E54DF0"/>
    <w:rsid w:val="00E56891"/>
    <w:rsid w:val="00E56A13"/>
    <w:rsid w:val="00E61B88"/>
    <w:rsid w:val="00E6488C"/>
    <w:rsid w:val="00E7029C"/>
    <w:rsid w:val="00E70613"/>
    <w:rsid w:val="00E72563"/>
    <w:rsid w:val="00E729CA"/>
    <w:rsid w:val="00E747B2"/>
    <w:rsid w:val="00E778BA"/>
    <w:rsid w:val="00E81A0D"/>
    <w:rsid w:val="00E81C5D"/>
    <w:rsid w:val="00E82AE2"/>
    <w:rsid w:val="00E834D2"/>
    <w:rsid w:val="00E8371E"/>
    <w:rsid w:val="00E83A73"/>
    <w:rsid w:val="00E86BCA"/>
    <w:rsid w:val="00E905A7"/>
    <w:rsid w:val="00E908F1"/>
    <w:rsid w:val="00E92352"/>
    <w:rsid w:val="00E93740"/>
    <w:rsid w:val="00E95170"/>
    <w:rsid w:val="00E96C61"/>
    <w:rsid w:val="00E97C30"/>
    <w:rsid w:val="00EA037F"/>
    <w:rsid w:val="00EA2750"/>
    <w:rsid w:val="00EA49AC"/>
    <w:rsid w:val="00EA7155"/>
    <w:rsid w:val="00EB1811"/>
    <w:rsid w:val="00EB2040"/>
    <w:rsid w:val="00EB784F"/>
    <w:rsid w:val="00EC176A"/>
    <w:rsid w:val="00EC4E55"/>
    <w:rsid w:val="00EC575C"/>
    <w:rsid w:val="00EC5D5F"/>
    <w:rsid w:val="00EC634E"/>
    <w:rsid w:val="00EC73B4"/>
    <w:rsid w:val="00EC7A10"/>
    <w:rsid w:val="00ED0D2B"/>
    <w:rsid w:val="00ED312D"/>
    <w:rsid w:val="00ED37D9"/>
    <w:rsid w:val="00ED5408"/>
    <w:rsid w:val="00ED7BAF"/>
    <w:rsid w:val="00EE038B"/>
    <w:rsid w:val="00EE35A5"/>
    <w:rsid w:val="00EE3780"/>
    <w:rsid w:val="00EE5B70"/>
    <w:rsid w:val="00EE77C6"/>
    <w:rsid w:val="00EE7C64"/>
    <w:rsid w:val="00EF1077"/>
    <w:rsid w:val="00EF17C0"/>
    <w:rsid w:val="00EF2BE3"/>
    <w:rsid w:val="00EF4F8B"/>
    <w:rsid w:val="00F06232"/>
    <w:rsid w:val="00F07759"/>
    <w:rsid w:val="00F1005C"/>
    <w:rsid w:val="00F11878"/>
    <w:rsid w:val="00F14160"/>
    <w:rsid w:val="00F145E2"/>
    <w:rsid w:val="00F14AE8"/>
    <w:rsid w:val="00F14EE4"/>
    <w:rsid w:val="00F203B5"/>
    <w:rsid w:val="00F22654"/>
    <w:rsid w:val="00F240A6"/>
    <w:rsid w:val="00F2748D"/>
    <w:rsid w:val="00F276E9"/>
    <w:rsid w:val="00F3083F"/>
    <w:rsid w:val="00F31563"/>
    <w:rsid w:val="00F3414A"/>
    <w:rsid w:val="00F341FA"/>
    <w:rsid w:val="00F34F66"/>
    <w:rsid w:val="00F361E0"/>
    <w:rsid w:val="00F36DD0"/>
    <w:rsid w:val="00F377AC"/>
    <w:rsid w:val="00F407F3"/>
    <w:rsid w:val="00F40D6B"/>
    <w:rsid w:val="00F413A3"/>
    <w:rsid w:val="00F428E9"/>
    <w:rsid w:val="00F44769"/>
    <w:rsid w:val="00F47C55"/>
    <w:rsid w:val="00F5000C"/>
    <w:rsid w:val="00F5075C"/>
    <w:rsid w:val="00F51B2A"/>
    <w:rsid w:val="00F529F7"/>
    <w:rsid w:val="00F52B88"/>
    <w:rsid w:val="00F5364D"/>
    <w:rsid w:val="00F54259"/>
    <w:rsid w:val="00F577AD"/>
    <w:rsid w:val="00F57E3C"/>
    <w:rsid w:val="00F60B06"/>
    <w:rsid w:val="00F61165"/>
    <w:rsid w:val="00F62BDB"/>
    <w:rsid w:val="00F66FD9"/>
    <w:rsid w:val="00F67A5C"/>
    <w:rsid w:val="00F707B6"/>
    <w:rsid w:val="00F75A64"/>
    <w:rsid w:val="00F76483"/>
    <w:rsid w:val="00F76706"/>
    <w:rsid w:val="00F8187C"/>
    <w:rsid w:val="00F8237E"/>
    <w:rsid w:val="00F82684"/>
    <w:rsid w:val="00F86A86"/>
    <w:rsid w:val="00F90B65"/>
    <w:rsid w:val="00F9232F"/>
    <w:rsid w:val="00F93247"/>
    <w:rsid w:val="00F94C2A"/>
    <w:rsid w:val="00F96FAC"/>
    <w:rsid w:val="00F971A0"/>
    <w:rsid w:val="00FA2C6E"/>
    <w:rsid w:val="00FA5DDC"/>
    <w:rsid w:val="00FA6170"/>
    <w:rsid w:val="00FA7C65"/>
    <w:rsid w:val="00FB0436"/>
    <w:rsid w:val="00FB2D3C"/>
    <w:rsid w:val="00FB2DD4"/>
    <w:rsid w:val="00FB4D4E"/>
    <w:rsid w:val="00FB5DDA"/>
    <w:rsid w:val="00FB6147"/>
    <w:rsid w:val="00FB7CC4"/>
    <w:rsid w:val="00FC0302"/>
    <w:rsid w:val="00FC16B2"/>
    <w:rsid w:val="00FC1836"/>
    <w:rsid w:val="00FC3C90"/>
    <w:rsid w:val="00FC4BCC"/>
    <w:rsid w:val="00FC6C36"/>
    <w:rsid w:val="00FC77C8"/>
    <w:rsid w:val="00FC7827"/>
    <w:rsid w:val="00FD14EB"/>
    <w:rsid w:val="00FD183C"/>
    <w:rsid w:val="00FD748D"/>
    <w:rsid w:val="00FE50BF"/>
    <w:rsid w:val="00FE5895"/>
    <w:rsid w:val="00FE7F17"/>
    <w:rsid w:val="00FF01DC"/>
    <w:rsid w:val="00FF02BD"/>
    <w:rsid w:val="00FF1E30"/>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DB87DDA"/>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aliases w:val="Comentarios"/>
    <w:uiPriority w:val="99"/>
    <w:qFormat/>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styleId="Textonotaalfinal">
    <w:name w:val="endnote text"/>
    <w:basedOn w:val="Normal"/>
    <w:link w:val="TextonotaalfinalCar"/>
    <w:uiPriority w:val="99"/>
    <w:semiHidden/>
    <w:unhideWhenUsed/>
    <w:rsid w:val="00D602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02E0"/>
    <w:rPr>
      <w:lang w:eastAsia="en-US"/>
    </w:rPr>
  </w:style>
  <w:style w:type="character" w:styleId="Refdenotaalfinal">
    <w:name w:val="endnote reference"/>
    <w:basedOn w:val="Fuentedeprrafopredeter"/>
    <w:uiPriority w:val="99"/>
    <w:semiHidden/>
    <w:unhideWhenUsed/>
    <w:rsid w:val="00D60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50642337">
      <w:bodyDiv w:val="1"/>
      <w:marLeft w:val="0"/>
      <w:marRight w:val="0"/>
      <w:marTop w:val="0"/>
      <w:marBottom w:val="0"/>
      <w:divBdr>
        <w:top w:val="none" w:sz="0" w:space="0" w:color="auto"/>
        <w:left w:val="none" w:sz="0" w:space="0" w:color="auto"/>
        <w:bottom w:val="none" w:sz="0" w:space="0" w:color="auto"/>
        <w:right w:val="none" w:sz="0" w:space="0" w:color="auto"/>
      </w:divBdr>
      <w:divsChild>
        <w:div w:id="1876232105">
          <w:marLeft w:val="0"/>
          <w:marRight w:val="0"/>
          <w:marTop w:val="0"/>
          <w:marBottom w:val="0"/>
          <w:divBdr>
            <w:top w:val="none" w:sz="0" w:space="0" w:color="auto"/>
            <w:left w:val="none" w:sz="0" w:space="0" w:color="auto"/>
            <w:bottom w:val="none" w:sz="0" w:space="0" w:color="auto"/>
            <w:right w:val="none" w:sz="0" w:space="0" w:color="auto"/>
          </w:divBdr>
        </w:div>
        <w:div w:id="147934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EFF8E05-1924-4267-BFB7-DDF3B8AC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B892-64CF-4B7F-AC19-151BEFB3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15880</Words>
  <Characters>87342</Characters>
  <Application>Microsoft Office Word</Application>
  <DocSecurity>0</DocSecurity>
  <Lines>727</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Maria del Consuelo Gonzalez Moreno</cp:lastModifiedBy>
  <cp:revision>9</cp:revision>
  <cp:lastPrinted>2015-02-27T18:54:00Z</cp:lastPrinted>
  <dcterms:created xsi:type="dcterms:W3CDTF">2017-12-18T19:48:00Z</dcterms:created>
  <dcterms:modified xsi:type="dcterms:W3CDTF">2018-01-12T21:49:00Z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