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62DA" w14:textId="77777777" w:rsidR="00E34589" w:rsidRPr="00E34589" w:rsidRDefault="00CE2304" w:rsidP="00E34589">
      <w:pPr>
        <w:pStyle w:val="Ttulo1"/>
        <w:keepLines/>
        <w:spacing w:before="240" w:after="240" w:line="276" w:lineRule="auto"/>
        <w:jc w:val="both"/>
        <w:rPr>
          <w:rFonts w:ascii="ITC Avant Garde" w:hAnsi="ITC Avant Garde"/>
          <w:b w:val="0"/>
          <w:bCs/>
          <w:lang w:eastAsia="es-ES"/>
        </w:rPr>
      </w:pPr>
      <w:r w:rsidRPr="00E34589">
        <w:rPr>
          <w:rFonts w:ascii="ITC Avant Garde" w:hAnsi="ITC Avant Garde"/>
          <w:bCs/>
          <w:lang w:val="es-ES" w:eastAsia="es-ES"/>
        </w:rPr>
        <w:t xml:space="preserve">RESOLUCIÓN MEDIANTE LA CUAL EL PLENO DEL INSTITUTO FEDERAL DE TELECOMUNICACIONES DETERMINA LAS CONDICIONES DE INTERCONEXIÓN NO CONVENIDAS </w:t>
      </w:r>
      <w:r w:rsidRPr="00E34589">
        <w:rPr>
          <w:rFonts w:ascii="ITC Avant Garde" w:hAnsi="ITC Avant Garde" w:cs="Helvetica"/>
          <w:lang w:eastAsia="es-MX"/>
        </w:rPr>
        <w:t xml:space="preserve">ENTRE </w:t>
      </w:r>
      <w:r w:rsidR="00A851FC" w:rsidRPr="00E34589">
        <w:rPr>
          <w:rFonts w:ascii="ITC Avant Garde" w:hAnsi="ITC Avant Garde" w:cs="Helvetica"/>
          <w:lang w:eastAsia="es-MX"/>
        </w:rPr>
        <w:t xml:space="preserve">LA EMPRESA RADIOMÓVIL DIPSA, S.A. DE C.V. </w:t>
      </w:r>
      <w:r w:rsidRPr="00E34589">
        <w:rPr>
          <w:rFonts w:ascii="ITC Avant Garde" w:hAnsi="ITC Avant Garde" w:cs="Helvetica"/>
          <w:lang w:eastAsia="es-MX"/>
        </w:rPr>
        <w:t>Y</w:t>
      </w:r>
      <w:r w:rsidR="002A5E74" w:rsidRPr="00E34589">
        <w:rPr>
          <w:rFonts w:ascii="ITC Avant Garde" w:hAnsi="ITC Avant Garde" w:cs="Helvetica"/>
          <w:lang w:eastAsia="es-MX"/>
        </w:rPr>
        <w:t xml:space="preserve"> CORPORACIÓN DE </w:t>
      </w:r>
      <w:r w:rsidR="002A5E74" w:rsidRPr="00E34589">
        <w:rPr>
          <w:rFonts w:ascii="ITC Avant Garde" w:eastAsiaTheme="majorEastAsia" w:hAnsi="ITC Avant Garde" w:cstheme="majorBidi"/>
          <w:szCs w:val="22"/>
          <w:lang w:eastAsia="es-MX"/>
        </w:rPr>
        <w:t>TELECOMUNICACIONES</w:t>
      </w:r>
      <w:r w:rsidR="002A5E74" w:rsidRPr="00E34589">
        <w:rPr>
          <w:rFonts w:ascii="ITC Avant Garde" w:hAnsi="ITC Avant Garde" w:cs="Helvetica"/>
          <w:lang w:eastAsia="es-MX"/>
        </w:rPr>
        <w:t xml:space="preserve"> REGIONALES, S.A. DE C.V.</w:t>
      </w:r>
      <w:r w:rsidRPr="00E34589">
        <w:rPr>
          <w:rFonts w:ascii="ITC Avant Garde" w:hAnsi="ITC Avant Garde" w:cs="Arial"/>
          <w:iCs/>
        </w:rPr>
        <w:t xml:space="preserve">, </w:t>
      </w:r>
      <w:r w:rsidRPr="00E34589">
        <w:rPr>
          <w:rFonts w:ascii="ITC Avant Garde" w:hAnsi="ITC Avant Garde"/>
          <w:bCs/>
          <w:iCs/>
          <w:lang w:eastAsia="es-ES"/>
        </w:rPr>
        <w:t xml:space="preserve">APLICABLES DEL 1 DE </w:t>
      </w:r>
      <w:r w:rsidR="00A851FC" w:rsidRPr="00E34589">
        <w:rPr>
          <w:rFonts w:ascii="ITC Avant Garde" w:hAnsi="ITC Avant Garde"/>
          <w:bCs/>
          <w:iCs/>
          <w:lang w:eastAsia="es-ES"/>
        </w:rPr>
        <w:t>ENERO AL 31 DE DICIEMBRE DE 2017</w:t>
      </w:r>
      <w:r w:rsidRPr="00E34589">
        <w:rPr>
          <w:rFonts w:ascii="ITC Avant Garde" w:hAnsi="ITC Avant Garde"/>
          <w:bCs/>
          <w:iCs/>
          <w:lang w:eastAsia="es-ES"/>
        </w:rPr>
        <w:t>.</w:t>
      </w:r>
    </w:p>
    <w:p w14:paraId="0DA669DD" w14:textId="77777777" w:rsidR="00E34589" w:rsidRPr="00E34589" w:rsidRDefault="00C25F00" w:rsidP="00E34589">
      <w:pPr>
        <w:pStyle w:val="Ttulo2"/>
        <w:spacing w:after="240"/>
        <w:jc w:val="center"/>
        <w:rPr>
          <w:rFonts w:ascii="ITC Avant Garde" w:hAnsi="ITC Avant Garde"/>
          <w:szCs w:val="22"/>
        </w:rPr>
      </w:pPr>
      <w:r w:rsidRPr="00E34589">
        <w:rPr>
          <w:rFonts w:ascii="ITC Avant Garde" w:hAnsi="ITC Avant Garde"/>
        </w:rPr>
        <w:t>ANTECEDENTES</w:t>
      </w:r>
    </w:p>
    <w:p w14:paraId="321C4759" w14:textId="77777777" w:rsidR="00E34589" w:rsidRPr="00E34589" w:rsidRDefault="00BB1FFD" w:rsidP="00E34589">
      <w:pPr>
        <w:numPr>
          <w:ilvl w:val="0"/>
          <w:numId w:val="1"/>
        </w:numPr>
        <w:tabs>
          <w:tab w:val="clear" w:pos="8761"/>
          <w:tab w:val="num" w:pos="680"/>
        </w:tabs>
        <w:spacing w:after="240"/>
        <w:ind w:left="680"/>
        <w:jc w:val="both"/>
        <w:rPr>
          <w:rFonts w:ascii="ITC Avant Garde" w:eastAsia="Times New Roman" w:hAnsi="ITC Avant Garde" w:cs="Arial"/>
          <w:b/>
          <w:bCs/>
          <w:lang w:eastAsia="es-ES"/>
        </w:rPr>
      </w:pPr>
      <w:r w:rsidRPr="00E34589">
        <w:rPr>
          <w:rFonts w:ascii="ITC Avant Garde" w:hAnsi="ITC Avant Garde"/>
          <w:b/>
          <w:bCs/>
        </w:rPr>
        <w:t xml:space="preserve">Concesiones de Radiomóvil Dipsa, S.A. de C.V. </w:t>
      </w:r>
      <w:r w:rsidRPr="00E34589">
        <w:rPr>
          <w:rFonts w:ascii="ITC Avant Garde" w:eastAsia="Times New Roman" w:hAnsi="ITC Avant Garde" w:cs="Arial"/>
          <w:b/>
          <w:bCs/>
          <w:lang w:eastAsia="es-ES"/>
        </w:rPr>
        <w:t xml:space="preserve">(en lo sucesivo, “Telcel”), </w:t>
      </w:r>
      <w:r w:rsidRPr="00E34589">
        <w:rPr>
          <w:rFonts w:ascii="ITC Avant Garde" w:eastAsia="Times New Roman" w:hAnsi="ITC Avant Garde" w:cs="Arial"/>
          <w:bCs/>
          <w:lang w:eastAsia="es-ES"/>
        </w:rPr>
        <w:t xml:space="preserve">es un operador que cuenta </w:t>
      </w:r>
      <w:r w:rsidRPr="00E34589">
        <w:rPr>
          <w:rFonts w:ascii="ITC Avant Garde" w:hAnsi="ITC Avant Garde" w:cs="Arial"/>
          <w:bCs/>
          <w:snapToGrid w:val="0"/>
        </w:rPr>
        <w:t>concesiones p</w:t>
      </w:r>
      <w:r w:rsidRPr="00E34589">
        <w:rPr>
          <w:rFonts w:ascii="ITC Avant Garde" w:eastAsia="Times New Roman" w:hAnsi="ITC Avant Garde"/>
          <w:lang w:eastAsia="es-ES"/>
        </w:rPr>
        <w:t>ara instalar, operar y explotar una red pública de telecomunicaciones</w:t>
      </w:r>
      <w:r w:rsidRPr="00E34589">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0875373D" w14:textId="77777777" w:rsidR="00E34589" w:rsidRPr="00E34589" w:rsidRDefault="00C9549E" w:rsidP="00E34589">
      <w:pPr>
        <w:numPr>
          <w:ilvl w:val="0"/>
          <w:numId w:val="1"/>
        </w:numPr>
        <w:tabs>
          <w:tab w:val="left" w:pos="142"/>
        </w:tabs>
        <w:spacing w:after="240"/>
        <w:ind w:left="709" w:right="23" w:hanging="709"/>
        <w:jc w:val="both"/>
        <w:rPr>
          <w:rFonts w:ascii="ITC Avant Garde" w:hAnsi="ITC Avant Garde" w:cs="Arial"/>
          <w:bCs/>
        </w:rPr>
      </w:pPr>
      <w:r w:rsidRPr="00E34589">
        <w:rPr>
          <w:rFonts w:ascii="ITC Avant Garde" w:hAnsi="ITC Avant Garde" w:cs="Arial"/>
          <w:b/>
          <w:bCs/>
        </w:rPr>
        <w:t>Concesi</w:t>
      </w:r>
      <w:r w:rsidR="00BB1FFD" w:rsidRPr="00E34589">
        <w:rPr>
          <w:rFonts w:ascii="ITC Avant Garde" w:hAnsi="ITC Avant Garde" w:cs="Arial"/>
          <w:b/>
          <w:bCs/>
        </w:rPr>
        <w:t>ones</w:t>
      </w:r>
      <w:r w:rsidR="002A5E74" w:rsidRPr="00E34589">
        <w:rPr>
          <w:rFonts w:ascii="ITC Avant Garde" w:hAnsi="ITC Avant Garde" w:cs="Arial"/>
          <w:b/>
          <w:bCs/>
        </w:rPr>
        <w:t xml:space="preserve"> de Corporación de Telecomunicaciones Regionales, S.A. de C.V. (en lo sucesivo, “CTR”)</w:t>
      </w:r>
      <w:r w:rsidR="00A851FC" w:rsidRPr="00E34589">
        <w:rPr>
          <w:rFonts w:ascii="ITC Avant Garde" w:hAnsi="ITC Avant Garde" w:cs="Arial"/>
          <w:b/>
          <w:bCs/>
        </w:rPr>
        <w:t xml:space="preserve">, </w:t>
      </w:r>
      <w:r w:rsidR="00BB1FFD" w:rsidRPr="00E34589">
        <w:rPr>
          <w:rFonts w:ascii="ITC Avant Garde" w:eastAsia="Times New Roman" w:hAnsi="ITC Avant Garde" w:cs="Arial"/>
          <w:bCs/>
          <w:lang w:eastAsia="es-ES"/>
        </w:rPr>
        <w:t xml:space="preserve">es un operador que cuenta </w:t>
      </w:r>
      <w:r w:rsidR="00BB1FFD" w:rsidRPr="00E34589">
        <w:rPr>
          <w:rFonts w:ascii="ITC Avant Garde" w:hAnsi="ITC Avant Garde" w:cs="Arial"/>
          <w:bCs/>
          <w:snapToGrid w:val="0"/>
        </w:rPr>
        <w:t>concesiones p</w:t>
      </w:r>
      <w:r w:rsidR="00BB1FFD" w:rsidRPr="00E34589">
        <w:rPr>
          <w:rFonts w:ascii="ITC Avant Garde" w:eastAsia="Times New Roman" w:hAnsi="ITC Avant Garde"/>
          <w:lang w:eastAsia="es-ES"/>
        </w:rPr>
        <w:t>ara instalar, operar y explotar una red pública de telecomunicaciones</w:t>
      </w:r>
      <w:r w:rsidR="00BB1FFD" w:rsidRPr="00E34589">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65850CAE" w14:textId="77777777" w:rsidR="00E34589" w:rsidRPr="00E34589" w:rsidRDefault="007A2313" w:rsidP="00E34589">
      <w:pPr>
        <w:numPr>
          <w:ilvl w:val="0"/>
          <w:numId w:val="1"/>
        </w:numPr>
        <w:tabs>
          <w:tab w:val="left" w:pos="142"/>
        </w:tabs>
        <w:spacing w:after="240"/>
        <w:ind w:left="709" w:right="23" w:hanging="709"/>
        <w:jc w:val="both"/>
        <w:rPr>
          <w:rFonts w:ascii="ITC Avant Garde" w:hAnsi="ITC Avant Garde" w:cs="Arial"/>
          <w:b/>
          <w:bCs/>
        </w:rPr>
      </w:pPr>
      <w:r w:rsidRPr="00E34589">
        <w:rPr>
          <w:rFonts w:ascii="ITC Avant Garde" w:hAnsi="ITC Avant Garde" w:cs="Arial"/>
          <w:b/>
          <w:bCs/>
        </w:rPr>
        <w:t xml:space="preserve">Metodología para el cálculo de costos de interconexión. </w:t>
      </w:r>
      <w:r w:rsidRPr="00E34589">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286337DB" w14:textId="77777777" w:rsidR="00E34589" w:rsidRPr="00E34589" w:rsidRDefault="007A2313" w:rsidP="00E34589">
      <w:pPr>
        <w:numPr>
          <w:ilvl w:val="0"/>
          <w:numId w:val="1"/>
        </w:numPr>
        <w:tabs>
          <w:tab w:val="left" w:pos="142"/>
        </w:tabs>
        <w:spacing w:after="240"/>
        <w:ind w:left="709" w:right="23" w:hanging="709"/>
        <w:jc w:val="both"/>
        <w:rPr>
          <w:rFonts w:ascii="ITC Avant Garde" w:hAnsi="ITC Avant Garde" w:cs="Arial"/>
          <w:b/>
          <w:bCs/>
        </w:rPr>
      </w:pPr>
      <w:r w:rsidRPr="00E34589">
        <w:rPr>
          <w:rFonts w:ascii="ITC Avant Garde" w:hAnsi="ITC Avant Garde"/>
          <w:b/>
          <w:bCs/>
          <w:lang w:val="es-ES" w:eastAsia="es-ES"/>
        </w:rPr>
        <w:t>Sistema Electrónico de Solicitudes de Interconexión.</w:t>
      </w:r>
      <w:r w:rsidRPr="00E34589">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3DA54A9C" w14:textId="77777777" w:rsidR="00E34589" w:rsidRPr="00E34589" w:rsidRDefault="007A2313" w:rsidP="00E34589">
      <w:pPr>
        <w:numPr>
          <w:ilvl w:val="0"/>
          <w:numId w:val="1"/>
        </w:numPr>
        <w:tabs>
          <w:tab w:val="left" w:pos="142"/>
        </w:tabs>
        <w:spacing w:after="240"/>
        <w:ind w:left="709" w:right="23" w:hanging="709"/>
        <w:jc w:val="both"/>
        <w:rPr>
          <w:rFonts w:ascii="ITC Avant Garde" w:hAnsi="ITC Avant Garde" w:cs="Arial"/>
          <w:b/>
          <w:bCs/>
        </w:rPr>
      </w:pPr>
      <w:r w:rsidRPr="00E34589">
        <w:rPr>
          <w:rFonts w:ascii="ITC Avant Garde" w:eastAsia="Times New Roman" w:hAnsi="ITC Avant Garde"/>
          <w:b/>
          <w:bCs/>
          <w:lang w:val="es-ES" w:eastAsia="es-ES"/>
        </w:rPr>
        <w:t>Procedimiento de resolución de condiciones de interconexión no convenidas.</w:t>
      </w:r>
      <w:r w:rsidRPr="00E34589">
        <w:rPr>
          <w:rFonts w:ascii="ITC Avant Garde" w:eastAsia="Times New Roman" w:hAnsi="ITC Avant Garde"/>
          <w:lang w:val="es-ES" w:eastAsia="es-ES"/>
        </w:rPr>
        <w:t xml:space="preserve"> </w:t>
      </w:r>
      <w:r w:rsidRPr="00E34589">
        <w:rPr>
          <w:rFonts w:ascii="ITC Avant Garde" w:eastAsia="Times New Roman" w:hAnsi="ITC Avant Garde"/>
          <w:bCs/>
          <w:lang w:val="es-ES" w:eastAsia="es-ES"/>
        </w:rPr>
        <w:t xml:space="preserve">El </w:t>
      </w:r>
      <w:r w:rsidR="00FC131C" w:rsidRPr="00E34589">
        <w:rPr>
          <w:rFonts w:ascii="ITC Avant Garde" w:eastAsia="Times New Roman" w:hAnsi="ITC Avant Garde"/>
          <w:bCs/>
          <w:lang w:val="es-ES" w:eastAsia="es-ES"/>
        </w:rPr>
        <w:t>14 de julio de 2016, el apoderado</w:t>
      </w:r>
      <w:r w:rsidRPr="00E34589">
        <w:rPr>
          <w:rFonts w:ascii="ITC Avant Garde" w:eastAsia="Times New Roman" w:hAnsi="ITC Avant Garde"/>
          <w:bCs/>
          <w:lang w:val="es-ES" w:eastAsia="es-ES"/>
        </w:rPr>
        <w:t xml:space="preserve"> legal de </w:t>
      </w:r>
      <w:r w:rsidR="00A851FC" w:rsidRPr="00E34589">
        <w:rPr>
          <w:rFonts w:ascii="ITC Avant Garde" w:eastAsia="Times New Roman" w:hAnsi="ITC Avant Garde"/>
          <w:bCs/>
          <w:lang w:val="es-ES" w:eastAsia="es-ES"/>
        </w:rPr>
        <w:t>Telcel</w:t>
      </w:r>
      <w:r w:rsidRPr="00E34589">
        <w:rPr>
          <w:rFonts w:ascii="ITC Avant Garde" w:eastAsia="Times New Roman" w:hAnsi="ITC Avant Garde"/>
          <w:bCs/>
          <w:lang w:val="es-ES" w:eastAsia="es-ES"/>
        </w:rPr>
        <w:t xml:space="preserve"> presentó </w:t>
      </w:r>
      <w:r w:rsidRPr="00E34589">
        <w:rPr>
          <w:rFonts w:ascii="ITC Avant Garde" w:eastAsia="Times New Roman" w:hAnsi="ITC Avant Garde"/>
          <w:lang w:val="es-ES" w:eastAsia="es-ES"/>
        </w:rPr>
        <w:t xml:space="preserve">ante el Instituto, escrito mediante </w:t>
      </w:r>
      <w:r w:rsidR="00FC131C" w:rsidRPr="00E34589">
        <w:rPr>
          <w:rFonts w:ascii="ITC Avant Garde" w:eastAsia="Times New Roman" w:hAnsi="ITC Avant Garde"/>
          <w:lang w:val="es-ES" w:eastAsia="es-ES"/>
        </w:rPr>
        <w:t>el cual</w:t>
      </w:r>
      <w:r w:rsidRPr="00E34589">
        <w:rPr>
          <w:rFonts w:ascii="ITC Avant Garde" w:eastAsia="Times New Roman" w:hAnsi="ITC Avant Garde"/>
          <w:lang w:val="es-ES" w:eastAsia="es-ES"/>
        </w:rPr>
        <w:t xml:space="preserve"> solicitó su intervención para resolver los </w:t>
      </w:r>
      <w:r w:rsidRPr="00E34589">
        <w:rPr>
          <w:rFonts w:ascii="ITC Avant Garde" w:eastAsia="Times New Roman" w:hAnsi="ITC Avant Garde"/>
          <w:lang w:val="es-ES" w:eastAsia="es-ES"/>
        </w:rPr>
        <w:lastRenderedPageBreak/>
        <w:t>términos, tarifas y condiciones que no pudo convenir con</w:t>
      </w:r>
      <w:r w:rsidR="0081246E" w:rsidRPr="00E34589">
        <w:rPr>
          <w:rFonts w:ascii="ITC Avant Garde" w:eastAsia="Times New Roman" w:hAnsi="ITC Avant Garde"/>
          <w:lang w:val="es-ES" w:eastAsia="es-ES"/>
        </w:rPr>
        <w:t xml:space="preserve"> </w:t>
      </w:r>
      <w:r w:rsidR="002A5E74" w:rsidRPr="00E34589">
        <w:rPr>
          <w:rFonts w:ascii="ITC Avant Garde" w:eastAsia="Times New Roman" w:hAnsi="ITC Avant Garde"/>
          <w:lang w:val="es-ES" w:eastAsia="es-ES"/>
        </w:rPr>
        <w:t>CTR</w:t>
      </w:r>
      <w:r w:rsidRPr="00E34589">
        <w:rPr>
          <w:rFonts w:ascii="ITC Avant Garde" w:eastAsia="Times New Roman" w:hAnsi="ITC Avant Garde"/>
          <w:lang w:val="es-ES" w:eastAsia="es-ES"/>
        </w:rPr>
        <w:t xml:space="preserve"> para la interconexión de sus respectivas redes públicas de telecomunicaci</w:t>
      </w:r>
      <w:r w:rsidR="00FC131C" w:rsidRPr="00E34589">
        <w:rPr>
          <w:rFonts w:ascii="ITC Avant Garde" w:eastAsia="Times New Roman" w:hAnsi="ITC Avant Garde"/>
          <w:lang w:val="es-ES" w:eastAsia="es-ES"/>
        </w:rPr>
        <w:t>ones, aplicables al periodo 2017</w:t>
      </w:r>
      <w:r w:rsidRPr="00E34589">
        <w:rPr>
          <w:rFonts w:ascii="ITC Avant Garde" w:eastAsia="Times New Roman" w:hAnsi="ITC Avant Garde"/>
          <w:lang w:val="es-ES" w:eastAsia="es-ES"/>
        </w:rPr>
        <w:t xml:space="preserve"> (en lo sucesivo, la “Solicitud de Resolución”).</w:t>
      </w:r>
    </w:p>
    <w:p w14:paraId="7D1221EE" w14:textId="77777777" w:rsidR="00E34589" w:rsidRPr="00E34589" w:rsidRDefault="00FC131C" w:rsidP="00E34589">
      <w:pPr>
        <w:spacing w:after="240"/>
        <w:ind w:left="709" w:hanging="1"/>
        <w:jc w:val="both"/>
        <w:rPr>
          <w:rFonts w:ascii="ITC Avant Garde" w:eastAsia="Times New Roman" w:hAnsi="ITC Avant Garde"/>
          <w:lang w:val="es-ES" w:eastAsia="es-ES"/>
        </w:rPr>
      </w:pPr>
      <w:r w:rsidRPr="00E34589">
        <w:rPr>
          <w:rFonts w:ascii="ITC Avant Garde" w:eastAsia="Times New Roman" w:hAnsi="ITC Avant Garde"/>
          <w:bCs/>
          <w:lang w:val="es-ES" w:eastAsia="es-ES"/>
        </w:rPr>
        <w:t>La Solicitud de Resolución se admitió</w:t>
      </w:r>
      <w:r w:rsidR="00D56B62" w:rsidRPr="00E34589">
        <w:rPr>
          <w:rFonts w:ascii="ITC Avant Garde" w:eastAsia="Times New Roman" w:hAnsi="ITC Avant Garde"/>
          <w:bCs/>
          <w:lang w:val="es-ES" w:eastAsia="es-ES"/>
        </w:rPr>
        <w:t xml:space="preserve"> a trámite </w:t>
      </w:r>
      <w:r w:rsidR="00D56B62" w:rsidRPr="00E34589">
        <w:rPr>
          <w:rFonts w:ascii="ITC Avant Garde" w:eastAsia="Times New Roman" w:hAnsi="ITC Avant Garde"/>
          <w:lang w:val="es-ES" w:eastAsia="es-ES"/>
        </w:rPr>
        <w:t xml:space="preserve">asignándole el número de expediente </w:t>
      </w:r>
      <w:r w:rsidR="0081246E" w:rsidRPr="00E34589">
        <w:rPr>
          <w:rFonts w:ascii="ITC Avant Garde" w:eastAsia="Times New Roman" w:hAnsi="ITC Avant Garde"/>
          <w:b/>
          <w:lang w:val="es-ES" w:eastAsia="es-ES"/>
        </w:rPr>
        <w:t>IFT/221/UPR/DG-RIRST/119</w:t>
      </w:r>
      <w:r w:rsidR="00D56B62" w:rsidRPr="00E34589">
        <w:rPr>
          <w:rFonts w:ascii="ITC Avant Garde" w:eastAsia="Times New Roman" w:hAnsi="ITC Avant Garde"/>
          <w:b/>
          <w:lang w:val="es-ES" w:eastAsia="es-ES"/>
        </w:rPr>
        <w:t>.140716/ITX.</w:t>
      </w:r>
      <w:r w:rsidR="00D56B62" w:rsidRPr="00E34589">
        <w:rPr>
          <w:rFonts w:ascii="ITC Avant Garde" w:eastAsia="Times New Roman" w:hAnsi="ITC Avant Garde"/>
          <w:bCs/>
          <w:lang w:val="es-ES" w:eastAsia="es-ES"/>
        </w:rPr>
        <w:t xml:space="preserve"> </w:t>
      </w:r>
      <w:r w:rsidR="00D56B62" w:rsidRPr="00E34589">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66A3B95E" w14:textId="77777777" w:rsidR="00E34589" w:rsidRPr="00E34589" w:rsidRDefault="007A2313" w:rsidP="00E34589">
      <w:pPr>
        <w:spacing w:after="240"/>
        <w:ind w:left="709" w:hanging="1"/>
        <w:jc w:val="both"/>
        <w:rPr>
          <w:rFonts w:ascii="ITC Avant Garde" w:eastAsia="Times New Roman" w:hAnsi="ITC Avant Garde"/>
          <w:lang w:val="es-ES" w:eastAsia="es-ES"/>
        </w:rPr>
      </w:pPr>
      <w:r w:rsidRPr="00E34589">
        <w:rPr>
          <w:rFonts w:ascii="ITC Avant Garde" w:eastAsia="Times New Roman" w:hAnsi="ITC Avant Garde"/>
          <w:bCs/>
          <w:lang w:val="es-ES" w:eastAsia="es-ES"/>
        </w:rPr>
        <w:t>Es así que con fecha</w:t>
      </w:r>
      <w:r w:rsidR="00D56B62" w:rsidRPr="00E34589">
        <w:rPr>
          <w:rFonts w:ascii="ITC Avant Garde" w:eastAsia="Times New Roman" w:hAnsi="ITC Avant Garde"/>
          <w:bCs/>
          <w:lang w:val="es-ES" w:eastAsia="es-ES"/>
        </w:rPr>
        <w:t xml:space="preserve"> </w:t>
      </w:r>
      <w:r w:rsidR="00BB1FFD" w:rsidRPr="00E34589">
        <w:rPr>
          <w:rFonts w:ascii="ITC Avant Garde" w:eastAsia="Times New Roman" w:hAnsi="ITC Avant Garde"/>
          <w:bCs/>
          <w:lang w:val="es-ES" w:eastAsia="es-ES"/>
        </w:rPr>
        <w:t>11 de octubre de 2016</w:t>
      </w:r>
      <w:r w:rsidRPr="00E34589">
        <w:rPr>
          <w:rFonts w:ascii="ITC Avant Garde" w:eastAsia="Times New Roman" w:hAnsi="ITC Avant Garde"/>
          <w:bCs/>
          <w:lang w:val="es-ES" w:eastAsia="es-ES"/>
        </w:rPr>
        <w:t xml:space="preserve"> </w:t>
      </w:r>
      <w:r w:rsidRPr="00E34589">
        <w:rPr>
          <w:rFonts w:ascii="ITC Avant Garde" w:eastAsia="Times New Roman" w:hAnsi="ITC Avant Garde"/>
          <w:lang w:val="es-ES" w:eastAsia="es-ES"/>
        </w:rPr>
        <w:t xml:space="preserve">el Instituto notificó </w:t>
      </w:r>
      <w:r w:rsidR="00BB1FFD" w:rsidRPr="00E34589">
        <w:rPr>
          <w:rFonts w:ascii="ITC Avant Garde" w:eastAsia="Times New Roman" w:hAnsi="ITC Avant Garde"/>
          <w:lang w:val="es-ES" w:eastAsia="es-ES"/>
        </w:rPr>
        <w:t>a las partes</w:t>
      </w:r>
      <w:r w:rsidR="00113106" w:rsidRPr="00E34589">
        <w:rPr>
          <w:rFonts w:ascii="ITC Avant Garde" w:eastAsia="Times New Roman" w:hAnsi="ITC Avant Garde"/>
          <w:lang w:val="es-ES" w:eastAsia="es-ES"/>
        </w:rPr>
        <w:t xml:space="preserve">, </w:t>
      </w:r>
      <w:r w:rsidRPr="00E34589">
        <w:rPr>
          <w:rFonts w:ascii="ITC Avant Garde" w:eastAsia="Times New Roman" w:hAnsi="ITC Avant Garde"/>
          <w:lang w:val="es-ES" w:eastAsia="es-ES"/>
        </w:rPr>
        <w:t>que el procedimiento guardaba estado para que el Pleno del Instituto dictas</w:t>
      </w:r>
      <w:r w:rsidR="00952C3A" w:rsidRPr="00E34589">
        <w:rPr>
          <w:rFonts w:ascii="ITC Avant Garde" w:eastAsia="Times New Roman" w:hAnsi="ITC Avant Garde"/>
          <w:lang w:val="es-ES" w:eastAsia="es-ES"/>
        </w:rPr>
        <w:t>e la resolución correspondiente.</w:t>
      </w:r>
    </w:p>
    <w:p w14:paraId="7203DF28" w14:textId="77777777" w:rsidR="00E34589" w:rsidRPr="00E34589" w:rsidRDefault="00BB1FFD" w:rsidP="00E34589">
      <w:pPr>
        <w:pStyle w:val="Prrafodelista"/>
        <w:numPr>
          <w:ilvl w:val="0"/>
          <w:numId w:val="1"/>
        </w:numPr>
        <w:tabs>
          <w:tab w:val="clear" w:pos="8761"/>
          <w:tab w:val="num" w:pos="680"/>
        </w:tabs>
        <w:spacing w:after="240" w:line="276" w:lineRule="auto"/>
        <w:ind w:left="680"/>
        <w:rPr>
          <w:rFonts w:ascii="ITC Avant Garde" w:eastAsia="Calibri" w:hAnsi="ITC Avant Garde"/>
          <w:bCs/>
          <w:szCs w:val="22"/>
          <w:lang w:val="es-ES"/>
        </w:rPr>
      </w:pPr>
      <w:r w:rsidRPr="00E34589">
        <w:rPr>
          <w:rFonts w:ascii="ITC Avant Garde" w:eastAsia="Calibri" w:hAnsi="ITC Avant Garde"/>
          <w:b/>
          <w:bCs/>
          <w:szCs w:val="22"/>
          <w:lang w:val="es-ES"/>
        </w:rPr>
        <w:t xml:space="preserve">Publicación de las Condiciones Técnicas Mínimas y las Tarifas de Interconexión para el año 2017. </w:t>
      </w:r>
      <w:r w:rsidRPr="00E34589">
        <w:rPr>
          <w:rFonts w:ascii="ITC Avant Garde" w:eastAsia="Calibri" w:hAnsi="ITC Avant Garde"/>
          <w:bCs/>
          <w:szCs w:val="22"/>
          <w:lang w:val="es-ES"/>
        </w:rPr>
        <w:t xml:space="preserve">El 3 de octubre de </w:t>
      </w:r>
      <w:r w:rsidR="00907487" w:rsidRPr="00E34589">
        <w:rPr>
          <w:rFonts w:ascii="ITC Avant Garde" w:eastAsia="Calibri" w:hAnsi="ITC Avant Garde"/>
          <w:bCs/>
          <w:szCs w:val="22"/>
          <w:lang w:val="es-ES"/>
        </w:rPr>
        <w:t xml:space="preserve">2016 </w:t>
      </w:r>
      <w:r w:rsidRPr="00E34589">
        <w:rPr>
          <w:rFonts w:ascii="ITC Avant Garde" w:eastAsia="Calibri" w:hAnsi="ITC Avant Garde"/>
          <w:bCs/>
          <w:szCs w:val="22"/>
          <w:lang w:val="es-ES"/>
        </w:rPr>
        <w:t>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00AD664C" w14:textId="77777777" w:rsidR="00E34589" w:rsidRPr="00E34589" w:rsidRDefault="007A2313" w:rsidP="00E34589">
      <w:pPr>
        <w:widowControl w:val="0"/>
        <w:spacing w:after="240"/>
        <w:jc w:val="both"/>
        <w:rPr>
          <w:rFonts w:ascii="ITC Avant Garde" w:eastAsia="Times New Roman" w:hAnsi="ITC Avant Garde"/>
          <w:lang w:eastAsia="es-ES"/>
        </w:rPr>
      </w:pPr>
      <w:r w:rsidRPr="00E34589">
        <w:rPr>
          <w:rFonts w:ascii="ITC Avant Garde" w:eastAsia="Times New Roman" w:hAnsi="ITC Avant Garde"/>
          <w:lang w:eastAsia="es-ES"/>
        </w:rPr>
        <w:t>En virtud de los referidos Antecedentes, y</w:t>
      </w:r>
    </w:p>
    <w:p w14:paraId="2C883059" w14:textId="77777777" w:rsidR="00E34589" w:rsidRPr="00E34589" w:rsidRDefault="00F11878" w:rsidP="00E34589">
      <w:pPr>
        <w:pStyle w:val="Ttulo2"/>
        <w:spacing w:after="240"/>
        <w:jc w:val="center"/>
        <w:rPr>
          <w:rFonts w:ascii="ITC Avant Garde" w:hAnsi="ITC Avant Garde"/>
          <w:b w:val="0"/>
          <w:lang w:eastAsia="es-ES"/>
        </w:rPr>
      </w:pPr>
      <w:bookmarkStart w:id="0" w:name="HipótesisNormativa"/>
      <w:r w:rsidRPr="00E34589">
        <w:rPr>
          <w:rFonts w:ascii="ITC Avant Garde" w:hAnsi="ITC Avant Garde"/>
        </w:rPr>
        <w:t>CONSIDERANDO</w:t>
      </w:r>
    </w:p>
    <w:p w14:paraId="27444E8B" w14:textId="77777777" w:rsidR="00E34589" w:rsidRPr="00E34589" w:rsidRDefault="00BB1FFD" w:rsidP="00E34589">
      <w:pPr>
        <w:pStyle w:val="Textoindependiente"/>
        <w:spacing w:after="240" w:line="276" w:lineRule="auto"/>
        <w:rPr>
          <w:rFonts w:ascii="ITC Avant Garde" w:hAnsi="ITC Avant Garde" w:cs="Arial"/>
          <w:bCs/>
          <w:szCs w:val="22"/>
        </w:rPr>
      </w:pPr>
      <w:bookmarkStart w:id="1" w:name="primero"/>
      <w:bookmarkStart w:id="2" w:name="quinto"/>
      <w:r w:rsidRPr="00E34589">
        <w:rPr>
          <w:rFonts w:ascii="ITC Avant Garde" w:hAnsi="ITC Avant Garde" w:cs="Arial"/>
          <w:b/>
          <w:bCs/>
          <w:lang w:val="es-ES"/>
        </w:rPr>
        <w:t>PRIMERO.- Competencia del Instituto</w:t>
      </w:r>
      <w:r w:rsidRPr="00E34589">
        <w:rPr>
          <w:rFonts w:ascii="ITC Avant Garde" w:hAnsi="ITC Avant Garde" w:cs="Arial"/>
          <w:bCs/>
          <w:lang w:val="es-ES"/>
        </w:rPr>
        <w:t xml:space="preserve">. </w:t>
      </w:r>
      <w:r w:rsidRPr="00E34589">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E34589">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69757384" w14:textId="77777777" w:rsidR="00E34589" w:rsidRPr="00E34589" w:rsidRDefault="00BB1FFD" w:rsidP="00E34589">
      <w:pPr>
        <w:pStyle w:val="Textoindependiente"/>
        <w:spacing w:after="240" w:line="276" w:lineRule="auto"/>
        <w:rPr>
          <w:rFonts w:ascii="ITC Avant Garde" w:hAnsi="ITC Avant Garde" w:cs="Arial"/>
          <w:bCs/>
          <w:szCs w:val="22"/>
        </w:rPr>
      </w:pPr>
      <w:r w:rsidRPr="00E34589">
        <w:rPr>
          <w:rFonts w:ascii="ITC Avant Garde" w:hAnsi="ITC Avant Garde" w:cs="Arial"/>
          <w:bCs/>
          <w:szCs w:val="22"/>
          <w:lang w:val="es-ES"/>
        </w:rPr>
        <w:lastRenderedPageBreak/>
        <w:t xml:space="preserve">Con fundamento </w:t>
      </w:r>
      <w:r w:rsidRPr="00E34589">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229EE7A8" w14:textId="77777777" w:rsidR="00E34589" w:rsidRPr="00E34589" w:rsidRDefault="00BB1FFD" w:rsidP="00E34589">
      <w:pPr>
        <w:pStyle w:val="Textoindependiente"/>
        <w:spacing w:after="240" w:line="276" w:lineRule="auto"/>
        <w:rPr>
          <w:rFonts w:ascii="ITC Avant Garde" w:hAnsi="ITC Avant Garde"/>
          <w:szCs w:val="22"/>
        </w:rPr>
      </w:pPr>
      <w:r w:rsidRPr="00E34589">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DF7951" w:rsidRPr="00E34589">
        <w:rPr>
          <w:rFonts w:ascii="ITC Avant Garde" w:hAnsi="ITC Avant Garde"/>
          <w:szCs w:val="22"/>
        </w:rPr>
        <w:t xml:space="preserve">que operan </w:t>
      </w:r>
      <w:r w:rsidRPr="00E34589">
        <w:rPr>
          <w:rFonts w:ascii="ITC Avant Garde" w:hAnsi="ITC Avant Garde"/>
          <w:szCs w:val="22"/>
        </w:rPr>
        <w:t>redes públicas de telecomunicaciones, que forman parte en el presente procedimiento.</w:t>
      </w:r>
      <w:bookmarkEnd w:id="1"/>
    </w:p>
    <w:p w14:paraId="74C0AEB9" w14:textId="77777777" w:rsidR="00E34589" w:rsidRPr="00E34589" w:rsidRDefault="00BB1FFD" w:rsidP="00E34589">
      <w:pPr>
        <w:autoSpaceDE w:val="0"/>
        <w:autoSpaceDN w:val="0"/>
        <w:spacing w:after="240"/>
        <w:jc w:val="both"/>
        <w:rPr>
          <w:rFonts w:ascii="ITC Avant Garde" w:hAnsi="ITC Avant Garde"/>
          <w:lang w:eastAsia="es-ES"/>
        </w:rPr>
      </w:pPr>
      <w:bookmarkStart w:id="3" w:name="segundo"/>
      <w:r w:rsidRPr="00E34589">
        <w:rPr>
          <w:rFonts w:ascii="ITC Avant Garde" w:eastAsia="Times New Roman" w:hAnsi="ITC Avant Garde" w:cs="Arial"/>
          <w:b/>
          <w:szCs w:val="20"/>
        </w:rPr>
        <w:t>SEGUNDO.- Importancia y obligatoriedad de la interconexión e Interés Público.-</w:t>
      </w:r>
      <w:r w:rsidRPr="00E34589">
        <w:rPr>
          <w:rFonts w:ascii="ITC Avant Garde" w:eastAsia="Times New Roman" w:hAnsi="ITC Avant Garde" w:cs="Arial"/>
          <w:szCs w:val="20"/>
        </w:rPr>
        <w:t xml:space="preserve"> </w:t>
      </w:r>
      <w:r w:rsidRPr="00E34589">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321F533" w14:textId="77777777" w:rsidR="00E34589" w:rsidRPr="00E34589" w:rsidRDefault="00BB1FFD" w:rsidP="00E34589">
      <w:pPr>
        <w:pStyle w:val="Textoindependiente"/>
        <w:spacing w:after="240" w:line="276" w:lineRule="auto"/>
        <w:rPr>
          <w:rFonts w:ascii="ITC Avant Garde" w:hAnsi="ITC Avant Garde"/>
        </w:rPr>
      </w:pPr>
      <w:r w:rsidRPr="00E34589">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0C5B46E3" w14:textId="77777777" w:rsidR="00E34589" w:rsidRPr="00E34589" w:rsidRDefault="00BB1FFD" w:rsidP="00E34589">
      <w:pPr>
        <w:pStyle w:val="Textoindependiente"/>
        <w:spacing w:after="240" w:line="276" w:lineRule="auto"/>
        <w:rPr>
          <w:rFonts w:ascii="ITC Avant Garde" w:hAnsi="ITC Avant Garde" w:cs="Arial"/>
          <w:szCs w:val="22"/>
        </w:rPr>
      </w:pPr>
      <w:r w:rsidRPr="00E34589">
        <w:rPr>
          <w:rFonts w:ascii="ITC Avant Garde" w:hAnsi="ITC Avant Garde" w:cs="Arial"/>
          <w:szCs w:val="22"/>
        </w:rPr>
        <w:t xml:space="preserve">Por ello, el legislador estableció (i) la obligación de todos los concesionarios </w:t>
      </w:r>
      <w:r w:rsidR="00DF7951" w:rsidRPr="00E34589">
        <w:rPr>
          <w:rFonts w:ascii="ITC Avant Garde" w:hAnsi="ITC Avant Garde" w:cs="Arial"/>
          <w:szCs w:val="22"/>
        </w:rPr>
        <w:t xml:space="preserve">que operan </w:t>
      </w:r>
      <w:r w:rsidRPr="00E34589">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DF7951" w:rsidRPr="00E34589">
        <w:rPr>
          <w:rFonts w:ascii="ITC Avant Garde" w:hAnsi="ITC Avant Garde" w:cs="Arial"/>
          <w:szCs w:val="22"/>
        </w:rPr>
        <w:t xml:space="preserve">que operan </w:t>
      </w:r>
      <w:r w:rsidRPr="00E34589">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3C632C70" w14:textId="77777777" w:rsidR="00E34589" w:rsidRPr="00E34589" w:rsidRDefault="00BB1FFD" w:rsidP="00E34589">
      <w:pPr>
        <w:pStyle w:val="Textoindependiente"/>
        <w:spacing w:after="240" w:line="276" w:lineRule="auto"/>
        <w:rPr>
          <w:rFonts w:ascii="ITC Avant Garde" w:hAnsi="ITC Avant Garde" w:cs="Arial"/>
          <w:szCs w:val="22"/>
        </w:rPr>
      </w:pPr>
      <w:r w:rsidRPr="00E34589">
        <w:rPr>
          <w:rFonts w:ascii="ITC Avant Garde" w:hAnsi="ITC Avant Garde" w:cs="Arial"/>
        </w:rPr>
        <w:t>Ahora bien,</w:t>
      </w:r>
      <w:bookmarkEnd w:id="3"/>
      <w:r w:rsidRPr="00E34589">
        <w:rPr>
          <w:rFonts w:ascii="ITC Avant Garde" w:hAnsi="ITC Avant Garde" w:cs="Arial"/>
        </w:rPr>
        <w:t xml:space="preserve"> </w:t>
      </w:r>
      <w:bookmarkStart w:id="4" w:name="tercero1"/>
      <w:r w:rsidRPr="00E34589">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w:t>
      </w:r>
      <w:r w:rsidRPr="00E34589">
        <w:rPr>
          <w:rFonts w:ascii="ITC Avant Garde" w:hAnsi="ITC Avant Garde" w:cs="Arial"/>
          <w:szCs w:val="22"/>
        </w:rPr>
        <w:lastRenderedPageBreak/>
        <w:t xml:space="preserve">mayor de sesenta días naturales contados a partir de que sea presentada la solicitud correspondiente. Esto es, los concesionarios </w:t>
      </w:r>
      <w:r w:rsidR="00DF7951" w:rsidRPr="00E34589">
        <w:rPr>
          <w:rFonts w:ascii="ITC Avant Garde" w:hAnsi="ITC Avant Garde" w:cs="Arial"/>
          <w:szCs w:val="22"/>
        </w:rPr>
        <w:t xml:space="preserve">que operan </w:t>
      </w:r>
      <w:r w:rsidRPr="00E34589">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4DB83054" w14:textId="77777777" w:rsidR="00E34589" w:rsidRPr="00E34589" w:rsidRDefault="00BB1FFD" w:rsidP="00E34589">
      <w:pPr>
        <w:pStyle w:val="Textoindependiente"/>
        <w:spacing w:after="240" w:line="276" w:lineRule="auto"/>
        <w:rPr>
          <w:rFonts w:ascii="ITC Avant Garde" w:hAnsi="ITC Avant Garde" w:cs="Arial"/>
          <w:szCs w:val="22"/>
        </w:rPr>
      </w:pPr>
      <w:r w:rsidRPr="00E34589">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E34589">
        <w:rPr>
          <w:rFonts w:ascii="ITC Avant Garde" w:hAnsi="ITC Avant Garde" w:cs="Arial"/>
          <w:szCs w:val="22"/>
        </w:rPr>
        <w:t>concluido el periodo de sesenta (60) días naturales.</w:t>
      </w:r>
    </w:p>
    <w:p w14:paraId="0E670DCF" w14:textId="77777777" w:rsidR="00E34589" w:rsidRPr="00E34589" w:rsidRDefault="00054805" w:rsidP="00E34589">
      <w:pPr>
        <w:pStyle w:val="Textoindependiente"/>
        <w:spacing w:after="240" w:line="276" w:lineRule="auto"/>
        <w:rPr>
          <w:rFonts w:ascii="ITC Avant Garde" w:hAnsi="ITC Avant Garde" w:cs="Arial"/>
          <w:spacing w:val="-2"/>
          <w:szCs w:val="22"/>
        </w:rPr>
      </w:pPr>
      <w:r w:rsidRPr="00E34589">
        <w:rPr>
          <w:rFonts w:ascii="ITC Avant Garde" w:hAnsi="ITC Avant Garde" w:cs="Arial"/>
          <w:spacing w:val="-2"/>
          <w:szCs w:val="22"/>
        </w:rPr>
        <w:t xml:space="preserve">En consecuencia, en autos está acreditado que </w:t>
      </w:r>
      <w:r w:rsidR="00A851FC" w:rsidRPr="00E34589">
        <w:rPr>
          <w:rFonts w:ascii="ITC Avant Garde" w:hAnsi="ITC Avant Garde" w:cs="Arial"/>
          <w:spacing w:val="-2"/>
          <w:szCs w:val="22"/>
        </w:rPr>
        <w:t>Telcel</w:t>
      </w:r>
      <w:r w:rsidR="00B47CED" w:rsidRPr="00E34589">
        <w:rPr>
          <w:rFonts w:ascii="ITC Avant Garde" w:hAnsi="ITC Avant Garde" w:cs="Arial"/>
          <w:spacing w:val="-2"/>
          <w:szCs w:val="22"/>
        </w:rPr>
        <w:t xml:space="preserve"> y </w:t>
      </w:r>
      <w:r w:rsidR="0081246E" w:rsidRPr="00E34589">
        <w:rPr>
          <w:rFonts w:ascii="ITC Avant Garde" w:hAnsi="ITC Avant Garde" w:cs="Arial"/>
          <w:spacing w:val="-2"/>
          <w:szCs w:val="22"/>
        </w:rPr>
        <w:t>CTR</w:t>
      </w:r>
      <w:r w:rsidRPr="00E34589">
        <w:rPr>
          <w:rFonts w:ascii="ITC Avant Garde" w:hAnsi="ITC Avant Garde" w:cs="Arial"/>
          <w:spacing w:val="-2"/>
          <w:szCs w:val="22"/>
        </w:rPr>
        <w:t xml:space="preserve"> tienen el carácter de concesionarios que operan una red pública de telecomunicaciones y que efectivamente </w:t>
      </w:r>
      <w:r w:rsidR="00A851FC" w:rsidRPr="00E34589">
        <w:rPr>
          <w:rFonts w:ascii="ITC Avant Garde" w:hAnsi="ITC Avant Garde" w:cs="Arial"/>
          <w:spacing w:val="-2"/>
          <w:szCs w:val="22"/>
        </w:rPr>
        <w:t>Telcel</w:t>
      </w:r>
      <w:r w:rsidRPr="00E34589">
        <w:rPr>
          <w:rFonts w:ascii="ITC Avant Garde" w:hAnsi="ITC Avant Garde" w:cs="Arial"/>
          <w:spacing w:val="-2"/>
          <w:szCs w:val="22"/>
        </w:rPr>
        <w:t xml:space="preserve"> requirió a</w:t>
      </w:r>
      <w:r w:rsidR="00B47CED" w:rsidRPr="00E34589">
        <w:rPr>
          <w:rFonts w:ascii="ITC Avant Garde" w:hAnsi="ITC Avant Garde" w:cs="Arial"/>
          <w:spacing w:val="-2"/>
          <w:szCs w:val="22"/>
        </w:rPr>
        <w:t>l</w:t>
      </w:r>
      <w:r w:rsidRPr="00E34589">
        <w:rPr>
          <w:rFonts w:ascii="ITC Avant Garde" w:hAnsi="ITC Avant Garde" w:cs="Arial"/>
          <w:spacing w:val="-2"/>
          <w:szCs w:val="22"/>
        </w:rPr>
        <w:t xml:space="preserve"> </w:t>
      </w:r>
      <w:r w:rsidR="002A5E74" w:rsidRPr="00E34589">
        <w:rPr>
          <w:rFonts w:ascii="ITC Avant Garde" w:hAnsi="ITC Avant Garde"/>
          <w:lang w:val="es-ES" w:eastAsia="es-ES"/>
        </w:rPr>
        <w:t>CTR</w:t>
      </w:r>
      <w:r w:rsidR="00DC5789" w:rsidRPr="00E34589">
        <w:rPr>
          <w:rFonts w:ascii="ITC Avant Garde" w:hAnsi="ITC Avant Garde"/>
          <w:lang w:val="es-ES" w:eastAsia="es-ES"/>
        </w:rPr>
        <w:t xml:space="preserve"> </w:t>
      </w:r>
      <w:r w:rsidRPr="00E34589">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0BDE026A" w14:textId="77777777" w:rsidR="00E34589" w:rsidRPr="00E34589" w:rsidRDefault="00054805" w:rsidP="00E34589">
      <w:pPr>
        <w:pStyle w:val="Textoindependiente"/>
        <w:spacing w:after="240" w:line="276" w:lineRule="auto"/>
        <w:rPr>
          <w:rFonts w:ascii="ITC Avant Garde" w:hAnsi="ITC Avant Garde" w:cs="Arial"/>
          <w:szCs w:val="22"/>
        </w:rPr>
      </w:pPr>
      <w:r w:rsidRPr="00E34589">
        <w:rPr>
          <w:rFonts w:ascii="ITC Avant Garde" w:hAnsi="ITC Avant Garde" w:cs="Arial"/>
          <w:szCs w:val="22"/>
        </w:rPr>
        <w:t xml:space="preserve">Por ello, conforme al artículo 124 de la LFTyR, </w:t>
      </w:r>
      <w:r w:rsidR="00A851FC" w:rsidRPr="00E34589">
        <w:rPr>
          <w:rFonts w:ascii="ITC Avant Garde" w:hAnsi="ITC Avant Garde" w:cs="Arial"/>
          <w:spacing w:val="-2"/>
          <w:szCs w:val="22"/>
        </w:rPr>
        <w:t>Telcel</w:t>
      </w:r>
      <w:r w:rsidR="00B123E6" w:rsidRPr="00E34589">
        <w:rPr>
          <w:rFonts w:ascii="ITC Avant Garde" w:hAnsi="ITC Avant Garde" w:cs="Arial"/>
          <w:spacing w:val="-2"/>
          <w:szCs w:val="22"/>
        </w:rPr>
        <w:t xml:space="preserve"> y </w:t>
      </w:r>
      <w:r w:rsidR="0081246E" w:rsidRPr="00E34589">
        <w:rPr>
          <w:rFonts w:ascii="ITC Avant Garde" w:hAnsi="ITC Avant Garde" w:cs="Arial"/>
          <w:spacing w:val="-2"/>
          <w:szCs w:val="22"/>
        </w:rPr>
        <w:t>CTR</w:t>
      </w:r>
      <w:r w:rsidR="00DC5789" w:rsidRPr="00E34589">
        <w:rPr>
          <w:rFonts w:ascii="ITC Avant Garde" w:hAnsi="ITC Avant Garde"/>
          <w:lang w:val="es-ES" w:eastAsia="es-ES"/>
        </w:rPr>
        <w:t xml:space="preserve"> </w:t>
      </w:r>
      <w:r w:rsidRPr="00E3458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97F2816" w14:textId="77777777" w:rsidR="00E34589" w:rsidRPr="00E34589" w:rsidRDefault="00BB1FFD" w:rsidP="00E34589">
      <w:pPr>
        <w:spacing w:after="240"/>
        <w:jc w:val="both"/>
        <w:rPr>
          <w:rFonts w:ascii="ITC Avant Garde" w:hAnsi="ITC Avant Garde" w:cs="Arial"/>
        </w:rPr>
      </w:pPr>
      <w:r w:rsidRPr="00E34589">
        <w:rPr>
          <w:rFonts w:ascii="ITC Avant Garde" w:eastAsia="Times New Roman" w:hAnsi="ITC Avant Garde"/>
          <w:b/>
          <w:lang w:eastAsia="es-ES"/>
        </w:rPr>
        <w:t>TERCERO.- Valoración de las pruebas</w:t>
      </w:r>
      <w:r w:rsidRPr="00E34589">
        <w:rPr>
          <w:rFonts w:ascii="ITC Avant Garde" w:hAnsi="ITC Avant Garde" w:cs="Arial"/>
          <w:b/>
        </w:rPr>
        <w:t xml:space="preserve"> ofrecidas por las partes. </w:t>
      </w:r>
      <w:r w:rsidRPr="00E34589">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67F6FBB9" w14:textId="77777777" w:rsidR="00E34589" w:rsidRPr="00E34589" w:rsidRDefault="00BB1FFD" w:rsidP="00E34589">
      <w:pPr>
        <w:spacing w:after="240"/>
        <w:jc w:val="both"/>
        <w:rPr>
          <w:rFonts w:ascii="ITC Avant Garde" w:hAnsi="ITC Avant Garde" w:cs="Arial"/>
        </w:rPr>
      </w:pPr>
      <w:r w:rsidRPr="00E34589">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w:t>
      </w:r>
      <w:r w:rsidRPr="00E34589">
        <w:rPr>
          <w:rFonts w:ascii="ITC Avant Garde" w:hAnsi="ITC Avant Garde" w:cs="Arial"/>
        </w:rPr>
        <w:lastRenderedPageBreak/>
        <w:t xml:space="preserve">análisis de las pruebas rendidas; para determinar el valor de las mismas, y para fijar el resultado final de dicha valuación. </w:t>
      </w:r>
    </w:p>
    <w:p w14:paraId="3EF45435" w14:textId="77777777" w:rsidR="00E34589" w:rsidRPr="00E34589" w:rsidRDefault="00BB1FFD" w:rsidP="00E34589">
      <w:pPr>
        <w:spacing w:after="240"/>
        <w:jc w:val="both"/>
        <w:rPr>
          <w:rFonts w:ascii="ITC Avant Garde" w:hAnsi="ITC Avant Garde"/>
          <w:szCs w:val="24"/>
        </w:rPr>
      </w:pPr>
      <w:r w:rsidRPr="00E34589">
        <w:rPr>
          <w:rFonts w:ascii="ITC Avant Garde" w:hAnsi="ITC Avant Garde"/>
          <w:szCs w:val="24"/>
        </w:rPr>
        <w:t xml:space="preserve">En tal sentido y en virtud de que </w:t>
      </w:r>
      <w:r w:rsidRPr="00E34589">
        <w:rPr>
          <w:rFonts w:ascii="ITC Avant Garde" w:hAnsi="ITC Avant Garde" w:cs="Arial"/>
          <w:spacing w:val="-2"/>
        </w:rPr>
        <w:t xml:space="preserve">Telcel </w:t>
      </w:r>
      <w:r w:rsidRPr="00E34589">
        <w:rPr>
          <w:rFonts w:ascii="ITC Avant Garde" w:hAnsi="ITC Avant Garde"/>
          <w:szCs w:val="24"/>
        </w:rPr>
        <w:t xml:space="preserve">no presentó pruebas, el Instituto valora las pruebas aportadas por </w:t>
      </w:r>
      <w:r w:rsidRPr="00E34589">
        <w:rPr>
          <w:rFonts w:ascii="ITC Avant Garde" w:hAnsi="ITC Avant Garde"/>
          <w:lang w:val="es-ES" w:eastAsia="es-ES"/>
        </w:rPr>
        <w:t xml:space="preserve">CTR </w:t>
      </w:r>
      <w:r w:rsidRPr="00E34589">
        <w:rPr>
          <w:rFonts w:ascii="ITC Avant Garde" w:hAnsi="ITC Avant Garde"/>
          <w:szCs w:val="24"/>
        </w:rPr>
        <w:t>en los siguientes términos:</w:t>
      </w:r>
    </w:p>
    <w:p w14:paraId="04F02E01" w14:textId="77777777" w:rsidR="00E34589" w:rsidRPr="00E34589" w:rsidRDefault="00647A0C" w:rsidP="00E34589">
      <w:pPr>
        <w:pStyle w:val="Prrafodelista"/>
        <w:numPr>
          <w:ilvl w:val="1"/>
          <w:numId w:val="39"/>
        </w:numPr>
        <w:tabs>
          <w:tab w:val="left" w:pos="4850"/>
        </w:tabs>
        <w:spacing w:after="240" w:line="276" w:lineRule="auto"/>
        <w:rPr>
          <w:rFonts w:ascii="ITC Avant Garde" w:hAnsi="ITC Avant Garde"/>
          <w:b/>
        </w:rPr>
      </w:pPr>
      <w:r w:rsidRPr="00E34589">
        <w:rPr>
          <w:rFonts w:ascii="ITC Avant Garde" w:hAnsi="ITC Avant Garde"/>
          <w:b/>
        </w:rPr>
        <w:t>Pruebas ofrecidas por CTR</w:t>
      </w:r>
    </w:p>
    <w:p w14:paraId="5CC5CF32" w14:textId="77777777" w:rsidR="00E34589" w:rsidRPr="00E34589" w:rsidRDefault="00193CBD" w:rsidP="00E34589">
      <w:pPr>
        <w:pStyle w:val="Prrafodelista"/>
        <w:numPr>
          <w:ilvl w:val="0"/>
          <w:numId w:val="35"/>
        </w:numPr>
        <w:spacing w:after="240" w:line="276" w:lineRule="auto"/>
        <w:ind w:left="993" w:hanging="426"/>
        <w:rPr>
          <w:rFonts w:ascii="ITC Avant Garde" w:hAnsi="ITC Avant Garde"/>
        </w:rPr>
      </w:pPr>
      <w:r w:rsidRPr="00E34589">
        <w:rPr>
          <w:rFonts w:ascii="ITC Avant Garde" w:hAnsi="ITC Avant Garde"/>
          <w:lang w:val="es-ES"/>
        </w:rPr>
        <w:t>Con</w:t>
      </w:r>
      <w:r w:rsidR="00AC289A" w:rsidRPr="00E34589">
        <w:rPr>
          <w:rFonts w:ascii="ITC Avant Garde" w:hAnsi="ITC Avant Garde"/>
          <w:lang w:val="es-ES"/>
        </w:rPr>
        <w:t xml:space="preserve"> relación a la documental consistente en el Convenio Marco de Interconexión suscrito por CTR con Telcel, mismo que está inscrito en el Registro </w:t>
      </w:r>
      <w:r w:rsidRPr="00E34589">
        <w:rPr>
          <w:rFonts w:ascii="ITC Avant Garde" w:hAnsi="ITC Avant Garde"/>
          <w:lang w:val="es-ES"/>
        </w:rPr>
        <w:t xml:space="preserve">Público </w:t>
      </w:r>
      <w:r w:rsidR="00AC289A" w:rsidRPr="00E34589">
        <w:rPr>
          <w:rFonts w:ascii="ITC Avant Garde" w:hAnsi="ITC Avant Garde"/>
          <w:lang w:val="es-ES"/>
        </w:rPr>
        <w:t xml:space="preserve">de Telecomunicaciones, este Instituto le da valor probatorio en términos </w:t>
      </w:r>
      <w:r w:rsidR="00AC289A" w:rsidRPr="00E34589">
        <w:rPr>
          <w:rFonts w:ascii="ITC Avant Garde" w:hAnsi="ITC Avant Garde"/>
        </w:rPr>
        <w:t>de lo establecido en el artículo 203 del CFPC, de aplicación supletoria conforme al artículo 6, fracción VII de la LFTyR, por causar convicción respecto que en efecto, las partes tienen suscrito convenio para la prestación de servicios de interconexión.</w:t>
      </w:r>
    </w:p>
    <w:p w14:paraId="4CB6E817" w14:textId="77777777" w:rsidR="00E34589" w:rsidRPr="00E34589" w:rsidRDefault="00AC289A" w:rsidP="00E34589">
      <w:pPr>
        <w:pStyle w:val="Prrafodelista"/>
        <w:numPr>
          <w:ilvl w:val="0"/>
          <w:numId w:val="35"/>
        </w:numPr>
        <w:spacing w:after="240" w:line="276" w:lineRule="auto"/>
        <w:ind w:left="993" w:hanging="426"/>
        <w:rPr>
          <w:rFonts w:ascii="ITC Avant Garde" w:hAnsi="ITC Avant Garde"/>
        </w:rPr>
      </w:pPr>
      <w:r w:rsidRPr="00E34589">
        <w:rPr>
          <w:rFonts w:ascii="ITC Avant Garde" w:hAnsi="ITC Avant Garde"/>
        </w:rPr>
        <w:t>Respecto a la documental consistente en la solicitud de negociaciones presentada por Telcel a través del SESI, este Instituto le da valor probatorio en términos de lo establecido en el artículo 210-A del CFPC, de aplicación supletoria conforme al artículo 6 fracción VII de la LFTyR, al hacer prueba plena de los hechos legalmente afirmados consistente</w:t>
      </w:r>
      <w:r w:rsidR="009269CE" w:rsidRPr="00E34589">
        <w:rPr>
          <w:rFonts w:ascii="ITC Avant Garde" w:hAnsi="ITC Avant Garde"/>
        </w:rPr>
        <w:t>s</w:t>
      </w:r>
      <w:r w:rsidRPr="00E34589">
        <w:rPr>
          <w:rFonts w:ascii="ITC Avant Garde" w:hAnsi="ITC Avant Garde"/>
        </w:rPr>
        <w:t xml:space="preserve"> en la propuesta de Telcel a CTR de iniciar negociaciones respecto a los términos, condiciones y tarifas de interconexión, para el periodo comprendido entre el 1 de enero y al 31 de diciembre de 2017. </w:t>
      </w:r>
    </w:p>
    <w:p w14:paraId="3823743A" w14:textId="77777777" w:rsidR="00E34589" w:rsidRPr="00E34589" w:rsidRDefault="00906210" w:rsidP="00E34589">
      <w:pPr>
        <w:pStyle w:val="Prrafodelista"/>
        <w:numPr>
          <w:ilvl w:val="0"/>
          <w:numId w:val="35"/>
        </w:numPr>
        <w:spacing w:after="240" w:line="276" w:lineRule="auto"/>
        <w:ind w:left="993" w:hanging="426"/>
        <w:rPr>
          <w:rFonts w:ascii="ITC Avant Garde" w:hAnsi="ITC Avant Garde" w:cs="Arial"/>
        </w:rPr>
      </w:pPr>
      <w:r w:rsidRPr="00E34589">
        <w:rPr>
          <w:rFonts w:ascii="ITC Avant Garde" w:hAnsi="ITC Avant Garde"/>
        </w:rPr>
        <w:t>Con</w:t>
      </w:r>
      <w:r w:rsidR="00AC289A" w:rsidRPr="00E34589">
        <w:rPr>
          <w:rFonts w:ascii="ITC Avant Garde" w:hAnsi="ITC Avant Garde"/>
        </w:rPr>
        <w:t xml:space="preserve"> relación a la documental relativa a la pantalla del SESI, a través de la cual CTR dio respuesta a la solicitud de negociaciones presentada por Telcel a través del SESI, este Instituto </w:t>
      </w:r>
      <w:r w:rsidRPr="00E34589">
        <w:rPr>
          <w:rFonts w:ascii="ITC Avant Garde" w:hAnsi="ITC Avant Garde"/>
        </w:rPr>
        <w:t>no</w:t>
      </w:r>
      <w:r w:rsidR="00B73BF1" w:rsidRPr="00E34589">
        <w:rPr>
          <w:rFonts w:ascii="ITC Avant Garde" w:hAnsi="ITC Avant Garde"/>
        </w:rPr>
        <w:t xml:space="preserve"> le</w:t>
      </w:r>
      <w:r w:rsidR="00AC289A" w:rsidRPr="00E34589">
        <w:rPr>
          <w:rFonts w:ascii="ITC Avant Garde" w:hAnsi="ITC Avant Garde"/>
        </w:rPr>
        <w:t xml:space="preserve"> da valor probatorio </w:t>
      </w:r>
      <w:r w:rsidRPr="00E34589">
        <w:rPr>
          <w:rFonts w:ascii="ITC Avant Garde" w:hAnsi="ITC Avant Garde"/>
        </w:rPr>
        <w:t>en virtud de que la pantalla presentada cor</w:t>
      </w:r>
      <w:r w:rsidR="00DC4C40" w:rsidRPr="00E34589">
        <w:rPr>
          <w:rFonts w:ascii="ITC Avant Garde" w:hAnsi="ITC Avant Garde"/>
        </w:rPr>
        <w:t>responde a un trámite diverso al que se resuelve en el presente procedimiento.</w:t>
      </w:r>
    </w:p>
    <w:p w14:paraId="6D023FF7" w14:textId="77777777" w:rsidR="00E34589" w:rsidRPr="00E34589" w:rsidRDefault="00B73BF1" w:rsidP="00E34589">
      <w:pPr>
        <w:pStyle w:val="Prrafodelista"/>
        <w:numPr>
          <w:ilvl w:val="0"/>
          <w:numId w:val="35"/>
        </w:numPr>
        <w:spacing w:after="240" w:line="276" w:lineRule="auto"/>
        <w:ind w:left="993" w:hanging="426"/>
        <w:rPr>
          <w:rFonts w:ascii="ITC Avant Garde" w:hAnsi="ITC Avant Garde"/>
        </w:rPr>
      </w:pPr>
      <w:r w:rsidRPr="00E34589">
        <w:rPr>
          <w:rFonts w:ascii="ITC Avant Garde" w:hAnsi="ITC Avant Garde" w:cs="Arial"/>
        </w:rPr>
        <w:t>La</w:t>
      </w:r>
      <w:r w:rsidR="00AC289A" w:rsidRPr="00E34589">
        <w:rPr>
          <w:rFonts w:ascii="ITC Avant Garde" w:hAnsi="ITC Avant Garde" w:cs="Arial"/>
        </w:rPr>
        <w:t xml:space="preserve"> Presuncional, en su doble aspecto, legal y humana, ofrecida como prueba por CTR se le da valor probatorio en términos del artículo 218 del CFPC al ser ésta la consecuencia lógica y natural de hechos conocidos y probados al momento de hacer la deducción respectiva.</w:t>
      </w:r>
    </w:p>
    <w:p w14:paraId="288D1693" w14:textId="77777777" w:rsidR="00E34589" w:rsidRPr="00E34589" w:rsidRDefault="00647A0C" w:rsidP="00E34589">
      <w:pPr>
        <w:pStyle w:val="Prrafodelista"/>
        <w:numPr>
          <w:ilvl w:val="0"/>
          <w:numId w:val="35"/>
        </w:numPr>
        <w:spacing w:after="240" w:line="276" w:lineRule="auto"/>
        <w:ind w:left="993" w:hanging="426"/>
        <w:rPr>
          <w:rFonts w:ascii="ITC Avant Garde" w:hAnsi="ITC Avant Garde"/>
        </w:rPr>
      </w:pPr>
      <w:r w:rsidRPr="00E34589">
        <w:rPr>
          <w:rFonts w:ascii="ITC Avant Garde" w:hAnsi="ITC Avant Garde" w:cs="Arial"/>
        </w:rPr>
        <w:t>Respecto a las Instrumental de actuaciones, ofrecida por</w:t>
      </w:r>
      <w:r w:rsidR="00D02459" w:rsidRPr="00E34589">
        <w:rPr>
          <w:rFonts w:ascii="ITC Avant Garde" w:hAnsi="ITC Avant Garde" w:cs="Arial"/>
        </w:rPr>
        <w:t xml:space="preserve"> CTR</w:t>
      </w:r>
      <w:r w:rsidRPr="00E34589">
        <w:rPr>
          <w:rFonts w:ascii="ITC Avant Garde" w:hAnsi="ITC Avant Garde" w:cs="Arial"/>
        </w:rPr>
        <w:t>, consistente en todo lo actuado en e</w:t>
      </w:r>
      <w:r w:rsidR="00D02459" w:rsidRPr="00E34589">
        <w:rPr>
          <w:rFonts w:ascii="ITC Avant Garde" w:hAnsi="ITC Avant Garde" w:cs="Arial"/>
        </w:rPr>
        <w:t>l presente procedimiento, se le</w:t>
      </w:r>
      <w:r w:rsidRPr="00E34589">
        <w:rPr>
          <w:rFonts w:ascii="ITC Avant Garde" w:hAnsi="ITC Avant Garde" w:cs="Arial"/>
        </w:rPr>
        <w:t xml:space="preserve"> da valor probatorio al constituirse dicha prueba con las constancias que obran en el sumario y </w:t>
      </w:r>
      <w:r w:rsidRPr="00E34589">
        <w:rPr>
          <w:rFonts w:ascii="ITC Avant Garde" w:hAnsi="ITC Avant Garde" w:cs="Arial"/>
        </w:rPr>
        <w:lastRenderedPageBreak/>
        <w:t>en términos del principio ontológico de la prueba, conforme al cual lo ordinario se presume.</w:t>
      </w:r>
    </w:p>
    <w:bookmarkEnd w:id="2"/>
    <w:p w14:paraId="04A0E248" w14:textId="77777777" w:rsidR="00E34589" w:rsidRPr="00E34589" w:rsidRDefault="002F1D3A" w:rsidP="00E34589">
      <w:pPr>
        <w:spacing w:after="240"/>
        <w:jc w:val="both"/>
        <w:rPr>
          <w:rFonts w:ascii="ITC Avant Garde" w:eastAsia="Times New Roman" w:hAnsi="ITC Avant Garde"/>
        </w:rPr>
      </w:pPr>
      <w:r w:rsidRPr="00E34589">
        <w:rPr>
          <w:rFonts w:ascii="ITC Avant Garde" w:hAnsi="ITC Avant Garde"/>
          <w:b/>
          <w:szCs w:val="24"/>
        </w:rPr>
        <w:t>CUARTO</w:t>
      </w:r>
      <w:r w:rsidR="003B3180" w:rsidRPr="00E34589">
        <w:rPr>
          <w:rFonts w:ascii="ITC Avant Garde" w:hAnsi="ITC Avant Garde"/>
          <w:b/>
          <w:szCs w:val="24"/>
        </w:rPr>
        <w:t>.-</w:t>
      </w:r>
      <w:r w:rsidR="002920C0" w:rsidRPr="00E34589">
        <w:rPr>
          <w:rFonts w:ascii="ITC Avant Garde" w:eastAsia="Times New Roman" w:hAnsi="ITC Avant Garde"/>
          <w:b/>
          <w:lang w:eastAsia="es-ES"/>
        </w:rPr>
        <w:t xml:space="preserve"> </w:t>
      </w:r>
      <w:bookmarkEnd w:id="0"/>
      <w:r w:rsidR="00321C60" w:rsidRPr="00E34589">
        <w:rPr>
          <w:rFonts w:ascii="ITC Avant Garde" w:eastAsia="Times New Roman" w:hAnsi="ITC Avant Garde"/>
          <w:b/>
          <w:lang w:eastAsia="es-ES"/>
        </w:rPr>
        <w:t>Condiciones no convenidas sujetas a resolución</w:t>
      </w:r>
      <w:r w:rsidR="00C92C0A" w:rsidRPr="00E34589">
        <w:rPr>
          <w:rFonts w:ascii="ITC Avant Garde" w:eastAsia="Times New Roman" w:hAnsi="ITC Avant Garde"/>
          <w:lang w:eastAsia="es-ES"/>
        </w:rPr>
        <w:t xml:space="preserve">.- </w:t>
      </w:r>
      <w:r w:rsidR="00832D83" w:rsidRPr="00E34589">
        <w:rPr>
          <w:rFonts w:ascii="ITC Avant Garde" w:eastAsia="Times New Roman" w:hAnsi="ITC Avant Garde"/>
          <w:lang w:eastAsia="es-ES"/>
        </w:rPr>
        <w:t>En la Solicitud de Resolución</w:t>
      </w:r>
      <w:r w:rsidR="00B73BF1" w:rsidRPr="00E34589">
        <w:rPr>
          <w:rFonts w:ascii="ITC Avant Garde" w:eastAsia="Times New Roman" w:hAnsi="ITC Avant Garde"/>
          <w:lang w:eastAsia="es-ES"/>
        </w:rPr>
        <w:t>, T</w:t>
      </w:r>
      <w:r w:rsidR="00A851FC" w:rsidRPr="00E34589">
        <w:rPr>
          <w:rFonts w:ascii="ITC Avant Garde" w:eastAsia="Times New Roman" w:hAnsi="ITC Avant Garde"/>
        </w:rPr>
        <w:t>elcel</w:t>
      </w:r>
      <w:r w:rsidR="00B73BF1" w:rsidRPr="00E34589">
        <w:rPr>
          <w:rFonts w:ascii="ITC Avant Garde" w:eastAsia="Times New Roman" w:hAnsi="ITC Avant Garde"/>
        </w:rPr>
        <w:t xml:space="preserve"> plantea</w:t>
      </w:r>
      <w:r w:rsidR="00B90B19" w:rsidRPr="00E34589">
        <w:rPr>
          <w:rFonts w:ascii="ITC Avant Garde" w:eastAsia="Times New Roman" w:hAnsi="ITC Avant Garde"/>
        </w:rPr>
        <w:t xml:space="preserve"> l</w:t>
      </w:r>
      <w:r w:rsidR="00A01830" w:rsidRPr="00E34589">
        <w:rPr>
          <w:rFonts w:ascii="ITC Avant Garde" w:eastAsia="Times New Roman" w:hAnsi="ITC Avant Garde"/>
        </w:rPr>
        <w:t>o</w:t>
      </w:r>
      <w:r w:rsidR="00B90B19" w:rsidRPr="00E34589">
        <w:rPr>
          <w:rFonts w:ascii="ITC Avant Garde" w:eastAsia="Times New Roman" w:hAnsi="ITC Avant Garde"/>
        </w:rPr>
        <w:t xml:space="preserve">s </w:t>
      </w:r>
      <w:r w:rsidR="00A01830" w:rsidRPr="00E34589">
        <w:rPr>
          <w:rFonts w:ascii="ITC Avant Garde" w:eastAsia="Times New Roman" w:hAnsi="ITC Avant Garde"/>
        </w:rPr>
        <w:t xml:space="preserve">siguientes términos, </w:t>
      </w:r>
      <w:r w:rsidR="00F00A30" w:rsidRPr="00E34589">
        <w:rPr>
          <w:rFonts w:ascii="ITC Avant Garde" w:eastAsia="Times New Roman" w:hAnsi="ITC Avant Garde"/>
        </w:rPr>
        <w:t xml:space="preserve">condiciones </w:t>
      </w:r>
      <w:r w:rsidR="00F00A30" w:rsidRPr="00E34589">
        <w:rPr>
          <w:rFonts w:ascii="ITC Avant Garde" w:eastAsia="Times New Roman" w:hAnsi="ITC Avant Garde"/>
          <w:lang w:eastAsia="es-ES"/>
        </w:rPr>
        <w:t>y</w:t>
      </w:r>
      <w:r w:rsidR="00F6778F" w:rsidRPr="00E34589">
        <w:rPr>
          <w:rFonts w:ascii="ITC Avant Garde" w:eastAsia="Times New Roman" w:hAnsi="ITC Avant Garde"/>
          <w:lang w:eastAsia="es-ES"/>
        </w:rPr>
        <w:t xml:space="preserve"> tarifas de interconexión que no pudo convenir con </w:t>
      </w:r>
      <w:r w:rsidR="0081246E" w:rsidRPr="00E34589">
        <w:rPr>
          <w:rFonts w:ascii="ITC Avant Garde" w:eastAsia="Times New Roman" w:hAnsi="ITC Avant Garde"/>
          <w:lang w:eastAsia="es-ES"/>
        </w:rPr>
        <w:t>CTR</w:t>
      </w:r>
      <w:r w:rsidR="00DD7F1E" w:rsidRPr="00E34589">
        <w:rPr>
          <w:rFonts w:ascii="ITC Avant Garde" w:eastAsia="Times New Roman" w:hAnsi="ITC Avant Garde"/>
        </w:rPr>
        <w:t>:</w:t>
      </w:r>
    </w:p>
    <w:p w14:paraId="4F0E1D58" w14:textId="77777777" w:rsidR="00E34589" w:rsidRPr="00E34589" w:rsidRDefault="003152E2" w:rsidP="00E34589">
      <w:pPr>
        <w:pStyle w:val="Prrafodelista"/>
        <w:widowControl w:val="0"/>
        <w:numPr>
          <w:ilvl w:val="0"/>
          <w:numId w:val="18"/>
        </w:numPr>
        <w:tabs>
          <w:tab w:val="center" w:pos="4419"/>
          <w:tab w:val="right" w:pos="8838"/>
        </w:tabs>
        <w:spacing w:after="240" w:line="276" w:lineRule="auto"/>
        <w:rPr>
          <w:rFonts w:ascii="ITC Avant Garde" w:hAnsi="ITC Avant Garde"/>
        </w:rPr>
      </w:pPr>
      <w:r w:rsidRPr="00E34589">
        <w:rPr>
          <w:rFonts w:ascii="ITC Avant Garde" w:hAnsi="ITC Avant Garde"/>
        </w:rPr>
        <w:t>Tarifa</w:t>
      </w:r>
      <w:r w:rsidR="00B41EFF" w:rsidRPr="00E34589">
        <w:rPr>
          <w:rFonts w:ascii="ITC Avant Garde" w:hAnsi="ITC Avant Garde"/>
        </w:rPr>
        <w:t>s</w:t>
      </w:r>
      <w:r w:rsidRPr="00E34589">
        <w:rPr>
          <w:rFonts w:ascii="ITC Avant Garde" w:hAnsi="ITC Avant Garde"/>
        </w:rPr>
        <w:t xml:space="preserve"> de </w:t>
      </w:r>
      <w:r w:rsidR="00D8520D" w:rsidRPr="00E34589">
        <w:rPr>
          <w:rFonts w:ascii="ITC Avant Garde" w:hAnsi="ITC Avant Garde"/>
        </w:rPr>
        <w:t xml:space="preserve">interconexión que Telcel deberá pagar </w:t>
      </w:r>
      <w:r w:rsidR="00B80067" w:rsidRPr="00E34589">
        <w:rPr>
          <w:rFonts w:ascii="ITC Avant Garde" w:hAnsi="ITC Avant Garde"/>
        </w:rPr>
        <w:t xml:space="preserve">a CTR </w:t>
      </w:r>
      <w:r w:rsidR="00D8520D" w:rsidRPr="00E34589">
        <w:rPr>
          <w:rFonts w:ascii="ITC Avant Garde" w:hAnsi="ITC Avant Garde"/>
        </w:rPr>
        <w:t xml:space="preserve">por servicios de terminación de tráfico público conmutado en la red de servicio local fijo </w:t>
      </w:r>
      <w:r w:rsidR="00B80067" w:rsidRPr="00E34589">
        <w:rPr>
          <w:rFonts w:ascii="ITC Avant Garde" w:hAnsi="ITC Avant Garde"/>
        </w:rPr>
        <w:t xml:space="preserve">de </w:t>
      </w:r>
      <w:r w:rsidR="0081246E" w:rsidRPr="00E34589">
        <w:rPr>
          <w:rFonts w:ascii="ITC Avant Garde" w:hAnsi="ITC Avant Garde"/>
        </w:rPr>
        <w:t>CTR</w:t>
      </w:r>
      <w:r w:rsidR="00D8520D" w:rsidRPr="00E34589">
        <w:rPr>
          <w:rFonts w:ascii="ITC Avant Garde" w:hAnsi="ITC Avant Garde"/>
        </w:rPr>
        <w:t>, durante el periodo comprendido del 1 de enero al 31 de diciembre de 2017</w:t>
      </w:r>
      <w:r w:rsidR="007E2F15" w:rsidRPr="00E34589">
        <w:rPr>
          <w:rStyle w:val="Refdenotaalpie"/>
          <w:rFonts w:ascii="ITC Avant Garde" w:hAnsi="ITC Avant Garde"/>
        </w:rPr>
        <w:footnoteReference w:id="1"/>
      </w:r>
      <w:r w:rsidR="00D8520D" w:rsidRPr="00E34589">
        <w:rPr>
          <w:rFonts w:ascii="ITC Avant Garde" w:hAnsi="ITC Avant Garde"/>
        </w:rPr>
        <w:t>.</w:t>
      </w:r>
    </w:p>
    <w:p w14:paraId="74CA9A75" w14:textId="77777777" w:rsidR="00E34589" w:rsidRPr="00E34589" w:rsidRDefault="00B80067" w:rsidP="00E34589">
      <w:pPr>
        <w:spacing w:after="240"/>
        <w:jc w:val="both"/>
        <w:rPr>
          <w:rFonts w:ascii="ITC Avant Garde" w:hAnsi="ITC Avant Garde"/>
        </w:rPr>
      </w:pPr>
      <w:r w:rsidRPr="00E34589">
        <w:rPr>
          <w:rFonts w:ascii="ITC Avant Garde" w:eastAsia="Times New Roman" w:hAnsi="ITC Avant Garde"/>
          <w:lang w:val="x-none"/>
        </w:rPr>
        <w:t>Por su parte,</w:t>
      </w:r>
      <w:r w:rsidRPr="00E34589">
        <w:rPr>
          <w:rFonts w:ascii="ITC Avant Garde" w:eastAsia="Times New Roman" w:hAnsi="ITC Avant Garde"/>
        </w:rPr>
        <w:t xml:space="preserve"> </w:t>
      </w:r>
      <w:r w:rsidR="00584FAA" w:rsidRPr="00E34589">
        <w:rPr>
          <w:rFonts w:ascii="ITC Avant Garde" w:eastAsia="Times New Roman" w:hAnsi="ITC Avant Garde"/>
        </w:rPr>
        <w:t xml:space="preserve">CTR </w:t>
      </w:r>
      <w:r w:rsidR="00DC4C40" w:rsidRPr="00E34589">
        <w:rPr>
          <w:rFonts w:ascii="ITC Avant Garde" w:hAnsi="ITC Avant Garde"/>
          <w:lang w:val="x-none"/>
        </w:rPr>
        <w:t xml:space="preserve">tanto en el escrito de manifestaciones como en el de alegatos, </w:t>
      </w:r>
      <w:r w:rsidR="00DC4C40" w:rsidRPr="00E34589">
        <w:rPr>
          <w:rFonts w:ascii="ITC Avant Garde" w:hAnsi="ITC Avant Garde"/>
        </w:rPr>
        <w:t>solicita se determinen las tarifas por servicios de interconexión no convenidos, que deberá pagar Telcel por el servicio de terminación de llamadas a CTR.</w:t>
      </w:r>
    </w:p>
    <w:p w14:paraId="2AB2BDD0" w14:textId="77777777" w:rsidR="00E34589" w:rsidRPr="00E34589" w:rsidRDefault="00DC4C40" w:rsidP="00E34589">
      <w:pPr>
        <w:spacing w:after="240"/>
        <w:jc w:val="both"/>
        <w:rPr>
          <w:rFonts w:ascii="ITC Avant Garde" w:eastAsia="Times New Roman" w:hAnsi="ITC Avant Garde"/>
          <w:lang w:eastAsia="es-ES"/>
        </w:rPr>
      </w:pPr>
      <w:r w:rsidRPr="00E34589">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7E843BF2" w14:textId="77777777" w:rsidR="00E34589" w:rsidRPr="00E34589" w:rsidRDefault="004314EB" w:rsidP="00E34589">
      <w:pPr>
        <w:spacing w:after="240"/>
        <w:jc w:val="both"/>
        <w:rPr>
          <w:rFonts w:ascii="ITC Avant Garde" w:hAnsi="ITC Avant Garde"/>
        </w:rPr>
      </w:pPr>
      <w:r w:rsidRPr="00E34589">
        <w:rPr>
          <w:rFonts w:ascii="ITC Avant Garde" w:eastAsia="Times New Roman" w:hAnsi="ITC Avant Garde"/>
          <w:b/>
          <w:lang w:val="es-ES" w:eastAsia="es-ES"/>
        </w:rPr>
        <w:t>1</w:t>
      </w:r>
      <w:r w:rsidR="00803153" w:rsidRPr="00E34589">
        <w:rPr>
          <w:rFonts w:ascii="ITC Avant Garde" w:eastAsia="Times New Roman" w:hAnsi="ITC Avant Garde"/>
          <w:b/>
          <w:lang w:val="es-ES" w:eastAsia="es-ES"/>
        </w:rPr>
        <w:t xml:space="preserve">. </w:t>
      </w:r>
      <w:r w:rsidR="00B15D4E" w:rsidRPr="00E34589">
        <w:rPr>
          <w:rFonts w:ascii="ITC Avant Garde" w:eastAsia="Times New Roman" w:hAnsi="ITC Avant Garde"/>
          <w:b/>
          <w:lang w:val="es-ES" w:eastAsia="es-ES"/>
        </w:rPr>
        <w:t>Tarifas de Interconexión</w:t>
      </w:r>
    </w:p>
    <w:p w14:paraId="4428D1D3" w14:textId="77777777" w:rsidR="00E34589" w:rsidRPr="00E34589" w:rsidRDefault="00803153" w:rsidP="00E34589">
      <w:pPr>
        <w:spacing w:after="240"/>
        <w:jc w:val="both"/>
        <w:rPr>
          <w:rFonts w:ascii="ITC Avant Garde" w:eastAsia="Times New Roman" w:hAnsi="ITC Avant Garde"/>
          <w:b/>
          <w:szCs w:val="24"/>
          <w:lang w:eastAsia="es-ES"/>
        </w:rPr>
      </w:pPr>
      <w:r w:rsidRPr="00E34589">
        <w:rPr>
          <w:rFonts w:ascii="ITC Avant Garde" w:eastAsia="Times New Roman" w:hAnsi="ITC Avant Garde"/>
          <w:b/>
          <w:szCs w:val="24"/>
          <w:lang w:eastAsia="es-ES"/>
        </w:rPr>
        <w:t>Argumentos de las partes</w:t>
      </w:r>
    </w:p>
    <w:p w14:paraId="28429207" w14:textId="77777777" w:rsidR="00E34589" w:rsidRPr="00E34589" w:rsidRDefault="004B2A17" w:rsidP="00E34589">
      <w:pPr>
        <w:spacing w:after="240"/>
        <w:jc w:val="both"/>
        <w:rPr>
          <w:rFonts w:ascii="ITC Avant Garde" w:eastAsia="Times New Roman" w:hAnsi="ITC Avant Garde"/>
          <w:szCs w:val="24"/>
          <w:lang w:eastAsia="es-ES"/>
        </w:rPr>
      </w:pPr>
      <w:r w:rsidRPr="00E34589">
        <w:rPr>
          <w:rFonts w:ascii="ITC Avant Garde" w:hAnsi="ITC Avant Garde" w:cs="Arial"/>
          <w:lang w:val="es-ES"/>
        </w:rPr>
        <w:t xml:space="preserve">En la Solicitud de Resolución, Telcel manifiesta que con fecha 30 de marzo de 2016, solicitó formalmente a </w:t>
      </w:r>
      <w:r w:rsidRPr="00E34589">
        <w:rPr>
          <w:rFonts w:ascii="ITC Avant Garde" w:hAnsi="ITC Avant Garde"/>
          <w:lang w:val="es-ES" w:eastAsia="es-ES"/>
        </w:rPr>
        <w:t>CTR el inicio de negociaciones para acordar las tarifas que deberá pagar Telcel por los servicios de terminación de tráfico publico conmutado en la red de servicio local fijo de CTR</w:t>
      </w:r>
      <w:r w:rsidR="00DE60BA" w:rsidRPr="00E34589">
        <w:rPr>
          <w:rFonts w:ascii="ITC Avant Garde" w:eastAsia="Times New Roman" w:hAnsi="ITC Avant Garde"/>
          <w:szCs w:val="24"/>
          <w:lang w:eastAsia="es-ES"/>
        </w:rPr>
        <w:t>, durante el periodo comprendido del 1 de enero al 31 de diciembre de 2017.</w:t>
      </w:r>
    </w:p>
    <w:p w14:paraId="2B27A1A5" w14:textId="77777777" w:rsidR="00E34589" w:rsidRPr="00E34589" w:rsidRDefault="00EB23C0" w:rsidP="00E34589">
      <w:pPr>
        <w:spacing w:after="240"/>
        <w:jc w:val="both"/>
        <w:rPr>
          <w:rFonts w:ascii="ITC Avant Garde" w:eastAsia="Times New Roman" w:hAnsi="ITC Avant Garde"/>
          <w:szCs w:val="24"/>
          <w:lang w:eastAsia="es-ES"/>
        </w:rPr>
      </w:pPr>
      <w:r w:rsidRPr="00E34589">
        <w:rPr>
          <w:rFonts w:ascii="ITC Avant Garde" w:eastAsia="Times New Roman" w:hAnsi="ITC Avant Garde"/>
          <w:szCs w:val="24"/>
          <w:lang w:eastAsia="es-ES"/>
        </w:rPr>
        <w:t xml:space="preserve">Por su parte, CTR </w:t>
      </w:r>
      <w:r w:rsidR="004B2A17" w:rsidRPr="00E34589">
        <w:rPr>
          <w:rFonts w:ascii="ITC Avant Garde" w:eastAsia="Times New Roman" w:hAnsi="ITC Avant Garde"/>
          <w:szCs w:val="24"/>
          <w:lang w:eastAsia="es-ES"/>
        </w:rPr>
        <w:t>manifestó que no existe negativa de su parte para atender la solicitud de Telcel, sin embargo, considerando que no se había publicado las tarifas de interconexión resultado de la metodología para el cálculo de costos de interconexión que se utilizará para resolver los desacuerdos de interconexión que se presenten respecto de las condiciones aplicables para 2017, se solicita que el presente desacuerdo sea determinado una vez que sean publicadas las tarifas para el periodo solicitado por Telcel, conforma al artículo 137 de la LFTyR</w:t>
      </w:r>
      <w:r w:rsidRPr="00E34589">
        <w:rPr>
          <w:rFonts w:ascii="ITC Avant Garde" w:eastAsia="Times New Roman" w:hAnsi="ITC Avant Garde"/>
          <w:szCs w:val="24"/>
          <w:lang w:eastAsia="es-ES"/>
        </w:rPr>
        <w:t>.</w:t>
      </w:r>
    </w:p>
    <w:p w14:paraId="49CF51AE" w14:textId="77777777" w:rsidR="00E34589" w:rsidRPr="00E34589" w:rsidRDefault="00BC1C8E" w:rsidP="00E34589">
      <w:pPr>
        <w:spacing w:after="240"/>
        <w:ind w:right="48"/>
        <w:jc w:val="both"/>
        <w:rPr>
          <w:rFonts w:ascii="ITC Avant Garde" w:hAnsi="ITC Avant Garde"/>
          <w:b/>
        </w:rPr>
      </w:pPr>
      <w:r w:rsidRPr="00E34589">
        <w:rPr>
          <w:rFonts w:ascii="ITC Avant Garde" w:hAnsi="ITC Avant Garde"/>
          <w:b/>
        </w:rPr>
        <w:lastRenderedPageBreak/>
        <w:t xml:space="preserve">Consideraciones del Instituto </w:t>
      </w:r>
    </w:p>
    <w:p w14:paraId="30C0B8B9" w14:textId="77777777" w:rsidR="00E34589" w:rsidRPr="00E34589" w:rsidRDefault="00BE4361" w:rsidP="00E34589">
      <w:pPr>
        <w:spacing w:after="240"/>
        <w:jc w:val="both"/>
        <w:rPr>
          <w:rFonts w:ascii="ITC Avant Garde" w:hAnsi="ITC Avant Garde" w:cs="Arial"/>
        </w:rPr>
      </w:pPr>
      <w:bookmarkStart w:id="5" w:name="vitalimportancia"/>
      <w:r w:rsidRPr="00E34589">
        <w:rPr>
          <w:rFonts w:ascii="ITC Avant Garde" w:hAnsi="ITC Avant Garde" w:cs="Arial"/>
        </w:rPr>
        <w:t xml:space="preserve">Para la determinación de las tarifas de interconexión en las redes públicas de telecomunicaciones de </w:t>
      </w:r>
      <w:r w:rsidR="00A851FC" w:rsidRPr="00E34589">
        <w:rPr>
          <w:rFonts w:ascii="ITC Avant Garde" w:hAnsi="ITC Avant Garde" w:cs="Arial"/>
        </w:rPr>
        <w:t>Telcel</w:t>
      </w:r>
      <w:r w:rsidR="00A84C0E" w:rsidRPr="00E34589">
        <w:rPr>
          <w:rFonts w:ascii="ITC Avant Garde" w:hAnsi="ITC Avant Garde" w:cs="Arial"/>
        </w:rPr>
        <w:t xml:space="preserve"> y </w:t>
      </w:r>
      <w:r w:rsidR="00A352C8" w:rsidRPr="00E34589">
        <w:rPr>
          <w:rFonts w:ascii="ITC Avant Garde" w:hAnsi="ITC Avant Garde" w:cs="Arial"/>
        </w:rPr>
        <w:t xml:space="preserve">de </w:t>
      </w:r>
      <w:r w:rsidR="0081246E" w:rsidRPr="00E34589">
        <w:rPr>
          <w:rFonts w:ascii="ITC Avant Garde" w:hAnsi="ITC Avant Garde" w:cs="Arial"/>
        </w:rPr>
        <w:t>CTR</w:t>
      </w:r>
      <w:r w:rsidRPr="00E34589">
        <w:rPr>
          <w:rFonts w:ascii="ITC Avant Garde" w:hAnsi="ITC Avant Garde" w:cs="Arial"/>
        </w:rPr>
        <w:t>, se debe considerar que la propia LFTyR establece el marco normativo y regulatorio aplicable para la fijación de las tarifas de intercon</w:t>
      </w:r>
      <w:r w:rsidR="006E59E7" w:rsidRPr="00E34589">
        <w:rPr>
          <w:rFonts w:ascii="ITC Avant Garde" w:hAnsi="ITC Avant Garde" w:cs="Arial"/>
        </w:rPr>
        <w:t>exión.</w:t>
      </w:r>
    </w:p>
    <w:p w14:paraId="55538234" w14:textId="77777777" w:rsidR="00E34589" w:rsidRPr="00E34589" w:rsidRDefault="00BE4361" w:rsidP="00E34589">
      <w:pPr>
        <w:widowControl w:val="0"/>
        <w:spacing w:after="240"/>
        <w:jc w:val="both"/>
        <w:rPr>
          <w:rFonts w:ascii="ITC Avant Garde" w:hAnsi="ITC Avant Garde" w:cs="Arial"/>
        </w:rPr>
      </w:pPr>
      <w:r w:rsidRPr="00E34589">
        <w:rPr>
          <w:rFonts w:ascii="ITC Avant Garde" w:eastAsia="Times New Roman" w:hAnsi="ITC Avant Garde" w:cs="Arial"/>
        </w:rPr>
        <w:t xml:space="preserve">A tal efecto, </w:t>
      </w:r>
      <w:r w:rsidRPr="00E34589">
        <w:rPr>
          <w:rFonts w:ascii="ITC Avant Garde" w:hAnsi="ITC Avant Garde" w:cs="Arial"/>
        </w:rPr>
        <w:t xml:space="preserve">el </w:t>
      </w:r>
      <w:r w:rsidR="00484F53" w:rsidRPr="00E34589">
        <w:rPr>
          <w:rFonts w:ascii="ITC Avant Garde" w:hAnsi="ITC Avant Garde" w:cs="Arial"/>
        </w:rPr>
        <w:t>a</w:t>
      </w:r>
      <w:r w:rsidRPr="00E34589">
        <w:rPr>
          <w:rFonts w:ascii="ITC Avant Garde" w:hAnsi="ITC Avant Garde" w:cs="Arial"/>
        </w:rPr>
        <w:t>rtículo 131 de la LFTyR dispone lo siguiente:</w:t>
      </w:r>
    </w:p>
    <w:p w14:paraId="2734EA78"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w:t>
      </w:r>
      <w:r w:rsidRPr="00E34589">
        <w:rPr>
          <w:rFonts w:ascii="ITC Avant Garde" w:hAnsi="ITC Avant Garde" w:cs="Arial"/>
          <w:b/>
          <w:sz w:val="18"/>
          <w:szCs w:val="18"/>
        </w:rPr>
        <w:t>Artículo 131.</w:t>
      </w:r>
      <w:r w:rsidRPr="00E34589">
        <w:rPr>
          <w:rFonts w:ascii="ITC Avant Garde" w:hAnsi="ITC Avant Garde" w:cs="Arial"/>
          <w:sz w:val="18"/>
          <w:szCs w:val="18"/>
        </w:rPr>
        <w:t xml:space="preserve"> […]</w:t>
      </w:r>
    </w:p>
    <w:p w14:paraId="7306CB00"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w:t>
      </w:r>
    </w:p>
    <w:p w14:paraId="250ACAC3"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b) Para el tráfico que termine en la red de los demás concesionarios, la tarifa de interconexión será negociada libremente.</w:t>
      </w:r>
    </w:p>
    <w:p w14:paraId="774F1011"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7C385B6"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8FC6538"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B1474B8"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sz w:val="18"/>
          <w:szCs w:val="18"/>
        </w:rPr>
        <w:t>[…]”</w:t>
      </w:r>
    </w:p>
    <w:p w14:paraId="5EE819E5" w14:textId="77777777" w:rsidR="00E34589" w:rsidRPr="00E34589" w:rsidRDefault="00BE4361" w:rsidP="00E34589">
      <w:pPr>
        <w:spacing w:after="240"/>
        <w:ind w:right="20"/>
        <w:jc w:val="both"/>
        <w:rPr>
          <w:rFonts w:ascii="ITC Avant Garde" w:hAnsi="ITC Avant Garde" w:cs="Arial"/>
        </w:rPr>
      </w:pPr>
      <w:r w:rsidRPr="00E3458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03D866D6" w14:textId="77777777" w:rsidR="00E34589" w:rsidRPr="00E34589" w:rsidRDefault="00BE4361" w:rsidP="00E34589">
      <w:pPr>
        <w:spacing w:after="240"/>
        <w:ind w:right="20"/>
        <w:jc w:val="both"/>
        <w:rPr>
          <w:rFonts w:ascii="ITC Avant Garde" w:hAnsi="ITC Avant Garde" w:cs="Arial"/>
        </w:rPr>
      </w:pPr>
      <w:r w:rsidRPr="00E34589">
        <w:rPr>
          <w:rFonts w:ascii="ITC Avant Garde" w:hAnsi="ITC Avant Garde" w:cs="Arial"/>
        </w:rPr>
        <w:t>En este orden de ideas, el artículo 137 de la LFTyR señala a la letra lo siguiente:</w:t>
      </w:r>
    </w:p>
    <w:p w14:paraId="036ACA66" w14:textId="77777777" w:rsidR="00E34589" w:rsidRPr="00E34589" w:rsidRDefault="00BE4361" w:rsidP="00E34589">
      <w:pPr>
        <w:spacing w:after="240"/>
        <w:ind w:left="567" w:right="615"/>
        <w:jc w:val="both"/>
        <w:rPr>
          <w:rFonts w:ascii="ITC Avant Garde" w:hAnsi="ITC Avant Garde" w:cs="Arial"/>
          <w:sz w:val="18"/>
          <w:szCs w:val="18"/>
        </w:rPr>
      </w:pPr>
      <w:r w:rsidRPr="00E34589">
        <w:rPr>
          <w:rFonts w:ascii="ITC Avant Garde" w:hAnsi="ITC Avant Garde" w:cs="Arial"/>
          <w:b/>
          <w:sz w:val="18"/>
          <w:szCs w:val="18"/>
        </w:rPr>
        <w:t>“Artículo 137.</w:t>
      </w:r>
      <w:r w:rsidRPr="00E3458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09D1C883" w14:textId="77777777" w:rsidR="00E34589" w:rsidRPr="00E34589" w:rsidRDefault="00237B73" w:rsidP="00E34589">
      <w:pPr>
        <w:spacing w:after="240"/>
        <w:ind w:right="20"/>
        <w:jc w:val="both"/>
        <w:rPr>
          <w:rFonts w:ascii="ITC Avant Garde" w:eastAsia="Times New Roman" w:hAnsi="ITC Avant Garde" w:cs="Arial"/>
        </w:rPr>
      </w:pPr>
      <w:r w:rsidRPr="00E34589">
        <w:rPr>
          <w:rFonts w:ascii="ITC Avant Garde" w:eastAsia="Times New Roman" w:hAnsi="ITC Avant Garde" w:cs="Arial"/>
        </w:rPr>
        <w:lastRenderedPageBreak/>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113A61CF" w14:textId="77777777" w:rsidR="00E34589" w:rsidRPr="00E34589" w:rsidRDefault="00237B73" w:rsidP="00E34589">
      <w:pPr>
        <w:spacing w:after="240"/>
        <w:ind w:right="20"/>
        <w:jc w:val="both"/>
        <w:rPr>
          <w:rFonts w:ascii="ITC Avant Garde" w:eastAsia="Times New Roman" w:hAnsi="ITC Avant Garde" w:cs="Arial"/>
        </w:rPr>
      </w:pPr>
      <w:r w:rsidRPr="00E34589">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75A3ACD6" w14:textId="77777777" w:rsidR="00E34589" w:rsidRPr="00E34589" w:rsidRDefault="00237B73" w:rsidP="00E34589">
      <w:pPr>
        <w:spacing w:after="240"/>
        <w:ind w:right="20"/>
        <w:jc w:val="both"/>
        <w:rPr>
          <w:rFonts w:ascii="ITC Avant Garde" w:hAnsi="ITC Avant Garde" w:cs="Arial"/>
        </w:rPr>
      </w:pPr>
      <w:r w:rsidRPr="00E34589">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32E1EB3F" w14:textId="77777777" w:rsidR="00E34589" w:rsidRPr="00E34589" w:rsidRDefault="00237B73" w:rsidP="00E34589">
      <w:pPr>
        <w:spacing w:after="240"/>
        <w:ind w:right="20"/>
        <w:jc w:val="both"/>
        <w:rPr>
          <w:rFonts w:ascii="ITC Avant Garde" w:hAnsi="ITC Avant Garde" w:cs="Arial"/>
        </w:rPr>
      </w:pPr>
      <w:r w:rsidRPr="00E34589">
        <w:rPr>
          <w:rFonts w:ascii="ITC Avant Garde" w:hAnsi="ITC Avant Garde" w:cs="Arial"/>
        </w:rPr>
        <w:t xml:space="preserve">En tal virtud, la tarifa que </w:t>
      </w:r>
      <w:r w:rsidRPr="00E34589">
        <w:rPr>
          <w:rFonts w:ascii="ITC Avant Garde" w:hAnsi="ITC Avant Garde" w:cs="Arial"/>
          <w:spacing w:val="-2"/>
        </w:rPr>
        <w:t>Telcel</w:t>
      </w:r>
      <w:r w:rsidRPr="00E34589">
        <w:rPr>
          <w:rFonts w:ascii="ITC Avant Garde" w:hAnsi="ITC Avant Garde"/>
          <w:spacing w:val="-4"/>
          <w:lang w:val="es-ES"/>
        </w:rPr>
        <w:t xml:space="preserve"> deberá pagar a </w:t>
      </w:r>
      <w:r w:rsidRPr="00E34589">
        <w:rPr>
          <w:rFonts w:ascii="ITC Avant Garde" w:hAnsi="ITC Avant Garde"/>
          <w:lang w:val="es-ES" w:eastAsia="es-ES"/>
        </w:rPr>
        <w:t>CTR</w:t>
      </w:r>
      <w:r w:rsidRPr="00E34589">
        <w:rPr>
          <w:rFonts w:ascii="ITC Avant Garde" w:hAnsi="ITC Avant Garde"/>
          <w:spacing w:val="-4"/>
          <w:lang w:val="es-ES"/>
        </w:rPr>
        <w:t xml:space="preserve"> </w:t>
      </w:r>
      <w:r w:rsidRPr="00E34589">
        <w:rPr>
          <w:rFonts w:ascii="ITC Avant Garde" w:hAnsi="ITC Avant Garde" w:cs="Arial"/>
        </w:rPr>
        <w:t>por los servicios de terminación del Servicio Local en usuarios fijos, será la siguiente:</w:t>
      </w:r>
    </w:p>
    <w:p w14:paraId="50F65A95" w14:textId="77777777" w:rsidR="00E34589" w:rsidRPr="00E34589" w:rsidRDefault="00237B73" w:rsidP="00E34589">
      <w:pPr>
        <w:pStyle w:val="Prrafodelista"/>
        <w:numPr>
          <w:ilvl w:val="0"/>
          <w:numId w:val="14"/>
        </w:numPr>
        <w:spacing w:after="240" w:line="276" w:lineRule="auto"/>
        <w:rPr>
          <w:rFonts w:ascii="ITC Avant Garde" w:hAnsi="ITC Avant Garde"/>
          <w:b/>
          <w:spacing w:val="-4"/>
          <w:lang w:val="es-ES_tradnl"/>
        </w:rPr>
      </w:pPr>
      <w:r w:rsidRPr="00E34589">
        <w:rPr>
          <w:rFonts w:ascii="ITC Avant Garde" w:hAnsi="ITC Avant Garde"/>
          <w:b/>
          <w:spacing w:val="-4"/>
          <w:lang w:val="es-ES_tradnl"/>
        </w:rPr>
        <w:t>Del 1 de enero al 31 de diciembre de 2017, $0.003094 pesos M.N. por minuto de interconexión.</w:t>
      </w:r>
    </w:p>
    <w:p w14:paraId="4885D341" w14:textId="77777777" w:rsidR="00E34589" w:rsidRPr="00E34589" w:rsidRDefault="00237B73" w:rsidP="00E34589">
      <w:pPr>
        <w:spacing w:after="240"/>
        <w:jc w:val="both"/>
        <w:rPr>
          <w:rFonts w:ascii="ITC Avant Garde" w:hAnsi="ITC Avant Garde" w:cs="Arial"/>
        </w:rPr>
      </w:pPr>
      <w:r w:rsidRPr="00E34589">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A0C3D7D" w14:textId="77777777" w:rsidR="00E34589" w:rsidRPr="00E34589" w:rsidRDefault="00237B73" w:rsidP="00E34589">
      <w:pPr>
        <w:spacing w:after="240"/>
        <w:jc w:val="both"/>
        <w:rPr>
          <w:rFonts w:ascii="ITC Avant Garde" w:hAnsi="ITC Avant Garde" w:cs="Arial"/>
        </w:rPr>
      </w:pPr>
      <w:r w:rsidRPr="00E34589">
        <w:rPr>
          <w:rFonts w:ascii="ITC Avant Garde" w:hAnsi="ITC Avant Garde" w:cs="Arial"/>
        </w:rPr>
        <w:t>Asimismo, las tarifas anteriores ya incluyen el costo correspondiente a los puertos necesarios para la interconexión.</w:t>
      </w:r>
    </w:p>
    <w:p w14:paraId="07FBB046" w14:textId="77777777" w:rsidR="00E34589" w:rsidRPr="00E34589" w:rsidRDefault="00A57A9F" w:rsidP="00E34589">
      <w:pPr>
        <w:spacing w:after="240"/>
        <w:jc w:val="both"/>
        <w:rPr>
          <w:rFonts w:ascii="ITC Avant Garde" w:hAnsi="ITC Avant Garde" w:cs="Arial"/>
        </w:rPr>
      </w:pPr>
      <w:r w:rsidRPr="00E34589">
        <w:rPr>
          <w:rFonts w:ascii="ITC Avant Garde" w:hAnsi="ITC Avant Garde" w:cs="Arial"/>
        </w:rPr>
        <w:t>En virtud de los anterior</w:t>
      </w:r>
      <w:r w:rsidR="00E64ECA" w:rsidRPr="00E34589">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w:t>
      </w:r>
      <w:r w:rsidR="00E64ECA" w:rsidRPr="00E34589">
        <w:rPr>
          <w:rFonts w:ascii="ITC Avant Garde" w:hAnsi="ITC Avant Garde" w:cs="Arial"/>
        </w:rPr>
        <w:lastRenderedPageBreak/>
        <w:t>Resolución será inscrita en el Registro Público de Telecomunicaciones a cargo del propio Instituto.</w:t>
      </w:r>
    </w:p>
    <w:p w14:paraId="4C5432E8" w14:textId="77777777" w:rsidR="00E34589" w:rsidRPr="00E34589" w:rsidRDefault="00A70124" w:rsidP="00E34589">
      <w:pPr>
        <w:spacing w:after="240"/>
        <w:jc w:val="both"/>
        <w:rPr>
          <w:rFonts w:ascii="ITC Avant Garde" w:hAnsi="ITC Avant Garde" w:cs="Arial"/>
        </w:rPr>
      </w:pPr>
      <w:r w:rsidRPr="00E34589">
        <w:rPr>
          <w:rFonts w:ascii="ITC Avant Garde" w:hAnsi="ITC Avant Garde" w:cs="Arial"/>
        </w:rPr>
        <w:t xml:space="preserve">Lo anterior, sin perjuicio de que </w:t>
      </w:r>
      <w:r w:rsidR="00A851FC" w:rsidRPr="00E34589">
        <w:rPr>
          <w:rFonts w:ascii="ITC Avant Garde" w:hAnsi="ITC Avant Garde" w:cs="Arial"/>
        </w:rPr>
        <w:t>Telcel</w:t>
      </w:r>
      <w:r w:rsidR="00566B41" w:rsidRPr="00E34589">
        <w:rPr>
          <w:rFonts w:ascii="ITC Avant Garde" w:hAnsi="ITC Avant Garde" w:cs="Arial"/>
        </w:rPr>
        <w:t xml:space="preserve"> y </w:t>
      </w:r>
      <w:r w:rsidR="0081246E" w:rsidRPr="00E34589">
        <w:rPr>
          <w:rFonts w:ascii="ITC Avant Garde" w:hAnsi="ITC Avant Garde" w:cs="Arial"/>
        </w:rPr>
        <w:t>CTR</w:t>
      </w:r>
      <w:r w:rsidR="00147AF2" w:rsidRPr="00E34589">
        <w:rPr>
          <w:rFonts w:ascii="ITC Avant Garde" w:eastAsia="Times New Roman" w:hAnsi="ITC Avant Garde"/>
          <w:lang w:val="es-ES" w:eastAsia="es-ES"/>
        </w:rPr>
        <w:t xml:space="preserve"> </w:t>
      </w:r>
      <w:r w:rsidRPr="00E34589">
        <w:rPr>
          <w:rFonts w:ascii="ITC Avant Garde" w:hAnsi="ITC Avant Garde" w:cs="Arial"/>
        </w:rPr>
        <w:t xml:space="preserve">formalicen los términos, condiciones y tarifas de interconexión que se ordenan a través de la presente Resolución y a tal efecto suscriban </w:t>
      </w:r>
      <w:r w:rsidR="00A4268F" w:rsidRPr="00E34589">
        <w:rPr>
          <w:rFonts w:ascii="ITC Avant Garde" w:hAnsi="ITC Avant Garde" w:cs="Arial"/>
        </w:rPr>
        <w:t>los convenios correspondientes</w:t>
      </w:r>
      <w:r w:rsidRPr="00E34589">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E34589">
        <w:rPr>
          <w:rFonts w:ascii="ITC Avant Garde" w:hAnsi="ITC Avant Garde" w:cs="Arial"/>
        </w:rPr>
        <w:t>,</w:t>
      </w:r>
      <w:r w:rsidRPr="00E34589">
        <w:rPr>
          <w:rFonts w:ascii="ITC Avant Garde" w:hAnsi="ITC Avant Garde" w:cs="Arial"/>
        </w:rPr>
        <w:t xml:space="preserve"> fracción VII de la LFTyR.</w:t>
      </w:r>
    </w:p>
    <w:p w14:paraId="71220714" w14:textId="77777777" w:rsidR="00E34589" w:rsidRPr="00E34589" w:rsidRDefault="00B15D4E" w:rsidP="00E34589">
      <w:pPr>
        <w:spacing w:after="240"/>
        <w:jc w:val="both"/>
        <w:rPr>
          <w:rFonts w:ascii="ITC Avant Garde" w:hAnsi="ITC Avant Garde" w:cs="Arial"/>
        </w:rPr>
      </w:pPr>
      <w:r w:rsidRPr="00E34589">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E34589">
        <w:rPr>
          <w:rFonts w:ascii="ITC Avant Garde" w:hAnsi="ITC Avant Garde" w:cs="Arial"/>
        </w:rPr>
        <w:t xml:space="preserve"> 131, inciso b,</w:t>
      </w:r>
      <w:r w:rsidRPr="00E34589">
        <w:rPr>
          <w:rFonts w:ascii="ITC Avant Garde" w:hAnsi="ITC Avant Garde" w:cs="Arial"/>
        </w:rPr>
        <w:t xml:space="preserve"> 176, 177 fracción VII,</w:t>
      </w:r>
      <w:r w:rsidR="00CF6E47" w:rsidRPr="00E34589">
        <w:rPr>
          <w:rFonts w:ascii="ITC Avant Garde" w:hAnsi="ITC Avant Garde" w:cs="Arial"/>
        </w:rPr>
        <w:t xml:space="preserve"> 178,</w:t>
      </w:r>
      <w:r w:rsidRPr="00E34589">
        <w:rPr>
          <w:rFonts w:ascii="ITC Avant Garde" w:hAnsi="ITC Avant Garde" w:cs="Arial"/>
        </w:rPr>
        <w:t xml:space="preserve"> 312 y 313 de la Ley Federal de Telecomunicaciones y Radiodifusión; 32,</w:t>
      </w:r>
      <w:r w:rsidR="00BB682C" w:rsidRPr="00E34589">
        <w:rPr>
          <w:rFonts w:ascii="ITC Avant Garde" w:hAnsi="ITC Avant Garde" w:cs="Arial"/>
        </w:rPr>
        <w:t xml:space="preserve"> 35, fracción I, 36, 38, 39</w:t>
      </w:r>
      <w:r w:rsidR="00633E3E" w:rsidRPr="00E34589">
        <w:rPr>
          <w:rFonts w:ascii="ITC Avant Garde" w:hAnsi="ITC Avant Garde" w:cs="Arial"/>
        </w:rPr>
        <w:t>, 45</w:t>
      </w:r>
      <w:r w:rsidR="00BB682C" w:rsidRPr="00E34589">
        <w:rPr>
          <w:rFonts w:ascii="ITC Avant Garde" w:hAnsi="ITC Avant Garde" w:cs="Arial"/>
        </w:rPr>
        <w:t xml:space="preserve"> </w:t>
      </w:r>
      <w:r w:rsidRPr="00E34589">
        <w:rPr>
          <w:rFonts w:ascii="ITC Avant Garde" w:hAnsi="ITC Avant Garde" w:cs="Arial"/>
        </w:rPr>
        <w:t>y 57 fracción I de la Ley Federal de Procedimiento A</w:t>
      </w:r>
      <w:r w:rsidR="00BB682C" w:rsidRPr="00E34589">
        <w:rPr>
          <w:rFonts w:ascii="ITC Avant Garde" w:hAnsi="ITC Avant Garde" w:cs="Arial"/>
        </w:rPr>
        <w:t>dministrativo; 197, 203</w:t>
      </w:r>
      <w:r w:rsidR="00237B73" w:rsidRPr="00E34589">
        <w:rPr>
          <w:rFonts w:ascii="ITC Avant Garde" w:hAnsi="ITC Avant Garde" w:cs="Arial"/>
        </w:rPr>
        <w:t>, 210-A</w:t>
      </w:r>
      <w:r w:rsidR="00BB682C" w:rsidRPr="00E34589">
        <w:rPr>
          <w:rFonts w:ascii="ITC Avant Garde" w:hAnsi="ITC Avant Garde" w:cs="Arial"/>
        </w:rPr>
        <w:t xml:space="preserve"> </w:t>
      </w:r>
      <w:r w:rsidRPr="00E34589">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7A439F94" w14:textId="77777777" w:rsidR="00E34589" w:rsidRPr="00E34589" w:rsidRDefault="00AC04A2" w:rsidP="00E34589">
      <w:pPr>
        <w:pStyle w:val="Ttulo2"/>
        <w:spacing w:after="240"/>
        <w:jc w:val="center"/>
        <w:rPr>
          <w:rFonts w:ascii="ITC Avant Garde" w:hAnsi="ITC Avant Garde" w:cs="Arial"/>
          <w:b w:val="0"/>
        </w:rPr>
      </w:pPr>
      <w:r w:rsidRPr="00E34589">
        <w:rPr>
          <w:rFonts w:ascii="ITC Avant Garde" w:hAnsi="ITC Avant Garde"/>
        </w:rPr>
        <w:t>RESOLUTIVOS</w:t>
      </w:r>
    </w:p>
    <w:p w14:paraId="3ADD5A88" w14:textId="77777777" w:rsidR="00E34589" w:rsidRPr="00E34589" w:rsidRDefault="00946933" w:rsidP="00E34589">
      <w:pPr>
        <w:spacing w:after="240"/>
        <w:jc w:val="both"/>
        <w:rPr>
          <w:rFonts w:ascii="ITC Avant Garde" w:hAnsi="ITC Avant Garde" w:cs="Arial"/>
        </w:rPr>
      </w:pPr>
      <w:r w:rsidRPr="00E34589">
        <w:rPr>
          <w:rFonts w:ascii="ITC Avant Garde" w:hAnsi="ITC Avant Garde" w:cs="Arial"/>
          <w:b/>
        </w:rPr>
        <w:t>PRIMERO</w:t>
      </w:r>
      <w:r w:rsidRPr="00E34589">
        <w:rPr>
          <w:rFonts w:ascii="ITC Avant Garde" w:hAnsi="ITC Avant Garde" w:cs="Arial"/>
        </w:rPr>
        <w:t xml:space="preserve">.- </w:t>
      </w:r>
      <w:r w:rsidR="008B26C0" w:rsidRPr="00E34589">
        <w:rPr>
          <w:rFonts w:ascii="ITC Avant Garde" w:hAnsi="ITC Avant Garde" w:cs="Arial"/>
        </w:rPr>
        <w:t>La tarifa de interconexión que Radiomóvil Dipsa, S.A. de C.V. deberá pagar a Corporación de Telecomunicaciones Regionales, S.A. de C.V., por servicios de terminación del Servicio Local en usuarios fijos, será la siguiente:</w:t>
      </w:r>
    </w:p>
    <w:p w14:paraId="2B3A1D50" w14:textId="77777777" w:rsidR="00E34589" w:rsidRPr="00E34589" w:rsidRDefault="00257B71" w:rsidP="00E34589">
      <w:pPr>
        <w:pStyle w:val="Prrafodelista"/>
        <w:numPr>
          <w:ilvl w:val="0"/>
          <w:numId w:val="14"/>
        </w:numPr>
        <w:spacing w:after="240" w:line="276" w:lineRule="auto"/>
        <w:rPr>
          <w:rFonts w:ascii="ITC Avant Garde" w:hAnsi="ITC Avant Garde"/>
          <w:b/>
          <w:spacing w:val="-4"/>
          <w:lang w:val="es-ES_tradnl"/>
        </w:rPr>
      </w:pPr>
      <w:r w:rsidRPr="00E34589">
        <w:rPr>
          <w:rFonts w:ascii="ITC Avant Garde" w:hAnsi="ITC Avant Garde"/>
          <w:b/>
          <w:spacing w:val="-4"/>
          <w:lang w:val="es-ES_tradnl"/>
        </w:rPr>
        <w:t>Del 1 de enero al 31 de diciembre de 2017, $0.003094 pesos M.N. por minuto de interconexión.</w:t>
      </w:r>
    </w:p>
    <w:p w14:paraId="1E2850E9" w14:textId="77777777" w:rsidR="00E34589" w:rsidRPr="00E34589" w:rsidRDefault="00DF0EDB" w:rsidP="00E34589">
      <w:pPr>
        <w:pStyle w:val="Prrafodelista"/>
        <w:spacing w:after="240" w:line="276" w:lineRule="auto"/>
        <w:ind w:left="0"/>
        <w:rPr>
          <w:rFonts w:ascii="ITC Avant Garde" w:hAnsi="ITC Avant Garde" w:cs="Arial"/>
        </w:rPr>
      </w:pPr>
      <w:r w:rsidRPr="00E34589">
        <w:rPr>
          <w:rFonts w:ascii="ITC Avant Garde" w:hAnsi="ITC Avant Garde" w:cs="Arial"/>
        </w:rPr>
        <w:t>La tarifa anterior ya incluye el costo correspondiente a los puertos necesarios para la interconexión.</w:t>
      </w:r>
    </w:p>
    <w:p w14:paraId="30F2859F" w14:textId="77777777" w:rsidR="00E34589" w:rsidRPr="00E34589" w:rsidRDefault="00D41493" w:rsidP="00E34589">
      <w:pPr>
        <w:spacing w:after="240"/>
        <w:jc w:val="both"/>
        <w:rPr>
          <w:rFonts w:ascii="ITC Avant Garde" w:hAnsi="ITC Avant Garde" w:cs="Arial"/>
        </w:rPr>
      </w:pPr>
      <w:r w:rsidRPr="00E34589">
        <w:rPr>
          <w:rFonts w:ascii="ITC Avant Garde" w:hAnsi="ITC Avant Garde" w:cs="Arial"/>
        </w:rPr>
        <w:t>Las contraprestaciones</w:t>
      </w:r>
      <w:r w:rsidR="00275EE5" w:rsidRPr="00E34589">
        <w:rPr>
          <w:rFonts w:ascii="ITC Avant Garde" w:hAnsi="ITC Avant Garde" w:cs="Arial"/>
        </w:rPr>
        <w:t xml:space="preserve"> se </w:t>
      </w:r>
      <w:r w:rsidR="00CF047B" w:rsidRPr="00E34589">
        <w:rPr>
          <w:rFonts w:ascii="ITC Avant Garde" w:hAnsi="ITC Avant Garde" w:cs="Arial"/>
        </w:rPr>
        <w:t>calculará</w:t>
      </w:r>
      <w:r w:rsidRPr="00E34589">
        <w:rPr>
          <w:rFonts w:ascii="ITC Avant Garde" w:hAnsi="ITC Avant Garde" w:cs="Arial"/>
        </w:rPr>
        <w:t>n</w:t>
      </w:r>
      <w:r w:rsidR="00275EE5" w:rsidRPr="00E34589">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1AE917D9" w14:textId="77777777" w:rsidR="00E34589" w:rsidRPr="00E34589" w:rsidRDefault="00257B71" w:rsidP="00E34589">
      <w:pPr>
        <w:spacing w:after="240"/>
        <w:ind w:right="20"/>
        <w:jc w:val="both"/>
        <w:rPr>
          <w:rFonts w:ascii="ITC Avant Garde" w:hAnsi="ITC Avant Garde" w:cs="Arial"/>
        </w:rPr>
      </w:pPr>
      <w:r w:rsidRPr="00E34589">
        <w:rPr>
          <w:rFonts w:ascii="ITC Avant Garde" w:hAnsi="ITC Avant Garde" w:cs="Arial"/>
          <w:b/>
        </w:rPr>
        <w:t>SEGUNDO</w:t>
      </w:r>
      <w:r w:rsidR="00AB66F6" w:rsidRPr="00E34589">
        <w:rPr>
          <w:rFonts w:ascii="ITC Avant Garde" w:hAnsi="ITC Avant Garde" w:cs="Arial"/>
          <w:b/>
        </w:rPr>
        <w:t xml:space="preserve">.- </w:t>
      </w:r>
      <w:r w:rsidR="0042597A" w:rsidRPr="00E3458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8B26C0" w:rsidRPr="00E34589">
        <w:rPr>
          <w:rFonts w:ascii="ITC Avant Garde" w:hAnsi="ITC Avant Garde" w:cs="Arial"/>
        </w:rPr>
        <w:t xml:space="preserve">Radiomóvil Dipsa, S.A. de C.V. </w:t>
      </w:r>
      <w:r w:rsidRPr="00E34589">
        <w:rPr>
          <w:rFonts w:ascii="ITC Avant Garde" w:hAnsi="ITC Avant Garde" w:cs="Arial"/>
        </w:rPr>
        <w:t xml:space="preserve">y </w:t>
      </w:r>
      <w:r w:rsidR="008019C0" w:rsidRPr="00E34589">
        <w:rPr>
          <w:rFonts w:ascii="ITC Avant Garde" w:eastAsia="Times New Roman" w:hAnsi="ITC Avant Garde" w:cs="Arial"/>
        </w:rPr>
        <w:t xml:space="preserve">Corporación de Telecomunicaciones </w:t>
      </w:r>
      <w:r w:rsidR="008019C0" w:rsidRPr="00E34589">
        <w:rPr>
          <w:rFonts w:ascii="ITC Avant Garde" w:eastAsia="Times New Roman" w:hAnsi="ITC Avant Garde" w:cs="Arial"/>
        </w:rPr>
        <w:lastRenderedPageBreak/>
        <w:t>Regionales, S.A. de C.V.</w:t>
      </w:r>
      <w:r w:rsidR="0042597A" w:rsidRPr="00E34589">
        <w:rPr>
          <w:rFonts w:ascii="ITC Avant Garde" w:hAnsi="ITC Avant Garde" w:cs="Helvetica"/>
          <w:lang w:eastAsia="es-MX"/>
        </w:rPr>
        <w:t xml:space="preserve">, </w:t>
      </w:r>
      <w:r w:rsidR="0042597A" w:rsidRPr="00E34589">
        <w:rPr>
          <w:rFonts w:ascii="ITC Avant Garde" w:hAnsi="ITC Avant Garde" w:cs="Arial"/>
        </w:rPr>
        <w:t xml:space="preserve">deberán </w:t>
      </w:r>
      <w:r w:rsidR="0042597A" w:rsidRPr="00E34589">
        <w:rPr>
          <w:rFonts w:ascii="ITC Avant Garde" w:eastAsia="Times New Roman" w:hAnsi="ITC Avant Garde" w:cs="Arial"/>
        </w:rPr>
        <w:t xml:space="preserve">suscribir </w:t>
      </w:r>
      <w:r w:rsidR="0042597A" w:rsidRPr="00E34589">
        <w:rPr>
          <w:rFonts w:ascii="ITC Avant Garde" w:hAnsi="ITC Avant Garde" w:cs="Arial"/>
        </w:rPr>
        <w:t>los convenios de interconexión de sus redes públicas de telecomunicaciones conforme a los términos y condiciones determinados en el Resolutivo PRIMERO</w:t>
      </w:r>
      <w:r w:rsidR="009423F5" w:rsidRPr="00E34589">
        <w:rPr>
          <w:rFonts w:ascii="ITC Avant Garde" w:hAnsi="ITC Avant Garde" w:cs="Arial"/>
        </w:rPr>
        <w:t xml:space="preserve"> </w:t>
      </w:r>
      <w:r w:rsidR="0042597A" w:rsidRPr="00E34589">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5015F44" w14:textId="77777777" w:rsidR="00E34589" w:rsidRPr="00E34589" w:rsidRDefault="00257B71" w:rsidP="00E34589">
      <w:pPr>
        <w:spacing w:after="240"/>
        <w:jc w:val="both"/>
        <w:rPr>
          <w:rFonts w:ascii="ITC Avant Garde" w:hAnsi="ITC Avant Garde"/>
          <w:shd w:val="clear" w:color="auto" w:fill="FFFFFF"/>
        </w:rPr>
      </w:pPr>
      <w:r w:rsidRPr="00E34589">
        <w:rPr>
          <w:rFonts w:ascii="ITC Avant Garde" w:eastAsia="Times New Roman" w:hAnsi="ITC Avant Garde"/>
          <w:b/>
          <w:bCs/>
          <w:lang w:eastAsia="es-ES"/>
        </w:rPr>
        <w:t>TERCERO</w:t>
      </w:r>
      <w:r w:rsidR="00AB66F6" w:rsidRPr="00E34589">
        <w:rPr>
          <w:rFonts w:ascii="ITC Avant Garde" w:eastAsia="Times New Roman" w:hAnsi="ITC Avant Garde"/>
          <w:b/>
          <w:bCs/>
          <w:lang w:eastAsia="es-ES"/>
        </w:rPr>
        <w:t>.-</w:t>
      </w:r>
      <w:r w:rsidR="00AB66F6" w:rsidRPr="00E34589">
        <w:rPr>
          <w:rFonts w:ascii="ITC Avant Garde" w:hAnsi="ITC Avant Garde"/>
        </w:rPr>
        <w:t xml:space="preserve"> </w:t>
      </w:r>
      <w:r w:rsidR="000B7FC8" w:rsidRPr="00E34589">
        <w:rPr>
          <w:rFonts w:ascii="ITC Avant Garde" w:hAnsi="ITC Avant Garde"/>
          <w:shd w:val="clear" w:color="auto" w:fill="FFFFFF"/>
        </w:rPr>
        <w:t xml:space="preserve">En cumplimiento a lo dispuesto en </w:t>
      </w:r>
      <w:r w:rsidR="00D41493" w:rsidRPr="00E34589">
        <w:rPr>
          <w:rFonts w:ascii="ITC Avant Garde" w:hAnsi="ITC Avant Garde"/>
          <w:shd w:val="clear" w:color="auto" w:fill="FFFFFF"/>
        </w:rPr>
        <w:t xml:space="preserve">el artículo 3, fracción XV de la Ley Federal de Procedimiento Administrativo, en relación con </w:t>
      </w:r>
      <w:r w:rsidR="000B7FC8" w:rsidRPr="00E34589">
        <w:rPr>
          <w:rFonts w:ascii="ITC Avant Garde" w:hAnsi="ITC Avant Garde"/>
          <w:shd w:val="clear" w:color="auto" w:fill="FFFFFF"/>
        </w:rPr>
        <w:t>los artículos 312 y 313 de la Ley Federal de Telecomunicaciones y Radiodifusión, se hace del conocimiento de</w:t>
      </w:r>
      <w:r w:rsidR="00BD363F" w:rsidRPr="00E34589">
        <w:rPr>
          <w:rFonts w:ascii="ITC Avant Garde" w:hAnsi="ITC Avant Garde"/>
          <w:shd w:val="clear" w:color="auto" w:fill="FFFFFF"/>
        </w:rPr>
        <w:t xml:space="preserve"> </w:t>
      </w:r>
      <w:r w:rsidRPr="00E34589">
        <w:rPr>
          <w:rFonts w:ascii="ITC Avant Garde" w:hAnsi="ITC Avant Garde"/>
          <w:shd w:val="clear" w:color="auto" w:fill="FFFFFF"/>
        </w:rPr>
        <w:t xml:space="preserve">Radiomóvil Dipsa, S.A. de C.V. y </w:t>
      </w:r>
      <w:r w:rsidR="006B3F67" w:rsidRPr="00E34589">
        <w:rPr>
          <w:rFonts w:ascii="ITC Avant Garde" w:eastAsia="Times New Roman" w:hAnsi="ITC Avant Garde" w:cs="Arial"/>
        </w:rPr>
        <w:t xml:space="preserve">Corporación de Telecomunicaciones Regionales, S.A. de C.V. </w:t>
      </w:r>
      <w:r w:rsidR="000B7FC8" w:rsidRPr="00E34589">
        <w:rPr>
          <w:rFonts w:ascii="ITC Avant Garde" w:hAnsi="ITC Avant Garde"/>
          <w:shd w:val="clear" w:color="auto" w:fill="FFFFFF"/>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5120CD" w:rsidRPr="00E34589">
        <w:rPr>
          <w:rFonts w:ascii="ITC Avant Garde" w:hAnsi="ITC Avant Garde"/>
          <w:shd w:val="clear" w:color="auto" w:fill="FFFFFF"/>
        </w:rPr>
        <w:t xml:space="preserve">la Ciudad de México </w:t>
      </w:r>
      <w:r w:rsidR="000B7FC8" w:rsidRPr="00E34589">
        <w:rPr>
          <w:rFonts w:ascii="ITC Avant Garde" w:hAnsi="ITC Avant Garde"/>
          <w:shd w:val="clear" w:color="auto" w:fill="FFFFFF"/>
        </w:rPr>
        <w:t>y Jurisdicción territorial en toda la República, el juicio de amparo indirecto dentro del plazo de quince</w:t>
      </w:r>
      <w:r w:rsidR="00D41493" w:rsidRPr="00E34589">
        <w:rPr>
          <w:rFonts w:ascii="ITC Avant Garde" w:hAnsi="ITC Avant Garde"/>
          <w:shd w:val="clear" w:color="auto" w:fill="FFFFFF"/>
        </w:rPr>
        <w:t xml:space="preserve"> (15)</w:t>
      </w:r>
      <w:r w:rsidR="000B7FC8" w:rsidRPr="00E34589">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78E66D88" w14:textId="7B44AF2E" w:rsidR="006929F0" w:rsidRPr="00E34589" w:rsidRDefault="00257B71" w:rsidP="00E34589">
      <w:pPr>
        <w:spacing w:after="240"/>
        <w:ind w:right="20"/>
        <w:jc w:val="both"/>
        <w:rPr>
          <w:rFonts w:ascii="ITC Avant Garde" w:hAnsi="ITC Avant Garde" w:cs="Arial"/>
        </w:rPr>
      </w:pPr>
      <w:r w:rsidRPr="00E34589">
        <w:rPr>
          <w:rFonts w:ascii="ITC Avant Garde" w:hAnsi="ITC Avant Garde" w:cs="Arial"/>
          <w:b/>
        </w:rPr>
        <w:t>CUARTO</w:t>
      </w:r>
      <w:r w:rsidR="00FB3FFB" w:rsidRPr="00E34589">
        <w:rPr>
          <w:rFonts w:ascii="ITC Avant Garde" w:hAnsi="ITC Avant Garde" w:cs="Arial"/>
        </w:rPr>
        <w:t xml:space="preserve">.- </w:t>
      </w:r>
      <w:r w:rsidRPr="00E34589">
        <w:rPr>
          <w:rFonts w:ascii="ITC Avant Garde" w:hAnsi="ITC Avant Garde" w:cs="Arial"/>
        </w:rPr>
        <w:t>Notifíquese personalmente a</w:t>
      </w:r>
      <w:r w:rsidR="006B3F67" w:rsidRPr="00E34589">
        <w:rPr>
          <w:rFonts w:ascii="ITC Avant Garde" w:hAnsi="ITC Avant Garde" w:cs="Arial"/>
        </w:rPr>
        <w:t xml:space="preserve"> </w:t>
      </w:r>
      <w:r w:rsidRPr="00E34589">
        <w:rPr>
          <w:rFonts w:ascii="ITC Avant Garde" w:hAnsi="ITC Avant Garde" w:cs="Arial"/>
        </w:rPr>
        <w:t>l</w:t>
      </w:r>
      <w:r w:rsidR="006B3F67" w:rsidRPr="00E34589">
        <w:rPr>
          <w:rFonts w:ascii="ITC Avant Garde" w:hAnsi="ITC Avant Garde" w:cs="Arial"/>
        </w:rPr>
        <w:t>os</w:t>
      </w:r>
      <w:r w:rsidRPr="00E34589">
        <w:rPr>
          <w:rFonts w:ascii="ITC Avant Garde" w:hAnsi="ITC Avant Garde" w:cs="Arial"/>
        </w:rPr>
        <w:t xml:space="preserve"> representante</w:t>
      </w:r>
      <w:r w:rsidR="006B3F67" w:rsidRPr="00E34589">
        <w:rPr>
          <w:rFonts w:ascii="ITC Avant Garde" w:hAnsi="ITC Avant Garde" w:cs="Arial"/>
        </w:rPr>
        <w:t>s</w:t>
      </w:r>
      <w:r w:rsidRPr="00E34589">
        <w:rPr>
          <w:rFonts w:ascii="ITC Avant Garde" w:hAnsi="ITC Avant Garde" w:cs="Arial"/>
        </w:rPr>
        <w:t xml:space="preserve"> legal</w:t>
      </w:r>
      <w:r w:rsidR="006B3F67" w:rsidRPr="00E34589">
        <w:rPr>
          <w:rFonts w:ascii="ITC Avant Garde" w:hAnsi="ITC Avant Garde" w:cs="Arial"/>
        </w:rPr>
        <w:t>es</w:t>
      </w:r>
      <w:r w:rsidRPr="00E34589">
        <w:rPr>
          <w:rFonts w:ascii="ITC Avant Garde" w:hAnsi="ITC Avant Garde" w:cs="Arial"/>
        </w:rPr>
        <w:t xml:space="preserve"> de Radiomóvil Dipsa, S.A. de C.V. y </w:t>
      </w:r>
      <w:r w:rsidR="006B3F67" w:rsidRPr="00E34589">
        <w:rPr>
          <w:rFonts w:ascii="ITC Avant Garde" w:eastAsia="Times New Roman" w:hAnsi="ITC Avant Garde" w:cs="Arial"/>
        </w:rPr>
        <w:t>Corporación de Telecomunicaciones Regionales, S.A. de C.V.</w:t>
      </w:r>
      <w:r w:rsidR="00CF047B" w:rsidRPr="00E34589">
        <w:rPr>
          <w:rFonts w:ascii="ITC Avant Garde" w:eastAsia="Times New Roman" w:hAnsi="ITC Avant Garde"/>
          <w:bCs/>
          <w:lang w:val="es-ES" w:eastAsia="es-ES"/>
        </w:rPr>
        <w:t>,</w:t>
      </w:r>
      <w:r w:rsidR="00CF047B" w:rsidRPr="00E34589">
        <w:rPr>
          <w:rFonts w:ascii="ITC Avant Garde" w:hAnsi="ITC Avant Garde"/>
        </w:rPr>
        <w:t xml:space="preserve"> </w:t>
      </w:r>
      <w:r w:rsidR="00E57C5A" w:rsidRPr="00E34589">
        <w:rPr>
          <w:rFonts w:ascii="ITC Avant Garde" w:hAnsi="ITC Avant Garde" w:cs="Arial"/>
          <w:bCs/>
        </w:rPr>
        <w:t>el</w:t>
      </w:r>
      <w:r w:rsidR="00E57C5A" w:rsidRPr="00E34589">
        <w:rPr>
          <w:rFonts w:ascii="ITC Avant Garde" w:hAnsi="ITC Avant Garde" w:cs="Arial"/>
        </w:rPr>
        <w:t xml:space="preserve"> contenido de la presente Resolución, en términos de lo establecido en el artículo 129 fracción VIII de la Ley Federal de Telecomunicaciones y Radiodifusión.</w:t>
      </w:r>
      <w:r w:rsidR="00B0051E" w:rsidRPr="00E34589">
        <w:rPr>
          <w:rFonts w:ascii="ITC Avant Garde" w:hAnsi="ITC Avant Garde" w:cs="Arial"/>
        </w:rPr>
        <w:t xml:space="preserve"> </w:t>
      </w:r>
    </w:p>
    <w:p w14:paraId="54F1D81B" w14:textId="77777777" w:rsidR="00E34589" w:rsidRDefault="00A97638" w:rsidP="00E34589">
      <w:pPr>
        <w:spacing w:after="240" w:line="240" w:lineRule="auto"/>
        <w:jc w:val="both"/>
        <w:rPr>
          <w:rFonts w:ascii="ITC Avant Garde" w:hAnsi="ITC Avant Garde" w:cs="Arial"/>
          <w:sz w:val="13"/>
          <w:szCs w:val="13"/>
          <w:lang w:val="es-ES_tradnl"/>
        </w:rPr>
      </w:pPr>
      <w:r w:rsidRPr="00E34589">
        <w:rPr>
          <w:rFonts w:ascii="ITC Avant Garde" w:hAnsi="ITC Avant Garde" w:cs="Arial"/>
          <w:sz w:val="13"/>
          <w:szCs w:val="13"/>
        </w:rPr>
        <w:t xml:space="preserve">La presente Resolución fue aprobada por el Pleno del Instituto Federal de Telecomunicaciones en su XXXIV Sesión Ordinaria celebrada el </w:t>
      </w:r>
      <w:r w:rsidRPr="00E34589">
        <w:rPr>
          <w:rFonts w:ascii="ITC Avant Garde" w:hAnsi="ITC Avant Garde" w:cs="Arial"/>
          <w:sz w:val="13"/>
          <w:szCs w:val="13"/>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w:t>
      </w:r>
      <w:r w:rsidR="00EC374C" w:rsidRPr="00E34589">
        <w:rPr>
          <w:rFonts w:ascii="ITC Avant Garde" w:hAnsi="ITC Avant Garde" w:cs="Arial"/>
          <w:sz w:val="13"/>
          <w:szCs w:val="13"/>
          <w:lang w:val="es-ES_tradnl"/>
        </w:rPr>
        <w:t>016/</w:t>
      </w:r>
      <w:r w:rsidR="00E34589">
        <w:rPr>
          <w:rFonts w:ascii="ITC Avant Garde" w:hAnsi="ITC Avant Garde" w:cs="Arial"/>
          <w:sz w:val="13"/>
          <w:szCs w:val="13"/>
          <w:lang w:val="es-ES_tradnl"/>
        </w:rPr>
        <w:t>563.</w:t>
      </w:r>
    </w:p>
    <w:p w14:paraId="5ABC3365" w14:textId="5CFC72A0" w:rsidR="00EC374C" w:rsidRPr="00E34589" w:rsidRDefault="00A97638" w:rsidP="00E34589">
      <w:pPr>
        <w:spacing w:after="240" w:line="240" w:lineRule="auto"/>
        <w:jc w:val="both"/>
      </w:pPr>
      <w:bookmarkStart w:id="6" w:name="_GoBack"/>
      <w:bookmarkEnd w:id="6"/>
      <w:r w:rsidRPr="00E34589">
        <w:rPr>
          <w:rFonts w:ascii="ITC Avant Garde" w:hAnsi="ITC Avant Garde" w:cs="Arial"/>
          <w:sz w:val="13"/>
          <w:szCs w:val="13"/>
          <w:lang w:val="es-ES_tradnl"/>
        </w:rPr>
        <w:t xml:space="preserve">El Comisionado Presidente Gabriel Oswaldo Contreras Saldívar </w:t>
      </w:r>
      <w:r w:rsidRPr="00E34589">
        <w:rPr>
          <w:rFonts w:ascii="ITC Avant Garde" w:hAnsi="ITC Avant Garde" w:cs="Arial"/>
          <w:sz w:val="13"/>
          <w:szCs w:val="13"/>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EC374C" w:rsidRPr="00E34589" w:rsidSect="0056287C">
      <w:headerReference w:type="even" r:id="rId11"/>
      <w:footerReference w:type="default" r:id="rId12"/>
      <w:headerReference w:type="first" r:id="rId13"/>
      <w:pgSz w:w="12240" w:h="15840"/>
      <w:pgMar w:top="1985" w:right="1644" w:bottom="164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584FAA" w:rsidRDefault="00584FAA" w:rsidP="00072BC8">
      <w:pPr>
        <w:spacing w:after="0" w:line="240" w:lineRule="auto"/>
      </w:pPr>
      <w:r>
        <w:separator/>
      </w:r>
    </w:p>
  </w:endnote>
  <w:endnote w:type="continuationSeparator" w:id="0">
    <w:p w14:paraId="4481E7A0" w14:textId="77777777" w:rsidR="00584FAA" w:rsidRDefault="00584FA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533366"/>
      <w:docPartObj>
        <w:docPartGallery w:val="Page Numbers (Bottom of Page)"/>
        <w:docPartUnique/>
      </w:docPartObj>
    </w:sdtPr>
    <w:sdtEndPr/>
    <w:sdtContent>
      <w:p w14:paraId="334A1941" w14:textId="37DF2C14" w:rsidR="00584FAA" w:rsidRPr="00E34589" w:rsidRDefault="0056287C" w:rsidP="00E34589">
        <w:pPr>
          <w:pStyle w:val="Piedepgina"/>
          <w:jc w:val="right"/>
        </w:pPr>
        <w:r>
          <w:fldChar w:fldCharType="begin"/>
        </w:r>
        <w:r>
          <w:instrText>PAGE   \* MERGEFORMAT</w:instrText>
        </w:r>
        <w:r>
          <w:fldChar w:fldCharType="separate"/>
        </w:r>
        <w:r w:rsidR="00E34589" w:rsidRPr="00E34589">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584FAA" w:rsidRDefault="00584FAA" w:rsidP="00072BC8">
      <w:pPr>
        <w:spacing w:after="0" w:line="240" w:lineRule="auto"/>
      </w:pPr>
      <w:r>
        <w:separator/>
      </w:r>
    </w:p>
  </w:footnote>
  <w:footnote w:type="continuationSeparator" w:id="0">
    <w:p w14:paraId="74FF9BEC" w14:textId="77777777" w:rsidR="00584FAA" w:rsidRDefault="00584FAA" w:rsidP="00072BC8">
      <w:pPr>
        <w:spacing w:after="0" w:line="240" w:lineRule="auto"/>
      </w:pPr>
      <w:r>
        <w:continuationSeparator/>
      </w:r>
    </w:p>
  </w:footnote>
  <w:footnote w:id="1">
    <w:p w14:paraId="18224C48" w14:textId="06DC2A55" w:rsidR="007E2F15" w:rsidRPr="007E2F15" w:rsidRDefault="007E2F15" w:rsidP="007E2F15">
      <w:pPr>
        <w:pStyle w:val="Textonotapie"/>
        <w:jc w:val="both"/>
        <w:rPr>
          <w:rFonts w:ascii="ITC Avant Garde" w:hAnsi="ITC Avant Garde"/>
          <w:lang w:val="es-MX"/>
        </w:rPr>
      </w:pPr>
      <w:r w:rsidRPr="007E2F15">
        <w:rPr>
          <w:rStyle w:val="Refdenotaalpie"/>
          <w:rFonts w:ascii="ITC Avant Garde" w:hAnsi="ITC Avant Garde"/>
        </w:rPr>
        <w:footnoteRef/>
      </w:r>
      <w:r w:rsidRPr="007E2F15">
        <w:rPr>
          <w:rFonts w:ascii="ITC Avant Garde" w:hAnsi="ITC Avant Garde"/>
        </w:rPr>
        <w:t xml:space="preserve"> </w:t>
      </w:r>
      <w:r w:rsidRPr="007E2F15">
        <w:rPr>
          <w:rFonts w:ascii="ITC Avant Garde" w:hAnsi="ITC Avant Garde"/>
          <w:sz w:val="18"/>
          <w:szCs w:val="18"/>
          <w:lang w:val="es-MX"/>
        </w:rPr>
        <w:t>Si bien en el cuerpo del documento menciona también SMS, se considera que se trata de un error tipográfico toda vez que CTR no presta dicho servicio y no fue reiterado en los petitorios, por lo que no se abordará su estudio.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584FAA" w:rsidRDefault="00E34589">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584FAA" w:rsidRDefault="00E34589">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B25B4C"/>
    <w:multiLevelType w:val="multilevel"/>
    <w:tmpl w:val="8B70C4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B7263"/>
    <w:multiLevelType w:val="hybridMultilevel"/>
    <w:tmpl w:val="EAB84E2A"/>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1F954C46"/>
    <w:multiLevelType w:val="hybridMultilevel"/>
    <w:tmpl w:val="84C63A54"/>
    <w:lvl w:ilvl="0" w:tplc="FB7ED4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B86734"/>
    <w:multiLevelType w:val="hybridMultilevel"/>
    <w:tmpl w:val="A9084946"/>
    <w:lvl w:ilvl="0" w:tplc="6D70049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2D8D2AAB"/>
    <w:multiLevelType w:val="hybridMultilevel"/>
    <w:tmpl w:val="00CCFD7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BE7681"/>
    <w:multiLevelType w:val="hybridMultilevel"/>
    <w:tmpl w:val="D362DAF8"/>
    <w:lvl w:ilvl="0" w:tplc="FEA45E7A">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47B51"/>
    <w:multiLevelType w:val="hybridMultilevel"/>
    <w:tmpl w:val="A9084946"/>
    <w:lvl w:ilvl="0" w:tplc="6D70049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32"/>
  </w:num>
  <w:num w:numId="2">
    <w:abstractNumId w:val="19"/>
  </w:num>
  <w:num w:numId="3">
    <w:abstractNumId w:val="33"/>
  </w:num>
  <w:num w:numId="4">
    <w:abstractNumId w:val="0"/>
  </w:num>
  <w:num w:numId="5">
    <w:abstractNumId w:val="1"/>
  </w:num>
  <w:num w:numId="6">
    <w:abstractNumId w:val="26"/>
  </w:num>
  <w:num w:numId="7">
    <w:abstractNumId w:val="21"/>
  </w:num>
  <w:num w:numId="8">
    <w:abstractNumId w:val="31"/>
  </w:num>
  <w:num w:numId="9">
    <w:abstractNumId w:val="12"/>
  </w:num>
  <w:num w:numId="10">
    <w:abstractNumId w:val="24"/>
  </w:num>
  <w:num w:numId="11">
    <w:abstractNumId w:val="9"/>
  </w:num>
  <w:num w:numId="12">
    <w:abstractNumId w:val="35"/>
  </w:num>
  <w:num w:numId="13">
    <w:abstractNumId w:val="36"/>
  </w:num>
  <w:num w:numId="14">
    <w:abstractNumId w:val="25"/>
  </w:num>
  <w:num w:numId="15">
    <w:abstractNumId w:val="15"/>
  </w:num>
  <w:num w:numId="16">
    <w:abstractNumId w:val="23"/>
  </w:num>
  <w:num w:numId="17">
    <w:abstractNumId w:val="22"/>
  </w:num>
  <w:num w:numId="18">
    <w:abstractNumId w:val="38"/>
  </w:num>
  <w:num w:numId="19">
    <w:abstractNumId w:val="39"/>
  </w:num>
  <w:num w:numId="20">
    <w:abstractNumId w:val="37"/>
  </w:num>
  <w:num w:numId="21">
    <w:abstractNumId w:val="16"/>
  </w:num>
  <w:num w:numId="22">
    <w:abstractNumId w:val="11"/>
  </w:num>
  <w:num w:numId="23">
    <w:abstractNumId w:val="7"/>
  </w:num>
  <w:num w:numId="24">
    <w:abstractNumId w:val="29"/>
  </w:num>
  <w:num w:numId="25">
    <w:abstractNumId w:val="27"/>
  </w:num>
  <w:num w:numId="26">
    <w:abstractNumId w:val="20"/>
  </w:num>
  <w:num w:numId="27">
    <w:abstractNumId w:val="13"/>
  </w:num>
  <w:num w:numId="28">
    <w:abstractNumId w:val="10"/>
  </w:num>
  <w:num w:numId="29">
    <w:abstractNumId w:val="30"/>
  </w:num>
  <w:num w:numId="30">
    <w:abstractNumId w:val="6"/>
  </w:num>
  <w:num w:numId="31">
    <w:abstractNumId w:val="18"/>
  </w:num>
  <w:num w:numId="32">
    <w:abstractNumId w:val="3"/>
  </w:num>
  <w:num w:numId="33">
    <w:abstractNumId w:val="4"/>
  </w:num>
  <w:num w:numId="34">
    <w:abstractNumId w:val="8"/>
  </w:num>
  <w:num w:numId="35">
    <w:abstractNumId w:val="28"/>
  </w:num>
  <w:num w:numId="36">
    <w:abstractNumId w:val="14"/>
  </w:num>
  <w:num w:numId="37">
    <w:abstractNumId w:val="34"/>
  </w:num>
  <w:num w:numId="38">
    <w:abstractNumId w:val="40"/>
  </w:num>
  <w:num w:numId="39">
    <w:abstractNumId w:val="2"/>
  </w:num>
  <w:num w:numId="40">
    <w:abstractNumId w:val="5"/>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1E75"/>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E17FE"/>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3CBD"/>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37B73"/>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57B71"/>
    <w:rsid w:val="002626DD"/>
    <w:rsid w:val="00263859"/>
    <w:rsid w:val="002659C5"/>
    <w:rsid w:val="00266493"/>
    <w:rsid w:val="002679D7"/>
    <w:rsid w:val="0027250C"/>
    <w:rsid w:val="00272721"/>
    <w:rsid w:val="00272B28"/>
    <w:rsid w:val="00275284"/>
    <w:rsid w:val="00275EE5"/>
    <w:rsid w:val="002803B3"/>
    <w:rsid w:val="00281965"/>
    <w:rsid w:val="00282030"/>
    <w:rsid w:val="00282DC3"/>
    <w:rsid w:val="00283348"/>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5E74"/>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6D5"/>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0735F"/>
    <w:rsid w:val="00413744"/>
    <w:rsid w:val="00415366"/>
    <w:rsid w:val="00415AD6"/>
    <w:rsid w:val="0041760B"/>
    <w:rsid w:val="00417C54"/>
    <w:rsid w:val="00417E33"/>
    <w:rsid w:val="004203FE"/>
    <w:rsid w:val="00424AC8"/>
    <w:rsid w:val="0042597A"/>
    <w:rsid w:val="00425C7A"/>
    <w:rsid w:val="00426594"/>
    <w:rsid w:val="004265EF"/>
    <w:rsid w:val="0042737B"/>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2A17"/>
    <w:rsid w:val="004B7269"/>
    <w:rsid w:val="004C04C8"/>
    <w:rsid w:val="004C290A"/>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6985"/>
    <w:rsid w:val="00557E14"/>
    <w:rsid w:val="005603B9"/>
    <w:rsid w:val="00561E24"/>
    <w:rsid w:val="0056287C"/>
    <w:rsid w:val="00563BF8"/>
    <w:rsid w:val="00563F87"/>
    <w:rsid w:val="0056638E"/>
    <w:rsid w:val="0056671C"/>
    <w:rsid w:val="00566B41"/>
    <w:rsid w:val="00567BE7"/>
    <w:rsid w:val="00567FDE"/>
    <w:rsid w:val="00572386"/>
    <w:rsid w:val="00572734"/>
    <w:rsid w:val="005768B6"/>
    <w:rsid w:val="00577291"/>
    <w:rsid w:val="005811A6"/>
    <w:rsid w:val="0058316E"/>
    <w:rsid w:val="0058478C"/>
    <w:rsid w:val="00584FAA"/>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28C4"/>
    <w:rsid w:val="00603633"/>
    <w:rsid w:val="00605423"/>
    <w:rsid w:val="00606231"/>
    <w:rsid w:val="00610A5A"/>
    <w:rsid w:val="00611981"/>
    <w:rsid w:val="00611B90"/>
    <w:rsid w:val="00612222"/>
    <w:rsid w:val="0061535D"/>
    <w:rsid w:val="00616101"/>
    <w:rsid w:val="0061790F"/>
    <w:rsid w:val="00617D3E"/>
    <w:rsid w:val="00620F74"/>
    <w:rsid w:val="00621B17"/>
    <w:rsid w:val="006222EF"/>
    <w:rsid w:val="00623521"/>
    <w:rsid w:val="006247D2"/>
    <w:rsid w:val="00625030"/>
    <w:rsid w:val="006259FF"/>
    <w:rsid w:val="00625D13"/>
    <w:rsid w:val="00631D55"/>
    <w:rsid w:val="00633E3E"/>
    <w:rsid w:val="00634F7D"/>
    <w:rsid w:val="00635D9B"/>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6BCE"/>
    <w:rsid w:val="00646E5B"/>
    <w:rsid w:val="00647A0C"/>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29BE"/>
    <w:rsid w:val="006842B5"/>
    <w:rsid w:val="006858B0"/>
    <w:rsid w:val="00685C8E"/>
    <w:rsid w:val="00685CA2"/>
    <w:rsid w:val="00685E34"/>
    <w:rsid w:val="00687B5F"/>
    <w:rsid w:val="00690651"/>
    <w:rsid w:val="00691B5A"/>
    <w:rsid w:val="00691DB5"/>
    <w:rsid w:val="006929EC"/>
    <w:rsid w:val="006929F0"/>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3F67"/>
    <w:rsid w:val="006B4389"/>
    <w:rsid w:val="006B5997"/>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37A1F"/>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0562"/>
    <w:rsid w:val="00781F67"/>
    <w:rsid w:val="00782DA8"/>
    <w:rsid w:val="00784C7E"/>
    <w:rsid w:val="00785CB9"/>
    <w:rsid w:val="007902F7"/>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1FFB"/>
    <w:rsid w:val="007C3CBD"/>
    <w:rsid w:val="007C6685"/>
    <w:rsid w:val="007C6BCB"/>
    <w:rsid w:val="007C75AA"/>
    <w:rsid w:val="007D74D8"/>
    <w:rsid w:val="007E18DA"/>
    <w:rsid w:val="007E1DF9"/>
    <w:rsid w:val="007E2CA1"/>
    <w:rsid w:val="007E2F15"/>
    <w:rsid w:val="007E3008"/>
    <w:rsid w:val="007E3AB4"/>
    <w:rsid w:val="007E5602"/>
    <w:rsid w:val="007F0319"/>
    <w:rsid w:val="007F0357"/>
    <w:rsid w:val="007F0439"/>
    <w:rsid w:val="007F0621"/>
    <w:rsid w:val="007F196A"/>
    <w:rsid w:val="007F1C14"/>
    <w:rsid w:val="007F3DB0"/>
    <w:rsid w:val="007F4187"/>
    <w:rsid w:val="007F4C22"/>
    <w:rsid w:val="00800247"/>
    <w:rsid w:val="008019C0"/>
    <w:rsid w:val="00801C4D"/>
    <w:rsid w:val="00802115"/>
    <w:rsid w:val="00803153"/>
    <w:rsid w:val="008035E9"/>
    <w:rsid w:val="008058D7"/>
    <w:rsid w:val="00810133"/>
    <w:rsid w:val="0081246E"/>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80192"/>
    <w:rsid w:val="008814D3"/>
    <w:rsid w:val="00883BE7"/>
    <w:rsid w:val="0088423D"/>
    <w:rsid w:val="008871BE"/>
    <w:rsid w:val="008913A3"/>
    <w:rsid w:val="00892BAB"/>
    <w:rsid w:val="0089433F"/>
    <w:rsid w:val="00895C16"/>
    <w:rsid w:val="00895E8C"/>
    <w:rsid w:val="00896366"/>
    <w:rsid w:val="00896630"/>
    <w:rsid w:val="008A0EDD"/>
    <w:rsid w:val="008A4232"/>
    <w:rsid w:val="008A4534"/>
    <w:rsid w:val="008A692F"/>
    <w:rsid w:val="008A7010"/>
    <w:rsid w:val="008A73AD"/>
    <w:rsid w:val="008A7B3F"/>
    <w:rsid w:val="008B26C0"/>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F51"/>
    <w:rsid w:val="008F27BA"/>
    <w:rsid w:val="008F2F37"/>
    <w:rsid w:val="008F5D07"/>
    <w:rsid w:val="008F6587"/>
    <w:rsid w:val="008F738B"/>
    <w:rsid w:val="008F7C86"/>
    <w:rsid w:val="00904329"/>
    <w:rsid w:val="0090537E"/>
    <w:rsid w:val="009055AD"/>
    <w:rsid w:val="00906210"/>
    <w:rsid w:val="00907487"/>
    <w:rsid w:val="0090751F"/>
    <w:rsid w:val="0091307B"/>
    <w:rsid w:val="00914D23"/>
    <w:rsid w:val="0091520E"/>
    <w:rsid w:val="009159B6"/>
    <w:rsid w:val="0091646C"/>
    <w:rsid w:val="00916A7E"/>
    <w:rsid w:val="00916B56"/>
    <w:rsid w:val="00924723"/>
    <w:rsid w:val="00925F61"/>
    <w:rsid w:val="00926250"/>
    <w:rsid w:val="009269CE"/>
    <w:rsid w:val="00930549"/>
    <w:rsid w:val="00930964"/>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163B"/>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0C74"/>
    <w:rsid w:val="00A31178"/>
    <w:rsid w:val="00A31649"/>
    <w:rsid w:val="00A330A2"/>
    <w:rsid w:val="00A33134"/>
    <w:rsid w:val="00A34600"/>
    <w:rsid w:val="00A352C8"/>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51FC"/>
    <w:rsid w:val="00A86A0C"/>
    <w:rsid w:val="00A86E00"/>
    <w:rsid w:val="00A91D02"/>
    <w:rsid w:val="00A91F6F"/>
    <w:rsid w:val="00A92E0D"/>
    <w:rsid w:val="00A95021"/>
    <w:rsid w:val="00A95361"/>
    <w:rsid w:val="00A97638"/>
    <w:rsid w:val="00AA1914"/>
    <w:rsid w:val="00AA6A37"/>
    <w:rsid w:val="00AA7356"/>
    <w:rsid w:val="00AB04AF"/>
    <w:rsid w:val="00AB229C"/>
    <w:rsid w:val="00AB36F9"/>
    <w:rsid w:val="00AB3AFA"/>
    <w:rsid w:val="00AB3E3E"/>
    <w:rsid w:val="00AB5806"/>
    <w:rsid w:val="00AB66F6"/>
    <w:rsid w:val="00AB79E4"/>
    <w:rsid w:val="00AB7BD4"/>
    <w:rsid w:val="00AC035E"/>
    <w:rsid w:val="00AC04A2"/>
    <w:rsid w:val="00AC289A"/>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051E"/>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EFF"/>
    <w:rsid w:val="00B41F21"/>
    <w:rsid w:val="00B433F1"/>
    <w:rsid w:val="00B44A7F"/>
    <w:rsid w:val="00B44E80"/>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3BF1"/>
    <w:rsid w:val="00B7617B"/>
    <w:rsid w:val="00B761D6"/>
    <w:rsid w:val="00B763E3"/>
    <w:rsid w:val="00B80067"/>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1FFD"/>
    <w:rsid w:val="00BB22C6"/>
    <w:rsid w:val="00BB3499"/>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4025"/>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2BF"/>
    <w:rsid w:val="00C85B0E"/>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2E71"/>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12C"/>
    <w:rsid w:val="00CE788F"/>
    <w:rsid w:val="00CF047B"/>
    <w:rsid w:val="00CF09B7"/>
    <w:rsid w:val="00CF35D8"/>
    <w:rsid w:val="00CF671E"/>
    <w:rsid w:val="00CF6E47"/>
    <w:rsid w:val="00D0096C"/>
    <w:rsid w:val="00D0142E"/>
    <w:rsid w:val="00D02459"/>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56B62"/>
    <w:rsid w:val="00D600BA"/>
    <w:rsid w:val="00D607EA"/>
    <w:rsid w:val="00D62D38"/>
    <w:rsid w:val="00D637C7"/>
    <w:rsid w:val="00D67DF2"/>
    <w:rsid w:val="00D73861"/>
    <w:rsid w:val="00D74F1B"/>
    <w:rsid w:val="00D75307"/>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4C40"/>
    <w:rsid w:val="00DC5789"/>
    <w:rsid w:val="00DC5DF9"/>
    <w:rsid w:val="00DD1A4D"/>
    <w:rsid w:val="00DD24C3"/>
    <w:rsid w:val="00DD38BA"/>
    <w:rsid w:val="00DD42C1"/>
    <w:rsid w:val="00DD5863"/>
    <w:rsid w:val="00DD7F1E"/>
    <w:rsid w:val="00DE0260"/>
    <w:rsid w:val="00DE2956"/>
    <w:rsid w:val="00DE4BFC"/>
    <w:rsid w:val="00DE60BA"/>
    <w:rsid w:val="00DE6F07"/>
    <w:rsid w:val="00DE7035"/>
    <w:rsid w:val="00DE779B"/>
    <w:rsid w:val="00DF0EDB"/>
    <w:rsid w:val="00DF0FA4"/>
    <w:rsid w:val="00DF1595"/>
    <w:rsid w:val="00DF202B"/>
    <w:rsid w:val="00DF3952"/>
    <w:rsid w:val="00DF5226"/>
    <w:rsid w:val="00DF5BCF"/>
    <w:rsid w:val="00DF6664"/>
    <w:rsid w:val="00DF7951"/>
    <w:rsid w:val="00DF7E3B"/>
    <w:rsid w:val="00E011C0"/>
    <w:rsid w:val="00E02220"/>
    <w:rsid w:val="00E03E63"/>
    <w:rsid w:val="00E05FD7"/>
    <w:rsid w:val="00E06A0B"/>
    <w:rsid w:val="00E11C12"/>
    <w:rsid w:val="00E126B4"/>
    <w:rsid w:val="00E12BAC"/>
    <w:rsid w:val="00E135BC"/>
    <w:rsid w:val="00E13DEC"/>
    <w:rsid w:val="00E14E27"/>
    <w:rsid w:val="00E153F3"/>
    <w:rsid w:val="00E15463"/>
    <w:rsid w:val="00E17263"/>
    <w:rsid w:val="00E17EBB"/>
    <w:rsid w:val="00E23348"/>
    <w:rsid w:val="00E2354C"/>
    <w:rsid w:val="00E238EC"/>
    <w:rsid w:val="00E27038"/>
    <w:rsid w:val="00E2770A"/>
    <w:rsid w:val="00E27A2B"/>
    <w:rsid w:val="00E306CE"/>
    <w:rsid w:val="00E31E2B"/>
    <w:rsid w:val="00E31F63"/>
    <w:rsid w:val="00E34589"/>
    <w:rsid w:val="00E352CD"/>
    <w:rsid w:val="00E35667"/>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3C0"/>
    <w:rsid w:val="00EB2FD9"/>
    <w:rsid w:val="00EB61CB"/>
    <w:rsid w:val="00EB70BE"/>
    <w:rsid w:val="00EC0F49"/>
    <w:rsid w:val="00EC176A"/>
    <w:rsid w:val="00EC2F8C"/>
    <w:rsid w:val="00EC374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77445"/>
    <w:rsid w:val="00F77C7E"/>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2DD4"/>
    <w:rsid w:val="00FB3FFB"/>
    <w:rsid w:val="00FB4D4E"/>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032081">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8804">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87950B46-3F80-4376-8F71-A577C68B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3658</Words>
  <Characters>20120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2016-02-24T23:00:00Z</cp:lastPrinted>
  <dcterms:created xsi:type="dcterms:W3CDTF">2016-10-19T01:14:00Z</dcterms:created>
  <dcterms:modified xsi:type="dcterms:W3CDTF">2017-01-05T17:29:00Z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