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F1335" w14:textId="77777777" w:rsidR="00EB42D2" w:rsidRPr="00EB42D2" w:rsidRDefault="000C634E" w:rsidP="00EB42D2">
      <w:pPr>
        <w:pStyle w:val="Ttulo1"/>
        <w:keepLines/>
        <w:spacing w:before="240" w:after="240" w:line="276" w:lineRule="auto"/>
        <w:jc w:val="both"/>
        <w:rPr>
          <w:rFonts w:ascii="ITC Avant Garde" w:hAnsi="ITC Avant Garde"/>
          <w:b w:val="0"/>
          <w:bCs/>
          <w:lang w:eastAsia="es-ES"/>
        </w:rPr>
      </w:pPr>
      <w:r w:rsidRPr="00EB42D2">
        <w:rPr>
          <w:rFonts w:ascii="ITC Avant Garde" w:hAnsi="ITC Avant Garde"/>
          <w:bCs/>
          <w:lang w:val="es-ES" w:eastAsia="es-ES"/>
        </w:rPr>
        <w:t xml:space="preserve">RESOLUCIÓN MEDIANTE LA CUAL EL PLENO DEL INSTITUTO FEDERAL DE TELECOMUNICACIONES DETERMINA LAS CONDICIONES DE INTERCONEXIÓN NO CONVENIDAS ENTRE RADIOMÓVIL DIPSA, S.A. DE C.V. </w:t>
      </w:r>
      <w:r w:rsidRPr="00EB42D2">
        <w:rPr>
          <w:rFonts w:ascii="ITC Avant Garde" w:hAnsi="ITC Avant Garde"/>
          <w:bCs/>
          <w:iCs/>
          <w:lang w:eastAsia="es-ES"/>
        </w:rPr>
        <w:t>Y ELECTRÓNICA INGENIERÍA Y COMUNICACIONES, S.A. DE C.V., APLICABLES DEL 1 DE ENERO AL 31 DE DICIEMBRE DE 2017</w:t>
      </w:r>
    </w:p>
    <w:p w14:paraId="5CEABB4D" w14:textId="77777777" w:rsidR="00EB42D2" w:rsidRPr="00EB42D2" w:rsidRDefault="000C634E" w:rsidP="00EB42D2">
      <w:pPr>
        <w:pStyle w:val="Ttulo2"/>
        <w:spacing w:after="240"/>
        <w:jc w:val="center"/>
        <w:rPr>
          <w:rFonts w:ascii="ITC Avant Garde" w:hAnsi="ITC Avant Garde"/>
          <w:szCs w:val="22"/>
        </w:rPr>
      </w:pPr>
      <w:r w:rsidRPr="00EB42D2">
        <w:rPr>
          <w:rFonts w:ascii="ITC Avant Garde" w:hAnsi="ITC Avant Garde"/>
        </w:rPr>
        <w:t>ANTECEDENTES</w:t>
      </w:r>
    </w:p>
    <w:p w14:paraId="57F03D68" w14:textId="77777777" w:rsidR="00EB42D2" w:rsidRPr="00EB42D2" w:rsidRDefault="00BD3575" w:rsidP="00EB42D2">
      <w:pPr>
        <w:numPr>
          <w:ilvl w:val="0"/>
          <w:numId w:val="1"/>
        </w:numPr>
        <w:spacing w:after="240"/>
        <w:jc w:val="both"/>
        <w:rPr>
          <w:rFonts w:ascii="ITC Avant Garde" w:eastAsia="Times New Roman" w:hAnsi="ITC Avant Garde" w:cs="Arial"/>
          <w:b/>
          <w:bCs/>
          <w:lang w:eastAsia="es-ES"/>
        </w:rPr>
      </w:pPr>
      <w:r w:rsidRPr="00EB42D2">
        <w:rPr>
          <w:rFonts w:ascii="ITC Avant Garde" w:hAnsi="ITC Avant Garde"/>
          <w:b/>
          <w:bCs/>
        </w:rPr>
        <w:t xml:space="preserve">Concesiones de Radiomóvil Dipsa, S.A. de C.V. </w:t>
      </w:r>
      <w:r w:rsidRPr="00EB42D2">
        <w:rPr>
          <w:rFonts w:ascii="ITC Avant Garde" w:eastAsia="Times New Roman" w:hAnsi="ITC Avant Garde" w:cs="Arial"/>
          <w:b/>
          <w:bCs/>
          <w:lang w:eastAsia="es-ES"/>
        </w:rPr>
        <w:t xml:space="preserve">(en lo sucesivo, “Telcel”), </w:t>
      </w:r>
      <w:r w:rsidRPr="00EB42D2">
        <w:rPr>
          <w:rFonts w:ascii="ITC Avant Garde" w:eastAsia="Times New Roman" w:hAnsi="ITC Avant Garde" w:cs="Arial"/>
          <w:bCs/>
          <w:lang w:eastAsia="es-ES"/>
        </w:rPr>
        <w:t xml:space="preserve">es un operador que cuenta </w:t>
      </w:r>
      <w:r w:rsidRPr="00EB42D2">
        <w:rPr>
          <w:rFonts w:ascii="ITC Avant Garde" w:hAnsi="ITC Avant Garde" w:cs="Arial"/>
          <w:bCs/>
          <w:snapToGrid w:val="0"/>
        </w:rPr>
        <w:t>concesiones p</w:t>
      </w:r>
      <w:r w:rsidRPr="00EB42D2">
        <w:rPr>
          <w:rFonts w:ascii="ITC Avant Garde" w:eastAsia="Times New Roman" w:hAnsi="ITC Avant Garde"/>
          <w:lang w:eastAsia="es-ES"/>
        </w:rPr>
        <w:t>ara instalar, operar y explotar una red pública de telecomunicaciones</w:t>
      </w:r>
      <w:r w:rsidRPr="00EB42D2">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17992913" w14:textId="77777777" w:rsidR="00EB42D2" w:rsidRPr="00EB42D2" w:rsidRDefault="000C634E" w:rsidP="00EB42D2">
      <w:pPr>
        <w:pStyle w:val="Prrafodelista"/>
        <w:numPr>
          <w:ilvl w:val="0"/>
          <w:numId w:val="1"/>
        </w:numPr>
        <w:spacing w:after="240" w:line="276" w:lineRule="auto"/>
        <w:rPr>
          <w:rFonts w:ascii="ITC Avant Garde" w:hAnsi="ITC Avant Garde" w:cs="Arial"/>
          <w:b/>
          <w:bCs/>
          <w:szCs w:val="22"/>
        </w:rPr>
      </w:pPr>
      <w:r w:rsidRPr="00EB42D2">
        <w:rPr>
          <w:rFonts w:ascii="ITC Avant Garde" w:hAnsi="ITC Avant Garde" w:cs="Arial"/>
          <w:b/>
          <w:bCs/>
          <w:szCs w:val="22"/>
        </w:rPr>
        <w:t>Concesi</w:t>
      </w:r>
      <w:r w:rsidR="00BD3575" w:rsidRPr="00EB42D2">
        <w:rPr>
          <w:rFonts w:ascii="ITC Avant Garde" w:hAnsi="ITC Avant Garde" w:cs="Arial"/>
          <w:b/>
          <w:bCs/>
          <w:szCs w:val="22"/>
        </w:rPr>
        <w:t>ón</w:t>
      </w:r>
      <w:r w:rsidRPr="00EB42D2">
        <w:rPr>
          <w:rFonts w:ascii="ITC Avant Garde" w:hAnsi="ITC Avant Garde" w:cs="Arial"/>
          <w:b/>
          <w:bCs/>
          <w:szCs w:val="22"/>
        </w:rPr>
        <w:t xml:space="preserve"> de </w:t>
      </w:r>
      <w:r w:rsidRPr="00EB42D2">
        <w:rPr>
          <w:rFonts w:ascii="ITC Avant Garde" w:hAnsi="ITC Avant Garde"/>
          <w:b/>
          <w:bCs/>
          <w:iCs/>
        </w:rPr>
        <w:t>Electrónica Ingeniería y Comunicaciones, S.A. de C.V.</w:t>
      </w:r>
      <w:r w:rsidRPr="00EB42D2">
        <w:rPr>
          <w:rFonts w:ascii="ITC Avant Garde" w:hAnsi="ITC Avant Garde" w:cs="Arial"/>
          <w:b/>
          <w:bCs/>
          <w:szCs w:val="22"/>
        </w:rPr>
        <w:t xml:space="preserve"> (en lo sucesivo, “EICSA”), </w:t>
      </w:r>
      <w:r w:rsidRPr="00EB42D2">
        <w:rPr>
          <w:rFonts w:ascii="ITC Avant Garde" w:hAnsi="ITC Avant Garde" w:cs="Arial"/>
          <w:bCs/>
        </w:rPr>
        <w:t xml:space="preserve">es un operador que cuenta </w:t>
      </w:r>
      <w:r w:rsidR="00BD3575" w:rsidRPr="00EB42D2">
        <w:rPr>
          <w:rFonts w:ascii="ITC Avant Garde" w:hAnsi="ITC Avant Garde" w:cs="Arial"/>
          <w:bCs/>
          <w:snapToGrid w:val="0"/>
        </w:rPr>
        <w:t>concesión</w:t>
      </w:r>
      <w:r w:rsidRPr="00EB42D2">
        <w:rPr>
          <w:rFonts w:ascii="ITC Avant Garde" w:hAnsi="ITC Avant Garde" w:cs="Arial"/>
          <w:bCs/>
          <w:snapToGrid w:val="0"/>
        </w:rPr>
        <w:t xml:space="preserve"> p</w:t>
      </w:r>
      <w:r w:rsidRPr="00EB42D2">
        <w:rPr>
          <w:rFonts w:ascii="ITC Avant Garde" w:hAnsi="ITC Avant Garde"/>
        </w:rPr>
        <w:t>ara instalar, operar y explotar una red pública de telecomunicaciones</w:t>
      </w:r>
      <w:r w:rsidRPr="00EB42D2">
        <w:rPr>
          <w:rFonts w:ascii="ITC Avant Garde" w:hAnsi="ITC Avant Garde" w:cs="Arial"/>
          <w:bCs/>
        </w:rPr>
        <w:t xml:space="preserve"> al amparo de</w:t>
      </w:r>
      <w:r w:rsidR="00BD3575" w:rsidRPr="00EB42D2">
        <w:rPr>
          <w:rFonts w:ascii="ITC Avant Garde" w:hAnsi="ITC Avant Garde" w:cs="Arial"/>
          <w:bCs/>
        </w:rPr>
        <w:t>l</w:t>
      </w:r>
      <w:r w:rsidRPr="00EB42D2">
        <w:rPr>
          <w:rFonts w:ascii="ITC Avant Garde" w:hAnsi="ITC Avant Garde" w:cs="Arial"/>
          <w:bCs/>
        </w:rPr>
        <w:t xml:space="preserve"> título de concesión otorgado conforme a la </w:t>
      </w:r>
      <w:r w:rsidR="00BD3575" w:rsidRPr="00EB42D2">
        <w:rPr>
          <w:rFonts w:ascii="ITC Avant Garde" w:hAnsi="ITC Avant Garde" w:cs="Arial"/>
          <w:bCs/>
        </w:rPr>
        <w:t>legislación aplicable e inscrit</w:t>
      </w:r>
      <w:r w:rsidR="00CF1600" w:rsidRPr="00EB42D2">
        <w:rPr>
          <w:rFonts w:ascii="ITC Avant Garde" w:hAnsi="ITC Avant Garde" w:cs="Arial"/>
          <w:bCs/>
        </w:rPr>
        <w:t>o</w:t>
      </w:r>
      <w:r w:rsidRPr="00EB42D2">
        <w:rPr>
          <w:rFonts w:ascii="ITC Avant Garde" w:hAnsi="ITC Avant Garde" w:cs="Arial"/>
          <w:bCs/>
        </w:rPr>
        <w:t xml:space="preserve"> en el Registro Público de Concesiones del Instituto</w:t>
      </w:r>
      <w:r w:rsidRPr="00EB42D2">
        <w:rPr>
          <w:rFonts w:ascii="ITC Avant Garde" w:hAnsi="ITC Avant Garde" w:cs="Arial"/>
          <w:bCs/>
          <w:szCs w:val="22"/>
        </w:rPr>
        <w:t>.</w:t>
      </w:r>
    </w:p>
    <w:p w14:paraId="73D53C74" w14:textId="77777777" w:rsidR="00EB42D2" w:rsidRPr="00EB42D2" w:rsidRDefault="008A29DC" w:rsidP="00EB42D2">
      <w:pPr>
        <w:numPr>
          <w:ilvl w:val="0"/>
          <w:numId w:val="1"/>
        </w:numPr>
        <w:spacing w:after="240"/>
        <w:jc w:val="both"/>
        <w:rPr>
          <w:rFonts w:ascii="ITC Avant Garde" w:hAnsi="ITC Avant Garde"/>
          <w:iCs/>
        </w:rPr>
      </w:pPr>
      <w:r w:rsidRPr="00EB42D2">
        <w:rPr>
          <w:rFonts w:ascii="ITC Avant Garde" w:hAnsi="ITC Avant Garde"/>
          <w:b/>
          <w:bCs/>
        </w:rPr>
        <w:t xml:space="preserve">Metodología para el cálculo de costos de interconexión. </w:t>
      </w:r>
      <w:r w:rsidRPr="00EB42D2">
        <w:rPr>
          <w:rFonts w:ascii="ITC Avant Garde" w:hAnsi="ITC Avant Garde"/>
        </w:rPr>
        <w:t xml:space="preserve">El 18 de </w:t>
      </w:r>
      <w:r w:rsidR="00F0642D" w:rsidRPr="00EB42D2">
        <w:rPr>
          <w:rFonts w:ascii="ITC Avant Garde" w:hAnsi="ITC Avant Garde"/>
        </w:rPr>
        <w:t xml:space="preserve">diciembre de 2014 se </w:t>
      </w:r>
      <w:r w:rsidRPr="00EB42D2">
        <w:rPr>
          <w:rFonts w:ascii="ITC Avant Garde" w:hAnsi="ITC Avant Garde"/>
        </w:rPr>
        <w:t>publicó en el D</w:t>
      </w:r>
      <w:r w:rsidR="00F0642D" w:rsidRPr="00EB42D2">
        <w:rPr>
          <w:rFonts w:ascii="ITC Avant Garde" w:hAnsi="ITC Avant Garde"/>
        </w:rPr>
        <w:t xml:space="preserve">iario </w:t>
      </w:r>
      <w:r w:rsidRPr="00EB42D2">
        <w:rPr>
          <w:rFonts w:ascii="ITC Avant Garde" w:hAnsi="ITC Avant Garde"/>
        </w:rPr>
        <w:t>O</w:t>
      </w:r>
      <w:r w:rsidR="00F0642D" w:rsidRPr="00EB42D2">
        <w:rPr>
          <w:rFonts w:ascii="ITC Avant Garde" w:hAnsi="ITC Avant Garde"/>
        </w:rPr>
        <w:t xml:space="preserve">ficial de la </w:t>
      </w:r>
      <w:r w:rsidRPr="00EB42D2">
        <w:rPr>
          <w:rFonts w:ascii="ITC Avant Garde" w:hAnsi="ITC Avant Garde"/>
        </w:rPr>
        <w:t>F</w:t>
      </w:r>
      <w:r w:rsidR="00F0642D" w:rsidRPr="00EB42D2">
        <w:rPr>
          <w:rFonts w:ascii="ITC Avant Garde" w:hAnsi="ITC Avant Garde"/>
        </w:rPr>
        <w:t>ederación (en lo sucesivo, el “DOF”)</w:t>
      </w:r>
      <w:r w:rsidRPr="00EB42D2">
        <w:rPr>
          <w:rFonts w:ascii="ITC Avant Garde" w:hAnsi="ITC Avant Garde"/>
        </w:rPr>
        <w:t>, el “</w:t>
      </w:r>
      <w:r w:rsidRPr="00EB42D2">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EB42D2">
        <w:rPr>
          <w:rFonts w:ascii="ITC Avant Garde" w:hAnsi="ITC Avant Garde"/>
        </w:rPr>
        <w:t>aprobado mediante Acuerdo P/IFT/EXT/161214/277 (en lo</w:t>
      </w:r>
      <w:r w:rsidRPr="00EB42D2">
        <w:rPr>
          <w:rFonts w:ascii="ITC Avant Garde" w:hAnsi="ITC Avant Garde"/>
          <w:iCs/>
        </w:rPr>
        <w:t xml:space="preserve"> </w:t>
      </w:r>
      <w:r w:rsidRPr="00EB42D2">
        <w:rPr>
          <w:rFonts w:ascii="ITC Avant Garde" w:hAnsi="ITC Avant Garde"/>
        </w:rPr>
        <w:t>sucesivo la “Metodología de Costos”).</w:t>
      </w:r>
    </w:p>
    <w:p w14:paraId="1ACC7EB4" w14:textId="77777777" w:rsidR="00EB42D2" w:rsidRPr="00EB42D2" w:rsidRDefault="00B92D61" w:rsidP="00EB42D2">
      <w:pPr>
        <w:numPr>
          <w:ilvl w:val="0"/>
          <w:numId w:val="1"/>
        </w:numPr>
        <w:spacing w:after="240"/>
        <w:ind w:right="48"/>
        <w:jc w:val="both"/>
        <w:rPr>
          <w:rFonts w:ascii="ITC Avant Garde" w:hAnsi="ITC Avant Garde" w:cs="Arial"/>
          <w:b/>
        </w:rPr>
      </w:pPr>
      <w:r w:rsidRPr="00EB42D2">
        <w:rPr>
          <w:rFonts w:ascii="ITC Avant Garde" w:hAnsi="ITC Avant Garde"/>
          <w:b/>
          <w:bCs/>
          <w:lang w:val="es-ES" w:eastAsia="es-ES"/>
        </w:rPr>
        <w:t>Sistema Electrónico de Solicitudes de Interconexión.</w:t>
      </w:r>
      <w:r w:rsidRPr="00EB42D2">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61896242" w14:textId="77777777" w:rsidR="00EB42D2" w:rsidRPr="00EB42D2" w:rsidRDefault="00615705" w:rsidP="00EB42D2">
      <w:pPr>
        <w:numPr>
          <w:ilvl w:val="0"/>
          <w:numId w:val="1"/>
        </w:numPr>
        <w:spacing w:after="240"/>
        <w:jc w:val="both"/>
        <w:rPr>
          <w:rFonts w:ascii="ITC Avant Garde" w:eastAsia="Times New Roman" w:hAnsi="ITC Avant Garde"/>
          <w:bCs/>
          <w:lang w:val="es-ES" w:eastAsia="es-ES"/>
        </w:rPr>
      </w:pPr>
      <w:bookmarkStart w:id="0" w:name="antecedente10"/>
      <w:r w:rsidRPr="00EB42D2">
        <w:rPr>
          <w:rFonts w:ascii="ITC Avant Garde" w:eastAsia="Times New Roman" w:hAnsi="ITC Avant Garde"/>
          <w:b/>
          <w:bCs/>
          <w:lang w:val="es-ES" w:eastAsia="es-ES"/>
        </w:rPr>
        <w:t xml:space="preserve">Procedimiento de resolución de </w:t>
      </w:r>
      <w:r w:rsidR="00394255" w:rsidRPr="00EB42D2">
        <w:rPr>
          <w:rFonts w:ascii="ITC Avant Garde" w:eastAsia="Times New Roman" w:hAnsi="ITC Avant Garde"/>
          <w:b/>
          <w:bCs/>
          <w:lang w:val="es-ES" w:eastAsia="es-ES"/>
        </w:rPr>
        <w:t xml:space="preserve">condiciones de interconexión no convenidas. </w:t>
      </w:r>
      <w:r w:rsidR="00394255" w:rsidRPr="00EB42D2">
        <w:rPr>
          <w:rFonts w:ascii="ITC Avant Garde" w:eastAsia="Times New Roman" w:hAnsi="ITC Avant Garde"/>
          <w:lang w:val="es-ES" w:eastAsia="es-ES"/>
        </w:rPr>
        <w:t>El</w:t>
      </w:r>
      <w:r w:rsidR="005D64CC" w:rsidRPr="00EB42D2">
        <w:rPr>
          <w:rFonts w:ascii="ITC Avant Garde" w:eastAsia="Times New Roman" w:hAnsi="ITC Avant Garde"/>
          <w:lang w:val="es-ES" w:eastAsia="es-ES"/>
        </w:rPr>
        <w:t xml:space="preserve"> </w:t>
      </w:r>
      <w:r w:rsidR="000B4D2F" w:rsidRPr="00EB42D2">
        <w:rPr>
          <w:rFonts w:ascii="ITC Avant Garde" w:eastAsia="Times New Roman" w:hAnsi="ITC Avant Garde"/>
          <w:lang w:val="es-ES" w:eastAsia="es-ES"/>
        </w:rPr>
        <w:t xml:space="preserve">14 de julio </w:t>
      </w:r>
      <w:r w:rsidR="001F2F07" w:rsidRPr="00EB42D2">
        <w:rPr>
          <w:rFonts w:ascii="ITC Avant Garde" w:eastAsia="Times New Roman" w:hAnsi="ITC Avant Garde"/>
          <w:lang w:val="es-ES" w:eastAsia="es-ES"/>
        </w:rPr>
        <w:t xml:space="preserve">de </w:t>
      </w:r>
      <w:r w:rsidR="00E878D9" w:rsidRPr="00EB42D2">
        <w:rPr>
          <w:rFonts w:ascii="ITC Avant Garde" w:eastAsia="Times New Roman" w:hAnsi="ITC Avant Garde"/>
          <w:lang w:val="es-ES" w:eastAsia="es-ES"/>
        </w:rPr>
        <w:t>201</w:t>
      </w:r>
      <w:r w:rsidR="007B2685" w:rsidRPr="00EB42D2">
        <w:rPr>
          <w:rFonts w:ascii="ITC Avant Garde" w:eastAsia="Times New Roman" w:hAnsi="ITC Avant Garde"/>
          <w:lang w:val="es-ES" w:eastAsia="es-ES"/>
        </w:rPr>
        <w:t>6</w:t>
      </w:r>
      <w:r w:rsidR="00394255" w:rsidRPr="00EB42D2">
        <w:rPr>
          <w:rFonts w:ascii="ITC Avant Garde" w:eastAsia="Times New Roman" w:hAnsi="ITC Avant Garde"/>
          <w:lang w:val="es-ES" w:eastAsia="es-ES"/>
        </w:rPr>
        <w:t xml:space="preserve">, el </w:t>
      </w:r>
      <w:r w:rsidR="00423F65" w:rsidRPr="00EB42D2">
        <w:rPr>
          <w:rFonts w:ascii="ITC Avant Garde" w:eastAsia="Times New Roman" w:hAnsi="ITC Avant Garde"/>
          <w:lang w:val="es-ES" w:eastAsia="es-ES"/>
        </w:rPr>
        <w:t>apoderado</w:t>
      </w:r>
      <w:r w:rsidR="00394255" w:rsidRPr="00EB42D2">
        <w:rPr>
          <w:rFonts w:ascii="ITC Avant Garde" w:eastAsia="Times New Roman" w:hAnsi="ITC Avant Garde"/>
          <w:lang w:val="es-ES" w:eastAsia="es-ES"/>
        </w:rPr>
        <w:t xml:space="preserve"> legal de </w:t>
      </w:r>
      <w:r w:rsidR="000B4D2F" w:rsidRPr="00EB42D2">
        <w:rPr>
          <w:rFonts w:ascii="ITC Avant Garde" w:eastAsia="Times New Roman" w:hAnsi="ITC Avant Garde"/>
          <w:lang w:val="es-ES" w:eastAsia="es-ES"/>
        </w:rPr>
        <w:t>Telcel</w:t>
      </w:r>
      <w:r w:rsidR="004114EB" w:rsidRPr="00EB42D2">
        <w:rPr>
          <w:rFonts w:ascii="ITC Avant Garde" w:eastAsia="Times New Roman" w:hAnsi="ITC Avant Garde"/>
          <w:lang w:val="es-ES" w:eastAsia="es-ES"/>
        </w:rPr>
        <w:t xml:space="preserve"> </w:t>
      </w:r>
      <w:r w:rsidR="00394255" w:rsidRPr="00EB42D2">
        <w:rPr>
          <w:rFonts w:ascii="ITC Avant Garde" w:eastAsia="Times New Roman" w:hAnsi="ITC Avant Garde"/>
          <w:lang w:val="es-ES" w:eastAsia="es-ES"/>
        </w:rPr>
        <w:t xml:space="preserve">presentó ante </w:t>
      </w:r>
      <w:r w:rsidR="002D1D4B" w:rsidRPr="00EB42D2">
        <w:rPr>
          <w:rFonts w:ascii="ITC Avant Garde" w:eastAsia="Times New Roman" w:hAnsi="ITC Avant Garde"/>
          <w:lang w:val="es-ES" w:eastAsia="es-ES"/>
        </w:rPr>
        <w:t>el Instituto</w:t>
      </w:r>
      <w:r w:rsidR="00394255" w:rsidRPr="00EB42D2">
        <w:rPr>
          <w:rFonts w:ascii="ITC Avant Garde" w:eastAsia="Times New Roman" w:hAnsi="ITC Avant Garde"/>
          <w:lang w:val="es-ES" w:eastAsia="es-ES"/>
        </w:rPr>
        <w:t>,</w:t>
      </w:r>
      <w:r w:rsidR="00CA4975" w:rsidRPr="00EB42D2">
        <w:rPr>
          <w:rFonts w:ascii="ITC Avant Garde" w:eastAsia="Times New Roman" w:hAnsi="ITC Avant Garde"/>
          <w:lang w:val="es-ES" w:eastAsia="es-ES"/>
        </w:rPr>
        <w:t xml:space="preserve"> </w:t>
      </w:r>
      <w:r w:rsidR="000C634E" w:rsidRPr="00EB42D2">
        <w:rPr>
          <w:rFonts w:ascii="ITC Avant Garde" w:eastAsia="Times New Roman" w:hAnsi="ITC Avant Garde"/>
          <w:lang w:val="es-ES" w:eastAsia="es-ES"/>
        </w:rPr>
        <w:t xml:space="preserve">un escrito </w:t>
      </w:r>
      <w:r w:rsidR="00394255" w:rsidRPr="00EB42D2">
        <w:rPr>
          <w:rFonts w:ascii="ITC Avant Garde" w:eastAsia="Times New Roman" w:hAnsi="ITC Avant Garde"/>
          <w:lang w:val="es-ES" w:eastAsia="es-ES"/>
        </w:rPr>
        <w:t xml:space="preserve">mediante </w:t>
      </w:r>
      <w:r w:rsidR="000C634E" w:rsidRPr="00EB42D2">
        <w:rPr>
          <w:rFonts w:ascii="ITC Avant Garde" w:eastAsia="Times New Roman" w:hAnsi="ITC Avant Garde"/>
          <w:lang w:val="es-ES" w:eastAsia="es-ES"/>
        </w:rPr>
        <w:t xml:space="preserve">el cual </w:t>
      </w:r>
      <w:r w:rsidR="00394255" w:rsidRPr="00EB42D2">
        <w:rPr>
          <w:rFonts w:ascii="ITC Avant Garde" w:eastAsia="Times New Roman" w:hAnsi="ITC Avant Garde"/>
          <w:lang w:val="es-ES" w:eastAsia="es-ES"/>
        </w:rPr>
        <w:t>solicitó su intervención para resolver los términos</w:t>
      </w:r>
      <w:r w:rsidR="00FE5895" w:rsidRPr="00EB42D2">
        <w:rPr>
          <w:rFonts w:ascii="ITC Avant Garde" w:eastAsia="Times New Roman" w:hAnsi="ITC Avant Garde"/>
          <w:lang w:val="es-ES" w:eastAsia="es-ES"/>
        </w:rPr>
        <w:t xml:space="preserve">, </w:t>
      </w:r>
      <w:r w:rsidR="00D859C5" w:rsidRPr="00EB42D2">
        <w:rPr>
          <w:rFonts w:ascii="ITC Avant Garde" w:eastAsia="Times New Roman" w:hAnsi="ITC Avant Garde"/>
          <w:lang w:val="es-ES" w:eastAsia="es-ES"/>
        </w:rPr>
        <w:t>condiciones</w:t>
      </w:r>
      <w:r w:rsidR="00394255" w:rsidRPr="00EB42D2">
        <w:rPr>
          <w:rFonts w:ascii="ITC Avant Garde" w:eastAsia="Times New Roman" w:hAnsi="ITC Avant Garde"/>
          <w:lang w:val="es-ES" w:eastAsia="es-ES"/>
        </w:rPr>
        <w:t xml:space="preserve"> y </w:t>
      </w:r>
      <w:r w:rsidR="00D859C5" w:rsidRPr="00EB42D2">
        <w:rPr>
          <w:rFonts w:ascii="ITC Avant Garde" w:eastAsia="Times New Roman" w:hAnsi="ITC Avant Garde"/>
          <w:lang w:val="es-ES" w:eastAsia="es-ES"/>
        </w:rPr>
        <w:t>tarifas</w:t>
      </w:r>
      <w:r w:rsidR="00394255" w:rsidRPr="00EB42D2">
        <w:rPr>
          <w:rFonts w:ascii="ITC Avant Garde" w:eastAsia="Times New Roman" w:hAnsi="ITC Avant Garde"/>
          <w:lang w:val="es-ES" w:eastAsia="es-ES"/>
        </w:rPr>
        <w:t xml:space="preserve"> que no pudo convenir</w:t>
      </w:r>
      <w:r w:rsidR="00714D22" w:rsidRPr="00EB42D2">
        <w:rPr>
          <w:rFonts w:ascii="ITC Avant Garde" w:eastAsia="Times New Roman" w:hAnsi="ITC Avant Garde"/>
          <w:lang w:val="es-ES" w:eastAsia="es-ES"/>
        </w:rPr>
        <w:t xml:space="preserve"> por una parte</w:t>
      </w:r>
      <w:r w:rsidR="00394255" w:rsidRPr="00EB42D2">
        <w:rPr>
          <w:rFonts w:ascii="ITC Avant Garde" w:eastAsia="Times New Roman" w:hAnsi="ITC Avant Garde"/>
          <w:lang w:val="es-ES" w:eastAsia="es-ES"/>
        </w:rPr>
        <w:t xml:space="preserve"> con</w:t>
      </w:r>
      <w:r w:rsidR="000B6FE2" w:rsidRPr="00EB42D2">
        <w:rPr>
          <w:rFonts w:ascii="ITC Avant Garde" w:eastAsia="Times New Roman" w:hAnsi="ITC Avant Garde"/>
          <w:lang w:val="es-ES" w:eastAsia="es-ES"/>
        </w:rPr>
        <w:t xml:space="preserve"> </w:t>
      </w:r>
      <w:r w:rsidR="000C634E" w:rsidRPr="00EB42D2">
        <w:rPr>
          <w:rFonts w:ascii="ITC Avant Garde" w:eastAsia="Times New Roman" w:hAnsi="ITC Avant Garde"/>
          <w:lang w:val="es-ES" w:eastAsia="es-ES"/>
        </w:rPr>
        <w:t>EICSA</w:t>
      </w:r>
      <w:r w:rsidR="00714D22" w:rsidRPr="00EB42D2">
        <w:rPr>
          <w:rFonts w:ascii="ITC Avant Garde" w:eastAsia="Times New Roman" w:hAnsi="ITC Avant Garde"/>
          <w:lang w:val="es-ES" w:eastAsia="es-ES"/>
        </w:rPr>
        <w:t>,</w:t>
      </w:r>
      <w:r w:rsidR="007C64C4" w:rsidRPr="00EB42D2">
        <w:rPr>
          <w:rFonts w:ascii="ITC Avant Garde" w:eastAsia="Times New Roman" w:hAnsi="ITC Avant Garde"/>
          <w:lang w:val="es-ES" w:eastAsia="es-ES"/>
        </w:rPr>
        <w:t xml:space="preserve"> </w:t>
      </w:r>
      <w:r w:rsidR="00423F65" w:rsidRPr="00EB42D2">
        <w:rPr>
          <w:rFonts w:ascii="ITC Avant Garde" w:hAnsi="ITC Avant Garde"/>
          <w:bCs/>
        </w:rPr>
        <w:t xml:space="preserve">aplicables para </w:t>
      </w:r>
      <w:r w:rsidR="00966EF9" w:rsidRPr="00EB42D2">
        <w:rPr>
          <w:rFonts w:ascii="ITC Avant Garde" w:hAnsi="ITC Avant Garde"/>
          <w:bCs/>
        </w:rPr>
        <w:t>el periodo</w:t>
      </w:r>
      <w:r w:rsidR="00364E26" w:rsidRPr="00EB42D2">
        <w:rPr>
          <w:rFonts w:ascii="ITC Avant Garde" w:eastAsia="Times New Roman" w:hAnsi="ITC Avant Garde"/>
          <w:lang w:val="es-ES" w:eastAsia="es-ES"/>
        </w:rPr>
        <w:t xml:space="preserve"> </w:t>
      </w:r>
      <w:r w:rsidR="00036B81" w:rsidRPr="00EB42D2">
        <w:rPr>
          <w:rFonts w:ascii="ITC Avant Garde" w:eastAsia="Times New Roman" w:hAnsi="ITC Avant Garde"/>
          <w:lang w:val="es-ES" w:eastAsia="es-ES"/>
        </w:rPr>
        <w:t>201</w:t>
      </w:r>
      <w:r w:rsidR="004114EB" w:rsidRPr="00EB42D2">
        <w:rPr>
          <w:rFonts w:ascii="ITC Avant Garde" w:eastAsia="Times New Roman" w:hAnsi="ITC Avant Garde"/>
          <w:lang w:val="es-ES" w:eastAsia="es-ES"/>
        </w:rPr>
        <w:t>7</w:t>
      </w:r>
      <w:r w:rsidR="008A5B17" w:rsidRPr="00EB42D2">
        <w:rPr>
          <w:rFonts w:ascii="ITC Avant Garde" w:eastAsia="Times New Roman" w:hAnsi="ITC Avant Garde"/>
          <w:lang w:val="es-ES" w:eastAsia="es-ES"/>
        </w:rPr>
        <w:t xml:space="preserve"> </w:t>
      </w:r>
      <w:r w:rsidR="006276FF" w:rsidRPr="00EB42D2">
        <w:rPr>
          <w:rFonts w:ascii="ITC Avant Garde" w:eastAsia="Times New Roman" w:hAnsi="ITC Avant Garde"/>
          <w:lang w:val="es-ES" w:eastAsia="es-ES"/>
        </w:rPr>
        <w:t xml:space="preserve">(en </w:t>
      </w:r>
      <w:r w:rsidR="00423F65" w:rsidRPr="00EB42D2">
        <w:rPr>
          <w:rFonts w:ascii="ITC Avant Garde" w:eastAsia="Times New Roman" w:hAnsi="ITC Avant Garde"/>
          <w:lang w:val="es-ES" w:eastAsia="es-ES"/>
        </w:rPr>
        <w:t>lo sucesivo,</w:t>
      </w:r>
      <w:r w:rsidR="006276FF" w:rsidRPr="00EB42D2">
        <w:rPr>
          <w:rFonts w:ascii="ITC Avant Garde" w:eastAsia="Times New Roman" w:hAnsi="ITC Avant Garde"/>
          <w:lang w:val="es-ES" w:eastAsia="es-ES"/>
        </w:rPr>
        <w:t xml:space="preserve"> la </w:t>
      </w:r>
      <w:r w:rsidR="00F0642D" w:rsidRPr="00EB42D2">
        <w:rPr>
          <w:rFonts w:ascii="ITC Avant Garde" w:eastAsia="Times New Roman" w:hAnsi="ITC Avant Garde"/>
          <w:lang w:val="es-ES" w:eastAsia="es-ES"/>
        </w:rPr>
        <w:t>“</w:t>
      </w:r>
      <w:r w:rsidR="00394255" w:rsidRPr="00EB42D2">
        <w:rPr>
          <w:rFonts w:ascii="ITC Avant Garde" w:eastAsia="Times New Roman" w:hAnsi="ITC Avant Garde"/>
          <w:lang w:val="es-ES" w:eastAsia="es-ES"/>
        </w:rPr>
        <w:t>Solicitud</w:t>
      </w:r>
      <w:r w:rsidR="00F2559A" w:rsidRPr="00EB42D2">
        <w:rPr>
          <w:rFonts w:ascii="ITC Avant Garde" w:eastAsia="Times New Roman" w:hAnsi="ITC Avant Garde"/>
          <w:lang w:val="es-ES" w:eastAsia="es-ES"/>
        </w:rPr>
        <w:t xml:space="preserve"> </w:t>
      </w:r>
      <w:r w:rsidR="006276FF" w:rsidRPr="00EB42D2">
        <w:rPr>
          <w:rFonts w:ascii="ITC Avant Garde" w:eastAsia="Times New Roman" w:hAnsi="ITC Avant Garde"/>
          <w:lang w:val="es-ES" w:eastAsia="es-ES"/>
        </w:rPr>
        <w:t>de Resolución</w:t>
      </w:r>
      <w:r w:rsidR="00F0642D" w:rsidRPr="00EB42D2">
        <w:rPr>
          <w:rFonts w:ascii="ITC Avant Garde" w:eastAsia="Times New Roman" w:hAnsi="ITC Avant Garde"/>
          <w:lang w:val="es-ES" w:eastAsia="es-ES"/>
        </w:rPr>
        <w:t>”</w:t>
      </w:r>
      <w:r w:rsidR="00394255" w:rsidRPr="00EB42D2">
        <w:rPr>
          <w:rFonts w:ascii="ITC Avant Garde" w:eastAsia="Times New Roman" w:hAnsi="ITC Avant Garde"/>
          <w:lang w:val="es-ES" w:eastAsia="es-ES"/>
        </w:rPr>
        <w:t>).</w:t>
      </w:r>
    </w:p>
    <w:p w14:paraId="762736E4" w14:textId="77777777" w:rsidR="00EB42D2" w:rsidRPr="00EB42D2" w:rsidRDefault="00F0642D" w:rsidP="00EB42D2">
      <w:pPr>
        <w:spacing w:after="240"/>
        <w:ind w:left="720"/>
        <w:jc w:val="both"/>
        <w:rPr>
          <w:rFonts w:ascii="ITC Avant Garde" w:eastAsia="Times New Roman" w:hAnsi="ITC Avant Garde"/>
          <w:bCs/>
          <w:lang w:val="es-ES" w:eastAsia="es-ES"/>
        </w:rPr>
      </w:pPr>
      <w:r w:rsidRPr="00EB42D2">
        <w:rPr>
          <w:rFonts w:ascii="ITC Avant Garde" w:eastAsia="Times New Roman" w:hAnsi="ITC Avant Garde"/>
          <w:bCs/>
          <w:lang w:val="es-ES" w:eastAsia="es-ES"/>
        </w:rPr>
        <w:lastRenderedPageBreak/>
        <w:t>L</w:t>
      </w:r>
      <w:r w:rsidR="00B96CD6" w:rsidRPr="00EB42D2">
        <w:rPr>
          <w:rFonts w:ascii="ITC Avant Garde" w:eastAsia="Times New Roman" w:hAnsi="ITC Avant Garde"/>
          <w:bCs/>
          <w:lang w:val="es-ES" w:eastAsia="es-ES"/>
        </w:rPr>
        <w:t xml:space="preserve">a </w:t>
      </w:r>
      <w:r w:rsidR="006276FF" w:rsidRPr="00EB42D2">
        <w:rPr>
          <w:rFonts w:ascii="ITC Avant Garde" w:eastAsia="Times New Roman" w:hAnsi="ITC Avant Garde"/>
          <w:bCs/>
          <w:lang w:val="es-ES" w:eastAsia="es-ES"/>
        </w:rPr>
        <w:t>S</w:t>
      </w:r>
      <w:r w:rsidR="00966EF9" w:rsidRPr="00EB42D2">
        <w:rPr>
          <w:rFonts w:ascii="ITC Avant Garde" w:eastAsia="Times New Roman" w:hAnsi="ITC Avant Garde"/>
          <w:bCs/>
          <w:lang w:val="es-ES" w:eastAsia="es-ES"/>
        </w:rPr>
        <w:t>olicitud</w:t>
      </w:r>
      <w:r w:rsidR="006276FF" w:rsidRPr="00EB42D2">
        <w:rPr>
          <w:rFonts w:ascii="ITC Avant Garde" w:eastAsia="Times New Roman" w:hAnsi="ITC Avant Garde"/>
          <w:bCs/>
          <w:lang w:val="es-ES" w:eastAsia="es-ES"/>
        </w:rPr>
        <w:t xml:space="preserve"> de Resolución</w:t>
      </w:r>
      <w:r w:rsidR="00B96CD6" w:rsidRPr="00EB42D2">
        <w:rPr>
          <w:rFonts w:ascii="ITC Avant Garde" w:eastAsia="Times New Roman" w:hAnsi="ITC Avant Garde"/>
          <w:bCs/>
          <w:lang w:val="es-ES" w:eastAsia="es-ES"/>
        </w:rPr>
        <w:t xml:space="preserve"> </w:t>
      </w:r>
      <w:r w:rsidR="00D859C5" w:rsidRPr="00EB42D2">
        <w:rPr>
          <w:rFonts w:ascii="ITC Avant Garde" w:eastAsia="Times New Roman" w:hAnsi="ITC Avant Garde"/>
          <w:bCs/>
          <w:lang w:val="es-ES" w:eastAsia="es-ES"/>
        </w:rPr>
        <w:t xml:space="preserve">se </w:t>
      </w:r>
      <w:r w:rsidR="000B4D2F" w:rsidRPr="00EB42D2">
        <w:rPr>
          <w:rFonts w:ascii="ITC Avant Garde" w:eastAsia="Times New Roman" w:hAnsi="ITC Avant Garde"/>
          <w:bCs/>
          <w:lang w:val="es-ES" w:eastAsia="es-ES"/>
        </w:rPr>
        <w:t>admitió</w:t>
      </w:r>
      <w:r w:rsidR="00201286" w:rsidRPr="00EB42D2">
        <w:rPr>
          <w:rFonts w:ascii="ITC Avant Garde" w:eastAsia="Times New Roman" w:hAnsi="ITC Avant Garde"/>
          <w:bCs/>
          <w:lang w:val="es-ES" w:eastAsia="es-ES"/>
        </w:rPr>
        <w:t xml:space="preserve"> a</w:t>
      </w:r>
      <w:r w:rsidR="00D859C5" w:rsidRPr="00EB42D2">
        <w:rPr>
          <w:rFonts w:ascii="ITC Avant Garde" w:eastAsia="Times New Roman" w:hAnsi="ITC Avant Garde"/>
          <w:bCs/>
          <w:lang w:val="es-ES" w:eastAsia="es-ES"/>
        </w:rPr>
        <w:t xml:space="preserve"> trámite </w:t>
      </w:r>
      <w:r w:rsidR="00423F65" w:rsidRPr="00EB42D2">
        <w:rPr>
          <w:rFonts w:ascii="ITC Avant Garde" w:eastAsia="Times New Roman" w:hAnsi="ITC Avant Garde"/>
          <w:bCs/>
          <w:lang w:val="es-ES" w:eastAsia="es-ES"/>
        </w:rPr>
        <w:t xml:space="preserve">asignándole </w:t>
      </w:r>
      <w:r w:rsidR="000B4D2F" w:rsidRPr="00EB42D2">
        <w:rPr>
          <w:rFonts w:ascii="ITC Avant Garde" w:eastAsia="Times New Roman" w:hAnsi="ITC Avant Garde"/>
          <w:bCs/>
          <w:lang w:val="es-ES" w:eastAsia="es-ES"/>
        </w:rPr>
        <w:t xml:space="preserve">el </w:t>
      </w:r>
      <w:r w:rsidR="00B96CD6" w:rsidRPr="00EB42D2">
        <w:rPr>
          <w:rFonts w:ascii="ITC Avant Garde" w:eastAsia="Times New Roman" w:hAnsi="ITC Avant Garde"/>
          <w:bCs/>
          <w:lang w:val="es-ES" w:eastAsia="es-ES"/>
        </w:rPr>
        <w:t xml:space="preserve">número </w:t>
      </w:r>
      <w:r w:rsidR="00423F65" w:rsidRPr="00EB42D2">
        <w:rPr>
          <w:rFonts w:ascii="ITC Avant Garde" w:eastAsia="Times New Roman" w:hAnsi="ITC Avant Garde"/>
          <w:bCs/>
          <w:lang w:val="es-ES" w:eastAsia="es-ES"/>
        </w:rPr>
        <w:t xml:space="preserve">de expediente </w:t>
      </w:r>
      <w:r w:rsidR="000C54AE" w:rsidRPr="00EB42D2">
        <w:rPr>
          <w:rFonts w:ascii="ITC Avant Garde" w:eastAsia="Times New Roman" w:hAnsi="ITC Avant Garde"/>
          <w:b/>
          <w:bCs/>
          <w:lang w:val="es-ES" w:eastAsia="es-ES"/>
        </w:rPr>
        <w:t>IFT</w:t>
      </w:r>
      <w:r w:rsidR="00B96CD6" w:rsidRPr="00EB42D2">
        <w:rPr>
          <w:rFonts w:ascii="ITC Avant Garde" w:eastAsia="Times New Roman" w:hAnsi="ITC Avant Garde"/>
          <w:b/>
          <w:bCs/>
          <w:lang w:val="es-ES" w:eastAsia="es-ES"/>
        </w:rPr>
        <w:t>/221/UPR/DG-RIRST/</w:t>
      </w:r>
      <w:r w:rsidR="000B4D2F" w:rsidRPr="00EB42D2">
        <w:rPr>
          <w:rFonts w:ascii="ITC Avant Garde" w:eastAsia="Times New Roman" w:hAnsi="ITC Avant Garde"/>
          <w:b/>
          <w:bCs/>
          <w:lang w:val="es-ES" w:eastAsia="es-ES"/>
        </w:rPr>
        <w:t>11</w:t>
      </w:r>
      <w:r w:rsidR="000C634E" w:rsidRPr="00EB42D2">
        <w:rPr>
          <w:rFonts w:ascii="ITC Avant Garde" w:eastAsia="Times New Roman" w:hAnsi="ITC Avant Garde"/>
          <w:b/>
          <w:bCs/>
          <w:lang w:val="es-ES" w:eastAsia="es-ES"/>
        </w:rPr>
        <w:t>8</w:t>
      </w:r>
      <w:r w:rsidR="000B4D2F" w:rsidRPr="00EB42D2">
        <w:rPr>
          <w:rFonts w:ascii="ITC Avant Garde" w:eastAsia="Times New Roman" w:hAnsi="ITC Avant Garde"/>
          <w:b/>
          <w:bCs/>
          <w:lang w:val="es-ES" w:eastAsia="es-ES"/>
        </w:rPr>
        <w:t>.140716</w:t>
      </w:r>
      <w:r w:rsidR="00B96CD6" w:rsidRPr="00EB42D2">
        <w:rPr>
          <w:rFonts w:ascii="ITC Avant Garde" w:eastAsia="Times New Roman" w:hAnsi="ITC Avant Garde"/>
          <w:b/>
          <w:bCs/>
          <w:lang w:val="es-ES" w:eastAsia="es-ES"/>
        </w:rPr>
        <w:t>/ITX</w:t>
      </w:r>
      <w:r w:rsidR="000C54AE" w:rsidRPr="00EB42D2">
        <w:rPr>
          <w:rFonts w:ascii="ITC Avant Garde" w:eastAsia="Times New Roman" w:hAnsi="ITC Avant Garde"/>
          <w:b/>
          <w:bCs/>
          <w:lang w:val="es-ES" w:eastAsia="es-ES"/>
        </w:rPr>
        <w:t xml:space="preserve">. </w:t>
      </w:r>
      <w:r w:rsidR="00D859C5" w:rsidRPr="00EB42D2">
        <w:rPr>
          <w:rFonts w:ascii="ITC Avant Garde" w:eastAsia="Times New Roman" w:hAnsi="ITC Avant Garde"/>
          <w:bCs/>
          <w:lang w:val="es-ES" w:eastAsia="es-ES"/>
        </w:rPr>
        <w:t xml:space="preserve">El </w:t>
      </w:r>
      <w:r w:rsidR="00966EF9" w:rsidRPr="00EB42D2">
        <w:rPr>
          <w:rFonts w:ascii="ITC Avant Garde" w:eastAsia="Times New Roman" w:hAnsi="ITC Avant Garde"/>
          <w:bCs/>
          <w:lang w:val="es-ES" w:eastAsia="es-ES"/>
        </w:rPr>
        <w:t xml:space="preserve">procedimiento </w:t>
      </w:r>
      <w:r w:rsidR="00D859C5" w:rsidRPr="00EB42D2">
        <w:rPr>
          <w:rFonts w:ascii="ITC Avant Garde" w:eastAsia="Times New Roman" w:hAnsi="ITC Avant Garde"/>
          <w:bCs/>
          <w:lang w:val="es-ES" w:eastAsia="es-ES"/>
        </w:rPr>
        <w:t xml:space="preserve">fue sustanciado </w:t>
      </w:r>
      <w:r w:rsidR="008F12A7" w:rsidRPr="00EB42D2">
        <w:rPr>
          <w:rFonts w:ascii="ITC Avant Garde" w:eastAsia="Times New Roman" w:hAnsi="ITC Avant Garde"/>
          <w:bCs/>
          <w:lang w:val="es-ES" w:eastAsia="es-ES"/>
        </w:rPr>
        <w:t>en todas</w:t>
      </w:r>
      <w:r w:rsidR="00142697" w:rsidRPr="00EB42D2">
        <w:rPr>
          <w:rFonts w:ascii="ITC Avant Garde" w:eastAsia="Times New Roman" w:hAnsi="ITC Avant Garde"/>
          <w:bCs/>
          <w:lang w:val="es-ES" w:eastAsia="es-ES"/>
        </w:rPr>
        <w:t xml:space="preserve"> y cada una de</w:t>
      </w:r>
      <w:r w:rsidR="008F12A7" w:rsidRPr="00EB42D2">
        <w:rPr>
          <w:rFonts w:ascii="ITC Avant Garde" w:eastAsia="Times New Roman" w:hAnsi="ITC Avant Garde"/>
          <w:bCs/>
          <w:lang w:val="es-ES" w:eastAsia="es-ES"/>
        </w:rPr>
        <w:t xml:space="preserve"> sus etapas </w:t>
      </w:r>
      <w:r w:rsidR="00966EF9" w:rsidRPr="00EB42D2">
        <w:rPr>
          <w:rFonts w:ascii="ITC Avant Garde" w:eastAsia="Times New Roman" w:hAnsi="ITC Avant Garde"/>
          <w:bCs/>
          <w:lang w:val="es-ES" w:eastAsia="es-ES"/>
        </w:rPr>
        <w:t xml:space="preserve">en </w:t>
      </w:r>
      <w:r w:rsidR="00142697" w:rsidRPr="00EB42D2">
        <w:rPr>
          <w:rFonts w:ascii="ITC Avant Garde" w:eastAsia="Times New Roman" w:hAnsi="ITC Avant Garde"/>
          <w:bCs/>
          <w:lang w:val="es-ES" w:eastAsia="es-ES"/>
        </w:rPr>
        <w:t>estricto apego a lo establecido en el</w:t>
      </w:r>
      <w:r w:rsidR="00966EF9" w:rsidRPr="00EB42D2">
        <w:rPr>
          <w:rFonts w:ascii="ITC Avant Garde" w:eastAsia="Times New Roman" w:hAnsi="ITC Avant Garde"/>
          <w:bCs/>
          <w:lang w:val="es-ES" w:eastAsia="es-ES"/>
        </w:rPr>
        <w:t xml:space="preserve"> artículo 129 de la LF</w:t>
      </w:r>
      <w:r w:rsidR="006276FF" w:rsidRPr="00EB42D2">
        <w:rPr>
          <w:rFonts w:ascii="ITC Avant Garde" w:eastAsia="Times New Roman" w:hAnsi="ITC Avant Garde"/>
          <w:bCs/>
          <w:lang w:val="es-ES" w:eastAsia="es-ES"/>
        </w:rPr>
        <w:t>TyR</w:t>
      </w:r>
      <w:r w:rsidR="00464CFB" w:rsidRPr="00EB42D2">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7D4B48E0" w14:textId="77777777" w:rsidR="00EB42D2" w:rsidRPr="00EB42D2" w:rsidRDefault="000B4D2F" w:rsidP="00EB42D2">
      <w:pPr>
        <w:spacing w:after="240"/>
        <w:ind w:left="709" w:right="-1"/>
        <w:jc w:val="both"/>
        <w:rPr>
          <w:rFonts w:ascii="ITC Avant Garde" w:eastAsia="Times New Roman" w:hAnsi="ITC Avant Garde"/>
          <w:lang w:val="es-ES" w:eastAsia="es-ES"/>
        </w:rPr>
      </w:pPr>
      <w:bookmarkStart w:id="1" w:name="HipótesisNormativa"/>
      <w:bookmarkEnd w:id="0"/>
      <w:r w:rsidRPr="00EB42D2">
        <w:rPr>
          <w:rFonts w:ascii="ITC Avant Garde" w:eastAsia="Times New Roman" w:hAnsi="ITC Avant Garde"/>
          <w:bCs/>
          <w:lang w:val="es-ES" w:eastAsia="es-ES"/>
        </w:rPr>
        <w:t xml:space="preserve">Es así que con fecha </w:t>
      </w:r>
      <w:r w:rsidR="00BD3575" w:rsidRPr="00EB42D2">
        <w:rPr>
          <w:rFonts w:ascii="ITC Avant Garde" w:eastAsia="Times New Roman" w:hAnsi="ITC Avant Garde"/>
          <w:bCs/>
          <w:lang w:val="es-ES" w:eastAsia="es-ES"/>
        </w:rPr>
        <w:t>11 de octubre de 2016</w:t>
      </w:r>
      <w:r w:rsidRPr="00EB42D2">
        <w:rPr>
          <w:rFonts w:ascii="ITC Avant Garde" w:eastAsia="Times New Roman" w:hAnsi="ITC Avant Garde"/>
          <w:bCs/>
          <w:lang w:val="es-ES" w:eastAsia="es-ES"/>
        </w:rPr>
        <w:t xml:space="preserve"> </w:t>
      </w:r>
      <w:r w:rsidRPr="00EB42D2">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0E1CB3DE" w14:textId="77777777" w:rsidR="00EB42D2" w:rsidRPr="00EB42D2" w:rsidRDefault="00423F65" w:rsidP="00EB42D2">
      <w:pPr>
        <w:pStyle w:val="Prrafodelista"/>
        <w:numPr>
          <w:ilvl w:val="0"/>
          <w:numId w:val="1"/>
        </w:numPr>
        <w:spacing w:after="240" w:line="276" w:lineRule="auto"/>
        <w:rPr>
          <w:rFonts w:ascii="ITC Avant Garde" w:eastAsia="Calibri" w:hAnsi="ITC Avant Garde"/>
          <w:bCs/>
          <w:szCs w:val="22"/>
          <w:lang w:val="es-ES"/>
        </w:rPr>
      </w:pPr>
      <w:r w:rsidRPr="00EB42D2">
        <w:rPr>
          <w:rFonts w:ascii="ITC Avant Garde" w:eastAsia="Calibri" w:hAnsi="ITC Avant Garde"/>
          <w:b/>
          <w:bCs/>
          <w:szCs w:val="22"/>
          <w:lang w:val="es-ES"/>
        </w:rPr>
        <w:t xml:space="preserve">Publicación de las Condiciones Técnicas Mínimas y las Tarifas de Interconexión para el año 2017. </w:t>
      </w:r>
      <w:r w:rsidRPr="00EB42D2">
        <w:rPr>
          <w:rFonts w:ascii="ITC Avant Garde" w:eastAsia="Calibri" w:hAnsi="ITC Avant Garde"/>
          <w:bCs/>
          <w:szCs w:val="22"/>
          <w:lang w:val="es-ES"/>
        </w:rPr>
        <w:t xml:space="preserve">El </w:t>
      </w:r>
      <w:r w:rsidR="00442B48" w:rsidRPr="00EB42D2">
        <w:rPr>
          <w:rFonts w:ascii="ITC Avant Garde" w:eastAsia="Calibri" w:hAnsi="ITC Avant Garde"/>
          <w:bCs/>
          <w:szCs w:val="22"/>
          <w:lang w:val="es-ES"/>
        </w:rPr>
        <w:t>3</w:t>
      </w:r>
      <w:r w:rsidRPr="00EB42D2">
        <w:rPr>
          <w:rFonts w:ascii="ITC Avant Garde" w:eastAsia="Calibri" w:hAnsi="ITC Avant Garde"/>
          <w:bCs/>
          <w:szCs w:val="22"/>
          <w:lang w:val="es-ES"/>
        </w:rPr>
        <w:t xml:space="preserve"> de octubre de </w:t>
      </w:r>
      <w:r w:rsidR="00BB3227" w:rsidRPr="00EB42D2">
        <w:rPr>
          <w:rFonts w:ascii="ITC Avant Garde" w:eastAsia="Calibri" w:hAnsi="ITC Avant Garde"/>
          <w:bCs/>
          <w:szCs w:val="22"/>
          <w:lang w:val="es-ES"/>
        </w:rPr>
        <w:t xml:space="preserve">2016 </w:t>
      </w:r>
      <w:r w:rsidRPr="00EB42D2">
        <w:rPr>
          <w:rFonts w:ascii="ITC Avant Garde" w:eastAsia="Calibri" w:hAnsi="ITC Avant Garde"/>
          <w:bCs/>
          <w:szCs w:val="22"/>
          <w:lang w:val="es-ES"/>
        </w:rPr>
        <w:t xml:space="preserve">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w:t>
      </w:r>
      <w:r w:rsidR="00D74A16" w:rsidRPr="00EB42D2">
        <w:rPr>
          <w:rFonts w:ascii="ITC Avant Garde" w:eastAsia="Calibri" w:hAnsi="ITC Avant Garde"/>
          <w:bCs/>
          <w:szCs w:val="22"/>
          <w:lang w:val="es-ES"/>
        </w:rPr>
        <w:t>CTM</w:t>
      </w:r>
      <w:r w:rsidR="00442B48" w:rsidRPr="00EB42D2">
        <w:rPr>
          <w:rFonts w:ascii="ITC Avant Garde" w:eastAsia="Calibri" w:hAnsi="ITC Avant Garde"/>
          <w:bCs/>
          <w:szCs w:val="22"/>
          <w:lang w:val="es-ES"/>
        </w:rPr>
        <w:t xml:space="preserve"> y </w:t>
      </w:r>
      <w:r w:rsidRPr="00EB42D2">
        <w:rPr>
          <w:rFonts w:ascii="ITC Avant Garde" w:eastAsia="Calibri" w:hAnsi="ITC Avant Garde"/>
          <w:bCs/>
          <w:szCs w:val="22"/>
          <w:lang w:val="es-ES"/>
        </w:rPr>
        <w:t>Tarifas 2017”).</w:t>
      </w:r>
    </w:p>
    <w:p w14:paraId="1FCB5A39" w14:textId="77777777" w:rsidR="00EB42D2" w:rsidRPr="00EB42D2" w:rsidRDefault="00F11878" w:rsidP="00EB42D2">
      <w:pPr>
        <w:widowControl w:val="0"/>
        <w:spacing w:after="240"/>
        <w:jc w:val="both"/>
        <w:rPr>
          <w:rFonts w:ascii="ITC Avant Garde" w:eastAsia="Times New Roman" w:hAnsi="ITC Avant Garde"/>
          <w:lang w:eastAsia="es-ES"/>
        </w:rPr>
      </w:pPr>
      <w:r w:rsidRPr="00EB42D2">
        <w:rPr>
          <w:rFonts w:ascii="ITC Avant Garde" w:eastAsia="Times New Roman" w:hAnsi="ITC Avant Garde"/>
          <w:lang w:eastAsia="es-ES"/>
        </w:rPr>
        <w:t>En virtud de los referidos Antecedentes, y</w:t>
      </w:r>
    </w:p>
    <w:p w14:paraId="56C4D0A0" w14:textId="77777777" w:rsidR="00EB42D2" w:rsidRPr="00EB42D2" w:rsidRDefault="00F11878" w:rsidP="00EB42D2">
      <w:pPr>
        <w:pStyle w:val="Ttulo2"/>
        <w:spacing w:after="240"/>
        <w:jc w:val="center"/>
        <w:rPr>
          <w:rFonts w:ascii="ITC Avant Garde" w:hAnsi="ITC Avant Garde"/>
          <w:b w:val="0"/>
          <w:bCs/>
        </w:rPr>
      </w:pPr>
      <w:r w:rsidRPr="00EB42D2">
        <w:rPr>
          <w:rFonts w:ascii="ITC Avant Garde" w:hAnsi="ITC Avant Garde"/>
        </w:rPr>
        <w:t>CONSIDERANDO</w:t>
      </w:r>
    </w:p>
    <w:p w14:paraId="0E323E70" w14:textId="77777777" w:rsidR="00EB42D2" w:rsidRPr="00EB42D2" w:rsidRDefault="00BD3575" w:rsidP="00EB42D2">
      <w:pPr>
        <w:pStyle w:val="Textoindependiente"/>
        <w:spacing w:after="240" w:line="276" w:lineRule="auto"/>
        <w:rPr>
          <w:rFonts w:ascii="ITC Avant Garde" w:hAnsi="ITC Avant Garde" w:cs="Arial"/>
          <w:bCs/>
          <w:szCs w:val="22"/>
        </w:rPr>
      </w:pPr>
      <w:bookmarkStart w:id="2" w:name="primero"/>
      <w:bookmarkStart w:id="3" w:name="tercero2"/>
      <w:r w:rsidRPr="00EB42D2">
        <w:rPr>
          <w:rFonts w:ascii="ITC Avant Garde" w:hAnsi="ITC Avant Garde" w:cs="Arial"/>
          <w:b/>
          <w:bCs/>
          <w:lang w:val="es-ES"/>
        </w:rPr>
        <w:t>PRIMERO.- Competencia del Instituto</w:t>
      </w:r>
      <w:r w:rsidRPr="00EB42D2">
        <w:rPr>
          <w:rFonts w:ascii="ITC Avant Garde" w:hAnsi="ITC Avant Garde" w:cs="Arial"/>
          <w:bCs/>
          <w:lang w:val="es-ES"/>
        </w:rPr>
        <w:t xml:space="preserve">. </w:t>
      </w:r>
      <w:r w:rsidRPr="00EB42D2">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EB42D2">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6A2FD52" w14:textId="77777777" w:rsidR="00EB42D2" w:rsidRPr="00EB42D2" w:rsidRDefault="00BD3575" w:rsidP="00EB42D2">
      <w:pPr>
        <w:pStyle w:val="Textoindependiente"/>
        <w:spacing w:after="240" w:line="276" w:lineRule="auto"/>
        <w:rPr>
          <w:rFonts w:ascii="ITC Avant Garde" w:hAnsi="ITC Avant Garde" w:cs="Arial"/>
          <w:bCs/>
          <w:szCs w:val="22"/>
        </w:rPr>
      </w:pPr>
      <w:r w:rsidRPr="00EB42D2">
        <w:rPr>
          <w:rFonts w:ascii="ITC Avant Garde" w:hAnsi="ITC Avant Garde" w:cs="Arial"/>
          <w:bCs/>
          <w:szCs w:val="22"/>
          <w:lang w:val="es-ES"/>
        </w:rPr>
        <w:t xml:space="preserve">Con fundamento </w:t>
      </w:r>
      <w:r w:rsidRPr="00EB42D2">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05C1E91" w14:textId="77777777" w:rsidR="00EB42D2" w:rsidRPr="00EB42D2" w:rsidRDefault="00BD3575" w:rsidP="00EB42D2">
      <w:pPr>
        <w:pStyle w:val="Textoindependiente"/>
        <w:spacing w:after="240" w:line="276" w:lineRule="auto"/>
        <w:rPr>
          <w:rFonts w:ascii="ITC Avant Garde" w:hAnsi="ITC Avant Garde"/>
          <w:szCs w:val="22"/>
        </w:rPr>
      </w:pPr>
      <w:r w:rsidRPr="00EB42D2">
        <w:rPr>
          <w:rFonts w:ascii="ITC Avant Garde" w:hAnsi="ITC Avant Garde"/>
          <w:szCs w:val="22"/>
        </w:rPr>
        <w:t xml:space="preserve">Por lo anterior y de conformidad con lo dispuesto en los artículos indicados, el Pleno del Instituto es competente para emitir la presente Resolución que determina los términos, </w:t>
      </w:r>
      <w:r w:rsidRPr="00EB42D2">
        <w:rPr>
          <w:rFonts w:ascii="ITC Avant Garde" w:hAnsi="ITC Avant Garde"/>
          <w:szCs w:val="22"/>
        </w:rPr>
        <w:lastRenderedPageBreak/>
        <w:t xml:space="preserve">condiciones y tarifas de interconexión no convenidas entre los concesionarios </w:t>
      </w:r>
      <w:r w:rsidR="00BB3227" w:rsidRPr="00EB42D2">
        <w:rPr>
          <w:rFonts w:ascii="ITC Avant Garde" w:hAnsi="ITC Avant Garde"/>
          <w:szCs w:val="22"/>
        </w:rPr>
        <w:t xml:space="preserve">que operan </w:t>
      </w:r>
      <w:r w:rsidRPr="00EB42D2">
        <w:rPr>
          <w:rFonts w:ascii="ITC Avant Garde" w:hAnsi="ITC Avant Garde"/>
          <w:szCs w:val="22"/>
        </w:rPr>
        <w:t>redes públicas de telecomunicaciones, que forman parte en el presente procedimiento.</w:t>
      </w:r>
      <w:bookmarkEnd w:id="2"/>
    </w:p>
    <w:p w14:paraId="17C28D5E" w14:textId="77777777" w:rsidR="00EB42D2" w:rsidRPr="00EB42D2" w:rsidRDefault="00BD3575" w:rsidP="00EB42D2">
      <w:pPr>
        <w:autoSpaceDE w:val="0"/>
        <w:autoSpaceDN w:val="0"/>
        <w:spacing w:after="240"/>
        <w:jc w:val="both"/>
        <w:rPr>
          <w:rFonts w:ascii="ITC Avant Garde" w:hAnsi="ITC Avant Garde"/>
          <w:lang w:eastAsia="es-ES"/>
        </w:rPr>
      </w:pPr>
      <w:bookmarkStart w:id="4" w:name="segundo"/>
      <w:r w:rsidRPr="00EB42D2">
        <w:rPr>
          <w:rFonts w:ascii="ITC Avant Garde" w:eastAsia="Times New Roman" w:hAnsi="ITC Avant Garde" w:cs="Arial"/>
          <w:b/>
          <w:szCs w:val="20"/>
        </w:rPr>
        <w:t>SEGUNDO.- Importancia y obligatoriedad de la interconexión e Interés Público.-</w:t>
      </w:r>
      <w:r w:rsidRPr="00EB42D2">
        <w:rPr>
          <w:rFonts w:ascii="ITC Avant Garde" w:eastAsia="Times New Roman" w:hAnsi="ITC Avant Garde" w:cs="Arial"/>
          <w:szCs w:val="20"/>
        </w:rPr>
        <w:t xml:space="preserve"> </w:t>
      </w:r>
      <w:r w:rsidRPr="00EB42D2">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9B50FA0" w14:textId="77777777" w:rsidR="00EB42D2" w:rsidRPr="00EB42D2" w:rsidRDefault="00BD3575" w:rsidP="00EB42D2">
      <w:pPr>
        <w:pStyle w:val="Textoindependiente"/>
        <w:spacing w:after="240" w:line="276" w:lineRule="auto"/>
        <w:rPr>
          <w:rFonts w:ascii="ITC Avant Garde" w:hAnsi="ITC Avant Garde"/>
        </w:rPr>
      </w:pPr>
      <w:r w:rsidRPr="00EB42D2">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4C007951" w14:textId="77777777" w:rsidR="00EB42D2" w:rsidRPr="00EB42D2" w:rsidRDefault="00BD3575" w:rsidP="00EB42D2">
      <w:pPr>
        <w:pStyle w:val="Textoindependiente"/>
        <w:spacing w:after="240" w:line="276" w:lineRule="auto"/>
        <w:rPr>
          <w:rFonts w:ascii="ITC Avant Garde" w:hAnsi="ITC Avant Garde" w:cs="Arial"/>
          <w:szCs w:val="22"/>
        </w:rPr>
      </w:pPr>
      <w:r w:rsidRPr="00EB42D2">
        <w:rPr>
          <w:rFonts w:ascii="ITC Avant Garde" w:hAnsi="ITC Avant Garde" w:cs="Arial"/>
          <w:szCs w:val="22"/>
        </w:rPr>
        <w:t xml:space="preserve">Por ello, el legislador estableció (i) la obligación de todos los concesionarios </w:t>
      </w:r>
      <w:r w:rsidR="00BB3227" w:rsidRPr="00EB42D2">
        <w:rPr>
          <w:rFonts w:ascii="ITC Avant Garde" w:hAnsi="ITC Avant Garde" w:cs="Arial"/>
          <w:szCs w:val="22"/>
        </w:rPr>
        <w:t xml:space="preserve">que operan </w:t>
      </w:r>
      <w:r w:rsidRPr="00EB42D2">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BB3227" w:rsidRPr="00EB42D2">
        <w:rPr>
          <w:rFonts w:ascii="ITC Avant Garde" w:hAnsi="ITC Avant Garde" w:cs="Arial"/>
          <w:szCs w:val="22"/>
        </w:rPr>
        <w:t xml:space="preserve">que operan </w:t>
      </w:r>
      <w:r w:rsidRPr="00EB42D2">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732E063D" w14:textId="77777777" w:rsidR="00EB42D2" w:rsidRPr="00EB42D2" w:rsidRDefault="00BD3575" w:rsidP="00EB42D2">
      <w:pPr>
        <w:pStyle w:val="Textoindependiente"/>
        <w:spacing w:after="240" w:line="276" w:lineRule="auto"/>
        <w:rPr>
          <w:rFonts w:ascii="ITC Avant Garde" w:hAnsi="ITC Avant Garde" w:cs="Arial"/>
          <w:szCs w:val="22"/>
        </w:rPr>
      </w:pPr>
      <w:r w:rsidRPr="00EB42D2">
        <w:rPr>
          <w:rFonts w:ascii="ITC Avant Garde" w:hAnsi="ITC Avant Garde" w:cs="Arial"/>
        </w:rPr>
        <w:t>Ahora bien,</w:t>
      </w:r>
      <w:bookmarkEnd w:id="4"/>
      <w:r w:rsidRPr="00EB42D2">
        <w:rPr>
          <w:rFonts w:ascii="ITC Avant Garde" w:hAnsi="ITC Avant Garde" w:cs="Arial"/>
        </w:rPr>
        <w:t xml:space="preserve"> </w:t>
      </w:r>
      <w:bookmarkStart w:id="5" w:name="tercero1"/>
      <w:r w:rsidRPr="00EB42D2">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BB3227" w:rsidRPr="00EB42D2">
        <w:rPr>
          <w:rFonts w:ascii="ITC Avant Garde" w:hAnsi="ITC Avant Garde" w:cs="Arial"/>
          <w:szCs w:val="22"/>
        </w:rPr>
        <w:t xml:space="preserve">que operan </w:t>
      </w:r>
      <w:r w:rsidRPr="00EB42D2">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1C066E74" w14:textId="77777777" w:rsidR="00EB42D2" w:rsidRPr="00EB42D2" w:rsidRDefault="00BD3575" w:rsidP="00EB42D2">
      <w:pPr>
        <w:pStyle w:val="Textoindependiente"/>
        <w:spacing w:after="240" w:line="276" w:lineRule="auto"/>
        <w:rPr>
          <w:rFonts w:ascii="ITC Avant Garde" w:hAnsi="ITC Avant Garde" w:cs="Arial"/>
          <w:szCs w:val="22"/>
        </w:rPr>
      </w:pPr>
      <w:r w:rsidRPr="00EB42D2">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EB42D2">
        <w:rPr>
          <w:rFonts w:ascii="ITC Avant Garde" w:hAnsi="ITC Avant Garde" w:cs="Arial"/>
        </w:rPr>
        <w:lastRenderedPageBreak/>
        <w:t xml:space="preserve">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EB42D2">
        <w:rPr>
          <w:rFonts w:ascii="ITC Avant Garde" w:hAnsi="ITC Avant Garde" w:cs="Arial"/>
          <w:szCs w:val="22"/>
        </w:rPr>
        <w:t>concluido el periodo de sesenta (60) días naturales.</w:t>
      </w:r>
    </w:p>
    <w:p w14:paraId="3F725290" w14:textId="77777777" w:rsidR="00EB42D2" w:rsidRPr="00EB42D2" w:rsidRDefault="00EE47D1" w:rsidP="00EB42D2">
      <w:pPr>
        <w:pStyle w:val="Textoindependiente"/>
        <w:spacing w:after="240" w:line="276" w:lineRule="auto"/>
        <w:rPr>
          <w:rFonts w:ascii="ITC Avant Garde" w:hAnsi="ITC Avant Garde" w:cs="Arial"/>
          <w:spacing w:val="-2"/>
          <w:szCs w:val="22"/>
          <w:lang w:val="es-ES"/>
        </w:rPr>
      </w:pPr>
      <w:r w:rsidRPr="00EB42D2">
        <w:rPr>
          <w:rFonts w:ascii="ITC Avant Garde" w:hAnsi="ITC Avant Garde" w:cs="Arial"/>
          <w:spacing w:val="-2"/>
          <w:szCs w:val="22"/>
        </w:rPr>
        <w:t xml:space="preserve">En consecuencia, en autos está acreditado que </w:t>
      </w:r>
      <w:r w:rsidR="00720F87" w:rsidRPr="00EB42D2">
        <w:rPr>
          <w:rFonts w:ascii="ITC Avant Garde" w:hAnsi="ITC Avant Garde" w:cs="Arial"/>
          <w:spacing w:val="-2"/>
          <w:szCs w:val="22"/>
        </w:rPr>
        <w:t>Telcel</w:t>
      </w:r>
      <w:r w:rsidR="0064263A" w:rsidRPr="00EB42D2">
        <w:rPr>
          <w:rFonts w:ascii="ITC Avant Garde" w:hAnsi="ITC Avant Garde" w:cs="Arial"/>
          <w:spacing w:val="-2"/>
          <w:szCs w:val="22"/>
        </w:rPr>
        <w:t xml:space="preserve"> </w:t>
      </w:r>
      <w:r w:rsidR="003F6727" w:rsidRPr="00EB42D2">
        <w:rPr>
          <w:rFonts w:ascii="ITC Avant Garde" w:hAnsi="ITC Avant Garde" w:cs="Arial"/>
          <w:bCs/>
          <w:snapToGrid w:val="0"/>
        </w:rPr>
        <w:t>y</w:t>
      </w:r>
      <w:r w:rsidR="00037889" w:rsidRPr="00EB42D2">
        <w:rPr>
          <w:rFonts w:ascii="ITC Avant Garde" w:hAnsi="ITC Avant Garde"/>
          <w:lang w:val="es-ES" w:eastAsia="es-ES"/>
        </w:rPr>
        <w:t xml:space="preserve"> </w:t>
      </w:r>
      <w:r w:rsidR="000C634E" w:rsidRPr="00EB42D2">
        <w:rPr>
          <w:rFonts w:ascii="ITC Avant Garde" w:hAnsi="ITC Avant Garde"/>
          <w:lang w:val="es-ES" w:eastAsia="es-ES"/>
        </w:rPr>
        <w:t>EICSA</w:t>
      </w:r>
      <w:r w:rsidR="0064263A" w:rsidRPr="00EB42D2">
        <w:rPr>
          <w:rFonts w:ascii="ITC Avant Garde" w:hAnsi="ITC Avant Garde"/>
          <w:lang w:val="es-ES" w:eastAsia="es-ES"/>
        </w:rPr>
        <w:t xml:space="preserve"> </w:t>
      </w:r>
      <w:r w:rsidRPr="00EB42D2">
        <w:rPr>
          <w:rFonts w:ascii="ITC Avant Garde" w:hAnsi="ITC Avant Garde" w:cs="Arial"/>
          <w:spacing w:val="-2"/>
          <w:szCs w:val="22"/>
        </w:rPr>
        <w:t xml:space="preserve">tienen el carácter de </w:t>
      </w:r>
      <w:r w:rsidR="007C373C" w:rsidRPr="00EB42D2">
        <w:rPr>
          <w:rFonts w:ascii="ITC Avant Garde" w:hAnsi="ITC Avant Garde" w:cs="Arial"/>
          <w:spacing w:val="-2"/>
          <w:szCs w:val="22"/>
        </w:rPr>
        <w:t>concesionarios que operan una</w:t>
      </w:r>
      <w:r w:rsidRPr="00EB42D2">
        <w:rPr>
          <w:rFonts w:ascii="ITC Avant Garde" w:hAnsi="ITC Avant Garde" w:cs="Arial"/>
          <w:spacing w:val="-2"/>
          <w:szCs w:val="22"/>
        </w:rPr>
        <w:t xml:space="preserve"> red pública de telecomunicaciones y que</w:t>
      </w:r>
      <w:r w:rsidR="0064263A" w:rsidRPr="00EB42D2">
        <w:rPr>
          <w:rFonts w:ascii="ITC Avant Garde" w:hAnsi="ITC Avant Garde" w:cs="Arial"/>
          <w:spacing w:val="-2"/>
          <w:szCs w:val="22"/>
        </w:rPr>
        <w:t xml:space="preserve"> </w:t>
      </w:r>
      <w:r w:rsidR="00720F87" w:rsidRPr="00EB42D2">
        <w:rPr>
          <w:rFonts w:ascii="ITC Avant Garde" w:hAnsi="ITC Avant Garde" w:cs="Arial"/>
          <w:spacing w:val="-2"/>
        </w:rPr>
        <w:t>Telcel</w:t>
      </w:r>
      <w:r w:rsidRPr="00EB42D2">
        <w:rPr>
          <w:rFonts w:ascii="ITC Avant Garde" w:hAnsi="ITC Avant Garde" w:cs="Arial"/>
          <w:spacing w:val="-2"/>
          <w:szCs w:val="22"/>
        </w:rPr>
        <w:t xml:space="preserve"> requirió a </w:t>
      </w:r>
      <w:r w:rsidR="000C634E" w:rsidRPr="00EB42D2">
        <w:rPr>
          <w:rFonts w:ascii="ITC Avant Garde" w:hAnsi="ITC Avant Garde"/>
          <w:lang w:val="es-ES" w:eastAsia="es-ES"/>
        </w:rPr>
        <w:t>EICSA</w:t>
      </w:r>
      <w:r w:rsidR="000C634E" w:rsidRPr="00EB42D2">
        <w:rPr>
          <w:rFonts w:ascii="ITC Avant Garde" w:hAnsi="ITC Avant Garde" w:cs="Arial"/>
          <w:spacing w:val="-2"/>
          <w:szCs w:val="22"/>
        </w:rPr>
        <w:t xml:space="preserve"> </w:t>
      </w:r>
      <w:r w:rsidRPr="00EB42D2">
        <w:rPr>
          <w:rFonts w:ascii="ITC Avant Garde" w:hAnsi="ITC Avant Garde" w:cs="Arial"/>
          <w:spacing w:val="-2"/>
          <w:szCs w:val="22"/>
        </w:rPr>
        <w:t>el inicio de negociaciones para convenir los términos, condiciones y tarifas de interconexión,</w:t>
      </w:r>
      <w:r w:rsidR="002755DF" w:rsidRPr="00EB42D2">
        <w:rPr>
          <w:rFonts w:ascii="ITC Avant Garde" w:hAnsi="ITC Avant Garde" w:cs="Arial"/>
          <w:spacing w:val="-2"/>
          <w:szCs w:val="22"/>
        </w:rPr>
        <w:t xml:space="preserve"> </w:t>
      </w:r>
      <w:r w:rsidRPr="00EB42D2">
        <w:rPr>
          <w:rFonts w:ascii="ITC Avant Garde" w:hAnsi="ITC Avant Garde" w:cs="Arial"/>
          <w:spacing w:val="-2"/>
          <w:szCs w:val="22"/>
        </w:rPr>
        <w:t xml:space="preserve">según se desprende de los Antecedentes </w:t>
      </w:r>
      <w:r w:rsidR="00630352" w:rsidRPr="00EB42D2">
        <w:rPr>
          <w:rFonts w:ascii="ITC Avant Garde" w:hAnsi="ITC Avant Garde" w:cs="Arial"/>
          <w:spacing w:val="-2"/>
          <w:szCs w:val="22"/>
        </w:rPr>
        <w:t>I</w:t>
      </w:r>
      <w:r w:rsidR="00BE373B" w:rsidRPr="00EB42D2">
        <w:rPr>
          <w:rFonts w:ascii="ITC Avant Garde" w:hAnsi="ITC Avant Garde" w:cs="Arial"/>
          <w:spacing w:val="-2"/>
          <w:szCs w:val="22"/>
        </w:rPr>
        <w:t>,</w:t>
      </w:r>
      <w:r w:rsidR="00630352" w:rsidRPr="00EB42D2">
        <w:rPr>
          <w:rFonts w:ascii="ITC Avant Garde" w:hAnsi="ITC Avant Garde" w:cs="Arial"/>
          <w:spacing w:val="-2"/>
          <w:szCs w:val="22"/>
        </w:rPr>
        <w:t xml:space="preserve"> II</w:t>
      </w:r>
      <w:r w:rsidR="001B7C7A" w:rsidRPr="00EB42D2">
        <w:rPr>
          <w:rFonts w:ascii="ITC Avant Garde" w:hAnsi="ITC Avant Garde" w:cs="Arial"/>
          <w:spacing w:val="-2"/>
          <w:szCs w:val="22"/>
        </w:rPr>
        <w:t xml:space="preserve"> </w:t>
      </w:r>
      <w:r w:rsidR="008A29DC" w:rsidRPr="00EB42D2">
        <w:rPr>
          <w:rFonts w:ascii="ITC Avant Garde" w:hAnsi="ITC Avant Garde" w:cs="Arial"/>
          <w:spacing w:val="-2"/>
          <w:szCs w:val="22"/>
        </w:rPr>
        <w:t xml:space="preserve">y </w:t>
      </w:r>
      <w:r w:rsidR="00B92D61" w:rsidRPr="00EB42D2">
        <w:rPr>
          <w:rFonts w:ascii="ITC Avant Garde" w:hAnsi="ITC Avant Garde" w:cs="Arial"/>
          <w:spacing w:val="-2"/>
          <w:szCs w:val="22"/>
        </w:rPr>
        <w:t>V</w:t>
      </w:r>
      <w:r w:rsidR="00BE373B" w:rsidRPr="00EB42D2">
        <w:rPr>
          <w:rFonts w:ascii="ITC Avant Garde" w:hAnsi="ITC Avant Garde" w:cs="Arial"/>
          <w:spacing w:val="-2"/>
          <w:szCs w:val="22"/>
        </w:rPr>
        <w:t xml:space="preserve"> </w:t>
      </w:r>
      <w:r w:rsidRPr="00EB42D2">
        <w:rPr>
          <w:rFonts w:ascii="ITC Avant Garde" w:hAnsi="ITC Avant Garde" w:cs="Arial"/>
          <w:spacing w:val="-2"/>
          <w:szCs w:val="22"/>
        </w:rPr>
        <w:t>de la presente Resolución.</w:t>
      </w:r>
    </w:p>
    <w:p w14:paraId="74EAC7BB" w14:textId="77777777" w:rsidR="00EB42D2" w:rsidRPr="00EB42D2" w:rsidRDefault="00EE47D1" w:rsidP="00EB42D2">
      <w:pPr>
        <w:pStyle w:val="Textoindependiente"/>
        <w:spacing w:after="240" w:line="276" w:lineRule="auto"/>
        <w:rPr>
          <w:rFonts w:ascii="ITC Avant Garde" w:hAnsi="ITC Avant Garde" w:cs="Arial"/>
          <w:szCs w:val="22"/>
        </w:rPr>
      </w:pPr>
      <w:r w:rsidRPr="00EB42D2">
        <w:rPr>
          <w:rFonts w:ascii="ITC Avant Garde" w:hAnsi="ITC Avant Garde" w:cs="Arial"/>
          <w:szCs w:val="22"/>
        </w:rPr>
        <w:t>Por ello, conforme al artículo 124 de la LFTyR,</w:t>
      </w:r>
      <w:r w:rsidR="0064263A" w:rsidRPr="00EB42D2">
        <w:rPr>
          <w:rFonts w:ascii="ITC Avant Garde" w:hAnsi="ITC Avant Garde" w:cs="Arial"/>
          <w:szCs w:val="22"/>
        </w:rPr>
        <w:t xml:space="preserve"> </w:t>
      </w:r>
      <w:r w:rsidR="00720F87" w:rsidRPr="00EB42D2">
        <w:rPr>
          <w:rFonts w:ascii="ITC Avant Garde" w:hAnsi="ITC Avant Garde" w:cs="Arial"/>
          <w:spacing w:val="-2"/>
        </w:rPr>
        <w:t>Telcel</w:t>
      </w:r>
      <w:r w:rsidR="0064263A" w:rsidRPr="00EB42D2">
        <w:rPr>
          <w:rFonts w:ascii="ITC Avant Garde" w:hAnsi="ITC Avant Garde" w:cs="Arial"/>
          <w:szCs w:val="22"/>
        </w:rPr>
        <w:t xml:space="preserve"> y </w:t>
      </w:r>
      <w:r w:rsidR="000C634E" w:rsidRPr="00EB42D2">
        <w:rPr>
          <w:rFonts w:ascii="ITC Avant Garde" w:hAnsi="ITC Avant Garde"/>
          <w:lang w:val="es-ES" w:eastAsia="es-ES"/>
        </w:rPr>
        <w:t>EICSA</w:t>
      </w:r>
      <w:r w:rsidR="000C634E" w:rsidRPr="00EB42D2">
        <w:rPr>
          <w:rFonts w:ascii="ITC Avant Garde" w:hAnsi="ITC Avant Garde" w:cs="Arial"/>
          <w:szCs w:val="22"/>
        </w:rPr>
        <w:t xml:space="preserve"> </w:t>
      </w:r>
      <w:r w:rsidRPr="00EB42D2">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728EA556" w14:textId="77777777" w:rsidR="00EB42D2" w:rsidRPr="00EB42D2" w:rsidRDefault="00BD3575" w:rsidP="00EB42D2">
      <w:pPr>
        <w:pStyle w:val="Piedepgina"/>
        <w:widowControl w:val="0"/>
        <w:tabs>
          <w:tab w:val="left" w:pos="720"/>
        </w:tabs>
        <w:spacing w:after="240" w:line="276" w:lineRule="auto"/>
        <w:jc w:val="both"/>
        <w:rPr>
          <w:rFonts w:ascii="ITC Avant Garde" w:hAnsi="ITC Avant Garde" w:cs="Arial"/>
        </w:rPr>
      </w:pPr>
      <w:r w:rsidRPr="00EB42D2">
        <w:rPr>
          <w:rFonts w:ascii="ITC Avant Garde" w:hAnsi="ITC Avant Garde" w:cs="Arial"/>
          <w:b/>
        </w:rPr>
        <w:t>TERCERO</w:t>
      </w:r>
      <w:r w:rsidR="002920C0" w:rsidRPr="00EB42D2">
        <w:rPr>
          <w:rFonts w:ascii="ITC Avant Garde" w:eastAsia="Times New Roman" w:hAnsi="ITC Avant Garde"/>
          <w:b/>
          <w:lang w:eastAsia="es-ES"/>
        </w:rPr>
        <w:t xml:space="preserve">.- </w:t>
      </w:r>
      <w:bookmarkEnd w:id="1"/>
      <w:r w:rsidR="00321C60" w:rsidRPr="00EB42D2">
        <w:rPr>
          <w:rFonts w:ascii="ITC Avant Garde" w:eastAsia="Times New Roman" w:hAnsi="ITC Avant Garde"/>
          <w:b/>
          <w:lang w:eastAsia="es-ES"/>
        </w:rPr>
        <w:t>Condiciones no convenidas sujetas a resolución</w:t>
      </w:r>
      <w:r w:rsidR="00C92C0A" w:rsidRPr="00EB42D2">
        <w:rPr>
          <w:rFonts w:ascii="ITC Avant Garde" w:eastAsia="Times New Roman" w:hAnsi="ITC Avant Garde"/>
          <w:lang w:eastAsia="es-ES"/>
        </w:rPr>
        <w:t xml:space="preserve">.- </w:t>
      </w:r>
      <w:r w:rsidR="001272DB" w:rsidRPr="00EB42D2">
        <w:rPr>
          <w:rFonts w:ascii="ITC Avant Garde" w:hAnsi="ITC Avant Garde"/>
        </w:rPr>
        <w:t xml:space="preserve">En </w:t>
      </w:r>
      <w:r w:rsidR="002007A5" w:rsidRPr="00EB42D2">
        <w:rPr>
          <w:rFonts w:ascii="ITC Avant Garde" w:hAnsi="ITC Avant Garde"/>
        </w:rPr>
        <w:t>la Solicitud de Resolución</w:t>
      </w:r>
      <w:r w:rsidR="001272DB" w:rsidRPr="00EB42D2">
        <w:rPr>
          <w:rFonts w:ascii="ITC Avant Garde" w:hAnsi="ITC Avant Garde"/>
        </w:rPr>
        <w:t>,</w:t>
      </w:r>
      <w:r w:rsidR="001272DB" w:rsidRPr="00EB42D2">
        <w:rPr>
          <w:rFonts w:ascii="ITC Avant Garde" w:hAnsi="ITC Avant Garde"/>
          <w:b/>
        </w:rPr>
        <w:t xml:space="preserve"> </w:t>
      </w:r>
      <w:r w:rsidR="00016E9D" w:rsidRPr="00EB42D2">
        <w:rPr>
          <w:rFonts w:ascii="ITC Avant Garde" w:hAnsi="ITC Avant Garde" w:cs="Arial"/>
          <w:spacing w:val="-2"/>
        </w:rPr>
        <w:t>Telcel</w:t>
      </w:r>
      <w:r w:rsidR="00016E9D" w:rsidRPr="00EB42D2">
        <w:rPr>
          <w:rFonts w:ascii="ITC Avant Garde" w:eastAsia="Times New Roman" w:hAnsi="ITC Avant Garde"/>
          <w:lang w:eastAsia="es-ES"/>
        </w:rPr>
        <w:t xml:space="preserve"> </w:t>
      </w:r>
      <w:r w:rsidR="007C373C" w:rsidRPr="00EB42D2">
        <w:rPr>
          <w:rFonts w:ascii="ITC Avant Garde" w:eastAsia="Times New Roman" w:hAnsi="ITC Avant Garde"/>
          <w:lang w:eastAsia="es-ES"/>
        </w:rPr>
        <w:t>plantea lo</w:t>
      </w:r>
      <w:r w:rsidR="00321C60" w:rsidRPr="00EB42D2">
        <w:rPr>
          <w:rFonts w:ascii="ITC Avant Garde" w:eastAsia="Times New Roman" w:hAnsi="ITC Avant Garde"/>
          <w:lang w:eastAsia="es-ES"/>
        </w:rPr>
        <w:t xml:space="preserve">s siguientes </w:t>
      </w:r>
      <w:r w:rsidR="007C373C" w:rsidRPr="00EB42D2">
        <w:rPr>
          <w:rFonts w:ascii="ITC Avant Garde" w:eastAsia="Times New Roman" w:hAnsi="ITC Avant Garde"/>
          <w:lang w:eastAsia="es-ES"/>
        </w:rPr>
        <w:t>t</w:t>
      </w:r>
      <w:r w:rsidR="00321C60" w:rsidRPr="00EB42D2">
        <w:rPr>
          <w:rFonts w:ascii="ITC Avant Garde" w:eastAsia="Times New Roman" w:hAnsi="ITC Avant Garde"/>
          <w:lang w:eastAsia="es-ES"/>
        </w:rPr>
        <w:t>érminos</w:t>
      </w:r>
      <w:r w:rsidR="007C373C" w:rsidRPr="00EB42D2">
        <w:rPr>
          <w:rFonts w:ascii="ITC Avant Garde" w:eastAsia="Times New Roman" w:hAnsi="ITC Avant Garde"/>
          <w:lang w:eastAsia="es-ES"/>
        </w:rPr>
        <w:t>, condiciones</w:t>
      </w:r>
      <w:r w:rsidR="00321C60" w:rsidRPr="00EB42D2">
        <w:rPr>
          <w:rFonts w:ascii="ITC Avant Garde" w:eastAsia="Times New Roman" w:hAnsi="ITC Avant Garde"/>
          <w:lang w:eastAsia="es-ES"/>
        </w:rPr>
        <w:t xml:space="preserve"> y tarifas de interconexión que no pudo convenir con </w:t>
      </w:r>
      <w:r w:rsidR="00411010" w:rsidRPr="00EB42D2">
        <w:rPr>
          <w:rFonts w:ascii="ITC Avant Garde" w:eastAsia="Times New Roman" w:hAnsi="ITC Avant Garde"/>
          <w:lang w:val="es-ES" w:eastAsia="es-ES"/>
        </w:rPr>
        <w:t>EICSA</w:t>
      </w:r>
      <w:r w:rsidR="00321C60" w:rsidRPr="00EB42D2">
        <w:rPr>
          <w:rFonts w:ascii="ITC Avant Garde" w:eastAsia="Times New Roman" w:hAnsi="ITC Avant Garde"/>
          <w:lang w:eastAsia="es-ES"/>
        </w:rPr>
        <w:t>:</w:t>
      </w:r>
    </w:p>
    <w:p w14:paraId="084DC3B2" w14:textId="7EB7F714" w:rsidR="003A451D" w:rsidRPr="00EB42D2" w:rsidRDefault="00016E9D" w:rsidP="00EB42D2">
      <w:pPr>
        <w:numPr>
          <w:ilvl w:val="0"/>
          <w:numId w:val="14"/>
        </w:numPr>
        <w:spacing w:after="240"/>
        <w:jc w:val="both"/>
        <w:rPr>
          <w:rFonts w:ascii="ITC Avant Garde" w:eastAsia="Times New Roman" w:hAnsi="ITC Avant Garde"/>
          <w:lang w:eastAsia="es-ES"/>
        </w:rPr>
      </w:pPr>
      <w:r w:rsidRPr="00EB42D2">
        <w:rPr>
          <w:rFonts w:ascii="ITC Avant Garde" w:eastAsia="Times New Roman" w:hAnsi="ITC Avant Garde"/>
          <w:lang w:eastAsia="es-ES"/>
        </w:rPr>
        <w:t>Tarifas de interconexión que Telcel deberá pagar</w:t>
      </w:r>
      <w:r w:rsidR="001E5F55" w:rsidRPr="00EB42D2">
        <w:rPr>
          <w:rFonts w:ascii="ITC Avant Garde" w:eastAsia="Times New Roman" w:hAnsi="ITC Avant Garde"/>
          <w:lang w:eastAsia="es-ES"/>
        </w:rPr>
        <w:t xml:space="preserve"> </w:t>
      </w:r>
      <w:r w:rsidRPr="00EB42D2">
        <w:rPr>
          <w:rFonts w:ascii="ITC Avant Garde" w:eastAsia="Times New Roman" w:hAnsi="ITC Avant Garde"/>
          <w:lang w:eastAsia="es-ES"/>
        </w:rPr>
        <w:t xml:space="preserve">por servicios de terminación de tráfico público conmutado en la red de servicio local fijo de </w:t>
      </w:r>
      <w:r w:rsidR="001E5F55" w:rsidRPr="00EB42D2">
        <w:rPr>
          <w:rFonts w:ascii="ITC Avant Garde" w:eastAsia="Times New Roman" w:hAnsi="ITC Avant Garde"/>
          <w:lang w:val="es-ES" w:eastAsia="es-ES"/>
        </w:rPr>
        <w:t>EICSA</w:t>
      </w:r>
      <w:r w:rsidRPr="00EB42D2">
        <w:rPr>
          <w:rFonts w:ascii="ITC Avant Garde" w:eastAsia="Times New Roman" w:hAnsi="ITC Avant Garde"/>
          <w:lang w:eastAsia="es-ES"/>
        </w:rPr>
        <w:t xml:space="preserve">, para el periodo comprendido del 1 de enero al 31 de diciembre de 2017. </w:t>
      </w:r>
      <w:r w:rsidR="000118E1" w:rsidRPr="00EB42D2">
        <w:rPr>
          <w:rFonts w:ascii="ITC Avant Garde" w:eastAsia="Times New Roman" w:hAnsi="ITC Avant Garde"/>
          <w:lang w:eastAsia="es-ES"/>
        </w:rPr>
        <w:t xml:space="preserve"> </w:t>
      </w:r>
    </w:p>
    <w:p w14:paraId="2589C7E0" w14:textId="77777777" w:rsidR="00EB42D2" w:rsidRPr="00EB42D2" w:rsidRDefault="003F10EE" w:rsidP="00EB42D2">
      <w:pPr>
        <w:pStyle w:val="Piedepgina"/>
        <w:widowControl w:val="0"/>
        <w:tabs>
          <w:tab w:val="left" w:pos="720"/>
        </w:tabs>
        <w:spacing w:after="240" w:line="276" w:lineRule="auto"/>
        <w:jc w:val="both"/>
        <w:rPr>
          <w:rFonts w:ascii="ITC Avant Garde" w:eastAsia="Times New Roman" w:hAnsi="ITC Avant Garde"/>
          <w:lang w:eastAsia="es-ES"/>
        </w:rPr>
      </w:pPr>
      <w:r w:rsidRPr="00EB42D2">
        <w:rPr>
          <w:rFonts w:ascii="ITC Avant Garde" w:eastAsia="Times New Roman" w:hAnsi="ITC Avant Garde"/>
          <w:lang w:eastAsia="es-ES"/>
        </w:rPr>
        <w:t xml:space="preserve">Por su parte, </w:t>
      </w:r>
      <w:r w:rsidRPr="00EB42D2">
        <w:rPr>
          <w:rFonts w:ascii="ITC Avant Garde" w:hAnsi="ITC Avant Garde"/>
          <w:lang w:val="es-ES" w:eastAsia="es-ES"/>
        </w:rPr>
        <w:t xml:space="preserve">EICSA </w:t>
      </w:r>
      <w:r w:rsidRPr="00EB42D2">
        <w:rPr>
          <w:rFonts w:ascii="ITC Avant Garde" w:eastAsia="Times New Roman" w:hAnsi="ITC Avant Garde"/>
          <w:lang w:eastAsia="es-ES"/>
        </w:rPr>
        <w:t xml:space="preserve">en su escrito de respuesta de fecha 22 de agosto de 2016 reitero la petición de Telcel en el sentido de determinar la tarifa que Telcel pagará a EICA por el servicio local en usuarios fijos para el periodo comprendido del 1 de enero al 31 de diciembre de 2017. </w:t>
      </w:r>
    </w:p>
    <w:p w14:paraId="03464EB5" w14:textId="77777777" w:rsidR="00EB42D2" w:rsidRPr="00EB42D2" w:rsidRDefault="003F10EE" w:rsidP="00EB42D2">
      <w:pPr>
        <w:spacing w:after="240"/>
        <w:jc w:val="both"/>
        <w:rPr>
          <w:rFonts w:ascii="ITC Avant Garde" w:eastAsia="Times New Roman" w:hAnsi="ITC Avant Garde"/>
          <w:lang w:eastAsia="es-ES"/>
        </w:rPr>
      </w:pPr>
      <w:r w:rsidRPr="00EB42D2">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0DC82CB0" w14:textId="77777777" w:rsidR="00EB42D2" w:rsidRPr="00EB42D2" w:rsidRDefault="00AC7607" w:rsidP="00EB42D2">
      <w:pPr>
        <w:pStyle w:val="Prrafodelista"/>
        <w:numPr>
          <w:ilvl w:val="0"/>
          <w:numId w:val="34"/>
        </w:numPr>
        <w:spacing w:after="240" w:line="276" w:lineRule="auto"/>
        <w:ind w:left="426" w:hanging="426"/>
        <w:rPr>
          <w:rFonts w:ascii="ITC Avant Garde" w:hAnsi="ITC Avant Garde" w:cs="Arial"/>
          <w:b/>
        </w:rPr>
      </w:pPr>
      <w:r w:rsidRPr="00EB42D2">
        <w:rPr>
          <w:rFonts w:ascii="ITC Avant Garde" w:hAnsi="ITC Avant Garde" w:cs="Arial"/>
          <w:b/>
        </w:rPr>
        <w:t xml:space="preserve">Tarifa de Interconexión </w:t>
      </w:r>
    </w:p>
    <w:p w14:paraId="361D0C48" w14:textId="77777777" w:rsidR="00EB42D2" w:rsidRPr="00EB42D2" w:rsidRDefault="00A96CFE" w:rsidP="00EB42D2">
      <w:pPr>
        <w:widowControl w:val="0"/>
        <w:tabs>
          <w:tab w:val="left" w:pos="720"/>
          <w:tab w:val="center" w:pos="4419"/>
          <w:tab w:val="right" w:pos="8838"/>
        </w:tabs>
        <w:spacing w:after="240"/>
        <w:jc w:val="both"/>
        <w:rPr>
          <w:rFonts w:ascii="ITC Avant Garde" w:hAnsi="ITC Avant Garde" w:cs="Arial"/>
          <w:b/>
          <w:lang w:val="es-ES"/>
        </w:rPr>
      </w:pPr>
      <w:r w:rsidRPr="00EB42D2">
        <w:rPr>
          <w:rFonts w:ascii="ITC Avant Garde" w:hAnsi="ITC Avant Garde" w:cs="Arial"/>
          <w:b/>
          <w:lang w:val="es-ES"/>
        </w:rPr>
        <w:t>Argumentos de las partes</w:t>
      </w:r>
    </w:p>
    <w:p w14:paraId="559A82D8" w14:textId="77777777" w:rsidR="00EB42D2" w:rsidRPr="00EB42D2" w:rsidRDefault="007478A4" w:rsidP="00EB42D2">
      <w:pPr>
        <w:widowControl w:val="0"/>
        <w:tabs>
          <w:tab w:val="left" w:pos="720"/>
          <w:tab w:val="center" w:pos="4419"/>
          <w:tab w:val="right" w:pos="8838"/>
        </w:tabs>
        <w:spacing w:after="240"/>
        <w:jc w:val="both"/>
        <w:rPr>
          <w:rFonts w:ascii="ITC Avant Garde" w:hAnsi="ITC Avant Garde"/>
          <w:lang w:val="es-ES" w:eastAsia="es-ES"/>
        </w:rPr>
      </w:pPr>
      <w:r w:rsidRPr="00EB42D2">
        <w:rPr>
          <w:rFonts w:ascii="ITC Avant Garde" w:hAnsi="ITC Avant Garde" w:cs="Arial"/>
          <w:lang w:val="es-ES"/>
        </w:rPr>
        <w:t xml:space="preserve">En la Solicitud de Resolución, Telcel manifiesta que con fecha 30 de marzo de 2016, solicitó formalmente a </w:t>
      </w:r>
      <w:r w:rsidR="006305F1" w:rsidRPr="00EB42D2">
        <w:rPr>
          <w:rFonts w:ascii="ITC Avant Garde" w:eastAsia="Times New Roman" w:hAnsi="ITC Avant Garde"/>
          <w:lang w:val="es-ES" w:eastAsia="es-ES"/>
        </w:rPr>
        <w:t>EICSA</w:t>
      </w:r>
      <w:r w:rsidR="006305F1" w:rsidRPr="00EB42D2">
        <w:rPr>
          <w:rFonts w:ascii="ITC Avant Garde" w:hAnsi="ITC Avant Garde"/>
          <w:lang w:val="es-ES" w:eastAsia="es-ES"/>
        </w:rPr>
        <w:t xml:space="preserve"> </w:t>
      </w:r>
      <w:r w:rsidRPr="00EB42D2">
        <w:rPr>
          <w:rFonts w:ascii="ITC Avant Garde" w:hAnsi="ITC Avant Garde"/>
          <w:lang w:val="es-ES" w:eastAsia="es-ES"/>
        </w:rPr>
        <w:t>el inicio de negociaciones para acordar las tarifas que deberá pagar Telcel por los servicios de terminación de tráfico publico conmutado en la red de servicio local fijo de</w:t>
      </w:r>
      <w:r w:rsidR="00D2508E" w:rsidRPr="00EB42D2">
        <w:rPr>
          <w:rFonts w:ascii="ITC Avant Garde" w:hAnsi="ITC Avant Garde"/>
          <w:lang w:val="es-ES" w:eastAsia="es-ES"/>
        </w:rPr>
        <w:t xml:space="preserve"> </w:t>
      </w:r>
      <w:r w:rsidR="006305F1" w:rsidRPr="00EB42D2">
        <w:rPr>
          <w:rFonts w:ascii="ITC Avant Garde" w:eastAsia="Times New Roman" w:hAnsi="ITC Avant Garde"/>
          <w:lang w:val="es-ES" w:eastAsia="es-ES"/>
        </w:rPr>
        <w:t>EICSA</w:t>
      </w:r>
      <w:r w:rsidR="00D2508E" w:rsidRPr="00EB42D2">
        <w:rPr>
          <w:rFonts w:ascii="ITC Avant Garde" w:hAnsi="ITC Avant Garde"/>
          <w:lang w:val="es-ES" w:eastAsia="es-ES"/>
        </w:rPr>
        <w:t xml:space="preserve">. </w:t>
      </w:r>
    </w:p>
    <w:p w14:paraId="7A396EAD" w14:textId="77777777" w:rsidR="00EB42D2" w:rsidRPr="00EB42D2" w:rsidRDefault="00C1647E" w:rsidP="00EB42D2">
      <w:pPr>
        <w:widowControl w:val="0"/>
        <w:tabs>
          <w:tab w:val="left" w:pos="720"/>
          <w:tab w:val="center" w:pos="4419"/>
          <w:tab w:val="right" w:pos="8838"/>
        </w:tabs>
        <w:spacing w:after="240"/>
        <w:jc w:val="both"/>
        <w:rPr>
          <w:rFonts w:ascii="ITC Avant Garde" w:eastAsia="Times New Roman" w:hAnsi="ITC Avant Garde"/>
          <w:lang w:val="es-ES" w:eastAsia="es-ES"/>
        </w:rPr>
      </w:pPr>
      <w:r w:rsidRPr="00EB42D2">
        <w:rPr>
          <w:rFonts w:ascii="ITC Avant Garde" w:eastAsia="Times New Roman" w:hAnsi="ITC Avant Garde"/>
          <w:lang w:val="es-ES" w:eastAsia="es-ES"/>
        </w:rPr>
        <w:t>EICSA</w:t>
      </w:r>
      <w:r w:rsidR="00D2508E" w:rsidRPr="00EB42D2">
        <w:rPr>
          <w:rFonts w:ascii="ITC Avant Garde" w:hAnsi="ITC Avant Garde"/>
          <w:lang w:val="es-ES" w:eastAsia="es-ES"/>
        </w:rPr>
        <w:t xml:space="preserve">, en su escrito de respuesta de fecha </w:t>
      </w:r>
      <w:r w:rsidRPr="00EB42D2">
        <w:rPr>
          <w:rFonts w:ascii="ITC Avant Garde" w:hAnsi="ITC Avant Garde"/>
          <w:lang w:val="es-ES" w:eastAsia="es-ES"/>
        </w:rPr>
        <w:t>22</w:t>
      </w:r>
      <w:r w:rsidR="00D2508E" w:rsidRPr="00EB42D2">
        <w:rPr>
          <w:rFonts w:ascii="ITC Avant Garde" w:hAnsi="ITC Avant Garde"/>
          <w:lang w:val="es-ES" w:eastAsia="es-ES"/>
        </w:rPr>
        <w:t xml:space="preserve"> de agosto de 2016</w:t>
      </w:r>
      <w:r w:rsidR="00F905B4" w:rsidRPr="00EB42D2">
        <w:rPr>
          <w:rFonts w:ascii="ITC Avant Garde" w:hAnsi="ITC Avant Garde"/>
          <w:lang w:val="es-ES" w:eastAsia="es-ES"/>
        </w:rPr>
        <w:t xml:space="preserve">, manifiesta que </w:t>
      </w:r>
      <w:r w:rsidRPr="00EB42D2">
        <w:rPr>
          <w:rFonts w:ascii="ITC Avant Garde" w:hAnsi="ITC Avant Garde"/>
          <w:lang w:val="es-ES" w:eastAsia="es-ES"/>
        </w:rPr>
        <w:t xml:space="preserve">con </w:t>
      </w:r>
      <w:r w:rsidRPr="00EB42D2">
        <w:rPr>
          <w:rFonts w:ascii="ITC Avant Garde" w:hAnsi="ITC Avant Garde"/>
          <w:lang w:val="es-ES" w:eastAsia="es-ES"/>
        </w:rPr>
        <w:lastRenderedPageBreak/>
        <w:t xml:space="preserve">fecha 27 de julio de 2016, se llevó a cabo una reunión entre ambos concesionarios en donde se acordó, entre otros temas, dejar pendiente las negociaciones del Convenio Modificatorio del Convenio Marco de Interconexión para el periodo comprendido del 1 de enero al 31 de diciembre de 2017, hasta en tanto el Instituto publicara las tarifas de interconexión que Telcel deberá pagar a EICSA por los servicios de terminación de tráfico público conmutado en la red de servicio local fijo de </w:t>
      </w:r>
      <w:r w:rsidRPr="00EB42D2">
        <w:rPr>
          <w:rFonts w:ascii="ITC Avant Garde" w:eastAsia="Times New Roman" w:hAnsi="ITC Avant Garde"/>
          <w:lang w:val="es-ES" w:eastAsia="es-ES"/>
        </w:rPr>
        <w:t>EICSA.</w:t>
      </w:r>
    </w:p>
    <w:p w14:paraId="2AE2A72F" w14:textId="77777777" w:rsidR="00EB42D2" w:rsidRPr="00EB42D2" w:rsidRDefault="00585B2E" w:rsidP="00EB42D2">
      <w:pPr>
        <w:widowControl w:val="0"/>
        <w:tabs>
          <w:tab w:val="left" w:pos="720"/>
          <w:tab w:val="center" w:pos="4419"/>
          <w:tab w:val="right" w:pos="8838"/>
        </w:tabs>
        <w:spacing w:after="240"/>
        <w:jc w:val="both"/>
        <w:rPr>
          <w:rFonts w:ascii="ITC Avant Garde" w:eastAsia="Times New Roman" w:hAnsi="ITC Avant Garde"/>
          <w:lang w:val="es-ES" w:eastAsia="es-ES"/>
        </w:rPr>
      </w:pPr>
      <w:r w:rsidRPr="00EB42D2">
        <w:rPr>
          <w:rFonts w:ascii="ITC Avant Garde" w:eastAsia="Times New Roman" w:hAnsi="ITC Avant Garde"/>
          <w:lang w:val="es-ES" w:eastAsia="es-ES"/>
        </w:rPr>
        <w:t xml:space="preserve">En el escrito de alegatos, Telcel manifestó </w:t>
      </w:r>
      <w:r w:rsidR="00ED25D6" w:rsidRPr="00EB42D2">
        <w:rPr>
          <w:rFonts w:ascii="ITC Avant Garde" w:eastAsia="Times New Roman" w:hAnsi="ITC Avant Garde"/>
          <w:lang w:val="es-ES" w:eastAsia="es-ES"/>
        </w:rPr>
        <w:t xml:space="preserve">que el Instituto deberá de resolver el presente asunto de conformidad con la tarifa que el Instituto determine para el periodo del 1 de enero al 31 de diciembre de 2017 en términos de la Metodología de Costos, siempre y cuando la misma se ajuste a los principios constitucionales de competencia y libre concurrencia. </w:t>
      </w:r>
    </w:p>
    <w:p w14:paraId="7C825835" w14:textId="77777777" w:rsidR="00EB42D2" w:rsidRPr="00EB42D2" w:rsidRDefault="00A96CFE" w:rsidP="00EB42D2">
      <w:pPr>
        <w:spacing w:after="240"/>
        <w:jc w:val="both"/>
        <w:rPr>
          <w:rFonts w:ascii="ITC Avant Garde" w:hAnsi="ITC Avant Garde"/>
          <w:b/>
        </w:rPr>
      </w:pPr>
      <w:r w:rsidRPr="00EB42D2">
        <w:rPr>
          <w:rFonts w:ascii="ITC Avant Garde" w:hAnsi="ITC Avant Garde"/>
          <w:b/>
        </w:rPr>
        <w:t>Consideraciones del Instituto</w:t>
      </w:r>
    </w:p>
    <w:p w14:paraId="00A61467" w14:textId="77777777" w:rsidR="00EB42D2" w:rsidRPr="00EB42D2" w:rsidRDefault="00D74FC3" w:rsidP="00EB42D2">
      <w:pPr>
        <w:spacing w:after="240"/>
        <w:jc w:val="both"/>
        <w:rPr>
          <w:rFonts w:ascii="ITC Avant Garde" w:hAnsi="ITC Avant Garde" w:cs="Arial"/>
        </w:rPr>
      </w:pPr>
      <w:r w:rsidRPr="00EB42D2">
        <w:rPr>
          <w:rFonts w:ascii="ITC Avant Garde" w:hAnsi="ITC Avant Garde" w:cs="Arial"/>
        </w:rPr>
        <w:t>Para la determinación de las tarifas de interconexión en las redes públicas de telecomunicaciones de</w:t>
      </w:r>
      <w:r w:rsidR="00312193" w:rsidRPr="00EB42D2">
        <w:rPr>
          <w:rFonts w:ascii="ITC Avant Garde" w:hAnsi="ITC Avant Garde" w:cs="Arial"/>
        </w:rPr>
        <w:t xml:space="preserve"> </w:t>
      </w:r>
      <w:r w:rsidR="00ED25D6" w:rsidRPr="00EB42D2">
        <w:rPr>
          <w:rFonts w:ascii="ITC Avant Garde" w:hAnsi="ITC Avant Garde" w:cs="Arial"/>
          <w:spacing w:val="-2"/>
        </w:rPr>
        <w:t xml:space="preserve">Telcel </w:t>
      </w:r>
      <w:r w:rsidR="00ED25D6" w:rsidRPr="00EB42D2">
        <w:rPr>
          <w:rFonts w:ascii="ITC Avant Garde" w:hAnsi="ITC Avant Garde" w:cs="Arial"/>
          <w:bCs/>
          <w:snapToGrid w:val="0"/>
        </w:rPr>
        <w:t>y</w:t>
      </w:r>
      <w:r w:rsidR="00ED25D6" w:rsidRPr="00EB42D2">
        <w:rPr>
          <w:rFonts w:ascii="ITC Avant Garde" w:hAnsi="ITC Avant Garde"/>
          <w:lang w:val="es-ES" w:eastAsia="es-ES"/>
        </w:rPr>
        <w:t xml:space="preserve"> </w:t>
      </w:r>
      <w:r w:rsidR="00ED25D6" w:rsidRPr="00EB42D2">
        <w:rPr>
          <w:rFonts w:ascii="ITC Avant Garde" w:eastAsia="Times New Roman" w:hAnsi="ITC Avant Garde"/>
          <w:lang w:val="es-ES" w:eastAsia="es-ES"/>
        </w:rPr>
        <w:t>EICSA</w:t>
      </w:r>
      <w:r w:rsidRPr="00EB42D2">
        <w:rPr>
          <w:rFonts w:ascii="ITC Avant Garde" w:hAnsi="ITC Avant Garde" w:cs="Arial"/>
        </w:rPr>
        <w:t xml:space="preserve">, se debe considerar que la propia LFTyR establece el marco normativo y regulatorio aplicable para la fijación de las tarifas de interconexión. </w:t>
      </w:r>
    </w:p>
    <w:p w14:paraId="2D9465BE" w14:textId="77777777" w:rsidR="00EB42D2" w:rsidRPr="00EB42D2" w:rsidRDefault="00D74FC3" w:rsidP="00EB42D2">
      <w:pPr>
        <w:widowControl w:val="0"/>
        <w:spacing w:after="240"/>
        <w:jc w:val="both"/>
        <w:rPr>
          <w:rFonts w:ascii="ITC Avant Garde" w:hAnsi="ITC Avant Garde" w:cs="Arial"/>
        </w:rPr>
      </w:pPr>
      <w:r w:rsidRPr="00EB42D2">
        <w:rPr>
          <w:rFonts w:ascii="ITC Avant Garde" w:eastAsia="Times New Roman" w:hAnsi="ITC Avant Garde" w:cs="Arial"/>
        </w:rPr>
        <w:t xml:space="preserve">A tal efecto, </w:t>
      </w:r>
      <w:r w:rsidRPr="00EB42D2">
        <w:rPr>
          <w:rFonts w:ascii="ITC Avant Garde" w:hAnsi="ITC Avant Garde" w:cs="Arial"/>
        </w:rPr>
        <w:t>el artículo 131 de la LFTyR dispone lo siguiente:</w:t>
      </w:r>
    </w:p>
    <w:p w14:paraId="4EBBC398"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w:t>
      </w:r>
      <w:r w:rsidRPr="00EB42D2">
        <w:rPr>
          <w:rFonts w:ascii="ITC Avant Garde" w:hAnsi="ITC Avant Garde" w:cs="Arial"/>
          <w:b/>
          <w:sz w:val="18"/>
          <w:szCs w:val="18"/>
        </w:rPr>
        <w:t>Artículo 131.</w:t>
      </w:r>
      <w:r w:rsidRPr="00EB42D2">
        <w:rPr>
          <w:rFonts w:ascii="ITC Avant Garde" w:hAnsi="ITC Avant Garde" w:cs="Arial"/>
          <w:sz w:val="18"/>
          <w:szCs w:val="18"/>
        </w:rPr>
        <w:t xml:space="preserve"> […]</w:t>
      </w:r>
    </w:p>
    <w:p w14:paraId="2F691C31"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w:t>
      </w:r>
    </w:p>
    <w:p w14:paraId="239EA02C"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b) Para el tráfico que termine en la red de los demás concesionarios, la tarifa de interconexión será negociada libremente.</w:t>
      </w:r>
    </w:p>
    <w:p w14:paraId="44894189"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ECD33F3"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301BB8A"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0BCBDE11" w14:textId="77777777" w:rsidR="00EB42D2" w:rsidRPr="00EB42D2" w:rsidRDefault="00D74FC3" w:rsidP="00EB42D2">
      <w:pPr>
        <w:spacing w:after="240"/>
        <w:ind w:left="567" w:right="615"/>
        <w:jc w:val="both"/>
        <w:rPr>
          <w:rFonts w:ascii="ITC Avant Garde" w:hAnsi="ITC Avant Garde" w:cs="Arial"/>
          <w:sz w:val="18"/>
          <w:szCs w:val="18"/>
        </w:rPr>
      </w:pPr>
      <w:r w:rsidRPr="00EB42D2">
        <w:rPr>
          <w:rFonts w:ascii="ITC Avant Garde" w:hAnsi="ITC Avant Garde" w:cs="Arial"/>
          <w:sz w:val="18"/>
          <w:szCs w:val="18"/>
        </w:rPr>
        <w:t>[…]”</w:t>
      </w:r>
    </w:p>
    <w:p w14:paraId="19EA35E3" w14:textId="77777777" w:rsidR="00EB42D2" w:rsidRPr="00EB42D2" w:rsidRDefault="00D74FC3" w:rsidP="00EB42D2">
      <w:pPr>
        <w:spacing w:after="240"/>
        <w:ind w:right="20"/>
        <w:jc w:val="both"/>
        <w:rPr>
          <w:rFonts w:ascii="ITC Avant Garde" w:hAnsi="ITC Avant Garde" w:cs="Arial"/>
        </w:rPr>
      </w:pPr>
      <w:r w:rsidRPr="00EB42D2">
        <w:rPr>
          <w:rFonts w:ascii="ITC Avant Garde" w:hAnsi="ITC Avant Garde" w:cs="Arial"/>
        </w:rPr>
        <w:lastRenderedPageBreak/>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9B0CC32" w14:textId="77777777" w:rsidR="00EB42D2" w:rsidRPr="00EB42D2" w:rsidRDefault="00D74FC3" w:rsidP="00EB42D2">
      <w:pPr>
        <w:spacing w:after="240"/>
        <w:ind w:right="20"/>
        <w:jc w:val="both"/>
        <w:rPr>
          <w:rFonts w:ascii="ITC Avant Garde" w:hAnsi="ITC Avant Garde" w:cs="Arial"/>
        </w:rPr>
      </w:pPr>
      <w:r w:rsidRPr="00EB42D2">
        <w:rPr>
          <w:rFonts w:ascii="ITC Avant Garde" w:hAnsi="ITC Avant Garde" w:cs="Arial"/>
        </w:rPr>
        <w:t>En este orden de ideas, el artículo 137 de la LFTyR señala a la letra lo siguiente:</w:t>
      </w:r>
    </w:p>
    <w:p w14:paraId="7A43DAAF" w14:textId="77777777" w:rsidR="00EB42D2" w:rsidRPr="00EB42D2" w:rsidRDefault="00D74FC3" w:rsidP="00EB42D2">
      <w:pPr>
        <w:spacing w:after="240"/>
        <w:ind w:left="1417" w:right="1417"/>
        <w:jc w:val="both"/>
        <w:rPr>
          <w:rFonts w:ascii="ITC Avant Garde" w:hAnsi="ITC Avant Garde" w:cs="Arial"/>
          <w:sz w:val="17"/>
          <w:szCs w:val="17"/>
        </w:rPr>
      </w:pPr>
      <w:r w:rsidRPr="00EB42D2">
        <w:rPr>
          <w:rFonts w:ascii="ITC Avant Garde" w:hAnsi="ITC Avant Garde" w:cs="Arial"/>
          <w:b/>
          <w:sz w:val="17"/>
          <w:szCs w:val="17"/>
        </w:rPr>
        <w:t>“Artículo 137.</w:t>
      </w:r>
      <w:r w:rsidRPr="00EB42D2">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4EB0791" w14:textId="77777777" w:rsidR="00EB42D2" w:rsidRPr="00EB42D2" w:rsidRDefault="00123137" w:rsidP="00EB42D2">
      <w:pPr>
        <w:spacing w:after="240"/>
        <w:ind w:right="20"/>
        <w:jc w:val="both"/>
        <w:rPr>
          <w:rFonts w:ascii="ITC Avant Garde" w:eastAsia="Times New Roman" w:hAnsi="ITC Avant Garde" w:cs="Arial"/>
        </w:rPr>
      </w:pPr>
      <w:r w:rsidRPr="00EB42D2">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ED8251B" w14:textId="77777777" w:rsidR="00EB42D2" w:rsidRPr="00EB42D2" w:rsidRDefault="00123137" w:rsidP="00EB42D2">
      <w:pPr>
        <w:spacing w:after="240"/>
        <w:ind w:right="20"/>
        <w:jc w:val="both"/>
        <w:rPr>
          <w:rFonts w:ascii="ITC Avant Garde" w:eastAsia="Times New Roman" w:hAnsi="ITC Avant Garde" w:cs="Arial"/>
        </w:rPr>
      </w:pPr>
      <w:r w:rsidRPr="00EB42D2">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6610E9B6" w14:textId="77777777" w:rsidR="00EB42D2" w:rsidRPr="00EB42D2" w:rsidRDefault="00123137" w:rsidP="00EB42D2">
      <w:pPr>
        <w:spacing w:after="240"/>
        <w:ind w:right="20"/>
        <w:jc w:val="both"/>
        <w:rPr>
          <w:rFonts w:ascii="ITC Avant Garde" w:hAnsi="ITC Avant Garde" w:cs="Arial"/>
        </w:rPr>
      </w:pPr>
      <w:r w:rsidRPr="00EB42D2">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5C4447D" w14:textId="77777777" w:rsidR="00EB42D2" w:rsidRPr="00EB42D2" w:rsidRDefault="00123137" w:rsidP="00EB42D2">
      <w:pPr>
        <w:spacing w:after="240"/>
        <w:ind w:right="20"/>
        <w:jc w:val="both"/>
        <w:rPr>
          <w:rFonts w:ascii="ITC Avant Garde" w:hAnsi="ITC Avant Garde" w:cs="Arial"/>
        </w:rPr>
      </w:pPr>
      <w:r w:rsidRPr="00EB42D2">
        <w:rPr>
          <w:rFonts w:ascii="ITC Avant Garde" w:hAnsi="ITC Avant Garde" w:cs="Arial"/>
        </w:rPr>
        <w:t xml:space="preserve">En tal virtud, la tarifa que </w:t>
      </w:r>
      <w:r w:rsidRPr="00EB42D2">
        <w:rPr>
          <w:rFonts w:ascii="ITC Avant Garde" w:hAnsi="ITC Avant Garde" w:cs="Arial"/>
          <w:spacing w:val="-2"/>
        </w:rPr>
        <w:t>Telcel</w:t>
      </w:r>
      <w:r w:rsidRPr="00EB42D2">
        <w:rPr>
          <w:rFonts w:ascii="ITC Avant Garde" w:hAnsi="ITC Avant Garde"/>
          <w:spacing w:val="-4"/>
          <w:lang w:val="es-ES"/>
        </w:rPr>
        <w:t xml:space="preserve"> deberá pagar a </w:t>
      </w:r>
      <w:r w:rsidRPr="00EB42D2">
        <w:rPr>
          <w:rFonts w:ascii="ITC Avant Garde" w:hAnsi="ITC Avant Garde"/>
          <w:lang w:val="es-ES" w:eastAsia="es-ES"/>
        </w:rPr>
        <w:t>EICSA</w:t>
      </w:r>
      <w:r w:rsidRPr="00EB42D2">
        <w:rPr>
          <w:rFonts w:ascii="ITC Avant Garde" w:hAnsi="ITC Avant Garde"/>
          <w:spacing w:val="-4"/>
          <w:lang w:val="es-ES"/>
        </w:rPr>
        <w:t xml:space="preserve"> </w:t>
      </w:r>
      <w:r w:rsidRPr="00EB42D2">
        <w:rPr>
          <w:rFonts w:ascii="ITC Avant Garde" w:hAnsi="ITC Avant Garde" w:cs="Arial"/>
        </w:rPr>
        <w:t>por los servicios de terminación del Servicio Local en usuarios fijos, será la siguiente:</w:t>
      </w:r>
    </w:p>
    <w:p w14:paraId="3428124E" w14:textId="77777777" w:rsidR="00EB42D2" w:rsidRPr="00EB42D2" w:rsidRDefault="00123137" w:rsidP="00EB42D2">
      <w:pPr>
        <w:pStyle w:val="Prrafodelista"/>
        <w:numPr>
          <w:ilvl w:val="0"/>
          <w:numId w:val="19"/>
        </w:numPr>
        <w:spacing w:after="240" w:line="276" w:lineRule="auto"/>
        <w:rPr>
          <w:rFonts w:ascii="ITC Avant Garde" w:hAnsi="ITC Avant Garde"/>
          <w:b/>
          <w:spacing w:val="-4"/>
          <w:lang w:val="es-ES_tradnl"/>
        </w:rPr>
      </w:pPr>
      <w:r w:rsidRPr="00EB42D2">
        <w:rPr>
          <w:rFonts w:ascii="ITC Avant Garde" w:hAnsi="ITC Avant Garde"/>
          <w:b/>
          <w:spacing w:val="-4"/>
          <w:lang w:val="es-ES_tradnl"/>
        </w:rPr>
        <w:t>Del 1 de enero al 31 de diciembre de 2017, $0.003094 pesos M.N. por minuto de interconexión.</w:t>
      </w:r>
    </w:p>
    <w:p w14:paraId="0B291754" w14:textId="77777777" w:rsidR="00EB42D2" w:rsidRPr="00EB42D2" w:rsidRDefault="00123137" w:rsidP="00EB42D2">
      <w:pPr>
        <w:spacing w:after="240"/>
        <w:jc w:val="both"/>
        <w:rPr>
          <w:rFonts w:ascii="ITC Avant Garde" w:hAnsi="ITC Avant Garde" w:cs="Arial"/>
        </w:rPr>
      </w:pPr>
      <w:r w:rsidRPr="00EB42D2">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8454F7F" w14:textId="77777777" w:rsidR="00EB42D2" w:rsidRPr="00EB42D2" w:rsidRDefault="00123137" w:rsidP="00EB42D2">
      <w:pPr>
        <w:spacing w:after="240"/>
        <w:jc w:val="both"/>
        <w:rPr>
          <w:rFonts w:ascii="ITC Avant Garde" w:hAnsi="ITC Avant Garde" w:cs="Arial"/>
        </w:rPr>
      </w:pPr>
      <w:r w:rsidRPr="00EB42D2">
        <w:rPr>
          <w:rFonts w:ascii="ITC Avant Garde" w:hAnsi="ITC Avant Garde" w:cs="Arial"/>
        </w:rPr>
        <w:lastRenderedPageBreak/>
        <w:t>Asimismo, las tarifas anteriores ya incluyen el costo correspondiente a los puertos necesarios para la interconexión.</w:t>
      </w:r>
    </w:p>
    <w:p w14:paraId="42A4DF2D" w14:textId="77777777" w:rsidR="00EB42D2" w:rsidRPr="00EB42D2" w:rsidRDefault="00854AB5" w:rsidP="00EB42D2">
      <w:pPr>
        <w:spacing w:after="240"/>
        <w:jc w:val="both"/>
        <w:rPr>
          <w:rFonts w:ascii="ITC Avant Garde" w:hAnsi="ITC Avant Garde" w:cs="Arial"/>
        </w:rPr>
      </w:pPr>
      <w:r w:rsidRPr="00EB42D2">
        <w:rPr>
          <w:rFonts w:ascii="ITC Avant Garde" w:hAnsi="ITC Avant Garde" w:cs="Arial"/>
        </w:rPr>
        <w:t>Por otra parte y con el fin de que los términos</w:t>
      </w:r>
      <w:r w:rsidR="00D74FC3" w:rsidRPr="00EB42D2">
        <w:rPr>
          <w:rFonts w:ascii="ITC Avant Garde" w:hAnsi="ITC Avant Garde" w:cs="Arial"/>
        </w:rPr>
        <w:t>,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46E0F1B9" w14:textId="77777777" w:rsidR="00EB42D2" w:rsidRPr="00EB42D2" w:rsidRDefault="00D74FC3" w:rsidP="00EB42D2">
      <w:pPr>
        <w:spacing w:after="240"/>
        <w:jc w:val="both"/>
        <w:rPr>
          <w:rFonts w:ascii="ITC Avant Garde" w:hAnsi="ITC Avant Garde" w:cs="Arial"/>
        </w:rPr>
      </w:pPr>
      <w:r w:rsidRPr="00EB42D2">
        <w:rPr>
          <w:rFonts w:ascii="ITC Avant Garde" w:hAnsi="ITC Avant Garde" w:cs="Arial"/>
        </w:rPr>
        <w:t>Lo anterior, sin perjuicio de que</w:t>
      </w:r>
      <w:r w:rsidR="0099142D" w:rsidRPr="00EB42D2">
        <w:rPr>
          <w:rFonts w:ascii="ITC Avant Garde" w:hAnsi="ITC Avant Garde" w:cs="Arial"/>
        </w:rPr>
        <w:t xml:space="preserve"> </w:t>
      </w:r>
      <w:r w:rsidR="00ED25D6" w:rsidRPr="00EB42D2">
        <w:rPr>
          <w:rFonts w:ascii="ITC Avant Garde" w:hAnsi="ITC Avant Garde" w:cs="Arial"/>
          <w:spacing w:val="-2"/>
        </w:rPr>
        <w:t xml:space="preserve">Telcel </w:t>
      </w:r>
      <w:r w:rsidR="00ED25D6" w:rsidRPr="00EB42D2">
        <w:rPr>
          <w:rFonts w:ascii="ITC Avant Garde" w:hAnsi="ITC Avant Garde" w:cs="Arial"/>
          <w:bCs/>
          <w:snapToGrid w:val="0"/>
        </w:rPr>
        <w:t>y</w:t>
      </w:r>
      <w:r w:rsidR="00ED25D6" w:rsidRPr="00EB42D2">
        <w:rPr>
          <w:rFonts w:ascii="ITC Avant Garde" w:hAnsi="ITC Avant Garde"/>
          <w:lang w:val="es-ES" w:eastAsia="es-ES"/>
        </w:rPr>
        <w:t xml:space="preserve"> </w:t>
      </w:r>
      <w:r w:rsidR="00ED25D6" w:rsidRPr="00EB42D2">
        <w:rPr>
          <w:rFonts w:ascii="ITC Avant Garde" w:eastAsia="Times New Roman" w:hAnsi="ITC Avant Garde"/>
          <w:lang w:val="es-ES" w:eastAsia="es-ES"/>
        </w:rPr>
        <w:t>EICSA</w:t>
      </w:r>
      <w:r w:rsidR="00ED25D6" w:rsidRPr="00EB42D2">
        <w:rPr>
          <w:rFonts w:ascii="ITC Avant Garde" w:hAnsi="ITC Avant Garde"/>
          <w:lang w:val="es-ES" w:eastAsia="es-ES"/>
        </w:rPr>
        <w:t xml:space="preserve"> </w:t>
      </w:r>
      <w:r w:rsidRPr="00EB42D2">
        <w:rPr>
          <w:rFonts w:ascii="ITC Avant Garde" w:hAnsi="ITC Avant Garde" w:cs="Arial"/>
        </w:rPr>
        <w:t xml:space="preserve">formalicen los términos, condiciones y tarifas de interconexión que se ordenan a través de la presente Resolución y a tal efecto suscriban </w:t>
      </w:r>
      <w:r w:rsidR="00854AB5" w:rsidRPr="00EB42D2">
        <w:rPr>
          <w:rFonts w:ascii="ITC Avant Garde" w:hAnsi="ITC Avant Garde" w:cs="Arial"/>
        </w:rPr>
        <w:t>el correspondiente convenio</w:t>
      </w:r>
      <w:r w:rsidRPr="00EB42D2">
        <w:rPr>
          <w:rFonts w:ascii="ITC Avant Garde" w:hAnsi="ITC Avant Garde" w:cs="Arial"/>
        </w:rPr>
        <w:t xml:space="preserve">. En tal sentido, dichos concesionarios, conjunta o separadamente, deberán inscribir el convenio de interconexión en el Registro Público de </w:t>
      </w:r>
      <w:r w:rsidR="00651E42" w:rsidRPr="00EB42D2">
        <w:rPr>
          <w:rFonts w:ascii="ITC Avant Garde" w:hAnsi="ITC Avant Garde" w:cs="Arial"/>
        </w:rPr>
        <w:t>Telecomunicacione</w:t>
      </w:r>
      <w:r w:rsidR="00854AB5" w:rsidRPr="00EB42D2">
        <w:rPr>
          <w:rFonts w:ascii="ITC Avant Garde" w:hAnsi="ITC Avant Garde" w:cs="Arial"/>
        </w:rPr>
        <w:t>s</w:t>
      </w:r>
      <w:r w:rsidRPr="00EB42D2">
        <w:rPr>
          <w:rFonts w:ascii="ITC Avant Garde" w:hAnsi="ITC Avant Garde" w:cs="Arial"/>
        </w:rPr>
        <w:t xml:space="preserve"> de conformidad con lo dispuesto por los artículos 128</w:t>
      </w:r>
      <w:r w:rsidR="00854AB5" w:rsidRPr="00EB42D2">
        <w:rPr>
          <w:rFonts w:ascii="ITC Avant Garde" w:hAnsi="ITC Avant Garde" w:cs="Arial"/>
        </w:rPr>
        <w:t>, 176</w:t>
      </w:r>
      <w:r w:rsidRPr="00EB42D2">
        <w:rPr>
          <w:rFonts w:ascii="ITC Avant Garde" w:hAnsi="ITC Avant Garde" w:cs="Arial"/>
        </w:rPr>
        <w:t xml:space="preserve"> y 177, fracción VII de la LFTyR.</w:t>
      </w:r>
    </w:p>
    <w:p w14:paraId="043CB426" w14:textId="77777777" w:rsidR="00EB42D2" w:rsidRPr="00EB42D2" w:rsidRDefault="00D74FC3" w:rsidP="00EB42D2">
      <w:pPr>
        <w:spacing w:after="240"/>
        <w:jc w:val="both"/>
        <w:rPr>
          <w:rFonts w:ascii="ITC Avant Garde" w:hAnsi="ITC Avant Garde" w:cs="Arial"/>
        </w:rPr>
      </w:pPr>
      <w:r w:rsidRPr="00EB42D2">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EB42D2">
        <w:rPr>
          <w:rFonts w:ascii="ITC Avant Garde" w:hAnsi="ITC Avant Garde" w:cs="Arial"/>
        </w:rPr>
        <w:t>,</w:t>
      </w:r>
      <w:r w:rsidRPr="00EB42D2">
        <w:rPr>
          <w:rFonts w:ascii="ITC Avant Garde" w:hAnsi="ITC Avant Garde" w:cs="Arial"/>
        </w:rPr>
        <w:t xml:space="preserve"> 15, fracción X, 17, fracción I, 125, 128, 129, </w:t>
      </w:r>
      <w:r w:rsidR="00651E42" w:rsidRPr="00EB42D2">
        <w:rPr>
          <w:rFonts w:ascii="ITC Avant Garde" w:hAnsi="ITC Avant Garde" w:cs="Arial"/>
        </w:rPr>
        <w:t xml:space="preserve">131 inciso b), </w:t>
      </w:r>
      <w:r w:rsidR="0017008F" w:rsidRPr="00EB42D2">
        <w:rPr>
          <w:rFonts w:ascii="ITC Avant Garde" w:hAnsi="ITC Avant Garde" w:cs="Arial"/>
        </w:rPr>
        <w:t xml:space="preserve">176, 177 fracción VII, </w:t>
      </w:r>
      <w:r w:rsidR="00651E42" w:rsidRPr="00EB42D2">
        <w:rPr>
          <w:rFonts w:ascii="ITC Avant Garde" w:hAnsi="ITC Avant Garde" w:cs="Arial"/>
        </w:rPr>
        <w:t xml:space="preserve">178, </w:t>
      </w:r>
      <w:r w:rsidRPr="00EB42D2">
        <w:rPr>
          <w:rFonts w:ascii="ITC Avant Garde" w:hAnsi="ITC Avant Garde" w:cs="Arial"/>
        </w:rPr>
        <w:t>312 y 313 de la Ley Federal de Telecomunicaciones y Radiodifusión; 32, 35, fracción I, 36, 38, 39, y 57 fracción I</w:t>
      </w:r>
      <w:r w:rsidR="0017008F" w:rsidRPr="00EB42D2">
        <w:rPr>
          <w:rFonts w:ascii="ITC Avant Garde" w:hAnsi="ITC Avant Garde" w:cs="Arial"/>
        </w:rPr>
        <w:t>,</w:t>
      </w:r>
      <w:r w:rsidRPr="00EB42D2">
        <w:rPr>
          <w:rFonts w:ascii="ITC Avant Garde" w:hAnsi="ITC Avant Garde" w:cs="Arial"/>
        </w:rPr>
        <w:t xml:space="preserve"> de la Ley Federal de Procedimiento Administrativo</w:t>
      </w:r>
      <w:r w:rsidR="00ED25D6" w:rsidRPr="00EB42D2">
        <w:rPr>
          <w:rFonts w:ascii="ITC Avant Garde" w:hAnsi="ITC Avant Garde" w:cs="Arial"/>
        </w:rPr>
        <w:t xml:space="preserve"> </w:t>
      </w:r>
      <w:r w:rsidRPr="00EB42D2">
        <w:rPr>
          <w:rFonts w:ascii="ITC Avant Garde" w:hAnsi="ITC Avant Garde" w:cs="Arial"/>
        </w:rPr>
        <w:t>y 4 fracción I y 6, fracción XXXVII del Estatuto Orgánico del Instituto Federal de Telecomunicaciones, el Pleno del Instituto Federal de Telecomunicaciones emite los siguientes:</w:t>
      </w:r>
    </w:p>
    <w:p w14:paraId="1E5FA92A" w14:textId="77777777" w:rsidR="00EB42D2" w:rsidRPr="00EB42D2" w:rsidRDefault="00AC04A2" w:rsidP="00EB42D2">
      <w:pPr>
        <w:pStyle w:val="Ttulo2"/>
        <w:spacing w:after="240"/>
        <w:jc w:val="center"/>
        <w:rPr>
          <w:rFonts w:ascii="ITC Avant Garde" w:hAnsi="ITC Avant Garde" w:cs="Arial"/>
          <w:b w:val="0"/>
        </w:rPr>
      </w:pPr>
      <w:r w:rsidRPr="00EB42D2">
        <w:rPr>
          <w:rFonts w:ascii="ITC Avant Garde" w:hAnsi="ITC Avant Garde" w:cs="Arial"/>
        </w:rPr>
        <w:t>RESOLUTIVOS</w:t>
      </w:r>
    </w:p>
    <w:p w14:paraId="5489BF1D" w14:textId="77777777" w:rsidR="00EB42D2" w:rsidRPr="00EB42D2" w:rsidRDefault="00492198" w:rsidP="00EB42D2">
      <w:pPr>
        <w:spacing w:after="240"/>
        <w:jc w:val="both"/>
        <w:rPr>
          <w:rFonts w:ascii="ITC Avant Garde" w:hAnsi="ITC Avant Garde" w:cs="Arial"/>
        </w:rPr>
      </w:pPr>
      <w:r w:rsidRPr="00EB42D2">
        <w:rPr>
          <w:rFonts w:ascii="ITC Avant Garde" w:hAnsi="ITC Avant Garde" w:cs="Arial"/>
          <w:b/>
        </w:rPr>
        <w:t>PRIMERO</w:t>
      </w:r>
      <w:r w:rsidR="00946933" w:rsidRPr="00EB42D2">
        <w:rPr>
          <w:rFonts w:ascii="ITC Avant Garde" w:hAnsi="ITC Avant Garde" w:cs="Arial"/>
        </w:rPr>
        <w:t xml:space="preserve">.- </w:t>
      </w:r>
      <w:r w:rsidR="007F6DA3" w:rsidRPr="00EB42D2">
        <w:rPr>
          <w:rFonts w:ascii="ITC Avant Garde" w:hAnsi="ITC Avant Garde" w:cs="Arial"/>
        </w:rPr>
        <w:t xml:space="preserve">La tarifa de interconexión que </w:t>
      </w:r>
      <w:r w:rsidR="00AC7607" w:rsidRPr="00EB42D2">
        <w:rPr>
          <w:rFonts w:ascii="ITC Avant Garde" w:hAnsi="ITC Avant Garde" w:cs="Arial"/>
        </w:rPr>
        <w:t xml:space="preserve">Radiomóvil Dipsa, S.A. de C.V. deberá pagar a </w:t>
      </w:r>
      <w:r w:rsidR="00ED25D6" w:rsidRPr="00EB42D2">
        <w:rPr>
          <w:rFonts w:ascii="ITC Avant Garde" w:hAnsi="ITC Avant Garde"/>
          <w:bCs/>
          <w:iCs/>
        </w:rPr>
        <w:t>Electrónica Ingeniería y Comunicaciones, S.A. de C.V.</w:t>
      </w:r>
      <w:r w:rsidR="00AC7607" w:rsidRPr="00EB42D2">
        <w:rPr>
          <w:rFonts w:ascii="ITC Avant Garde" w:hAnsi="ITC Avant Garde" w:cs="Arial"/>
        </w:rPr>
        <w:t xml:space="preserve">, </w:t>
      </w:r>
      <w:r w:rsidR="007F6DA3" w:rsidRPr="00EB42D2">
        <w:rPr>
          <w:rFonts w:ascii="ITC Avant Garde" w:hAnsi="ITC Avant Garde" w:cs="Arial"/>
        </w:rPr>
        <w:t>por servicios de terminación del Servicio Local en usuarios fijos, será la siguiente:</w:t>
      </w:r>
    </w:p>
    <w:p w14:paraId="0FFC008B" w14:textId="77777777" w:rsidR="00EB42D2" w:rsidRPr="00EB42D2" w:rsidRDefault="007F6DA3" w:rsidP="00EB42D2">
      <w:pPr>
        <w:pStyle w:val="Prrafodelista"/>
        <w:numPr>
          <w:ilvl w:val="0"/>
          <w:numId w:val="13"/>
        </w:numPr>
        <w:spacing w:after="240" w:line="276" w:lineRule="auto"/>
        <w:rPr>
          <w:rFonts w:ascii="ITC Avant Garde" w:hAnsi="ITC Avant Garde" w:cs="Arial"/>
          <w:b/>
        </w:rPr>
      </w:pPr>
      <w:r w:rsidRPr="00EB42D2">
        <w:rPr>
          <w:rFonts w:ascii="ITC Avant Garde" w:hAnsi="ITC Avant Garde" w:cs="Arial"/>
          <w:b/>
        </w:rPr>
        <w:t>Del 1 de enero al 31 de diciembre de 2017, $0.003094 pesos M.N. por minuto de interconexión.</w:t>
      </w:r>
    </w:p>
    <w:p w14:paraId="09F5853E" w14:textId="77777777" w:rsidR="00EB42D2" w:rsidRPr="00EB42D2" w:rsidRDefault="00524AC5" w:rsidP="00EB42D2">
      <w:pPr>
        <w:spacing w:after="240"/>
        <w:jc w:val="both"/>
        <w:rPr>
          <w:rFonts w:ascii="ITC Avant Garde" w:eastAsia="Times New Roman" w:hAnsi="ITC Avant Garde"/>
          <w:lang w:eastAsia="es-ES"/>
        </w:rPr>
      </w:pPr>
      <w:r w:rsidRPr="00EB42D2">
        <w:rPr>
          <w:rFonts w:ascii="ITC Avant Garde" w:eastAsia="Times New Roman" w:hAnsi="ITC Avant Garde"/>
          <w:lang w:eastAsia="es-ES"/>
        </w:rPr>
        <w:t>La tarifa anterior ya incluye el costo correspondiente a los puertos necesarios para la interconexión.</w:t>
      </w:r>
    </w:p>
    <w:p w14:paraId="083587D6" w14:textId="77777777" w:rsidR="00EB42D2" w:rsidRPr="00EB42D2" w:rsidRDefault="007F6DA3" w:rsidP="00EB42D2">
      <w:pPr>
        <w:spacing w:after="240"/>
        <w:jc w:val="both"/>
        <w:rPr>
          <w:rFonts w:ascii="ITC Avant Garde" w:hAnsi="ITC Avant Garde" w:cs="Arial"/>
        </w:rPr>
      </w:pPr>
      <w:r w:rsidRPr="00EB42D2">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4F79A3D1" w14:textId="77777777" w:rsidR="00EB42D2" w:rsidRPr="00EB42D2" w:rsidRDefault="007F6DA3" w:rsidP="00EB42D2">
      <w:pPr>
        <w:spacing w:after="240"/>
        <w:jc w:val="both"/>
        <w:rPr>
          <w:rFonts w:ascii="ITC Avant Garde" w:hAnsi="ITC Avant Garde" w:cs="Arial"/>
        </w:rPr>
      </w:pPr>
      <w:r w:rsidRPr="00EB42D2">
        <w:rPr>
          <w:rFonts w:ascii="ITC Avant Garde" w:hAnsi="ITC Avant Garde" w:cs="Arial"/>
          <w:b/>
        </w:rPr>
        <w:t>SEGUNDO</w:t>
      </w:r>
      <w:r w:rsidRPr="00EB42D2">
        <w:rPr>
          <w:rFonts w:ascii="ITC Avant Garde" w:hAnsi="ITC Avant Garde" w:cs="Arial"/>
        </w:rPr>
        <w:t xml:space="preserve">.- </w:t>
      </w:r>
      <w:r w:rsidR="00AC7607" w:rsidRPr="00EB42D2">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Radiomóvil Dipsa, S.A. de C.V. y </w:t>
      </w:r>
      <w:r w:rsidR="00ED25D6" w:rsidRPr="00EB42D2">
        <w:rPr>
          <w:rFonts w:ascii="ITC Avant Garde" w:hAnsi="ITC Avant Garde"/>
          <w:bCs/>
          <w:iCs/>
        </w:rPr>
        <w:t>Electrónica Ingeniería y Comunicaciones, S.A. de C.V.,</w:t>
      </w:r>
      <w:r w:rsidR="00ED25D6" w:rsidRPr="00EB42D2">
        <w:rPr>
          <w:rFonts w:ascii="ITC Avant Garde" w:hAnsi="ITC Avant Garde"/>
          <w:b/>
          <w:bCs/>
          <w:iCs/>
        </w:rPr>
        <w:t xml:space="preserve"> </w:t>
      </w:r>
      <w:r w:rsidR="00AC7607" w:rsidRPr="00EB42D2">
        <w:rPr>
          <w:rFonts w:ascii="ITC Avant Garde" w:hAnsi="ITC Avant Garde" w:cs="Arial"/>
        </w:rPr>
        <w:t xml:space="preserve">deberán celebrar </w:t>
      </w:r>
      <w:r w:rsidR="00752222" w:rsidRPr="00EB42D2">
        <w:rPr>
          <w:rFonts w:ascii="ITC Avant Garde" w:hAnsi="ITC Avant Garde" w:cs="Arial"/>
        </w:rPr>
        <w:t xml:space="preserve">el </w:t>
      </w:r>
      <w:r w:rsidR="00AC7607" w:rsidRPr="00EB42D2">
        <w:rPr>
          <w:rFonts w:ascii="ITC Avant Garde" w:hAnsi="ITC Avant Garde" w:cs="Arial"/>
        </w:rPr>
        <w:t>convenio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A5E6024" w14:textId="77777777" w:rsidR="00EB42D2" w:rsidRPr="00EB42D2" w:rsidRDefault="000166B6" w:rsidP="00EB42D2">
      <w:pPr>
        <w:spacing w:after="240"/>
        <w:jc w:val="both"/>
        <w:rPr>
          <w:rFonts w:ascii="ITC Avant Garde" w:hAnsi="ITC Avant Garde" w:cs="Arial"/>
        </w:rPr>
      </w:pPr>
      <w:r w:rsidRPr="00EB42D2">
        <w:rPr>
          <w:rFonts w:ascii="ITC Avant Garde" w:hAnsi="ITC Avant Garde" w:cs="Arial"/>
          <w:b/>
        </w:rPr>
        <w:t>TERCERO</w:t>
      </w:r>
      <w:r w:rsidR="009B2156" w:rsidRPr="00EB42D2">
        <w:rPr>
          <w:rFonts w:ascii="ITC Avant Garde" w:eastAsia="Times New Roman" w:hAnsi="ITC Avant Garde" w:cs="Arial"/>
          <w:b/>
          <w:bCs/>
        </w:rPr>
        <w:t xml:space="preserve">.- </w:t>
      </w:r>
      <w:r w:rsidR="00AC7607" w:rsidRPr="00EB42D2">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AC7607" w:rsidRPr="00EB42D2">
        <w:rPr>
          <w:rFonts w:ascii="ITC Avant Garde" w:hAnsi="ITC Avant Garde" w:cs="Arial"/>
        </w:rPr>
        <w:t xml:space="preserve">Radiomóvil Dipsa, S.A. de C.V. </w:t>
      </w:r>
      <w:r w:rsidR="00AC7607" w:rsidRPr="00EB42D2">
        <w:rPr>
          <w:rFonts w:ascii="ITC Avant Garde" w:hAnsi="ITC Avant Garde"/>
          <w:lang w:eastAsia="es-ES"/>
        </w:rPr>
        <w:t xml:space="preserve">y </w:t>
      </w:r>
      <w:r w:rsidR="00ED25D6" w:rsidRPr="00EB42D2">
        <w:rPr>
          <w:rFonts w:ascii="ITC Avant Garde" w:hAnsi="ITC Avant Garde"/>
          <w:bCs/>
          <w:iCs/>
        </w:rPr>
        <w:t>Electrónica Ingeniería y Comunicaciones, S.A. de C.V.</w:t>
      </w:r>
      <w:r w:rsidR="00AC7607" w:rsidRPr="00EB42D2">
        <w:rPr>
          <w:rFonts w:ascii="ITC Avant Garde" w:hAnsi="ITC Avant Garde"/>
          <w:lang w:eastAsia="es-ES"/>
        </w:rPr>
        <w:t>,</w:t>
      </w:r>
      <w:r w:rsidR="00AC7607" w:rsidRPr="00EB42D2">
        <w:rPr>
          <w:rFonts w:ascii="ITC Avant Garde" w:hAnsi="ITC Avant Garde" w:cs="Arial"/>
        </w:rPr>
        <w:t xml:space="preserve"> </w:t>
      </w:r>
      <w:r w:rsidR="00AC7607" w:rsidRPr="00EB42D2">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32A937FD" w14:textId="088E68FD" w:rsidR="00D93A72" w:rsidRPr="00EB42D2" w:rsidRDefault="000166B6" w:rsidP="00EB42D2">
      <w:pPr>
        <w:spacing w:after="240"/>
        <w:jc w:val="both"/>
        <w:rPr>
          <w:rFonts w:ascii="ITC Avant Garde" w:hAnsi="ITC Avant Garde"/>
          <w:lang w:eastAsia="es-ES"/>
        </w:rPr>
      </w:pPr>
      <w:r w:rsidRPr="00EB42D2">
        <w:rPr>
          <w:rFonts w:ascii="ITC Avant Garde" w:hAnsi="ITC Avant Garde" w:cs="Arial"/>
          <w:b/>
        </w:rPr>
        <w:t>CUARTO</w:t>
      </w:r>
      <w:r w:rsidR="00C1518B" w:rsidRPr="00EB42D2">
        <w:rPr>
          <w:rFonts w:ascii="ITC Avant Garde" w:hAnsi="ITC Avant Garde" w:cs="Arial"/>
          <w:b/>
          <w:snapToGrid w:val="0"/>
        </w:rPr>
        <w:t>.-</w:t>
      </w:r>
      <w:r w:rsidR="00C1518B" w:rsidRPr="00EB42D2">
        <w:rPr>
          <w:rFonts w:ascii="ITC Avant Garde" w:hAnsi="ITC Avant Garde" w:cs="Arial"/>
        </w:rPr>
        <w:t xml:space="preserve"> </w:t>
      </w:r>
      <w:r w:rsidR="00AC7607" w:rsidRPr="00EB42D2">
        <w:rPr>
          <w:rFonts w:ascii="ITC Avant Garde" w:hAnsi="ITC Avant Garde" w:cs="Arial"/>
        </w:rPr>
        <w:t xml:space="preserve">Notifíquese personalmente a los representantes legales de Radiomóvil Dipsa, S.A. de C.V. y </w:t>
      </w:r>
      <w:r w:rsidR="00AD29D0" w:rsidRPr="00EB42D2">
        <w:rPr>
          <w:rFonts w:ascii="ITC Avant Garde" w:hAnsi="ITC Avant Garde"/>
          <w:bCs/>
          <w:iCs/>
        </w:rPr>
        <w:t>Electrónica Ingeniería y Comunicaciones, S.A. de C.V.</w:t>
      </w:r>
      <w:r w:rsidR="00AC7607" w:rsidRPr="00EB42D2">
        <w:rPr>
          <w:rFonts w:ascii="ITC Avant Garde" w:hAnsi="ITC Avant Garde" w:cs="Arial"/>
        </w:rPr>
        <w:t>,</w:t>
      </w:r>
      <w:r w:rsidR="00AC7607" w:rsidRPr="00EB42D2">
        <w:rPr>
          <w:rFonts w:ascii="ITC Avant Garde" w:hAnsi="ITC Avant Garde"/>
        </w:rPr>
        <w:t xml:space="preserve"> </w:t>
      </w:r>
      <w:r w:rsidR="00AC7607" w:rsidRPr="00EB42D2">
        <w:rPr>
          <w:rFonts w:ascii="ITC Avant Garde" w:hAnsi="ITC Avant Garde" w:cs="Arial"/>
          <w:bCs/>
        </w:rPr>
        <w:t>el</w:t>
      </w:r>
      <w:r w:rsidR="00AC7607" w:rsidRPr="00EB42D2">
        <w:rPr>
          <w:rFonts w:ascii="ITC Avant Garde" w:hAnsi="ITC Avant Garde" w:cs="Arial"/>
        </w:rPr>
        <w:t xml:space="preserve"> contenido de la presente Resolución, en términos de lo establecido en el artículo 129, fracción VIII de la Ley Federal de Telecomunicaciones y Radiodifusión.</w:t>
      </w:r>
    </w:p>
    <w:p w14:paraId="3F575A02" w14:textId="77777777" w:rsidR="00EB42D2" w:rsidRDefault="00DA459B" w:rsidP="00EB42D2">
      <w:pPr>
        <w:spacing w:before="240" w:after="240" w:line="240" w:lineRule="auto"/>
        <w:jc w:val="both"/>
        <w:rPr>
          <w:rFonts w:ascii="ITC Avant Garde" w:hAnsi="ITC Avant Garde"/>
          <w:sz w:val="13"/>
          <w:szCs w:val="13"/>
          <w:lang w:val="es-ES_tradnl"/>
        </w:rPr>
      </w:pPr>
      <w:r w:rsidRPr="00EB42D2">
        <w:rPr>
          <w:rFonts w:ascii="ITC Avant Garde" w:hAnsi="ITC Avant Garde"/>
          <w:sz w:val="13"/>
          <w:szCs w:val="13"/>
        </w:rPr>
        <w:t xml:space="preserve">La presente Resolución fue aprobada por el Pleno del Instituto Federal de Telecomunicaciones en su XXXIV Sesión Ordinaria celebrada el </w:t>
      </w:r>
      <w:r w:rsidRPr="00EB42D2">
        <w:rPr>
          <w:rFonts w:ascii="ITC Avant Garde" w:hAnsi="ITC Avant Garde"/>
          <w:sz w:val="13"/>
          <w:szCs w:val="13"/>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EB42D2">
        <w:rPr>
          <w:rFonts w:ascii="ITC Avant Garde" w:hAnsi="ITC Avant Garde"/>
          <w:sz w:val="13"/>
          <w:szCs w:val="13"/>
          <w:lang w:val="es-ES_tradnl"/>
        </w:rPr>
        <w:t>iante Acuerdo P/IFT/191016/562.</w:t>
      </w:r>
    </w:p>
    <w:p w14:paraId="1B5714E4" w14:textId="1524CF47" w:rsidR="00F23DB2" w:rsidRPr="00EB42D2" w:rsidRDefault="00DA459B" w:rsidP="00EB42D2">
      <w:pPr>
        <w:spacing w:before="240" w:after="240" w:line="240" w:lineRule="auto"/>
        <w:jc w:val="both"/>
      </w:pPr>
      <w:bookmarkStart w:id="6" w:name="_GoBack"/>
      <w:bookmarkEnd w:id="6"/>
      <w:r w:rsidRPr="00EB42D2">
        <w:rPr>
          <w:rFonts w:ascii="ITC Avant Garde" w:hAnsi="ITC Avant Garde"/>
          <w:sz w:val="13"/>
          <w:szCs w:val="13"/>
          <w:lang w:val="es-ES_tradnl"/>
        </w:rPr>
        <w:t xml:space="preserve">El Comisionado Presidente Gabriel Oswaldo Contreras Saldívar </w:t>
      </w:r>
      <w:r w:rsidRPr="00EB42D2">
        <w:rPr>
          <w:rFonts w:ascii="ITC Avant Garde" w:hAnsi="ITC Avant Garde"/>
          <w:sz w:val="13"/>
          <w:szCs w:val="13"/>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F23DB2" w:rsidRPr="00EB42D2" w:rsidSect="00C30E43">
      <w:headerReference w:type="even" r:id="rId11"/>
      <w:footerReference w:type="default" r:id="rId12"/>
      <w:headerReference w:type="first" r:id="rId13"/>
      <w:pgSz w:w="12240" w:h="15840"/>
      <w:pgMar w:top="1985" w:right="1418" w:bottom="1134"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0CBE0" w14:textId="77777777" w:rsidR="00476DDD" w:rsidRDefault="00476DDD" w:rsidP="00072BC8">
      <w:pPr>
        <w:spacing w:after="0" w:line="240" w:lineRule="auto"/>
      </w:pPr>
      <w:r>
        <w:separator/>
      </w:r>
    </w:p>
  </w:endnote>
  <w:endnote w:type="continuationSeparator" w:id="0">
    <w:p w14:paraId="5CC558C8" w14:textId="77777777" w:rsidR="00476DDD" w:rsidRDefault="00476DD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115088"/>
      <w:docPartObj>
        <w:docPartGallery w:val="Page Numbers (Bottom of Page)"/>
        <w:docPartUnique/>
      </w:docPartObj>
    </w:sdtPr>
    <w:sdtEndPr/>
    <w:sdtContent>
      <w:p w14:paraId="0E4C02AB" w14:textId="142A913D" w:rsidR="00AD29D0" w:rsidRPr="00EB42D2" w:rsidRDefault="00C30E43" w:rsidP="00EB42D2">
        <w:pPr>
          <w:pStyle w:val="Piedepgina"/>
          <w:jc w:val="right"/>
        </w:pPr>
        <w:r>
          <w:fldChar w:fldCharType="begin"/>
        </w:r>
        <w:r>
          <w:instrText>PAGE   \* MERGEFORMAT</w:instrText>
        </w:r>
        <w:r>
          <w:fldChar w:fldCharType="separate"/>
        </w:r>
        <w:r w:rsidR="00EB42D2" w:rsidRPr="00EB42D2">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D6D6" w14:textId="77777777" w:rsidR="00476DDD" w:rsidRDefault="00476DDD" w:rsidP="00072BC8">
      <w:pPr>
        <w:spacing w:after="0" w:line="240" w:lineRule="auto"/>
      </w:pPr>
      <w:r>
        <w:separator/>
      </w:r>
    </w:p>
  </w:footnote>
  <w:footnote w:type="continuationSeparator" w:id="0">
    <w:p w14:paraId="34028191" w14:textId="77777777" w:rsidR="00476DDD" w:rsidRDefault="00476DD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B728" w14:textId="77777777" w:rsidR="00AD29D0" w:rsidRDefault="00EB42D2">
    <w:pPr>
      <w:pStyle w:val="Encabezado"/>
    </w:pPr>
    <w:r>
      <w:rPr>
        <w:noProof/>
        <w:lang w:eastAsia="es-MX"/>
      </w:rPr>
      <w:pict w14:anchorId="3B195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0434" w14:textId="77777777" w:rsidR="00AD29D0" w:rsidRDefault="00EB42D2">
    <w:pPr>
      <w:pStyle w:val="Encabezado"/>
    </w:pPr>
    <w:r>
      <w:rPr>
        <w:noProof/>
        <w:lang w:eastAsia="es-MX"/>
      </w:rPr>
      <w:pict w14:anchorId="57306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0F4F6ED8"/>
    <w:multiLevelType w:val="hybridMultilevel"/>
    <w:tmpl w:val="3C2A92A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A2C3189"/>
    <w:multiLevelType w:val="multilevel"/>
    <w:tmpl w:val="1A8E0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64404F"/>
    <w:multiLevelType w:val="hybridMultilevel"/>
    <w:tmpl w:val="327896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42481"/>
    <w:multiLevelType w:val="hybridMultilevel"/>
    <w:tmpl w:val="64A6B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F55C16"/>
    <w:multiLevelType w:val="hybridMultilevel"/>
    <w:tmpl w:val="6CE89BFE"/>
    <w:lvl w:ilvl="0" w:tplc="B24C9F28">
      <w:start w:val="1"/>
      <w:numFmt w:val="upperRoman"/>
      <w:lvlText w:val="%1."/>
      <w:lvlJc w:val="left"/>
      <w:pPr>
        <w:ind w:left="1080" w:hanging="720"/>
      </w:pPr>
      <w:rPr>
        <w:rFonts w:eastAsia="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E23FBF"/>
    <w:multiLevelType w:val="hybridMultilevel"/>
    <w:tmpl w:val="EC0626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6B3744"/>
    <w:multiLevelType w:val="hybridMultilevel"/>
    <w:tmpl w:val="6BE0031A"/>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5C596C"/>
    <w:multiLevelType w:val="hybridMultilevel"/>
    <w:tmpl w:val="A5AEA0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3954677"/>
    <w:multiLevelType w:val="hybridMultilevel"/>
    <w:tmpl w:val="AD16DB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93C26"/>
    <w:multiLevelType w:val="hybridMultilevel"/>
    <w:tmpl w:val="59ACAE2A"/>
    <w:lvl w:ilvl="0" w:tplc="080A0017">
      <w:start w:val="1"/>
      <w:numFmt w:val="lowerLetter"/>
      <w:lvlText w:val="%1)"/>
      <w:lvlJc w:val="left"/>
      <w:pPr>
        <w:ind w:left="720" w:hanging="360"/>
      </w:pPr>
    </w:lvl>
    <w:lvl w:ilvl="1" w:tplc="2ADCC40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6"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5"/>
  </w:num>
  <w:num w:numId="2">
    <w:abstractNumId w:val="16"/>
  </w:num>
  <w:num w:numId="3">
    <w:abstractNumId w:val="36"/>
  </w:num>
  <w:num w:numId="4">
    <w:abstractNumId w:val="0"/>
  </w:num>
  <w:num w:numId="5">
    <w:abstractNumId w:val="1"/>
  </w:num>
  <w:num w:numId="6">
    <w:abstractNumId w:val="22"/>
  </w:num>
  <w:num w:numId="7">
    <w:abstractNumId w:val="17"/>
  </w:num>
  <w:num w:numId="8">
    <w:abstractNumId w:val="34"/>
  </w:num>
  <w:num w:numId="9">
    <w:abstractNumId w:val="10"/>
  </w:num>
  <w:num w:numId="10">
    <w:abstractNumId w:val="19"/>
  </w:num>
  <w:num w:numId="11">
    <w:abstractNumId w:val="9"/>
  </w:num>
  <w:num w:numId="12">
    <w:abstractNumId w:val="37"/>
  </w:num>
  <w:num w:numId="13">
    <w:abstractNumId w:val="40"/>
  </w:num>
  <w:num w:numId="14">
    <w:abstractNumId w:val="5"/>
  </w:num>
  <w:num w:numId="15">
    <w:abstractNumId w:val="43"/>
  </w:num>
  <w:num w:numId="16">
    <w:abstractNumId w:val="42"/>
  </w:num>
  <w:num w:numId="17">
    <w:abstractNumId w:val="46"/>
  </w:num>
  <w:num w:numId="18">
    <w:abstractNumId w:val="26"/>
  </w:num>
  <w:num w:numId="19">
    <w:abstractNumId w:val="21"/>
  </w:num>
  <w:num w:numId="20">
    <w:abstractNumId w:val="38"/>
  </w:num>
  <w:num w:numId="21">
    <w:abstractNumId w:val="39"/>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4"/>
  </w:num>
  <w:num w:numId="26">
    <w:abstractNumId w:val="20"/>
  </w:num>
  <w:num w:numId="27">
    <w:abstractNumId w:val="12"/>
  </w:num>
  <w:num w:numId="28">
    <w:abstractNumId w:val="27"/>
  </w:num>
  <w:num w:numId="29">
    <w:abstractNumId w:val="2"/>
  </w:num>
  <w:num w:numId="30">
    <w:abstractNumId w:val="7"/>
  </w:num>
  <w:num w:numId="31">
    <w:abstractNumId w:val="23"/>
  </w:num>
  <w:num w:numId="32">
    <w:abstractNumId w:val="25"/>
  </w:num>
  <w:num w:numId="33">
    <w:abstractNumId w:val="3"/>
  </w:num>
  <w:num w:numId="34">
    <w:abstractNumId w:val="28"/>
  </w:num>
  <w:num w:numId="35">
    <w:abstractNumId w:val="29"/>
  </w:num>
  <w:num w:numId="36">
    <w:abstractNumId w:val="13"/>
  </w:num>
  <w:num w:numId="37">
    <w:abstractNumId w:val="4"/>
  </w:num>
  <w:num w:numId="38">
    <w:abstractNumId w:val="45"/>
  </w:num>
  <w:num w:numId="39">
    <w:abstractNumId w:val="18"/>
  </w:num>
  <w:num w:numId="40">
    <w:abstractNumId w:val="6"/>
  </w:num>
  <w:num w:numId="41">
    <w:abstractNumId w:val="14"/>
  </w:num>
  <w:num w:numId="42">
    <w:abstractNumId w:val="11"/>
  </w:num>
  <w:num w:numId="43">
    <w:abstractNumId w:val="24"/>
  </w:num>
  <w:num w:numId="44">
    <w:abstractNumId w:val="33"/>
  </w:num>
  <w:num w:numId="45">
    <w:abstractNumId w:val="31"/>
  </w:num>
  <w:num w:numId="46">
    <w:abstractNumId w:val="41"/>
  </w:num>
  <w:num w:numId="47">
    <w:abstractNumId w:val="8"/>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04FF4"/>
    <w:rsid w:val="000065B8"/>
    <w:rsid w:val="000071B9"/>
    <w:rsid w:val="00010F09"/>
    <w:rsid w:val="00011447"/>
    <w:rsid w:val="00011561"/>
    <w:rsid w:val="000118E1"/>
    <w:rsid w:val="00012309"/>
    <w:rsid w:val="00014B54"/>
    <w:rsid w:val="000154B0"/>
    <w:rsid w:val="000166B6"/>
    <w:rsid w:val="00016E9D"/>
    <w:rsid w:val="00020418"/>
    <w:rsid w:val="000205C9"/>
    <w:rsid w:val="0002132F"/>
    <w:rsid w:val="00021C46"/>
    <w:rsid w:val="000223AB"/>
    <w:rsid w:val="00023013"/>
    <w:rsid w:val="00025CA4"/>
    <w:rsid w:val="00031686"/>
    <w:rsid w:val="00033BE9"/>
    <w:rsid w:val="000351CF"/>
    <w:rsid w:val="000358CA"/>
    <w:rsid w:val="00036447"/>
    <w:rsid w:val="00036B81"/>
    <w:rsid w:val="000377C2"/>
    <w:rsid w:val="00037889"/>
    <w:rsid w:val="000401BD"/>
    <w:rsid w:val="00040E89"/>
    <w:rsid w:val="000411CB"/>
    <w:rsid w:val="00041E55"/>
    <w:rsid w:val="00042E7E"/>
    <w:rsid w:val="00045CB9"/>
    <w:rsid w:val="00046F80"/>
    <w:rsid w:val="00052044"/>
    <w:rsid w:val="00053422"/>
    <w:rsid w:val="00053BDE"/>
    <w:rsid w:val="00055842"/>
    <w:rsid w:val="000569A7"/>
    <w:rsid w:val="00057A2A"/>
    <w:rsid w:val="00060D36"/>
    <w:rsid w:val="000632C4"/>
    <w:rsid w:val="00067018"/>
    <w:rsid w:val="00071002"/>
    <w:rsid w:val="000718F8"/>
    <w:rsid w:val="000720EE"/>
    <w:rsid w:val="00072BC8"/>
    <w:rsid w:val="00073DDC"/>
    <w:rsid w:val="00074558"/>
    <w:rsid w:val="00075376"/>
    <w:rsid w:val="0007599B"/>
    <w:rsid w:val="0007607F"/>
    <w:rsid w:val="0007621B"/>
    <w:rsid w:val="00081068"/>
    <w:rsid w:val="00081503"/>
    <w:rsid w:val="00081B80"/>
    <w:rsid w:val="00081C98"/>
    <w:rsid w:val="00081CFB"/>
    <w:rsid w:val="00082BAF"/>
    <w:rsid w:val="00083396"/>
    <w:rsid w:val="00083ECA"/>
    <w:rsid w:val="000901D2"/>
    <w:rsid w:val="00090DF5"/>
    <w:rsid w:val="00091012"/>
    <w:rsid w:val="00096D65"/>
    <w:rsid w:val="00096FE1"/>
    <w:rsid w:val="00097822"/>
    <w:rsid w:val="000978F0"/>
    <w:rsid w:val="000A05E5"/>
    <w:rsid w:val="000A1910"/>
    <w:rsid w:val="000A2091"/>
    <w:rsid w:val="000A271E"/>
    <w:rsid w:val="000A2AF8"/>
    <w:rsid w:val="000A50DB"/>
    <w:rsid w:val="000A5E4A"/>
    <w:rsid w:val="000A7D62"/>
    <w:rsid w:val="000B0DC1"/>
    <w:rsid w:val="000B334C"/>
    <w:rsid w:val="000B3735"/>
    <w:rsid w:val="000B48AE"/>
    <w:rsid w:val="000B4D2F"/>
    <w:rsid w:val="000B6FE2"/>
    <w:rsid w:val="000C1F38"/>
    <w:rsid w:val="000C27E7"/>
    <w:rsid w:val="000C2CF4"/>
    <w:rsid w:val="000C3FFE"/>
    <w:rsid w:val="000C4877"/>
    <w:rsid w:val="000C54AE"/>
    <w:rsid w:val="000C634E"/>
    <w:rsid w:val="000C6FC6"/>
    <w:rsid w:val="000D04CA"/>
    <w:rsid w:val="000D09FD"/>
    <w:rsid w:val="000D1A16"/>
    <w:rsid w:val="000D1C0D"/>
    <w:rsid w:val="000D2689"/>
    <w:rsid w:val="000D4A3A"/>
    <w:rsid w:val="000D54FF"/>
    <w:rsid w:val="000E305E"/>
    <w:rsid w:val="000E338D"/>
    <w:rsid w:val="000E4C0A"/>
    <w:rsid w:val="000E6467"/>
    <w:rsid w:val="000E6F53"/>
    <w:rsid w:val="000F3AAC"/>
    <w:rsid w:val="000F4101"/>
    <w:rsid w:val="000F54AB"/>
    <w:rsid w:val="000F5BEC"/>
    <w:rsid w:val="001005AB"/>
    <w:rsid w:val="00100F15"/>
    <w:rsid w:val="00102C7D"/>
    <w:rsid w:val="00104C74"/>
    <w:rsid w:val="0010524D"/>
    <w:rsid w:val="001056DB"/>
    <w:rsid w:val="00106523"/>
    <w:rsid w:val="001100CF"/>
    <w:rsid w:val="0011030F"/>
    <w:rsid w:val="001114D6"/>
    <w:rsid w:val="0011309A"/>
    <w:rsid w:val="00113E2E"/>
    <w:rsid w:val="00114132"/>
    <w:rsid w:val="001150FE"/>
    <w:rsid w:val="00115D64"/>
    <w:rsid w:val="001175D7"/>
    <w:rsid w:val="001179F4"/>
    <w:rsid w:val="00117F04"/>
    <w:rsid w:val="00120E4C"/>
    <w:rsid w:val="001226C1"/>
    <w:rsid w:val="0012304B"/>
    <w:rsid w:val="00123137"/>
    <w:rsid w:val="0012475C"/>
    <w:rsid w:val="00125F77"/>
    <w:rsid w:val="001272DB"/>
    <w:rsid w:val="00132267"/>
    <w:rsid w:val="00132D70"/>
    <w:rsid w:val="001335BC"/>
    <w:rsid w:val="0013473E"/>
    <w:rsid w:val="00140E59"/>
    <w:rsid w:val="0014228B"/>
    <w:rsid w:val="0014251D"/>
    <w:rsid w:val="00142697"/>
    <w:rsid w:val="0014294E"/>
    <w:rsid w:val="00142F0C"/>
    <w:rsid w:val="001514AC"/>
    <w:rsid w:val="00153C43"/>
    <w:rsid w:val="00154FAD"/>
    <w:rsid w:val="00155EF8"/>
    <w:rsid w:val="00156026"/>
    <w:rsid w:val="00157BBE"/>
    <w:rsid w:val="00162067"/>
    <w:rsid w:val="00162A30"/>
    <w:rsid w:val="001639C6"/>
    <w:rsid w:val="0017008F"/>
    <w:rsid w:val="001718B2"/>
    <w:rsid w:val="00173018"/>
    <w:rsid w:val="001755FC"/>
    <w:rsid w:val="00175EFA"/>
    <w:rsid w:val="00175FA8"/>
    <w:rsid w:val="00176F5F"/>
    <w:rsid w:val="001803C9"/>
    <w:rsid w:val="001813C5"/>
    <w:rsid w:val="001840B6"/>
    <w:rsid w:val="00186CD7"/>
    <w:rsid w:val="0019438F"/>
    <w:rsid w:val="0019449A"/>
    <w:rsid w:val="00195DC5"/>
    <w:rsid w:val="001960F0"/>
    <w:rsid w:val="00197E92"/>
    <w:rsid w:val="001A1DE7"/>
    <w:rsid w:val="001A48DD"/>
    <w:rsid w:val="001A4C2D"/>
    <w:rsid w:val="001A604E"/>
    <w:rsid w:val="001A7B3A"/>
    <w:rsid w:val="001A7C52"/>
    <w:rsid w:val="001A7F98"/>
    <w:rsid w:val="001B33C4"/>
    <w:rsid w:val="001B3498"/>
    <w:rsid w:val="001B386E"/>
    <w:rsid w:val="001B48C1"/>
    <w:rsid w:val="001B58A1"/>
    <w:rsid w:val="001B6768"/>
    <w:rsid w:val="001B7C7A"/>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D0F"/>
    <w:rsid w:val="001E3E45"/>
    <w:rsid w:val="001E5F55"/>
    <w:rsid w:val="001E6A98"/>
    <w:rsid w:val="001E7FFA"/>
    <w:rsid w:val="001F113D"/>
    <w:rsid w:val="001F2F07"/>
    <w:rsid w:val="001F325B"/>
    <w:rsid w:val="001F3BC9"/>
    <w:rsid w:val="001F5065"/>
    <w:rsid w:val="001F6109"/>
    <w:rsid w:val="001F7E23"/>
    <w:rsid w:val="002007A5"/>
    <w:rsid w:val="00201286"/>
    <w:rsid w:val="002012FB"/>
    <w:rsid w:val="00202465"/>
    <w:rsid w:val="00202893"/>
    <w:rsid w:val="002032A7"/>
    <w:rsid w:val="00204F43"/>
    <w:rsid w:val="0020508C"/>
    <w:rsid w:val="002059D2"/>
    <w:rsid w:val="00207B91"/>
    <w:rsid w:val="00207FD9"/>
    <w:rsid w:val="00210F73"/>
    <w:rsid w:val="00212019"/>
    <w:rsid w:val="00212CDB"/>
    <w:rsid w:val="00213DC6"/>
    <w:rsid w:val="00217CF8"/>
    <w:rsid w:val="00223B93"/>
    <w:rsid w:val="0022460D"/>
    <w:rsid w:val="00226930"/>
    <w:rsid w:val="0022718B"/>
    <w:rsid w:val="00232283"/>
    <w:rsid w:val="0023288D"/>
    <w:rsid w:val="002356B1"/>
    <w:rsid w:val="0023752B"/>
    <w:rsid w:val="00241FA8"/>
    <w:rsid w:val="00242E29"/>
    <w:rsid w:val="0024328F"/>
    <w:rsid w:val="00243B5A"/>
    <w:rsid w:val="00244C7A"/>
    <w:rsid w:val="00244F4B"/>
    <w:rsid w:val="00250617"/>
    <w:rsid w:val="0025109B"/>
    <w:rsid w:val="002534E8"/>
    <w:rsid w:val="00253639"/>
    <w:rsid w:val="00253E94"/>
    <w:rsid w:val="00254390"/>
    <w:rsid w:val="00254946"/>
    <w:rsid w:val="002618FF"/>
    <w:rsid w:val="00262B42"/>
    <w:rsid w:val="002659C5"/>
    <w:rsid w:val="00270B02"/>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FD6"/>
    <w:rsid w:val="002B20B2"/>
    <w:rsid w:val="002B2865"/>
    <w:rsid w:val="002B4382"/>
    <w:rsid w:val="002B69B0"/>
    <w:rsid w:val="002B711E"/>
    <w:rsid w:val="002C05D5"/>
    <w:rsid w:val="002C12B0"/>
    <w:rsid w:val="002C21CB"/>
    <w:rsid w:val="002C3D16"/>
    <w:rsid w:val="002C50F4"/>
    <w:rsid w:val="002C730E"/>
    <w:rsid w:val="002C75D2"/>
    <w:rsid w:val="002D1D4B"/>
    <w:rsid w:val="002D2EF5"/>
    <w:rsid w:val="002D3BF7"/>
    <w:rsid w:val="002D4C98"/>
    <w:rsid w:val="002D7FBC"/>
    <w:rsid w:val="002E015C"/>
    <w:rsid w:val="002E1682"/>
    <w:rsid w:val="002E6B97"/>
    <w:rsid w:val="002E71F1"/>
    <w:rsid w:val="002E71F9"/>
    <w:rsid w:val="002E7629"/>
    <w:rsid w:val="002E7677"/>
    <w:rsid w:val="002F3BC8"/>
    <w:rsid w:val="002F4DD7"/>
    <w:rsid w:val="003001CB"/>
    <w:rsid w:val="003012D4"/>
    <w:rsid w:val="00302363"/>
    <w:rsid w:val="0030484F"/>
    <w:rsid w:val="0030517D"/>
    <w:rsid w:val="00305E45"/>
    <w:rsid w:val="00306204"/>
    <w:rsid w:val="003067F0"/>
    <w:rsid w:val="00307639"/>
    <w:rsid w:val="00307F97"/>
    <w:rsid w:val="00311A21"/>
    <w:rsid w:val="00312193"/>
    <w:rsid w:val="0031277B"/>
    <w:rsid w:val="0031524F"/>
    <w:rsid w:val="00315919"/>
    <w:rsid w:val="00317F0E"/>
    <w:rsid w:val="00320BD7"/>
    <w:rsid w:val="00320FCB"/>
    <w:rsid w:val="00321C60"/>
    <w:rsid w:val="00323EF9"/>
    <w:rsid w:val="00324F2B"/>
    <w:rsid w:val="0032675C"/>
    <w:rsid w:val="00331467"/>
    <w:rsid w:val="00332D30"/>
    <w:rsid w:val="003360A5"/>
    <w:rsid w:val="00340CF2"/>
    <w:rsid w:val="00343316"/>
    <w:rsid w:val="003476EE"/>
    <w:rsid w:val="00347758"/>
    <w:rsid w:val="003505BC"/>
    <w:rsid w:val="0035272A"/>
    <w:rsid w:val="00353A56"/>
    <w:rsid w:val="00354349"/>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65E9"/>
    <w:rsid w:val="00376D64"/>
    <w:rsid w:val="0038200D"/>
    <w:rsid w:val="003821F7"/>
    <w:rsid w:val="00383334"/>
    <w:rsid w:val="00384051"/>
    <w:rsid w:val="0038511E"/>
    <w:rsid w:val="00385C0C"/>
    <w:rsid w:val="00390CDA"/>
    <w:rsid w:val="0039193D"/>
    <w:rsid w:val="00394255"/>
    <w:rsid w:val="00394A6D"/>
    <w:rsid w:val="00395304"/>
    <w:rsid w:val="003A1BA9"/>
    <w:rsid w:val="003A2FA7"/>
    <w:rsid w:val="003A3C8A"/>
    <w:rsid w:val="003A451D"/>
    <w:rsid w:val="003A49C5"/>
    <w:rsid w:val="003A5479"/>
    <w:rsid w:val="003A5B4B"/>
    <w:rsid w:val="003A5C87"/>
    <w:rsid w:val="003A7B99"/>
    <w:rsid w:val="003B083D"/>
    <w:rsid w:val="003B1995"/>
    <w:rsid w:val="003B1B27"/>
    <w:rsid w:val="003B3FCD"/>
    <w:rsid w:val="003B4F28"/>
    <w:rsid w:val="003B5632"/>
    <w:rsid w:val="003B56D0"/>
    <w:rsid w:val="003B7A53"/>
    <w:rsid w:val="003C0C30"/>
    <w:rsid w:val="003C0C79"/>
    <w:rsid w:val="003C27D5"/>
    <w:rsid w:val="003C2F9A"/>
    <w:rsid w:val="003C3901"/>
    <w:rsid w:val="003C657A"/>
    <w:rsid w:val="003C6814"/>
    <w:rsid w:val="003D10E6"/>
    <w:rsid w:val="003D2034"/>
    <w:rsid w:val="003D2097"/>
    <w:rsid w:val="003D5039"/>
    <w:rsid w:val="003D61A1"/>
    <w:rsid w:val="003D719A"/>
    <w:rsid w:val="003E14D5"/>
    <w:rsid w:val="003E3311"/>
    <w:rsid w:val="003E53A0"/>
    <w:rsid w:val="003E75E6"/>
    <w:rsid w:val="003F0E9A"/>
    <w:rsid w:val="003F10EE"/>
    <w:rsid w:val="003F3648"/>
    <w:rsid w:val="003F5ABC"/>
    <w:rsid w:val="003F6162"/>
    <w:rsid w:val="003F6727"/>
    <w:rsid w:val="003F6797"/>
    <w:rsid w:val="004007ED"/>
    <w:rsid w:val="00400F9A"/>
    <w:rsid w:val="004059C9"/>
    <w:rsid w:val="0040651D"/>
    <w:rsid w:val="00411010"/>
    <w:rsid w:val="004114EB"/>
    <w:rsid w:val="00411ED0"/>
    <w:rsid w:val="00413744"/>
    <w:rsid w:val="0041774A"/>
    <w:rsid w:val="004203FE"/>
    <w:rsid w:val="004237B6"/>
    <w:rsid w:val="00423F65"/>
    <w:rsid w:val="00423F95"/>
    <w:rsid w:val="00425C7A"/>
    <w:rsid w:val="00426594"/>
    <w:rsid w:val="004265EF"/>
    <w:rsid w:val="00427A65"/>
    <w:rsid w:val="004302BF"/>
    <w:rsid w:val="004325A4"/>
    <w:rsid w:val="00434B05"/>
    <w:rsid w:val="00435420"/>
    <w:rsid w:val="00435466"/>
    <w:rsid w:val="004359B5"/>
    <w:rsid w:val="00436827"/>
    <w:rsid w:val="00436B02"/>
    <w:rsid w:val="00436C90"/>
    <w:rsid w:val="00442B48"/>
    <w:rsid w:val="00444790"/>
    <w:rsid w:val="00450136"/>
    <w:rsid w:val="00450D28"/>
    <w:rsid w:val="00450F7F"/>
    <w:rsid w:val="004511A0"/>
    <w:rsid w:val="0045681D"/>
    <w:rsid w:val="00457370"/>
    <w:rsid w:val="004573DA"/>
    <w:rsid w:val="00460408"/>
    <w:rsid w:val="00460F82"/>
    <w:rsid w:val="00461629"/>
    <w:rsid w:val="0046270B"/>
    <w:rsid w:val="0046304E"/>
    <w:rsid w:val="00463A03"/>
    <w:rsid w:val="00464CFB"/>
    <w:rsid w:val="00465308"/>
    <w:rsid w:val="00466E9A"/>
    <w:rsid w:val="004709AF"/>
    <w:rsid w:val="004709B8"/>
    <w:rsid w:val="00470AEC"/>
    <w:rsid w:val="00476DDD"/>
    <w:rsid w:val="00482BD2"/>
    <w:rsid w:val="00483036"/>
    <w:rsid w:val="00483F69"/>
    <w:rsid w:val="00484CCD"/>
    <w:rsid w:val="004917AD"/>
    <w:rsid w:val="00492198"/>
    <w:rsid w:val="004934DE"/>
    <w:rsid w:val="00493A68"/>
    <w:rsid w:val="00497174"/>
    <w:rsid w:val="0049721A"/>
    <w:rsid w:val="00497331"/>
    <w:rsid w:val="00497845"/>
    <w:rsid w:val="00497CA5"/>
    <w:rsid w:val="004A19DE"/>
    <w:rsid w:val="004A2786"/>
    <w:rsid w:val="004A3929"/>
    <w:rsid w:val="004A5DB0"/>
    <w:rsid w:val="004A6BF6"/>
    <w:rsid w:val="004B50FD"/>
    <w:rsid w:val="004B5D9B"/>
    <w:rsid w:val="004C04C8"/>
    <w:rsid w:val="004C3385"/>
    <w:rsid w:val="004C417D"/>
    <w:rsid w:val="004C42FC"/>
    <w:rsid w:val="004C45D2"/>
    <w:rsid w:val="004C5520"/>
    <w:rsid w:val="004C7D3F"/>
    <w:rsid w:val="004D0BC3"/>
    <w:rsid w:val="004D7F10"/>
    <w:rsid w:val="004E07D2"/>
    <w:rsid w:val="004E0C6C"/>
    <w:rsid w:val="004E1AE6"/>
    <w:rsid w:val="004E20D1"/>
    <w:rsid w:val="004E2489"/>
    <w:rsid w:val="004E3E69"/>
    <w:rsid w:val="004E41F0"/>
    <w:rsid w:val="004E5E22"/>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1F20"/>
    <w:rsid w:val="00512E30"/>
    <w:rsid w:val="005137DD"/>
    <w:rsid w:val="00513C13"/>
    <w:rsid w:val="0051432C"/>
    <w:rsid w:val="0051488F"/>
    <w:rsid w:val="005160CE"/>
    <w:rsid w:val="00516539"/>
    <w:rsid w:val="00516A2D"/>
    <w:rsid w:val="00517FC6"/>
    <w:rsid w:val="005205CE"/>
    <w:rsid w:val="0052178F"/>
    <w:rsid w:val="00524AC5"/>
    <w:rsid w:val="00526B1D"/>
    <w:rsid w:val="005306E4"/>
    <w:rsid w:val="005307F4"/>
    <w:rsid w:val="00531974"/>
    <w:rsid w:val="00531CAD"/>
    <w:rsid w:val="00532D4D"/>
    <w:rsid w:val="00533269"/>
    <w:rsid w:val="005339FC"/>
    <w:rsid w:val="00534890"/>
    <w:rsid w:val="00534993"/>
    <w:rsid w:val="00534DA1"/>
    <w:rsid w:val="0053533F"/>
    <w:rsid w:val="00536328"/>
    <w:rsid w:val="00537EAE"/>
    <w:rsid w:val="0054340E"/>
    <w:rsid w:val="00543D44"/>
    <w:rsid w:val="00543E0C"/>
    <w:rsid w:val="0054738F"/>
    <w:rsid w:val="00554EFB"/>
    <w:rsid w:val="00557E14"/>
    <w:rsid w:val="00561AAB"/>
    <w:rsid w:val="00563BF8"/>
    <w:rsid w:val="00563F87"/>
    <w:rsid w:val="00564EE3"/>
    <w:rsid w:val="0056638E"/>
    <w:rsid w:val="00571E8A"/>
    <w:rsid w:val="00572386"/>
    <w:rsid w:val="00572734"/>
    <w:rsid w:val="005733B3"/>
    <w:rsid w:val="00577A79"/>
    <w:rsid w:val="00581186"/>
    <w:rsid w:val="005811A6"/>
    <w:rsid w:val="00581A4A"/>
    <w:rsid w:val="00581BE7"/>
    <w:rsid w:val="00581DA5"/>
    <w:rsid w:val="00581DB6"/>
    <w:rsid w:val="00582ECE"/>
    <w:rsid w:val="0058324D"/>
    <w:rsid w:val="005848B7"/>
    <w:rsid w:val="00585AEC"/>
    <w:rsid w:val="00585B2E"/>
    <w:rsid w:val="00585B2F"/>
    <w:rsid w:val="00586B2C"/>
    <w:rsid w:val="00586C89"/>
    <w:rsid w:val="00591550"/>
    <w:rsid w:val="00592351"/>
    <w:rsid w:val="0059270C"/>
    <w:rsid w:val="00594975"/>
    <w:rsid w:val="00594BE4"/>
    <w:rsid w:val="00595F36"/>
    <w:rsid w:val="00596401"/>
    <w:rsid w:val="00597908"/>
    <w:rsid w:val="005A115B"/>
    <w:rsid w:val="005A264C"/>
    <w:rsid w:val="005A6E56"/>
    <w:rsid w:val="005A712D"/>
    <w:rsid w:val="005A75B7"/>
    <w:rsid w:val="005A7F63"/>
    <w:rsid w:val="005B04CE"/>
    <w:rsid w:val="005B0A5C"/>
    <w:rsid w:val="005B1A19"/>
    <w:rsid w:val="005B299D"/>
    <w:rsid w:val="005B59D3"/>
    <w:rsid w:val="005C1768"/>
    <w:rsid w:val="005C1F9F"/>
    <w:rsid w:val="005C2DBE"/>
    <w:rsid w:val="005C3241"/>
    <w:rsid w:val="005C4A37"/>
    <w:rsid w:val="005C4D9E"/>
    <w:rsid w:val="005C6BBC"/>
    <w:rsid w:val="005D0059"/>
    <w:rsid w:val="005D1666"/>
    <w:rsid w:val="005D31B0"/>
    <w:rsid w:val="005D46D0"/>
    <w:rsid w:val="005D4D44"/>
    <w:rsid w:val="005D6448"/>
    <w:rsid w:val="005D64CC"/>
    <w:rsid w:val="005D723B"/>
    <w:rsid w:val="005D79C1"/>
    <w:rsid w:val="005E0BE8"/>
    <w:rsid w:val="005E114F"/>
    <w:rsid w:val="005E2570"/>
    <w:rsid w:val="005E3257"/>
    <w:rsid w:val="005E3BAE"/>
    <w:rsid w:val="005E44CF"/>
    <w:rsid w:val="005E55D1"/>
    <w:rsid w:val="005E5AEB"/>
    <w:rsid w:val="005E6BF9"/>
    <w:rsid w:val="005F0C9F"/>
    <w:rsid w:val="005F27D6"/>
    <w:rsid w:val="005F2C5B"/>
    <w:rsid w:val="005F3EDC"/>
    <w:rsid w:val="005F5681"/>
    <w:rsid w:val="005F616C"/>
    <w:rsid w:val="005F641C"/>
    <w:rsid w:val="005F6F5C"/>
    <w:rsid w:val="00600E88"/>
    <w:rsid w:val="0060595A"/>
    <w:rsid w:val="0061410B"/>
    <w:rsid w:val="0061535D"/>
    <w:rsid w:val="00615705"/>
    <w:rsid w:val="00616434"/>
    <w:rsid w:val="00617D3E"/>
    <w:rsid w:val="00621B17"/>
    <w:rsid w:val="006222B8"/>
    <w:rsid w:val="006231BB"/>
    <w:rsid w:val="00623521"/>
    <w:rsid w:val="00625030"/>
    <w:rsid w:val="006259FF"/>
    <w:rsid w:val="00625D13"/>
    <w:rsid w:val="006276FF"/>
    <w:rsid w:val="00630352"/>
    <w:rsid w:val="006305F1"/>
    <w:rsid w:val="00631427"/>
    <w:rsid w:val="00631D55"/>
    <w:rsid w:val="0063248A"/>
    <w:rsid w:val="00634533"/>
    <w:rsid w:val="00634F7D"/>
    <w:rsid w:val="00640085"/>
    <w:rsid w:val="00640D6D"/>
    <w:rsid w:val="00640D86"/>
    <w:rsid w:val="0064156D"/>
    <w:rsid w:val="00641BAE"/>
    <w:rsid w:val="00641E7E"/>
    <w:rsid w:val="0064263A"/>
    <w:rsid w:val="00642729"/>
    <w:rsid w:val="00644742"/>
    <w:rsid w:val="00644D33"/>
    <w:rsid w:val="006451F4"/>
    <w:rsid w:val="00646BCE"/>
    <w:rsid w:val="00646E5B"/>
    <w:rsid w:val="006470BD"/>
    <w:rsid w:val="00651E42"/>
    <w:rsid w:val="00653AA8"/>
    <w:rsid w:val="00654BF8"/>
    <w:rsid w:val="00654EC5"/>
    <w:rsid w:val="00656863"/>
    <w:rsid w:val="00656F6F"/>
    <w:rsid w:val="006620E9"/>
    <w:rsid w:val="00663F7D"/>
    <w:rsid w:val="006659FA"/>
    <w:rsid w:val="006737B9"/>
    <w:rsid w:val="00673901"/>
    <w:rsid w:val="00673A58"/>
    <w:rsid w:val="006740A5"/>
    <w:rsid w:val="00675562"/>
    <w:rsid w:val="00676A1B"/>
    <w:rsid w:val="00677524"/>
    <w:rsid w:val="0068130A"/>
    <w:rsid w:val="00683014"/>
    <w:rsid w:val="00685183"/>
    <w:rsid w:val="006858B0"/>
    <w:rsid w:val="00685E34"/>
    <w:rsid w:val="006878E7"/>
    <w:rsid w:val="006879E8"/>
    <w:rsid w:val="006904A7"/>
    <w:rsid w:val="00690651"/>
    <w:rsid w:val="0069071F"/>
    <w:rsid w:val="0069339A"/>
    <w:rsid w:val="00693CD2"/>
    <w:rsid w:val="006970A1"/>
    <w:rsid w:val="0069719F"/>
    <w:rsid w:val="006A0F32"/>
    <w:rsid w:val="006A15A7"/>
    <w:rsid w:val="006A2729"/>
    <w:rsid w:val="006A2A6B"/>
    <w:rsid w:val="006A4A36"/>
    <w:rsid w:val="006A6728"/>
    <w:rsid w:val="006A6FA6"/>
    <w:rsid w:val="006A718C"/>
    <w:rsid w:val="006B0F03"/>
    <w:rsid w:val="006B2720"/>
    <w:rsid w:val="006B307F"/>
    <w:rsid w:val="006B3148"/>
    <w:rsid w:val="006B32F9"/>
    <w:rsid w:val="006B4165"/>
    <w:rsid w:val="006B568A"/>
    <w:rsid w:val="006B6E39"/>
    <w:rsid w:val="006C122D"/>
    <w:rsid w:val="006C1D5C"/>
    <w:rsid w:val="006C2424"/>
    <w:rsid w:val="006C2832"/>
    <w:rsid w:val="006C3B66"/>
    <w:rsid w:val="006C4D48"/>
    <w:rsid w:val="006C64FC"/>
    <w:rsid w:val="006C7A30"/>
    <w:rsid w:val="006D1173"/>
    <w:rsid w:val="006D1275"/>
    <w:rsid w:val="006D1B81"/>
    <w:rsid w:val="006D1EF1"/>
    <w:rsid w:val="006D2516"/>
    <w:rsid w:val="006D2F87"/>
    <w:rsid w:val="006D3956"/>
    <w:rsid w:val="006D5432"/>
    <w:rsid w:val="006E0012"/>
    <w:rsid w:val="006E1AFC"/>
    <w:rsid w:val="006E1F9B"/>
    <w:rsid w:val="006E2C9D"/>
    <w:rsid w:val="006E7757"/>
    <w:rsid w:val="006E7DBD"/>
    <w:rsid w:val="006F171E"/>
    <w:rsid w:val="006F1BE4"/>
    <w:rsid w:val="006F3F35"/>
    <w:rsid w:val="006F6F98"/>
    <w:rsid w:val="00701FD1"/>
    <w:rsid w:val="00704C5E"/>
    <w:rsid w:val="00706D65"/>
    <w:rsid w:val="00706E09"/>
    <w:rsid w:val="007101A1"/>
    <w:rsid w:val="00711FEF"/>
    <w:rsid w:val="00714688"/>
    <w:rsid w:val="00714D22"/>
    <w:rsid w:val="007167AC"/>
    <w:rsid w:val="00716D1E"/>
    <w:rsid w:val="007209F3"/>
    <w:rsid w:val="00720F87"/>
    <w:rsid w:val="00721E96"/>
    <w:rsid w:val="00723A98"/>
    <w:rsid w:val="00724333"/>
    <w:rsid w:val="00730664"/>
    <w:rsid w:val="00733341"/>
    <w:rsid w:val="00734461"/>
    <w:rsid w:val="00737377"/>
    <w:rsid w:val="00741CD1"/>
    <w:rsid w:val="007422A3"/>
    <w:rsid w:val="00743530"/>
    <w:rsid w:val="00744001"/>
    <w:rsid w:val="0074416D"/>
    <w:rsid w:val="00744575"/>
    <w:rsid w:val="007478A4"/>
    <w:rsid w:val="00747B3A"/>
    <w:rsid w:val="00750C4E"/>
    <w:rsid w:val="00752222"/>
    <w:rsid w:val="00752320"/>
    <w:rsid w:val="0075271F"/>
    <w:rsid w:val="00753E5C"/>
    <w:rsid w:val="0075520E"/>
    <w:rsid w:val="00757A84"/>
    <w:rsid w:val="0076107F"/>
    <w:rsid w:val="00761C83"/>
    <w:rsid w:val="007622DE"/>
    <w:rsid w:val="00763459"/>
    <w:rsid w:val="00763C38"/>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5AF2"/>
    <w:rsid w:val="007964DF"/>
    <w:rsid w:val="00796567"/>
    <w:rsid w:val="007977EA"/>
    <w:rsid w:val="007A3759"/>
    <w:rsid w:val="007A3FE4"/>
    <w:rsid w:val="007A4D7D"/>
    <w:rsid w:val="007A5A5A"/>
    <w:rsid w:val="007A5FF4"/>
    <w:rsid w:val="007B01F7"/>
    <w:rsid w:val="007B024F"/>
    <w:rsid w:val="007B1C84"/>
    <w:rsid w:val="007B2685"/>
    <w:rsid w:val="007B2A2F"/>
    <w:rsid w:val="007B5B74"/>
    <w:rsid w:val="007B5F95"/>
    <w:rsid w:val="007B613D"/>
    <w:rsid w:val="007C2024"/>
    <w:rsid w:val="007C2C77"/>
    <w:rsid w:val="007C373C"/>
    <w:rsid w:val="007C3CBD"/>
    <w:rsid w:val="007C4060"/>
    <w:rsid w:val="007C64C4"/>
    <w:rsid w:val="007C6BCB"/>
    <w:rsid w:val="007C75AA"/>
    <w:rsid w:val="007D2E77"/>
    <w:rsid w:val="007D74D8"/>
    <w:rsid w:val="007E18DA"/>
    <w:rsid w:val="007E2CA1"/>
    <w:rsid w:val="007E3008"/>
    <w:rsid w:val="007E5602"/>
    <w:rsid w:val="007E5BD3"/>
    <w:rsid w:val="007F0357"/>
    <w:rsid w:val="007F0430"/>
    <w:rsid w:val="007F0CD5"/>
    <w:rsid w:val="007F0E94"/>
    <w:rsid w:val="007F1353"/>
    <w:rsid w:val="007F196A"/>
    <w:rsid w:val="007F1C14"/>
    <w:rsid w:val="007F2514"/>
    <w:rsid w:val="007F51D3"/>
    <w:rsid w:val="007F5C07"/>
    <w:rsid w:val="007F654D"/>
    <w:rsid w:val="007F6DA3"/>
    <w:rsid w:val="00800247"/>
    <w:rsid w:val="00801024"/>
    <w:rsid w:val="00802942"/>
    <w:rsid w:val="00810133"/>
    <w:rsid w:val="0081276D"/>
    <w:rsid w:val="00812CE4"/>
    <w:rsid w:val="00813158"/>
    <w:rsid w:val="00813237"/>
    <w:rsid w:val="0081376F"/>
    <w:rsid w:val="00813A32"/>
    <w:rsid w:val="0081546C"/>
    <w:rsid w:val="00816F99"/>
    <w:rsid w:val="008200C1"/>
    <w:rsid w:val="00821BC8"/>
    <w:rsid w:val="0082298D"/>
    <w:rsid w:val="00823B48"/>
    <w:rsid w:val="00826049"/>
    <w:rsid w:val="00826BE0"/>
    <w:rsid w:val="00832075"/>
    <w:rsid w:val="008329A3"/>
    <w:rsid w:val="00832AC6"/>
    <w:rsid w:val="00832DC1"/>
    <w:rsid w:val="00833151"/>
    <w:rsid w:val="008339A0"/>
    <w:rsid w:val="00834E04"/>
    <w:rsid w:val="0083510F"/>
    <w:rsid w:val="0083675D"/>
    <w:rsid w:val="0084053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57B39"/>
    <w:rsid w:val="008604EC"/>
    <w:rsid w:val="0086061A"/>
    <w:rsid w:val="008610D5"/>
    <w:rsid w:val="008611AA"/>
    <w:rsid w:val="008628B4"/>
    <w:rsid w:val="008648E7"/>
    <w:rsid w:val="00864B7D"/>
    <w:rsid w:val="00865478"/>
    <w:rsid w:val="00865A8A"/>
    <w:rsid w:val="00867046"/>
    <w:rsid w:val="008670BE"/>
    <w:rsid w:val="008702DD"/>
    <w:rsid w:val="00870E1B"/>
    <w:rsid w:val="008718A4"/>
    <w:rsid w:val="0087654D"/>
    <w:rsid w:val="00877980"/>
    <w:rsid w:val="00880192"/>
    <w:rsid w:val="008809F8"/>
    <w:rsid w:val="008814D3"/>
    <w:rsid w:val="00881AEB"/>
    <w:rsid w:val="00883BE7"/>
    <w:rsid w:val="00883DED"/>
    <w:rsid w:val="0088467D"/>
    <w:rsid w:val="00885374"/>
    <w:rsid w:val="00887D97"/>
    <w:rsid w:val="00892598"/>
    <w:rsid w:val="00892BAB"/>
    <w:rsid w:val="008942DB"/>
    <w:rsid w:val="00894427"/>
    <w:rsid w:val="00895C16"/>
    <w:rsid w:val="008A0EDD"/>
    <w:rsid w:val="008A29DC"/>
    <w:rsid w:val="008A330E"/>
    <w:rsid w:val="008A4232"/>
    <w:rsid w:val="008A5B17"/>
    <w:rsid w:val="008A670B"/>
    <w:rsid w:val="008A7B3F"/>
    <w:rsid w:val="008B0F90"/>
    <w:rsid w:val="008B2FB1"/>
    <w:rsid w:val="008B39FE"/>
    <w:rsid w:val="008B6100"/>
    <w:rsid w:val="008B6370"/>
    <w:rsid w:val="008B738D"/>
    <w:rsid w:val="008B754F"/>
    <w:rsid w:val="008C1596"/>
    <w:rsid w:val="008C24C5"/>
    <w:rsid w:val="008C2685"/>
    <w:rsid w:val="008C26BB"/>
    <w:rsid w:val="008C26D2"/>
    <w:rsid w:val="008C5961"/>
    <w:rsid w:val="008C63C0"/>
    <w:rsid w:val="008C68C2"/>
    <w:rsid w:val="008D11E0"/>
    <w:rsid w:val="008D1631"/>
    <w:rsid w:val="008D24CF"/>
    <w:rsid w:val="008D5992"/>
    <w:rsid w:val="008D7869"/>
    <w:rsid w:val="008E10D4"/>
    <w:rsid w:val="008E46F2"/>
    <w:rsid w:val="008E5006"/>
    <w:rsid w:val="008E6433"/>
    <w:rsid w:val="008E67F9"/>
    <w:rsid w:val="008E6A60"/>
    <w:rsid w:val="008E6E32"/>
    <w:rsid w:val="008E7682"/>
    <w:rsid w:val="008F0A5B"/>
    <w:rsid w:val="008F12A7"/>
    <w:rsid w:val="008F149B"/>
    <w:rsid w:val="008F164D"/>
    <w:rsid w:val="008F1F51"/>
    <w:rsid w:val="008F738B"/>
    <w:rsid w:val="009006A3"/>
    <w:rsid w:val="00900E08"/>
    <w:rsid w:val="00903A39"/>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254B"/>
    <w:rsid w:val="009432C3"/>
    <w:rsid w:val="009448F5"/>
    <w:rsid w:val="00945587"/>
    <w:rsid w:val="00945D02"/>
    <w:rsid w:val="009460E4"/>
    <w:rsid w:val="00946933"/>
    <w:rsid w:val="00946B26"/>
    <w:rsid w:val="00951D0F"/>
    <w:rsid w:val="00951D60"/>
    <w:rsid w:val="00953C12"/>
    <w:rsid w:val="00962602"/>
    <w:rsid w:val="0096656F"/>
    <w:rsid w:val="009669DE"/>
    <w:rsid w:val="00966EF9"/>
    <w:rsid w:val="00971FBE"/>
    <w:rsid w:val="00973367"/>
    <w:rsid w:val="00973D49"/>
    <w:rsid w:val="009755A7"/>
    <w:rsid w:val="00975EB0"/>
    <w:rsid w:val="00977C98"/>
    <w:rsid w:val="009804A7"/>
    <w:rsid w:val="00980CB5"/>
    <w:rsid w:val="0098102B"/>
    <w:rsid w:val="0098189F"/>
    <w:rsid w:val="009829A7"/>
    <w:rsid w:val="00985C77"/>
    <w:rsid w:val="00986149"/>
    <w:rsid w:val="0098722A"/>
    <w:rsid w:val="00987C0F"/>
    <w:rsid w:val="0099142D"/>
    <w:rsid w:val="009932C8"/>
    <w:rsid w:val="0099404A"/>
    <w:rsid w:val="00995ED8"/>
    <w:rsid w:val="009966E4"/>
    <w:rsid w:val="0099721C"/>
    <w:rsid w:val="009975E2"/>
    <w:rsid w:val="009A1A86"/>
    <w:rsid w:val="009A37C4"/>
    <w:rsid w:val="009A4640"/>
    <w:rsid w:val="009A52AC"/>
    <w:rsid w:val="009A7002"/>
    <w:rsid w:val="009B07DB"/>
    <w:rsid w:val="009B0D32"/>
    <w:rsid w:val="009B2156"/>
    <w:rsid w:val="009B3DB1"/>
    <w:rsid w:val="009B4EF5"/>
    <w:rsid w:val="009B59DE"/>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4A70"/>
    <w:rsid w:val="009E65BF"/>
    <w:rsid w:val="009E766C"/>
    <w:rsid w:val="009F1137"/>
    <w:rsid w:val="009F23FB"/>
    <w:rsid w:val="009F3D3D"/>
    <w:rsid w:val="009F4766"/>
    <w:rsid w:val="009F49C0"/>
    <w:rsid w:val="00A00EDC"/>
    <w:rsid w:val="00A01F86"/>
    <w:rsid w:val="00A04104"/>
    <w:rsid w:val="00A06D46"/>
    <w:rsid w:val="00A074F5"/>
    <w:rsid w:val="00A1029B"/>
    <w:rsid w:val="00A11309"/>
    <w:rsid w:val="00A12F38"/>
    <w:rsid w:val="00A144C4"/>
    <w:rsid w:val="00A144E9"/>
    <w:rsid w:val="00A17918"/>
    <w:rsid w:val="00A17AD3"/>
    <w:rsid w:val="00A20403"/>
    <w:rsid w:val="00A22BB1"/>
    <w:rsid w:val="00A2333F"/>
    <w:rsid w:val="00A23A53"/>
    <w:rsid w:val="00A251F7"/>
    <w:rsid w:val="00A258E3"/>
    <w:rsid w:val="00A26621"/>
    <w:rsid w:val="00A26A82"/>
    <w:rsid w:val="00A26E7D"/>
    <w:rsid w:val="00A3088D"/>
    <w:rsid w:val="00A311A9"/>
    <w:rsid w:val="00A31649"/>
    <w:rsid w:val="00A33134"/>
    <w:rsid w:val="00A354EB"/>
    <w:rsid w:val="00A35511"/>
    <w:rsid w:val="00A36073"/>
    <w:rsid w:val="00A40995"/>
    <w:rsid w:val="00A44FFD"/>
    <w:rsid w:val="00A457F6"/>
    <w:rsid w:val="00A45963"/>
    <w:rsid w:val="00A45E7A"/>
    <w:rsid w:val="00A50269"/>
    <w:rsid w:val="00A52D89"/>
    <w:rsid w:val="00A5312F"/>
    <w:rsid w:val="00A54818"/>
    <w:rsid w:val="00A66049"/>
    <w:rsid w:val="00A6781B"/>
    <w:rsid w:val="00A67924"/>
    <w:rsid w:val="00A70124"/>
    <w:rsid w:val="00A702DA"/>
    <w:rsid w:val="00A729A5"/>
    <w:rsid w:val="00A72C37"/>
    <w:rsid w:val="00A7512D"/>
    <w:rsid w:val="00A76511"/>
    <w:rsid w:val="00A77126"/>
    <w:rsid w:val="00A77EE0"/>
    <w:rsid w:val="00A81B53"/>
    <w:rsid w:val="00A8213D"/>
    <w:rsid w:val="00A8499D"/>
    <w:rsid w:val="00A84A69"/>
    <w:rsid w:val="00A850C1"/>
    <w:rsid w:val="00A859A6"/>
    <w:rsid w:val="00A85F3C"/>
    <w:rsid w:val="00A86A0C"/>
    <w:rsid w:val="00A91D02"/>
    <w:rsid w:val="00A91F6F"/>
    <w:rsid w:val="00A92E0D"/>
    <w:rsid w:val="00A95361"/>
    <w:rsid w:val="00A959FB"/>
    <w:rsid w:val="00A960D1"/>
    <w:rsid w:val="00A968A7"/>
    <w:rsid w:val="00A96CFE"/>
    <w:rsid w:val="00A97112"/>
    <w:rsid w:val="00AA1914"/>
    <w:rsid w:val="00AA1D62"/>
    <w:rsid w:val="00AA2647"/>
    <w:rsid w:val="00AA5F54"/>
    <w:rsid w:val="00AA60E1"/>
    <w:rsid w:val="00AA6A37"/>
    <w:rsid w:val="00AA6D7A"/>
    <w:rsid w:val="00AB0145"/>
    <w:rsid w:val="00AB04AF"/>
    <w:rsid w:val="00AB3AFA"/>
    <w:rsid w:val="00AB3E3E"/>
    <w:rsid w:val="00AB522F"/>
    <w:rsid w:val="00AB7BD4"/>
    <w:rsid w:val="00AC035E"/>
    <w:rsid w:val="00AC04A2"/>
    <w:rsid w:val="00AC30E6"/>
    <w:rsid w:val="00AC5611"/>
    <w:rsid w:val="00AC70DC"/>
    <w:rsid w:val="00AC7607"/>
    <w:rsid w:val="00AC7E9C"/>
    <w:rsid w:val="00AD0379"/>
    <w:rsid w:val="00AD1D7A"/>
    <w:rsid w:val="00AD29D0"/>
    <w:rsid w:val="00AD2A27"/>
    <w:rsid w:val="00AD34A3"/>
    <w:rsid w:val="00AD502C"/>
    <w:rsid w:val="00AD54D6"/>
    <w:rsid w:val="00AD76C4"/>
    <w:rsid w:val="00AE0144"/>
    <w:rsid w:val="00AE0BC2"/>
    <w:rsid w:val="00AE1A75"/>
    <w:rsid w:val="00AE4963"/>
    <w:rsid w:val="00AE4C14"/>
    <w:rsid w:val="00AF0992"/>
    <w:rsid w:val="00AF1869"/>
    <w:rsid w:val="00AF2474"/>
    <w:rsid w:val="00AF6655"/>
    <w:rsid w:val="00AF746D"/>
    <w:rsid w:val="00AF7534"/>
    <w:rsid w:val="00B00254"/>
    <w:rsid w:val="00B016AC"/>
    <w:rsid w:val="00B018AF"/>
    <w:rsid w:val="00B021D7"/>
    <w:rsid w:val="00B04D8E"/>
    <w:rsid w:val="00B053F4"/>
    <w:rsid w:val="00B11341"/>
    <w:rsid w:val="00B114A0"/>
    <w:rsid w:val="00B114F0"/>
    <w:rsid w:val="00B12060"/>
    <w:rsid w:val="00B1290B"/>
    <w:rsid w:val="00B12A7B"/>
    <w:rsid w:val="00B12E60"/>
    <w:rsid w:val="00B12F51"/>
    <w:rsid w:val="00B1374F"/>
    <w:rsid w:val="00B13E63"/>
    <w:rsid w:val="00B17178"/>
    <w:rsid w:val="00B20E30"/>
    <w:rsid w:val="00B2152D"/>
    <w:rsid w:val="00B217FC"/>
    <w:rsid w:val="00B2338B"/>
    <w:rsid w:val="00B23FA4"/>
    <w:rsid w:val="00B248FF"/>
    <w:rsid w:val="00B25935"/>
    <w:rsid w:val="00B25AE9"/>
    <w:rsid w:val="00B307CF"/>
    <w:rsid w:val="00B3147F"/>
    <w:rsid w:val="00B314BD"/>
    <w:rsid w:val="00B32EAF"/>
    <w:rsid w:val="00B333E6"/>
    <w:rsid w:val="00B33838"/>
    <w:rsid w:val="00B33AD4"/>
    <w:rsid w:val="00B357EB"/>
    <w:rsid w:val="00B35EE2"/>
    <w:rsid w:val="00B36B1E"/>
    <w:rsid w:val="00B42341"/>
    <w:rsid w:val="00B433AA"/>
    <w:rsid w:val="00B45113"/>
    <w:rsid w:val="00B514ED"/>
    <w:rsid w:val="00B51A8D"/>
    <w:rsid w:val="00B53B55"/>
    <w:rsid w:val="00B54661"/>
    <w:rsid w:val="00B54F1C"/>
    <w:rsid w:val="00B551CA"/>
    <w:rsid w:val="00B55799"/>
    <w:rsid w:val="00B56ACF"/>
    <w:rsid w:val="00B6064D"/>
    <w:rsid w:val="00B61578"/>
    <w:rsid w:val="00B6216C"/>
    <w:rsid w:val="00B63ABD"/>
    <w:rsid w:val="00B67744"/>
    <w:rsid w:val="00B67FB8"/>
    <w:rsid w:val="00B71A70"/>
    <w:rsid w:val="00B761D6"/>
    <w:rsid w:val="00B763E3"/>
    <w:rsid w:val="00B77051"/>
    <w:rsid w:val="00B8230B"/>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A7F7A"/>
    <w:rsid w:val="00BB1103"/>
    <w:rsid w:val="00BB16DB"/>
    <w:rsid w:val="00BB22C6"/>
    <w:rsid w:val="00BB2907"/>
    <w:rsid w:val="00BB2ECF"/>
    <w:rsid w:val="00BB3227"/>
    <w:rsid w:val="00BB504D"/>
    <w:rsid w:val="00BB71F5"/>
    <w:rsid w:val="00BC031E"/>
    <w:rsid w:val="00BC2701"/>
    <w:rsid w:val="00BC7497"/>
    <w:rsid w:val="00BD3575"/>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27DD"/>
    <w:rsid w:val="00C027DF"/>
    <w:rsid w:val="00C05490"/>
    <w:rsid w:val="00C061C1"/>
    <w:rsid w:val="00C07A78"/>
    <w:rsid w:val="00C07E1D"/>
    <w:rsid w:val="00C121DE"/>
    <w:rsid w:val="00C1518B"/>
    <w:rsid w:val="00C1647E"/>
    <w:rsid w:val="00C2117D"/>
    <w:rsid w:val="00C21449"/>
    <w:rsid w:val="00C21D08"/>
    <w:rsid w:val="00C22F73"/>
    <w:rsid w:val="00C25F00"/>
    <w:rsid w:val="00C2605C"/>
    <w:rsid w:val="00C26D39"/>
    <w:rsid w:val="00C302BB"/>
    <w:rsid w:val="00C30E43"/>
    <w:rsid w:val="00C3150F"/>
    <w:rsid w:val="00C32053"/>
    <w:rsid w:val="00C36D2B"/>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383"/>
    <w:rsid w:val="00C72962"/>
    <w:rsid w:val="00C73F82"/>
    <w:rsid w:val="00C745EE"/>
    <w:rsid w:val="00C766C9"/>
    <w:rsid w:val="00C8065B"/>
    <w:rsid w:val="00C81437"/>
    <w:rsid w:val="00C81BDA"/>
    <w:rsid w:val="00C82089"/>
    <w:rsid w:val="00C82FCC"/>
    <w:rsid w:val="00C8323C"/>
    <w:rsid w:val="00C87572"/>
    <w:rsid w:val="00C906FD"/>
    <w:rsid w:val="00C90862"/>
    <w:rsid w:val="00C91E0A"/>
    <w:rsid w:val="00C92C0A"/>
    <w:rsid w:val="00C92EBC"/>
    <w:rsid w:val="00C94947"/>
    <w:rsid w:val="00C94F84"/>
    <w:rsid w:val="00C95888"/>
    <w:rsid w:val="00C95A17"/>
    <w:rsid w:val="00C9687A"/>
    <w:rsid w:val="00CA02D1"/>
    <w:rsid w:val="00CA1B60"/>
    <w:rsid w:val="00CA3F5C"/>
    <w:rsid w:val="00CA490C"/>
    <w:rsid w:val="00CA4975"/>
    <w:rsid w:val="00CA7A8F"/>
    <w:rsid w:val="00CB006D"/>
    <w:rsid w:val="00CB0DB6"/>
    <w:rsid w:val="00CB2D9F"/>
    <w:rsid w:val="00CB3A57"/>
    <w:rsid w:val="00CB3C23"/>
    <w:rsid w:val="00CB45C7"/>
    <w:rsid w:val="00CB523C"/>
    <w:rsid w:val="00CB6632"/>
    <w:rsid w:val="00CB6E83"/>
    <w:rsid w:val="00CB76D2"/>
    <w:rsid w:val="00CC167D"/>
    <w:rsid w:val="00CC1A9A"/>
    <w:rsid w:val="00CC274B"/>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E0199"/>
    <w:rsid w:val="00CE51BA"/>
    <w:rsid w:val="00CE712C"/>
    <w:rsid w:val="00CF1600"/>
    <w:rsid w:val="00CF2254"/>
    <w:rsid w:val="00CF35D8"/>
    <w:rsid w:val="00CF3B5B"/>
    <w:rsid w:val="00D01652"/>
    <w:rsid w:val="00D12DD9"/>
    <w:rsid w:val="00D15FF7"/>
    <w:rsid w:val="00D17444"/>
    <w:rsid w:val="00D174F9"/>
    <w:rsid w:val="00D1754B"/>
    <w:rsid w:val="00D17E96"/>
    <w:rsid w:val="00D20C63"/>
    <w:rsid w:val="00D2366D"/>
    <w:rsid w:val="00D2508E"/>
    <w:rsid w:val="00D2532E"/>
    <w:rsid w:val="00D2553A"/>
    <w:rsid w:val="00D25677"/>
    <w:rsid w:val="00D25CA6"/>
    <w:rsid w:val="00D26AC6"/>
    <w:rsid w:val="00D320D7"/>
    <w:rsid w:val="00D343BD"/>
    <w:rsid w:val="00D34876"/>
    <w:rsid w:val="00D4008B"/>
    <w:rsid w:val="00D4110A"/>
    <w:rsid w:val="00D416AB"/>
    <w:rsid w:val="00D44FBC"/>
    <w:rsid w:val="00D4516C"/>
    <w:rsid w:val="00D46C0A"/>
    <w:rsid w:val="00D47034"/>
    <w:rsid w:val="00D47F56"/>
    <w:rsid w:val="00D508A1"/>
    <w:rsid w:val="00D510BD"/>
    <w:rsid w:val="00D511C6"/>
    <w:rsid w:val="00D511D7"/>
    <w:rsid w:val="00D51DB7"/>
    <w:rsid w:val="00D53241"/>
    <w:rsid w:val="00D53F28"/>
    <w:rsid w:val="00D54F75"/>
    <w:rsid w:val="00D55D95"/>
    <w:rsid w:val="00D57095"/>
    <w:rsid w:val="00D6213B"/>
    <w:rsid w:val="00D62A76"/>
    <w:rsid w:val="00D65B5F"/>
    <w:rsid w:val="00D737ED"/>
    <w:rsid w:val="00D739AD"/>
    <w:rsid w:val="00D7412A"/>
    <w:rsid w:val="00D74A16"/>
    <w:rsid w:val="00D74FC3"/>
    <w:rsid w:val="00D7578F"/>
    <w:rsid w:val="00D76F7A"/>
    <w:rsid w:val="00D812F9"/>
    <w:rsid w:val="00D859C5"/>
    <w:rsid w:val="00D862E4"/>
    <w:rsid w:val="00D8670A"/>
    <w:rsid w:val="00D87201"/>
    <w:rsid w:val="00D93A72"/>
    <w:rsid w:val="00D94FDF"/>
    <w:rsid w:val="00D95B28"/>
    <w:rsid w:val="00D96107"/>
    <w:rsid w:val="00D97E2E"/>
    <w:rsid w:val="00D97EEC"/>
    <w:rsid w:val="00DA1EB5"/>
    <w:rsid w:val="00DA2812"/>
    <w:rsid w:val="00DA42C5"/>
    <w:rsid w:val="00DA459B"/>
    <w:rsid w:val="00DB1610"/>
    <w:rsid w:val="00DB366C"/>
    <w:rsid w:val="00DB4908"/>
    <w:rsid w:val="00DB5771"/>
    <w:rsid w:val="00DB57A5"/>
    <w:rsid w:val="00DB75D2"/>
    <w:rsid w:val="00DB783F"/>
    <w:rsid w:val="00DB7D26"/>
    <w:rsid w:val="00DC08AF"/>
    <w:rsid w:val="00DC0CA7"/>
    <w:rsid w:val="00DC10EB"/>
    <w:rsid w:val="00DC1110"/>
    <w:rsid w:val="00DC1565"/>
    <w:rsid w:val="00DC1E93"/>
    <w:rsid w:val="00DC4719"/>
    <w:rsid w:val="00DC5DF9"/>
    <w:rsid w:val="00DD07CE"/>
    <w:rsid w:val="00DD22B5"/>
    <w:rsid w:val="00DD42C1"/>
    <w:rsid w:val="00DD5863"/>
    <w:rsid w:val="00DD7B76"/>
    <w:rsid w:val="00DE1BC0"/>
    <w:rsid w:val="00DE3556"/>
    <w:rsid w:val="00DE465B"/>
    <w:rsid w:val="00DE66E8"/>
    <w:rsid w:val="00DE75F9"/>
    <w:rsid w:val="00DE7BF7"/>
    <w:rsid w:val="00DF0229"/>
    <w:rsid w:val="00DF0FA4"/>
    <w:rsid w:val="00DF1595"/>
    <w:rsid w:val="00DF2960"/>
    <w:rsid w:val="00DF2EB7"/>
    <w:rsid w:val="00DF3C33"/>
    <w:rsid w:val="00DF56ED"/>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4DD2"/>
    <w:rsid w:val="00E258EA"/>
    <w:rsid w:val="00E3038A"/>
    <w:rsid w:val="00E306CE"/>
    <w:rsid w:val="00E308E0"/>
    <w:rsid w:val="00E31F63"/>
    <w:rsid w:val="00E344B1"/>
    <w:rsid w:val="00E35FA1"/>
    <w:rsid w:val="00E40772"/>
    <w:rsid w:val="00E41834"/>
    <w:rsid w:val="00E42BDA"/>
    <w:rsid w:val="00E44093"/>
    <w:rsid w:val="00E449FD"/>
    <w:rsid w:val="00E44B15"/>
    <w:rsid w:val="00E46A95"/>
    <w:rsid w:val="00E46B71"/>
    <w:rsid w:val="00E46CE4"/>
    <w:rsid w:val="00E50C4B"/>
    <w:rsid w:val="00E52477"/>
    <w:rsid w:val="00E52655"/>
    <w:rsid w:val="00E52DCB"/>
    <w:rsid w:val="00E5440B"/>
    <w:rsid w:val="00E61820"/>
    <w:rsid w:val="00E6200D"/>
    <w:rsid w:val="00E63E4A"/>
    <w:rsid w:val="00E6488C"/>
    <w:rsid w:val="00E70613"/>
    <w:rsid w:val="00E709B6"/>
    <w:rsid w:val="00E70F9E"/>
    <w:rsid w:val="00E717C8"/>
    <w:rsid w:val="00E729CA"/>
    <w:rsid w:val="00E747B2"/>
    <w:rsid w:val="00E74CDB"/>
    <w:rsid w:val="00E81A0D"/>
    <w:rsid w:val="00E82AE2"/>
    <w:rsid w:val="00E8371E"/>
    <w:rsid w:val="00E878D9"/>
    <w:rsid w:val="00E908F1"/>
    <w:rsid w:val="00E90D6D"/>
    <w:rsid w:val="00E92352"/>
    <w:rsid w:val="00E93740"/>
    <w:rsid w:val="00E943FB"/>
    <w:rsid w:val="00E95170"/>
    <w:rsid w:val="00E96C61"/>
    <w:rsid w:val="00E973A1"/>
    <w:rsid w:val="00EA1407"/>
    <w:rsid w:val="00EA2750"/>
    <w:rsid w:val="00EA49AC"/>
    <w:rsid w:val="00EA5E80"/>
    <w:rsid w:val="00EA7155"/>
    <w:rsid w:val="00EA7F48"/>
    <w:rsid w:val="00EB1811"/>
    <w:rsid w:val="00EB4283"/>
    <w:rsid w:val="00EB42D2"/>
    <w:rsid w:val="00EB544C"/>
    <w:rsid w:val="00EB77DE"/>
    <w:rsid w:val="00EB7CAB"/>
    <w:rsid w:val="00EC00C3"/>
    <w:rsid w:val="00EC08C7"/>
    <w:rsid w:val="00EC1061"/>
    <w:rsid w:val="00EC1079"/>
    <w:rsid w:val="00EC176A"/>
    <w:rsid w:val="00EC21FE"/>
    <w:rsid w:val="00EC23AB"/>
    <w:rsid w:val="00EC319D"/>
    <w:rsid w:val="00EC4E55"/>
    <w:rsid w:val="00EC575C"/>
    <w:rsid w:val="00EC577C"/>
    <w:rsid w:val="00EC5D5F"/>
    <w:rsid w:val="00EC7A10"/>
    <w:rsid w:val="00EC7E23"/>
    <w:rsid w:val="00ED0F27"/>
    <w:rsid w:val="00ED259F"/>
    <w:rsid w:val="00ED25D6"/>
    <w:rsid w:val="00ED312D"/>
    <w:rsid w:val="00ED3BF8"/>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7D1C"/>
    <w:rsid w:val="00F01691"/>
    <w:rsid w:val="00F04FFB"/>
    <w:rsid w:val="00F0642D"/>
    <w:rsid w:val="00F07759"/>
    <w:rsid w:val="00F11878"/>
    <w:rsid w:val="00F14160"/>
    <w:rsid w:val="00F145E2"/>
    <w:rsid w:val="00F14AE8"/>
    <w:rsid w:val="00F23DB2"/>
    <w:rsid w:val="00F240A6"/>
    <w:rsid w:val="00F24ED7"/>
    <w:rsid w:val="00F2559A"/>
    <w:rsid w:val="00F25912"/>
    <w:rsid w:val="00F2687B"/>
    <w:rsid w:val="00F2748D"/>
    <w:rsid w:val="00F3083F"/>
    <w:rsid w:val="00F30D64"/>
    <w:rsid w:val="00F31239"/>
    <w:rsid w:val="00F31563"/>
    <w:rsid w:val="00F341FA"/>
    <w:rsid w:val="00F34E18"/>
    <w:rsid w:val="00F357C3"/>
    <w:rsid w:val="00F361E0"/>
    <w:rsid w:val="00F37AFE"/>
    <w:rsid w:val="00F407F3"/>
    <w:rsid w:val="00F40CD3"/>
    <w:rsid w:val="00F413A3"/>
    <w:rsid w:val="00F4147A"/>
    <w:rsid w:val="00F428E9"/>
    <w:rsid w:val="00F433EB"/>
    <w:rsid w:val="00F444CB"/>
    <w:rsid w:val="00F44769"/>
    <w:rsid w:val="00F47C55"/>
    <w:rsid w:val="00F5075C"/>
    <w:rsid w:val="00F51B2A"/>
    <w:rsid w:val="00F529F7"/>
    <w:rsid w:val="00F52B88"/>
    <w:rsid w:val="00F52F61"/>
    <w:rsid w:val="00F54259"/>
    <w:rsid w:val="00F56C40"/>
    <w:rsid w:val="00F57E3C"/>
    <w:rsid w:val="00F602C0"/>
    <w:rsid w:val="00F60A28"/>
    <w:rsid w:val="00F61165"/>
    <w:rsid w:val="00F61417"/>
    <w:rsid w:val="00F62BDB"/>
    <w:rsid w:val="00F66828"/>
    <w:rsid w:val="00F66920"/>
    <w:rsid w:val="00F66FD9"/>
    <w:rsid w:val="00F67A5C"/>
    <w:rsid w:val="00F67F34"/>
    <w:rsid w:val="00F72737"/>
    <w:rsid w:val="00F73B32"/>
    <w:rsid w:val="00F741E7"/>
    <w:rsid w:val="00F74E67"/>
    <w:rsid w:val="00F762BB"/>
    <w:rsid w:val="00F7661A"/>
    <w:rsid w:val="00F76F3D"/>
    <w:rsid w:val="00F8187C"/>
    <w:rsid w:val="00F81EFE"/>
    <w:rsid w:val="00F828C7"/>
    <w:rsid w:val="00F86A86"/>
    <w:rsid w:val="00F902A2"/>
    <w:rsid w:val="00F905B4"/>
    <w:rsid w:val="00F90ECF"/>
    <w:rsid w:val="00F9232F"/>
    <w:rsid w:val="00F93194"/>
    <w:rsid w:val="00F93247"/>
    <w:rsid w:val="00F93B9C"/>
    <w:rsid w:val="00F94992"/>
    <w:rsid w:val="00F94C2A"/>
    <w:rsid w:val="00F9610D"/>
    <w:rsid w:val="00F9618F"/>
    <w:rsid w:val="00F967C7"/>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5B17"/>
    <w:rsid w:val="00FC6C36"/>
    <w:rsid w:val="00FC77C8"/>
    <w:rsid w:val="00FD0A00"/>
    <w:rsid w:val="00FD14EB"/>
    <w:rsid w:val="00FD17A3"/>
    <w:rsid w:val="00FD183C"/>
    <w:rsid w:val="00FD1ABF"/>
    <w:rsid w:val="00FD37D7"/>
    <w:rsid w:val="00FD461F"/>
    <w:rsid w:val="00FD7121"/>
    <w:rsid w:val="00FE506D"/>
    <w:rsid w:val="00FE50BF"/>
    <w:rsid w:val="00FE5895"/>
    <w:rsid w:val="00FE5B45"/>
    <w:rsid w:val="00FE7D28"/>
    <w:rsid w:val="00FE7D3D"/>
    <w:rsid w:val="00FF02BD"/>
    <w:rsid w:val="00FF22B7"/>
    <w:rsid w:val="00FF23BF"/>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95C3509"/>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17778878">
      <w:bodyDiv w:val="1"/>
      <w:marLeft w:val="0"/>
      <w:marRight w:val="0"/>
      <w:marTop w:val="0"/>
      <w:marBottom w:val="0"/>
      <w:divBdr>
        <w:top w:val="none" w:sz="0" w:space="0" w:color="auto"/>
        <w:left w:val="none" w:sz="0" w:space="0" w:color="auto"/>
        <w:bottom w:val="none" w:sz="0" w:space="0" w:color="auto"/>
        <w:right w:val="none" w:sz="0" w:space="0" w:color="auto"/>
      </w:divBdr>
    </w:div>
    <w:div w:id="727341312">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9129898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8EDF65-0641-4EBE-A7A9-36584875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3196</Words>
  <Characters>17578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2016-10-19T01:14:00Z</dcterms:created>
  <dcterms:modified xsi:type="dcterms:W3CDTF">2017-01-05T17:28:00Z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