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EEDF0" w14:textId="307BB28E" w:rsidR="00C322D8" w:rsidRPr="006C3838" w:rsidRDefault="0004385A" w:rsidP="006C3838">
      <w:pPr>
        <w:pStyle w:val="Ttulo1"/>
        <w:jc w:val="both"/>
        <w:rPr>
          <w:rFonts w:ascii="ITC Avant Garde" w:hAnsi="ITC Avant Garde"/>
          <w:b/>
          <w:color w:val="auto"/>
          <w:sz w:val="22"/>
          <w:szCs w:val="22"/>
          <w:lang w:eastAsia="es-MX"/>
        </w:rPr>
      </w:pPr>
      <w:r w:rsidRPr="006C3838">
        <w:rPr>
          <w:rFonts w:ascii="ITC Avant Garde" w:hAnsi="ITC Avant Garde"/>
          <w:b/>
          <w:color w:val="auto"/>
          <w:sz w:val="22"/>
          <w:szCs w:val="22"/>
          <w:lang w:eastAsia="es-MX"/>
        </w:rPr>
        <w:t xml:space="preserve">RESOLUCIÓN </w:t>
      </w:r>
      <w:r w:rsidR="0047205F" w:rsidRPr="006C3838">
        <w:rPr>
          <w:rFonts w:ascii="ITC Avant Garde" w:hAnsi="ITC Avant Garde"/>
          <w:b/>
          <w:color w:val="auto"/>
          <w:sz w:val="22"/>
          <w:szCs w:val="22"/>
          <w:lang w:eastAsia="es-MX"/>
        </w:rPr>
        <w:t>MEDIANTE</w:t>
      </w:r>
      <w:r w:rsidRPr="006C3838">
        <w:rPr>
          <w:rFonts w:ascii="ITC Avant Garde" w:hAnsi="ITC Avant Garde"/>
          <w:b/>
          <w:color w:val="auto"/>
          <w:sz w:val="22"/>
          <w:szCs w:val="22"/>
          <w:lang w:eastAsia="es-MX"/>
        </w:rPr>
        <w:t xml:space="preserve"> LA CUAL EL PLENO DEL INSTITUTO FEDERAL DE TELECOMUNICACIONES AUTORIZA</w:t>
      </w:r>
      <w:r w:rsidR="00433EC2" w:rsidRPr="006C3838">
        <w:rPr>
          <w:rFonts w:ascii="ITC Avant Garde" w:hAnsi="ITC Avant Garde"/>
          <w:b/>
          <w:color w:val="auto"/>
          <w:sz w:val="22"/>
          <w:szCs w:val="22"/>
          <w:lang w:eastAsia="es-MX"/>
        </w:rPr>
        <w:t xml:space="preserve"> A LA </w:t>
      </w:r>
      <w:r w:rsidR="00F64995" w:rsidRPr="006C3838">
        <w:rPr>
          <w:rFonts w:ascii="ITC Avant Garde" w:hAnsi="ITC Avant Garde"/>
          <w:b/>
          <w:color w:val="auto"/>
          <w:sz w:val="22"/>
          <w:szCs w:val="22"/>
          <w:lang w:eastAsia="es-MX"/>
        </w:rPr>
        <w:t>EMPRESA SISTEMAS ESPECIALES DE COMUNICACIÓN, S.A.</w:t>
      </w:r>
      <w:r w:rsidR="00E40974" w:rsidRPr="006C3838">
        <w:rPr>
          <w:rFonts w:ascii="ITC Avant Garde" w:hAnsi="ITC Avant Garde"/>
          <w:b/>
          <w:color w:val="auto"/>
          <w:sz w:val="22"/>
          <w:szCs w:val="22"/>
          <w:lang w:eastAsia="es-MX"/>
        </w:rPr>
        <w:t xml:space="preserve">, </w:t>
      </w:r>
      <w:r w:rsidR="005C6258" w:rsidRPr="006C3838">
        <w:rPr>
          <w:rFonts w:ascii="ITC Avant Garde" w:hAnsi="ITC Avant Garde"/>
          <w:b/>
          <w:color w:val="auto"/>
          <w:sz w:val="22"/>
          <w:szCs w:val="22"/>
          <w:lang w:eastAsia="es-MX"/>
        </w:rPr>
        <w:t>EL CAMBIO DE BANDAS DE FRECUENCIAS DEL ESPECTRO RADIOELÉCTRICO DENTRO DE</w:t>
      </w:r>
      <w:r w:rsidR="005C47BD" w:rsidRPr="006C3838">
        <w:rPr>
          <w:rFonts w:ascii="ITC Avant Garde" w:hAnsi="ITC Avant Garde"/>
          <w:b/>
          <w:color w:val="auto"/>
          <w:sz w:val="22"/>
          <w:szCs w:val="22"/>
          <w:lang w:eastAsia="es-MX"/>
        </w:rPr>
        <w:t xml:space="preserve"> LA BANDA 410-430 MHZ, EN LOS ESTADOS DE SONORA Y SINALOA.</w:t>
      </w:r>
    </w:p>
    <w:p w14:paraId="2AA796B6" w14:textId="77777777" w:rsidR="00C322D8" w:rsidRDefault="00C322D8" w:rsidP="00941869">
      <w:pPr>
        <w:spacing w:after="0" w:line="240" w:lineRule="auto"/>
        <w:jc w:val="both"/>
        <w:rPr>
          <w:rFonts w:ascii="ITC Avant Garde" w:hAnsi="ITC Avant Garde"/>
          <w:b/>
          <w:bCs/>
          <w:color w:val="000000"/>
          <w:lang w:eastAsia="es-MX"/>
        </w:rPr>
      </w:pPr>
    </w:p>
    <w:p w14:paraId="7A4D9603" w14:textId="77777777" w:rsidR="00D2148B" w:rsidRPr="006C3838" w:rsidRDefault="00B048BA" w:rsidP="006C3838">
      <w:pPr>
        <w:pStyle w:val="Ttulo2"/>
        <w:spacing w:after="240"/>
        <w:jc w:val="center"/>
        <w:rPr>
          <w:rFonts w:ascii="ITC Avant Garde" w:hAnsi="ITC Avant Garde"/>
          <w:b/>
          <w:bCs/>
          <w:color w:val="000000"/>
          <w:sz w:val="22"/>
          <w:szCs w:val="22"/>
          <w:lang w:eastAsia="es-MX"/>
        </w:rPr>
      </w:pPr>
      <w:r w:rsidRPr="006C3838">
        <w:rPr>
          <w:rFonts w:ascii="ITC Avant Garde" w:hAnsi="ITC Avant Garde"/>
          <w:b/>
          <w:bCs/>
          <w:color w:val="000000"/>
          <w:sz w:val="22"/>
          <w:szCs w:val="22"/>
          <w:lang w:eastAsia="es-MX"/>
        </w:rPr>
        <w:t>ANTECEDENTES</w:t>
      </w:r>
    </w:p>
    <w:p w14:paraId="54D7ACEF" w14:textId="3BCA9F93" w:rsidR="004653B9" w:rsidRPr="00AA14B3" w:rsidRDefault="005C6258" w:rsidP="006C3838">
      <w:pPr>
        <w:numPr>
          <w:ilvl w:val="0"/>
          <w:numId w:val="1"/>
        </w:numPr>
        <w:spacing w:after="240" w:line="240" w:lineRule="auto"/>
        <w:ind w:left="567" w:hanging="567"/>
        <w:jc w:val="both"/>
        <w:rPr>
          <w:rFonts w:ascii="ITC Avant Garde" w:hAnsi="ITC Avant Garde"/>
          <w:bCs/>
          <w:color w:val="000000"/>
          <w:lang w:eastAsia="es-MX"/>
        </w:rPr>
      </w:pPr>
      <w:r w:rsidRPr="00AA0CF4">
        <w:rPr>
          <w:rFonts w:ascii="ITC Avant Garde" w:hAnsi="ITC Avant Garde"/>
          <w:b/>
          <w:bCs/>
          <w:color w:val="000000"/>
          <w:lang w:eastAsia="es-MX"/>
        </w:rPr>
        <w:t>Otorgamiento de la Concesión de Red</w:t>
      </w:r>
      <w:r w:rsidR="00AA0CF4" w:rsidRPr="00AA0CF4">
        <w:rPr>
          <w:rFonts w:ascii="ITC Avant Garde" w:hAnsi="ITC Avant Garde"/>
          <w:b/>
          <w:bCs/>
          <w:color w:val="000000"/>
          <w:lang w:eastAsia="es-MX"/>
        </w:rPr>
        <w:t>.</w:t>
      </w:r>
      <w:r w:rsidR="00A07383" w:rsidRPr="00AA0CF4">
        <w:rPr>
          <w:rFonts w:ascii="ITC Avant Garde" w:hAnsi="ITC Avant Garde"/>
          <w:b/>
          <w:bCs/>
          <w:color w:val="000000"/>
          <w:lang w:eastAsia="es-MX"/>
        </w:rPr>
        <w:t xml:space="preserve"> </w:t>
      </w:r>
      <w:r w:rsidRPr="00AA0CF4">
        <w:rPr>
          <w:rFonts w:ascii="ITC Avant Garde" w:hAnsi="ITC Avant Garde"/>
          <w:bCs/>
          <w:color w:val="000000"/>
          <w:lang w:eastAsia="es-MX"/>
        </w:rPr>
        <w:t>El 16 de mayo de 2013, l</w:t>
      </w:r>
      <w:r w:rsidR="00A07383" w:rsidRPr="00AA0CF4">
        <w:rPr>
          <w:rFonts w:ascii="ITC Avant Garde" w:hAnsi="ITC Avant Garde"/>
          <w:bCs/>
          <w:color w:val="000000"/>
          <w:lang w:eastAsia="es-MX"/>
        </w:rPr>
        <w:t xml:space="preserve">a Secretaría de Comunicaciones y Transportes (la “Secretaría”) otorgó a </w:t>
      </w:r>
      <w:r w:rsidR="00DA7BCC" w:rsidRPr="00AA0CF4">
        <w:rPr>
          <w:rFonts w:ascii="ITC Avant Garde" w:hAnsi="ITC Avant Garde"/>
          <w:bCs/>
          <w:color w:val="000000"/>
          <w:lang w:eastAsia="es-MX"/>
        </w:rPr>
        <w:t xml:space="preserve">Sistemas Especiales de Comunicación, S.A. </w:t>
      </w:r>
      <w:r w:rsidR="002C42E9" w:rsidRPr="00AA0CF4">
        <w:rPr>
          <w:rFonts w:ascii="ITC Avant Garde" w:hAnsi="ITC Avant Garde"/>
          <w:bCs/>
          <w:color w:val="000000"/>
          <w:lang w:eastAsia="es-MX"/>
        </w:rPr>
        <w:t>(“</w:t>
      </w:r>
      <w:r w:rsidR="00DA7BCC" w:rsidRPr="00AA0CF4">
        <w:rPr>
          <w:rFonts w:ascii="ITC Avant Garde" w:hAnsi="ITC Avant Garde"/>
          <w:bCs/>
          <w:color w:val="000000"/>
          <w:lang w:eastAsia="es-MX"/>
        </w:rPr>
        <w:t>SECSA</w:t>
      </w:r>
      <w:r w:rsidR="002C42E9" w:rsidRPr="00AA0CF4">
        <w:rPr>
          <w:rFonts w:ascii="ITC Avant Garde" w:hAnsi="ITC Avant Garde"/>
          <w:bCs/>
          <w:color w:val="000000"/>
          <w:lang w:eastAsia="es-MX"/>
        </w:rPr>
        <w:t>”)</w:t>
      </w:r>
      <w:r w:rsidR="00A07383" w:rsidRPr="00AA0CF4">
        <w:rPr>
          <w:rFonts w:ascii="ITC Avant Garde" w:hAnsi="ITC Avant Garde"/>
          <w:bCs/>
          <w:color w:val="000000"/>
          <w:lang w:eastAsia="es-MX"/>
        </w:rPr>
        <w:t>,</w:t>
      </w:r>
      <w:r w:rsidR="00CC264E" w:rsidRPr="00AA0CF4">
        <w:rPr>
          <w:rFonts w:ascii="ITC Avant Garde" w:hAnsi="ITC Avant Garde"/>
          <w:bCs/>
          <w:color w:val="000000"/>
          <w:lang w:eastAsia="es-MX"/>
        </w:rPr>
        <w:t xml:space="preserve"> </w:t>
      </w:r>
      <w:r w:rsidRPr="00AA14B3">
        <w:rPr>
          <w:rFonts w:ascii="ITC Avant Garde" w:hAnsi="ITC Avant Garde"/>
          <w:bCs/>
          <w:color w:val="000000"/>
          <w:lang w:eastAsia="es-MX"/>
        </w:rPr>
        <w:t>la</w:t>
      </w:r>
      <w:r w:rsidR="004653B9" w:rsidRPr="00941869">
        <w:rPr>
          <w:rFonts w:ascii="ITC Avant Garde" w:hAnsi="ITC Avant Garde"/>
          <w:bCs/>
          <w:color w:val="000000"/>
          <w:lang w:eastAsia="es-MX"/>
        </w:rPr>
        <w:t xml:space="preserve"> prórroga y modificación de concesión para </w:t>
      </w:r>
      <w:r w:rsidR="00B14167" w:rsidRPr="00941869">
        <w:rPr>
          <w:rFonts w:ascii="ITC Avant Garde" w:hAnsi="ITC Avant Garde"/>
          <w:bCs/>
          <w:color w:val="000000"/>
          <w:lang w:eastAsia="es-MX"/>
        </w:rPr>
        <w:t xml:space="preserve">instalar, operar y explotar una red pública </w:t>
      </w:r>
      <w:r w:rsidRPr="00941869">
        <w:rPr>
          <w:rFonts w:ascii="ITC Avant Garde" w:hAnsi="ITC Avant Garde"/>
          <w:bCs/>
          <w:color w:val="000000"/>
          <w:lang w:eastAsia="es-MX"/>
        </w:rPr>
        <w:t>de telecomunicaciones</w:t>
      </w:r>
      <w:r w:rsidR="00EE3C9A" w:rsidRPr="00941869">
        <w:rPr>
          <w:rFonts w:ascii="ITC Avant Garde" w:hAnsi="ITC Avant Garde"/>
          <w:bCs/>
          <w:color w:val="000000"/>
          <w:lang w:eastAsia="es-MX"/>
        </w:rPr>
        <w:t xml:space="preserve">, con una vigencia de 15 años, contados a partir del 13 de octubre de 2008, con cobertura </w:t>
      </w:r>
      <w:r w:rsidR="004653B9" w:rsidRPr="00941869">
        <w:rPr>
          <w:rFonts w:ascii="ITC Avant Garde" w:hAnsi="ITC Avant Garde"/>
          <w:bCs/>
          <w:color w:val="000000"/>
          <w:lang w:eastAsia="es-MX"/>
        </w:rPr>
        <w:t>en los estados de Sonora y Sinaloa</w:t>
      </w:r>
      <w:r w:rsidRPr="00AA14B3">
        <w:rPr>
          <w:rFonts w:ascii="ITC Avant Garde" w:hAnsi="ITC Avant Garde"/>
          <w:bCs/>
          <w:color w:val="000000"/>
          <w:lang w:eastAsia="es-MX"/>
        </w:rPr>
        <w:t>.</w:t>
      </w:r>
      <w:r w:rsidR="00516AB1">
        <w:rPr>
          <w:rFonts w:ascii="ITC Avant Garde" w:hAnsi="ITC Avant Garde"/>
          <w:bCs/>
          <w:color w:val="000000"/>
          <w:lang w:eastAsia="es-MX"/>
        </w:rPr>
        <w:t xml:space="preserve"> (la “Concesión de Red”).</w:t>
      </w:r>
    </w:p>
    <w:p w14:paraId="5CA14B97" w14:textId="0094FB98" w:rsidR="005C6258" w:rsidRPr="00AA14B3" w:rsidRDefault="005C6258" w:rsidP="006C3838">
      <w:pPr>
        <w:spacing w:after="240" w:line="240" w:lineRule="auto"/>
        <w:ind w:left="567"/>
        <w:jc w:val="both"/>
        <w:rPr>
          <w:rFonts w:ascii="ITC Avant Garde" w:hAnsi="ITC Avant Garde"/>
          <w:bCs/>
          <w:color w:val="000000"/>
          <w:lang w:eastAsia="es-MX"/>
        </w:rPr>
      </w:pPr>
      <w:r w:rsidRPr="003F1943">
        <w:rPr>
          <w:rFonts w:ascii="ITC Avant Garde" w:hAnsi="ITC Avant Garde"/>
          <w:bCs/>
          <w:color w:val="000000"/>
          <w:lang w:eastAsia="es-MX"/>
        </w:rPr>
        <w:t xml:space="preserve">En la condición A.2 </w:t>
      </w:r>
      <w:r w:rsidR="00AA0CF4" w:rsidRPr="003F1943">
        <w:rPr>
          <w:rFonts w:ascii="ITC Avant Garde" w:hAnsi="ITC Avant Garde"/>
          <w:bCs/>
          <w:color w:val="000000"/>
          <w:lang w:eastAsia="es-MX"/>
        </w:rPr>
        <w:t>del Capítulo A de la Concesión</w:t>
      </w:r>
      <w:r w:rsidR="00D34A29">
        <w:rPr>
          <w:rFonts w:ascii="ITC Avant Garde" w:hAnsi="ITC Avant Garde"/>
          <w:bCs/>
          <w:color w:val="000000"/>
          <w:lang w:eastAsia="es-MX"/>
        </w:rPr>
        <w:t xml:space="preserve"> de Red</w:t>
      </w:r>
      <w:r w:rsidR="00AA0CF4" w:rsidRPr="00AA14B3">
        <w:rPr>
          <w:rFonts w:ascii="ITC Avant Garde" w:hAnsi="ITC Avant Garde"/>
          <w:bCs/>
          <w:color w:val="000000"/>
          <w:lang w:eastAsia="es-MX"/>
        </w:rPr>
        <w:t xml:space="preserve"> se establecieron como servicios comprendidos, los siguientes:</w:t>
      </w:r>
    </w:p>
    <w:p w14:paraId="1B4D10F8" w14:textId="5B756DE3" w:rsidR="00AA0CF4" w:rsidRPr="00941869" w:rsidRDefault="00AA0CF4" w:rsidP="006C3838">
      <w:pPr>
        <w:pStyle w:val="Prrafodelista"/>
        <w:numPr>
          <w:ilvl w:val="0"/>
          <w:numId w:val="8"/>
        </w:numPr>
        <w:spacing w:after="240"/>
        <w:jc w:val="both"/>
        <w:rPr>
          <w:rFonts w:ascii="ITC Avant Garde" w:hAnsi="ITC Avant Garde"/>
          <w:bCs/>
          <w:color w:val="000000"/>
          <w:sz w:val="22"/>
          <w:szCs w:val="22"/>
          <w:lang w:eastAsia="es-MX"/>
        </w:rPr>
      </w:pPr>
      <w:r w:rsidRPr="00941869">
        <w:rPr>
          <w:rFonts w:ascii="ITC Avant Garde" w:hAnsi="ITC Avant Garde"/>
          <w:bCs/>
          <w:color w:val="000000"/>
          <w:sz w:val="22"/>
          <w:szCs w:val="22"/>
          <w:lang w:eastAsia="es-MX"/>
        </w:rPr>
        <w:t>El servicio Móvil de Radiocomunicación Especializada de Flotillas;</w:t>
      </w:r>
    </w:p>
    <w:p w14:paraId="75370987" w14:textId="5A8C1C1F" w:rsidR="00AA0CF4" w:rsidRPr="00941869" w:rsidRDefault="00AA0CF4" w:rsidP="006C3838">
      <w:pPr>
        <w:pStyle w:val="Prrafodelista"/>
        <w:numPr>
          <w:ilvl w:val="0"/>
          <w:numId w:val="8"/>
        </w:numPr>
        <w:spacing w:after="240"/>
        <w:jc w:val="both"/>
        <w:rPr>
          <w:rFonts w:ascii="ITC Avant Garde" w:hAnsi="ITC Avant Garde"/>
          <w:bCs/>
          <w:color w:val="000000"/>
          <w:sz w:val="22"/>
          <w:szCs w:val="22"/>
          <w:lang w:eastAsia="es-MX"/>
        </w:rPr>
      </w:pPr>
      <w:r w:rsidRPr="00941869">
        <w:rPr>
          <w:rFonts w:ascii="ITC Avant Garde" w:hAnsi="ITC Avant Garde"/>
          <w:bCs/>
          <w:color w:val="000000"/>
          <w:sz w:val="22"/>
          <w:szCs w:val="22"/>
          <w:lang w:eastAsia="es-MX"/>
        </w:rPr>
        <w:t>El servicio de transmisión de datos en cualquiera de sus modalidades;</w:t>
      </w:r>
    </w:p>
    <w:p w14:paraId="32F7768F" w14:textId="0C795E64" w:rsidR="00AA0CF4" w:rsidRPr="00941869" w:rsidRDefault="00AA0CF4" w:rsidP="006C3838">
      <w:pPr>
        <w:pStyle w:val="Prrafodelista"/>
        <w:numPr>
          <w:ilvl w:val="0"/>
          <w:numId w:val="8"/>
        </w:numPr>
        <w:spacing w:after="240"/>
        <w:jc w:val="both"/>
        <w:rPr>
          <w:rFonts w:ascii="ITC Avant Garde" w:hAnsi="ITC Avant Garde"/>
          <w:bCs/>
          <w:color w:val="000000"/>
          <w:sz w:val="22"/>
          <w:szCs w:val="22"/>
          <w:lang w:eastAsia="es-MX"/>
        </w:rPr>
      </w:pPr>
      <w:r w:rsidRPr="00941869">
        <w:rPr>
          <w:rFonts w:ascii="ITC Avant Garde" w:hAnsi="ITC Avant Garde"/>
          <w:bCs/>
          <w:color w:val="000000"/>
          <w:sz w:val="22"/>
          <w:szCs w:val="22"/>
          <w:lang w:eastAsia="es-MX"/>
        </w:rPr>
        <w:t>Acceso a redes públicas de telecomunicaciones;</w:t>
      </w:r>
    </w:p>
    <w:p w14:paraId="77FEFE94" w14:textId="1AA271F4" w:rsidR="00AA0CF4" w:rsidRPr="00941869" w:rsidRDefault="00AA0CF4" w:rsidP="006C3838">
      <w:pPr>
        <w:pStyle w:val="Prrafodelista"/>
        <w:numPr>
          <w:ilvl w:val="0"/>
          <w:numId w:val="8"/>
        </w:numPr>
        <w:spacing w:after="240"/>
        <w:jc w:val="both"/>
        <w:rPr>
          <w:rFonts w:ascii="ITC Avant Garde" w:hAnsi="ITC Avant Garde"/>
          <w:bCs/>
          <w:color w:val="000000"/>
          <w:sz w:val="22"/>
          <w:szCs w:val="22"/>
          <w:lang w:eastAsia="es-MX"/>
        </w:rPr>
      </w:pPr>
      <w:r w:rsidRPr="00941869">
        <w:rPr>
          <w:rFonts w:ascii="ITC Avant Garde" w:hAnsi="ITC Avant Garde"/>
          <w:bCs/>
          <w:color w:val="000000"/>
          <w:sz w:val="22"/>
          <w:szCs w:val="22"/>
          <w:lang w:eastAsia="es-MX"/>
        </w:rPr>
        <w:t>La comercialización de la capacidad de la Red.</w:t>
      </w:r>
    </w:p>
    <w:p w14:paraId="563C9AB9" w14:textId="77777777" w:rsidR="007275B1" w:rsidRDefault="00AA0CF4" w:rsidP="006C3838">
      <w:pPr>
        <w:numPr>
          <w:ilvl w:val="0"/>
          <w:numId w:val="1"/>
        </w:numPr>
        <w:spacing w:after="240" w:line="240" w:lineRule="auto"/>
        <w:ind w:left="567" w:hanging="567"/>
        <w:jc w:val="both"/>
        <w:rPr>
          <w:rFonts w:ascii="ITC Avant Garde" w:hAnsi="ITC Avant Garde"/>
          <w:bCs/>
          <w:color w:val="000000"/>
          <w:lang w:eastAsia="es-MX"/>
        </w:rPr>
        <w:sectPr w:rsidR="007275B1" w:rsidSect="00EF024D">
          <w:headerReference w:type="even" r:id="rId8"/>
          <w:footerReference w:type="default" r:id="rId9"/>
          <w:headerReference w:type="first" r:id="rId10"/>
          <w:pgSz w:w="12240" w:h="15840"/>
          <w:pgMar w:top="2127" w:right="1750" w:bottom="1418" w:left="1701" w:header="709" w:footer="988" w:gutter="0"/>
          <w:cols w:space="708"/>
          <w:docGrid w:linePitch="360"/>
        </w:sectPr>
      </w:pPr>
      <w:r w:rsidRPr="009C13F7">
        <w:rPr>
          <w:rFonts w:ascii="ITC Avant Garde" w:hAnsi="ITC Avant Garde"/>
          <w:b/>
          <w:bCs/>
          <w:color w:val="000000"/>
          <w:lang w:eastAsia="es-MX"/>
        </w:rPr>
        <w:t xml:space="preserve">Otorgamiento de la Concesión de </w:t>
      </w:r>
      <w:r>
        <w:rPr>
          <w:rFonts w:ascii="ITC Avant Garde" w:hAnsi="ITC Avant Garde"/>
          <w:b/>
          <w:bCs/>
          <w:color w:val="000000"/>
          <w:lang w:eastAsia="es-MX"/>
        </w:rPr>
        <w:t>Bandas</w:t>
      </w:r>
      <w:r w:rsidRPr="009C13F7">
        <w:rPr>
          <w:rFonts w:ascii="ITC Avant Garde" w:hAnsi="ITC Avant Garde"/>
          <w:b/>
          <w:bCs/>
          <w:color w:val="000000"/>
          <w:lang w:eastAsia="es-MX"/>
        </w:rPr>
        <w:t xml:space="preserve">. </w:t>
      </w:r>
      <w:r w:rsidRPr="00AA14B3">
        <w:rPr>
          <w:rFonts w:ascii="ITC Avant Garde" w:hAnsi="ITC Avant Garde"/>
          <w:bCs/>
          <w:color w:val="000000"/>
          <w:lang w:eastAsia="es-MX"/>
        </w:rPr>
        <w:t xml:space="preserve">El 16 de mayo de 2013, la Secretaría otorgó a SECSA, la prórroga y modificación de concesión para </w:t>
      </w:r>
      <w:r w:rsidR="00B14167" w:rsidRPr="00941869">
        <w:rPr>
          <w:rFonts w:ascii="ITC Avant Garde" w:hAnsi="ITC Avant Garde"/>
          <w:bCs/>
          <w:color w:val="000000"/>
          <w:lang w:eastAsia="es-MX"/>
        </w:rPr>
        <w:t>usar</w:t>
      </w:r>
      <w:r w:rsidR="003055AB" w:rsidRPr="00941869">
        <w:rPr>
          <w:rFonts w:ascii="ITC Avant Garde" w:hAnsi="ITC Avant Garde"/>
          <w:bCs/>
          <w:color w:val="000000"/>
          <w:lang w:eastAsia="es-MX"/>
        </w:rPr>
        <w:t xml:space="preserve">, </w:t>
      </w:r>
      <w:r w:rsidR="00B14167" w:rsidRPr="00941869">
        <w:rPr>
          <w:rFonts w:ascii="ITC Avant Garde" w:hAnsi="ITC Avant Garde"/>
          <w:bCs/>
          <w:color w:val="000000"/>
          <w:lang w:eastAsia="es-MX"/>
        </w:rPr>
        <w:t>aprovechar</w:t>
      </w:r>
      <w:r w:rsidR="003055AB" w:rsidRPr="00941869">
        <w:rPr>
          <w:rFonts w:ascii="ITC Avant Garde" w:hAnsi="ITC Avant Garde"/>
          <w:bCs/>
          <w:color w:val="000000"/>
          <w:lang w:eastAsia="es-MX"/>
        </w:rPr>
        <w:t xml:space="preserve"> y explotar </w:t>
      </w:r>
      <w:r w:rsidR="00B14167" w:rsidRPr="00941869">
        <w:rPr>
          <w:rFonts w:ascii="ITC Avant Garde" w:hAnsi="ITC Avant Garde"/>
          <w:bCs/>
          <w:color w:val="000000"/>
          <w:lang w:eastAsia="es-MX"/>
        </w:rPr>
        <w:t>bandas de frecuencias del espectro radioeléctrico para usos determinados</w:t>
      </w:r>
      <w:r w:rsidR="003055AB" w:rsidRPr="00941869">
        <w:rPr>
          <w:rFonts w:ascii="ITC Avant Garde" w:hAnsi="ITC Avant Garde"/>
          <w:bCs/>
          <w:color w:val="000000"/>
          <w:lang w:eastAsia="es-MX"/>
        </w:rPr>
        <w:t>, con una vigencia de 15 años, contados a partir del 13 de octubre de 2008, con cobertura en los estados de Sonora y Sinaloa</w:t>
      </w:r>
      <w:r w:rsidR="00107BD1">
        <w:rPr>
          <w:rFonts w:ascii="ITC Avant Garde" w:hAnsi="ITC Avant Garde"/>
          <w:bCs/>
          <w:color w:val="000000"/>
          <w:lang w:eastAsia="es-MX"/>
        </w:rPr>
        <w:t xml:space="preserve"> (la “Concesión”),</w:t>
      </w:r>
      <w:r w:rsidR="003055AB" w:rsidRPr="00941869">
        <w:rPr>
          <w:rFonts w:ascii="ITC Avant Garde" w:hAnsi="ITC Avant Garde"/>
          <w:bCs/>
          <w:color w:val="000000"/>
          <w:lang w:eastAsia="es-MX"/>
        </w:rPr>
        <w:t xml:space="preserve"> </w:t>
      </w:r>
      <w:r w:rsidR="00D34A29">
        <w:rPr>
          <w:rFonts w:ascii="ITC Avant Garde" w:hAnsi="ITC Avant Garde"/>
          <w:bCs/>
          <w:color w:val="000000"/>
          <w:lang w:eastAsia="es-MX"/>
        </w:rPr>
        <w:t xml:space="preserve">para la prestación de los servicios comprendidos en la Concesión de Red, </w:t>
      </w:r>
      <w:r w:rsidR="003055AB" w:rsidRPr="00941869">
        <w:rPr>
          <w:rFonts w:ascii="ITC Avant Garde" w:hAnsi="ITC Avant Garde"/>
          <w:bCs/>
          <w:color w:val="000000"/>
          <w:lang w:eastAsia="es-MX"/>
        </w:rPr>
        <w:t xml:space="preserve">utilizando </w:t>
      </w:r>
      <w:r>
        <w:rPr>
          <w:rFonts w:ascii="ITC Avant Garde" w:hAnsi="ITC Avant Garde"/>
          <w:bCs/>
          <w:color w:val="000000"/>
          <w:lang w:eastAsia="es-MX"/>
        </w:rPr>
        <w:t xml:space="preserve">los siguientes pares de </w:t>
      </w:r>
      <w:r w:rsidR="003055AB" w:rsidRPr="00941869">
        <w:rPr>
          <w:rFonts w:ascii="ITC Avant Garde" w:hAnsi="ITC Avant Garde"/>
          <w:bCs/>
          <w:color w:val="000000"/>
          <w:lang w:eastAsia="es-MX"/>
        </w:rPr>
        <w:t>frecuencias de la banda de 4</w:t>
      </w:r>
      <w:r>
        <w:rPr>
          <w:rFonts w:ascii="ITC Avant Garde" w:hAnsi="ITC Avant Garde"/>
          <w:bCs/>
          <w:color w:val="000000"/>
          <w:lang w:eastAsia="es-MX"/>
        </w:rPr>
        <w:t>1</w:t>
      </w:r>
      <w:r w:rsidR="003055AB" w:rsidRPr="00941869">
        <w:rPr>
          <w:rFonts w:ascii="ITC Avant Garde" w:hAnsi="ITC Avant Garde"/>
          <w:bCs/>
          <w:color w:val="000000"/>
          <w:lang w:eastAsia="es-MX"/>
        </w:rPr>
        <w:t>0</w:t>
      </w:r>
      <w:r>
        <w:rPr>
          <w:rFonts w:ascii="ITC Avant Garde" w:hAnsi="ITC Avant Garde"/>
          <w:bCs/>
          <w:color w:val="000000"/>
          <w:lang w:eastAsia="es-MX"/>
        </w:rPr>
        <w:t>-430</w:t>
      </w:r>
      <w:r w:rsidR="003055AB" w:rsidRPr="00941869">
        <w:rPr>
          <w:rFonts w:ascii="ITC Avant Garde" w:hAnsi="ITC Avant Garde"/>
          <w:bCs/>
          <w:color w:val="000000"/>
          <w:lang w:eastAsia="es-MX"/>
        </w:rPr>
        <w:t xml:space="preserve"> MHz</w:t>
      </w:r>
      <w:r>
        <w:rPr>
          <w:rFonts w:ascii="ITC Avant Garde" w:hAnsi="ITC Avant Garde"/>
          <w:bCs/>
          <w:color w:val="000000"/>
          <w:lang w:eastAsia="es-MX"/>
        </w:rPr>
        <w:t>:</w:t>
      </w:r>
    </w:p>
    <w:p w14:paraId="107A1A6C" w14:textId="1B4C393D" w:rsidR="00AA0CF4" w:rsidRDefault="00AA0CF4" w:rsidP="007275B1">
      <w:pPr>
        <w:spacing w:after="240" w:line="240" w:lineRule="auto"/>
        <w:ind w:left="567"/>
        <w:jc w:val="both"/>
        <w:rPr>
          <w:rFonts w:ascii="ITC Avant Garde" w:hAnsi="ITC Avant Garde"/>
          <w:bCs/>
          <w:color w:val="000000"/>
          <w:lang w:eastAsia="es-MX"/>
        </w:rPr>
      </w:pPr>
    </w:p>
    <w:tbl>
      <w:tblPr>
        <w:tblStyle w:val="Tablaconcuadrcula"/>
        <w:tblW w:w="0" w:type="auto"/>
        <w:jc w:val="center"/>
        <w:tblLook w:val="04A0" w:firstRow="1" w:lastRow="0" w:firstColumn="1" w:lastColumn="0" w:noHBand="0" w:noVBand="1"/>
        <w:tblCaption w:val="Concesión de Red por pares de frecuencias (banda 410-430 MHz)"/>
        <w:tblDescription w:val="En una tabla de 4 columnas describe las bandas de frecuencia del Grupo 21 Rx y Tx en MHz y Grupo 22 Rx y Tx en MHz:&#10;Para el Grupo 21 Rx - Tx, las siguientes frecuencias:&#10;412.125 - 422.125&#10;412.325 - 422.325&#10;412.525 - 422.525&#10;412.725 - 422.725&#10;412.925 - 422.925&#10;Para el Grupo 22 Rx - Tx, las siguientes frecuencias:&#10;412.150 - 422.150&#10;412.350 - 422.350&#10;412.550 - 422.550&#10;412.750 - 422.750&#10;412.950 - 422.950&#10;"/>
      </w:tblPr>
      <w:tblGrid>
        <w:gridCol w:w="1156"/>
        <w:gridCol w:w="1157"/>
        <w:gridCol w:w="1156"/>
        <w:gridCol w:w="1158"/>
      </w:tblGrid>
      <w:tr w:rsidR="007275B1" w:rsidRPr="001E701D" w14:paraId="5101B0D0" w14:textId="77777777" w:rsidTr="007275B1">
        <w:trPr>
          <w:trHeight w:val="378"/>
          <w:tblHeader/>
          <w:jc w:val="center"/>
        </w:trPr>
        <w:tc>
          <w:tcPr>
            <w:tcW w:w="1156" w:type="dxa"/>
            <w:shd w:val="clear" w:color="auto" w:fill="BFBFBF" w:themeFill="background1" w:themeFillShade="BF"/>
          </w:tcPr>
          <w:p w14:paraId="79B919F4" w14:textId="77777777" w:rsidR="007275B1" w:rsidRPr="001E701D" w:rsidRDefault="007275B1" w:rsidP="007275B1">
            <w:pPr>
              <w:spacing w:after="0" w:line="240" w:lineRule="auto"/>
              <w:jc w:val="center"/>
              <w:rPr>
                <w:rFonts w:ascii="ITC Avant Garde" w:hAnsi="ITC Avant Garde"/>
                <w:b/>
                <w:bCs/>
                <w:color w:val="000000"/>
                <w:sz w:val="18"/>
                <w:szCs w:val="16"/>
                <w:lang w:eastAsia="es-MX"/>
              </w:rPr>
            </w:pPr>
            <w:r w:rsidRPr="001E701D">
              <w:rPr>
                <w:rFonts w:ascii="ITC Avant Garde" w:hAnsi="ITC Avant Garde"/>
                <w:b/>
                <w:bCs/>
                <w:color w:val="000000"/>
                <w:sz w:val="18"/>
                <w:szCs w:val="16"/>
                <w:lang w:eastAsia="es-MX"/>
              </w:rPr>
              <w:t>Grupo 21</w:t>
            </w:r>
          </w:p>
        </w:tc>
        <w:tc>
          <w:tcPr>
            <w:tcW w:w="1157" w:type="dxa"/>
            <w:shd w:val="clear" w:color="auto" w:fill="BFBFBF" w:themeFill="background1" w:themeFillShade="BF"/>
          </w:tcPr>
          <w:p w14:paraId="17A1B14F" w14:textId="73338557" w:rsidR="007275B1" w:rsidRPr="001E701D" w:rsidRDefault="007275B1" w:rsidP="007275B1">
            <w:pPr>
              <w:spacing w:after="0" w:line="240" w:lineRule="auto"/>
              <w:jc w:val="center"/>
              <w:rPr>
                <w:rFonts w:ascii="ITC Avant Garde" w:hAnsi="ITC Avant Garde"/>
                <w:b/>
                <w:bCs/>
                <w:color w:val="000000"/>
                <w:sz w:val="18"/>
                <w:szCs w:val="16"/>
                <w:lang w:eastAsia="es-MX"/>
              </w:rPr>
            </w:pPr>
            <w:r>
              <w:rPr>
                <w:rFonts w:ascii="ITC Avant Garde" w:hAnsi="ITC Avant Garde"/>
                <w:b/>
                <w:bCs/>
                <w:color w:val="000000"/>
                <w:sz w:val="18"/>
                <w:szCs w:val="16"/>
                <w:lang w:eastAsia="es-MX"/>
              </w:rPr>
              <w:t>Grupo 21</w:t>
            </w:r>
          </w:p>
        </w:tc>
        <w:tc>
          <w:tcPr>
            <w:tcW w:w="1156" w:type="dxa"/>
            <w:shd w:val="clear" w:color="auto" w:fill="BFBFBF" w:themeFill="background1" w:themeFillShade="BF"/>
          </w:tcPr>
          <w:p w14:paraId="311BD5FA" w14:textId="107E3F98" w:rsidR="007275B1" w:rsidRPr="001E701D" w:rsidRDefault="007275B1" w:rsidP="007275B1">
            <w:pPr>
              <w:spacing w:after="0" w:line="240" w:lineRule="auto"/>
              <w:jc w:val="center"/>
              <w:rPr>
                <w:rFonts w:ascii="ITC Avant Garde" w:hAnsi="ITC Avant Garde"/>
                <w:b/>
                <w:bCs/>
                <w:color w:val="000000"/>
                <w:sz w:val="18"/>
                <w:szCs w:val="16"/>
                <w:lang w:eastAsia="es-MX"/>
              </w:rPr>
            </w:pPr>
            <w:r w:rsidRPr="00741324">
              <w:rPr>
                <w:rFonts w:ascii="ITC Avant Garde" w:hAnsi="ITC Avant Garde"/>
                <w:b/>
                <w:bCs/>
                <w:color w:val="000000"/>
                <w:sz w:val="18"/>
                <w:szCs w:val="16"/>
                <w:lang w:eastAsia="es-MX"/>
              </w:rPr>
              <w:t>Grupo 22</w:t>
            </w:r>
          </w:p>
        </w:tc>
        <w:tc>
          <w:tcPr>
            <w:tcW w:w="1158" w:type="dxa"/>
            <w:shd w:val="clear" w:color="auto" w:fill="BFBFBF" w:themeFill="background1" w:themeFillShade="BF"/>
          </w:tcPr>
          <w:p w14:paraId="366B64AA" w14:textId="565A518E" w:rsidR="007275B1" w:rsidRPr="001E701D" w:rsidRDefault="007275B1" w:rsidP="007275B1">
            <w:pPr>
              <w:spacing w:after="0" w:line="240" w:lineRule="auto"/>
              <w:jc w:val="center"/>
              <w:rPr>
                <w:rFonts w:ascii="ITC Avant Garde" w:hAnsi="ITC Avant Garde"/>
                <w:b/>
                <w:bCs/>
                <w:color w:val="000000"/>
                <w:sz w:val="18"/>
                <w:szCs w:val="16"/>
                <w:lang w:eastAsia="es-MX"/>
              </w:rPr>
            </w:pPr>
            <w:r w:rsidRPr="00741324">
              <w:rPr>
                <w:rFonts w:ascii="ITC Avant Garde" w:hAnsi="ITC Avant Garde"/>
                <w:b/>
                <w:bCs/>
                <w:color w:val="000000"/>
                <w:sz w:val="18"/>
                <w:szCs w:val="16"/>
                <w:lang w:eastAsia="es-MX"/>
              </w:rPr>
              <w:t>Grupo 22</w:t>
            </w:r>
          </w:p>
        </w:tc>
      </w:tr>
      <w:tr w:rsidR="0096743D" w:rsidRPr="001E701D" w14:paraId="1F189F25" w14:textId="77777777" w:rsidTr="007275B1">
        <w:trPr>
          <w:trHeight w:val="360"/>
          <w:jc w:val="center"/>
        </w:trPr>
        <w:tc>
          <w:tcPr>
            <w:tcW w:w="1156" w:type="dxa"/>
          </w:tcPr>
          <w:p w14:paraId="48E8FA59" w14:textId="220F9ED4" w:rsidR="0096743D" w:rsidRPr="001E701D" w:rsidRDefault="0096743D" w:rsidP="007275B1">
            <w:pPr>
              <w:spacing w:after="0" w:line="240" w:lineRule="auto"/>
              <w:jc w:val="center"/>
              <w:rPr>
                <w:rFonts w:ascii="ITC Avant Garde" w:hAnsi="ITC Avant Garde"/>
                <w:b/>
                <w:bCs/>
                <w:color w:val="000000"/>
                <w:sz w:val="18"/>
                <w:szCs w:val="16"/>
                <w:lang w:eastAsia="es-MX"/>
              </w:rPr>
            </w:pPr>
            <w:r w:rsidRPr="001E701D">
              <w:rPr>
                <w:rFonts w:ascii="ITC Avant Garde" w:hAnsi="ITC Avant Garde"/>
                <w:b/>
                <w:bCs/>
                <w:color w:val="000000"/>
                <w:sz w:val="18"/>
                <w:szCs w:val="16"/>
                <w:lang w:eastAsia="es-MX"/>
              </w:rPr>
              <w:t>Rx (MHz)</w:t>
            </w:r>
          </w:p>
        </w:tc>
        <w:tc>
          <w:tcPr>
            <w:tcW w:w="1157" w:type="dxa"/>
          </w:tcPr>
          <w:p w14:paraId="2CD8F98E" w14:textId="4C4D00F5" w:rsidR="0096743D" w:rsidRPr="001E701D" w:rsidRDefault="0096743D" w:rsidP="007275B1">
            <w:pPr>
              <w:spacing w:after="0" w:line="240" w:lineRule="auto"/>
              <w:jc w:val="center"/>
              <w:rPr>
                <w:rFonts w:ascii="ITC Avant Garde" w:hAnsi="ITC Avant Garde"/>
                <w:b/>
                <w:bCs/>
                <w:color w:val="000000"/>
                <w:sz w:val="18"/>
                <w:szCs w:val="16"/>
                <w:lang w:eastAsia="es-MX"/>
              </w:rPr>
            </w:pPr>
            <w:r w:rsidRPr="001E701D">
              <w:rPr>
                <w:rFonts w:ascii="ITC Avant Garde" w:hAnsi="ITC Avant Garde"/>
                <w:b/>
                <w:bCs/>
                <w:color w:val="000000"/>
                <w:sz w:val="18"/>
                <w:szCs w:val="16"/>
                <w:lang w:eastAsia="es-MX"/>
              </w:rPr>
              <w:t>Tx (MHz)</w:t>
            </w:r>
          </w:p>
        </w:tc>
        <w:tc>
          <w:tcPr>
            <w:tcW w:w="1156" w:type="dxa"/>
          </w:tcPr>
          <w:p w14:paraId="1AEA9288" w14:textId="7E9F32E2" w:rsidR="0096743D" w:rsidRPr="001E701D" w:rsidRDefault="0096743D" w:rsidP="007275B1">
            <w:pPr>
              <w:spacing w:after="0" w:line="240" w:lineRule="auto"/>
              <w:jc w:val="center"/>
              <w:rPr>
                <w:rFonts w:ascii="ITC Avant Garde" w:hAnsi="ITC Avant Garde"/>
                <w:b/>
                <w:bCs/>
                <w:color w:val="000000"/>
                <w:sz w:val="18"/>
                <w:szCs w:val="16"/>
                <w:lang w:eastAsia="es-MX"/>
              </w:rPr>
            </w:pPr>
            <w:r w:rsidRPr="001E701D">
              <w:rPr>
                <w:rFonts w:ascii="ITC Avant Garde" w:hAnsi="ITC Avant Garde"/>
                <w:b/>
                <w:bCs/>
                <w:color w:val="000000"/>
                <w:sz w:val="18"/>
                <w:szCs w:val="16"/>
                <w:lang w:eastAsia="es-MX"/>
              </w:rPr>
              <w:t>Rx (MHz)</w:t>
            </w:r>
          </w:p>
        </w:tc>
        <w:tc>
          <w:tcPr>
            <w:tcW w:w="1158" w:type="dxa"/>
          </w:tcPr>
          <w:p w14:paraId="34042BFF" w14:textId="3C701558" w:rsidR="0096743D" w:rsidRPr="001E701D" w:rsidRDefault="0096743D" w:rsidP="007275B1">
            <w:pPr>
              <w:spacing w:after="0" w:line="240" w:lineRule="auto"/>
              <w:jc w:val="center"/>
              <w:rPr>
                <w:rFonts w:ascii="ITC Avant Garde" w:hAnsi="ITC Avant Garde"/>
                <w:b/>
                <w:bCs/>
                <w:color w:val="000000"/>
                <w:sz w:val="18"/>
                <w:szCs w:val="16"/>
                <w:lang w:eastAsia="es-MX"/>
              </w:rPr>
            </w:pPr>
            <w:r w:rsidRPr="001E701D">
              <w:rPr>
                <w:rFonts w:ascii="ITC Avant Garde" w:hAnsi="ITC Avant Garde"/>
                <w:b/>
                <w:bCs/>
                <w:color w:val="000000"/>
                <w:sz w:val="18"/>
                <w:szCs w:val="16"/>
                <w:lang w:eastAsia="es-MX"/>
              </w:rPr>
              <w:t>Tx (MHz)</w:t>
            </w:r>
          </w:p>
        </w:tc>
      </w:tr>
      <w:tr w:rsidR="0096743D" w:rsidRPr="001E701D" w14:paraId="5FEB0758" w14:textId="77777777" w:rsidTr="007275B1">
        <w:trPr>
          <w:trHeight w:val="378"/>
          <w:jc w:val="center"/>
        </w:trPr>
        <w:tc>
          <w:tcPr>
            <w:tcW w:w="1156" w:type="dxa"/>
          </w:tcPr>
          <w:p w14:paraId="0E9E0930" w14:textId="066D3695"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412.125</w:t>
            </w:r>
          </w:p>
        </w:tc>
        <w:tc>
          <w:tcPr>
            <w:tcW w:w="1157" w:type="dxa"/>
          </w:tcPr>
          <w:p w14:paraId="5FD3397F" w14:textId="40852B6A"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422.125</w:t>
            </w:r>
          </w:p>
        </w:tc>
        <w:tc>
          <w:tcPr>
            <w:tcW w:w="1156" w:type="dxa"/>
          </w:tcPr>
          <w:p w14:paraId="4551ACC8" w14:textId="711F8342"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412.150</w:t>
            </w:r>
          </w:p>
        </w:tc>
        <w:tc>
          <w:tcPr>
            <w:tcW w:w="1158" w:type="dxa"/>
          </w:tcPr>
          <w:p w14:paraId="695E40DB" w14:textId="3A8EF960"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422.150</w:t>
            </w:r>
          </w:p>
        </w:tc>
      </w:tr>
      <w:tr w:rsidR="0096743D" w:rsidRPr="001E701D" w14:paraId="110A468A" w14:textId="77777777" w:rsidTr="007275B1">
        <w:trPr>
          <w:trHeight w:val="360"/>
          <w:jc w:val="center"/>
        </w:trPr>
        <w:tc>
          <w:tcPr>
            <w:tcW w:w="1156" w:type="dxa"/>
          </w:tcPr>
          <w:p w14:paraId="5685A97D" w14:textId="215CAA47"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412.325</w:t>
            </w:r>
          </w:p>
        </w:tc>
        <w:tc>
          <w:tcPr>
            <w:tcW w:w="1157" w:type="dxa"/>
          </w:tcPr>
          <w:p w14:paraId="60C3F72D" w14:textId="4721F29B"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422.325</w:t>
            </w:r>
          </w:p>
        </w:tc>
        <w:tc>
          <w:tcPr>
            <w:tcW w:w="1156" w:type="dxa"/>
          </w:tcPr>
          <w:p w14:paraId="58EE6039" w14:textId="60FB751C"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412.350</w:t>
            </w:r>
          </w:p>
        </w:tc>
        <w:tc>
          <w:tcPr>
            <w:tcW w:w="1158" w:type="dxa"/>
          </w:tcPr>
          <w:p w14:paraId="4BEE539B" w14:textId="4DD20DBD"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422.350</w:t>
            </w:r>
          </w:p>
        </w:tc>
      </w:tr>
      <w:tr w:rsidR="0096743D" w:rsidRPr="001E701D" w14:paraId="7DD058F6" w14:textId="77777777" w:rsidTr="007275B1">
        <w:trPr>
          <w:trHeight w:val="378"/>
          <w:jc w:val="center"/>
        </w:trPr>
        <w:tc>
          <w:tcPr>
            <w:tcW w:w="1156" w:type="dxa"/>
          </w:tcPr>
          <w:p w14:paraId="5240DED1" w14:textId="7AFD24B1"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412.525</w:t>
            </w:r>
          </w:p>
        </w:tc>
        <w:tc>
          <w:tcPr>
            <w:tcW w:w="1157" w:type="dxa"/>
          </w:tcPr>
          <w:p w14:paraId="1DB0EB18" w14:textId="4B65333B"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422.525</w:t>
            </w:r>
          </w:p>
        </w:tc>
        <w:tc>
          <w:tcPr>
            <w:tcW w:w="1156" w:type="dxa"/>
          </w:tcPr>
          <w:p w14:paraId="2737B22A" w14:textId="29C89002"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412.550</w:t>
            </w:r>
          </w:p>
        </w:tc>
        <w:tc>
          <w:tcPr>
            <w:tcW w:w="1158" w:type="dxa"/>
          </w:tcPr>
          <w:p w14:paraId="1EBAC2D0" w14:textId="76EB681E"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422.550</w:t>
            </w:r>
          </w:p>
        </w:tc>
      </w:tr>
      <w:tr w:rsidR="0096743D" w:rsidRPr="001E701D" w14:paraId="2253C890" w14:textId="77777777" w:rsidTr="007275B1">
        <w:trPr>
          <w:trHeight w:val="360"/>
          <w:jc w:val="center"/>
        </w:trPr>
        <w:tc>
          <w:tcPr>
            <w:tcW w:w="1156" w:type="dxa"/>
          </w:tcPr>
          <w:p w14:paraId="3CF1C66F" w14:textId="5C759A04"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412.725</w:t>
            </w:r>
          </w:p>
        </w:tc>
        <w:tc>
          <w:tcPr>
            <w:tcW w:w="1157" w:type="dxa"/>
          </w:tcPr>
          <w:p w14:paraId="22566DE9" w14:textId="235184F6"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422.725</w:t>
            </w:r>
          </w:p>
        </w:tc>
        <w:tc>
          <w:tcPr>
            <w:tcW w:w="1156" w:type="dxa"/>
          </w:tcPr>
          <w:p w14:paraId="68C35876" w14:textId="0E497898"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412.750</w:t>
            </w:r>
          </w:p>
        </w:tc>
        <w:tc>
          <w:tcPr>
            <w:tcW w:w="1158" w:type="dxa"/>
          </w:tcPr>
          <w:p w14:paraId="29259863" w14:textId="48D4A55E"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422.750</w:t>
            </w:r>
          </w:p>
        </w:tc>
      </w:tr>
      <w:tr w:rsidR="0096743D" w:rsidRPr="001E701D" w14:paraId="34285307" w14:textId="77777777" w:rsidTr="007275B1">
        <w:trPr>
          <w:trHeight w:val="378"/>
          <w:jc w:val="center"/>
        </w:trPr>
        <w:tc>
          <w:tcPr>
            <w:tcW w:w="1156" w:type="dxa"/>
          </w:tcPr>
          <w:p w14:paraId="0341F171" w14:textId="26A2697D"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412.925</w:t>
            </w:r>
          </w:p>
        </w:tc>
        <w:tc>
          <w:tcPr>
            <w:tcW w:w="1157" w:type="dxa"/>
          </w:tcPr>
          <w:p w14:paraId="13D82736" w14:textId="40A0BA7F"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422.925</w:t>
            </w:r>
          </w:p>
        </w:tc>
        <w:tc>
          <w:tcPr>
            <w:tcW w:w="1156" w:type="dxa"/>
          </w:tcPr>
          <w:p w14:paraId="66650E12" w14:textId="33A406DB"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412.950</w:t>
            </w:r>
          </w:p>
        </w:tc>
        <w:tc>
          <w:tcPr>
            <w:tcW w:w="1158" w:type="dxa"/>
          </w:tcPr>
          <w:p w14:paraId="4DD9B602" w14:textId="3D7821D9" w:rsidR="0096743D" w:rsidRPr="001E701D" w:rsidRDefault="0096743D" w:rsidP="007275B1">
            <w:pPr>
              <w:spacing w:after="0" w:line="240" w:lineRule="auto"/>
              <w:jc w:val="both"/>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422.950</w:t>
            </w:r>
          </w:p>
        </w:tc>
      </w:tr>
    </w:tbl>
    <w:p w14:paraId="217246F9" w14:textId="77777777" w:rsidR="007A1F0F" w:rsidRDefault="007A1F0F" w:rsidP="007275B1">
      <w:pPr>
        <w:numPr>
          <w:ilvl w:val="0"/>
          <w:numId w:val="1"/>
        </w:numPr>
        <w:spacing w:before="240" w:after="240" w:line="240" w:lineRule="auto"/>
        <w:ind w:left="567" w:hanging="567"/>
        <w:jc w:val="both"/>
        <w:rPr>
          <w:rFonts w:ascii="ITC Avant Garde" w:hAnsi="ITC Avant Garde"/>
          <w:bCs/>
          <w:color w:val="000000"/>
          <w:lang w:eastAsia="es-MX"/>
        </w:rPr>
      </w:pPr>
      <w:r w:rsidRPr="007A1F0F">
        <w:rPr>
          <w:rFonts w:ascii="ITC Avant Garde" w:hAnsi="ITC Avant Garde"/>
          <w:b/>
          <w:bCs/>
          <w:color w:val="000000"/>
          <w:lang w:eastAsia="es-MX"/>
        </w:rPr>
        <w:t xml:space="preserve">Decreto de Reforma Constitucional. </w:t>
      </w:r>
      <w:r w:rsidRPr="007A1F0F">
        <w:rPr>
          <w:rFonts w:ascii="ITC Avant Garde" w:hAnsi="ITC Avant Garde"/>
          <w:bCs/>
          <w:color w:val="000000"/>
          <w:lang w:eastAsia="es-MX"/>
        </w:rPr>
        <w:t>Con fecha 11 de junio de 2013, se publicó en el Diario Oficial de la Federación el “</w:t>
      </w:r>
      <w:r w:rsidRPr="008663B6">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003E5AC1">
        <w:rPr>
          <w:rFonts w:ascii="ITC Avant Garde" w:hAnsi="ITC Avant Garde"/>
          <w:bCs/>
          <w:color w:val="000000"/>
          <w:lang w:eastAsia="es-MX"/>
        </w:rPr>
        <w:t>”</w:t>
      </w:r>
      <w:r w:rsidRPr="007A1F0F">
        <w:rPr>
          <w:rFonts w:ascii="ITC Avant Garde" w:hAnsi="ITC Avant Garde"/>
          <w:bCs/>
          <w:color w:val="000000"/>
          <w:lang w:eastAsia="es-MX"/>
        </w:rPr>
        <w:t>, mediante el cual se creó el Instituto Federal de Telecomunicaciones (el “Instituto”), como un órgano autónomo que tiene por objeto el desarrollo eficiente de la radiodifusión y las telecomunicaciones.</w:t>
      </w:r>
    </w:p>
    <w:p w14:paraId="5CF220B7" w14:textId="77777777" w:rsidR="009E2911" w:rsidRPr="00216619" w:rsidRDefault="009E2911" w:rsidP="006C3838">
      <w:pPr>
        <w:numPr>
          <w:ilvl w:val="0"/>
          <w:numId w:val="1"/>
        </w:numPr>
        <w:spacing w:after="240" w:line="240" w:lineRule="auto"/>
        <w:ind w:left="567"/>
        <w:jc w:val="both"/>
        <w:rPr>
          <w:rFonts w:ascii="ITC Avant Garde" w:hAnsi="ITC Avant Garde"/>
          <w:bCs/>
          <w:color w:val="000000"/>
          <w:lang w:eastAsia="es-MX"/>
        </w:rPr>
      </w:pPr>
      <w:r w:rsidRPr="00216619">
        <w:rPr>
          <w:rFonts w:ascii="ITC Avant Garde" w:hAnsi="ITC Avant Garde"/>
          <w:b/>
          <w:bCs/>
          <w:color w:val="000000" w:themeColor="text1"/>
          <w:lang w:eastAsia="es-MX"/>
        </w:rPr>
        <w:t xml:space="preserve">Decreto de Ley. </w:t>
      </w:r>
      <w:r w:rsidRPr="00216619">
        <w:rPr>
          <w:rFonts w:ascii="ITC Avant Garde" w:hAnsi="ITC Avant Garde"/>
          <w:bCs/>
          <w:color w:val="000000" w:themeColor="text1"/>
          <w:lang w:eastAsia="es-MX"/>
        </w:rPr>
        <w:t>El 14 de julio de 2014, se publicó en el Diario Oficial de la Federación el “</w:t>
      </w:r>
      <w:r w:rsidRPr="00216619">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415207">
        <w:rPr>
          <w:rFonts w:ascii="ITC Avant Garde" w:hAnsi="ITC Avant Garde"/>
          <w:bCs/>
          <w:color w:val="000000" w:themeColor="text1"/>
          <w:lang w:eastAsia="es-MX"/>
        </w:rPr>
        <w:t>”</w:t>
      </w:r>
      <w:r w:rsidRPr="00216619">
        <w:rPr>
          <w:rFonts w:ascii="ITC Avant Garde" w:hAnsi="ITC Avant Garde"/>
          <w:bCs/>
          <w:color w:val="000000" w:themeColor="text1"/>
          <w:lang w:eastAsia="es-MX"/>
        </w:rPr>
        <w:t>, mismo que entró en vigor el 13 de agosto de 2014.</w:t>
      </w:r>
    </w:p>
    <w:p w14:paraId="272C2D2A" w14:textId="77777777" w:rsidR="00883C50" w:rsidRPr="00437771" w:rsidRDefault="00BA7BF9" w:rsidP="006C3838">
      <w:pPr>
        <w:numPr>
          <w:ilvl w:val="0"/>
          <w:numId w:val="1"/>
        </w:numPr>
        <w:spacing w:after="240" w:line="240" w:lineRule="auto"/>
        <w:ind w:left="567"/>
        <w:jc w:val="both"/>
        <w:rPr>
          <w:rFonts w:ascii="ITC Avant Garde" w:hAnsi="ITC Avant Garde"/>
          <w:bCs/>
          <w:color w:val="000000"/>
          <w:lang w:eastAsia="es-MX"/>
        </w:rPr>
      </w:pPr>
      <w:r w:rsidRPr="00216619">
        <w:rPr>
          <w:rFonts w:ascii="ITC Avant Garde" w:hAnsi="ITC Avant Garde" w:cs="Arial"/>
          <w:b/>
          <w:bCs/>
          <w:color w:val="000000"/>
          <w:shd w:val="clear" w:color="auto" w:fill="FFFFFF"/>
        </w:rPr>
        <w:t>Estatuto Orgánico.</w:t>
      </w:r>
      <w:r w:rsidRPr="00216619">
        <w:rPr>
          <w:rStyle w:val="apple-converted-space"/>
          <w:rFonts w:ascii="ITC Avant Garde" w:hAnsi="ITC Avant Garde" w:cs="Arial"/>
          <w:b/>
          <w:bCs/>
          <w:color w:val="000000"/>
          <w:shd w:val="clear" w:color="auto" w:fill="FFFFFF"/>
        </w:rPr>
        <w:t xml:space="preserve"> </w:t>
      </w:r>
      <w:r w:rsidRPr="00216619">
        <w:rPr>
          <w:rFonts w:ascii="ITC Avant Garde" w:hAnsi="ITC Avant Garde"/>
          <w:color w:val="000000"/>
          <w:shd w:val="clear" w:color="auto" w:fill="FFFFFF"/>
        </w:rPr>
        <w:t>El 4 de septiembre de 2014, se publicó en el Diario Oficial de la Federación el “</w:t>
      </w:r>
      <w:r w:rsidRPr="00216619">
        <w:rPr>
          <w:rFonts w:ascii="ITC Avant Garde" w:hAnsi="ITC Avant Garde"/>
          <w:i/>
          <w:color w:val="000000"/>
          <w:shd w:val="clear" w:color="auto" w:fill="FFFFFF"/>
        </w:rPr>
        <w:t>Estatuto Orgánico del Instituto Federal de Telecomunicaciones</w:t>
      </w:r>
      <w:r w:rsidRPr="00216619">
        <w:rPr>
          <w:rFonts w:ascii="ITC Avant Garde" w:hAnsi="ITC Avant Garde"/>
          <w:color w:val="000000"/>
          <w:shd w:val="clear" w:color="auto" w:fill="FFFFFF"/>
        </w:rPr>
        <w:t xml:space="preserve">” (el “Estatuto Orgánico”), mismo que entró en vigor el 26 de septiembre de 2014, y fue modificado el 17 de octubre </w:t>
      </w:r>
      <w:r w:rsidR="00854E64" w:rsidRPr="00216619">
        <w:rPr>
          <w:rFonts w:ascii="ITC Avant Garde" w:hAnsi="ITC Avant Garde"/>
          <w:color w:val="000000"/>
          <w:shd w:val="clear" w:color="auto" w:fill="FFFFFF"/>
        </w:rPr>
        <w:t>del mismo año</w:t>
      </w:r>
      <w:r w:rsidRPr="00216619">
        <w:rPr>
          <w:rFonts w:ascii="ITC Avant Garde" w:hAnsi="ITC Avant Garde"/>
          <w:color w:val="000000"/>
          <w:shd w:val="clear" w:color="auto" w:fill="FFFFFF"/>
        </w:rPr>
        <w:t>.</w:t>
      </w:r>
    </w:p>
    <w:p w14:paraId="027505E7" w14:textId="161292A4" w:rsidR="00437771" w:rsidRPr="00DC7249" w:rsidRDefault="00437771" w:rsidP="006C3838">
      <w:pPr>
        <w:numPr>
          <w:ilvl w:val="0"/>
          <w:numId w:val="1"/>
        </w:numPr>
        <w:spacing w:after="240" w:line="240" w:lineRule="auto"/>
        <w:ind w:left="567"/>
        <w:jc w:val="both"/>
        <w:rPr>
          <w:rFonts w:ascii="ITC Avant Garde" w:hAnsi="ITC Avant Garde" w:cs="Arial"/>
          <w:b/>
          <w:bCs/>
          <w:color w:val="000000"/>
          <w:shd w:val="clear" w:color="auto" w:fill="FFFFFF"/>
        </w:rPr>
      </w:pPr>
      <w:r w:rsidRPr="00437771">
        <w:rPr>
          <w:rFonts w:ascii="ITC Avant Garde" w:hAnsi="ITC Avant Garde" w:cs="Arial"/>
          <w:b/>
          <w:bCs/>
          <w:color w:val="000000"/>
          <w:shd w:val="clear" w:color="auto" w:fill="FFFFFF"/>
        </w:rPr>
        <w:t>Solicitud</w:t>
      </w:r>
      <w:r w:rsidR="00DC7249">
        <w:rPr>
          <w:rFonts w:ascii="ITC Avant Garde" w:hAnsi="ITC Avant Garde" w:cs="Arial"/>
          <w:b/>
          <w:bCs/>
          <w:color w:val="000000"/>
          <w:shd w:val="clear" w:color="auto" w:fill="FFFFFF"/>
        </w:rPr>
        <w:t xml:space="preserve"> de </w:t>
      </w:r>
      <w:r w:rsidR="003F1943">
        <w:rPr>
          <w:rFonts w:ascii="ITC Avant Garde" w:hAnsi="ITC Avant Garde" w:cs="Arial"/>
          <w:b/>
          <w:bCs/>
          <w:color w:val="000000"/>
          <w:shd w:val="clear" w:color="auto" w:fill="FFFFFF"/>
        </w:rPr>
        <w:t>Cambio de Bandas</w:t>
      </w:r>
      <w:r>
        <w:rPr>
          <w:rFonts w:ascii="ITC Avant Garde" w:hAnsi="ITC Avant Garde" w:cs="Arial"/>
          <w:b/>
          <w:bCs/>
          <w:color w:val="000000"/>
          <w:shd w:val="clear" w:color="auto" w:fill="FFFFFF"/>
        </w:rPr>
        <w:t xml:space="preserve">. </w:t>
      </w:r>
      <w:r w:rsidRPr="00437771">
        <w:rPr>
          <w:rFonts w:ascii="ITC Avant Garde" w:hAnsi="ITC Avant Garde" w:cs="Arial"/>
          <w:bCs/>
          <w:color w:val="000000"/>
          <w:shd w:val="clear" w:color="auto" w:fill="FFFFFF"/>
        </w:rPr>
        <w:t>Con escrito presentado ante el Instituto el 19 de octubre de 2015, el representante legal de SECSA solicitó</w:t>
      </w:r>
      <w:r w:rsidRPr="00437771">
        <w:rPr>
          <w:rFonts w:ascii="ITC Avant Garde" w:hAnsi="ITC Avant Garde"/>
          <w:bCs/>
          <w:color w:val="000000"/>
          <w:lang w:eastAsia="es-MX"/>
        </w:rPr>
        <w:t xml:space="preserve"> el cambio de las frecuencias asignadas en la </w:t>
      </w:r>
      <w:r w:rsidR="00D34A29">
        <w:rPr>
          <w:rFonts w:ascii="ITC Avant Garde" w:hAnsi="ITC Avant Garde"/>
          <w:bCs/>
          <w:color w:val="000000"/>
          <w:lang w:eastAsia="es-MX"/>
        </w:rPr>
        <w:t>Concesión</w:t>
      </w:r>
      <w:r w:rsidR="00107BD1">
        <w:rPr>
          <w:rFonts w:ascii="ITC Avant Garde" w:hAnsi="ITC Avant Garde"/>
          <w:bCs/>
          <w:color w:val="000000"/>
          <w:lang w:eastAsia="es-MX"/>
        </w:rPr>
        <w:t xml:space="preserve">, </w:t>
      </w:r>
      <w:r w:rsidR="00107BD1" w:rsidRPr="00437771">
        <w:rPr>
          <w:rFonts w:ascii="ITC Avant Garde" w:hAnsi="ITC Avant Garde"/>
          <w:bCs/>
          <w:color w:val="000000"/>
          <w:lang w:eastAsia="es-MX"/>
        </w:rPr>
        <w:t>a efecto de contar con espectro continuo en la banda de frecuencias 410-430 MHz</w:t>
      </w:r>
      <w:r w:rsidR="0046713D">
        <w:rPr>
          <w:rFonts w:ascii="ITC Avant Garde" w:hAnsi="ITC Avant Garde"/>
          <w:bCs/>
          <w:color w:val="000000"/>
          <w:lang w:eastAsia="es-MX"/>
        </w:rPr>
        <w:t xml:space="preserve"> y hacer un uso más eficiente del espectro radioeléctrico (la “Solicitud de Cambio de Bandas”)</w:t>
      </w:r>
      <w:r w:rsidR="00DC7249">
        <w:rPr>
          <w:rFonts w:ascii="ITC Avant Garde" w:hAnsi="ITC Avant Garde"/>
          <w:bCs/>
          <w:color w:val="000000"/>
          <w:lang w:eastAsia="es-MX"/>
        </w:rPr>
        <w:t>.</w:t>
      </w:r>
    </w:p>
    <w:p w14:paraId="07257D2A" w14:textId="61906A74" w:rsidR="00DC7249" w:rsidRPr="00DC7249" w:rsidRDefault="00DC7249" w:rsidP="006C3838">
      <w:pPr>
        <w:numPr>
          <w:ilvl w:val="0"/>
          <w:numId w:val="1"/>
        </w:numPr>
        <w:spacing w:after="240" w:line="240" w:lineRule="auto"/>
        <w:ind w:left="567"/>
        <w:jc w:val="both"/>
        <w:rPr>
          <w:rFonts w:ascii="ITC Avant Garde" w:hAnsi="ITC Avant Garde" w:cs="Arial"/>
          <w:b/>
          <w:bCs/>
          <w:color w:val="000000"/>
          <w:shd w:val="clear" w:color="auto" w:fill="FFFFFF"/>
        </w:rPr>
      </w:pPr>
      <w:r w:rsidRPr="00DC7249">
        <w:rPr>
          <w:rFonts w:ascii="ITC Avant Garde" w:hAnsi="ITC Avant Garde"/>
          <w:b/>
          <w:color w:val="000000"/>
        </w:rPr>
        <w:t>Opinión de la Unidad de Espectro Radioeléctrico.</w:t>
      </w:r>
      <w:r w:rsidRPr="00DC7249">
        <w:rPr>
          <w:rFonts w:ascii="ITC Avant Garde" w:hAnsi="ITC Avant Garde"/>
          <w:color w:val="000000"/>
        </w:rPr>
        <w:t xml:space="preserve"> Mediante oficio IFT/222/UER/DG-</w:t>
      </w:r>
      <w:r>
        <w:rPr>
          <w:rFonts w:ascii="ITC Avant Garde" w:hAnsi="ITC Avant Garde"/>
          <w:color w:val="000000"/>
        </w:rPr>
        <w:t>IEET</w:t>
      </w:r>
      <w:r w:rsidRPr="00DC7249">
        <w:rPr>
          <w:rFonts w:ascii="ITC Avant Garde" w:hAnsi="ITC Avant Garde"/>
          <w:color w:val="000000"/>
        </w:rPr>
        <w:t>/</w:t>
      </w:r>
      <w:r>
        <w:rPr>
          <w:rFonts w:ascii="ITC Avant Garde" w:hAnsi="ITC Avant Garde"/>
          <w:color w:val="000000"/>
        </w:rPr>
        <w:t>0275/2016</w:t>
      </w:r>
      <w:r w:rsidRPr="00DC7249">
        <w:rPr>
          <w:rFonts w:ascii="ITC Avant Garde" w:hAnsi="ITC Avant Garde"/>
          <w:color w:val="000000"/>
        </w:rPr>
        <w:t xml:space="preserve"> de fecha </w:t>
      </w:r>
      <w:r>
        <w:rPr>
          <w:rFonts w:ascii="ITC Avant Garde" w:hAnsi="ITC Avant Garde"/>
          <w:color w:val="000000"/>
        </w:rPr>
        <w:t>21</w:t>
      </w:r>
      <w:r w:rsidRPr="00DC7249">
        <w:rPr>
          <w:rFonts w:ascii="ITC Avant Garde" w:hAnsi="ITC Avant Garde"/>
          <w:color w:val="000000"/>
        </w:rPr>
        <w:t xml:space="preserve"> de </w:t>
      </w:r>
      <w:r>
        <w:rPr>
          <w:rFonts w:ascii="ITC Avant Garde" w:hAnsi="ITC Avant Garde"/>
          <w:color w:val="000000"/>
        </w:rPr>
        <w:t>abril de 2016</w:t>
      </w:r>
      <w:r w:rsidRPr="00DC7249">
        <w:rPr>
          <w:rFonts w:ascii="ITC Avant Garde" w:hAnsi="ITC Avant Garde"/>
          <w:color w:val="000000"/>
        </w:rPr>
        <w:t>, la Unidad de Espectro Radioeléctrico del Instituto</w:t>
      </w:r>
      <w:r w:rsidR="0046713D">
        <w:rPr>
          <w:rFonts w:ascii="ITC Avant Garde" w:hAnsi="ITC Avant Garde"/>
          <w:color w:val="000000"/>
        </w:rPr>
        <w:t>, a través de la Dirección General de Ingeniería del Espectro y Estudios Técnicos,</w:t>
      </w:r>
      <w:r w:rsidRPr="00DC7249">
        <w:rPr>
          <w:rFonts w:ascii="ITC Avant Garde" w:hAnsi="ITC Avant Garde"/>
          <w:color w:val="000000"/>
        </w:rPr>
        <w:t xml:space="preserve"> emitió opinión favorable respecto a la Solicitud de </w:t>
      </w:r>
      <w:r w:rsidR="0046713D">
        <w:rPr>
          <w:rFonts w:ascii="ITC Avant Garde" w:hAnsi="ITC Avant Garde"/>
          <w:color w:val="000000"/>
        </w:rPr>
        <w:t>Cambio de Bandas.</w:t>
      </w:r>
    </w:p>
    <w:p w14:paraId="12FFCC9A" w14:textId="77777777" w:rsidR="00B048BA" w:rsidRPr="00216619" w:rsidRDefault="00B048BA" w:rsidP="00941869">
      <w:pPr>
        <w:spacing w:after="0" w:line="240" w:lineRule="auto"/>
        <w:jc w:val="both"/>
        <w:rPr>
          <w:rFonts w:ascii="ITC Avant Garde" w:hAnsi="ITC Avant Garde"/>
          <w:bCs/>
          <w:color w:val="000000"/>
          <w:lang w:eastAsia="es-MX"/>
        </w:rPr>
      </w:pPr>
      <w:r w:rsidRPr="00216619">
        <w:rPr>
          <w:rFonts w:ascii="ITC Avant Garde" w:hAnsi="ITC Avant Garde"/>
          <w:bCs/>
          <w:color w:val="000000"/>
          <w:lang w:eastAsia="es-MX"/>
        </w:rPr>
        <w:t>En virtud de los Antecedentes referidos y,</w:t>
      </w:r>
    </w:p>
    <w:p w14:paraId="7A58F8FF" w14:textId="77777777" w:rsidR="00245BED" w:rsidRPr="00216619" w:rsidRDefault="00245BED" w:rsidP="00941869">
      <w:pPr>
        <w:spacing w:after="0" w:line="240" w:lineRule="auto"/>
        <w:jc w:val="center"/>
        <w:rPr>
          <w:rFonts w:ascii="ITC Avant Garde" w:hAnsi="ITC Avant Garde"/>
          <w:b/>
          <w:bCs/>
          <w:color w:val="000000"/>
          <w:lang w:eastAsia="es-MX"/>
        </w:rPr>
      </w:pPr>
    </w:p>
    <w:p w14:paraId="5E50F954" w14:textId="77777777" w:rsidR="00D64817" w:rsidRPr="006C3838" w:rsidRDefault="00B048BA" w:rsidP="006C3838">
      <w:pPr>
        <w:pStyle w:val="Ttulo2"/>
        <w:jc w:val="center"/>
        <w:rPr>
          <w:rFonts w:ascii="ITC Avant Garde" w:hAnsi="ITC Avant Garde"/>
          <w:b/>
          <w:bCs/>
          <w:color w:val="auto"/>
          <w:sz w:val="22"/>
          <w:szCs w:val="22"/>
        </w:rPr>
      </w:pPr>
      <w:r w:rsidRPr="006C3838">
        <w:rPr>
          <w:rFonts w:ascii="ITC Avant Garde" w:hAnsi="ITC Avant Garde"/>
          <w:b/>
          <w:bCs/>
          <w:color w:val="auto"/>
          <w:sz w:val="22"/>
          <w:szCs w:val="22"/>
        </w:rPr>
        <w:t>CONSIDERANDO</w:t>
      </w:r>
    </w:p>
    <w:p w14:paraId="61B5B573" w14:textId="77777777" w:rsidR="0097164F" w:rsidRDefault="00B048BA" w:rsidP="007275B1">
      <w:pPr>
        <w:autoSpaceDE w:val="0"/>
        <w:autoSpaceDN w:val="0"/>
        <w:adjustRightInd w:val="0"/>
        <w:spacing w:before="240" w:after="0" w:line="240" w:lineRule="auto"/>
        <w:jc w:val="both"/>
        <w:rPr>
          <w:rFonts w:ascii="ITC Avant Garde" w:hAnsi="ITC Avant Garde"/>
          <w:bCs/>
          <w:color w:val="000000"/>
          <w:lang w:eastAsia="es-MX"/>
        </w:rPr>
      </w:pPr>
      <w:r w:rsidRPr="00216619">
        <w:rPr>
          <w:rFonts w:ascii="ITC Avant Garde" w:hAnsi="ITC Avant Garde"/>
          <w:b/>
          <w:bCs/>
        </w:rPr>
        <w:t>Primero.-</w:t>
      </w:r>
      <w:r w:rsidRPr="00216619">
        <w:rPr>
          <w:rFonts w:ascii="ITC Avant Garde" w:hAnsi="ITC Avant Garde"/>
          <w:bCs/>
        </w:rPr>
        <w:t xml:space="preserve"> </w:t>
      </w:r>
      <w:r w:rsidRPr="00216619">
        <w:rPr>
          <w:rFonts w:ascii="ITC Avant Garde" w:hAnsi="ITC Avant Garde"/>
          <w:b/>
          <w:bCs/>
        </w:rPr>
        <w:t>Competencia.</w:t>
      </w:r>
      <w:r w:rsidRPr="00216619">
        <w:rPr>
          <w:rFonts w:ascii="ITC Avant Garde" w:hAnsi="ITC Avant Garde"/>
          <w:bCs/>
        </w:rPr>
        <w:t xml:space="preserve"> </w:t>
      </w:r>
      <w:r w:rsidR="000167EA" w:rsidRPr="00216619">
        <w:rPr>
          <w:rFonts w:ascii="ITC Avant Garde" w:hAnsi="ITC Avant Garde"/>
          <w:bCs/>
          <w:color w:val="000000"/>
          <w:lang w:eastAsia="es-MX"/>
        </w:rPr>
        <w:t>Conforme lo dispone el artículo 28 párrafos décimo quinto</w:t>
      </w:r>
      <w:r w:rsidR="004D3B4C">
        <w:rPr>
          <w:rFonts w:ascii="ITC Avant Garde" w:hAnsi="ITC Avant Garde"/>
          <w:bCs/>
          <w:color w:val="000000"/>
          <w:lang w:eastAsia="es-MX"/>
        </w:rPr>
        <w:t xml:space="preserve"> y décimo sexto </w:t>
      </w:r>
      <w:r w:rsidR="000167EA" w:rsidRPr="00216619">
        <w:rPr>
          <w:rFonts w:ascii="ITC Avant Garde" w:hAnsi="ITC Avant Garde"/>
          <w:bCs/>
          <w:color w:val="000000"/>
          <w:lang w:eastAsia="es-MX"/>
        </w:rPr>
        <w:t>de la Constitución</w:t>
      </w:r>
      <w:r w:rsidR="00BD0EBF" w:rsidRPr="00216619">
        <w:rPr>
          <w:rFonts w:ascii="ITC Avant Garde" w:hAnsi="ITC Avant Garde"/>
          <w:bCs/>
          <w:color w:val="000000"/>
          <w:lang w:eastAsia="es-MX"/>
        </w:rPr>
        <w:t xml:space="preserve"> Política de los Estados Unidos Mexicanos (la “Constitución”)</w:t>
      </w:r>
      <w:r w:rsidR="000167EA" w:rsidRPr="00216619">
        <w:rPr>
          <w:rFonts w:ascii="ITC Avant Garde" w:hAnsi="ITC Avant Garde"/>
          <w:bCs/>
          <w:color w:val="000000"/>
          <w:lang w:eastAsia="es-MX"/>
        </w:rPr>
        <w:t>, el Instituto es un órgano autónomo con personalidad jurídica y patrimonio propio</w:t>
      </w:r>
      <w:r w:rsidR="00745C14" w:rsidRPr="00216619">
        <w:rPr>
          <w:rFonts w:ascii="ITC Avant Garde" w:hAnsi="ITC Avant Garde"/>
          <w:bCs/>
          <w:color w:val="000000"/>
          <w:lang w:eastAsia="es-MX"/>
        </w:rPr>
        <w:t>s</w:t>
      </w:r>
      <w:r w:rsidR="000167EA" w:rsidRPr="00216619">
        <w:rPr>
          <w:rFonts w:ascii="ITC Avant Garde" w:hAnsi="ITC Avant Garde"/>
          <w:bCs/>
          <w:color w:val="000000"/>
          <w:lang w:eastAsia="es-MX"/>
        </w:rPr>
        <w:t xml:space="preserve">, que tiene por objeto el desarrollo eficiente de la radiodifusión y las telecomunicaciones, conforme a lo dispuesto </w:t>
      </w:r>
      <w:r w:rsidR="00745C14" w:rsidRPr="00216619">
        <w:rPr>
          <w:rFonts w:ascii="ITC Avant Garde" w:hAnsi="ITC Avant Garde"/>
          <w:bCs/>
          <w:color w:val="000000"/>
          <w:lang w:eastAsia="es-MX"/>
        </w:rPr>
        <w:t xml:space="preserve">por </w:t>
      </w:r>
      <w:r w:rsidR="000167EA" w:rsidRPr="00216619">
        <w:rPr>
          <w:rFonts w:ascii="ITC Avant Garde" w:hAnsi="ITC Avant Garde"/>
          <w:bCs/>
          <w:color w:val="000000"/>
          <w:lang w:eastAsia="es-MX"/>
        </w:rPr>
        <w:t xml:space="preserve">la </w:t>
      </w:r>
      <w:r w:rsidR="00745C14" w:rsidRPr="00216619">
        <w:rPr>
          <w:rFonts w:ascii="ITC Avant Garde" w:hAnsi="ITC Avant Garde"/>
          <w:bCs/>
          <w:color w:val="000000"/>
          <w:lang w:eastAsia="es-MX"/>
        </w:rPr>
        <w:t xml:space="preserve">propia </w:t>
      </w:r>
      <w:r w:rsidR="000167EA" w:rsidRPr="00216619">
        <w:rPr>
          <w:rFonts w:ascii="ITC Avant Garde" w:hAnsi="ITC Avant Garde"/>
          <w:bCs/>
          <w:color w:val="000000"/>
          <w:lang w:eastAsia="es-MX"/>
        </w:rPr>
        <w:t>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55D838EE" w14:textId="77777777" w:rsidR="0097164F" w:rsidRPr="00822F0C" w:rsidRDefault="000167EA" w:rsidP="007275B1">
      <w:pPr>
        <w:autoSpaceDE w:val="0"/>
        <w:autoSpaceDN w:val="0"/>
        <w:adjustRightInd w:val="0"/>
        <w:spacing w:before="240" w:after="0" w:line="240" w:lineRule="auto"/>
        <w:jc w:val="both"/>
        <w:rPr>
          <w:rFonts w:ascii="ITC Avant Garde" w:hAnsi="ITC Avant Garde"/>
          <w:bCs/>
          <w:color w:val="000000"/>
          <w:lang w:eastAsia="es-MX"/>
        </w:rPr>
      </w:pPr>
      <w:r w:rsidRPr="00822F0C">
        <w:rPr>
          <w:rFonts w:ascii="ITC Avant Garde" w:hAnsi="ITC Avant Garde"/>
          <w:bCs/>
          <w:color w:val="000000"/>
          <w:lang w:eastAsia="es-MX"/>
        </w:rPr>
        <w:t xml:space="preserve">Asimismo, el Instituto es la autoridad en </w:t>
      </w:r>
      <w:r w:rsidR="00066C6A" w:rsidRPr="00822F0C">
        <w:rPr>
          <w:rFonts w:ascii="ITC Avant Garde" w:hAnsi="ITC Avant Garde"/>
          <w:bCs/>
          <w:color w:val="000000"/>
          <w:lang w:eastAsia="es-MX"/>
        </w:rPr>
        <w:t xml:space="preserve">la </w:t>
      </w:r>
      <w:r w:rsidRPr="00822F0C">
        <w:rPr>
          <w:rFonts w:ascii="ITC Avant Garde" w:hAnsi="ITC Avant Garde"/>
          <w:bCs/>
          <w:color w:val="000000"/>
          <w:lang w:eastAsia="es-MX"/>
        </w:rPr>
        <w:t>materia de competencia económica de los sectores de radiodifusión y telecomunicaciones, por lo que</w:t>
      </w:r>
      <w:r w:rsidR="00745C14" w:rsidRPr="00822F0C">
        <w:rPr>
          <w:rFonts w:ascii="ITC Avant Garde" w:hAnsi="ITC Avant Garde"/>
          <w:bCs/>
          <w:color w:val="000000"/>
          <w:lang w:eastAsia="es-MX"/>
        </w:rPr>
        <w:t>,</w:t>
      </w:r>
      <w:r w:rsidRPr="00822F0C">
        <w:rPr>
          <w:rFonts w:ascii="ITC Avant Garde" w:hAnsi="ITC Avant Garde"/>
          <w:bCs/>
          <w:color w:val="000000"/>
          <w:lang w:eastAsia="es-MX"/>
        </w:rPr>
        <w:t xml:space="preserv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296E32E" w14:textId="77777777" w:rsidR="00245BED" w:rsidRDefault="0097164F" w:rsidP="007275B1">
      <w:pPr>
        <w:autoSpaceDE w:val="0"/>
        <w:autoSpaceDN w:val="0"/>
        <w:adjustRightInd w:val="0"/>
        <w:spacing w:before="240" w:after="0" w:line="240" w:lineRule="auto"/>
        <w:jc w:val="both"/>
        <w:rPr>
          <w:rFonts w:ascii="ITC Avant Garde" w:hAnsi="ITC Avant Garde"/>
          <w:bCs/>
          <w:color w:val="000000"/>
          <w:lang w:eastAsia="es-MX"/>
        </w:rPr>
      </w:pPr>
      <w:r w:rsidRPr="00216619">
        <w:rPr>
          <w:rFonts w:ascii="ITC Avant Garde" w:hAnsi="ITC Avant Garde"/>
          <w:bCs/>
          <w:color w:val="000000"/>
          <w:lang w:eastAsia="es-MX"/>
        </w:rPr>
        <w:t xml:space="preserve">De igual forma, corresponde al Instituto, </w:t>
      </w:r>
      <w:r w:rsidR="00E17E90">
        <w:rPr>
          <w:rFonts w:ascii="ITC Avant Garde" w:hAnsi="ITC Avant Garde"/>
          <w:bCs/>
          <w:color w:val="000000"/>
          <w:lang w:eastAsia="es-MX"/>
        </w:rPr>
        <w:t xml:space="preserve">conforme lo establecido por </w:t>
      </w:r>
      <w:r w:rsidR="00B11169">
        <w:rPr>
          <w:rFonts w:ascii="ITC Avant Garde" w:hAnsi="ITC Avant Garde"/>
          <w:bCs/>
          <w:color w:val="000000"/>
          <w:lang w:eastAsia="es-MX"/>
        </w:rPr>
        <w:t xml:space="preserve">los artículos 15 fracción XV y </w:t>
      </w:r>
      <w:r w:rsidR="00E17E90">
        <w:rPr>
          <w:rFonts w:ascii="ITC Avant Garde" w:hAnsi="ITC Avant Garde"/>
          <w:bCs/>
          <w:color w:val="000000"/>
          <w:lang w:eastAsia="es-MX"/>
        </w:rPr>
        <w:t xml:space="preserve">106 de la Ley, </w:t>
      </w:r>
      <w:r w:rsidR="00626D12">
        <w:rPr>
          <w:rFonts w:ascii="ITC Avant Garde" w:hAnsi="ITC Avant Garde"/>
          <w:bCs/>
          <w:color w:val="000000"/>
          <w:lang w:eastAsia="es-MX"/>
        </w:rPr>
        <w:t xml:space="preserve">resolver sobre </w:t>
      </w:r>
      <w:r w:rsidR="00E17E90">
        <w:rPr>
          <w:rFonts w:ascii="ITC Avant Garde" w:hAnsi="ITC Avant Garde"/>
          <w:bCs/>
          <w:color w:val="000000"/>
          <w:lang w:eastAsia="es-MX"/>
        </w:rPr>
        <w:t>las solicitudes de autorización</w:t>
      </w:r>
      <w:r w:rsidR="003A21B4">
        <w:rPr>
          <w:rFonts w:ascii="ITC Avant Garde" w:hAnsi="ITC Avant Garde"/>
          <w:bCs/>
          <w:color w:val="000000"/>
          <w:lang w:eastAsia="es-MX"/>
        </w:rPr>
        <w:t xml:space="preserve"> relativas al cambio de bandas de frecuencias</w:t>
      </w:r>
      <w:r w:rsidR="00575659">
        <w:rPr>
          <w:rFonts w:ascii="ITC Avant Garde" w:hAnsi="ITC Avant Garde"/>
          <w:bCs/>
          <w:color w:val="000000"/>
          <w:lang w:eastAsia="es-MX"/>
        </w:rPr>
        <w:t xml:space="preserve"> </w:t>
      </w:r>
      <w:r w:rsidR="003A21B4">
        <w:rPr>
          <w:rFonts w:ascii="ITC Avant Garde" w:hAnsi="ITC Avant Garde"/>
          <w:bCs/>
          <w:color w:val="000000"/>
          <w:lang w:eastAsia="es-MX"/>
        </w:rPr>
        <w:t>a solicitud de parte interesada, para lo cual el Instituto deberá tomar en consideración</w:t>
      </w:r>
      <w:r w:rsidR="00C36340">
        <w:rPr>
          <w:rFonts w:ascii="ITC Avant Garde" w:hAnsi="ITC Avant Garde"/>
          <w:bCs/>
          <w:color w:val="000000"/>
          <w:lang w:eastAsia="es-MX"/>
        </w:rPr>
        <w:t>, entre otros aspectos,</w:t>
      </w:r>
      <w:r w:rsidR="003A21B4">
        <w:rPr>
          <w:rFonts w:ascii="ITC Avant Garde" w:hAnsi="ITC Avant Garde"/>
          <w:bCs/>
          <w:color w:val="000000"/>
          <w:lang w:eastAsia="es-MX"/>
        </w:rPr>
        <w:t xml:space="preserve"> la planeación y administración eficiente del espectro, los avances tecnológicos y el interés p</w:t>
      </w:r>
      <w:r w:rsidR="00B11169">
        <w:rPr>
          <w:rFonts w:ascii="ITC Avant Garde" w:hAnsi="ITC Avant Garde"/>
          <w:bCs/>
          <w:color w:val="000000"/>
          <w:lang w:eastAsia="es-MX"/>
        </w:rPr>
        <w:t>ú</w:t>
      </w:r>
      <w:r w:rsidR="003A21B4">
        <w:rPr>
          <w:rFonts w:ascii="ITC Avant Garde" w:hAnsi="ITC Avant Garde"/>
          <w:bCs/>
          <w:color w:val="000000"/>
          <w:lang w:eastAsia="es-MX"/>
        </w:rPr>
        <w:t>blico</w:t>
      </w:r>
      <w:r w:rsidR="00E17E90">
        <w:rPr>
          <w:rFonts w:ascii="ITC Avant Garde" w:hAnsi="ITC Avant Garde"/>
          <w:bCs/>
          <w:color w:val="000000"/>
          <w:lang w:eastAsia="es-MX"/>
        </w:rPr>
        <w:t xml:space="preserve">. </w:t>
      </w:r>
    </w:p>
    <w:p w14:paraId="23110A4A" w14:textId="77777777" w:rsidR="009A2CD8" w:rsidRPr="00216619" w:rsidRDefault="006D1D70" w:rsidP="007275B1">
      <w:pPr>
        <w:autoSpaceDE w:val="0"/>
        <w:autoSpaceDN w:val="0"/>
        <w:adjustRightInd w:val="0"/>
        <w:spacing w:before="240" w:after="0" w:line="240" w:lineRule="auto"/>
        <w:jc w:val="both"/>
        <w:rPr>
          <w:rFonts w:ascii="ITC Avant Garde" w:hAnsi="ITC Avant Garde"/>
          <w:bCs/>
        </w:rPr>
      </w:pPr>
      <w:r>
        <w:rPr>
          <w:rFonts w:ascii="ITC Avant Garde" w:hAnsi="ITC Avant Garde" w:cs="Tahoma"/>
          <w:bCs/>
          <w:lang w:eastAsia="es-MX"/>
        </w:rPr>
        <w:t>Asimismo</w:t>
      </w:r>
      <w:r w:rsidR="004951FB" w:rsidRPr="00216619">
        <w:rPr>
          <w:rFonts w:ascii="ITC Avant Garde" w:hAnsi="ITC Avant Garde" w:cs="Tahoma"/>
          <w:bCs/>
          <w:lang w:eastAsia="es-MX"/>
        </w:rPr>
        <w:t xml:space="preserve">, </w:t>
      </w:r>
      <w:r w:rsidR="009A2CD8" w:rsidRPr="00216619">
        <w:rPr>
          <w:rFonts w:ascii="ITC Avant Garde" w:hAnsi="ITC Avant Garde" w:cs="Tahoma"/>
          <w:bCs/>
          <w:lang w:eastAsia="es-MX"/>
        </w:rPr>
        <w:t xml:space="preserve">el artículo 6 fracciones </w:t>
      </w:r>
      <w:r w:rsidR="004951FB" w:rsidRPr="00216619">
        <w:rPr>
          <w:rFonts w:ascii="ITC Avant Garde" w:hAnsi="ITC Avant Garde" w:cs="Tahoma"/>
          <w:bCs/>
          <w:lang w:eastAsia="es-MX"/>
        </w:rPr>
        <w:t>I, VI y XXXVII</w:t>
      </w:r>
      <w:r w:rsidR="009A2CD8" w:rsidRPr="00216619">
        <w:rPr>
          <w:rFonts w:ascii="ITC Avant Garde" w:hAnsi="ITC Avant Garde" w:cs="Tahoma"/>
          <w:bCs/>
          <w:lang w:eastAsia="es-MX"/>
        </w:rPr>
        <w:t xml:space="preserve"> del </w:t>
      </w:r>
      <w:r w:rsidR="009A2CD8" w:rsidRPr="00216619">
        <w:rPr>
          <w:rFonts w:ascii="ITC Avant Garde" w:hAnsi="ITC Avant Garde"/>
          <w:bCs/>
          <w:lang w:eastAsia="es-MX"/>
        </w:rPr>
        <w:t>Estatuto Orgánico,</w:t>
      </w:r>
      <w:r w:rsidR="009A2CD8" w:rsidRPr="00216619">
        <w:rPr>
          <w:rFonts w:ascii="ITC Avant Garde" w:hAnsi="ITC Avant Garde" w:cs="Tahoma"/>
          <w:bCs/>
          <w:lang w:eastAsia="es-MX"/>
        </w:rPr>
        <w:t xml:space="preserve"> establece </w:t>
      </w:r>
      <w:r>
        <w:rPr>
          <w:rFonts w:ascii="ITC Avant Garde" w:hAnsi="ITC Avant Garde" w:cs="Tahoma"/>
          <w:bCs/>
          <w:lang w:eastAsia="es-MX"/>
        </w:rPr>
        <w:t>como atribuciones d</w:t>
      </w:r>
      <w:r w:rsidR="009A2CD8" w:rsidRPr="00216619">
        <w:rPr>
          <w:rFonts w:ascii="ITC Avant Garde" w:hAnsi="ITC Avant Garde" w:cs="Tahoma"/>
          <w:bCs/>
          <w:lang w:eastAsia="es-MX"/>
        </w:rPr>
        <w:t>el Pleno del Instituto</w:t>
      </w:r>
      <w:r>
        <w:rPr>
          <w:rFonts w:ascii="ITC Avant Garde" w:hAnsi="ITC Avant Garde" w:cs="Tahoma"/>
          <w:bCs/>
          <w:lang w:eastAsia="es-MX"/>
        </w:rPr>
        <w:t>, entre otras</w:t>
      </w:r>
      <w:r w:rsidR="00D4236D">
        <w:rPr>
          <w:rFonts w:ascii="ITC Avant Garde" w:hAnsi="ITC Avant Garde" w:cs="Tahoma"/>
          <w:bCs/>
          <w:lang w:eastAsia="es-MX"/>
        </w:rPr>
        <w:t>,</w:t>
      </w:r>
      <w:r>
        <w:rPr>
          <w:rFonts w:ascii="ITC Avant Garde" w:hAnsi="ITC Avant Garde" w:cs="Tahoma"/>
          <w:bCs/>
          <w:lang w:eastAsia="es-MX"/>
        </w:rPr>
        <w:t xml:space="preserve"> la</w:t>
      </w:r>
      <w:r w:rsidR="009A2CD8" w:rsidRPr="00216619">
        <w:rPr>
          <w:rFonts w:ascii="ITC Avant Garde" w:hAnsi="ITC Avant Garde" w:cs="Tahoma"/>
          <w:bCs/>
          <w:lang w:eastAsia="es-MX"/>
        </w:rPr>
        <w:t xml:space="preserve">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Pr>
          <w:rFonts w:ascii="ITC Avant Garde" w:hAnsi="ITC Avant Garde" w:cs="Tahoma"/>
          <w:bCs/>
          <w:lang w:eastAsia="es-MX"/>
        </w:rPr>
        <w:t>;</w:t>
      </w:r>
      <w:r w:rsidR="009A2CD8" w:rsidRPr="00216619">
        <w:rPr>
          <w:rFonts w:ascii="ITC Avant Garde" w:hAnsi="ITC Avant Garde" w:cs="Tahoma"/>
          <w:bCs/>
          <w:lang w:eastAsia="es-MX"/>
        </w:rPr>
        <w:t xml:space="preserve"> regular de forma asimétrica a los participantes en los mercados de radiodifusión y telecomunicaciones a fin de eliminar eficazmente las barreras a la competencia y li</w:t>
      </w:r>
      <w:r w:rsidR="00982A94" w:rsidRPr="00216619">
        <w:rPr>
          <w:rFonts w:ascii="ITC Avant Garde" w:hAnsi="ITC Avant Garde" w:cs="Tahoma"/>
          <w:bCs/>
          <w:lang w:eastAsia="es-MX"/>
        </w:rPr>
        <w:t>bre concurrencia</w:t>
      </w:r>
      <w:r w:rsidR="0065111D" w:rsidRPr="00216619">
        <w:rPr>
          <w:rFonts w:ascii="ITC Avant Garde" w:hAnsi="ITC Avant Garde" w:cs="Tahoma"/>
          <w:bCs/>
          <w:lang w:eastAsia="es-MX"/>
        </w:rPr>
        <w:t>, y las demás que la Ley y otros ordenamientos le confieran</w:t>
      </w:r>
      <w:r w:rsidR="00982A94" w:rsidRPr="00216619">
        <w:rPr>
          <w:rFonts w:ascii="ITC Avant Garde" w:hAnsi="ITC Avant Garde" w:cs="Tahoma"/>
          <w:bCs/>
          <w:lang w:eastAsia="es-MX"/>
        </w:rPr>
        <w:t>.</w:t>
      </w:r>
    </w:p>
    <w:p w14:paraId="0F7D8014" w14:textId="77777777" w:rsidR="00B048BA" w:rsidRPr="00216619" w:rsidRDefault="00C36340" w:rsidP="007275B1">
      <w:pPr>
        <w:autoSpaceDE w:val="0"/>
        <w:autoSpaceDN w:val="0"/>
        <w:adjustRightInd w:val="0"/>
        <w:spacing w:before="240" w:after="0" w:line="240" w:lineRule="auto"/>
        <w:jc w:val="both"/>
        <w:rPr>
          <w:rFonts w:ascii="ITC Avant Garde" w:hAnsi="ITC Avant Garde" w:cs="Tahoma"/>
          <w:bCs/>
          <w:lang w:eastAsia="es-MX"/>
        </w:rPr>
      </w:pPr>
      <w:r>
        <w:rPr>
          <w:rFonts w:ascii="ITC Avant Garde" w:hAnsi="ITC Avant Garde" w:cs="Tahoma"/>
          <w:bCs/>
          <w:lang w:eastAsia="es-MX"/>
        </w:rPr>
        <w:t>Por otro lado</w:t>
      </w:r>
      <w:r w:rsidR="006D1D70">
        <w:rPr>
          <w:rFonts w:ascii="ITC Avant Garde" w:hAnsi="ITC Avant Garde" w:cs="Tahoma"/>
          <w:bCs/>
          <w:lang w:eastAsia="es-MX"/>
        </w:rPr>
        <w:t>, conforme a los artículos 32 y</w:t>
      </w:r>
      <w:r w:rsidR="00B573B6" w:rsidRPr="00216619">
        <w:rPr>
          <w:rFonts w:ascii="ITC Avant Garde" w:hAnsi="ITC Avant Garde" w:cs="Tahoma"/>
          <w:bCs/>
          <w:lang w:eastAsia="es-MX"/>
        </w:rPr>
        <w:t xml:space="preserve"> </w:t>
      </w:r>
      <w:r w:rsidR="00B179D3">
        <w:rPr>
          <w:rFonts w:ascii="ITC Avant Garde" w:hAnsi="ITC Avant Garde" w:cs="Tahoma"/>
          <w:bCs/>
          <w:lang w:eastAsia="es-MX"/>
        </w:rPr>
        <w:t xml:space="preserve">33 </w:t>
      </w:r>
      <w:proofErr w:type="gramStart"/>
      <w:r w:rsidR="00B179D3">
        <w:rPr>
          <w:rFonts w:ascii="ITC Avant Garde" w:hAnsi="ITC Avant Garde" w:cs="Tahoma"/>
          <w:bCs/>
          <w:lang w:eastAsia="es-MX"/>
        </w:rPr>
        <w:t>fracción</w:t>
      </w:r>
      <w:proofErr w:type="gramEnd"/>
      <w:r w:rsidR="0079472E">
        <w:rPr>
          <w:rFonts w:ascii="ITC Avant Garde" w:hAnsi="ITC Avant Garde" w:cs="Tahoma"/>
          <w:bCs/>
          <w:lang w:eastAsia="es-MX"/>
        </w:rPr>
        <w:t xml:space="preserve"> </w:t>
      </w:r>
      <w:r w:rsidR="0052013C">
        <w:rPr>
          <w:rFonts w:ascii="ITC Avant Garde" w:hAnsi="ITC Avant Garde" w:cs="Tahoma"/>
          <w:bCs/>
          <w:lang w:eastAsia="es-MX"/>
        </w:rPr>
        <w:t>XIV</w:t>
      </w:r>
      <w:r w:rsidR="0082518F" w:rsidRPr="00216619">
        <w:rPr>
          <w:rFonts w:ascii="ITC Avant Garde" w:hAnsi="ITC Avant Garde" w:cs="Tahoma"/>
          <w:bCs/>
          <w:lang w:eastAsia="es-MX"/>
        </w:rPr>
        <w:t xml:space="preserve"> del Estatuto Orgánico</w:t>
      </w:r>
      <w:r w:rsidR="00876B09" w:rsidRPr="00216619">
        <w:rPr>
          <w:rFonts w:ascii="ITC Avant Garde" w:hAnsi="ITC Avant Garde" w:cs="Tahoma"/>
          <w:bCs/>
          <w:lang w:eastAsia="es-MX"/>
        </w:rPr>
        <w:t>,</w:t>
      </w:r>
      <w:r w:rsidR="00B048BA" w:rsidRPr="00216619">
        <w:rPr>
          <w:rFonts w:ascii="ITC Avant Garde" w:hAnsi="ITC Avant Garde"/>
          <w:bCs/>
        </w:rPr>
        <w:t xml:space="preserve"> corresponde a</w:t>
      </w:r>
      <w:r w:rsidR="0082518F" w:rsidRPr="00216619">
        <w:rPr>
          <w:rFonts w:ascii="ITC Avant Garde" w:hAnsi="ITC Avant Garde"/>
          <w:bCs/>
        </w:rPr>
        <w:t xml:space="preserve"> </w:t>
      </w:r>
      <w:r w:rsidR="0082518F" w:rsidRPr="00216619">
        <w:rPr>
          <w:rFonts w:ascii="ITC Avant Garde" w:hAnsi="ITC Avant Garde" w:cs="Tahoma"/>
          <w:bCs/>
          <w:lang w:eastAsia="es-MX"/>
        </w:rPr>
        <w:t xml:space="preserve">la </w:t>
      </w:r>
      <w:r w:rsidR="00F86867" w:rsidRPr="00216619">
        <w:rPr>
          <w:rFonts w:ascii="ITC Avant Garde" w:hAnsi="ITC Avant Garde" w:cs="Tahoma"/>
          <w:bCs/>
          <w:lang w:eastAsia="es-MX"/>
        </w:rPr>
        <w:t xml:space="preserve">Unidad de Concesiones y Servicios, a través de la </w:t>
      </w:r>
      <w:r w:rsidR="0082518F" w:rsidRPr="00216619">
        <w:rPr>
          <w:rFonts w:ascii="ITC Avant Garde" w:hAnsi="ITC Avant Garde" w:cs="Tahoma"/>
          <w:bCs/>
          <w:lang w:eastAsia="es-MX"/>
        </w:rPr>
        <w:t>Dirección General de Concesiones de Telecomunicaciones, tramitar</w:t>
      </w:r>
      <w:r>
        <w:rPr>
          <w:rFonts w:ascii="ITC Avant Garde" w:hAnsi="ITC Avant Garde" w:cs="Tahoma"/>
          <w:bCs/>
          <w:lang w:eastAsia="es-MX"/>
        </w:rPr>
        <w:t>, entre otras,</w:t>
      </w:r>
      <w:r w:rsidR="0082518F" w:rsidRPr="00216619">
        <w:rPr>
          <w:rFonts w:ascii="ITC Avant Garde" w:hAnsi="ITC Avant Garde" w:cs="Tahoma"/>
          <w:bCs/>
          <w:lang w:eastAsia="es-MX"/>
        </w:rPr>
        <w:t xml:space="preserve"> </w:t>
      </w:r>
      <w:r w:rsidR="0052013C">
        <w:rPr>
          <w:rFonts w:ascii="ITC Avant Garde" w:hAnsi="ITC Avant Garde" w:cs="Tahoma"/>
          <w:bCs/>
          <w:lang w:eastAsia="es-MX"/>
        </w:rPr>
        <w:t xml:space="preserve">las solicitudes para el cambio de bandas de frecuencias de espectro radioeléctrico </w:t>
      </w:r>
      <w:r w:rsidR="0052013C">
        <w:rPr>
          <w:rFonts w:ascii="ITC Avant Garde" w:hAnsi="ITC Avant Garde" w:cs="Tahoma"/>
          <w:bCs/>
          <w:lang w:eastAsia="es-MX"/>
        </w:rPr>
        <w:lastRenderedPageBreak/>
        <w:t>de concesionarios en materia de telecomunicaciones y someterlas a consideración del Pleno.</w:t>
      </w:r>
      <w:r w:rsidR="0082518F" w:rsidRPr="00216619">
        <w:rPr>
          <w:rFonts w:ascii="ITC Avant Garde" w:hAnsi="ITC Avant Garde" w:cs="Tahoma"/>
          <w:bCs/>
          <w:lang w:eastAsia="es-MX"/>
        </w:rPr>
        <w:t xml:space="preserve"> </w:t>
      </w:r>
    </w:p>
    <w:p w14:paraId="148EFD7E" w14:textId="42ABBFCD" w:rsidR="00C64648" w:rsidRPr="00216619" w:rsidRDefault="00047D03" w:rsidP="007275B1">
      <w:pPr>
        <w:autoSpaceDE w:val="0"/>
        <w:autoSpaceDN w:val="0"/>
        <w:adjustRightInd w:val="0"/>
        <w:spacing w:before="240" w:after="0" w:line="240" w:lineRule="auto"/>
        <w:jc w:val="both"/>
        <w:rPr>
          <w:rFonts w:ascii="ITC Avant Garde" w:hAnsi="ITC Avant Garde"/>
          <w:b/>
          <w:bCs/>
        </w:rPr>
      </w:pPr>
      <w:r>
        <w:rPr>
          <w:rFonts w:ascii="ITC Avant Garde" w:hAnsi="ITC Avant Garde"/>
          <w:bCs/>
        </w:rPr>
        <w:t>En este orden de ideas y toda vez que</w:t>
      </w:r>
      <w:r w:rsidR="00C64648" w:rsidRPr="008652CC">
        <w:rPr>
          <w:rFonts w:ascii="ITC Avant Garde" w:hAnsi="ITC Avant Garde"/>
          <w:bCs/>
        </w:rPr>
        <w:t xml:space="preserve"> </w:t>
      </w:r>
      <w:r w:rsidR="00C64648" w:rsidRPr="001F67B7">
        <w:rPr>
          <w:rFonts w:ascii="ITC Avant Garde" w:hAnsi="ITC Avant Garde"/>
          <w:bCs/>
        </w:rPr>
        <w:t xml:space="preserve">el Instituto </w:t>
      </w:r>
      <w:r w:rsidR="00D4236D">
        <w:rPr>
          <w:rFonts w:ascii="ITC Avant Garde" w:hAnsi="ITC Avant Garde"/>
          <w:bCs/>
        </w:rPr>
        <w:t xml:space="preserve">tiene a su </w:t>
      </w:r>
      <w:r w:rsidR="00C64648" w:rsidRPr="001F67B7">
        <w:rPr>
          <w:rFonts w:ascii="ITC Avant Garde" w:hAnsi="ITC Avant Garde"/>
          <w:bCs/>
        </w:rPr>
        <w:t>cargo la regulación, promoción y supervi</w:t>
      </w:r>
      <w:r w:rsidR="00C64648">
        <w:rPr>
          <w:rFonts w:ascii="ITC Avant Garde" w:hAnsi="ITC Avant Garde"/>
          <w:bCs/>
        </w:rPr>
        <w:t>sión de</w:t>
      </w:r>
      <w:r w:rsidR="00C64648" w:rsidRPr="00833F65">
        <w:rPr>
          <w:rFonts w:ascii="ITC Avant Garde" w:hAnsi="ITC Avant Garde" w:cs="Tahoma"/>
          <w:bCs/>
          <w:lang w:eastAsia="es-MX"/>
        </w:rPr>
        <w:t>l uso, aprovechamiento y explotación del espectro radioeléctrico, los recursos orbitales, los servicios satelitales, las redes de telecomunicaciones y la prestación de los servicios de radiodifusión y telecomunicaciones, así como el acceso a infraestructura acti</w:t>
      </w:r>
      <w:r w:rsidR="0098406F">
        <w:rPr>
          <w:rFonts w:ascii="ITC Avant Garde" w:hAnsi="ITC Avant Garde" w:cs="Tahoma"/>
          <w:bCs/>
          <w:lang w:eastAsia="es-MX"/>
        </w:rPr>
        <w:t>va, pas</w:t>
      </w:r>
      <w:r>
        <w:rPr>
          <w:rFonts w:ascii="ITC Avant Garde" w:hAnsi="ITC Avant Garde" w:cs="Tahoma"/>
          <w:bCs/>
          <w:lang w:eastAsia="es-MX"/>
        </w:rPr>
        <w:t>iva e insumos esenciales</w:t>
      </w:r>
      <w:r w:rsidR="0098406F">
        <w:rPr>
          <w:rFonts w:ascii="ITC Avant Garde" w:hAnsi="ITC Avant Garde" w:cs="Tahoma"/>
          <w:bCs/>
          <w:lang w:eastAsia="es-MX"/>
        </w:rPr>
        <w:t xml:space="preserve">, </w:t>
      </w:r>
      <w:r w:rsidR="0098406F" w:rsidRPr="001F67B7">
        <w:rPr>
          <w:rFonts w:ascii="ITC Avant Garde" w:hAnsi="ITC Avant Garde"/>
          <w:bCs/>
        </w:rPr>
        <w:t xml:space="preserve">está facultado para </w:t>
      </w:r>
      <w:r w:rsidR="0098406F">
        <w:rPr>
          <w:rFonts w:ascii="ITC Avant Garde" w:hAnsi="ITC Avant Garde"/>
          <w:bCs/>
          <w:color w:val="000000"/>
          <w:lang w:eastAsia="es-MX"/>
        </w:rPr>
        <w:t>resolver sobre las solicitudes de autorización de cambio de bandas de frecuencias del espectro radioeléctrico que presenten los concesionarios.</w:t>
      </w:r>
      <w:r w:rsidR="0098406F" w:rsidRPr="001F67B7">
        <w:rPr>
          <w:rFonts w:ascii="ITC Avant Garde" w:hAnsi="ITC Avant Garde"/>
          <w:bCs/>
        </w:rPr>
        <w:t xml:space="preserve"> </w:t>
      </w:r>
      <w:r w:rsidR="0098406F">
        <w:rPr>
          <w:rFonts w:ascii="ITC Avant Garde" w:hAnsi="ITC Avant Garde"/>
          <w:bCs/>
        </w:rPr>
        <w:t>P</w:t>
      </w:r>
      <w:r w:rsidR="00C64648" w:rsidRPr="00833F65">
        <w:rPr>
          <w:rFonts w:ascii="ITC Avant Garde" w:hAnsi="ITC Avant Garde" w:cs="Tahoma"/>
          <w:bCs/>
          <w:lang w:eastAsia="es-MX"/>
        </w:rPr>
        <w:t xml:space="preserve">or lo que </w:t>
      </w:r>
      <w:r w:rsidR="00C64648" w:rsidRPr="00245BED">
        <w:rPr>
          <w:rFonts w:ascii="ITC Avant Garde" w:hAnsi="ITC Avant Garde"/>
          <w:bCs/>
        </w:rPr>
        <w:t>el Pleno, como órgano máximo de gobierno y decisión del Instituto, se encuentra plenamente faculta</w:t>
      </w:r>
      <w:r w:rsidR="00D4236D">
        <w:rPr>
          <w:rFonts w:ascii="ITC Avant Garde" w:hAnsi="ITC Avant Garde"/>
          <w:bCs/>
        </w:rPr>
        <w:t xml:space="preserve">do para resolver </w:t>
      </w:r>
      <w:r w:rsidR="0098406F">
        <w:rPr>
          <w:rFonts w:ascii="ITC Avant Garde" w:hAnsi="ITC Avant Garde"/>
          <w:bCs/>
        </w:rPr>
        <w:t>l</w:t>
      </w:r>
      <w:r w:rsidR="00D4236D">
        <w:rPr>
          <w:rFonts w:ascii="ITC Avant Garde" w:hAnsi="ITC Avant Garde"/>
          <w:bCs/>
        </w:rPr>
        <w:t>a</w:t>
      </w:r>
      <w:r w:rsidR="00C64648" w:rsidRPr="00245BED">
        <w:rPr>
          <w:rFonts w:ascii="ITC Avant Garde" w:hAnsi="ITC Avant Garde"/>
          <w:bCs/>
        </w:rPr>
        <w:t xml:space="preserve"> </w:t>
      </w:r>
      <w:r w:rsidR="0094765F">
        <w:rPr>
          <w:rFonts w:ascii="ITC Avant Garde" w:hAnsi="ITC Avant Garde"/>
          <w:bCs/>
        </w:rPr>
        <w:t>S</w:t>
      </w:r>
      <w:r w:rsidR="00C64648" w:rsidRPr="00245BED">
        <w:rPr>
          <w:rFonts w:ascii="ITC Avant Garde" w:hAnsi="ITC Avant Garde"/>
          <w:bCs/>
        </w:rPr>
        <w:t xml:space="preserve">olicitud de </w:t>
      </w:r>
      <w:r w:rsidR="002F47A4">
        <w:rPr>
          <w:rFonts w:ascii="ITC Avant Garde" w:hAnsi="ITC Avant Garde"/>
          <w:bCs/>
        </w:rPr>
        <w:t xml:space="preserve">Cambio de Bandas </w:t>
      </w:r>
      <w:r w:rsidR="0098406F">
        <w:rPr>
          <w:rFonts w:ascii="ITC Avant Garde" w:hAnsi="ITC Avant Garde"/>
          <w:bCs/>
        </w:rPr>
        <w:t xml:space="preserve">presentada por </w:t>
      </w:r>
      <w:r w:rsidR="003E7985">
        <w:rPr>
          <w:rFonts w:ascii="ITC Avant Garde" w:hAnsi="ITC Avant Garde"/>
          <w:bCs/>
        </w:rPr>
        <w:t>SECSA.</w:t>
      </w:r>
    </w:p>
    <w:p w14:paraId="4E45F8B9" w14:textId="3113DBB2" w:rsidR="00C55B64" w:rsidRPr="00941869" w:rsidRDefault="00F41FAD" w:rsidP="007275B1">
      <w:pPr>
        <w:autoSpaceDE w:val="0"/>
        <w:autoSpaceDN w:val="0"/>
        <w:adjustRightInd w:val="0"/>
        <w:spacing w:before="240" w:after="0" w:line="240" w:lineRule="auto"/>
        <w:jc w:val="both"/>
        <w:rPr>
          <w:rFonts w:ascii="ITC Avant Garde" w:hAnsi="ITC Avant Garde"/>
          <w:bCs/>
          <w:color w:val="000000"/>
          <w:lang w:eastAsia="es-MX"/>
        </w:rPr>
      </w:pPr>
      <w:r w:rsidRPr="00941869">
        <w:rPr>
          <w:rFonts w:ascii="ITC Avant Garde" w:hAnsi="ITC Avant Garde"/>
          <w:b/>
          <w:bCs/>
        </w:rPr>
        <w:t>Segundo.-</w:t>
      </w:r>
      <w:r w:rsidRPr="00941869">
        <w:rPr>
          <w:rFonts w:ascii="ITC Avant Garde" w:hAnsi="ITC Avant Garde"/>
        </w:rPr>
        <w:t xml:space="preserve"> </w:t>
      </w:r>
      <w:r w:rsidRPr="00941869">
        <w:rPr>
          <w:rFonts w:ascii="ITC Avant Garde" w:hAnsi="ITC Avant Garde"/>
          <w:b/>
          <w:bCs/>
        </w:rPr>
        <w:t xml:space="preserve">Marco </w:t>
      </w:r>
      <w:r w:rsidR="00456B81" w:rsidRPr="00941869">
        <w:rPr>
          <w:rFonts w:ascii="ITC Avant Garde" w:hAnsi="ITC Avant Garde"/>
          <w:b/>
          <w:bCs/>
        </w:rPr>
        <w:t xml:space="preserve">normativo general </w:t>
      </w:r>
      <w:r w:rsidRPr="00941869">
        <w:rPr>
          <w:rFonts w:ascii="ITC Avant Garde" w:hAnsi="ITC Avant Garde"/>
          <w:b/>
          <w:bCs/>
        </w:rPr>
        <w:t>aplicable a</w:t>
      </w:r>
      <w:r w:rsidR="00415207" w:rsidRPr="00941869">
        <w:rPr>
          <w:rFonts w:ascii="ITC Avant Garde" w:hAnsi="ITC Avant Garde"/>
          <w:b/>
          <w:bCs/>
        </w:rPr>
        <w:t xml:space="preserve"> la Solicitud de </w:t>
      </w:r>
      <w:r w:rsidR="003F1943">
        <w:rPr>
          <w:rFonts w:ascii="ITC Avant Garde" w:hAnsi="ITC Avant Garde"/>
          <w:b/>
          <w:bCs/>
        </w:rPr>
        <w:t>Cambio de Bandas</w:t>
      </w:r>
      <w:r w:rsidRPr="00941869">
        <w:rPr>
          <w:rFonts w:ascii="ITC Avant Garde" w:hAnsi="ITC Avant Garde"/>
          <w:b/>
          <w:bCs/>
        </w:rPr>
        <w:t>.</w:t>
      </w:r>
      <w:r w:rsidRPr="00941869">
        <w:rPr>
          <w:rFonts w:ascii="ITC Avant Garde" w:hAnsi="ITC Avant Garde"/>
        </w:rPr>
        <w:t xml:space="preserve"> </w:t>
      </w:r>
      <w:r w:rsidR="00A203C6" w:rsidRPr="00941869">
        <w:rPr>
          <w:rFonts w:ascii="ITC Avant Garde" w:hAnsi="ITC Avant Garde"/>
          <w:bCs/>
          <w:color w:val="000000"/>
          <w:lang w:eastAsia="es-MX"/>
        </w:rPr>
        <w:t>L</w:t>
      </w:r>
      <w:r w:rsidR="00C55B64" w:rsidRPr="00941869">
        <w:rPr>
          <w:rFonts w:ascii="ITC Avant Garde" w:hAnsi="ITC Avant Garde"/>
          <w:bCs/>
          <w:color w:val="000000"/>
          <w:lang w:eastAsia="es-MX"/>
        </w:rPr>
        <w:t>a</w:t>
      </w:r>
      <w:r w:rsidR="00A203C6" w:rsidRPr="00941869">
        <w:rPr>
          <w:rFonts w:ascii="ITC Avant Garde" w:hAnsi="ITC Avant Garde"/>
          <w:bCs/>
          <w:color w:val="000000"/>
          <w:lang w:eastAsia="es-MX"/>
        </w:rPr>
        <w:t xml:space="preserve"> condición </w:t>
      </w:r>
      <w:r w:rsidR="00A65AEF" w:rsidRPr="00941869">
        <w:rPr>
          <w:rFonts w:ascii="ITC Avant Garde" w:hAnsi="ITC Avant Garde"/>
          <w:bCs/>
          <w:color w:val="000000"/>
          <w:lang w:eastAsia="es-MX"/>
        </w:rPr>
        <w:t>11</w:t>
      </w:r>
      <w:r w:rsidR="00C55B64" w:rsidRPr="00941869">
        <w:rPr>
          <w:rFonts w:ascii="ITC Avant Garde" w:hAnsi="ITC Avant Garde"/>
          <w:bCs/>
          <w:color w:val="000000"/>
          <w:lang w:eastAsia="es-MX"/>
        </w:rPr>
        <w:t xml:space="preserve"> </w:t>
      </w:r>
      <w:r w:rsidR="00D53F05" w:rsidRPr="00941869">
        <w:rPr>
          <w:rFonts w:ascii="ITC Avant Garde" w:hAnsi="ITC Avant Garde"/>
          <w:bCs/>
          <w:color w:val="000000"/>
          <w:lang w:eastAsia="es-MX"/>
        </w:rPr>
        <w:t>de la Concesión</w:t>
      </w:r>
      <w:r w:rsidR="00047D03" w:rsidRPr="00941869">
        <w:rPr>
          <w:rFonts w:ascii="ITC Avant Garde" w:hAnsi="ITC Avant Garde"/>
          <w:bCs/>
          <w:color w:val="000000"/>
          <w:lang w:eastAsia="es-MX"/>
        </w:rPr>
        <w:t>, señala</w:t>
      </w:r>
      <w:r w:rsidR="00C55B64" w:rsidRPr="00941869">
        <w:rPr>
          <w:rFonts w:ascii="ITC Avant Garde" w:hAnsi="ITC Avant Garde"/>
          <w:bCs/>
          <w:color w:val="000000"/>
          <w:lang w:eastAsia="es-MX"/>
        </w:rPr>
        <w:t>, entre otros aspectos, lo siguiente:</w:t>
      </w:r>
    </w:p>
    <w:p w14:paraId="2494524D" w14:textId="6E5E9E0D" w:rsidR="00C55B64" w:rsidRPr="001E701D" w:rsidRDefault="00560762" w:rsidP="007275B1">
      <w:pPr>
        <w:autoSpaceDE w:val="0"/>
        <w:autoSpaceDN w:val="0"/>
        <w:adjustRightInd w:val="0"/>
        <w:spacing w:before="240" w:after="0" w:line="240" w:lineRule="auto"/>
        <w:ind w:left="708" w:right="615"/>
        <w:jc w:val="both"/>
        <w:rPr>
          <w:rFonts w:ascii="ITC Avant Garde" w:hAnsi="ITC Avant Garde"/>
          <w:bCs/>
          <w:i/>
          <w:color w:val="000000"/>
          <w:sz w:val="18"/>
          <w:szCs w:val="14"/>
          <w:lang w:eastAsia="es-MX"/>
        </w:rPr>
      </w:pPr>
      <w:r w:rsidRPr="001E701D">
        <w:rPr>
          <w:rFonts w:ascii="ITC Avant Garde" w:hAnsi="ITC Avant Garde"/>
          <w:b/>
          <w:bCs/>
          <w:i/>
          <w:color w:val="000000"/>
          <w:sz w:val="18"/>
          <w:szCs w:val="14"/>
          <w:lang w:eastAsia="es-MX"/>
        </w:rPr>
        <w:t>“</w:t>
      </w:r>
      <w:r w:rsidR="00D53F05" w:rsidRPr="001E701D">
        <w:rPr>
          <w:rFonts w:ascii="ITC Avant Garde" w:hAnsi="ITC Avant Garde"/>
          <w:b/>
          <w:bCs/>
          <w:i/>
          <w:color w:val="000000"/>
          <w:sz w:val="18"/>
          <w:szCs w:val="14"/>
          <w:lang w:eastAsia="es-MX"/>
        </w:rPr>
        <w:t xml:space="preserve">11. </w:t>
      </w:r>
      <w:r w:rsidRPr="001E701D">
        <w:rPr>
          <w:rFonts w:ascii="ITC Avant Garde" w:hAnsi="ITC Avant Garde"/>
          <w:b/>
          <w:bCs/>
          <w:i/>
          <w:color w:val="000000"/>
          <w:sz w:val="18"/>
          <w:szCs w:val="14"/>
          <w:lang w:eastAsia="es-MX"/>
        </w:rPr>
        <w:t xml:space="preserve">Legislación, normatividad y disposiciones administrativas aplicables. </w:t>
      </w:r>
      <w:r w:rsidRPr="001E701D">
        <w:rPr>
          <w:rFonts w:ascii="ITC Avant Garde" w:hAnsi="ITC Avant Garde"/>
          <w:bCs/>
          <w:i/>
          <w:color w:val="000000"/>
          <w:sz w:val="18"/>
          <w:szCs w:val="14"/>
          <w:lang w:eastAsia="es-MX"/>
        </w:rPr>
        <w:t>El uso, aprovechamiento y explotación de bandas de frecuencias del espectro radioeléctrico objeto de la presente Concesión, deberán sujetase a la Constitución Política de los Estados Unidos Mexicanos, a la Ley, así como a los tratados internacionales, leyes, reglamentos, decretos, reglas, Planes Técnicos Fundamentales, normas oficiales mexicanas, resoluciones, acuerdos, circulares y demás disposiciones legales, reglamentarias y administrativas vigentes, así como a las condiciones establecidas en esta Concesión.</w:t>
      </w:r>
    </w:p>
    <w:p w14:paraId="7365D388" w14:textId="77777777" w:rsidR="00560762" w:rsidRPr="001E701D" w:rsidRDefault="00560762" w:rsidP="007275B1">
      <w:pPr>
        <w:autoSpaceDE w:val="0"/>
        <w:autoSpaceDN w:val="0"/>
        <w:adjustRightInd w:val="0"/>
        <w:spacing w:before="240" w:after="0" w:line="240" w:lineRule="auto"/>
        <w:ind w:left="708" w:right="615"/>
        <w:jc w:val="both"/>
        <w:rPr>
          <w:rFonts w:ascii="ITC Avant Garde" w:hAnsi="ITC Avant Garde"/>
          <w:bCs/>
          <w:i/>
          <w:color w:val="000000"/>
          <w:sz w:val="18"/>
          <w:szCs w:val="14"/>
          <w:u w:val="single"/>
          <w:lang w:eastAsia="es-MX"/>
        </w:rPr>
      </w:pPr>
      <w:r w:rsidRPr="001E701D">
        <w:rPr>
          <w:rFonts w:ascii="ITC Avant Garde" w:hAnsi="ITC Avant Garde"/>
          <w:bCs/>
          <w:i/>
          <w:color w:val="000000"/>
          <w:sz w:val="18"/>
          <w:szCs w:val="14"/>
          <w:u w:val="single"/>
          <w:lang w:eastAsia="es-MX"/>
        </w:rPr>
        <w:t>El Concesionario acepta que si los ordenamientos, los preceptos legales y las disposiciones administrativas a que se refiere el párrafo anterior, fueran abrogados y/o derogados, modificados o adicionados, la presente Concesión y el Concesionario quedarán sujetos a la nueva legislación y disposiciones administrativas a partir de su entrada en vigor.</w:t>
      </w:r>
    </w:p>
    <w:p w14:paraId="1EDA20A1" w14:textId="77777777" w:rsidR="00560762" w:rsidRPr="001E701D" w:rsidRDefault="00560762" w:rsidP="007275B1">
      <w:pPr>
        <w:autoSpaceDE w:val="0"/>
        <w:autoSpaceDN w:val="0"/>
        <w:adjustRightInd w:val="0"/>
        <w:spacing w:before="240" w:after="0" w:line="240" w:lineRule="auto"/>
        <w:ind w:left="708" w:right="615"/>
        <w:jc w:val="both"/>
        <w:rPr>
          <w:rFonts w:ascii="ITC Avant Garde" w:hAnsi="ITC Avant Garde"/>
          <w:bCs/>
          <w:color w:val="000000"/>
          <w:sz w:val="18"/>
          <w:szCs w:val="14"/>
          <w:lang w:eastAsia="es-MX"/>
        </w:rPr>
      </w:pPr>
      <w:r w:rsidRPr="001E701D">
        <w:rPr>
          <w:rFonts w:ascii="ITC Avant Garde" w:hAnsi="ITC Avant Garde"/>
          <w:bCs/>
          <w:i/>
          <w:color w:val="000000"/>
          <w:sz w:val="18"/>
          <w:szCs w:val="14"/>
          <w:lang w:eastAsia="es-MX"/>
        </w:rPr>
        <w:t>[…].”</w:t>
      </w:r>
      <w:r w:rsidR="008A015A" w:rsidRPr="001E701D">
        <w:rPr>
          <w:rFonts w:ascii="ITC Avant Garde" w:hAnsi="ITC Avant Garde"/>
          <w:bCs/>
          <w:color w:val="000000"/>
          <w:sz w:val="18"/>
          <w:szCs w:val="14"/>
          <w:lang w:eastAsia="es-MX"/>
        </w:rPr>
        <w:t xml:space="preserve"> (Énfasis añadido).</w:t>
      </w:r>
    </w:p>
    <w:p w14:paraId="4B9C079F" w14:textId="35F9DF76" w:rsidR="00D53F05" w:rsidRPr="00941869" w:rsidRDefault="00D53F05" w:rsidP="007275B1">
      <w:pPr>
        <w:autoSpaceDE w:val="0"/>
        <w:autoSpaceDN w:val="0"/>
        <w:adjustRightInd w:val="0"/>
        <w:spacing w:before="240" w:after="0" w:line="240" w:lineRule="auto"/>
        <w:jc w:val="both"/>
        <w:rPr>
          <w:rFonts w:ascii="ITC Avant Garde" w:hAnsi="ITC Avant Garde"/>
          <w:bCs/>
          <w:color w:val="000000"/>
          <w:lang w:eastAsia="es-MX"/>
        </w:rPr>
      </w:pPr>
      <w:r w:rsidRPr="00941869">
        <w:rPr>
          <w:rFonts w:ascii="ITC Avant Garde" w:hAnsi="ITC Avant Garde"/>
          <w:bCs/>
          <w:color w:val="000000"/>
          <w:lang w:eastAsia="es-MX"/>
        </w:rPr>
        <w:t>Asimismo, la condición 16 de la Concesión establece lo siguiente:</w:t>
      </w:r>
    </w:p>
    <w:p w14:paraId="29BD3BE4" w14:textId="3448A73E" w:rsidR="00D53F05" w:rsidRPr="001E701D" w:rsidRDefault="00D53F05" w:rsidP="007275B1">
      <w:pPr>
        <w:autoSpaceDE w:val="0"/>
        <w:autoSpaceDN w:val="0"/>
        <w:adjustRightInd w:val="0"/>
        <w:spacing w:before="240" w:after="0" w:line="240" w:lineRule="auto"/>
        <w:ind w:left="708" w:right="615"/>
        <w:jc w:val="both"/>
        <w:rPr>
          <w:rFonts w:ascii="ITC Avant Garde" w:hAnsi="ITC Avant Garde"/>
          <w:bCs/>
          <w:i/>
          <w:color w:val="000000"/>
          <w:sz w:val="16"/>
          <w:szCs w:val="14"/>
          <w:u w:val="single"/>
          <w:lang w:eastAsia="es-MX"/>
        </w:rPr>
      </w:pPr>
      <w:r w:rsidRPr="001E701D">
        <w:rPr>
          <w:rFonts w:ascii="ITC Avant Garde" w:hAnsi="ITC Avant Garde"/>
          <w:b/>
          <w:bCs/>
          <w:i/>
          <w:color w:val="000000"/>
          <w:sz w:val="16"/>
          <w:szCs w:val="14"/>
          <w:lang w:eastAsia="es-MX"/>
        </w:rPr>
        <w:t xml:space="preserve">“16. Uso eficiente del espectro. </w:t>
      </w:r>
      <w:r w:rsidRPr="001E701D">
        <w:rPr>
          <w:rFonts w:ascii="ITC Avant Garde" w:hAnsi="ITC Avant Garde"/>
          <w:bCs/>
          <w:i/>
          <w:color w:val="000000"/>
          <w:sz w:val="16"/>
          <w:szCs w:val="14"/>
          <w:lang w:eastAsia="es-MX"/>
        </w:rPr>
        <w:t>El Concesionario deberá hacer un uso eficiente de las bandas de frecuencias comprendidas en la presente Concesión.”</w:t>
      </w:r>
    </w:p>
    <w:p w14:paraId="13A7A6CF" w14:textId="77777777" w:rsidR="008A015A" w:rsidRPr="00941869" w:rsidRDefault="00047D03" w:rsidP="007275B1">
      <w:pPr>
        <w:autoSpaceDE w:val="0"/>
        <w:autoSpaceDN w:val="0"/>
        <w:adjustRightInd w:val="0"/>
        <w:spacing w:before="240" w:after="0" w:line="240" w:lineRule="auto"/>
        <w:jc w:val="both"/>
        <w:rPr>
          <w:rFonts w:ascii="ITC Avant Garde" w:hAnsi="ITC Avant Garde"/>
          <w:bCs/>
          <w:color w:val="000000"/>
          <w:lang w:eastAsia="es-MX"/>
        </w:rPr>
      </w:pPr>
      <w:r w:rsidRPr="00941869">
        <w:rPr>
          <w:rFonts w:ascii="ITC Avant Garde" w:hAnsi="ITC Avant Garde"/>
          <w:bCs/>
          <w:color w:val="000000"/>
          <w:lang w:eastAsia="es-MX"/>
        </w:rPr>
        <w:t>Por su parte, l</w:t>
      </w:r>
      <w:r w:rsidR="008A015A" w:rsidRPr="00941869">
        <w:rPr>
          <w:rFonts w:ascii="ITC Avant Garde" w:hAnsi="ITC Avant Garde"/>
          <w:bCs/>
          <w:color w:val="000000"/>
          <w:lang w:eastAsia="es-MX"/>
        </w:rPr>
        <w:t>a Ley en su art</w:t>
      </w:r>
      <w:r w:rsidR="001C6614" w:rsidRPr="00941869">
        <w:rPr>
          <w:rFonts w:ascii="ITC Avant Garde" w:hAnsi="ITC Avant Garde"/>
          <w:bCs/>
          <w:color w:val="000000"/>
          <w:lang w:eastAsia="es-MX"/>
        </w:rPr>
        <w:t xml:space="preserve">ículo 54 </w:t>
      </w:r>
      <w:r w:rsidR="008A015A" w:rsidRPr="00941869">
        <w:rPr>
          <w:rFonts w:ascii="ITC Avant Garde" w:hAnsi="ITC Avant Garde"/>
          <w:bCs/>
          <w:color w:val="000000"/>
          <w:lang w:eastAsia="es-MX"/>
        </w:rPr>
        <w:t xml:space="preserve">señala que al administrar el espectro, el Instituto perseguirá diversos objetivos generales en beneficio de los usuarios, como son la competencia efectiva en los mercados convergentes de los sectores de telecomunicaciones y radiodifusión; así como el uso eficaz del espectro y su protección. </w:t>
      </w:r>
    </w:p>
    <w:p w14:paraId="05CFC94A" w14:textId="79417D41" w:rsidR="008A015A" w:rsidRPr="00941869" w:rsidRDefault="008A015A" w:rsidP="007275B1">
      <w:pPr>
        <w:autoSpaceDE w:val="0"/>
        <w:autoSpaceDN w:val="0"/>
        <w:adjustRightInd w:val="0"/>
        <w:spacing w:before="240" w:after="0" w:line="240" w:lineRule="auto"/>
        <w:jc w:val="both"/>
        <w:rPr>
          <w:rFonts w:ascii="ITC Avant Garde" w:hAnsi="ITC Avant Garde"/>
          <w:bCs/>
          <w:color w:val="000000"/>
          <w:lang w:eastAsia="es-MX"/>
        </w:rPr>
      </w:pPr>
      <w:r w:rsidRPr="00941869">
        <w:rPr>
          <w:rFonts w:ascii="ITC Avant Garde" w:hAnsi="ITC Avant Garde"/>
          <w:bCs/>
          <w:color w:val="000000"/>
          <w:lang w:eastAsia="es-MX"/>
        </w:rPr>
        <w:t xml:space="preserve">Con respecto al cambio </w:t>
      </w:r>
      <w:r w:rsidR="00345622" w:rsidRPr="00941869">
        <w:rPr>
          <w:rFonts w:ascii="ITC Avant Garde" w:hAnsi="ITC Avant Garde"/>
          <w:bCs/>
          <w:color w:val="000000"/>
          <w:lang w:eastAsia="es-MX"/>
        </w:rPr>
        <w:t xml:space="preserve">de bandas </w:t>
      </w:r>
      <w:r w:rsidRPr="00941869">
        <w:rPr>
          <w:rFonts w:ascii="ITC Avant Garde" w:hAnsi="ITC Avant Garde"/>
          <w:bCs/>
          <w:color w:val="000000"/>
          <w:lang w:eastAsia="es-MX"/>
        </w:rPr>
        <w:t xml:space="preserve">del espectro radioeléctrico, </w:t>
      </w:r>
      <w:r w:rsidR="003C2D85" w:rsidRPr="00941869">
        <w:rPr>
          <w:rFonts w:ascii="ITC Avant Garde" w:hAnsi="ITC Avant Garde"/>
          <w:bCs/>
          <w:color w:val="000000"/>
          <w:lang w:eastAsia="es-MX"/>
        </w:rPr>
        <w:t>e</w:t>
      </w:r>
      <w:r w:rsidR="00B36C41" w:rsidRPr="00941869">
        <w:rPr>
          <w:rFonts w:ascii="ITC Avant Garde" w:hAnsi="ITC Avant Garde"/>
          <w:bCs/>
          <w:color w:val="000000"/>
          <w:lang w:eastAsia="es-MX"/>
        </w:rPr>
        <w:t>l</w:t>
      </w:r>
      <w:r w:rsidRPr="00941869">
        <w:rPr>
          <w:rFonts w:ascii="ITC Avant Garde" w:hAnsi="ITC Avant Garde"/>
          <w:bCs/>
          <w:color w:val="000000"/>
          <w:lang w:eastAsia="es-MX"/>
        </w:rPr>
        <w:t xml:space="preserve"> artículo 106</w:t>
      </w:r>
      <w:r w:rsidR="00B36C41" w:rsidRPr="00941869">
        <w:rPr>
          <w:rFonts w:ascii="ITC Avant Garde" w:hAnsi="ITC Avant Garde"/>
          <w:bCs/>
          <w:color w:val="000000"/>
          <w:lang w:eastAsia="es-MX"/>
        </w:rPr>
        <w:t xml:space="preserve"> </w:t>
      </w:r>
      <w:r w:rsidRPr="00941869">
        <w:rPr>
          <w:rFonts w:ascii="ITC Avant Garde" w:hAnsi="ITC Avant Garde"/>
          <w:bCs/>
          <w:color w:val="000000"/>
          <w:lang w:eastAsia="es-MX"/>
        </w:rPr>
        <w:t>de la Ley establece</w:t>
      </w:r>
      <w:r w:rsidR="003C2D85" w:rsidRPr="00941869">
        <w:rPr>
          <w:rFonts w:ascii="ITC Avant Garde" w:hAnsi="ITC Avant Garde"/>
          <w:bCs/>
          <w:color w:val="000000"/>
          <w:lang w:eastAsia="es-MX"/>
        </w:rPr>
        <w:t>,</w:t>
      </w:r>
      <w:r w:rsidRPr="00941869">
        <w:rPr>
          <w:rFonts w:ascii="ITC Avant Garde" w:hAnsi="ITC Avant Garde"/>
          <w:bCs/>
          <w:color w:val="000000"/>
          <w:lang w:eastAsia="es-MX"/>
        </w:rPr>
        <w:t xml:space="preserve"> entre otros aspectos, lo siguiente:</w:t>
      </w:r>
    </w:p>
    <w:p w14:paraId="27F0024A" w14:textId="77777777" w:rsidR="008A015A" w:rsidRPr="001E701D" w:rsidRDefault="008A015A" w:rsidP="007275B1">
      <w:pPr>
        <w:autoSpaceDE w:val="0"/>
        <w:autoSpaceDN w:val="0"/>
        <w:adjustRightInd w:val="0"/>
        <w:spacing w:before="240" w:after="0" w:line="240" w:lineRule="auto"/>
        <w:ind w:left="708" w:right="615"/>
        <w:jc w:val="both"/>
        <w:rPr>
          <w:rFonts w:ascii="ITC Avant Garde" w:hAnsi="ITC Avant Garde"/>
          <w:bCs/>
          <w:i/>
          <w:color w:val="000000"/>
          <w:sz w:val="18"/>
          <w:szCs w:val="14"/>
          <w:lang w:eastAsia="es-MX"/>
        </w:rPr>
      </w:pPr>
      <w:r w:rsidRPr="001E701D">
        <w:rPr>
          <w:rFonts w:ascii="ITC Avant Garde" w:hAnsi="ITC Avant Garde"/>
          <w:bCs/>
          <w:i/>
          <w:color w:val="000000"/>
          <w:sz w:val="18"/>
          <w:szCs w:val="14"/>
          <w:lang w:eastAsia="es-MX"/>
        </w:rPr>
        <w:lastRenderedPageBreak/>
        <w:t>“</w:t>
      </w:r>
      <w:r w:rsidRPr="001E701D">
        <w:rPr>
          <w:rFonts w:ascii="ITC Avant Garde" w:hAnsi="ITC Avant Garde"/>
          <w:b/>
          <w:bCs/>
          <w:i/>
          <w:color w:val="000000"/>
          <w:sz w:val="18"/>
          <w:szCs w:val="14"/>
          <w:lang w:eastAsia="es-MX"/>
        </w:rPr>
        <w:t>Artículo 106.</w:t>
      </w:r>
      <w:r w:rsidRPr="001E701D">
        <w:rPr>
          <w:rFonts w:ascii="ITC Avant Garde" w:hAnsi="ITC Avant Garde"/>
          <w:bCs/>
          <w:i/>
          <w:color w:val="000000"/>
          <w:sz w:val="18"/>
          <w:szCs w:val="14"/>
          <w:lang w:eastAsia="es-MX"/>
        </w:rPr>
        <w:t xml:space="preserve"> El cambio de bandas de frecuencias o de recursos orbitales, podrá realizarse de oficio o a solicitud de parte interesada.</w:t>
      </w:r>
    </w:p>
    <w:p w14:paraId="0752DBD4" w14:textId="77777777" w:rsidR="00345622" w:rsidRPr="001E701D" w:rsidRDefault="00345622" w:rsidP="007275B1">
      <w:pPr>
        <w:autoSpaceDE w:val="0"/>
        <w:autoSpaceDN w:val="0"/>
        <w:adjustRightInd w:val="0"/>
        <w:spacing w:before="240" w:after="0" w:line="240" w:lineRule="auto"/>
        <w:ind w:left="708" w:right="615"/>
        <w:jc w:val="both"/>
        <w:rPr>
          <w:rFonts w:ascii="ITC Avant Garde" w:hAnsi="ITC Avant Garde"/>
          <w:bCs/>
          <w:i/>
          <w:color w:val="000000"/>
          <w:sz w:val="18"/>
          <w:szCs w:val="14"/>
          <w:lang w:eastAsia="es-MX"/>
        </w:rPr>
      </w:pPr>
      <w:r w:rsidRPr="001E701D">
        <w:rPr>
          <w:rFonts w:ascii="ITC Avant Garde" w:hAnsi="ITC Avant Garde"/>
          <w:bCs/>
          <w:i/>
          <w:color w:val="000000"/>
          <w:sz w:val="18"/>
          <w:szCs w:val="14"/>
          <w:lang w:eastAsia="es-MX"/>
        </w:rPr>
        <w:t>Cuando el concesionario solicite el cambio que se refiere este artículo, el Instituto deberá re</w:t>
      </w:r>
      <w:r w:rsidR="0033650C" w:rsidRPr="001E701D">
        <w:rPr>
          <w:rFonts w:ascii="ITC Avant Garde" w:hAnsi="ITC Avant Garde"/>
          <w:bCs/>
          <w:i/>
          <w:color w:val="000000"/>
          <w:sz w:val="18"/>
          <w:szCs w:val="14"/>
          <w:lang w:eastAsia="es-MX"/>
        </w:rPr>
        <w:t xml:space="preserve">solver dentro de los noventa días hábiles, siguiente a la fecha de presentación de la solicitud, tomando en consideración la planeación y administración eficiente del espectro, los recursos orbitales, los avances tecnológicos y el interés público. </w:t>
      </w:r>
    </w:p>
    <w:p w14:paraId="64BA5F9B" w14:textId="77777777" w:rsidR="008A015A" w:rsidRPr="001E701D" w:rsidRDefault="008A015A" w:rsidP="007275B1">
      <w:pPr>
        <w:autoSpaceDE w:val="0"/>
        <w:autoSpaceDN w:val="0"/>
        <w:adjustRightInd w:val="0"/>
        <w:spacing w:before="240" w:after="0" w:line="240" w:lineRule="auto"/>
        <w:ind w:left="708" w:right="615"/>
        <w:jc w:val="both"/>
        <w:rPr>
          <w:rFonts w:ascii="ITC Avant Garde" w:hAnsi="ITC Avant Garde"/>
          <w:bCs/>
          <w:i/>
          <w:color w:val="000000"/>
          <w:sz w:val="18"/>
          <w:szCs w:val="14"/>
          <w:lang w:eastAsia="es-MX"/>
        </w:rPr>
      </w:pPr>
      <w:r w:rsidRPr="001E701D">
        <w:rPr>
          <w:rFonts w:ascii="ITC Avant Garde" w:hAnsi="ITC Avant Garde"/>
          <w:bCs/>
          <w:i/>
          <w:color w:val="000000"/>
          <w:sz w:val="18"/>
          <w:szCs w:val="14"/>
          <w:lang w:eastAsia="es-MX"/>
        </w:rPr>
        <w:t>[…]</w:t>
      </w:r>
      <w:r w:rsidR="0033650C" w:rsidRPr="001E701D">
        <w:rPr>
          <w:rFonts w:ascii="ITC Avant Garde" w:hAnsi="ITC Avant Garde"/>
          <w:bCs/>
          <w:i/>
          <w:color w:val="000000"/>
          <w:sz w:val="18"/>
          <w:szCs w:val="14"/>
          <w:lang w:eastAsia="es-MX"/>
        </w:rPr>
        <w:t>”</w:t>
      </w:r>
    </w:p>
    <w:p w14:paraId="0B415F6E" w14:textId="5FFC8EE2" w:rsidR="008A015A" w:rsidRDefault="001C6614" w:rsidP="007275B1">
      <w:pPr>
        <w:autoSpaceDE w:val="0"/>
        <w:autoSpaceDN w:val="0"/>
        <w:adjustRightInd w:val="0"/>
        <w:spacing w:before="240" w:after="0" w:line="240" w:lineRule="auto"/>
        <w:jc w:val="both"/>
        <w:rPr>
          <w:rFonts w:ascii="ITC Avant Garde" w:hAnsi="ITC Avant Garde"/>
          <w:bCs/>
        </w:rPr>
      </w:pPr>
      <w:r w:rsidRPr="001C6614">
        <w:rPr>
          <w:rFonts w:ascii="ITC Avant Garde" w:hAnsi="ITC Avant Garde"/>
          <w:bCs/>
        </w:rPr>
        <w:t xml:space="preserve">Derivado de lo anterior, </w:t>
      </w:r>
      <w:r>
        <w:rPr>
          <w:rFonts w:ascii="ITC Avant Garde" w:hAnsi="ITC Avant Garde"/>
          <w:bCs/>
        </w:rPr>
        <w:t xml:space="preserve">y considerando que </w:t>
      </w:r>
      <w:r w:rsidR="00353915">
        <w:rPr>
          <w:rFonts w:ascii="ITC Avant Garde" w:hAnsi="ITC Avant Garde"/>
          <w:bCs/>
        </w:rPr>
        <w:t>el título</w:t>
      </w:r>
      <w:r>
        <w:rPr>
          <w:rFonts w:ascii="ITC Avant Garde" w:hAnsi="ITC Avant Garde"/>
          <w:bCs/>
        </w:rPr>
        <w:t xml:space="preserve"> de concesión objeto de la Solicit</w:t>
      </w:r>
      <w:r w:rsidR="0033650C">
        <w:rPr>
          <w:rFonts w:ascii="ITC Avant Garde" w:hAnsi="ITC Avant Garde"/>
          <w:bCs/>
        </w:rPr>
        <w:t xml:space="preserve">ud de </w:t>
      </w:r>
      <w:r w:rsidR="003C2D85">
        <w:rPr>
          <w:rFonts w:ascii="ITC Avant Garde" w:hAnsi="ITC Avant Garde"/>
          <w:bCs/>
        </w:rPr>
        <w:t xml:space="preserve">Cambio de Bandas </w:t>
      </w:r>
      <w:r w:rsidR="00353915">
        <w:rPr>
          <w:rFonts w:ascii="ITC Avant Garde" w:hAnsi="ITC Avant Garde"/>
          <w:bCs/>
        </w:rPr>
        <w:t>queda</w:t>
      </w:r>
      <w:r>
        <w:rPr>
          <w:rFonts w:ascii="ITC Avant Garde" w:hAnsi="ITC Avant Garde"/>
          <w:bCs/>
        </w:rPr>
        <w:t xml:space="preserve"> sujeto al nuevo régimen legal, para llevar a cabo el análisis de la cita</w:t>
      </w:r>
      <w:r w:rsidR="00172E3D">
        <w:rPr>
          <w:rFonts w:ascii="ITC Avant Garde" w:hAnsi="ITC Avant Garde"/>
          <w:bCs/>
        </w:rPr>
        <w:t xml:space="preserve">da solicitud, el Instituto debe </w:t>
      </w:r>
      <w:r w:rsidR="0033650C">
        <w:rPr>
          <w:rFonts w:ascii="ITC Avant Garde" w:hAnsi="ITC Avant Garde"/>
          <w:bCs/>
        </w:rPr>
        <w:t>tomar en consideración la planeación y administración eficiente del espectro, los avances tec</w:t>
      </w:r>
      <w:r w:rsidR="006070B4">
        <w:rPr>
          <w:rFonts w:ascii="ITC Avant Garde" w:hAnsi="ITC Avant Garde"/>
          <w:bCs/>
        </w:rPr>
        <w:t>nológicos y el interés público.</w:t>
      </w:r>
    </w:p>
    <w:p w14:paraId="44170523" w14:textId="77025F9F" w:rsidR="009D00C5" w:rsidRPr="00734EFA" w:rsidRDefault="009D00C5" w:rsidP="007275B1">
      <w:pPr>
        <w:spacing w:before="240" w:after="0" w:line="240" w:lineRule="auto"/>
        <w:jc w:val="both"/>
        <w:rPr>
          <w:rFonts w:ascii="ITC Avant Garde" w:hAnsi="ITC Avant Garde"/>
          <w:bCs/>
          <w:color w:val="000000"/>
          <w:lang w:eastAsia="es-MX"/>
        </w:rPr>
      </w:pPr>
      <w:r>
        <w:rPr>
          <w:rFonts w:ascii="ITC Avant Garde" w:hAnsi="ITC Avant Garde"/>
          <w:bCs/>
        </w:rPr>
        <w:t>Ahora bien</w:t>
      </w:r>
      <w:r w:rsidRPr="00D35D0B">
        <w:rPr>
          <w:rFonts w:ascii="ITC Avant Garde" w:hAnsi="ITC Avant Garde"/>
          <w:bCs/>
        </w:rPr>
        <w:t xml:space="preserve">, cabe destacar que </w:t>
      </w:r>
      <w:r w:rsidRPr="00C71F93">
        <w:rPr>
          <w:rFonts w:ascii="ITC Avant Garde" w:hAnsi="ITC Avant Garde"/>
          <w:bCs/>
        </w:rPr>
        <w:t>para este tipo de solicitudes</w:t>
      </w:r>
      <w:r w:rsidRPr="00D35D0B">
        <w:rPr>
          <w:rFonts w:ascii="ITC Avant Garde" w:hAnsi="ITC Avant Garde"/>
          <w:bCs/>
        </w:rPr>
        <w:t xml:space="preserve"> deb</w:t>
      </w:r>
      <w:r>
        <w:rPr>
          <w:rFonts w:ascii="ITC Avant Garde" w:hAnsi="ITC Avant Garde"/>
          <w:bCs/>
        </w:rPr>
        <w:t>ía</w:t>
      </w:r>
      <w:r w:rsidRPr="00D35D0B">
        <w:rPr>
          <w:rFonts w:ascii="ITC Avant Garde" w:hAnsi="ITC Avant Garde"/>
          <w:bCs/>
        </w:rPr>
        <w:t xml:space="preserve"> acatarse el requisito establecido en el artículo 97 </w:t>
      </w:r>
      <w:r w:rsidRPr="00D35D0B">
        <w:rPr>
          <w:rFonts w:ascii="ITC Avant Garde" w:hAnsi="ITC Avant Garde"/>
          <w:bCs/>
          <w:color w:val="000000" w:themeColor="text1"/>
          <w:lang w:eastAsia="es-MX"/>
        </w:rPr>
        <w:t xml:space="preserve">fracción </w:t>
      </w:r>
      <w:r w:rsidR="00EC3CBF">
        <w:rPr>
          <w:rFonts w:ascii="ITC Avant Garde" w:hAnsi="ITC Avant Garde"/>
          <w:bCs/>
          <w:color w:val="000000" w:themeColor="text1"/>
          <w:lang w:eastAsia="es-MX"/>
        </w:rPr>
        <w:t>VI</w:t>
      </w:r>
      <w:r w:rsidRPr="00D35D0B">
        <w:rPr>
          <w:rFonts w:ascii="ITC Avant Garde" w:hAnsi="ITC Avant Garde"/>
          <w:bCs/>
        </w:rPr>
        <w:t xml:space="preserve"> de la Ley Federal de Derechos</w:t>
      </w:r>
      <w:r>
        <w:rPr>
          <w:rFonts w:ascii="ITC Avant Garde" w:hAnsi="ITC Avant Garde"/>
          <w:bCs/>
        </w:rPr>
        <w:t xml:space="preserve"> vigente al momento de presentar la Solicitud de </w:t>
      </w:r>
      <w:r w:rsidR="003C2D85">
        <w:rPr>
          <w:rFonts w:ascii="ITC Avant Garde" w:hAnsi="ITC Avant Garde"/>
          <w:bCs/>
        </w:rPr>
        <w:t>Cambio de Bandas</w:t>
      </w:r>
      <w:r w:rsidRPr="00D35D0B">
        <w:rPr>
          <w:rFonts w:ascii="ITC Avant Garde" w:hAnsi="ITC Avant Garde"/>
          <w:bCs/>
        </w:rPr>
        <w:t xml:space="preserve">, </w:t>
      </w:r>
      <w:r>
        <w:rPr>
          <w:rFonts w:ascii="ITC Avant Garde" w:hAnsi="ITC Avant Garde"/>
          <w:bCs/>
          <w:color w:val="000000" w:themeColor="text1"/>
          <w:lang w:eastAsia="es-MX"/>
        </w:rPr>
        <w:t>que establecía</w:t>
      </w:r>
      <w:r w:rsidRPr="00D35D0B">
        <w:rPr>
          <w:rFonts w:ascii="ITC Avant Garde" w:hAnsi="ITC Avant Garde"/>
          <w:bCs/>
          <w:color w:val="000000" w:themeColor="text1"/>
          <w:lang w:eastAsia="es-MX"/>
        </w:rPr>
        <w:t xml:space="preserve"> la obligación para quien pretend</w:t>
      </w:r>
      <w:r>
        <w:rPr>
          <w:rFonts w:ascii="ITC Avant Garde" w:hAnsi="ITC Avant Garde"/>
          <w:bCs/>
          <w:color w:val="000000" w:themeColor="text1"/>
          <w:lang w:eastAsia="es-MX"/>
        </w:rPr>
        <w:t>ier</w:t>
      </w:r>
      <w:r w:rsidRPr="00D35D0B">
        <w:rPr>
          <w:rFonts w:ascii="ITC Avant Garde" w:hAnsi="ITC Avant Garde"/>
          <w:bCs/>
          <w:color w:val="000000" w:themeColor="text1"/>
          <w:lang w:eastAsia="es-MX"/>
        </w:rPr>
        <w:t>a realizar modificaciones técnicas, administrativas, operativas y legales de los títulos de concesión en materia de telecomunicaciones, de pagar los derechos por el trámite relativo a la autorización por modificaciones</w:t>
      </w:r>
      <w:r w:rsidR="00EC3CBF">
        <w:rPr>
          <w:rFonts w:ascii="ITC Avant Garde" w:hAnsi="ITC Avant Garde"/>
          <w:bCs/>
          <w:color w:val="000000" w:themeColor="text1"/>
          <w:lang w:eastAsia="es-MX"/>
        </w:rPr>
        <w:t xml:space="preserve"> de las características de uso, aprovechamiento o explotación de frecuencias o bandas de frecuencias </w:t>
      </w:r>
      <w:r w:rsidR="00EC3CBF" w:rsidRPr="00734EFA">
        <w:rPr>
          <w:rFonts w:ascii="ITC Avant Garde" w:hAnsi="ITC Avant Garde"/>
          <w:bCs/>
          <w:color w:val="000000"/>
          <w:lang w:eastAsia="es-MX"/>
        </w:rPr>
        <w:t>concesionadas</w:t>
      </w:r>
      <w:r w:rsidRPr="00734EFA">
        <w:rPr>
          <w:rFonts w:ascii="ITC Avant Garde" w:hAnsi="ITC Avant Garde"/>
          <w:bCs/>
          <w:color w:val="000000"/>
          <w:lang w:eastAsia="es-MX"/>
        </w:rPr>
        <w:t>, como es el caso que nos ocupa.</w:t>
      </w:r>
    </w:p>
    <w:p w14:paraId="7F6E39C5" w14:textId="0C49CED0" w:rsidR="00F460F7" w:rsidRDefault="002E0378" w:rsidP="007275B1">
      <w:pPr>
        <w:spacing w:before="240" w:after="0" w:line="240" w:lineRule="auto"/>
        <w:jc w:val="both"/>
        <w:rPr>
          <w:rFonts w:ascii="ITC Avant Garde" w:hAnsi="ITC Avant Garde" w:cs="Arial"/>
          <w:bCs/>
          <w:color w:val="000000"/>
          <w:shd w:val="clear" w:color="auto" w:fill="FFFFFF"/>
        </w:rPr>
      </w:pPr>
      <w:r>
        <w:rPr>
          <w:rFonts w:ascii="ITC Avant Garde" w:hAnsi="ITC Avant Garde"/>
          <w:b/>
          <w:bCs/>
        </w:rPr>
        <w:t>Tercer</w:t>
      </w:r>
      <w:r w:rsidR="003D4094">
        <w:rPr>
          <w:rFonts w:ascii="ITC Avant Garde" w:hAnsi="ITC Avant Garde"/>
          <w:b/>
          <w:bCs/>
        </w:rPr>
        <w:t>o</w:t>
      </w:r>
      <w:r w:rsidR="003D4094" w:rsidRPr="00216619">
        <w:rPr>
          <w:rFonts w:ascii="ITC Avant Garde" w:hAnsi="ITC Avant Garde"/>
          <w:b/>
          <w:bCs/>
        </w:rPr>
        <w:t>.-</w:t>
      </w:r>
      <w:r w:rsidR="003D4094">
        <w:rPr>
          <w:rFonts w:ascii="ITC Avant Garde" w:hAnsi="ITC Avant Garde"/>
          <w:b/>
          <w:bCs/>
        </w:rPr>
        <w:t xml:space="preserve"> Análisis de la Solicitud de </w:t>
      </w:r>
      <w:r w:rsidR="00A31B7D">
        <w:rPr>
          <w:rFonts w:ascii="ITC Avant Garde" w:hAnsi="ITC Avant Garde"/>
          <w:b/>
          <w:bCs/>
        </w:rPr>
        <w:t>Cambio de Bandas</w:t>
      </w:r>
      <w:r w:rsidR="003D4094" w:rsidRPr="00216619">
        <w:rPr>
          <w:rFonts w:ascii="ITC Avant Garde" w:hAnsi="ITC Avant Garde"/>
          <w:b/>
          <w:bCs/>
        </w:rPr>
        <w:t>.</w:t>
      </w:r>
      <w:r w:rsidR="00C95BD3">
        <w:rPr>
          <w:rFonts w:ascii="ITC Avant Garde" w:hAnsi="ITC Avant Garde" w:cs="Arial"/>
          <w:bCs/>
          <w:color w:val="000000"/>
          <w:shd w:val="clear" w:color="auto" w:fill="FFFFFF"/>
        </w:rPr>
        <w:t xml:space="preserve"> </w:t>
      </w:r>
      <w:r w:rsidR="00F460F7">
        <w:rPr>
          <w:rFonts w:ascii="ITC Avant Garde" w:hAnsi="ITC Avant Garde" w:cs="Arial"/>
          <w:bCs/>
          <w:color w:val="000000"/>
          <w:shd w:val="clear" w:color="auto" w:fill="FFFFFF"/>
        </w:rPr>
        <w:t>En atención a lo establecido en artículo 106 de la Ley, en lo que respecta a</w:t>
      </w:r>
      <w:r w:rsidR="00F460F7">
        <w:rPr>
          <w:rFonts w:ascii="ITC Avant Garde" w:hAnsi="ITC Avant Garde"/>
          <w:bCs/>
        </w:rPr>
        <w:t xml:space="preserve"> la planeación y administración eficiente del espectro y los avances tecnológicos</w:t>
      </w:r>
      <w:r w:rsidR="00B36C41" w:rsidRPr="00C71F93">
        <w:rPr>
          <w:rFonts w:ascii="ITC Avant Garde" w:hAnsi="ITC Avant Garde" w:cs="Arial"/>
          <w:bCs/>
          <w:color w:val="000000"/>
          <w:shd w:val="clear" w:color="auto" w:fill="FFFFFF"/>
        </w:rPr>
        <w:t xml:space="preserve">, </w:t>
      </w:r>
      <w:r w:rsidR="00F460F7">
        <w:rPr>
          <w:rFonts w:ascii="ITC Avant Garde" w:hAnsi="ITC Avant Garde" w:cs="Arial"/>
          <w:bCs/>
          <w:color w:val="000000"/>
          <w:shd w:val="clear" w:color="auto" w:fill="FFFFFF"/>
        </w:rPr>
        <w:t xml:space="preserve">mediante oficio IFT/223/UCS/DG-CTEL/2784/2015 de fecha 2 de noviembre de 2015, la Unidad de Concesiones y Servicios, a través de la Dirección General de Concesiones de Telecomunicaciones, </w:t>
      </w:r>
      <w:r w:rsidR="00B36C41" w:rsidRPr="00C71F93">
        <w:rPr>
          <w:rFonts w:ascii="ITC Avant Garde" w:hAnsi="ITC Avant Garde" w:cs="Arial"/>
          <w:bCs/>
          <w:color w:val="000000"/>
          <w:shd w:val="clear" w:color="auto" w:fill="FFFFFF"/>
        </w:rPr>
        <w:t>requirió la opinión</w:t>
      </w:r>
      <w:r w:rsidR="00B36C41">
        <w:rPr>
          <w:rFonts w:ascii="ITC Avant Garde" w:hAnsi="ITC Avant Garde" w:cs="Arial"/>
          <w:bCs/>
          <w:color w:val="000000"/>
          <w:shd w:val="clear" w:color="auto" w:fill="FFFFFF"/>
        </w:rPr>
        <w:t xml:space="preserve"> técnica</w:t>
      </w:r>
      <w:r w:rsidR="00B36C41" w:rsidRPr="00C71F93">
        <w:rPr>
          <w:rFonts w:ascii="ITC Avant Garde" w:hAnsi="ITC Avant Garde" w:cs="Arial"/>
          <w:bCs/>
          <w:color w:val="000000"/>
          <w:shd w:val="clear" w:color="auto" w:fill="FFFFFF"/>
        </w:rPr>
        <w:t xml:space="preserve"> de </w:t>
      </w:r>
      <w:r w:rsidR="00B36C41" w:rsidRPr="00C71F93">
        <w:rPr>
          <w:rFonts w:ascii="ITC Avant Garde" w:hAnsi="ITC Avant Garde"/>
          <w:bCs/>
          <w:color w:val="000000"/>
          <w:lang w:eastAsia="es-MX"/>
        </w:rPr>
        <w:t xml:space="preserve">la Dirección General de </w:t>
      </w:r>
      <w:r w:rsidR="00B36C41">
        <w:rPr>
          <w:rFonts w:ascii="ITC Avant Garde" w:hAnsi="ITC Avant Garde"/>
          <w:bCs/>
          <w:color w:val="000000"/>
          <w:lang w:eastAsia="es-MX"/>
        </w:rPr>
        <w:t>Ingeniería del Espectro y Estudios Técnicos</w:t>
      </w:r>
      <w:r w:rsidR="00B36C41" w:rsidRPr="00C71F93">
        <w:rPr>
          <w:rFonts w:ascii="ITC Avant Garde" w:hAnsi="ITC Avant Garde"/>
          <w:bCs/>
          <w:color w:val="000000"/>
          <w:lang w:eastAsia="es-MX"/>
        </w:rPr>
        <w:t>, adscrita a la Unidad de Espectro Radioeléctrico</w:t>
      </w:r>
      <w:r w:rsidR="00F460F7">
        <w:rPr>
          <w:rFonts w:ascii="ITC Avant Garde" w:hAnsi="ITC Avant Garde"/>
          <w:bCs/>
          <w:color w:val="000000"/>
          <w:lang w:eastAsia="es-MX"/>
        </w:rPr>
        <w:t xml:space="preserve">, </w:t>
      </w:r>
      <w:r w:rsidR="00C95BD3">
        <w:rPr>
          <w:rFonts w:ascii="ITC Avant Garde" w:hAnsi="ITC Avant Garde"/>
          <w:bCs/>
          <w:color w:val="000000"/>
          <w:lang w:eastAsia="es-MX"/>
        </w:rPr>
        <w:t xml:space="preserve">respecto a la </w:t>
      </w:r>
      <w:r w:rsidR="00C95BD3" w:rsidRPr="00C71F93">
        <w:rPr>
          <w:rFonts w:ascii="ITC Avant Garde" w:hAnsi="ITC Avant Garde" w:cs="Arial"/>
          <w:bCs/>
          <w:color w:val="000000"/>
          <w:shd w:val="clear" w:color="auto" w:fill="FFFFFF"/>
        </w:rPr>
        <w:t xml:space="preserve">Solicitud de </w:t>
      </w:r>
      <w:r w:rsidR="00F460F7">
        <w:rPr>
          <w:rFonts w:ascii="ITC Avant Garde" w:hAnsi="ITC Avant Garde" w:cs="Arial"/>
          <w:bCs/>
          <w:color w:val="000000"/>
          <w:shd w:val="clear" w:color="auto" w:fill="FFFFFF"/>
        </w:rPr>
        <w:t xml:space="preserve">Cambio de Bandas </w:t>
      </w:r>
      <w:r w:rsidR="006B6607">
        <w:rPr>
          <w:rFonts w:ascii="ITC Avant Garde" w:hAnsi="ITC Avant Garde" w:cs="Arial"/>
          <w:bCs/>
          <w:color w:val="000000"/>
          <w:shd w:val="clear" w:color="auto" w:fill="FFFFFF"/>
        </w:rPr>
        <w:t>que nos ocupa</w:t>
      </w:r>
      <w:r w:rsidR="00F460F7">
        <w:rPr>
          <w:rFonts w:ascii="ITC Avant Garde" w:hAnsi="ITC Avant Garde" w:cs="Arial"/>
          <w:bCs/>
          <w:color w:val="000000"/>
          <w:shd w:val="clear" w:color="auto" w:fill="FFFFFF"/>
        </w:rPr>
        <w:t>.</w:t>
      </w:r>
    </w:p>
    <w:p w14:paraId="4DEC5692" w14:textId="5493B61C" w:rsidR="00B36C41" w:rsidRPr="00C71F93" w:rsidRDefault="00F460F7" w:rsidP="007275B1">
      <w:pPr>
        <w:spacing w:before="240" w:after="0" w:line="240" w:lineRule="auto"/>
        <w:jc w:val="both"/>
        <w:rPr>
          <w:rFonts w:ascii="ITC Avant Garde" w:hAnsi="ITC Avant Garde" w:cs="Arial"/>
          <w:bCs/>
          <w:color w:val="000000"/>
          <w:shd w:val="clear" w:color="auto" w:fill="FFFFFF"/>
        </w:rPr>
      </w:pPr>
      <w:r>
        <w:rPr>
          <w:rFonts w:ascii="ITC Avant Garde" w:hAnsi="ITC Avant Garde" w:cs="Arial"/>
          <w:bCs/>
          <w:color w:val="000000"/>
          <w:shd w:val="clear" w:color="auto" w:fill="FFFFFF"/>
        </w:rPr>
        <w:t>En respuesta a dicho requerimiento, mediante oficio IFT/22/UER/DG-IEET/0275/2016 de fecha 21 de abril de 2016,</w:t>
      </w:r>
      <w:r w:rsidR="00C95BD3">
        <w:rPr>
          <w:rFonts w:ascii="ITC Avant Garde" w:hAnsi="ITC Avant Garde" w:cs="Arial"/>
          <w:bCs/>
          <w:color w:val="000000"/>
          <w:shd w:val="clear" w:color="auto" w:fill="FFFFFF"/>
        </w:rPr>
        <w:t xml:space="preserve"> </w:t>
      </w:r>
      <w:r>
        <w:rPr>
          <w:rFonts w:ascii="ITC Avant Garde" w:hAnsi="ITC Avant Garde" w:cs="Arial"/>
          <w:bCs/>
          <w:color w:val="000000"/>
          <w:shd w:val="clear" w:color="auto" w:fill="FFFFFF"/>
        </w:rPr>
        <w:t xml:space="preserve">la Dirección General de Ingeniería del Espectro y Estudios Técnicos, adscrita a la Unidad de Espectro Radioeléctrico, </w:t>
      </w:r>
      <w:r w:rsidR="00C95BD3">
        <w:rPr>
          <w:rFonts w:ascii="ITC Avant Garde" w:hAnsi="ITC Avant Garde" w:cs="Arial"/>
          <w:bCs/>
          <w:color w:val="000000"/>
          <w:shd w:val="clear" w:color="auto" w:fill="FFFFFF"/>
        </w:rPr>
        <w:t>manifest</w:t>
      </w:r>
      <w:r>
        <w:rPr>
          <w:rFonts w:ascii="ITC Avant Garde" w:hAnsi="ITC Avant Garde" w:cs="Arial"/>
          <w:bCs/>
          <w:color w:val="000000"/>
          <w:shd w:val="clear" w:color="auto" w:fill="FFFFFF"/>
        </w:rPr>
        <w:t>ó, entre otros aspectos,</w:t>
      </w:r>
      <w:r w:rsidR="00C95BD3">
        <w:rPr>
          <w:rFonts w:ascii="ITC Avant Garde" w:hAnsi="ITC Avant Garde" w:cs="Arial"/>
          <w:bCs/>
          <w:color w:val="000000"/>
          <w:shd w:val="clear" w:color="auto" w:fill="FFFFFF"/>
        </w:rPr>
        <w:t xml:space="preserve"> lo</w:t>
      </w:r>
      <w:r w:rsidR="00B36C41" w:rsidRPr="00C71F93">
        <w:rPr>
          <w:rFonts w:ascii="ITC Avant Garde" w:hAnsi="ITC Avant Garde" w:cs="Arial"/>
          <w:bCs/>
          <w:color w:val="000000"/>
          <w:shd w:val="clear" w:color="auto" w:fill="FFFFFF"/>
        </w:rPr>
        <w:t xml:space="preserve"> siguiente:</w:t>
      </w:r>
    </w:p>
    <w:p w14:paraId="7383D540" w14:textId="77777777" w:rsidR="00734EFA" w:rsidRPr="00941869" w:rsidRDefault="004A4B59" w:rsidP="00941869">
      <w:pPr>
        <w:autoSpaceDE w:val="0"/>
        <w:autoSpaceDN w:val="0"/>
        <w:adjustRightInd w:val="0"/>
        <w:spacing w:after="0" w:line="240" w:lineRule="auto"/>
        <w:ind w:left="567"/>
        <w:jc w:val="both"/>
        <w:rPr>
          <w:rFonts w:ascii="ITC Avant Garde" w:hAnsi="ITC Avant Garde" w:cs="Tahoma"/>
          <w:bCs/>
          <w:sz w:val="18"/>
          <w:szCs w:val="18"/>
          <w:lang w:eastAsia="es-MX"/>
        </w:rPr>
      </w:pPr>
      <w:r w:rsidRPr="00941869">
        <w:rPr>
          <w:rFonts w:ascii="ITC Avant Garde" w:hAnsi="ITC Avant Garde" w:cs="Tahoma"/>
          <w:bCs/>
          <w:sz w:val="18"/>
          <w:szCs w:val="18"/>
          <w:lang w:eastAsia="es-MX"/>
        </w:rPr>
        <w:t>“</w:t>
      </w:r>
      <w:r w:rsidR="00734EFA" w:rsidRPr="00941869">
        <w:rPr>
          <w:rFonts w:ascii="ITC Avant Garde" w:hAnsi="ITC Avant Garde" w:cs="Tahoma"/>
          <w:bCs/>
          <w:sz w:val="18"/>
          <w:szCs w:val="18"/>
          <w:lang w:eastAsia="es-MX"/>
        </w:rPr>
        <w:t>[…]</w:t>
      </w:r>
    </w:p>
    <w:p w14:paraId="7AAAC1F2" w14:textId="77777777" w:rsidR="0067635B" w:rsidRDefault="00734EFA" w:rsidP="00941869">
      <w:pPr>
        <w:tabs>
          <w:tab w:val="left" w:pos="8430"/>
        </w:tabs>
        <w:spacing w:before="120" w:after="120" w:line="240" w:lineRule="auto"/>
        <w:ind w:left="567" w:right="473"/>
        <w:jc w:val="both"/>
        <w:rPr>
          <w:rFonts w:ascii="ITC Avant Garde" w:hAnsi="ITC Avant Garde" w:cs="Tahoma"/>
          <w:bCs/>
          <w:i/>
          <w:color w:val="000000"/>
          <w:sz w:val="18"/>
          <w:szCs w:val="18"/>
          <w:lang w:eastAsia="es-MX"/>
        </w:rPr>
        <w:sectPr w:rsidR="0067635B" w:rsidSect="00EF024D">
          <w:pgSz w:w="12240" w:h="15840"/>
          <w:pgMar w:top="2127" w:right="1750" w:bottom="1418" w:left="1701" w:header="709" w:footer="988" w:gutter="0"/>
          <w:cols w:space="708"/>
          <w:docGrid w:linePitch="360"/>
        </w:sectPr>
      </w:pPr>
      <w:r w:rsidRPr="00777C5E">
        <w:rPr>
          <w:rFonts w:ascii="ITC Avant Garde" w:hAnsi="ITC Avant Garde" w:cs="Tahoma"/>
          <w:bCs/>
          <w:i/>
          <w:color w:val="000000"/>
          <w:sz w:val="18"/>
          <w:szCs w:val="18"/>
          <w:lang w:eastAsia="es-MX"/>
        </w:rPr>
        <w:t>El espectro concesionado actualmente a SECSA consiste en 10 pares de frecuencias con una canalización a 200 kHz, con un ancho de canal de 25 kHz y una separación dúplex de 10 MHz. Los pares de frecuencias son los siguientes:</w:t>
      </w:r>
    </w:p>
    <w:p w14:paraId="2398F442" w14:textId="110EAA5F" w:rsidR="00734EFA" w:rsidRDefault="00734EFA" w:rsidP="00941869">
      <w:pPr>
        <w:tabs>
          <w:tab w:val="left" w:pos="8430"/>
        </w:tabs>
        <w:spacing w:before="120" w:after="120" w:line="240" w:lineRule="auto"/>
        <w:ind w:left="567" w:right="473"/>
        <w:jc w:val="both"/>
        <w:rPr>
          <w:rFonts w:ascii="ITC Avant Garde" w:hAnsi="ITC Avant Garde" w:cs="Tahoma"/>
          <w:bCs/>
          <w:i/>
          <w:color w:val="000000"/>
          <w:sz w:val="18"/>
          <w:szCs w:val="18"/>
          <w:lang w:eastAsia="es-MX"/>
        </w:rPr>
      </w:pPr>
    </w:p>
    <w:tbl>
      <w:tblPr>
        <w:tblStyle w:val="Tablaconcuadrcula"/>
        <w:tblW w:w="0" w:type="auto"/>
        <w:jc w:val="center"/>
        <w:tblLook w:val="04A0" w:firstRow="1" w:lastRow="0" w:firstColumn="1" w:lastColumn="0" w:noHBand="0" w:noVBand="1"/>
        <w:tblCaption w:val="Análisis de la Unidad de Espectro respecto de las concesiones actuales de SECSA"/>
        <w:tblDescription w:val="En una tabla de 3 columnas, desglosa los pares de frecuencia divididos en el Grupo 21 y 22:&#10;Grupo 21:&#10;Rx [MHz] - Tx [MHz]&#10;412.1250 - 422.1250&#10;412.3250 - 422.3250&#10;412.5250 - 422.5250&#10;412.7250 - 422.7250&#10;412.9250 - 422.9250&#10;Grupo 22:&#10;412.1500 - 422.1500&#10;412.3500 - 422.3500&#10;412.5500 - 422.5500&#10;412.7500 - 422.7500&#10;412.9500 - 422.9500&#10;"/>
      </w:tblPr>
      <w:tblGrid>
        <w:gridCol w:w="1142"/>
        <w:gridCol w:w="1142"/>
        <w:gridCol w:w="1152"/>
      </w:tblGrid>
      <w:tr w:rsidR="00734EFA" w:rsidRPr="005C2B52" w14:paraId="2B895D01" w14:textId="77777777" w:rsidTr="0067635B">
        <w:trPr>
          <w:trHeight w:val="275"/>
          <w:tblHeader/>
          <w:jc w:val="center"/>
        </w:trPr>
        <w:tc>
          <w:tcPr>
            <w:tcW w:w="1142" w:type="dxa"/>
            <w:shd w:val="clear" w:color="auto" w:fill="BFBFBF" w:themeFill="background1" w:themeFillShade="BF"/>
          </w:tcPr>
          <w:p w14:paraId="3B84F9F2" w14:textId="77777777" w:rsidR="00734EFA" w:rsidRPr="001E701D" w:rsidRDefault="00734EFA" w:rsidP="00941869">
            <w:pPr>
              <w:spacing w:after="0" w:line="240" w:lineRule="auto"/>
              <w:jc w:val="center"/>
              <w:rPr>
                <w:rFonts w:ascii="ITC Avant Garde" w:hAnsi="ITC Avant Garde"/>
                <w:b/>
                <w:bCs/>
                <w:color w:val="000000"/>
                <w:sz w:val="18"/>
                <w:szCs w:val="16"/>
                <w:lang w:eastAsia="es-MX"/>
              </w:rPr>
            </w:pPr>
            <w:r w:rsidRPr="001E701D">
              <w:rPr>
                <w:rFonts w:ascii="ITC Avant Garde" w:hAnsi="ITC Avant Garde"/>
                <w:b/>
                <w:bCs/>
                <w:color w:val="000000"/>
                <w:sz w:val="18"/>
                <w:szCs w:val="16"/>
                <w:lang w:eastAsia="es-MX"/>
              </w:rPr>
              <w:t>Grupo</w:t>
            </w:r>
          </w:p>
        </w:tc>
        <w:tc>
          <w:tcPr>
            <w:tcW w:w="1142" w:type="dxa"/>
            <w:shd w:val="clear" w:color="auto" w:fill="BFBFBF" w:themeFill="background1" w:themeFillShade="BF"/>
          </w:tcPr>
          <w:p w14:paraId="77759466" w14:textId="77777777" w:rsidR="00734EFA" w:rsidRPr="001E701D" w:rsidRDefault="00734EFA" w:rsidP="00941869">
            <w:pPr>
              <w:spacing w:after="0" w:line="240" w:lineRule="auto"/>
              <w:jc w:val="center"/>
              <w:rPr>
                <w:rFonts w:ascii="ITC Avant Garde" w:hAnsi="ITC Avant Garde"/>
                <w:b/>
                <w:bCs/>
                <w:color w:val="000000"/>
                <w:sz w:val="18"/>
                <w:szCs w:val="16"/>
                <w:lang w:eastAsia="es-MX"/>
              </w:rPr>
            </w:pPr>
            <w:r w:rsidRPr="001E701D">
              <w:rPr>
                <w:rFonts w:ascii="ITC Avant Garde" w:hAnsi="ITC Avant Garde"/>
                <w:b/>
                <w:bCs/>
                <w:color w:val="000000"/>
                <w:sz w:val="18"/>
                <w:szCs w:val="16"/>
                <w:lang w:eastAsia="es-MX"/>
              </w:rPr>
              <w:t>Rx [MHz]</w:t>
            </w:r>
          </w:p>
        </w:tc>
        <w:tc>
          <w:tcPr>
            <w:tcW w:w="1152" w:type="dxa"/>
            <w:shd w:val="clear" w:color="auto" w:fill="BFBFBF" w:themeFill="background1" w:themeFillShade="BF"/>
          </w:tcPr>
          <w:p w14:paraId="74CB04F0" w14:textId="77777777" w:rsidR="00734EFA" w:rsidRPr="001E701D" w:rsidRDefault="00734EFA" w:rsidP="00941869">
            <w:pPr>
              <w:spacing w:after="0" w:line="240" w:lineRule="auto"/>
              <w:jc w:val="center"/>
              <w:rPr>
                <w:rFonts w:ascii="ITC Avant Garde" w:hAnsi="ITC Avant Garde"/>
                <w:b/>
                <w:bCs/>
                <w:color w:val="000000"/>
                <w:sz w:val="18"/>
                <w:szCs w:val="16"/>
                <w:lang w:eastAsia="es-MX"/>
              </w:rPr>
            </w:pPr>
            <w:r w:rsidRPr="001E701D">
              <w:rPr>
                <w:rFonts w:ascii="ITC Avant Garde" w:hAnsi="ITC Avant Garde"/>
                <w:b/>
                <w:bCs/>
                <w:color w:val="000000"/>
                <w:sz w:val="18"/>
                <w:szCs w:val="16"/>
                <w:lang w:eastAsia="es-MX"/>
              </w:rPr>
              <w:t>Tx [MHz]</w:t>
            </w:r>
          </w:p>
        </w:tc>
      </w:tr>
      <w:tr w:rsidR="007275B1" w:rsidRPr="005C2B52" w14:paraId="7EE500B1" w14:textId="77777777" w:rsidTr="007275B1">
        <w:trPr>
          <w:jc w:val="center"/>
        </w:trPr>
        <w:tc>
          <w:tcPr>
            <w:tcW w:w="1142" w:type="dxa"/>
          </w:tcPr>
          <w:p w14:paraId="4FC1C5E8" w14:textId="77777777" w:rsidR="007275B1" w:rsidRPr="001E701D" w:rsidRDefault="007275B1" w:rsidP="003F1943">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21</w:t>
            </w:r>
          </w:p>
        </w:tc>
        <w:tc>
          <w:tcPr>
            <w:tcW w:w="1142" w:type="dxa"/>
          </w:tcPr>
          <w:p w14:paraId="57D22740" w14:textId="77777777" w:rsidR="007275B1" w:rsidRPr="001E701D" w:rsidRDefault="007275B1" w:rsidP="00941869">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412.1250</w:t>
            </w:r>
          </w:p>
        </w:tc>
        <w:tc>
          <w:tcPr>
            <w:tcW w:w="1152" w:type="dxa"/>
          </w:tcPr>
          <w:p w14:paraId="3438B784" w14:textId="77777777" w:rsidR="007275B1" w:rsidRPr="001E701D" w:rsidRDefault="007275B1" w:rsidP="00941869">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422.1250</w:t>
            </w:r>
          </w:p>
        </w:tc>
      </w:tr>
      <w:tr w:rsidR="007275B1" w:rsidRPr="005C2B52" w14:paraId="27816BF3" w14:textId="77777777" w:rsidTr="007275B1">
        <w:trPr>
          <w:jc w:val="center"/>
        </w:trPr>
        <w:tc>
          <w:tcPr>
            <w:tcW w:w="1142" w:type="dxa"/>
          </w:tcPr>
          <w:p w14:paraId="325879EB" w14:textId="7BA6619E"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21</w:t>
            </w:r>
          </w:p>
        </w:tc>
        <w:tc>
          <w:tcPr>
            <w:tcW w:w="1142" w:type="dxa"/>
          </w:tcPr>
          <w:p w14:paraId="0749EA57" w14:textId="77777777"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412.3250</w:t>
            </w:r>
          </w:p>
        </w:tc>
        <w:tc>
          <w:tcPr>
            <w:tcW w:w="1152" w:type="dxa"/>
          </w:tcPr>
          <w:p w14:paraId="39AFC766" w14:textId="77777777"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422.3250</w:t>
            </w:r>
          </w:p>
        </w:tc>
      </w:tr>
      <w:tr w:rsidR="007275B1" w:rsidRPr="005C2B52" w14:paraId="6F004A0F" w14:textId="77777777" w:rsidTr="007275B1">
        <w:trPr>
          <w:jc w:val="center"/>
        </w:trPr>
        <w:tc>
          <w:tcPr>
            <w:tcW w:w="1142" w:type="dxa"/>
          </w:tcPr>
          <w:p w14:paraId="2B16FF3A" w14:textId="38FBD41F"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21</w:t>
            </w:r>
          </w:p>
        </w:tc>
        <w:tc>
          <w:tcPr>
            <w:tcW w:w="1142" w:type="dxa"/>
          </w:tcPr>
          <w:p w14:paraId="2C4A2585" w14:textId="77777777"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412.5250</w:t>
            </w:r>
          </w:p>
        </w:tc>
        <w:tc>
          <w:tcPr>
            <w:tcW w:w="1152" w:type="dxa"/>
          </w:tcPr>
          <w:p w14:paraId="338E23CD" w14:textId="77777777"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422.5250</w:t>
            </w:r>
          </w:p>
        </w:tc>
      </w:tr>
      <w:tr w:rsidR="007275B1" w:rsidRPr="005C2B52" w14:paraId="715AA291" w14:textId="77777777" w:rsidTr="007275B1">
        <w:trPr>
          <w:jc w:val="center"/>
        </w:trPr>
        <w:tc>
          <w:tcPr>
            <w:tcW w:w="1142" w:type="dxa"/>
          </w:tcPr>
          <w:p w14:paraId="79261270" w14:textId="30058E7E"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21</w:t>
            </w:r>
          </w:p>
        </w:tc>
        <w:tc>
          <w:tcPr>
            <w:tcW w:w="1142" w:type="dxa"/>
          </w:tcPr>
          <w:p w14:paraId="449E4F98" w14:textId="77777777"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412.7250</w:t>
            </w:r>
          </w:p>
        </w:tc>
        <w:tc>
          <w:tcPr>
            <w:tcW w:w="1152" w:type="dxa"/>
          </w:tcPr>
          <w:p w14:paraId="08604C45" w14:textId="77777777"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422.7250</w:t>
            </w:r>
          </w:p>
        </w:tc>
      </w:tr>
      <w:tr w:rsidR="007275B1" w:rsidRPr="005C2B52" w14:paraId="52320683" w14:textId="77777777" w:rsidTr="007275B1">
        <w:trPr>
          <w:jc w:val="center"/>
        </w:trPr>
        <w:tc>
          <w:tcPr>
            <w:tcW w:w="1142" w:type="dxa"/>
          </w:tcPr>
          <w:p w14:paraId="3D1B9B06" w14:textId="60383A75"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21</w:t>
            </w:r>
          </w:p>
        </w:tc>
        <w:tc>
          <w:tcPr>
            <w:tcW w:w="1142" w:type="dxa"/>
          </w:tcPr>
          <w:p w14:paraId="671702E1" w14:textId="77777777"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412.9250</w:t>
            </w:r>
          </w:p>
        </w:tc>
        <w:tc>
          <w:tcPr>
            <w:tcW w:w="1152" w:type="dxa"/>
          </w:tcPr>
          <w:p w14:paraId="78D65970" w14:textId="77777777"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422.9250</w:t>
            </w:r>
          </w:p>
        </w:tc>
      </w:tr>
      <w:tr w:rsidR="007275B1" w:rsidRPr="005C2B52" w14:paraId="630B46EA" w14:textId="77777777" w:rsidTr="007275B1">
        <w:trPr>
          <w:jc w:val="center"/>
        </w:trPr>
        <w:tc>
          <w:tcPr>
            <w:tcW w:w="1142" w:type="dxa"/>
          </w:tcPr>
          <w:p w14:paraId="6430ADEC" w14:textId="77777777" w:rsidR="007275B1" w:rsidRPr="001E701D" w:rsidRDefault="007275B1" w:rsidP="003F1943">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22</w:t>
            </w:r>
          </w:p>
        </w:tc>
        <w:tc>
          <w:tcPr>
            <w:tcW w:w="1142" w:type="dxa"/>
          </w:tcPr>
          <w:p w14:paraId="3A8D2AE0" w14:textId="77777777" w:rsidR="007275B1" w:rsidRPr="001E701D" w:rsidRDefault="007275B1" w:rsidP="00941869">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412.1500</w:t>
            </w:r>
          </w:p>
        </w:tc>
        <w:tc>
          <w:tcPr>
            <w:tcW w:w="1152" w:type="dxa"/>
          </w:tcPr>
          <w:p w14:paraId="54B29BAE" w14:textId="77777777" w:rsidR="007275B1" w:rsidRPr="001E701D" w:rsidRDefault="007275B1" w:rsidP="00941869">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422.1500</w:t>
            </w:r>
          </w:p>
        </w:tc>
      </w:tr>
      <w:tr w:rsidR="007275B1" w:rsidRPr="005C2B52" w14:paraId="02E38CD2" w14:textId="77777777" w:rsidTr="007275B1">
        <w:trPr>
          <w:jc w:val="center"/>
        </w:trPr>
        <w:tc>
          <w:tcPr>
            <w:tcW w:w="1142" w:type="dxa"/>
          </w:tcPr>
          <w:p w14:paraId="42AC5DA4" w14:textId="65906B52"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22</w:t>
            </w:r>
          </w:p>
        </w:tc>
        <w:tc>
          <w:tcPr>
            <w:tcW w:w="1142" w:type="dxa"/>
          </w:tcPr>
          <w:p w14:paraId="6991463A" w14:textId="77777777"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412.3500</w:t>
            </w:r>
          </w:p>
        </w:tc>
        <w:tc>
          <w:tcPr>
            <w:tcW w:w="1152" w:type="dxa"/>
          </w:tcPr>
          <w:p w14:paraId="053FFD42" w14:textId="77777777"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422.3500</w:t>
            </w:r>
          </w:p>
        </w:tc>
      </w:tr>
      <w:tr w:rsidR="007275B1" w:rsidRPr="005C2B52" w14:paraId="765F0173" w14:textId="77777777" w:rsidTr="007275B1">
        <w:trPr>
          <w:jc w:val="center"/>
        </w:trPr>
        <w:tc>
          <w:tcPr>
            <w:tcW w:w="1142" w:type="dxa"/>
          </w:tcPr>
          <w:p w14:paraId="6E9DFE79" w14:textId="70720F83"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22</w:t>
            </w:r>
          </w:p>
        </w:tc>
        <w:tc>
          <w:tcPr>
            <w:tcW w:w="1142" w:type="dxa"/>
          </w:tcPr>
          <w:p w14:paraId="3E384BEA" w14:textId="77777777"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412.5500</w:t>
            </w:r>
          </w:p>
        </w:tc>
        <w:tc>
          <w:tcPr>
            <w:tcW w:w="1152" w:type="dxa"/>
          </w:tcPr>
          <w:p w14:paraId="10C52667" w14:textId="77777777"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422.5500</w:t>
            </w:r>
          </w:p>
        </w:tc>
      </w:tr>
      <w:tr w:rsidR="007275B1" w:rsidRPr="005C2B52" w14:paraId="25037318" w14:textId="77777777" w:rsidTr="007275B1">
        <w:trPr>
          <w:jc w:val="center"/>
        </w:trPr>
        <w:tc>
          <w:tcPr>
            <w:tcW w:w="1142" w:type="dxa"/>
          </w:tcPr>
          <w:p w14:paraId="35C79648" w14:textId="62CA15EA"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22</w:t>
            </w:r>
          </w:p>
        </w:tc>
        <w:tc>
          <w:tcPr>
            <w:tcW w:w="1142" w:type="dxa"/>
          </w:tcPr>
          <w:p w14:paraId="44DD2B96" w14:textId="77777777"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412.7500</w:t>
            </w:r>
          </w:p>
        </w:tc>
        <w:tc>
          <w:tcPr>
            <w:tcW w:w="1152" w:type="dxa"/>
          </w:tcPr>
          <w:p w14:paraId="73DDF4C1" w14:textId="77777777"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422.7500</w:t>
            </w:r>
          </w:p>
        </w:tc>
      </w:tr>
      <w:tr w:rsidR="007275B1" w:rsidRPr="005C2B52" w14:paraId="7C31EE1E" w14:textId="77777777" w:rsidTr="007275B1">
        <w:trPr>
          <w:jc w:val="center"/>
        </w:trPr>
        <w:tc>
          <w:tcPr>
            <w:tcW w:w="1142" w:type="dxa"/>
          </w:tcPr>
          <w:p w14:paraId="1063379D" w14:textId="7DB79FA0"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22</w:t>
            </w:r>
          </w:p>
        </w:tc>
        <w:tc>
          <w:tcPr>
            <w:tcW w:w="1142" w:type="dxa"/>
          </w:tcPr>
          <w:p w14:paraId="495937FC" w14:textId="77777777"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412.9500</w:t>
            </w:r>
          </w:p>
        </w:tc>
        <w:tc>
          <w:tcPr>
            <w:tcW w:w="1152" w:type="dxa"/>
          </w:tcPr>
          <w:p w14:paraId="7EC58FFE" w14:textId="77777777" w:rsidR="007275B1" w:rsidRPr="001E701D" w:rsidRDefault="007275B1" w:rsidP="007275B1">
            <w:pPr>
              <w:spacing w:after="0" w:line="240" w:lineRule="auto"/>
              <w:jc w:val="center"/>
              <w:rPr>
                <w:rFonts w:ascii="ITC Avant Garde" w:hAnsi="ITC Avant Garde"/>
                <w:bCs/>
                <w:color w:val="000000"/>
                <w:sz w:val="18"/>
                <w:szCs w:val="16"/>
                <w:lang w:eastAsia="es-MX"/>
              </w:rPr>
            </w:pPr>
            <w:r w:rsidRPr="001E701D">
              <w:rPr>
                <w:rFonts w:ascii="ITC Avant Garde" w:hAnsi="ITC Avant Garde"/>
                <w:bCs/>
                <w:color w:val="000000"/>
                <w:sz w:val="18"/>
                <w:szCs w:val="16"/>
                <w:lang w:eastAsia="es-MX"/>
              </w:rPr>
              <w:t>422.9500</w:t>
            </w:r>
          </w:p>
        </w:tc>
      </w:tr>
    </w:tbl>
    <w:p w14:paraId="2288F601" w14:textId="77777777" w:rsidR="00777C5E" w:rsidRPr="00777C5E" w:rsidRDefault="00777C5E" w:rsidP="00941869">
      <w:pPr>
        <w:pStyle w:val="Prrafodelista"/>
        <w:numPr>
          <w:ilvl w:val="0"/>
          <w:numId w:val="5"/>
        </w:numPr>
        <w:spacing w:before="120" w:after="120"/>
        <w:ind w:left="709" w:right="615" w:firstLine="142"/>
        <w:contextualSpacing/>
        <w:jc w:val="both"/>
        <w:rPr>
          <w:rFonts w:ascii="ITC Avant Garde" w:hAnsi="ITC Avant Garde" w:cs="Tahoma"/>
          <w:b/>
          <w:bCs/>
          <w:i/>
          <w:sz w:val="18"/>
          <w:szCs w:val="18"/>
          <w:lang w:eastAsia="es-MX"/>
        </w:rPr>
      </w:pPr>
      <w:r w:rsidRPr="00777C5E">
        <w:rPr>
          <w:rFonts w:ascii="ITC Avant Garde" w:hAnsi="ITC Avant Garde" w:cs="Tahoma"/>
          <w:b/>
          <w:bCs/>
          <w:i/>
          <w:sz w:val="18"/>
          <w:szCs w:val="18"/>
          <w:lang w:eastAsia="es-MX"/>
        </w:rPr>
        <w:t>Análisis de la viabilidad de tener un espectro contiguo.</w:t>
      </w:r>
    </w:p>
    <w:p w14:paraId="7B5236A3" w14:textId="237C6908" w:rsidR="00777C5E" w:rsidRPr="00777C5E" w:rsidRDefault="00777C5E" w:rsidP="003F1943">
      <w:pPr>
        <w:spacing w:before="120" w:after="120" w:line="240" w:lineRule="auto"/>
        <w:ind w:left="709" w:right="615" w:hanging="1"/>
        <w:jc w:val="both"/>
        <w:rPr>
          <w:rFonts w:ascii="ITC Avant Garde" w:hAnsi="ITC Avant Garde"/>
          <w:i/>
          <w:sz w:val="18"/>
          <w:szCs w:val="18"/>
        </w:rPr>
      </w:pPr>
      <w:r w:rsidRPr="00777C5E">
        <w:rPr>
          <w:rFonts w:ascii="ITC Avant Garde" w:hAnsi="ITC Avant Garde"/>
          <w:i/>
          <w:sz w:val="18"/>
          <w:szCs w:val="18"/>
        </w:rPr>
        <w:t>Con el fin de allegarse de más información para la emisión de la presente opinión, se realizaron diversas reuniones con el representante legal de SECSA y SERVITRON</w:t>
      </w:r>
      <w:r w:rsidR="00A7757E">
        <w:rPr>
          <w:rFonts w:ascii="ITC Avant Garde" w:hAnsi="ITC Avant Garde"/>
          <w:i/>
          <w:sz w:val="18"/>
          <w:szCs w:val="18"/>
        </w:rPr>
        <w:t>,</w:t>
      </w:r>
      <w:r w:rsidRPr="00777C5E">
        <w:rPr>
          <w:rFonts w:ascii="ITC Avant Garde" w:hAnsi="ITC Avant Garde"/>
          <w:i/>
          <w:sz w:val="18"/>
          <w:szCs w:val="18"/>
        </w:rPr>
        <w:t xml:space="preserve"> en donde se analizó a detalle la solicitud. De manera general, el requerimiento solicita una reasignación de frecuencias cuyo resultado sería pares de frecuencia contiguos para el espectro concesionado a SECSA dentro del espectro que tiene concesionado Servicios Troncalizados S.A. de C.V. (“Servitron”) en sus dos títulos de concesión, los cuales tienen por cobertura las rutas carreteras México-Veracruz, México-Guadalajara y la ruta Golfo (“títulos de bandas”). Por lo anterior, dado que la canalización diseñada por esta Dirección General para la banda 410-430 MHz permite tener un espectro contiguo (bajo ciertas condiciones las cuales se detallarán más adelante) y toda vez que en tanto los títulos de bandas como el de la concesión, que es objeto de la presente opinión, pertenecen al mismo </w:t>
      </w:r>
      <w:r w:rsidRPr="00777C5E">
        <w:rPr>
          <w:rFonts w:ascii="ITC Avant Garde" w:hAnsi="ITC Avant Garde"/>
          <w:i/>
          <w:color w:val="000000" w:themeColor="text1"/>
          <w:sz w:val="18"/>
          <w:szCs w:val="18"/>
        </w:rPr>
        <w:t xml:space="preserve">representante legal, </w:t>
      </w:r>
      <w:r w:rsidRPr="00777C5E">
        <w:rPr>
          <w:rFonts w:ascii="ITC Avant Garde" w:hAnsi="ITC Avant Garde"/>
          <w:i/>
          <w:sz w:val="18"/>
          <w:szCs w:val="18"/>
        </w:rPr>
        <w:t>conviene que el espectro de ambos concesionarios sea homogéneo para facilitar la operación y gestión de los sistemas, logrando al mismo tiempo una administración más eficiente del espectro.</w:t>
      </w:r>
    </w:p>
    <w:p w14:paraId="549E8195" w14:textId="77777777" w:rsidR="004A4B59" w:rsidRPr="004A4B59" w:rsidRDefault="004A4B59" w:rsidP="00941869">
      <w:pPr>
        <w:pStyle w:val="Prrafodelista"/>
        <w:spacing w:before="120" w:after="120"/>
        <w:ind w:left="709" w:right="615"/>
        <w:contextualSpacing/>
        <w:jc w:val="both"/>
        <w:rPr>
          <w:rFonts w:ascii="ITC Avant Garde" w:hAnsi="ITC Avant Garde" w:cs="Tahoma"/>
          <w:b/>
          <w:bCs/>
          <w:i/>
          <w:sz w:val="18"/>
          <w:szCs w:val="18"/>
          <w:lang w:eastAsia="es-MX"/>
        </w:rPr>
      </w:pPr>
      <w:r w:rsidRPr="004A4B59">
        <w:rPr>
          <w:rFonts w:ascii="ITC Avant Garde" w:hAnsi="ITC Avant Garde" w:cs="Tahoma"/>
          <w:b/>
          <w:bCs/>
          <w:i/>
          <w:sz w:val="18"/>
          <w:szCs w:val="18"/>
          <w:lang w:eastAsia="es-MX"/>
        </w:rPr>
        <w:t>1. Consideraciones de SECSA.</w:t>
      </w:r>
    </w:p>
    <w:p w14:paraId="5FDE074B" w14:textId="77777777" w:rsidR="004A4B59" w:rsidRPr="004A4B59" w:rsidRDefault="004A4B59" w:rsidP="003F1943">
      <w:pPr>
        <w:spacing w:before="120" w:after="120" w:line="240" w:lineRule="auto"/>
        <w:ind w:left="709" w:right="615" w:hanging="1"/>
        <w:jc w:val="both"/>
        <w:rPr>
          <w:rFonts w:ascii="ITC Avant Garde" w:hAnsi="ITC Avant Garde"/>
          <w:i/>
          <w:sz w:val="18"/>
          <w:szCs w:val="18"/>
        </w:rPr>
      </w:pPr>
      <w:r w:rsidRPr="004A4B59">
        <w:rPr>
          <w:rFonts w:ascii="ITC Avant Garde" w:hAnsi="ITC Avant Garde"/>
          <w:i/>
          <w:sz w:val="18"/>
          <w:szCs w:val="18"/>
        </w:rPr>
        <w:t xml:space="preserve">Entre los motivos que presentó SECSA para que sean considerados en su solicitud de cambio de frecuencias, en opinión de esta Dirección General, la justificación más robusta es que </w:t>
      </w:r>
      <w:r w:rsidRPr="00941869">
        <w:rPr>
          <w:rFonts w:ascii="ITC Avant Garde" w:hAnsi="ITC Avant Garde"/>
          <w:b/>
          <w:i/>
          <w:sz w:val="18"/>
          <w:szCs w:val="18"/>
          <w:u w:val="single"/>
        </w:rPr>
        <w:t>con el cambio de frecuencias, el concesionario podría introducir en su red una nueva tecnología, denominada “Tetra release 2”, la cual permite al concesionario un uso más eficiente del espectro y con la que se podría explotar las características que esta tecnología le puede ofrecer gracias al uso de canales de espectro contiguo.</w:t>
      </w:r>
      <w:r w:rsidRPr="004A4B59">
        <w:rPr>
          <w:rFonts w:ascii="ITC Avant Garde" w:hAnsi="ITC Avant Garde"/>
          <w:i/>
          <w:sz w:val="18"/>
          <w:szCs w:val="18"/>
        </w:rPr>
        <w:t xml:space="preserve"> </w:t>
      </w:r>
    </w:p>
    <w:p w14:paraId="63CAC41A" w14:textId="77777777" w:rsidR="004A4B59" w:rsidRDefault="004A4B59" w:rsidP="00941869">
      <w:pPr>
        <w:spacing w:before="120" w:after="120" w:line="240" w:lineRule="auto"/>
        <w:ind w:left="709" w:right="615" w:hanging="1"/>
        <w:jc w:val="both"/>
        <w:rPr>
          <w:rFonts w:ascii="ITC Avant Garde" w:hAnsi="ITC Avant Garde"/>
          <w:i/>
          <w:sz w:val="18"/>
          <w:szCs w:val="18"/>
        </w:rPr>
      </w:pPr>
      <w:r w:rsidRPr="004A4B59">
        <w:rPr>
          <w:rFonts w:ascii="ITC Avant Garde" w:hAnsi="ITC Avant Garde"/>
          <w:i/>
          <w:sz w:val="18"/>
          <w:szCs w:val="18"/>
        </w:rPr>
        <w:t>De manera general, “Tetra release 2” es una tecnología que necesita de un espectro contiguo (en portadoras de 50, 100 y hasta 150 KHz) para ofrecer prestaciones de servicios más avanzadas. El utilizar portadoras con un mayor ancho de banda que el canal nominal de 25 kHz, incrementa considerablemente la tasa de transmisión en las comunicaciones (desde 15.6 kbps hasta 538 kbps), logrando así una mejor calidad en los servicios de voz y datos. Lo anterior es posible debido a que ésta tecnología utiliza un esquema de modulación adaptativa (en su mayoría, variaciones de esquemas de modulaciones QAM y QPSK), lo cual es característico de aquellas tecnologías que hacen un uso más eficiente del espectro. El despliegue de esta tecnología en una red se facilita de manera sustancial ya que puede convivir con “Tetra release 1” (versión anterior a “Tetra release 2”), con la cual cuenta SECSA actualmente. El concesionario manifestó que:</w:t>
      </w:r>
    </w:p>
    <w:p w14:paraId="74D1FCF2" w14:textId="77777777" w:rsidR="004A4B59" w:rsidRPr="004A4B59" w:rsidRDefault="00FA583C" w:rsidP="00941869">
      <w:pPr>
        <w:spacing w:line="240" w:lineRule="auto"/>
        <w:ind w:left="1134" w:right="1182"/>
        <w:jc w:val="both"/>
        <w:rPr>
          <w:rFonts w:ascii="ITC Avant Garde" w:hAnsi="ITC Avant Garde"/>
          <w:i/>
          <w:sz w:val="16"/>
          <w:szCs w:val="16"/>
        </w:rPr>
      </w:pPr>
      <w:r>
        <w:rPr>
          <w:rFonts w:ascii="ITC Avant Garde" w:hAnsi="ITC Avant Garde"/>
          <w:i/>
          <w:sz w:val="16"/>
          <w:szCs w:val="16"/>
        </w:rPr>
        <w:t>`</w:t>
      </w:r>
      <w:r w:rsidR="004A4B59" w:rsidRPr="004A4B59">
        <w:rPr>
          <w:rFonts w:ascii="ITC Avant Garde" w:hAnsi="ITC Avant Garde"/>
          <w:i/>
          <w:sz w:val="16"/>
          <w:szCs w:val="16"/>
        </w:rPr>
        <w:t xml:space="preserve">Actualmente se utiliza la versión comercial que incluye espaciamiento entre canales de 25 kHz de ancho de banda, con una separación dúplex entre transmisor </w:t>
      </w:r>
      <w:r w:rsidR="004A4B59" w:rsidRPr="004A4B59">
        <w:rPr>
          <w:rFonts w:ascii="ITC Avant Garde" w:hAnsi="ITC Avant Garde"/>
          <w:i/>
          <w:sz w:val="16"/>
          <w:szCs w:val="16"/>
        </w:rPr>
        <w:lastRenderedPageBreak/>
        <w:t xml:space="preserve">y receptor de 10 MHz, con tecnología TDMA (Time Division Multiple Access) que utiliza  </w:t>
      </w:r>
      <w:r w:rsidR="004A4B59">
        <w:rPr>
          <w:rFonts w:ascii="ITC Avant Garde" w:hAnsi="ITC Avant Garde"/>
          <w:i/>
          <w:sz w:val="16"/>
          <w:szCs w:val="16"/>
        </w:rPr>
        <w:t>4 ranuras de tiempo por canal.´</w:t>
      </w:r>
    </w:p>
    <w:p w14:paraId="36E1D882" w14:textId="0E7689A5" w:rsidR="004A4B59" w:rsidRDefault="00FA583C" w:rsidP="00941869">
      <w:pPr>
        <w:spacing w:line="240" w:lineRule="auto"/>
        <w:ind w:left="1134" w:right="1182"/>
        <w:jc w:val="both"/>
        <w:rPr>
          <w:rFonts w:ascii="ITC Avant Garde" w:hAnsi="ITC Avant Garde"/>
          <w:i/>
          <w:sz w:val="16"/>
          <w:szCs w:val="16"/>
        </w:rPr>
      </w:pPr>
      <w:r>
        <w:rPr>
          <w:rFonts w:ascii="ITC Avant Garde" w:hAnsi="ITC Avant Garde"/>
          <w:i/>
          <w:sz w:val="16"/>
          <w:szCs w:val="16"/>
        </w:rPr>
        <w:t>`</w:t>
      </w:r>
      <w:r w:rsidR="004A4B59" w:rsidRPr="004A4B59">
        <w:rPr>
          <w:rFonts w:ascii="ITC Avant Garde" w:hAnsi="ITC Avant Garde"/>
          <w:i/>
          <w:sz w:val="16"/>
          <w:szCs w:val="16"/>
        </w:rPr>
        <w:t>La infraestructura Tetra desplegada por Servicios Troncalizados, S. A. de C. V. (SERVITRON), está instalada en las Rutas México-Veracruz/México-Guadalajara, en la Ruta Golfo y en diferentes sitios de los Estado de Sonora y Sinaloa. Para el caso de Oaxaca actualmente no se tiene instalada infraestructura Tetra</w:t>
      </w:r>
      <w:r w:rsidR="00FC00E7">
        <w:rPr>
          <w:rFonts w:ascii="ITC Avant Garde" w:hAnsi="ITC Avant Garde"/>
          <w:i/>
          <w:sz w:val="16"/>
          <w:szCs w:val="16"/>
        </w:rPr>
        <w:t xml:space="preserve"> [</w:t>
      </w:r>
      <w:r w:rsidR="004A4B59">
        <w:rPr>
          <w:rFonts w:ascii="ITC Avant Garde" w:hAnsi="ITC Avant Garde"/>
          <w:i/>
          <w:sz w:val="16"/>
          <w:szCs w:val="16"/>
        </w:rPr>
        <w:t>…</w:t>
      </w:r>
      <w:proofErr w:type="gramStart"/>
      <w:r w:rsidR="00FC00E7">
        <w:rPr>
          <w:rFonts w:ascii="ITC Avant Garde" w:hAnsi="ITC Avant Garde"/>
          <w:i/>
          <w:sz w:val="16"/>
          <w:szCs w:val="16"/>
        </w:rPr>
        <w:t>]</w:t>
      </w:r>
      <w:r w:rsidR="004A4B59">
        <w:rPr>
          <w:rFonts w:ascii="ITC Avant Garde" w:hAnsi="ITC Avant Garde"/>
          <w:i/>
          <w:sz w:val="16"/>
          <w:szCs w:val="16"/>
        </w:rPr>
        <w:t>´</w:t>
      </w:r>
      <w:proofErr w:type="gramEnd"/>
    </w:p>
    <w:p w14:paraId="113BD22A" w14:textId="77777777" w:rsidR="004A4B59" w:rsidRPr="004A4B59" w:rsidRDefault="004A4B59" w:rsidP="003F1943">
      <w:pPr>
        <w:spacing w:before="120" w:after="120" w:line="240" w:lineRule="auto"/>
        <w:ind w:left="709" w:right="615" w:hanging="1"/>
        <w:jc w:val="both"/>
        <w:rPr>
          <w:rFonts w:ascii="ITC Avant Garde" w:hAnsi="ITC Avant Garde"/>
          <w:i/>
          <w:sz w:val="18"/>
          <w:szCs w:val="18"/>
        </w:rPr>
      </w:pPr>
      <w:r w:rsidRPr="004A4B59">
        <w:rPr>
          <w:rFonts w:ascii="ITC Avant Garde" w:hAnsi="ITC Avant Garde"/>
          <w:i/>
          <w:sz w:val="18"/>
          <w:szCs w:val="18"/>
        </w:rPr>
        <w:t>La valoración de la introducción de una nueva tecnología se hace tomando en consideración lo establecido en la Ley Federal de Telecomunicaciones y Radiodifusión (LFTyR), particularmente en lo que respecta a la administración del espectro radioeléctrico:</w:t>
      </w:r>
    </w:p>
    <w:p w14:paraId="3EFA4E0E" w14:textId="77777777" w:rsidR="00671001" w:rsidRPr="00687149" w:rsidRDefault="004A4B59" w:rsidP="00941869">
      <w:pPr>
        <w:spacing w:line="240" w:lineRule="auto"/>
        <w:ind w:left="1134" w:right="1182"/>
        <w:jc w:val="both"/>
        <w:rPr>
          <w:rFonts w:ascii="ITC Avant Garde" w:hAnsi="ITC Avant Garde"/>
          <w:i/>
          <w:sz w:val="16"/>
          <w:szCs w:val="16"/>
        </w:rPr>
      </w:pPr>
      <w:r w:rsidRPr="00687149">
        <w:rPr>
          <w:rFonts w:ascii="ITC Avant Garde" w:hAnsi="ITC Avant Garde"/>
          <w:b/>
          <w:i/>
          <w:sz w:val="16"/>
          <w:szCs w:val="16"/>
        </w:rPr>
        <w:t>Artículo 56.</w:t>
      </w:r>
      <w:r w:rsidRPr="00687149">
        <w:rPr>
          <w:rFonts w:ascii="ITC Avant Garde" w:hAnsi="ITC Avant Garde"/>
          <w:i/>
          <w:sz w:val="16"/>
          <w:szCs w:val="16"/>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23913CCA" w14:textId="77777777" w:rsidR="007E0E3A" w:rsidRDefault="00687149" w:rsidP="006C3838">
      <w:pPr>
        <w:autoSpaceDE w:val="0"/>
        <w:autoSpaceDN w:val="0"/>
        <w:adjustRightInd w:val="0"/>
        <w:spacing w:line="240" w:lineRule="auto"/>
        <w:ind w:firstLine="708"/>
        <w:jc w:val="both"/>
        <w:rPr>
          <w:rFonts w:ascii="ITC Avant Garde" w:hAnsi="ITC Avant Garde" w:cs="Tahoma"/>
          <w:bCs/>
          <w:i/>
          <w:sz w:val="18"/>
          <w:szCs w:val="18"/>
          <w:lang w:eastAsia="es-MX"/>
        </w:rPr>
      </w:pPr>
      <w:r w:rsidRPr="00941869">
        <w:rPr>
          <w:rFonts w:ascii="ITC Avant Garde" w:hAnsi="ITC Avant Garde" w:cs="Tahoma"/>
          <w:bCs/>
          <w:i/>
          <w:sz w:val="18"/>
          <w:szCs w:val="18"/>
          <w:lang w:eastAsia="es-MX"/>
        </w:rPr>
        <w:t>[…]</w:t>
      </w:r>
    </w:p>
    <w:p w14:paraId="15D5D2B9" w14:textId="77777777" w:rsidR="00E83F1A" w:rsidRPr="00E83F1A" w:rsidRDefault="00E83F1A" w:rsidP="003F1943">
      <w:pPr>
        <w:pStyle w:val="Prrafodelista"/>
        <w:spacing w:before="120" w:after="120"/>
        <w:ind w:left="709" w:right="615"/>
        <w:contextualSpacing/>
        <w:jc w:val="both"/>
        <w:rPr>
          <w:rFonts w:ascii="ITC Avant Garde" w:hAnsi="ITC Avant Garde" w:cs="Tahoma"/>
          <w:b/>
          <w:bCs/>
          <w:i/>
          <w:sz w:val="18"/>
          <w:szCs w:val="18"/>
          <w:lang w:eastAsia="es-MX"/>
        </w:rPr>
      </w:pPr>
      <w:r w:rsidRPr="00E83F1A">
        <w:rPr>
          <w:rFonts w:ascii="ITC Avant Garde" w:hAnsi="ITC Avant Garde" w:cs="Tahoma"/>
          <w:b/>
          <w:bCs/>
          <w:i/>
          <w:sz w:val="18"/>
          <w:szCs w:val="18"/>
          <w:lang w:eastAsia="es-MX"/>
        </w:rPr>
        <w:t>2. Consideraciones de la Dirección General de Ingeniería del Espectro y Estudios Técnicos (DGIEET).</w:t>
      </w:r>
    </w:p>
    <w:p w14:paraId="4701C5AB" w14:textId="77777777" w:rsidR="00E83F1A" w:rsidRPr="003F1943" w:rsidRDefault="00E83F1A" w:rsidP="003F1943">
      <w:pPr>
        <w:spacing w:before="120" w:after="120" w:line="240" w:lineRule="auto"/>
        <w:ind w:left="709" w:right="615" w:hanging="1"/>
        <w:jc w:val="both"/>
        <w:rPr>
          <w:rFonts w:ascii="ITC Avant Garde" w:hAnsi="ITC Avant Garde"/>
          <w:i/>
          <w:sz w:val="18"/>
          <w:szCs w:val="18"/>
        </w:rPr>
      </w:pPr>
      <w:r w:rsidRPr="00987467">
        <w:rPr>
          <w:rFonts w:ascii="ITC Avant Garde" w:hAnsi="ITC Avant Garde"/>
          <w:i/>
          <w:sz w:val="18"/>
          <w:szCs w:val="18"/>
        </w:rPr>
        <w:t xml:space="preserve">Realizando un análisis detallado sobre la introducción de una nueva tecnología dentro de la </w:t>
      </w:r>
      <w:r w:rsidRPr="003F1943">
        <w:rPr>
          <w:rFonts w:ascii="ITC Avant Garde" w:hAnsi="ITC Avant Garde"/>
          <w:i/>
          <w:sz w:val="18"/>
          <w:szCs w:val="18"/>
        </w:rPr>
        <w:t>banda 410-430 MHz, se valoró lo siguiente:</w:t>
      </w:r>
    </w:p>
    <w:p w14:paraId="389FE969" w14:textId="77777777" w:rsidR="00E83F1A" w:rsidRPr="00941869" w:rsidRDefault="00E83F1A" w:rsidP="00941869">
      <w:pPr>
        <w:pStyle w:val="Prrafodelista"/>
        <w:numPr>
          <w:ilvl w:val="0"/>
          <w:numId w:val="6"/>
        </w:numPr>
        <w:spacing w:after="160"/>
        <w:ind w:firstLine="131"/>
        <w:contextualSpacing/>
        <w:jc w:val="both"/>
        <w:rPr>
          <w:rFonts w:ascii="ITC Avant Garde" w:hAnsi="ITC Avant Garde"/>
          <w:b/>
          <w:i/>
          <w:sz w:val="18"/>
          <w:szCs w:val="18"/>
        </w:rPr>
      </w:pPr>
      <w:r w:rsidRPr="00941869">
        <w:rPr>
          <w:rFonts w:ascii="ITC Avant Garde" w:hAnsi="ITC Avant Garde"/>
          <w:b/>
          <w:i/>
          <w:sz w:val="18"/>
          <w:szCs w:val="18"/>
        </w:rPr>
        <w:t>Sobre la eficiencia espectral.</w:t>
      </w:r>
    </w:p>
    <w:p w14:paraId="3B86E13D" w14:textId="77777777" w:rsidR="00AA14B3" w:rsidRDefault="00AA14B3" w:rsidP="00941869">
      <w:pPr>
        <w:spacing w:before="120" w:after="120" w:line="240" w:lineRule="auto"/>
        <w:ind w:left="709" w:right="615" w:hanging="1"/>
        <w:jc w:val="both"/>
        <w:rPr>
          <w:rFonts w:ascii="ITC Avant Garde" w:hAnsi="ITC Avant Garde"/>
          <w:i/>
          <w:sz w:val="18"/>
          <w:szCs w:val="18"/>
        </w:rPr>
      </w:pPr>
      <w:r w:rsidRPr="003F1943">
        <w:rPr>
          <w:rFonts w:ascii="ITC Avant Garde" w:hAnsi="ITC Avant Garde"/>
          <w:i/>
          <w:sz w:val="18"/>
          <w:szCs w:val="18"/>
        </w:rPr>
        <w:t>[…]</w:t>
      </w:r>
    </w:p>
    <w:p w14:paraId="77DAE7A5" w14:textId="407BC424" w:rsidR="00130106" w:rsidRPr="00941869" w:rsidRDefault="00130106" w:rsidP="00803B22">
      <w:pPr>
        <w:spacing w:before="120" w:after="120" w:line="240" w:lineRule="auto"/>
        <w:ind w:left="709" w:right="615" w:hanging="1"/>
        <w:jc w:val="both"/>
        <w:rPr>
          <w:rFonts w:ascii="ITC Avant Garde" w:hAnsi="ITC Avant Garde"/>
          <w:i/>
          <w:sz w:val="18"/>
          <w:szCs w:val="18"/>
        </w:rPr>
      </w:pPr>
      <w:r w:rsidRPr="00941869">
        <w:rPr>
          <w:rFonts w:ascii="ITC Avant Garde" w:hAnsi="ITC Avant Garde"/>
          <w:i/>
          <w:sz w:val="18"/>
          <w:szCs w:val="18"/>
        </w:rPr>
        <w:t>Atendiendo lo estipulado en la LFTyR, la DGIEET diseñó un Plan de Canalización donde la asignación de grupos de frecuencia (o pares de frecuencias) a los concesionarios esté protegida contra interferencias perjudiciales, tales como la interferencia co-canal y la interferencia de canal adyacente.</w:t>
      </w:r>
    </w:p>
    <w:p w14:paraId="23F5A226" w14:textId="77777777" w:rsidR="00130106" w:rsidRDefault="00130106" w:rsidP="003F1943">
      <w:pPr>
        <w:spacing w:before="120" w:after="120" w:line="240" w:lineRule="auto"/>
        <w:ind w:left="709" w:right="615" w:hanging="1"/>
        <w:jc w:val="both"/>
        <w:rPr>
          <w:rFonts w:ascii="ITC Avant Garde" w:hAnsi="ITC Avant Garde"/>
          <w:i/>
          <w:sz w:val="18"/>
          <w:szCs w:val="18"/>
        </w:rPr>
      </w:pPr>
      <w:r w:rsidRPr="00941869">
        <w:rPr>
          <w:rFonts w:ascii="ITC Avant Garde" w:hAnsi="ITC Avant Garde"/>
          <w:i/>
          <w:sz w:val="18"/>
          <w:szCs w:val="18"/>
        </w:rPr>
        <w:t>Además, el Plan de Canalización permite una asignación ordenada del espectro para cualquier concesionario dentro del segmento 410-430 MHz (véase el ejemplo de la Tabla 2 del Anexo I), ya que los análisis que lleva a cabo la DGIEET para asignar grupos de frecuencias involucran la combinación de la cobertura geográfica (por municipio, como unidad mínima de cobertura) así como la disponibilidad espectral para cada concesionario. Aunado a lo anterior, se toman en consideración las restricciones en la asignación de espectro derivadas de la existencia de concesionarios y/o permisionarios que pudieran causar interferencias perjudiciales. Todo lo anterior con base en los registros de las bases de datos del Instituto conocidas como el Sistema de Administración del Espectro Radioeléctrico y el Registro Público de Concesiones.</w:t>
      </w:r>
    </w:p>
    <w:p w14:paraId="213CDC2C" w14:textId="77777777" w:rsidR="00426F0F" w:rsidRPr="00941869" w:rsidRDefault="00426F0F" w:rsidP="00941869">
      <w:pPr>
        <w:pStyle w:val="Prrafodelista"/>
        <w:numPr>
          <w:ilvl w:val="0"/>
          <w:numId w:val="6"/>
        </w:numPr>
        <w:spacing w:after="160"/>
        <w:ind w:firstLine="131"/>
        <w:contextualSpacing/>
        <w:jc w:val="both"/>
        <w:rPr>
          <w:rFonts w:ascii="ITC Avant Garde" w:hAnsi="ITC Avant Garde"/>
          <w:b/>
          <w:i/>
          <w:sz w:val="18"/>
          <w:szCs w:val="18"/>
        </w:rPr>
      </w:pPr>
      <w:r w:rsidRPr="00941869">
        <w:rPr>
          <w:rFonts w:ascii="ITC Avant Garde" w:hAnsi="ITC Avant Garde"/>
          <w:b/>
          <w:i/>
          <w:sz w:val="18"/>
          <w:szCs w:val="18"/>
        </w:rPr>
        <w:t>Neutralidad Tecnológica.</w:t>
      </w:r>
    </w:p>
    <w:p w14:paraId="36D73F1B" w14:textId="77777777" w:rsidR="00426F0F" w:rsidRPr="00941869" w:rsidRDefault="00426F0F" w:rsidP="003F1943">
      <w:pPr>
        <w:spacing w:before="120" w:after="120" w:line="240" w:lineRule="auto"/>
        <w:ind w:left="709" w:right="615" w:hanging="1"/>
        <w:jc w:val="both"/>
        <w:rPr>
          <w:rFonts w:ascii="ITC Avant Garde" w:hAnsi="ITC Avant Garde"/>
          <w:i/>
          <w:sz w:val="18"/>
          <w:szCs w:val="18"/>
        </w:rPr>
      </w:pPr>
      <w:r w:rsidRPr="003F1943">
        <w:rPr>
          <w:rFonts w:ascii="ITC Avant Garde" w:hAnsi="ITC Avant Garde"/>
          <w:i/>
          <w:sz w:val="18"/>
          <w:szCs w:val="18"/>
        </w:rPr>
        <w:t>Una de las directrices que la DGIEET consideró en la investigación y diseño del Plan de Canalización, fue el conservar el principio de Neutralidad Tecnológica y permitir al mismo tiempo el eficiente desarrollo tecnológico y la innovación en los servicios. Sobre es</w:t>
      </w:r>
      <w:r w:rsidRPr="00941869">
        <w:rPr>
          <w:rFonts w:ascii="ITC Avant Garde" w:hAnsi="ITC Avant Garde"/>
          <w:i/>
          <w:sz w:val="18"/>
          <w:szCs w:val="18"/>
        </w:rPr>
        <w:t>to, la LFTyR</w:t>
      </w:r>
      <w:r w:rsidRPr="00941869" w:rsidDel="00F74C7F">
        <w:rPr>
          <w:rFonts w:ascii="ITC Avant Garde" w:hAnsi="ITC Avant Garde"/>
          <w:i/>
          <w:sz w:val="18"/>
          <w:szCs w:val="18"/>
        </w:rPr>
        <w:t xml:space="preserve"> </w:t>
      </w:r>
      <w:r w:rsidRPr="00941869">
        <w:rPr>
          <w:rFonts w:ascii="ITC Avant Garde" w:hAnsi="ITC Avant Garde"/>
          <w:i/>
          <w:sz w:val="18"/>
          <w:szCs w:val="18"/>
        </w:rPr>
        <w:t xml:space="preserve">establece lo siguiente: </w:t>
      </w:r>
    </w:p>
    <w:p w14:paraId="5394E19C" w14:textId="77777777" w:rsidR="0068467B" w:rsidRPr="00941869" w:rsidRDefault="0068467B" w:rsidP="00941869">
      <w:pPr>
        <w:spacing w:line="240" w:lineRule="auto"/>
        <w:ind w:left="1134" w:right="1182"/>
        <w:jc w:val="both"/>
        <w:rPr>
          <w:rFonts w:ascii="ITC Avant Garde" w:hAnsi="ITC Avant Garde"/>
          <w:i/>
          <w:sz w:val="18"/>
          <w:szCs w:val="18"/>
        </w:rPr>
      </w:pPr>
      <w:r w:rsidRPr="00941869">
        <w:rPr>
          <w:rFonts w:ascii="ITC Avant Garde" w:hAnsi="ITC Avant Garde"/>
          <w:i/>
          <w:sz w:val="18"/>
          <w:szCs w:val="18"/>
        </w:rPr>
        <w:t>(…)</w:t>
      </w:r>
    </w:p>
    <w:p w14:paraId="11A007EC" w14:textId="77777777" w:rsidR="008557FF" w:rsidRPr="00941869" w:rsidRDefault="008557FF" w:rsidP="00941869">
      <w:pPr>
        <w:spacing w:before="120" w:after="120" w:line="240" w:lineRule="auto"/>
        <w:ind w:left="709" w:right="615" w:hanging="1"/>
        <w:jc w:val="both"/>
        <w:rPr>
          <w:rFonts w:ascii="ITC Avant Garde" w:hAnsi="ITC Avant Garde"/>
          <w:i/>
          <w:sz w:val="18"/>
          <w:szCs w:val="18"/>
        </w:rPr>
      </w:pPr>
      <w:r w:rsidRPr="003F1943">
        <w:rPr>
          <w:rFonts w:ascii="ITC Avant Garde" w:hAnsi="ITC Avant Garde"/>
          <w:i/>
          <w:sz w:val="18"/>
          <w:szCs w:val="18"/>
        </w:rPr>
        <w:lastRenderedPageBreak/>
        <w:t xml:space="preserve">Por lo tanto, previo a que la DGIEET diseñara el Plan de Canalización, se realizaron reuniones con la industria, así como investigaciones sobre las tecnologías más utilizadas en el servicio trunking comercial, sobresaliendo las tecnologías APCO </w:t>
      </w:r>
      <w:r w:rsidRPr="00941869">
        <w:rPr>
          <w:rFonts w:ascii="ITC Avant Garde" w:hAnsi="ITC Avant Garde"/>
          <w:i/>
          <w:sz w:val="18"/>
          <w:szCs w:val="18"/>
        </w:rPr>
        <w:t>y TETRA. Es entonces que se diseñó un Plan de Canalización en donde pudiera existir convivencia de dichas tecnologías, utilizando canalizaciones de 12.5 kHz y 25 kHz con la finalidad de que los concesionarios no tuvieran que ser orillados a escoger un tipo de tecnología en particular para el despliegue futuro de sus redes.</w:t>
      </w:r>
    </w:p>
    <w:p w14:paraId="435CB1F0" w14:textId="77777777" w:rsidR="008557FF" w:rsidRPr="00941869" w:rsidRDefault="008557FF" w:rsidP="00941869">
      <w:pPr>
        <w:spacing w:before="120" w:after="120" w:line="240" w:lineRule="auto"/>
        <w:ind w:left="709" w:right="615" w:hanging="1"/>
        <w:jc w:val="both"/>
        <w:rPr>
          <w:rFonts w:ascii="ITC Avant Garde" w:hAnsi="ITC Avant Garde"/>
          <w:i/>
          <w:sz w:val="18"/>
          <w:szCs w:val="18"/>
        </w:rPr>
      </w:pPr>
      <w:r w:rsidRPr="00941869">
        <w:rPr>
          <w:rFonts w:ascii="ITC Avant Garde" w:hAnsi="ITC Avant Garde"/>
          <w:i/>
          <w:sz w:val="18"/>
          <w:szCs w:val="18"/>
        </w:rPr>
        <w:t>Las conclusiones de las investigaciones realizadas para la convivencia de ambas tecnologías en una misma área geográfica, implican una canalización especifica con cierta separación (200 kHz) para poder asignar canales en un mismo bastidor (mismo repetidor o radio base), disminuyendo así los riesgos de casos de interferencia perjudicial debido a efectos de intermodulación.</w:t>
      </w:r>
    </w:p>
    <w:p w14:paraId="56232FC9" w14:textId="77777777" w:rsidR="008557FF" w:rsidRPr="00941869" w:rsidRDefault="008557FF" w:rsidP="00941869">
      <w:pPr>
        <w:spacing w:before="120" w:after="120" w:line="240" w:lineRule="auto"/>
        <w:ind w:left="709" w:right="615" w:hanging="1"/>
        <w:jc w:val="both"/>
        <w:rPr>
          <w:rFonts w:ascii="ITC Avant Garde" w:hAnsi="ITC Avant Garde"/>
          <w:i/>
          <w:sz w:val="18"/>
          <w:szCs w:val="18"/>
        </w:rPr>
      </w:pPr>
      <w:r w:rsidRPr="00941869">
        <w:rPr>
          <w:rFonts w:ascii="ITC Avant Garde" w:hAnsi="ITC Avant Garde"/>
          <w:i/>
          <w:sz w:val="18"/>
          <w:szCs w:val="18"/>
        </w:rPr>
        <w:t>Los planes de canalización y la metodología de asignación de canales en países como Brasil, Malasia y Nueva Zelanda (los cuales son referentes a la convivencia de ambas tecnologías), fueron retomados por la DGIEET para canalizar la banda. Cabe resaltar que de los estudios e investigaciones realizadas, la DGIEET no encontró evidencia o antecedente respecto a experiencias comparadas de planes de asignación continua de canales para servicios de banda angosta en las bandas de 400 y 800 MHz.</w:t>
      </w:r>
    </w:p>
    <w:p w14:paraId="1EED0591" w14:textId="77777777" w:rsidR="00E83F1A" w:rsidRDefault="00901197" w:rsidP="00941869">
      <w:pPr>
        <w:spacing w:before="120" w:after="120" w:line="240" w:lineRule="auto"/>
        <w:ind w:left="709" w:right="615" w:hanging="1"/>
        <w:jc w:val="both"/>
        <w:rPr>
          <w:rFonts w:ascii="ITC Avant Garde" w:hAnsi="ITC Avant Garde"/>
          <w:i/>
          <w:sz w:val="18"/>
          <w:szCs w:val="18"/>
        </w:rPr>
      </w:pPr>
      <w:r w:rsidRPr="00941869">
        <w:rPr>
          <w:rFonts w:ascii="ITC Avant Garde" w:hAnsi="ITC Avant Garde"/>
          <w:i/>
          <w:sz w:val="18"/>
          <w:szCs w:val="18"/>
        </w:rPr>
        <w:t>[…]</w:t>
      </w:r>
    </w:p>
    <w:p w14:paraId="05FB5376" w14:textId="77777777" w:rsidR="00901197" w:rsidRPr="00941869" w:rsidRDefault="00901197" w:rsidP="00941869">
      <w:pPr>
        <w:pStyle w:val="Prrafodelista"/>
        <w:numPr>
          <w:ilvl w:val="0"/>
          <w:numId w:val="7"/>
        </w:numPr>
        <w:spacing w:after="160"/>
        <w:ind w:hanging="371"/>
        <w:contextualSpacing/>
        <w:jc w:val="both"/>
        <w:rPr>
          <w:rFonts w:ascii="ITC Avant Garde" w:hAnsi="ITC Avant Garde"/>
          <w:b/>
          <w:i/>
          <w:sz w:val="18"/>
          <w:szCs w:val="18"/>
        </w:rPr>
      </w:pPr>
      <w:r w:rsidRPr="00941869">
        <w:rPr>
          <w:rFonts w:ascii="ITC Avant Garde" w:hAnsi="ITC Avant Garde"/>
          <w:b/>
          <w:i/>
          <w:sz w:val="18"/>
          <w:szCs w:val="18"/>
        </w:rPr>
        <w:t>Saturación de la banda 410-430 MHz.</w:t>
      </w:r>
    </w:p>
    <w:p w14:paraId="15BD89CC" w14:textId="77777777" w:rsidR="00901197" w:rsidRPr="00941869" w:rsidRDefault="00901197" w:rsidP="003F1943">
      <w:pPr>
        <w:spacing w:before="120" w:after="120" w:line="240" w:lineRule="auto"/>
        <w:ind w:left="709" w:right="615" w:hanging="1"/>
        <w:jc w:val="both"/>
        <w:rPr>
          <w:rFonts w:ascii="ITC Avant Garde" w:hAnsi="ITC Avant Garde"/>
          <w:i/>
          <w:sz w:val="18"/>
          <w:szCs w:val="18"/>
        </w:rPr>
      </w:pPr>
      <w:r w:rsidRPr="003F1943">
        <w:rPr>
          <w:rFonts w:ascii="ITC Avant Garde" w:hAnsi="ITC Avant Garde"/>
          <w:i/>
          <w:sz w:val="18"/>
          <w:szCs w:val="18"/>
        </w:rPr>
        <w:t xml:space="preserve">La banda de 410-430 MHz no es una banda que al día de hoy esté despejada de concesionarios/permisionarios para todas las zonas en las que SECSA requiere el cambio de frecuencias, por lo que </w:t>
      </w:r>
      <w:r w:rsidRPr="00941869">
        <w:rPr>
          <w:rFonts w:ascii="ITC Avant Garde" w:hAnsi="ITC Avant Garde"/>
          <w:b/>
          <w:i/>
          <w:sz w:val="18"/>
          <w:szCs w:val="18"/>
          <w:u w:val="single"/>
        </w:rPr>
        <w:t>pensar en un espectro contiguo implicaría tener que trasladar a otra parte del segmento 410-430 MHz a todos los concesionarios/permisionarios que sean incumbentes dentro del espectro contiguo que requiere SECSA</w:t>
      </w:r>
      <w:r w:rsidRPr="003F1943">
        <w:rPr>
          <w:rFonts w:ascii="ITC Avant Garde" w:hAnsi="ITC Avant Garde"/>
          <w:i/>
          <w:sz w:val="18"/>
          <w:szCs w:val="18"/>
        </w:rPr>
        <w:t>, ello con los consecuentes costos, tareas y tiempo que implica.</w:t>
      </w:r>
    </w:p>
    <w:p w14:paraId="235C05DE" w14:textId="77777777" w:rsidR="00C6587A" w:rsidRPr="00941869" w:rsidRDefault="00C6587A" w:rsidP="00941869">
      <w:pPr>
        <w:pStyle w:val="Prrafodelista"/>
        <w:numPr>
          <w:ilvl w:val="0"/>
          <w:numId w:val="7"/>
        </w:numPr>
        <w:spacing w:after="160"/>
        <w:ind w:hanging="371"/>
        <w:contextualSpacing/>
        <w:jc w:val="both"/>
        <w:rPr>
          <w:rFonts w:ascii="ITC Avant Garde" w:hAnsi="ITC Avant Garde"/>
          <w:b/>
          <w:i/>
          <w:sz w:val="18"/>
          <w:szCs w:val="18"/>
        </w:rPr>
      </w:pPr>
      <w:r w:rsidRPr="00941869">
        <w:rPr>
          <w:rFonts w:ascii="ITC Avant Garde" w:hAnsi="ITC Avant Garde"/>
          <w:b/>
          <w:i/>
          <w:sz w:val="18"/>
          <w:szCs w:val="18"/>
        </w:rPr>
        <w:t>Espectro radioeléctrico en la zona de frontera con los Estados Unidos.</w:t>
      </w:r>
    </w:p>
    <w:p w14:paraId="1C59D650" w14:textId="77777777" w:rsidR="00C6587A" w:rsidRPr="00941869" w:rsidRDefault="00C6587A" w:rsidP="003F1943">
      <w:pPr>
        <w:spacing w:before="120" w:after="120" w:line="240" w:lineRule="auto"/>
        <w:ind w:left="709" w:right="615" w:hanging="1"/>
        <w:jc w:val="both"/>
        <w:rPr>
          <w:rFonts w:ascii="ITC Avant Garde" w:hAnsi="ITC Avant Garde"/>
          <w:i/>
          <w:sz w:val="18"/>
          <w:szCs w:val="18"/>
        </w:rPr>
      </w:pPr>
      <w:r w:rsidRPr="003F1943">
        <w:rPr>
          <w:rFonts w:ascii="ITC Avant Garde" w:hAnsi="ITC Avant Garde"/>
          <w:i/>
          <w:sz w:val="18"/>
          <w:szCs w:val="18"/>
        </w:rPr>
        <w:t>Aunado con el punto anterior, en la zona compartida de frontera con los Estados Unidos, únicamente se tienen disponibles 2 MHz adjudicados a título primario para México según el Protocolo Bilateral vigente para el segmento 406.1-420</w:t>
      </w:r>
      <w:r w:rsidRPr="00941869">
        <w:rPr>
          <w:rFonts w:ascii="ITC Avant Garde" w:hAnsi="ITC Avant Garde"/>
          <w:i/>
          <w:sz w:val="18"/>
          <w:szCs w:val="18"/>
        </w:rPr>
        <w:t xml:space="preserve"> MHz. Cabe destacar que en dicha zona existe una gran congestión de concesionarios y Servitron es uno de los que ocupa la mayor cantidad de espectro.</w:t>
      </w:r>
    </w:p>
    <w:p w14:paraId="3D7F8B89" w14:textId="77777777" w:rsidR="00C6587A" w:rsidRDefault="00C6587A" w:rsidP="00941869">
      <w:pPr>
        <w:spacing w:before="120" w:after="120" w:line="240" w:lineRule="auto"/>
        <w:ind w:left="709" w:right="615" w:hanging="1"/>
        <w:jc w:val="both"/>
        <w:rPr>
          <w:rFonts w:ascii="ITC Avant Garde" w:hAnsi="ITC Avant Garde"/>
          <w:i/>
          <w:sz w:val="18"/>
          <w:szCs w:val="18"/>
        </w:rPr>
      </w:pPr>
      <w:r w:rsidRPr="00C6587A">
        <w:rPr>
          <w:rFonts w:ascii="ITC Avant Garde" w:hAnsi="ITC Avant Garde"/>
          <w:i/>
          <w:sz w:val="18"/>
          <w:szCs w:val="18"/>
        </w:rPr>
        <w:t>Además, las frecuencias de todos los concesionarios incumbentes en esa zona fueron planificadas de manera organizada conforme al Plan de Canalización y la implicación de tener un espectro contiguo fragmentaría la gestión del espectro en tal zona.</w:t>
      </w:r>
    </w:p>
    <w:p w14:paraId="6118E3C1" w14:textId="77777777" w:rsidR="005773A8" w:rsidRPr="005773A8" w:rsidRDefault="005773A8" w:rsidP="00941869">
      <w:pPr>
        <w:pStyle w:val="Prrafodelista"/>
        <w:numPr>
          <w:ilvl w:val="0"/>
          <w:numId w:val="5"/>
        </w:numPr>
        <w:spacing w:before="120" w:after="120"/>
        <w:ind w:left="709" w:right="615" w:firstLine="142"/>
        <w:contextualSpacing/>
        <w:jc w:val="both"/>
        <w:rPr>
          <w:rFonts w:ascii="ITC Avant Garde" w:hAnsi="ITC Avant Garde" w:cs="Tahoma"/>
          <w:b/>
          <w:bCs/>
          <w:i/>
          <w:sz w:val="18"/>
          <w:szCs w:val="18"/>
          <w:lang w:eastAsia="es-MX"/>
        </w:rPr>
      </w:pPr>
      <w:r w:rsidRPr="005773A8">
        <w:rPr>
          <w:rFonts w:ascii="ITC Avant Garde" w:hAnsi="ITC Avant Garde" w:cs="Tahoma"/>
          <w:b/>
          <w:bCs/>
          <w:i/>
          <w:sz w:val="18"/>
          <w:szCs w:val="18"/>
          <w:lang w:eastAsia="es-MX"/>
        </w:rPr>
        <w:t>Propuesta de espectro radioeléctrico contiguo de SECSA.</w:t>
      </w:r>
    </w:p>
    <w:p w14:paraId="12E64CEA" w14:textId="77777777" w:rsidR="005773A8" w:rsidRPr="005773A8" w:rsidRDefault="005773A8" w:rsidP="003F1943">
      <w:pPr>
        <w:spacing w:before="120" w:after="120" w:line="240" w:lineRule="auto"/>
        <w:ind w:left="709" w:right="615" w:hanging="1"/>
        <w:jc w:val="both"/>
        <w:rPr>
          <w:rFonts w:ascii="ITC Avant Garde" w:hAnsi="ITC Avant Garde"/>
          <w:i/>
          <w:sz w:val="18"/>
          <w:szCs w:val="18"/>
        </w:rPr>
      </w:pPr>
      <w:r w:rsidRPr="005773A8">
        <w:rPr>
          <w:rFonts w:ascii="ITC Avant Garde" w:hAnsi="ITC Avant Garde"/>
          <w:i/>
          <w:sz w:val="18"/>
          <w:szCs w:val="18"/>
        </w:rPr>
        <w:t>Dentro del oficio presentado por SECSA ante el Instituto, el concesionario propuso un esquema de reubicación de su espectro, en donde los 10 pares de frecuencia que posee están asignados de manera consecutiva del canal 28 al canal 38</w:t>
      </w:r>
      <w:r w:rsidRPr="005773A8">
        <w:rPr>
          <w:i/>
          <w:sz w:val="18"/>
          <w:szCs w:val="18"/>
        </w:rPr>
        <w:footnoteReference w:id="1"/>
      </w:r>
      <w:r w:rsidRPr="005773A8">
        <w:rPr>
          <w:rFonts w:ascii="ITC Avant Garde" w:hAnsi="ITC Avant Garde"/>
          <w:i/>
          <w:sz w:val="18"/>
          <w:szCs w:val="18"/>
        </w:rPr>
        <w:t xml:space="preserve">, tal y como se muestra en la tabla 1 del Anexo 1. Cabe hacer notar que el espectro que posee Servitron en sus diversos títulos de bandas de frecuencias suman un total de 84 pares </w:t>
      </w:r>
      <w:r w:rsidRPr="005773A8">
        <w:rPr>
          <w:rFonts w:ascii="ITC Avant Garde" w:hAnsi="ITC Avant Garde"/>
          <w:i/>
          <w:sz w:val="18"/>
          <w:szCs w:val="18"/>
        </w:rPr>
        <w:lastRenderedPageBreak/>
        <w:t>de frecuencia; en el supuesto de que éstos pares de frecuencia estuvieran asignados de manera contigua, ocuparían los canales 1 al 84.</w:t>
      </w:r>
    </w:p>
    <w:p w14:paraId="282172C5" w14:textId="77777777" w:rsidR="005773A8" w:rsidRDefault="005773A8" w:rsidP="003F1943">
      <w:pPr>
        <w:spacing w:before="120" w:after="120" w:line="240" w:lineRule="auto"/>
        <w:ind w:left="709" w:right="615" w:hanging="1"/>
        <w:jc w:val="both"/>
        <w:rPr>
          <w:rFonts w:ascii="ITC Avant Garde" w:hAnsi="ITC Avant Garde"/>
          <w:b/>
          <w:i/>
          <w:sz w:val="18"/>
          <w:szCs w:val="18"/>
          <w:u w:val="single"/>
        </w:rPr>
      </w:pPr>
      <w:r w:rsidRPr="005773A8">
        <w:rPr>
          <w:rFonts w:ascii="ITC Avant Garde" w:hAnsi="ITC Avant Garde"/>
          <w:i/>
          <w:sz w:val="18"/>
          <w:szCs w:val="18"/>
        </w:rPr>
        <w:t xml:space="preserve">Sin embargo, </w:t>
      </w:r>
      <w:r w:rsidRPr="00941869">
        <w:rPr>
          <w:rFonts w:ascii="ITC Avant Garde" w:hAnsi="ITC Avant Garde"/>
          <w:b/>
          <w:i/>
          <w:sz w:val="18"/>
          <w:szCs w:val="18"/>
          <w:u w:val="single"/>
        </w:rPr>
        <w:t>debido a lo expuesto en el numeral II anterior y a la gestión y asignación de espectro del Instituto para la banda 410-415/420-425 MHz, la propuesta presentada</w:t>
      </w:r>
      <w:r w:rsidRPr="00941869">
        <w:rPr>
          <w:rFonts w:ascii="ITC Avant Garde" w:hAnsi="ITC Avant Garde"/>
          <w:b/>
          <w:u w:val="single"/>
        </w:rPr>
        <w:t xml:space="preserve"> </w:t>
      </w:r>
      <w:r w:rsidRPr="00941869">
        <w:rPr>
          <w:rFonts w:ascii="ITC Avant Garde" w:hAnsi="ITC Avant Garde"/>
          <w:b/>
          <w:i/>
          <w:sz w:val="18"/>
          <w:szCs w:val="18"/>
          <w:u w:val="single"/>
        </w:rPr>
        <w:t>por SECSA se observó como NO PROCEDENTE, en los términos en los cuales está planteada.</w:t>
      </w:r>
    </w:p>
    <w:p w14:paraId="263CA72A" w14:textId="77777777" w:rsidR="005773A8" w:rsidRPr="005773A8" w:rsidRDefault="005773A8" w:rsidP="00941869">
      <w:pPr>
        <w:pStyle w:val="Prrafodelista"/>
        <w:numPr>
          <w:ilvl w:val="0"/>
          <w:numId w:val="5"/>
        </w:numPr>
        <w:spacing w:before="120" w:after="120"/>
        <w:ind w:left="709" w:right="615" w:firstLine="284"/>
        <w:contextualSpacing/>
        <w:jc w:val="both"/>
        <w:rPr>
          <w:rFonts w:ascii="ITC Avant Garde" w:hAnsi="ITC Avant Garde" w:cs="Tahoma"/>
          <w:b/>
          <w:bCs/>
          <w:i/>
          <w:sz w:val="18"/>
          <w:szCs w:val="18"/>
          <w:lang w:eastAsia="es-MX"/>
        </w:rPr>
      </w:pPr>
      <w:r w:rsidRPr="005773A8">
        <w:rPr>
          <w:rFonts w:ascii="ITC Avant Garde" w:hAnsi="ITC Avant Garde" w:cs="Tahoma"/>
          <w:b/>
          <w:bCs/>
          <w:i/>
          <w:sz w:val="18"/>
          <w:szCs w:val="18"/>
          <w:lang w:eastAsia="es-MX"/>
        </w:rPr>
        <w:t>Propuesta de cambio de frecuencias por parte de la DGIEET.</w:t>
      </w:r>
    </w:p>
    <w:p w14:paraId="7FE5C78D" w14:textId="77777777" w:rsidR="005773A8" w:rsidRPr="005773A8" w:rsidRDefault="005773A8" w:rsidP="003F1943">
      <w:pPr>
        <w:spacing w:before="120" w:after="120" w:line="240" w:lineRule="auto"/>
        <w:ind w:left="709" w:right="615" w:hanging="1"/>
        <w:jc w:val="both"/>
        <w:rPr>
          <w:rFonts w:ascii="ITC Avant Garde" w:hAnsi="ITC Avant Garde"/>
          <w:i/>
          <w:sz w:val="18"/>
          <w:szCs w:val="18"/>
        </w:rPr>
      </w:pPr>
      <w:r w:rsidRPr="00941869">
        <w:rPr>
          <w:rFonts w:ascii="ITC Avant Garde" w:hAnsi="ITC Avant Garde"/>
          <w:b/>
          <w:i/>
          <w:sz w:val="18"/>
          <w:szCs w:val="18"/>
          <w:u w:val="single"/>
        </w:rPr>
        <w:t>No obstante a lo expuesto en el numeral anterior, la DGIEET desarrolló una propuesta alternativa para atender, en la medida de lo posible, el requerimiento presentado por SECSA. La propuesta contempla una reubicación del espectro asignado a SECSA en los canales 81, 82, 89, 90, 97, 98, 105, 106, 113 y 114, que representan los grupos 17 y 18 del Plan de Canalización para la banda, conservando la cantidad de espectro que está concesionado a SECSA</w:t>
      </w:r>
      <w:r w:rsidRPr="005773A8">
        <w:rPr>
          <w:rFonts w:ascii="ITC Avant Garde" w:hAnsi="ITC Avant Garde"/>
          <w:i/>
          <w:sz w:val="18"/>
          <w:szCs w:val="18"/>
        </w:rPr>
        <w:t>. Los canales anteriores se muestran en la tabla</w:t>
      </w:r>
      <w:r w:rsidR="00073945">
        <w:rPr>
          <w:rFonts w:ascii="ITC Avant Garde" w:hAnsi="ITC Avant Garde"/>
          <w:i/>
          <w:sz w:val="18"/>
          <w:szCs w:val="18"/>
        </w:rPr>
        <w:t xml:space="preserve"> 3 del Anexo I.</w:t>
      </w:r>
    </w:p>
    <w:p w14:paraId="2D256F80" w14:textId="77777777" w:rsidR="005773A8" w:rsidRDefault="005773A8" w:rsidP="00941869">
      <w:pPr>
        <w:spacing w:before="120" w:after="120" w:line="240" w:lineRule="auto"/>
        <w:ind w:left="709" w:right="615" w:hanging="1"/>
        <w:jc w:val="both"/>
        <w:rPr>
          <w:rFonts w:ascii="ITC Avant Garde" w:hAnsi="ITC Avant Garde"/>
          <w:b/>
          <w:i/>
          <w:sz w:val="18"/>
          <w:szCs w:val="18"/>
          <w:u w:val="single"/>
        </w:rPr>
      </w:pPr>
      <w:r w:rsidRPr="005773A8">
        <w:rPr>
          <w:rFonts w:ascii="ITC Avant Garde" w:hAnsi="ITC Avant Garde"/>
          <w:i/>
          <w:sz w:val="18"/>
          <w:szCs w:val="18"/>
        </w:rPr>
        <w:t xml:space="preserve">La propuesta anterior permitiría a SECSA contar con un espectro coincidente con el que tiene actualmente asignado Servitron al amparo de sus títulos de concesión de bandas de frecuencias. Además, gracias a la manera en la cual se propone la asignación de los grupos dentro </w:t>
      </w:r>
      <w:r w:rsidRPr="00941869">
        <w:rPr>
          <w:rFonts w:ascii="ITC Avant Garde" w:hAnsi="ITC Avant Garde"/>
          <w:b/>
          <w:i/>
          <w:sz w:val="18"/>
          <w:szCs w:val="18"/>
          <w:u w:val="single"/>
        </w:rPr>
        <w:t>del Plan de Canalización, permitiría a SECSA tener un espectro contiguo para formar portadoras de hasta 50 kHz (véase en Tabla 3 del Anexo I); con lo cual estaría en posibilidad de aprovechar los beneficios al implementar nuevas tecnologías que puedan hacer uso de canales de frecuencias de espectro contiguo.</w:t>
      </w:r>
    </w:p>
    <w:p w14:paraId="10333DF8" w14:textId="77777777" w:rsidR="00073945" w:rsidRPr="00073945" w:rsidRDefault="00073945" w:rsidP="00941869">
      <w:pPr>
        <w:pStyle w:val="Prrafodelista"/>
        <w:numPr>
          <w:ilvl w:val="0"/>
          <w:numId w:val="5"/>
        </w:numPr>
        <w:spacing w:before="120" w:after="120"/>
        <w:ind w:left="709" w:right="615" w:firstLine="142"/>
        <w:contextualSpacing/>
        <w:jc w:val="both"/>
        <w:rPr>
          <w:rFonts w:ascii="ITC Avant Garde" w:hAnsi="ITC Avant Garde" w:cs="Tahoma"/>
          <w:b/>
          <w:bCs/>
          <w:i/>
          <w:sz w:val="18"/>
          <w:szCs w:val="18"/>
          <w:lang w:eastAsia="es-MX"/>
        </w:rPr>
      </w:pPr>
      <w:r w:rsidRPr="00073945">
        <w:rPr>
          <w:rFonts w:ascii="ITC Avant Garde" w:hAnsi="ITC Avant Garde" w:cs="Tahoma"/>
          <w:b/>
          <w:bCs/>
          <w:i/>
          <w:sz w:val="18"/>
          <w:szCs w:val="18"/>
          <w:lang w:eastAsia="es-MX"/>
        </w:rPr>
        <w:t>Opinión respecto a la solicitud</w:t>
      </w:r>
    </w:p>
    <w:p w14:paraId="18DD1CFA" w14:textId="77777777" w:rsidR="00073945" w:rsidRPr="00941869" w:rsidRDefault="00073945" w:rsidP="003F1943">
      <w:pPr>
        <w:spacing w:before="120" w:after="120" w:line="240" w:lineRule="auto"/>
        <w:ind w:left="709" w:right="615" w:hanging="1"/>
        <w:jc w:val="both"/>
        <w:rPr>
          <w:rFonts w:ascii="ITC Avant Garde" w:hAnsi="ITC Avant Garde"/>
          <w:b/>
          <w:i/>
          <w:sz w:val="18"/>
          <w:szCs w:val="18"/>
          <w:u w:val="single"/>
        </w:rPr>
      </w:pPr>
      <w:r w:rsidRPr="00941869">
        <w:rPr>
          <w:rFonts w:ascii="ITC Avant Garde" w:hAnsi="ITC Avant Garde"/>
          <w:b/>
          <w:i/>
          <w:sz w:val="18"/>
          <w:szCs w:val="18"/>
          <w:u w:val="single"/>
        </w:rPr>
        <w:t>En opinión de esta Dirección General, el cambio de frecuencias solicitado por SECSA se observa PARCIALMENTE PROCEDENTE, atendiendo a las consider</w:t>
      </w:r>
      <w:r w:rsidR="00774071" w:rsidRPr="00941869">
        <w:rPr>
          <w:rFonts w:ascii="ITC Avant Garde" w:hAnsi="ITC Avant Garde"/>
          <w:b/>
          <w:i/>
          <w:sz w:val="18"/>
          <w:szCs w:val="18"/>
          <w:u w:val="single"/>
        </w:rPr>
        <w:t>aciones anteriormente vertidas.</w:t>
      </w:r>
    </w:p>
    <w:p w14:paraId="75AD5A0A" w14:textId="77777777" w:rsidR="00073945" w:rsidRDefault="00073945" w:rsidP="00941869">
      <w:pPr>
        <w:spacing w:before="120" w:after="120" w:line="240" w:lineRule="auto"/>
        <w:ind w:left="709" w:right="615" w:hanging="1"/>
        <w:jc w:val="both"/>
        <w:rPr>
          <w:rFonts w:ascii="ITC Avant Garde" w:hAnsi="ITC Avant Garde"/>
          <w:i/>
          <w:sz w:val="18"/>
          <w:szCs w:val="18"/>
        </w:rPr>
      </w:pPr>
      <w:r w:rsidRPr="00FD1966">
        <w:rPr>
          <w:rFonts w:ascii="ITC Avant Garde" w:hAnsi="ITC Avant Garde"/>
          <w:i/>
          <w:sz w:val="18"/>
          <w:szCs w:val="18"/>
        </w:rPr>
        <w:t>En tal sentido, en caso de resultar procedente el cambio de frecuencias solicitado, la asignación de los canales para SECSA deberá ser el siguiente: cambio hacia los canales 81, 82, 89, 90, 97, 98, 105, 106, 113 y 114, que representan los grupos 17 y 18 del Plan de Canalización para la banda, sin menoscabo a la cantidad de espectro que está concesionado a SECSA. Los canales se muestran en la siguiente tabla así como en la tabla 3 del Anexo I:</w:t>
      </w:r>
    </w:p>
    <w:tbl>
      <w:tblPr>
        <w:tblStyle w:val="Tablaconcuadrcula"/>
        <w:tblW w:w="0" w:type="auto"/>
        <w:jc w:val="center"/>
        <w:tblLayout w:type="fixed"/>
        <w:tblLook w:val="04A0" w:firstRow="1" w:lastRow="0" w:firstColumn="1" w:lastColumn="0" w:noHBand="0" w:noVBand="1"/>
        <w:tblCaption w:val="Opinión respecto a la solicitud de SECSA."/>
        <w:tblDescription w:val="Se muestra en la tabla el cambio de frecuencia solicitado en la que se desglosa para los Grupos 17 y 18.&#10;Grupo 17:&#10;Rx [MHz] - Tx [MHz]&#10;412.025 - 422.025&#10;412.225 - 422.225&#10;412.425 - 422.425&#10;412.625 - 422.625&#10;412.825 - 422.825&#10;Grupo 18:&#10;Rx [MHz] - Tx [MHz]&#10;412.050 - 422.050&#10;412.250 - 422.250&#10;412.450 - 422.450&#10;412.650 - 422.650&#10;412.850 - 422.850&#10;"/>
      </w:tblPr>
      <w:tblGrid>
        <w:gridCol w:w="1142"/>
        <w:gridCol w:w="1142"/>
        <w:gridCol w:w="1111"/>
      </w:tblGrid>
      <w:tr w:rsidR="00282FEF" w:rsidRPr="00941869" w14:paraId="6A36475F" w14:textId="77777777" w:rsidTr="00145497">
        <w:trPr>
          <w:tblHeader/>
          <w:jc w:val="center"/>
        </w:trPr>
        <w:tc>
          <w:tcPr>
            <w:tcW w:w="1142" w:type="dxa"/>
            <w:shd w:val="clear" w:color="auto" w:fill="BFBFBF" w:themeFill="background1" w:themeFillShade="BF"/>
          </w:tcPr>
          <w:p w14:paraId="6F67BD63" w14:textId="77777777" w:rsidR="00282FEF" w:rsidRPr="00941869" w:rsidRDefault="00282FEF" w:rsidP="00941869">
            <w:pPr>
              <w:spacing w:after="0" w:line="240" w:lineRule="auto"/>
              <w:jc w:val="center"/>
              <w:rPr>
                <w:rFonts w:ascii="ITC Avant Garde" w:hAnsi="ITC Avant Garde"/>
                <w:b/>
                <w:bCs/>
                <w:i/>
                <w:color w:val="000000"/>
                <w:sz w:val="16"/>
                <w:szCs w:val="16"/>
                <w:lang w:eastAsia="es-MX"/>
              </w:rPr>
            </w:pPr>
            <w:r w:rsidRPr="00941869">
              <w:rPr>
                <w:rFonts w:ascii="ITC Avant Garde" w:hAnsi="ITC Avant Garde"/>
                <w:b/>
                <w:bCs/>
                <w:i/>
                <w:color w:val="000000"/>
                <w:sz w:val="16"/>
                <w:szCs w:val="16"/>
                <w:lang w:eastAsia="es-MX"/>
              </w:rPr>
              <w:t>Grupo</w:t>
            </w:r>
          </w:p>
        </w:tc>
        <w:tc>
          <w:tcPr>
            <w:tcW w:w="1142" w:type="dxa"/>
            <w:shd w:val="clear" w:color="auto" w:fill="BFBFBF" w:themeFill="background1" w:themeFillShade="BF"/>
          </w:tcPr>
          <w:p w14:paraId="79D97BCB" w14:textId="77777777" w:rsidR="00282FEF" w:rsidRPr="00941869" w:rsidRDefault="00282FEF" w:rsidP="00941869">
            <w:pPr>
              <w:spacing w:after="0" w:line="240" w:lineRule="auto"/>
              <w:jc w:val="center"/>
              <w:rPr>
                <w:rFonts w:ascii="ITC Avant Garde" w:hAnsi="ITC Avant Garde"/>
                <w:b/>
                <w:bCs/>
                <w:i/>
                <w:color w:val="000000"/>
                <w:sz w:val="16"/>
                <w:szCs w:val="16"/>
                <w:lang w:eastAsia="es-MX"/>
              </w:rPr>
            </w:pPr>
            <w:r w:rsidRPr="00941869">
              <w:rPr>
                <w:rFonts w:ascii="ITC Avant Garde" w:hAnsi="ITC Avant Garde"/>
                <w:b/>
                <w:bCs/>
                <w:i/>
                <w:color w:val="000000"/>
                <w:sz w:val="16"/>
                <w:szCs w:val="16"/>
                <w:lang w:eastAsia="es-MX"/>
              </w:rPr>
              <w:t>Rx [MHz]</w:t>
            </w:r>
          </w:p>
        </w:tc>
        <w:tc>
          <w:tcPr>
            <w:tcW w:w="1111" w:type="dxa"/>
            <w:shd w:val="clear" w:color="auto" w:fill="BFBFBF" w:themeFill="background1" w:themeFillShade="BF"/>
          </w:tcPr>
          <w:p w14:paraId="276F0C44" w14:textId="77777777" w:rsidR="00282FEF" w:rsidRPr="00941869" w:rsidRDefault="00282FEF" w:rsidP="00941869">
            <w:pPr>
              <w:spacing w:after="0" w:line="240" w:lineRule="auto"/>
              <w:jc w:val="center"/>
              <w:rPr>
                <w:rFonts w:ascii="ITC Avant Garde" w:hAnsi="ITC Avant Garde"/>
                <w:b/>
                <w:bCs/>
                <w:i/>
                <w:color w:val="000000"/>
                <w:sz w:val="16"/>
                <w:szCs w:val="16"/>
                <w:lang w:eastAsia="es-MX"/>
              </w:rPr>
            </w:pPr>
            <w:r w:rsidRPr="00941869">
              <w:rPr>
                <w:rFonts w:ascii="ITC Avant Garde" w:hAnsi="ITC Avant Garde"/>
                <w:b/>
                <w:bCs/>
                <w:i/>
                <w:color w:val="000000"/>
                <w:sz w:val="16"/>
                <w:szCs w:val="16"/>
                <w:lang w:eastAsia="es-MX"/>
              </w:rPr>
              <w:t>Tx [MHz]</w:t>
            </w:r>
          </w:p>
        </w:tc>
      </w:tr>
      <w:tr w:rsidR="007275B1" w:rsidRPr="00941869" w14:paraId="1381F9AE" w14:textId="77777777" w:rsidTr="007275B1">
        <w:trPr>
          <w:trHeight w:val="256"/>
          <w:jc w:val="center"/>
        </w:trPr>
        <w:tc>
          <w:tcPr>
            <w:tcW w:w="1142" w:type="dxa"/>
          </w:tcPr>
          <w:p w14:paraId="3F5CE9F8" w14:textId="77777777" w:rsidR="007275B1" w:rsidRPr="00941869" w:rsidRDefault="007275B1" w:rsidP="003F1943">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17</w:t>
            </w:r>
          </w:p>
        </w:tc>
        <w:tc>
          <w:tcPr>
            <w:tcW w:w="1142" w:type="dxa"/>
          </w:tcPr>
          <w:p w14:paraId="6A889C7E" w14:textId="77777777" w:rsidR="007275B1" w:rsidRPr="00941869" w:rsidRDefault="007275B1" w:rsidP="00941869">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412.025</w:t>
            </w:r>
          </w:p>
        </w:tc>
        <w:tc>
          <w:tcPr>
            <w:tcW w:w="1111" w:type="dxa"/>
          </w:tcPr>
          <w:p w14:paraId="15E87FF8" w14:textId="77777777" w:rsidR="007275B1" w:rsidRPr="00941869" w:rsidRDefault="007275B1" w:rsidP="00941869">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422.025</w:t>
            </w:r>
          </w:p>
        </w:tc>
      </w:tr>
      <w:tr w:rsidR="007275B1" w:rsidRPr="00941869" w14:paraId="0526FDD2" w14:textId="77777777" w:rsidTr="007275B1">
        <w:trPr>
          <w:trHeight w:val="248"/>
          <w:jc w:val="center"/>
        </w:trPr>
        <w:tc>
          <w:tcPr>
            <w:tcW w:w="1142" w:type="dxa"/>
          </w:tcPr>
          <w:p w14:paraId="7C543E9B" w14:textId="6AB95AC6"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17</w:t>
            </w:r>
          </w:p>
        </w:tc>
        <w:tc>
          <w:tcPr>
            <w:tcW w:w="1142" w:type="dxa"/>
          </w:tcPr>
          <w:p w14:paraId="46F2BB91" w14:textId="77777777"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412.225</w:t>
            </w:r>
          </w:p>
        </w:tc>
        <w:tc>
          <w:tcPr>
            <w:tcW w:w="1111" w:type="dxa"/>
          </w:tcPr>
          <w:p w14:paraId="69127BDF" w14:textId="77777777"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422.225</w:t>
            </w:r>
          </w:p>
        </w:tc>
      </w:tr>
      <w:tr w:rsidR="007275B1" w:rsidRPr="00941869" w14:paraId="4B0DFDC0" w14:textId="77777777" w:rsidTr="007275B1">
        <w:trPr>
          <w:jc w:val="center"/>
        </w:trPr>
        <w:tc>
          <w:tcPr>
            <w:tcW w:w="1142" w:type="dxa"/>
          </w:tcPr>
          <w:p w14:paraId="43E412AB" w14:textId="63DC488D"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17</w:t>
            </w:r>
          </w:p>
        </w:tc>
        <w:tc>
          <w:tcPr>
            <w:tcW w:w="1142" w:type="dxa"/>
          </w:tcPr>
          <w:p w14:paraId="1FACF880" w14:textId="77777777"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412.425</w:t>
            </w:r>
          </w:p>
        </w:tc>
        <w:tc>
          <w:tcPr>
            <w:tcW w:w="1111" w:type="dxa"/>
          </w:tcPr>
          <w:p w14:paraId="49C5F9D3" w14:textId="77777777"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422.425</w:t>
            </w:r>
          </w:p>
        </w:tc>
      </w:tr>
      <w:tr w:rsidR="007275B1" w:rsidRPr="00941869" w14:paraId="5E5D3360" w14:textId="77777777" w:rsidTr="007275B1">
        <w:trPr>
          <w:jc w:val="center"/>
        </w:trPr>
        <w:tc>
          <w:tcPr>
            <w:tcW w:w="1142" w:type="dxa"/>
          </w:tcPr>
          <w:p w14:paraId="72CC9061" w14:textId="14D83546"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17</w:t>
            </w:r>
          </w:p>
        </w:tc>
        <w:tc>
          <w:tcPr>
            <w:tcW w:w="1142" w:type="dxa"/>
          </w:tcPr>
          <w:p w14:paraId="2CCBCD14" w14:textId="77777777"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412.625</w:t>
            </w:r>
          </w:p>
        </w:tc>
        <w:tc>
          <w:tcPr>
            <w:tcW w:w="1111" w:type="dxa"/>
          </w:tcPr>
          <w:p w14:paraId="21874B37" w14:textId="77777777"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422.625</w:t>
            </w:r>
          </w:p>
        </w:tc>
      </w:tr>
      <w:tr w:rsidR="007275B1" w:rsidRPr="00941869" w14:paraId="6C88C0AE" w14:textId="77777777" w:rsidTr="007275B1">
        <w:trPr>
          <w:trHeight w:val="210"/>
          <w:jc w:val="center"/>
        </w:trPr>
        <w:tc>
          <w:tcPr>
            <w:tcW w:w="1142" w:type="dxa"/>
          </w:tcPr>
          <w:p w14:paraId="3888E522" w14:textId="45806F0F"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17</w:t>
            </w:r>
          </w:p>
        </w:tc>
        <w:tc>
          <w:tcPr>
            <w:tcW w:w="1142" w:type="dxa"/>
          </w:tcPr>
          <w:p w14:paraId="76CB1B78" w14:textId="77777777"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412.825</w:t>
            </w:r>
          </w:p>
        </w:tc>
        <w:tc>
          <w:tcPr>
            <w:tcW w:w="1111" w:type="dxa"/>
          </w:tcPr>
          <w:p w14:paraId="68E9CDCB" w14:textId="77777777"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422.825</w:t>
            </w:r>
          </w:p>
        </w:tc>
      </w:tr>
      <w:tr w:rsidR="007275B1" w:rsidRPr="00941869" w14:paraId="048AA347" w14:textId="77777777" w:rsidTr="007275B1">
        <w:trPr>
          <w:jc w:val="center"/>
        </w:trPr>
        <w:tc>
          <w:tcPr>
            <w:tcW w:w="1142" w:type="dxa"/>
          </w:tcPr>
          <w:p w14:paraId="5554CE8B" w14:textId="77777777" w:rsidR="007275B1" w:rsidRPr="00941869" w:rsidRDefault="007275B1" w:rsidP="003F1943">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18</w:t>
            </w:r>
          </w:p>
        </w:tc>
        <w:tc>
          <w:tcPr>
            <w:tcW w:w="1142" w:type="dxa"/>
          </w:tcPr>
          <w:p w14:paraId="318483BD" w14:textId="77777777" w:rsidR="007275B1" w:rsidRPr="00941869" w:rsidRDefault="007275B1" w:rsidP="00941869">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412.050</w:t>
            </w:r>
          </w:p>
        </w:tc>
        <w:tc>
          <w:tcPr>
            <w:tcW w:w="1111" w:type="dxa"/>
          </w:tcPr>
          <w:p w14:paraId="43BEA9F3" w14:textId="77777777" w:rsidR="007275B1" w:rsidRPr="00941869" w:rsidRDefault="007275B1" w:rsidP="00941869">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422.050</w:t>
            </w:r>
          </w:p>
        </w:tc>
      </w:tr>
      <w:tr w:rsidR="007275B1" w:rsidRPr="00941869" w14:paraId="1D51D390" w14:textId="77777777" w:rsidTr="007275B1">
        <w:trPr>
          <w:jc w:val="center"/>
        </w:trPr>
        <w:tc>
          <w:tcPr>
            <w:tcW w:w="1142" w:type="dxa"/>
          </w:tcPr>
          <w:p w14:paraId="55A67FA8" w14:textId="61EB8A11"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18</w:t>
            </w:r>
          </w:p>
        </w:tc>
        <w:tc>
          <w:tcPr>
            <w:tcW w:w="1142" w:type="dxa"/>
          </w:tcPr>
          <w:p w14:paraId="6F7C37F4" w14:textId="77777777"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412.250</w:t>
            </w:r>
          </w:p>
        </w:tc>
        <w:tc>
          <w:tcPr>
            <w:tcW w:w="1111" w:type="dxa"/>
          </w:tcPr>
          <w:p w14:paraId="0B7B8960" w14:textId="77777777"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422.250</w:t>
            </w:r>
          </w:p>
        </w:tc>
      </w:tr>
      <w:tr w:rsidR="007275B1" w:rsidRPr="00941869" w14:paraId="56521ACC" w14:textId="77777777" w:rsidTr="007275B1">
        <w:trPr>
          <w:jc w:val="center"/>
        </w:trPr>
        <w:tc>
          <w:tcPr>
            <w:tcW w:w="1142" w:type="dxa"/>
          </w:tcPr>
          <w:p w14:paraId="672DEAD1" w14:textId="241C9744"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18</w:t>
            </w:r>
          </w:p>
        </w:tc>
        <w:tc>
          <w:tcPr>
            <w:tcW w:w="1142" w:type="dxa"/>
          </w:tcPr>
          <w:p w14:paraId="679633E8" w14:textId="77777777"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412.450</w:t>
            </w:r>
          </w:p>
        </w:tc>
        <w:tc>
          <w:tcPr>
            <w:tcW w:w="1111" w:type="dxa"/>
          </w:tcPr>
          <w:p w14:paraId="08523F46" w14:textId="77777777"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422.450</w:t>
            </w:r>
          </w:p>
        </w:tc>
      </w:tr>
      <w:tr w:rsidR="007275B1" w:rsidRPr="00941869" w14:paraId="32264D0E" w14:textId="77777777" w:rsidTr="007275B1">
        <w:trPr>
          <w:jc w:val="center"/>
        </w:trPr>
        <w:tc>
          <w:tcPr>
            <w:tcW w:w="1142" w:type="dxa"/>
          </w:tcPr>
          <w:p w14:paraId="26DAF10F" w14:textId="77E3C8D7"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18</w:t>
            </w:r>
          </w:p>
        </w:tc>
        <w:tc>
          <w:tcPr>
            <w:tcW w:w="1142" w:type="dxa"/>
          </w:tcPr>
          <w:p w14:paraId="385E83F9" w14:textId="77777777"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412.650</w:t>
            </w:r>
          </w:p>
        </w:tc>
        <w:tc>
          <w:tcPr>
            <w:tcW w:w="1111" w:type="dxa"/>
          </w:tcPr>
          <w:p w14:paraId="1CF9B1CA" w14:textId="77777777"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422.650</w:t>
            </w:r>
          </w:p>
        </w:tc>
      </w:tr>
      <w:tr w:rsidR="007275B1" w:rsidRPr="00941869" w14:paraId="3D7FB5BC" w14:textId="77777777" w:rsidTr="007275B1">
        <w:trPr>
          <w:jc w:val="center"/>
        </w:trPr>
        <w:tc>
          <w:tcPr>
            <w:tcW w:w="1142" w:type="dxa"/>
          </w:tcPr>
          <w:p w14:paraId="0266CE2F" w14:textId="789CE8B2"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18</w:t>
            </w:r>
          </w:p>
        </w:tc>
        <w:tc>
          <w:tcPr>
            <w:tcW w:w="1142" w:type="dxa"/>
          </w:tcPr>
          <w:p w14:paraId="3D00881D" w14:textId="77777777"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412.850</w:t>
            </w:r>
          </w:p>
        </w:tc>
        <w:tc>
          <w:tcPr>
            <w:tcW w:w="1111" w:type="dxa"/>
          </w:tcPr>
          <w:p w14:paraId="58728C5D" w14:textId="77777777" w:rsidR="007275B1" w:rsidRPr="00941869" w:rsidRDefault="007275B1" w:rsidP="007275B1">
            <w:pPr>
              <w:spacing w:after="0" w:line="240" w:lineRule="auto"/>
              <w:jc w:val="center"/>
              <w:rPr>
                <w:rFonts w:ascii="ITC Avant Garde" w:hAnsi="ITC Avant Garde"/>
                <w:bCs/>
                <w:i/>
                <w:color w:val="000000"/>
                <w:sz w:val="16"/>
                <w:szCs w:val="16"/>
                <w:lang w:eastAsia="es-MX"/>
              </w:rPr>
            </w:pPr>
            <w:r w:rsidRPr="00941869">
              <w:rPr>
                <w:rFonts w:ascii="ITC Avant Garde" w:hAnsi="ITC Avant Garde"/>
                <w:bCs/>
                <w:i/>
                <w:color w:val="000000"/>
                <w:sz w:val="16"/>
                <w:szCs w:val="16"/>
                <w:lang w:eastAsia="es-MX"/>
              </w:rPr>
              <w:t>422.850</w:t>
            </w:r>
          </w:p>
        </w:tc>
      </w:tr>
    </w:tbl>
    <w:p w14:paraId="676BC0FD" w14:textId="54709E84" w:rsidR="00E83F1A" w:rsidRPr="00941869" w:rsidRDefault="00D510EC" w:rsidP="006C3838">
      <w:pPr>
        <w:autoSpaceDE w:val="0"/>
        <w:autoSpaceDN w:val="0"/>
        <w:adjustRightInd w:val="0"/>
        <w:spacing w:before="240" w:line="240" w:lineRule="auto"/>
        <w:ind w:firstLine="709"/>
        <w:jc w:val="both"/>
        <w:rPr>
          <w:rFonts w:ascii="ITC Avant Garde" w:hAnsi="ITC Avant Garde" w:cs="Tahoma"/>
          <w:bCs/>
          <w:sz w:val="18"/>
          <w:szCs w:val="18"/>
          <w:lang w:eastAsia="es-MX"/>
        </w:rPr>
      </w:pPr>
      <w:r w:rsidRPr="00941869">
        <w:rPr>
          <w:rFonts w:ascii="ITC Avant Garde" w:hAnsi="ITC Avant Garde" w:cs="Tahoma"/>
          <w:bCs/>
          <w:i/>
          <w:sz w:val="18"/>
          <w:szCs w:val="18"/>
          <w:lang w:eastAsia="es-MX"/>
        </w:rPr>
        <w:t>[…]”</w:t>
      </w:r>
      <w:r>
        <w:rPr>
          <w:rFonts w:ascii="ITC Avant Garde" w:hAnsi="ITC Avant Garde" w:cs="Tahoma"/>
          <w:bCs/>
          <w:sz w:val="18"/>
          <w:szCs w:val="18"/>
          <w:lang w:eastAsia="es-MX"/>
        </w:rPr>
        <w:t xml:space="preserve">  Énfasis añadido.</w:t>
      </w:r>
    </w:p>
    <w:p w14:paraId="6D00F1DC" w14:textId="3D065AE2" w:rsidR="00D510EC" w:rsidRDefault="00D510EC" w:rsidP="006C3838">
      <w:pPr>
        <w:autoSpaceDE w:val="0"/>
        <w:autoSpaceDN w:val="0"/>
        <w:adjustRightInd w:val="0"/>
        <w:spacing w:before="240" w:line="240" w:lineRule="auto"/>
        <w:jc w:val="both"/>
        <w:rPr>
          <w:rFonts w:ascii="ITC Avant Garde" w:hAnsi="ITC Avant Garde" w:cs="Tahoma"/>
          <w:bCs/>
          <w:lang w:eastAsia="es-MX"/>
        </w:rPr>
      </w:pPr>
      <w:r>
        <w:rPr>
          <w:rFonts w:ascii="ITC Avant Garde" w:hAnsi="ITC Avant Garde" w:cs="Tahoma"/>
          <w:bCs/>
          <w:lang w:eastAsia="es-MX"/>
        </w:rPr>
        <w:t>De lo anterior se desprende que el cambio de frecuencias señalado es consistente con la política de administración del espectro radioeléctrico que tiene encomendada el Instituto por mandato constitucional y legal. En ese sentido</w:t>
      </w:r>
      <w:r w:rsidR="00DE41BE">
        <w:rPr>
          <w:rFonts w:ascii="ITC Avant Garde" w:hAnsi="ITC Avant Garde" w:cs="Tahoma"/>
          <w:bCs/>
          <w:lang w:eastAsia="es-MX"/>
        </w:rPr>
        <w:t>,</w:t>
      </w:r>
      <w:r>
        <w:rPr>
          <w:rFonts w:ascii="ITC Avant Garde" w:hAnsi="ITC Avant Garde" w:cs="Tahoma"/>
          <w:bCs/>
          <w:lang w:eastAsia="es-MX"/>
        </w:rPr>
        <w:t xml:space="preserve"> se </w:t>
      </w:r>
      <w:r>
        <w:rPr>
          <w:rFonts w:ascii="ITC Avant Garde" w:hAnsi="ITC Avant Garde" w:cs="Tahoma"/>
          <w:bCs/>
          <w:lang w:eastAsia="es-MX"/>
        </w:rPr>
        <w:lastRenderedPageBreak/>
        <w:t xml:space="preserve">considera procedente autorizar la solicitud presentada por SECSA en los términos propuestos por la Dirección General de Ingeniería y Estudios Técnicos de la Unidad de Espectro Radioeléctrico, ya que con </w:t>
      </w:r>
      <w:r w:rsidR="00DE41BE">
        <w:rPr>
          <w:rFonts w:ascii="ITC Avant Garde" w:hAnsi="ITC Avant Garde" w:cs="Tahoma"/>
          <w:bCs/>
          <w:lang w:eastAsia="es-MX"/>
        </w:rPr>
        <w:t>dicho</w:t>
      </w:r>
      <w:r>
        <w:rPr>
          <w:rFonts w:ascii="ITC Avant Garde" w:hAnsi="ITC Avant Garde" w:cs="Tahoma"/>
          <w:bCs/>
          <w:lang w:eastAsia="es-MX"/>
        </w:rPr>
        <w:t xml:space="preserve"> cambio de bandas</w:t>
      </w:r>
      <w:r w:rsidR="00DE41BE">
        <w:rPr>
          <w:rFonts w:ascii="ITC Avant Garde" w:hAnsi="ITC Avant Garde" w:cs="Tahoma"/>
          <w:bCs/>
          <w:lang w:eastAsia="es-MX"/>
        </w:rPr>
        <w:t>,</w:t>
      </w:r>
      <w:r>
        <w:rPr>
          <w:rFonts w:ascii="ITC Avant Garde" w:hAnsi="ITC Avant Garde" w:cs="Tahoma"/>
          <w:bCs/>
          <w:lang w:eastAsia="es-MX"/>
        </w:rPr>
        <w:t xml:space="preserve"> el concesionario podría introducir en su red nuevas tecnologías que hacen un uso más eficiente del espectro radioeléctrico</w:t>
      </w:r>
      <w:r w:rsidR="00DE41BE">
        <w:rPr>
          <w:rFonts w:ascii="ITC Avant Garde" w:hAnsi="ITC Avant Garde" w:cs="Tahoma"/>
          <w:bCs/>
          <w:lang w:eastAsia="es-MX"/>
        </w:rPr>
        <w:t>,</w:t>
      </w:r>
      <w:r>
        <w:rPr>
          <w:rFonts w:ascii="ITC Avant Garde" w:hAnsi="ITC Avant Garde" w:cs="Tahoma"/>
          <w:bCs/>
          <w:lang w:eastAsia="es-MX"/>
        </w:rPr>
        <w:t xml:space="preserve"> </w:t>
      </w:r>
      <w:r w:rsidR="00DE41BE">
        <w:rPr>
          <w:rFonts w:ascii="ITC Avant Garde" w:hAnsi="ITC Avant Garde" w:cs="Tahoma"/>
          <w:bCs/>
          <w:lang w:eastAsia="es-MX"/>
        </w:rPr>
        <w:t>debido</w:t>
      </w:r>
      <w:r>
        <w:rPr>
          <w:rFonts w:ascii="ITC Avant Garde" w:hAnsi="ITC Avant Garde" w:cs="Tahoma"/>
          <w:bCs/>
          <w:lang w:eastAsia="es-MX"/>
        </w:rPr>
        <w:t xml:space="preserve"> al uso de canales de espectro contiguo.</w:t>
      </w:r>
    </w:p>
    <w:p w14:paraId="7E1C2957" w14:textId="0E578997" w:rsidR="00A332FC" w:rsidRDefault="000D1FF0" w:rsidP="006C3838">
      <w:pPr>
        <w:autoSpaceDE w:val="0"/>
        <w:autoSpaceDN w:val="0"/>
        <w:adjustRightInd w:val="0"/>
        <w:spacing w:before="240" w:line="240" w:lineRule="auto"/>
        <w:jc w:val="both"/>
        <w:rPr>
          <w:rFonts w:ascii="ITC Avant Garde" w:hAnsi="ITC Avant Garde"/>
          <w:bCs/>
          <w:color w:val="000000"/>
          <w:lang w:eastAsia="es-MX"/>
        </w:rPr>
      </w:pPr>
      <w:r>
        <w:rPr>
          <w:rFonts w:ascii="ITC Avant Garde" w:hAnsi="ITC Avant Garde" w:cs="Tahoma"/>
          <w:bCs/>
          <w:lang w:eastAsia="es-MX"/>
        </w:rPr>
        <w:t xml:space="preserve">Finalmente, SECSA </w:t>
      </w:r>
      <w:r w:rsidR="00A332FC">
        <w:rPr>
          <w:rFonts w:ascii="ITC Avant Garde" w:hAnsi="ITC Avant Garde" w:cs="Tahoma"/>
          <w:bCs/>
          <w:lang w:eastAsia="es-MX"/>
        </w:rPr>
        <w:t xml:space="preserve">presentó al Instituto el 14 de octubre de 2015, el comprobante de pago de derechos con número de folio 665150009551, por concepto del estudio de modificación </w:t>
      </w:r>
      <w:r w:rsidR="00A332FC">
        <w:rPr>
          <w:rFonts w:ascii="ITC Avant Garde" w:hAnsi="ITC Avant Garde"/>
          <w:bCs/>
          <w:color w:val="000000" w:themeColor="text1"/>
          <w:lang w:eastAsia="es-MX"/>
        </w:rPr>
        <w:t xml:space="preserve">de las características de uso, aprovechamiento o explotación de frecuencias o bandas de frecuencias </w:t>
      </w:r>
      <w:r w:rsidR="00A332FC" w:rsidRPr="00734EFA">
        <w:rPr>
          <w:rFonts w:ascii="ITC Avant Garde" w:hAnsi="ITC Avant Garde"/>
          <w:bCs/>
          <w:color w:val="000000"/>
          <w:lang w:eastAsia="es-MX"/>
        </w:rPr>
        <w:t>concesionadas</w:t>
      </w:r>
      <w:r w:rsidR="00A332FC">
        <w:rPr>
          <w:rFonts w:ascii="ITC Avant Garde" w:hAnsi="ITC Avant Garde"/>
          <w:bCs/>
          <w:color w:val="000000"/>
          <w:lang w:eastAsia="es-MX"/>
        </w:rPr>
        <w:t>, correspondiente al artículo 97 fracción IV inciso a de la Ley Federal de Derechos vigente al momento de la Solicitud de Cambio de Bandas.</w:t>
      </w:r>
    </w:p>
    <w:p w14:paraId="566386AA" w14:textId="77777777" w:rsidR="00A233B9" w:rsidRDefault="00A233B9" w:rsidP="006C3838">
      <w:pPr>
        <w:spacing w:before="240" w:line="240" w:lineRule="auto"/>
        <w:jc w:val="both"/>
        <w:rPr>
          <w:rFonts w:ascii="ITC Avant Garde" w:hAnsi="ITC Avant Garde"/>
          <w:color w:val="000000"/>
          <w:lang w:eastAsia="es-MX"/>
        </w:rPr>
      </w:pPr>
      <w:r w:rsidRPr="00F039AC">
        <w:rPr>
          <w:rFonts w:ascii="ITC Avant Garde" w:hAnsi="ITC Avant Garde"/>
          <w:b/>
          <w:bCs/>
          <w:color w:val="000000"/>
          <w:lang w:eastAsia="es-MX"/>
        </w:rPr>
        <w:t xml:space="preserve">Cuarto.- Cobro sobre el pago de derechos por diversos trámites ante la entrada en vigor de la Ley Federal de Derechos vigente para 2016. </w:t>
      </w:r>
      <w:r w:rsidRPr="00F039AC">
        <w:rPr>
          <w:rFonts w:ascii="ITC Avant Garde" w:hAnsi="ITC Avant Garde"/>
          <w:color w:val="000000"/>
          <w:lang w:eastAsia="es-MX"/>
        </w:rPr>
        <w:t>El pasado 18 de noviembre de 2015 se publicó en el Diario Oficial de la Federación el “</w:t>
      </w:r>
      <w:r w:rsidRPr="00F039AC">
        <w:rPr>
          <w:rFonts w:ascii="ITC Avant Garde" w:hAnsi="ITC Avant Garde"/>
          <w:i/>
          <w:iCs/>
          <w:color w:val="000000"/>
          <w:lang w:eastAsia="es-MX"/>
        </w:rPr>
        <w:t>Decreto por el que se reforman, adicionan y derogan diversas disposiciones de la Ley Federal de Derechos</w:t>
      </w:r>
      <w:r w:rsidRPr="00F039AC">
        <w:rPr>
          <w:rFonts w:ascii="ITC Avant Garde" w:hAnsi="ITC Avant Garde"/>
          <w:color w:val="000000"/>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6F7FC73E" w14:textId="4F462325" w:rsidR="00A233B9" w:rsidRPr="00F039AC" w:rsidRDefault="00A233B9" w:rsidP="006C3838">
      <w:pPr>
        <w:spacing w:before="240" w:line="240" w:lineRule="auto"/>
        <w:jc w:val="both"/>
        <w:rPr>
          <w:rFonts w:ascii="ITC Avant Garde" w:hAnsi="ITC Avant Garde"/>
          <w:color w:val="000000"/>
          <w:lang w:eastAsia="es-MX"/>
        </w:rPr>
      </w:pPr>
      <w:r w:rsidRPr="00F039AC">
        <w:rPr>
          <w:rFonts w:ascii="ITC Avant Garde" w:hAnsi="ITC Avant Garde"/>
          <w:color w:val="000000"/>
          <w:lang w:eastAsia="es-MX"/>
        </w:rPr>
        <w:t xml:space="preserve">Derivado de lo anterior, y en atención a lo establecido por el artículo 6o. del Código Fiscal de la Federación, se debe tener en cuenta que el hecho generador de los derechos derivados de la autorización de modificaciones a los títulos de concesión se actualizan al momento de la emisión y notificación de la presente resolución y que el artículo 97 de la Ley Federal de Derechos, al haber sido derogado, no puede ser aplicado al trámite de </w:t>
      </w:r>
      <w:r w:rsidR="003B2B75">
        <w:rPr>
          <w:rFonts w:ascii="ITC Avant Garde" w:hAnsi="ITC Avant Garde"/>
          <w:color w:val="000000"/>
          <w:lang w:eastAsia="es-MX"/>
        </w:rPr>
        <w:t>cambio de bandas</w:t>
      </w:r>
      <w:r w:rsidR="003B2B75" w:rsidRPr="00F039AC">
        <w:rPr>
          <w:rFonts w:ascii="ITC Avant Garde" w:hAnsi="ITC Avant Garde"/>
          <w:color w:val="000000"/>
          <w:lang w:eastAsia="es-MX"/>
        </w:rPr>
        <w:t xml:space="preserve"> </w:t>
      </w:r>
      <w:r w:rsidRPr="00F039AC">
        <w:rPr>
          <w:rFonts w:ascii="ITC Avant Garde" w:hAnsi="ITC Avant Garde"/>
          <w:color w:val="000000"/>
          <w:lang w:eastAsia="es-MX"/>
        </w:rPr>
        <w:t>que nos ocupa.</w:t>
      </w:r>
    </w:p>
    <w:p w14:paraId="6C66F860" w14:textId="5205614A" w:rsidR="003B2B75" w:rsidRDefault="00A233B9" w:rsidP="006C3838">
      <w:pPr>
        <w:spacing w:before="240" w:line="240" w:lineRule="auto"/>
        <w:jc w:val="both"/>
        <w:rPr>
          <w:rFonts w:ascii="ITC Avant Garde" w:hAnsi="ITC Avant Garde"/>
          <w:color w:val="000000"/>
          <w:lang w:eastAsia="es-MX"/>
        </w:rPr>
      </w:pPr>
      <w:r w:rsidRPr="00F039AC">
        <w:rPr>
          <w:rFonts w:ascii="ITC Avant Garde" w:hAnsi="ITC Avant Garde"/>
          <w:color w:val="000000"/>
          <w:lang w:eastAsia="es-MX"/>
        </w:rPr>
        <w:t>En este sentido, la Ley Federal de Derechos vigente a partir del 1º de enero de 2016 estableció en su artículo 174-C</w:t>
      </w:r>
      <w:r w:rsidR="003B2B75">
        <w:rPr>
          <w:rFonts w:ascii="ITC Avant Garde" w:hAnsi="ITC Avant Garde"/>
          <w:color w:val="000000"/>
          <w:lang w:eastAsia="es-MX"/>
        </w:rPr>
        <w:t xml:space="preserve"> fracción X</w:t>
      </w:r>
      <w:r w:rsidRPr="00F039AC">
        <w:rPr>
          <w:rFonts w:ascii="ITC Avant Garde" w:hAnsi="ITC Avant Garde"/>
          <w:color w:val="000000"/>
          <w:lang w:eastAsia="es-MX"/>
        </w:rPr>
        <w:t xml:space="preserve"> un nuevo sistema de cobro de derechos para los trámites relativos al estudio y, en su caso, autorización de solicitudes de </w:t>
      </w:r>
      <w:r w:rsidR="00AE3103">
        <w:rPr>
          <w:rFonts w:ascii="ITC Avant Garde" w:hAnsi="ITC Avant Garde"/>
          <w:color w:val="000000"/>
          <w:lang w:eastAsia="es-MX"/>
        </w:rPr>
        <w:t>cambio de canal, frecuencias, bandas de frecuencias o recursos orbitales</w:t>
      </w:r>
      <w:r w:rsidR="003B2B75">
        <w:rPr>
          <w:rFonts w:ascii="ITC Avant Garde" w:hAnsi="ITC Avant Garde"/>
          <w:color w:val="000000"/>
          <w:lang w:eastAsia="es-MX"/>
        </w:rPr>
        <w:t>. Esta situación es distinta a la prevista en la Ley Federal de Derechos vigente hasta 2015, que establecía de manera diferenciada los cobros para el estudio y, en su caso, autorización por modificaciones a los títulos de concesión.</w:t>
      </w:r>
    </w:p>
    <w:p w14:paraId="44D23A6F" w14:textId="77777777" w:rsidR="00AE3103" w:rsidRDefault="00A233B9" w:rsidP="006C3838">
      <w:pPr>
        <w:spacing w:before="240" w:line="240" w:lineRule="auto"/>
        <w:jc w:val="both"/>
        <w:rPr>
          <w:rFonts w:ascii="ITC Avant Garde" w:hAnsi="ITC Avant Garde"/>
          <w:color w:val="000000"/>
          <w:lang w:eastAsia="es-MX"/>
        </w:rPr>
      </w:pPr>
      <w:r w:rsidRPr="00F039AC">
        <w:rPr>
          <w:rFonts w:ascii="ITC Avant Garde" w:hAnsi="ITC Avant Garde"/>
          <w:color w:val="000000"/>
          <w:lang w:eastAsia="es-MX"/>
        </w:rPr>
        <w:t xml:space="preserve">Cabe señalar que al momento de iniciar el trámite de mérito, la solicitante presentó, de conformidad con la normatividad vigente en ese momento, el </w:t>
      </w:r>
      <w:r w:rsidRPr="00F039AC">
        <w:rPr>
          <w:rFonts w:ascii="ITC Avant Garde" w:hAnsi="ITC Avant Garde"/>
          <w:color w:val="000000"/>
          <w:lang w:eastAsia="es-MX"/>
        </w:rPr>
        <w:lastRenderedPageBreak/>
        <w:t xml:space="preserve">comprobante de pago de los derechos por el estudio de la modificación del título de concesión objeto de la solicitud. </w:t>
      </w:r>
    </w:p>
    <w:p w14:paraId="30DD949A" w14:textId="50187E94" w:rsidR="00A233B9" w:rsidRPr="00F039AC" w:rsidRDefault="00A233B9" w:rsidP="006C3838">
      <w:pPr>
        <w:spacing w:before="240" w:line="240" w:lineRule="auto"/>
        <w:jc w:val="both"/>
        <w:rPr>
          <w:rFonts w:ascii="ITC Avant Garde" w:hAnsi="ITC Avant Garde"/>
          <w:color w:val="000000"/>
          <w:lang w:eastAsia="es-MX"/>
        </w:rPr>
      </w:pPr>
      <w:r w:rsidRPr="00F039AC">
        <w:rPr>
          <w:rFonts w:ascii="ITC Avant Garde" w:hAnsi="ITC Avant Garde"/>
          <w:color w:val="000000"/>
          <w:lang w:eastAsia="es-MX"/>
        </w:rPr>
        <w:t>Bajo ese tenor, conforme a la normatividad vigente en la fecha en que se realizó la petición, procedería realizar el cobro por la autorización correspondiente.</w:t>
      </w:r>
    </w:p>
    <w:p w14:paraId="51435703" w14:textId="20EBD1F3" w:rsidR="00AE3103" w:rsidRDefault="00AE3103" w:rsidP="006C3838">
      <w:pPr>
        <w:spacing w:before="240" w:line="240" w:lineRule="auto"/>
        <w:jc w:val="both"/>
        <w:rPr>
          <w:rFonts w:ascii="ITC Avant Garde" w:hAnsi="ITC Avant Garde"/>
          <w:color w:val="000000"/>
          <w:lang w:eastAsia="es-MX"/>
        </w:rPr>
      </w:pPr>
      <w:r>
        <w:rPr>
          <w:rFonts w:ascii="ITC Avant Garde" w:hAnsi="ITC Avant Garde"/>
          <w:color w:val="000000"/>
          <w:lang w:eastAsia="es-MX"/>
        </w:rPr>
        <w:t xml:space="preserve">Sin embargo, dado que la normatividad vigente, prevé un único pago por el estudio y, en su caso, la autorización de solicitudes </w:t>
      </w:r>
      <w:r w:rsidRPr="00F039AC">
        <w:rPr>
          <w:rFonts w:ascii="ITC Avant Garde" w:hAnsi="ITC Avant Garde"/>
          <w:color w:val="000000"/>
          <w:lang w:eastAsia="es-MX"/>
        </w:rPr>
        <w:t xml:space="preserve">de </w:t>
      </w:r>
      <w:r>
        <w:rPr>
          <w:rFonts w:ascii="ITC Avant Garde" w:hAnsi="ITC Avant Garde"/>
          <w:color w:val="000000"/>
          <w:lang w:eastAsia="es-MX"/>
        </w:rPr>
        <w:t>cambio de canal, frecuencias, bandas de frecuencias o recursos orbitales, este Instituto se encuentra imposibilitado para diferenciar y fraccionar el cobro que debiera corresponder a la autorización de la modificación respectiva.</w:t>
      </w:r>
    </w:p>
    <w:p w14:paraId="5921E7B5" w14:textId="0AB5F154" w:rsidR="00AE3103" w:rsidRDefault="00AE3103" w:rsidP="006C3838">
      <w:pPr>
        <w:spacing w:before="240" w:line="240" w:lineRule="auto"/>
        <w:jc w:val="both"/>
        <w:rPr>
          <w:rFonts w:ascii="ITC Avant Garde" w:hAnsi="ITC Avant Garde"/>
          <w:color w:val="000000"/>
          <w:lang w:eastAsia="es-MX"/>
        </w:rPr>
      </w:pPr>
      <w:r>
        <w:rPr>
          <w:rFonts w:ascii="ITC Avant Garde" w:hAnsi="ITC Avant Garde"/>
          <w:color w:val="000000"/>
          <w:lang w:eastAsia="es-MX"/>
        </w:rPr>
        <w:t>Finalmente, tratándose de disposiciones de carácter fiscal, se debe atender al principio de exacta aplicación de las mismas, por lo que no procede aplicar el cobro por la autorización del cambio de ban</w:t>
      </w:r>
      <w:r w:rsidR="008F1979">
        <w:rPr>
          <w:rFonts w:ascii="ITC Avant Garde" w:hAnsi="ITC Avant Garde"/>
          <w:color w:val="000000"/>
          <w:lang w:eastAsia="es-MX"/>
        </w:rPr>
        <w:t>d</w:t>
      </w:r>
      <w:r>
        <w:rPr>
          <w:rFonts w:ascii="ITC Avant Garde" w:hAnsi="ITC Avant Garde"/>
          <w:color w:val="000000"/>
          <w:lang w:eastAsia="es-MX"/>
        </w:rPr>
        <w:t>as que nos ocupa, toda vez que el mismo no puede ser diferenciado de la parte relativa al estudio.</w:t>
      </w:r>
    </w:p>
    <w:p w14:paraId="0B07D353" w14:textId="7264A1A6" w:rsidR="006E21DC" w:rsidRPr="00F039AC" w:rsidRDefault="006E21DC" w:rsidP="006C3838">
      <w:pPr>
        <w:autoSpaceDE w:val="0"/>
        <w:autoSpaceDN w:val="0"/>
        <w:adjustRightInd w:val="0"/>
        <w:spacing w:before="240" w:line="240" w:lineRule="auto"/>
        <w:jc w:val="both"/>
        <w:rPr>
          <w:rFonts w:ascii="ITC Avant Garde" w:hAnsi="ITC Avant Garde"/>
          <w:bCs/>
        </w:rPr>
      </w:pPr>
      <w:r w:rsidRPr="00F039AC">
        <w:rPr>
          <w:rFonts w:ascii="ITC Avant Garde" w:hAnsi="ITC Avant Garde"/>
          <w:bCs/>
        </w:rPr>
        <w:t xml:space="preserve">Por lo anteriormente señalado, y con fundamento en los artículos </w:t>
      </w:r>
      <w:r w:rsidR="002A2EBC" w:rsidRPr="00F039AC">
        <w:rPr>
          <w:rFonts w:ascii="ITC Avant Garde" w:hAnsi="ITC Avant Garde"/>
          <w:bCs/>
        </w:rPr>
        <w:t>6o. Apartado B fracción II</w:t>
      </w:r>
      <w:r w:rsidR="003F530D" w:rsidRPr="00F039AC">
        <w:rPr>
          <w:rFonts w:ascii="ITC Avant Garde" w:hAnsi="ITC Avant Garde"/>
          <w:bCs/>
        </w:rPr>
        <w:t>,</w:t>
      </w:r>
      <w:r w:rsidR="002A2EBC" w:rsidRPr="00F039AC">
        <w:rPr>
          <w:rFonts w:ascii="ITC Avant Garde" w:hAnsi="ITC Avant Garde"/>
          <w:bCs/>
        </w:rPr>
        <w:t xml:space="preserve"> </w:t>
      </w:r>
      <w:r w:rsidR="004D3B4C" w:rsidRPr="00F039AC">
        <w:rPr>
          <w:rFonts w:ascii="ITC Avant Garde" w:hAnsi="ITC Avant Garde"/>
          <w:bCs/>
        </w:rPr>
        <w:t>28 párrafos décimo quinto y</w:t>
      </w:r>
      <w:r w:rsidRPr="00F039AC">
        <w:rPr>
          <w:rFonts w:ascii="ITC Avant Garde" w:hAnsi="ITC Avant Garde"/>
          <w:bCs/>
        </w:rPr>
        <w:t xml:space="preserve"> décimo sexto de la Constitución Política d</w:t>
      </w:r>
      <w:r w:rsidR="004D3B4C" w:rsidRPr="00F039AC">
        <w:rPr>
          <w:rFonts w:ascii="ITC Avant Garde" w:hAnsi="ITC Avant Garde"/>
          <w:bCs/>
        </w:rPr>
        <w:t>e los Estados Unidos Mexicanos;</w:t>
      </w:r>
      <w:r w:rsidR="00BF18B0" w:rsidRPr="00F039AC">
        <w:rPr>
          <w:rFonts w:ascii="ITC Avant Garde" w:hAnsi="ITC Avant Garde"/>
          <w:bCs/>
        </w:rPr>
        <w:t xml:space="preserve"> </w:t>
      </w:r>
      <w:r w:rsidR="004D3B4C" w:rsidRPr="00F039AC">
        <w:rPr>
          <w:rFonts w:ascii="ITC Avant Garde" w:hAnsi="ITC Avant Garde"/>
          <w:bCs/>
        </w:rPr>
        <w:t>6 fracción IV, 15 fracción XV</w:t>
      </w:r>
      <w:r w:rsidR="00A80EE8" w:rsidRPr="00F039AC">
        <w:rPr>
          <w:rFonts w:ascii="ITC Avant Garde" w:hAnsi="ITC Avant Garde"/>
          <w:bCs/>
        </w:rPr>
        <w:t xml:space="preserve">, </w:t>
      </w:r>
      <w:r w:rsidR="009A26E5" w:rsidRPr="00F039AC">
        <w:rPr>
          <w:rFonts w:ascii="ITC Avant Garde" w:hAnsi="ITC Avant Garde"/>
          <w:bCs/>
        </w:rPr>
        <w:t xml:space="preserve">54, </w:t>
      </w:r>
      <w:r w:rsidR="005E77FA" w:rsidRPr="00F039AC">
        <w:rPr>
          <w:rFonts w:ascii="ITC Avant Garde" w:hAnsi="ITC Avant Garde"/>
          <w:bCs/>
        </w:rPr>
        <w:t>106</w:t>
      </w:r>
      <w:r w:rsidR="00C37C3E" w:rsidRPr="00F039AC">
        <w:rPr>
          <w:rFonts w:ascii="ITC Avant Garde" w:hAnsi="ITC Avant Garde"/>
          <w:bCs/>
        </w:rPr>
        <w:t xml:space="preserve">, </w:t>
      </w:r>
      <w:r w:rsidR="003C4E93" w:rsidRPr="003F1943">
        <w:rPr>
          <w:rFonts w:ascii="ITC Avant Garde" w:hAnsi="ITC Avant Garde"/>
          <w:bCs/>
        </w:rPr>
        <w:t>y 177 fracciones</w:t>
      </w:r>
      <w:r w:rsidR="003C4E93" w:rsidRPr="00F039AC">
        <w:rPr>
          <w:rFonts w:ascii="ITC Avant Garde" w:hAnsi="ITC Avant Garde"/>
          <w:bCs/>
        </w:rPr>
        <w:t xml:space="preserve"> I y XXII </w:t>
      </w:r>
      <w:r w:rsidR="002C3C33" w:rsidRPr="00F039AC">
        <w:rPr>
          <w:rFonts w:ascii="ITC Avant Garde" w:hAnsi="ITC Avant Garde"/>
          <w:bCs/>
        </w:rPr>
        <w:t xml:space="preserve">de la Ley Federal de Telecomunicaciones y Radiodifusión; </w:t>
      </w:r>
      <w:r w:rsidRPr="00F039AC">
        <w:rPr>
          <w:rFonts w:ascii="ITC Avant Garde" w:hAnsi="ITC Avant Garde"/>
          <w:bCs/>
        </w:rPr>
        <w:t xml:space="preserve">35 fracción I, 36, 38 y 39 de la Ley Federal de Procedimiento Administrativo; </w:t>
      </w:r>
      <w:r w:rsidR="008A482E" w:rsidRPr="00F039AC">
        <w:rPr>
          <w:rFonts w:ascii="ITC Avant Garde" w:hAnsi="ITC Avant Garde"/>
          <w:bCs/>
          <w:color w:val="000000"/>
          <w:lang w:eastAsia="es-MX"/>
        </w:rPr>
        <w:t xml:space="preserve">97 fracción </w:t>
      </w:r>
      <w:r w:rsidR="00AA29F3">
        <w:rPr>
          <w:rFonts w:ascii="ITC Avant Garde" w:hAnsi="ITC Avant Garde"/>
          <w:bCs/>
          <w:color w:val="000000"/>
          <w:lang w:eastAsia="es-MX"/>
        </w:rPr>
        <w:t>VI</w:t>
      </w:r>
      <w:r w:rsidR="00AA29F3" w:rsidRPr="00F039AC">
        <w:rPr>
          <w:rFonts w:ascii="ITC Avant Garde" w:hAnsi="ITC Avant Garde"/>
          <w:bCs/>
          <w:color w:val="000000"/>
          <w:lang w:eastAsia="es-MX"/>
        </w:rPr>
        <w:t xml:space="preserve"> </w:t>
      </w:r>
      <w:r w:rsidR="008A482E" w:rsidRPr="00F039AC">
        <w:rPr>
          <w:rFonts w:ascii="ITC Avant Garde" w:hAnsi="ITC Avant Garde"/>
          <w:bCs/>
        </w:rPr>
        <w:t>de la Ley Federal de Derechos vigente durante 2015;</w:t>
      </w:r>
      <w:r w:rsidR="009853F2" w:rsidRPr="00F039AC">
        <w:rPr>
          <w:rFonts w:ascii="ITC Avant Garde" w:hAnsi="ITC Avant Garde"/>
          <w:bCs/>
          <w:color w:val="000000"/>
          <w:lang w:eastAsia="es-MX"/>
        </w:rPr>
        <w:t xml:space="preserve"> </w:t>
      </w:r>
      <w:r w:rsidR="004D3B4C" w:rsidRPr="00F039AC">
        <w:rPr>
          <w:rFonts w:ascii="ITC Avant Garde" w:hAnsi="ITC Avant Garde"/>
          <w:bCs/>
        </w:rPr>
        <w:t>1, 6 fracciones I, VI y XX</w:t>
      </w:r>
      <w:r w:rsidR="00FA0E68" w:rsidRPr="00F039AC">
        <w:rPr>
          <w:rFonts w:ascii="ITC Avant Garde" w:hAnsi="ITC Avant Garde"/>
          <w:bCs/>
        </w:rPr>
        <w:t>X</w:t>
      </w:r>
      <w:r w:rsidR="004D3B4C" w:rsidRPr="00F039AC">
        <w:rPr>
          <w:rFonts w:ascii="ITC Avant Garde" w:hAnsi="ITC Avant Garde"/>
          <w:bCs/>
        </w:rPr>
        <w:t>VII</w:t>
      </w:r>
      <w:r w:rsidRPr="00F039AC">
        <w:rPr>
          <w:rFonts w:ascii="ITC Avant Garde" w:hAnsi="ITC Avant Garde"/>
          <w:bCs/>
        </w:rPr>
        <w:t xml:space="preserve">, </w:t>
      </w:r>
      <w:r w:rsidR="004D3B4C" w:rsidRPr="00F039AC">
        <w:rPr>
          <w:rFonts w:ascii="ITC Avant Garde" w:hAnsi="ITC Avant Garde"/>
          <w:bCs/>
        </w:rPr>
        <w:t>32 y</w:t>
      </w:r>
      <w:r w:rsidR="005F26F7" w:rsidRPr="00F039AC">
        <w:rPr>
          <w:rFonts w:ascii="ITC Avant Garde" w:hAnsi="ITC Avant Garde"/>
          <w:bCs/>
        </w:rPr>
        <w:t xml:space="preserve"> 33 fracc</w:t>
      </w:r>
      <w:r w:rsidR="004D3B4C" w:rsidRPr="00F039AC">
        <w:rPr>
          <w:rFonts w:ascii="ITC Avant Garde" w:hAnsi="ITC Avant Garde"/>
          <w:bCs/>
        </w:rPr>
        <w:t>ión</w:t>
      </w:r>
      <w:r w:rsidR="005F26F7" w:rsidRPr="00F039AC">
        <w:rPr>
          <w:rFonts w:ascii="ITC Avant Garde" w:hAnsi="ITC Avant Garde"/>
          <w:bCs/>
        </w:rPr>
        <w:t xml:space="preserve"> </w:t>
      </w:r>
      <w:r w:rsidR="004D3B4C" w:rsidRPr="00F039AC">
        <w:rPr>
          <w:rFonts w:ascii="ITC Avant Garde" w:hAnsi="ITC Avant Garde"/>
          <w:bCs/>
        </w:rPr>
        <w:t xml:space="preserve">XIV del </w:t>
      </w:r>
      <w:r w:rsidRPr="00F039AC">
        <w:rPr>
          <w:rFonts w:ascii="ITC Avant Garde" w:hAnsi="ITC Avant Garde"/>
          <w:bCs/>
        </w:rPr>
        <w:t>Estatuto Orgánico del Instituto Federal de Telecomunicaciones</w:t>
      </w:r>
      <w:r w:rsidR="00BD2B0A" w:rsidRPr="00F039AC">
        <w:rPr>
          <w:rFonts w:ascii="ITC Avant Garde" w:hAnsi="ITC Avant Garde"/>
          <w:bCs/>
        </w:rPr>
        <w:t>;</w:t>
      </w:r>
      <w:r w:rsidR="00BD2B0A" w:rsidRPr="00F039AC">
        <w:rPr>
          <w:rFonts w:ascii="ITC Avant Garde" w:hAnsi="ITC Avant Garde" w:cs="Tahoma"/>
          <w:bCs/>
          <w:lang w:eastAsia="es-MX"/>
        </w:rPr>
        <w:t xml:space="preserve"> </w:t>
      </w:r>
      <w:r w:rsidRPr="00F039AC">
        <w:rPr>
          <w:rFonts w:ascii="ITC Avant Garde" w:hAnsi="ITC Avant Garde"/>
          <w:bCs/>
        </w:rPr>
        <w:t>este órgano autónomo emite los siguientes:</w:t>
      </w:r>
    </w:p>
    <w:p w14:paraId="34265EAE" w14:textId="77777777" w:rsidR="00EF024D" w:rsidRPr="00EF024D" w:rsidRDefault="00EF024D" w:rsidP="006C3838">
      <w:pPr>
        <w:spacing w:before="240" w:line="240" w:lineRule="auto"/>
        <w:jc w:val="center"/>
        <w:rPr>
          <w:rFonts w:ascii="ITC Avant Garde" w:hAnsi="ITC Avant Garde"/>
          <w:b/>
          <w:bCs/>
          <w:color w:val="000000"/>
          <w:sz w:val="20"/>
          <w:lang w:eastAsia="es-MX"/>
        </w:rPr>
      </w:pPr>
    </w:p>
    <w:p w14:paraId="43AF5E00" w14:textId="77777777" w:rsidR="006E21DC" w:rsidRPr="006C3838" w:rsidRDefault="006E21DC" w:rsidP="006C3838">
      <w:pPr>
        <w:pStyle w:val="Ttulo2"/>
        <w:spacing w:before="240" w:after="200"/>
        <w:jc w:val="center"/>
        <w:rPr>
          <w:rFonts w:ascii="ITC Avant Garde" w:hAnsi="ITC Avant Garde"/>
          <w:b/>
          <w:bCs/>
          <w:color w:val="000000"/>
          <w:sz w:val="22"/>
          <w:szCs w:val="22"/>
          <w:lang w:eastAsia="es-MX"/>
        </w:rPr>
      </w:pPr>
      <w:r w:rsidRPr="006C3838">
        <w:rPr>
          <w:rFonts w:ascii="ITC Avant Garde" w:hAnsi="ITC Avant Garde"/>
          <w:b/>
          <w:bCs/>
          <w:color w:val="000000"/>
          <w:sz w:val="22"/>
          <w:szCs w:val="22"/>
          <w:lang w:eastAsia="es-MX"/>
        </w:rPr>
        <w:t>RESOLUTIVOS</w:t>
      </w:r>
    </w:p>
    <w:p w14:paraId="0CD171A6" w14:textId="6897E623" w:rsidR="00EE1E10" w:rsidRDefault="006E21DC" w:rsidP="006C3838">
      <w:pPr>
        <w:autoSpaceDE w:val="0"/>
        <w:autoSpaceDN w:val="0"/>
        <w:adjustRightInd w:val="0"/>
        <w:spacing w:before="240" w:line="240" w:lineRule="auto"/>
        <w:jc w:val="both"/>
        <w:rPr>
          <w:rFonts w:ascii="ITC Avant Garde" w:hAnsi="ITC Avant Garde"/>
          <w:bCs/>
          <w:color w:val="000000"/>
          <w:lang w:eastAsia="es-MX"/>
        </w:rPr>
      </w:pPr>
      <w:r w:rsidRPr="00216619">
        <w:rPr>
          <w:rFonts w:ascii="ITC Avant Garde" w:hAnsi="ITC Avant Garde"/>
          <w:b/>
          <w:bCs/>
        </w:rPr>
        <w:t>PRIMERO.-</w:t>
      </w:r>
      <w:r w:rsidRPr="00216619">
        <w:rPr>
          <w:rFonts w:ascii="ITC Avant Garde" w:hAnsi="ITC Avant Garde"/>
          <w:bCs/>
        </w:rPr>
        <w:t xml:space="preserve"> </w:t>
      </w:r>
      <w:r w:rsidR="00145A6B">
        <w:rPr>
          <w:rFonts w:ascii="ITC Avant Garde" w:hAnsi="ITC Avant Garde"/>
          <w:bCs/>
        </w:rPr>
        <w:t xml:space="preserve">Se autoriza a </w:t>
      </w:r>
      <w:r w:rsidR="00774071" w:rsidRPr="00DA7BCC">
        <w:rPr>
          <w:rFonts w:ascii="ITC Avant Garde" w:hAnsi="ITC Avant Garde"/>
          <w:bCs/>
          <w:color w:val="000000"/>
          <w:lang w:eastAsia="es-MX"/>
        </w:rPr>
        <w:t xml:space="preserve">Sistemas Especiales de Comunicación, S.A. </w:t>
      </w:r>
      <w:r w:rsidR="00EE1E10">
        <w:rPr>
          <w:rFonts w:ascii="ITC Avant Garde" w:hAnsi="ITC Avant Garde"/>
          <w:bCs/>
          <w:color w:val="000000"/>
          <w:lang w:eastAsia="es-MX"/>
        </w:rPr>
        <w:t xml:space="preserve">el cambio de las bandas de frecuencias que tiene concesionadas al amparo de </w:t>
      </w:r>
      <w:r w:rsidR="00EE1E10" w:rsidRPr="00AA14B3">
        <w:rPr>
          <w:rFonts w:ascii="ITC Avant Garde" w:hAnsi="ITC Avant Garde"/>
          <w:bCs/>
          <w:color w:val="000000"/>
          <w:lang w:eastAsia="es-MX"/>
        </w:rPr>
        <w:t xml:space="preserve">la prórroga y modificación de concesión para </w:t>
      </w:r>
      <w:r w:rsidR="00EE1E10" w:rsidRPr="009C13F7">
        <w:rPr>
          <w:rFonts w:ascii="ITC Avant Garde" w:hAnsi="ITC Avant Garde"/>
          <w:bCs/>
          <w:color w:val="000000"/>
          <w:lang w:eastAsia="es-MX"/>
        </w:rPr>
        <w:t>usar, aprovechar y explotar bandas de frecuencias del espectro radioeléctrico para usos determinados,</w:t>
      </w:r>
      <w:r w:rsidR="00EE1E10">
        <w:rPr>
          <w:rFonts w:ascii="ITC Avant Garde" w:hAnsi="ITC Avant Garde"/>
          <w:bCs/>
          <w:color w:val="000000"/>
          <w:lang w:eastAsia="es-MX"/>
        </w:rPr>
        <w:t xml:space="preserve"> otorgada el 16 de mayo de 2013</w:t>
      </w:r>
      <w:r w:rsidR="00EE1E10" w:rsidRPr="009C13F7">
        <w:rPr>
          <w:rFonts w:ascii="ITC Avant Garde" w:hAnsi="ITC Avant Garde"/>
          <w:bCs/>
          <w:color w:val="000000"/>
          <w:lang w:eastAsia="es-MX"/>
        </w:rPr>
        <w:t xml:space="preserve"> con una vigencia de 15 años, contados a partir del 13 de octubre de 2008, con cobertura en los estados de Sonora y Sinaloa</w:t>
      </w:r>
      <w:r w:rsidR="00EE1E10">
        <w:rPr>
          <w:rFonts w:ascii="ITC Avant Garde" w:hAnsi="ITC Avant Garde"/>
          <w:bCs/>
          <w:color w:val="000000"/>
          <w:lang w:eastAsia="es-MX"/>
        </w:rPr>
        <w:t>.</w:t>
      </w:r>
    </w:p>
    <w:p w14:paraId="74164D81" w14:textId="77777777" w:rsidR="007275B1" w:rsidRDefault="00783250" w:rsidP="006C3838">
      <w:pPr>
        <w:autoSpaceDE w:val="0"/>
        <w:autoSpaceDN w:val="0"/>
        <w:adjustRightInd w:val="0"/>
        <w:spacing w:before="240" w:line="240" w:lineRule="auto"/>
        <w:jc w:val="both"/>
        <w:rPr>
          <w:rFonts w:ascii="ITC Avant Garde" w:hAnsi="ITC Avant Garde"/>
          <w:bCs/>
          <w:color w:val="000000"/>
          <w:lang w:eastAsia="es-MX"/>
        </w:rPr>
        <w:sectPr w:rsidR="007275B1" w:rsidSect="00EF024D">
          <w:pgSz w:w="12240" w:h="15840"/>
          <w:pgMar w:top="2127" w:right="1750" w:bottom="1418" w:left="1701" w:header="709" w:footer="988" w:gutter="0"/>
          <w:cols w:space="708"/>
          <w:docGrid w:linePitch="360"/>
        </w:sectPr>
      </w:pPr>
      <w:r>
        <w:rPr>
          <w:rFonts w:ascii="ITC Avant Garde" w:hAnsi="ITC Avant Garde"/>
          <w:bCs/>
          <w:color w:val="000000"/>
          <w:lang w:eastAsia="es-MX"/>
        </w:rPr>
        <w:t xml:space="preserve">Para tal efecto, </w:t>
      </w:r>
      <w:r w:rsidRPr="00DA7BCC">
        <w:rPr>
          <w:rFonts w:ascii="ITC Avant Garde" w:hAnsi="ITC Avant Garde"/>
          <w:bCs/>
          <w:color w:val="000000"/>
          <w:lang w:eastAsia="es-MX"/>
        </w:rPr>
        <w:t xml:space="preserve">Sistemas Especiales de Comunicación, S.A. </w:t>
      </w:r>
      <w:r>
        <w:rPr>
          <w:rFonts w:ascii="ITC Avant Garde" w:hAnsi="ITC Avant Garde"/>
          <w:bCs/>
          <w:color w:val="000000"/>
          <w:lang w:eastAsia="es-MX"/>
        </w:rPr>
        <w:t>empleará</w:t>
      </w:r>
      <w:r w:rsidR="00774071" w:rsidRPr="00774071">
        <w:rPr>
          <w:rFonts w:ascii="ITC Avant Garde" w:hAnsi="ITC Avant Garde"/>
          <w:bCs/>
          <w:color w:val="000000"/>
          <w:lang w:eastAsia="es-MX"/>
        </w:rPr>
        <w:t xml:space="preserve"> los canales 81, 82, 89, 90, 97, 98, 105, 106, 113 y 114, que repr</w:t>
      </w:r>
      <w:r w:rsidR="006C5609">
        <w:rPr>
          <w:rFonts w:ascii="ITC Avant Garde" w:hAnsi="ITC Avant Garde"/>
          <w:bCs/>
          <w:color w:val="000000"/>
          <w:lang w:eastAsia="es-MX"/>
        </w:rPr>
        <w:t>esentan los grupos 17 y 18 del plan de c</w:t>
      </w:r>
      <w:r w:rsidR="00774071" w:rsidRPr="00774071">
        <w:rPr>
          <w:rFonts w:ascii="ITC Avant Garde" w:hAnsi="ITC Avant Garde"/>
          <w:bCs/>
          <w:color w:val="000000"/>
          <w:lang w:eastAsia="es-MX"/>
        </w:rPr>
        <w:t>analización para la banda</w:t>
      </w:r>
      <w:r w:rsidR="00F10340">
        <w:rPr>
          <w:rFonts w:ascii="ITC Avant Garde" w:hAnsi="ITC Avant Garde"/>
          <w:bCs/>
          <w:color w:val="000000"/>
          <w:lang w:eastAsia="es-MX"/>
        </w:rPr>
        <w:t xml:space="preserve"> </w:t>
      </w:r>
      <w:r w:rsidR="00F10340" w:rsidRPr="00F10340">
        <w:rPr>
          <w:rFonts w:ascii="ITC Avant Garde" w:hAnsi="ITC Avant Garde"/>
          <w:bCs/>
          <w:color w:val="000000"/>
          <w:lang w:eastAsia="es-MX"/>
        </w:rPr>
        <w:t>410-415/420-425 MHz</w:t>
      </w:r>
      <w:r w:rsidR="00774071" w:rsidRPr="00774071">
        <w:rPr>
          <w:rFonts w:ascii="ITC Avant Garde" w:hAnsi="ITC Avant Garde"/>
          <w:bCs/>
          <w:color w:val="000000"/>
          <w:lang w:eastAsia="es-MX"/>
        </w:rPr>
        <w:t>,</w:t>
      </w:r>
      <w:r w:rsidR="00B67E20">
        <w:rPr>
          <w:rFonts w:ascii="ITC Avant Garde" w:hAnsi="ITC Avant Garde"/>
          <w:bCs/>
          <w:color w:val="000000"/>
          <w:lang w:eastAsia="es-MX"/>
        </w:rPr>
        <w:t xml:space="preserve"> </w:t>
      </w:r>
      <w:r w:rsidR="00774071" w:rsidRPr="00774071">
        <w:rPr>
          <w:rFonts w:ascii="ITC Avant Garde" w:hAnsi="ITC Avant Garde"/>
          <w:bCs/>
          <w:color w:val="000000"/>
          <w:lang w:eastAsia="es-MX"/>
        </w:rPr>
        <w:t xml:space="preserve">conservando la cantidad de espectro que </w:t>
      </w:r>
      <w:r>
        <w:rPr>
          <w:rFonts w:ascii="ITC Avant Garde" w:hAnsi="ITC Avant Garde"/>
          <w:bCs/>
          <w:color w:val="000000"/>
          <w:lang w:eastAsia="es-MX"/>
        </w:rPr>
        <w:t xml:space="preserve">tiene </w:t>
      </w:r>
      <w:r w:rsidR="00774071" w:rsidRPr="00774071">
        <w:rPr>
          <w:rFonts w:ascii="ITC Avant Garde" w:hAnsi="ITC Avant Garde"/>
          <w:bCs/>
          <w:color w:val="000000"/>
          <w:lang w:eastAsia="es-MX"/>
        </w:rPr>
        <w:t xml:space="preserve">concesionado </w:t>
      </w:r>
      <w:r w:rsidR="00F10340">
        <w:rPr>
          <w:rFonts w:ascii="ITC Avant Garde" w:hAnsi="ITC Avant Garde"/>
          <w:bCs/>
          <w:color w:val="000000"/>
          <w:lang w:eastAsia="es-MX"/>
        </w:rPr>
        <w:t>dicha empresa</w:t>
      </w:r>
      <w:r>
        <w:rPr>
          <w:rFonts w:ascii="ITC Avant Garde" w:hAnsi="ITC Avant Garde"/>
          <w:bCs/>
          <w:color w:val="000000"/>
          <w:lang w:eastAsia="es-MX"/>
        </w:rPr>
        <w:t xml:space="preserve"> de conformidad con el siguiente esquema de asignación:</w:t>
      </w:r>
    </w:p>
    <w:p w14:paraId="4933AEB0" w14:textId="7E9D5016" w:rsidR="00B15D4E" w:rsidRDefault="00B15D4E" w:rsidP="006C3838">
      <w:pPr>
        <w:autoSpaceDE w:val="0"/>
        <w:autoSpaceDN w:val="0"/>
        <w:adjustRightInd w:val="0"/>
        <w:spacing w:before="240" w:line="240" w:lineRule="auto"/>
        <w:jc w:val="both"/>
        <w:rPr>
          <w:rFonts w:ascii="ITC Avant Garde" w:hAnsi="ITC Avant Garde"/>
          <w:bCs/>
          <w:color w:val="000000"/>
          <w:lang w:eastAsia="es-MX"/>
        </w:rPr>
      </w:pPr>
    </w:p>
    <w:tbl>
      <w:tblPr>
        <w:tblStyle w:val="Tablaconcuadrcula"/>
        <w:tblW w:w="0" w:type="auto"/>
        <w:jc w:val="center"/>
        <w:tblLayout w:type="fixed"/>
        <w:tblLook w:val="04A0" w:firstRow="1" w:lastRow="0" w:firstColumn="1" w:lastColumn="0" w:noHBand="0" w:noVBand="1"/>
        <w:tblCaption w:val="Canales representados en los Grupos 17 y 18 que se utilizarán como Plan de canalización para la banda 410-415/420-425 MHz"/>
        <w:tblDescription w:val="Se muestra en un atabla de 3 columnas el cambio de frecuencia solicitado en dos Grupos 17 y 18.&#10;Grupo 17:&#10;Rx [MHz] - Tx [MHz]&#10;412.025 - 422.025&#10;412.225 - 422.225&#10;412.425 - 422.425&#10;412.625 - 422.625&#10;412.825 - 422.825&#10;Grupo 18:&#10;Rx [MHz] - Tx [MHz]&#10;412.050 - 422.050&#10;412.250 - 422.250&#10;412.450 - 422.450&#10;412.650 - 422.650&#10;412.850 - 422.850&#10;"/>
      </w:tblPr>
      <w:tblGrid>
        <w:gridCol w:w="1504"/>
        <w:gridCol w:w="1504"/>
        <w:gridCol w:w="1807"/>
      </w:tblGrid>
      <w:tr w:rsidR="00783250" w:rsidRPr="007275B1" w14:paraId="73CF53E5" w14:textId="77777777" w:rsidTr="00145497">
        <w:trPr>
          <w:trHeight w:val="65"/>
          <w:tblHeader/>
          <w:jc w:val="center"/>
        </w:trPr>
        <w:tc>
          <w:tcPr>
            <w:tcW w:w="1504" w:type="dxa"/>
            <w:shd w:val="clear" w:color="auto" w:fill="BFBFBF" w:themeFill="background1" w:themeFillShade="BF"/>
          </w:tcPr>
          <w:p w14:paraId="022BD3ED" w14:textId="77777777" w:rsidR="00783250" w:rsidRPr="007275B1" w:rsidRDefault="00783250" w:rsidP="007275B1">
            <w:pPr>
              <w:spacing w:after="0" w:line="240" w:lineRule="auto"/>
              <w:jc w:val="center"/>
              <w:rPr>
                <w:rFonts w:ascii="ITC Avant Garde" w:hAnsi="ITC Avant Garde"/>
                <w:b/>
                <w:bCs/>
                <w:color w:val="000000"/>
                <w:sz w:val="16"/>
                <w:szCs w:val="16"/>
                <w:lang w:eastAsia="es-MX"/>
              </w:rPr>
            </w:pPr>
            <w:bookmarkStart w:id="0" w:name="_GoBack"/>
            <w:r w:rsidRPr="007275B1">
              <w:rPr>
                <w:rFonts w:ascii="ITC Avant Garde" w:hAnsi="ITC Avant Garde"/>
                <w:b/>
                <w:bCs/>
                <w:color w:val="000000"/>
                <w:sz w:val="16"/>
                <w:szCs w:val="16"/>
                <w:lang w:eastAsia="es-MX"/>
              </w:rPr>
              <w:t>Grupo</w:t>
            </w:r>
          </w:p>
        </w:tc>
        <w:tc>
          <w:tcPr>
            <w:tcW w:w="1504" w:type="dxa"/>
            <w:shd w:val="clear" w:color="auto" w:fill="BFBFBF" w:themeFill="background1" w:themeFillShade="BF"/>
          </w:tcPr>
          <w:p w14:paraId="666DD282" w14:textId="77777777" w:rsidR="00783250" w:rsidRPr="007275B1" w:rsidRDefault="00783250" w:rsidP="007275B1">
            <w:pPr>
              <w:spacing w:after="0" w:line="240" w:lineRule="auto"/>
              <w:jc w:val="center"/>
              <w:rPr>
                <w:rFonts w:ascii="ITC Avant Garde" w:hAnsi="ITC Avant Garde"/>
                <w:b/>
                <w:bCs/>
                <w:color w:val="000000"/>
                <w:sz w:val="16"/>
                <w:szCs w:val="16"/>
                <w:lang w:eastAsia="es-MX"/>
              </w:rPr>
            </w:pPr>
            <w:r w:rsidRPr="007275B1">
              <w:rPr>
                <w:rFonts w:ascii="ITC Avant Garde" w:hAnsi="ITC Avant Garde"/>
                <w:b/>
                <w:bCs/>
                <w:color w:val="000000"/>
                <w:sz w:val="16"/>
                <w:szCs w:val="16"/>
                <w:lang w:eastAsia="es-MX"/>
              </w:rPr>
              <w:t>Rx [MHz]</w:t>
            </w:r>
          </w:p>
        </w:tc>
        <w:tc>
          <w:tcPr>
            <w:tcW w:w="1807" w:type="dxa"/>
            <w:shd w:val="clear" w:color="auto" w:fill="BFBFBF" w:themeFill="background1" w:themeFillShade="BF"/>
          </w:tcPr>
          <w:p w14:paraId="1E31B3E6" w14:textId="77777777" w:rsidR="00783250" w:rsidRPr="007275B1" w:rsidRDefault="00783250" w:rsidP="007275B1">
            <w:pPr>
              <w:spacing w:after="0" w:line="240" w:lineRule="auto"/>
              <w:jc w:val="center"/>
              <w:rPr>
                <w:rFonts w:ascii="ITC Avant Garde" w:hAnsi="ITC Avant Garde"/>
                <w:b/>
                <w:bCs/>
                <w:color w:val="000000"/>
                <w:sz w:val="16"/>
                <w:szCs w:val="16"/>
                <w:lang w:eastAsia="es-MX"/>
              </w:rPr>
            </w:pPr>
            <w:r w:rsidRPr="007275B1">
              <w:rPr>
                <w:rFonts w:ascii="ITC Avant Garde" w:hAnsi="ITC Avant Garde"/>
                <w:b/>
                <w:bCs/>
                <w:color w:val="000000"/>
                <w:sz w:val="16"/>
                <w:szCs w:val="16"/>
                <w:lang w:eastAsia="es-MX"/>
              </w:rPr>
              <w:t>Tx [MHz]</w:t>
            </w:r>
          </w:p>
        </w:tc>
      </w:tr>
      <w:tr w:rsidR="007275B1" w:rsidRPr="007275B1" w14:paraId="1F2955BF" w14:textId="77777777" w:rsidTr="007275B1">
        <w:trPr>
          <w:trHeight w:val="126"/>
          <w:jc w:val="center"/>
        </w:trPr>
        <w:tc>
          <w:tcPr>
            <w:tcW w:w="1504" w:type="dxa"/>
          </w:tcPr>
          <w:p w14:paraId="73D2741F"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17</w:t>
            </w:r>
          </w:p>
        </w:tc>
        <w:tc>
          <w:tcPr>
            <w:tcW w:w="1504" w:type="dxa"/>
          </w:tcPr>
          <w:p w14:paraId="6BBDB3E2"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412.025</w:t>
            </w:r>
          </w:p>
        </w:tc>
        <w:tc>
          <w:tcPr>
            <w:tcW w:w="1807" w:type="dxa"/>
          </w:tcPr>
          <w:p w14:paraId="67AAD139"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422.025</w:t>
            </w:r>
          </w:p>
        </w:tc>
      </w:tr>
      <w:tr w:rsidR="007275B1" w:rsidRPr="007275B1" w14:paraId="3B8E52A9" w14:textId="77777777" w:rsidTr="007275B1">
        <w:trPr>
          <w:trHeight w:val="64"/>
          <w:jc w:val="center"/>
        </w:trPr>
        <w:tc>
          <w:tcPr>
            <w:tcW w:w="1504" w:type="dxa"/>
          </w:tcPr>
          <w:p w14:paraId="0FCB324B" w14:textId="60CEA9D6"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17</w:t>
            </w:r>
          </w:p>
        </w:tc>
        <w:tc>
          <w:tcPr>
            <w:tcW w:w="1504" w:type="dxa"/>
          </w:tcPr>
          <w:p w14:paraId="015519AD"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412.225</w:t>
            </w:r>
          </w:p>
        </w:tc>
        <w:tc>
          <w:tcPr>
            <w:tcW w:w="1807" w:type="dxa"/>
          </w:tcPr>
          <w:p w14:paraId="38C6BEB1"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422.225</w:t>
            </w:r>
          </w:p>
        </w:tc>
      </w:tr>
      <w:tr w:rsidR="007275B1" w:rsidRPr="007275B1" w14:paraId="7E6F612B" w14:textId="77777777" w:rsidTr="007275B1">
        <w:trPr>
          <w:trHeight w:val="65"/>
          <w:jc w:val="center"/>
        </w:trPr>
        <w:tc>
          <w:tcPr>
            <w:tcW w:w="1504" w:type="dxa"/>
          </w:tcPr>
          <w:p w14:paraId="5E05F1D6" w14:textId="73565081"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17</w:t>
            </w:r>
          </w:p>
        </w:tc>
        <w:tc>
          <w:tcPr>
            <w:tcW w:w="1504" w:type="dxa"/>
          </w:tcPr>
          <w:p w14:paraId="251B93C8"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412.425</w:t>
            </w:r>
          </w:p>
        </w:tc>
        <w:tc>
          <w:tcPr>
            <w:tcW w:w="1807" w:type="dxa"/>
          </w:tcPr>
          <w:p w14:paraId="2E012EDB"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422.425</w:t>
            </w:r>
          </w:p>
        </w:tc>
      </w:tr>
      <w:tr w:rsidR="007275B1" w:rsidRPr="007275B1" w14:paraId="7396C0C1" w14:textId="77777777" w:rsidTr="007275B1">
        <w:trPr>
          <w:trHeight w:val="67"/>
          <w:jc w:val="center"/>
        </w:trPr>
        <w:tc>
          <w:tcPr>
            <w:tcW w:w="1504" w:type="dxa"/>
          </w:tcPr>
          <w:p w14:paraId="11EFB81E" w14:textId="515B55EE"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17</w:t>
            </w:r>
          </w:p>
        </w:tc>
        <w:tc>
          <w:tcPr>
            <w:tcW w:w="1504" w:type="dxa"/>
          </w:tcPr>
          <w:p w14:paraId="3477165D"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412.625</w:t>
            </w:r>
          </w:p>
        </w:tc>
        <w:tc>
          <w:tcPr>
            <w:tcW w:w="1807" w:type="dxa"/>
          </w:tcPr>
          <w:p w14:paraId="57A1C1DB"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422.625</w:t>
            </w:r>
          </w:p>
        </w:tc>
      </w:tr>
      <w:tr w:rsidR="007275B1" w:rsidRPr="007275B1" w14:paraId="54BC0447" w14:textId="77777777" w:rsidTr="007275B1">
        <w:trPr>
          <w:trHeight w:val="54"/>
          <w:jc w:val="center"/>
        </w:trPr>
        <w:tc>
          <w:tcPr>
            <w:tcW w:w="1504" w:type="dxa"/>
          </w:tcPr>
          <w:p w14:paraId="796D8FEA" w14:textId="37FC690C"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17</w:t>
            </w:r>
          </w:p>
        </w:tc>
        <w:tc>
          <w:tcPr>
            <w:tcW w:w="1504" w:type="dxa"/>
          </w:tcPr>
          <w:p w14:paraId="7B37021C"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412.825</w:t>
            </w:r>
          </w:p>
        </w:tc>
        <w:tc>
          <w:tcPr>
            <w:tcW w:w="1807" w:type="dxa"/>
          </w:tcPr>
          <w:p w14:paraId="0858E0FD"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422.825</w:t>
            </w:r>
          </w:p>
        </w:tc>
      </w:tr>
      <w:tr w:rsidR="007275B1" w:rsidRPr="007275B1" w14:paraId="786E6777" w14:textId="77777777" w:rsidTr="007275B1">
        <w:trPr>
          <w:trHeight w:val="65"/>
          <w:jc w:val="center"/>
        </w:trPr>
        <w:tc>
          <w:tcPr>
            <w:tcW w:w="1504" w:type="dxa"/>
          </w:tcPr>
          <w:p w14:paraId="4BFD04BD"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18</w:t>
            </w:r>
          </w:p>
        </w:tc>
        <w:tc>
          <w:tcPr>
            <w:tcW w:w="1504" w:type="dxa"/>
          </w:tcPr>
          <w:p w14:paraId="44ABA48C"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412.050</w:t>
            </w:r>
          </w:p>
        </w:tc>
        <w:tc>
          <w:tcPr>
            <w:tcW w:w="1807" w:type="dxa"/>
          </w:tcPr>
          <w:p w14:paraId="07D45931"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422.050</w:t>
            </w:r>
          </w:p>
        </w:tc>
      </w:tr>
      <w:tr w:rsidR="007275B1" w:rsidRPr="007275B1" w14:paraId="086B1105" w14:textId="77777777" w:rsidTr="007275B1">
        <w:trPr>
          <w:trHeight w:val="65"/>
          <w:jc w:val="center"/>
        </w:trPr>
        <w:tc>
          <w:tcPr>
            <w:tcW w:w="1504" w:type="dxa"/>
          </w:tcPr>
          <w:p w14:paraId="3E84490D" w14:textId="0B0F5295"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18</w:t>
            </w:r>
          </w:p>
        </w:tc>
        <w:tc>
          <w:tcPr>
            <w:tcW w:w="1504" w:type="dxa"/>
          </w:tcPr>
          <w:p w14:paraId="73F34545"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412.250</w:t>
            </w:r>
          </w:p>
        </w:tc>
        <w:tc>
          <w:tcPr>
            <w:tcW w:w="1807" w:type="dxa"/>
          </w:tcPr>
          <w:p w14:paraId="56B56831"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422.250</w:t>
            </w:r>
          </w:p>
        </w:tc>
      </w:tr>
      <w:tr w:rsidR="007275B1" w:rsidRPr="007275B1" w14:paraId="04A194B8" w14:textId="77777777" w:rsidTr="007275B1">
        <w:trPr>
          <w:trHeight w:val="67"/>
          <w:jc w:val="center"/>
        </w:trPr>
        <w:tc>
          <w:tcPr>
            <w:tcW w:w="1504" w:type="dxa"/>
          </w:tcPr>
          <w:p w14:paraId="0E78B1E7" w14:textId="65DFD340"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18</w:t>
            </w:r>
          </w:p>
        </w:tc>
        <w:tc>
          <w:tcPr>
            <w:tcW w:w="1504" w:type="dxa"/>
          </w:tcPr>
          <w:p w14:paraId="474DB087"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412.450</w:t>
            </w:r>
          </w:p>
        </w:tc>
        <w:tc>
          <w:tcPr>
            <w:tcW w:w="1807" w:type="dxa"/>
          </w:tcPr>
          <w:p w14:paraId="0A79FB12"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422.450</w:t>
            </w:r>
          </w:p>
        </w:tc>
      </w:tr>
      <w:tr w:rsidR="007275B1" w:rsidRPr="007275B1" w14:paraId="5330357D" w14:textId="77777777" w:rsidTr="007275B1">
        <w:trPr>
          <w:trHeight w:val="65"/>
          <w:jc w:val="center"/>
        </w:trPr>
        <w:tc>
          <w:tcPr>
            <w:tcW w:w="1504" w:type="dxa"/>
          </w:tcPr>
          <w:p w14:paraId="45D30CA4" w14:textId="56B83622"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18</w:t>
            </w:r>
          </w:p>
        </w:tc>
        <w:tc>
          <w:tcPr>
            <w:tcW w:w="1504" w:type="dxa"/>
          </w:tcPr>
          <w:p w14:paraId="4C98D974"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412.650</w:t>
            </w:r>
          </w:p>
        </w:tc>
        <w:tc>
          <w:tcPr>
            <w:tcW w:w="1807" w:type="dxa"/>
          </w:tcPr>
          <w:p w14:paraId="1EDB03DF"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422.650</w:t>
            </w:r>
          </w:p>
        </w:tc>
      </w:tr>
      <w:tr w:rsidR="007275B1" w:rsidRPr="007275B1" w14:paraId="1658249F" w14:textId="77777777" w:rsidTr="007275B1">
        <w:trPr>
          <w:trHeight w:val="77"/>
          <w:jc w:val="center"/>
        </w:trPr>
        <w:tc>
          <w:tcPr>
            <w:tcW w:w="1504" w:type="dxa"/>
          </w:tcPr>
          <w:p w14:paraId="7B80CE14" w14:textId="7401A82A"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18</w:t>
            </w:r>
          </w:p>
        </w:tc>
        <w:tc>
          <w:tcPr>
            <w:tcW w:w="1504" w:type="dxa"/>
          </w:tcPr>
          <w:p w14:paraId="176ED505"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412.850</w:t>
            </w:r>
          </w:p>
        </w:tc>
        <w:tc>
          <w:tcPr>
            <w:tcW w:w="1807" w:type="dxa"/>
          </w:tcPr>
          <w:p w14:paraId="11EEEF1F" w14:textId="77777777" w:rsidR="007275B1" w:rsidRPr="007275B1" w:rsidRDefault="007275B1" w:rsidP="007275B1">
            <w:pPr>
              <w:spacing w:after="0" w:line="240" w:lineRule="auto"/>
              <w:jc w:val="center"/>
              <w:rPr>
                <w:rFonts w:ascii="ITC Avant Garde" w:hAnsi="ITC Avant Garde"/>
                <w:bCs/>
                <w:color w:val="000000"/>
                <w:sz w:val="16"/>
                <w:szCs w:val="16"/>
                <w:lang w:eastAsia="es-MX"/>
              </w:rPr>
            </w:pPr>
            <w:r w:rsidRPr="007275B1">
              <w:rPr>
                <w:rFonts w:ascii="ITC Avant Garde" w:hAnsi="ITC Avant Garde"/>
                <w:bCs/>
                <w:color w:val="000000"/>
                <w:sz w:val="16"/>
                <w:szCs w:val="16"/>
                <w:lang w:eastAsia="es-MX"/>
              </w:rPr>
              <w:t>422.850</w:t>
            </w:r>
          </w:p>
        </w:tc>
      </w:tr>
    </w:tbl>
    <w:bookmarkEnd w:id="0"/>
    <w:p w14:paraId="4EDA6099" w14:textId="5140CDCA" w:rsidR="00B15D4E" w:rsidRPr="003F1943" w:rsidRDefault="00323D06" w:rsidP="006C3838">
      <w:pPr>
        <w:autoSpaceDE w:val="0"/>
        <w:autoSpaceDN w:val="0"/>
        <w:adjustRightInd w:val="0"/>
        <w:spacing w:before="240" w:line="240" w:lineRule="auto"/>
        <w:jc w:val="both"/>
        <w:rPr>
          <w:rFonts w:ascii="ITC Avant Garde" w:hAnsi="ITC Avant Garde"/>
          <w:bCs/>
          <w:lang w:val="es-ES_tradnl"/>
        </w:rPr>
      </w:pPr>
      <w:r w:rsidRPr="00941869">
        <w:rPr>
          <w:rFonts w:ascii="ITC Avant Garde" w:hAnsi="ITC Avant Garde"/>
          <w:b/>
          <w:bCs/>
          <w:lang w:val="es-ES_tradnl"/>
        </w:rPr>
        <w:t>SEGUNDO</w:t>
      </w:r>
      <w:r w:rsidR="00885127" w:rsidRPr="00941869">
        <w:rPr>
          <w:rFonts w:ascii="ITC Avant Garde" w:hAnsi="ITC Avant Garde"/>
          <w:b/>
          <w:bCs/>
          <w:lang w:val="es-ES_tradnl"/>
        </w:rPr>
        <w:t>.-</w:t>
      </w:r>
      <w:r w:rsidR="00885127" w:rsidRPr="00941869">
        <w:rPr>
          <w:rFonts w:ascii="ITC Avant Garde" w:hAnsi="ITC Avant Garde"/>
          <w:bCs/>
          <w:lang w:val="es-ES_tradnl"/>
        </w:rPr>
        <w:t xml:space="preserve"> Con la finalidad de garantizar la continuidad en la prestación de los servicios, y la migración de los usuarios, </w:t>
      </w:r>
      <w:r w:rsidR="00B944C6" w:rsidRPr="003F1943">
        <w:rPr>
          <w:rFonts w:ascii="ITC Avant Garde" w:hAnsi="ITC Avant Garde"/>
          <w:bCs/>
          <w:color w:val="000000"/>
          <w:lang w:eastAsia="es-MX"/>
        </w:rPr>
        <w:t>Sistemas Especiales de Comunicación, S.A.</w:t>
      </w:r>
      <w:r w:rsidR="00885127" w:rsidRPr="00941869">
        <w:rPr>
          <w:rFonts w:ascii="ITC Avant Garde" w:hAnsi="ITC Avant Garde"/>
          <w:bCs/>
          <w:lang w:val="es-ES_tradnl"/>
        </w:rPr>
        <w:t xml:space="preserve"> tendrá un plazo </w:t>
      </w:r>
      <w:r w:rsidR="00885127" w:rsidRPr="00C55906">
        <w:rPr>
          <w:rFonts w:ascii="ITC Avant Garde" w:hAnsi="ITC Avant Garde"/>
          <w:bCs/>
          <w:lang w:val="es-ES_tradnl"/>
        </w:rPr>
        <w:t xml:space="preserve">de </w:t>
      </w:r>
      <w:r w:rsidR="00C55906" w:rsidRPr="00C55906">
        <w:rPr>
          <w:rFonts w:ascii="ITC Avant Garde" w:hAnsi="ITC Avant Garde"/>
          <w:bCs/>
          <w:lang w:val="es-ES_tradnl"/>
        </w:rPr>
        <w:t>30</w:t>
      </w:r>
      <w:r w:rsidR="00885127" w:rsidRPr="00C55906">
        <w:rPr>
          <w:rFonts w:ascii="ITC Avant Garde" w:hAnsi="ITC Avant Garde"/>
          <w:bCs/>
          <w:lang w:val="es-ES_tradnl"/>
        </w:rPr>
        <w:t xml:space="preserve"> (</w:t>
      </w:r>
      <w:r w:rsidR="00C55906" w:rsidRPr="00C55906">
        <w:rPr>
          <w:rFonts w:ascii="ITC Avant Garde" w:hAnsi="ITC Avant Garde"/>
          <w:bCs/>
          <w:lang w:val="es-ES_tradnl"/>
        </w:rPr>
        <w:t>treinta</w:t>
      </w:r>
      <w:r w:rsidR="00885127" w:rsidRPr="00C55906">
        <w:rPr>
          <w:rFonts w:ascii="ITC Avant Garde" w:hAnsi="ITC Avant Garde"/>
          <w:bCs/>
          <w:lang w:val="es-ES_tradnl"/>
        </w:rPr>
        <w:t>)</w:t>
      </w:r>
      <w:r w:rsidR="00885127" w:rsidRPr="00941869">
        <w:rPr>
          <w:rFonts w:ascii="ITC Avant Garde" w:hAnsi="ITC Avant Garde"/>
          <w:bCs/>
          <w:lang w:val="es-ES_tradnl"/>
        </w:rPr>
        <w:t xml:space="preserve"> días </w:t>
      </w:r>
      <w:r w:rsidR="00C55906">
        <w:rPr>
          <w:rFonts w:ascii="ITC Avant Garde" w:hAnsi="ITC Avant Garde"/>
          <w:bCs/>
          <w:lang w:val="es-ES_tradnl"/>
        </w:rPr>
        <w:t>naturales</w:t>
      </w:r>
      <w:r w:rsidR="00885127" w:rsidRPr="00941869">
        <w:rPr>
          <w:rFonts w:ascii="ITC Avant Garde" w:hAnsi="ITC Avant Garde"/>
          <w:bCs/>
          <w:lang w:val="es-ES_tradnl"/>
        </w:rPr>
        <w:t xml:space="preserve">, contados a partir </w:t>
      </w:r>
      <w:r w:rsidR="009C1A0D" w:rsidRPr="00941869">
        <w:rPr>
          <w:rFonts w:ascii="ITC Avant Garde" w:hAnsi="ITC Avant Garde"/>
          <w:bCs/>
          <w:lang w:val="es-ES_tradnl"/>
        </w:rPr>
        <w:t xml:space="preserve">del día siguiente a aquel en que haya surtido efectos la notificación de la presente Resolución, para </w:t>
      </w:r>
      <w:r w:rsidR="00F004BC" w:rsidRPr="00941869">
        <w:rPr>
          <w:rFonts w:ascii="ITC Avant Garde" w:hAnsi="ITC Avant Garde"/>
          <w:bCs/>
          <w:lang w:val="es-ES_tradnl"/>
        </w:rPr>
        <w:t xml:space="preserve">llevar a cabo el cambio de bandas autorizado en </w:t>
      </w:r>
      <w:r w:rsidR="00B944C6" w:rsidRPr="00941869">
        <w:rPr>
          <w:rFonts w:ascii="ITC Avant Garde" w:hAnsi="ITC Avant Garde"/>
          <w:bCs/>
          <w:lang w:val="es-ES_tradnl"/>
        </w:rPr>
        <w:t xml:space="preserve">el </w:t>
      </w:r>
      <w:r w:rsidR="00F004BC" w:rsidRPr="00941869">
        <w:rPr>
          <w:rFonts w:ascii="ITC Avant Garde" w:hAnsi="ITC Avant Garde"/>
          <w:bCs/>
          <w:lang w:val="es-ES_tradnl"/>
        </w:rPr>
        <w:t xml:space="preserve">Resolutivo Primero </w:t>
      </w:r>
      <w:r w:rsidR="00B944C6" w:rsidRPr="00941869">
        <w:rPr>
          <w:rFonts w:ascii="ITC Avant Garde" w:hAnsi="ITC Avant Garde"/>
          <w:bCs/>
          <w:lang w:val="es-ES_tradnl"/>
        </w:rPr>
        <w:t>an</w:t>
      </w:r>
      <w:r w:rsidR="00F004BC" w:rsidRPr="00941869">
        <w:rPr>
          <w:rFonts w:ascii="ITC Avant Garde" w:hAnsi="ITC Avant Garde"/>
          <w:bCs/>
          <w:lang w:val="es-ES_tradnl"/>
        </w:rPr>
        <w:t>terior.</w:t>
      </w:r>
    </w:p>
    <w:p w14:paraId="083DF472" w14:textId="04D524C4" w:rsidR="00F004BC" w:rsidRDefault="00F004BC" w:rsidP="006C3838">
      <w:pPr>
        <w:autoSpaceDE w:val="0"/>
        <w:autoSpaceDN w:val="0"/>
        <w:adjustRightInd w:val="0"/>
        <w:spacing w:before="240" w:line="240" w:lineRule="auto"/>
        <w:jc w:val="both"/>
        <w:rPr>
          <w:rFonts w:ascii="ITC Avant Garde" w:hAnsi="ITC Avant Garde"/>
          <w:bCs/>
          <w:lang w:val="es-ES_tradnl"/>
        </w:rPr>
      </w:pPr>
      <w:r w:rsidRPr="00941869">
        <w:rPr>
          <w:rFonts w:ascii="ITC Avant Garde" w:hAnsi="ITC Avant Garde"/>
          <w:bCs/>
          <w:lang w:val="es-ES_tradnl"/>
        </w:rPr>
        <w:t xml:space="preserve">Este plazo podrá ser prorrogado hasta por una única ocasión por el Titular de la Unidad de Concesiones y Servicios, </w:t>
      </w:r>
      <w:r w:rsidR="00D94A35" w:rsidRPr="00941869">
        <w:rPr>
          <w:rFonts w:ascii="ITC Avant Garde" w:hAnsi="ITC Avant Garde"/>
          <w:bCs/>
          <w:lang w:val="es-ES_tradnl"/>
        </w:rPr>
        <w:t xml:space="preserve">de conformidad con lo señalado en la Ley Federal de Procedimiento Administrativo, </w:t>
      </w:r>
      <w:r w:rsidRPr="00941869">
        <w:rPr>
          <w:rFonts w:ascii="ITC Avant Garde" w:hAnsi="ITC Avant Garde"/>
          <w:bCs/>
          <w:lang w:val="es-ES_tradnl"/>
        </w:rPr>
        <w:t xml:space="preserve">siempre y cuando </w:t>
      </w:r>
      <w:r w:rsidR="00B944C6" w:rsidRPr="003F1943">
        <w:rPr>
          <w:rFonts w:ascii="ITC Avant Garde" w:hAnsi="ITC Avant Garde"/>
          <w:bCs/>
          <w:color w:val="000000"/>
          <w:lang w:eastAsia="es-MX"/>
        </w:rPr>
        <w:t>Sistemas Especiales de Comunicación, S.A.</w:t>
      </w:r>
      <w:r w:rsidR="00B944C6" w:rsidRPr="00941869">
        <w:rPr>
          <w:rFonts w:ascii="ITC Avant Garde" w:hAnsi="ITC Avant Garde"/>
          <w:bCs/>
          <w:lang w:val="es-ES_tradnl"/>
        </w:rPr>
        <w:t xml:space="preserve"> </w:t>
      </w:r>
      <w:r w:rsidRPr="00941869">
        <w:rPr>
          <w:rFonts w:ascii="ITC Avant Garde" w:hAnsi="ITC Avant Garde"/>
          <w:bCs/>
          <w:lang w:val="es-ES_tradnl"/>
        </w:rPr>
        <w:t>justifique las razones para solicitar la prórroga.</w:t>
      </w:r>
      <w:r>
        <w:rPr>
          <w:rFonts w:ascii="ITC Avant Garde" w:hAnsi="ITC Avant Garde"/>
          <w:bCs/>
          <w:lang w:val="es-ES_tradnl"/>
        </w:rPr>
        <w:t xml:space="preserve"> </w:t>
      </w:r>
    </w:p>
    <w:p w14:paraId="5A79EB84" w14:textId="33EA194E" w:rsidR="00F004BC" w:rsidRDefault="00765637" w:rsidP="006C3838">
      <w:pPr>
        <w:autoSpaceDE w:val="0"/>
        <w:autoSpaceDN w:val="0"/>
        <w:adjustRightInd w:val="0"/>
        <w:spacing w:before="240" w:line="240" w:lineRule="auto"/>
        <w:jc w:val="both"/>
        <w:rPr>
          <w:rFonts w:ascii="ITC Avant Garde" w:hAnsi="ITC Avant Garde"/>
          <w:bCs/>
          <w:lang w:val="es-ES_tradnl"/>
        </w:rPr>
      </w:pPr>
      <w:r w:rsidRPr="00941869">
        <w:rPr>
          <w:rFonts w:ascii="ITC Avant Garde" w:hAnsi="ITC Avant Garde"/>
          <w:b/>
          <w:bCs/>
          <w:lang w:val="es-ES_tradnl"/>
        </w:rPr>
        <w:t>TERCERO</w:t>
      </w:r>
      <w:r w:rsidR="00EF31F7" w:rsidRPr="00941869">
        <w:rPr>
          <w:rFonts w:ascii="ITC Avant Garde" w:hAnsi="ITC Avant Garde"/>
          <w:b/>
          <w:bCs/>
          <w:lang w:val="es-ES_tradnl"/>
        </w:rPr>
        <w:t>.-</w:t>
      </w:r>
      <w:r w:rsidR="00EF31F7" w:rsidRPr="00941869">
        <w:rPr>
          <w:rFonts w:ascii="ITC Avant Garde" w:hAnsi="ITC Avant Garde"/>
          <w:bCs/>
          <w:lang w:val="es-ES_tradnl"/>
        </w:rPr>
        <w:t xml:space="preserve"> </w:t>
      </w:r>
      <w:r w:rsidR="00F004BC" w:rsidRPr="00941869">
        <w:rPr>
          <w:rFonts w:ascii="ITC Avant Garde" w:hAnsi="ITC Avant Garde"/>
          <w:bCs/>
          <w:lang w:val="es-ES_tradnl"/>
        </w:rPr>
        <w:t xml:space="preserve">Una vez concluido el cambio de bandas autorizado en </w:t>
      </w:r>
      <w:r w:rsidRPr="00941869">
        <w:rPr>
          <w:rFonts w:ascii="ITC Avant Garde" w:hAnsi="ITC Avant Garde"/>
          <w:bCs/>
          <w:lang w:val="es-ES_tradnl"/>
        </w:rPr>
        <w:t xml:space="preserve">el </w:t>
      </w:r>
      <w:r w:rsidR="00F004BC" w:rsidRPr="00941869">
        <w:rPr>
          <w:rFonts w:ascii="ITC Avant Garde" w:hAnsi="ITC Avant Garde"/>
          <w:bCs/>
          <w:lang w:val="es-ES_tradnl"/>
        </w:rPr>
        <w:t xml:space="preserve">Resolutivo Primero de la presente Resolución, </w:t>
      </w:r>
      <w:r w:rsidRPr="003F1943">
        <w:rPr>
          <w:rFonts w:ascii="ITC Avant Garde" w:hAnsi="ITC Avant Garde"/>
          <w:bCs/>
          <w:color w:val="000000"/>
          <w:lang w:eastAsia="es-MX"/>
        </w:rPr>
        <w:t>Sistemas Especiales de Comunicación, S.A.</w:t>
      </w:r>
      <w:r w:rsidR="00F004BC" w:rsidRPr="00941869">
        <w:rPr>
          <w:rFonts w:ascii="ITC Avant Garde" w:hAnsi="ITC Avant Garde"/>
          <w:bCs/>
          <w:lang w:val="es-ES_tradnl"/>
        </w:rPr>
        <w:t xml:space="preserve"> deberá notificar tal situación al Instituto Federal de Telecomunicaciones, dentro del plazo de 3 (tres) días hábiles contados a partir de la conclusión del citado cambio.</w:t>
      </w:r>
      <w:r w:rsidR="00F004BC" w:rsidRPr="003F1943">
        <w:rPr>
          <w:rFonts w:ascii="ITC Avant Garde" w:hAnsi="ITC Avant Garde"/>
          <w:bCs/>
          <w:lang w:val="es-ES_tradnl"/>
        </w:rPr>
        <w:t xml:space="preserve"> </w:t>
      </w:r>
    </w:p>
    <w:p w14:paraId="6DD6F6C3" w14:textId="0785F8C1" w:rsidR="00577190" w:rsidRPr="00216619" w:rsidRDefault="00577190" w:rsidP="006C3838">
      <w:pPr>
        <w:spacing w:before="240" w:line="240" w:lineRule="auto"/>
        <w:jc w:val="both"/>
        <w:rPr>
          <w:rFonts w:ascii="ITC Avant Garde" w:hAnsi="ITC Avant Garde"/>
          <w:bCs/>
          <w:lang w:val="es-ES_tradnl"/>
        </w:rPr>
      </w:pPr>
      <w:r>
        <w:rPr>
          <w:rFonts w:ascii="ITC Avant Garde" w:hAnsi="ITC Avant Garde"/>
          <w:bCs/>
          <w:color w:val="000000"/>
          <w:lang w:eastAsia="es-MX"/>
        </w:rPr>
        <w:t xml:space="preserve">Una vez notificado dicho cambio, </w:t>
      </w:r>
      <w:r w:rsidRPr="00216619">
        <w:rPr>
          <w:rFonts w:ascii="ITC Avant Garde" w:hAnsi="ITC Avant Garde"/>
          <w:bCs/>
          <w:color w:val="000000"/>
          <w:lang w:eastAsia="es-MX"/>
        </w:rPr>
        <w:t>las bandas de frecuencias que le fueron</w:t>
      </w:r>
      <w:r>
        <w:rPr>
          <w:rFonts w:ascii="ITC Avant Garde" w:hAnsi="ITC Avant Garde"/>
          <w:bCs/>
          <w:color w:val="000000"/>
          <w:lang w:eastAsia="es-MX"/>
        </w:rPr>
        <w:t xml:space="preserve"> originalmente </w:t>
      </w:r>
      <w:r w:rsidRPr="00216619">
        <w:rPr>
          <w:rFonts w:ascii="ITC Avant Garde" w:hAnsi="ITC Avant Garde"/>
          <w:bCs/>
          <w:color w:val="000000"/>
          <w:lang w:eastAsia="es-MX"/>
        </w:rPr>
        <w:t xml:space="preserve"> asignadas</w:t>
      </w:r>
      <w:r>
        <w:rPr>
          <w:rFonts w:ascii="ITC Avant Garde" w:hAnsi="ITC Avant Garde"/>
          <w:bCs/>
          <w:color w:val="000000"/>
          <w:lang w:eastAsia="es-MX"/>
        </w:rPr>
        <w:t>,</w:t>
      </w:r>
      <w:r w:rsidRPr="00216619">
        <w:rPr>
          <w:rFonts w:ascii="ITC Avant Garde" w:hAnsi="ITC Avant Garde"/>
          <w:bCs/>
          <w:color w:val="000000"/>
          <w:lang w:eastAsia="es-MX"/>
        </w:rPr>
        <w:t xml:space="preserve"> revertirán a favor de la Nación, sin perjuicio de que el Instituto Federal de Telecomunicaciones pueda ejercer las atribuciones de verificación, supervisión y, en su caso, sanción que correspondan.</w:t>
      </w:r>
    </w:p>
    <w:p w14:paraId="2A31679A" w14:textId="6D641706" w:rsidR="006F0F2D" w:rsidRPr="00941869" w:rsidRDefault="00765637" w:rsidP="006C3838">
      <w:pPr>
        <w:autoSpaceDE w:val="0"/>
        <w:autoSpaceDN w:val="0"/>
        <w:adjustRightInd w:val="0"/>
        <w:spacing w:before="240" w:line="240" w:lineRule="auto"/>
        <w:jc w:val="both"/>
        <w:rPr>
          <w:rFonts w:ascii="ITC Avant Garde" w:hAnsi="ITC Avant Garde"/>
          <w:bCs/>
          <w:lang w:val="es-ES_tradnl"/>
        </w:rPr>
      </w:pPr>
      <w:r w:rsidRPr="00941869">
        <w:rPr>
          <w:rFonts w:ascii="ITC Avant Garde" w:hAnsi="ITC Avant Garde"/>
          <w:b/>
          <w:bCs/>
          <w:lang w:val="es-ES_tradnl"/>
        </w:rPr>
        <w:t>CUARTO</w:t>
      </w:r>
      <w:r w:rsidR="003C4E93" w:rsidRPr="00941869">
        <w:rPr>
          <w:rFonts w:ascii="ITC Avant Garde" w:hAnsi="ITC Avant Garde"/>
          <w:b/>
          <w:bCs/>
          <w:lang w:val="es-ES_tradnl"/>
        </w:rPr>
        <w:t>.-</w:t>
      </w:r>
      <w:r w:rsidR="003C4E93" w:rsidRPr="00941869">
        <w:rPr>
          <w:rFonts w:ascii="ITC Avant Garde" w:hAnsi="ITC Avant Garde"/>
          <w:bCs/>
          <w:lang w:val="es-ES_tradnl"/>
        </w:rPr>
        <w:t xml:space="preserve"> </w:t>
      </w:r>
      <w:r w:rsidR="006E21DC" w:rsidRPr="00941869">
        <w:rPr>
          <w:rFonts w:ascii="ITC Avant Garde" w:hAnsi="ITC Avant Garde"/>
          <w:bCs/>
          <w:lang w:val="es-ES_tradnl"/>
        </w:rPr>
        <w:t>Se instruye a la Unidad de Concesiones y Servicios a hacer del conocimiento de</w:t>
      </w:r>
      <w:r w:rsidR="003C4E93" w:rsidRPr="00941869">
        <w:rPr>
          <w:rFonts w:ascii="ITC Avant Garde" w:hAnsi="ITC Avant Garde"/>
          <w:bCs/>
          <w:lang w:val="es-ES_tradnl"/>
        </w:rPr>
        <w:t xml:space="preserve"> </w:t>
      </w:r>
      <w:r w:rsidR="00323D06" w:rsidRPr="00941869">
        <w:rPr>
          <w:rFonts w:ascii="ITC Avant Garde" w:hAnsi="ITC Avant Garde"/>
          <w:bCs/>
          <w:color w:val="000000"/>
          <w:lang w:eastAsia="es-MX"/>
        </w:rPr>
        <w:t>Sistemas Especiales de Comunicación, S.A.</w:t>
      </w:r>
      <w:r w:rsidR="00EF31F7" w:rsidRPr="00941869">
        <w:rPr>
          <w:rFonts w:ascii="ITC Avant Garde" w:hAnsi="ITC Avant Garde"/>
          <w:bCs/>
          <w:lang w:val="es-ES_tradnl"/>
        </w:rPr>
        <w:t xml:space="preserve">, </w:t>
      </w:r>
      <w:r w:rsidR="006E21DC" w:rsidRPr="00941869">
        <w:rPr>
          <w:rFonts w:ascii="ITC Avant Garde" w:hAnsi="ITC Avant Garde"/>
          <w:bCs/>
          <w:lang w:val="es-ES_tradnl"/>
        </w:rPr>
        <w:t xml:space="preserve">el contenido de la presente </w:t>
      </w:r>
      <w:r w:rsidR="008727EF" w:rsidRPr="00941869">
        <w:rPr>
          <w:rFonts w:ascii="ITC Avant Garde" w:hAnsi="ITC Avant Garde"/>
          <w:bCs/>
          <w:lang w:val="es-ES_tradnl"/>
        </w:rPr>
        <w:t>Resolución</w:t>
      </w:r>
      <w:r w:rsidR="00EF31F7" w:rsidRPr="00941869">
        <w:rPr>
          <w:rFonts w:ascii="ITC Avant Garde" w:hAnsi="ITC Avant Garde"/>
          <w:bCs/>
          <w:lang w:val="es-ES_tradnl"/>
        </w:rPr>
        <w:t>.</w:t>
      </w:r>
      <w:r w:rsidR="006073FE" w:rsidRPr="00941869">
        <w:rPr>
          <w:rFonts w:ascii="ITC Avant Garde" w:hAnsi="ITC Avant Garde"/>
          <w:bCs/>
          <w:lang w:val="es-ES_tradnl"/>
        </w:rPr>
        <w:t xml:space="preserve"> </w:t>
      </w:r>
    </w:p>
    <w:p w14:paraId="13ABC85E" w14:textId="4B2346EC" w:rsidR="003C4E93" w:rsidRPr="003F1943" w:rsidRDefault="00765637" w:rsidP="006C3838">
      <w:pPr>
        <w:spacing w:before="240" w:line="240" w:lineRule="auto"/>
        <w:jc w:val="both"/>
        <w:rPr>
          <w:sz w:val="20"/>
          <w:szCs w:val="20"/>
        </w:rPr>
      </w:pPr>
      <w:r w:rsidRPr="00941869">
        <w:rPr>
          <w:rFonts w:ascii="ITC Avant Garde" w:hAnsi="ITC Avant Garde"/>
          <w:b/>
          <w:bCs/>
          <w:lang w:val="es-ES_tradnl"/>
        </w:rPr>
        <w:t>QUINTO</w:t>
      </w:r>
      <w:r w:rsidR="006F0F2D" w:rsidRPr="00941869">
        <w:rPr>
          <w:rFonts w:ascii="ITC Avant Garde" w:hAnsi="ITC Avant Garde"/>
          <w:b/>
          <w:bCs/>
          <w:lang w:val="es-ES_tradnl"/>
        </w:rPr>
        <w:t>.-</w:t>
      </w:r>
      <w:r w:rsidR="006F0F2D" w:rsidRPr="00941869">
        <w:rPr>
          <w:rFonts w:ascii="ITC Avant Garde" w:hAnsi="ITC Avant Garde"/>
          <w:bCs/>
          <w:lang w:val="es-ES_tradnl"/>
        </w:rPr>
        <w:t xml:space="preserve"> </w:t>
      </w:r>
      <w:r w:rsidR="006073FE" w:rsidRPr="00941869">
        <w:rPr>
          <w:rFonts w:ascii="ITC Avant Garde" w:hAnsi="ITC Avant Garde"/>
          <w:bCs/>
          <w:lang w:val="es-ES_tradnl"/>
        </w:rPr>
        <w:t>Una vez</w:t>
      </w:r>
      <w:r w:rsidR="00C108F4" w:rsidRPr="00941869">
        <w:rPr>
          <w:rFonts w:ascii="ITC Avant Garde" w:hAnsi="ITC Avant Garde"/>
          <w:bCs/>
          <w:lang w:val="es-ES_tradnl"/>
        </w:rPr>
        <w:t xml:space="preserve"> que</w:t>
      </w:r>
      <w:r w:rsidR="006073FE" w:rsidRPr="00941869">
        <w:rPr>
          <w:rFonts w:ascii="ITC Avant Garde" w:hAnsi="ITC Avant Garde"/>
          <w:bCs/>
          <w:lang w:val="es-ES_tradnl"/>
        </w:rPr>
        <w:t xml:space="preserve"> </w:t>
      </w:r>
      <w:r w:rsidRPr="003F1943">
        <w:rPr>
          <w:rFonts w:ascii="ITC Avant Garde" w:hAnsi="ITC Avant Garde"/>
          <w:bCs/>
          <w:color w:val="000000"/>
          <w:lang w:eastAsia="es-MX"/>
        </w:rPr>
        <w:t>Sistemas Especiales de Comunicación, S.A.</w:t>
      </w:r>
      <w:r w:rsidR="006F0F2D" w:rsidRPr="00941869">
        <w:rPr>
          <w:rFonts w:ascii="ITC Avant Garde" w:hAnsi="ITC Avant Garde"/>
          <w:bCs/>
          <w:lang w:val="es-ES_tradnl"/>
        </w:rPr>
        <w:t xml:space="preserve"> presente la notificación a la que se refiere el Resolutivo </w:t>
      </w:r>
      <w:r w:rsidRPr="00941869">
        <w:rPr>
          <w:rFonts w:ascii="ITC Avant Garde" w:hAnsi="ITC Avant Garde"/>
          <w:bCs/>
          <w:lang w:val="es-ES_tradnl"/>
        </w:rPr>
        <w:t>Tercero</w:t>
      </w:r>
      <w:r w:rsidR="006F0F2D" w:rsidRPr="00941869">
        <w:rPr>
          <w:rFonts w:ascii="ITC Avant Garde" w:hAnsi="ITC Avant Garde"/>
          <w:bCs/>
          <w:lang w:val="es-ES_tradnl"/>
        </w:rPr>
        <w:t xml:space="preserve">, </w:t>
      </w:r>
      <w:r w:rsidR="003709A4" w:rsidRPr="00941869">
        <w:rPr>
          <w:rFonts w:ascii="ITC Avant Garde" w:hAnsi="ITC Avant Garde"/>
          <w:bCs/>
          <w:lang w:val="es-ES_tradnl"/>
        </w:rPr>
        <w:t>esta</w:t>
      </w:r>
      <w:r w:rsidR="00C108F4" w:rsidRPr="00941869">
        <w:rPr>
          <w:rFonts w:ascii="ITC Avant Garde" w:hAnsi="ITC Avant Garde"/>
          <w:bCs/>
          <w:lang w:val="es-ES_tradnl"/>
        </w:rPr>
        <w:t xml:space="preserve"> Resolución</w:t>
      </w:r>
      <w:r w:rsidR="006073FE" w:rsidRPr="00941869">
        <w:rPr>
          <w:rFonts w:ascii="ITC Avant Garde" w:hAnsi="ITC Avant Garde"/>
          <w:bCs/>
          <w:lang w:val="es-ES_tradnl"/>
        </w:rPr>
        <w:t xml:space="preserve"> deberá ser inscrita en el Registro Público de Concesiones y formará parte integral de</w:t>
      </w:r>
      <w:r w:rsidRPr="00941869">
        <w:rPr>
          <w:rFonts w:ascii="ITC Avant Garde" w:hAnsi="ITC Avant Garde"/>
          <w:bCs/>
          <w:lang w:val="es-ES_tradnl"/>
        </w:rPr>
        <w:t xml:space="preserve"> </w:t>
      </w:r>
      <w:r w:rsidRPr="003F1943">
        <w:rPr>
          <w:rFonts w:ascii="ITC Avant Garde" w:hAnsi="ITC Avant Garde"/>
          <w:bCs/>
          <w:color w:val="000000"/>
          <w:lang w:eastAsia="es-MX"/>
        </w:rPr>
        <w:t>de la prórroga y modificación de concesión para usar</w:t>
      </w:r>
      <w:r w:rsidRPr="00941869">
        <w:rPr>
          <w:rFonts w:ascii="ITC Avant Garde" w:hAnsi="ITC Avant Garde"/>
          <w:bCs/>
          <w:color w:val="000000"/>
          <w:lang w:eastAsia="es-MX"/>
        </w:rPr>
        <w:t>, aprovechar y explotar bandas de frecuencias del espectro radioeléctrico para usos determinados, otorgada el 16 de mayo de 2013 con una vigencia de 15 años, contados a partir del 13 de octubre de 2008, con cobertura en los estados de Sonora y Sinaloa</w:t>
      </w:r>
      <w:r w:rsidR="00EB0B29" w:rsidRPr="00941869">
        <w:rPr>
          <w:rFonts w:ascii="ITC Avant Garde" w:hAnsi="ITC Avant Garde"/>
          <w:bCs/>
          <w:lang w:val="es-ES_tradnl"/>
        </w:rPr>
        <w:t>,</w:t>
      </w:r>
      <w:r w:rsidRPr="00941869">
        <w:rPr>
          <w:rFonts w:ascii="ITC Avant Garde" w:hAnsi="ITC Avant Garde"/>
          <w:bCs/>
          <w:lang w:val="es-ES_tradnl"/>
        </w:rPr>
        <w:t xml:space="preserve"> que ostenta </w:t>
      </w:r>
      <w:r w:rsidRPr="003F1943">
        <w:rPr>
          <w:rFonts w:ascii="ITC Avant Garde" w:hAnsi="ITC Avant Garde"/>
          <w:bCs/>
          <w:color w:val="000000"/>
          <w:lang w:eastAsia="es-MX"/>
        </w:rPr>
        <w:lastRenderedPageBreak/>
        <w:t>Sistemas Especiales de Comunicación, S.A.</w:t>
      </w:r>
      <w:r w:rsidR="00AD74CC" w:rsidRPr="00941869">
        <w:rPr>
          <w:rFonts w:ascii="ITC Avant Garde" w:hAnsi="ITC Avant Garde"/>
          <w:bCs/>
          <w:lang w:val="es-ES_tradnl"/>
        </w:rPr>
        <w:t>, y cuyas obligaciones subsisten en todos sus términos.</w:t>
      </w:r>
    </w:p>
    <w:p w14:paraId="18C689E5" w14:textId="39AF3E1E" w:rsidR="006E21DC" w:rsidRPr="003F1943" w:rsidRDefault="00E43D42" w:rsidP="006C3838">
      <w:pPr>
        <w:autoSpaceDE w:val="0"/>
        <w:autoSpaceDN w:val="0"/>
        <w:adjustRightInd w:val="0"/>
        <w:spacing w:before="240" w:line="240" w:lineRule="auto"/>
        <w:jc w:val="both"/>
        <w:rPr>
          <w:rFonts w:ascii="ITC Avant Garde" w:hAnsi="ITC Avant Garde"/>
          <w:bCs/>
          <w:lang w:val="es-ES_tradnl"/>
        </w:rPr>
      </w:pPr>
      <w:r w:rsidRPr="00941869">
        <w:rPr>
          <w:rFonts w:ascii="ITC Avant Garde" w:hAnsi="ITC Avant Garde"/>
          <w:b/>
          <w:bCs/>
          <w:lang w:val="es-ES_tradnl"/>
        </w:rPr>
        <w:t>SEXTO</w:t>
      </w:r>
      <w:r w:rsidR="006E21DC" w:rsidRPr="00941869">
        <w:rPr>
          <w:rFonts w:ascii="ITC Avant Garde" w:hAnsi="ITC Avant Garde"/>
          <w:b/>
          <w:bCs/>
          <w:lang w:val="es-ES_tradnl"/>
        </w:rPr>
        <w:t>.-</w:t>
      </w:r>
      <w:r w:rsidR="006E21DC" w:rsidRPr="00941869">
        <w:rPr>
          <w:rFonts w:ascii="ITC Avant Garde" w:hAnsi="ITC Avant Garde"/>
          <w:bCs/>
          <w:lang w:val="es-ES_tradnl"/>
        </w:rPr>
        <w:t xml:space="preserve"> Se instruye a la </w:t>
      </w:r>
      <w:r w:rsidR="006A0BF7" w:rsidRPr="00941869">
        <w:rPr>
          <w:rFonts w:ascii="ITC Avant Garde" w:hAnsi="ITC Avant Garde"/>
          <w:bCs/>
          <w:lang w:val="es-ES_tradnl"/>
        </w:rPr>
        <w:t>Secretaría Técnica del Pleno a hacer del conocimiento de las Unidades de Espectro Radioeléctrico</w:t>
      </w:r>
      <w:r w:rsidRPr="00941869">
        <w:rPr>
          <w:rFonts w:ascii="ITC Avant Garde" w:hAnsi="ITC Avant Garde"/>
          <w:bCs/>
          <w:lang w:val="es-ES_tradnl"/>
        </w:rPr>
        <w:t xml:space="preserve"> y</w:t>
      </w:r>
      <w:r w:rsidR="006A0BF7" w:rsidRPr="00941869">
        <w:rPr>
          <w:rFonts w:ascii="ITC Avant Garde" w:hAnsi="ITC Avant Garde"/>
          <w:bCs/>
          <w:lang w:val="es-ES_tradnl"/>
        </w:rPr>
        <w:t xml:space="preserve"> de Cumplimiento el contenido de la presente Resolución para los efectos conducentes.</w:t>
      </w:r>
      <w:r w:rsidR="006A0BF7" w:rsidRPr="003F1943">
        <w:rPr>
          <w:rFonts w:ascii="ITC Avant Garde" w:hAnsi="ITC Avant Garde"/>
          <w:bCs/>
          <w:lang w:val="es-ES_tradnl"/>
        </w:rPr>
        <w:t xml:space="preserve"> </w:t>
      </w:r>
    </w:p>
    <w:p w14:paraId="2017DE1C" w14:textId="77777777" w:rsidR="0082253E" w:rsidRPr="0082253E" w:rsidRDefault="0082253E" w:rsidP="0082253E">
      <w:pPr>
        <w:pStyle w:val="Sinespaciado"/>
        <w:jc w:val="both"/>
        <w:rPr>
          <w:rFonts w:ascii="ITC Avant Garde" w:hAnsi="ITC Avant Garde"/>
          <w:sz w:val="14"/>
        </w:rPr>
      </w:pPr>
      <w:r w:rsidRPr="0082253E">
        <w:rPr>
          <w:rFonts w:ascii="ITC Avant Garde" w:hAnsi="ITC Avant Garde"/>
          <w:sz w:val="14"/>
        </w:rPr>
        <w:t>La presente Resolución fue aprobada por el Pleno del Instituto Federal de Telecomunicaciones en su XIII Sesión Ordinaria celebrada el 18 de mayo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P/IFT/180516/223.</w:t>
      </w:r>
    </w:p>
    <w:sectPr w:rsidR="0082253E" w:rsidRPr="0082253E" w:rsidSect="00EF024D">
      <w:pgSz w:w="12240" w:h="15840"/>
      <w:pgMar w:top="2127" w:right="1750" w:bottom="1418" w:left="1701"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D50BE" w14:textId="77777777" w:rsidR="007D6519" w:rsidRDefault="007D6519" w:rsidP="00072BC8">
      <w:pPr>
        <w:spacing w:after="0" w:line="240" w:lineRule="auto"/>
      </w:pPr>
      <w:r>
        <w:separator/>
      </w:r>
    </w:p>
  </w:endnote>
  <w:endnote w:type="continuationSeparator" w:id="0">
    <w:p w14:paraId="3431A3D3" w14:textId="77777777" w:rsidR="007D6519" w:rsidRDefault="007D6519"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36825"/>
      <w:docPartObj>
        <w:docPartGallery w:val="Page Numbers (Bottom of Page)"/>
        <w:docPartUnique/>
      </w:docPartObj>
    </w:sdtPr>
    <w:sdtEndPr>
      <w:rPr>
        <w:rFonts w:ascii="ITC Avant Garde" w:hAnsi="ITC Avant Garde"/>
        <w:sz w:val="20"/>
        <w:szCs w:val="20"/>
      </w:rPr>
    </w:sdtEndPr>
    <w:sdtContent>
      <w:p w14:paraId="3DB37F54" w14:textId="6F87B44D" w:rsidR="008974A7" w:rsidRPr="008974A7" w:rsidRDefault="008974A7">
        <w:pPr>
          <w:pStyle w:val="Piedepgina"/>
          <w:jc w:val="right"/>
          <w:rPr>
            <w:rFonts w:ascii="ITC Avant Garde" w:hAnsi="ITC Avant Garde"/>
            <w:sz w:val="20"/>
            <w:szCs w:val="20"/>
          </w:rPr>
        </w:pPr>
        <w:r w:rsidRPr="008974A7">
          <w:rPr>
            <w:rFonts w:ascii="ITC Avant Garde" w:hAnsi="ITC Avant Garde"/>
            <w:sz w:val="20"/>
            <w:szCs w:val="20"/>
          </w:rPr>
          <w:fldChar w:fldCharType="begin"/>
        </w:r>
        <w:r w:rsidRPr="008974A7">
          <w:rPr>
            <w:rFonts w:ascii="ITC Avant Garde" w:hAnsi="ITC Avant Garde"/>
            <w:sz w:val="20"/>
            <w:szCs w:val="20"/>
          </w:rPr>
          <w:instrText>PAGE   \* MERGEFORMAT</w:instrText>
        </w:r>
        <w:r w:rsidRPr="008974A7">
          <w:rPr>
            <w:rFonts w:ascii="ITC Avant Garde" w:hAnsi="ITC Avant Garde"/>
            <w:sz w:val="20"/>
            <w:szCs w:val="20"/>
          </w:rPr>
          <w:fldChar w:fldCharType="separate"/>
        </w:r>
        <w:r w:rsidR="00FD1966" w:rsidRPr="00FD1966">
          <w:rPr>
            <w:rFonts w:ascii="ITC Avant Garde" w:hAnsi="ITC Avant Garde"/>
            <w:noProof/>
            <w:sz w:val="20"/>
            <w:szCs w:val="20"/>
            <w:lang w:val="es-ES"/>
          </w:rPr>
          <w:t>12</w:t>
        </w:r>
        <w:r w:rsidRPr="008974A7">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027FC" w14:textId="77777777" w:rsidR="007D6519" w:rsidRDefault="007D6519" w:rsidP="00072BC8">
      <w:pPr>
        <w:spacing w:after="0" w:line="240" w:lineRule="auto"/>
      </w:pPr>
      <w:r>
        <w:separator/>
      </w:r>
    </w:p>
  </w:footnote>
  <w:footnote w:type="continuationSeparator" w:id="0">
    <w:p w14:paraId="3D3A4339" w14:textId="77777777" w:rsidR="007D6519" w:rsidRDefault="007D6519" w:rsidP="00072BC8">
      <w:pPr>
        <w:spacing w:after="0" w:line="240" w:lineRule="auto"/>
      </w:pPr>
      <w:r>
        <w:continuationSeparator/>
      </w:r>
    </w:p>
  </w:footnote>
  <w:footnote w:id="1">
    <w:p w14:paraId="30A5BF1D" w14:textId="77777777" w:rsidR="005773A8" w:rsidRPr="00941869" w:rsidRDefault="005773A8" w:rsidP="005773A8">
      <w:pPr>
        <w:pStyle w:val="Textonotapie"/>
        <w:jc w:val="both"/>
        <w:rPr>
          <w:i/>
          <w:sz w:val="16"/>
          <w:szCs w:val="16"/>
        </w:rPr>
      </w:pPr>
      <w:r w:rsidRPr="00941869">
        <w:rPr>
          <w:rStyle w:val="Refdenotaalpie"/>
          <w:i/>
          <w:sz w:val="16"/>
          <w:szCs w:val="16"/>
        </w:rPr>
        <w:footnoteRef/>
      </w:r>
      <w:r w:rsidRPr="00941869">
        <w:rPr>
          <w:i/>
          <w:sz w:val="16"/>
          <w:szCs w:val="16"/>
        </w:rPr>
        <w:t xml:space="preserve"> </w:t>
      </w:r>
      <w:r w:rsidRPr="00941869">
        <w:rPr>
          <w:rFonts w:ascii="ITC Avant Garde" w:hAnsi="ITC Avant Garde"/>
          <w:i/>
          <w:sz w:val="16"/>
          <w:szCs w:val="16"/>
        </w:rPr>
        <w:t>El Plan de Canalización propuesto para la banda 410-415/420-425 MHz contempla 199 pares de frecuencias (canales), con un ancho de banda por canal de 50 kHz (25 KHz para la frecuencia de transmisión y 25 kHz para la de recepción), donde cada canal es separado 25 kHz entre sí.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D6AD4" w14:textId="77777777" w:rsidR="009C1A0D" w:rsidRDefault="007D6519">
    <w:pPr>
      <w:pStyle w:val="Encabezado"/>
    </w:pPr>
    <w:r>
      <w:rPr>
        <w:noProof/>
        <w:lang w:eastAsia="es-MX"/>
      </w:rPr>
      <w:pict w14:anchorId="7647C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F3F9C" w14:textId="77777777" w:rsidR="009C1A0D" w:rsidRPr="000F5E4B" w:rsidRDefault="007D6519">
    <w:pPr>
      <w:pStyle w:val="Encabezado"/>
      <w:rPr>
        <w:b/>
      </w:rPr>
    </w:pPr>
    <w:r>
      <w:rPr>
        <w:b/>
        <w:noProof/>
        <w:lang w:eastAsia="es-MX"/>
      </w:rPr>
      <w:pict w14:anchorId="741A5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479"/>
    <w:multiLevelType w:val="hybridMultilevel"/>
    <w:tmpl w:val="70668612"/>
    <w:lvl w:ilvl="0" w:tplc="D47C3BE0">
      <w:start w:val="4"/>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0A7C4D"/>
    <w:multiLevelType w:val="hybridMultilevel"/>
    <w:tmpl w:val="A51E0EBC"/>
    <w:lvl w:ilvl="0" w:tplc="059A394C">
      <w:start w:val="6"/>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4A36B0F"/>
    <w:multiLevelType w:val="hybridMultilevel"/>
    <w:tmpl w:val="AB6E1E0A"/>
    <w:lvl w:ilvl="0" w:tplc="4530B88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5154179"/>
    <w:multiLevelType w:val="hybridMultilevel"/>
    <w:tmpl w:val="397CAC7C"/>
    <w:lvl w:ilvl="0" w:tplc="88C8C28E">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45EE7362"/>
    <w:multiLevelType w:val="hybridMultilevel"/>
    <w:tmpl w:val="0C6CE6D4"/>
    <w:lvl w:ilvl="0" w:tplc="141CDD56">
      <w:start w:val="1"/>
      <w:numFmt w:val="upperRoman"/>
      <w:lvlText w:val="%1."/>
      <w:lvlJc w:val="left"/>
      <w:pPr>
        <w:ind w:left="1080" w:hanging="720"/>
      </w:pPr>
      <w:rPr>
        <w:rFonts w:ascii="ITC Avant Garde Std Bk" w:eastAsia="Calibri" w:hAnsi="ITC Avant Garde Std Bk" w:cs="Times New Roman"/>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BBD24EF"/>
    <w:multiLevelType w:val="multilevel"/>
    <w:tmpl w:val="5736151E"/>
    <w:lvl w:ilvl="0">
      <w:start w:val="2"/>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AAA43D9"/>
    <w:multiLevelType w:val="hybridMultilevel"/>
    <w:tmpl w:val="42E26BF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7DEA47E8"/>
    <w:multiLevelType w:val="hybridMultilevel"/>
    <w:tmpl w:val="F95E177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5"/>
  </w:num>
  <w:num w:numId="6">
    <w:abstractNumId w:val="7"/>
  </w:num>
  <w:num w:numId="7">
    <w:abstractNumId w:val="0"/>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B4B"/>
    <w:rsid w:val="00010B0B"/>
    <w:rsid w:val="00010EFF"/>
    <w:rsid w:val="000116D0"/>
    <w:rsid w:val="00011FCA"/>
    <w:rsid w:val="00013E26"/>
    <w:rsid w:val="00014EFF"/>
    <w:rsid w:val="000154B0"/>
    <w:rsid w:val="000167EA"/>
    <w:rsid w:val="000173C1"/>
    <w:rsid w:val="00020418"/>
    <w:rsid w:val="00022A8C"/>
    <w:rsid w:val="00024CAC"/>
    <w:rsid w:val="00024D9A"/>
    <w:rsid w:val="00024F70"/>
    <w:rsid w:val="00031312"/>
    <w:rsid w:val="00036C1D"/>
    <w:rsid w:val="00036EDA"/>
    <w:rsid w:val="00037344"/>
    <w:rsid w:val="00037D31"/>
    <w:rsid w:val="000418C4"/>
    <w:rsid w:val="00042A05"/>
    <w:rsid w:val="00042CB6"/>
    <w:rsid w:val="00043043"/>
    <w:rsid w:val="0004385A"/>
    <w:rsid w:val="00043BC9"/>
    <w:rsid w:val="000446B8"/>
    <w:rsid w:val="000448E7"/>
    <w:rsid w:val="00045D66"/>
    <w:rsid w:val="000461B1"/>
    <w:rsid w:val="00047D03"/>
    <w:rsid w:val="000500D9"/>
    <w:rsid w:val="00051A61"/>
    <w:rsid w:val="00051A96"/>
    <w:rsid w:val="00052F16"/>
    <w:rsid w:val="0005470B"/>
    <w:rsid w:val="00056740"/>
    <w:rsid w:val="000606F7"/>
    <w:rsid w:val="00060F71"/>
    <w:rsid w:val="00062519"/>
    <w:rsid w:val="00062880"/>
    <w:rsid w:val="00062C40"/>
    <w:rsid w:val="00066C6A"/>
    <w:rsid w:val="00071BED"/>
    <w:rsid w:val="000720FE"/>
    <w:rsid w:val="00072221"/>
    <w:rsid w:val="000722FE"/>
    <w:rsid w:val="00072BC8"/>
    <w:rsid w:val="00072D11"/>
    <w:rsid w:val="00073945"/>
    <w:rsid w:val="0007410C"/>
    <w:rsid w:val="00074C09"/>
    <w:rsid w:val="00074CC5"/>
    <w:rsid w:val="00075AC0"/>
    <w:rsid w:val="000762F0"/>
    <w:rsid w:val="00077572"/>
    <w:rsid w:val="00077960"/>
    <w:rsid w:val="00077BAD"/>
    <w:rsid w:val="000809A8"/>
    <w:rsid w:val="0008187B"/>
    <w:rsid w:val="000837C7"/>
    <w:rsid w:val="00085181"/>
    <w:rsid w:val="00085B05"/>
    <w:rsid w:val="00085C8F"/>
    <w:rsid w:val="00085E92"/>
    <w:rsid w:val="00087676"/>
    <w:rsid w:val="0009112F"/>
    <w:rsid w:val="000922C3"/>
    <w:rsid w:val="00093A0F"/>
    <w:rsid w:val="000957A0"/>
    <w:rsid w:val="00095BA4"/>
    <w:rsid w:val="000A017B"/>
    <w:rsid w:val="000A0943"/>
    <w:rsid w:val="000A22CB"/>
    <w:rsid w:val="000A3973"/>
    <w:rsid w:val="000A3E65"/>
    <w:rsid w:val="000A7474"/>
    <w:rsid w:val="000B0454"/>
    <w:rsid w:val="000B0A2E"/>
    <w:rsid w:val="000B109B"/>
    <w:rsid w:val="000B1B50"/>
    <w:rsid w:val="000B67C5"/>
    <w:rsid w:val="000B7A68"/>
    <w:rsid w:val="000B7FD1"/>
    <w:rsid w:val="000C0163"/>
    <w:rsid w:val="000C25A2"/>
    <w:rsid w:val="000C39A1"/>
    <w:rsid w:val="000C474A"/>
    <w:rsid w:val="000C4C55"/>
    <w:rsid w:val="000C5148"/>
    <w:rsid w:val="000C5721"/>
    <w:rsid w:val="000C75AA"/>
    <w:rsid w:val="000D1FF0"/>
    <w:rsid w:val="000D58BE"/>
    <w:rsid w:val="000D7634"/>
    <w:rsid w:val="000E0263"/>
    <w:rsid w:val="000E1AED"/>
    <w:rsid w:val="000E1E55"/>
    <w:rsid w:val="000E23FE"/>
    <w:rsid w:val="000F1456"/>
    <w:rsid w:val="000F17CF"/>
    <w:rsid w:val="000F3EC2"/>
    <w:rsid w:val="000F4D94"/>
    <w:rsid w:val="000F4E85"/>
    <w:rsid w:val="000F5E4B"/>
    <w:rsid w:val="001007D0"/>
    <w:rsid w:val="00100DE3"/>
    <w:rsid w:val="001040D3"/>
    <w:rsid w:val="0010438C"/>
    <w:rsid w:val="00105433"/>
    <w:rsid w:val="001058B6"/>
    <w:rsid w:val="00106523"/>
    <w:rsid w:val="00107BD1"/>
    <w:rsid w:val="00107E37"/>
    <w:rsid w:val="0011057F"/>
    <w:rsid w:val="00111B1E"/>
    <w:rsid w:val="0011234A"/>
    <w:rsid w:val="00112517"/>
    <w:rsid w:val="00112C0E"/>
    <w:rsid w:val="00115778"/>
    <w:rsid w:val="00115FE9"/>
    <w:rsid w:val="00120884"/>
    <w:rsid w:val="0012166F"/>
    <w:rsid w:val="001257DC"/>
    <w:rsid w:val="0012679A"/>
    <w:rsid w:val="001269DF"/>
    <w:rsid w:val="00130106"/>
    <w:rsid w:val="0013014E"/>
    <w:rsid w:val="001314A5"/>
    <w:rsid w:val="00132547"/>
    <w:rsid w:val="00134D4D"/>
    <w:rsid w:val="00135D0A"/>
    <w:rsid w:val="00136C0E"/>
    <w:rsid w:val="00137104"/>
    <w:rsid w:val="001410D1"/>
    <w:rsid w:val="00141660"/>
    <w:rsid w:val="001425EA"/>
    <w:rsid w:val="00144765"/>
    <w:rsid w:val="00145497"/>
    <w:rsid w:val="00145A6B"/>
    <w:rsid w:val="0014766B"/>
    <w:rsid w:val="00147884"/>
    <w:rsid w:val="00147968"/>
    <w:rsid w:val="00151C5F"/>
    <w:rsid w:val="0015321B"/>
    <w:rsid w:val="00153356"/>
    <w:rsid w:val="001534BE"/>
    <w:rsid w:val="00156A7C"/>
    <w:rsid w:val="00156BE9"/>
    <w:rsid w:val="00161E26"/>
    <w:rsid w:val="0016433F"/>
    <w:rsid w:val="0016577A"/>
    <w:rsid w:val="00166285"/>
    <w:rsid w:val="001666A3"/>
    <w:rsid w:val="0017019A"/>
    <w:rsid w:val="00170967"/>
    <w:rsid w:val="0017142F"/>
    <w:rsid w:val="0017258E"/>
    <w:rsid w:val="00172E3D"/>
    <w:rsid w:val="00176A54"/>
    <w:rsid w:val="0017747C"/>
    <w:rsid w:val="001807A1"/>
    <w:rsid w:val="00180C08"/>
    <w:rsid w:val="00181018"/>
    <w:rsid w:val="0018125B"/>
    <w:rsid w:val="00181A19"/>
    <w:rsid w:val="00181BE0"/>
    <w:rsid w:val="0018572D"/>
    <w:rsid w:val="00191F54"/>
    <w:rsid w:val="00193FA8"/>
    <w:rsid w:val="00194699"/>
    <w:rsid w:val="00194C7F"/>
    <w:rsid w:val="00195BEF"/>
    <w:rsid w:val="001965B6"/>
    <w:rsid w:val="00197374"/>
    <w:rsid w:val="001A3049"/>
    <w:rsid w:val="001A58D7"/>
    <w:rsid w:val="001A5A0A"/>
    <w:rsid w:val="001A64C7"/>
    <w:rsid w:val="001A686F"/>
    <w:rsid w:val="001A6B6F"/>
    <w:rsid w:val="001A6F3F"/>
    <w:rsid w:val="001A786E"/>
    <w:rsid w:val="001B07E4"/>
    <w:rsid w:val="001B0F1F"/>
    <w:rsid w:val="001B12B0"/>
    <w:rsid w:val="001B28FC"/>
    <w:rsid w:val="001B447A"/>
    <w:rsid w:val="001B45F4"/>
    <w:rsid w:val="001B4696"/>
    <w:rsid w:val="001B58A1"/>
    <w:rsid w:val="001C085E"/>
    <w:rsid w:val="001C095D"/>
    <w:rsid w:val="001C14CD"/>
    <w:rsid w:val="001C15FF"/>
    <w:rsid w:val="001C3820"/>
    <w:rsid w:val="001C42BD"/>
    <w:rsid w:val="001C5187"/>
    <w:rsid w:val="001C5C6E"/>
    <w:rsid w:val="001C5C93"/>
    <w:rsid w:val="001C6614"/>
    <w:rsid w:val="001C71A8"/>
    <w:rsid w:val="001D012D"/>
    <w:rsid w:val="001D2B0C"/>
    <w:rsid w:val="001D2D9D"/>
    <w:rsid w:val="001D48C6"/>
    <w:rsid w:val="001D4B81"/>
    <w:rsid w:val="001D54C4"/>
    <w:rsid w:val="001E10A0"/>
    <w:rsid w:val="001E285C"/>
    <w:rsid w:val="001E602E"/>
    <w:rsid w:val="001E701D"/>
    <w:rsid w:val="001E7872"/>
    <w:rsid w:val="001F0562"/>
    <w:rsid w:val="001F0A47"/>
    <w:rsid w:val="001F119D"/>
    <w:rsid w:val="001F1DB1"/>
    <w:rsid w:val="001F1FF7"/>
    <w:rsid w:val="001F4A20"/>
    <w:rsid w:val="001F4FB8"/>
    <w:rsid w:val="001F50E4"/>
    <w:rsid w:val="001F5873"/>
    <w:rsid w:val="001F631A"/>
    <w:rsid w:val="001F6ED1"/>
    <w:rsid w:val="001F7EFB"/>
    <w:rsid w:val="00202E7B"/>
    <w:rsid w:val="002039E8"/>
    <w:rsid w:val="00204BF4"/>
    <w:rsid w:val="00204CA9"/>
    <w:rsid w:val="00212140"/>
    <w:rsid w:val="00213843"/>
    <w:rsid w:val="00214376"/>
    <w:rsid w:val="00216619"/>
    <w:rsid w:val="002206B8"/>
    <w:rsid w:val="00221568"/>
    <w:rsid w:val="0022223A"/>
    <w:rsid w:val="00224164"/>
    <w:rsid w:val="00224AFA"/>
    <w:rsid w:val="0022561C"/>
    <w:rsid w:val="00226B17"/>
    <w:rsid w:val="00226F42"/>
    <w:rsid w:val="0022735C"/>
    <w:rsid w:val="0022796A"/>
    <w:rsid w:val="002315C3"/>
    <w:rsid w:val="00232422"/>
    <w:rsid w:val="00232C2A"/>
    <w:rsid w:val="00235124"/>
    <w:rsid w:val="00235C69"/>
    <w:rsid w:val="0023663C"/>
    <w:rsid w:val="0023752B"/>
    <w:rsid w:val="00242466"/>
    <w:rsid w:val="00243BFB"/>
    <w:rsid w:val="002450D7"/>
    <w:rsid w:val="00245BED"/>
    <w:rsid w:val="00245FA9"/>
    <w:rsid w:val="00246454"/>
    <w:rsid w:val="00247FA5"/>
    <w:rsid w:val="00252EB7"/>
    <w:rsid w:val="00254051"/>
    <w:rsid w:val="00254695"/>
    <w:rsid w:val="0025794B"/>
    <w:rsid w:val="00257DE1"/>
    <w:rsid w:val="00261929"/>
    <w:rsid w:val="002636E5"/>
    <w:rsid w:val="00264B68"/>
    <w:rsid w:val="002656A1"/>
    <w:rsid w:val="002660A4"/>
    <w:rsid w:val="00266695"/>
    <w:rsid w:val="00266AA8"/>
    <w:rsid w:val="002700CD"/>
    <w:rsid w:val="002729A9"/>
    <w:rsid w:val="00273146"/>
    <w:rsid w:val="002731B7"/>
    <w:rsid w:val="00273931"/>
    <w:rsid w:val="0027444E"/>
    <w:rsid w:val="002744EC"/>
    <w:rsid w:val="0027565E"/>
    <w:rsid w:val="00276D2C"/>
    <w:rsid w:val="00277232"/>
    <w:rsid w:val="002779D1"/>
    <w:rsid w:val="00277BFB"/>
    <w:rsid w:val="00281968"/>
    <w:rsid w:val="00282FEF"/>
    <w:rsid w:val="00286D88"/>
    <w:rsid w:val="00287CBF"/>
    <w:rsid w:val="00287CF9"/>
    <w:rsid w:val="002915DF"/>
    <w:rsid w:val="0029348C"/>
    <w:rsid w:val="00295C81"/>
    <w:rsid w:val="002A1034"/>
    <w:rsid w:val="002A141D"/>
    <w:rsid w:val="002A2EBC"/>
    <w:rsid w:val="002A46D7"/>
    <w:rsid w:val="002A489F"/>
    <w:rsid w:val="002A67FD"/>
    <w:rsid w:val="002B0869"/>
    <w:rsid w:val="002B22D2"/>
    <w:rsid w:val="002B35AD"/>
    <w:rsid w:val="002B6CB6"/>
    <w:rsid w:val="002C1F1D"/>
    <w:rsid w:val="002C1F3A"/>
    <w:rsid w:val="002C289B"/>
    <w:rsid w:val="002C2F2E"/>
    <w:rsid w:val="002C3B54"/>
    <w:rsid w:val="002C3C33"/>
    <w:rsid w:val="002C42E9"/>
    <w:rsid w:val="002C5635"/>
    <w:rsid w:val="002C58DA"/>
    <w:rsid w:val="002C5CA3"/>
    <w:rsid w:val="002C5D31"/>
    <w:rsid w:val="002C7BBE"/>
    <w:rsid w:val="002D0348"/>
    <w:rsid w:val="002D0F52"/>
    <w:rsid w:val="002D25FD"/>
    <w:rsid w:val="002D287C"/>
    <w:rsid w:val="002D2960"/>
    <w:rsid w:val="002D40C4"/>
    <w:rsid w:val="002D4852"/>
    <w:rsid w:val="002D52BD"/>
    <w:rsid w:val="002D5764"/>
    <w:rsid w:val="002D6F88"/>
    <w:rsid w:val="002E0045"/>
    <w:rsid w:val="002E0147"/>
    <w:rsid w:val="002E0378"/>
    <w:rsid w:val="002E1806"/>
    <w:rsid w:val="002E329B"/>
    <w:rsid w:val="002E42D5"/>
    <w:rsid w:val="002E454A"/>
    <w:rsid w:val="002E4585"/>
    <w:rsid w:val="002E4A09"/>
    <w:rsid w:val="002E4C74"/>
    <w:rsid w:val="002E695D"/>
    <w:rsid w:val="002E7CD2"/>
    <w:rsid w:val="002F0480"/>
    <w:rsid w:val="002F09BA"/>
    <w:rsid w:val="002F0C17"/>
    <w:rsid w:val="002F47A4"/>
    <w:rsid w:val="002F594E"/>
    <w:rsid w:val="003034B1"/>
    <w:rsid w:val="00303C62"/>
    <w:rsid w:val="003043AE"/>
    <w:rsid w:val="00304BDB"/>
    <w:rsid w:val="003050F2"/>
    <w:rsid w:val="003055AB"/>
    <w:rsid w:val="003072A9"/>
    <w:rsid w:val="003111C5"/>
    <w:rsid w:val="003120FF"/>
    <w:rsid w:val="003121AE"/>
    <w:rsid w:val="0031471C"/>
    <w:rsid w:val="00314AA4"/>
    <w:rsid w:val="00314FD7"/>
    <w:rsid w:val="00315BCE"/>
    <w:rsid w:val="003169F4"/>
    <w:rsid w:val="00317953"/>
    <w:rsid w:val="00323D06"/>
    <w:rsid w:val="003242A1"/>
    <w:rsid w:val="0032755C"/>
    <w:rsid w:val="00327C9C"/>
    <w:rsid w:val="00331D65"/>
    <w:rsid w:val="00332F91"/>
    <w:rsid w:val="003335A6"/>
    <w:rsid w:val="003335D9"/>
    <w:rsid w:val="00333CF9"/>
    <w:rsid w:val="003349D8"/>
    <w:rsid w:val="003358FD"/>
    <w:rsid w:val="00335F51"/>
    <w:rsid w:val="0033650C"/>
    <w:rsid w:val="0033733C"/>
    <w:rsid w:val="00340AF0"/>
    <w:rsid w:val="00340EC1"/>
    <w:rsid w:val="00341067"/>
    <w:rsid w:val="00345622"/>
    <w:rsid w:val="00345EE1"/>
    <w:rsid w:val="00350911"/>
    <w:rsid w:val="00351C23"/>
    <w:rsid w:val="00353915"/>
    <w:rsid w:val="00353CD8"/>
    <w:rsid w:val="00354B7B"/>
    <w:rsid w:val="003555E9"/>
    <w:rsid w:val="00356156"/>
    <w:rsid w:val="00363D3F"/>
    <w:rsid w:val="00366BFA"/>
    <w:rsid w:val="003709A4"/>
    <w:rsid w:val="00371021"/>
    <w:rsid w:val="00372386"/>
    <w:rsid w:val="003737C1"/>
    <w:rsid w:val="003753ED"/>
    <w:rsid w:val="0037579C"/>
    <w:rsid w:val="00376CF0"/>
    <w:rsid w:val="003771CA"/>
    <w:rsid w:val="00377FA2"/>
    <w:rsid w:val="00384C61"/>
    <w:rsid w:val="00385C0C"/>
    <w:rsid w:val="003874FD"/>
    <w:rsid w:val="00387901"/>
    <w:rsid w:val="00387BAB"/>
    <w:rsid w:val="003901CA"/>
    <w:rsid w:val="0039032C"/>
    <w:rsid w:val="00390951"/>
    <w:rsid w:val="00390C9D"/>
    <w:rsid w:val="003919D8"/>
    <w:rsid w:val="003928AB"/>
    <w:rsid w:val="0039474E"/>
    <w:rsid w:val="003947A1"/>
    <w:rsid w:val="00397215"/>
    <w:rsid w:val="00397C91"/>
    <w:rsid w:val="003A19FB"/>
    <w:rsid w:val="003A1B0D"/>
    <w:rsid w:val="003A21B4"/>
    <w:rsid w:val="003A3427"/>
    <w:rsid w:val="003A6D08"/>
    <w:rsid w:val="003B173B"/>
    <w:rsid w:val="003B22D6"/>
    <w:rsid w:val="003B2AA3"/>
    <w:rsid w:val="003B2B75"/>
    <w:rsid w:val="003C0C0D"/>
    <w:rsid w:val="003C1DCD"/>
    <w:rsid w:val="003C29D1"/>
    <w:rsid w:val="003C2D85"/>
    <w:rsid w:val="003C3A0D"/>
    <w:rsid w:val="003C42A3"/>
    <w:rsid w:val="003C4E93"/>
    <w:rsid w:val="003C5243"/>
    <w:rsid w:val="003D0457"/>
    <w:rsid w:val="003D1862"/>
    <w:rsid w:val="003D1BCF"/>
    <w:rsid w:val="003D3436"/>
    <w:rsid w:val="003D4094"/>
    <w:rsid w:val="003D5A77"/>
    <w:rsid w:val="003D6094"/>
    <w:rsid w:val="003E0885"/>
    <w:rsid w:val="003E1393"/>
    <w:rsid w:val="003E2C9E"/>
    <w:rsid w:val="003E4054"/>
    <w:rsid w:val="003E488A"/>
    <w:rsid w:val="003E4F3A"/>
    <w:rsid w:val="003E5AC1"/>
    <w:rsid w:val="003E5B75"/>
    <w:rsid w:val="003E5D06"/>
    <w:rsid w:val="003E7985"/>
    <w:rsid w:val="003F1943"/>
    <w:rsid w:val="003F3844"/>
    <w:rsid w:val="003F530D"/>
    <w:rsid w:val="003F6DC0"/>
    <w:rsid w:val="003F7510"/>
    <w:rsid w:val="003F7923"/>
    <w:rsid w:val="0040250B"/>
    <w:rsid w:val="00403E5C"/>
    <w:rsid w:val="0040643B"/>
    <w:rsid w:val="004109E0"/>
    <w:rsid w:val="00414E02"/>
    <w:rsid w:val="00415207"/>
    <w:rsid w:val="00415E0A"/>
    <w:rsid w:val="00420FA3"/>
    <w:rsid w:val="00422D4B"/>
    <w:rsid w:val="00426F0F"/>
    <w:rsid w:val="0042731F"/>
    <w:rsid w:val="00427C38"/>
    <w:rsid w:val="00432B03"/>
    <w:rsid w:val="00433AC8"/>
    <w:rsid w:val="00433EC2"/>
    <w:rsid w:val="00434255"/>
    <w:rsid w:val="00437771"/>
    <w:rsid w:val="004424A1"/>
    <w:rsid w:val="00443F29"/>
    <w:rsid w:val="00446853"/>
    <w:rsid w:val="00446858"/>
    <w:rsid w:val="0045021A"/>
    <w:rsid w:val="00450A26"/>
    <w:rsid w:val="00450DC0"/>
    <w:rsid w:val="004512AB"/>
    <w:rsid w:val="00453E39"/>
    <w:rsid w:val="00454A27"/>
    <w:rsid w:val="00456B81"/>
    <w:rsid w:val="00461A1F"/>
    <w:rsid w:val="00461DE8"/>
    <w:rsid w:val="00461E1A"/>
    <w:rsid w:val="00462384"/>
    <w:rsid w:val="00464F8B"/>
    <w:rsid w:val="004653B9"/>
    <w:rsid w:val="004656C3"/>
    <w:rsid w:val="004670BB"/>
    <w:rsid w:val="0046713D"/>
    <w:rsid w:val="00467CE4"/>
    <w:rsid w:val="00471C3F"/>
    <w:rsid w:val="0047205F"/>
    <w:rsid w:val="004736E3"/>
    <w:rsid w:val="00475100"/>
    <w:rsid w:val="0047518F"/>
    <w:rsid w:val="00476364"/>
    <w:rsid w:val="00477EBA"/>
    <w:rsid w:val="00480E07"/>
    <w:rsid w:val="00481D39"/>
    <w:rsid w:val="004848FF"/>
    <w:rsid w:val="00485999"/>
    <w:rsid w:val="004951FB"/>
    <w:rsid w:val="00495CA6"/>
    <w:rsid w:val="00496F74"/>
    <w:rsid w:val="00497BA5"/>
    <w:rsid w:val="004A393C"/>
    <w:rsid w:val="004A42F2"/>
    <w:rsid w:val="004A4B59"/>
    <w:rsid w:val="004B08AA"/>
    <w:rsid w:val="004B13B5"/>
    <w:rsid w:val="004B2E9E"/>
    <w:rsid w:val="004B323F"/>
    <w:rsid w:val="004B569E"/>
    <w:rsid w:val="004B56B1"/>
    <w:rsid w:val="004B6061"/>
    <w:rsid w:val="004B6787"/>
    <w:rsid w:val="004B7836"/>
    <w:rsid w:val="004C00EE"/>
    <w:rsid w:val="004C0C2D"/>
    <w:rsid w:val="004C0E44"/>
    <w:rsid w:val="004C0EE0"/>
    <w:rsid w:val="004C1BD9"/>
    <w:rsid w:val="004C249C"/>
    <w:rsid w:val="004C29B0"/>
    <w:rsid w:val="004C3E47"/>
    <w:rsid w:val="004C53DA"/>
    <w:rsid w:val="004C6234"/>
    <w:rsid w:val="004C6E2F"/>
    <w:rsid w:val="004C75F5"/>
    <w:rsid w:val="004C7706"/>
    <w:rsid w:val="004D0D73"/>
    <w:rsid w:val="004D3B4C"/>
    <w:rsid w:val="004D3F86"/>
    <w:rsid w:val="004D5F6E"/>
    <w:rsid w:val="004D7038"/>
    <w:rsid w:val="004D7684"/>
    <w:rsid w:val="004E0032"/>
    <w:rsid w:val="004E15EF"/>
    <w:rsid w:val="004E6285"/>
    <w:rsid w:val="004F1332"/>
    <w:rsid w:val="004F325D"/>
    <w:rsid w:val="004F3BC4"/>
    <w:rsid w:val="004F4E8E"/>
    <w:rsid w:val="004F543D"/>
    <w:rsid w:val="004F5813"/>
    <w:rsid w:val="004F6E26"/>
    <w:rsid w:val="0050163C"/>
    <w:rsid w:val="00504144"/>
    <w:rsid w:val="00504FF0"/>
    <w:rsid w:val="00505875"/>
    <w:rsid w:val="00505D4F"/>
    <w:rsid w:val="005062A1"/>
    <w:rsid w:val="0050714D"/>
    <w:rsid w:val="005101FD"/>
    <w:rsid w:val="00511A1F"/>
    <w:rsid w:val="0051488F"/>
    <w:rsid w:val="00514FCC"/>
    <w:rsid w:val="00516AB1"/>
    <w:rsid w:val="0052013C"/>
    <w:rsid w:val="0052048E"/>
    <w:rsid w:val="0052115B"/>
    <w:rsid w:val="00521504"/>
    <w:rsid w:val="00522499"/>
    <w:rsid w:val="0052455A"/>
    <w:rsid w:val="00525EB2"/>
    <w:rsid w:val="00527DD7"/>
    <w:rsid w:val="00530F3C"/>
    <w:rsid w:val="00531726"/>
    <w:rsid w:val="00531873"/>
    <w:rsid w:val="005327DB"/>
    <w:rsid w:val="005337FA"/>
    <w:rsid w:val="005368B0"/>
    <w:rsid w:val="00537345"/>
    <w:rsid w:val="005375DB"/>
    <w:rsid w:val="00542B97"/>
    <w:rsid w:val="00543F7C"/>
    <w:rsid w:val="005504BB"/>
    <w:rsid w:val="005507CC"/>
    <w:rsid w:val="00551B7F"/>
    <w:rsid w:val="00554367"/>
    <w:rsid w:val="0055497B"/>
    <w:rsid w:val="00557281"/>
    <w:rsid w:val="00560095"/>
    <w:rsid w:val="00560762"/>
    <w:rsid w:val="00560794"/>
    <w:rsid w:val="005608D0"/>
    <w:rsid w:val="00560B40"/>
    <w:rsid w:val="0056245E"/>
    <w:rsid w:val="00563E87"/>
    <w:rsid w:val="00565FD0"/>
    <w:rsid w:val="00565FFA"/>
    <w:rsid w:val="005701A6"/>
    <w:rsid w:val="00575659"/>
    <w:rsid w:val="005770BA"/>
    <w:rsid w:val="00577190"/>
    <w:rsid w:val="005773A8"/>
    <w:rsid w:val="00577A20"/>
    <w:rsid w:val="005820E9"/>
    <w:rsid w:val="005821E2"/>
    <w:rsid w:val="005838BF"/>
    <w:rsid w:val="005840B5"/>
    <w:rsid w:val="005840CB"/>
    <w:rsid w:val="00584AF1"/>
    <w:rsid w:val="00584E1B"/>
    <w:rsid w:val="0058517A"/>
    <w:rsid w:val="00587D42"/>
    <w:rsid w:val="005903DD"/>
    <w:rsid w:val="00591008"/>
    <w:rsid w:val="00592261"/>
    <w:rsid w:val="00593377"/>
    <w:rsid w:val="00593C61"/>
    <w:rsid w:val="00594CC9"/>
    <w:rsid w:val="005A05FB"/>
    <w:rsid w:val="005A1FD9"/>
    <w:rsid w:val="005A3548"/>
    <w:rsid w:val="005A5075"/>
    <w:rsid w:val="005A65A6"/>
    <w:rsid w:val="005A6801"/>
    <w:rsid w:val="005B04D3"/>
    <w:rsid w:val="005B0C52"/>
    <w:rsid w:val="005B2153"/>
    <w:rsid w:val="005B29A7"/>
    <w:rsid w:val="005B4911"/>
    <w:rsid w:val="005B4C70"/>
    <w:rsid w:val="005B5EEC"/>
    <w:rsid w:val="005B782D"/>
    <w:rsid w:val="005C086D"/>
    <w:rsid w:val="005C0994"/>
    <w:rsid w:val="005C2B52"/>
    <w:rsid w:val="005C352A"/>
    <w:rsid w:val="005C4659"/>
    <w:rsid w:val="005C47BD"/>
    <w:rsid w:val="005C48B6"/>
    <w:rsid w:val="005C521B"/>
    <w:rsid w:val="005C5762"/>
    <w:rsid w:val="005C6258"/>
    <w:rsid w:val="005D0B5B"/>
    <w:rsid w:val="005D0F2D"/>
    <w:rsid w:val="005D16B2"/>
    <w:rsid w:val="005D1B76"/>
    <w:rsid w:val="005D4A72"/>
    <w:rsid w:val="005D7D7C"/>
    <w:rsid w:val="005E06F8"/>
    <w:rsid w:val="005E12F6"/>
    <w:rsid w:val="005E164A"/>
    <w:rsid w:val="005E3168"/>
    <w:rsid w:val="005E4149"/>
    <w:rsid w:val="005E462B"/>
    <w:rsid w:val="005E46F7"/>
    <w:rsid w:val="005E5112"/>
    <w:rsid w:val="005E53C4"/>
    <w:rsid w:val="005E77FA"/>
    <w:rsid w:val="005E7C39"/>
    <w:rsid w:val="005F0B7A"/>
    <w:rsid w:val="005F26F7"/>
    <w:rsid w:val="005F2A3E"/>
    <w:rsid w:val="005F344E"/>
    <w:rsid w:val="005F48E4"/>
    <w:rsid w:val="005F5AE5"/>
    <w:rsid w:val="005F5B4B"/>
    <w:rsid w:val="005F6383"/>
    <w:rsid w:val="005F64A1"/>
    <w:rsid w:val="005F7BA9"/>
    <w:rsid w:val="005F7F43"/>
    <w:rsid w:val="0060253D"/>
    <w:rsid w:val="00603288"/>
    <w:rsid w:val="0060511C"/>
    <w:rsid w:val="006070B4"/>
    <w:rsid w:val="006073FE"/>
    <w:rsid w:val="00607F0A"/>
    <w:rsid w:val="00610A7F"/>
    <w:rsid w:val="00612C84"/>
    <w:rsid w:val="00612D3D"/>
    <w:rsid w:val="00613C05"/>
    <w:rsid w:val="00617E52"/>
    <w:rsid w:val="0062270B"/>
    <w:rsid w:val="00622CEA"/>
    <w:rsid w:val="0062407C"/>
    <w:rsid w:val="006248C9"/>
    <w:rsid w:val="00626C94"/>
    <w:rsid w:val="00626D12"/>
    <w:rsid w:val="0062753D"/>
    <w:rsid w:val="006305D5"/>
    <w:rsid w:val="00630EAC"/>
    <w:rsid w:val="006311AA"/>
    <w:rsid w:val="00631ACE"/>
    <w:rsid w:val="00632357"/>
    <w:rsid w:val="00633CA8"/>
    <w:rsid w:val="00636AA4"/>
    <w:rsid w:val="00636E5E"/>
    <w:rsid w:val="00642559"/>
    <w:rsid w:val="00644702"/>
    <w:rsid w:val="00644755"/>
    <w:rsid w:val="0064498D"/>
    <w:rsid w:val="00644C49"/>
    <w:rsid w:val="00645091"/>
    <w:rsid w:val="006453F9"/>
    <w:rsid w:val="0064560F"/>
    <w:rsid w:val="00645AE4"/>
    <w:rsid w:val="00646579"/>
    <w:rsid w:val="0065111D"/>
    <w:rsid w:val="00651669"/>
    <w:rsid w:val="006527CB"/>
    <w:rsid w:val="006529AD"/>
    <w:rsid w:val="00654B24"/>
    <w:rsid w:val="00656CBD"/>
    <w:rsid w:val="0065735F"/>
    <w:rsid w:val="0066343C"/>
    <w:rsid w:val="006636F1"/>
    <w:rsid w:val="00665233"/>
    <w:rsid w:val="00665C06"/>
    <w:rsid w:val="00666623"/>
    <w:rsid w:val="00666A2D"/>
    <w:rsid w:val="00671001"/>
    <w:rsid w:val="0067143A"/>
    <w:rsid w:val="006724D5"/>
    <w:rsid w:val="0067323D"/>
    <w:rsid w:val="00674E5F"/>
    <w:rsid w:val="00675E1A"/>
    <w:rsid w:val="0067635B"/>
    <w:rsid w:val="00676E68"/>
    <w:rsid w:val="0067717E"/>
    <w:rsid w:val="00680A28"/>
    <w:rsid w:val="00682FD5"/>
    <w:rsid w:val="0068412C"/>
    <w:rsid w:val="006844FE"/>
    <w:rsid w:val="0068467B"/>
    <w:rsid w:val="00685BDB"/>
    <w:rsid w:val="00686D46"/>
    <w:rsid w:val="00687149"/>
    <w:rsid w:val="0068724B"/>
    <w:rsid w:val="006902A6"/>
    <w:rsid w:val="006908BB"/>
    <w:rsid w:val="00692E47"/>
    <w:rsid w:val="00693A1B"/>
    <w:rsid w:val="00696B1B"/>
    <w:rsid w:val="00696C48"/>
    <w:rsid w:val="006970D0"/>
    <w:rsid w:val="006A0631"/>
    <w:rsid w:val="006A0914"/>
    <w:rsid w:val="006A0BF7"/>
    <w:rsid w:val="006A1233"/>
    <w:rsid w:val="006A210B"/>
    <w:rsid w:val="006A26FC"/>
    <w:rsid w:val="006A38B1"/>
    <w:rsid w:val="006A40BE"/>
    <w:rsid w:val="006B1803"/>
    <w:rsid w:val="006B191F"/>
    <w:rsid w:val="006B4376"/>
    <w:rsid w:val="006B4784"/>
    <w:rsid w:val="006B48B1"/>
    <w:rsid w:val="006B4A7F"/>
    <w:rsid w:val="006B557B"/>
    <w:rsid w:val="006B6607"/>
    <w:rsid w:val="006B72B8"/>
    <w:rsid w:val="006B774B"/>
    <w:rsid w:val="006C06E1"/>
    <w:rsid w:val="006C2075"/>
    <w:rsid w:val="006C3490"/>
    <w:rsid w:val="006C36F1"/>
    <w:rsid w:val="006C37D1"/>
    <w:rsid w:val="006C3838"/>
    <w:rsid w:val="006C416C"/>
    <w:rsid w:val="006C4D9B"/>
    <w:rsid w:val="006C5609"/>
    <w:rsid w:val="006C6617"/>
    <w:rsid w:val="006C6B66"/>
    <w:rsid w:val="006C7626"/>
    <w:rsid w:val="006D0875"/>
    <w:rsid w:val="006D19C1"/>
    <w:rsid w:val="006D1D70"/>
    <w:rsid w:val="006D21C8"/>
    <w:rsid w:val="006D5FE8"/>
    <w:rsid w:val="006E20C3"/>
    <w:rsid w:val="006E21DC"/>
    <w:rsid w:val="006E2E56"/>
    <w:rsid w:val="006E3700"/>
    <w:rsid w:val="006E5C73"/>
    <w:rsid w:val="006E60AA"/>
    <w:rsid w:val="006E75A2"/>
    <w:rsid w:val="006E7967"/>
    <w:rsid w:val="006F07EF"/>
    <w:rsid w:val="006F0F2D"/>
    <w:rsid w:val="006F1048"/>
    <w:rsid w:val="006F21D8"/>
    <w:rsid w:val="006F5D2E"/>
    <w:rsid w:val="00700188"/>
    <w:rsid w:val="007012A4"/>
    <w:rsid w:val="0070234A"/>
    <w:rsid w:val="007045CB"/>
    <w:rsid w:val="0070478F"/>
    <w:rsid w:val="00704DFA"/>
    <w:rsid w:val="0070796B"/>
    <w:rsid w:val="0071048A"/>
    <w:rsid w:val="00710BD6"/>
    <w:rsid w:val="00711548"/>
    <w:rsid w:val="0071165B"/>
    <w:rsid w:val="007117FD"/>
    <w:rsid w:val="00714A17"/>
    <w:rsid w:val="0071544C"/>
    <w:rsid w:val="0072029C"/>
    <w:rsid w:val="0072207F"/>
    <w:rsid w:val="00722D95"/>
    <w:rsid w:val="00724197"/>
    <w:rsid w:val="007258F7"/>
    <w:rsid w:val="007275B1"/>
    <w:rsid w:val="00731CB7"/>
    <w:rsid w:val="00732711"/>
    <w:rsid w:val="007328D6"/>
    <w:rsid w:val="00733689"/>
    <w:rsid w:val="00734EFA"/>
    <w:rsid w:val="007350D4"/>
    <w:rsid w:val="00736263"/>
    <w:rsid w:val="00737309"/>
    <w:rsid w:val="0074087F"/>
    <w:rsid w:val="00742C59"/>
    <w:rsid w:val="00745C14"/>
    <w:rsid w:val="007467D9"/>
    <w:rsid w:val="0074689A"/>
    <w:rsid w:val="00746E54"/>
    <w:rsid w:val="0074779B"/>
    <w:rsid w:val="007504EE"/>
    <w:rsid w:val="00750D1B"/>
    <w:rsid w:val="00751E8F"/>
    <w:rsid w:val="00753CAE"/>
    <w:rsid w:val="00754468"/>
    <w:rsid w:val="007560E2"/>
    <w:rsid w:val="00756641"/>
    <w:rsid w:val="0076136A"/>
    <w:rsid w:val="007617A9"/>
    <w:rsid w:val="007619AB"/>
    <w:rsid w:val="00761C83"/>
    <w:rsid w:val="007631AF"/>
    <w:rsid w:val="00763340"/>
    <w:rsid w:val="00764338"/>
    <w:rsid w:val="007647C6"/>
    <w:rsid w:val="00765637"/>
    <w:rsid w:val="0076603F"/>
    <w:rsid w:val="007665E0"/>
    <w:rsid w:val="007672AF"/>
    <w:rsid w:val="00773F40"/>
    <w:rsid w:val="00774071"/>
    <w:rsid w:val="00777C5E"/>
    <w:rsid w:val="00781229"/>
    <w:rsid w:val="007816B8"/>
    <w:rsid w:val="007824DA"/>
    <w:rsid w:val="007829C1"/>
    <w:rsid w:val="00783250"/>
    <w:rsid w:val="00785672"/>
    <w:rsid w:val="0078578F"/>
    <w:rsid w:val="00785CB8"/>
    <w:rsid w:val="007864A9"/>
    <w:rsid w:val="00787C58"/>
    <w:rsid w:val="007911CC"/>
    <w:rsid w:val="00791D53"/>
    <w:rsid w:val="007942D6"/>
    <w:rsid w:val="0079472E"/>
    <w:rsid w:val="00794FC1"/>
    <w:rsid w:val="00797028"/>
    <w:rsid w:val="00797111"/>
    <w:rsid w:val="007A0AAA"/>
    <w:rsid w:val="007A1035"/>
    <w:rsid w:val="007A1F0F"/>
    <w:rsid w:val="007A3687"/>
    <w:rsid w:val="007A3A9B"/>
    <w:rsid w:val="007A6487"/>
    <w:rsid w:val="007A6882"/>
    <w:rsid w:val="007A6F80"/>
    <w:rsid w:val="007A7D11"/>
    <w:rsid w:val="007B67A2"/>
    <w:rsid w:val="007B6EAA"/>
    <w:rsid w:val="007B7D80"/>
    <w:rsid w:val="007C1B3A"/>
    <w:rsid w:val="007C255C"/>
    <w:rsid w:val="007C3140"/>
    <w:rsid w:val="007C5464"/>
    <w:rsid w:val="007D0F7C"/>
    <w:rsid w:val="007D2B2A"/>
    <w:rsid w:val="007D2CA9"/>
    <w:rsid w:val="007D6519"/>
    <w:rsid w:val="007E002F"/>
    <w:rsid w:val="007E0B84"/>
    <w:rsid w:val="007E0E3A"/>
    <w:rsid w:val="007E172A"/>
    <w:rsid w:val="007E45EA"/>
    <w:rsid w:val="007E5B1C"/>
    <w:rsid w:val="007E5B37"/>
    <w:rsid w:val="007E5CEC"/>
    <w:rsid w:val="007E6D47"/>
    <w:rsid w:val="007F0140"/>
    <w:rsid w:val="007F09AA"/>
    <w:rsid w:val="007F1CF5"/>
    <w:rsid w:val="007F237A"/>
    <w:rsid w:val="007F265F"/>
    <w:rsid w:val="007F35B4"/>
    <w:rsid w:val="007F47D5"/>
    <w:rsid w:val="007F525D"/>
    <w:rsid w:val="007F5CB4"/>
    <w:rsid w:val="007F5CF6"/>
    <w:rsid w:val="007F7D51"/>
    <w:rsid w:val="00800841"/>
    <w:rsid w:val="00800D47"/>
    <w:rsid w:val="00801239"/>
    <w:rsid w:val="00801866"/>
    <w:rsid w:val="00803B22"/>
    <w:rsid w:val="00804013"/>
    <w:rsid w:val="0080492B"/>
    <w:rsid w:val="0080680A"/>
    <w:rsid w:val="008078E0"/>
    <w:rsid w:val="00807FBE"/>
    <w:rsid w:val="008100F7"/>
    <w:rsid w:val="0081039E"/>
    <w:rsid w:val="008106E9"/>
    <w:rsid w:val="00810FA4"/>
    <w:rsid w:val="00813AB0"/>
    <w:rsid w:val="00813D1F"/>
    <w:rsid w:val="008147F1"/>
    <w:rsid w:val="00816769"/>
    <w:rsid w:val="00817BEA"/>
    <w:rsid w:val="008206FC"/>
    <w:rsid w:val="008214A2"/>
    <w:rsid w:val="0082176D"/>
    <w:rsid w:val="00821B3D"/>
    <w:rsid w:val="00821C67"/>
    <w:rsid w:val="0082253E"/>
    <w:rsid w:val="00822AD6"/>
    <w:rsid w:val="00822F0C"/>
    <w:rsid w:val="00823AB2"/>
    <w:rsid w:val="00823CC4"/>
    <w:rsid w:val="00824E5F"/>
    <w:rsid w:val="0082518F"/>
    <w:rsid w:val="0083162E"/>
    <w:rsid w:val="00833B27"/>
    <w:rsid w:val="00833F65"/>
    <w:rsid w:val="00836BF6"/>
    <w:rsid w:val="00836C42"/>
    <w:rsid w:val="00837188"/>
    <w:rsid w:val="00840167"/>
    <w:rsid w:val="00840C70"/>
    <w:rsid w:val="008423FC"/>
    <w:rsid w:val="0084259E"/>
    <w:rsid w:val="00842B34"/>
    <w:rsid w:val="00844A1B"/>
    <w:rsid w:val="00845435"/>
    <w:rsid w:val="00845762"/>
    <w:rsid w:val="00845E8A"/>
    <w:rsid w:val="00845F5F"/>
    <w:rsid w:val="00846A6E"/>
    <w:rsid w:val="00850EE6"/>
    <w:rsid w:val="00852A0A"/>
    <w:rsid w:val="00852C0D"/>
    <w:rsid w:val="00854090"/>
    <w:rsid w:val="00854371"/>
    <w:rsid w:val="00854BAD"/>
    <w:rsid w:val="00854E64"/>
    <w:rsid w:val="008557FF"/>
    <w:rsid w:val="00855F4D"/>
    <w:rsid w:val="00856778"/>
    <w:rsid w:val="008578FF"/>
    <w:rsid w:val="008579BF"/>
    <w:rsid w:val="008606E6"/>
    <w:rsid w:val="00860917"/>
    <w:rsid w:val="008640FD"/>
    <w:rsid w:val="00864ED9"/>
    <w:rsid w:val="008661E7"/>
    <w:rsid w:val="008663B6"/>
    <w:rsid w:val="008667B0"/>
    <w:rsid w:val="008678C2"/>
    <w:rsid w:val="008727EF"/>
    <w:rsid w:val="00876B09"/>
    <w:rsid w:val="0087716F"/>
    <w:rsid w:val="0088035D"/>
    <w:rsid w:val="008810B4"/>
    <w:rsid w:val="00882D16"/>
    <w:rsid w:val="00883C50"/>
    <w:rsid w:val="00884874"/>
    <w:rsid w:val="00885127"/>
    <w:rsid w:val="00885B7D"/>
    <w:rsid w:val="0088600A"/>
    <w:rsid w:val="00886BB6"/>
    <w:rsid w:val="008870AE"/>
    <w:rsid w:val="008870D6"/>
    <w:rsid w:val="00893CB1"/>
    <w:rsid w:val="00893FA6"/>
    <w:rsid w:val="00894E8E"/>
    <w:rsid w:val="00895279"/>
    <w:rsid w:val="008958E7"/>
    <w:rsid w:val="008972CA"/>
    <w:rsid w:val="008974A7"/>
    <w:rsid w:val="008A015A"/>
    <w:rsid w:val="008A05AD"/>
    <w:rsid w:val="008A0E71"/>
    <w:rsid w:val="008A3268"/>
    <w:rsid w:val="008A482E"/>
    <w:rsid w:val="008A622F"/>
    <w:rsid w:val="008A6B07"/>
    <w:rsid w:val="008A6C35"/>
    <w:rsid w:val="008A6D6C"/>
    <w:rsid w:val="008B01B4"/>
    <w:rsid w:val="008B0C51"/>
    <w:rsid w:val="008B2DEB"/>
    <w:rsid w:val="008B3C2A"/>
    <w:rsid w:val="008B6A26"/>
    <w:rsid w:val="008B6B2A"/>
    <w:rsid w:val="008C1CCF"/>
    <w:rsid w:val="008C26C9"/>
    <w:rsid w:val="008C2FC1"/>
    <w:rsid w:val="008C51F0"/>
    <w:rsid w:val="008C6060"/>
    <w:rsid w:val="008D22DC"/>
    <w:rsid w:val="008D36B8"/>
    <w:rsid w:val="008D4681"/>
    <w:rsid w:val="008D532F"/>
    <w:rsid w:val="008E08BB"/>
    <w:rsid w:val="008E2F50"/>
    <w:rsid w:val="008E405B"/>
    <w:rsid w:val="008E64B5"/>
    <w:rsid w:val="008E7D10"/>
    <w:rsid w:val="008F0679"/>
    <w:rsid w:val="008F0BA5"/>
    <w:rsid w:val="008F0FC1"/>
    <w:rsid w:val="008F11E1"/>
    <w:rsid w:val="008F1979"/>
    <w:rsid w:val="008F25A9"/>
    <w:rsid w:val="008F318F"/>
    <w:rsid w:val="008F5E09"/>
    <w:rsid w:val="008F5FE1"/>
    <w:rsid w:val="00901043"/>
    <w:rsid w:val="00901197"/>
    <w:rsid w:val="0090150F"/>
    <w:rsid w:val="0090442C"/>
    <w:rsid w:val="0090537E"/>
    <w:rsid w:val="009061F9"/>
    <w:rsid w:val="00906442"/>
    <w:rsid w:val="00906D98"/>
    <w:rsid w:val="009100EE"/>
    <w:rsid w:val="00912184"/>
    <w:rsid w:val="00912C6D"/>
    <w:rsid w:val="009133DA"/>
    <w:rsid w:val="00916A7E"/>
    <w:rsid w:val="009207B7"/>
    <w:rsid w:val="00920E19"/>
    <w:rsid w:val="00923894"/>
    <w:rsid w:val="00923AB8"/>
    <w:rsid w:val="00930132"/>
    <w:rsid w:val="00930A17"/>
    <w:rsid w:val="00931527"/>
    <w:rsid w:val="00934AE3"/>
    <w:rsid w:val="00937A48"/>
    <w:rsid w:val="00937BE2"/>
    <w:rsid w:val="00940190"/>
    <w:rsid w:val="00940195"/>
    <w:rsid w:val="0094169A"/>
    <w:rsid w:val="00941869"/>
    <w:rsid w:val="009422FF"/>
    <w:rsid w:val="00942B78"/>
    <w:rsid w:val="009433E7"/>
    <w:rsid w:val="009438D6"/>
    <w:rsid w:val="0094430F"/>
    <w:rsid w:val="00945BBC"/>
    <w:rsid w:val="0094765F"/>
    <w:rsid w:val="00950A84"/>
    <w:rsid w:val="00950DE2"/>
    <w:rsid w:val="009511A9"/>
    <w:rsid w:val="00951A79"/>
    <w:rsid w:val="00952086"/>
    <w:rsid w:val="00955B3A"/>
    <w:rsid w:val="00957776"/>
    <w:rsid w:val="00957EEA"/>
    <w:rsid w:val="0096000D"/>
    <w:rsid w:val="00961188"/>
    <w:rsid w:val="0096676D"/>
    <w:rsid w:val="0096743D"/>
    <w:rsid w:val="0097164F"/>
    <w:rsid w:val="00973F38"/>
    <w:rsid w:val="0097451A"/>
    <w:rsid w:val="0097579E"/>
    <w:rsid w:val="0097633D"/>
    <w:rsid w:val="0097727D"/>
    <w:rsid w:val="009804FF"/>
    <w:rsid w:val="00980AF7"/>
    <w:rsid w:val="00981B4D"/>
    <w:rsid w:val="00982A94"/>
    <w:rsid w:val="0098406F"/>
    <w:rsid w:val="009853F2"/>
    <w:rsid w:val="00987467"/>
    <w:rsid w:val="00987AE0"/>
    <w:rsid w:val="00991B89"/>
    <w:rsid w:val="00994370"/>
    <w:rsid w:val="009954FF"/>
    <w:rsid w:val="00995961"/>
    <w:rsid w:val="00996598"/>
    <w:rsid w:val="009969AC"/>
    <w:rsid w:val="0099764C"/>
    <w:rsid w:val="009A041F"/>
    <w:rsid w:val="009A16BE"/>
    <w:rsid w:val="009A1B52"/>
    <w:rsid w:val="009A26E5"/>
    <w:rsid w:val="009A2B8C"/>
    <w:rsid w:val="009A2CD8"/>
    <w:rsid w:val="009A50B7"/>
    <w:rsid w:val="009A52CF"/>
    <w:rsid w:val="009A5C72"/>
    <w:rsid w:val="009A6F6E"/>
    <w:rsid w:val="009B068D"/>
    <w:rsid w:val="009B111C"/>
    <w:rsid w:val="009B4BE3"/>
    <w:rsid w:val="009B52E1"/>
    <w:rsid w:val="009B5408"/>
    <w:rsid w:val="009B5418"/>
    <w:rsid w:val="009B6417"/>
    <w:rsid w:val="009C0D4A"/>
    <w:rsid w:val="009C1A0D"/>
    <w:rsid w:val="009C1EE7"/>
    <w:rsid w:val="009C2967"/>
    <w:rsid w:val="009C2D6B"/>
    <w:rsid w:val="009C4586"/>
    <w:rsid w:val="009C4773"/>
    <w:rsid w:val="009C4AB3"/>
    <w:rsid w:val="009C7C3B"/>
    <w:rsid w:val="009D00C5"/>
    <w:rsid w:val="009D2655"/>
    <w:rsid w:val="009D2F6F"/>
    <w:rsid w:val="009D3824"/>
    <w:rsid w:val="009D5C22"/>
    <w:rsid w:val="009E0304"/>
    <w:rsid w:val="009E0AE6"/>
    <w:rsid w:val="009E1D9C"/>
    <w:rsid w:val="009E1F80"/>
    <w:rsid w:val="009E290D"/>
    <w:rsid w:val="009E2911"/>
    <w:rsid w:val="009E3787"/>
    <w:rsid w:val="009E4A3B"/>
    <w:rsid w:val="009E775D"/>
    <w:rsid w:val="009F1269"/>
    <w:rsid w:val="009F21AA"/>
    <w:rsid w:val="009F26FA"/>
    <w:rsid w:val="009F396B"/>
    <w:rsid w:val="009F520D"/>
    <w:rsid w:val="009F537E"/>
    <w:rsid w:val="009F6B06"/>
    <w:rsid w:val="009F74E8"/>
    <w:rsid w:val="00A00C86"/>
    <w:rsid w:val="00A0116B"/>
    <w:rsid w:val="00A0156D"/>
    <w:rsid w:val="00A04802"/>
    <w:rsid w:val="00A05649"/>
    <w:rsid w:val="00A07383"/>
    <w:rsid w:val="00A10D98"/>
    <w:rsid w:val="00A135BB"/>
    <w:rsid w:val="00A13BBB"/>
    <w:rsid w:val="00A14782"/>
    <w:rsid w:val="00A149CC"/>
    <w:rsid w:val="00A14EF9"/>
    <w:rsid w:val="00A15E3B"/>
    <w:rsid w:val="00A17EE9"/>
    <w:rsid w:val="00A203C6"/>
    <w:rsid w:val="00A2130F"/>
    <w:rsid w:val="00A215C8"/>
    <w:rsid w:val="00A2264B"/>
    <w:rsid w:val="00A226B5"/>
    <w:rsid w:val="00A233B9"/>
    <w:rsid w:val="00A24A56"/>
    <w:rsid w:val="00A25303"/>
    <w:rsid w:val="00A2582C"/>
    <w:rsid w:val="00A25C06"/>
    <w:rsid w:val="00A31B7D"/>
    <w:rsid w:val="00A32CC9"/>
    <w:rsid w:val="00A332FC"/>
    <w:rsid w:val="00A341D1"/>
    <w:rsid w:val="00A354C0"/>
    <w:rsid w:val="00A3726E"/>
    <w:rsid w:val="00A37CD4"/>
    <w:rsid w:val="00A37D21"/>
    <w:rsid w:val="00A40002"/>
    <w:rsid w:val="00A40198"/>
    <w:rsid w:val="00A415FA"/>
    <w:rsid w:val="00A42623"/>
    <w:rsid w:val="00A429BF"/>
    <w:rsid w:val="00A43B44"/>
    <w:rsid w:val="00A50973"/>
    <w:rsid w:val="00A514A6"/>
    <w:rsid w:val="00A51BA3"/>
    <w:rsid w:val="00A55E75"/>
    <w:rsid w:val="00A60397"/>
    <w:rsid w:val="00A607E8"/>
    <w:rsid w:val="00A627AC"/>
    <w:rsid w:val="00A6301B"/>
    <w:rsid w:val="00A63774"/>
    <w:rsid w:val="00A65112"/>
    <w:rsid w:val="00A6521D"/>
    <w:rsid w:val="00A65AEF"/>
    <w:rsid w:val="00A65FC0"/>
    <w:rsid w:val="00A66EC3"/>
    <w:rsid w:val="00A706AA"/>
    <w:rsid w:val="00A73529"/>
    <w:rsid w:val="00A77453"/>
    <w:rsid w:val="00A7757E"/>
    <w:rsid w:val="00A80EE8"/>
    <w:rsid w:val="00A81AEB"/>
    <w:rsid w:val="00A83B39"/>
    <w:rsid w:val="00A8430B"/>
    <w:rsid w:val="00A84A69"/>
    <w:rsid w:val="00A910C3"/>
    <w:rsid w:val="00A9331A"/>
    <w:rsid w:val="00A94A91"/>
    <w:rsid w:val="00A94C42"/>
    <w:rsid w:val="00A94DCE"/>
    <w:rsid w:val="00A94E14"/>
    <w:rsid w:val="00A95B00"/>
    <w:rsid w:val="00A962B8"/>
    <w:rsid w:val="00AA0CF4"/>
    <w:rsid w:val="00AA140D"/>
    <w:rsid w:val="00AA140F"/>
    <w:rsid w:val="00AA14B3"/>
    <w:rsid w:val="00AA29F3"/>
    <w:rsid w:val="00AA496F"/>
    <w:rsid w:val="00AA591F"/>
    <w:rsid w:val="00AA59AB"/>
    <w:rsid w:val="00AA5AA5"/>
    <w:rsid w:val="00AB23BA"/>
    <w:rsid w:val="00AB45D0"/>
    <w:rsid w:val="00AB4C07"/>
    <w:rsid w:val="00AB6B9B"/>
    <w:rsid w:val="00AC27C4"/>
    <w:rsid w:val="00AC3F8F"/>
    <w:rsid w:val="00AC5C46"/>
    <w:rsid w:val="00AD1E1C"/>
    <w:rsid w:val="00AD2101"/>
    <w:rsid w:val="00AD46B0"/>
    <w:rsid w:val="00AD4C88"/>
    <w:rsid w:val="00AD634A"/>
    <w:rsid w:val="00AD6C21"/>
    <w:rsid w:val="00AD73AF"/>
    <w:rsid w:val="00AD74CC"/>
    <w:rsid w:val="00AE0348"/>
    <w:rsid w:val="00AE1394"/>
    <w:rsid w:val="00AE1A21"/>
    <w:rsid w:val="00AE21CB"/>
    <w:rsid w:val="00AE27F2"/>
    <w:rsid w:val="00AE2828"/>
    <w:rsid w:val="00AE3103"/>
    <w:rsid w:val="00AE4198"/>
    <w:rsid w:val="00AE67B5"/>
    <w:rsid w:val="00AE7E83"/>
    <w:rsid w:val="00AF2254"/>
    <w:rsid w:val="00AF3FCD"/>
    <w:rsid w:val="00AF62CC"/>
    <w:rsid w:val="00AF6567"/>
    <w:rsid w:val="00AF7796"/>
    <w:rsid w:val="00B01AD6"/>
    <w:rsid w:val="00B032D3"/>
    <w:rsid w:val="00B03E6F"/>
    <w:rsid w:val="00B04148"/>
    <w:rsid w:val="00B048BA"/>
    <w:rsid w:val="00B05084"/>
    <w:rsid w:val="00B05770"/>
    <w:rsid w:val="00B07718"/>
    <w:rsid w:val="00B07FC8"/>
    <w:rsid w:val="00B11169"/>
    <w:rsid w:val="00B1172D"/>
    <w:rsid w:val="00B12A16"/>
    <w:rsid w:val="00B12BB1"/>
    <w:rsid w:val="00B14167"/>
    <w:rsid w:val="00B15D4E"/>
    <w:rsid w:val="00B1720A"/>
    <w:rsid w:val="00B179D3"/>
    <w:rsid w:val="00B255D0"/>
    <w:rsid w:val="00B26762"/>
    <w:rsid w:val="00B30542"/>
    <w:rsid w:val="00B307BF"/>
    <w:rsid w:val="00B31904"/>
    <w:rsid w:val="00B31A99"/>
    <w:rsid w:val="00B32A54"/>
    <w:rsid w:val="00B341B2"/>
    <w:rsid w:val="00B36C41"/>
    <w:rsid w:val="00B407A2"/>
    <w:rsid w:val="00B41491"/>
    <w:rsid w:val="00B42EE7"/>
    <w:rsid w:val="00B43194"/>
    <w:rsid w:val="00B43A49"/>
    <w:rsid w:val="00B450E0"/>
    <w:rsid w:val="00B4571D"/>
    <w:rsid w:val="00B45EC5"/>
    <w:rsid w:val="00B461C8"/>
    <w:rsid w:val="00B462CE"/>
    <w:rsid w:val="00B50007"/>
    <w:rsid w:val="00B5073E"/>
    <w:rsid w:val="00B51993"/>
    <w:rsid w:val="00B51A98"/>
    <w:rsid w:val="00B521C3"/>
    <w:rsid w:val="00B5247B"/>
    <w:rsid w:val="00B52FBE"/>
    <w:rsid w:val="00B53BA3"/>
    <w:rsid w:val="00B5454A"/>
    <w:rsid w:val="00B5588F"/>
    <w:rsid w:val="00B55900"/>
    <w:rsid w:val="00B56C98"/>
    <w:rsid w:val="00B56E19"/>
    <w:rsid w:val="00B573B6"/>
    <w:rsid w:val="00B60429"/>
    <w:rsid w:val="00B613E9"/>
    <w:rsid w:val="00B624B9"/>
    <w:rsid w:val="00B650EF"/>
    <w:rsid w:val="00B65636"/>
    <w:rsid w:val="00B67E20"/>
    <w:rsid w:val="00B71890"/>
    <w:rsid w:val="00B7197B"/>
    <w:rsid w:val="00B737BA"/>
    <w:rsid w:val="00B738FE"/>
    <w:rsid w:val="00B74A5A"/>
    <w:rsid w:val="00B7557A"/>
    <w:rsid w:val="00B80209"/>
    <w:rsid w:val="00B81A8F"/>
    <w:rsid w:val="00B820A8"/>
    <w:rsid w:val="00B8388F"/>
    <w:rsid w:val="00B842AD"/>
    <w:rsid w:val="00B85134"/>
    <w:rsid w:val="00B85598"/>
    <w:rsid w:val="00B87740"/>
    <w:rsid w:val="00B90EC5"/>
    <w:rsid w:val="00B94234"/>
    <w:rsid w:val="00B944C6"/>
    <w:rsid w:val="00B94E00"/>
    <w:rsid w:val="00B971FF"/>
    <w:rsid w:val="00BA05E4"/>
    <w:rsid w:val="00BA0B06"/>
    <w:rsid w:val="00BA2A46"/>
    <w:rsid w:val="00BA40D8"/>
    <w:rsid w:val="00BA7BF9"/>
    <w:rsid w:val="00BB0A81"/>
    <w:rsid w:val="00BB1313"/>
    <w:rsid w:val="00BB1827"/>
    <w:rsid w:val="00BB1841"/>
    <w:rsid w:val="00BB22C6"/>
    <w:rsid w:val="00BB28D3"/>
    <w:rsid w:val="00BB3247"/>
    <w:rsid w:val="00BB44E2"/>
    <w:rsid w:val="00BB4C18"/>
    <w:rsid w:val="00BB51D3"/>
    <w:rsid w:val="00BB63DD"/>
    <w:rsid w:val="00BB6ED6"/>
    <w:rsid w:val="00BB7BD0"/>
    <w:rsid w:val="00BB7D9C"/>
    <w:rsid w:val="00BC0ACF"/>
    <w:rsid w:val="00BC13F5"/>
    <w:rsid w:val="00BC3D1F"/>
    <w:rsid w:val="00BC48BB"/>
    <w:rsid w:val="00BC5E18"/>
    <w:rsid w:val="00BD0EBF"/>
    <w:rsid w:val="00BD1400"/>
    <w:rsid w:val="00BD2253"/>
    <w:rsid w:val="00BD2B0A"/>
    <w:rsid w:val="00BD2EB2"/>
    <w:rsid w:val="00BD66DC"/>
    <w:rsid w:val="00BD7B13"/>
    <w:rsid w:val="00BE0F43"/>
    <w:rsid w:val="00BE39B3"/>
    <w:rsid w:val="00BE4DCD"/>
    <w:rsid w:val="00BE54B3"/>
    <w:rsid w:val="00BE6027"/>
    <w:rsid w:val="00BE6098"/>
    <w:rsid w:val="00BE62ED"/>
    <w:rsid w:val="00BE7410"/>
    <w:rsid w:val="00BE7466"/>
    <w:rsid w:val="00BF0312"/>
    <w:rsid w:val="00BF0E90"/>
    <w:rsid w:val="00BF18B0"/>
    <w:rsid w:val="00BF501B"/>
    <w:rsid w:val="00BF720E"/>
    <w:rsid w:val="00BF7698"/>
    <w:rsid w:val="00C00AAD"/>
    <w:rsid w:val="00C00C5C"/>
    <w:rsid w:val="00C0271B"/>
    <w:rsid w:val="00C032E2"/>
    <w:rsid w:val="00C04D76"/>
    <w:rsid w:val="00C06CD2"/>
    <w:rsid w:val="00C078B4"/>
    <w:rsid w:val="00C10307"/>
    <w:rsid w:val="00C108F4"/>
    <w:rsid w:val="00C10C82"/>
    <w:rsid w:val="00C11ECF"/>
    <w:rsid w:val="00C1325C"/>
    <w:rsid w:val="00C14BB3"/>
    <w:rsid w:val="00C15F97"/>
    <w:rsid w:val="00C176C7"/>
    <w:rsid w:val="00C17ADA"/>
    <w:rsid w:val="00C20677"/>
    <w:rsid w:val="00C207D8"/>
    <w:rsid w:val="00C212A3"/>
    <w:rsid w:val="00C21E5E"/>
    <w:rsid w:val="00C21F92"/>
    <w:rsid w:val="00C226FF"/>
    <w:rsid w:val="00C229A6"/>
    <w:rsid w:val="00C22BDF"/>
    <w:rsid w:val="00C239A0"/>
    <w:rsid w:val="00C2416A"/>
    <w:rsid w:val="00C245B7"/>
    <w:rsid w:val="00C2694C"/>
    <w:rsid w:val="00C27C29"/>
    <w:rsid w:val="00C322D8"/>
    <w:rsid w:val="00C3590C"/>
    <w:rsid w:val="00C3629A"/>
    <w:rsid w:val="00C36340"/>
    <w:rsid w:val="00C37C3E"/>
    <w:rsid w:val="00C40C70"/>
    <w:rsid w:val="00C41FBD"/>
    <w:rsid w:val="00C42306"/>
    <w:rsid w:val="00C429EC"/>
    <w:rsid w:val="00C42BF5"/>
    <w:rsid w:val="00C432C3"/>
    <w:rsid w:val="00C43AD2"/>
    <w:rsid w:val="00C44AD7"/>
    <w:rsid w:val="00C45346"/>
    <w:rsid w:val="00C456FC"/>
    <w:rsid w:val="00C468CB"/>
    <w:rsid w:val="00C50175"/>
    <w:rsid w:val="00C50DAF"/>
    <w:rsid w:val="00C55906"/>
    <w:rsid w:val="00C55B64"/>
    <w:rsid w:val="00C57751"/>
    <w:rsid w:val="00C57EB5"/>
    <w:rsid w:val="00C60855"/>
    <w:rsid w:val="00C60B30"/>
    <w:rsid w:val="00C630FF"/>
    <w:rsid w:val="00C64648"/>
    <w:rsid w:val="00C648C4"/>
    <w:rsid w:val="00C65107"/>
    <w:rsid w:val="00C6585C"/>
    <w:rsid w:val="00C6587A"/>
    <w:rsid w:val="00C66A09"/>
    <w:rsid w:val="00C67660"/>
    <w:rsid w:val="00C67E49"/>
    <w:rsid w:val="00C70277"/>
    <w:rsid w:val="00C7098A"/>
    <w:rsid w:val="00C7171B"/>
    <w:rsid w:val="00C71C4C"/>
    <w:rsid w:val="00C7390C"/>
    <w:rsid w:val="00C73945"/>
    <w:rsid w:val="00C74103"/>
    <w:rsid w:val="00C7478D"/>
    <w:rsid w:val="00C75D69"/>
    <w:rsid w:val="00C775CE"/>
    <w:rsid w:val="00C77A7F"/>
    <w:rsid w:val="00C80515"/>
    <w:rsid w:val="00C81722"/>
    <w:rsid w:val="00C822CF"/>
    <w:rsid w:val="00C82D79"/>
    <w:rsid w:val="00C844A5"/>
    <w:rsid w:val="00C8772A"/>
    <w:rsid w:val="00C87BB0"/>
    <w:rsid w:val="00C87BF7"/>
    <w:rsid w:val="00C91C1E"/>
    <w:rsid w:val="00C91E1A"/>
    <w:rsid w:val="00C920EB"/>
    <w:rsid w:val="00C922A1"/>
    <w:rsid w:val="00C93814"/>
    <w:rsid w:val="00C95BD3"/>
    <w:rsid w:val="00C95F6A"/>
    <w:rsid w:val="00CA0ABF"/>
    <w:rsid w:val="00CA13A7"/>
    <w:rsid w:val="00CA1423"/>
    <w:rsid w:val="00CA301F"/>
    <w:rsid w:val="00CA3E9F"/>
    <w:rsid w:val="00CA4394"/>
    <w:rsid w:val="00CA6C2F"/>
    <w:rsid w:val="00CB1450"/>
    <w:rsid w:val="00CB1EC4"/>
    <w:rsid w:val="00CB4474"/>
    <w:rsid w:val="00CB455F"/>
    <w:rsid w:val="00CB5EE9"/>
    <w:rsid w:val="00CB7A4E"/>
    <w:rsid w:val="00CB7DB7"/>
    <w:rsid w:val="00CC012D"/>
    <w:rsid w:val="00CC264E"/>
    <w:rsid w:val="00CC293F"/>
    <w:rsid w:val="00CC499F"/>
    <w:rsid w:val="00CC4E76"/>
    <w:rsid w:val="00CC60A2"/>
    <w:rsid w:val="00CC6455"/>
    <w:rsid w:val="00CD054B"/>
    <w:rsid w:val="00CD0B73"/>
    <w:rsid w:val="00CD4C61"/>
    <w:rsid w:val="00CD5C8C"/>
    <w:rsid w:val="00CD723F"/>
    <w:rsid w:val="00CE046B"/>
    <w:rsid w:val="00CE25BD"/>
    <w:rsid w:val="00CE380D"/>
    <w:rsid w:val="00CE57C9"/>
    <w:rsid w:val="00CE684E"/>
    <w:rsid w:val="00CF0FD5"/>
    <w:rsid w:val="00CF20DB"/>
    <w:rsid w:val="00CF3E99"/>
    <w:rsid w:val="00CF50B4"/>
    <w:rsid w:val="00CF5CA1"/>
    <w:rsid w:val="00CF69F8"/>
    <w:rsid w:val="00CF794A"/>
    <w:rsid w:val="00D00D7D"/>
    <w:rsid w:val="00D02F0B"/>
    <w:rsid w:val="00D03FFC"/>
    <w:rsid w:val="00D04041"/>
    <w:rsid w:val="00D0520B"/>
    <w:rsid w:val="00D06F43"/>
    <w:rsid w:val="00D07B84"/>
    <w:rsid w:val="00D10741"/>
    <w:rsid w:val="00D11BA4"/>
    <w:rsid w:val="00D120DB"/>
    <w:rsid w:val="00D13179"/>
    <w:rsid w:val="00D1611E"/>
    <w:rsid w:val="00D16ECF"/>
    <w:rsid w:val="00D2148B"/>
    <w:rsid w:val="00D222A5"/>
    <w:rsid w:val="00D2335A"/>
    <w:rsid w:val="00D26331"/>
    <w:rsid w:val="00D2689A"/>
    <w:rsid w:val="00D314A2"/>
    <w:rsid w:val="00D34A29"/>
    <w:rsid w:val="00D34D03"/>
    <w:rsid w:val="00D35311"/>
    <w:rsid w:val="00D3557E"/>
    <w:rsid w:val="00D4008B"/>
    <w:rsid w:val="00D4016B"/>
    <w:rsid w:val="00D40661"/>
    <w:rsid w:val="00D41E4B"/>
    <w:rsid w:val="00D420E0"/>
    <w:rsid w:val="00D4236D"/>
    <w:rsid w:val="00D43A33"/>
    <w:rsid w:val="00D4606F"/>
    <w:rsid w:val="00D46B1F"/>
    <w:rsid w:val="00D46DC6"/>
    <w:rsid w:val="00D4753F"/>
    <w:rsid w:val="00D50A2F"/>
    <w:rsid w:val="00D50FCD"/>
    <w:rsid w:val="00D510EC"/>
    <w:rsid w:val="00D51F95"/>
    <w:rsid w:val="00D523E5"/>
    <w:rsid w:val="00D52E34"/>
    <w:rsid w:val="00D534DD"/>
    <w:rsid w:val="00D537CE"/>
    <w:rsid w:val="00D53F05"/>
    <w:rsid w:val="00D54697"/>
    <w:rsid w:val="00D57D47"/>
    <w:rsid w:val="00D60C2F"/>
    <w:rsid w:val="00D61609"/>
    <w:rsid w:val="00D6171A"/>
    <w:rsid w:val="00D6332B"/>
    <w:rsid w:val="00D63F5D"/>
    <w:rsid w:val="00D642F3"/>
    <w:rsid w:val="00D64817"/>
    <w:rsid w:val="00D64DC4"/>
    <w:rsid w:val="00D664D5"/>
    <w:rsid w:val="00D701B6"/>
    <w:rsid w:val="00D72C8B"/>
    <w:rsid w:val="00D73180"/>
    <w:rsid w:val="00D745F5"/>
    <w:rsid w:val="00D7614C"/>
    <w:rsid w:val="00D76599"/>
    <w:rsid w:val="00D825BE"/>
    <w:rsid w:val="00D82CC2"/>
    <w:rsid w:val="00D82FD1"/>
    <w:rsid w:val="00D83769"/>
    <w:rsid w:val="00D83772"/>
    <w:rsid w:val="00D841A5"/>
    <w:rsid w:val="00D849F2"/>
    <w:rsid w:val="00D85CF7"/>
    <w:rsid w:val="00D86849"/>
    <w:rsid w:val="00D86EFA"/>
    <w:rsid w:val="00D920B0"/>
    <w:rsid w:val="00D94A35"/>
    <w:rsid w:val="00D9688C"/>
    <w:rsid w:val="00DA00E5"/>
    <w:rsid w:val="00DA2AAD"/>
    <w:rsid w:val="00DA2BA2"/>
    <w:rsid w:val="00DA3795"/>
    <w:rsid w:val="00DA3B1B"/>
    <w:rsid w:val="00DA7BCC"/>
    <w:rsid w:val="00DB0D6F"/>
    <w:rsid w:val="00DB12E1"/>
    <w:rsid w:val="00DB2323"/>
    <w:rsid w:val="00DB258F"/>
    <w:rsid w:val="00DB4753"/>
    <w:rsid w:val="00DB4A57"/>
    <w:rsid w:val="00DB4D97"/>
    <w:rsid w:val="00DB5A7C"/>
    <w:rsid w:val="00DB6522"/>
    <w:rsid w:val="00DB6D42"/>
    <w:rsid w:val="00DC2F92"/>
    <w:rsid w:val="00DC4E3C"/>
    <w:rsid w:val="00DC653E"/>
    <w:rsid w:val="00DC66ED"/>
    <w:rsid w:val="00DC6EAA"/>
    <w:rsid w:val="00DC6F45"/>
    <w:rsid w:val="00DC7249"/>
    <w:rsid w:val="00DC7ACD"/>
    <w:rsid w:val="00DD2A4B"/>
    <w:rsid w:val="00DD2C4E"/>
    <w:rsid w:val="00DD3C1E"/>
    <w:rsid w:val="00DD7937"/>
    <w:rsid w:val="00DE0E92"/>
    <w:rsid w:val="00DE1DF4"/>
    <w:rsid w:val="00DE2EDB"/>
    <w:rsid w:val="00DE32D7"/>
    <w:rsid w:val="00DE3B6B"/>
    <w:rsid w:val="00DE41BE"/>
    <w:rsid w:val="00DE628B"/>
    <w:rsid w:val="00DF0722"/>
    <w:rsid w:val="00DF17EF"/>
    <w:rsid w:val="00DF1A0D"/>
    <w:rsid w:val="00DF3D6D"/>
    <w:rsid w:val="00DF451F"/>
    <w:rsid w:val="00DF5A17"/>
    <w:rsid w:val="00DF5E3A"/>
    <w:rsid w:val="00DF6624"/>
    <w:rsid w:val="00E044CE"/>
    <w:rsid w:val="00E05784"/>
    <w:rsid w:val="00E10D2B"/>
    <w:rsid w:val="00E13581"/>
    <w:rsid w:val="00E14376"/>
    <w:rsid w:val="00E1526D"/>
    <w:rsid w:val="00E166F5"/>
    <w:rsid w:val="00E16825"/>
    <w:rsid w:val="00E17E90"/>
    <w:rsid w:val="00E17EBE"/>
    <w:rsid w:val="00E204A3"/>
    <w:rsid w:val="00E20D33"/>
    <w:rsid w:val="00E2673D"/>
    <w:rsid w:val="00E2695D"/>
    <w:rsid w:val="00E278C5"/>
    <w:rsid w:val="00E352D3"/>
    <w:rsid w:val="00E357F3"/>
    <w:rsid w:val="00E3789C"/>
    <w:rsid w:val="00E40974"/>
    <w:rsid w:val="00E40F14"/>
    <w:rsid w:val="00E43291"/>
    <w:rsid w:val="00E43829"/>
    <w:rsid w:val="00E43D42"/>
    <w:rsid w:val="00E44AD0"/>
    <w:rsid w:val="00E46E60"/>
    <w:rsid w:val="00E4756F"/>
    <w:rsid w:val="00E50A88"/>
    <w:rsid w:val="00E52E7B"/>
    <w:rsid w:val="00E53E92"/>
    <w:rsid w:val="00E53FFE"/>
    <w:rsid w:val="00E542D9"/>
    <w:rsid w:val="00E57237"/>
    <w:rsid w:val="00E5733A"/>
    <w:rsid w:val="00E57F0B"/>
    <w:rsid w:val="00E62069"/>
    <w:rsid w:val="00E62121"/>
    <w:rsid w:val="00E622A7"/>
    <w:rsid w:val="00E63410"/>
    <w:rsid w:val="00E658AC"/>
    <w:rsid w:val="00E65B5E"/>
    <w:rsid w:val="00E6612D"/>
    <w:rsid w:val="00E71D3D"/>
    <w:rsid w:val="00E72765"/>
    <w:rsid w:val="00E73F26"/>
    <w:rsid w:val="00E74419"/>
    <w:rsid w:val="00E81804"/>
    <w:rsid w:val="00E82D3D"/>
    <w:rsid w:val="00E8383E"/>
    <w:rsid w:val="00E83F1A"/>
    <w:rsid w:val="00E84A0C"/>
    <w:rsid w:val="00E86A51"/>
    <w:rsid w:val="00E86FCA"/>
    <w:rsid w:val="00E87DD4"/>
    <w:rsid w:val="00E90189"/>
    <w:rsid w:val="00E94849"/>
    <w:rsid w:val="00E94CB0"/>
    <w:rsid w:val="00E97964"/>
    <w:rsid w:val="00EA150F"/>
    <w:rsid w:val="00EA32ED"/>
    <w:rsid w:val="00EA344E"/>
    <w:rsid w:val="00EA4008"/>
    <w:rsid w:val="00EA5A75"/>
    <w:rsid w:val="00EA67C7"/>
    <w:rsid w:val="00EA6AC2"/>
    <w:rsid w:val="00EB0057"/>
    <w:rsid w:val="00EB0B29"/>
    <w:rsid w:val="00EB2268"/>
    <w:rsid w:val="00EB33F5"/>
    <w:rsid w:val="00EB38E4"/>
    <w:rsid w:val="00EB4D56"/>
    <w:rsid w:val="00EB5293"/>
    <w:rsid w:val="00EB5335"/>
    <w:rsid w:val="00EB54D6"/>
    <w:rsid w:val="00EB5A62"/>
    <w:rsid w:val="00EB73F6"/>
    <w:rsid w:val="00EC098E"/>
    <w:rsid w:val="00EC118E"/>
    <w:rsid w:val="00EC2300"/>
    <w:rsid w:val="00EC3CBF"/>
    <w:rsid w:val="00EC570E"/>
    <w:rsid w:val="00EC718F"/>
    <w:rsid w:val="00ED04B7"/>
    <w:rsid w:val="00ED0D76"/>
    <w:rsid w:val="00ED1C6E"/>
    <w:rsid w:val="00ED1D21"/>
    <w:rsid w:val="00ED28A5"/>
    <w:rsid w:val="00ED335E"/>
    <w:rsid w:val="00ED6AAF"/>
    <w:rsid w:val="00ED6BA0"/>
    <w:rsid w:val="00ED722C"/>
    <w:rsid w:val="00EE19CD"/>
    <w:rsid w:val="00EE1B94"/>
    <w:rsid w:val="00EE1E10"/>
    <w:rsid w:val="00EE35AC"/>
    <w:rsid w:val="00EE3C9A"/>
    <w:rsid w:val="00EE5037"/>
    <w:rsid w:val="00EE5653"/>
    <w:rsid w:val="00EE7460"/>
    <w:rsid w:val="00EE7610"/>
    <w:rsid w:val="00EE7C64"/>
    <w:rsid w:val="00EF024D"/>
    <w:rsid w:val="00EF0BFE"/>
    <w:rsid w:val="00EF31F7"/>
    <w:rsid w:val="00EF3BC4"/>
    <w:rsid w:val="00EF3D61"/>
    <w:rsid w:val="00EF47A4"/>
    <w:rsid w:val="00F004BC"/>
    <w:rsid w:val="00F039AC"/>
    <w:rsid w:val="00F04BB1"/>
    <w:rsid w:val="00F05098"/>
    <w:rsid w:val="00F057B5"/>
    <w:rsid w:val="00F05C89"/>
    <w:rsid w:val="00F10340"/>
    <w:rsid w:val="00F10CAC"/>
    <w:rsid w:val="00F11027"/>
    <w:rsid w:val="00F1360D"/>
    <w:rsid w:val="00F16246"/>
    <w:rsid w:val="00F206B6"/>
    <w:rsid w:val="00F20F10"/>
    <w:rsid w:val="00F22A5E"/>
    <w:rsid w:val="00F23D0B"/>
    <w:rsid w:val="00F24198"/>
    <w:rsid w:val="00F25D73"/>
    <w:rsid w:val="00F26571"/>
    <w:rsid w:val="00F30917"/>
    <w:rsid w:val="00F310DD"/>
    <w:rsid w:val="00F31D76"/>
    <w:rsid w:val="00F32A5D"/>
    <w:rsid w:val="00F33798"/>
    <w:rsid w:val="00F348AF"/>
    <w:rsid w:val="00F34BA1"/>
    <w:rsid w:val="00F35FF0"/>
    <w:rsid w:val="00F40845"/>
    <w:rsid w:val="00F408D3"/>
    <w:rsid w:val="00F40958"/>
    <w:rsid w:val="00F40C9E"/>
    <w:rsid w:val="00F414B9"/>
    <w:rsid w:val="00F41FAD"/>
    <w:rsid w:val="00F44571"/>
    <w:rsid w:val="00F45C52"/>
    <w:rsid w:val="00F460F7"/>
    <w:rsid w:val="00F4692B"/>
    <w:rsid w:val="00F4693E"/>
    <w:rsid w:val="00F46F29"/>
    <w:rsid w:val="00F47C55"/>
    <w:rsid w:val="00F50FB0"/>
    <w:rsid w:val="00F51AF5"/>
    <w:rsid w:val="00F52E67"/>
    <w:rsid w:val="00F5492C"/>
    <w:rsid w:val="00F55091"/>
    <w:rsid w:val="00F56B35"/>
    <w:rsid w:val="00F56E4E"/>
    <w:rsid w:val="00F61792"/>
    <w:rsid w:val="00F623CA"/>
    <w:rsid w:val="00F633C2"/>
    <w:rsid w:val="00F63E22"/>
    <w:rsid w:val="00F64206"/>
    <w:rsid w:val="00F644B8"/>
    <w:rsid w:val="00F64995"/>
    <w:rsid w:val="00F64E9A"/>
    <w:rsid w:val="00F653EE"/>
    <w:rsid w:val="00F66D46"/>
    <w:rsid w:val="00F709DA"/>
    <w:rsid w:val="00F70C9B"/>
    <w:rsid w:val="00F7266D"/>
    <w:rsid w:val="00F74059"/>
    <w:rsid w:val="00F75A72"/>
    <w:rsid w:val="00F76D71"/>
    <w:rsid w:val="00F770A4"/>
    <w:rsid w:val="00F778A8"/>
    <w:rsid w:val="00F77FE9"/>
    <w:rsid w:val="00F80E3E"/>
    <w:rsid w:val="00F8293A"/>
    <w:rsid w:val="00F8337F"/>
    <w:rsid w:val="00F8351E"/>
    <w:rsid w:val="00F84C6B"/>
    <w:rsid w:val="00F84CB3"/>
    <w:rsid w:val="00F85AD7"/>
    <w:rsid w:val="00F86016"/>
    <w:rsid w:val="00F866F2"/>
    <w:rsid w:val="00F86842"/>
    <w:rsid w:val="00F86867"/>
    <w:rsid w:val="00F873EC"/>
    <w:rsid w:val="00F930A4"/>
    <w:rsid w:val="00F93E22"/>
    <w:rsid w:val="00F93EFF"/>
    <w:rsid w:val="00F94130"/>
    <w:rsid w:val="00F941B8"/>
    <w:rsid w:val="00F97B2B"/>
    <w:rsid w:val="00FA0380"/>
    <w:rsid w:val="00FA0DD3"/>
    <w:rsid w:val="00FA0E68"/>
    <w:rsid w:val="00FA2346"/>
    <w:rsid w:val="00FA4510"/>
    <w:rsid w:val="00FA49B6"/>
    <w:rsid w:val="00FA583C"/>
    <w:rsid w:val="00FA5AF8"/>
    <w:rsid w:val="00FA65E8"/>
    <w:rsid w:val="00FB08BB"/>
    <w:rsid w:val="00FB09F6"/>
    <w:rsid w:val="00FB1AF8"/>
    <w:rsid w:val="00FB6C4A"/>
    <w:rsid w:val="00FB72ED"/>
    <w:rsid w:val="00FB748A"/>
    <w:rsid w:val="00FC00E7"/>
    <w:rsid w:val="00FC0899"/>
    <w:rsid w:val="00FC20F7"/>
    <w:rsid w:val="00FC25BC"/>
    <w:rsid w:val="00FC3298"/>
    <w:rsid w:val="00FC385D"/>
    <w:rsid w:val="00FC4328"/>
    <w:rsid w:val="00FC5B19"/>
    <w:rsid w:val="00FC71DB"/>
    <w:rsid w:val="00FC7DED"/>
    <w:rsid w:val="00FD0AF6"/>
    <w:rsid w:val="00FD17ED"/>
    <w:rsid w:val="00FD1966"/>
    <w:rsid w:val="00FD50F7"/>
    <w:rsid w:val="00FD750B"/>
    <w:rsid w:val="00FD772C"/>
    <w:rsid w:val="00FE098D"/>
    <w:rsid w:val="00FE15DC"/>
    <w:rsid w:val="00FE2A89"/>
    <w:rsid w:val="00FE374B"/>
    <w:rsid w:val="00FE3A2C"/>
    <w:rsid w:val="00FE483C"/>
    <w:rsid w:val="00FE4DA7"/>
    <w:rsid w:val="00FE540B"/>
    <w:rsid w:val="00FE57E1"/>
    <w:rsid w:val="00FE666C"/>
    <w:rsid w:val="00FE6DA8"/>
    <w:rsid w:val="00FE7975"/>
    <w:rsid w:val="00FF0028"/>
    <w:rsid w:val="00FF123D"/>
    <w:rsid w:val="00FF2376"/>
    <w:rsid w:val="00FF67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78D1768"/>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6C38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C38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paragraph" w:styleId="Textoindependiente">
    <w:name w:val="Body Text"/>
    <w:basedOn w:val="Normal"/>
    <w:link w:val="TextoindependienteCar"/>
    <w:rsid w:val="005821E2"/>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5821E2"/>
    <w:rPr>
      <w:rFonts w:ascii="Arial" w:eastAsia="Times New Roman" w:hAnsi="Arial"/>
      <w:sz w:val="24"/>
      <w:lang w:eastAsia="es-ES"/>
    </w:rPr>
  </w:style>
  <w:style w:type="paragraph" w:customStyle="1" w:styleId="texto">
    <w:name w:val="texto"/>
    <w:basedOn w:val="Normal"/>
    <w:rsid w:val="005821E2"/>
    <w:pPr>
      <w:spacing w:after="101" w:line="216" w:lineRule="atLeast"/>
      <w:ind w:firstLine="288"/>
      <w:jc w:val="both"/>
    </w:pPr>
    <w:rPr>
      <w:rFonts w:ascii="Arial" w:eastAsia="Times New Roman" w:hAnsi="Arial" w:cs="Arial"/>
      <w:sz w:val="18"/>
      <w:szCs w:val="20"/>
      <w:lang w:val="es-ES_tradnl" w:eastAsia="es-MX"/>
    </w:rPr>
  </w:style>
  <w:style w:type="table" w:styleId="Tablaconcuadrcula">
    <w:name w:val="Table Grid"/>
    <w:basedOn w:val="Tablanormal"/>
    <w:uiPriority w:val="39"/>
    <w:rsid w:val="00895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27393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248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248C9"/>
    <w:rPr>
      <w:lang w:eastAsia="en-US"/>
    </w:rPr>
  </w:style>
  <w:style w:type="character" w:styleId="Refdenotaalpie">
    <w:name w:val="footnote reference"/>
    <w:basedOn w:val="Fuentedeprrafopredeter"/>
    <w:uiPriority w:val="99"/>
    <w:semiHidden/>
    <w:unhideWhenUsed/>
    <w:rsid w:val="006248C9"/>
    <w:rPr>
      <w:vertAlign w:val="superscript"/>
    </w:rPr>
  </w:style>
  <w:style w:type="character" w:customStyle="1" w:styleId="SinespaciadoCar">
    <w:name w:val="Sin espaciado Car"/>
    <w:basedOn w:val="Fuentedeprrafopredeter"/>
    <w:link w:val="Sinespaciado"/>
    <w:uiPriority w:val="1"/>
    <w:locked/>
    <w:rsid w:val="0082253E"/>
  </w:style>
  <w:style w:type="paragraph" w:styleId="Sinespaciado">
    <w:name w:val="No Spacing"/>
    <w:basedOn w:val="Normal"/>
    <w:link w:val="SinespaciadoCar"/>
    <w:uiPriority w:val="1"/>
    <w:qFormat/>
    <w:rsid w:val="0082253E"/>
    <w:pPr>
      <w:spacing w:after="0" w:line="240" w:lineRule="auto"/>
    </w:pPr>
    <w:rPr>
      <w:sz w:val="20"/>
      <w:szCs w:val="20"/>
      <w:lang w:eastAsia="es-MX"/>
    </w:rPr>
  </w:style>
  <w:style w:type="character" w:customStyle="1" w:styleId="Ttulo1Car">
    <w:name w:val="Título 1 Car"/>
    <w:basedOn w:val="Fuentedeprrafopredeter"/>
    <w:link w:val="Ttulo1"/>
    <w:uiPriority w:val="9"/>
    <w:rsid w:val="006C3838"/>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6C383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27469042">
      <w:bodyDiv w:val="1"/>
      <w:marLeft w:val="0"/>
      <w:marRight w:val="0"/>
      <w:marTop w:val="0"/>
      <w:marBottom w:val="0"/>
      <w:divBdr>
        <w:top w:val="none" w:sz="0" w:space="0" w:color="auto"/>
        <w:left w:val="none" w:sz="0" w:space="0" w:color="auto"/>
        <w:bottom w:val="none" w:sz="0" w:space="0" w:color="auto"/>
        <w:right w:val="none" w:sz="0" w:space="0" w:color="auto"/>
      </w:divBdr>
    </w:div>
    <w:div w:id="965506110">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30593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096E4-8C40-4FE5-98B7-92891F65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4998</Words>
  <Characters>27489</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Obdulia Arciniega Rosales</dc:creator>
  <cp:lastModifiedBy>Maria del Consuelo Gonzalez Moreno</cp:lastModifiedBy>
  <cp:revision>10</cp:revision>
  <cp:lastPrinted>2015-09-14T16:14:00Z</cp:lastPrinted>
  <dcterms:created xsi:type="dcterms:W3CDTF">2016-06-23T22:28:00Z</dcterms:created>
  <dcterms:modified xsi:type="dcterms:W3CDTF">2016-08-16T20:04:00Z</dcterms:modified>
</cp:coreProperties>
</file>