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F0BDC" w14:textId="6D1F78C7" w:rsidR="00233507" w:rsidRPr="005B2961" w:rsidRDefault="00233507" w:rsidP="005B2961">
      <w:pPr>
        <w:pStyle w:val="Ttulo1"/>
        <w:jc w:val="both"/>
        <w:rPr>
          <w:rFonts w:ascii="ITC Avant Garde" w:hAnsi="ITC Avant Garde"/>
          <w:b/>
          <w:color w:val="000000" w:themeColor="text1"/>
          <w:sz w:val="22"/>
          <w:szCs w:val="22"/>
        </w:rPr>
      </w:pPr>
      <w:r w:rsidRPr="005B2961">
        <w:rPr>
          <w:rFonts w:ascii="ITC Avant Garde" w:hAnsi="ITC Avant Garde" w:cs="Arial"/>
          <w:b/>
          <w:bCs/>
          <w:color w:val="000000" w:themeColor="text1"/>
          <w:sz w:val="22"/>
          <w:szCs w:val="22"/>
          <w:lang w:eastAsia="es-ES"/>
        </w:rPr>
        <w:t xml:space="preserve">ACUERDO MEDIANTE EL CUAL EL PLENO DEL INSTITUTO FEDERAL DE TELECOMUNICACIONES EMITE LOS </w:t>
      </w:r>
      <w:r w:rsidRPr="005B2961">
        <w:rPr>
          <w:rFonts w:ascii="ITC Avant Garde" w:hAnsi="ITC Avant Garde"/>
          <w:b/>
          <w:color w:val="000000" w:themeColor="text1"/>
          <w:sz w:val="22"/>
          <w:szCs w:val="22"/>
        </w:rPr>
        <w:t xml:space="preserve">LINEAMIENTOS PARA EL ACCESO EFECTIVO Y COMPARTIDO A LA INFRAESTRUCTURA DE LA COMISIÓN FEDERAL DE ELECTRICIDAD, POR PARTE DE TELECOMUNICACIONES DE MÉXICO; Y PARA LA CONSTRUCCIÓN Y CRECIMIENTO DE </w:t>
      </w:r>
      <w:r w:rsidR="00EF01B4" w:rsidRPr="005B2961">
        <w:rPr>
          <w:rFonts w:ascii="ITC Avant Garde" w:hAnsi="ITC Avant Garde"/>
          <w:b/>
          <w:color w:val="000000" w:themeColor="text1"/>
          <w:sz w:val="22"/>
          <w:szCs w:val="22"/>
        </w:rPr>
        <w:t>UNA</w:t>
      </w:r>
      <w:r w:rsidRPr="005B2961">
        <w:rPr>
          <w:rFonts w:ascii="ITC Avant Garde" w:hAnsi="ITC Avant Garde"/>
          <w:b/>
          <w:color w:val="000000" w:themeColor="text1"/>
          <w:sz w:val="22"/>
          <w:szCs w:val="22"/>
        </w:rPr>
        <w:t xml:space="preserve"> RED TRONCAL NACIONAL</w:t>
      </w:r>
    </w:p>
    <w:p w14:paraId="0CF6AA07" w14:textId="77777777" w:rsidR="00233507" w:rsidRPr="00F559BB" w:rsidRDefault="00233507" w:rsidP="00233507">
      <w:pPr>
        <w:spacing w:line="276" w:lineRule="auto"/>
        <w:jc w:val="center"/>
        <w:rPr>
          <w:rFonts w:ascii="ITC Avant Garde" w:hAnsi="ITC Avant Garde" w:cs="Arial"/>
          <w:b/>
          <w:bCs/>
          <w:sz w:val="22"/>
          <w:szCs w:val="22"/>
          <w:lang w:eastAsia="es-ES"/>
        </w:rPr>
      </w:pPr>
    </w:p>
    <w:p w14:paraId="18079382" w14:textId="77777777" w:rsidR="00233507" w:rsidRPr="005B2961" w:rsidRDefault="00233507" w:rsidP="005B2961">
      <w:pPr>
        <w:pStyle w:val="Ttulo2"/>
        <w:jc w:val="center"/>
        <w:rPr>
          <w:rFonts w:ascii="ITC Avant Garde" w:hAnsi="ITC Avant Garde"/>
          <w:b/>
          <w:color w:val="000000" w:themeColor="text1"/>
          <w:sz w:val="22"/>
          <w:szCs w:val="22"/>
        </w:rPr>
      </w:pPr>
      <w:r w:rsidRPr="005B2961">
        <w:rPr>
          <w:rFonts w:ascii="ITC Avant Garde" w:hAnsi="ITC Avant Garde"/>
          <w:b/>
          <w:color w:val="000000" w:themeColor="text1"/>
          <w:sz w:val="22"/>
          <w:szCs w:val="22"/>
        </w:rPr>
        <w:t>ANTECEDENTES</w:t>
      </w:r>
    </w:p>
    <w:p w14:paraId="75B2AE93" w14:textId="77777777" w:rsidR="00233507" w:rsidRPr="00F559BB" w:rsidRDefault="00233507" w:rsidP="00233507">
      <w:pPr>
        <w:pStyle w:val="Normal1"/>
        <w:spacing w:after="0" w:line="276" w:lineRule="auto"/>
        <w:jc w:val="center"/>
        <w:rPr>
          <w:rFonts w:ascii="ITC Avant Garde" w:hAnsi="ITC Avant Garde"/>
          <w:color w:val="auto"/>
          <w:szCs w:val="22"/>
          <w:lang w:val="es-ES_tradnl"/>
        </w:rPr>
      </w:pPr>
    </w:p>
    <w:p w14:paraId="722EF4A7" w14:textId="31264878" w:rsidR="007330E8" w:rsidRPr="0014581A" w:rsidRDefault="007330E8" w:rsidP="005B2961">
      <w:pPr>
        <w:numPr>
          <w:ilvl w:val="0"/>
          <w:numId w:val="20"/>
        </w:numPr>
        <w:tabs>
          <w:tab w:val="num" w:pos="1940"/>
        </w:tabs>
        <w:spacing w:before="240" w:line="276" w:lineRule="auto"/>
        <w:ind w:left="900" w:hanging="900"/>
        <w:jc w:val="both"/>
        <w:rPr>
          <w:rFonts w:ascii="ITC Avant Garde" w:hAnsi="ITC Avant Garde" w:cs="Arial"/>
          <w:bCs/>
          <w:sz w:val="22"/>
          <w:szCs w:val="22"/>
          <w:lang w:eastAsia="es-ES"/>
        </w:rPr>
      </w:pPr>
      <w:r w:rsidRPr="0014581A">
        <w:rPr>
          <w:rFonts w:ascii="ITC Avant Garde" w:hAnsi="ITC Avant Garde" w:cs="Arial"/>
          <w:b/>
          <w:bCs/>
          <w:sz w:val="22"/>
          <w:szCs w:val="22"/>
          <w:lang w:eastAsia="es-ES"/>
        </w:rPr>
        <w:t>Otorgamiento de la concesión para instalar, operar y explotar una red pública de telecomunicaciones a la Comisión Federal de Electricidad.</w:t>
      </w:r>
      <w:r>
        <w:rPr>
          <w:rFonts w:ascii="ITC Avant Garde" w:hAnsi="ITC Avant Garde" w:cs="Arial"/>
          <w:bCs/>
          <w:sz w:val="22"/>
          <w:szCs w:val="22"/>
          <w:lang w:eastAsia="es-ES"/>
        </w:rPr>
        <w:t xml:space="preserve"> El 10 de noviembre de 2006, la Secretaria de Comunicaciones y Transportes otorgó a favor de la Comisión Federal de Electricidad un título de concesión para instalar, operar y explotar una red pública de telecomunicaciones para prestar los servicios de provisión y arrendamiento de capacidad de la red y la comercialización de la capacidad adquirida respecto de redes de otros concesionarios de redes públicas.</w:t>
      </w:r>
    </w:p>
    <w:p w14:paraId="62E04120" w14:textId="245B76D1" w:rsidR="00233507" w:rsidRPr="00F559BB" w:rsidRDefault="00233507" w:rsidP="005B2961">
      <w:pPr>
        <w:numPr>
          <w:ilvl w:val="0"/>
          <w:numId w:val="20"/>
        </w:numPr>
        <w:tabs>
          <w:tab w:val="num" w:pos="1940"/>
        </w:tabs>
        <w:spacing w:before="240" w:line="276" w:lineRule="auto"/>
        <w:ind w:left="900" w:hanging="900"/>
        <w:jc w:val="both"/>
        <w:rPr>
          <w:rFonts w:ascii="ITC Avant Garde" w:hAnsi="ITC Avant Garde" w:cs="Arial"/>
          <w:bCs/>
          <w:sz w:val="22"/>
          <w:szCs w:val="22"/>
          <w:lang w:eastAsia="es-ES"/>
        </w:rPr>
      </w:pPr>
      <w:r w:rsidRPr="00F559BB">
        <w:rPr>
          <w:rFonts w:ascii="ITC Avant Garde" w:hAnsi="ITC Avant Garde" w:cs="Arial"/>
          <w:b/>
          <w:bCs/>
          <w:sz w:val="22"/>
          <w:szCs w:val="22"/>
          <w:lang w:eastAsia="es-ES"/>
        </w:rPr>
        <w:t>Decreto de Reforma Constitucional en materia de telecomunicaciones</w:t>
      </w:r>
      <w:r w:rsidRPr="00F559BB">
        <w:rPr>
          <w:rFonts w:ascii="ITC Avant Garde" w:hAnsi="ITC Avant Garde" w:cs="Arial"/>
          <w:bCs/>
          <w:sz w:val="22"/>
          <w:szCs w:val="22"/>
          <w:lang w:eastAsia="es-ES"/>
        </w:rPr>
        <w:t>. Con fecha 11 de junio de 2013, se publicó en el Diario Oficial de la Federación (en lo sucesivo, el DOF) el “Decreto por el que se reforman y adicionan diversas disposiciones de los artículos 6, 7, 27, 28, 73, 78, 94 y 105 de la Constitución Política de los Estados Unidos Mexicanos, en materia de telecomunicaciones” (en lo sucesivo, el Decreto), mediante el cual se creó el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41F88B2D" w14:textId="77777777" w:rsidR="00233507" w:rsidRPr="00F559BB" w:rsidRDefault="00233507" w:rsidP="005B2961">
      <w:pPr>
        <w:numPr>
          <w:ilvl w:val="0"/>
          <w:numId w:val="20"/>
        </w:numPr>
        <w:tabs>
          <w:tab w:val="num" w:pos="1940"/>
        </w:tabs>
        <w:spacing w:before="240" w:line="276" w:lineRule="auto"/>
        <w:ind w:left="900" w:hanging="900"/>
        <w:jc w:val="both"/>
        <w:rPr>
          <w:rFonts w:ascii="ITC Avant Garde" w:hAnsi="ITC Avant Garde" w:cs="Arial"/>
          <w:bCs/>
          <w:sz w:val="22"/>
          <w:szCs w:val="22"/>
          <w:lang w:eastAsia="es-ES"/>
        </w:rPr>
      </w:pPr>
      <w:r w:rsidRPr="00F559BB">
        <w:rPr>
          <w:rFonts w:ascii="ITC Avant Garde" w:hAnsi="ITC Avant Garde" w:cs="Arial"/>
          <w:b/>
          <w:bCs/>
          <w:sz w:val="22"/>
          <w:szCs w:val="22"/>
          <w:lang w:eastAsia="es-ES"/>
        </w:rPr>
        <w:t>Expedición de la Ley Federal de Telecomunicaciones y Radiodifusión</w:t>
      </w:r>
      <w:r w:rsidRPr="00F559BB">
        <w:rPr>
          <w:rFonts w:ascii="ITC Avant Garde" w:hAnsi="ITC Avant Garde" w:cs="Arial"/>
          <w:bCs/>
          <w:sz w:val="22"/>
          <w:szCs w:val="22"/>
          <w:lang w:eastAsia="es-ES"/>
        </w:rPr>
        <w:t xml:space="preserve">. Con fecha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 términos de lo dispuesto </w:t>
      </w:r>
      <w:r w:rsidRPr="00F559BB">
        <w:rPr>
          <w:rFonts w:ascii="ITC Avant Garde" w:hAnsi="ITC Avant Garde" w:cs="Arial"/>
          <w:bCs/>
          <w:sz w:val="22"/>
          <w:szCs w:val="22"/>
          <w:lang w:eastAsia="es-ES"/>
        </w:rPr>
        <w:lastRenderedPageBreak/>
        <w:t>por su Artículo Primero transitorio, entró en vigor a los treinta días naturales siguientes a su publicación, esto es, el 13 de agosto de 2014.</w:t>
      </w:r>
    </w:p>
    <w:p w14:paraId="593021FD" w14:textId="77777777" w:rsidR="00233507" w:rsidRDefault="00233507" w:rsidP="005B2961">
      <w:pPr>
        <w:numPr>
          <w:ilvl w:val="0"/>
          <w:numId w:val="20"/>
        </w:numPr>
        <w:tabs>
          <w:tab w:val="num" w:pos="1940"/>
        </w:tabs>
        <w:spacing w:before="240" w:line="276" w:lineRule="auto"/>
        <w:ind w:left="900" w:hanging="900"/>
        <w:jc w:val="both"/>
        <w:rPr>
          <w:rFonts w:ascii="ITC Avant Garde" w:hAnsi="ITC Avant Garde" w:cs="Arial"/>
          <w:bCs/>
          <w:sz w:val="22"/>
          <w:szCs w:val="22"/>
          <w:lang w:eastAsia="es-ES"/>
        </w:rPr>
      </w:pPr>
      <w:r w:rsidRPr="00F559BB">
        <w:rPr>
          <w:rFonts w:ascii="ITC Avant Garde" w:hAnsi="ITC Avant Garde" w:cs="Arial"/>
          <w:b/>
          <w:bCs/>
          <w:sz w:val="22"/>
          <w:szCs w:val="22"/>
          <w:lang w:eastAsia="es-ES"/>
        </w:rPr>
        <w:t xml:space="preserve">Expedición del Estatuto Orgánico del Instituto Federal de Telecomunicaciones. </w:t>
      </w:r>
      <w:r w:rsidRPr="00F559BB">
        <w:rPr>
          <w:rFonts w:ascii="ITC Avant Garde" w:hAnsi="ITC Avant Garde" w:cs="Arial"/>
          <w:bCs/>
          <w:sz w:val="22"/>
          <w:szCs w:val="22"/>
          <w:lang w:eastAsia="es-ES"/>
        </w:rPr>
        <w:t>El 4 de septiembre de 2014 se publicó en el DOF el “Estatuto Orgánico del Instituto Federal de Telecomunicaciones” (en lo sucesivo, el Estatuto Orgánico), mismo que entró en vigor el 26 de septiembre de 2014; y el cual se modificó el 17 de octubre de 2014.</w:t>
      </w:r>
    </w:p>
    <w:p w14:paraId="04269C6D" w14:textId="77777777" w:rsidR="007330E8" w:rsidRPr="00F559BB" w:rsidRDefault="007330E8" w:rsidP="005B2961">
      <w:pPr>
        <w:numPr>
          <w:ilvl w:val="0"/>
          <w:numId w:val="20"/>
        </w:numPr>
        <w:tabs>
          <w:tab w:val="num" w:pos="1940"/>
        </w:tabs>
        <w:spacing w:before="240" w:line="276" w:lineRule="auto"/>
        <w:ind w:left="900" w:hanging="900"/>
        <w:jc w:val="both"/>
        <w:rPr>
          <w:rFonts w:ascii="ITC Avant Garde" w:hAnsi="ITC Avant Garde" w:cs="Arial"/>
          <w:bCs/>
          <w:sz w:val="22"/>
          <w:szCs w:val="22"/>
          <w:lang w:eastAsia="es-ES"/>
        </w:rPr>
      </w:pPr>
      <w:r w:rsidRPr="00396133">
        <w:rPr>
          <w:rFonts w:ascii="ITC Avant Garde" w:hAnsi="ITC Avant Garde" w:cs="Arial"/>
          <w:b/>
          <w:bCs/>
          <w:sz w:val="22"/>
          <w:szCs w:val="22"/>
          <w:lang w:eastAsia="es-ES"/>
        </w:rPr>
        <w:t>Cesión de derechos y obligaciones derivados de la concesión de la Comisión Federal de Electricidad a favor de Telecomunicaciones de México.</w:t>
      </w:r>
      <w:r>
        <w:rPr>
          <w:rFonts w:ascii="ITC Avant Garde" w:hAnsi="ITC Avant Garde" w:cs="Arial"/>
          <w:bCs/>
          <w:sz w:val="22"/>
          <w:szCs w:val="22"/>
          <w:lang w:eastAsia="es-ES"/>
        </w:rPr>
        <w:t xml:space="preserve"> El 23 de septiembre de 2015, el Instituto, autorizó a la Comisión Federal de Electricidad, a llevar a cabo la cesión de derechos y obligaciones del título de concesión para instalar, operar y explotar una red pública de telecomunicaciones con cobertura a nivel nacional, en favor de Telecomunicaciones de México.</w:t>
      </w:r>
    </w:p>
    <w:p w14:paraId="2694C8D8" w14:textId="77777777" w:rsidR="00233507" w:rsidRPr="00016E6C" w:rsidRDefault="00233507" w:rsidP="00016E6C">
      <w:pPr>
        <w:spacing w:line="276" w:lineRule="auto"/>
        <w:rPr>
          <w:rFonts w:ascii="ITC Avant Garde" w:hAnsi="ITC Avant Garde" w:cs="Arial"/>
          <w:bCs/>
          <w:sz w:val="22"/>
          <w:szCs w:val="22"/>
        </w:rPr>
      </w:pPr>
    </w:p>
    <w:p w14:paraId="34E9C975" w14:textId="77777777" w:rsidR="00233507" w:rsidRPr="00F559BB" w:rsidRDefault="00233507" w:rsidP="00233507">
      <w:pPr>
        <w:pStyle w:val="Normal1"/>
        <w:tabs>
          <w:tab w:val="left" w:pos="0"/>
        </w:tabs>
        <w:spacing w:after="0" w:line="276" w:lineRule="auto"/>
        <w:jc w:val="both"/>
        <w:rPr>
          <w:lang w:val="es-ES_tradnl"/>
        </w:rPr>
      </w:pPr>
      <w:r w:rsidRPr="00F559BB">
        <w:rPr>
          <w:rFonts w:ascii="ITC Avant Garde" w:eastAsia="ITC Avant Garde" w:hAnsi="ITC Avant Garde" w:cs="ITC Avant Garde"/>
          <w:lang w:val="es-ES_tradnl"/>
        </w:rPr>
        <w:t>Derivado de lo anterior y conforme a los siguientes:</w:t>
      </w:r>
    </w:p>
    <w:p w14:paraId="101CD541" w14:textId="77777777" w:rsidR="00233507" w:rsidRPr="00F559BB" w:rsidRDefault="00233507" w:rsidP="00233507">
      <w:pPr>
        <w:spacing w:line="276" w:lineRule="auto"/>
        <w:jc w:val="both"/>
        <w:rPr>
          <w:rFonts w:ascii="ITC Avant Garde" w:hAnsi="ITC Avant Garde"/>
          <w:sz w:val="22"/>
          <w:szCs w:val="22"/>
        </w:rPr>
      </w:pPr>
    </w:p>
    <w:p w14:paraId="3D2DC74D" w14:textId="455629C9" w:rsidR="00233507" w:rsidRPr="005B2961" w:rsidRDefault="00233507" w:rsidP="005B2961">
      <w:pPr>
        <w:pStyle w:val="Ttulo2"/>
        <w:jc w:val="center"/>
        <w:rPr>
          <w:rFonts w:ascii="ITC Avant Garde" w:hAnsi="ITC Avant Garde"/>
          <w:b/>
          <w:color w:val="000000" w:themeColor="text1"/>
          <w:sz w:val="22"/>
          <w:szCs w:val="22"/>
        </w:rPr>
      </w:pPr>
      <w:r w:rsidRPr="005B2961">
        <w:rPr>
          <w:rFonts w:ascii="ITC Avant Garde" w:hAnsi="ITC Avant Garde"/>
          <w:b/>
          <w:color w:val="000000" w:themeColor="text1"/>
          <w:sz w:val="22"/>
          <w:szCs w:val="22"/>
        </w:rPr>
        <w:t>CONSIDERANDO</w:t>
      </w:r>
    </w:p>
    <w:p w14:paraId="2043A0A7" w14:textId="77777777" w:rsidR="00233507" w:rsidRPr="00F7548C" w:rsidRDefault="00233507" w:rsidP="00233507">
      <w:pPr>
        <w:spacing w:line="276" w:lineRule="auto"/>
        <w:jc w:val="center"/>
        <w:rPr>
          <w:rFonts w:ascii="ITC Avant Garde" w:hAnsi="ITC Avant Garde"/>
          <w:sz w:val="22"/>
          <w:szCs w:val="22"/>
        </w:rPr>
      </w:pPr>
    </w:p>
    <w:p w14:paraId="5D76EBAD" w14:textId="77777777" w:rsidR="00233507" w:rsidRPr="00F7548C" w:rsidRDefault="00233507" w:rsidP="00233507">
      <w:pPr>
        <w:tabs>
          <w:tab w:val="num" w:pos="1940"/>
        </w:tabs>
        <w:spacing w:line="276" w:lineRule="auto"/>
        <w:jc w:val="both"/>
        <w:rPr>
          <w:rFonts w:ascii="ITC Avant Garde" w:hAnsi="ITC Avant Garde" w:cs="Arial"/>
          <w:bCs/>
          <w:sz w:val="22"/>
          <w:szCs w:val="22"/>
          <w:lang w:eastAsia="es-ES"/>
        </w:rPr>
      </w:pPr>
      <w:r w:rsidRPr="00F7548C">
        <w:rPr>
          <w:rFonts w:ascii="ITC Avant Garde" w:eastAsia="Arial" w:hAnsi="ITC Avant Garde" w:cs="Arial"/>
          <w:b/>
          <w:sz w:val="22"/>
          <w:szCs w:val="22"/>
          <w:lang w:val="es-ES_tradnl"/>
        </w:rPr>
        <w:t>PRIMERO.- Competencia del Instituto</w:t>
      </w:r>
      <w:r w:rsidRPr="00F7548C">
        <w:rPr>
          <w:rFonts w:ascii="ITC Avant Garde" w:eastAsia="Arial" w:hAnsi="ITC Avant Garde" w:cs="Arial"/>
          <w:sz w:val="22"/>
          <w:szCs w:val="22"/>
          <w:lang w:val="es-ES_tradnl"/>
        </w:rPr>
        <w:t>. De conformidad con lo establecido por el artículo 28 párrafo décimo quinto 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 Para tal efecto, en términos del precepto constitucional invocado así como de los artículos 1 y 7 de la Ley Federal de Telecomunicaciones y Radiodifusión (en lo sucesivo,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contribuyendo a los fines y al ejercicio de los derechos establecidos en los artículos 6o. y 7o. de la Constitución.</w:t>
      </w:r>
    </w:p>
    <w:p w14:paraId="363C30DA" w14:textId="77777777" w:rsidR="00233507" w:rsidRPr="00F7548C" w:rsidRDefault="00233507" w:rsidP="00233507">
      <w:pPr>
        <w:pStyle w:val="Prrafodelista"/>
        <w:spacing w:line="276" w:lineRule="auto"/>
        <w:ind w:left="0"/>
        <w:rPr>
          <w:rFonts w:ascii="ITC Avant Garde" w:eastAsia="Arial" w:hAnsi="ITC Avant Garde" w:cs="Arial"/>
          <w:sz w:val="22"/>
          <w:szCs w:val="22"/>
        </w:rPr>
      </w:pPr>
    </w:p>
    <w:p w14:paraId="3E2AEF57" w14:textId="2228A980" w:rsidR="00233507" w:rsidRPr="00F7548C" w:rsidRDefault="003C187A"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El</w:t>
      </w:r>
      <w:r w:rsidR="00233507" w:rsidRPr="00F7548C">
        <w:rPr>
          <w:rFonts w:ascii="ITC Avant Garde" w:eastAsia="Arial" w:hAnsi="ITC Avant Garde" w:cs="Arial"/>
          <w:sz w:val="22"/>
          <w:szCs w:val="22"/>
          <w:lang w:val="es-ES_tradnl"/>
        </w:rPr>
        <w:t xml:space="preserve"> Instituto es la autoridad en materia de competencia económica de los sectores de radiodifusión y telecomunicaciones, por lo que en éstos ejercerá en forma exclusiva las facultades establecidas para la Comisión Federal de Competencia </w:t>
      </w:r>
      <w:r w:rsidR="00233507" w:rsidRPr="00F7548C">
        <w:rPr>
          <w:rFonts w:ascii="ITC Avant Garde" w:eastAsia="Arial" w:hAnsi="ITC Avant Garde" w:cs="Arial"/>
          <w:sz w:val="22"/>
          <w:szCs w:val="22"/>
          <w:lang w:val="es-ES_tradnl"/>
        </w:rPr>
        <w:lastRenderedPageBreak/>
        <w:t>Económica en el artículo 28 de la Constitución, la Ley y la Ley Federal de Competencia Económica.</w:t>
      </w:r>
    </w:p>
    <w:p w14:paraId="04363D5F" w14:textId="77777777"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p>
    <w:p w14:paraId="2FDD0A01" w14:textId="17C25646"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A su vez, conforme lo dispuesto en el artículo Décimo Quinto Transitorio del Decreto,</w:t>
      </w:r>
      <w:r w:rsidR="00BF1A95" w:rsidRPr="00F7548C">
        <w:rPr>
          <w:rFonts w:ascii="ITC Avant Garde" w:eastAsia="Arial" w:hAnsi="ITC Avant Garde" w:cs="Arial"/>
          <w:sz w:val="22"/>
          <w:szCs w:val="22"/>
          <w:lang w:val="es-ES_tradnl"/>
        </w:rPr>
        <w:t xml:space="preserve"> en</w:t>
      </w:r>
      <w:r w:rsidR="00124B28" w:rsidRPr="00F7548C">
        <w:rPr>
          <w:rFonts w:ascii="ITC Avant Garde" w:eastAsia="Arial" w:hAnsi="ITC Avant Garde" w:cs="Arial"/>
          <w:sz w:val="22"/>
          <w:szCs w:val="22"/>
          <w:lang w:val="es-ES_tradnl"/>
        </w:rPr>
        <w:t xml:space="preserve"> correlación con </w:t>
      </w:r>
      <w:r w:rsidR="00BF1A95" w:rsidRPr="00F7548C">
        <w:rPr>
          <w:rFonts w:ascii="ITC Avant Garde" w:eastAsia="Arial" w:hAnsi="ITC Avant Garde" w:cs="Arial"/>
          <w:sz w:val="22"/>
          <w:szCs w:val="22"/>
          <w:lang w:val="es-ES_tradnl"/>
        </w:rPr>
        <w:t>el 15 fracciones I y LXIII de la Ley</w:t>
      </w:r>
      <w:r w:rsidR="00124B28" w:rsidRPr="00F7548C">
        <w:rPr>
          <w:rFonts w:ascii="ITC Avant Garde" w:eastAsia="Arial" w:hAnsi="ITC Avant Garde" w:cs="Arial"/>
          <w:sz w:val="22"/>
          <w:szCs w:val="22"/>
          <w:lang w:val="es-ES_tradnl"/>
        </w:rPr>
        <w:t xml:space="preserve"> y </w:t>
      </w:r>
      <w:r w:rsidR="00BF1A95" w:rsidRPr="00F7548C">
        <w:rPr>
          <w:rFonts w:ascii="ITC Avant Garde" w:eastAsia="Arial" w:hAnsi="ITC Avant Garde" w:cs="Arial"/>
          <w:sz w:val="22"/>
          <w:szCs w:val="22"/>
          <w:lang w:val="es-ES_tradnl"/>
        </w:rPr>
        <w:t xml:space="preserve">6 fracción I </w:t>
      </w:r>
      <w:r w:rsidR="00EB5E82" w:rsidRPr="00F7548C">
        <w:rPr>
          <w:rFonts w:ascii="ITC Avant Garde" w:eastAsia="Arial" w:hAnsi="ITC Avant Garde" w:cs="Arial"/>
          <w:sz w:val="22"/>
          <w:szCs w:val="22"/>
          <w:lang w:val="es-ES_tradnl"/>
        </w:rPr>
        <w:t xml:space="preserve">y XXXVII </w:t>
      </w:r>
      <w:r w:rsidR="00BF1A95" w:rsidRPr="00F7548C">
        <w:rPr>
          <w:rFonts w:ascii="ITC Avant Garde" w:eastAsia="Arial" w:hAnsi="ITC Avant Garde" w:cs="Arial"/>
          <w:sz w:val="22"/>
          <w:szCs w:val="22"/>
          <w:lang w:val="es-ES_tradnl"/>
        </w:rPr>
        <w:t xml:space="preserve">del Estatuto Orgánico, </w:t>
      </w:r>
      <w:r w:rsidRPr="00F7548C">
        <w:rPr>
          <w:rFonts w:ascii="ITC Avant Garde" w:eastAsia="Arial" w:hAnsi="ITC Avant Garde" w:cs="Arial"/>
          <w:sz w:val="22"/>
          <w:szCs w:val="22"/>
          <w:lang w:val="es-ES_tradnl"/>
        </w:rPr>
        <w:t>el Instituto tiene la atribución de emitir los lineamientos y acuerdos para garantizar el acceso efectivo y compartido a la infraestructura de la Comisión Federal de Electricidad (en lo sucesivo, la CFE) para su aprovechamiento eficiente, y también para</w:t>
      </w:r>
      <w:r w:rsidR="001D0BD0" w:rsidRPr="00F7548C">
        <w:rPr>
          <w:rFonts w:ascii="ITC Avant Garde" w:eastAsia="Arial" w:hAnsi="ITC Avant Garde" w:cs="Arial"/>
          <w:sz w:val="22"/>
          <w:szCs w:val="22"/>
          <w:lang w:val="es-ES_tradnl"/>
        </w:rPr>
        <w:t xml:space="preserve"> que Telecomunicaciones de México</w:t>
      </w:r>
      <w:r w:rsidRPr="00F7548C">
        <w:rPr>
          <w:rFonts w:ascii="ITC Avant Garde" w:eastAsia="Arial" w:hAnsi="ITC Avant Garde" w:cs="Arial"/>
          <w:sz w:val="22"/>
          <w:szCs w:val="22"/>
          <w:lang w:val="es-ES_tradnl"/>
        </w:rPr>
        <w:t xml:space="preserve"> </w:t>
      </w:r>
      <w:r w:rsidR="001D0BD0" w:rsidRPr="00F7548C">
        <w:rPr>
          <w:rFonts w:ascii="ITC Avant Garde" w:eastAsia="Arial" w:hAnsi="ITC Avant Garde" w:cs="Arial"/>
          <w:sz w:val="22"/>
          <w:szCs w:val="22"/>
          <w:lang w:val="es-ES_tradnl"/>
        </w:rPr>
        <w:t xml:space="preserve">pueda </w:t>
      </w:r>
      <w:r w:rsidRPr="00F7548C">
        <w:rPr>
          <w:rFonts w:ascii="ITC Avant Garde" w:eastAsia="Arial" w:hAnsi="ITC Avant Garde" w:cs="Arial"/>
          <w:sz w:val="22"/>
          <w:szCs w:val="22"/>
          <w:lang w:val="es-ES_tradnl"/>
        </w:rPr>
        <w:t>planear, diseñar y ejecutar la construcción y el crecimiento de una robusta red troncal de telecomunicaciones de cobertura nacional, mismo que a la letra señala:</w:t>
      </w:r>
    </w:p>
    <w:p w14:paraId="4DD58D72" w14:textId="77777777"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p>
    <w:p w14:paraId="14A03A64" w14:textId="4AC63D39" w:rsidR="00233507" w:rsidRPr="005B2961" w:rsidRDefault="00233507" w:rsidP="00233507">
      <w:pPr>
        <w:tabs>
          <w:tab w:val="num" w:pos="1220"/>
          <w:tab w:val="num" w:pos="1940"/>
        </w:tabs>
        <w:spacing w:line="276" w:lineRule="auto"/>
        <w:ind w:left="516"/>
        <w:jc w:val="both"/>
        <w:rPr>
          <w:rFonts w:ascii="ITC Avant Garde" w:eastAsia="Arial" w:hAnsi="ITC Avant Garde" w:cs="Arial"/>
          <w:sz w:val="18"/>
          <w:szCs w:val="18"/>
          <w:lang w:val="es-ES_tradnl"/>
        </w:rPr>
      </w:pPr>
      <w:r w:rsidRPr="005B2961">
        <w:rPr>
          <w:rFonts w:ascii="ITC Avant Garde" w:eastAsia="Arial" w:hAnsi="ITC Avant Garde" w:cs="Arial"/>
          <w:sz w:val="18"/>
          <w:szCs w:val="18"/>
          <w:lang w:val="es-ES_tradnl"/>
        </w:rPr>
        <w:t xml:space="preserve">“DÉCIMO QUINTO. 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w:t>
      </w:r>
      <w:proofErr w:type="spellStart"/>
      <w:r w:rsidRPr="005B2961">
        <w:rPr>
          <w:rFonts w:ascii="ITC Avant Garde" w:eastAsia="Arial" w:hAnsi="ITC Avant Garde" w:cs="Arial"/>
          <w:sz w:val="18"/>
          <w:szCs w:val="18"/>
          <w:lang w:val="es-ES_tradnl"/>
        </w:rPr>
        <w:t>postería</w:t>
      </w:r>
      <w:proofErr w:type="spellEnd"/>
      <w:r w:rsidRPr="005B2961">
        <w:rPr>
          <w:rFonts w:ascii="ITC Avant Garde" w:eastAsia="Arial" w:hAnsi="ITC Avant Garde" w:cs="Arial"/>
          <w:sz w:val="18"/>
          <w:szCs w:val="18"/>
          <w:lang w:val="es-ES_tradnl"/>
        </w:rPr>
        <w:t xml:space="preserve">,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w:t>
      </w:r>
      <w:r w:rsidRPr="005B2961">
        <w:rPr>
          <w:rFonts w:ascii="ITC Avant Garde" w:eastAsia="Arial" w:hAnsi="ITC Avant Garde" w:cs="Arial"/>
          <w:b/>
          <w:sz w:val="18"/>
          <w:szCs w:val="18"/>
          <w:lang w:val="es-ES_tradnl"/>
        </w:rPr>
        <w:t>con los lineamientos y acuerdos emitidos por el Instituto Federal de Telecomunicaciones</w:t>
      </w:r>
      <w:r w:rsidRPr="005B2961">
        <w:rPr>
          <w:rFonts w:ascii="ITC Avant Garde" w:eastAsia="Arial" w:hAnsi="ITC Avant Garde" w:cs="Arial"/>
          <w:sz w:val="18"/>
          <w:szCs w:val="18"/>
          <w:lang w:val="es-ES_tradnl"/>
        </w:rPr>
        <w:t xml:space="preserve">.” </w:t>
      </w:r>
      <w:r w:rsidR="009907D8" w:rsidRPr="005B2961">
        <w:rPr>
          <w:rFonts w:ascii="ITC Avant Garde" w:eastAsia="Arial" w:hAnsi="ITC Avant Garde" w:cs="Arial"/>
          <w:sz w:val="18"/>
          <w:szCs w:val="18"/>
          <w:lang w:val="es-ES_tradnl"/>
        </w:rPr>
        <w:t>[Énfasis añadido]</w:t>
      </w:r>
    </w:p>
    <w:p w14:paraId="578B89CF" w14:textId="77777777" w:rsidR="003C187A" w:rsidRPr="00F7548C" w:rsidRDefault="003C187A" w:rsidP="00233507">
      <w:pPr>
        <w:tabs>
          <w:tab w:val="num" w:pos="1220"/>
          <w:tab w:val="num" w:pos="1940"/>
        </w:tabs>
        <w:spacing w:line="276" w:lineRule="auto"/>
        <w:jc w:val="both"/>
        <w:rPr>
          <w:rFonts w:ascii="ITC Avant Garde" w:eastAsia="Arial" w:hAnsi="ITC Avant Garde" w:cs="Arial"/>
          <w:sz w:val="22"/>
          <w:szCs w:val="22"/>
          <w:lang w:val="es-ES_tradnl"/>
        </w:rPr>
      </w:pPr>
    </w:p>
    <w:p w14:paraId="3E292A10" w14:textId="6E641294" w:rsidR="003C187A" w:rsidRPr="00F7548C" w:rsidRDefault="003C187A" w:rsidP="007330E8">
      <w:pPr>
        <w:spacing w:after="160" w:line="259"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Asimismo, conforme a lo dispuesto en el artículo 15</w:t>
      </w:r>
      <w:r w:rsidR="00FE0FFB" w:rsidRPr="00F7548C">
        <w:rPr>
          <w:rFonts w:ascii="ITC Avant Garde" w:eastAsia="Arial" w:hAnsi="ITC Avant Garde" w:cs="Arial"/>
          <w:sz w:val="22"/>
          <w:szCs w:val="22"/>
          <w:lang w:val="es-ES_tradnl"/>
        </w:rPr>
        <w:t>,</w:t>
      </w:r>
      <w:r w:rsidRPr="00F7548C">
        <w:rPr>
          <w:rFonts w:ascii="ITC Avant Garde" w:eastAsia="Arial" w:hAnsi="ITC Avant Garde" w:cs="Arial"/>
          <w:sz w:val="22"/>
          <w:szCs w:val="22"/>
          <w:lang w:val="es-ES_tradnl"/>
        </w:rPr>
        <w:t xml:space="preserve"> fracción XII</w:t>
      </w:r>
      <w:r w:rsidR="007330E8">
        <w:rPr>
          <w:rFonts w:ascii="ITC Avant Garde" w:eastAsia="Arial" w:hAnsi="ITC Avant Garde" w:cs="Arial"/>
          <w:sz w:val="22"/>
          <w:szCs w:val="22"/>
          <w:lang w:val="es-ES_tradnl"/>
        </w:rPr>
        <w:t>I</w:t>
      </w:r>
      <w:r w:rsidRPr="00F7548C">
        <w:rPr>
          <w:rFonts w:ascii="ITC Avant Garde" w:eastAsia="Arial" w:hAnsi="ITC Avant Garde" w:cs="Arial"/>
          <w:sz w:val="22"/>
          <w:szCs w:val="22"/>
          <w:lang w:val="es-ES_tradnl"/>
        </w:rPr>
        <w:t xml:space="preserve"> de la Ley, corresponde al Pleno</w:t>
      </w:r>
      <w:r w:rsidR="00FA593B" w:rsidRPr="00F7548C">
        <w:rPr>
          <w:rFonts w:ascii="ITC Avant Garde" w:eastAsia="Arial" w:hAnsi="ITC Avant Garde" w:cs="Arial"/>
          <w:sz w:val="22"/>
          <w:szCs w:val="22"/>
          <w:lang w:val="es-ES_tradnl"/>
        </w:rPr>
        <w:t xml:space="preserve"> del Instituto,</w:t>
      </w:r>
      <w:r w:rsidRPr="00F7548C">
        <w:rPr>
          <w:rFonts w:ascii="ITC Avant Garde" w:eastAsia="Arial" w:hAnsi="ITC Avant Garde" w:cs="Arial"/>
          <w:sz w:val="22"/>
          <w:szCs w:val="22"/>
          <w:lang w:val="es-ES_tradnl"/>
        </w:rPr>
        <w:t xml:space="preserve"> </w:t>
      </w:r>
      <w:r w:rsidR="007330E8">
        <w:rPr>
          <w:rFonts w:ascii="ITC Avant Garde" w:eastAsia="Arial" w:hAnsi="ITC Avant Garde" w:cs="Arial"/>
          <w:sz w:val="22"/>
          <w:szCs w:val="22"/>
          <w:lang w:val="es-ES_tradnl"/>
        </w:rPr>
        <w:t>r</w:t>
      </w:r>
      <w:r w:rsidR="007330E8" w:rsidRPr="007330E8">
        <w:rPr>
          <w:rFonts w:ascii="ITC Avant Garde" w:eastAsia="Arial" w:hAnsi="ITC Avant Garde" w:cs="Arial"/>
          <w:sz w:val="22"/>
          <w:szCs w:val="22"/>
          <w:lang w:val="es-ES_tradnl"/>
        </w:rPr>
        <w:t>esolver los desacuerdos que se susciten entre conc</w:t>
      </w:r>
      <w:r w:rsidR="007330E8">
        <w:rPr>
          <w:rFonts w:ascii="ITC Avant Garde" w:eastAsia="Arial" w:hAnsi="ITC Avant Garde" w:cs="Arial"/>
          <w:sz w:val="22"/>
          <w:szCs w:val="22"/>
          <w:lang w:val="es-ES_tradnl"/>
        </w:rPr>
        <w:t xml:space="preserve">esionarios de redes públicas de </w:t>
      </w:r>
      <w:r w:rsidR="007330E8" w:rsidRPr="007330E8">
        <w:rPr>
          <w:rFonts w:ascii="ITC Avant Garde" w:eastAsia="Arial" w:hAnsi="ITC Avant Garde" w:cs="Arial"/>
          <w:sz w:val="22"/>
          <w:szCs w:val="22"/>
          <w:lang w:val="es-ES_tradnl"/>
        </w:rPr>
        <w:t>telecomunicaciones, entre comercializadores, entre conce</w:t>
      </w:r>
      <w:r w:rsidR="007330E8">
        <w:rPr>
          <w:rFonts w:ascii="ITC Avant Garde" w:eastAsia="Arial" w:hAnsi="ITC Avant Garde" w:cs="Arial"/>
          <w:sz w:val="22"/>
          <w:szCs w:val="22"/>
          <w:lang w:val="es-ES_tradnl"/>
        </w:rPr>
        <w:t xml:space="preserve">sionarios y comercializadores o </w:t>
      </w:r>
      <w:r w:rsidR="007330E8" w:rsidRPr="007330E8">
        <w:rPr>
          <w:rFonts w:ascii="ITC Avant Garde" w:eastAsia="Arial" w:hAnsi="ITC Avant Garde" w:cs="Arial"/>
          <w:sz w:val="22"/>
          <w:szCs w:val="22"/>
          <w:lang w:val="es-ES_tradnl"/>
        </w:rPr>
        <w:t>entre cualquiera de éstos con prestadores de servicios a concesionarios</w:t>
      </w:r>
      <w:r w:rsidR="007330E8">
        <w:rPr>
          <w:rFonts w:ascii="ITC Avant Garde" w:eastAsia="Arial" w:hAnsi="ITC Avant Garde" w:cs="Arial"/>
          <w:sz w:val="22"/>
          <w:szCs w:val="22"/>
          <w:lang w:val="es-ES_tradnl"/>
        </w:rPr>
        <w:t>.</w:t>
      </w:r>
    </w:p>
    <w:p w14:paraId="515B3E73" w14:textId="1029985A"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SEGUNDO.- Importancia de las redes troncales.</w:t>
      </w:r>
      <w:r w:rsidRPr="00F7548C">
        <w:rPr>
          <w:rFonts w:ascii="ITC Avant Garde" w:eastAsia="Arial" w:hAnsi="ITC Avant Garde" w:cs="Arial"/>
          <w:sz w:val="22"/>
          <w:szCs w:val="22"/>
          <w:lang w:val="es-ES_tradnl"/>
        </w:rPr>
        <w:t xml:space="preserve"> Para que las telecomunicaciones puedan contribuir al desarrollo del país y se pueda tutelar el derecho a los servicios públicos de telecomunicaciones incluyendo el de banda ancha e Internet, se requieren redes de acceso y transporte de datos de alta capacidad. Las redes troncales permiten transportar el creciente tráfico de datos generado por los servicios convergentes, por lo que el despliegue de esta infraestructura resulta necesari</w:t>
      </w:r>
      <w:r w:rsidR="00100CA4">
        <w:rPr>
          <w:rFonts w:ascii="ITC Avant Garde" w:eastAsia="Arial" w:hAnsi="ITC Avant Garde" w:cs="Arial"/>
          <w:sz w:val="22"/>
          <w:szCs w:val="22"/>
          <w:lang w:val="es-ES_tradnl"/>
        </w:rPr>
        <w:t>o</w:t>
      </w:r>
      <w:r w:rsidRPr="00F7548C">
        <w:rPr>
          <w:rFonts w:ascii="ITC Avant Garde" w:eastAsia="Arial" w:hAnsi="ITC Avant Garde" w:cs="Arial"/>
          <w:sz w:val="22"/>
          <w:szCs w:val="22"/>
          <w:lang w:val="es-ES_tradnl"/>
        </w:rPr>
        <w:t xml:space="preserve"> para fomentar su desarrollo. </w:t>
      </w:r>
    </w:p>
    <w:p w14:paraId="34779DF1" w14:textId="77777777"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p>
    <w:p w14:paraId="6BF2EA0F" w14:textId="24B70048"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lastRenderedPageBreak/>
        <w:t xml:space="preserve">México cuenta </w:t>
      </w:r>
      <w:r w:rsidR="00501F39">
        <w:rPr>
          <w:rFonts w:ascii="ITC Avant Garde" w:eastAsia="Arial" w:hAnsi="ITC Avant Garde" w:cs="Arial"/>
          <w:sz w:val="22"/>
          <w:szCs w:val="22"/>
          <w:lang w:val="es-ES_tradnl"/>
        </w:rPr>
        <w:t>con redes de transporte, siendo la red de transporte con mayor capilaridad y presencia a nivel nacional la del Agente Económico Preponderante</w:t>
      </w:r>
      <w:r w:rsidRPr="00F7548C">
        <w:rPr>
          <w:rFonts w:ascii="ITC Avant Garde" w:eastAsia="Arial" w:hAnsi="ITC Avant Garde" w:cs="Arial"/>
          <w:sz w:val="22"/>
          <w:szCs w:val="22"/>
          <w:lang w:val="es-ES_tradnl"/>
        </w:rPr>
        <w:t xml:space="preserve">, </w:t>
      </w:r>
      <w:r w:rsidR="009907D8" w:rsidRPr="00F7548C">
        <w:rPr>
          <w:rFonts w:ascii="ITC Avant Garde" w:eastAsia="Arial" w:hAnsi="ITC Avant Garde" w:cs="Arial"/>
          <w:sz w:val="22"/>
          <w:szCs w:val="22"/>
          <w:lang w:val="es-ES_tradnl"/>
        </w:rPr>
        <w:t xml:space="preserve">mientras que </w:t>
      </w:r>
      <w:r w:rsidRPr="00F7548C">
        <w:rPr>
          <w:rFonts w:ascii="ITC Avant Garde" w:eastAsia="Arial" w:hAnsi="ITC Avant Garde" w:cs="Arial"/>
          <w:sz w:val="22"/>
          <w:szCs w:val="22"/>
          <w:lang w:val="es-ES_tradnl"/>
        </w:rPr>
        <w:t>las demás redes existentes son de alcance regional. Sin redes de transporte de alta capacidad, no es posible tener acceso a servicios robustos de banda ancha para la población. En general, el diagnóstico</w:t>
      </w:r>
      <w:r w:rsidR="00E8514F" w:rsidRPr="00F7548C">
        <w:rPr>
          <w:rFonts w:ascii="ITC Avant Garde" w:eastAsia="Arial" w:hAnsi="ITC Avant Garde" w:cs="Arial"/>
          <w:sz w:val="22"/>
          <w:szCs w:val="22"/>
          <w:lang w:val="es-ES_tradnl"/>
        </w:rPr>
        <w:t xml:space="preserve"> de las</w:t>
      </w:r>
      <w:r w:rsidRPr="00F7548C">
        <w:rPr>
          <w:rFonts w:ascii="ITC Avant Garde" w:eastAsia="Arial" w:hAnsi="ITC Avant Garde" w:cs="Arial"/>
          <w:sz w:val="22"/>
          <w:szCs w:val="22"/>
          <w:lang w:val="es-ES_tradnl"/>
        </w:rPr>
        <w:t xml:space="preserve"> redes </w:t>
      </w:r>
      <w:r w:rsidR="00E8514F" w:rsidRPr="00F7548C">
        <w:rPr>
          <w:rFonts w:ascii="ITC Avant Garde" w:eastAsia="Arial" w:hAnsi="ITC Avant Garde" w:cs="Arial"/>
          <w:sz w:val="22"/>
          <w:szCs w:val="22"/>
          <w:lang w:val="es-ES_tradnl"/>
        </w:rPr>
        <w:t>de transporte</w:t>
      </w:r>
      <w:r w:rsidRPr="00F7548C">
        <w:rPr>
          <w:rFonts w:ascii="ITC Avant Garde" w:eastAsia="Arial" w:hAnsi="ITC Avant Garde" w:cs="Arial"/>
          <w:sz w:val="22"/>
          <w:szCs w:val="22"/>
          <w:lang w:val="es-ES_tradnl"/>
        </w:rPr>
        <w:t xml:space="preserve"> en México</w:t>
      </w:r>
      <w:r w:rsidR="00E8514F" w:rsidRPr="00F7548C">
        <w:rPr>
          <w:rFonts w:ascii="ITC Avant Garde" w:eastAsia="Arial" w:hAnsi="ITC Avant Garde" w:cs="Arial"/>
          <w:sz w:val="22"/>
          <w:szCs w:val="22"/>
          <w:lang w:val="es-ES_tradnl"/>
        </w:rPr>
        <w:t xml:space="preserve"> se resume en los siguientes puntos</w:t>
      </w:r>
      <w:r w:rsidRPr="00F7548C">
        <w:rPr>
          <w:rFonts w:ascii="ITC Avant Garde" w:eastAsia="Arial" w:hAnsi="ITC Avant Garde" w:cs="Arial"/>
          <w:sz w:val="22"/>
          <w:szCs w:val="22"/>
          <w:lang w:val="es-ES_tradnl"/>
        </w:rPr>
        <w:t>:</w:t>
      </w:r>
      <w:r w:rsidR="00AC6F55">
        <w:rPr>
          <w:rStyle w:val="Refdenotaalpie"/>
          <w:rFonts w:ascii="ITC Avant Garde" w:eastAsia="Arial" w:hAnsi="ITC Avant Garde" w:cs="Arial"/>
          <w:sz w:val="22"/>
          <w:szCs w:val="22"/>
          <w:lang w:val="es-ES_tradnl"/>
        </w:rPr>
        <w:footnoteReference w:id="1"/>
      </w:r>
    </w:p>
    <w:p w14:paraId="610A348A" w14:textId="77777777"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p>
    <w:p w14:paraId="5F8E6BF8" w14:textId="6C820735" w:rsidR="00233507" w:rsidRPr="00F7548C" w:rsidRDefault="00E8514F" w:rsidP="005B2961">
      <w:pPr>
        <w:pStyle w:val="Prrafodelista"/>
        <w:numPr>
          <w:ilvl w:val="0"/>
          <w:numId w:val="21"/>
        </w:numPr>
        <w:tabs>
          <w:tab w:val="num" w:pos="320"/>
          <w:tab w:val="num" w:pos="1940"/>
        </w:tabs>
        <w:spacing w:before="240" w:line="276" w:lineRule="auto"/>
        <w:ind w:left="720"/>
        <w:jc w:val="both"/>
        <w:rPr>
          <w:rFonts w:ascii="ITC Avant Garde" w:eastAsia="Arial" w:hAnsi="ITC Avant Garde" w:cs="Arial"/>
          <w:sz w:val="22"/>
          <w:szCs w:val="22"/>
        </w:rPr>
      </w:pPr>
      <w:r w:rsidRPr="00F7548C">
        <w:rPr>
          <w:rFonts w:ascii="ITC Avant Garde" w:eastAsia="Arial" w:hAnsi="ITC Avant Garde" w:cs="Arial"/>
          <w:b/>
          <w:sz w:val="22"/>
          <w:szCs w:val="22"/>
        </w:rPr>
        <w:t>C</w:t>
      </w:r>
      <w:r w:rsidR="00233507" w:rsidRPr="00F7548C">
        <w:rPr>
          <w:rFonts w:ascii="ITC Avant Garde" w:eastAsia="Arial" w:hAnsi="ITC Avant Garde" w:cs="Arial"/>
          <w:b/>
          <w:sz w:val="22"/>
          <w:szCs w:val="22"/>
        </w:rPr>
        <w:t>apilaridad limitada</w:t>
      </w:r>
      <w:r w:rsidR="00233507" w:rsidRPr="00F7548C">
        <w:rPr>
          <w:rFonts w:ascii="ITC Avant Garde" w:eastAsia="Arial" w:hAnsi="ITC Avant Garde" w:cs="Arial"/>
          <w:sz w:val="22"/>
          <w:szCs w:val="22"/>
        </w:rPr>
        <w:t xml:space="preserve">. </w:t>
      </w:r>
      <w:r w:rsidRPr="00F7548C">
        <w:rPr>
          <w:rFonts w:ascii="ITC Avant Garde" w:eastAsia="Arial" w:hAnsi="ITC Avant Garde" w:cs="Arial"/>
          <w:sz w:val="22"/>
          <w:szCs w:val="22"/>
        </w:rPr>
        <w:t>La falta de infraestructura de redes de transporte a una distancia razonable, ha generado que no existan incentivos para el despliegue de redes de acceso que puedan proveer servicios de banda ancha en</w:t>
      </w:r>
      <w:r w:rsidR="00501F39">
        <w:rPr>
          <w:rFonts w:ascii="ITC Avant Garde" w:eastAsia="Arial" w:hAnsi="ITC Avant Garde" w:cs="Arial"/>
          <w:sz w:val="22"/>
          <w:szCs w:val="22"/>
        </w:rPr>
        <w:t xml:space="preserve"> </w:t>
      </w:r>
      <w:r w:rsidRPr="00F7548C">
        <w:rPr>
          <w:rFonts w:ascii="ITC Avant Garde" w:eastAsia="Arial" w:hAnsi="ITC Avant Garde" w:cs="Arial"/>
          <w:sz w:val="22"/>
          <w:szCs w:val="22"/>
        </w:rPr>
        <w:t>localidades</w:t>
      </w:r>
      <w:r w:rsidR="00501F39">
        <w:rPr>
          <w:rFonts w:ascii="ITC Avant Garde" w:eastAsia="Arial" w:hAnsi="ITC Avant Garde" w:cs="Arial"/>
          <w:sz w:val="22"/>
          <w:szCs w:val="22"/>
        </w:rPr>
        <w:t xml:space="preserve"> de menor tamaño y que únicamente</w:t>
      </w:r>
      <w:r w:rsidR="00233507" w:rsidRPr="00F7548C">
        <w:rPr>
          <w:rFonts w:ascii="ITC Avant Garde" w:eastAsia="Arial" w:hAnsi="ITC Avant Garde" w:cs="Arial"/>
          <w:sz w:val="22"/>
          <w:szCs w:val="22"/>
        </w:rPr>
        <w:t xml:space="preserve"> cuentan con servicios básicos de voz, como la telefonía pública.</w:t>
      </w:r>
    </w:p>
    <w:p w14:paraId="75D10120" w14:textId="77777777" w:rsidR="00233507" w:rsidRPr="00F7548C" w:rsidRDefault="00233507" w:rsidP="005B2961">
      <w:pPr>
        <w:pStyle w:val="Prrafodelista"/>
        <w:numPr>
          <w:ilvl w:val="0"/>
          <w:numId w:val="21"/>
        </w:numPr>
        <w:tabs>
          <w:tab w:val="num" w:pos="320"/>
          <w:tab w:val="num" w:pos="1940"/>
        </w:tabs>
        <w:spacing w:before="240" w:line="276" w:lineRule="auto"/>
        <w:ind w:left="720"/>
        <w:jc w:val="both"/>
        <w:rPr>
          <w:rFonts w:ascii="ITC Avant Garde" w:eastAsia="Arial" w:hAnsi="ITC Avant Garde" w:cs="Arial"/>
          <w:sz w:val="22"/>
          <w:szCs w:val="22"/>
        </w:rPr>
      </w:pPr>
      <w:r w:rsidRPr="00F7548C">
        <w:rPr>
          <w:rFonts w:ascii="ITC Avant Garde" w:eastAsia="Arial" w:hAnsi="ITC Avant Garde" w:cs="Arial"/>
          <w:b/>
          <w:sz w:val="22"/>
          <w:szCs w:val="22"/>
        </w:rPr>
        <w:t>Falta de actualización y modernización de redes de fibra existentes</w:t>
      </w:r>
      <w:r w:rsidRPr="00F7548C">
        <w:rPr>
          <w:rFonts w:ascii="ITC Avant Garde" w:eastAsia="Arial" w:hAnsi="ITC Avant Garde" w:cs="Arial"/>
          <w:sz w:val="22"/>
          <w:szCs w:val="22"/>
        </w:rPr>
        <w:t xml:space="preserve">. Parte de las redes de fibra (incluyendo la red de la CFE) especialmente aquellas que llegan a ciudades de pequeño y mediano tamaño, no cuenta con tecnología capaz de soportar nuevos y mejores servicios que demandan un mayor ancho de banda. </w:t>
      </w:r>
    </w:p>
    <w:p w14:paraId="6E252860" w14:textId="18C963DA" w:rsidR="00233507" w:rsidRPr="00F7548C" w:rsidRDefault="00233507" w:rsidP="005B2961">
      <w:pPr>
        <w:pStyle w:val="Prrafodelista"/>
        <w:numPr>
          <w:ilvl w:val="0"/>
          <w:numId w:val="21"/>
        </w:numPr>
        <w:tabs>
          <w:tab w:val="num" w:pos="320"/>
          <w:tab w:val="num" w:pos="1940"/>
        </w:tabs>
        <w:spacing w:before="240" w:line="276" w:lineRule="auto"/>
        <w:ind w:left="720"/>
        <w:jc w:val="both"/>
        <w:rPr>
          <w:rFonts w:ascii="ITC Avant Garde" w:eastAsia="Arial" w:hAnsi="ITC Avant Garde" w:cs="Arial"/>
          <w:sz w:val="22"/>
          <w:szCs w:val="22"/>
        </w:rPr>
      </w:pPr>
      <w:r w:rsidRPr="00F7548C">
        <w:rPr>
          <w:rFonts w:ascii="ITC Avant Garde" w:eastAsia="Arial" w:hAnsi="ITC Avant Garde" w:cs="Arial"/>
          <w:b/>
          <w:sz w:val="22"/>
          <w:szCs w:val="22"/>
        </w:rPr>
        <w:t>Competencia nula o limitada</w:t>
      </w:r>
      <w:r w:rsidRPr="00F7548C">
        <w:rPr>
          <w:rFonts w:ascii="ITC Avant Garde" w:eastAsia="Arial" w:hAnsi="ITC Avant Garde" w:cs="Arial"/>
          <w:sz w:val="22"/>
          <w:szCs w:val="22"/>
        </w:rPr>
        <w:t xml:space="preserve">. Al existir una sola red </w:t>
      </w:r>
      <w:r w:rsidR="00501F39">
        <w:rPr>
          <w:rFonts w:ascii="ITC Avant Garde" w:eastAsia="Arial" w:hAnsi="ITC Avant Garde" w:cs="Arial"/>
          <w:sz w:val="22"/>
          <w:szCs w:val="22"/>
        </w:rPr>
        <w:t xml:space="preserve">de transporte con mayor </w:t>
      </w:r>
      <w:r w:rsidRPr="00F7548C">
        <w:rPr>
          <w:rFonts w:ascii="ITC Avant Garde" w:eastAsia="Arial" w:hAnsi="ITC Avant Garde" w:cs="Arial"/>
          <w:sz w:val="22"/>
          <w:szCs w:val="22"/>
        </w:rPr>
        <w:t>cobertura nacional, hay localidades donde solamente tiene presencia dicha red, y esta situación genera incentivos para no establecer precios competitivos, o para limitar o degradar el acceso de terceros.</w:t>
      </w:r>
    </w:p>
    <w:p w14:paraId="228ADF8A" w14:textId="77777777"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p>
    <w:p w14:paraId="44AE83EE" w14:textId="01085261" w:rsidR="00233507" w:rsidRPr="00F7548C" w:rsidRDefault="00AC6F55" w:rsidP="00233507">
      <w:pPr>
        <w:tabs>
          <w:tab w:val="num" w:pos="1220"/>
          <w:tab w:val="num" w:pos="1940"/>
        </w:tabs>
        <w:spacing w:line="276" w:lineRule="auto"/>
        <w:jc w:val="both"/>
        <w:rPr>
          <w:rFonts w:ascii="ITC Avant Garde" w:eastAsia="Arial" w:hAnsi="ITC Avant Garde" w:cs="Arial"/>
          <w:sz w:val="22"/>
          <w:szCs w:val="22"/>
          <w:lang w:val="es-ES_tradnl"/>
        </w:rPr>
      </w:pPr>
      <w:r>
        <w:rPr>
          <w:rFonts w:ascii="ITC Avant Garde" w:eastAsia="Arial" w:hAnsi="ITC Avant Garde" w:cs="Arial"/>
          <w:sz w:val="22"/>
          <w:szCs w:val="22"/>
          <w:lang w:val="es-ES_tradnl"/>
        </w:rPr>
        <w:t>D</w:t>
      </w:r>
      <w:r w:rsidR="00233507" w:rsidRPr="00F7548C">
        <w:rPr>
          <w:rFonts w:ascii="ITC Avant Garde" w:eastAsia="Arial" w:hAnsi="ITC Avant Garde" w:cs="Arial"/>
          <w:sz w:val="22"/>
          <w:szCs w:val="22"/>
          <w:lang w:val="es-ES_tradnl"/>
        </w:rPr>
        <w:t xml:space="preserve">isponer de más puntos de presencia de una red de transporte puede crear incentivos para desplegar más redes de acceso, ya que los concesionarios de estas últimas reducen los costos </w:t>
      </w:r>
      <w:r w:rsidR="00501F39">
        <w:rPr>
          <w:rFonts w:ascii="ITC Avant Garde" w:eastAsia="Arial" w:hAnsi="ITC Avant Garde" w:cs="Arial"/>
          <w:sz w:val="22"/>
          <w:szCs w:val="22"/>
          <w:lang w:val="es-ES_tradnl"/>
        </w:rPr>
        <w:t xml:space="preserve">al poder </w:t>
      </w:r>
      <w:r w:rsidR="00233507" w:rsidRPr="00F7548C">
        <w:rPr>
          <w:rFonts w:ascii="ITC Avant Garde" w:eastAsia="Arial" w:hAnsi="ITC Avant Garde" w:cs="Arial"/>
          <w:sz w:val="22"/>
          <w:szCs w:val="22"/>
          <w:lang w:val="es-ES_tradnl"/>
        </w:rPr>
        <w:t xml:space="preserve">entregar el tráfico de datos y voz en puntos más cercanos. </w:t>
      </w:r>
    </w:p>
    <w:p w14:paraId="61322C4F" w14:textId="77777777" w:rsidR="00C75083" w:rsidRPr="00F7548C" w:rsidRDefault="00C75083" w:rsidP="00224E80">
      <w:pPr>
        <w:pStyle w:val="estilo30"/>
        <w:spacing w:before="0" w:beforeAutospacing="0" w:after="0" w:afterAutospacing="0" w:line="276" w:lineRule="auto"/>
        <w:jc w:val="both"/>
        <w:rPr>
          <w:rFonts w:eastAsia="Arial"/>
          <w:lang w:val="es-ES_tradnl"/>
        </w:rPr>
      </w:pPr>
    </w:p>
    <w:p w14:paraId="659C54B9" w14:textId="1FD999BC" w:rsidR="005C466F" w:rsidRPr="00F7548C" w:rsidRDefault="00C75083"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TERCERO.- Evidencia internacional de acceso y uso compartido de infraestructura de telecomunicaciones y otras industrias.</w:t>
      </w:r>
      <w:r w:rsidRPr="00F7548C">
        <w:rPr>
          <w:rFonts w:ascii="ITC Avant Garde" w:eastAsia="Arial" w:hAnsi="ITC Avant Garde" w:cs="Arial"/>
          <w:sz w:val="22"/>
          <w:szCs w:val="22"/>
          <w:lang w:val="es-ES_tradnl"/>
        </w:rPr>
        <w:t xml:space="preserve"> Gobiernos y reguladores han impulsa</w:t>
      </w:r>
      <w:r w:rsidR="00143927" w:rsidRPr="00F7548C">
        <w:rPr>
          <w:rFonts w:ascii="ITC Avant Garde" w:eastAsia="Arial" w:hAnsi="ITC Avant Garde" w:cs="Arial"/>
          <w:sz w:val="22"/>
          <w:szCs w:val="22"/>
          <w:lang w:val="es-ES_tradnl"/>
        </w:rPr>
        <w:t xml:space="preserve">do el acceso y uso compartido de infraestructura entre sectores. </w:t>
      </w:r>
      <w:r w:rsidR="00F63CBC" w:rsidRPr="00F7548C">
        <w:rPr>
          <w:rFonts w:ascii="ITC Avant Garde" w:eastAsia="Arial" w:hAnsi="ITC Avant Garde" w:cs="Arial"/>
          <w:sz w:val="22"/>
          <w:szCs w:val="22"/>
          <w:lang w:val="es-ES_tradnl"/>
        </w:rPr>
        <w:t xml:space="preserve">En la Unión Europea, se emitió la </w:t>
      </w:r>
      <w:r w:rsidR="00C9603C" w:rsidRPr="00F7548C">
        <w:rPr>
          <w:rFonts w:ascii="ITC Avant Garde" w:eastAsia="Arial" w:hAnsi="ITC Avant Garde" w:cs="Arial"/>
          <w:sz w:val="22"/>
          <w:szCs w:val="22"/>
          <w:lang w:val="es-ES_tradnl"/>
        </w:rPr>
        <w:t xml:space="preserve">Directiva </w:t>
      </w:r>
      <w:r w:rsidR="00F63CBC" w:rsidRPr="00F7548C">
        <w:rPr>
          <w:rFonts w:ascii="ITC Avant Garde" w:eastAsia="Arial" w:hAnsi="ITC Avant Garde" w:cs="Arial"/>
          <w:sz w:val="22"/>
          <w:szCs w:val="22"/>
          <w:lang w:val="es-ES_tradnl"/>
        </w:rPr>
        <w:t xml:space="preserve">2014/61/EU para promover el despliegue de redes de próxima generación, </w:t>
      </w:r>
      <w:r w:rsidR="00A246E7">
        <w:rPr>
          <w:rFonts w:ascii="ITC Avant Garde" w:eastAsia="Arial" w:hAnsi="ITC Avant Garde" w:cs="Arial"/>
          <w:sz w:val="22"/>
          <w:szCs w:val="22"/>
          <w:lang w:val="es-ES_tradnl"/>
        </w:rPr>
        <w:t>mediante</w:t>
      </w:r>
      <w:r w:rsidR="00F63CBC" w:rsidRPr="00F7548C">
        <w:rPr>
          <w:rFonts w:ascii="ITC Avant Garde" w:eastAsia="Arial" w:hAnsi="ITC Avant Garde" w:cs="Arial"/>
          <w:sz w:val="22"/>
          <w:szCs w:val="22"/>
          <w:lang w:val="es-ES_tradnl"/>
        </w:rPr>
        <w:t xml:space="preserve"> el acceso de los proveedores de comunicaciones electrónicas a la infraestructura física de los operadores de red que ofrecen servicios públicos de electricidad, agua</w:t>
      </w:r>
      <w:r w:rsidR="00087CC5" w:rsidRPr="00F7548C">
        <w:rPr>
          <w:rFonts w:ascii="ITC Avant Garde" w:eastAsia="Arial" w:hAnsi="ITC Avant Garde" w:cs="Arial"/>
          <w:sz w:val="22"/>
          <w:szCs w:val="22"/>
          <w:lang w:val="es-ES_tradnl"/>
        </w:rPr>
        <w:t>, gas, drenaje y transporte</w:t>
      </w:r>
      <w:r w:rsidR="00F63CBC" w:rsidRPr="00F7548C">
        <w:rPr>
          <w:rFonts w:ascii="ITC Avant Garde" w:eastAsia="Arial" w:hAnsi="ITC Avant Garde" w:cs="Arial"/>
          <w:sz w:val="22"/>
          <w:szCs w:val="22"/>
          <w:lang w:val="es-ES_tradnl"/>
        </w:rPr>
        <w:t xml:space="preserve">. Entre otros </w:t>
      </w:r>
      <w:r w:rsidR="00F63CBC" w:rsidRPr="00F7548C">
        <w:rPr>
          <w:rFonts w:ascii="ITC Avant Garde" w:eastAsia="Arial" w:hAnsi="ITC Avant Garde" w:cs="Arial"/>
          <w:sz w:val="22"/>
          <w:szCs w:val="22"/>
          <w:lang w:val="es-ES_tradnl"/>
        </w:rPr>
        <w:lastRenderedPageBreak/>
        <w:t xml:space="preserve">aspectos se establecen directrices sobre </w:t>
      </w:r>
      <w:r w:rsidR="005C466F" w:rsidRPr="00F7548C">
        <w:rPr>
          <w:rFonts w:ascii="ITC Avant Garde" w:eastAsia="Arial" w:hAnsi="ITC Avant Garde" w:cs="Arial"/>
          <w:sz w:val="22"/>
          <w:szCs w:val="22"/>
          <w:lang w:val="es-ES_tradnl"/>
        </w:rPr>
        <w:t>los procedimientos de acceso a la infraestructura</w:t>
      </w:r>
      <w:r w:rsidR="00F63CBC" w:rsidRPr="00F7548C">
        <w:rPr>
          <w:rFonts w:ascii="ITC Avant Garde" w:eastAsia="Arial" w:hAnsi="ITC Avant Garde" w:cs="Arial"/>
          <w:sz w:val="22"/>
          <w:szCs w:val="22"/>
          <w:lang w:val="es-ES_tradnl"/>
        </w:rPr>
        <w:t xml:space="preserve"> </w:t>
      </w:r>
      <w:r w:rsidR="005C466F" w:rsidRPr="00F7548C">
        <w:rPr>
          <w:rFonts w:ascii="ITC Avant Garde" w:eastAsia="Arial" w:hAnsi="ITC Avant Garde" w:cs="Arial"/>
          <w:sz w:val="22"/>
          <w:szCs w:val="22"/>
          <w:lang w:val="es-ES_tradnl"/>
        </w:rPr>
        <w:t xml:space="preserve">que involucra la disponibilidad de un mínimo de información que permita planear el despliegue de las redes de telecomunicaciones. Asimismo, resalta la importancia de establecer </w:t>
      </w:r>
      <w:r w:rsidR="00015121" w:rsidRPr="00F7548C">
        <w:rPr>
          <w:rFonts w:ascii="ITC Avant Garde" w:eastAsia="Arial" w:hAnsi="ITC Avant Garde" w:cs="Arial"/>
          <w:sz w:val="22"/>
          <w:szCs w:val="22"/>
          <w:lang w:val="es-ES_tradnl"/>
        </w:rPr>
        <w:t>las prioridades y mecanismos para salvaguardar la infraestructura,</w:t>
      </w:r>
      <w:r w:rsidR="00EA4F8E">
        <w:rPr>
          <w:rFonts w:ascii="ITC Avant Garde" w:eastAsia="Arial" w:hAnsi="ITC Avant Garde" w:cs="Arial"/>
          <w:sz w:val="22"/>
          <w:szCs w:val="22"/>
          <w:lang w:val="es-ES_tradnl"/>
        </w:rPr>
        <w:t xml:space="preserve"> así como para</w:t>
      </w:r>
      <w:r w:rsidR="00015121" w:rsidRPr="00F7548C">
        <w:rPr>
          <w:rFonts w:ascii="ITC Avant Garde" w:eastAsia="Arial" w:hAnsi="ITC Avant Garde" w:cs="Arial"/>
          <w:sz w:val="22"/>
          <w:szCs w:val="22"/>
          <w:lang w:val="es-ES_tradnl"/>
        </w:rPr>
        <w:t xml:space="preserve"> resguardar la seguridad e integridad de las redes de los diversos servicios</w:t>
      </w:r>
      <w:r w:rsidR="0013126B" w:rsidRPr="00F7548C">
        <w:rPr>
          <w:rFonts w:ascii="ITC Avant Garde" w:eastAsia="Arial" w:hAnsi="ITC Avant Garde" w:cs="Arial"/>
          <w:sz w:val="22"/>
          <w:szCs w:val="22"/>
          <w:lang w:val="es-ES_tradnl"/>
        </w:rPr>
        <w:t>.</w:t>
      </w:r>
    </w:p>
    <w:p w14:paraId="5ECFBCF7" w14:textId="77777777" w:rsidR="005C466F" w:rsidRPr="00F7548C" w:rsidRDefault="005C466F" w:rsidP="00233507">
      <w:pPr>
        <w:tabs>
          <w:tab w:val="num" w:pos="1220"/>
          <w:tab w:val="num" w:pos="1940"/>
        </w:tabs>
        <w:spacing w:line="276" w:lineRule="auto"/>
        <w:jc w:val="both"/>
        <w:rPr>
          <w:rFonts w:ascii="ITC Avant Garde" w:eastAsia="Arial" w:hAnsi="ITC Avant Garde" w:cs="Arial"/>
          <w:sz w:val="22"/>
          <w:szCs w:val="22"/>
          <w:lang w:val="es-ES_tradnl"/>
        </w:rPr>
      </w:pPr>
    </w:p>
    <w:p w14:paraId="27D4E9F0" w14:textId="5DBC927D" w:rsidR="005C466F" w:rsidRPr="00F7548C" w:rsidRDefault="00087CC5"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 xml:space="preserve">La Directiva </w:t>
      </w:r>
      <w:r w:rsidR="005C466F" w:rsidRPr="00F7548C">
        <w:rPr>
          <w:rFonts w:ascii="ITC Avant Garde" w:eastAsia="Arial" w:hAnsi="ITC Avant Garde" w:cs="Arial"/>
          <w:sz w:val="22"/>
          <w:szCs w:val="22"/>
          <w:lang w:val="es-ES_tradnl"/>
        </w:rPr>
        <w:t>señala la importancia de coordinar los trabajos de obra civil para aprovechar las externalidades que involucre</w:t>
      </w:r>
      <w:r w:rsidR="00975F82" w:rsidRPr="00F7548C">
        <w:rPr>
          <w:rFonts w:ascii="ITC Avant Garde" w:eastAsia="Arial" w:hAnsi="ITC Avant Garde" w:cs="Arial"/>
          <w:sz w:val="22"/>
          <w:szCs w:val="22"/>
          <w:lang w:val="es-ES_tradnl"/>
        </w:rPr>
        <w:t>n</w:t>
      </w:r>
      <w:r w:rsidR="005C466F" w:rsidRPr="00F7548C">
        <w:rPr>
          <w:rFonts w:ascii="ITC Avant Garde" w:eastAsia="Arial" w:hAnsi="ITC Avant Garde" w:cs="Arial"/>
          <w:sz w:val="22"/>
          <w:szCs w:val="22"/>
          <w:lang w:val="es-ES_tradnl"/>
        </w:rPr>
        <w:t xml:space="preserve"> compartir la infraestructura disponible e incluso la infraestructura que se tenga planeado desplegar. Establece la importancia de que los Estados miembros de la Unión Europea provean regulaciones para un despliegue de infraestructura coordinado</w:t>
      </w:r>
      <w:r w:rsidR="00015121" w:rsidRPr="00F7548C">
        <w:rPr>
          <w:rFonts w:ascii="ITC Avant Garde" w:eastAsia="Arial" w:hAnsi="ITC Avant Garde" w:cs="Arial"/>
          <w:sz w:val="22"/>
          <w:szCs w:val="22"/>
          <w:lang w:val="es-ES_tradnl"/>
        </w:rPr>
        <w:t xml:space="preserve"> o esquemas de </w:t>
      </w:r>
      <w:proofErr w:type="spellStart"/>
      <w:r w:rsidR="00015121" w:rsidRPr="00F7548C">
        <w:rPr>
          <w:rFonts w:ascii="ITC Avant Garde" w:eastAsia="Arial" w:hAnsi="ITC Avant Garde" w:cs="Arial"/>
          <w:sz w:val="22"/>
          <w:szCs w:val="22"/>
          <w:lang w:val="es-ES_tradnl"/>
        </w:rPr>
        <w:t>co</w:t>
      </w:r>
      <w:proofErr w:type="spellEnd"/>
      <w:r w:rsidR="00015121" w:rsidRPr="00F7548C">
        <w:rPr>
          <w:rFonts w:ascii="ITC Avant Garde" w:eastAsia="Arial" w:hAnsi="ITC Avant Garde" w:cs="Arial"/>
          <w:sz w:val="22"/>
          <w:szCs w:val="22"/>
          <w:lang w:val="es-ES_tradnl"/>
        </w:rPr>
        <w:t>-despliegue</w:t>
      </w:r>
      <w:r w:rsidR="005C466F" w:rsidRPr="00F7548C">
        <w:rPr>
          <w:rFonts w:ascii="ITC Avant Garde" w:eastAsia="Arial" w:hAnsi="ITC Avant Garde" w:cs="Arial"/>
          <w:sz w:val="22"/>
          <w:szCs w:val="22"/>
          <w:lang w:val="es-ES_tradnl"/>
        </w:rPr>
        <w:t xml:space="preserve">. </w:t>
      </w:r>
    </w:p>
    <w:p w14:paraId="01265BB9" w14:textId="77777777" w:rsidR="00C9603C" w:rsidRPr="00F7548C" w:rsidRDefault="00C9603C" w:rsidP="00233507">
      <w:pPr>
        <w:tabs>
          <w:tab w:val="num" w:pos="1220"/>
          <w:tab w:val="num" w:pos="1940"/>
        </w:tabs>
        <w:spacing w:line="276" w:lineRule="auto"/>
        <w:jc w:val="both"/>
        <w:rPr>
          <w:rFonts w:ascii="ITC Avant Garde" w:eastAsia="Arial" w:hAnsi="ITC Avant Garde" w:cs="Arial"/>
          <w:sz w:val="22"/>
          <w:szCs w:val="22"/>
          <w:lang w:val="es-ES_tradnl"/>
        </w:rPr>
      </w:pPr>
    </w:p>
    <w:p w14:paraId="24566ACA" w14:textId="61A792C9" w:rsidR="00C75083" w:rsidRPr="00F7548C" w:rsidRDefault="0013126B" w:rsidP="00233507">
      <w:pPr>
        <w:tabs>
          <w:tab w:val="num" w:pos="1220"/>
          <w:tab w:val="num" w:pos="1940"/>
        </w:tabs>
        <w:spacing w:line="276" w:lineRule="auto"/>
        <w:jc w:val="both"/>
        <w:rPr>
          <w:rFonts w:ascii="ITC Avant Garde" w:eastAsia="Arial" w:hAnsi="ITC Avant Garde" w:cs="Arial"/>
          <w:b/>
          <w:sz w:val="22"/>
          <w:szCs w:val="22"/>
          <w:lang w:val="es-ES_tradnl"/>
        </w:rPr>
      </w:pPr>
      <w:r w:rsidRPr="00F7548C">
        <w:rPr>
          <w:rFonts w:ascii="ITC Avant Garde" w:eastAsia="Arial" w:hAnsi="ITC Avant Garde" w:cs="Arial"/>
          <w:sz w:val="22"/>
          <w:szCs w:val="22"/>
          <w:lang w:val="es-ES_tradnl"/>
        </w:rPr>
        <w:t>En el caso particular de Portugal,</w:t>
      </w:r>
      <w:r w:rsidR="00143927" w:rsidRPr="00F7548C">
        <w:rPr>
          <w:rFonts w:ascii="ITC Avant Garde" w:eastAsia="Arial" w:hAnsi="ITC Avant Garde" w:cs="Arial"/>
          <w:sz w:val="22"/>
          <w:szCs w:val="22"/>
          <w:lang w:val="es-ES_tradnl"/>
        </w:rPr>
        <w:t xml:space="preserve"> la autoridad regulatoria (Autoridad Nacional de Comunicaciones-ANACOM) extendió la obligación de compartición de infraestructura física como edificios, ductos, mástiles, pozos, casetas, entre otros elementos, a empresas de gas, agua, transporte, trenes, además de otras entidades bajo supervisión del Estado y autoridades locales.</w:t>
      </w:r>
    </w:p>
    <w:p w14:paraId="22369DF4" w14:textId="77777777" w:rsidR="00C75083" w:rsidRPr="00F7548C" w:rsidRDefault="00C75083" w:rsidP="00233507">
      <w:pPr>
        <w:tabs>
          <w:tab w:val="num" w:pos="1220"/>
          <w:tab w:val="num" w:pos="1940"/>
        </w:tabs>
        <w:spacing w:line="276" w:lineRule="auto"/>
        <w:jc w:val="both"/>
        <w:rPr>
          <w:rFonts w:ascii="ITC Avant Garde" w:eastAsia="Arial" w:hAnsi="ITC Avant Garde" w:cs="Arial"/>
          <w:b/>
          <w:sz w:val="22"/>
          <w:szCs w:val="22"/>
          <w:lang w:val="es-ES_tradnl"/>
        </w:rPr>
      </w:pPr>
    </w:p>
    <w:p w14:paraId="23EC18AB" w14:textId="5C2D3C18" w:rsidR="00C75083" w:rsidRPr="00F7548C" w:rsidRDefault="0013126B"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Otros</w:t>
      </w:r>
      <w:r w:rsidR="00C75083" w:rsidRPr="00F7548C">
        <w:rPr>
          <w:rFonts w:ascii="ITC Avant Garde" w:eastAsia="Arial" w:hAnsi="ITC Avant Garde" w:cs="Arial"/>
          <w:sz w:val="22"/>
          <w:szCs w:val="22"/>
          <w:lang w:val="es-ES_tradnl"/>
        </w:rPr>
        <w:t xml:space="preserve"> ejemplo</w:t>
      </w:r>
      <w:r w:rsidRPr="00F7548C">
        <w:rPr>
          <w:rFonts w:ascii="ITC Avant Garde" w:eastAsia="Arial" w:hAnsi="ITC Avant Garde" w:cs="Arial"/>
          <w:sz w:val="22"/>
          <w:szCs w:val="22"/>
          <w:lang w:val="es-ES_tradnl"/>
        </w:rPr>
        <w:t>s en Latinoamérica</w:t>
      </w:r>
      <w:r w:rsidR="00C75083" w:rsidRPr="00F7548C">
        <w:rPr>
          <w:rFonts w:ascii="ITC Avant Garde" w:eastAsia="Arial" w:hAnsi="ITC Avant Garde" w:cs="Arial"/>
          <w:sz w:val="22"/>
          <w:szCs w:val="22"/>
          <w:lang w:val="es-ES_tradnl"/>
        </w:rPr>
        <w:t xml:space="preserve">, </w:t>
      </w:r>
      <w:r w:rsidRPr="00F7548C">
        <w:rPr>
          <w:rFonts w:ascii="ITC Avant Garde" w:eastAsia="Arial" w:hAnsi="ITC Avant Garde" w:cs="Arial"/>
          <w:sz w:val="22"/>
          <w:szCs w:val="22"/>
          <w:lang w:val="es-ES_tradnl"/>
        </w:rPr>
        <w:t>incluyen a</w:t>
      </w:r>
      <w:r w:rsidR="00C75083" w:rsidRPr="00F7548C">
        <w:rPr>
          <w:rFonts w:ascii="ITC Avant Garde" w:eastAsia="Arial" w:hAnsi="ITC Avant Garde" w:cs="Arial"/>
          <w:sz w:val="22"/>
          <w:szCs w:val="22"/>
          <w:lang w:val="es-ES_tradnl"/>
        </w:rPr>
        <w:t xml:space="preserve"> Colombia y Perú, </w:t>
      </w:r>
      <w:r w:rsidRPr="00F7548C">
        <w:rPr>
          <w:rFonts w:ascii="ITC Avant Garde" w:eastAsia="Arial" w:hAnsi="ITC Avant Garde" w:cs="Arial"/>
          <w:sz w:val="22"/>
          <w:szCs w:val="22"/>
          <w:lang w:val="es-ES_tradnl"/>
        </w:rPr>
        <w:t xml:space="preserve">donde </w:t>
      </w:r>
      <w:r w:rsidR="00C75083" w:rsidRPr="00F7548C">
        <w:rPr>
          <w:rFonts w:ascii="ITC Avant Garde" w:eastAsia="Arial" w:hAnsi="ITC Avant Garde" w:cs="Arial"/>
          <w:sz w:val="22"/>
          <w:szCs w:val="22"/>
          <w:lang w:val="es-ES_tradnl"/>
        </w:rPr>
        <w:t>se ha</w:t>
      </w:r>
      <w:r w:rsidRPr="00F7548C">
        <w:rPr>
          <w:rFonts w:ascii="ITC Avant Garde" w:eastAsia="Arial" w:hAnsi="ITC Avant Garde" w:cs="Arial"/>
          <w:sz w:val="22"/>
          <w:szCs w:val="22"/>
          <w:lang w:val="es-ES_tradnl"/>
        </w:rPr>
        <w:t>n</w:t>
      </w:r>
      <w:r w:rsidR="00C75083" w:rsidRPr="00F7548C">
        <w:rPr>
          <w:rFonts w:ascii="ITC Avant Garde" w:eastAsia="Arial" w:hAnsi="ITC Avant Garde" w:cs="Arial"/>
          <w:sz w:val="22"/>
          <w:szCs w:val="22"/>
          <w:lang w:val="es-ES_tradnl"/>
        </w:rPr>
        <w:t xml:space="preserve"> emitido regulaciones para el uso eficiente de la infraestructura pública con la finalidad de generar mayor competencia en el mercado, proveer servicios de mejor calidad y aprovechar eficientemente la infraestructura disponible en beneficio del interés general. Las disposiciones establecidas en estos países, contemplan principios generales de acceso efectivo y uso compartido a la infraestructura pública, neutralidad, no discriminación, eficiencia, acceso a la información, celeridad en el despliegue, complementariedad de redes y contraprestación por el uso compartido de la infraestructura, entre otros. </w:t>
      </w:r>
    </w:p>
    <w:p w14:paraId="28907570" w14:textId="77777777" w:rsidR="00C75083" w:rsidRPr="00F7548C" w:rsidRDefault="00C75083" w:rsidP="00233507">
      <w:pPr>
        <w:tabs>
          <w:tab w:val="num" w:pos="1220"/>
          <w:tab w:val="num" w:pos="1940"/>
        </w:tabs>
        <w:spacing w:line="276" w:lineRule="auto"/>
        <w:jc w:val="both"/>
        <w:rPr>
          <w:rFonts w:ascii="ITC Avant Garde" w:eastAsia="Arial" w:hAnsi="ITC Avant Garde" w:cs="Arial"/>
          <w:b/>
          <w:sz w:val="22"/>
          <w:szCs w:val="22"/>
          <w:lang w:val="es-ES_tradnl"/>
        </w:rPr>
      </w:pPr>
    </w:p>
    <w:p w14:paraId="25369E4A" w14:textId="74B71D3B"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 xml:space="preserve">CUARTO.- Acceso efectivo y compartido a la infraestructura de la CFE por parte de </w:t>
      </w:r>
      <w:r w:rsidR="00CD4CCC" w:rsidRPr="00F7548C">
        <w:rPr>
          <w:rFonts w:ascii="ITC Avant Garde" w:eastAsia="Arial" w:hAnsi="ITC Avant Garde" w:cs="Arial"/>
          <w:b/>
          <w:sz w:val="22"/>
          <w:szCs w:val="22"/>
          <w:lang w:val="es-ES_tradnl"/>
        </w:rPr>
        <w:t>Telecomunicaciones de México</w:t>
      </w:r>
      <w:r w:rsidRPr="00F7548C">
        <w:rPr>
          <w:rFonts w:ascii="ITC Avant Garde" w:eastAsia="Arial" w:hAnsi="ITC Avant Garde" w:cs="Arial"/>
          <w:b/>
          <w:sz w:val="22"/>
          <w:szCs w:val="22"/>
          <w:lang w:val="es-ES_tradnl"/>
        </w:rPr>
        <w:t xml:space="preserve">. </w:t>
      </w:r>
      <w:r w:rsidRPr="00F7548C">
        <w:rPr>
          <w:rFonts w:ascii="ITC Avant Garde" w:eastAsia="Arial" w:hAnsi="ITC Avant Garde" w:cs="Arial"/>
          <w:sz w:val="22"/>
          <w:szCs w:val="22"/>
          <w:lang w:val="es-ES_tradnl"/>
        </w:rPr>
        <w:t xml:space="preserve">El artículo Décimo Quinto Transitorio del Decreto, señala que la CFE deberá garantizar </w:t>
      </w:r>
      <w:r w:rsidR="00A95889">
        <w:rPr>
          <w:rFonts w:ascii="ITC Avant Garde" w:eastAsia="Arial" w:hAnsi="ITC Avant Garde" w:cs="Arial"/>
          <w:sz w:val="22"/>
          <w:szCs w:val="22"/>
          <w:lang w:val="es-ES_tradnl"/>
        </w:rPr>
        <w:t xml:space="preserve">a Telecomunicaciones de México </w:t>
      </w:r>
      <w:r w:rsidRPr="00F7548C">
        <w:rPr>
          <w:rFonts w:ascii="ITC Avant Garde" w:eastAsia="Arial" w:hAnsi="ITC Avant Garde" w:cs="Arial"/>
          <w:sz w:val="22"/>
          <w:szCs w:val="22"/>
          <w:lang w:val="es-ES_tradnl"/>
        </w:rPr>
        <w:t xml:space="preserve">el acceso efectivo y compartido a su infraestructura </w:t>
      </w:r>
      <w:r w:rsidR="00A95889">
        <w:rPr>
          <w:rFonts w:ascii="ITC Avant Garde" w:eastAsia="Arial" w:hAnsi="ITC Avant Garde" w:cs="Arial"/>
          <w:sz w:val="22"/>
          <w:szCs w:val="22"/>
          <w:lang w:val="es-ES_tradnl"/>
        </w:rPr>
        <w:t>para su aprovechamiento eficiente.</w:t>
      </w:r>
      <w:r w:rsidRPr="00F7548C">
        <w:rPr>
          <w:rFonts w:ascii="ITC Avant Garde" w:eastAsia="Arial" w:hAnsi="ITC Avant Garde" w:cs="Arial"/>
          <w:sz w:val="22"/>
          <w:szCs w:val="22"/>
          <w:lang w:val="es-ES_tradnl"/>
        </w:rPr>
        <w:t xml:space="preserve"> Lo anterior, de conformidad con los lineamientos que emita el Instituto.</w:t>
      </w:r>
    </w:p>
    <w:p w14:paraId="3B6353BA" w14:textId="77777777"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p>
    <w:p w14:paraId="3EC79D7E" w14:textId="77777777" w:rsidR="00477124" w:rsidRPr="00F7548C" w:rsidRDefault="00477124" w:rsidP="00477124">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 xml:space="preserve">De lo anterior, se desprende que los lineamientos a que se refiere el artículo Décimo Quinto Transitorio del Decreto solamente facultan al Instituto para regular el acceso </w:t>
      </w:r>
      <w:r w:rsidRPr="00F7548C">
        <w:rPr>
          <w:rFonts w:ascii="ITC Avant Garde" w:eastAsia="Arial" w:hAnsi="ITC Avant Garde" w:cs="Arial"/>
          <w:sz w:val="22"/>
          <w:szCs w:val="22"/>
          <w:lang w:val="es-ES_tradnl"/>
        </w:rPr>
        <w:lastRenderedPageBreak/>
        <w:t>efectivo y compartido de la infraestructura de CFE por parte de Telecomunicaciones de México.</w:t>
      </w:r>
    </w:p>
    <w:p w14:paraId="0AF1C391" w14:textId="77777777" w:rsidR="00477124" w:rsidRPr="00F7548C" w:rsidRDefault="00477124" w:rsidP="00477124">
      <w:pPr>
        <w:tabs>
          <w:tab w:val="num" w:pos="1220"/>
          <w:tab w:val="num" w:pos="1940"/>
        </w:tabs>
        <w:spacing w:line="276" w:lineRule="auto"/>
        <w:jc w:val="both"/>
        <w:rPr>
          <w:rFonts w:ascii="ITC Avant Garde" w:eastAsia="Arial" w:hAnsi="ITC Avant Garde" w:cs="Arial"/>
          <w:sz w:val="22"/>
          <w:szCs w:val="22"/>
          <w:lang w:val="es-ES_tradnl"/>
        </w:rPr>
      </w:pPr>
    </w:p>
    <w:p w14:paraId="77E84E84" w14:textId="0342EFC2" w:rsidR="00477124" w:rsidRPr="00F7548C" w:rsidRDefault="00477124" w:rsidP="00477124">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Asimismo, el 11 de agosto de 2014 se publicó en el DOF, el “DECRETO por el que se expiden la Ley de la Industria Eléctrica, la Ley de Energía Geotérmica y se adicionan y reforman diversas disposiciones de la Ley de Aguas Nacionales” (en lo sucesivo, “La Ley de la Industria Eléctrica”). El artículo 72</w:t>
      </w:r>
      <w:r w:rsidR="00EA4F8E">
        <w:rPr>
          <w:rFonts w:ascii="ITC Avant Garde" w:eastAsia="Arial" w:hAnsi="ITC Avant Garde" w:cs="Arial"/>
          <w:sz w:val="22"/>
          <w:szCs w:val="22"/>
          <w:lang w:val="es-ES_tradnl"/>
        </w:rPr>
        <w:t xml:space="preserve"> de esta ley</w:t>
      </w:r>
      <w:r w:rsidRPr="00F7548C">
        <w:rPr>
          <w:rFonts w:ascii="ITC Avant Garde" w:eastAsia="Arial" w:hAnsi="ITC Avant Garde" w:cs="Arial"/>
          <w:sz w:val="22"/>
          <w:szCs w:val="22"/>
          <w:lang w:val="es-ES_tradnl"/>
        </w:rPr>
        <w:t xml:space="preserve"> establece que: </w:t>
      </w:r>
    </w:p>
    <w:p w14:paraId="26190AAD" w14:textId="77777777" w:rsidR="00477124" w:rsidRPr="00F7548C" w:rsidRDefault="00477124" w:rsidP="00477124">
      <w:pPr>
        <w:tabs>
          <w:tab w:val="num" w:pos="1220"/>
          <w:tab w:val="num" w:pos="1940"/>
        </w:tabs>
        <w:spacing w:line="276" w:lineRule="auto"/>
        <w:jc w:val="both"/>
        <w:rPr>
          <w:rFonts w:ascii="ITC Avant Garde" w:eastAsia="Arial" w:hAnsi="ITC Avant Garde" w:cs="Arial"/>
          <w:sz w:val="22"/>
          <w:szCs w:val="22"/>
          <w:lang w:val="es-ES_tradnl"/>
        </w:rPr>
      </w:pPr>
    </w:p>
    <w:p w14:paraId="29BB57E8" w14:textId="7754BD8B" w:rsidR="00477124" w:rsidRPr="005B2961" w:rsidRDefault="00477124" w:rsidP="00477124">
      <w:pPr>
        <w:tabs>
          <w:tab w:val="num" w:pos="1220"/>
          <w:tab w:val="num" w:pos="1940"/>
        </w:tabs>
        <w:spacing w:line="276" w:lineRule="auto"/>
        <w:ind w:left="708"/>
        <w:jc w:val="both"/>
        <w:rPr>
          <w:rFonts w:ascii="ITC Avant Garde" w:eastAsia="Arial" w:hAnsi="ITC Avant Garde" w:cs="Arial"/>
          <w:sz w:val="20"/>
          <w:szCs w:val="22"/>
          <w:lang w:val="es-ES_tradnl"/>
        </w:rPr>
      </w:pPr>
      <w:r w:rsidRPr="005B2961">
        <w:rPr>
          <w:rFonts w:ascii="ITC Avant Garde" w:eastAsia="Arial" w:hAnsi="ITC Avant Garde" w:cs="Arial"/>
          <w:sz w:val="20"/>
          <w:szCs w:val="22"/>
          <w:lang w:val="es-ES_tradnl"/>
        </w:rPr>
        <w:t>“</w:t>
      </w:r>
      <w:r w:rsidRPr="005B2961">
        <w:rPr>
          <w:rFonts w:ascii="ITC Avant Garde" w:eastAsia="Arial" w:hAnsi="ITC Avant Garde" w:cs="Arial"/>
          <w:b/>
          <w:sz w:val="20"/>
          <w:szCs w:val="22"/>
          <w:u w:val="single"/>
          <w:lang w:val="es-ES_tradnl"/>
        </w:rPr>
        <w:t xml:space="preserve">En las instalaciones y derechos de vía de la infraestructura del Sistema Eléctrico Nacional se permitirá el acceso al mayor número posible de prestadores de servicios públicos de industrias distintas a la eléctrica </w:t>
      </w:r>
      <w:r w:rsidRPr="005B2961">
        <w:rPr>
          <w:rFonts w:ascii="ITC Avant Garde" w:eastAsia="Arial" w:hAnsi="ITC Avant Garde" w:cs="Arial"/>
          <w:sz w:val="20"/>
          <w:szCs w:val="22"/>
          <w:lang w:val="es-ES_tradnl"/>
        </w:rPr>
        <w:t xml:space="preserve">a cambio de una remuneración justa, siempre que no se ponga en riesgo la seguridad y continuidad de la prestación de los servicios. </w:t>
      </w:r>
      <w:r w:rsidRPr="005B2961">
        <w:rPr>
          <w:rFonts w:ascii="ITC Avant Garde" w:eastAsia="Arial" w:hAnsi="ITC Avant Garde" w:cs="Arial"/>
          <w:b/>
          <w:sz w:val="20"/>
          <w:szCs w:val="22"/>
          <w:u w:val="single"/>
          <w:lang w:val="es-ES_tradnl"/>
        </w:rPr>
        <w:t>La CRE emitirá las disposiciones necesarias para que dicho acceso sea permitido y vigilará el cumplimiento de esta obligación</w:t>
      </w:r>
      <w:r w:rsidRPr="005B2961">
        <w:rPr>
          <w:rFonts w:ascii="ITC Avant Garde" w:eastAsia="Arial" w:hAnsi="ITC Avant Garde" w:cs="Arial"/>
          <w:sz w:val="20"/>
          <w:szCs w:val="22"/>
          <w:lang w:val="es-ES_tradnl"/>
        </w:rPr>
        <w:t>, así como la forma en que se afectarán las tarifas de las actividades de la industria eléctrica por los costos de los derechos de vía. Los Transportistas y los Distribuidores sólo podrán cobrar las tarifas que establezca la CRE por el uso de su infraestructura y proporcionarán la información que esta Comisión requiera para regular dicha actividad.”</w:t>
      </w:r>
      <w:r w:rsidR="00EA4F8E" w:rsidRPr="005B2961">
        <w:rPr>
          <w:rFonts w:ascii="ITC Avant Garde" w:eastAsia="Arial" w:hAnsi="ITC Avant Garde" w:cs="Arial"/>
          <w:sz w:val="20"/>
          <w:szCs w:val="22"/>
          <w:lang w:val="es-ES_tradnl"/>
        </w:rPr>
        <w:t xml:space="preserve"> (</w:t>
      </w:r>
      <w:proofErr w:type="gramStart"/>
      <w:r w:rsidR="00EA4F8E" w:rsidRPr="005B2961">
        <w:rPr>
          <w:rFonts w:ascii="ITC Avant Garde" w:eastAsia="Arial" w:hAnsi="ITC Avant Garde" w:cs="Arial"/>
          <w:sz w:val="20"/>
          <w:szCs w:val="22"/>
          <w:lang w:val="es-ES_tradnl"/>
        </w:rPr>
        <w:t>énfasis</w:t>
      </w:r>
      <w:proofErr w:type="gramEnd"/>
      <w:r w:rsidR="00EA4F8E" w:rsidRPr="005B2961">
        <w:rPr>
          <w:rFonts w:ascii="ITC Avant Garde" w:eastAsia="Arial" w:hAnsi="ITC Avant Garde" w:cs="Arial"/>
          <w:sz w:val="20"/>
          <w:szCs w:val="22"/>
          <w:lang w:val="es-ES_tradnl"/>
        </w:rPr>
        <w:t xml:space="preserve"> añadido)</w:t>
      </w:r>
    </w:p>
    <w:p w14:paraId="13281695" w14:textId="77777777" w:rsidR="00477124" w:rsidRPr="005B2961" w:rsidRDefault="00477124" w:rsidP="00477124">
      <w:pPr>
        <w:tabs>
          <w:tab w:val="num" w:pos="1220"/>
          <w:tab w:val="num" w:pos="1940"/>
        </w:tabs>
        <w:spacing w:line="276" w:lineRule="auto"/>
        <w:jc w:val="both"/>
        <w:rPr>
          <w:rFonts w:ascii="ITC Avant Garde" w:eastAsia="Arial" w:hAnsi="ITC Avant Garde" w:cs="Arial"/>
          <w:b/>
          <w:sz w:val="22"/>
          <w:szCs w:val="22"/>
          <w:lang w:val="es-ES_tradnl"/>
        </w:rPr>
      </w:pPr>
    </w:p>
    <w:p w14:paraId="03F7078F" w14:textId="737E475A" w:rsidR="00477124" w:rsidRPr="00F7548C" w:rsidRDefault="00EA4F8E" w:rsidP="00477124">
      <w:pPr>
        <w:tabs>
          <w:tab w:val="num" w:pos="1220"/>
          <w:tab w:val="num" w:pos="1940"/>
        </w:tabs>
        <w:spacing w:line="276" w:lineRule="auto"/>
        <w:jc w:val="both"/>
        <w:rPr>
          <w:rFonts w:ascii="ITC Avant Garde" w:eastAsia="Arial" w:hAnsi="ITC Avant Garde" w:cs="Arial"/>
          <w:sz w:val="22"/>
          <w:szCs w:val="22"/>
          <w:lang w:val="es-ES_tradnl"/>
        </w:rPr>
      </w:pPr>
      <w:r>
        <w:rPr>
          <w:rFonts w:ascii="ITC Avant Garde" w:eastAsia="Arial" w:hAnsi="ITC Avant Garde" w:cs="Arial"/>
          <w:sz w:val="22"/>
          <w:szCs w:val="22"/>
          <w:lang w:val="es-ES_tradnl"/>
        </w:rPr>
        <w:t>Del precepto legal citado</w:t>
      </w:r>
      <w:r w:rsidR="00477124" w:rsidRPr="00F7548C">
        <w:rPr>
          <w:rFonts w:ascii="ITC Avant Garde" w:eastAsia="Arial" w:hAnsi="ITC Avant Garde" w:cs="Arial"/>
          <w:sz w:val="22"/>
          <w:szCs w:val="22"/>
          <w:lang w:val="es-ES_tradnl"/>
        </w:rPr>
        <w:t xml:space="preserve">, se desprende que las instalaciones y derechos de vía del Sistema Eléctrico </w:t>
      </w:r>
      <w:r w:rsidR="00A246E7">
        <w:rPr>
          <w:rFonts w:ascii="ITC Avant Garde" w:eastAsia="Arial" w:hAnsi="ITC Avant Garde" w:cs="Arial"/>
          <w:sz w:val="22"/>
          <w:szCs w:val="22"/>
          <w:lang w:val="es-ES_tradnl"/>
        </w:rPr>
        <w:t>N</w:t>
      </w:r>
      <w:r w:rsidR="00477124" w:rsidRPr="00F7548C">
        <w:rPr>
          <w:rFonts w:ascii="ITC Avant Garde" w:eastAsia="Arial" w:hAnsi="ITC Avant Garde" w:cs="Arial"/>
          <w:sz w:val="22"/>
          <w:szCs w:val="22"/>
          <w:lang w:val="es-ES_tradnl"/>
        </w:rPr>
        <w:t xml:space="preserve">acional serán utilizadas por prestadores de servicios públicos de industrias distintas a la eléctrica, como es el caso de los servicios públicos de telecomunicaciones, y que la Comisión Reguladora de Energía (en lo sucesivo, la CRE) es la autoridad regulatoria para emitir las disposiciones que regulen el acceso a las instalaciones y derechos de vía del Sistema Eléctrico Nacional por parte de prestadores de servicios públicos de otras industrias distintas a la eléctrica. Lo anterior, en consistencia con la fracción XXXIV del artículo 12 </w:t>
      </w:r>
      <w:r w:rsidR="00A246E7">
        <w:rPr>
          <w:rFonts w:ascii="ITC Avant Garde" w:eastAsia="Arial" w:hAnsi="ITC Avant Garde" w:cs="Arial"/>
          <w:sz w:val="22"/>
          <w:szCs w:val="22"/>
          <w:lang w:val="es-ES_tradnl"/>
        </w:rPr>
        <w:t xml:space="preserve">de la Ley de la Industria Eléctrica, que </w:t>
      </w:r>
      <w:r w:rsidR="00477124" w:rsidRPr="00F7548C">
        <w:rPr>
          <w:rFonts w:ascii="ITC Avant Garde" w:eastAsia="Arial" w:hAnsi="ITC Avant Garde" w:cs="Arial"/>
          <w:sz w:val="22"/>
          <w:szCs w:val="22"/>
          <w:lang w:val="es-ES_tradnl"/>
        </w:rPr>
        <w:t>establece la facultad de la CRE para:</w:t>
      </w:r>
    </w:p>
    <w:p w14:paraId="36E9999E" w14:textId="77777777" w:rsidR="00477124" w:rsidRPr="00F7548C" w:rsidRDefault="00477124" w:rsidP="00477124">
      <w:pPr>
        <w:tabs>
          <w:tab w:val="num" w:pos="1220"/>
          <w:tab w:val="num" w:pos="1940"/>
        </w:tabs>
        <w:spacing w:line="276" w:lineRule="auto"/>
        <w:jc w:val="both"/>
        <w:rPr>
          <w:rFonts w:ascii="ITC Avant Garde" w:eastAsia="Arial" w:hAnsi="ITC Avant Garde" w:cs="Arial"/>
          <w:sz w:val="22"/>
          <w:szCs w:val="22"/>
          <w:lang w:val="es-ES_tradnl"/>
        </w:rPr>
      </w:pPr>
    </w:p>
    <w:p w14:paraId="3AB723BB" w14:textId="77777777" w:rsidR="00477124" w:rsidRPr="005B2961" w:rsidRDefault="00477124" w:rsidP="00477124">
      <w:pPr>
        <w:tabs>
          <w:tab w:val="num" w:pos="1220"/>
          <w:tab w:val="num" w:pos="1940"/>
        </w:tabs>
        <w:spacing w:line="276" w:lineRule="auto"/>
        <w:ind w:left="708"/>
        <w:jc w:val="both"/>
        <w:rPr>
          <w:rFonts w:ascii="ITC Avant Garde" w:eastAsia="Arial" w:hAnsi="ITC Avant Garde" w:cs="Arial"/>
          <w:sz w:val="22"/>
          <w:szCs w:val="22"/>
          <w:lang w:val="es-ES_tradnl"/>
        </w:rPr>
      </w:pPr>
      <w:r w:rsidRPr="005B2961">
        <w:rPr>
          <w:rFonts w:ascii="ITC Avant Garde" w:eastAsia="Arial" w:hAnsi="ITC Avant Garde" w:cs="Arial"/>
          <w:sz w:val="20"/>
          <w:szCs w:val="22"/>
          <w:lang w:val="es-ES_tradnl"/>
        </w:rPr>
        <w:t>“Emitir las disposiciones necesarias para que, a cambio de una remuneración justa, se permita el acceso a los prestadores de servicios públicos de otras industrias que utilicen las instalaciones y derechos de vía del Sistema Eléctrico Nacional, y verificar el cumplimiento de esta obligación;”</w:t>
      </w:r>
    </w:p>
    <w:p w14:paraId="1EE294E7" w14:textId="77777777" w:rsidR="00477124" w:rsidRPr="00F7548C" w:rsidRDefault="00477124" w:rsidP="00477124">
      <w:pPr>
        <w:tabs>
          <w:tab w:val="num" w:pos="1220"/>
          <w:tab w:val="num" w:pos="1940"/>
        </w:tabs>
        <w:spacing w:line="276" w:lineRule="auto"/>
        <w:jc w:val="both"/>
        <w:rPr>
          <w:rFonts w:ascii="ITC Avant Garde" w:eastAsia="Arial" w:hAnsi="ITC Avant Garde" w:cs="Arial"/>
          <w:sz w:val="22"/>
          <w:szCs w:val="22"/>
          <w:lang w:val="es-ES_tradnl"/>
        </w:rPr>
      </w:pPr>
    </w:p>
    <w:p w14:paraId="75771ED5" w14:textId="77777777" w:rsidR="00477124" w:rsidRPr="00F7548C" w:rsidRDefault="00477124" w:rsidP="00477124">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 xml:space="preserve">Es por ello que el acceso a las instalaciones y derechos de vía del Sistema Eléctrico Nacional por parte de los prestadores de servicios públicos de otras industrias distintas a la eléctrica, es facultad de la CRE conforme a la legislación vigente. </w:t>
      </w:r>
    </w:p>
    <w:p w14:paraId="6C8FCE0D" w14:textId="2597D146" w:rsidR="00233507" w:rsidRPr="00F7548C" w:rsidRDefault="005C1A6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Ahora bien, e</w:t>
      </w:r>
      <w:r w:rsidR="00233507" w:rsidRPr="00F7548C">
        <w:rPr>
          <w:rFonts w:ascii="ITC Avant Garde" w:eastAsia="Arial" w:hAnsi="ITC Avant Garde" w:cs="Arial"/>
          <w:sz w:val="22"/>
          <w:szCs w:val="22"/>
          <w:lang w:val="es-ES_tradnl"/>
        </w:rPr>
        <w:t xml:space="preserve">l acceso y uso compartido de infraestructura eléctrica para la provisión de servicios de telecomunicaciones, ofrece ventajas que permiten reducir </w:t>
      </w:r>
      <w:r w:rsidR="00233507" w:rsidRPr="00F7548C">
        <w:rPr>
          <w:rFonts w:ascii="ITC Avant Garde" w:eastAsia="Arial" w:hAnsi="ITC Avant Garde" w:cs="Arial"/>
          <w:sz w:val="22"/>
          <w:szCs w:val="22"/>
          <w:lang w:val="es-ES_tradnl"/>
        </w:rPr>
        <w:lastRenderedPageBreak/>
        <w:t xml:space="preserve">los costos y el tiempo para poner en operación a las redes troncales, mismas que a su vez, incentivan la penetración de la banda ancha y fomentan el acceso a servicios que utilizan intensivamente la capacidad de transmisión de </w:t>
      </w:r>
      <w:r w:rsidR="00B55FB3">
        <w:rPr>
          <w:rFonts w:ascii="ITC Avant Garde" w:eastAsia="Arial" w:hAnsi="ITC Avant Garde" w:cs="Arial"/>
          <w:sz w:val="22"/>
          <w:szCs w:val="22"/>
          <w:lang w:val="es-ES_tradnl"/>
        </w:rPr>
        <w:t>dichas</w:t>
      </w:r>
      <w:r w:rsidR="00233507" w:rsidRPr="00F7548C">
        <w:rPr>
          <w:rFonts w:ascii="ITC Avant Garde" w:eastAsia="Arial" w:hAnsi="ITC Avant Garde" w:cs="Arial"/>
          <w:sz w:val="22"/>
          <w:szCs w:val="22"/>
          <w:lang w:val="es-ES_tradnl"/>
        </w:rPr>
        <w:t xml:space="preserve"> redes. </w:t>
      </w:r>
    </w:p>
    <w:p w14:paraId="63E0AD80" w14:textId="77777777"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p>
    <w:p w14:paraId="71281A55" w14:textId="4E844340"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Las economías de alcance generadas a partir del uso de infraestructura eléctrica para la provisión de servicios de telecomunicaciones, no solamente aumenta</w:t>
      </w:r>
      <w:r w:rsidR="00BA726B">
        <w:rPr>
          <w:rFonts w:ascii="ITC Avant Garde" w:eastAsia="Arial" w:hAnsi="ITC Avant Garde" w:cs="Arial"/>
          <w:sz w:val="22"/>
          <w:szCs w:val="22"/>
          <w:lang w:val="es-ES_tradnl"/>
        </w:rPr>
        <w:t>n</w:t>
      </w:r>
      <w:r w:rsidRPr="00F7548C">
        <w:rPr>
          <w:rFonts w:ascii="ITC Avant Garde" w:eastAsia="Arial" w:hAnsi="ITC Avant Garde" w:cs="Arial"/>
          <w:sz w:val="22"/>
          <w:szCs w:val="22"/>
          <w:lang w:val="es-ES_tradnl"/>
        </w:rPr>
        <w:t xml:space="preserve"> la eficiencia en el uso de la infraestructura sino que permite</w:t>
      </w:r>
      <w:r w:rsidR="00BA726B">
        <w:rPr>
          <w:rFonts w:ascii="ITC Avant Garde" w:eastAsia="Arial" w:hAnsi="ITC Avant Garde" w:cs="Arial"/>
          <w:sz w:val="22"/>
          <w:szCs w:val="22"/>
          <w:lang w:val="es-ES_tradnl"/>
        </w:rPr>
        <w:t>n</w:t>
      </w:r>
      <w:r w:rsidRPr="00F7548C">
        <w:rPr>
          <w:rFonts w:ascii="ITC Avant Garde" w:eastAsia="Arial" w:hAnsi="ITC Avant Garde" w:cs="Arial"/>
          <w:sz w:val="22"/>
          <w:szCs w:val="22"/>
          <w:lang w:val="es-ES_tradnl"/>
        </w:rPr>
        <w:t xml:space="preserve"> ahorrar recursos, incluyendo el tiempo que se necesita para obtener los permisos y los derechos de vía que son necesarios para el despliegue de infraestructura de una red troncal. Lo anterior resulta especialmente útil en aquellas zonas donde no se dispone de una red de telecomunicaciones o cuando no es económicamente viable construir nueva infraestructura.</w:t>
      </w:r>
    </w:p>
    <w:p w14:paraId="24D6D49D" w14:textId="77777777" w:rsidR="001324BD" w:rsidRDefault="001324BD" w:rsidP="00233507">
      <w:pPr>
        <w:tabs>
          <w:tab w:val="num" w:pos="1220"/>
          <w:tab w:val="num" w:pos="1940"/>
        </w:tabs>
        <w:spacing w:line="276" w:lineRule="auto"/>
        <w:jc w:val="both"/>
        <w:rPr>
          <w:rFonts w:ascii="ITC Avant Garde" w:eastAsia="Arial" w:hAnsi="ITC Avant Garde" w:cs="Arial"/>
          <w:sz w:val="22"/>
          <w:szCs w:val="22"/>
          <w:lang w:val="es-ES_tradnl"/>
        </w:rPr>
      </w:pPr>
    </w:p>
    <w:p w14:paraId="2A873407" w14:textId="6A113515"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lang w:val="es-ES_tradnl"/>
        </w:rPr>
        <w:t xml:space="preserve">Por lo anterior, y con el fin de garantizar el acceso efectivo y compartido a la infraestructura de la CFE por parte de Telecomunicaciones de México, los lineamientos </w:t>
      </w:r>
      <w:r w:rsidR="00EB1A85" w:rsidRPr="00F7548C">
        <w:rPr>
          <w:rFonts w:ascii="ITC Avant Garde" w:eastAsia="Arial" w:hAnsi="ITC Avant Garde" w:cs="Arial"/>
          <w:sz w:val="22"/>
          <w:szCs w:val="22"/>
          <w:lang w:val="es-ES_tradnl"/>
        </w:rPr>
        <w:t>buscan</w:t>
      </w:r>
      <w:r w:rsidRPr="00F7548C">
        <w:rPr>
          <w:rFonts w:ascii="ITC Avant Garde" w:eastAsia="Arial" w:hAnsi="ITC Avant Garde" w:cs="Arial"/>
          <w:sz w:val="22"/>
          <w:szCs w:val="22"/>
          <w:lang w:val="es-ES_tradnl"/>
        </w:rPr>
        <w:t xml:space="preserve"> promover tanto el uso compartido y eficiente de la infraestructura eléctrica </w:t>
      </w:r>
      <w:r w:rsidRPr="00F7548C">
        <w:rPr>
          <w:rFonts w:ascii="ITC Avant Garde" w:eastAsia="Arial" w:hAnsi="ITC Avant Garde" w:cs="Arial"/>
          <w:sz w:val="22"/>
          <w:szCs w:val="22"/>
        </w:rPr>
        <w:t xml:space="preserve">para el despliegue de redes y </w:t>
      </w:r>
      <w:r w:rsidR="00EB1A85" w:rsidRPr="00F7548C">
        <w:rPr>
          <w:rFonts w:ascii="ITC Avant Garde" w:eastAsia="Arial" w:hAnsi="ITC Avant Garde" w:cs="Arial"/>
          <w:sz w:val="22"/>
          <w:szCs w:val="22"/>
        </w:rPr>
        <w:t xml:space="preserve">la </w:t>
      </w:r>
      <w:r w:rsidRPr="00F7548C">
        <w:rPr>
          <w:rFonts w:ascii="ITC Avant Garde" w:eastAsia="Arial" w:hAnsi="ITC Avant Garde" w:cs="Arial"/>
          <w:sz w:val="22"/>
          <w:szCs w:val="22"/>
        </w:rPr>
        <w:t xml:space="preserve">provisión de servicios de </w:t>
      </w:r>
      <w:r w:rsidRPr="00F7548C">
        <w:rPr>
          <w:rFonts w:ascii="ITC Avant Garde" w:eastAsia="Arial" w:hAnsi="ITC Avant Garde" w:cs="Arial"/>
          <w:sz w:val="22"/>
          <w:szCs w:val="22"/>
          <w:lang w:val="es-ES_tradnl"/>
        </w:rPr>
        <w:t xml:space="preserve">telecomunicaciones, como el acceso a los elementos de la infraestructura de </w:t>
      </w:r>
      <w:r w:rsidR="006F4EF4" w:rsidRPr="00F7548C">
        <w:rPr>
          <w:rFonts w:ascii="ITC Avant Garde" w:eastAsia="Arial" w:hAnsi="ITC Avant Garde" w:cs="Arial"/>
          <w:sz w:val="22"/>
          <w:szCs w:val="22"/>
          <w:lang w:val="es-ES_tradnl"/>
        </w:rPr>
        <w:t xml:space="preserve">la </w:t>
      </w:r>
      <w:r w:rsidRPr="00F7548C">
        <w:rPr>
          <w:rFonts w:ascii="ITC Avant Garde" w:eastAsia="Arial" w:hAnsi="ITC Avant Garde" w:cs="Arial"/>
          <w:sz w:val="22"/>
          <w:szCs w:val="22"/>
          <w:lang w:val="es-ES_tradnl"/>
        </w:rPr>
        <w:t xml:space="preserve">CFE de manera desagregada y no discriminatoria. </w:t>
      </w:r>
    </w:p>
    <w:p w14:paraId="2C12C496" w14:textId="77777777" w:rsidR="00F623B6" w:rsidRDefault="00F623B6" w:rsidP="00233507">
      <w:pPr>
        <w:tabs>
          <w:tab w:val="num" w:pos="1220"/>
          <w:tab w:val="num" w:pos="1940"/>
        </w:tabs>
        <w:spacing w:line="276" w:lineRule="auto"/>
        <w:jc w:val="both"/>
        <w:rPr>
          <w:rFonts w:ascii="ITC Avant Garde" w:eastAsia="Arial" w:hAnsi="ITC Avant Garde" w:cs="Arial"/>
          <w:sz w:val="22"/>
          <w:szCs w:val="22"/>
          <w:lang w:val="es-ES_tradnl"/>
        </w:rPr>
      </w:pPr>
    </w:p>
    <w:p w14:paraId="6B3E9303" w14:textId="51FFAE0B" w:rsidR="00655B0B" w:rsidRDefault="00655B0B" w:rsidP="00233507">
      <w:pPr>
        <w:tabs>
          <w:tab w:val="num" w:pos="1220"/>
          <w:tab w:val="num" w:pos="1940"/>
        </w:tabs>
        <w:spacing w:line="276" w:lineRule="auto"/>
        <w:jc w:val="both"/>
        <w:rPr>
          <w:rFonts w:ascii="ITC Avant Garde" w:eastAsia="Arial" w:hAnsi="ITC Avant Garde" w:cs="Arial"/>
          <w:sz w:val="22"/>
          <w:szCs w:val="22"/>
          <w:lang w:val="es-ES_tradnl"/>
        </w:rPr>
      </w:pPr>
      <w:r>
        <w:rPr>
          <w:rFonts w:ascii="ITC Avant Garde" w:eastAsia="Arial" w:hAnsi="ITC Avant Garde" w:cs="Arial"/>
          <w:sz w:val="22"/>
          <w:szCs w:val="22"/>
          <w:lang w:val="es-ES_tradnl"/>
        </w:rPr>
        <w:t xml:space="preserve">Respecto al acceso a la infraestructura de la CFE, es importante señalar que conforme al artículo Décimo Quinto Transitorio del Decreto, el objeto de los lineamientos emitidos por el Instituto se </w:t>
      </w:r>
      <w:r w:rsidR="001324BD">
        <w:rPr>
          <w:rFonts w:ascii="ITC Avant Garde" w:eastAsia="Arial" w:hAnsi="ITC Avant Garde" w:cs="Arial"/>
          <w:sz w:val="22"/>
          <w:szCs w:val="22"/>
          <w:lang w:val="es-ES_tradnl"/>
        </w:rPr>
        <w:t>acota</w:t>
      </w:r>
      <w:r>
        <w:rPr>
          <w:rFonts w:ascii="ITC Avant Garde" w:eastAsia="Arial" w:hAnsi="ITC Avant Garde" w:cs="Arial"/>
          <w:sz w:val="22"/>
          <w:szCs w:val="22"/>
          <w:lang w:val="es-ES_tradnl"/>
        </w:rPr>
        <w:t xml:space="preserve"> al acceso efectivo y compartido a la infraestructura de la CFE por parte de Telecomunicaciones de México. </w:t>
      </w:r>
      <w:r w:rsidR="001324BD">
        <w:rPr>
          <w:rFonts w:ascii="ITC Avant Garde" w:eastAsia="Arial" w:hAnsi="ITC Avant Garde" w:cs="Arial"/>
          <w:sz w:val="22"/>
          <w:szCs w:val="22"/>
          <w:lang w:val="es-ES_tradnl"/>
        </w:rPr>
        <w:t xml:space="preserve">El alcance establecido es consistente </w:t>
      </w:r>
      <w:r>
        <w:rPr>
          <w:rFonts w:ascii="ITC Avant Garde" w:eastAsia="Arial" w:hAnsi="ITC Avant Garde" w:cs="Arial"/>
          <w:sz w:val="22"/>
          <w:szCs w:val="22"/>
          <w:lang w:val="es-ES_tradnl"/>
        </w:rPr>
        <w:t xml:space="preserve">con la reforma energética y la consecuente publicación de la Ley de la Industria Eléctrica, </w:t>
      </w:r>
      <w:r w:rsidR="001324BD">
        <w:rPr>
          <w:rFonts w:ascii="ITC Avant Garde" w:eastAsia="Arial" w:hAnsi="ITC Avant Garde" w:cs="Arial"/>
          <w:sz w:val="22"/>
          <w:szCs w:val="22"/>
          <w:lang w:val="es-ES_tradnl"/>
        </w:rPr>
        <w:t xml:space="preserve">particularmente por lo que hace al artículo 72 previamente citado, en el cual se señala que </w:t>
      </w:r>
      <w:r>
        <w:rPr>
          <w:rFonts w:ascii="ITC Avant Garde" w:eastAsia="Arial" w:hAnsi="ITC Avant Garde" w:cs="Arial"/>
          <w:sz w:val="22"/>
          <w:szCs w:val="22"/>
          <w:lang w:val="es-ES_tradnl"/>
        </w:rPr>
        <w:t>la Comisión Reguladora de Energía emitirá las disposiciones regulatorias que regulen el acceso a la infraestructura del Sistema Eléctrico Nacional por parte de otras industrias, incluida la de telecomunicaciones.</w:t>
      </w:r>
      <w:r w:rsidR="001324BD">
        <w:rPr>
          <w:rFonts w:ascii="ITC Avant Garde" w:eastAsia="Arial" w:hAnsi="ITC Avant Garde" w:cs="Arial"/>
          <w:sz w:val="22"/>
          <w:szCs w:val="22"/>
          <w:lang w:val="es-ES_tradnl"/>
        </w:rPr>
        <w:t xml:space="preserve"> Dicho en otras palabras, por mandato constitucional al Instituto le corresponde emitir los lineamientos para el acceso efectivo y compartido </w:t>
      </w:r>
      <w:r w:rsidR="00075EFC">
        <w:rPr>
          <w:rFonts w:ascii="ITC Avant Garde" w:eastAsia="Arial" w:hAnsi="ITC Avant Garde" w:cs="Arial"/>
          <w:sz w:val="22"/>
          <w:szCs w:val="22"/>
          <w:lang w:val="es-ES_tradnl"/>
        </w:rPr>
        <w:t>de Telecomunicaciones de México a la infraestructura de la CFE, en tanto que por mandato legal, a la CRE le corresponde emitir las disposiciones para que los proveedores de otras industrias tengan acceso a la infraestructura del Sistema Eléctrico Nacional.</w:t>
      </w:r>
    </w:p>
    <w:p w14:paraId="302207AD" w14:textId="77777777" w:rsidR="00B12DD5" w:rsidRPr="00B12DD5" w:rsidRDefault="00B12DD5" w:rsidP="00B12DD5">
      <w:pPr>
        <w:tabs>
          <w:tab w:val="num" w:pos="1220"/>
          <w:tab w:val="num" w:pos="1940"/>
        </w:tabs>
        <w:spacing w:line="276" w:lineRule="auto"/>
        <w:jc w:val="both"/>
        <w:rPr>
          <w:rFonts w:ascii="ITC Avant Garde" w:eastAsia="Arial" w:hAnsi="ITC Avant Garde" w:cs="Arial"/>
          <w:sz w:val="22"/>
          <w:szCs w:val="22"/>
          <w:lang w:val="es-ES_tradnl"/>
        </w:rPr>
      </w:pPr>
    </w:p>
    <w:p w14:paraId="321EBE42" w14:textId="6B913A0F" w:rsidR="00955EBC" w:rsidRDefault="00EE5A1D" w:rsidP="00B12DD5">
      <w:pPr>
        <w:tabs>
          <w:tab w:val="num" w:pos="1220"/>
          <w:tab w:val="num" w:pos="1940"/>
        </w:tabs>
        <w:spacing w:line="276" w:lineRule="auto"/>
        <w:jc w:val="both"/>
        <w:rPr>
          <w:rFonts w:ascii="ITC Avant Garde" w:eastAsia="Arial" w:hAnsi="ITC Avant Garde" w:cs="Arial"/>
          <w:sz w:val="22"/>
          <w:szCs w:val="22"/>
          <w:lang w:val="es-ES_tradnl"/>
        </w:rPr>
      </w:pPr>
      <w:r>
        <w:rPr>
          <w:rFonts w:ascii="ITC Avant Garde" w:eastAsia="Arial" w:hAnsi="ITC Avant Garde" w:cs="Arial"/>
          <w:sz w:val="22"/>
          <w:szCs w:val="22"/>
          <w:lang w:val="es-ES_tradnl"/>
        </w:rPr>
        <w:t>El principio de n</w:t>
      </w:r>
      <w:r w:rsidR="00B12DD5" w:rsidRPr="00B12DD5">
        <w:rPr>
          <w:rFonts w:ascii="ITC Avant Garde" w:eastAsia="Arial" w:hAnsi="ITC Avant Garde" w:cs="Arial"/>
          <w:sz w:val="22"/>
          <w:szCs w:val="22"/>
          <w:lang w:val="es-ES_tradnl"/>
        </w:rPr>
        <w:t xml:space="preserve">eutralidad competitiva </w:t>
      </w:r>
      <w:r>
        <w:rPr>
          <w:rFonts w:ascii="ITC Avant Garde" w:eastAsia="Arial" w:hAnsi="ITC Avant Garde" w:cs="Arial"/>
          <w:sz w:val="22"/>
          <w:szCs w:val="22"/>
          <w:lang w:val="es-ES_tradnl"/>
        </w:rPr>
        <w:t xml:space="preserve">es vital para no distorsionar los mercados en un sentido que afecte a la competencia y libre concurrencia en los mercados de telecomunicaciones que aprovechen la infraestructura de la CFE. Se deberían </w:t>
      </w:r>
      <w:r>
        <w:rPr>
          <w:rFonts w:ascii="ITC Avant Garde" w:eastAsia="Arial" w:hAnsi="ITC Avant Garde" w:cs="Arial"/>
          <w:sz w:val="22"/>
          <w:szCs w:val="22"/>
          <w:lang w:val="es-ES_tradnl"/>
        </w:rPr>
        <w:lastRenderedPageBreak/>
        <w:t>alinear los incentivos para intensificar</w:t>
      </w:r>
      <w:r w:rsidR="00B12DD5" w:rsidRPr="00B12DD5">
        <w:rPr>
          <w:rFonts w:ascii="ITC Avant Garde" w:eastAsia="Arial" w:hAnsi="ITC Avant Garde" w:cs="Arial"/>
          <w:sz w:val="22"/>
          <w:szCs w:val="22"/>
          <w:lang w:val="es-ES_tradnl"/>
        </w:rPr>
        <w:t xml:space="preserve"> libre y sana competencia que promuevan el desarrollo de distintos proveedores y servicios de telecomunicaciones</w:t>
      </w:r>
      <w:r>
        <w:rPr>
          <w:rFonts w:ascii="ITC Avant Garde" w:eastAsia="Arial" w:hAnsi="ITC Avant Garde" w:cs="Arial"/>
          <w:sz w:val="22"/>
          <w:szCs w:val="22"/>
          <w:lang w:val="es-ES_tradnl"/>
        </w:rPr>
        <w:t xml:space="preserve"> que fa</w:t>
      </w:r>
      <w:r w:rsidR="00756D44">
        <w:rPr>
          <w:rFonts w:ascii="ITC Avant Garde" w:eastAsia="Arial" w:hAnsi="ITC Avant Garde" w:cs="Arial"/>
          <w:sz w:val="22"/>
          <w:szCs w:val="22"/>
          <w:lang w:val="es-ES_tradnl"/>
        </w:rPr>
        <w:t>v</w:t>
      </w:r>
      <w:r>
        <w:rPr>
          <w:rFonts w:ascii="ITC Avant Garde" w:eastAsia="Arial" w:hAnsi="ITC Avant Garde" w:cs="Arial"/>
          <w:sz w:val="22"/>
          <w:szCs w:val="22"/>
          <w:lang w:val="es-ES_tradnl"/>
        </w:rPr>
        <w:t>orezca una reducción de precios en los</w:t>
      </w:r>
      <w:r w:rsidR="00B12DD5" w:rsidRPr="00B12DD5">
        <w:rPr>
          <w:rFonts w:ascii="ITC Avant Garde" w:eastAsia="Arial" w:hAnsi="ITC Avant Garde" w:cs="Arial"/>
          <w:sz w:val="22"/>
          <w:szCs w:val="22"/>
          <w:lang w:val="es-ES_tradnl"/>
        </w:rPr>
        <w:t xml:space="preserve"> mercado</w:t>
      </w:r>
      <w:r>
        <w:rPr>
          <w:rFonts w:ascii="ITC Avant Garde" w:eastAsia="Arial" w:hAnsi="ITC Avant Garde" w:cs="Arial"/>
          <w:sz w:val="22"/>
          <w:szCs w:val="22"/>
          <w:lang w:val="es-ES_tradnl"/>
        </w:rPr>
        <w:t>s</w:t>
      </w:r>
      <w:r w:rsidR="00B12DD5" w:rsidRPr="00B12DD5">
        <w:rPr>
          <w:rFonts w:ascii="ITC Avant Garde" w:eastAsia="Arial" w:hAnsi="ITC Avant Garde" w:cs="Arial"/>
          <w:sz w:val="22"/>
          <w:szCs w:val="22"/>
          <w:lang w:val="es-ES_tradnl"/>
        </w:rPr>
        <w:t xml:space="preserve"> en condiciones de equidad.</w:t>
      </w:r>
      <w:r w:rsidR="00075EFC">
        <w:rPr>
          <w:rFonts w:ascii="ITC Avant Garde" w:eastAsia="Arial" w:hAnsi="ITC Avant Garde" w:cs="Arial"/>
          <w:sz w:val="22"/>
          <w:szCs w:val="22"/>
          <w:lang w:val="es-ES_tradnl"/>
        </w:rPr>
        <w:t xml:space="preserve"> En este orden de ideas, tal y como se desprende de lo señalado en el párrafo anterior, el acceso efectivo y compartido a infraestructura que debe proporcionar la CFE a Telecomunicaciones de México no implica un acceso en exclusividad ya que otros proveedores podrán tener acceso a la infraestructura del Sistema Eléctrico Nacional según las disposiciones que en el ejercicio de sus atribuciones emita la CRE.</w:t>
      </w:r>
    </w:p>
    <w:p w14:paraId="312E5680" w14:textId="77777777" w:rsidR="00655B0B" w:rsidRPr="00F7548C" w:rsidRDefault="00655B0B" w:rsidP="00233507">
      <w:pPr>
        <w:tabs>
          <w:tab w:val="num" w:pos="1220"/>
          <w:tab w:val="num" w:pos="1940"/>
        </w:tabs>
        <w:spacing w:line="276" w:lineRule="auto"/>
        <w:jc w:val="both"/>
        <w:rPr>
          <w:rFonts w:ascii="ITC Avant Garde" w:eastAsia="Arial" w:hAnsi="ITC Avant Garde" w:cs="Arial"/>
          <w:sz w:val="22"/>
          <w:szCs w:val="22"/>
          <w:lang w:val="es-ES_tradnl"/>
        </w:rPr>
      </w:pPr>
    </w:p>
    <w:p w14:paraId="551CB3E0" w14:textId="634B5069" w:rsidR="00FF0E07" w:rsidRPr="00F7548C" w:rsidRDefault="00756D44" w:rsidP="00233507">
      <w:pPr>
        <w:tabs>
          <w:tab w:val="num" w:pos="1220"/>
          <w:tab w:val="num" w:pos="1940"/>
        </w:tabs>
        <w:spacing w:line="276" w:lineRule="auto"/>
        <w:jc w:val="both"/>
        <w:rPr>
          <w:rFonts w:ascii="ITC Avant Garde" w:eastAsia="Arial" w:hAnsi="ITC Avant Garde" w:cs="Arial"/>
          <w:sz w:val="22"/>
          <w:szCs w:val="22"/>
        </w:rPr>
      </w:pPr>
      <w:r>
        <w:rPr>
          <w:rFonts w:ascii="ITC Avant Garde" w:eastAsia="Arial" w:hAnsi="ITC Avant Garde" w:cs="Arial"/>
          <w:sz w:val="22"/>
          <w:szCs w:val="22"/>
          <w:lang w:val="es-ES_tradnl"/>
        </w:rPr>
        <w:t xml:space="preserve">Por lo que </w:t>
      </w:r>
      <w:r w:rsidR="00075EFC">
        <w:rPr>
          <w:rFonts w:ascii="ITC Avant Garde" w:eastAsia="Arial" w:hAnsi="ITC Avant Garde" w:cs="Arial"/>
          <w:sz w:val="22"/>
          <w:szCs w:val="22"/>
          <w:lang w:val="es-ES_tradnl"/>
        </w:rPr>
        <w:t>hace</w:t>
      </w:r>
      <w:r>
        <w:rPr>
          <w:rFonts w:ascii="ITC Avant Garde" w:eastAsia="Arial" w:hAnsi="ITC Avant Garde" w:cs="Arial"/>
          <w:sz w:val="22"/>
          <w:szCs w:val="22"/>
          <w:lang w:val="es-ES_tradnl"/>
        </w:rPr>
        <w:t xml:space="preserve"> a l</w:t>
      </w:r>
      <w:r w:rsidR="00233507" w:rsidRPr="00F7548C">
        <w:rPr>
          <w:rFonts w:ascii="ITC Avant Garde" w:eastAsia="Arial" w:hAnsi="ITC Avant Garde" w:cs="Arial"/>
          <w:sz w:val="22"/>
          <w:szCs w:val="22"/>
          <w:lang w:val="es-ES_tradnl"/>
        </w:rPr>
        <w:t xml:space="preserve">os </w:t>
      </w:r>
      <w:r w:rsidR="006F4EF4" w:rsidRPr="00F7548C">
        <w:rPr>
          <w:rFonts w:ascii="ITC Avant Garde" w:eastAsia="Arial" w:hAnsi="ITC Avant Garde" w:cs="Arial"/>
          <w:sz w:val="22"/>
          <w:szCs w:val="22"/>
          <w:lang w:val="es-ES_tradnl"/>
        </w:rPr>
        <w:t>l</w:t>
      </w:r>
      <w:r w:rsidR="00233507" w:rsidRPr="00F7548C">
        <w:rPr>
          <w:rFonts w:ascii="ITC Avant Garde" w:eastAsia="Arial" w:hAnsi="ITC Avant Garde" w:cs="Arial"/>
          <w:sz w:val="22"/>
          <w:szCs w:val="22"/>
          <w:lang w:val="es-ES_tradnl"/>
        </w:rPr>
        <w:t xml:space="preserve">ineamientos </w:t>
      </w:r>
      <w:r>
        <w:rPr>
          <w:rFonts w:ascii="ITC Avant Garde" w:eastAsia="Arial" w:hAnsi="ITC Avant Garde" w:cs="Arial"/>
          <w:sz w:val="22"/>
          <w:szCs w:val="22"/>
          <w:lang w:val="es-ES_tradnl"/>
        </w:rPr>
        <w:t xml:space="preserve">emitidos por el Instituto, éstos </w:t>
      </w:r>
      <w:r w:rsidR="00233507" w:rsidRPr="00F7548C">
        <w:rPr>
          <w:rFonts w:ascii="ITC Avant Garde" w:eastAsia="Arial" w:hAnsi="ITC Avant Garde" w:cs="Arial"/>
          <w:sz w:val="22"/>
          <w:szCs w:val="22"/>
          <w:lang w:val="es-ES_tradnl"/>
        </w:rPr>
        <w:t xml:space="preserve">deben asegurar que la CFE </w:t>
      </w:r>
      <w:r>
        <w:rPr>
          <w:rFonts w:ascii="ITC Avant Garde" w:eastAsia="Arial" w:hAnsi="ITC Avant Garde" w:cs="Arial"/>
          <w:sz w:val="22"/>
          <w:szCs w:val="22"/>
          <w:lang w:val="es-ES_tradnl"/>
        </w:rPr>
        <w:t>garantice</w:t>
      </w:r>
      <w:r w:rsidR="00233507" w:rsidRPr="00F7548C">
        <w:rPr>
          <w:rFonts w:ascii="ITC Avant Garde" w:eastAsia="Arial" w:hAnsi="ITC Avant Garde" w:cs="Arial"/>
          <w:sz w:val="22"/>
          <w:szCs w:val="22"/>
          <w:lang w:val="es-ES_tradnl"/>
        </w:rPr>
        <w:t xml:space="preserve"> el</w:t>
      </w:r>
      <w:r w:rsidR="00233507" w:rsidRPr="00F7548C">
        <w:rPr>
          <w:rFonts w:ascii="ITC Avant Garde" w:eastAsia="Arial" w:hAnsi="ITC Avant Garde" w:cs="Arial"/>
          <w:sz w:val="22"/>
          <w:szCs w:val="22"/>
        </w:rPr>
        <w:t xml:space="preserve"> uso compartido de toda su infraestructura susceptible de ser aprovechada para el despliegue de la </w:t>
      </w:r>
      <w:r w:rsidR="007330E8">
        <w:rPr>
          <w:rFonts w:ascii="ITC Avant Garde" w:eastAsia="Arial" w:hAnsi="ITC Avant Garde" w:cs="Arial"/>
          <w:sz w:val="22"/>
          <w:szCs w:val="22"/>
        </w:rPr>
        <w:t>robusta red troncal de cobertura nacional a la que se refiere el artículo Décimo Quinto Transitorio del D</w:t>
      </w:r>
      <w:r w:rsidR="00455222">
        <w:rPr>
          <w:rFonts w:ascii="ITC Avant Garde" w:eastAsia="Arial" w:hAnsi="ITC Avant Garde" w:cs="Arial"/>
          <w:sz w:val="22"/>
          <w:szCs w:val="22"/>
        </w:rPr>
        <w:t>ecreto de Reforma Constitucional en materia de t</w:t>
      </w:r>
      <w:r w:rsidR="007330E8">
        <w:rPr>
          <w:rFonts w:ascii="ITC Avant Garde" w:eastAsia="Arial" w:hAnsi="ITC Avant Garde" w:cs="Arial"/>
          <w:sz w:val="22"/>
          <w:szCs w:val="22"/>
        </w:rPr>
        <w:t>elecomunicaciones</w:t>
      </w:r>
      <w:r w:rsidR="00233507" w:rsidRPr="00F7548C">
        <w:rPr>
          <w:rFonts w:ascii="ITC Avant Garde" w:eastAsia="Arial" w:hAnsi="ITC Avant Garde" w:cs="Arial"/>
          <w:sz w:val="22"/>
          <w:szCs w:val="22"/>
        </w:rPr>
        <w:t>.</w:t>
      </w:r>
    </w:p>
    <w:p w14:paraId="6E10AA55" w14:textId="77777777" w:rsidR="00FF0E07" w:rsidRPr="00F7548C" w:rsidRDefault="00FF0E07" w:rsidP="00233507">
      <w:pPr>
        <w:tabs>
          <w:tab w:val="num" w:pos="1220"/>
          <w:tab w:val="num" w:pos="1940"/>
        </w:tabs>
        <w:spacing w:line="276" w:lineRule="auto"/>
        <w:jc w:val="both"/>
        <w:rPr>
          <w:rFonts w:ascii="ITC Avant Garde" w:eastAsia="Arial" w:hAnsi="ITC Avant Garde" w:cs="Arial"/>
          <w:sz w:val="22"/>
          <w:szCs w:val="22"/>
        </w:rPr>
      </w:pPr>
    </w:p>
    <w:p w14:paraId="6CD67F98" w14:textId="65FE74BA" w:rsidR="00C85611" w:rsidRPr="00F7548C" w:rsidRDefault="001E6157" w:rsidP="00C85611">
      <w:pPr>
        <w:tabs>
          <w:tab w:val="num" w:pos="1220"/>
          <w:tab w:val="num" w:pos="1940"/>
        </w:tabs>
        <w:spacing w:line="276" w:lineRule="auto"/>
        <w:jc w:val="both"/>
        <w:rPr>
          <w:rFonts w:ascii="ITC Avant Garde" w:hAnsi="ITC Avant Garde"/>
          <w:bCs/>
          <w:sz w:val="22"/>
          <w:szCs w:val="22"/>
        </w:rPr>
      </w:pPr>
      <w:r w:rsidRPr="00F7548C">
        <w:rPr>
          <w:rFonts w:ascii="ITC Avant Garde" w:eastAsia="Arial" w:hAnsi="ITC Avant Garde" w:cs="Arial"/>
          <w:sz w:val="22"/>
          <w:szCs w:val="22"/>
          <w:lang w:val="es-ES_tradnl"/>
        </w:rPr>
        <w:t>Es importante</w:t>
      </w:r>
      <w:r w:rsidR="00235136" w:rsidRPr="00F7548C">
        <w:rPr>
          <w:rFonts w:ascii="ITC Avant Garde" w:eastAsia="Arial" w:hAnsi="ITC Avant Garde" w:cs="Arial"/>
          <w:sz w:val="22"/>
          <w:szCs w:val="22"/>
          <w:lang w:val="es-ES_tradnl"/>
        </w:rPr>
        <w:t xml:space="preserve"> </w:t>
      </w:r>
      <w:r w:rsidR="00416EAA" w:rsidRPr="00F7548C">
        <w:rPr>
          <w:rFonts w:ascii="ITC Avant Garde" w:eastAsia="Arial" w:hAnsi="ITC Avant Garde" w:cs="Arial"/>
          <w:sz w:val="22"/>
          <w:szCs w:val="22"/>
          <w:lang w:val="es-ES_tradnl"/>
        </w:rPr>
        <w:t xml:space="preserve">señalar que la infraestructura de la CFE se desplegó principalmente, </w:t>
      </w:r>
      <w:r w:rsidRPr="00F7548C">
        <w:rPr>
          <w:rFonts w:ascii="ITC Avant Garde" w:eastAsia="Arial" w:hAnsi="ITC Avant Garde" w:cs="Arial"/>
          <w:sz w:val="22"/>
          <w:szCs w:val="22"/>
          <w:lang w:val="es-ES_tradnl"/>
        </w:rPr>
        <w:t>para</w:t>
      </w:r>
      <w:r w:rsidR="00416EAA" w:rsidRPr="00F7548C">
        <w:rPr>
          <w:rFonts w:ascii="ITC Avant Garde" w:eastAsia="Arial" w:hAnsi="ITC Avant Garde" w:cs="Arial"/>
          <w:sz w:val="22"/>
          <w:szCs w:val="22"/>
          <w:lang w:val="es-ES_tradnl"/>
        </w:rPr>
        <w:t xml:space="preserve"> proveer el servicio público de energía eléctrica, por lo que utilizar dicha infraestructura para la provisión de servicios públicos de telecomunicaciones tiene </w:t>
      </w:r>
      <w:r w:rsidRPr="00F7548C">
        <w:rPr>
          <w:rFonts w:ascii="ITC Avant Garde" w:eastAsia="Arial" w:hAnsi="ITC Avant Garde" w:cs="Arial"/>
          <w:sz w:val="22"/>
          <w:szCs w:val="22"/>
          <w:lang w:val="es-ES_tradnl"/>
        </w:rPr>
        <w:t>el carácter de servicio secundario para esta infraestructura.</w:t>
      </w:r>
      <w:r w:rsidR="00416EAA" w:rsidRPr="00F7548C">
        <w:rPr>
          <w:rFonts w:ascii="ITC Avant Garde" w:eastAsia="Arial" w:hAnsi="ITC Avant Garde" w:cs="Arial"/>
          <w:sz w:val="22"/>
          <w:szCs w:val="22"/>
          <w:lang w:val="es-ES_tradnl"/>
        </w:rPr>
        <w:t xml:space="preserve"> Por esta situación</w:t>
      </w:r>
      <w:r w:rsidRPr="00F7548C">
        <w:rPr>
          <w:rFonts w:ascii="ITC Avant Garde" w:eastAsia="Arial" w:hAnsi="ITC Avant Garde" w:cs="Arial"/>
          <w:sz w:val="22"/>
          <w:szCs w:val="22"/>
          <w:lang w:val="es-ES_tradnl"/>
        </w:rPr>
        <w:t>,</w:t>
      </w:r>
      <w:r w:rsidR="00416EAA" w:rsidRPr="00F7548C">
        <w:rPr>
          <w:rFonts w:ascii="ITC Avant Garde" w:eastAsia="Arial" w:hAnsi="ITC Avant Garde" w:cs="Arial"/>
          <w:sz w:val="22"/>
          <w:szCs w:val="22"/>
          <w:lang w:val="es-ES_tradnl"/>
        </w:rPr>
        <w:t xml:space="preserve"> </w:t>
      </w:r>
      <w:r w:rsidRPr="00F7548C">
        <w:rPr>
          <w:rFonts w:ascii="ITC Avant Garde" w:eastAsia="Arial" w:hAnsi="ITC Avant Garde" w:cs="Arial"/>
          <w:sz w:val="22"/>
          <w:szCs w:val="22"/>
          <w:lang w:val="es-ES_tradnl"/>
        </w:rPr>
        <w:t>resulta</w:t>
      </w:r>
      <w:r w:rsidR="0022073B" w:rsidRPr="00F7548C">
        <w:rPr>
          <w:rFonts w:ascii="ITC Avant Garde" w:eastAsia="Arial" w:hAnsi="ITC Avant Garde" w:cs="Arial"/>
          <w:sz w:val="22"/>
          <w:szCs w:val="22"/>
          <w:lang w:val="es-ES_tradnl"/>
        </w:rPr>
        <w:t xml:space="preserve"> razonable que </w:t>
      </w:r>
      <w:r w:rsidR="00235136" w:rsidRPr="00F7548C">
        <w:rPr>
          <w:rFonts w:ascii="ITC Avant Garde" w:eastAsia="Arial" w:hAnsi="ITC Avant Garde" w:cs="Arial"/>
          <w:sz w:val="22"/>
          <w:szCs w:val="22"/>
          <w:lang w:val="es-ES_tradnl"/>
        </w:rPr>
        <w:t>Telecomunicaciones de M</w:t>
      </w:r>
      <w:r w:rsidR="0022073B" w:rsidRPr="00F7548C">
        <w:rPr>
          <w:rFonts w:ascii="ITC Avant Garde" w:eastAsia="Arial" w:hAnsi="ITC Avant Garde" w:cs="Arial"/>
          <w:sz w:val="22"/>
          <w:szCs w:val="22"/>
          <w:lang w:val="es-ES_tradnl"/>
        </w:rPr>
        <w:t>éxico</w:t>
      </w:r>
      <w:r w:rsidR="00235136" w:rsidRPr="00F7548C">
        <w:rPr>
          <w:rFonts w:ascii="ITC Avant Garde" w:eastAsia="Arial" w:hAnsi="ITC Avant Garde" w:cs="Arial"/>
          <w:sz w:val="22"/>
          <w:szCs w:val="22"/>
          <w:lang w:val="es-ES_tradnl"/>
        </w:rPr>
        <w:t xml:space="preserve"> </w:t>
      </w:r>
      <w:r w:rsidR="0022073B" w:rsidRPr="00F7548C">
        <w:rPr>
          <w:rFonts w:ascii="ITC Avant Garde" w:eastAsia="Arial" w:hAnsi="ITC Avant Garde" w:cs="Arial"/>
          <w:sz w:val="22"/>
          <w:szCs w:val="22"/>
          <w:lang w:val="es-ES_tradnl"/>
        </w:rPr>
        <w:t>cumpla</w:t>
      </w:r>
      <w:r w:rsidR="000B05A8" w:rsidRPr="00F7548C">
        <w:rPr>
          <w:rFonts w:ascii="ITC Avant Garde" w:eastAsia="Arial" w:hAnsi="ITC Avant Garde" w:cs="Arial"/>
          <w:sz w:val="22"/>
          <w:szCs w:val="22"/>
          <w:lang w:val="es-ES_tradnl"/>
        </w:rPr>
        <w:t xml:space="preserve"> </w:t>
      </w:r>
      <w:r w:rsidR="0022073B" w:rsidRPr="00F7548C">
        <w:rPr>
          <w:rFonts w:ascii="ITC Avant Garde" w:eastAsia="Arial" w:hAnsi="ITC Avant Garde" w:cs="Arial"/>
          <w:sz w:val="22"/>
          <w:szCs w:val="22"/>
          <w:lang w:val="es-ES_tradnl"/>
        </w:rPr>
        <w:t xml:space="preserve">con los </w:t>
      </w:r>
      <w:r w:rsidR="00FF0E07" w:rsidRPr="00F7548C">
        <w:rPr>
          <w:rFonts w:ascii="ITC Avant Garde" w:eastAsia="Arial" w:hAnsi="ITC Avant Garde" w:cs="Arial"/>
          <w:sz w:val="22"/>
          <w:szCs w:val="22"/>
          <w:lang w:val="es-ES_tradnl"/>
        </w:rPr>
        <w:t>requerimientos técnicos, de operación, administrativos, de seguridad</w:t>
      </w:r>
      <w:r w:rsidR="0022073B" w:rsidRPr="00F7548C">
        <w:rPr>
          <w:rFonts w:ascii="ITC Avant Garde" w:eastAsia="Arial" w:hAnsi="ITC Avant Garde" w:cs="Arial"/>
          <w:sz w:val="22"/>
          <w:szCs w:val="22"/>
          <w:lang w:val="es-ES_tradnl"/>
        </w:rPr>
        <w:t xml:space="preserve">, entre otros, que garanticen la compartición </w:t>
      </w:r>
      <w:r w:rsidRPr="00F7548C">
        <w:rPr>
          <w:rFonts w:ascii="ITC Avant Garde" w:eastAsia="Arial" w:hAnsi="ITC Avant Garde" w:cs="Arial"/>
          <w:sz w:val="22"/>
          <w:szCs w:val="22"/>
          <w:lang w:val="es-ES_tradnl"/>
        </w:rPr>
        <w:t xml:space="preserve">de dicha infraestructura </w:t>
      </w:r>
      <w:r w:rsidR="0022073B" w:rsidRPr="00F7548C">
        <w:rPr>
          <w:rFonts w:ascii="ITC Avant Garde" w:eastAsia="Arial" w:hAnsi="ITC Avant Garde" w:cs="Arial"/>
          <w:sz w:val="22"/>
          <w:szCs w:val="22"/>
          <w:lang w:val="es-ES_tradnl"/>
        </w:rPr>
        <w:t xml:space="preserve">sin una afectación </w:t>
      </w:r>
      <w:r w:rsidRPr="00F7548C">
        <w:rPr>
          <w:rFonts w:ascii="ITC Avant Garde" w:eastAsia="Arial" w:hAnsi="ITC Avant Garde" w:cs="Arial"/>
          <w:sz w:val="22"/>
          <w:szCs w:val="22"/>
          <w:lang w:val="es-ES_tradnl"/>
        </w:rPr>
        <w:t>de ambos servicios públicos</w:t>
      </w:r>
      <w:r w:rsidR="0022073B" w:rsidRPr="00F7548C">
        <w:rPr>
          <w:rFonts w:ascii="ITC Avant Garde" w:eastAsia="Arial" w:hAnsi="ITC Avant Garde" w:cs="Arial"/>
          <w:sz w:val="22"/>
          <w:szCs w:val="22"/>
          <w:lang w:val="es-ES_tradnl"/>
        </w:rPr>
        <w:t>.</w:t>
      </w:r>
      <w:r w:rsidR="007D14F0" w:rsidRPr="00F7548C">
        <w:rPr>
          <w:rFonts w:ascii="ITC Avant Garde" w:eastAsia="Arial" w:hAnsi="ITC Avant Garde" w:cs="Arial"/>
          <w:sz w:val="22"/>
          <w:szCs w:val="22"/>
          <w:lang w:val="es-ES_tradnl"/>
        </w:rPr>
        <w:t xml:space="preserve"> </w:t>
      </w:r>
      <w:r w:rsidRPr="00F7548C">
        <w:rPr>
          <w:rFonts w:ascii="ITC Avant Garde" w:eastAsia="Arial" w:hAnsi="ITC Avant Garde" w:cs="Arial"/>
          <w:sz w:val="22"/>
          <w:szCs w:val="22"/>
        </w:rPr>
        <w:t>Por lo mismo, es</w:t>
      </w:r>
      <w:r w:rsidR="00C85611" w:rsidRPr="00F7548C">
        <w:rPr>
          <w:rFonts w:ascii="ITC Avant Garde" w:eastAsia="Arial" w:hAnsi="ITC Avant Garde" w:cs="Arial"/>
          <w:sz w:val="22"/>
          <w:szCs w:val="22"/>
          <w:lang w:val="es-ES_tradnl"/>
        </w:rPr>
        <w:t xml:space="preserve"> procedente </w:t>
      </w:r>
      <w:r w:rsidR="00C85611" w:rsidRPr="00F7548C">
        <w:rPr>
          <w:rFonts w:ascii="ITC Avant Garde" w:hAnsi="ITC Avant Garde"/>
          <w:bCs/>
          <w:sz w:val="22"/>
          <w:szCs w:val="22"/>
        </w:rPr>
        <w:t xml:space="preserve">prohibir el empleo de ciertos elementos que interfieran o afecten la provisión del servicio de energía eléctrica, y </w:t>
      </w:r>
      <w:r w:rsidRPr="00F7548C">
        <w:rPr>
          <w:rFonts w:ascii="ITC Avant Garde" w:hAnsi="ITC Avant Garde"/>
          <w:bCs/>
          <w:sz w:val="22"/>
          <w:szCs w:val="22"/>
        </w:rPr>
        <w:t xml:space="preserve">además, </w:t>
      </w:r>
      <w:r w:rsidR="00C85611" w:rsidRPr="00F7548C">
        <w:rPr>
          <w:rFonts w:ascii="ITC Avant Garde" w:hAnsi="ITC Avant Garde"/>
          <w:bCs/>
          <w:sz w:val="22"/>
          <w:szCs w:val="22"/>
        </w:rPr>
        <w:t>disponer de los me</w:t>
      </w:r>
      <w:r w:rsidRPr="00F7548C">
        <w:rPr>
          <w:rFonts w:ascii="ITC Avant Garde" w:hAnsi="ITC Avant Garde"/>
          <w:bCs/>
          <w:sz w:val="22"/>
          <w:szCs w:val="22"/>
        </w:rPr>
        <w:t>canismos que permiten imputar</w:t>
      </w:r>
      <w:r w:rsidR="00C85611" w:rsidRPr="00F7548C">
        <w:rPr>
          <w:rFonts w:ascii="ITC Avant Garde" w:hAnsi="ITC Avant Garde"/>
          <w:bCs/>
          <w:sz w:val="22"/>
          <w:szCs w:val="22"/>
        </w:rPr>
        <w:t xml:space="preserve"> responsabilidades por los daños y/o perjuicios causados.</w:t>
      </w:r>
    </w:p>
    <w:p w14:paraId="7A64C0CF" w14:textId="77777777" w:rsidR="00586826" w:rsidRPr="00F7548C" w:rsidRDefault="00586826" w:rsidP="00233507">
      <w:pPr>
        <w:tabs>
          <w:tab w:val="num" w:pos="1220"/>
          <w:tab w:val="num" w:pos="1940"/>
        </w:tabs>
        <w:spacing w:line="276" w:lineRule="auto"/>
        <w:jc w:val="both"/>
        <w:rPr>
          <w:rFonts w:ascii="ITC Avant Garde" w:eastAsia="Arial" w:hAnsi="ITC Avant Garde" w:cs="Arial"/>
          <w:sz w:val="22"/>
          <w:szCs w:val="22"/>
        </w:rPr>
      </w:pPr>
    </w:p>
    <w:p w14:paraId="3DDDF04D" w14:textId="31EC402D" w:rsidR="00586826" w:rsidRPr="00F7548C" w:rsidRDefault="001E6157" w:rsidP="00233507">
      <w:pPr>
        <w:tabs>
          <w:tab w:val="num" w:pos="1220"/>
          <w:tab w:val="num" w:pos="1940"/>
        </w:tabs>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Por otro lado, es</w:t>
      </w:r>
      <w:r w:rsidR="007A0F93" w:rsidRPr="00F7548C">
        <w:rPr>
          <w:rFonts w:ascii="ITC Avant Garde" w:eastAsia="Arial" w:hAnsi="ITC Avant Garde" w:cs="Arial"/>
          <w:sz w:val="22"/>
          <w:szCs w:val="22"/>
        </w:rPr>
        <w:t xml:space="preserve"> conveniente reducir al máximo la discrecionalidad</w:t>
      </w:r>
      <w:r w:rsidR="004F55F2" w:rsidRPr="00F7548C">
        <w:rPr>
          <w:rFonts w:ascii="ITC Avant Garde" w:eastAsia="Arial" w:hAnsi="ITC Avant Garde" w:cs="Arial"/>
          <w:sz w:val="22"/>
          <w:szCs w:val="22"/>
        </w:rPr>
        <w:t xml:space="preserve"> cuando se emita normatividad que </w:t>
      </w:r>
      <w:r w:rsidRPr="00F7548C">
        <w:rPr>
          <w:rFonts w:ascii="ITC Avant Garde" w:eastAsia="Arial" w:hAnsi="ITC Avant Garde" w:cs="Arial"/>
          <w:sz w:val="22"/>
          <w:szCs w:val="22"/>
        </w:rPr>
        <w:t>de alguna forma</w:t>
      </w:r>
      <w:r w:rsidR="001D6900">
        <w:rPr>
          <w:rFonts w:ascii="ITC Avant Garde" w:eastAsia="Arial" w:hAnsi="ITC Avant Garde" w:cs="Arial"/>
          <w:sz w:val="22"/>
          <w:szCs w:val="22"/>
        </w:rPr>
        <w:t xml:space="preserve"> </w:t>
      </w:r>
      <w:r w:rsidR="004F55F2" w:rsidRPr="00F7548C">
        <w:rPr>
          <w:rFonts w:ascii="ITC Avant Garde" w:eastAsia="Arial" w:hAnsi="ITC Avant Garde" w:cs="Arial"/>
          <w:sz w:val="22"/>
          <w:szCs w:val="22"/>
        </w:rPr>
        <w:t>limi</w:t>
      </w:r>
      <w:r w:rsidR="00D370FB">
        <w:rPr>
          <w:rFonts w:ascii="ITC Avant Garde" w:eastAsia="Arial" w:hAnsi="ITC Avant Garde" w:cs="Arial"/>
          <w:sz w:val="22"/>
          <w:szCs w:val="22"/>
        </w:rPr>
        <w:t>te</w:t>
      </w:r>
      <w:r w:rsidR="004F55F2" w:rsidRPr="00F7548C">
        <w:rPr>
          <w:rFonts w:ascii="ITC Avant Garde" w:eastAsia="Arial" w:hAnsi="ITC Avant Garde" w:cs="Arial"/>
          <w:sz w:val="22"/>
          <w:szCs w:val="22"/>
        </w:rPr>
        <w:t xml:space="preserve"> el </w:t>
      </w:r>
      <w:r w:rsidRPr="00F7548C">
        <w:rPr>
          <w:rFonts w:ascii="ITC Avant Garde" w:eastAsia="Arial" w:hAnsi="ITC Avant Garde" w:cs="Arial"/>
          <w:sz w:val="22"/>
          <w:szCs w:val="22"/>
        </w:rPr>
        <w:t>acceso y uso de infraestructura</w:t>
      </w:r>
      <w:r w:rsidR="004F55F2" w:rsidRPr="00F7548C">
        <w:rPr>
          <w:rFonts w:ascii="ITC Avant Garde" w:eastAsia="Arial" w:hAnsi="ITC Avant Garde" w:cs="Arial"/>
          <w:sz w:val="22"/>
          <w:szCs w:val="22"/>
        </w:rPr>
        <w:t xml:space="preserve"> por parte de los concesionarios</w:t>
      </w:r>
      <w:r w:rsidR="00161467" w:rsidRPr="00F7548C">
        <w:rPr>
          <w:rFonts w:ascii="ITC Avant Garde" w:eastAsia="Arial" w:hAnsi="ITC Avant Garde" w:cs="Arial"/>
          <w:sz w:val="22"/>
          <w:szCs w:val="22"/>
        </w:rPr>
        <w:t xml:space="preserve">, </w:t>
      </w:r>
      <w:r w:rsidR="005D05E6" w:rsidRPr="00F7548C">
        <w:rPr>
          <w:rFonts w:ascii="ITC Avant Garde" w:eastAsia="Arial" w:hAnsi="ITC Avant Garde" w:cs="Arial"/>
          <w:sz w:val="22"/>
          <w:szCs w:val="22"/>
        </w:rPr>
        <w:t>por ejemplo,</w:t>
      </w:r>
      <w:r w:rsidRPr="00F7548C">
        <w:rPr>
          <w:rFonts w:ascii="ITC Avant Garde" w:eastAsia="Arial" w:hAnsi="ITC Avant Garde" w:cs="Arial"/>
          <w:sz w:val="22"/>
          <w:szCs w:val="22"/>
        </w:rPr>
        <w:t xml:space="preserve"> cuando se</w:t>
      </w:r>
      <w:r w:rsidR="005D05E6" w:rsidRPr="00F7548C">
        <w:rPr>
          <w:rFonts w:ascii="ITC Avant Garde" w:eastAsia="Arial" w:hAnsi="ITC Avant Garde" w:cs="Arial"/>
          <w:sz w:val="22"/>
          <w:szCs w:val="22"/>
        </w:rPr>
        <w:t xml:space="preserve"> </w:t>
      </w:r>
      <w:r w:rsidRPr="00F7548C">
        <w:rPr>
          <w:rFonts w:ascii="ITC Avant Garde" w:eastAsia="Arial" w:hAnsi="ITC Avant Garde" w:cs="Arial"/>
          <w:sz w:val="22"/>
          <w:szCs w:val="22"/>
        </w:rPr>
        <w:t>niegue</w:t>
      </w:r>
      <w:r w:rsidR="00586826" w:rsidRPr="00F7548C">
        <w:rPr>
          <w:rFonts w:ascii="ITC Avant Garde" w:eastAsia="Arial" w:hAnsi="ITC Avant Garde" w:cs="Arial"/>
          <w:sz w:val="22"/>
          <w:szCs w:val="22"/>
        </w:rPr>
        <w:t xml:space="preserve"> el </w:t>
      </w:r>
      <w:r w:rsidRPr="00F7548C">
        <w:rPr>
          <w:rFonts w:ascii="ITC Avant Garde" w:eastAsia="Arial" w:hAnsi="ITC Avant Garde" w:cs="Arial"/>
          <w:sz w:val="22"/>
          <w:szCs w:val="22"/>
        </w:rPr>
        <w:t>acceso y uso de la infrae</w:t>
      </w:r>
      <w:r w:rsidR="00586826" w:rsidRPr="00F7548C">
        <w:rPr>
          <w:rFonts w:ascii="ITC Avant Garde" w:eastAsia="Arial" w:hAnsi="ITC Avant Garde" w:cs="Arial"/>
          <w:sz w:val="22"/>
          <w:szCs w:val="22"/>
        </w:rPr>
        <w:t xml:space="preserve">structura únicamente por </w:t>
      </w:r>
      <w:r w:rsidR="001D6900">
        <w:rPr>
          <w:rFonts w:ascii="ITC Avant Garde" w:eastAsia="Arial" w:hAnsi="ITC Avant Garde" w:cs="Arial"/>
          <w:sz w:val="22"/>
          <w:szCs w:val="22"/>
        </w:rPr>
        <w:t>razones de cupo, en razón d</w:t>
      </w:r>
      <w:r w:rsidR="00586826" w:rsidRPr="00F7548C">
        <w:rPr>
          <w:rFonts w:ascii="ITC Avant Garde" w:eastAsia="Arial" w:hAnsi="ITC Avant Garde" w:cs="Arial"/>
          <w:sz w:val="22"/>
          <w:szCs w:val="22"/>
        </w:rPr>
        <w:t>el número de concesionarios</w:t>
      </w:r>
      <w:r w:rsidR="00BA6F50" w:rsidRPr="00F7548C">
        <w:rPr>
          <w:rFonts w:ascii="ITC Avant Garde" w:eastAsia="Arial" w:hAnsi="ITC Avant Garde" w:cs="Arial"/>
          <w:sz w:val="22"/>
          <w:szCs w:val="22"/>
        </w:rPr>
        <w:t xml:space="preserve"> o autorizados </w:t>
      </w:r>
      <w:r w:rsidR="00586826" w:rsidRPr="00F7548C">
        <w:rPr>
          <w:rFonts w:ascii="ITC Avant Garde" w:eastAsia="Arial" w:hAnsi="ITC Avant Garde" w:cs="Arial"/>
          <w:sz w:val="22"/>
          <w:szCs w:val="22"/>
        </w:rPr>
        <w:t>que</w:t>
      </w:r>
      <w:r w:rsidR="008767ED" w:rsidRPr="00F7548C">
        <w:rPr>
          <w:rFonts w:ascii="ITC Avant Garde" w:eastAsia="Arial" w:hAnsi="ITC Avant Garde" w:cs="Arial"/>
          <w:sz w:val="22"/>
          <w:szCs w:val="22"/>
        </w:rPr>
        <w:t xml:space="preserve"> utilicen la infraestructura de </w:t>
      </w:r>
      <w:r w:rsidR="005F2231" w:rsidRPr="00F7548C">
        <w:rPr>
          <w:rFonts w:ascii="ITC Avant Garde" w:eastAsia="Arial" w:hAnsi="ITC Avant Garde" w:cs="Arial"/>
          <w:sz w:val="22"/>
          <w:szCs w:val="22"/>
        </w:rPr>
        <w:t>la CFE</w:t>
      </w:r>
      <w:r w:rsidRPr="00F7548C">
        <w:rPr>
          <w:rFonts w:ascii="ITC Avant Garde" w:eastAsia="Arial" w:hAnsi="ITC Avant Garde" w:cs="Arial"/>
          <w:sz w:val="22"/>
          <w:szCs w:val="22"/>
        </w:rPr>
        <w:t>. Frente a una solicitud negada, lo más conveniente es llevar a cabo un</w:t>
      </w:r>
      <w:r w:rsidR="005D05E6" w:rsidRPr="00F7548C">
        <w:rPr>
          <w:rFonts w:ascii="ITC Avant Garde" w:eastAsia="Arial" w:hAnsi="ITC Avant Garde" w:cs="Arial"/>
          <w:sz w:val="22"/>
          <w:szCs w:val="22"/>
        </w:rPr>
        <w:t xml:space="preserve"> dictamen t</w:t>
      </w:r>
      <w:r w:rsidRPr="00F7548C">
        <w:rPr>
          <w:rFonts w:ascii="ITC Avant Garde" w:eastAsia="Arial" w:hAnsi="ITC Avant Garde" w:cs="Arial"/>
          <w:sz w:val="22"/>
          <w:szCs w:val="22"/>
        </w:rPr>
        <w:t>écnico debidamente justificado</w:t>
      </w:r>
      <w:r w:rsidR="005D05E6" w:rsidRPr="00F7548C">
        <w:rPr>
          <w:rFonts w:ascii="ITC Avant Garde" w:eastAsia="Arial" w:hAnsi="ITC Avant Garde" w:cs="Arial"/>
          <w:sz w:val="22"/>
          <w:szCs w:val="22"/>
        </w:rPr>
        <w:t xml:space="preserve">. La práctica común </w:t>
      </w:r>
      <w:r w:rsidRPr="00F7548C">
        <w:rPr>
          <w:rFonts w:ascii="ITC Avant Garde" w:eastAsia="Arial" w:hAnsi="ITC Avant Garde" w:cs="Arial"/>
          <w:sz w:val="22"/>
          <w:szCs w:val="22"/>
        </w:rPr>
        <w:t>en estos casos, es</w:t>
      </w:r>
      <w:r w:rsidR="005D05E6" w:rsidRPr="00F7548C">
        <w:rPr>
          <w:rFonts w:ascii="ITC Avant Garde" w:eastAsia="Arial" w:hAnsi="ITC Avant Garde" w:cs="Arial"/>
          <w:sz w:val="22"/>
          <w:szCs w:val="22"/>
        </w:rPr>
        <w:t xml:space="preserve"> </w:t>
      </w:r>
      <w:r w:rsidRPr="00F7548C">
        <w:rPr>
          <w:rFonts w:ascii="ITC Avant Garde" w:eastAsia="Arial" w:hAnsi="ITC Avant Garde" w:cs="Arial"/>
          <w:sz w:val="22"/>
          <w:szCs w:val="22"/>
        </w:rPr>
        <w:t>la elaboración de dictámenes en el que</w:t>
      </w:r>
      <w:r w:rsidR="005D05E6" w:rsidRPr="00F7548C">
        <w:rPr>
          <w:rFonts w:ascii="ITC Avant Garde" w:eastAsia="Arial" w:hAnsi="ITC Avant Garde" w:cs="Arial"/>
          <w:sz w:val="22"/>
          <w:szCs w:val="22"/>
        </w:rPr>
        <w:t xml:space="preserve"> participen </w:t>
      </w:r>
      <w:r w:rsidR="009907D8" w:rsidRPr="00F7548C">
        <w:rPr>
          <w:rFonts w:ascii="ITC Avant Garde" w:eastAsia="Arial" w:hAnsi="ITC Avant Garde" w:cs="Arial"/>
          <w:sz w:val="22"/>
          <w:szCs w:val="22"/>
        </w:rPr>
        <w:t>especialistas acreditados</w:t>
      </w:r>
      <w:r w:rsidR="005D05E6" w:rsidRPr="00F7548C">
        <w:rPr>
          <w:rFonts w:ascii="ITC Avant Garde" w:eastAsia="Arial" w:hAnsi="ITC Avant Garde" w:cs="Arial"/>
          <w:sz w:val="22"/>
          <w:szCs w:val="22"/>
        </w:rPr>
        <w:t xml:space="preserve"> en la materia</w:t>
      </w:r>
      <w:r w:rsidRPr="00F7548C">
        <w:rPr>
          <w:rFonts w:ascii="ITC Avant Garde" w:eastAsia="Arial" w:hAnsi="ITC Avant Garde" w:cs="Arial"/>
          <w:sz w:val="22"/>
          <w:szCs w:val="22"/>
        </w:rPr>
        <w:t>, que represente</w:t>
      </w:r>
      <w:r w:rsidR="00BC11B2">
        <w:rPr>
          <w:rFonts w:ascii="ITC Avant Garde" w:eastAsia="Arial" w:hAnsi="ITC Avant Garde" w:cs="Arial"/>
          <w:sz w:val="22"/>
          <w:szCs w:val="22"/>
        </w:rPr>
        <w:t>n</w:t>
      </w:r>
      <w:r w:rsidRPr="00F7548C">
        <w:rPr>
          <w:rFonts w:ascii="ITC Avant Garde" w:eastAsia="Arial" w:hAnsi="ITC Avant Garde" w:cs="Arial"/>
          <w:sz w:val="22"/>
          <w:szCs w:val="22"/>
        </w:rPr>
        <w:t xml:space="preserve"> </w:t>
      </w:r>
      <w:r w:rsidR="00BC11B2">
        <w:rPr>
          <w:rFonts w:ascii="ITC Avant Garde" w:eastAsia="Arial" w:hAnsi="ITC Avant Garde" w:cs="Arial"/>
          <w:sz w:val="22"/>
          <w:szCs w:val="22"/>
        </w:rPr>
        <w:t xml:space="preserve">a </w:t>
      </w:r>
      <w:r w:rsidRPr="00F7548C">
        <w:rPr>
          <w:rFonts w:ascii="ITC Avant Garde" w:eastAsia="Arial" w:hAnsi="ITC Avant Garde" w:cs="Arial"/>
          <w:sz w:val="22"/>
          <w:szCs w:val="22"/>
        </w:rPr>
        <w:t>cada un</w:t>
      </w:r>
      <w:r w:rsidR="00BC11B2">
        <w:rPr>
          <w:rFonts w:ascii="ITC Avant Garde" w:eastAsia="Arial" w:hAnsi="ITC Avant Garde" w:cs="Arial"/>
          <w:sz w:val="22"/>
          <w:szCs w:val="22"/>
        </w:rPr>
        <w:t>a</w:t>
      </w:r>
      <w:r w:rsidRPr="00F7548C">
        <w:rPr>
          <w:rFonts w:ascii="ITC Avant Garde" w:eastAsia="Arial" w:hAnsi="ITC Avant Garde" w:cs="Arial"/>
          <w:sz w:val="22"/>
          <w:szCs w:val="22"/>
        </w:rPr>
        <w:t xml:space="preserve"> de las pa</w:t>
      </w:r>
      <w:r w:rsidR="00CA2977" w:rsidRPr="00F7548C">
        <w:rPr>
          <w:rFonts w:ascii="ITC Avant Garde" w:eastAsia="Arial" w:hAnsi="ITC Avant Garde" w:cs="Arial"/>
          <w:sz w:val="22"/>
          <w:szCs w:val="22"/>
        </w:rPr>
        <w:t>r</w:t>
      </w:r>
      <w:r w:rsidRPr="00F7548C">
        <w:rPr>
          <w:rFonts w:ascii="ITC Avant Garde" w:eastAsia="Arial" w:hAnsi="ITC Avant Garde" w:cs="Arial"/>
          <w:sz w:val="22"/>
          <w:szCs w:val="22"/>
        </w:rPr>
        <w:t>tes,</w:t>
      </w:r>
      <w:r w:rsidR="005F2231" w:rsidRPr="00F7548C">
        <w:rPr>
          <w:rFonts w:ascii="ITC Avant Garde" w:eastAsia="Arial" w:hAnsi="ITC Avant Garde" w:cs="Arial"/>
          <w:sz w:val="22"/>
          <w:szCs w:val="22"/>
        </w:rPr>
        <w:t xml:space="preserve"> </w:t>
      </w:r>
      <w:r w:rsidRPr="00F7548C">
        <w:rPr>
          <w:rFonts w:ascii="ITC Avant Garde" w:eastAsia="Arial" w:hAnsi="ITC Avant Garde" w:cs="Arial"/>
          <w:sz w:val="22"/>
          <w:szCs w:val="22"/>
        </w:rPr>
        <w:t xml:space="preserve">y </w:t>
      </w:r>
      <w:r w:rsidR="005F2231" w:rsidRPr="00F7548C">
        <w:rPr>
          <w:rFonts w:ascii="ITC Avant Garde" w:eastAsia="Arial" w:hAnsi="ITC Avant Garde" w:cs="Arial"/>
          <w:sz w:val="22"/>
          <w:szCs w:val="22"/>
        </w:rPr>
        <w:t>un tercer designado p</w:t>
      </w:r>
      <w:r w:rsidRPr="00F7548C">
        <w:rPr>
          <w:rFonts w:ascii="ITC Avant Garde" w:eastAsia="Arial" w:hAnsi="ITC Avant Garde" w:cs="Arial"/>
          <w:sz w:val="22"/>
          <w:szCs w:val="22"/>
        </w:rPr>
        <w:t>or ambas</w:t>
      </w:r>
      <w:r w:rsidR="005F2231" w:rsidRPr="00F7548C">
        <w:rPr>
          <w:rFonts w:ascii="ITC Avant Garde" w:eastAsia="Arial" w:hAnsi="ITC Avant Garde" w:cs="Arial"/>
          <w:sz w:val="22"/>
          <w:szCs w:val="22"/>
        </w:rPr>
        <w:t>.</w:t>
      </w:r>
    </w:p>
    <w:p w14:paraId="0645C688" w14:textId="77777777" w:rsidR="00586826" w:rsidRPr="00F7548C" w:rsidRDefault="00586826" w:rsidP="00233507">
      <w:pPr>
        <w:tabs>
          <w:tab w:val="num" w:pos="1220"/>
          <w:tab w:val="num" w:pos="1940"/>
        </w:tabs>
        <w:spacing w:line="276" w:lineRule="auto"/>
        <w:jc w:val="both"/>
        <w:rPr>
          <w:rFonts w:ascii="ITC Avant Garde" w:eastAsia="Arial" w:hAnsi="ITC Avant Garde" w:cs="Arial"/>
          <w:sz w:val="22"/>
          <w:szCs w:val="22"/>
        </w:rPr>
      </w:pPr>
    </w:p>
    <w:p w14:paraId="1CAD7D31" w14:textId="558EC766" w:rsidR="00401941" w:rsidRPr="00F7548C" w:rsidRDefault="001631ED">
      <w:pPr>
        <w:tabs>
          <w:tab w:val="num" w:pos="1220"/>
          <w:tab w:val="num" w:pos="1940"/>
        </w:tabs>
        <w:spacing w:line="276" w:lineRule="auto"/>
        <w:jc w:val="both"/>
        <w:rPr>
          <w:rFonts w:ascii="ITC Avant Garde" w:eastAsia="Arial" w:hAnsi="ITC Avant Garde" w:cs="Arial"/>
          <w:sz w:val="22"/>
          <w:szCs w:val="22"/>
          <w:lang w:val="es-ES_tradnl"/>
        </w:rPr>
      </w:pPr>
      <w:r>
        <w:rPr>
          <w:rFonts w:ascii="ITC Avant Garde" w:eastAsia="Arial" w:hAnsi="ITC Avant Garde" w:cs="Arial"/>
          <w:sz w:val="22"/>
          <w:szCs w:val="22"/>
        </w:rPr>
        <w:lastRenderedPageBreak/>
        <w:t xml:space="preserve">Para ofrecer certeza jurídica, en los </w:t>
      </w:r>
      <w:r w:rsidR="005F2231" w:rsidRPr="00F7548C">
        <w:rPr>
          <w:rFonts w:ascii="ITC Avant Garde" w:eastAsia="Arial" w:hAnsi="ITC Avant Garde" w:cs="Arial"/>
          <w:sz w:val="22"/>
          <w:szCs w:val="22"/>
        </w:rPr>
        <w:t>convenios</w:t>
      </w:r>
      <w:r w:rsidR="00823DAB" w:rsidRPr="00F7548C">
        <w:rPr>
          <w:rFonts w:ascii="ITC Avant Garde" w:eastAsia="Arial" w:hAnsi="ITC Avant Garde" w:cs="Arial"/>
          <w:sz w:val="22"/>
          <w:szCs w:val="22"/>
        </w:rPr>
        <w:t xml:space="preserve"> se </w:t>
      </w:r>
      <w:r>
        <w:rPr>
          <w:rFonts w:ascii="ITC Avant Garde" w:eastAsia="Arial" w:hAnsi="ITC Avant Garde" w:cs="Arial"/>
          <w:sz w:val="22"/>
          <w:szCs w:val="22"/>
        </w:rPr>
        <w:t xml:space="preserve">deben </w:t>
      </w:r>
      <w:r w:rsidR="00823DAB" w:rsidRPr="00F7548C">
        <w:rPr>
          <w:rFonts w:ascii="ITC Avant Garde" w:eastAsia="Arial" w:hAnsi="ITC Avant Garde" w:cs="Arial"/>
          <w:sz w:val="22"/>
          <w:szCs w:val="22"/>
        </w:rPr>
        <w:t>establece</w:t>
      </w:r>
      <w:r>
        <w:rPr>
          <w:rFonts w:ascii="ITC Avant Garde" w:eastAsia="Arial" w:hAnsi="ITC Avant Garde" w:cs="Arial"/>
          <w:sz w:val="22"/>
          <w:szCs w:val="22"/>
        </w:rPr>
        <w:t>r</w:t>
      </w:r>
      <w:r w:rsidR="00823DAB" w:rsidRPr="00F7548C">
        <w:rPr>
          <w:rFonts w:ascii="ITC Avant Garde" w:eastAsia="Arial" w:hAnsi="ITC Avant Garde" w:cs="Arial"/>
          <w:sz w:val="22"/>
          <w:szCs w:val="22"/>
        </w:rPr>
        <w:t xml:space="preserve"> las condiciones</w:t>
      </w:r>
      <w:r w:rsidR="005F2231" w:rsidRPr="00F7548C">
        <w:rPr>
          <w:rFonts w:ascii="ITC Avant Garde" w:eastAsia="Arial" w:hAnsi="ITC Avant Garde" w:cs="Arial"/>
          <w:sz w:val="22"/>
          <w:szCs w:val="22"/>
        </w:rPr>
        <w:t xml:space="preserve"> técnicas y económicas </w:t>
      </w:r>
      <w:r w:rsidR="00823DAB" w:rsidRPr="00F7548C">
        <w:rPr>
          <w:rFonts w:ascii="ITC Avant Garde" w:eastAsia="Arial" w:hAnsi="ITC Avant Garde" w:cs="Arial"/>
          <w:sz w:val="22"/>
          <w:szCs w:val="22"/>
        </w:rPr>
        <w:t xml:space="preserve">mínimas </w:t>
      </w:r>
      <w:r w:rsidR="001E6157" w:rsidRPr="00F7548C">
        <w:rPr>
          <w:rFonts w:ascii="ITC Avant Garde" w:eastAsia="Arial" w:hAnsi="ITC Avant Garde" w:cs="Arial"/>
          <w:sz w:val="22"/>
          <w:szCs w:val="22"/>
        </w:rPr>
        <w:t>relativas a las</w:t>
      </w:r>
      <w:r w:rsidR="00C672E2" w:rsidRPr="00F7548C">
        <w:rPr>
          <w:rFonts w:ascii="ITC Avant Garde" w:eastAsia="Arial" w:hAnsi="ITC Avant Garde" w:cs="Arial"/>
          <w:sz w:val="22"/>
          <w:szCs w:val="22"/>
        </w:rPr>
        <w:t xml:space="preserve"> operaciones</w:t>
      </w:r>
      <w:r w:rsidR="001E6157" w:rsidRPr="00F7548C">
        <w:rPr>
          <w:rFonts w:ascii="ITC Avant Garde" w:eastAsia="Arial" w:hAnsi="ITC Avant Garde" w:cs="Arial"/>
          <w:sz w:val="22"/>
          <w:szCs w:val="22"/>
        </w:rPr>
        <w:t xml:space="preserve"> entre las partes</w:t>
      </w:r>
      <w:r w:rsidR="00C672E2" w:rsidRPr="00F7548C">
        <w:rPr>
          <w:rFonts w:ascii="ITC Avant Garde" w:eastAsia="Arial" w:hAnsi="ITC Avant Garde" w:cs="Arial"/>
          <w:sz w:val="22"/>
          <w:szCs w:val="22"/>
        </w:rPr>
        <w:t>, tales como las</w:t>
      </w:r>
      <w:r w:rsidR="00233507" w:rsidRPr="00F7548C">
        <w:rPr>
          <w:rFonts w:ascii="ITC Avant Garde" w:eastAsia="Arial" w:hAnsi="ITC Avant Garde" w:cs="Arial"/>
          <w:sz w:val="22"/>
          <w:szCs w:val="22"/>
        </w:rPr>
        <w:t xml:space="preserve"> solicit</w:t>
      </w:r>
      <w:r w:rsidR="00C672E2" w:rsidRPr="00F7548C">
        <w:rPr>
          <w:rFonts w:ascii="ITC Avant Garde" w:eastAsia="Arial" w:hAnsi="ITC Avant Garde" w:cs="Arial"/>
          <w:sz w:val="22"/>
          <w:szCs w:val="22"/>
        </w:rPr>
        <w:t>udes de acceso,</w:t>
      </w:r>
      <w:r w:rsidR="00C672E2" w:rsidRPr="00F7548C" w:rsidDel="00C672E2">
        <w:rPr>
          <w:rFonts w:ascii="ITC Avant Garde" w:eastAsia="Arial" w:hAnsi="ITC Avant Garde" w:cs="Arial"/>
          <w:sz w:val="22"/>
          <w:szCs w:val="22"/>
        </w:rPr>
        <w:t xml:space="preserve"> </w:t>
      </w:r>
      <w:r w:rsidR="00B3255F" w:rsidRPr="00F7548C">
        <w:rPr>
          <w:rFonts w:ascii="ITC Avant Garde" w:eastAsia="Arial" w:hAnsi="ITC Avant Garde" w:cs="Arial"/>
          <w:sz w:val="22"/>
          <w:szCs w:val="22"/>
        </w:rPr>
        <w:t>plazos y procedimi</w:t>
      </w:r>
      <w:r w:rsidR="00966EFB" w:rsidRPr="00F7548C">
        <w:rPr>
          <w:rFonts w:ascii="ITC Avant Garde" w:eastAsia="Arial" w:hAnsi="ITC Avant Garde" w:cs="Arial"/>
          <w:sz w:val="22"/>
          <w:szCs w:val="22"/>
        </w:rPr>
        <w:t>e</w:t>
      </w:r>
      <w:r w:rsidR="00B3255F" w:rsidRPr="00F7548C">
        <w:rPr>
          <w:rFonts w:ascii="ITC Avant Garde" w:eastAsia="Arial" w:hAnsi="ITC Avant Garde" w:cs="Arial"/>
          <w:sz w:val="22"/>
          <w:szCs w:val="22"/>
        </w:rPr>
        <w:t>ntos para la entrega de servicios</w:t>
      </w:r>
      <w:r w:rsidR="00C672E2" w:rsidRPr="00F7548C">
        <w:rPr>
          <w:rFonts w:ascii="ITC Avant Garde" w:eastAsia="Arial" w:hAnsi="ITC Avant Garde" w:cs="Arial"/>
          <w:sz w:val="22"/>
          <w:szCs w:val="22"/>
        </w:rPr>
        <w:t>,</w:t>
      </w:r>
      <w:r w:rsidR="00233507" w:rsidRPr="00F7548C">
        <w:rPr>
          <w:rFonts w:ascii="ITC Avant Garde" w:hAnsi="ITC Avant Garde"/>
          <w:bCs/>
          <w:sz w:val="22"/>
          <w:szCs w:val="22"/>
        </w:rPr>
        <w:t xml:space="preserve"> mantenimiento,</w:t>
      </w:r>
      <w:r w:rsidR="00C672E2" w:rsidRPr="00F7548C">
        <w:rPr>
          <w:rFonts w:ascii="ITC Avant Garde" w:hAnsi="ITC Avant Garde"/>
          <w:bCs/>
          <w:sz w:val="22"/>
          <w:szCs w:val="22"/>
        </w:rPr>
        <w:t xml:space="preserve"> </w:t>
      </w:r>
      <w:r w:rsidR="00233507" w:rsidRPr="00F7548C">
        <w:rPr>
          <w:rFonts w:ascii="ITC Avant Garde" w:hAnsi="ITC Avant Garde"/>
          <w:bCs/>
          <w:sz w:val="22"/>
          <w:szCs w:val="22"/>
        </w:rPr>
        <w:t xml:space="preserve">modificaciones y ampliaciones de la infraestructura, </w:t>
      </w:r>
      <w:r w:rsidR="00B3255F" w:rsidRPr="00F7548C">
        <w:rPr>
          <w:rFonts w:ascii="ITC Avant Garde" w:hAnsi="ITC Avant Garde"/>
          <w:bCs/>
          <w:sz w:val="22"/>
          <w:szCs w:val="22"/>
        </w:rPr>
        <w:t xml:space="preserve">mecanismos para acceder a información actualizada, </w:t>
      </w:r>
      <w:r w:rsidR="00233507" w:rsidRPr="00F7548C">
        <w:rPr>
          <w:rFonts w:ascii="ITC Avant Garde" w:hAnsi="ITC Avant Garde"/>
          <w:bCs/>
          <w:sz w:val="22"/>
          <w:szCs w:val="22"/>
        </w:rPr>
        <w:t>garantías, multas, penalidades aplicables</w:t>
      </w:r>
      <w:r w:rsidR="00B3255F" w:rsidRPr="00F7548C">
        <w:rPr>
          <w:rFonts w:ascii="ITC Avant Garde" w:hAnsi="ITC Avant Garde"/>
          <w:bCs/>
          <w:sz w:val="22"/>
          <w:szCs w:val="22"/>
        </w:rPr>
        <w:t xml:space="preserve">, </w:t>
      </w:r>
      <w:r w:rsidR="00233507" w:rsidRPr="00F7548C">
        <w:rPr>
          <w:rFonts w:ascii="ITC Avant Garde" w:eastAsia="Arial" w:hAnsi="ITC Avant Garde" w:cs="Arial"/>
          <w:sz w:val="22"/>
          <w:szCs w:val="22"/>
        </w:rPr>
        <w:t>resolución de fallas e incidencias</w:t>
      </w:r>
      <w:r w:rsidR="00966EFB" w:rsidRPr="00F7548C">
        <w:rPr>
          <w:rFonts w:ascii="ITC Avant Garde" w:eastAsia="Arial" w:hAnsi="ITC Avant Garde" w:cs="Arial"/>
          <w:sz w:val="22"/>
          <w:szCs w:val="22"/>
        </w:rPr>
        <w:t>, entre otros.</w:t>
      </w:r>
      <w:r w:rsidR="000973DD" w:rsidRPr="00F7548C">
        <w:rPr>
          <w:rFonts w:ascii="ITC Avant Garde" w:eastAsia="Arial" w:hAnsi="ITC Avant Garde" w:cs="Arial"/>
          <w:sz w:val="22"/>
          <w:szCs w:val="22"/>
        </w:rPr>
        <w:t xml:space="preserve"> </w:t>
      </w:r>
    </w:p>
    <w:p w14:paraId="61E1C946" w14:textId="77777777" w:rsidR="003B7896" w:rsidRPr="00F7548C" w:rsidRDefault="003B7896" w:rsidP="00233507">
      <w:pPr>
        <w:tabs>
          <w:tab w:val="num" w:pos="1220"/>
          <w:tab w:val="num" w:pos="1940"/>
        </w:tabs>
        <w:spacing w:line="276" w:lineRule="auto"/>
        <w:jc w:val="both"/>
        <w:rPr>
          <w:rFonts w:ascii="ITC Avant Garde" w:eastAsia="Arial" w:hAnsi="ITC Avant Garde" w:cs="Arial"/>
          <w:sz w:val="22"/>
          <w:szCs w:val="22"/>
          <w:lang w:val="es-ES_tradnl"/>
        </w:rPr>
      </w:pPr>
    </w:p>
    <w:p w14:paraId="16E1DA15" w14:textId="77777777" w:rsidR="001631ED" w:rsidRDefault="00823DAB"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 xml:space="preserve">Parte de la razonabilidad para que agentes económicos </w:t>
      </w:r>
      <w:r w:rsidR="00FE0FFB" w:rsidRPr="00F7548C">
        <w:rPr>
          <w:rFonts w:ascii="ITC Avant Garde" w:eastAsia="Arial" w:hAnsi="ITC Avant Garde" w:cs="Arial"/>
          <w:sz w:val="22"/>
          <w:szCs w:val="22"/>
          <w:lang w:val="es-ES_tradnl"/>
        </w:rPr>
        <w:t>de</w:t>
      </w:r>
      <w:r w:rsidRPr="00F7548C">
        <w:rPr>
          <w:rFonts w:ascii="ITC Avant Garde" w:eastAsia="Arial" w:hAnsi="ITC Avant Garde" w:cs="Arial"/>
          <w:sz w:val="22"/>
          <w:szCs w:val="22"/>
          <w:lang w:val="es-ES_tradnl"/>
        </w:rPr>
        <w:t xml:space="preserve"> dos industrias diferentes compartan una misma infraestructura, es que puedan adjudicarse de manera proporcional los costos de mantenimiento </w:t>
      </w:r>
      <w:r w:rsidR="001E6157" w:rsidRPr="00F7548C">
        <w:rPr>
          <w:rFonts w:ascii="ITC Avant Garde" w:eastAsia="Arial" w:hAnsi="ITC Avant Garde" w:cs="Arial"/>
          <w:sz w:val="22"/>
          <w:szCs w:val="22"/>
          <w:lang w:val="es-ES_tradnl"/>
        </w:rPr>
        <w:t>de aquellos</w:t>
      </w:r>
      <w:r w:rsidRPr="00F7548C">
        <w:rPr>
          <w:rFonts w:ascii="ITC Avant Garde" w:eastAsia="Arial" w:hAnsi="ITC Avant Garde" w:cs="Arial"/>
          <w:sz w:val="22"/>
          <w:szCs w:val="22"/>
          <w:lang w:val="es-ES_tradnl"/>
        </w:rPr>
        <w:t xml:space="preserve"> elementos de infraestructura que se están aprovechando. </w:t>
      </w:r>
      <w:r w:rsidR="001E6157" w:rsidRPr="00F7548C">
        <w:rPr>
          <w:rFonts w:ascii="ITC Avant Garde" w:eastAsia="Arial" w:hAnsi="ITC Avant Garde" w:cs="Arial"/>
          <w:sz w:val="22"/>
          <w:szCs w:val="22"/>
          <w:lang w:val="es-ES_tradnl"/>
        </w:rPr>
        <w:t>Por lo anterior, resulta conveniente</w:t>
      </w:r>
      <w:r w:rsidR="00334EC1" w:rsidRPr="00F7548C">
        <w:rPr>
          <w:rFonts w:ascii="ITC Avant Garde" w:eastAsia="Arial" w:hAnsi="ITC Avant Garde" w:cs="Arial"/>
          <w:sz w:val="22"/>
          <w:szCs w:val="22"/>
          <w:lang w:val="es-ES_tradnl"/>
        </w:rPr>
        <w:t xml:space="preserve"> el pago de contraprestaciones por parte de Telecomunicaciones de México </w:t>
      </w:r>
      <w:r w:rsidR="001E6157" w:rsidRPr="00F7548C">
        <w:rPr>
          <w:rFonts w:ascii="ITC Avant Garde" w:eastAsia="Arial" w:hAnsi="ITC Avant Garde" w:cs="Arial"/>
          <w:sz w:val="22"/>
          <w:szCs w:val="22"/>
          <w:lang w:val="es-ES_tradnl"/>
        </w:rPr>
        <w:t>h</w:t>
      </w:r>
      <w:r w:rsidR="00334EC1" w:rsidRPr="00F7548C">
        <w:rPr>
          <w:rFonts w:ascii="ITC Avant Garde" w:eastAsia="Arial" w:hAnsi="ITC Avant Garde" w:cs="Arial"/>
          <w:sz w:val="22"/>
          <w:szCs w:val="22"/>
          <w:lang w:val="es-ES_tradnl"/>
        </w:rPr>
        <w:t>a</w:t>
      </w:r>
      <w:r w:rsidR="001E6157" w:rsidRPr="00F7548C">
        <w:rPr>
          <w:rFonts w:ascii="ITC Avant Garde" w:eastAsia="Arial" w:hAnsi="ITC Avant Garde" w:cs="Arial"/>
          <w:sz w:val="22"/>
          <w:szCs w:val="22"/>
          <w:lang w:val="es-ES_tradnl"/>
        </w:rPr>
        <w:t>cia</w:t>
      </w:r>
      <w:r w:rsidR="00334EC1" w:rsidRPr="00F7548C">
        <w:rPr>
          <w:rFonts w:ascii="ITC Avant Garde" w:eastAsia="Arial" w:hAnsi="ITC Avant Garde" w:cs="Arial"/>
          <w:sz w:val="22"/>
          <w:szCs w:val="22"/>
          <w:lang w:val="es-ES_tradnl"/>
        </w:rPr>
        <w:t xml:space="preserve"> CFE, </w:t>
      </w:r>
      <w:r w:rsidR="001E6157" w:rsidRPr="00F7548C">
        <w:rPr>
          <w:rFonts w:ascii="ITC Avant Garde" w:eastAsia="Arial" w:hAnsi="ITC Avant Garde" w:cs="Arial"/>
          <w:sz w:val="22"/>
          <w:szCs w:val="22"/>
          <w:lang w:val="es-ES_tradnl"/>
        </w:rPr>
        <w:t xml:space="preserve">con la finalidad de </w:t>
      </w:r>
      <w:r w:rsidR="007028D1" w:rsidRPr="00F7548C">
        <w:rPr>
          <w:rFonts w:ascii="ITC Avant Garde" w:eastAsia="Arial" w:hAnsi="ITC Avant Garde" w:cs="Arial"/>
          <w:sz w:val="22"/>
          <w:szCs w:val="22"/>
          <w:lang w:val="es-ES_tradnl"/>
        </w:rPr>
        <w:t xml:space="preserve">cubrir mantenimiento y gastos operativos asociados a la infraestructura compartida. </w:t>
      </w:r>
      <w:r w:rsidR="001631ED">
        <w:rPr>
          <w:rFonts w:ascii="ITC Avant Garde" w:eastAsia="Arial" w:hAnsi="ITC Avant Garde" w:cs="Arial"/>
          <w:sz w:val="22"/>
          <w:szCs w:val="22"/>
          <w:lang w:val="es-ES_tradnl"/>
        </w:rPr>
        <w:t xml:space="preserve">En este entendido, el artículo 72, segundo párrafo de la Ley de la Industria Eléctrica señala que: </w:t>
      </w:r>
    </w:p>
    <w:p w14:paraId="256E7B0F" w14:textId="77777777" w:rsidR="001631ED" w:rsidRDefault="001631ED" w:rsidP="00233507">
      <w:pPr>
        <w:tabs>
          <w:tab w:val="num" w:pos="1220"/>
          <w:tab w:val="num" w:pos="1940"/>
        </w:tabs>
        <w:spacing w:line="276" w:lineRule="auto"/>
        <w:jc w:val="both"/>
        <w:rPr>
          <w:rFonts w:ascii="ITC Avant Garde" w:eastAsia="Arial" w:hAnsi="ITC Avant Garde" w:cs="Arial"/>
          <w:sz w:val="22"/>
          <w:szCs w:val="22"/>
          <w:lang w:val="es-ES_tradnl"/>
        </w:rPr>
      </w:pPr>
    </w:p>
    <w:p w14:paraId="73DE6AF0" w14:textId="432A2E9B" w:rsidR="00387CB8" w:rsidRPr="005B2961" w:rsidRDefault="001631ED" w:rsidP="000F3A6D">
      <w:pPr>
        <w:tabs>
          <w:tab w:val="num" w:pos="1220"/>
          <w:tab w:val="num" w:pos="1940"/>
        </w:tabs>
        <w:spacing w:line="276" w:lineRule="auto"/>
        <w:ind w:left="708"/>
        <w:jc w:val="both"/>
        <w:rPr>
          <w:rFonts w:ascii="ITC Avant Garde" w:hAnsi="ITC Avant Garde"/>
          <w:bCs/>
          <w:sz w:val="22"/>
          <w:szCs w:val="22"/>
        </w:rPr>
      </w:pPr>
      <w:r w:rsidRPr="005B2961">
        <w:rPr>
          <w:rFonts w:ascii="ITC Avant Garde" w:eastAsia="Arial" w:hAnsi="ITC Avant Garde" w:cs="Arial"/>
          <w:sz w:val="20"/>
          <w:szCs w:val="22"/>
          <w:lang w:val="es-ES_tradnl"/>
        </w:rPr>
        <w:t xml:space="preserve">“En las instalaciones y derechos de vía de la infraestructura del Sistema Eléctrico Nacional </w:t>
      </w:r>
      <w:r w:rsidRPr="005B2961">
        <w:rPr>
          <w:rFonts w:ascii="ITC Avant Garde" w:eastAsia="Arial" w:hAnsi="ITC Avant Garde" w:cs="Arial"/>
          <w:b/>
          <w:sz w:val="20"/>
          <w:szCs w:val="22"/>
          <w:u w:val="single"/>
          <w:lang w:val="es-ES_tradnl"/>
        </w:rPr>
        <w:t>se permitirá el acceso al mayor número posible de prestadores de servicios públicos de industrias distintas a la eléctrica a cambio de una remuneración justa</w:t>
      </w:r>
      <w:r w:rsidRPr="005B2961">
        <w:rPr>
          <w:rFonts w:ascii="ITC Avant Garde" w:eastAsia="Arial" w:hAnsi="ITC Avant Garde" w:cs="Arial"/>
          <w:sz w:val="20"/>
          <w:szCs w:val="22"/>
          <w:lang w:val="es-ES_tradnl"/>
        </w:rPr>
        <w:t>, siempre que no se ponga en riesgo la seguridad y continuidad de la prestación de los servicios”.</w:t>
      </w:r>
      <w:r w:rsidR="00B37A14" w:rsidRPr="005B2961">
        <w:rPr>
          <w:rFonts w:ascii="ITC Avant Garde" w:eastAsia="Arial" w:hAnsi="ITC Avant Garde" w:cs="Arial"/>
          <w:sz w:val="20"/>
          <w:szCs w:val="22"/>
          <w:lang w:val="es-ES_tradnl"/>
        </w:rPr>
        <w:t xml:space="preserve"> (</w:t>
      </w:r>
      <w:proofErr w:type="gramStart"/>
      <w:r w:rsidR="00B37A14" w:rsidRPr="005B2961">
        <w:rPr>
          <w:rFonts w:ascii="ITC Avant Garde" w:eastAsia="Arial" w:hAnsi="ITC Avant Garde" w:cs="Arial"/>
          <w:sz w:val="20"/>
          <w:szCs w:val="22"/>
          <w:lang w:val="es-ES_tradnl"/>
        </w:rPr>
        <w:t>énfasis</w:t>
      </w:r>
      <w:proofErr w:type="gramEnd"/>
      <w:r w:rsidR="00B37A14" w:rsidRPr="005B2961">
        <w:rPr>
          <w:rFonts w:ascii="ITC Avant Garde" w:eastAsia="Arial" w:hAnsi="ITC Avant Garde" w:cs="Arial"/>
          <w:sz w:val="20"/>
          <w:szCs w:val="22"/>
          <w:lang w:val="es-ES_tradnl"/>
        </w:rPr>
        <w:t xml:space="preserve"> añadido)</w:t>
      </w:r>
    </w:p>
    <w:p w14:paraId="23B3EBC3" w14:textId="77777777" w:rsidR="003019C9" w:rsidRPr="00F7548C" w:rsidRDefault="003019C9" w:rsidP="00233507">
      <w:pPr>
        <w:tabs>
          <w:tab w:val="num" w:pos="1220"/>
          <w:tab w:val="num" w:pos="1940"/>
        </w:tabs>
        <w:spacing w:line="276" w:lineRule="auto"/>
        <w:jc w:val="both"/>
        <w:rPr>
          <w:rFonts w:ascii="ITC Avant Garde" w:eastAsia="Arial" w:hAnsi="ITC Avant Garde" w:cs="Arial"/>
          <w:sz w:val="22"/>
          <w:szCs w:val="22"/>
          <w:lang w:val="es-ES_tradnl"/>
        </w:rPr>
      </w:pPr>
    </w:p>
    <w:p w14:paraId="422BB05C" w14:textId="5A1AF4D6" w:rsidR="00277A17" w:rsidRPr="00F7548C" w:rsidRDefault="001E615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Ahora bien</w:t>
      </w:r>
      <w:r w:rsidR="00522752" w:rsidRPr="00F7548C">
        <w:rPr>
          <w:rFonts w:ascii="ITC Avant Garde" w:eastAsia="Arial" w:hAnsi="ITC Avant Garde" w:cs="Arial"/>
          <w:sz w:val="22"/>
          <w:szCs w:val="22"/>
          <w:lang w:val="es-ES_tradnl"/>
        </w:rPr>
        <w:t xml:space="preserve">, </w:t>
      </w:r>
      <w:r w:rsidR="00C85611" w:rsidRPr="00F7548C">
        <w:rPr>
          <w:rFonts w:ascii="ITC Avant Garde" w:eastAsia="Arial" w:hAnsi="ITC Avant Garde" w:cs="Arial"/>
          <w:sz w:val="22"/>
          <w:szCs w:val="22"/>
          <w:lang w:val="es-ES_tradnl"/>
        </w:rPr>
        <w:t xml:space="preserve">es posible que </w:t>
      </w:r>
      <w:r w:rsidR="005B4A22" w:rsidRPr="00F7548C">
        <w:rPr>
          <w:rFonts w:ascii="ITC Avant Garde" w:eastAsia="Arial" w:hAnsi="ITC Avant Garde" w:cs="Arial"/>
          <w:sz w:val="22"/>
          <w:szCs w:val="22"/>
          <w:lang w:val="es-ES_tradnl"/>
        </w:rPr>
        <w:t xml:space="preserve">Telecomunicaciones de México contrate o subcontrate con terceros </w:t>
      </w:r>
      <w:r w:rsidR="00C85611" w:rsidRPr="00F7548C">
        <w:rPr>
          <w:rFonts w:ascii="ITC Avant Garde" w:eastAsia="Arial" w:hAnsi="ITC Avant Garde" w:cs="Arial"/>
          <w:sz w:val="22"/>
          <w:szCs w:val="22"/>
          <w:lang w:val="es-ES_tradnl"/>
        </w:rPr>
        <w:t xml:space="preserve">las </w:t>
      </w:r>
      <w:r w:rsidR="005B4A22" w:rsidRPr="00F7548C">
        <w:rPr>
          <w:rFonts w:ascii="ITC Avant Garde" w:eastAsia="Arial" w:hAnsi="ITC Avant Garde" w:cs="Arial"/>
          <w:sz w:val="22"/>
          <w:szCs w:val="22"/>
          <w:lang w:val="es-ES_tradnl"/>
        </w:rPr>
        <w:t xml:space="preserve">actividades relacionadas con el </w:t>
      </w:r>
      <w:r w:rsidR="00C85611" w:rsidRPr="00F7548C">
        <w:rPr>
          <w:rFonts w:ascii="ITC Avant Garde" w:eastAsia="Arial" w:hAnsi="ITC Avant Garde" w:cs="Arial"/>
          <w:sz w:val="22"/>
          <w:szCs w:val="22"/>
          <w:lang w:val="es-ES_tradnl"/>
        </w:rPr>
        <w:t>A</w:t>
      </w:r>
      <w:r w:rsidR="005B4A22" w:rsidRPr="00F7548C">
        <w:rPr>
          <w:rFonts w:ascii="ITC Avant Garde" w:eastAsia="Arial" w:hAnsi="ITC Avant Garde" w:cs="Arial"/>
          <w:sz w:val="22"/>
          <w:szCs w:val="22"/>
          <w:lang w:val="es-ES_tradnl"/>
        </w:rPr>
        <w:t xml:space="preserve">cceso y </w:t>
      </w:r>
      <w:r w:rsidR="00C85611" w:rsidRPr="00F7548C">
        <w:rPr>
          <w:rFonts w:ascii="ITC Avant Garde" w:eastAsia="Arial" w:hAnsi="ITC Avant Garde" w:cs="Arial"/>
          <w:sz w:val="22"/>
          <w:szCs w:val="22"/>
          <w:lang w:val="es-ES_tradnl"/>
        </w:rPr>
        <w:t>U</w:t>
      </w:r>
      <w:r w:rsidR="005B4A22" w:rsidRPr="00F7548C">
        <w:rPr>
          <w:rFonts w:ascii="ITC Avant Garde" w:eastAsia="Arial" w:hAnsi="ITC Avant Garde" w:cs="Arial"/>
          <w:sz w:val="22"/>
          <w:szCs w:val="22"/>
          <w:lang w:val="es-ES_tradnl"/>
        </w:rPr>
        <w:t xml:space="preserve">so de </w:t>
      </w:r>
      <w:r w:rsidR="00C85611" w:rsidRPr="00F7548C">
        <w:rPr>
          <w:rFonts w:ascii="ITC Avant Garde" w:eastAsia="Arial" w:hAnsi="ITC Avant Garde" w:cs="Arial"/>
          <w:sz w:val="22"/>
          <w:szCs w:val="22"/>
          <w:lang w:val="es-ES_tradnl"/>
        </w:rPr>
        <w:t>I</w:t>
      </w:r>
      <w:r w:rsidR="005B4A22" w:rsidRPr="00F7548C">
        <w:rPr>
          <w:rFonts w:ascii="ITC Avant Garde" w:eastAsia="Arial" w:hAnsi="ITC Avant Garde" w:cs="Arial"/>
          <w:sz w:val="22"/>
          <w:szCs w:val="22"/>
          <w:lang w:val="es-ES_tradnl"/>
        </w:rPr>
        <w:t>nfraestructura,</w:t>
      </w:r>
      <w:r w:rsidR="00277A17" w:rsidRPr="00F7548C">
        <w:rPr>
          <w:rFonts w:ascii="ITC Avant Garde" w:eastAsia="Arial" w:hAnsi="ITC Avant Garde" w:cs="Arial"/>
          <w:sz w:val="22"/>
          <w:szCs w:val="22"/>
          <w:lang w:val="es-ES_tradnl"/>
        </w:rPr>
        <w:t xml:space="preserve"> </w:t>
      </w:r>
      <w:r w:rsidR="00C85611" w:rsidRPr="00F7548C">
        <w:rPr>
          <w:rFonts w:ascii="ITC Avant Garde" w:eastAsia="Arial" w:hAnsi="ITC Avant Garde" w:cs="Arial"/>
          <w:sz w:val="22"/>
          <w:szCs w:val="22"/>
          <w:lang w:val="es-ES_tradnl"/>
        </w:rPr>
        <w:t xml:space="preserve">y frente a este escenario debe establecerse que incluso un tercero contratado </w:t>
      </w:r>
      <w:r w:rsidR="00920897">
        <w:rPr>
          <w:rFonts w:ascii="ITC Avant Garde" w:eastAsia="Arial" w:hAnsi="ITC Avant Garde" w:cs="Arial"/>
          <w:sz w:val="22"/>
          <w:szCs w:val="22"/>
          <w:lang w:val="es-ES_tradnl"/>
        </w:rPr>
        <w:t>por Telecomunicaciones de México,</w:t>
      </w:r>
      <w:r w:rsidR="00C85611" w:rsidRPr="00F7548C">
        <w:rPr>
          <w:rFonts w:ascii="ITC Avant Garde" w:eastAsia="Arial" w:hAnsi="ITC Avant Garde" w:cs="Arial"/>
          <w:sz w:val="22"/>
          <w:szCs w:val="22"/>
          <w:lang w:val="es-ES_tradnl"/>
        </w:rPr>
        <w:t xml:space="preserve"> debe </w:t>
      </w:r>
      <w:r w:rsidR="00920897">
        <w:rPr>
          <w:rFonts w:ascii="ITC Avant Garde" w:eastAsia="Arial" w:hAnsi="ITC Avant Garde" w:cs="Arial"/>
          <w:sz w:val="22"/>
          <w:szCs w:val="22"/>
          <w:lang w:val="es-ES_tradnl"/>
        </w:rPr>
        <w:t xml:space="preserve">estar </w:t>
      </w:r>
      <w:r w:rsidR="00C85611" w:rsidRPr="00F7548C">
        <w:rPr>
          <w:rFonts w:ascii="ITC Avant Garde" w:eastAsia="Arial" w:hAnsi="ITC Avant Garde" w:cs="Arial"/>
          <w:sz w:val="22"/>
          <w:szCs w:val="22"/>
          <w:lang w:val="es-ES_tradnl"/>
        </w:rPr>
        <w:t>sujet</w:t>
      </w:r>
      <w:r w:rsidR="00920897">
        <w:rPr>
          <w:rFonts w:ascii="ITC Avant Garde" w:eastAsia="Arial" w:hAnsi="ITC Avant Garde" w:cs="Arial"/>
          <w:sz w:val="22"/>
          <w:szCs w:val="22"/>
          <w:lang w:val="es-ES_tradnl"/>
        </w:rPr>
        <w:t>o</w:t>
      </w:r>
      <w:r w:rsidR="00C85611" w:rsidRPr="00F7548C">
        <w:rPr>
          <w:rFonts w:ascii="ITC Avant Garde" w:eastAsia="Arial" w:hAnsi="ITC Avant Garde" w:cs="Arial"/>
          <w:sz w:val="22"/>
          <w:szCs w:val="22"/>
          <w:lang w:val="es-ES_tradnl"/>
        </w:rPr>
        <w:t xml:space="preserve"> a</w:t>
      </w:r>
      <w:r w:rsidR="00277A17" w:rsidRPr="00F7548C">
        <w:rPr>
          <w:rFonts w:ascii="ITC Avant Garde" w:eastAsia="Arial" w:hAnsi="ITC Avant Garde" w:cs="Arial"/>
          <w:sz w:val="22"/>
          <w:szCs w:val="22"/>
          <w:lang w:val="es-ES_tradnl"/>
        </w:rPr>
        <w:t xml:space="preserve">l cumplimiento de los términos contractuales con la CFE y demás disposiciones aplicables, por </w:t>
      </w:r>
      <w:r w:rsidR="00522752" w:rsidRPr="00F7548C">
        <w:rPr>
          <w:rFonts w:ascii="ITC Avant Garde" w:eastAsia="Arial" w:hAnsi="ITC Avant Garde" w:cs="Arial"/>
          <w:sz w:val="22"/>
          <w:szCs w:val="22"/>
          <w:lang w:val="es-ES_tradnl"/>
        </w:rPr>
        <w:t xml:space="preserve">lo que </w:t>
      </w:r>
      <w:r w:rsidR="005A6F95" w:rsidRPr="00F7548C">
        <w:rPr>
          <w:rFonts w:ascii="ITC Avant Garde" w:eastAsia="Arial" w:hAnsi="ITC Avant Garde" w:cs="Arial"/>
          <w:sz w:val="22"/>
          <w:szCs w:val="22"/>
          <w:lang w:val="es-ES_tradnl"/>
        </w:rPr>
        <w:t xml:space="preserve">Telecomunicaciones de México será obligado solidario de </w:t>
      </w:r>
      <w:r w:rsidR="00522752" w:rsidRPr="00F7548C">
        <w:rPr>
          <w:rFonts w:ascii="ITC Avant Garde" w:eastAsia="Arial" w:hAnsi="ITC Avant Garde" w:cs="Arial"/>
          <w:sz w:val="22"/>
          <w:szCs w:val="22"/>
          <w:lang w:val="es-ES_tradnl"/>
        </w:rPr>
        <w:t xml:space="preserve">cualquier </w:t>
      </w:r>
      <w:r w:rsidR="00C85611" w:rsidRPr="00F7548C">
        <w:rPr>
          <w:rFonts w:ascii="ITC Avant Garde" w:eastAsia="Arial" w:hAnsi="ITC Avant Garde" w:cs="Arial"/>
          <w:sz w:val="22"/>
          <w:szCs w:val="22"/>
          <w:lang w:val="es-ES_tradnl"/>
        </w:rPr>
        <w:t>incumplimiento por parte de</w:t>
      </w:r>
      <w:r w:rsidR="00410C90">
        <w:rPr>
          <w:rFonts w:ascii="ITC Avant Garde" w:eastAsia="Arial" w:hAnsi="ITC Avant Garde" w:cs="Arial"/>
          <w:sz w:val="22"/>
          <w:szCs w:val="22"/>
          <w:lang w:val="es-ES_tradnl"/>
        </w:rPr>
        <w:t xml:space="preserve"> </w:t>
      </w:r>
      <w:r w:rsidR="00C85611" w:rsidRPr="00F7548C">
        <w:rPr>
          <w:rFonts w:ascii="ITC Avant Garde" w:eastAsia="Arial" w:hAnsi="ITC Avant Garde" w:cs="Arial"/>
          <w:sz w:val="22"/>
          <w:szCs w:val="22"/>
          <w:lang w:val="es-ES_tradnl"/>
        </w:rPr>
        <w:t>l</w:t>
      </w:r>
      <w:r w:rsidR="00410C90">
        <w:rPr>
          <w:rFonts w:ascii="ITC Avant Garde" w:eastAsia="Arial" w:hAnsi="ITC Avant Garde" w:cs="Arial"/>
          <w:sz w:val="22"/>
          <w:szCs w:val="22"/>
          <w:lang w:val="es-ES_tradnl"/>
        </w:rPr>
        <w:t>os</w:t>
      </w:r>
      <w:r w:rsidR="00C85611" w:rsidRPr="00F7548C">
        <w:rPr>
          <w:rFonts w:ascii="ITC Avant Garde" w:eastAsia="Arial" w:hAnsi="ITC Avant Garde" w:cs="Arial"/>
          <w:sz w:val="22"/>
          <w:szCs w:val="22"/>
          <w:lang w:val="es-ES_tradnl"/>
        </w:rPr>
        <w:t xml:space="preserve"> tercero</w:t>
      </w:r>
      <w:r w:rsidR="00410C90">
        <w:rPr>
          <w:rFonts w:ascii="ITC Avant Garde" w:eastAsia="Arial" w:hAnsi="ITC Avant Garde" w:cs="Arial"/>
          <w:sz w:val="22"/>
          <w:szCs w:val="22"/>
          <w:lang w:val="es-ES_tradnl"/>
        </w:rPr>
        <w:t>s</w:t>
      </w:r>
      <w:r w:rsidR="00277A17" w:rsidRPr="00F7548C">
        <w:rPr>
          <w:rFonts w:ascii="ITC Avant Garde" w:eastAsia="Arial" w:hAnsi="ITC Avant Garde" w:cs="Arial"/>
          <w:sz w:val="22"/>
          <w:szCs w:val="22"/>
          <w:lang w:val="es-ES_tradnl"/>
        </w:rPr>
        <w:t>.</w:t>
      </w:r>
    </w:p>
    <w:p w14:paraId="0C6DC923" w14:textId="77777777" w:rsidR="008D4136" w:rsidRPr="00F7548C" w:rsidRDefault="008D4136" w:rsidP="00233507">
      <w:pPr>
        <w:tabs>
          <w:tab w:val="num" w:pos="1220"/>
          <w:tab w:val="num" w:pos="1940"/>
        </w:tabs>
        <w:spacing w:line="276" w:lineRule="auto"/>
        <w:jc w:val="both"/>
        <w:rPr>
          <w:rFonts w:ascii="ITC Avant Garde" w:eastAsia="Arial" w:hAnsi="ITC Avant Garde" w:cs="Arial"/>
          <w:sz w:val="22"/>
          <w:szCs w:val="22"/>
          <w:lang w:val="es-ES_tradnl"/>
        </w:rPr>
      </w:pPr>
    </w:p>
    <w:p w14:paraId="633C2C07" w14:textId="572F9832" w:rsidR="008D4136" w:rsidRPr="00F7548C" w:rsidRDefault="008F1FE0"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Por último, l</w:t>
      </w:r>
      <w:r w:rsidR="007671FD" w:rsidRPr="00F7548C">
        <w:rPr>
          <w:rFonts w:ascii="ITC Avant Garde" w:eastAsia="Arial" w:hAnsi="ITC Avant Garde" w:cs="Arial"/>
          <w:sz w:val="22"/>
          <w:szCs w:val="22"/>
          <w:lang w:val="es-ES_tradnl"/>
        </w:rPr>
        <w:t xml:space="preserve">a supervisión y verificación de los </w:t>
      </w:r>
      <w:r w:rsidR="00477124" w:rsidRPr="00F7548C">
        <w:rPr>
          <w:rFonts w:ascii="ITC Avant Garde" w:eastAsia="Arial" w:hAnsi="ITC Avant Garde" w:cs="Arial"/>
          <w:sz w:val="22"/>
          <w:szCs w:val="22"/>
          <w:lang w:val="es-ES_tradnl"/>
        </w:rPr>
        <w:t>L</w:t>
      </w:r>
      <w:r w:rsidR="007671FD" w:rsidRPr="00F7548C">
        <w:rPr>
          <w:rFonts w:ascii="ITC Avant Garde" w:eastAsia="Arial" w:hAnsi="ITC Avant Garde" w:cs="Arial"/>
          <w:sz w:val="22"/>
          <w:szCs w:val="22"/>
          <w:lang w:val="es-ES_tradnl"/>
        </w:rPr>
        <w:t>ineamientos requiere que el Instituto cuente con información</w:t>
      </w:r>
      <w:r w:rsidRPr="00F7548C">
        <w:rPr>
          <w:rFonts w:ascii="ITC Avant Garde" w:eastAsia="Arial" w:hAnsi="ITC Avant Garde" w:cs="Arial"/>
          <w:sz w:val="22"/>
          <w:szCs w:val="22"/>
          <w:lang w:val="es-ES_tradnl"/>
        </w:rPr>
        <w:t xml:space="preserve"> relacionada al acceso y uso de infraestructura</w:t>
      </w:r>
      <w:r w:rsidR="007671FD" w:rsidRPr="00F7548C">
        <w:rPr>
          <w:rFonts w:ascii="ITC Avant Garde" w:eastAsia="Arial" w:hAnsi="ITC Avant Garde" w:cs="Arial"/>
          <w:sz w:val="22"/>
          <w:szCs w:val="22"/>
          <w:lang w:val="es-ES_tradnl"/>
        </w:rPr>
        <w:t xml:space="preserve">, por lo </w:t>
      </w:r>
      <w:r w:rsidR="000D60D6" w:rsidRPr="00F7548C">
        <w:rPr>
          <w:rFonts w:ascii="ITC Avant Garde" w:eastAsia="Arial" w:hAnsi="ITC Avant Garde" w:cs="Arial"/>
          <w:sz w:val="22"/>
          <w:szCs w:val="22"/>
          <w:lang w:val="es-ES_tradnl"/>
        </w:rPr>
        <w:t xml:space="preserve">cual, </w:t>
      </w:r>
      <w:r w:rsidR="001E6157" w:rsidRPr="00F7548C">
        <w:rPr>
          <w:rFonts w:ascii="ITC Avant Garde" w:eastAsia="Arial" w:hAnsi="ITC Avant Garde" w:cs="Arial"/>
          <w:sz w:val="22"/>
          <w:szCs w:val="22"/>
          <w:lang w:val="es-ES_tradnl"/>
        </w:rPr>
        <w:t xml:space="preserve">se contempla que existan una obligación específica </w:t>
      </w:r>
      <w:r w:rsidR="00354DA8">
        <w:rPr>
          <w:rFonts w:ascii="ITC Avant Garde" w:eastAsia="Arial" w:hAnsi="ITC Avant Garde" w:cs="Arial"/>
          <w:sz w:val="22"/>
          <w:szCs w:val="22"/>
          <w:lang w:val="es-ES_tradnl"/>
        </w:rPr>
        <w:t xml:space="preserve">a CFE y Telecomunicaciones de México </w:t>
      </w:r>
      <w:r w:rsidR="001E6157" w:rsidRPr="00F7548C">
        <w:rPr>
          <w:rFonts w:ascii="ITC Avant Garde" w:eastAsia="Arial" w:hAnsi="ITC Avant Garde" w:cs="Arial"/>
          <w:sz w:val="22"/>
          <w:szCs w:val="22"/>
          <w:lang w:val="es-ES_tradnl"/>
        </w:rPr>
        <w:t>que permita al regulador, allegarse de todos los elementos para en su caso tomar decisiones, incluyendo la</w:t>
      </w:r>
      <w:r w:rsidR="00045A1C">
        <w:rPr>
          <w:rFonts w:ascii="ITC Avant Garde" w:eastAsia="Arial" w:hAnsi="ITC Avant Garde" w:cs="Arial"/>
          <w:sz w:val="22"/>
          <w:szCs w:val="22"/>
          <w:lang w:val="es-ES_tradnl"/>
        </w:rPr>
        <w:t xml:space="preserve">s relacionadas con la </w:t>
      </w:r>
      <w:r w:rsidR="001E6157" w:rsidRPr="00F7548C">
        <w:rPr>
          <w:rFonts w:ascii="ITC Avant Garde" w:eastAsia="Arial" w:hAnsi="ITC Avant Garde" w:cs="Arial"/>
          <w:sz w:val="22"/>
          <w:szCs w:val="22"/>
          <w:lang w:val="es-ES_tradnl"/>
        </w:rPr>
        <w:t>resoluci</w:t>
      </w:r>
      <w:r w:rsidR="00F52345" w:rsidRPr="00F7548C">
        <w:rPr>
          <w:rFonts w:ascii="ITC Avant Garde" w:eastAsia="Arial" w:hAnsi="ITC Avant Garde" w:cs="Arial"/>
          <w:sz w:val="22"/>
          <w:szCs w:val="22"/>
          <w:lang w:val="es-ES_tradnl"/>
        </w:rPr>
        <w:t>ón de desacuerdos entre las</w:t>
      </w:r>
      <w:r w:rsidR="001E6157" w:rsidRPr="00F7548C">
        <w:rPr>
          <w:rFonts w:ascii="ITC Avant Garde" w:eastAsia="Arial" w:hAnsi="ITC Avant Garde" w:cs="Arial"/>
          <w:sz w:val="22"/>
          <w:szCs w:val="22"/>
          <w:lang w:val="es-ES_tradnl"/>
        </w:rPr>
        <w:t xml:space="preserve"> partes involucradas.</w:t>
      </w:r>
    </w:p>
    <w:p w14:paraId="1D2A8CD1" w14:textId="2E1621F4" w:rsidR="00C75083" w:rsidRPr="00F7548C" w:rsidRDefault="00BC375A"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QUINTO</w:t>
      </w:r>
      <w:r w:rsidR="00C75083" w:rsidRPr="00F7548C">
        <w:rPr>
          <w:rFonts w:ascii="ITC Avant Garde" w:eastAsia="Arial" w:hAnsi="ITC Avant Garde" w:cs="Arial"/>
          <w:b/>
          <w:sz w:val="22"/>
          <w:szCs w:val="22"/>
          <w:lang w:val="es-ES_tradnl"/>
        </w:rPr>
        <w:t>.- Evidencia internacional de redes troncales de fibra óptica.</w:t>
      </w:r>
      <w:r w:rsidR="00C75083" w:rsidRPr="00F7548C">
        <w:rPr>
          <w:rFonts w:ascii="ITC Avant Garde" w:eastAsia="Arial" w:hAnsi="ITC Avant Garde" w:cs="Arial"/>
          <w:sz w:val="22"/>
          <w:szCs w:val="22"/>
          <w:lang w:val="es-ES_tradnl"/>
        </w:rPr>
        <w:t xml:space="preserve"> Gobiernos y reguladores han impulsado el desarrollo de redes de transporte de alta capacidad que permitan la integración de las distintas redes de acceso y que fomenten la </w:t>
      </w:r>
      <w:r w:rsidR="00C75083" w:rsidRPr="00F7548C">
        <w:rPr>
          <w:rFonts w:ascii="ITC Avant Garde" w:eastAsia="Arial" w:hAnsi="ITC Avant Garde" w:cs="Arial"/>
          <w:sz w:val="22"/>
          <w:szCs w:val="22"/>
          <w:lang w:val="es-ES_tradnl"/>
        </w:rPr>
        <w:lastRenderedPageBreak/>
        <w:t xml:space="preserve">convergencia de servicios de telecomunicaciones. </w:t>
      </w:r>
      <w:r w:rsidR="00FF66CA" w:rsidRPr="00F7548C">
        <w:rPr>
          <w:rFonts w:ascii="ITC Avant Garde" w:eastAsia="Arial" w:hAnsi="ITC Avant Garde" w:cs="Arial"/>
          <w:sz w:val="22"/>
          <w:szCs w:val="22"/>
          <w:lang w:val="es-ES_tradnl"/>
        </w:rPr>
        <w:t xml:space="preserve">Para </w:t>
      </w:r>
      <w:r w:rsidR="00FF66CA">
        <w:rPr>
          <w:rFonts w:ascii="ITC Avant Garde" w:eastAsia="Arial" w:hAnsi="ITC Avant Garde" w:cs="Arial"/>
          <w:sz w:val="22"/>
          <w:szCs w:val="22"/>
          <w:lang w:val="es-ES_tradnl"/>
        </w:rPr>
        <w:t xml:space="preserve">el desarrollo de </w:t>
      </w:r>
      <w:r w:rsidR="00FF66CA" w:rsidRPr="00F7548C">
        <w:rPr>
          <w:rFonts w:ascii="ITC Avant Garde" w:eastAsia="Arial" w:hAnsi="ITC Avant Garde" w:cs="Arial"/>
          <w:sz w:val="22"/>
          <w:szCs w:val="22"/>
          <w:lang w:val="es-ES_tradnl"/>
        </w:rPr>
        <w:t>estos proyectos de infraestructura se han canalizado recursos públicos.</w:t>
      </w:r>
      <w:r w:rsidR="00FF66CA">
        <w:rPr>
          <w:rFonts w:ascii="ITC Avant Garde" w:eastAsia="Arial" w:hAnsi="ITC Avant Garde" w:cs="Arial"/>
          <w:sz w:val="22"/>
          <w:szCs w:val="22"/>
          <w:lang w:val="es-ES_tradnl"/>
        </w:rPr>
        <w:t xml:space="preserve"> A continuación se resumen algunos proyectos análogos en otros países:</w:t>
      </w:r>
    </w:p>
    <w:p w14:paraId="0468F125" w14:textId="77777777" w:rsidR="00C75083" w:rsidRPr="00F7548C" w:rsidRDefault="00C75083" w:rsidP="00C75083">
      <w:pPr>
        <w:tabs>
          <w:tab w:val="num" w:pos="1220"/>
          <w:tab w:val="num" w:pos="1940"/>
        </w:tabs>
        <w:spacing w:line="276" w:lineRule="auto"/>
        <w:jc w:val="both"/>
        <w:rPr>
          <w:rFonts w:ascii="ITC Avant Garde" w:eastAsia="Arial" w:hAnsi="ITC Avant Garde" w:cs="Arial"/>
          <w:b/>
          <w:sz w:val="22"/>
          <w:szCs w:val="22"/>
          <w:lang w:val="es-ES_tradnl"/>
        </w:rPr>
      </w:pPr>
    </w:p>
    <w:p w14:paraId="48F7B9EF" w14:textId="066B507B" w:rsidR="00C75083" w:rsidRPr="00F7548C" w:rsidRDefault="000A1628"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5</w:t>
      </w:r>
      <w:r w:rsidR="00C75083" w:rsidRPr="00F7548C">
        <w:rPr>
          <w:rFonts w:ascii="ITC Avant Garde" w:eastAsia="Arial" w:hAnsi="ITC Avant Garde" w:cs="Arial"/>
          <w:b/>
          <w:sz w:val="22"/>
          <w:szCs w:val="22"/>
          <w:lang w:val="es-ES_tradnl"/>
        </w:rPr>
        <w:t>.1- Sudáfrica</w:t>
      </w:r>
      <w:r w:rsidR="00C75083" w:rsidRPr="00F7548C">
        <w:rPr>
          <w:rFonts w:ascii="ITC Avant Garde" w:eastAsia="Arial" w:hAnsi="ITC Avant Garde" w:cs="Arial"/>
          <w:sz w:val="22"/>
          <w:szCs w:val="22"/>
          <w:lang w:val="es-ES_tradnl"/>
        </w:rPr>
        <w:t>. En el 2009 la autoridad reguladora de Sudáfrica (</w:t>
      </w:r>
      <w:proofErr w:type="spellStart"/>
      <w:r w:rsidR="00C75083" w:rsidRPr="00F7548C">
        <w:rPr>
          <w:rFonts w:ascii="ITC Avant Garde" w:eastAsia="Arial" w:hAnsi="ITC Avant Garde" w:cs="Arial"/>
          <w:i/>
          <w:sz w:val="22"/>
          <w:szCs w:val="22"/>
          <w:lang w:val="es-ES_tradnl"/>
        </w:rPr>
        <w:t>Independent</w:t>
      </w:r>
      <w:proofErr w:type="spellEnd"/>
      <w:r w:rsidR="00C75083" w:rsidRPr="00F7548C">
        <w:rPr>
          <w:rFonts w:ascii="ITC Avant Garde" w:eastAsia="Arial" w:hAnsi="ITC Avant Garde" w:cs="Arial"/>
          <w:i/>
          <w:sz w:val="22"/>
          <w:szCs w:val="22"/>
          <w:lang w:val="es-ES_tradnl"/>
        </w:rPr>
        <w:t xml:space="preserve"> </w:t>
      </w:r>
      <w:proofErr w:type="spellStart"/>
      <w:r w:rsidR="00C75083" w:rsidRPr="00F7548C">
        <w:rPr>
          <w:rFonts w:ascii="ITC Avant Garde" w:eastAsia="Arial" w:hAnsi="ITC Avant Garde" w:cs="Arial"/>
          <w:i/>
          <w:sz w:val="22"/>
          <w:szCs w:val="22"/>
          <w:lang w:val="es-ES_tradnl"/>
        </w:rPr>
        <w:t>Communication</w:t>
      </w:r>
      <w:proofErr w:type="spellEnd"/>
      <w:r w:rsidR="00C75083" w:rsidRPr="00F7548C">
        <w:rPr>
          <w:rFonts w:ascii="ITC Avant Garde" w:eastAsia="Arial" w:hAnsi="ITC Avant Garde" w:cs="Arial"/>
          <w:i/>
          <w:sz w:val="22"/>
          <w:szCs w:val="22"/>
          <w:lang w:val="es-ES_tradnl"/>
        </w:rPr>
        <w:t xml:space="preserve"> </w:t>
      </w:r>
      <w:proofErr w:type="spellStart"/>
      <w:r w:rsidR="00C75083" w:rsidRPr="00F7548C">
        <w:rPr>
          <w:rFonts w:ascii="ITC Avant Garde" w:eastAsia="Arial" w:hAnsi="ITC Avant Garde" w:cs="Arial"/>
          <w:i/>
          <w:sz w:val="22"/>
          <w:szCs w:val="22"/>
          <w:lang w:val="es-ES_tradnl"/>
        </w:rPr>
        <w:t>Authority</w:t>
      </w:r>
      <w:proofErr w:type="spellEnd"/>
      <w:r w:rsidR="00C75083" w:rsidRPr="00F7548C">
        <w:rPr>
          <w:rFonts w:ascii="ITC Avant Garde" w:eastAsia="Arial" w:hAnsi="ITC Avant Garde" w:cs="Arial"/>
          <w:i/>
          <w:sz w:val="22"/>
          <w:szCs w:val="22"/>
          <w:lang w:val="es-ES_tradnl"/>
        </w:rPr>
        <w:t xml:space="preserve"> of South </w:t>
      </w:r>
      <w:proofErr w:type="spellStart"/>
      <w:r w:rsidR="00C75083" w:rsidRPr="00F7548C">
        <w:rPr>
          <w:rFonts w:ascii="ITC Avant Garde" w:eastAsia="Arial" w:hAnsi="ITC Avant Garde" w:cs="Arial"/>
          <w:i/>
          <w:sz w:val="22"/>
          <w:szCs w:val="22"/>
          <w:lang w:val="es-ES_tradnl"/>
        </w:rPr>
        <w:t>Africa</w:t>
      </w:r>
      <w:proofErr w:type="spellEnd"/>
      <w:r w:rsidR="00C75083" w:rsidRPr="00F7548C">
        <w:rPr>
          <w:rFonts w:ascii="ITC Avant Garde" w:eastAsia="Arial" w:hAnsi="ITC Avant Garde" w:cs="Arial"/>
          <w:sz w:val="22"/>
          <w:szCs w:val="22"/>
          <w:lang w:val="es-ES_tradnl"/>
        </w:rPr>
        <w:t>) estableció un conjunto de obligaciones al título de concesión de “</w:t>
      </w:r>
      <w:proofErr w:type="spellStart"/>
      <w:r w:rsidR="00C75083" w:rsidRPr="00F7548C">
        <w:rPr>
          <w:rFonts w:ascii="ITC Avant Garde" w:eastAsia="Arial" w:hAnsi="ITC Avant Garde" w:cs="Arial"/>
          <w:sz w:val="22"/>
          <w:szCs w:val="22"/>
          <w:lang w:val="es-ES_tradnl"/>
        </w:rPr>
        <w:t>Broadband</w:t>
      </w:r>
      <w:proofErr w:type="spellEnd"/>
      <w:r w:rsidR="00C75083" w:rsidRPr="00F7548C">
        <w:rPr>
          <w:rFonts w:ascii="ITC Avant Garde" w:eastAsia="Arial" w:hAnsi="ITC Avant Garde" w:cs="Arial"/>
          <w:sz w:val="22"/>
          <w:szCs w:val="22"/>
          <w:lang w:val="es-ES_tradnl"/>
        </w:rPr>
        <w:t xml:space="preserve"> </w:t>
      </w:r>
      <w:proofErr w:type="spellStart"/>
      <w:r w:rsidR="00C75083" w:rsidRPr="00F7548C">
        <w:rPr>
          <w:rFonts w:ascii="ITC Avant Garde" w:eastAsia="Arial" w:hAnsi="ITC Avant Garde" w:cs="Arial"/>
          <w:sz w:val="22"/>
          <w:szCs w:val="22"/>
          <w:lang w:val="es-ES_tradnl"/>
        </w:rPr>
        <w:t>Infraco</w:t>
      </w:r>
      <w:proofErr w:type="spellEnd"/>
      <w:r w:rsidR="00C75083" w:rsidRPr="00F7548C">
        <w:rPr>
          <w:rFonts w:ascii="ITC Avant Garde" w:eastAsia="Arial" w:hAnsi="ITC Avant Garde" w:cs="Arial"/>
          <w:sz w:val="22"/>
          <w:szCs w:val="22"/>
          <w:lang w:val="es-ES_tradnl"/>
        </w:rPr>
        <w:t xml:space="preserve"> </w:t>
      </w:r>
      <w:proofErr w:type="spellStart"/>
      <w:r w:rsidR="00C75083" w:rsidRPr="00F7548C">
        <w:rPr>
          <w:rFonts w:ascii="ITC Avant Garde" w:eastAsia="Arial" w:hAnsi="ITC Avant Garde" w:cs="Arial"/>
          <w:sz w:val="22"/>
          <w:szCs w:val="22"/>
          <w:lang w:val="es-ES_tradnl"/>
        </w:rPr>
        <w:t>Limited</w:t>
      </w:r>
      <w:proofErr w:type="spellEnd"/>
      <w:r w:rsidR="00C75083" w:rsidRPr="00F7548C">
        <w:rPr>
          <w:rFonts w:ascii="ITC Avant Garde" w:eastAsia="Arial" w:hAnsi="ITC Avant Garde" w:cs="Arial"/>
          <w:sz w:val="22"/>
          <w:szCs w:val="22"/>
          <w:lang w:val="es-ES_tradnl"/>
        </w:rPr>
        <w:t>” (empresa pública administrada por el Estado) para la red de fibra óptica, entre las que destacan:</w:t>
      </w:r>
    </w:p>
    <w:p w14:paraId="62A4E714" w14:textId="42F1B3D2" w:rsidR="00C75083" w:rsidRPr="00F7548C" w:rsidRDefault="00C75083" w:rsidP="000A1628">
      <w:pPr>
        <w:tabs>
          <w:tab w:val="left" w:pos="1220"/>
        </w:tabs>
        <w:spacing w:line="276" w:lineRule="auto"/>
        <w:jc w:val="both"/>
        <w:rPr>
          <w:rFonts w:ascii="ITC Avant Garde" w:eastAsia="Arial" w:hAnsi="ITC Avant Garde" w:cs="Arial"/>
          <w:sz w:val="22"/>
          <w:szCs w:val="22"/>
          <w:lang w:val="es-ES_tradnl"/>
        </w:rPr>
      </w:pPr>
    </w:p>
    <w:p w14:paraId="29C36DFF" w14:textId="77777777" w:rsidR="00C75083" w:rsidRPr="00F7548C" w:rsidRDefault="00C75083" w:rsidP="005B2961">
      <w:pPr>
        <w:pStyle w:val="Prrafodelista"/>
        <w:numPr>
          <w:ilvl w:val="0"/>
          <w:numId w:val="34"/>
        </w:numPr>
        <w:spacing w:before="240" w:line="276" w:lineRule="auto"/>
        <w:ind w:left="1068"/>
        <w:jc w:val="both"/>
        <w:rPr>
          <w:rFonts w:ascii="ITC Avant Garde" w:eastAsia="Arial" w:hAnsi="ITC Avant Garde" w:cs="Arial"/>
          <w:sz w:val="22"/>
          <w:szCs w:val="22"/>
        </w:rPr>
      </w:pPr>
      <w:r w:rsidRPr="00F7548C">
        <w:rPr>
          <w:rFonts w:ascii="ITC Avant Garde" w:eastAsia="Arial" w:hAnsi="ITC Avant Garde" w:cs="Arial"/>
          <w:sz w:val="22"/>
          <w:szCs w:val="22"/>
        </w:rPr>
        <w:t>Despliegue de red. Se contempla el crecimiento de fibra óptica, puntos de presencia, interconexión con países vecinos y otros elementos con base en un calendario aprobado por el regulador.</w:t>
      </w:r>
    </w:p>
    <w:p w14:paraId="495F9804" w14:textId="77777777" w:rsidR="00C75083" w:rsidRPr="00F7548C" w:rsidRDefault="00C75083" w:rsidP="005B2961">
      <w:pPr>
        <w:pStyle w:val="Prrafodelista"/>
        <w:numPr>
          <w:ilvl w:val="0"/>
          <w:numId w:val="34"/>
        </w:numPr>
        <w:spacing w:before="240" w:line="276" w:lineRule="auto"/>
        <w:ind w:left="1068"/>
        <w:jc w:val="both"/>
        <w:rPr>
          <w:rFonts w:ascii="ITC Avant Garde" w:eastAsia="Arial" w:hAnsi="ITC Avant Garde" w:cs="Arial"/>
          <w:sz w:val="22"/>
          <w:szCs w:val="22"/>
        </w:rPr>
      </w:pPr>
      <w:r w:rsidRPr="00F7548C">
        <w:rPr>
          <w:rFonts w:ascii="ITC Avant Garde" w:eastAsia="Arial" w:hAnsi="ITC Avant Garde" w:cs="Arial"/>
          <w:sz w:val="22"/>
          <w:szCs w:val="22"/>
        </w:rPr>
        <w:t xml:space="preserve">Acceso universal. Se establecen los distritos o áreas donde el concesionario deberá tener puntos de presencia antes de cumplir ciertos plazos definidos. </w:t>
      </w:r>
    </w:p>
    <w:p w14:paraId="7357BD1F" w14:textId="77777777" w:rsidR="00C75083" w:rsidRPr="00F7548C" w:rsidRDefault="00C75083" w:rsidP="005B2961">
      <w:pPr>
        <w:pStyle w:val="Prrafodelista"/>
        <w:numPr>
          <w:ilvl w:val="0"/>
          <w:numId w:val="34"/>
        </w:numPr>
        <w:spacing w:before="240" w:line="276" w:lineRule="auto"/>
        <w:ind w:left="1068"/>
        <w:jc w:val="both"/>
        <w:rPr>
          <w:rFonts w:ascii="ITC Avant Garde" w:eastAsia="Arial" w:hAnsi="ITC Avant Garde" w:cs="Arial"/>
          <w:sz w:val="22"/>
          <w:szCs w:val="22"/>
        </w:rPr>
      </w:pPr>
      <w:r w:rsidRPr="00F7548C">
        <w:rPr>
          <w:rFonts w:ascii="ITC Avant Garde" w:eastAsia="Arial" w:hAnsi="ITC Avant Garde" w:cs="Arial"/>
          <w:sz w:val="22"/>
          <w:szCs w:val="22"/>
        </w:rPr>
        <w:t>Plan de implementación. El concesionario debe presentar a la autoridad regulatoria un plan de implementación que es parte de su título de concesión, dicho plan incluye la localización de los puntos de presencia por instalar.</w:t>
      </w:r>
    </w:p>
    <w:p w14:paraId="07FF4F24" w14:textId="77777777" w:rsidR="00C75083" w:rsidRPr="00F7548C" w:rsidRDefault="00C75083" w:rsidP="005B2961">
      <w:pPr>
        <w:pStyle w:val="Prrafodelista"/>
        <w:spacing w:before="240" w:line="276" w:lineRule="auto"/>
        <w:ind w:left="540"/>
        <w:contextualSpacing/>
        <w:jc w:val="both"/>
        <w:rPr>
          <w:rFonts w:ascii="ITC Avant Garde" w:hAnsi="ITC Avant Garde"/>
          <w:b/>
          <w:sz w:val="22"/>
          <w:szCs w:val="22"/>
        </w:rPr>
      </w:pPr>
    </w:p>
    <w:p w14:paraId="688BDBBC" w14:textId="0AE807BD" w:rsidR="00C75083" w:rsidRPr="00F7548C" w:rsidRDefault="000A1628" w:rsidP="000A1628">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5</w:t>
      </w:r>
      <w:r w:rsidR="00C75083" w:rsidRPr="00F7548C">
        <w:rPr>
          <w:rFonts w:ascii="ITC Avant Garde" w:eastAsia="Arial" w:hAnsi="ITC Avant Garde" w:cs="Arial"/>
          <w:b/>
          <w:sz w:val="22"/>
          <w:szCs w:val="22"/>
          <w:lang w:val="es-ES_tradnl"/>
        </w:rPr>
        <w:t>.2- Colombia.</w:t>
      </w:r>
      <w:r w:rsidR="00C75083" w:rsidRPr="00F7548C">
        <w:rPr>
          <w:rFonts w:ascii="ITC Avant Garde" w:eastAsia="Arial" w:hAnsi="ITC Avant Garde" w:cs="Arial"/>
          <w:sz w:val="22"/>
          <w:szCs w:val="22"/>
          <w:lang w:val="es-ES_tradnl"/>
        </w:rPr>
        <w:t xml:space="preserve"> El Ministerio de Tecnologías de la Información y las Comunicaciones (MINTIC) de Colombia estableció obligaciones al concesionario que se adjudicó el “Proyecto Nacional de Fibra Óptica” relativas a la planeación, diseño, instalación, puesta en servicio, administración, operación y mantenimiento de la red de transporte óptico. Se establecieron las siguientes obligaciones para orientar la expansión de la infraestructura de fibra óptica:</w:t>
      </w:r>
    </w:p>
    <w:p w14:paraId="5879BC52" w14:textId="77777777" w:rsidR="00C75083" w:rsidRPr="00F7548C" w:rsidRDefault="00C75083" w:rsidP="000A1628">
      <w:pPr>
        <w:spacing w:line="276" w:lineRule="auto"/>
        <w:ind w:left="360"/>
        <w:jc w:val="both"/>
        <w:rPr>
          <w:rFonts w:ascii="ITC Avant Garde" w:hAnsi="ITC Avant Garde"/>
          <w:sz w:val="22"/>
          <w:szCs w:val="22"/>
          <w:lang w:val="es-ES_tradnl" w:eastAsia="es-ES"/>
        </w:rPr>
      </w:pPr>
    </w:p>
    <w:p w14:paraId="513A8DC0" w14:textId="77777777" w:rsidR="00C75083" w:rsidRPr="00F7548C" w:rsidRDefault="00C75083" w:rsidP="000A1628">
      <w:pPr>
        <w:pStyle w:val="Prrafodelista"/>
        <w:numPr>
          <w:ilvl w:val="0"/>
          <w:numId w:val="35"/>
        </w:numPr>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Cobertura. Alcanzar al menos 700 municipios conectados por fibra.</w:t>
      </w:r>
    </w:p>
    <w:p w14:paraId="4E5CD12C" w14:textId="77777777" w:rsidR="00C75083" w:rsidRPr="00F7548C" w:rsidRDefault="00C75083" w:rsidP="000A1628">
      <w:pPr>
        <w:pStyle w:val="Prrafodelista"/>
        <w:numPr>
          <w:ilvl w:val="0"/>
          <w:numId w:val="35"/>
        </w:numPr>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Infraestructura:</w:t>
      </w:r>
    </w:p>
    <w:p w14:paraId="59D15754" w14:textId="77777777" w:rsidR="00C75083" w:rsidRPr="00F7548C" w:rsidRDefault="00C75083" w:rsidP="000A1628">
      <w:pPr>
        <w:pStyle w:val="Prrafodelista"/>
        <w:numPr>
          <w:ilvl w:val="0"/>
          <w:numId w:val="25"/>
        </w:numPr>
        <w:tabs>
          <w:tab w:val="num" w:pos="1916"/>
        </w:tabs>
        <w:spacing w:line="276" w:lineRule="auto"/>
        <w:ind w:left="1776"/>
        <w:jc w:val="both"/>
        <w:rPr>
          <w:rFonts w:ascii="ITC Avant Garde" w:eastAsia="Arial" w:hAnsi="ITC Avant Garde" w:cs="Arial"/>
          <w:sz w:val="22"/>
          <w:szCs w:val="22"/>
        </w:rPr>
      </w:pPr>
      <w:r w:rsidRPr="00F7548C">
        <w:rPr>
          <w:rFonts w:ascii="ITC Avant Garde" w:eastAsia="Arial" w:hAnsi="ITC Avant Garde" w:cs="Arial"/>
          <w:sz w:val="22"/>
          <w:szCs w:val="22"/>
        </w:rPr>
        <w:t>La infraestructura debe tener la capacidad de interconectarse con las redes actuales de fibra óptica, propias o de terceros.</w:t>
      </w:r>
    </w:p>
    <w:p w14:paraId="4F102342" w14:textId="77777777" w:rsidR="00C75083" w:rsidRPr="00F7548C" w:rsidRDefault="00C75083" w:rsidP="000A1628">
      <w:pPr>
        <w:pStyle w:val="Prrafodelista"/>
        <w:numPr>
          <w:ilvl w:val="0"/>
          <w:numId w:val="25"/>
        </w:numPr>
        <w:tabs>
          <w:tab w:val="num" w:pos="1916"/>
        </w:tabs>
        <w:spacing w:line="276" w:lineRule="auto"/>
        <w:ind w:left="1776"/>
        <w:jc w:val="both"/>
        <w:rPr>
          <w:rFonts w:ascii="ITC Avant Garde" w:eastAsia="Arial" w:hAnsi="ITC Avant Garde" w:cs="Arial"/>
          <w:sz w:val="22"/>
          <w:szCs w:val="22"/>
        </w:rPr>
      </w:pPr>
      <w:r w:rsidRPr="00F7548C">
        <w:rPr>
          <w:rFonts w:ascii="ITC Avant Garde" w:eastAsia="Arial" w:hAnsi="ITC Avant Garde" w:cs="Arial"/>
          <w:sz w:val="22"/>
          <w:szCs w:val="22"/>
        </w:rPr>
        <w:t xml:space="preserve">Se puede utilizar infraestructura de soporte nueva o existente, tales como infraestructura vial, eléctrica, férrea, de oleoductos o gasoductos. </w:t>
      </w:r>
    </w:p>
    <w:p w14:paraId="39256A7A" w14:textId="2221520D" w:rsidR="00C75083" w:rsidRPr="00F7548C" w:rsidRDefault="00C75083" w:rsidP="000A1628">
      <w:pPr>
        <w:pStyle w:val="Prrafodelista"/>
        <w:numPr>
          <w:ilvl w:val="0"/>
          <w:numId w:val="25"/>
        </w:numPr>
        <w:tabs>
          <w:tab w:val="num" w:pos="1916"/>
        </w:tabs>
        <w:spacing w:line="276" w:lineRule="auto"/>
        <w:ind w:left="1776"/>
        <w:jc w:val="both"/>
        <w:rPr>
          <w:rFonts w:ascii="ITC Avant Garde" w:eastAsia="Arial" w:hAnsi="ITC Avant Garde" w:cs="Arial"/>
          <w:sz w:val="22"/>
          <w:szCs w:val="22"/>
        </w:rPr>
      </w:pPr>
      <w:r w:rsidRPr="00F7548C">
        <w:rPr>
          <w:rFonts w:ascii="ITC Avant Garde" w:eastAsia="Arial" w:hAnsi="ITC Avant Garde" w:cs="Arial"/>
          <w:sz w:val="22"/>
          <w:szCs w:val="22"/>
        </w:rPr>
        <w:t xml:space="preserve">La tecnología e infraestructura a desplegar debe garantizar el cumplimiento de </w:t>
      </w:r>
      <w:r w:rsidR="00D370FB">
        <w:rPr>
          <w:rFonts w:ascii="ITC Avant Garde" w:eastAsia="Arial" w:hAnsi="ITC Avant Garde" w:cs="Arial"/>
          <w:sz w:val="22"/>
          <w:szCs w:val="22"/>
        </w:rPr>
        <w:t>parámetros</w:t>
      </w:r>
      <w:r w:rsidRPr="00F7548C">
        <w:rPr>
          <w:rFonts w:ascii="ITC Avant Garde" w:eastAsia="Arial" w:hAnsi="ITC Avant Garde" w:cs="Arial"/>
          <w:sz w:val="22"/>
          <w:szCs w:val="22"/>
        </w:rPr>
        <w:t xml:space="preserve"> de calidad y niveles de servicio exigidos. </w:t>
      </w:r>
    </w:p>
    <w:p w14:paraId="6B729971" w14:textId="77777777" w:rsidR="00C75083" w:rsidRPr="00F7548C" w:rsidRDefault="00C75083" w:rsidP="000A1628">
      <w:pPr>
        <w:pStyle w:val="Prrafodelista"/>
        <w:numPr>
          <w:ilvl w:val="0"/>
          <w:numId w:val="25"/>
        </w:numPr>
        <w:tabs>
          <w:tab w:val="num" w:pos="1916"/>
        </w:tabs>
        <w:spacing w:line="276" w:lineRule="auto"/>
        <w:ind w:left="1776"/>
        <w:jc w:val="both"/>
        <w:rPr>
          <w:rFonts w:ascii="ITC Avant Garde" w:eastAsia="Arial" w:hAnsi="ITC Avant Garde" w:cs="Arial"/>
          <w:sz w:val="22"/>
          <w:szCs w:val="22"/>
        </w:rPr>
      </w:pPr>
      <w:r w:rsidRPr="00F7548C">
        <w:rPr>
          <w:rFonts w:ascii="ITC Avant Garde" w:eastAsia="Arial" w:hAnsi="ITC Avant Garde" w:cs="Arial"/>
          <w:sz w:val="22"/>
          <w:szCs w:val="22"/>
        </w:rPr>
        <w:lastRenderedPageBreak/>
        <w:t xml:space="preserve">Se pueden utilizar redes propias y/o de terceros para la prestación de los servicios de telecomunicaciones. </w:t>
      </w:r>
    </w:p>
    <w:p w14:paraId="2506EF4C" w14:textId="77777777" w:rsidR="00C75083" w:rsidRPr="00F7548C" w:rsidRDefault="00C75083" w:rsidP="000A1628">
      <w:pPr>
        <w:pStyle w:val="Prrafodelista"/>
        <w:numPr>
          <w:ilvl w:val="0"/>
          <w:numId w:val="35"/>
        </w:numPr>
        <w:spacing w:line="276" w:lineRule="auto"/>
        <w:ind w:left="1416"/>
        <w:jc w:val="both"/>
        <w:rPr>
          <w:rFonts w:ascii="ITC Avant Garde" w:eastAsia="Arial" w:hAnsi="ITC Avant Garde" w:cs="Arial"/>
          <w:sz w:val="22"/>
          <w:szCs w:val="22"/>
        </w:rPr>
      </w:pPr>
      <w:r w:rsidRPr="00F7548C">
        <w:rPr>
          <w:rFonts w:ascii="ITC Avant Garde" w:eastAsia="Arial" w:hAnsi="ITC Avant Garde" w:cs="Arial"/>
          <w:sz w:val="22"/>
          <w:szCs w:val="22"/>
        </w:rPr>
        <w:t>Implementación. Se deben presentar planes de instalación, de puesta en servicio y de mantenimiento de la infraestructura de la red de transporte, de la red de acceso y del servicio de acceso a Internet de los municipios a cubrir.</w:t>
      </w:r>
    </w:p>
    <w:p w14:paraId="1616FB8C" w14:textId="77777777" w:rsidR="00C75083" w:rsidRPr="00F7548C" w:rsidRDefault="00C75083" w:rsidP="000A1628">
      <w:pPr>
        <w:pStyle w:val="Prrafodelista"/>
        <w:numPr>
          <w:ilvl w:val="0"/>
          <w:numId w:val="35"/>
        </w:numPr>
        <w:spacing w:line="276" w:lineRule="auto"/>
        <w:ind w:left="1416"/>
        <w:jc w:val="both"/>
        <w:rPr>
          <w:rFonts w:ascii="ITC Avant Garde" w:eastAsia="Arial" w:hAnsi="ITC Avant Garde" w:cs="Arial"/>
          <w:sz w:val="22"/>
          <w:szCs w:val="22"/>
        </w:rPr>
      </w:pPr>
      <w:r w:rsidRPr="00F7548C">
        <w:rPr>
          <w:rFonts w:ascii="ITC Avant Garde" w:eastAsia="Arial" w:hAnsi="ITC Avant Garde" w:cs="Arial"/>
          <w:sz w:val="22"/>
          <w:szCs w:val="22"/>
        </w:rPr>
        <w:t xml:space="preserve">Operación. </w:t>
      </w:r>
    </w:p>
    <w:p w14:paraId="0ABCE189" w14:textId="77777777" w:rsidR="00C75083" w:rsidRPr="00F7548C" w:rsidRDefault="00C75083" w:rsidP="000A1628">
      <w:pPr>
        <w:pStyle w:val="Prrafodelista"/>
        <w:numPr>
          <w:ilvl w:val="0"/>
          <w:numId w:val="25"/>
        </w:numPr>
        <w:tabs>
          <w:tab w:val="num" w:pos="1916"/>
        </w:tabs>
        <w:spacing w:line="276" w:lineRule="auto"/>
        <w:ind w:left="1776"/>
        <w:jc w:val="both"/>
        <w:rPr>
          <w:rFonts w:ascii="ITC Avant Garde" w:eastAsia="Arial" w:hAnsi="ITC Avant Garde" w:cs="Arial"/>
          <w:sz w:val="22"/>
          <w:szCs w:val="22"/>
        </w:rPr>
      </w:pPr>
      <w:r w:rsidRPr="00F7548C">
        <w:rPr>
          <w:rFonts w:ascii="ITC Avant Garde" w:eastAsia="Arial" w:hAnsi="ITC Avant Garde" w:cs="Arial"/>
          <w:sz w:val="22"/>
          <w:szCs w:val="22"/>
        </w:rPr>
        <w:t>Se debe garantizar la disponibilidad del servicio (medido de forma mensual) para la capacidad suministrada por tramo óptico.</w:t>
      </w:r>
    </w:p>
    <w:p w14:paraId="0B24F6AD" w14:textId="77777777" w:rsidR="00C75083" w:rsidRPr="00F7548C" w:rsidRDefault="00C75083" w:rsidP="00C75083">
      <w:pPr>
        <w:spacing w:line="276" w:lineRule="auto"/>
        <w:jc w:val="both"/>
        <w:rPr>
          <w:rFonts w:ascii="ITC Avant Garde" w:eastAsia="Arial" w:hAnsi="ITC Avant Garde" w:cs="Arial"/>
          <w:sz w:val="22"/>
          <w:szCs w:val="22"/>
        </w:rPr>
      </w:pPr>
    </w:p>
    <w:p w14:paraId="2417FD47" w14:textId="30A041CE" w:rsidR="00C75083" w:rsidRPr="00F7548C" w:rsidRDefault="000A1628"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5</w:t>
      </w:r>
      <w:r w:rsidR="00C75083" w:rsidRPr="00F7548C">
        <w:rPr>
          <w:rFonts w:ascii="ITC Avant Garde" w:eastAsia="Arial" w:hAnsi="ITC Avant Garde" w:cs="Arial"/>
          <w:b/>
          <w:sz w:val="22"/>
          <w:szCs w:val="22"/>
          <w:lang w:val="es-ES_tradnl"/>
        </w:rPr>
        <w:t>.3- Brasil</w:t>
      </w:r>
      <w:r w:rsidR="00C75083" w:rsidRPr="00F7548C">
        <w:rPr>
          <w:rFonts w:ascii="ITC Avant Garde" w:eastAsia="Arial" w:hAnsi="ITC Avant Garde" w:cs="Arial"/>
          <w:sz w:val="22"/>
          <w:szCs w:val="22"/>
          <w:lang w:val="es-ES_tradnl"/>
        </w:rPr>
        <w:t>. Mediante el “</w:t>
      </w:r>
      <w:r w:rsidR="00C75083" w:rsidRPr="00F7548C">
        <w:rPr>
          <w:rFonts w:ascii="ITC Avant Garde" w:eastAsia="Arial" w:hAnsi="ITC Avant Garde" w:cs="Arial"/>
          <w:i/>
          <w:sz w:val="22"/>
          <w:szCs w:val="22"/>
          <w:lang w:val="es-ES_tradnl"/>
        </w:rPr>
        <w:t>Programa Nacional de Banda Larga</w:t>
      </w:r>
      <w:r w:rsidR="00C75083" w:rsidRPr="00F7548C">
        <w:rPr>
          <w:rFonts w:ascii="ITC Avant Garde" w:eastAsia="Arial" w:hAnsi="ITC Avant Garde" w:cs="Arial"/>
          <w:sz w:val="22"/>
          <w:szCs w:val="22"/>
          <w:lang w:val="es-ES_tradnl"/>
        </w:rPr>
        <w:t xml:space="preserve">” (PNBL), el Ministerio de Comunicaciones de Brasil, ha ejecutado diversas acciones para la ampliación de la red pública de fibra óptica administrada por </w:t>
      </w:r>
      <w:proofErr w:type="spellStart"/>
      <w:r w:rsidR="00C75083" w:rsidRPr="00F7548C">
        <w:rPr>
          <w:rFonts w:ascii="ITC Avant Garde" w:eastAsia="Arial" w:hAnsi="ITC Avant Garde" w:cs="Arial"/>
          <w:sz w:val="22"/>
          <w:szCs w:val="22"/>
          <w:lang w:val="es-ES_tradnl"/>
        </w:rPr>
        <w:t>Telebras</w:t>
      </w:r>
      <w:proofErr w:type="spellEnd"/>
      <w:r w:rsidR="00C75083" w:rsidRPr="00F7548C">
        <w:rPr>
          <w:rFonts w:ascii="ITC Avant Garde" w:eastAsia="Arial" w:hAnsi="ITC Avant Garde" w:cs="Arial"/>
          <w:sz w:val="22"/>
          <w:szCs w:val="22"/>
          <w:lang w:val="es-ES_tradnl"/>
        </w:rPr>
        <w:t>. Para la expansión de la red de fibra óptica se ha considerado:</w:t>
      </w:r>
    </w:p>
    <w:p w14:paraId="475C49A2" w14:textId="77777777"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p>
    <w:p w14:paraId="3A81B893" w14:textId="77777777" w:rsidR="00C75083" w:rsidRPr="00F7548C" w:rsidRDefault="00C75083" w:rsidP="00C75083">
      <w:pPr>
        <w:pStyle w:val="Prrafodelista"/>
        <w:numPr>
          <w:ilvl w:val="0"/>
          <w:numId w:val="26"/>
        </w:numPr>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 xml:space="preserve">Despliegue del </w:t>
      </w:r>
      <w:proofErr w:type="spellStart"/>
      <w:r w:rsidRPr="00F7548C">
        <w:rPr>
          <w:rFonts w:ascii="ITC Avant Garde" w:eastAsia="Arial" w:hAnsi="ITC Avant Garde" w:cs="Arial"/>
          <w:i/>
          <w:sz w:val="22"/>
          <w:szCs w:val="22"/>
        </w:rPr>
        <w:t>backbone</w:t>
      </w:r>
      <w:proofErr w:type="spellEnd"/>
      <w:r w:rsidRPr="00F7548C">
        <w:rPr>
          <w:rFonts w:ascii="ITC Avant Garde" w:eastAsia="Arial" w:hAnsi="ITC Avant Garde" w:cs="Arial"/>
          <w:sz w:val="22"/>
          <w:szCs w:val="22"/>
        </w:rPr>
        <w:t xml:space="preserve"> de fibra óptica con DWDM</w:t>
      </w:r>
      <w:r w:rsidRPr="00F7548C">
        <w:rPr>
          <w:rStyle w:val="Refdenotaalpie"/>
          <w:rFonts w:ascii="ITC Avant Garde" w:eastAsia="Arial" w:hAnsi="ITC Avant Garde" w:cs="Arial"/>
          <w:sz w:val="22"/>
          <w:szCs w:val="22"/>
        </w:rPr>
        <w:footnoteReference w:id="2"/>
      </w:r>
      <w:r w:rsidRPr="00F7548C">
        <w:rPr>
          <w:rFonts w:ascii="ITC Avant Garde" w:eastAsia="Arial" w:hAnsi="ITC Avant Garde" w:cs="Arial"/>
          <w:sz w:val="22"/>
          <w:szCs w:val="22"/>
        </w:rPr>
        <w:t xml:space="preserve"> para soportar la red del gobierno federal en las capitales de las regiones del Sureste, Noreste, Sur, Oeste y Norte, Centro-Norte.</w:t>
      </w:r>
    </w:p>
    <w:p w14:paraId="1D92A863" w14:textId="77777777" w:rsidR="00C75083" w:rsidRPr="00F7548C" w:rsidRDefault="00C75083" w:rsidP="00C75083">
      <w:pPr>
        <w:pStyle w:val="Prrafodelista"/>
        <w:numPr>
          <w:ilvl w:val="0"/>
          <w:numId w:val="26"/>
        </w:numPr>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 xml:space="preserve">Integración y compartición de infraestructura con las redes gubernamentales estatales existentes (red </w:t>
      </w:r>
      <w:proofErr w:type="spellStart"/>
      <w:r w:rsidRPr="00F7548C">
        <w:rPr>
          <w:rFonts w:ascii="ITC Avant Garde" w:eastAsia="Arial" w:hAnsi="ITC Avant Garde" w:cs="Arial"/>
          <w:i/>
          <w:sz w:val="22"/>
          <w:szCs w:val="22"/>
        </w:rPr>
        <w:t>backbone</w:t>
      </w:r>
      <w:proofErr w:type="spellEnd"/>
      <w:r w:rsidRPr="00F7548C">
        <w:rPr>
          <w:rFonts w:ascii="ITC Avant Garde" w:eastAsia="Arial" w:hAnsi="ITC Avant Garde" w:cs="Arial"/>
          <w:sz w:val="22"/>
          <w:szCs w:val="22"/>
        </w:rPr>
        <w:t xml:space="preserve"> nacional), con redes municipales y metropolitanas (redes </w:t>
      </w:r>
      <w:proofErr w:type="spellStart"/>
      <w:r w:rsidRPr="00F7548C">
        <w:rPr>
          <w:rFonts w:ascii="ITC Avant Garde" w:eastAsia="Arial" w:hAnsi="ITC Avant Garde" w:cs="Arial"/>
          <w:i/>
          <w:sz w:val="22"/>
          <w:szCs w:val="22"/>
        </w:rPr>
        <w:t>backhaul</w:t>
      </w:r>
      <w:proofErr w:type="spellEnd"/>
      <w:r w:rsidRPr="00F7548C">
        <w:rPr>
          <w:rFonts w:ascii="ITC Avant Garde" w:eastAsia="Arial" w:hAnsi="ITC Avant Garde" w:cs="Arial"/>
          <w:sz w:val="22"/>
          <w:szCs w:val="22"/>
        </w:rPr>
        <w:t>).</w:t>
      </w:r>
    </w:p>
    <w:p w14:paraId="1E528E4C" w14:textId="77777777" w:rsidR="00C75083" w:rsidRPr="00F7548C" w:rsidRDefault="00C75083" w:rsidP="00C75083">
      <w:pPr>
        <w:pStyle w:val="Prrafodelista"/>
        <w:numPr>
          <w:ilvl w:val="0"/>
          <w:numId w:val="26"/>
        </w:numPr>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Integración de puntos de intercambio de tráfico en sitios específicos de la red troncal nacional.</w:t>
      </w:r>
    </w:p>
    <w:p w14:paraId="6029B327" w14:textId="77777777" w:rsidR="00C75083" w:rsidRPr="00F7548C" w:rsidRDefault="00C75083" w:rsidP="00C75083">
      <w:pPr>
        <w:pStyle w:val="Prrafodelista"/>
        <w:numPr>
          <w:ilvl w:val="0"/>
          <w:numId w:val="26"/>
        </w:numPr>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 xml:space="preserve">Aumento de la capacidad de las redes de </w:t>
      </w:r>
      <w:proofErr w:type="spellStart"/>
      <w:r w:rsidRPr="00F7548C">
        <w:rPr>
          <w:rFonts w:ascii="ITC Avant Garde" w:eastAsia="Arial" w:hAnsi="ITC Avant Garde" w:cs="Arial"/>
          <w:i/>
          <w:sz w:val="22"/>
          <w:szCs w:val="22"/>
        </w:rPr>
        <w:t>backhaul</w:t>
      </w:r>
      <w:proofErr w:type="spellEnd"/>
      <w:r w:rsidRPr="00F7548C">
        <w:rPr>
          <w:rFonts w:ascii="ITC Avant Garde" w:eastAsia="Arial" w:hAnsi="ITC Avant Garde" w:cs="Arial"/>
          <w:sz w:val="22"/>
          <w:szCs w:val="22"/>
        </w:rPr>
        <w:t xml:space="preserve"> en puntos específicos.</w:t>
      </w:r>
    </w:p>
    <w:p w14:paraId="3ACACC30" w14:textId="77777777" w:rsidR="00C75083" w:rsidRPr="00F7548C" w:rsidRDefault="00C75083" w:rsidP="00C75083">
      <w:pPr>
        <w:pStyle w:val="Prrafodelista"/>
        <w:numPr>
          <w:ilvl w:val="0"/>
          <w:numId w:val="26"/>
        </w:numPr>
        <w:spacing w:line="276" w:lineRule="auto"/>
        <w:jc w:val="both"/>
        <w:rPr>
          <w:rFonts w:ascii="ITC Avant Garde" w:eastAsia="Arial" w:hAnsi="ITC Avant Garde" w:cs="Arial"/>
          <w:sz w:val="22"/>
          <w:szCs w:val="22"/>
        </w:rPr>
      </w:pPr>
      <w:r w:rsidRPr="00F7548C">
        <w:rPr>
          <w:rFonts w:ascii="ITC Avant Garde" w:eastAsia="Arial" w:hAnsi="ITC Avant Garde" w:cs="Arial"/>
          <w:sz w:val="22"/>
          <w:szCs w:val="22"/>
        </w:rPr>
        <w:t>Emisión de regulaciones de infraestructura para fomentar la implementación de la infraestructura de fibra óptica de forma conjunta con otras infraestructuras del país tales como las redes de carreteras, ferrocarriles, oleoductos, entre otras.</w:t>
      </w:r>
    </w:p>
    <w:p w14:paraId="1108324B" w14:textId="77777777" w:rsidR="00C75083" w:rsidRPr="00F7548C" w:rsidRDefault="00C75083" w:rsidP="00C75083">
      <w:pPr>
        <w:pStyle w:val="Prrafodelista"/>
        <w:spacing w:line="276" w:lineRule="auto"/>
        <w:ind w:left="0"/>
        <w:contextualSpacing/>
        <w:jc w:val="both"/>
        <w:rPr>
          <w:rFonts w:ascii="ITC Avant Garde" w:hAnsi="ITC Avant Garde"/>
          <w:sz w:val="22"/>
          <w:szCs w:val="22"/>
        </w:rPr>
      </w:pPr>
    </w:p>
    <w:p w14:paraId="027E2D75" w14:textId="725134BA" w:rsidR="00C75083" w:rsidRPr="00F7548C" w:rsidRDefault="000A1628"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5</w:t>
      </w:r>
      <w:r w:rsidR="00C75083" w:rsidRPr="00F7548C">
        <w:rPr>
          <w:rFonts w:ascii="ITC Avant Garde" w:eastAsia="Arial" w:hAnsi="ITC Avant Garde" w:cs="Arial"/>
          <w:b/>
          <w:sz w:val="22"/>
          <w:szCs w:val="22"/>
          <w:lang w:val="es-ES_tradnl"/>
        </w:rPr>
        <w:t>.4- Perú.</w:t>
      </w:r>
      <w:r w:rsidR="00C75083" w:rsidRPr="00F7548C">
        <w:rPr>
          <w:rFonts w:ascii="ITC Avant Garde" w:eastAsia="Arial" w:hAnsi="ITC Avant Garde" w:cs="Arial"/>
          <w:sz w:val="22"/>
          <w:szCs w:val="22"/>
          <w:lang w:val="es-ES_tradnl"/>
        </w:rPr>
        <w:t xml:space="preserve"> Con el objetivo de impulsar el desarrollo, utilización y masificación de la banda ancha el congreso peruano aprobó la construcción de una “Red Dorsal Nacional de Fibra Óptica”. Se establecieron disposiciones para el acceso y uso de la infraestructura asociada a la prestación de servicios públicos de energía eléctrica e hidrocarburos, incluida la </w:t>
      </w:r>
      <w:proofErr w:type="spellStart"/>
      <w:r w:rsidR="00C75083" w:rsidRPr="00F7548C">
        <w:rPr>
          <w:rFonts w:ascii="ITC Avant Garde" w:eastAsia="Arial" w:hAnsi="ITC Avant Garde" w:cs="Arial"/>
          <w:sz w:val="22"/>
          <w:szCs w:val="22"/>
          <w:lang w:val="es-ES_tradnl"/>
        </w:rPr>
        <w:t>coubicación</w:t>
      </w:r>
      <w:proofErr w:type="spellEnd"/>
      <w:r w:rsidR="00C75083" w:rsidRPr="00F7548C">
        <w:rPr>
          <w:rFonts w:ascii="ITC Avant Garde" w:eastAsia="Arial" w:hAnsi="ITC Avant Garde" w:cs="Arial"/>
          <w:sz w:val="22"/>
          <w:szCs w:val="22"/>
          <w:lang w:val="es-ES_tradnl"/>
        </w:rPr>
        <w:t xml:space="preserve">, así como el uso de derechos de vía. También, se estableció que la red de fibra óptica debía proporcionar servicios de transporte a otros operadores y no a usuarios finales. Entre las obligaciones que </w:t>
      </w:r>
      <w:r w:rsidR="00C75083" w:rsidRPr="00F7548C">
        <w:rPr>
          <w:rFonts w:ascii="ITC Avant Garde" w:eastAsia="Arial" w:hAnsi="ITC Avant Garde" w:cs="Arial"/>
          <w:sz w:val="22"/>
          <w:szCs w:val="22"/>
          <w:lang w:val="es-ES_tradnl"/>
        </w:rPr>
        <w:lastRenderedPageBreak/>
        <w:t>se le establecieron al concesionario que se adjudicó el proyecto se encuentran las siguientes:</w:t>
      </w:r>
    </w:p>
    <w:p w14:paraId="3DA29C8C" w14:textId="77777777" w:rsidR="00C75083" w:rsidRPr="00F7548C" w:rsidRDefault="00C75083" w:rsidP="00C75083">
      <w:pPr>
        <w:pStyle w:val="Prrafodelista"/>
        <w:spacing w:line="276" w:lineRule="auto"/>
        <w:ind w:left="0"/>
        <w:contextualSpacing/>
        <w:jc w:val="both"/>
        <w:rPr>
          <w:rFonts w:ascii="ITC Avant Garde" w:hAnsi="ITC Avant Garde"/>
          <w:sz w:val="22"/>
          <w:szCs w:val="22"/>
        </w:rPr>
      </w:pPr>
    </w:p>
    <w:p w14:paraId="225C85CC" w14:textId="77777777" w:rsidR="00C75083" w:rsidRPr="00F7548C" w:rsidRDefault="00C75083" w:rsidP="00C75083">
      <w:pPr>
        <w:pStyle w:val="Prrafodelista"/>
        <w:numPr>
          <w:ilvl w:val="0"/>
          <w:numId w:val="27"/>
        </w:numPr>
        <w:spacing w:line="276" w:lineRule="auto"/>
        <w:jc w:val="both"/>
        <w:rPr>
          <w:rFonts w:ascii="ITC Avant Garde" w:eastAsia="Arial" w:hAnsi="ITC Avant Garde" w:cs="Arial"/>
          <w:sz w:val="22"/>
          <w:szCs w:val="22"/>
        </w:rPr>
      </w:pPr>
      <w:r w:rsidRPr="00F7548C">
        <w:rPr>
          <w:rFonts w:ascii="ITC Avant Garde" w:eastAsia="Arial" w:hAnsi="ITC Avant Garde" w:cs="Arial"/>
          <w:i/>
          <w:sz w:val="22"/>
          <w:szCs w:val="22"/>
        </w:rPr>
        <w:t>Despliegue de la red</w:t>
      </w:r>
      <w:r w:rsidRPr="00F7548C">
        <w:rPr>
          <w:rFonts w:ascii="ITC Avant Garde" w:eastAsia="Arial" w:hAnsi="ITC Avant Garde" w:cs="Arial"/>
          <w:sz w:val="22"/>
          <w:szCs w:val="22"/>
        </w:rPr>
        <w:t>. Se le otorgaron 7 meses al concesionario para presentar un programa de despliegue que detalle las tareas y actividades a realizar.</w:t>
      </w:r>
    </w:p>
    <w:p w14:paraId="5285B2E8" w14:textId="58733674" w:rsidR="00C75083" w:rsidRPr="00F7548C" w:rsidRDefault="00C75083" w:rsidP="00C75083">
      <w:pPr>
        <w:pStyle w:val="Prrafodelista"/>
        <w:numPr>
          <w:ilvl w:val="0"/>
          <w:numId w:val="27"/>
        </w:numPr>
        <w:spacing w:line="276" w:lineRule="auto"/>
        <w:jc w:val="both"/>
        <w:rPr>
          <w:rFonts w:ascii="ITC Avant Garde" w:eastAsia="Arial" w:hAnsi="ITC Avant Garde" w:cs="Arial"/>
          <w:sz w:val="22"/>
          <w:szCs w:val="22"/>
        </w:rPr>
      </w:pPr>
      <w:r w:rsidRPr="00F7548C">
        <w:rPr>
          <w:rFonts w:ascii="ITC Avant Garde" w:eastAsia="Arial" w:hAnsi="ITC Avant Garde" w:cs="Arial"/>
          <w:i/>
          <w:sz w:val="22"/>
          <w:szCs w:val="22"/>
        </w:rPr>
        <w:t>Continuidad y calidad del servicio</w:t>
      </w:r>
      <w:r w:rsidRPr="00F7548C">
        <w:rPr>
          <w:rFonts w:ascii="ITC Avant Garde" w:eastAsia="Arial" w:hAnsi="ITC Avant Garde" w:cs="Arial"/>
          <w:sz w:val="22"/>
          <w:szCs w:val="22"/>
        </w:rPr>
        <w:t xml:space="preserve">. Se estableció una disponibilidad del 99.999 % medida anualmente para los enlaces de </w:t>
      </w:r>
      <w:proofErr w:type="spellStart"/>
      <w:r w:rsidRPr="00F7548C">
        <w:rPr>
          <w:rFonts w:ascii="ITC Avant Garde" w:eastAsia="Arial" w:hAnsi="ITC Avant Garde" w:cs="Arial"/>
          <w:i/>
          <w:sz w:val="22"/>
          <w:szCs w:val="22"/>
        </w:rPr>
        <w:t>core</w:t>
      </w:r>
      <w:proofErr w:type="spellEnd"/>
      <w:r w:rsidRPr="00F7548C">
        <w:rPr>
          <w:rFonts w:ascii="ITC Avant Garde" w:eastAsia="Arial" w:hAnsi="ITC Avant Garde" w:cs="Arial"/>
          <w:sz w:val="22"/>
          <w:szCs w:val="22"/>
        </w:rPr>
        <w:t xml:space="preserve">, desagregación a </w:t>
      </w:r>
      <w:proofErr w:type="spellStart"/>
      <w:r w:rsidRPr="00F7548C">
        <w:rPr>
          <w:rFonts w:ascii="ITC Avant Garde" w:eastAsia="Arial" w:hAnsi="ITC Avant Garde" w:cs="Arial"/>
          <w:i/>
          <w:sz w:val="22"/>
          <w:szCs w:val="22"/>
        </w:rPr>
        <w:t>core</w:t>
      </w:r>
      <w:proofErr w:type="spellEnd"/>
      <w:r w:rsidRPr="00F7548C">
        <w:rPr>
          <w:rFonts w:ascii="ITC Avant Garde" w:eastAsia="Arial" w:hAnsi="ITC Avant Garde" w:cs="Arial"/>
          <w:sz w:val="22"/>
          <w:szCs w:val="22"/>
        </w:rPr>
        <w:t xml:space="preserve"> y de distribución a </w:t>
      </w:r>
      <w:proofErr w:type="spellStart"/>
      <w:r w:rsidRPr="00F7548C">
        <w:rPr>
          <w:rFonts w:ascii="ITC Avant Garde" w:eastAsia="Arial" w:hAnsi="ITC Avant Garde" w:cs="Arial"/>
          <w:i/>
          <w:sz w:val="22"/>
          <w:szCs w:val="22"/>
        </w:rPr>
        <w:t>core</w:t>
      </w:r>
      <w:proofErr w:type="spellEnd"/>
      <w:r w:rsidRPr="00F7548C">
        <w:rPr>
          <w:rFonts w:ascii="ITC Avant Garde" w:eastAsia="Arial" w:hAnsi="ITC Avant Garde" w:cs="Arial"/>
          <w:sz w:val="22"/>
          <w:szCs w:val="22"/>
        </w:rPr>
        <w:t>.</w:t>
      </w:r>
    </w:p>
    <w:p w14:paraId="5CC6E151" w14:textId="77777777" w:rsidR="00C75083" w:rsidRPr="00F7548C" w:rsidRDefault="00C75083" w:rsidP="00C75083">
      <w:pPr>
        <w:pStyle w:val="Prrafodelista"/>
        <w:numPr>
          <w:ilvl w:val="0"/>
          <w:numId w:val="27"/>
        </w:numPr>
        <w:spacing w:line="276" w:lineRule="auto"/>
        <w:jc w:val="both"/>
        <w:rPr>
          <w:rFonts w:ascii="ITC Avant Garde" w:eastAsia="Arial" w:hAnsi="ITC Avant Garde" w:cs="Arial"/>
          <w:sz w:val="22"/>
          <w:szCs w:val="22"/>
        </w:rPr>
      </w:pPr>
      <w:r w:rsidRPr="00F7548C">
        <w:rPr>
          <w:rFonts w:ascii="ITC Avant Garde" w:eastAsia="Arial" w:hAnsi="ITC Avant Garde" w:cs="Arial"/>
          <w:i/>
          <w:sz w:val="22"/>
          <w:szCs w:val="22"/>
        </w:rPr>
        <w:t>Capacidad</w:t>
      </w:r>
      <w:r w:rsidRPr="00F7548C">
        <w:rPr>
          <w:rFonts w:ascii="ITC Avant Garde" w:eastAsia="Arial" w:hAnsi="ITC Avant Garde" w:cs="Arial"/>
          <w:sz w:val="22"/>
          <w:szCs w:val="22"/>
        </w:rPr>
        <w:t xml:space="preserve">. La capacidad contratada de todos los enlaces puede alcanzar como máximo hasta un 75% de la capacidad instalada, pasando dicho porcentaje el concesionario deberá ampliar la capacidad existente. </w:t>
      </w:r>
    </w:p>
    <w:p w14:paraId="0523FE04" w14:textId="0748F665" w:rsidR="00C75083" w:rsidRPr="00F7548C" w:rsidRDefault="00C75083" w:rsidP="00C75083">
      <w:pPr>
        <w:pStyle w:val="Prrafodelista"/>
        <w:numPr>
          <w:ilvl w:val="0"/>
          <w:numId w:val="27"/>
        </w:numPr>
        <w:spacing w:line="276" w:lineRule="auto"/>
        <w:jc w:val="both"/>
        <w:rPr>
          <w:rFonts w:ascii="ITC Avant Garde" w:eastAsia="Arial" w:hAnsi="ITC Avant Garde" w:cs="Arial"/>
          <w:sz w:val="22"/>
          <w:szCs w:val="22"/>
        </w:rPr>
      </w:pPr>
      <w:r w:rsidRPr="00F7548C">
        <w:rPr>
          <w:rFonts w:ascii="ITC Avant Garde" w:eastAsia="Arial" w:hAnsi="ITC Avant Garde" w:cs="Arial"/>
          <w:i/>
          <w:sz w:val="22"/>
          <w:szCs w:val="22"/>
        </w:rPr>
        <w:t>Puntos de conexión internacional</w:t>
      </w:r>
      <w:r w:rsidRPr="00F7548C">
        <w:rPr>
          <w:rFonts w:ascii="ITC Avant Garde" w:eastAsia="Arial" w:hAnsi="ITC Avant Garde" w:cs="Arial"/>
          <w:sz w:val="22"/>
          <w:szCs w:val="22"/>
        </w:rPr>
        <w:t xml:space="preserve">. El concesionario debe de instalar y equipar los nodos con enlaces ópticos que permitan la conexión con las redes de los 4 países limítrofes de Perú. Cada uno de los puntos de conexión internacional debe tener la capacidad de establecer lambdas exclusivas sobre DWDM para conectarse al </w:t>
      </w:r>
      <w:proofErr w:type="spellStart"/>
      <w:r w:rsidR="00477124" w:rsidRPr="00F7548C">
        <w:rPr>
          <w:rFonts w:ascii="ITC Avant Garde" w:eastAsia="Arial" w:hAnsi="ITC Avant Garde" w:cs="Arial"/>
          <w:sz w:val="22"/>
          <w:szCs w:val="22"/>
        </w:rPr>
        <w:t>c</w:t>
      </w:r>
      <w:r w:rsidRPr="00F7548C">
        <w:rPr>
          <w:rFonts w:ascii="ITC Avant Garde" w:eastAsia="Arial" w:hAnsi="ITC Avant Garde" w:cs="Arial"/>
          <w:sz w:val="22"/>
          <w:szCs w:val="22"/>
        </w:rPr>
        <w:t>ore</w:t>
      </w:r>
      <w:proofErr w:type="spellEnd"/>
      <w:r w:rsidRPr="00F7548C">
        <w:rPr>
          <w:rFonts w:ascii="ITC Avant Garde" w:eastAsia="Arial" w:hAnsi="ITC Avant Garde" w:cs="Arial"/>
          <w:sz w:val="22"/>
          <w:szCs w:val="22"/>
        </w:rPr>
        <w:t xml:space="preserve"> de la red.</w:t>
      </w:r>
    </w:p>
    <w:p w14:paraId="075497C8" w14:textId="77777777" w:rsidR="00C75083" w:rsidRPr="00F7548C" w:rsidRDefault="00C75083" w:rsidP="00C75083">
      <w:pPr>
        <w:pStyle w:val="Prrafodelista"/>
        <w:numPr>
          <w:ilvl w:val="0"/>
          <w:numId w:val="27"/>
        </w:numPr>
        <w:spacing w:line="276" w:lineRule="auto"/>
        <w:jc w:val="both"/>
        <w:rPr>
          <w:rFonts w:ascii="ITC Avant Garde" w:eastAsia="Arial" w:hAnsi="ITC Avant Garde" w:cs="Arial"/>
          <w:sz w:val="22"/>
          <w:szCs w:val="22"/>
        </w:rPr>
      </w:pPr>
      <w:r w:rsidRPr="00F7548C">
        <w:rPr>
          <w:rFonts w:ascii="ITC Avant Garde" w:eastAsia="Arial" w:hAnsi="ITC Avant Garde" w:cs="Arial"/>
          <w:i/>
          <w:sz w:val="22"/>
          <w:szCs w:val="22"/>
        </w:rPr>
        <w:t>Cronograma de trabajo</w:t>
      </w:r>
      <w:r w:rsidRPr="00F7548C">
        <w:rPr>
          <w:rFonts w:ascii="ITC Avant Garde" w:eastAsia="Arial" w:hAnsi="ITC Avant Garde" w:cs="Arial"/>
          <w:sz w:val="22"/>
          <w:szCs w:val="22"/>
        </w:rPr>
        <w:t>. El Ministerio de Transportes y Comunicaciones aprobó el plan de implementación, así como el cronograma de entregas parciales.</w:t>
      </w:r>
    </w:p>
    <w:p w14:paraId="534F899B" w14:textId="77777777" w:rsidR="00C75083" w:rsidRPr="00F7548C" w:rsidRDefault="00C75083" w:rsidP="00C75083">
      <w:pPr>
        <w:tabs>
          <w:tab w:val="num" w:pos="1220"/>
          <w:tab w:val="num" w:pos="1940"/>
        </w:tabs>
        <w:spacing w:line="276" w:lineRule="auto"/>
        <w:jc w:val="both"/>
        <w:rPr>
          <w:rFonts w:ascii="ITC Avant Garde" w:eastAsia="Arial" w:hAnsi="ITC Avant Garde" w:cs="Arial"/>
          <w:b/>
          <w:sz w:val="22"/>
          <w:szCs w:val="22"/>
          <w:lang w:val="es-ES_tradnl"/>
        </w:rPr>
      </w:pPr>
    </w:p>
    <w:p w14:paraId="2D5ED0C2" w14:textId="6DD0E25A" w:rsidR="00C75083" w:rsidRPr="00F7548C" w:rsidRDefault="00BC375A" w:rsidP="000A1628">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b/>
          <w:sz w:val="22"/>
          <w:szCs w:val="22"/>
          <w:lang w:val="es-ES_tradnl"/>
        </w:rPr>
        <w:t>SEXTO</w:t>
      </w:r>
      <w:r w:rsidR="00C75083" w:rsidRPr="00F7548C">
        <w:rPr>
          <w:rFonts w:ascii="ITC Avant Garde" w:eastAsia="Arial" w:hAnsi="ITC Avant Garde" w:cs="Arial"/>
          <w:b/>
          <w:sz w:val="22"/>
          <w:szCs w:val="22"/>
          <w:lang w:val="es-ES_tradnl"/>
        </w:rPr>
        <w:t>- Construcción y crecimiento de la Red Troncal Nacional.</w:t>
      </w:r>
      <w:r w:rsidR="00C75083" w:rsidRPr="00F7548C">
        <w:rPr>
          <w:rFonts w:ascii="ITC Avant Garde" w:eastAsia="Arial" w:hAnsi="ITC Avant Garde" w:cs="Arial"/>
          <w:sz w:val="22"/>
          <w:szCs w:val="22"/>
          <w:lang w:val="es-ES_tradnl"/>
        </w:rPr>
        <w:t xml:space="preserve"> El artículo Décimo Quinto Transitorio del Decreto, señala que Telecomunicaciones de México tendrá atribuciones y recursos para planear, diseñar y ejecutar la construcción y el crecimiento de una robusta red troncal de telecomunicaciones de cobertura nacional. Lo anterior, de conformidad con los lineamientos que emita el Instituto.</w:t>
      </w:r>
    </w:p>
    <w:p w14:paraId="297B66F6" w14:textId="77777777"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p>
    <w:p w14:paraId="7E29C5F4" w14:textId="77777777"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Los planes y programas de despliegue son una constante en la experiencia internacional, en éstos se han fijado objetivos específicos que se deben cumplir en plazos establecidos tomando en cuenta la duración de las concesiones y los objetivos de los programas establecidos por los gobiernos que impulsaron dichos proyectos. Estos programas de despliegue se desarrollan de forma conjunta con el operador encargado de la red, situación que le da certidumbre a todo el desarrollo e implementación del proyecto.</w:t>
      </w:r>
    </w:p>
    <w:p w14:paraId="239C12A2" w14:textId="77777777"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p>
    <w:p w14:paraId="3583A765" w14:textId="77777777"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 xml:space="preserve">El Decreto establece que la red troncal debe ser robusta y de cobertura nacional, por esta razón, los lineamientos deben establecer un porcentaje de disponibilidad y niveles de calidad mínimos que garanticen la prestación de servicios comerciales, así como los incentivos para asegurar su crecimiento a través del tiempo. Además, </w:t>
      </w:r>
      <w:r w:rsidRPr="00F7548C">
        <w:rPr>
          <w:rFonts w:ascii="ITC Avant Garde" w:eastAsia="Arial" w:hAnsi="ITC Avant Garde" w:cs="Arial"/>
          <w:sz w:val="22"/>
          <w:szCs w:val="22"/>
          <w:lang w:val="es-ES_tradnl"/>
        </w:rPr>
        <w:lastRenderedPageBreak/>
        <w:t>resulta pertinente brindarle la suficiente flexibilidad a Telecomunicaciones de México para diseñar un programa de despliegue que incluya las tareas a ejecutar con plazos definidos y que constituyan compromisos que el mismo concesionario pueda cumplir, conforme a los planes y programas de inversión, cobertura geográfica, poblacional o social, de conectividad en sitios públicos y de contribución a la cobertura universal que formule anualmente la Secretaría de Comunicaciones y Transportes.</w:t>
      </w:r>
    </w:p>
    <w:p w14:paraId="16B99FAA" w14:textId="77777777"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p>
    <w:p w14:paraId="6A2F0BA8" w14:textId="444AD251"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La CFE cuenta con los derechos de vía que pueden ser necesarios para iniciar la operación de una nueva red troncal, y además dispone de al menos 35,000 kilómetros de fibra óptica en el territorio nacional</w:t>
      </w:r>
      <w:r w:rsidR="00B37A14">
        <w:rPr>
          <w:rFonts w:ascii="ITC Avant Garde" w:eastAsia="Arial" w:hAnsi="ITC Avant Garde" w:cs="Arial"/>
          <w:sz w:val="22"/>
          <w:szCs w:val="22"/>
          <w:lang w:val="es-ES_tradnl"/>
        </w:rPr>
        <w:t>,</w:t>
      </w:r>
      <w:r w:rsidRPr="00F7548C">
        <w:rPr>
          <w:rFonts w:ascii="ITC Avant Garde" w:eastAsia="Arial" w:hAnsi="ITC Avant Garde" w:cs="Arial"/>
          <w:sz w:val="22"/>
          <w:szCs w:val="22"/>
          <w:lang w:val="es-ES_tradnl"/>
        </w:rPr>
        <w:t xml:space="preserve"> al menos 143 puntos de presencia, así como miles de postes desplegados en las localidades del país. </w:t>
      </w:r>
    </w:p>
    <w:p w14:paraId="29DF1023" w14:textId="77777777" w:rsidR="00C75083" w:rsidRPr="00F7548C"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p>
    <w:p w14:paraId="6D7ADBF7" w14:textId="77777777" w:rsidR="00C75083" w:rsidRDefault="00C75083" w:rsidP="00C75083">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Una red troncal que provee servicios comerciales debe ser capaz de suministrar servicios de forma ininterrumpida y con alta calidad a sus clientes, esto implica tener alta disponibilidad y parámetros de calidad de servicio adecuados, para asegurar la correcta funcionalidad de las aplicaciones de audio, datos y video de los usuarios. Estos parámetros deben ser consistentes con las mejores prácticas internacionales y las necesidades del mercado que se debe atender.</w:t>
      </w:r>
    </w:p>
    <w:p w14:paraId="59331545" w14:textId="77777777" w:rsidR="001F1C07" w:rsidRPr="00F7548C" w:rsidRDefault="001F1C07" w:rsidP="00C75083">
      <w:pPr>
        <w:tabs>
          <w:tab w:val="num" w:pos="1220"/>
          <w:tab w:val="num" w:pos="1940"/>
        </w:tabs>
        <w:spacing w:line="276" w:lineRule="auto"/>
        <w:jc w:val="both"/>
        <w:rPr>
          <w:rFonts w:ascii="ITC Avant Garde" w:eastAsia="Arial" w:hAnsi="ITC Avant Garde" w:cs="Arial"/>
          <w:sz w:val="22"/>
          <w:szCs w:val="22"/>
          <w:lang w:val="es-ES_tradnl"/>
        </w:rPr>
      </w:pPr>
    </w:p>
    <w:p w14:paraId="5AC61563" w14:textId="08085F6E" w:rsidR="00233507" w:rsidRDefault="001F1C07" w:rsidP="009E3DBE">
      <w:pPr>
        <w:tabs>
          <w:tab w:val="num" w:pos="1220"/>
          <w:tab w:val="num" w:pos="1940"/>
        </w:tabs>
        <w:spacing w:line="276" w:lineRule="auto"/>
        <w:jc w:val="both"/>
        <w:rPr>
          <w:rFonts w:ascii="ITC Avant Garde" w:eastAsia="Arial" w:hAnsi="ITC Avant Garde" w:cs="Arial"/>
          <w:sz w:val="22"/>
          <w:szCs w:val="22"/>
          <w:lang w:val="es-ES_tradnl"/>
        </w:rPr>
      </w:pPr>
      <w:r>
        <w:rPr>
          <w:rFonts w:ascii="ITC Avant Garde" w:eastAsia="Arial" w:hAnsi="ITC Avant Garde" w:cs="Arial"/>
          <w:sz w:val="22"/>
          <w:szCs w:val="22"/>
          <w:lang w:val="es-ES_tradnl"/>
        </w:rPr>
        <w:t>En consistencia con lo anterior, Telecomunicaciones de México incluyó en su agenda del Programa Institucional 2014-2018</w:t>
      </w:r>
      <w:r w:rsidR="00CD2003">
        <w:rPr>
          <w:rFonts w:ascii="ITC Avant Garde" w:eastAsia="Arial" w:hAnsi="ITC Avant Garde" w:cs="Arial"/>
          <w:sz w:val="22"/>
          <w:szCs w:val="22"/>
          <w:lang w:val="es-ES_tradnl"/>
        </w:rPr>
        <w:t xml:space="preserve"> (en lo sucesivo, “Programa Institucional”)</w:t>
      </w:r>
      <w:r>
        <w:rPr>
          <w:rFonts w:ascii="ITC Avant Garde" w:eastAsia="Arial" w:hAnsi="ITC Avant Garde" w:cs="Arial"/>
          <w:sz w:val="22"/>
          <w:szCs w:val="22"/>
          <w:lang w:val="es-ES_tradnl"/>
        </w:rPr>
        <w:t xml:space="preserve">, la necesidad de ejecutar un programa de trabajo e inversiones para que el 95% de la </w:t>
      </w:r>
      <w:r w:rsidRPr="001F1C07">
        <w:rPr>
          <w:rFonts w:ascii="ITC Avant Garde" w:eastAsia="Arial" w:hAnsi="ITC Avant Garde" w:cs="Arial"/>
          <w:sz w:val="22"/>
          <w:szCs w:val="22"/>
          <w:lang w:val="es-ES_tradnl"/>
        </w:rPr>
        <w:t>población esté</w:t>
      </w:r>
      <w:r>
        <w:rPr>
          <w:rFonts w:ascii="ITC Avant Garde" w:eastAsia="Arial" w:hAnsi="ITC Avant Garde" w:cs="Arial"/>
          <w:sz w:val="22"/>
          <w:szCs w:val="22"/>
          <w:lang w:val="es-ES_tradnl"/>
        </w:rPr>
        <w:t xml:space="preserve"> al menos a una distancia de 40 kilómetros</w:t>
      </w:r>
      <w:r w:rsidRPr="001F1C07">
        <w:rPr>
          <w:rFonts w:ascii="ITC Avant Garde" w:eastAsia="Arial" w:hAnsi="ITC Avant Garde" w:cs="Arial"/>
          <w:sz w:val="22"/>
          <w:szCs w:val="22"/>
          <w:lang w:val="es-ES_tradnl"/>
        </w:rPr>
        <w:t xml:space="preserve"> de una pun</w:t>
      </w:r>
      <w:r>
        <w:rPr>
          <w:rFonts w:ascii="ITC Avant Garde" w:eastAsia="Arial" w:hAnsi="ITC Avant Garde" w:cs="Arial"/>
          <w:sz w:val="22"/>
          <w:szCs w:val="22"/>
          <w:lang w:val="es-ES_tradnl"/>
        </w:rPr>
        <w:t>ta de fibra óptica</w:t>
      </w:r>
      <w:r w:rsidR="009E3DBE">
        <w:rPr>
          <w:rFonts w:ascii="ITC Avant Garde" w:eastAsia="Arial" w:hAnsi="ITC Avant Garde" w:cs="Arial"/>
          <w:sz w:val="22"/>
          <w:szCs w:val="22"/>
          <w:lang w:val="es-ES_tradnl"/>
        </w:rPr>
        <w:t>,</w:t>
      </w:r>
      <w:r>
        <w:rPr>
          <w:rFonts w:ascii="ITC Avant Garde" w:eastAsia="Arial" w:hAnsi="ITC Avant Garde" w:cs="Arial"/>
          <w:sz w:val="22"/>
          <w:szCs w:val="22"/>
          <w:lang w:val="es-ES_tradnl"/>
        </w:rPr>
        <w:t xml:space="preserve"> y los </w:t>
      </w:r>
      <w:r w:rsidRPr="001F1C07">
        <w:rPr>
          <w:rFonts w:ascii="ITC Avant Garde" w:eastAsia="Arial" w:hAnsi="ITC Avant Garde" w:cs="Arial"/>
          <w:sz w:val="22"/>
          <w:szCs w:val="22"/>
          <w:lang w:val="es-ES_tradnl"/>
        </w:rPr>
        <w:t>concesionari</w:t>
      </w:r>
      <w:r>
        <w:rPr>
          <w:rFonts w:ascii="ITC Avant Garde" w:eastAsia="Arial" w:hAnsi="ITC Avant Garde" w:cs="Arial"/>
          <w:sz w:val="22"/>
          <w:szCs w:val="22"/>
          <w:lang w:val="es-ES_tradnl"/>
        </w:rPr>
        <w:t xml:space="preserve">os puedan entregar conectividad </w:t>
      </w:r>
      <w:r w:rsidRPr="001F1C07">
        <w:rPr>
          <w:rFonts w:ascii="ITC Avant Garde" w:eastAsia="Arial" w:hAnsi="ITC Avant Garde" w:cs="Arial"/>
          <w:sz w:val="22"/>
          <w:szCs w:val="22"/>
          <w:lang w:val="es-ES_tradnl"/>
        </w:rPr>
        <w:t>de banda anch</w:t>
      </w:r>
      <w:r>
        <w:rPr>
          <w:rFonts w:ascii="ITC Avant Garde" w:eastAsia="Arial" w:hAnsi="ITC Avant Garde" w:cs="Arial"/>
          <w:sz w:val="22"/>
          <w:szCs w:val="22"/>
          <w:lang w:val="es-ES_tradnl"/>
        </w:rPr>
        <w:t xml:space="preserve">a por tierra o inalámbricamente </w:t>
      </w:r>
      <w:r w:rsidRPr="001F1C07">
        <w:rPr>
          <w:rFonts w:ascii="ITC Avant Garde" w:eastAsia="Arial" w:hAnsi="ITC Avant Garde" w:cs="Arial"/>
          <w:sz w:val="22"/>
          <w:szCs w:val="22"/>
          <w:lang w:val="es-ES_tradnl"/>
        </w:rPr>
        <w:t>a usuarios finale</w:t>
      </w:r>
      <w:r>
        <w:rPr>
          <w:rFonts w:ascii="ITC Avant Garde" w:eastAsia="Arial" w:hAnsi="ITC Avant Garde" w:cs="Arial"/>
          <w:sz w:val="22"/>
          <w:szCs w:val="22"/>
          <w:lang w:val="es-ES_tradnl"/>
        </w:rPr>
        <w:t>s</w:t>
      </w:r>
      <w:r w:rsidRPr="001F1C07">
        <w:rPr>
          <w:rFonts w:ascii="ITC Avant Garde" w:eastAsia="Arial" w:hAnsi="ITC Avant Garde" w:cs="Arial"/>
          <w:sz w:val="22"/>
          <w:szCs w:val="22"/>
          <w:lang w:val="es-ES_tradnl"/>
        </w:rPr>
        <w:t>.</w:t>
      </w:r>
      <w:r w:rsidR="009E3DBE">
        <w:rPr>
          <w:rFonts w:ascii="ITC Avant Garde" w:eastAsia="Arial" w:hAnsi="ITC Avant Garde" w:cs="Arial"/>
          <w:sz w:val="22"/>
          <w:szCs w:val="22"/>
          <w:lang w:val="es-ES_tradnl"/>
        </w:rPr>
        <w:t xml:space="preserve"> Asimismo, se señala la importancia que tiene para Telecomunicaciones de México, convenir con la CFE un esquema de trabajo operativo </w:t>
      </w:r>
      <w:r w:rsidR="009E3DBE" w:rsidRPr="009E3DBE">
        <w:rPr>
          <w:rFonts w:ascii="ITC Avant Garde" w:eastAsia="Arial" w:hAnsi="ITC Avant Garde" w:cs="Arial"/>
          <w:sz w:val="22"/>
          <w:szCs w:val="22"/>
          <w:lang w:val="es-ES_tradnl"/>
        </w:rPr>
        <w:t xml:space="preserve">acorde a las </w:t>
      </w:r>
      <w:r w:rsidR="009E3DBE">
        <w:rPr>
          <w:rFonts w:ascii="ITC Avant Garde" w:eastAsia="Arial" w:hAnsi="ITC Avant Garde" w:cs="Arial"/>
          <w:sz w:val="22"/>
          <w:szCs w:val="22"/>
          <w:lang w:val="es-ES_tradnl"/>
        </w:rPr>
        <w:t xml:space="preserve">disposiciones que emita el Instituto, </w:t>
      </w:r>
      <w:r w:rsidR="009E3DBE" w:rsidRPr="009E3DBE">
        <w:rPr>
          <w:rFonts w:ascii="ITC Avant Garde" w:eastAsia="Arial" w:hAnsi="ITC Avant Garde" w:cs="Arial"/>
          <w:sz w:val="22"/>
          <w:szCs w:val="22"/>
          <w:lang w:val="es-ES_tradnl"/>
        </w:rPr>
        <w:t>para que pri</w:t>
      </w:r>
      <w:r w:rsidR="009E3DBE">
        <w:rPr>
          <w:rFonts w:ascii="ITC Avant Garde" w:eastAsia="Arial" w:hAnsi="ITC Avant Garde" w:cs="Arial"/>
          <w:sz w:val="22"/>
          <w:szCs w:val="22"/>
          <w:lang w:val="es-ES_tradnl"/>
        </w:rPr>
        <w:t xml:space="preserve">meramente el servicio tenga una </w:t>
      </w:r>
      <w:r w:rsidR="009E3DBE" w:rsidRPr="009E3DBE">
        <w:rPr>
          <w:rFonts w:ascii="ITC Avant Garde" w:eastAsia="Arial" w:hAnsi="ITC Avant Garde" w:cs="Arial"/>
          <w:sz w:val="22"/>
          <w:szCs w:val="22"/>
          <w:lang w:val="es-ES_tradnl"/>
        </w:rPr>
        <w:t>alta disponi</w:t>
      </w:r>
      <w:r w:rsidR="009E3DBE">
        <w:rPr>
          <w:rFonts w:ascii="ITC Avant Garde" w:eastAsia="Arial" w:hAnsi="ITC Avant Garde" w:cs="Arial"/>
          <w:sz w:val="22"/>
          <w:szCs w:val="22"/>
          <w:lang w:val="es-ES_tradnl"/>
        </w:rPr>
        <w:t xml:space="preserve">bilidad con niveles de servicio </w:t>
      </w:r>
      <w:r w:rsidR="009E3DBE" w:rsidRPr="009E3DBE">
        <w:rPr>
          <w:rFonts w:ascii="ITC Avant Garde" w:eastAsia="Arial" w:hAnsi="ITC Avant Garde" w:cs="Arial"/>
          <w:sz w:val="22"/>
          <w:szCs w:val="22"/>
          <w:lang w:val="es-ES_tradnl"/>
        </w:rPr>
        <w:t>garantizados</w:t>
      </w:r>
      <w:r w:rsidR="009E3DBE">
        <w:rPr>
          <w:rFonts w:ascii="ITC Avant Garde" w:eastAsia="Arial" w:hAnsi="ITC Avant Garde" w:cs="Arial"/>
          <w:sz w:val="22"/>
          <w:szCs w:val="22"/>
          <w:lang w:val="es-ES_tradnl"/>
        </w:rPr>
        <w:t>.</w:t>
      </w:r>
      <w:r w:rsidR="00CD2003">
        <w:rPr>
          <w:rStyle w:val="Refdenotaalpie"/>
          <w:rFonts w:ascii="ITC Avant Garde" w:eastAsia="Arial" w:hAnsi="ITC Avant Garde" w:cs="Arial"/>
          <w:sz w:val="22"/>
          <w:szCs w:val="22"/>
          <w:lang w:val="es-ES_tradnl"/>
        </w:rPr>
        <w:footnoteReference w:id="3"/>
      </w:r>
    </w:p>
    <w:p w14:paraId="17C3CD30" w14:textId="77777777" w:rsidR="001F1C07" w:rsidRDefault="001F1C07" w:rsidP="00233507">
      <w:pPr>
        <w:tabs>
          <w:tab w:val="num" w:pos="1220"/>
          <w:tab w:val="num" w:pos="1940"/>
        </w:tabs>
        <w:spacing w:line="276" w:lineRule="auto"/>
        <w:jc w:val="both"/>
        <w:rPr>
          <w:rFonts w:ascii="ITC Avant Garde" w:eastAsia="Arial" w:hAnsi="ITC Avant Garde" w:cs="Arial"/>
          <w:sz w:val="22"/>
          <w:szCs w:val="22"/>
          <w:lang w:val="es-ES_tradnl"/>
        </w:rPr>
      </w:pPr>
    </w:p>
    <w:p w14:paraId="369F81E1" w14:textId="016F737B" w:rsidR="00CD2003" w:rsidRDefault="00CD2003" w:rsidP="00233507">
      <w:pPr>
        <w:tabs>
          <w:tab w:val="num" w:pos="1220"/>
          <w:tab w:val="num" w:pos="1940"/>
        </w:tabs>
        <w:spacing w:line="276" w:lineRule="auto"/>
        <w:jc w:val="both"/>
        <w:rPr>
          <w:rFonts w:ascii="ITC Avant Garde" w:eastAsia="Arial" w:hAnsi="ITC Avant Garde" w:cs="Arial"/>
          <w:sz w:val="22"/>
          <w:szCs w:val="22"/>
          <w:lang w:val="es-ES_tradnl"/>
        </w:rPr>
      </w:pPr>
      <w:r w:rsidRPr="00CD2003">
        <w:rPr>
          <w:rFonts w:ascii="ITC Avant Garde" w:eastAsia="Arial" w:hAnsi="ITC Avant Garde" w:cs="Arial"/>
          <w:sz w:val="22"/>
          <w:szCs w:val="22"/>
          <w:lang w:val="es-ES_tradnl"/>
        </w:rPr>
        <w:t xml:space="preserve">El </w:t>
      </w:r>
      <w:r>
        <w:rPr>
          <w:rFonts w:ascii="ITC Avant Garde" w:eastAsia="Arial" w:hAnsi="ITC Avant Garde" w:cs="Arial"/>
          <w:sz w:val="22"/>
          <w:szCs w:val="22"/>
          <w:lang w:val="es-ES_tradnl"/>
        </w:rPr>
        <w:t xml:space="preserve">Programa Institucional considera la importancia de que Telecomunicaciones de México establezca </w:t>
      </w:r>
      <w:r w:rsidRPr="00CD2003">
        <w:rPr>
          <w:rFonts w:ascii="ITC Avant Garde" w:eastAsia="Arial" w:hAnsi="ITC Avant Garde" w:cs="Arial"/>
          <w:sz w:val="22"/>
          <w:szCs w:val="22"/>
          <w:lang w:val="es-ES_tradnl"/>
        </w:rPr>
        <w:t>un acuerdo con CFE para definir y concertar el modo de operar de todos aquellos equipos que serán compartidos</w:t>
      </w:r>
      <w:r>
        <w:rPr>
          <w:rFonts w:ascii="ITC Avant Garde" w:eastAsia="Arial" w:hAnsi="ITC Avant Garde" w:cs="Arial"/>
          <w:sz w:val="22"/>
          <w:szCs w:val="22"/>
          <w:lang w:val="es-ES_tradnl"/>
        </w:rPr>
        <w:t>,</w:t>
      </w:r>
      <w:r w:rsidRPr="00CD2003">
        <w:rPr>
          <w:rFonts w:ascii="ITC Avant Garde" w:eastAsia="Arial" w:hAnsi="ITC Avant Garde" w:cs="Arial"/>
          <w:sz w:val="22"/>
          <w:szCs w:val="22"/>
          <w:lang w:val="es-ES_tradnl"/>
        </w:rPr>
        <w:t xml:space="preserve"> por las necesidades que tiene CFE de monitorear la red de transmisión de energía eléctrica y asegurar el acceso efectivo y compartido de TELECOMM a la fibra ó</w:t>
      </w:r>
      <w:r>
        <w:rPr>
          <w:rFonts w:ascii="ITC Avant Garde" w:eastAsia="Arial" w:hAnsi="ITC Avant Garde" w:cs="Arial"/>
          <w:sz w:val="22"/>
          <w:szCs w:val="22"/>
          <w:lang w:val="es-ES_tradnl"/>
        </w:rPr>
        <w:t xml:space="preserve">ptica, derechos de vía, torres, </w:t>
      </w:r>
      <w:proofErr w:type="spellStart"/>
      <w:r w:rsidRPr="00CD2003">
        <w:rPr>
          <w:rFonts w:ascii="ITC Avant Garde" w:eastAsia="Arial" w:hAnsi="ITC Avant Garde" w:cs="Arial"/>
          <w:sz w:val="22"/>
          <w:szCs w:val="22"/>
          <w:lang w:val="es-ES_tradnl"/>
        </w:rPr>
        <w:lastRenderedPageBreak/>
        <w:t>postería</w:t>
      </w:r>
      <w:proofErr w:type="spellEnd"/>
      <w:r w:rsidRPr="00CD2003">
        <w:rPr>
          <w:rFonts w:ascii="ITC Avant Garde" w:eastAsia="Arial" w:hAnsi="ITC Avant Garde" w:cs="Arial"/>
          <w:sz w:val="22"/>
          <w:szCs w:val="22"/>
          <w:lang w:val="es-ES_tradnl"/>
        </w:rPr>
        <w:t>, edificios e instalaciones que quedarán a cargo de la CFE</w:t>
      </w:r>
      <w:r>
        <w:rPr>
          <w:rFonts w:ascii="ITC Avant Garde" w:eastAsia="Arial" w:hAnsi="ITC Avant Garde" w:cs="Arial"/>
          <w:sz w:val="22"/>
          <w:szCs w:val="22"/>
          <w:lang w:val="es-ES_tradnl"/>
        </w:rPr>
        <w:t>,</w:t>
      </w:r>
      <w:r w:rsidRPr="00CD2003">
        <w:rPr>
          <w:rFonts w:ascii="ITC Avant Garde" w:eastAsia="Arial" w:hAnsi="ITC Avant Garde" w:cs="Arial"/>
          <w:sz w:val="22"/>
          <w:szCs w:val="22"/>
          <w:lang w:val="es-ES_tradnl"/>
        </w:rPr>
        <w:t xml:space="preserve"> teniendo en cuenta una alta disponibilidad de la red y niveles de servicio aceptables. </w:t>
      </w:r>
    </w:p>
    <w:p w14:paraId="5A2D3C04" w14:textId="77777777" w:rsidR="00CD2003" w:rsidRPr="00F7548C" w:rsidRDefault="00CD2003" w:rsidP="00233507">
      <w:pPr>
        <w:tabs>
          <w:tab w:val="num" w:pos="1220"/>
          <w:tab w:val="num" w:pos="1940"/>
        </w:tabs>
        <w:spacing w:line="276" w:lineRule="auto"/>
        <w:jc w:val="both"/>
        <w:rPr>
          <w:rFonts w:ascii="ITC Avant Garde" w:eastAsia="Arial" w:hAnsi="ITC Avant Garde" w:cs="Arial"/>
          <w:sz w:val="22"/>
          <w:szCs w:val="22"/>
          <w:lang w:val="es-ES_tradnl"/>
        </w:rPr>
      </w:pPr>
    </w:p>
    <w:p w14:paraId="7C2F5033" w14:textId="5E52E104" w:rsidR="00233507" w:rsidRPr="00F7548C" w:rsidRDefault="00233507" w:rsidP="00233507">
      <w:pPr>
        <w:tabs>
          <w:tab w:val="num" w:pos="1220"/>
          <w:tab w:val="num" w:pos="1940"/>
        </w:tabs>
        <w:spacing w:line="276" w:lineRule="auto"/>
        <w:jc w:val="both"/>
        <w:rPr>
          <w:rFonts w:ascii="ITC Avant Garde" w:eastAsia="Arial" w:hAnsi="ITC Avant Garde" w:cs="Arial"/>
          <w:sz w:val="22"/>
          <w:szCs w:val="22"/>
          <w:lang w:val="es-ES_tradnl"/>
        </w:rPr>
      </w:pPr>
      <w:r w:rsidRPr="00F7548C">
        <w:rPr>
          <w:rFonts w:ascii="ITC Avant Garde" w:eastAsia="Arial" w:hAnsi="ITC Avant Garde" w:cs="Arial"/>
          <w:sz w:val="22"/>
          <w:szCs w:val="22"/>
          <w:lang w:val="es-ES_tradnl"/>
        </w:rPr>
        <w:t xml:space="preserve">Por lo anteriormente expuesto, con fundamento en los artículos 6° apartado B fracción II y 28 párrafos décimo quinto y vigésimo fracción IV de la Constitución Política de los Estados Unidos Mexicanos; Décimo Quinto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1, 2, 7, 15 fracciones I, </w:t>
      </w:r>
      <w:r w:rsidR="005C053C" w:rsidRPr="00F7548C">
        <w:rPr>
          <w:rFonts w:ascii="ITC Avant Garde" w:eastAsia="Arial" w:hAnsi="ITC Avant Garde" w:cs="Arial"/>
          <w:sz w:val="22"/>
          <w:szCs w:val="22"/>
          <w:lang w:val="es-ES_tradnl"/>
        </w:rPr>
        <w:t>XII</w:t>
      </w:r>
      <w:r w:rsidR="00C1180D">
        <w:rPr>
          <w:rFonts w:ascii="ITC Avant Garde" w:eastAsia="Arial" w:hAnsi="ITC Avant Garde" w:cs="Arial"/>
          <w:sz w:val="22"/>
          <w:szCs w:val="22"/>
          <w:lang w:val="es-ES_tradnl"/>
        </w:rPr>
        <w:t>I</w:t>
      </w:r>
      <w:r w:rsidR="005C053C" w:rsidRPr="00F7548C">
        <w:rPr>
          <w:rFonts w:ascii="ITC Avant Garde" w:eastAsia="Arial" w:hAnsi="ITC Avant Garde" w:cs="Arial"/>
          <w:sz w:val="22"/>
          <w:szCs w:val="22"/>
          <w:lang w:val="es-ES_tradnl"/>
        </w:rPr>
        <w:t xml:space="preserve">, </w:t>
      </w:r>
      <w:r w:rsidRPr="00F7548C">
        <w:rPr>
          <w:rFonts w:ascii="ITC Avant Garde" w:eastAsia="Arial" w:hAnsi="ITC Avant Garde" w:cs="Arial"/>
          <w:sz w:val="22"/>
          <w:szCs w:val="22"/>
          <w:lang w:val="es-ES_tradnl"/>
        </w:rPr>
        <w:t>XLV y L</w:t>
      </w:r>
      <w:r w:rsidR="00245E19" w:rsidRPr="00F7548C">
        <w:rPr>
          <w:rFonts w:ascii="ITC Avant Garde" w:eastAsia="Arial" w:hAnsi="ITC Avant Garde" w:cs="Arial"/>
          <w:sz w:val="22"/>
          <w:szCs w:val="22"/>
          <w:lang w:val="es-ES_tradnl"/>
        </w:rPr>
        <w:t>XIII</w:t>
      </w:r>
      <w:r w:rsidRPr="00F7548C">
        <w:rPr>
          <w:rFonts w:ascii="ITC Avant Garde" w:eastAsia="Arial" w:hAnsi="ITC Avant Garde" w:cs="Arial"/>
          <w:sz w:val="22"/>
          <w:szCs w:val="22"/>
          <w:lang w:val="es-ES_tradnl"/>
        </w:rPr>
        <w:t xml:space="preserve">, 16 y 17 fracción I de la Ley Federal de Telecomunicaciones y Radiodifusión, y 1, 4 fracción I, </w:t>
      </w:r>
      <w:r w:rsidR="005C053C" w:rsidRPr="00F7548C">
        <w:rPr>
          <w:rFonts w:ascii="ITC Avant Garde" w:eastAsia="Arial" w:hAnsi="ITC Avant Garde" w:cs="Arial"/>
          <w:sz w:val="22"/>
          <w:szCs w:val="22"/>
          <w:lang w:val="es-ES_tradnl"/>
        </w:rPr>
        <w:t>6 fracción I</w:t>
      </w:r>
      <w:r w:rsidR="00EB5E82" w:rsidRPr="00F7548C">
        <w:rPr>
          <w:rFonts w:ascii="ITC Avant Garde" w:eastAsia="Arial" w:hAnsi="ITC Avant Garde" w:cs="Arial"/>
          <w:sz w:val="22"/>
          <w:szCs w:val="22"/>
          <w:lang w:val="es-ES_tradnl"/>
        </w:rPr>
        <w:t xml:space="preserve"> y XXXVII</w:t>
      </w:r>
      <w:r w:rsidRPr="00F7548C">
        <w:rPr>
          <w:rFonts w:ascii="ITC Avant Garde" w:eastAsia="Arial" w:hAnsi="ITC Avant Garde" w:cs="Arial"/>
          <w:sz w:val="22"/>
          <w:szCs w:val="22"/>
          <w:lang w:val="es-ES_tradnl"/>
        </w:rPr>
        <w:t>, del Estatuto Orgánico del Instituto Federal de Telecomunicaciones, el Pleno del Instituto resuelve emitir los siguientes:</w:t>
      </w:r>
    </w:p>
    <w:p w14:paraId="3E24C18B" w14:textId="77777777" w:rsidR="00233507" w:rsidRPr="00F7548C" w:rsidRDefault="00233507" w:rsidP="00233507">
      <w:pPr>
        <w:spacing w:line="276" w:lineRule="auto"/>
        <w:jc w:val="center"/>
        <w:rPr>
          <w:rFonts w:ascii="ITC Avant Garde" w:hAnsi="ITC Avant Garde"/>
          <w:b/>
          <w:sz w:val="22"/>
          <w:szCs w:val="22"/>
        </w:rPr>
      </w:pPr>
    </w:p>
    <w:p w14:paraId="59D9B9C7" w14:textId="77777777" w:rsidR="000F3A6D" w:rsidRPr="00F7548C" w:rsidRDefault="000F3A6D" w:rsidP="0071127F">
      <w:pPr>
        <w:spacing w:line="276" w:lineRule="auto"/>
        <w:jc w:val="both"/>
        <w:rPr>
          <w:rFonts w:ascii="ITC Avant Garde" w:hAnsi="ITC Avant Garde"/>
          <w:b/>
          <w:sz w:val="22"/>
          <w:szCs w:val="22"/>
        </w:rPr>
      </w:pPr>
    </w:p>
    <w:p w14:paraId="3BE34DBB" w14:textId="77777777" w:rsidR="0071127F" w:rsidRPr="005B2961" w:rsidRDefault="0071127F" w:rsidP="005B2961">
      <w:pPr>
        <w:pStyle w:val="Ttulo2"/>
        <w:jc w:val="both"/>
        <w:rPr>
          <w:rFonts w:ascii="ITC Avant Garde" w:hAnsi="ITC Avant Garde"/>
          <w:b/>
          <w:color w:val="000000" w:themeColor="text1"/>
          <w:sz w:val="22"/>
          <w:szCs w:val="22"/>
        </w:rPr>
      </w:pPr>
      <w:r w:rsidRPr="005B2961">
        <w:rPr>
          <w:rFonts w:ascii="ITC Avant Garde" w:hAnsi="ITC Avant Garde"/>
          <w:b/>
          <w:color w:val="000000" w:themeColor="text1"/>
          <w:sz w:val="22"/>
          <w:szCs w:val="22"/>
        </w:rPr>
        <w:t>LINEAMIENTOS PARA EL ACCESO EFECTIVO Y COMPARTIDO A LA INFRAESTRUCTURA DE LA COMISIÓN FEDERAL DE ELECTRICIDAD, POR PARTE DE TELECOMUNICACIONES DE MÉXICO; Y PARA LA CONSTRUCCIÓN Y CRECIMIENTO DE LA RED TRONCAL NACIONAL</w:t>
      </w:r>
    </w:p>
    <w:p w14:paraId="1A29DE18" w14:textId="77777777" w:rsidR="0071127F" w:rsidRPr="00F7548C" w:rsidRDefault="0071127F" w:rsidP="0071127F">
      <w:pPr>
        <w:spacing w:line="276" w:lineRule="auto"/>
        <w:jc w:val="both"/>
        <w:rPr>
          <w:rFonts w:ascii="ITC Avant Garde" w:hAnsi="ITC Avant Garde"/>
          <w:b/>
          <w:sz w:val="22"/>
          <w:szCs w:val="22"/>
        </w:rPr>
      </w:pPr>
    </w:p>
    <w:p w14:paraId="67B565DD" w14:textId="10EB6AD1" w:rsidR="0071127F" w:rsidRPr="005B2961" w:rsidRDefault="0071127F" w:rsidP="005B2961">
      <w:pPr>
        <w:pStyle w:val="Ttulo3"/>
        <w:ind w:left="3119" w:right="3168"/>
        <w:jc w:val="center"/>
        <w:rPr>
          <w:rFonts w:ascii="ITC Avant Garde" w:hAnsi="ITC Avant Garde"/>
          <w:b/>
          <w:bCs/>
          <w:color w:val="000000" w:themeColor="text1"/>
          <w:sz w:val="22"/>
          <w:szCs w:val="22"/>
        </w:rPr>
      </w:pPr>
      <w:r w:rsidRPr="005B2961">
        <w:rPr>
          <w:rFonts w:ascii="ITC Avant Garde" w:hAnsi="ITC Avant Garde"/>
          <w:b/>
          <w:bCs/>
          <w:color w:val="000000" w:themeColor="text1"/>
          <w:sz w:val="22"/>
          <w:szCs w:val="22"/>
        </w:rPr>
        <w:t>Capítulo I</w:t>
      </w:r>
      <w:r w:rsidR="005B2961">
        <w:rPr>
          <w:rFonts w:ascii="ITC Avant Garde" w:hAnsi="ITC Avant Garde"/>
          <w:b/>
          <w:bCs/>
          <w:color w:val="000000" w:themeColor="text1"/>
          <w:sz w:val="22"/>
          <w:szCs w:val="22"/>
        </w:rPr>
        <w:t xml:space="preserve"> </w:t>
      </w:r>
      <w:r w:rsidRPr="005B2961">
        <w:rPr>
          <w:rFonts w:ascii="ITC Avant Garde" w:hAnsi="ITC Avant Garde"/>
          <w:b/>
          <w:bCs/>
          <w:color w:val="000000" w:themeColor="text1"/>
          <w:sz w:val="22"/>
          <w:szCs w:val="22"/>
          <w:u w:val="single"/>
        </w:rPr>
        <w:t>Disposiciones Generales</w:t>
      </w:r>
    </w:p>
    <w:p w14:paraId="023E7A8B" w14:textId="77777777"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p>
    <w:p w14:paraId="31EFC871" w14:textId="3670A092"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Artículo</w:t>
      </w:r>
      <w:r w:rsidRPr="00F7548C">
        <w:rPr>
          <w:rFonts w:ascii="ITC Avant Garde" w:hAnsi="ITC Avant Garde"/>
          <w:b/>
          <w:sz w:val="22"/>
          <w:szCs w:val="22"/>
        </w:rPr>
        <w:t xml:space="preserve"> 1.-</w:t>
      </w:r>
      <w:r w:rsidRPr="00F7548C">
        <w:rPr>
          <w:rFonts w:ascii="ITC Avant Garde" w:hAnsi="ITC Avant Garde"/>
          <w:sz w:val="22"/>
          <w:szCs w:val="22"/>
        </w:rPr>
        <w:t xml:space="preserve"> </w:t>
      </w:r>
      <w:r w:rsidRPr="00F7548C">
        <w:rPr>
          <w:rFonts w:ascii="ITC Avant Garde" w:hAnsi="ITC Avant Garde"/>
          <w:bCs/>
          <w:sz w:val="22"/>
          <w:szCs w:val="22"/>
        </w:rPr>
        <w:t xml:space="preserve">El objetivo de los presentes Lineamientos es regular y establecer directrices para que la Comisión Federal de Electricidad garantice el acceso efectivo y compartido de </w:t>
      </w:r>
      <w:r w:rsidR="006874F1" w:rsidRPr="00F7548C">
        <w:rPr>
          <w:rFonts w:ascii="ITC Avant Garde" w:hAnsi="ITC Avant Garde"/>
          <w:bCs/>
          <w:sz w:val="22"/>
          <w:szCs w:val="22"/>
        </w:rPr>
        <w:t>la</w:t>
      </w:r>
      <w:r w:rsidRPr="00F7548C">
        <w:rPr>
          <w:rFonts w:ascii="ITC Avant Garde" w:hAnsi="ITC Avant Garde"/>
          <w:bCs/>
          <w:sz w:val="22"/>
          <w:szCs w:val="22"/>
        </w:rPr>
        <w:t xml:space="preserve"> infraestructura </w:t>
      </w:r>
      <w:r w:rsidR="006874F1" w:rsidRPr="00F7548C">
        <w:rPr>
          <w:rFonts w:ascii="ITC Avant Garde" w:hAnsi="ITC Avant Garde"/>
          <w:bCs/>
          <w:sz w:val="22"/>
          <w:szCs w:val="22"/>
        </w:rPr>
        <w:t xml:space="preserve">instalada o en proceso de instalación </w:t>
      </w:r>
      <w:r w:rsidRPr="00F7548C">
        <w:rPr>
          <w:rFonts w:ascii="ITC Avant Garde" w:hAnsi="ITC Avant Garde"/>
          <w:bCs/>
          <w:sz w:val="22"/>
          <w:szCs w:val="22"/>
        </w:rPr>
        <w:t xml:space="preserve">a Telecomunicaciones de México, así como para </w:t>
      </w:r>
      <w:r w:rsidR="001D0BD0" w:rsidRPr="00F7548C">
        <w:rPr>
          <w:rFonts w:ascii="ITC Avant Garde" w:hAnsi="ITC Avant Garde"/>
          <w:bCs/>
          <w:sz w:val="22"/>
          <w:szCs w:val="22"/>
        </w:rPr>
        <w:t xml:space="preserve">que éste pueda </w:t>
      </w:r>
      <w:r w:rsidRPr="00F7548C">
        <w:rPr>
          <w:rFonts w:ascii="ITC Avant Garde" w:hAnsi="ITC Avant Garde"/>
          <w:bCs/>
          <w:sz w:val="22"/>
          <w:szCs w:val="22"/>
        </w:rPr>
        <w:t>planear, diseñar y ejecutar la construcción y crecimiento de una robusta red troncal de telecomunicaciones de cobertura nacional que impulse el acceso efectivo de la población a la comunicación de banda ancha y a los servicios de telecomunicaciones.</w:t>
      </w:r>
    </w:p>
    <w:p w14:paraId="56E95564"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507DD2F7"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Artículo 2.-</w:t>
      </w:r>
      <w:r w:rsidRPr="00F7548C">
        <w:rPr>
          <w:rFonts w:ascii="ITC Avant Garde" w:hAnsi="ITC Avant Garde"/>
          <w:bCs/>
          <w:sz w:val="22"/>
          <w:szCs w:val="22"/>
        </w:rPr>
        <w:t xml:space="preserve"> Para los efectos de estos Lineamientos, además de las definiciones previstas en la Ley y demás disposiciones aplicables, los siguientes términos tendrán el significado que a continuación se indica:</w:t>
      </w:r>
    </w:p>
    <w:p w14:paraId="06132E51" w14:textId="77777777" w:rsidR="0071127F" w:rsidRPr="00F7548C" w:rsidRDefault="0071127F" w:rsidP="0071127F">
      <w:pPr>
        <w:pStyle w:val="Prrafodelista"/>
        <w:spacing w:line="276" w:lineRule="auto"/>
        <w:jc w:val="both"/>
        <w:rPr>
          <w:rFonts w:ascii="ITC Avant Garde" w:hAnsi="ITC Avant Garde"/>
          <w:bCs/>
          <w:sz w:val="22"/>
          <w:szCs w:val="22"/>
          <w:lang w:val="es-MX" w:eastAsia="es-MX"/>
        </w:rPr>
      </w:pPr>
    </w:p>
    <w:p w14:paraId="28E49213" w14:textId="79F9DB49"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b/>
          <w:sz w:val="22"/>
          <w:szCs w:val="22"/>
        </w:rPr>
      </w:pPr>
      <w:r w:rsidRPr="00F7548C">
        <w:rPr>
          <w:rFonts w:ascii="ITC Avant Garde" w:hAnsi="ITC Avant Garde"/>
          <w:b/>
          <w:sz w:val="22"/>
          <w:szCs w:val="22"/>
        </w:rPr>
        <w:t xml:space="preserve">Acceso y Uso de Infraestructura: </w:t>
      </w:r>
      <w:r w:rsidRPr="00F7548C">
        <w:rPr>
          <w:rFonts w:ascii="ITC Avant Garde" w:hAnsi="ITC Avant Garde"/>
          <w:sz w:val="22"/>
          <w:szCs w:val="22"/>
        </w:rPr>
        <w:t xml:space="preserve">El </w:t>
      </w:r>
      <w:r w:rsidR="00477124" w:rsidRPr="00F7548C">
        <w:rPr>
          <w:rFonts w:ascii="ITC Avant Garde" w:hAnsi="ITC Avant Garde"/>
          <w:sz w:val="22"/>
          <w:szCs w:val="22"/>
        </w:rPr>
        <w:t>aprovechamiento</w:t>
      </w:r>
      <w:r w:rsidRPr="00F7548C">
        <w:rPr>
          <w:rFonts w:ascii="ITC Avant Garde" w:hAnsi="ITC Avant Garde"/>
          <w:sz w:val="22"/>
          <w:szCs w:val="22"/>
        </w:rPr>
        <w:t xml:space="preserve"> </w:t>
      </w:r>
      <w:r w:rsidR="00477124" w:rsidRPr="00F7548C">
        <w:rPr>
          <w:rFonts w:ascii="ITC Avant Garde" w:hAnsi="ITC Avant Garde"/>
          <w:sz w:val="22"/>
          <w:szCs w:val="22"/>
        </w:rPr>
        <w:t>de</w:t>
      </w:r>
      <w:r w:rsidRPr="00F7548C">
        <w:rPr>
          <w:rFonts w:ascii="ITC Avant Garde" w:hAnsi="ITC Avant Garde"/>
          <w:sz w:val="22"/>
          <w:szCs w:val="22"/>
        </w:rPr>
        <w:t xml:space="preserve"> la red de fibra óptica de la Comisión Federal de Electricidad instalada tanto en sus líneas de transmisión como de distribución de energía eléctrica, así como la </w:t>
      </w:r>
      <w:r w:rsidRPr="00F7548C">
        <w:rPr>
          <w:rFonts w:ascii="ITC Avant Garde" w:hAnsi="ITC Avant Garde"/>
          <w:sz w:val="22"/>
          <w:szCs w:val="22"/>
        </w:rPr>
        <w:lastRenderedPageBreak/>
        <w:t xml:space="preserve">infraestructura </w:t>
      </w:r>
      <w:r w:rsidR="001D0BD0" w:rsidRPr="00F7548C">
        <w:rPr>
          <w:rFonts w:ascii="ITC Avant Garde" w:hAnsi="ITC Avant Garde"/>
          <w:sz w:val="22"/>
          <w:szCs w:val="22"/>
        </w:rPr>
        <w:t xml:space="preserve">que pueda ser destinada a prestadores de servicios públicos de telecomunicaciones </w:t>
      </w:r>
      <w:r w:rsidRPr="00F7548C">
        <w:rPr>
          <w:rFonts w:ascii="ITC Avant Garde" w:hAnsi="ITC Avant Garde"/>
          <w:sz w:val="22"/>
          <w:szCs w:val="22"/>
        </w:rPr>
        <w:t>con que cuenta, como son torres, postes, gasoductos, derechos de vía, cableado aéreo, subterráneo y submarino, sitios, construcciones, canalizaciones, ductos, obras, sistemas de suministro y respaldo de energía eléctrica, sistemas de climatización y demás aditamentos que pu</w:t>
      </w:r>
      <w:r w:rsidR="00045A1C">
        <w:rPr>
          <w:rFonts w:ascii="ITC Avant Garde" w:hAnsi="ITC Avant Garde"/>
          <w:sz w:val="22"/>
          <w:szCs w:val="22"/>
        </w:rPr>
        <w:t>ed</w:t>
      </w:r>
      <w:r w:rsidRPr="00F7548C">
        <w:rPr>
          <w:rFonts w:ascii="ITC Avant Garde" w:hAnsi="ITC Avant Garde"/>
          <w:sz w:val="22"/>
          <w:szCs w:val="22"/>
        </w:rPr>
        <w:t>an ser utilizados por Telecomunicaciones de México para la construcción, instalación y operación de la Red Troncal, así como para la prestación de los Servicios Mayoristas de Telecomunicaciones concesionados, entre otros;</w:t>
      </w:r>
    </w:p>
    <w:p w14:paraId="63C4A2AA" w14:textId="73C8C806" w:rsidR="0071127F" w:rsidRPr="00F7548C" w:rsidRDefault="0071127F" w:rsidP="0071127F">
      <w:pPr>
        <w:pStyle w:val="estilo30"/>
        <w:numPr>
          <w:ilvl w:val="0"/>
          <w:numId w:val="19"/>
        </w:numPr>
        <w:spacing w:line="276" w:lineRule="auto"/>
        <w:jc w:val="both"/>
        <w:rPr>
          <w:rFonts w:ascii="ITC Avant Garde" w:hAnsi="ITC Avant Garde"/>
          <w:sz w:val="22"/>
          <w:szCs w:val="22"/>
        </w:rPr>
      </w:pPr>
      <w:r w:rsidRPr="00F7548C">
        <w:rPr>
          <w:rFonts w:ascii="ITC Avant Garde" w:hAnsi="ITC Avant Garde"/>
          <w:b/>
          <w:sz w:val="22"/>
          <w:szCs w:val="22"/>
        </w:rPr>
        <w:t>CFE</w:t>
      </w:r>
      <w:r w:rsidRPr="00F7548C">
        <w:rPr>
          <w:rFonts w:ascii="ITC Avant Garde" w:hAnsi="ITC Avant Garde"/>
          <w:sz w:val="22"/>
          <w:szCs w:val="22"/>
        </w:rPr>
        <w:t>: La Comisión Federal de Electricidad; empresa productiva del Estado de propiedad exclusiva del Gobierno Federal, que  cuenta con personalidad jurídica, patrimonio propios y autonomía técnica, operativa y de gestión, para realizar actividades, operaciones o servicios necesarios para el cumplimiento de su objeto por sí misma; con apoyo de sus empresas productivas subsidiarias y empresas filiales, o mediante la celebración de contratos, convenios, alianzas o asociaciones o cualquier acto jurídico, con personas físicas o morales de los sectores público, privado o social, nacional o internacional;</w:t>
      </w:r>
      <w:r w:rsidR="00B303A6" w:rsidRPr="00F7548C">
        <w:rPr>
          <w:rFonts w:ascii="ITC Avant Garde" w:hAnsi="ITC Avant Garde"/>
          <w:sz w:val="22"/>
          <w:szCs w:val="22"/>
        </w:rPr>
        <w:t xml:space="preserve"> y que se encuentra prevista en la Ley de la Comisión Federal de Electricidad;</w:t>
      </w:r>
    </w:p>
    <w:p w14:paraId="09A143B4" w14:textId="015E78D5"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bCs/>
          <w:sz w:val="22"/>
          <w:szCs w:val="22"/>
        </w:rPr>
        <w:t>Cobertura Nacional:</w:t>
      </w:r>
      <w:r w:rsidRPr="00F7548C">
        <w:rPr>
          <w:rFonts w:ascii="ITC Avant Garde" w:hAnsi="ITC Avant Garde"/>
          <w:sz w:val="22"/>
          <w:szCs w:val="22"/>
        </w:rPr>
        <w:t xml:space="preserve"> El conjunto de Puntos de Presencia que debe tener la Red Troncal en el territorio nacional, para su instalación y crecimiento, considerando las previsiones de demanda y financiamiento, para que las redes de acceso puedan interconectarse, </w:t>
      </w:r>
      <w:r w:rsidR="00794136">
        <w:rPr>
          <w:rFonts w:ascii="ITC Avant Garde" w:hAnsi="ITC Avant Garde"/>
          <w:sz w:val="22"/>
          <w:szCs w:val="22"/>
        </w:rPr>
        <w:t>así como</w:t>
      </w:r>
      <w:r w:rsidRPr="00F7548C">
        <w:rPr>
          <w:rFonts w:ascii="ITC Avant Garde" w:hAnsi="ITC Avant Garde"/>
          <w:sz w:val="22"/>
          <w:szCs w:val="22"/>
        </w:rPr>
        <w:t xml:space="preserve"> aquellos puntos acordados con la Secretaria de Comunicaciones y Transportes, para coadyuvar con los programas de cobertura social y de conectividad;</w:t>
      </w:r>
    </w:p>
    <w:p w14:paraId="0AAF121B"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Decreto</w:t>
      </w:r>
      <w:r w:rsidRPr="00F7548C">
        <w:rPr>
          <w:rFonts w:ascii="ITC Avant Garde" w:hAnsi="ITC Avant Garde"/>
          <w:sz w:val="22"/>
          <w:szCs w:val="22"/>
        </w:rPr>
        <w:t>: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795654BF" w14:textId="6BCFA352" w:rsidR="0071127F" w:rsidRPr="00F7548C" w:rsidRDefault="00D370FB" w:rsidP="0071127F">
      <w:pPr>
        <w:pStyle w:val="estilo30"/>
        <w:numPr>
          <w:ilvl w:val="0"/>
          <w:numId w:val="19"/>
        </w:numPr>
        <w:spacing w:before="0" w:beforeAutospacing="0" w:after="0" w:afterAutospacing="0" w:line="276" w:lineRule="auto"/>
        <w:jc w:val="both"/>
        <w:rPr>
          <w:rFonts w:ascii="ITC Avant Garde" w:hAnsi="ITC Avant Garde"/>
          <w:sz w:val="22"/>
          <w:szCs w:val="22"/>
        </w:rPr>
      </w:pPr>
      <w:r>
        <w:rPr>
          <w:rFonts w:ascii="ITC Avant Garde" w:hAnsi="ITC Avant Garde"/>
          <w:b/>
          <w:sz w:val="22"/>
          <w:szCs w:val="22"/>
        </w:rPr>
        <w:t>Parámetro</w:t>
      </w:r>
      <w:r w:rsidR="0071127F" w:rsidRPr="00F7548C">
        <w:rPr>
          <w:rFonts w:ascii="ITC Avant Garde" w:hAnsi="ITC Avant Garde"/>
          <w:b/>
          <w:sz w:val="22"/>
          <w:szCs w:val="22"/>
        </w:rPr>
        <w:t xml:space="preserve"> de calidad:</w:t>
      </w:r>
      <w:r w:rsidR="0071127F" w:rsidRPr="00F7548C">
        <w:rPr>
          <w:rFonts w:ascii="ITC Avant Garde" w:hAnsi="ITC Avant Garde"/>
          <w:sz w:val="22"/>
          <w:szCs w:val="22"/>
        </w:rPr>
        <w:t xml:space="preserve"> </w:t>
      </w:r>
      <w:r>
        <w:rPr>
          <w:rFonts w:ascii="ITC Avant Garde" w:hAnsi="ITC Avant Garde"/>
          <w:sz w:val="22"/>
          <w:szCs w:val="22"/>
        </w:rPr>
        <w:t>M</w:t>
      </w:r>
      <w:r w:rsidR="0071127F" w:rsidRPr="00F7548C">
        <w:rPr>
          <w:rFonts w:ascii="ITC Avant Garde" w:hAnsi="ITC Avant Garde"/>
          <w:sz w:val="22"/>
          <w:szCs w:val="22"/>
        </w:rPr>
        <w:t>edi</w:t>
      </w:r>
      <w:r>
        <w:rPr>
          <w:rFonts w:ascii="ITC Avant Garde" w:hAnsi="ITC Avant Garde"/>
          <w:sz w:val="22"/>
          <w:szCs w:val="22"/>
        </w:rPr>
        <w:t>da</w:t>
      </w:r>
      <w:r w:rsidR="0071127F" w:rsidRPr="00F7548C">
        <w:rPr>
          <w:rFonts w:ascii="ITC Avant Garde" w:hAnsi="ITC Avant Garde"/>
          <w:sz w:val="22"/>
          <w:szCs w:val="22"/>
        </w:rPr>
        <w:t xml:space="preserve"> de carácter tangible y cuantificable, que permite evaluar la calidad de los procesos y servicios asociados al Acceso y Uso de Infraestructura;</w:t>
      </w:r>
    </w:p>
    <w:p w14:paraId="7FFE1367"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Instituto</w:t>
      </w:r>
      <w:r w:rsidRPr="00F7548C">
        <w:rPr>
          <w:rFonts w:ascii="ITC Avant Garde" w:hAnsi="ITC Avant Garde"/>
          <w:sz w:val="22"/>
          <w:szCs w:val="22"/>
        </w:rPr>
        <w:t>: Instituto Federal de Telecomunicaciones;</w:t>
      </w:r>
    </w:p>
    <w:p w14:paraId="513B4589"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proofErr w:type="spellStart"/>
      <w:r w:rsidRPr="00F7548C">
        <w:rPr>
          <w:rFonts w:ascii="ITC Avant Garde" w:hAnsi="ITC Avant Garde"/>
          <w:b/>
          <w:sz w:val="22"/>
          <w:szCs w:val="22"/>
        </w:rPr>
        <w:t>Jitter</w:t>
      </w:r>
      <w:proofErr w:type="spellEnd"/>
      <w:r w:rsidRPr="00F7548C">
        <w:rPr>
          <w:rFonts w:ascii="ITC Avant Garde" w:hAnsi="ITC Avant Garde"/>
          <w:sz w:val="22"/>
          <w:szCs w:val="22"/>
        </w:rPr>
        <w:t>: Variación en el retardo que existe en la entrega de paquetes consecutivos desde su origen hasta su destino;</w:t>
      </w:r>
    </w:p>
    <w:p w14:paraId="69E780FE"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Latencia</w:t>
      </w:r>
      <w:r w:rsidRPr="00F7548C">
        <w:rPr>
          <w:rFonts w:ascii="ITC Avant Garde" w:hAnsi="ITC Avant Garde"/>
          <w:sz w:val="22"/>
          <w:szCs w:val="22"/>
        </w:rPr>
        <w:t>: Cantidad de tiempo que tarda un paquete en ser transferido desde su origen hasta su destino;</w:t>
      </w:r>
    </w:p>
    <w:p w14:paraId="714C8383"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Pérdida de paquetes</w:t>
      </w:r>
      <w:r w:rsidRPr="00F7548C">
        <w:rPr>
          <w:rFonts w:ascii="ITC Avant Garde" w:hAnsi="ITC Avant Garde"/>
          <w:sz w:val="22"/>
          <w:szCs w:val="22"/>
        </w:rPr>
        <w:t>: Razón entre paquetes que no llegan a su destino y el total de paquetes enviados;</w:t>
      </w:r>
    </w:p>
    <w:p w14:paraId="1F5E205E"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bCs/>
          <w:sz w:val="22"/>
          <w:szCs w:val="22"/>
        </w:rPr>
        <w:lastRenderedPageBreak/>
        <w:t>Ley:</w:t>
      </w:r>
      <w:r w:rsidRPr="00F7548C">
        <w:rPr>
          <w:rFonts w:ascii="ITC Avant Garde" w:hAnsi="ITC Avant Garde"/>
          <w:sz w:val="22"/>
          <w:szCs w:val="22"/>
        </w:rPr>
        <w:t xml:space="preserve"> Ley Federal de Telecomunicaciones y Radiodifusión;</w:t>
      </w:r>
    </w:p>
    <w:p w14:paraId="790C7FA6"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Punto de Presencia</w:t>
      </w:r>
      <w:r w:rsidRPr="00F7548C">
        <w:rPr>
          <w:rFonts w:ascii="ITC Avant Garde" w:hAnsi="ITC Avant Garde"/>
          <w:sz w:val="22"/>
          <w:szCs w:val="22"/>
        </w:rPr>
        <w:t xml:space="preserve">: Elemento de red, ya sea de acceso o de conmutación, que permite recibir, transmitir y </w:t>
      </w:r>
      <w:proofErr w:type="spellStart"/>
      <w:r w:rsidRPr="00F7548C">
        <w:rPr>
          <w:rFonts w:ascii="ITC Avant Garde" w:hAnsi="ITC Avant Garde"/>
          <w:sz w:val="22"/>
          <w:szCs w:val="22"/>
        </w:rPr>
        <w:t>enrutar</w:t>
      </w:r>
      <w:proofErr w:type="spellEnd"/>
      <w:r w:rsidRPr="00F7548C">
        <w:rPr>
          <w:rFonts w:ascii="ITC Avant Garde" w:hAnsi="ITC Avant Garde"/>
          <w:sz w:val="22"/>
          <w:szCs w:val="22"/>
        </w:rPr>
        <w:t xml:space="preserve"> las comunicaciones;</w:t>
      </w:r>
    </w:p>
    <w:p w14:paraId="6F8A0AC6" w14:textId="12B62A41" w:rsidR="0071127F" w:rsidRPr="00F7548C" w:rsidRDefault="0071127F" w:rsidP="00422783">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Red Troncal</w:t>
      </w:r>
      <w:r w:rsidRPr="00F7548C">
        <w:rPr>
          <w:rFonts w:ascii="ITC Avant Garde" w:hAnsi="ITC Avant Garde"/>
          <w:sz w:val="22"/>
          <w:szCs w:val="22"/>
        </w:rPr>
        <w:t xml:space="preserve">: </w:t>
      </w:r>
      <w:r w:rsidR="00422783" w:rsidRPr="00422783">
        <w:rPr>
          <w:rFonts w:ascii="ITC Avant Garde" w:hAnsi="ITC Avant Garde"/>
          <w:sz w:val="22"/>
          <w:szCs w:val="22"/>
        </w:rPr>
        <w:t>Red soportada por una infraestructura de fibra óptica, que se establece para conectar ciertos nodos, como centrales de conmutación, puntos de presencia y puntos de interconexión, formando el eje de conexión principal de la red del operador a la cual se conectan redes públicas de telecomunicaciones de menor tamaño, que prestan servicios de telecomunicaciones a los usuarios finales</w:t>
      </w:r>
      <w:r w:rsidRPr="00F7548C">
        <w:rPr>
          <w:rFonts w:ascii="ITC Avant Garde" w:hAnsi="ITC Avant Garde"/>
          <w:sz w:val="22"/>
          <w:szCs w:val="22"/>
        </w:rPr>
        <w:t>;</w:t>
      </w:r>
    </w:p>
    <w:p w14:paraId="1DCC375B" w14:textId="37F8F1FE"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Red Troncal Nacional</w:t>
      </w:r>
      <w:r w:rsidRPr="00F7548C">
        <w:rPr>
          <w:rFonts w:ascii="ITC Avant Garde" w:hAnsi="ITC Avant Garde"/>
          <w:sz w:val="22"/>
          <w:szCs w:val="22"/>
        </w:rPr>
        <w:t xml:space="preserve">: Red Troncal a la que hace referencia el artículo Décimo Quinto Transitorio del Decreto, que </w:t>
      </w:r>
      <w:r w:rsidR="00B303A6" w:rsidRPr="00F7548C">
        <w:rPr>
          <w:rFonts w:ascii="ITC Avant Garde" w:hAnsi="ITC Avant Garde"/>
          <w:sz w:val="22"/>
          <w:szCs w:val="22"/>
        </w:rPr>
        <w:t>se caracteriza por</w:t>
      </w:r>
      <w:r w:rsidRPr="00F7548C">
        <w:rPr>
          <w:rFonts w:ascii="ITC Avant Garde" w:hAnsi="ITC Avant Garde"/>
          <w:sz w:val="22"/>
          <w:szCs w:val="22"/>
        </w:rPr>
        <w:t xml:space="preserve"> tener cobertura nacional y alta disponibilidad; </w:t>
      </w:r>
    </w:p>
    <w:p w14:paraId="3E74676A" w14:textId="31796E24"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bCs/>
          <w:sz w:val="22"/>
          <w:szCs w:val="22"/>
        </w:rPr>
        <w:t>Servicios Mayoristas de Telecomunicaciones:</w:t>
      </w:r>
      <w:r w:rsidRPr="00F7548C">
        <w:rPr>
          <w:rFonts w:ascii="ITC Avant Garde" w:hAnsi="ITC Avant Garde"/>
          <w:sz w:val="22"/>
          <w:szCs w:val="22"/>
        </w:rPr>
        <w:t xml:space="preserve"> Servicios de telecomunicaciones que consiste en el suministro de acceso a elementos individuales</w:t>
      </w:r>
      <w:r w:rsidR="00BC11B2">
        <w:rPr>
          <w:rFonts w:ascii="ITC Avant Garde" w:hAnsi="ITC Avant Garde"/>
          <w:sz w:val="22"/>
          <w:szCs w:val="22"/>
        </w:rPr>
        <w:t xml:space="preserve"> de la infraestructura</w:t>
      </w:r>
      <w:r w:rsidRPr="00F7548C">
        <w:rPr>
          <w:rFonts w:ascii="ITC Avant Garde" w:hAnsi="ITC Avant Garde"/>
          <w:sz w:val="22"/>
          <w:szCs w:val="22"/>
        </w:rPr>
        <w:t>, a capacidades de una red o servicios, incluyendo los de interconexión, que son utilizados por concesionarios o autorizados para proveer servicios de telecomunicaciones a los usuarios finales;</w:t>
      </w:r>
    </w:p>
    <w:p w14:paraId="1A24ACDF" w14:textId="498DBBF8" w:rsidR="00332292" w:rsidRPr="00F7548C" w:rsidRDefault="0071127F" w:rsidP="00FA5F6C">
      <w:pPr>
        <w:pStyle w:val="estilo30"/>
        <w:numPr>
          <w:ilvl w:val="0"/>
          <w:numId w:val="19"/>
        </w:numPr>
        <w:spacing w:line="276" w:lineRule="auto"/>
        <w:jc w:val="both"/>
        <w:rPr>
          <w:rFonts w:ascii="ITC Avant Garde" w:hAnsi="ITC Avant Garde"/>
          <w:sz w:val="22"/>
          <w:szCs w:val="22"/>
        </w:rPr>
      </w:pPr>
      <w:r w:rsidRPr="00F7548C">
        <w:rPr>
          <w:rFonts w:ascii="ITC Avant Garde" w:hAnsi="ITC Avant Garde"/>
          <w:b/>
          <w:sz w:val="22"/>
          <w:szCs w:val="22"/>
        </w:rPr>
        <w:t>Servicio Público de Transmisión y Distribución de Energía Eléctrica</w:t>
      </w:r>
      <w:r w:rsidRPr="00F7548C">
        <w:rPr>
          <w:rFonts w:ascii="ITC Avant Garde" w:hAnsi="ITC Avant Garde"/>
          <w:sz w:val="22"/>
          <w:szCs w:val="22"/>
        </w:rPr>
        <w:t xml:space="preserve">: </w:t>
      </w:r>
      <w:r w:rsidR="00FA5F6C" w:rsidRPr="00FA5F6C">
        <w:rPr>
          <w:rFonts w:ascii="ITC Avant Garde" w:hAnsi="ITC Avant Garde"/>
          <w:sz w:val="22"/>
          <w:szCs w:val="22"/>
        </w:rPr>
        <w:t>Servicio definido en el artículo 3, fracción XLII, de la</w:t>
      </w:r>
      <w:r w:rsidR="00FA5F6C">
        <w:rPr>
          <w:rFonts w:ascii="ITC Avant Garde" w:hAnsi="ITC Avant Garde"/>
          <w:sz w:val="22"/>
          <w:szCs w:val="22"/>
        </w:rPr>
        <w:t xml:space="preserve"> Ley de la Industria Eléctrica</w:t>
      </w:r>
      <w:r w:rsidRPr="00F7548C">
        <w:rPr>
          <w:rFonts w:ascii="ITC Avant Garde" w:hAnsi="ITC Avant Garde"/>
          <w:sz w:val="22"/>
          <w:szCs w:val="22"/>
        </w:rPr>
        <w:t>;</w:t>
      </w:r>
    </w:p>
    <w:p w14:paraId="589D0C55" w14:textId="5180885B" w:rsidR="00332292" w:rsidRPr="00F7548C" w:rsidRDefault="006B4684" w:rsidP="00C07820">
      <w:pPr>
        <w:pStyle w:val="estilo30"/>
        <w:numPr>
          <w:ilvl w:val="0"/>
          <w:numId w:val="19"/>
        </w:numPr>
        <w:spacing w:before="0" w:beforeAutospacing="0" w:after="0" w:afterAutospacing="0" w:line="276" w:lineRule="auto"/>
        <w:jc w:val="both"/>
        <w:rPr>
          <w:rFonts w:ascii="ITC Avant Garde" w:hAnsi="ITC Avant Garde"/>
          <w:b/>
          <w:bCs/>
          <w:sz w:val="22"/>
          <w:szCs w:val="22"/>
        </w:rPr>
      </w:pPr>
      <w:r w:rsidRPr="00F7548C">
        <w:rPr>
          <w:rFonts w:ascii="ITC Avant Garde" w:hAnsi="ITC Avant Garde"/>
          <w:b/>
          <w:bCs/>
          <w:sz w:val="22"/>
          <w:szCs w:val="22"/>
        </w:rPr>
        <w:t xml:space="preserve">Telecomunicaciones de México: </w:t>
      </w:r>
      <w:r w:rsidR="00C07820" w:rsidRPr="00016E6C">
        <w:rPr>
          <w:rFonts w:ascii="ITC Avant Garde" w:hAnsi="ITC Avant Garde"/>
          <w:bCs/>
          <w:sz w:val="22"/>
          <w:szCs w:val="22"/>
        </w:rPr>
        <w:t>Organismo Descentralizado del Gobierno Federal integrante del Sector Comunicaciones y Transportes, con personalidad jurídica y patrimonio propios</w:t>
      </w:r>
      <w:r w:rsidR="00B81506">
        <w:rPr>
          <w:rFonts w:ascii="ITC Avant Garde" w:hAnsi="ITC Avant Garde"/>
          <w:bCs/>
          <w:sz w:val="22"/>
          <w:szCs w:val="22"/>
        </w:rPr>
        <w:t>; y que se encuentra previsto en el</w:t>
      </w:r>
      <w:r w:rsidR="00C07820" w:rsidRPr="00C07820">
        <w:rPr>
          <w:rFonts w:ascii="ITC Avant Garde" w:hAnsi="ITC Avant Garde"/>
          <w:bCs/>
          <w:sz w:val="22"/>
          <w:szCs w:val="22"/>
        </w:rPr>
        <w:t xml:space="preserve"> </w:t>
      </w:r>
      <w:r w:rsidR="00B81506">
        <w:rPr>
          <w:rFonts w:ascii="ITC Avant Garde" w:hAnsi="ITC Avant Garde"/>
          <w:bCs/>
          <w:sz w:val="22"/>
          <w:szCs w:val="22"/>
        </w:rPr>
        <w:t>Estatuto Orgánico de Telecomunicaciones de México</w:t>
      </w:r>
      <w:r w:rsidR="00332292" w:rsidRPr="00F7548C">
        <w:rPr>
          <w:rFonts w:ascii="ITC Avant Garde" w:hAnsi="ITC Avant Garde"/>
          <w:bCs/>
          <w:sz w:val="22"/>
          <w:szCs w:val="22"/>
        </w:rPr>
        <w:t>;</w:t>
      </w:r>
    </w:p>
    <w:p w14:paraId="09E27E84"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bCs/>
          <w:sz w:val="22"/>
          <w:szCs w:val="22"/>
        </w:rPr>
        <w:t>Título de Concesión:</w:t>
      </w:r>
      <w:r w:rsidRPr="00F7548C">
        <w:rPr>
          <w:rFonts w:ascii="ITC Avant Garde" w:hAnsi="ITC Avant Garde"/>
          <w:sz w:val="22"/>
          <w:szCs w:val="22"/>
        </w:rPr>
        <w:t xml:space="preserve"> El título de concesión de uso comercial con carácter de red compartida mayorista de servicios de telecomunicaciones que le otorgó el Instituto a Telecomunicaciones de México, el 18 de enero de 2016, y</w:t>
      </w:r>
    </w:p>
    <w:p w14:paraId="511C567C" w14:textId="77777777" w:rsidR="0071127F" w:rsidRPr="00F7548C" w:rsidRDefault="0071127F" w:rsidP="0071127F">
      <w:pPr>
        <w:pStyle w:val="estilo30"/>
        <w:numPr>
          <w:ilvl w:val="0"/>
          <w:numId w:val="19"/>
        </w:numPr>
        <w:spacing w:before="0" w:beforeAutospacing="0" w:after="0" w:afterAutospacing="0" w:line="276" w:lineRule="auto"/>
        <w:jc w:val="both"/>
        <w:rPr>
          <w:rFonts w:ascii="ITC Avant Garde" w:hAnsi="ITC Avant Garde"/>
          <w:sz w:val="22"/>
          <w:szCs w:val="22"/>
        </w:rPr>
      </w:pPr>
      <w:r w:rsidRPr="00F7548C">
        <w:rPr>
          <w:rFonts w:ascii="ITC Avant Garde" w:hAnsi="ITC Avant Garde"/>
          <w:b/>
          <w:bCs/>
          <w:sz w:val="22"/>
          <w:szCs w:val="22"/>
        </w:rPr>
        <w:t>Visita Técnica:</w:t>
      </w:r>
      <w:r w:rsidRPr="00F7548C">
        <w:rPr>
          <w:rFonts w:ascii="ITC Avant Garde" w:hAnsi="ITC Avant Garde"/>
          <w:sz w:val="22"/>
          <w:szCs w:val="22"/>
        </w:rPr>
        <w:t xml:space="preserve"> La actividad conjunta por parte de la CFE y Telecomunicaciones de México, a fin de analizar y concretar in situ, los elementos sobre los que efectivamente se podrá ejercer el Acceso y Uso de Infraestructura.</w:t>
      </w:r>
    </w:p>
    <w:p w14:paraId="472EA64B"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32056231" w14:textId="083505AF" w:rsidR="0071127F" w:rsidRPr="005B2961" w:rsidRDefault="0071127F" w:rsidP="005B2961">
      <w:pPr>
        <w:pStyle w:val="Ttulo3"/>
        <w:ind w:left="1134" w:right="1183" w:firstLine="142"/>
        <w:jc w:val="center"/>
        <w:rPr>
          <w:rFonts w:ascii="ITC Avant Garde" w:hAnsi="ITC Avant Garde"/>
          <w:b/>
          <w:bCs/>
          <w:color w:val="000000" w:themeColor="text1"/>
          <w:sz w:val="22"/>
          <w:szCs w:val="22"/>
          <w:u w:val="single"/>
        </w:rPr>
      </w:pPr>
      <w:r w:rsidRPr="005B2961">
        <w:rPr>
          <w:rFonts w:ascii="ITC Avant Garde" w:hAnsi="ITC Avant Garde"/>
          <w:b/>
          <w:bCs/>
          <w:color w:val="000000" w:themeColor="text1"/>
          <w:sz w:val="22"/>
          <w:szCs w:val="22"/>
        </w:rPr>
        <w:t>Capítulo II</w:t>
      </w:r>
      <w:r w:rsidR="005B2961">
        <w:rPr>
          <w:rFonts w:ascii="ITC Avant Garde" w:hAnsi="ITC Avant Garde"/>
          <w:b/>
          <w:bCs/>
          <w:color w:val="000000" w:themeColor="text1"/>
          <w:sz w:val="22"/>
          <w:szCs w:val="22"/>
          <w:u w:val="single"/>
        </w:rPr>
        <w:t xml:space="preserve"> </w:t>
      </w:r>
      <w:r w:rsidRPr="005B2961">
        <w:rPr>
          <w:rFonts w:ascii="ITC Avant Garde" w:hAnsi="ITC Avant Garde"/>
          <w:b/>
          <w:bCs/>
          <w:color w:val="000000" w:themeColor="text1"/>
          <w:sz w:val="22"/>
          <w:szCs w:val="22"/>
          <w:u w:val="single"/>
        </w:rPr>
        <w:t xml:space="preserve">Del Acceso y Uso de Infraestructura de la Comisión Federal de Electricidad </w:t>
      </w:r>
    </w:p>
    <w:p w14:paraId="4CABB764" w14:textId="77777777"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p>
    <w:p w14:paraId="72A74CD2"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sz w:val="22"/>
          <w:szCs w:val="22"/>
        </w:rPr>
        <w:t>Artículo 3.-</w:t>
      </w:r>
      <w:r w:rsidRPr="00F7548C">
        <w:rPr>
          <w:rFonts w:ascii="ITC Avant Garde" w:hAnsi="ITC Avant Garde"/>
          <w:sz w:val="22"/>
          <w:szCs w:val="22"/>
        </w:rPr>
        <w:t xml:space="preserve"> L</w:t>
      </w:r>
      <w:r w:rsidRPr="00F7548C">
        <w:rPr>
          <w:rFonts w:ascii="ITC Avant Garde" w:hAnsi="ITC Avant Garde"/>
          <w:bCs/>
          <w:sz w:val="22"/>
          <w:szCs w:val="22"/>
        </w:rPr>
        <w:t xml:space="preserve">a CFE deberá garantizar el </w:t>
      </w:r>
      <w:r w:rsidRPr="00F7548C">
        <w:rPr>
          <w:rFonts w:ascii="ITC Avant Garde" w:hAnsi="ITC Avant Garde"/>
          <w:sz w:val="22"/>
          <w:szCs w:val="22"/>
        </w:rPr>
        <w:t>Acceso y Uso de Infraestructura</w:t>
      </w:r>
      <w:r w:rsidRPr="00F7548C">
        <w:rPr>
          <w:rFonts w:ascii="ITC Avant Garde" w:hAnsi="ITC Avant Garde"/>
          <w:bCs/>
          <w:sz w:val="22"/>
          <w:szCs w:val="22"/>
        </w:rPr>
        <w:t xml:space="preserve"> a Telecomunicaciones de México, que incluye todos los elementos necesarios para </w:t>
      </w:r>
      <w:r w:rsidRPr="00F7548C">
        <w:rPr>
          <w:rFonts w:ascii="ITC Avant Garde" w:hAnsi="ITC Avant Garde"/>
          <w:bCs/>
          <w:sz w:val="22"/>
          <w:szCs w:val="22"/>
        </w:rPr>
        <w:lastRenderedPageBreak/>
        <w:t xml:space="preserve">la construcción, instalación y operación de la Red Troncal, así como para la prestación de Servicios Mayoristas de Telecomunicaciones concesionados. </w:t>
      </w:r>
    </w:p>
    <w:p w14:paraId="173AF7CC"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4C4108FA"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Artículo 4.</w:t>
      </w:r>
      <w:r w:rsidRPr="00F7548C">
        <w:rPr>
          <w:rFonts w:ascii="ITC Avant Garde" w:hAnsi="ITC Avant Garde"/>
          <w:bCs/>
          <w:sz w:val="22"/>
          <w:szCs w:val="22"/>
        </w:rPr>
        <w:t>- Telecomunicaciones de México deberá cumplir con las especificaciones técnicas, de operación, administrativas, de seguridad y ambientales que se encuentren vigentes para el correcto Acceso y Uso de Infraestructura.</w:t>
      </w:r>
    </w:p>
    <w:p w14:paraId="76023DAD"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4F051467" w14:textId="0C71D9F0"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Artículo 5.</w:t>
      </w:r>
      <w:r w:rsidRPr="00F7548C">
        <w:rPr>
          <w:rFonts w:ascii="ITC Avant Garde" w:hAnsi="ITC Avant Garde"/>
          <w:sz w:val="22"/>
          <w:szCs w:val="22"/>
        </w:rPr>
        <w:t xml:space="preserve">- La CFE deberá </w:t>
      </w:r>
      <w:r w:rsidR="00B8006A" w:rsidRPr="00F7548C">
        <w:rPr>
          <w:rFonts w:ascii="ITC Avant Garde" w:hAnsi="ITC Avant Garde"/>
          <w:sz w:val="22"/>
          <w:szCs w:val="22"/>
        </w:rPr>
        <w:t>permitir</w:t>
      </w:r>
      <w:r w:rsidRPr="00F7548C">
        <w:rPr>
          <w:rFonts w:ascii="ITC Avant Garde" w:hAnsi="ITC Avant Garde"/>
          <w:sz w:val="22"/>
          <w:szCs w:val="22"/>
        </w:rPr>
        <w:t xml:space="preserve"> el Acceso y Uso de Infraestructura presente y futura a Telecomunicaciones de México</w:t>
      </w:r>
      <w:r w:rsidR="00B8006A" w:rsidRPr="00F7548C">
        <w:rPr>
          <w:rFonts w:ascii="ITC Avant Garde" w:hAnsi="ITC Avant Garde"/>
          <w:sz w:val="22"/>
          <w:szCs w:val="22"/>
        </w:rPr>
        <w:t xml:space="preserve"> para la instalación de la Red Troncal Nacional,</w:t>
      </w:r>
      <w:r w:rsidRPr="00F7548C">
        <w:rPr>
          <w:rFonts w:ascii="ITC Avant Garde" w:hAnsi="ITC Avant Garde"/>
          <w:sz w:val="22"/>
          <w:szCs w:val="22"/>
        </w:rPr>
        <w:t xml:space="preserve">  de conformidad con lo dispuesto en la</w:t>
      </w:r>
      <w:r w:rsidR="00B8006A" w:rsidRPr="00F7548C">
        <w:rPr>
          <w:rFonts w:ascii="ITC Avant Garde" w:hAnsi="ITC Avant Garde"/>
          <w:sz w:val="22"/>
          <w:szCs w:val="22"/>
        </w:rPr>
        <w:t xml:space="preserve"> Ley de la Industria Eléctrica, su Reglamento y la</w:t>
      </w:r>
      <w:r w:rsidRPr="00F7548C">
        <w:rPr>
          <w:rFonts w:ascii="ITC Avant Garde" w:hAnsi="ITC Avant Garde"/>
          <w:sz w:val="22"/>
          <w:szCs w:val="22"/>
        </w:rPr>
        <w:t>s disposiciones de carácter general de la industria eléctrica</w:t>
      </w:r>
      <w:r w:rsidR="00B8006A" w:rsidRPr="00F7548C">
        <w:rPr>
          <w:rFonts w:ascii="ITC Avant Garde" w:hAnsi="ITC Avant Garde"/>
          <w:sz w:val="22"/>
          <w:szCs w:val="22"/>
        </w:rPr>
        <w:t>,</w:t>
      </w:r>
      <w:r w:rsidRPr="00F7548C">
        <w:rPr>
          <w:rFonts w:ascii="ITC Avant Garde" w:hAnsi="ITC Avant Garde"/>
          <w:sz w:val="22"/>
          <w:szCs w:val="22"/>
        </w:rPr>
        <w:t xml:space="preserve">  bajo los siguientes principios:</w:t>
      </w:r>
    </w:p>
    <w:p w14:paraId="10EC8551" w14:textId="77777777"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p>
    <w:p w14:paraId="128D3087" w14:textId="6A446D7F" w:rsidR="00B8006A" w:rsidRPr="00F7548C" w:rsidRDefault="006F35E3" w:rsidP="005B2961">
      <w:pPr>
        <w:pStyle w:val="estilo30"/>
        <w:numPr>
          <w:ilvl w:val="0"/>
          <w:numId w:val="30"/>
        </w:numPr>
        <w:spacing w:before="240" w:beforeAutospacing="0" w:after="0" w:afterAutospacing="0" w:line="276" w:lineRule="auto"/>
        <w:jc w:val="both"/>
        <w:rPr>
          <w:rFonts w:ascii="ITC Avant Garde" w:hAnsi="ITC Avant Garde"/>
          <w:sz w:val="22"/>
          <w:szCs w:val="22"/>
        </w:rPr>
      </w:pPr>
      <w:r w:rsidRPr="00F7548C">
        <w:rPr>
          <w:rFonts w:ascii="ITC Avant Garde" w:hAnsi="ITC Avant Garde"/>
          <w:bCs/>
          <w:sz w:val="22"/>
          <w:szCs w:val="22"/>
        </w:rPr>
        <w:t>Reconocimiento de que l</w:t>
      </w:r>
      <w:r w:rsidR="00B8006A" w:rsidRPr="00F7548C">
        <w:rPr>
          <w:rFonts w:ascii="ITC Avant Garde" w:hAnsi="ITC Avant Garde"/>
          <w:bCs/>
          <w:sz w:val="22"/>
          <w:szCs w:val="22"/>
        </w:rPr>
        <w:t>as actividades de transmisión y distribución de energía eléctrica se consideran de interés social y de orden público</w:t>
      </w:r>
      <w:r w:rsidR="00455AB0">
        <w:rPr>
          <w:rFonts w:ascii="ITC Avant Garde" w:hAnsi="ITC Avant Garde"/>
          <w:bCs/>
          <w:sz w:val="22"/>
          <w:szCs w:val="22"/>
        </w:rPr>
        <w:t>,</w:t>
      </w:r>
      <w:r w:rsidR="00B8006A" w:rsidRPr="00F7548C">
        <w:rPr>
          <w:rFonts w:ascii="ITC Avant Garde" w:hAnsi="ITC Avant Garde"/>
          <w:bCs/>
          <w:sz w:val="22"/>
          <w:szCs w:val="22"/>
        </w:rPr>
        <w:t xml:space="preserve"> y tendrán preferencia </w:t>
      </w:r>
      <w:r w:rsidR="00455AB0">
        <w:rPr>
          <w:rFonts w:ascii="ITC Avant Garde" w:hAnsi="ITC Avant Garde"/>
          <w:bCs/>
          <w:sz w:val="22"/>
          <w:szCs w:val="22"/>
        </w:rPr>
        <w:t xml:space="preserve">en el uso de la infraestructura </w:t>
      </w:r>
      <w:r w:rsidR="00B8006A" w:rsidRPr="00F7548C">
        <w:rPr>
          <w:rFonts w:ascii="ITC Avant Garde" w:hAnsi="ITC Avant Garde"/>
          <w:bCs/>
          <w:sz w:val="22"/>
          <w:szCs w:val="22"/>
        </w:rPr>
        <w:t>sobre cualquier otra</w:t>
      </w:r>
      <w:r w:rsidR="00455AB0">
        <w:rPr>
          <w:rFonts w:ascii="ITC Avant Garde" w:hAnsi="ITC Avant Garde"/>
          <w:bCs/>
          <w:sz w:val="22"/>
          <w:szCs w:val="22"/>
        </w:rPr>
        <w:t xml:space="preserve"> actividad</w:t>
      </w:r>
      <w:r w:rsidR="00B8006A" w:rsidRPr="00F7548C">
        <w:rPr>
          <w:rFonts w:ascii="ITC Avant Garde" w:hAnsi="ITC Avant Garde"/>
          <w:bCs/>
          <w:sz w:val="22"/>
          <w:szCs w:val="22"/>
        </w:rPr>
        <w:t>.</w:t>
      </w:r>
    </w:p>
    <w:p w14:paraId="3B06BA16" w14:textId="63B46783" w:rsidR="00B8006A" w:rsidRPr="00F7548C" w:rsidRDefault="00B8006A" w:rsidP="005B2961">
      <w:pPr>
        <w:pStyle w:val="estilo30"/>
        <w:numPr>
          <w:ilvl w:val="0"/>
          <w:numId w:val="30"/>
        </w:numPr>
        <w:spacing w:before="240" w:beforeAutospacing="0" w:after="0" w:afterAutospacing="0" w:line="276" w:lineRule="auto"/>
        <w:jc w:val="both"/>
        <w:rPr>
          <w:rFonts w:ascii="ITC Avant Garde" w:hAnsi="ITC Avant Garde"/>
          <w:sz w:val="22"/>
          <w:szCs w:val="22"/>
        </w:rPr>
      </w:pPr>
      <w:r w:rsidRPr="00F7548C">
        <w:rPr>
          <w:rFonts w:ascii="ITC Avant Garde" w:hAnsi="ITC Avant Garde"/>
          <w:bCs/>
          <w:sz w:val="22"/>
          <w:szCs w:val="22"/>
        </w:rPr>
        <w:t>Seguridad y Continuidad de la prestación del Servicio Público de Transmisión y Distribución de Energía Eléctrica;</w:t>
      </w:r>
    </w:p>
    <w:p w14:paraId="0C1DB6A3" w14:textId="6CC3B8A0" w:rsidR="00B8006A" w:rsidRPr="00F7548C" w:rsidRDefault="00B8006A" w:rsidP="005B2961">
      <w:pPr>
        <w:pStyle w:val="Prrafodelista"/>
        <w:numPr>
          <w:ilvl w:val="0"/>
          <w:numId w:val="30"/>
        </w:numPr>
        <w:spacing w:before="240"/>
        <w:jc w:val="both"/>
        <w:rPr>
          <w:rFonts w:ascii="ITC Avant Garde" w:hAnsi="ITC Avant Garde"/>
          <w:sz w:val="22"/>
          <w:szCs w:val="22"/>
          <w:lang w:val="es-MX" w:eastAsia="es-MX"/>
        </w:rPr>
      </w:pPr>
      <w:r w:rsidRPr="00F7548C">
        <w:rPr>
          <w:rFonts w:ascii="ITC Avant Garde" w:hAnsi="ITC Avant Garde"/>
          <w:sz w:val="22"/>
          <w:szCs w:val="22"/>
        </w:rPr>
        <w:t>Establecimiento de una contraprestación justa, en términos de las disposiciones administrativas emitidas por la autoridad correspondiente</w:t>
      </w:r>
      <w:r w:rsidR="003600D2">
        <w:rPr>
          <w:rFonts w:ascii="ITC Avant Garde" w:hAnsi="ITC Avant Garde"/>
          <w:sz w:val="22"/>
          <w:szCs w:val="22"/>
        </w:rPr>
        <w:t>, tanto para el</w:t>
      </w:r>
      <w:r w:rsidRPr="00F7548C">
        <w:rPr>
          <w:rFonts w:ascii="ITC Avant Garde" w:hAnsi="ITC Avant Garde"/>
          <w:sz w:val="22"/>
          <w:szCs w:val="22"/>
          <w:lang w:val="es-MX" w:eastAsia="es-MX"/>
        </w:rPr>
        <w:t xml:space="preserve"> Acceso y Uso de Infraestructura como </w:t>
      </w:r>
      <w:r w:rsidR="003600D2">
        <w:rPr>
          <w:rFonts w:ascii="ITC Avant Garde" w:hAnsi="ITC Avant Garde"/>
          <w:sz w:val="22"/>
          <w:szCs w:val="22"/>
          <w:lang w:val="es-MX" w:eastAsia="es-MX"/>
        </w:rPr>
        <w:t xml:space="preserve">para </w:t>
      </w:r>
      <w:r w:rsidRPr="00F7548C">
        <w:rPr>
          <w:rFonts w:ascii="ITC Avant Garde" w:hAnsi="ITC Avant Garde"/>
          <w:sz w:val="22"/>
          <w:szCs w:val="22"/>
          <w:lang w:val="es-MX" w:eastAsia="es-MX"/>
        </w:rPr>
        <w:t>los demás servicios asociados, tales como el mantenimiento, entre otros.</w:t>
      </w:r>
    </w:p>
    <w:p w14:paraId="5CC33C5B" w14:textId="77777777" w:rsidR="0071127F" w:rsidRPr="00F7548C" w:rsidRDefault="0071127F" w:rsidP="005B2961">
      <w:pPr>
        <w:pStyle w:val="estilo30"/>
        <w:numPr>
          <w:ilvl w:val="0"/>
          <w:numId w:val="30"/>
        </w:numPr>
        <w:spacing w:before="240" w:beforeAutospacing="0" w:after="0" w:afterAutospacing="0" w:line="276" w:lineRule="auto"/>
        <w:jc w:val="both"/>
        <w:rPr>
          <w:rFonts w:ascii="ITC Avant Garde" w:hAnsi="ITC Avant Garde"/>
          <w:sz w:val="22"/>
          <w:szCs w:val="22"/>
        </w:rPr>
      </w:pPr>
      <w:r w:rsidRPr="00F7548C">
        <w:rPr>
          <w:rFonts w:ascii="ITC Avant Garde" w:hAnsi="ITC Avant Garde"/>
          <w:bCs/>
          <w:sz w:val="22"/>
          <w:szCs w:val="22"/>
        </w:rPr>
        <w:t xml:space="preserve">Eficiencia en el </w:t>
      </w:r>
      <w:r w:rsidRPr="00F7548C">
        <w:rPr>
          <w:rFonts w:ascii="ITC Avant Garde" w:hAnsi="ITC Avant Garde"/>
          <w:sz w:val="22"/>
          <w:szCs w:val="22"/>
        </w:rPr>
        <w:t>Acceso y Uso de Infraestructura</w:t>
      </w:r>
      <w:r w:rsidRPr="00F7548C">
        <w:rPr>
          <w:rFonts w:ascii="ITC Avant Garde" w:hAnsi="ITC Avant Garde"/>
          <w:bCs/>
          <w:sz w:val="22"/>
          <w:szCs w:val="22"/>
        </w:rPr>
        <w:t xml:space="preserve"> para la construcción y crecimiento de la Red Troncal Nacional;</w:t>
      </w:r>
    </w:p>
    <w:p w14:paraId="65501440" w14:textId="700CDE64" w:rsidR="00610298" w:rsidRPr="00F7548C" w:rsidRDefault="0071127F" w:rsidP="005B2961">
      <w:pPr>
        <w:pStyle w:val="estilo30"/>
        <w:numPr>
          <w:ilvl w:val="0"/>
          <w:numId w:val="30"/>
        </w:numPr>
        <w:spacing w:before="240" w:beforeAutospacing="0" w:after="0" w:afterAutospacing="0" w:line="276" w:lineRule="auto"/>
        <w:jc w:val="both"/>
        <w:rPr>
          <w:rFonts w:ascii="ITC Avant Garde" w:hAnsi="ITC Avant Garde"/>
          <w:sz w:val="22"/>
          <w:szCs w:val="22"/>
        </w:rPr>
      </w:pPr>
      <w:r w:rsidRPr="00F7548C">
        <w:rPr>
          <w:rFonts w:ascii="ITC Avant Garde" w:hAnsi="ITC Avant Garde"/>
          <w:bCs/>
          <w:sz w:val="22"/>
          <w:szCs w:val="22"/>
        </w:rPr>
        <w:t xml:space="preserve">Transparencia, para lo cual deberá proveer toda la información técnica, operativa y de precios o cualquier otra necesaria y precisa para garantizar el </w:t>
      </w:r>
      <w:r w:rsidRPr="00F7548C">
        <w:rPr>
          <w:rFonts w:ascii="ITC Avant Garde" w:hAnsi="ITC Avant Garde"/>
          <w:sz w:val="22"/>
          <w:szCs w:val="22"/>
        </w:rPr>
        <w:t>Acceso y Uso de Infraestructura</w:t>
      </w:r>
      <w:r w:rsidR="00610298" w:rsidRPr="00F7548C">
        <w:rPr>
          <w:rFonts w:ascii="ITC Avant Garde" w:hAnsi="ITC Avant Garde"/>
          <w:bCs/>
          <w:sz w:val="22"/>
          <w:szCs w:val="22"/>
        </w:rPr>
        <w:t>, y</w:t>
      </w:r>
    </w:p>
    <w:p w14:paraId="2D7A245D" w14:textId="5E82B62F" w:rsidR="0071127F" w:rsidRPr="00F7548C" w:rsidRDefault="0071127F" w:rsidP="005B2961">
      <w:pPr>
        <w:pStyle w:val="estilo30"/>
        <w:numPr>
          <w:ilvl w:val="0"/>
          <w:numId w:val="30"/>
        </w:numPr>
        <w:spacing w:before="240" w:beforeAutospacing="0" w:after="0" w:afterAutospacing="0" w:line="276" w:lineRule="auto"/>
        <w:jc w:val="both"/>
        <w:rPr>
          <w:rFonts w:ascii="ITC Avant Garde" w:hAnsi="ITC Avant Garde"/>
          <w:b/>
          <w:sz w:val="22"/>
          <w:szCs w:val="22"/>
        </w:rPr>
      </w:pPr>
      <w:r w:rsidRPr="00F7548C">
        <w:rPr>
          <w:rFonts w:ascii="ITC Avant Garde" w:hAnsi="ITC Avant Garde"/>
          <w:bCs/>
          <w:sz w:val="22"/>
          <w:szCs w:val="22"/>
        </w:rPr>
        <w:t>Efectividad en el trato, por lo que deberá implantar mecanismos para el Acceso y Uso de Infraestructura de manera expedita y sin contratiempos</w:t>
      </w:r>
      <w:r w:rsidR="00610298" w:rsidRPr="00F7548C">
        <w:rPr>
          <w:rFonts w:ascii="ITC Avant Garde" w:hAnsi="ITC Avant Garde"/>
          <w:bCs/>
          <w:sz w:val="22"/>
          <w:szCs w:val="22"/>
        </w:rPr>
        <w:t>.</w:t>
      </w:r>
      <w:r w:rsidRPr="00F7548C">
        <w:rPr>
          <w:rFonts w:ascii="ITC Avant Garde" w:hAnsi="ITC Avant Garde"/>
          <w:bCs/>
          <w:sz w:val="22"/>
          <w:szCs w:val="22"/>
        </w:rPr>
        <w:t xml:space="preserve"> </w:t>
      </w:r>
    </w:p>
    <w:p w14:paraId="395A78EE" w14:textId="77777777" w:rsidR="00610298" w:rsidRPr="00F7548C" w:rsidRDefault="00610298" w:rsidP="0071127F">
      <w:pPr>
        <w:pStyle w:val="estilo30"/>
        <w:spacing w:before="0" w:beforeAutospacing="0" w:after="0" w:afterAutospacing="0" w:line="276" w:lineRule="auto"/>
        <w:jc w:val="both"/>
        <w:rPr>
          <w:rFonts w:ascii="ITC Avant Garde" w:hAnsi="ITC Avant Garde"/>
          <w:b/>
          <w:sz w:val="22"/>
          <w:szCs w:val="22"/>
        </w:rPr>
      </w:pPr>
    </w:p>
    <w:p w14:paraId="41D1D382" w14:textId="34C4B045"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 xml:space="preserve">Artículo 6.- </w:t>
      </w:r>
      <w:r w:rsidRPr="00F7548C">
        <w:rPr>
          <w:rFonts w:ascii="ITC Avant Garde" w:hAnsi="ITC Avant Garde"/>
          <w:sz w:val="22"/>
          <w:szCs w:val="22"/>
        </w:rPr>
        <w:t xml:space="preserve">La CFE no podrá </w:t>
      </w:r>
      <w:r w:rsidR="00FF66CA">
        <w:rPr>
          <w:rFonts w:ascii="ITC Avant Garde" w:hAnsi="ITC Avant Garde"/>
          <w:sz w:val="22"/>
          <w:szCs w:val="22"/>
        </w:rPr>
        <w:t xml:space="preserve">impedir o </w:t>
      </w:r>
      <w:r w:rsidRPr="00F7548C">
        <w:rPr>
          <w:rFonts w:ascii="ITC Avant Garde" w:hAnsi="ITC Avant Garde"/>
          <w:sz w:val="22"/>
          <w:szCs w:val="22"/>
        </w:rPr>
        <w:t xml:space="preserve">limitar el Acceso y Uso de Infraestructura considerando únicamente el número de concesionarios o autorizados instalados </w:t>
      </w:r>
      <w:r w:rsidR="00BA1499">
        <w:rPr>
          <w:rFonts w:ascii="ITC Avant Garde" w:hAnsi="ITC Avant Garde"/>
          <w:sz w:val="22"/>
          <w:szCs w:val="22"/>
        </w:rPr>
        <w:lastRenderedPageBreak/>
        <w:t xml:space="preserve">en </w:t>
      </w:r>
      <w:r w:rsidR="00C004BB" w:rsidRPr="00F7548C">
        <w:rPr>
          <w:rFonts w:ascii="ITC Avant Garde" w:hAnsi="ITC Avant Garde"/>
          <w:sz w:val="22"/>
          <w:szCs w:val="22"/>
        </w:rPr>
        <w:t>dicha</w:t>
      </w:r>
      <w:r w:rsidRPr="00F7548C">
        <w:rPr>
          <w:rFonts w:ascii="ITC Avant Garde" w:hAnsi="ITC Avant Garde"/>
          <w:sz w:val="22"/>
          <w:szCs w:val="22"/>
        </w:rPr>
        <w:t xml:space="preserve"> infraestructura</w:t>
      </w:r>
      <w:r w:rsidR="00BA1499">
        <w:rPr>
          <w:rFonts w:ascii="ITC Avant Garde" w:hAnsi="ITC Avant Garde"/>
          <w:sz w:val="22"/>
          <w:szCs w:val="22"/>
        </w:rPr>
        <w:t xml:space="preserve">. </w:t>
      </w:r>
      <w:r w:rsidR="005C08F0">
        <w:rPr>
          <w:rFonts w:ascii="ITC Avant Garde" w:hAnsi="ITC Avant Garde"/>
          <w:sz w:val="22"/>
          <w:szCs w:val="22"/>
        </w:rPr>
        <w:t xml:space="preserve">En todo caso deberán observarse </w:t>
      </w:r>
      <w:r w:rsidRPr="00F7548C">
        <w:rPr>
          <w:rFonts w:ascii="ITC Avant Garde" w:hAnsi="ITC Avant Garde"/>
          <w:sz w:val="22"/>
          <w:szCs w:val="22"/>
        </w:rPr>
        <w:t xml:space="preserve">las disposiciones que para el efecto establezca la Comisión Reguladora de Energía. </w:t>
      </w:r>
    </w:p>
    <w:p w14:paraId="29AC0642" w14:textId="77777777"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p>
    <w:p w14:paraId="4778D842" w14:textId="0E0B9326"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r w:rsidRPr="00F7548C">
        <w:rPr>
          <w:rFonts w:ascii="ITC Avant Garde" w:hAnsi="ITC Avant Garde"/>
          <w:sz w:val="22"/>
          <w:szCs w:val="22"/>
        </w:rPr>
        <w:t>En caso de desacuerdo sobre la factibilidad</w:t>
      </w:r>
      <w:r w:rsidR="00C004BB" w:rsidRPr="00F7548C">
        <w:rPr>
          <w:rFonts w:ascii="ITC Avant Garde" w:hAnsi="ITC Avant Garde"/>
          <w:sz w:val="22"/>
          <w:szCs w:val="22"/>
        </w:rPr>
        <w:t xml:space="preserve"> del </w:t>
      </w:r>
      <w:r w:rsidR="004814CF">
        <w:rPr>
          <w:rFonts w:ascii="ITC Avant Garde" w:hAnsi="ITC Avant Garde"/>
          <w:sz w:val="22"/>
          <w:szCs w:val="22"/>
        </w:rPr>
        <w:t>acceso a</w:t>
      </w:r>
      <w:r w:rsidR="00C004BB" w:rsidRPr="00F7548C">
        <w:rPr>
          <w:rFonts w:ascii="ITC Avant Garde" w:hAnsi="ITC Avant Garde"/>
          <w:sz w:val="22"/>
          <w:szCs w:val="22"/>
        </w:rPr>
        <w:t xml:space="preserve"> la infraestructura, </w:t>
      </w:r>
      <w:r w:rsidR="004814CF">
        <w:rPr>
          <w:rFonts w:ascii="ITC Avant Garde" w:hAnsi="ITC Avant Garde"/>
          <w:sz w:val="22"/>
          <w:szCs w:val="22"/>
        </w:rPr>
        <w:t>el Instituto resolverá en el ámbito de sus atribuciones.</w:t>
      </w:r>
    </w:p>
    <w:p w14:paraId="765B8C2A" w14:textId="77777777" w:rsidR="00DD780C" w:rsidRPr="00F7548C" w:rsidRDefault="00DD780C" w:rsidP="0071127F">
      <w:pPr>
        <w:pStyle w:val="estilo30"/>
        <w:spacing w:before="0" w:beforeAutospacing="0" w:after="0" w:afterAutospacing="0" w:line="276" w:lineRule="auto"/>
        <w:jc w:val="both"/>
        <w:rPr>
          <w:rFonts w:ascii="ITC Avant Garde" w:hAnsi="ITC Avant Garde"/>
          <w:sz w:val="22"/>
          <w:szCs w:val="22"/>
        </w:rPr>
      </w:pPr>
    </w:p>
    <w:p w14:paraId="311D27B0" w14:textId="6F75DD5C" w:rsidR="00DD780C" w:rsidRPr="00F7548C" w:rsidRDefault="00DD780C" w:rsidP="0071127F">
      <w:pPr>
        <w:pStyle w:val="estilo30"/>
        <w:spacing w:before="0" w:beforeAutospacing="0" w:after="0" w:afterAutospacing="0" w:line="276" w:lineRule="auto"/>
        <w:jc w:val="both"/>
        <w:rPr>
          <w:rFonts w:ascii="ITC Avant Garde" w:hAnsi="ITC Avant Garde"/>
          <w:sz w:val="22"/>
          <w:szCs w:val="22"/>
        </w:rPr>
      </w:pPr>
      <w:r w:rsidRPr="00F7548C">
        <w:rPr>
          <w:rFonts w:ascii="ITC Avant Garde" w:hAnsi="ITC Avant Garde"/>
          <w:sz w:val="22"/>
          <w:szCs w:val="22"/>
        </w:rPr>
        <w:t xml:space="preserve">Si la discrepancia tiene como sustento la imposibilidad técnica-operativa o el riesgo que pudiera generarse a las redes eléctricas o a la seguridad y continuidad en la prestación del servicio de transmisión o distribución, </w:t>
      </w:r>
      <w:r w:rsidR="004814CF">
        <w:rPr>
          <w:rFonts w:ascii="ITC Avant Garde" w:hAnsi="ITC Avant Garde"/>
          <w:sz w:val="22"/>
          <w:szCs w:val="22"/>
        </w:rPr>
        <w:t>el Instituto consultará a la</w:t>
      </w:r>
      <w:r w:rsidRPr="00F7548C">
        <w:rPr>
          <w:rFonts w:ascii="ITC Avant Garde" w:hAnsi="ITC Avant Garde"/>
          <w:sz w:val="22"/>
          <w:szCs w:val="22"/>
        </w:rPr>
        <w:t xml:space="preserve"> Comisión Reguladora de Energía. </w:t>
      </w:r>
    </w:p>
    <w:p w14:paraId="3D4157AC" w14:textId="77777777" w:rsidR="00DD780C" w:rsidRPr="00F7548C" w:rsidRDefault="00DD780C" w:rsidP="0071127F">
      <w:pPr>
        <w:pStyle w:val="estilo30"/>
        <w:spacing w:before="0" w:beforeAutospacing="0" w:after="0" w:afterAutospacing="0" w:line="276" w:lineRule="auto"/>
        <w:jc w:val="both"/>
        <w:rPr>
          <w:rFonts w:ascii="ITC Avant Garde" w:hAnsi="ITC Avant Garde"/>
          <w:sz w:val="22"/>
          <w:szCs w:val="22"/>
        </w:rPr>
      </w:pPr>
    </w:p>
    <w:p w14:paraId="1355222D" w14:textId="17B9FF4C" w:rsidR="00DD780C" w:rsidRPr="00F7548C" w:rsidRDefault="00DD780C" w:rsidP="0071127F">
      <w:pPr>
        <w:pStyle w:val="estilo30"/>
        <w:spacing w:before="0" w:beforeAutospacing="0" w:after="0" w:afterAutospacing="0" w:line="276" w:lineRule="auto"/>
        <w:jc w:val="both"/>
        <w:rPr>
          <w:rFonts w:ascii="ITC Avant Garde" w:hAnsi="ITC Avant Garde"/>
          <w:sz w:val="22"/>
          <w:szCs w:val="22"/>
        </w:rPr>
      </w:pPr>
      <w:r w:rsidRPr="00F7548C">
        <w:rPr>
          <w:rFonts w:ascii="ITC Avant Garde" w:hAnsi="ITC Avant Garde"/>
          <w:sz w:val="22"/>
          <w:szCs w:val="22"/>
        </w:rPr>
        <w:t xml:space="preserve">La CFE deberá informar a Telecomunicaciones de México el inventario de los elementos que se encuentren a su disposición para asegurar el Acceso y Uso de Infraestructura, </w:t>
      </w:r>
      <w:r w:rsidR="005C08F0">
        <w:rPr>
          <w:rFonts w:ascii="ITC Avant Garde" w:hAnsi="ITC Avant Garde"/>
          <w:sz w:val="22"/>
          <w:szCs w:val="22"/>
        </w:rPr>
        <w:t xml:space="preserve">observando en todo caso las disposiciones aplicables sobre el acceso a dicha información. </w:t>
      </w:r>
    </w:p>
    <w:p w14:paraId="003A59C4" w14:textId="77777777" w:rsidR="0071127F" w:rsidRPr="00F7548C" w:rsidRDefault="0071127F" w:rsidP="0071127F">
      <w:pPr>
        <w:pStyle w:val="estilo30"/>
        <w:spacing w:before="0" w:beforeAutospacing="0" w:after="0" w:afterAutospacing="0" w:line="276" w:lineRule="auto"/>
        <w:jc w:val="both"/>
        <w:rPr>
          <w:rFonts w:ascii="ITC Avant Garde" w:hAnsi="ITC Avant Garde"/>
          <w:b/>
          <w:bCs/>
          <w:sz w:val="22"/>
          <w:szCs w:val="22"/>
        </w:rPr>
      </w:pPr>
    </w:p>
    <w:p w14:paraId="59926F05" w14:textId="356303D9"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 xml:space="preserve">Artículo 7.- </w:t>
      </w:r>
      <w:r w:rsidRPr="00F7548C">
        <w:rPr>
          <w:rFonts w:ascii="ITC Avant Garde" w:hAnsi="ITC Avant Garde"/>
          <w:bCs/>
          <w:sz w:val="22"/>
          <w:szCs w:val="22"/>
        </w:rPr>
        <w:t xml:space="preserve">La CFE y Telecomunicaciones de México deberán celebrar convenios </w:t>
      </w:r>
      <w:r w:rsidR="00DD780C" w:rsidRPr="00F7548C">
        <w:rPr>
          <w:rFonts w:ascii="ITC Avant Garde" w:hAnsi="ITC Avant Garde"/>
          <w:bCs/>
          <w:sz w:val="22"/>
          <w:szCs w:val="22"/>
        </w:rPr>
        <w:t>para formalizar el</w:t>
      </w:r>
      <w:r w:rsidRPr="00F7548C">
        <w:rPr>
          <w:rFonts w:ascii="ITC Avant Garde" w:hAnsi="ITC Avant Garde"/>
          <w:bCs/>
          <w:sz w:val="22"/>
          <w:szCs w:val="22"/>
        </w:rPr>
        <w:t xml:space="preserve"> Acceso y Uso de Infraestructura. En caso de no llegar a un acuerdo </w:t>
      </w:r>
      <w:r w:rsidR="009B58C2">
        <w:rPr>
          <w:rFonts w:ascii="ITC Avant Garde" w:hAnsi="ITC Avant Garde"/>
          <w:bCs/>
          <w:sz w:val="22"/>
          <w:szCs w:val="22"/>
        </w:rPr>
        <w:t xml:space="preserve">respecto al Acceso y Uso de Infraestructura, </w:t>
      </w:r>
      <w:r w:rsidRPr="00F7548C">
        <w:rPr>
          <w:rFonts w:ascii="ITC Avant Garde" w:hAnsi="ITC Avant Garde"/>
          <w:bCs/>
          <w:sz w:val="22"/>
          <w:szCs w:val="22"/>
        </w:rPr>
        <w:t xml:space="preserve">en un periodo </w:t>
      </w:r>
      <w:r w:rsidR="00670782">
        <w:rPr>
          <w:rFonts w:ascii="ITC Avant Garde" w:hAnsi="ITC Avant Garde"/>
          <w:bCs/>
          <w:sz w:val="22"/>
          <w:szCs w:val="22"/>
        </w:rPr>
        <w:t xml:space="preserve">no mayor </w:t>
      </w:r>
      <w:r w:rsidRPr="00F7548C">
        <w:rPr>
          <w:rFonts w:ascii="ITC Avant Garde" w:hAnsi="ITC Avant Garde"/>
          <w:bCs/>
          <w:sz w:val="22"/>
          <w:szCs w:val="22"/>
        </w:rPr>
        <w:t xml:space="preserve">de </w:t>
      </w:r>
      <w:r w:rsidR="0021543E">
        <w:rPr>
          <w:rFonts w:ascii="ITC Avant Garde" w:hAnsi="ITC Avant Garde"/>
          <w:bCs/>
          <w:sz w:val="22"/>
          <w:szCs w:val="22"/>
        </w:rPr>
        <w:t>6</w:t>
      </w:r>
      <w:r w:rsidRPr="00F7548C">
        <w:rPr>
          <w:rFonts w:ascii="ITC Avant Garde" w:hAnsi="ITC Avant Garde"/>
          <w:bCs/>
          <w:sz w:val="22"/>
          <w:szCs w:val="22"/>
        </w:rPr>
        <w:t>0 (</w:t>
      </w:r>
      <w:r w:rsidR="00DD6F8F">
        <w:rPr>
          <w:rFonts w:ascii="ITC Avant Garde" w:hAnsi="ITC Avant Garde"/>
          <w:bCs/>
          <w:sz w:val="22"/>
          <w:szCs w:val="22"/>
        </w:rPr>
        <w:t>sesenta</w:t>
      </w:r>
      <w:r w:rsidRPr="00F7548C">
        <w:rPr>
          <w:rFonts w:ascii="ITC Avant Garde" w:hAnsi="ITC Avant Garde"/>
          <w:bCs/>
          <w:sz w:val="22"/>
          <w:szCs w:val="22"/>
        </w:rPr>
        <w:t xml:space="preserve">) días </w:t>
      </w:r>
      <w:r w:rsidR="00DD6F8F">
        <w:rPr>
          <w:rFonts w:ascii="ITC Avant Garde" w:hAnsi="ITC Avant Garde"/>
          <w:bCs/>
          <w:sz w:val="22"/>
          <w:szCs w:val="22"/>
        </w:rPr>
        <w:t>naturales</w:t>
      </w:r>
      <w:r w:rsidRPr="00F7548C">
        <w:rPr>
          <w:rFonts w:ascii="ITC Avant Garde" w:hAnsi="ITC Avant Garde"/>
          <w:bCs/>
          <w:sz w:val="22"/>
          <w:szCs w:val="22"/>
        </w:rPr>
        <w:t xml:space="preserve">, contados a partir de la solicitud de Telecomunicaciones de México, </w:t>
      </w:r>
      <w:r w:rsidR="00FE0FFB" w:rsidRPr="00F7548C">
        <w:rPr>
          <w:rFonts w:ascii="ITC Avant Garde" w:hAnsi="ITC Avant Garde"/>
          <w:bCs/>
          <w:sz w:val="22"/>
          <w:szCs w:val="22"/>
        </w:rPr>
        <w:t>cualquiera de ellos</w:t>
      </w:r>
      <w:r w:rsidRPr="00F7548C">
        <w:rPr>
          <w:rFonts w:ascii="ITC Avant Garde" w:hAnsi="ITC Avant Garde"/>
          <w:bCs/>
          <w:sz w:val="22"/>
          <w:szCs w:val="22"/>
        </w:rPr>
        <w:t xml:space="preserve"> podrá acudir al Instituto para notificar un desacuerdo de Acceso y Uso de Infraestructura. El Instituto resolverá el desacuerdo conforme a la legislación vigente, y para ello podrá allegarse de los elementos técnicos y económicos necesarios.</w:t>
      </w:r>
    </w:p>
    <w:p w14:paraId="61BA0335"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381A022A" w14:textId="628D24E6" w:rsidR="0071127F" w:rsidRPr="00F7548C" w:rsidRDefault="007C2C60"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 xml:space="preserve">Los </w:t>
      </w:r>
      <w:r w:rsidR="0071127F" w:rsidRPr="00F7548C">
        <w:rPr>
          <w:rFonts w:ascii="ITC Avant Garde" w:hAnsi="ITC Avant Garde"/>
          <w:bCs/>
          <w:sz w:val="22"/>
          <w:szCs w:val="22"/>
        </w:rPr>
        <w:t>convenio</w:t>
      </w:r>
      <w:r w:rsidRPr="00F7548C">
        <w:rPr>
          <w:rFonts w:ascii="ITC Avant Garde" w:hAnsi="ITC Avant Garde"/>
          <w:bCs/>
          <w:sz w:val="22"/>
          <w:szCs w:val="22"/>
        </w:rPr>
        <w:t>s</w:t>
      </w:r>
      <w:r w:rsidR="0071127F" w:rsidRPr="00F7548C">
        <w:rPr>
          <w:rFonts w:ascii="ITC Avant Garde" w:hAnsi="ITC Avant Garde"/>
          <w:bCs/>
          <w:sz w:val="22"/>
          <w:szCs w:val="22"/>
        </w:rPr>
        <w:t xml:space="preserve"> entre la CFE y Telecomunicaciones de México para el Acceso y Uso de Infraestructura debe</w:t>
      </w:r>
      <w:r w:rsidRPr="00F7548C">
        <w:rPr>
          <w:rFonts w:ascii="ITC Avant Garde" w:hAnsi="ITC Avant Garde"/>
          <w:bCs/>
          <w:sz w:val="22"/>
          <w:szCs w:val="22"/>
        </w:rPr>
        <w:t>rán</w:t>
      </w:r>
      <w:r w:rsidR="0071127F" w:rsidRPr="00F7548C">
        <w:rPr>
          <w:rFonts w:ascii="ITC Avant Garde" w:hAnsi="ITC Avant Garde"/>
          <w:bCs/>
          <w:sz w:val="22"/>
          <w:szCs w:val="22"/>
        </w:rPr>
        <w:t xml:space="preserve"> incluir cuando menos los siguientes elementos:</w:t>
      </w:r>
    </w:p>
    <w:p w14:paraId="58D1CD0A"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03B3D2ED"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 xml:space="preserve">Descripción y los niveles de disponibilidad para el </w:t>
      </w:r>
      <w:r w:rsidRPr="00F7548C">
        <w:rPr>
          <w:rFonts w:ascii="ITC Avant Garde" w:hAnsi="ITC Avant Garde"/>
          <w:sz w:val="22"/>
          <w:szCs w:val="22"/>
        </w:rPr>
        <w:t>Acceso y Uso de Infraestructura</w:t>
      </w:r>
      <w:r w:rsidRPr="00F7548C">
        <w:rPr>
          <w:rFonts w:ascii="ITC Avant Garde" w:hAnsi="ITC Avant Garde"/>
          <w:bCs/>
          <w:sz w:val="22"/>
          <w:szCs w:val="22"/>
        </w:rPr>
        <w:t>;</w:t>
      </w:r>
    </w:p>
    <w:p w14:paraId="7B559E38"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Especificaciones técnicas requeridas para el Acceso y Uso de Infraestructura, entre ellas los protocolos, manuales, procedimientos y cualquier otro que sea necesario;</w:t>
      </w:r>
    </w:p>
    <w:p w14:paraId="0B36DEDA"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 xml:space="preserve">Precios desagregados por cada uno de los servicios y/o elementos de </w:t>
      </w:r>
      <w:r w:rsidRPr="00F7548C">
        <w:rPr>
          <w:rFonts w:ascii="ITC Avant Garde" w:hAnsi="ITC Avant Garde"/>
          <w:sz w:val="22"/>
          <w:szCs w:val="22"/>
        </w:rPr>
        <w:t>Acceso y Uso de Infraestructura</w:t>
      </w:r>
      <w:r w:rsidRPr="00F7548C">
        <w:rPr>
          <w:rFonts w:ascii="ITC Avant Garde" w:hAnsi="ITC Avant Garde"/>
          <w:bCs/>
          <w:sz w:val="22"/>
          <w:szCs w:val="22"/>
        </w:rPr>
        <w:t>, así como su vigencia y las unidades de cobro;</w:t>
      </w:r>
    </w:p>
    <w:p w14:paraId="274B3AC6"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sz w:val="22"/>
          <w:szCs w:val="22"/>
        </w:rPr>
        <w:lastRenderedPageBreak/>
        <w:t>Mecanismos que permitan compartir información actualizada para el Acceso y Uso de Infraestructura;</w:t>
      </w:r>
    </w:p>
    <w:p w14:paraId="6E384C0B" w14:textId="3154C9BB"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Penas convencionales aplicables</w:t>
      </w:r>
      <w:r w:rsidR="007C2C60" w:rsidRPr="00F7548C">
        <w:rPr>
          <w:rFonts w:ascii="ITC Avant Garde" w:hAnsi="ITC Avant Garde"/>
          <w:bCs/>
          <w:sz w:val="22"/>
          <w:szCs w:val="22"/>
        </w:rPr>
        <w:t>, razonables</w:t>
      </w:r>
      <w:r w:rsidRPr="00F7548C">
        <w:rPr>
          <w:rFonts w:ascii="ITC Avant Garde" w:hAnsi="ITC Avant Garde"/>
          <w:bCs/>
          <w:sz w:val="22"/>
          <w:szCs w:val="22"/>
        </w:rPr>
        <w:t xml:space="preserve"> y proporcionales al incumplimiento respecto al </w:t>
      </w:r>
      <w:r w:rsidRPr="00F7548C">
        <w:rPr>
          <w:rFonts w:ascii="ITC Avant Garde" w:hAnsi="ITC Avant Garde"/>
          <w:sz w:val="22"/>
          <w:szCs w:val="22"/>
        </w:rPr>
        <w:t>Acceso y Uso de Infraestructura</w:t>
      </w:r>
      <w:r w:rsidRPr="00F7548C">
        <w:rPr>
          <w:rFonts w:ascii="ITC Avant Garde" w:hAnsi="ITC Avant Garde"/>
          <w:bCs/>
          <w:sz w:val="22"/>
          <w:szCs w:val="22"/>
        </w:rPr>
        <w:t>;</w:t>
      </w:r>
    </w:p>
    <w:p w14:paraId="6A630FF5" w14:textId="2980C925"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 xml:space="preserve">Elementos </w:t>
      </w:r>
      <w:r w:rsidR="00CB3ACE">
        <w:rPr>
          <w:rFonts w:ascii="ITC Avant Garde" w:hAnsi="ITC Avant Garde"/>
          <w:bCs/>
          <w:sz w:val="22"/>
          <w:szCs w:val="22"/>
        </w:rPr>
        <w:t xml:space="preserve">y servicios </w:t>
      </w:r>
      <w:r w:rsidRPr="00F7548C">
        <w:rPr>
          <w:rFonts w:ascii="ITC Avant Garde" w:hAnsi="ITC Avant Garde"/>
          <w:bCs/>
          <w:sz w:val="22"/>
          <w:szCs w:val="22"/>
        </w:rPr>
        <w:t>que son objeto del Acceso y Uso de Infraestructura a comercializarse de forma desagregada, de tal manera que no se deba pagar por elementos</w:t>
      </w:r>
      <w:r w:rsidR="00CB3ACE">
        <w:rPr>
          <w:rFonts w:ascii="ITC Avant Garde" w:hAnsi="ITC Avant Garde"/>
          <w:bCs/>
          <w:sz w:val="22"/>
          <w:szCs w:val="22"/>
        </w:rPr>
        <w:t>, servicios</w:t>
      </w:r>
      <w:r w:rsidRPr="00F7548C">
        <w:rPr>
          <w:rFonts w:ascii="ITC Avant Garde" w:hAnsi="ITC Avant Garde"/>
          <w:bCs/>
          <w:sz w:val="22"/>
          <w:szCs w:val="22"/>
        </w:rPr>
        <w:t xml:space="preserve"> o instalaciones de la red que no se necesiten;</w:t>
      </w:r>
    </w:p>
    <w:p w14:paraId="38532E73" w14:textId="4CB16124"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 xml:space="preserve">Mecanismos que permitan asegurar la identificación de cada uno de los elementos </w:t>
      </w:r>
      <w:r w:rsidR="00CB3ACE">
        <w:rPr>
          <w:rFonts w:ascii="ITC Avant Garde" w:hAnsi="ITC Avant Garde"/>
          <w:bCs/>
          <w:sz w:val="22"/>
          <w:szCs w:val="22"/>
        </w:rPr>
        <w:t xml:space="preserve">y servicios </w:t>
      </w:r>
      <w:r w:rsidRPr="00F7548C">
        <w:rPr>
          <w:rFonts w:ascii="ITC Avant Garde" w:hAnsi="ITC Avant Garde"/>
          <w:bCs/>
          <w:sz w:val="22"/>
          <w:szCs w:val="22"/>
        </w:rPr>
        <w:t>que son objeto del Acceso y Uso de Infraestructura que se puedan utilizar por parte de Telecomunicaciones de México;</w:t>
      </w:r>
    </w:p>
    <w:p w14:paraId="617232B0"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Condiciones para mantener en óptimas condiciones técnicas y operativas los elementos que son objeto del Acceso y Uso de Infraestructura;</w:t>
      </w:r>
    </w:p>
    <w:p w14:paraId="6D873787"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Procedimientos y precios de mantenimiento, modificaciones y ampliaciones de su infraestructura;</w:t>
      </w:r>
    </w:p>
    <w:p w14:paraId="3E207E1F" w14:textId="5583B73D" w:rsidR="0071127F" w:rsidRPr="00F7548C" w:rsidRDefault="00D370FB"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Parámetros</w:t>
      </w:r>
      <w:r w:rsidR="0071127F" w:rsidRPr="00F7548C">
        <w:rPr>
          <w:rFonts w:ascii="ITC Avant Garde" w:hAnsi="ITC Avant Garde"/>
          <w:bCs/>
          <w:sz w:val="22"/>
          <w:szCs w:val="22"/>
        </w:rPr>
        <w:t xml:space="preserve"> de calidad; </w:t>
      </w:r>
    </w:p>
    <w:p w14:paraId="4DE05E5C"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Procedimientos y plazos aplicables para la reparación de fallas y gestión de incidencias;</w:t>
      </w:r>
    </w:p>
    <w:p w14:paraId="5737C1F9"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Procedimientos de notificación en caso fortuito, de fuerza mayor, o durante periodos de emergencia;</w:t>
      </w:r>
    </w:p>
    <w:p w14:paraId="1301B293" w14:textId="71277AAB"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 xml:space="preserve">Procedimientos y criterios para la habilitación de nueva Infraestructura de la CFE o complementar la ya existente; así como </w:t>
      </w:r>
      <w:r w:rsidR="00CB3ACE">
        <w:rPr>
          <w:rFonts w:ascii="ITC Avant Garde" w:hAnsi="ITC Avant Garde"/>
          <w:bCs/>
          <w:sz w:val="22"/>
          <w:szCs w:val="22"/>
        </w:rPr>
        <w:t>para</w:t>
      </w:r>
      <w:r w:rsidRPr="00F7548C">
        <w:rPr>
          <w:rFonts w:ascii="ITC Avant Garde" w:hAnsi="ITC Avant Garde"/>
          <w:bCs/>
          <w:sz w:val="22"/>
          <w:szCs w:val="22"/>
        </w:rPr>
        <w:t xml:space="preserve"> la recuperación de infraestructura o ampliación de espacios, espacios saturados e inversiones conjuntas;</w:t>
      </w:r>
    </w:p>
    <w:p w14:paraId="1C9C3595"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Plazos y procedimientos específicos para la entrega de los servicios de Acceso y Uso de Infraestructura, realización de Visitas Técnicas y la emisión de dictámenes de factibilidad;</w:t>
      </w:r>
    </w:p>
    <w:p w14:paraId="7E1E7A71"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Procedimientos de conciliación y facturación relativa al Acceso y Uso de Infraestructura, con el nivel suficiente de detalle y desagregación;</w:t>
      </w:r>
    </w:p>
    <w:p w14:paraId="74811490"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 xml:space="preserve">Procedimientos que permitan la revisión y actualización  de las condiciones ya contratadas en caso de que las mismas se vean afectadas por temas </w:t>
      </w:r>
      <w:r w:rsidRPr="00F7548C">
        <w:rPr>
          <w:rFonts w:ascii="ITC Avant Garde" w:hAnsi="ITC Avant Garde"/>
          <w:bCs/>
          <w:sz w:val="22"/>
          <w:szCs w:val="22"/>
        </w:rPr>
        <w:lastRenderedPageBreak/>
        <w:t>económicos, tecnológicos, de mercado o cualquier otra circunstancia que lo amerite;</w:t>
      </w:r>
    </w:p>
    <w:p w14:paraId="465B3904"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sz w:val="22"/>
          <w:szCs w:val="22"/>
        </w:rPr>
      </w:pPr>
      <w:r w:rsidRPr="00F7548C">
        <w:rPr>
          <w:rFonts w:ascii="ITC Avant Garde" w:hAnsi="ITC Avant Garde"/>
          <w:sz w:val="22"/>
          <w:szCs w:val="22"/>
        </w:rPr>
        <w:t xml:space="preserve">Procedimientos que permitan actualizar los convenios en caso de que la CFE ofrezca mejores precios, y que las condiciones sean equivalentes a otros solicitantes, y </w:t>
      </w:r>
    </w:p>
    <w:p w14:paraId="0AC1C26E" w14:textId="77777777" w:rsidR="0071127F" w:rsidRPr="00F7548C" w:rsidRDefault="0071127F" w:rsidP="005B2961">
      <w:pPr>
        <w:pStyle w:val="estilo30"/>
        <w:numPr>
          <w:ilvl w:val="0"/>
          <w:numId w:val="18"/>
        </w:numPr>
        <w:spacing w:before="24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Procedimientos adicionales que sean necesarios para el Acceso y Uso de Infraestructura.</w:t>
      </w:r>
    </w:p>
    <w:p w14:paraId="5AF24509" w14:textId="77777777" w:rsidR="00DD780C" w:rsidRPr="00F7548C" w:rsidRDefault="00DD780C" w:rsidP="00DD780C">
      <w:pPr>
        <w:pStyle w:val="estilo30"/>
        <w:spacing w:before="0" w:beforeAutospacing="0" w:after="0" w:afterAutospacing="0" w:line="276" w:lineRule="auto"/>
        <w:jc w:val="both"/>
        <w:rPr>
          <w:rFonts w:ascii="ITC Avant Garde" w:hAnsi="ITC Avant Garde"/>
          <w:bCs/>
          <w:sz w:val="22"/>
          <w:szCs w:val="22"/>
        </w:rPr>
      </w:pPr>
    </w:p>
    <w:p w14:paraId="36924A60" w14:textId="265C66CC" w:rsidR="00D12268" w:rsidRDefault="00EE440C" w:rsidP="0071127F">
      <w:pPr>
        <w:pStyle w:val="estilo30"/>
        <w:spacing w:before="0" w:beforeAutospacing="0" w:after="0" w:afterAutospacing="0" w:line="276" w:lineRule="auto"/>
        <w:jc w:val="both"/>
        <w:rPr>
          <w:rFonts w:ascii="ITC Avant Garde" w:hAnsi="ITC Avant Garde"/>
          <w:sz w:val="22"/>
          <w:szCs w:val="22"/>
        </w:rPr>
      </w:pPr>
      <w:r w:rsidRPr="008F3A76">
        <w:rPr>
          <w:rFonts w:ascii="ITC Avant Garde" w:hAnsi="ITC Avant Garde"/>
          <w:sz w:val="22"/>
          <w:szCs w:val="22"/>
        </w:rPr>
        <w:t>El I</w:t>
      </w:r>
      <w:r w:rsidRPr="000F3A6D">
        <w:rPr>
          <w:rFonts w:ascii="ITC Avant Garde" w:hAnsi="ITC Avant Garde"/>
          <w:sz w:val="22"/>
          <w:szCs w:val="22"/>
        </w:rPr>
        <w:t>nstituto resolverá los desacuerdos que en su caso se le presenten en el ámbito de sus atribuciones, sin perjuicio de la competencia que corresponda a otras autoridades.</w:t>
      </w:r>
      <w:r w:rsidR="00941765">
        <w:rPr>
          <w:rFonts w:ascii="ITC Avant Garde" w:hAnsi="ITC Avant Garde"/>
          <w:sz w:val="22"/>
          <w:szCs w:val="22"/>
        </w:rPr>
        <w:t xml:space="preserve"> </w:t>
      </w:r>
    </w:p>
    <w:p w14:paraId="253C2456" w14:textId="77777777" w:rsidR="00D12268" w:rsidRDefault="00D12268" w:rsidP="0071127F">
      <w:pPr>
        <w:pStyle w:val="estilo30"/>
        <w:spacing w:before="0" w:beforeAutospacing="0" w:after="0" w:afterAutospacing="0" w:line="276" w:lineRule="auto"/>
        <w:jc w:val="both"/>
        <w:rPr>
          <w:rFonts w:ascii="ITC Avant Garde" w:hAnsi="ITC Avant Garde"/>
          <w:sz w:val="22"/>
          <w:szCs w:val="22"/>
        </w:rPr>
      </w:pPr>
    </w:p>
    <w:p w14:paraId="0934BB06" w14:textId="67F0BA6B" w:rsidR="0071127F" w:rsidRPr="00F7548C" w:rsidRDefault="00DD780C" w:rsidP="0071127F">
      <w:pPr>
        <w:pStyle w:val="estilo30"/>
        <w:spacing w:before="0" w:beforeAutospacing="0" w:after="0" w:afterAutospacing="0" w:line="276" w:lineRule="auto"/>
        <w:jc w:val="both"/>
        <w:rPr>
          <w:rFonts w:ascii="ITC Avant Garde" w:hAnsi="ITC Avant Garde"/>
          <w:sz w:val="22"/>
          <w:szCs w:val="22"/>
        </w:rPr>
      </w:pPr>
      <w:r w:rsidRPr="00F7548C">
        <w:rPr>
          <w:rFonts w:ascii="ITC Avant Garde" w:hAnsi="ITC Avant Garde"/>
          <w:sz w:val="22"/>
          <w:szCs w:val="22"/>
        </w:rPr>
        <w:t xml:space="preserve">Telecomunicaciones de México deberá informar a la CFE, sobre los pronósticos de demanda de servicios para los dos años inmediatos siguientes, tendencias de tecnologías y otra información que considere relevante. De esta forma dicha información podrá ser analizada dentro de los procesos de ampliación y modernización de las  redes eléctricas, de conformidad con los principios establecidos en la Ley de la Industria Eléctrica. Dicho informe deberá presentarse por parte de Telecomunicaciones de México, durante el mes de </w:t>
      </w:r>
      <w:r w:rsidR="00A70965" w:rsidRPr="00F7548C">
        <w:rPr>
          <w:rFonts w:ascii="ITC Avant Garde" w:hAnsi="ITC Avant Garde"/>
          <w:sz w:val="22"/>
          <w:szCs w:val="22"/>
        </w:rPr>
        <w:t>junio</w:t>
      </w:r>
      <w:r w:rsidRPr="00F7548C">
        <w:rPr>
          <w:rFonts w:ascii="ITC Avant Garde" w:hAnsi="ITC Avant Garde"/>
          <w:sz w:val="22"/>
          <w:szCs w:val="22"/>
        </w:rPr>
        <w:t xml:space="preserve"> de cada año.</w:t>
      </w:r>
    </w:p>
    <w:p w14:paraId="46F78116" w14:textId="77777777" w:rsidR="0071127F" w:rsidRPr="00F7548C" w:rsidRDefault="0071127F" w:rsidP="0071127F">
      <w:pPr>
        <w:pStyle w:val="estilo30"/>
        <w:spacing w:before="0" w:beforeAutospacing="0" w:after="0" w:afterAutospacing="0" w:line="276" w:lineRule="auto"/>
        <w:jc w:val="both"/>
        <w:rPr>
          <w:rFonts w:ascii="ITC Avant Garde" w:hAnsi="ITC Avant Garde"/>
          <w:sz w:val="22"/>
          <w:szCs w:val="22"/>
        </w:rPr>
      </w:pPr>
    </w:p>
    <w:p w14:paraId="202013C4" w14:textId="209A2E4E" w:rsidR="0071127F" w:rsidRPr="00F7548C" w:rsidRDefault="0071127F" w:rsidP="0071127F">
      <w:pPr>
        <w:pStyle w:val="estilo30"/>
        <w:spacing w:before="0" w:beforeAutospacing="0" w:after="0" w:afterAutospacing="0" w:line="276" w:lineRule="auto"/>
        <w:jc w:val="both"/>
        <w:rPr>
          <w:rFonts w:ascii="ITC Avant Garde" w:hAnsi="ITC Avant Garde"/>
          <w:b/>
          <w:bCs/>
          <w:sz w:val="22"/>
          <w:szCs w:val="22"/>
        </w:rPr>
      </w:pPr>
      <w:r w:rsidRPr="00F7548C">
        <w:rPr>
          <w:rFonts w:ascii="ITC Avant Garde" w:hAnsi="ITC Avant Garde"/>
          <w:bCs/>
          <w:sz w:val="22"/>
          <w:szCs w:val="22"/>
        </w:rPr>
        <w:t xml:space="preserve">Telecomunicaciones de México deberá notificar al Instituto los convenios suscritos con la CFE para el </w:t>
      </w:r>
      <w:r w:rsidRPr="00F7548C">
        <w:rPr>
          <w:rFonts w:ascii="ITC Avant Garde" w:hAnsi="ITC Avant Garde"/>
          <w:sz w:val="22"/>
          <w:szCs w:val="22"/>
        </w:rPr>
        <w:t xml:space="preserve">Acceso y Uso de Infraestructura, dentro de los </w:t>
      </w:r>
      <w:r w:rsidR="004B6614">
        <w:rPr>
          <w:rFonts w:ascii="ITC Avant Garde" w:hAnsi="ITC Avant Garde"/>
          <w:sz w:val="22"/>
          <w:szCs w:val="22"/>
        </w:rPr>
        <w:t>treinta</w:t>
      </w:r>
      <w:r w:rsidRPr="00F7548C">
        <w:rPr>
          <w:rFonts w:ascii="ITC Avant Garde" w:hAnsi="ITC Avant Garde"/>
          <w:sz w:val="22"/>
          <w:szCs w:val="22"/>
        </w:rPr>
        <w:t xml:space="preserve"> (</w:t>
      </w:r>
      <w:r w:rsidR="004B6614">
        <w:rPr>
          <w:rFonts w:ascii="ITC Avant Garde" w:hAnsi="ITC Avant Garde"/>
          <w:sz w:val="22"/>
          <w:szCs w:val="22"/>
        </w:rPr>
        <w:t>treinta</w:t>
      </w:r>
      <w:r w:rsidRPr="00F7548C">
        <w:rPr>
          <w:rFonts w:ascii="ITC Avant Garde" w:hAnsi="ITC Avant Garde"/>
          <w:sz w:val="22"/>
          <w:szCs w:val="22"/>
        </w:rPr>
        <w:t>) días hábiles siguientes a su celebración, mismos que deberán ser inscritos en el Registro Público de Concesiones</w:t>
      </w:r>
      <w:r w:rsidR="002C175C">
        <w:rPr>
          <w:rFonts w:ascii="ITC Avant Garde" w:hAnsi="ITC Avant Garde"/>
          <w:sz w:val="22"/>
          <w:szCs w:val="22"/>
        </w:rPr>
        <w:t xml:space="preserve"> dentro del mismo plazo</w:t>
      </w:r>
      <w:r w:rsidRPr="00F7548C">
        <w:rPr>
          <w:rFonts w:ascii="ITC Avant Garde" w:hAnsi="ITC Avant Garde"/>
          <w:bCs/>
          <w:sz w:val="22"/>
          <w:szCs w:val="22"/>
        </w:rPr>
        <w:t>.</w:t>
      </w:r>
    </w:p>
    <w:p w14:paraId="09A319D4"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51228267" w14:textId="5A5AF238"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 xml:space="preserve">Artículo 8.- </w:t>
      </w:r>
      <w:r w:rsidRPr="00F7548C">
        <w:rPr>
          <w:rFonts w:ascii="ITC Avant Garde" w:hAnsi="ITC Avant Garde"/>
          <w:bCs/>
          <w:sz w:val="22"/>
          <w:szCs w:val="22"/>
        </w:rPr>
        <w:t>La CFE y Telecomunicaciones de México deberán evitar en todo momento la realización de actividades que pongan en riesgo</w:t>
      </w:r>
      <w:r w:rsidR="00A70965" w:rsidRPr="00F7548C">
        <w:rPr>
          <w:rFonts w:ascii="ITC Avant Garde" w:hAnsi="ITC Avant Garde"/>
          <w:bCs/>
          <w:sz w:val="22"/>
          <w:szCs w:val="22"/>
        </w:rPr>
        <w:t xml:space="preserve"> la seguridad y continuidad del suministro de </w:t>
      </w:r>
      <w:r w:rsidRPr="00F7548C">
        <w:rPr>
          <w:rFonts w:ascii="ITC Avant Garde" w:hAnsi="ITC Avant Garde"/>
          <w:bCs/>
          <w:sz w:val="22"/>
          <w:szCs w:val="22"/>
        </w:rPr>
        <w:t xml:space="preserve">energía eléctrica. </w:t>
      </w:r>
    </w:p>
    <w:p w14:paraId="52B872FC" w14:textId="191008F9"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En los procedimientos de operación, mantenimiento, actualización y crecimiento de</w:t>
      </w:r>
      <w:r w:rsidR="00434664">
        <w:rPr>
          <w:rFonts w:ascii="ITC Avant Garde" w:hAnsi="ITC Avant Garde"/>
          <w:bCs/>
          <w:sz w:val="22"/>
          <w:szCs w:val="22"/>
        </w:rPr>
        <w:t xml:space="preserve"> </w:t>
      </w:r>
      <w:r w:rsidRPr="00F7548C">
        <w:rPr>
          <w:rFonts w:ascii="ITC Avant Garde" w:hAnsi="ITC Avant Garde"/>
          <w:bCs/>
          <w:sz w:val="22"/>
          <w:szCs w:val="22"/>
        </w:rPr>
        <w:t>l</w:t>
      </w:r>
      <w:r w:rsidR="00434664">
        <w:rPr>
          <w:rFonts w:ascii="ITC Avant Garde" w:hAnsi="ITC Avant Garde"/>
          <w:bCs/>
          <w:sz w:val="22"/>
          <w:szCs w:val="22"/>
        </w:rPr>
        <w:t>a red utilizada para el</w:t>
      </w:r>
      <w:r w:rsidRPr="00F7548C">
        <w:rPr>
          <w:rFonts w:ascii="ITC Avant Garde" w:hAnsi="ITC Avant Garde"/>
          <w:bCs/>
          <w:sz w:val="22"/>
          <w:szCs w:val="22"/>
        </w:rPr>
        <w:t xml:space="preserve"> Acceso y Uso de Infraestructura, deberá </w:t>
      </w:r>
      <w:r w:rsidR="00A70965" w:rsidRPr="00F7548C">
        <w:rPr>
          <w:rFonts w:ascii="ITC Avant Garde" w:hAnsi="ITC Avant Garde"/>
          <w:bCs/>
          <w:sz w:val="22"/>
          <w:szCs w:val="22"/>
        </w:rPr>
        <w:t xml:space="preserve">prevalecer el principio de mantener la seguridad y continuidad de la </w:t>
      </w:r>
      <w:r w:rsidRPr="00F7548C">
        <w:rPr>
          <w:rFonts w:ascii="ITC Avant Garde" w:hAnsi="ITC Avant Garde"/>
          <w:bCs/>
          <w:sz w:val="22"/>
          <w:szCs w:val="22"/>
        </w:rPr>
        <w:t xml:space="preserve">prestación del Servicio Público de Transmisión y Distribución de Energía Eléctrica a través de la infraestructura del sistema eléctrico nacional. Telecomunicaciones de México estará obligado a cumplir con la normatividad </w:t>
      </w:r>
      <w:r w:rsidR="007C2C60" w:rsidRPr="00F7548C">
        <w:rPr>
          <w:rFonts w:ascii="ITC Avant Garde" w:hAnsi="ITC Avant Garde"/>
          <w:bCs/>
          <w:sz w:val="22"/>
          <w:szCs w:val="22"/>
        </w:rPr>
        <w:t xml:space="preserve">aplicable </w:t>
      </w:r>
      <w:r w:rsidRPr="00F7548C">
        <w:rPr>
          <w:rFonts w:ascii="ITC Avant Garde" w:hAnsi="ITC Avant Garde"/>
          <w:bCs/>
          <w:sz w:val="22"/>
          <w:szCs w:val="22"/>
        </w:rPr>
        <w:t>que emita la Comisión Reguladora de Energía,</w:t>
      </w:r>
      <w:r w:rsidR="00A70965" w:rsidRPr="00F7548C">
        <w:rPr>
          <w:rFonts w:ascii="ITC Avant Garde" w:hAnsi="ITC Avant Garde"/>
          <w:bCs/>
          <w:sz w:val="22"/>
          <w:szCs w:val="22"/>
        </w:rPr>
        <w:t xml:space="preserve"> disposiciones técnicas de la CFE</w:t>
      </w:r>
      <w:r w:rsidRPr="00F7548C">
        <w:rPr>
          <w:rFonts w:ascii="ITC Avant Garde" w:hAnsi="ITC Avant Garde"/>
          <w:bCs/>
          <w:sz w:val="22"/>
          <w:szCs w:val="22"/>
        </w:rPr>
        <w:t xml:space="preserve"> o cualquier otra autoridad competente en materia de seguridad</w:t>
      </w:r>
      <w:r w:rsidR="00A70965" w:rsidRPr="00F7548C">
        <w:rPr>
          <w:rFonts w:ascii="ITC Avant Garde" w:hAnsi="ITC Avant Garde"/>
          <w:bCs/>
          <w:sz w:val="22"/>
          <w:szCs w:val="22"/>
        </w:rPr>
        <w:t xml:space="preserve"> y continuidad</w:t>
      </w:r>
      <w:r w:rsidRPr="00F7548C">
        <w:rPr>
          <w:rFonts w:ascii="ITC Avant Garde" w:hAnsi="ITC Avant Garde"/>
          <w:bCs/>
          <w:sz w:val="22"/>
          <w:szCs w:val="22"/>
        </w:rPr>
        <w:t>.</w:t>
      </w:r>
    </w:p>
    <w:p w14:paraId="0920110E"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2E3B01F4" w14:textId="0F122893"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lastRenderedPageBreak/>
        <w:t>En caso de que exista riesgo de que algún acontecimiento afecte la prestación de alguno o de ambos servicios, ya sea paro, obra o cualquier otra actividad</w:t>
      </w:r>
      <w:r w:rsidR="00FB084A">
        <w:rPr>
          <w:rFonts w:ascii="ITC Avant Garde" w:hAnsi="ITC Avant Garde"/>
          <w:bCs/>
          <w:sz w:val="22"/>
          <w:szCs w:val="22"/>
        </w:rPr>
        <w:t xml:space="preserve"> previsible</w:t>
      </w:r>
      <w:r w:rsidRPr="00F7548C">
        <w:rPr>
          <w:rFonts w:ascii="ITC Avant Garde" w:hAnsi="ITC Avant Garde"/>
          <w:bCs/>
          <w:sz w:val="22"/>
          <w:szCs w:val="22"/>
        </w:rPr>
        <w:t xml:space="preserve">, </w:t>
      </w:r>
      <w:r w:rsidR="00FB084A">
        <w:rPr>
          <w:rFonts w:ascii="ITC Avant Garde" w:hAnsi="ITC Avant Garde"/>
          <w:bCs/>
          <w:sz w:val="22"/>
          <w:szCs w:val="22"/>
        </w:rPr>
        <w:t xml:space="preserve">CFE y Telecomunicaciones de México </w:t>
      </w:r>
      <w:r w:rsidRPr="00F7548C">
        <w:rPr>
          <w:rFonts w:ascii="ITC Avant Garde" w:hAnsi="ITC Avant Garde"/>
          <w:bCs/>
          <w:sz w:val="22"/>
          <w:szCs w:val="22"/>
        </w:rPr>
        <w:t xml:space="preserve">deberán informarse mutuamente con al menos siete días hábiles de anticipación para tomar las medidas preventivas. </w:t>
      </w:r>
    </w:p>
    <w:p w14:paraId="28C6CC80"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6DA022B0" w14:textId="5CC046CA"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Artículo 9.-</w:t>
      </w:r>
      <w:r w:rsidRPr="00F7548C">
        <w:rPr>
          <w:rFonts w:ascii="ITC Avant Garde" w:hAnsi="ITC Avant Garde"/>
          <w:bCs/>
          <w:sz w:val="22"/>
          <w:szCs w:val="22"/>
        </w:rPr>
        <w:t xml:space="preserve"> La CFE deberá asegurar el mantenimiento de los elementos puestos a disposición de Telecomunicaciones de México a través de una </w:t>
      </w:r>
      <w:r w:rsidR="00A70965" w:rsidRPr="00F7548C">
        <w:rPr>
          <w:rFonts w:ascii="ITC Avant Garde" w:hAnsi="ITC Avant Garde"/>
          <w:bCs/>
          <w:sz w:val="22"/>
          <w:szCs w:val="22"/>
        </w:rPr>
        <w:t>remuneración justa</w:t>
      </w:r>
      <w:r w:rsidRPr="00F7548C">
        <w:rPr>
          <w:rFonts w:ascii="ITC Avant Garde" w:hAnsi="ITC Avant Garde"/>
          <w:bCs/>
          <w:sz w:val="22"/>
          <w:szCs w:val="22"/>
        </w:rPr>
        <w:t>, a fin de garantizar la continuidad en el Acceso y Uso de Infraestructura. Asimismo, la CFE y Telecomunicaciones de México deberán establecer y asegurar que los procedimientos para las solicitudes de servicios, mantenimiento de la infraestructura, reporte de fallas e incidencias</w:t>
      </w:r>
      <w:r w:rsidR="00A70965" w:rsidRPr="00F7548C">
        <w:rPr>
          <w:rFonts w:ascii="ITC Avant Garde" w:hAnsi="ITC Avant Garde"/>
          <w:bCs/>
          <w:sz w:val="22"/>
          <w:szCs w:val="22"/>
        </w:rPr>
        <w:t xml:space="preserve"> sobre esa infraestructura</w:t>
      </w:r>
      <w:r w:rsidRPr="00F7548C">
        <w:rPr>
          <w:rFonts w:ascii="ITC Avant Garde" w:hAnsi="ITC Avant Garde"/>
          <w:bCs/>
          <w:sz w:val="22"/>
          <w:szCs w:val="22"/>
        </w:rPr>
        <w:t xml:space="preserve">, entre otros que sean necesarios para el </w:t>
      </w:r>
      <w:r w:rsidRPr="00F7548C">
        <w:rPr>
          <w:rFonts w:ascii="ITC Avant Garde" w:hAnsi="ITC Avant Garde"/>
          <w:sz w:val="22"/>
          <w:szCs w:val="22"/>
        </w:rPr>
        <w:t>Acceso y Uso de Infraestructura</w:t>
      </w:r>
      <w:r w:rsidRPr="00F7548C">
        <w:rPr>
          <w:rFonts w:ascii="ITC Avant Garde" w:hAnsi="ITC Avant Garde"/>
          <w:bCs/>
          <w:sz w:val="22"/>
          <w:szCs w:val="22"/>
        </w:rPr>
        <w:t>, sean suficientemente detallados y consistentes con las mejores prácticas internacionales.</w:t>
      </w:r>
    </w:p>
    <w:p w14:paraId="335FB220"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79413696"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Artículo 10.-</w:t>
      </w:r>
      <w:r w:rsidRPr="00F7548C">
        <w:rPr>
          <w:rFonts w:ascii="ITC Avant Garde" w:hAnsi="ITC Avant Garde"/>
          <w:bCs/>
          <w:sz w:val="22"/>
          <w:szCs w:val="22"/>
        </w:rPr>
        <w:t xml:space="preserve"> Telecomunicaciones de México no podrá emplear equipos, tecnologías o métodos de operación que interfieran o afecten la provisión del servicio de energía eléctrica, y será responsable por el daño y/o perjuicio causado por sus sistemas y/o personal al emplear los referidos equipos, tecnologías o métodos de operación.</w:t>
      </w:r>
    </w:p>
    <w:p w14:paraId="55D804D6" w14:textId="77777777"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p>
    <w:p w14:paraId="5B3E78C1" w14:textId="5768AA71"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
          <w:bCs/>
          <w:sz w:val="22"/>
          <w:szCs w:val="22"/>
        </w:rPr>
        <w:t>Artículo 11.</w:t>
      </w:r>
      <w:r w:rsidRPr="00F7548C">
        <w:rPr>
          <w:rFonts w:ascii="ITC Avant Garde" w:hAnsi="ITC Avant Garde"/>
          <w:bCs/>
          <w:sz w:val="22"/>
          <w:szCs w:val="22"/>
        </w:rPr>
        <w:t xml:space="preserve">- En caso de que Telecomunicaciones de México contrate o subcontrate con terceros una o más actividades relacionadas con el Acceso y Uso de Infraestructura, deberá asegurarse que la contratación o subcontratación se apegue a todos y cada uno de los términos contractuales con la CFE, y que los terceros contratados o subcontratados cumplan con lo dispuesto en los presentes Lineamientos, la normatividad técnica y demás disposiciones aplicables. </w:t>
      </w:r>
      <w:r w:rsidR="00A70965" w:rsidRPr="00F7548C">
        <w:rPr>
          <w:rFonts w:ascii="ITC Avant Garde" w:hAnsi="ITC Avant Garde"/>
          <w:bCs/>
          <w:sz w:val="22"/>
          <w:szCs w:val="22"/>
        </w:rPr>
        <w:t>Telecomunicaciones de México será solidariamente responsable de cualquier incumplimiento por parte de dichos terceros.</w:t>
      </w:r>
    </w:p>
    <w:p w14:paraId="06AB7D5A" w14:textId="77777777" w:rsidR="0071127F" w:rsidRPr="00F7548C" w:rsidRDefault="0071127F" w:rsidP="0071127F">
      <w:pPr>
        <w:pStyle w:val="estilo30"/>
        <w:spacing w:line="276" w:lineRule="auto"/>
        <w:jc w:val="both"/>
        <w:rPr>
          <w:rFonts w:ascii="ITC Avant Garde" w:hAnsi="ITC Avant Garde"/>
          <w:bCs/>
          <w:sz w:val="22"/>
          <w:szCs w:val="22"/>
        </w:rPr>
      </w:pPr>
      <w:r w:rsidRPr="00F7548C">
        <w:rPr>
          <w:rFonts w:ascii="ITC Avant Garde" w:hAnsi="ITC Avant Garde"/>
          <w:b/>
          <w:sz w:val="22"/>
          <w:szCs w:val="22"/>
        </w:rPr>
        <w:t>Artículo 12.-</w:t>
      </w:r>
      <w:r w:rsidRPr="00F7548C">
        <w:rPr>
          <w:rFonts w:ascii="ITC Avant Garde" w:hAnsi="ITC Avant Garde"/>
          <w:bCs/>
          <w:sz w:val="22"/>
          <w:szCs w:val="22"/>
        </w:rPr>
        <w:t xml:space="preserve"> La CFE y Telecomunicaciones de México se obligan en todo momento a salvaguardar todos los elementos del Acceso y Uso de Infraestructura. </w:t>
      </w:r>
    </w:p>
    <w:p w14:paraId="7BF4951F" w14:textId="1299D6C1" w:rsidR="0071127F" w:rsidRPr="00F7548C" w:rsidRDefault="0071127F" w:rsidP="0071127F">
      <w:pPr>
        <w:pStyle w:val="estilo30"/>
        <w:spacing w:before="0" w:beforeAutospacing="0" w:after="0" w:afterAutospacing="0" w:line="276" w:lineRule="auto"/>
        <w:jc w:val="both"/>
        <w:rPr>
          <w:rFonts w:ascii="ITC Avant Garde" w:hAnsi="ITC Avant Garde"/>
          <w:bCs/>
          <w:sz w:val="22"/>
          <w:szCs w:val="22"/>
        </w:rPr>
      </w:pPr>
      <w:r w:rsidRPr="00F7548C">
        <w:rPr>
          <w:rFonts w:ascii="ITC Avant Garde" w:hAnsi="ITC Avant Garde"/>
          <w:bCs/>
          <w:sz w:val="22"/>
          <w:szCs w:val="22"/>
        </w:rPr>
        <w:t>En caso de que cualquier elemento instalado para el Acceso y Uso de Infraestructura esté causando daño o perjuicio a la misma o ponga en peligro la seguridad de las personas o de la propiedad, dicho elemento deberá ser retirad</w:t>
      </w:r>
      <w:r w:rsidR="00C36CE6">
        <w:rPr>
          <w:rFonts w:ascii="ITC Avant Garde" w:hAnsi="ITC Avant Garde"/>
          <w:bCs/>
          <w:sz w:val="22"/>
          <w:szCs w:val="22"/>
        </w:rPr>
        <w:t>o</w:t>
      </w:r>
      <w:r w:rsidRPr="00F7548C">
        <w:rPr>
          <w:rFonts w:ascii="ITC Avant Garde" w:hAnsi="ITC Avant Garde"/>
          <w:bCs/>
          <w:sz w:val="22"/>
          <w:szCs w:val="22"/>
        </w:rPr>
        <w:t xml:space="preserve">. La CFE y Telecomunicaciones de México deberán acordar la manera en que atenderán la situación de emergencia, así como la solución alternativa y correctiva </w:t>
      </w:r>
      <w:r w:rsidRPr="00F7548C">
        <w:rPr>
          <w:rFonts w:ascii="ITC Avant Garde" w:hAnsi="ITC Avant Garde"/>
          <w:bCs/>
          <w:sz w:val="22"/>
          <w:szCs w:val="22"/>
        </w:rPr>
        <w:lastRenderedPageBreak/>
        <w:t xml:space="preserve">que llevarán a cabo para garantizar la continuidad del Acceso y Uso de Infraestructura. </w:t>
      </w:r>
    </w:p>
    <w:p w14:paraId="323B8191" w14:textId="77777777" w:rsidR="0071127F" w:rsidRPr="00F7548C" w:rsidRDefault="0071127F" w:rsidP="0071127F">
      <w:pPr>
        <w:pStyle w:val="estilo30"/>
        <w:spacing w:before="0" w:beforeAutospacing="0" w:after="0" w:afterAutospacing="0" w:line="276" w:lineRule="auto"/>
        <w:jc w:val="both"/>
        <w:rPr>
          <w:rFonts w:ascii="ITC Avant Garde" w:hAnsi="ITC Avant Garde"/>
          <w:b/>
          <w:bCs/>
          <w:sz w:val="22"/>
          <w:szCs w:val="22"/>
        </w:rPr>
      </w:pPr>
    </w:p>
    <w:p w14:paraId="2FE65FD5" w14:textId="7E52BF25" w:rsidR="0071127F" w:rsidRPr="00F7548C" w:rsidRDefault="0071127F" w:rsidP="0071127F">
      <w:pPr>
        <w:spacing w:line="276" w:lineRule="auto"/>
        <w:jc w:val="both"/>
        <w:rPr>
          <w:rFonts w:ascii="ITC Avant Garde" w:hAnsi="ITC Avant Garde"/>
          <w:sz w:val="22"/>
          <w:szCs w:val="22"/>
        </w:rPr>
      </w:pPr>
      <w:r w:rsidRPr="00F7548C">
        <w:rPr>
          <w:rFonts w:ascii="ITC Avant Garde" w:hAnsi="ITC Avant Garde"/>
          <w:b/>
          <w:sz w:val="22"/>
          <w:szCs w:val="22"/>
        </w:rPr>
        <w:t>Artículo 1</w:t>
      </w:r>
      <w:r w:rsidR="00A70965" w:rsidRPr="00F7548C">
        <w:rPr>
          <w:rFonts w:ascii="ITC Avant Garde" w:hAnsi="ITC Avant Garde"/>
          <w:b/>
          <w:sz w:val="22"/>
          <w:szCs w:val="22"/>
        </w:rPr>
        <w:t>3</w:t>
      </w:r>
      <w:r w:rsidRPr="00F7548C">
        <w:rPr>
          <w:rFonts w:ascii="ITC Avant Garde" w:hAnsi="ITC Avant Garde"/>
          <w:sz w:val="22"/>
          <w:szCs w:val="22"/>
        </w:rPr>
        <w:t>.-</w:t>
      </w:r>
      <w:r w:rsidR="00C06C0C" w:rsidRPr="00C06C0C">
        <w:t xml:space="preserve"> </w:t>
      </w:r>
      <w:r w:rsidR="00C06C0C" w:rsidRPr="00C06C0C">
        <w:rPr>
          <w:rFonts w:ascii="ITC Avant Garde" w:hAnsi="ITC Avant Garde"/>
          <w:sz w:val="22"/>
          <w:szCs w:val="22"/>
        </w:rPr>
        <w:t>La CFE deberá celebrar convenios para el Acceso y Uso de Infraestructura con Telecomunicaciones de México en condiciones no discriminatorias respecto de terceros</w:t>
      </w:r>
      <w:r w:rsidR="00802459">
        <w:rPr>
          <w:rFonts w:ascii="ITC Avant Garde" w:hAnsi="ITC Avant Garde"/>
          <w:sz w:val="22"/>
          <w:szCs w:val="22"/>
        </w:rPr>
        <w:t>,</w:t>
      </w:r>
      <w:r w:rsidR="00C06C0C" w:rsidRPr="00C06C0C">
        <w:rPr>
          <w:rFonts w:ascii="ITC Avant Garde" w:hAnsi="ITC Avant Garde"/>
          <w:sz w:val="22"/>
          <w:szCs w:val="22"/>
        </w:rPr>
        <w:t xml:space="preserve"> a partir de la fecha en que lo solicite por escrito, lo anterior de conformidad con el artículo </w:t>
      </w:r>
      <w:r w:rsidR="00C06C0C">
        <w:rPr>
          <w:rFonts w:ascii="ITC Avant Garde" w:hAnsi="ITC Avant Garde"/>
          <w:sz w:val="22"/>
          <w:szCs w:val="22"/>
        </w:rPr>
        <w:t>7 de los presentes Lineamientos</w:t>
      </w:r>
      <w:r w:rsidRPr="00F7548C">
        <w:rPr>
          <w:rFonts w:ascii="ITC Avant Garde" w:hAnsi="ITC Avant Garde"/>
          <w:sz w:val="22"/>
          <w:szCs w:val="22"/>
        </w:rPr>
        <w:t>.</w:t>
      </w:r>
    </w:p>
    <w:p w14:paraId="33F74526" w14:textId="77777777" w:rsidR="0071127F" w:rsidRPr="00F7548C" w:rsidRDefault="0071127F" w:rsidP="0071127F">
      <w:pPr>
        <w:pStyle w:val="estilo30"/>
        <w:spacing w:before="0" w:beforeAutospacing="0" w:after="0" w:afterAutospacing="0" w:line="276" w:lineRule="auto"/>
        <w:jc w:val="both"/>
        <w:rPr>
          <w:rFonts w:ascii="ITC Avant Garde" w:hAnsi="ITC Avant Garde"/>
          <w:b/>
          <w:bCs/>
          <w:sz w:val="22"/>
          <w:szCs w:val="22"/>
        </w:rPr>
      </w:pPr>
    </w:p>
    <w:p w14:paraId="30248352" w14:textId="48C4A72B" w:rsidR="0071127F" w:rsidRPr="00F7548C" w:rsidRDefault="0071127F" w:rsidP="0071127F">
      <w:pPr>
        <w:spacing w:line="276" w:lineRule="auto"/>
        <w:jc w:val="both"/>
        <w:rPr>
          <w:rFonts w:ascii="ITC Avant Garde" w:hAnsi="ITC Avant Garde"/>
          <w:sz w:val="22"/>
          <w:szCs w:val="22"/>
        </w:rPr>
      </w:pPr>
      <w:r w:rsidRPr="00F7548C">
        <w:rPr>
          <w:rFonts w:ascii="ITC Avant Garde" w:hAnsi="ITC Avant Garde"/>
          <w:b/>
          <w:bCs/>
          <w:sz w:val="22"/>
          <w:szCs w:val="22"/>
        </w:rPr>
        <w:t>Artículo 1</w:t>
      </w:r>
      <w:r w:rsidR="00A70965" w:rsidRPr="00F7548C">
        <w:rPr>
          <w:rFonts w:ascii="ITC Avant Garde" w:hAnsi="ITC Avant Garde"/>
          <w:b/>
          <w:bCs/>
          <w:sz w:val="22"/>
          <w:szCs w:val="22"/>
        </w:rPr>
        <w:t>4</w:t>
      </w:r>
      <w:r w:rsidRPr="00F7548C">
        <w:rPr>
          <w:rFonts w:ascii="ITC Avant Garde" w:hAnsi="ITC Avant Garde"/>
          <w:b/>
          <w:bCs/>
          <w:sz w:val="22"/>
          <w:szCs w:val="22"/>
        </w:rPr>
        <w:t>.-</w:t>
      </w:r>
      <w:r w:rsidRPr="00F7548C">
        <w:rPr>
          <w:rFonts w:ascii="ITC Avant Garde" w:hAnsi="ITC Avant Garde"/>
          <w:sz w:val="22"/>
          <w:szCs w:val="22"/>
        </w:rPr>
        <w:t xml:space="preserve"> </w:t>
      </w:r>
      <w:r w:rsidR="00C179D6">
        <w:rPr>
          <w:rFonts w:ascii="ITC Avant Garde" w:hAnsi="ITC Avant Garde"/>
          <w:sz w:val="22"/>
          <w:szCs w:val="22"/>
        </w:rPr>
        <w:t>Sin perjuicio de las disposiciones que resulten aplicables, l</w:t>
      </w:r>
      <w:r w:rsidRPr="00F7548C">
        <w:rPr>
          <w:rFonts w:ascii="ITC Avant Garde" w:hAnsi="ITC Avant Garde"/>
          <w:sz w:val="22"/>
          <w:szCs w:val="22"/>
        </w:rPr>
        <w:t xml:space="preserve">a CFE deberá entregar al Instituto toda la información que éste le requiera bajo los formatos o metodología que establezca el Instituto, misma que se relacione con la supervisión y verificación del Acceso y Uso de Infraestructura para el cumplimiento de los presentes Lineamientos, dentro de los 10 (diez) días hábiles siguientes a la fecha de solicitud. La información puede ser contractual, económica, comercial, </w:t>
      </w:r>
      <w:r w:rsidR="00AB4C0D" w:rsidRPr="00F7548C">
        <w:rPr>
          <w:rFonts w:ascii="ITC Avant Garde" w:hAnsi="ITC Avant Garde"/>
          <w:sz w:val="22"/>
          <w:szCs w:val="22"/>
        </w:rPr>
        <w:t>o técnica que se encuentre relacionada</w:t>
      </w:r>
      <w:r w:rsidRPr="00F7548C">
        <w:rPr>
          <w:rFonts w:ascii="ITC Avant Garde" w:hAnsi="ITC Avant Garde"/>
          <w:sz w:val="22"/>
          <w:szCs w:val="22"/>
        </w:rPr>
        <w:t xml:space="preserve"> con </w:t>
      </w:r>
      <w:r w:rsidR="008528B6" w:rsidRPr="00F7548C">
        <w:rPr>
          <w:rFonts w:ascii="ITC Avant Garde" w:hAnsi="ITC Avant Garde"/>
          <w:sz w:val="22"/>
          <w:szCs w:val="22"/>
        </w:rPr>
        <w:t>el Acceso y Uso de I</w:t>
      </w:r>
      <w:r w:rsidRPr="00F7548C">
        <w:rPr>
          <w:rFonts w:ascii="ITC Avant Garde" w:hAnsi="ITC Avant Garde"/>
          <w:sz w:val="22"/>
          <w:szCs w:val="22"/>
        </w:rPr>
        <w:t>nfraestructura.</w:t>
      </w:r>
    </w:p>
    <w:p w14:paraId="03CEA354" w14:textId="77777777" w:rsidR="0071127F" w:rsidRPr="005B2961" w:rsidRDefault="0071127F" w:rsidP="005B2961">
      <w:pPr>
        <w:spacing w:line="276" w:lineRule="auto"/>
        <w:jc w:val="both"/>
        <w:rPr>
          <w:rFonts w:ascii="ITC Avant Garde" w:hAnsi="ITC Avant Garde"/>
          <w:bCs/>
          <w:sz w:val="22"/>
          <w:szCs w:val="22"/>
        </w:rPr>
      </w:pPr>
    </w:p>
    <w:p w14:paraId="5E824E49" w14:textId="1E0354BB" w:rsidR="0071127F" w:rsidRPr="005B2961" w:rsidRDefault="0071127F" w:rsidP="005B2961">
      <w:pPr>
        <w:pStyle w:val="Ttulo3"/>
        <w:ind w:left="1134" w:right="1183" w:firstLine="142"/>
        <w:jc w:val="center"/>
        <w:rPr>
          <w:rFonts w:ascii="ITC Avant Garde" w:hAnsi="ITC Avant Garde"/>
          <w:b/>
          <w:bCs/>
          <w:color w:val="000000" w:themeColor="text1"/>
          <w:sz w:val="22"/>
          <w:szCs w:val="22"/>
          <w:u w:val="single"/>
        </w:rPr>
      </w:pPr>
      <w:r w:rsidRPr="005B2961">
        <w:rPr>
          <w:rFonts w:ascii="ITC Avant Garde" w:hAnsi="ITC Avant Garde"/>
          <w:b/>
          <w:bCs/>
          <w:color w:val="000000" w:themeColor="text1"/>
          <w:sz w:val="22"/>
          <w:szCs w:val="22"/>
          <w:u w:val="single"/>
        </w:rPr>
        <w:t>Capítulo III</w:t>
      </w:r>
      <w:r w:rsidR="005B2961">
        <w:rPr>
          <w:rFonts w:ascii="ITC Avant Garde" w:hAnsi="ITC Avant Garde"/>
          <w:b/>
          <w:bCs/>
          <w:color w:val="000000" w:themeColor="text1"/>
          <w:sz w:val="22"/>
          <w:szCs w:val="22"/>
          <w:u w:val="single"/>
        </w:rPr>
        <w:t xml:space="preserve"> </w:t>
      </w:r>
      <w:r w:rsidRPr="005B2961">
        <w:rPr>
          <w:rFonts w:ascii="ITC Avant Garde" w:hAnsi="ITC Avant Garde"/>
          <w:b/>
          <w:bCs/>
          <w:color w:val="000000" w:themeColor="text1"/>
          <w:sz w:val="22"/>
          <w:szCs w:val="22"/>
          <w:u w:val="single"/>
        </w:rPr>
        <w:t>De la Construcción y Crecimiento de la Red Troncal Nacional</w:t>
      </w:r>
    </w:p>
    <w:p w14:paraId="480239AF" w14:textId="77777777" w:rsidR="0071127F" w:rsidRPr="00F7548C" w:rsidRDefault="0071127F" w:rsidP="0071127F">
      <w:pPr>
        <w:spacing w:line="276" w:lineRule="auto"/>
        <w:jc w:val="both"/>
        <w:rPr>
          <w:rFonts w:ascii="ITC Avant Garde" w:hAnsi="ITC Avant Garde"/>
          <w:bCs/>
          <w:sz w:val="22"/>
          <w:szCs w:val="22"/>
        </w:rPr>
      </w:pPr>
    </w:p>
    <w:p w14:paraId="7AFFB026" w14:textId="1E0F07D9" w:rsidR="0071127F" w:rsidRPr="00F7548C" w:rsidRDefault="0071127F" w:rsidP="0071127F">
      <w:pPr>
        <w:spacing w:line="276" w:lineRule="auto"/>
        <w:jc w:val="both"/>
        <w:rPr>
          <w:rFonts w:ascii="ITC Avant Garde" w:hAnsi="ITC Avant Garde"/>
          <w:bCs/>
          <w:sz w:val="22"/>
          <w:szCs w:val="22"/>
        </w:rPr>
      </w:pPr>
      <w:r w:rsidRPr="00F7548C">
        <w:rPr>
          <w:rFonts w:ascii="ITC Avant Garde" w:hAnsi="ITC Avant Garde"/>
          <w:b/>
          <w:bCs/>
          <w:sz w:val="22"/>
          <w:szCs w:val="22"/>
        </w:rPr>
        <w:t>Artículo 1</w:t>
      </w:r>
      <w:r w:rsidR="000231A8" w:rsidRPr="00F7548C">
        <w:rPr>
          <w:rFonts w:ascii="ITC Avant Garde" w:hAnsi="ITC Avant Garde"/>
          <w:b/>
          <w:bCs/>
          <w:sz w:val="22"/>
          <w:szCs w:val="22"/>
        </w:rPr>
        <w:t>5</w:t>
      </w:r>
      <w:r w:rsidRPr="00F7548C">
        <w:rPr>
          <w:rFonts w:ascii="ITC Avant Garde" w:hAnsi="ITC Avant Garde"/>
          <w:b/>
          <w:bCs/>
          <w:sz w:val="22"/>
          <w:szCs w:val="22"/>
        </w:rPr>
        <w:t>.-</w:t>
      </w:r>
      <w:r w:rsidRPr="00F7548C">
        <w:rPr>
          <w:rFonts w:ascii="ITC Avant Garde" w:hAnsi="ITC Avant Garde"/>
          <w:bCs/>
          <w:sz w:val="22"/>
          <w:szCs w:val="22"/>
        </w:rPr>
        <w:t xml:space="preserve"> Telecomunicaciones de México deberá presentar al Instituto para su autorización, un programa de construcción y crecimiento de la Red Troncal Nacional con duración trianual con al menos 90 (noventa) días naturales previos al vencimiento del programa vigente. Dicho programa deberá especificar al menos el número de kilómetros de fibra óptica, así como los Puntos de Presencia a instalar, de conformidad con la Condición 8.3 del Título de Concesión.</w:t>
      </w:r>
    </w:p>
    <w:p w14:paraId="3E15A1EF" w14:textId="77777777" w:rsidR="0071127F" w:rsidRPr="00F7548C" w:rsidRDefault="0071127F" w:rsidP="0071127F">
      <w:pPr>
        <w:spacing w:line="276" w:lineRule="auto"/>
        <w:jc w:val="both"/>
        <w:rPr>
          <w:rFonts w:ascii="ITC Avant Garde" w:hAnsi="ITC Avant Garde"/>
          <w:bCs/>
          <w:sz w:val="22"/>
          <w:szCs w:val="22"/>
        </w:rPr>
      </w:pPr>
    </w:p>
    <w:p w14:paraId="5EF218AD" w14:textId="41ACD524" w:rsidR="0071127F" w:rsidRPr="00F7548C" w:rsidRDefault="0071127F" w:rsidP="0071127F">
      <w:pPr>
        <w:spacing w:line="276" w:lineRule="auto"/>
        <w:jc w:val="both"/>
        <w:rPr>
          <w:rFonts w:ascii="ITC Avant Garde" w:hAnsi="ITC Avant Garde"/>
          <w:bCs/>
          <w:sz w:val="22"/>
          <w:szCs w:val="22"/>
        </w:rPr>
      </w:pPr>
      <w:r w:rsidRPr="00F7548C">
        <w:rPr>
          <w:rFonts w:ascii="ITC Avant Garde" w:hAnsi="ITC Avant Garde"/>
          <w:b/>
          <w:bCs/>
          <w:sz w:val="22"/>
          <w:szCs w:val="22"/>
        </w:rPr>
        <w:t>Artículo 1</w:t>
      </w:r>
      <w:r w:rsidR="000231A8" w:rsidRPr="00F7548C">
        <w:rPr>
          <w:rFonts w:ascii="ITC Avant Garde" w:hAnsi="ITC Avant Garde"/>
          <w:b/>
          <w:bCs/>
          <w:sz w:val="22"/>
          <w:szCs w:val="22"/>
        </w:rPr>
        <w:t>6</w:t>
      </w:r>
      <w:r w:rsidRPr="00F7548C">
        <w:rPr>
          <w:rFonts w:ascii="ITC Avant Garde" w:hAnsi="ITC Avant Garde"/>
          <w:b/>
          <w:bCs/>
          <w:sz w:val="22"/>
          <w:szCs w:val="22"/>
        </w:rPr>
        <w:t xml:space="preserve">.- </w:t>
      </w:r>
      <w:r w:rsidRPr="00F7548C">
        <w:rPr>
          <w:rFonts w:ascii="ITC Avant Garde" w:hAnsi="ITC Avant Garde"/>
          <w:bCs/>
          <w:sz w:val="22"/>
          <w:szCs w:val="22"/>
        </w:rPr>
        <w:t xml:space="preserve">En caso de prestar servicios de enlaces, el diseño de la red de Telecomunicaciones de México deberá tomar en cuenta, al menos los siguientes aspectos: </w:t>
      </w:r>
    </w:p>
    <w:p w14:paraId="6C117937" w14:textId="77777777" w:rsidR="0071127F" w:rsidRPr="00F7548C" w:rsidRDefault="0071127F" w:rsidP="0071127F">
      <w:pPr>
        <w:pStyle w:val="Prrafodelista"/>
        <w:numPr>
          <w:ilvl w:val="0"/>
          <w:numId w:val="11"/>
        </w:numPr>
        <w:spacing w:line="276" w:lineRule="auto"/>
        <w:jc w:val="both"/>
        <w:rPr>
          <w:rFonts w:ascii="ITC Avant Garde" w:hAnsi="ITC Avant Garde"/>
          <w:bCs/>
          <w:sz w:val="22"/>
          <w:szCs w:val="22"/>
        </w:rPr>
      </w:pPr>
      <w:r w:rsidRPr="00F7548C">
        <w:rPr>
          <w:rFonts w:ascii="ITC Avant Garde" w:hAnsi="ITC Avant Garde"/>
          <w:bCs/>
          <w:sz w:val="22"/>
          <w:szCs w:val="22"/>
        </w:rPr>
        <w:t>Contar con puntos de interconexión internacionales con países vecinos, ya sea propios o a través de terceros;</w:t>
      </w:r>
    </w:p>
    <w:p w14:paraId="7564295D" w14:textId="77777777" w:rsidR="0071127F" w:rsidRPr="00F7548C" w:rsidRDefault="0071127F" w:rsidP="0071127F">
      <w:pPr>
        <w:pStyle w:val="Prrafodelista"/>
        <w:spacing w:line="276" w:lineRule="auto"/>
        <w:ind w:left="1068"/>
        <w:jc w:val="both"/>
        <w:rPr>
          <w:rFonts w:ascii="ITC Avant Garde" w:hAnsi="ITC Avant Garde"/>
          <w:bCs/>
          <w:sz w:val="22"/>
          <w:szCs w:val="22"/>
        </w:rPr>
      </w:pPr>
    </w:p>
    <w:p w14:paraId="1E93D4B1" w14:textId="77777777" w:rsidR="0071127F" w:rsidRPr="00F7548C" w:rsidRDefault="0071127F" w:rsidP="0071127F">
      <w:pPr>
        <w:pStyle w:val="Prrafodelista"/>
        <w:numPr>
          <w:ilvl w:val="0"/>
          <w:numId w:val="11"/>
        </w:numPr>
        <w:spacing w:line="276" w:lineRule="auto"/>
        <w:jc w:val="both"/>
        <w:rPr>
          <w:rFonts w:ascii="ITC Avant Garde" w:hAnsi="ITC Avant Garde"/>
          <w:bCs/>
          <w:sz w:val="22"/>
          <w:szCs w:val="22"/>
        </w:rPr>
      </w:pPr>
      <w:r w:rsidRPr="00F7548C">
        <w:rPr>
          <w:rFonts w:ascii="ITC Avant Garde" w:hAnsi="ITC Avant Garde"/>
          <w:bCs/>
          <w:sz w:val="22"/>
          <w:szCs w:val="22"/>
        </w:rPr>
        <w:t>Asegurar que la capacidad de los enlaces utilizados soporte la demanda de tráfico de datos de la Red Troncal Nacional, además de gestionar el crecimiento de los enlaces físicos cuando éstos se encuentren a 85% de su capacidad en hora pico, y</w:t>
      </w:r>
    </w:p>
    <w:p w14:paraId="2853402D" w14:textId="77777777" w:rsidR="0071127F" w:rsidRPr="00F7548C" w:rsidRDefault="0071127F" w:rsidP="0071127F">
      <w:pPr>
        <w:pStyle w:val="Prrafodelista"/>
        <w:spacing w:line="276" w:lineRule="auto"/>
        <w:ind w:left="1068"/>
        <w:jc w:val="both"/>
        <w:rPr>
          <w:rFonts w:ascii="ITC Avant Garde" w:hAnsi="ITC Avant Garde"/>
          <w:bCs/>
          <w:sz w:val="22"/>
          <w:szCs w:val="22"/>
        </w:rPr>
      </w:pPr>
    </w:p>
    <w:p w14:paraId="1CD1C8D4" w14:textId="77777777" w:rsidR="0071127F" w:rsidRPr="00F7548C" w:rsidRDefault="0071127F" w:rsidP="0071127F">
      <w:pPr>
        <w:pStyle w:val="Prrafodelista"/>
        <w:numPr>
          <w:ilvl w:val="0"/>
          <w:numId w:val="11"/>
        </w:numPr>
        <w:spacing w:line="276" w:lineRule="auto"/>
        <w:jc w:val="both"/>
        <w:rPr>
          <w:rFonts w:ascii="ITC Avant Garde" w:hAnsi="ITC Avant Garde"/>
          <w:bCs/>
          <w:sz w:val="22"/>
          <w:szCs w:val="22"/>
        </w:rPr>
      </w:pPr>
      <w:r w:rsidRPr="00F7548C">
        <w:rPr>
          <w:rFonts w:ascii="ITC Avant Garde" w:hAnsi="ITC Avant Garde"/>
          <w:bCs/>
          <w:sz w:val="22"/>
          <w:szCs w:val="22"/>
        </w:rPr>
        <w:lastRenderedPageBreak/>
        <w:t>Garantizar que los equipos utilizados en el despliegue de la Red Troncal Nacional, soporten tecnologías eficientes y escalables, abiertas y consistentes con los estándares internacionales.</w:t>
      </w:r>
    </w:p>
    <w:p w14:paraId="3712359F" w14:textId="77777777" w:rsidR="0071127F" w:rsidRPr="00F7548C" w:rsidRDefault="0071127F" w:rsidP="0071127F">
      <w:pPr>
        <w:pStyle w:val="Prrafodelista"/>
        <w:spacing w:line="276" w:lineRule="auto"/>
        <w:ind w:left="1068"/>
        <w:jc w:val="both"/>
        <w:rPr>
          <w:rFonts w:ascii="ITC Avant Garde" w:hAnsi="ITC Avant Garde"/>
          <w:bCs/>
          <w:sz w:val="22"/>
          <w:szCs w:val="22"/>
        </w:rPr>
      </w:pPr>
    </w:p>
    <w:p w14:paraId="509FEEFA" w14:textId="1E79A098" w:rsidR="0071127F" w:rsidRPr="00F7548C" w:rsidRDefault="0071127F" w:rsidP="0071127F">
      <w:pPr>
        <w:pStyle w:val="Textoindependiente"/>
        <w:keepLines/>
        <w:tabs>
          <w:tab w:val="left" w:pos="567"/>
        </w:tabs>
        <w:spacing w:line="276" w:lineRule="auto"/>
        <w:rPr>
          <w:rFonts w:ascii="ITC Avant Garde" w:hAnsi="ITC Avant Garde"/>
          <w:bCs/>
          <w:sz w:val="22"/>
          <w:szCs w:val="22"/>
        </w:rPr>
      </w:pPr>
      <w:r w:rsidRPr="00F7548C">
        <w:rPr>
          <w:rFonts w:ascii="ITC Avant Garde" w:hAnsi="ITC Avant Garde"/>
          <w:b/>
          <w:bCs/>
          <w:sz w:val="22"/>
          <w:szCs w:val="22"/>
          <w:lang w:val="es-MX"/>
        </w:rPr>
        <w:t>Artículo 1</w:t>
      </w:r>
      <w:r w:rsidR="000231A8" w:rsidRPr="00F7548C">
        <w:rPr>
          <w:rFonts w:ascii="ITC Avant Garde" w:hAnsi="ITC Avant Garde"/>
          <w:b/>
          <w:bCs/>
          <w:sz w:val="22"/>
          <w:szCs w:val="22"/>
          <w:lang w:val="es-MX"/>
        </w:rPr>
        <w:t>7</w:t>
      </w:r>
      <w:r w:rsidRPr="00F7548C">
        <w:rPr>
          <w:rFonts w:ascii="ITC Avant Garde" w:hAnsi="ITC Avant Garde"/>
          <w:b/>
          <w:bCs/>
          <w:sz w:val="22"/>
          <w:szCs w:val="22"/>
          <w:lang w:val="es-MX"/>
        </w:rPr>
        <w:t>.</w:t>
      </w:r>
      <w:r w:rsidRPr="00F7548C">
        <w:rPr>
          <w:rFonts w:ascii="ITC Avant Garde" w:hAnsi="ITC Avant Garde"/>
          <w:bCs/>
          <w:sz w:val="22"/>
          <w:szCs w:val="22"/>
          <w:lang w:val="es-MX"/>
        </w:rPr>
        <w:t xml:space="preserve">- Telecomunicaciones de México deberá proveer servicios con alto nivel de disponibilidad de acuerdo al plan diseñado, para asegurar la continuidad en los servicios y capacidades ofrecidas por la </w:t>
      </w:r>
      <w:r w:rsidRPr="00F7548C">
        <w:rPr>
          <w:rFonts w:ascii="ITC Avant Garde" w:hAnsi="ITC Avant Garde"/>
          <w:bCs/>
          <w:sz w:val="22"/>
          <w:szCs w:val="22"/>
        </w:rPr>
        <w:t>Red Troncal Nacional.</w:t>
      </w:r>
    </w:p>
    <w:p w14:paraId="229FBAF9" w14:textId="77777777" w:rsidR="0071127F" w:rsidRPr="00F7548C" w:rsidRDefault="0071127F" w:rsidP="0071127F">
      <w:pPr>
        <w:spacing w:line="276" w:lineRule="auto"/>
        <w:rPr>
          <w:rFonts w:ascii="ITC Avant Garde" w:hAnsi="ITC Avant Garde"/>
          <w:bCs/>
          <w:sz w:val="22"/>
          <w:szCs w:val="22"/>
        </w:rPr>
      </w:pPr>
    </w:p>
    <w:p w14:paraId="64D4A73D" w14:textId="77777777" w:rsidR="0071127F" w:rsidRPr="00F7548C" w:rsidRDefault="0071127F" w:rsidP="0071127F">
      <w:pPr>
        <w:pStyle w:val="Textoindependiente"/>
        <w:keepLines/>
        <w:tabs>
          <w:tab w:val="left" w:pos="567"/>
        </w:tabs>
        <w:spacing w:line="276" w:lineRule="auto"/>
        <w:rPr>
          <w:rFonts w:ascii="ITC Avant Garde" w:hAnsi="ITC Avant Garde"/>
          <w:bCs/>
          <w:sz w:val="22"/>
          <w:szCs w:val="22"/>
        </w:rPr>
      </w:pPr>
      <w:r w:rsidRPr="00F7548C">
        <w:rPr>
          <w:rFonts w:ascii="ITC Avant Garde" w:hAnsi="ITC Avant Garde"/>
          <w:bCs/>
          <w:sz w:val="22"/>
          <w:szCs w:val="22"/>
        </w:rPr>
        <w:t>Telecomunicaciones de México deberá diseñar, operar y mantener su Red Troncal de tal forma que cumpla con una disponibilidad de 99.95%, medido de forma mensual, sin contar el tiempo de inactividad programado y previamente aprobado. Telecomunicaciones de México deberá cumplir con el nivel de disponibilidad en un periodo máximo de cuatro años a partir de que surta efectos la notificación de los presentes Lineamientos.</w:t>
      </w:r>
    </w:p>
    <w:p w14:paraId="4D20C59F" w14:textId="77777777" w:rsidR="0071127F" w:rsidRPr="00F7548C" w:rsidRDefault="0071127F" w:rsidP="0071127F">
      <w:pPr>
        <w:spacing w:line="276" w:lineRule="auto"/>
        <w:jc w:val="both"/>
        <w:rPr>
          <w:rFonts w:ascii="ITC Avant Garde" w:hAnsi="ITC Avant Garde"/>
          <w:sz w:val="22"/>
          <w:szCs w:val="22"/>
        </w:rPr>
      </w:pPr>
    </w:p>
    <w:p w14:paraId="7D4A4544" w14:textId="63DCC503" w:rsidR="0071127F" w:rsidRPr="00F7548C" w:rsidRDefault="000231A8" w:rsidP="0071127F">
      <w:pPr>
        <w:spacing w:line="276" w:lineRule="auto"/>
        <w:jc w:val="both"/>
        <w:rPr>
          <w:rFonts w:ascii="ITC Avant Garde" w:hAnsi="ITC Avant Garde"/>
          <w:sz w:val="22"/>
          <w:szCs w:val="22"/>
        </w:rPr>
      </w:pPr>
      <w:r w:rsidRPr="00F7548C">
        <w:rPr>
          <w:rFonts w:ascii="ITC Avant Garde" w:hAnsi="ITC Avant Garde"/>
          <w:bCs/>
          <w:sz w:val="22"/>
          <w:szCs w:val="22"/>
        </w:rPr>
        <w:t>En caso de prestar servicios de enlaces</w:t>
      </w:r>
      <w:r w:rsidRPr="00F7548C">
        <w:rPr>
          <w:rFonts w:ascii="ITC Avant Garde" w:hAnsi="ITC Avant Garde"/>
          <w:sz w:val="22"/>
          <w:szCs w:val="22"/>
        </w:rPr>
        <w:t xml:space="preserve"> a través de </w:t>
      </w:r>
      <w:r w:rsidR="0071127F" w:rsidRPr="00F7548C">
        <w:rPr>
          <w:rFonts w:ascii="ITC Avant Garde" w:hAnsi="ITC Avant Garde"/>
          <w:sz w:val="22"/>
          <w:szCs w:val="22"/>
        </w:rPr>
        <w:t xml:space="preserve">la </w:t>
      </w:r>
      <w:r w:rsidR="0071127F" w:rsidRPr="00F7548C">
        <w:rPr>
          <w:rFonts w:ascii="ITC Avant Garde" w:hAnsi="ITC Avant Garde"/>
          <w:bCs/>
          <w:sz w:val="22"/>
          <w:szCs w:val="22"/>
        </w:rPr>
        <w:t>Red Troncal</w:t>
      </w:r>
      <w:r w:rsidRPr="00F7548C">
        <w:rPr>
          <w:rFonts w:ascii="ITC Avant Garde" w:hAnsi="ITC Avant Garde"/>
          <w:bCs/>
          <w:sz w:val="22"/>
          <w:szCs w:val="22"/>
        </w:rPr>
        <w:t>, se</w:t>
      </w:r>
      <w:r w:rsidR="0071127F" w:rsidRPr="00F7548C">
        <w:rPr>
          <w:rFonts w:ascii="ITC Avant Garde" w:hAnsi="ITC Avant Garde"/>
          <w:sz w:val="22"/>
          <w:szCs w:val="22"/>
        </w:rPr>
        <w:t xml:space="preserve"> deberá garantizar robustez para la prestación de servicios convergentes de banda ancha, por lo que deberán cumplir al menos con los siguientes parámetros:</w:t>
      </w:r>
    </w:p>
    <w:p w14:paraId="2550401C" w14:textId="77777777" w:rsidR="0071127F" w:rsidRPr="00F7548C" w:rsidRDefault="0071127F" w:rsidP="0071127F">
      <w:pPr>
        <w:spacing w:line="276" w:lineRule="auto"/>
        <w:jc w:val="both"/>
        <w:rPr>
          <w:rFonts w:ascii="ITC Avant Garde" w:hAnsi="ITC Avant Garde"/>
          <w:sz w:val="22"/>
          <w:szCs w:val="22"/>
        </w:rPr>
      </w:pPr>
    </w:p>
    <w:p w14:paraId="12B83623" w14:textId="77777777" w:rsidR="0071127F" w:rsidRPr="00F7548C" w:rsidRDefault="0071127F" w:rsidP="0071127F">
      <w:pPr>
        <w:pStyle w:val="Prrafodelista"/>
        <w:numPr>
          <w:ilvl w:val="0"/>
          <w:numId w:val="17"/>
        </w:numPr>
        <w:spacing w:line="276" w:lineRule="auto"/>
        <w:jc w:val="both"/>
        <w:rPr>
          <w:rFonts w:ascii="ITC Avant Garde" w:hAnsi="ITC Avant Garde"/>
          <w:bCs/>
          <w:sz w:val="22"/>
          <w:szCs w:val="22"/>
        </w:rPr>
      </w:pPr>
      <w:r w:rsidRPr="00F7548C">
        <w:rPr>
          <w:rFonts w:ascii="ITC Avant Garde" w:hAnsi="ITC Avant Garde"/>
          <w:bCs/>
          <w:sz w:val="22"/>
          <w:szCs w:val="22"/>
        </w:rPr>
        <w:t>Un promedio de latencia por enlace menor a treinta (30) milisegundos;</w:t>
      </w:r>
    </w:p>
    <w:p w14:paraId="40018686" w14:textId="77777777" w:rsidR="0071127F" w:rsidRPr="00F7548C" w:rsidRDefault="0071127F" w:rsidP="0071127F">
      <w:pPr>
        <w:pStyle w:val="Prrafodelista"/>
        <w:spacing w:line="276" w:lineRule="auto"/>
        <w:ind w:left="1068"/>
        <w:jc w:val="both"/>
        <w:rPr>
          <w:rFonts w:ascii="ITC Avant Garde" w:hAnsi="ITC Avant Garde"/>
          <w:bCs/>
          <w:sz w:val="22"/>
          <w:szCs w:val="22"/>
        </w:rPr>
      </w:pPr>
    </w:p>
    <w:p w14:paraId="1592AA29" w14:textId="77777777" w:rsidR="0071127F" w:rsidRPr="00F7548C" w:rsidRDefault="0071127F" w:rsidP="0071127F">
      <w:pPr>
        <w:pStyle w:val="Prrafodelista"/>
        <w:numPr>
          <w:ilvl w:val="0"/>
          <w:numId w:val="17"/>
        </w:numPr>
        <w:spacing w:line="276" w:lineRule="auto"/>
        <w:jc w:val="both"/>
        <w:rPr>
          <w:rFonts w:ascii="ITC Avant Garde" w:hAnsi="ITC Avant Garde"/>
          <w:bCs/>
          <w:sz w:val="22"/>
          <w:szCs w:val="22"/>
        </w:rPr>
      </w:pPr>
      <w:r w:rsidRPr="00F7548C">
        <w:rPr>
          <w:rFonts w:ascii="ITC Avant Garde" w:hAnsi="ITC Avant Garde"/>
          <w:bCs/>
          <w:sz w:val="22"/>
          <w:szCs w:val="22"/>
        </w:rPr>
        <w:t xml:space="preserve">Una pérdida de paquetes </w:t>
      </w:r>
      <w:proofErr w:type="spellStart"/>
      <w:r w:rsidRPr="00F7548C">
        <w:rPr>
          <w:rFonts w:ascii="ITC Avant Garde" w:hAnsi="ITC Avant Garde"/>
          <w:bCs/>
          <w:sz w:val="22"/>
          <w:szCs w:val="22"/>
        </w:rPr>
        <w:t>end</w:t>
      </w:r>
      <w:proofErr w:type="spellEnd"/>
      <w:r w:rsidRPr="00F7548C">
        <w:rPr>
          <w:rFonts w:ascii="ITC Avant Garde" w:hAnsi="ITC Avant Garde"/>
          <w:bCs/>
          <w:sz w:val="22"/>
          <w:szCs w:val="22"/>
        </w:rPr>
        <w:t>-to-</w:t>
      </w:r>
      <w:proofErr w:type="spellStart"/>
      <w:r w:rsidRPr="00F7548C">
        <w:rPr>
          <w:rFonts w:ascii="ITC Avant Garde" w:hAnsi="ITC Avant Garde"/>
          <w:bCs/>
          <w:sz w:val="22"/>
          <w:szCs w:val="22"/>
        </w:rPr>
        <w:t>end</w:t>
      </w:r>
      <w:proofErr w:type="spellEnd"/>
      <w:r w:rsidRPr="00F7548C">
        <w:rPr>
          <w:rFonts w:ascii="ITC Avant Garde" w:hAnsi="ITC Avant Garde"/>
          <w:bCs/>
          <w:sz w:val="22"/>
          <w:szCs w:val="22"/>
        </w:rPr>
        <w:t xml:space="preserve"> menor de 0.3%, y</w:t>
      </w:r>
    </w:p>
    <w:p w14:paraId="36969474" w14:textId="77777777" w:rsidR="0071127F" w:rsidRPr="00F7548C" w:rsidRDefault="0071127F" w:rsidP="0071127F">
      <w:pPr>
        <w:spacing w:line="276" w:lineRule="auto"/>
        <w:jc w:val="both"/>
        <w:rPr>
          <w:rFonts w:ascii="ITC Avant Garde" w:hAnsi="ITC Avant Garde"/>
          <w:bCs/>
          <w:sz w:val="22"/>
          <w:szCs w:val="22"/>
        </w:rPr>
      </w:pPr>
    </w:p>
    <w:p w14:paraId="49C9EA66" w14:textId="77777777" w:rsidR="0071127F" w:rsidRPr="00F7548C" w:rsidRDefault="0071127F" w:rsidP="0071127F">
      <w:pPr>
        <w:pStyle w:val="Prrafodelista"/>
        <w:numPr>
          <w:ilvl w:val="0"/>
          <w:numId w:val="17"/>
        </w:numPr>
        <w:spacing w:line="276" w:lineRule="auto"/>
        <w:jc w:val="both"/>
        <w:rPr>
          <w:rFonts w:ascii="ITC Avant Garde" w:hAnsi="ITC Avant Garde"/>
          <w:bCs/>
          <w:sz w:val="22"/>
          <w:szCs w:val="22"/>
        </w:rPr>
      </w:pPr>
      <w:r w:rsidRPr="00F7548C">
        <w:rPr>
          <w:rFonts w:ascii="ITC Avant Garde" w:hAnsi="ITC Avant Garde"/>
          <w:bCs/>
          <w:sz w:val="22"/>
          <w:szCs w:val="22"/>
        </w:rPr>
        <w:t xml:space="preserve">Un </w:t>
      </w:r>
      <w:proofErr w:type="spellStart"/>
      <w:r w:rsidRPr="00F7548C">
        <w:rPr>
          <w:rFonts w:ascii="ITC Avant Garde" w:hAnsi="ITC Avant Garde"/>
          <w:bCs/>
          <w:sz w:val="22"/>
          <w:szCs w:val="22"/>
        </w:rPr>
        <w:t>jitter</w:t>
      </w:r>
      <w:proofErr w:type="spellEnd"/>
      <w:r w:rsidRPr="00F7548C">
        <w:rPr>
          <w:rFonts w:ascii="ITC Avant Garde" w:hAnsi="ITC Avant Garde"/>
          <w:bCs/>
          <w:sz w:val="22"/>
          <w:szCs w:val="22"/>
        </w:rPr>
        <w:t xml:space="preserve"> máximo menor a diez (10) milisegundos.</w:t>
      </w:r>
    </w:p>
    <w:p w14:paraId="62323719" w14:textId="77777777" w:rsidR="0071127F" w:rsidRPr="00F7548C" w:rsidRDefault="0071127F" w:rsidP="0071127F">
      <w:pPr>
        <w:spacing w:line="276" w:lineRule="auto"/>
        <w:jc w:val="both"/>
        <w:rPr>
          <w:rFonts w:ascii="ITC Avant Garde" w:hAnsi="ITC Avant Garde"/>
          <w:sz w:val="22"/>
          <w:szCs w:val="22"/>
        </w:rPr>
      </w:pPr>
    </w:p>
    <w:p w14:paraId="3B78B770" w14:textId="77777777" w:rsidR="0071127F" w:rsidRPr="00F7548C" w:rsidRDefault="0071127F" w:rsidP="0071127F">
      <w:pPr>
        <w:spacing w:line="276" w:lineRule="auto"/>
        <w:jc w:val="both"/>
        <w:rPr>
          <w:rFonts w:ascii="ITC Avant Garde" w:hAnsi="ITC Avant Garde"/>
          <w:sz w:val="22"/>
          <w:szCs w:val="22"/>
        </w:rPr>
      </w:pPr>
      <w:r w:rsidRPr="00F7548C">
        <w:rPr>
          <w:rFonts w:ascii="ITC Avant Garde" w:hAnsi="ITC Avant Garde"/>
          <w:sz w:val="22"/>
          <w:szCs w:val="22"/>
        </w:rPr>
        <w:t>Lo anterior, sin perjuicio de que Telecomunicaciones de México cumpla con los parámetros de calidad establecidos en las disposiciones regulatorias de carácter general emitidas por el Instituto.</w:t>
      </w:r>
    </w:p>
    <w:p w14:paraId="2122191C" w14:textId="77777777" w:rsidR="0071127F" w:rsidRDefault="0071127F" w:rsidP="0071127F">
      <w:pPr>
        <w:spacing w:line="276" w:lineRule="auto"/>
        <w:jc w:val="both"/>
        <w:rPr>
          <w:rFonts w:ascii="ITC Avant Garde" w:hAnsi="ITC Avant Garde"/>
          <w:sz w:val="22"/>
          <w:szCs w:val="22"/>
        </w:rPr>
      </w:pPr>
    </w:p>
    <w:p w14:paraId="1F234242" w14:textId="77777777" w:rsidR="003B4BBA" w:rsidRPr="00F7548C" w:rsidRDefault="003B4BBA" w:rsidP="0071127F">
      <w:pPr>
        <w:spacing w:line="276" w:lineRule="auto"/>
        <w:jc w:val="both"/>
        <w:rPr>
          <w:rFonts w:ascii="ITC Avant Garde" w:hAnsi="ITC Avant Garde"/>
          <w:sz w:val="22"/>
          <w:szCs w:val="22"/>
        </w:rPr>
      </w:pPr>
    </w:p>
    <w:p w14:paraId="3429FD59" w14:textId="277EFCE0" w:rsidR="0071127F" w:rsidRPr="00F7548C" w:rsidRDefault="0071127F" w:rsidP="0071127F">
      <w:pPr>
        <w:spacing w:line="276" w:lineRule="auto"/>
        <w:jc w:val="both"/>
        <w:rPr>
          <w:rFonts w:ascii="ITC Avant Garde" w:hAnsi="ITC Avant Garde"/>
          <w:sz w:val="22"/>
          <w:szCs w:val="22"/>
        </w:rPr>
      </w:pPr>
      <w:r w:rsidRPr="00F7548C">
        <w:rPr>
          <w:rFonts w:ascii="ITC Avant Garde" w:hAnsi="ITC Avant Garde"/>
          <w:b/>
          <w:sz w:val="22"/>
          <w:szCs w:val="22"/>
        </w:rPr>
        <w:t>Artículo 1</w:t>
      </w:r>
      <w:r w:rsidR="000231A8" w:rsidRPr="00F7548C">
        <w:rPr>
          <w:rFonts w:ascii="ITC Avant Garde" w:hAnsi="ITC Avant Garde"/>
          <w:b/>
          <w:sz w:val="22"/>
          <w:szCs w:val="22"/>
        </w:rPr>
        <w:t>8</w:t>
      </w:r>
      <w:r w:rsidRPr="00F7548C">
        <w:rPr>
          <w:rFonts w:ascii="ITC Avant Garde" w:hAnsi="ITC Avant Garde"/>
          <w:b/>
          <w:sz w:val="22"/>
          <w:szCs w:val="22"/>
        </w:rPr>
        <w:t xml:space="preserve">.- </w:t>
      </w:r>
      <w:r w:rsidRPr="00F7548C">
        <w:rPr>
          <w:rFonts w:ascii="ITC Avant Garde" w:hAnsi="ITC Avant Garde"/>
          <w:sz w:val="22"/>
          <w:szCs w:val="22"/>
        </w:rPr>
        <w:t>En caso de que Telecomunicaciones de México no le sea técnicamente factible el despliegue de fibra óptica para la instalación de Puntos de Presencia en zonas o localidades rurales o de difícil acceso que hayan sido acordados previamente con la Secretaria de Comunicaciones y Transportes, deberá considerar otros medios de transmisión alámbricos o inalámbricos que sean técnica y económicamente factibles.</w:t>
      </w:r>
    </w:p>
    <w:p w14:paraId="49E8FF52" w14:textId="77777777" w:rsidR="0071127F" w:rsidRPr="00F7548C" w:rsidRDefault="0071127F" w:rsidP="0071127F">
      <w:pPr>
        <w:spacing w:line="276" w:lineRule="auto"/>
        <w:jc w:val="both"/>
        <w:rPr>
          <w:rFonts w:ascii="ITC Avant Garde" w:hAnsi="ITC Avant Garde"/>
          <w:sz w:val="22"/>
          <w:szCs w:val="22"/>
        </w:rPr>
      </w:pPr>
    </w:p>
    <w:p w14:paraId="0A97CB47" w14:textId="4DB7EFB8" w:rsidR="0071127F" w:rsidRPr="00F7548C" w:rsidRDefault="0071127F" w:rsidP="0071127F">
      <w:pPr>
        <w:spacing w:line="276" w:lineRule="auto"/>
        <w:jc w:val="both"/>
        <w:rPr>
          <w:rFonts w:ascii="ITC Avant Garde" w:hAnsi="ITC Avant Garde"/>
          <w:sz w:val="22"/>
          <w:szCs w:val="22"/>
        </w:rPr>
      </w:pPr>
      <w:r w:rsidRPr="00F7548C">
        <w:rPr>
          <w:rFonts w:ascii="ITC Avant Garde" w:hAnsi="ITC Avant Garde"/>
          <w:b/>
          <w:sz w:val="22"/>
          <w:szCs w:val="22"/>
        </w:rPr>
        <w:lastRenderedPageBreak/>
        <w:t xml:space="preserve">Artículo </w:t>
      </w:r>
      <w:r w:rsidR="000231A8" w:rsidRPr="00F7548C">
        <w:rPr>
          <w:rFonts w:ascii="ITC Avant Garde" w:hAnsi="ITC Avant Garde"/>
          <w:b/>
          <w:sz w:val="22"/>
          <w:szCs w:val="22"/>
        </w:rPr>
        <w:t>19</w:t>
      </w:r>
      <w:r w:rsidRPr="00F7548C">
        <w:rPr>
          <w:rFonts w:ascii="ITC Avant Garde" w:hAnsi="ITC Avant Garde"/>
          <w:b/>
          <w:sz w:val="22"/>
          <w:szCs w:val="22"/>
        </w:rPr>
        <w:t>.-</w:t>
      </w:r>
      <w:r w:rsidRPr="00F7548C">
        <w:rPr>
          <w:rFonts w:ascii="ITC Avant Garde" w:hAnsi="ITC Avant Garde"/>
          <w:sz w:val="22"/>
          <w:szCs w:val="22"/>
        </w:rPr>
        <w:t xml:space="preserve"> Telecomunicaciones de México deberá desarrollar y aplicar un método estandarizado para actividades de pruebas y puestas en servicio, con la finalidad de asegurar que los servicios se presten de manera adecuada y eficiente. </w:t>
      </w:r>
    </w:p>
    <w:p w14:paraId="7C5E1823" w14:textId="77777777" w:rsidR="0071127F" w:rsidRPr="00F7548C" w:rsidRDefault="0071127F" w:rsidP="0071127F">
      <w:pPr>
        <w:spacing w:line="276" w:lineRule="auto"/>
        <w:jc w:val="both"/>
        <w:rPr>
          <w:rFonts w:ascii="ITC Avant Garde" w:hAnsi="ITC Avant Garde"/>
          <w:sz w:val="22"/>
          <w:szCs w:val="22"/>
        </w:rPr>
      </w:pPr>
    </w:p>
    <w:p w14:paraId="40D10381" w14:textId="286492DD" w:rsidR="0071127F" w:rsidRPr="00F7548C" w:rsidRDefault="0071127F" w:rsidP="0071127F">
      <w:pPr>
        <w:spacing w:line="276" w:lineRule="auto"/>
        <w:jc w:val="both"/>
        <w:rPr>
          <w:rFonts w:ascii="ITC Avant Garde" w:hAnsi="ITC Avant Garde"/>
          <w:sz w:val="22"/>
          <w:szCs w:val="22"/>
        </w:rPr>
      </w:pPr>
      <w:r w:rsidRPr="00F7548C">
        <w:rPr>
          <w:rFonts w:ascii="ITC Avant Garde" w:hAnsi="ITC Avant Garde"/>
          <w:b/>
          <w:bCs/>
          <w:sz w:val="22"/>
          <w:szCs w:val="22"/>
        </w:rPr>
        <w:t>Artículo 2</w:t>
      </w:r>
      <w:r w:rsidR="000231A8" w:rsidRPr="00F7548C">
        <w:rPr>
          <w:rFonts w:ascii="ITC Avant Garde" w:hAnsi="ITC Avant Garde"/>
          <w:b/>
          <w:bCs/>
          <w:sz w:val="22"/>
          <w:szCs w:val="22"/>
        </w:rPr>
        <w:t>0</w:t>
      </w:r>
      <w:r w:rsidRPr="00F7548C">
        <w:rPr>
          <w:rFonts w:ascii="ITC Avant Garde" w:hAnsi="ITC Avant Garde"/>
          <w:b/>
          <w:bCs/>
          <w:sz w:val="22"/>
          <w:szCs w:val="22"/>
        </w:rPr>
        <w:t>.-</w:t>
      </w:r>
      <w:r w:rsidRPr="00F7548C">
        <w:rPr>
          <w:rFonts w:ascii="ITC Avant Garde" w:hAnsi="ITC Avant Garde"/>
          <w:sz w:val="22"/>
          <w:szCs w:val="22"/>
        </w:rPr>
        <w:t xml:space="preserve"> El Acceso y Uso de Infraestructura de la CFE por parte de Telecomunicaciones de México, debe ser utilizado para la prestación de Servicios Mayoristas de Telecomunicaciones y para la construcción y cre</w:t>
      </w:r>
      <w:bookmarkStart w:id="0" w:name="_GoBack"/>
      <w:bookmarkEnd w:id="0"/>
      <w:r w:rsidRPr="00F7548C">
        <w:rPr>
          <w:rFonts w:ascii="ITC Avant Garde" w:hAnsi="ITC Avant Garde"/>
          <w:sz w:val="22"/>
          <w:szCs w:val="22"/>
        </w:rPr>
        <w:t xml:space="preserve">cimiento de la Red Troncal Nacional, por lo que, en caso de que haya otros </w:t>
      </w:r>
      <w:r w:rsidR="00670782" w:rsidRPr="00F7548C">
        <w:rPr>
          <w:rFonts w:ascii="ITC Avant Garde" w:hAnsi="ITC Avant Garde"/>
          <w:sz w:val="22"/>
          <w:szCs w:val="22"/>
        </w:rPr>
        <w:t>concesionarios y autorizados</w:t>
      </w:r>
      <w:r w:rsidRPr="00F7548C">
        <w:rPr>
          <w:rFonts w:ascii="ITC Avant Garde" w:hAnsi="ITC Avant Garde"/>
          <w:sz w:val="22"/>
          <w:szCs w:val="22"/>
        </w:rPr>
        <w:t xml:space="preserve"> interesados en utilizar la infraestructura de la CFE, este acceso podrá llevarse a cabo a través de Telecomunicaciones de México</w:t>
      </w:r>
      <w:r w:rsidR="007C2C60" w:rsidRPr="00F7548C">
        <w:rPr>
          <w:rFonts w:ascii="ITC Avant Garde" w:hAnsi="ITC Avant Garde"/>
          <w:sz w:val="22"/>
          <w:szCs w:val="22"/>
        </w:rPr>
        <w:t>,</w:t>
      </w:r>
      <w:r w:rsidRPr="00F7548C">
        <w:rPr>
          <w:rFonts w:ascii="ITC Avant Garde" w:hAnsi="ITC Avant Garde"/>
          <w:sz w:val="22"/>
          <w:szCs w:val="22"/>
        </w:rPr>
        <w:t xml:space="preserve"> por lo que este último será responsable ante la CFE por el Acceso y Uso de Infraestructura proporcionado al tercero.</w:t>
      </w:r>
    </w:p>
    <w:p w14:paraId="2D805164" w14:textId="77777777" w:rsidR="0071127F" w:rsidRPr="00F7548C" w:rsidRDefault="0071127F" w:rsidP="0071127F">
      <w:pPr>
        <w:spacing w:line="276" w:lineRule="auto"/>
        <w:jc w:val="both"/>
        <w:rPr>
          <w:rFonts w:ascii="ITC Avant Garde" w:hAnsi="ITC Avant Garde"/>
          <w:sz w:val="22"/>
          <w:szCs w:val="22"/>
        </w:rPr>
      </w:pPr>
    </w:p>
    <w:p w14:paraId="2EBF47E4" w14:textId="1E50E4FE" w:rsidR="0071127F" w:rsidRPr="00F7548C" w:rsidRDefault="0071127F" w:rsidP="0071127F">
      <w:pPr>
        <w:spacing w:line="276" w:lineRule="auto"/>
        <w:jc w:val="both"/>
        <w:rPr>
          <w:rFonts w:ascii="ITC Avant Garde" w:hAnsi="ITC Avant Garde"/>
          <w:sz w:val="22"/>
          <w:szCs w:val="22"/>
        </w:rPr>
      </w:pPr>
      <w:r w:rsidRPr="00F7548C">
        <w:rPr>
          <w:rFonts w:ascii="ITC Avant Garde" w:hAnsi="ITC Avant Garde"/>
          <w:b/>
          <w:bCs/>
          <w:sz w:val="22"/>
          <w:szCs w:val="22"/>
        </w:rPr>
        <w:t>Artículo 2</w:t>
      </w:r>
      <w:r w:rsidR="000231A8" w:rsidRPr="00F7548C">
        <w:rPr>
          <w:rFonts w:ascii="ITC Avant Garde" w:hAnsi="ITC Avant Garde"/>
          <w:b/>
          <w:bCs/>
          <w:sz w:val="22"/>
          <w:szCs w:val="22"/>
        </w:rPr>
        <w:t>1</w:t>
      </w:r>
      <w:r w:rsidRPr="00F7548C">
        <w:rPr>
          <w:rFonts w:ascii="ITC Avant Garde" w:hAnsi="ITC Avant Garde"/>
          <w:b/>
          <w:bCs/>
          <w:sz w:val="22"/>
          <w:szCs w:val="22"/>
        </w:rPr>
        <w:t>.-</w:t>
      </w:r>
      <w:r w:rsidRPr="00F7548C">
        <w:rPr>
          <w:rFonts w:ascii="ITC Avant Garde" w:hAnsi="ITC Avant Garde"/>
          <w:sz w:val="22"/>
          <w:szCs w:val="22"/>
        </w:rPr>
        <w:t xml:space="preserve"> El Instituto interpretará los presentes Lineamientos </w:t>
      </w:r>
      <w:r w:rsidR="00335AC6" w:rsidRPr="00F7548C">
        <w:rPr>
          <w:rFonts w:ascii="ITC Avant Garde" w:hAnsi="ITC Avant Garde"/>
          <w:sz w:val="22"/>
          <w:szCs w:val="22"/>
        </w:rPr>
        <w:t xml:space="preserve">y resolverá, de ser el caso, sobre los </w:t>
      </w:r>
      <w:r w:rsidRPr="00F7548C">
        <w:rPr>
          <w:rFonts w:ascii="ITC Avant Garde" w:hAnsi="ITC Avant Garde"/>
          <w:sz w:val="22"/>
          <w:szCs w:val="22"/>
        </w:rPr>
        <w:t>aspecto</w:t>
      </w:r>
      <w:r w:rsidR="00335AC6" w:rsidRPr="00F7548C">
        <w:rPr>
          <w:rFonts w:ascii="ITC Avant Garde" w:hAnsi="ITC Avant Garde"/>
          <w:sz w:val="22"/>
          <w:szCs w:val="22"/>
        </w:rPr>
        <w:t>s</w:t>
      </w:r>
      <w:r w:rsidRPr="00F7548C">
        <w:rPr>
          <w:rFonts w:ascii="ITC Avant Garde" w:hAnsi="ITC Avant Garde"/>
          <w:sz w:val="22"/>
          <w:szCs w:val="22"/>
        </w:rPr>
        <w:t xml:space="preserve"> no previsto</w:t>
      </w:r>
      <w:r w:rsidR="00335AC6" w:rsidRPr="00F7548C">
        <w:rPr>
          <w:rFonts w:ascii="ITC Avant Garde" w:hAnsi="ITC Avant Garde"/>
          <w:sz w:val="22"/>
          <w:szCs w:val="22"/>
        </w:rPr>
        <w:t>s en el mismo</w:t>
      </w:r>
      <w:r w:rsidRPr="00F7548C">
        <w:rPr>
          <w:rFonts w:ascii="ITC Avant Garde" w:hAnsi="ITC Avant Garde"/>
          <w:sz w:val="22"/>
          <w:szCs w:val="22"/>
        </w:rPr>
        <w:t>.</w:t>
      </w:r>
    </w:p>
    <w:p w14:paraId="560017BF" w14:textId="77777777" w:rsidR="0071127F" w:rsidRDefault="0071127F" w:rsidP="0071127F">
      <w:pPr>
        <w:spacing w:line="276" w:lineRule="auto"/>
        <w:jc w:val="both"/>
        <w:rPr>
          <w:rFonts w:ascii="ITC Avant Garde" w:hAnsi="ITC Avant Garde"/>
          <w:sz w:val="22"/>
          <w:szCs w:val="22"/>
        </w:rPr>
      </w:pPr>
    </w:p>
    <w:p w14:paraId="5C9BE036" w14:textId="77777777" w:rsidR="0071127F" w:rsidRPr="005B2961" w:rsidRDefault="0071127F" w:rsidP="005B2961">
      <w:pPr>
        <w:pStyle w:val="Ttulo2"/>
        <w:jc w:val="center"/>
        <w:rPr>
          <w:rFonts w:ascii="ITC Avant Garde" w:hAnsi="ITC Avant Garde"/>
          <w:b/>
          <w:color w:val="000000" w:themeColor="text1"/>
          <w:sz w:val="22"/>
          <w:szCs w:val="22"/>
        </w:rPr>
      </w:pPr>
      <w:r w:rsidRPr="005B2961">
        <w:rPr>
          <w:rFonts w:ascii="ITC Avant Garde" w:hAnsi="ITC Avant Garde"/>
          <w:b/>
          <w:color w:val="000000" w:themeColor="text1"/>
          <w:sz w:val="22"/>
          <w:szCs w:val="22"/>
        </w:rPr>
        <w:t>TRANSITORIOS</w:t>
      </w:r>
    </w:p>
    <w:p w14:paraId="62F5720C" w14:textId="77777777" w:rsidR="0071127F" w:rsidRDefault="0071127F" w:rsidP="0071127F">
      <w:pPr>
        <w:spacing w:line="276" w:lineRule="auto"/>
        <w:jc w:val="both"/>
        <w:rPr>
          <w:rFonts w:ascii="ITC Avant Garde" w:hAnsi="ITC Avant Garde"/>
          <w:sz w:val="22"/>
          <w:szCs w:val="22"/>
        </w:rPr>
      </w:pPr>
    </w:p>
    <w:p w14:paraId="0FC92CBB" w14:textId="77777777" w:rsidR="007C2C60" w:rsidRPr="00F7548C" w:rsidRDefault="0071127F" w:rsidP="005B2961">
      <w:pPr>
        <w:pStyle w:val="estilo30"/>
        <w:spacing w:before="240" w:beforeAutospacing="0" w:after="0" w:afterAutospacing="0" w:line="276" w:lineRule="auto"/>
        <w:jc w:val="both"/>
        <w:rPr>
          <w:rFonts w:ascii="ITC Avant Garde" w:hAnsi="ITC Avant Garde"/>
          <w:sz w:val="22"/>
          <w:szCs w:val="22"/>
        </w:rPr>
      </w:pPr>
      <w:r w:rsidRPr="00F7548C">
        <w:rPr>
          <w:rFonts w:ascii="ITC Avant Garde" w:hAnsi="ITC Avant Garde"/>
          <w:b/>
          <w:sz w:val="22"/>
          <w:szCs w:val="22"/>
        </w:rPr>
        <w:t>PRIMERO</w:t>
      </w:r>
      <w:r w:rsidR="006D64AA" w:rsidRPr="00F7548C">
        <w:rPr>
          <w:rFonts w:ascii="ITC Avant Garde" w:hAnsi="ITC Avant Garde"/>
          <w:sz w:val="22"/>
          <w:szCs w:val="22"/>
        </w:rPr>
        <w:t xml:space="preserve">.- </w:t>
      </w:r>
      <w:r w:rsidRPr="00F7548C">
        <w:rPr>
          <w:rFonts w:ascii="ITC Avant Garde" w:hAnsi="ITC Avant Garde"/>
          <w:sz w:val="22"/>
          <w:szCs w:val="22"/>
        </w:rPr>
        <w:t>Notifíquese a la Comisión Federal de Electricidad y a Telecomunicaciones de México.</w:t>
      </w:r>
    </w:p>
    <w:p w14:paraId="7D252EEA" w14:textId="67385A88" w:rsidR="0071127F" w:rsidRPr="00F7548C" w:rsidRDefault="007C2C60" w:rsidP="005B2961">
      <w:pPr>
        <w:pStyle w:val="estilo30"/>
        <w:spacing w:before="240" w:beforeAutospacing="0" w:after="0" w:afterAutospacing="0" w:line="276" w:lineRule="auto"/>
        <w:jc w:val="both"/>
        <w:rPr>
          <w:rFonts w:ascii="ITC Avant Garde" w:hAnsi="ITC Avant Garde"/>
          <w:b/>
          <w:sz w:val="22"/>
          <w:szCs w:val="22"/>
        </w:rPr>
      </w:pPr>
      <w:r w:rsidRPr="00F7548C">
        <w:rPr>
          <w:rFonts w:ascii="ITC Avant Garde" w:hAnsi="ITC Avant Garde"/>
          <w:b/>
          <w:sz w:val="22"/>
          <w:szCs w:val="22"/>
        </w:rPr>
        <w:t xml:space="preserve">SEGUNDO.- </w:t>
      </w:r>
      <w:r w:rsidRPr="00F7548C">
        <w:rPr>
          <w:rFonts w:ascii="ITC Avant Garde" w:hAnsi="ITC Avant Garde"/>
          <w:sz w:val="22"/>
          <w:szCs w:val="22"/>
        </w:rPr>
        <w:t>Los presentes Lineamientos entrarán en vigor al día siguiente de su notificación a la Comisión Federal de Electricidad y a Telecomunicaciones de México.</w:t>
      </w:r>
      <w:r w:rsidR="0071127F" w:rsidRPr="00F7548C">
        <w:rPr>
          <w:rFonts w:ascii="ITC Avant Garde" w:hAnsi="ITC Avant Garde"/>
          <w:sz w:val="22"/>
          <w:szCs w:val="22"/>
        </w:rPr>
        <w:t xml:space="preserve"> </w:t>
      </w:r>
    </w:p>
    <w:p w14:paraId="3A93FAA0" w14:textId="20A81448" w:rsidR="0071127F" w:rsidRPr="00F7548C" w:rsidRDefault="00AF5E49" w:rsidP="005B2961">
      <w:pPr>
        <w:spacing w:before="240" w:line="276" w:lineRule="auto"/>
        <w:jc w:val="both"/>
        <w:rPr>
          <w:rFonts w:ascii="ITC Avant Garde" w:hAnsi="ITC Avant Garde"/>
          <w:b/>
          <w:bCs/>
          <w:sz w:val="22"/>
          <w:szCs w:val="22"/>
        </w:rPr>
      </w:pPr>
      <w:r w:rsidRPr="00F7548C">
        <w:rPr>
          <w:rFonts w:ascii="ITC Avant Garde" w:hAnsi="ITC Avant Garde"/>
          <w:b/>
          <w:sz w:val="22"/>
          <w:szCs w:val="22"/>
        </w:rPr>
        <w:t>TERCERO</w:t>
      </w:r>
      <w:r w:rsidR="0071127F" w:rsidRPr="00F7548C">
        <w:rPr>
          <w:rFonts w:ascii="ITC Avant Garde" w:hAnsi="ITC Avant Garde"/>
          <w:b/>
          <w:bCs/>
          <w:sz w:val="22"/>
          <w:szCs w:val="22"/>
        </w:rPr>
        <w:t xml:space="preserve">.- </w:t>
      </w:r>
      <w:r w:rsidR="0071127F" w:rsidRPr="00F7548C">
        <w:rPr>
          <w:rFonts w:ascii="ITC Avant Garde" w:hAnsi="ITC Avant Garde"/>
          <w:bCs/>
          <w:sz w:val="22"/>
          <w:szCs w:val="22"/>
        </w:rPr>
        <w:t>Las mediciones</w:t>
      </w:r>
      <w:r w:rsidRPr="00F7548C">
        <w:rPr>
          <w:rFonts w:ascii="ITC Avant Garde" w:hAnsi="ITC Avant Garde"/>
          <w:bCs/>
          <w:sz w:val="22"/>
          <w:szCs w:val="22"/>
        </w:rPr>
        <w:t xml:space="preserve"> </w:t>
      </w:r>
      <w:r w:rsidR="0071127F" w:rsidRPr="00F7548C">
        <w:rPr>
          <w:rFonts w:ascii="ITC Avant Garde" w:hAnsi="ITC Avant Garde"/>
          <w:bCs/>
          <w:sz w:val="22"/>
          <w:szCs w:val="22"/>
        </w:rPr>
        <w:t>señaladas en el artículo 1</w:t>
      </w:r>
      <w:r w:rsidR="00E8514F" w:rsidRPr="00F7548C">
        <w:rPr>
          <w:rFonts w:ascii="ITC Avant Garde" w:hAnsi="ITC Avant Garde"/>
          <w:bCs/>
          <w:sz w:val="22"/>
          <w:szCs w:val="22"/>
        </w:rPr>
        <w:t>7</w:t>
      </w:r>
      <w:r w:rsidR="0071127F" w:rsidRPr="00F7548C">
        <w:rPr>
          <w:rFonts w:ascii="ITC Avant Garde" w:hAnsi="ITC Avant Garde"/>
          <w:bCs/>
          <w:sz w:val="22"/>
          <w:szCs w:val="22"/>
        </w:rPr>
        <w:t xml:space="preserve">, serán realizadas por el Instituto a partir del cuarto año de </w:t>
      </w:r>
      <w:r w:rsidR="005B2830" w:rsidRPr="00F7548C">
        <w:rPr>
          <w:rFonts w:ascii="ITC Avant Garde" w:hAnsi="ITC Avant Garde"/>
          <w:bCs/>
          <w:sz w:val="22"/>
          <w:szCs w:val="22"/>
        </w:rPr>
        <w:t xml:space="preserve">aplicación </w:t>
      </w:r>
      <w:r w:rsidR="0071127F" w:rsidRPr="00F7548C">
        <w:rPr>
          <w:rFonts w:ascii="ITC Avant Garde" w:hAnsi="ITC Avant Garde"/>
          <w:bCs/>
          <w:sz w:val="22"/>
          <w:szCs w:val="22"/>
        </w:rPr>
        <w:t>de los presentes Lineamientos a fin de verificar el nivel de disponibilidad</w:t>
      </w:r>
      <w:r w:rsidR="0071127F" w:rsidRPr="00F7548C">
        <w:rPr>
          <w:rFonts w:ascii="ITC Avant Garde" w:hAnsi="ITC Avant Garde"/>
          <w:b/>
          <w:bCs/>
          <w:sz w:val="22"/>
          <w:szCs w:val="22"/>
        </w:rPr>
        <w:t xml:space="preserve">. </w:t>
      </w:r>
    </w:p>
    <w:p w14:paraId="2F55CC8E" w14:textId="17B1E19C" w:rsidR="0071127F" w:rsidRPr="00F7548C" w:rsidRDefault="00AF5E49" w:rsidP="005B2961">
      <w:pPr>
        <w:spacing w:before="240" w:line="276" w:lineRule="auto"/>
        <w:jc w:val="both"/>
        <w:rPr>
          <w:rFonts w:ascii="ITC Avant Garde" w:hAnsi="ITC Avant Garde"/>
          <w:sz w:val="22"/>
          <w:szCs w:val="22"/>
        </w:rPr>
      </w:pPr>
      <w:r w:rsidRPr="00F7548C">
        <w:rPr>
          <w:rFonts w:ascii="ITC Avant Garde" w:hAnsi="ITC Avant Garde"/>
          <w:b/>
          <w:bCs/>
          <w:sz w:val="22"/>
          <w:szCs w:val="22"/>
        </w:rPr>
        <w:t>CUARTO</w:t>
      </w:r>
      <w:r w:rsidR="0071127F" w:rsidRPr="00F7548C">
        <w:rPr>
          <w:rFonts w:ascii="ITC Avant Garde" w:hAnsi="ITC Avant Garde"/>
          <w:b/>
          <w:bCs/>
          <w:sz w:val="22"/>
          <w:szCs w:val="22"/>
        </w:rPr>
        <w:t>.-</w:t>
      </w:r>
      <w:r w:rsidR="0071127F" w:rsidRPr="00F7548C">
        <w:rPr>
          <w:rFonts w:ascii="ITC Avant Garde" w:hAnsi="ITC Avant Garde"/>
          <w:sz w:val="22"/>
          <w:szCs w:val="22"/>
        </w:rPr>
        <w:t xml:space="preserve"> Telecomunicaciones de México y la </w:t>
      </w:r>
      <w:r w:rsidRPr="00F7548C">
        <w:rPr>
          <w:rFonts w:ascii="ITC Avant Garde" w:hAnsi="ITC Avant Garde"/>
          <w:sz w:val="22"/>
          <w:szCs w:val="22"/>
        </w:rPr>
        <w:t>Comisión Federal de Electricidad</w:t>
      </w:r>
      <w:r w:rsidR="0071127F" w:rsidRPr="00F7548C">
        <w:rPr>
          <w:rFonts w:ascii="ITC Avant Garde" w:hAnsi="ITC Avant Garde"/>
          <w:sz w:val="22"/>
          <w:szCs w:val="22"/>
        </w:rPr>
        <w:t xml:space="preserve"> dispondrán de 30 (treinta) días hábiles </w:t>
      </w:r>
      <w:r w:rsidR="005B2830" w:rsidRPr="00F7548C">
        <w:rPr>
          <w:rFonts w:ascii="ITC Avant Garde" w:hAnsi="ITC Avant Garde"/>
          <w:sz w:val="22"/>
          <w:szCs w:val="22"/>
        </w:rPr>
        <w:t xml:space="preserve">contados a partir del día siguiente al en que surta efectos la notificación de los </w:t>
      </w:r>
      <w:r w:rsidR="0071127F" w:rsidRPr="00F7548C">
        <w:rPr>
          <w:rFonts w:ascii="ITC Avant Garde" w:hAnsi="ITC Avant Garde"/>
          <w:sz w:val="22"/>
          <w:szCs w:val="22"/>
        </w:rPr>
        <w:t>presentes Lineamientos, para iniciar las negociaciones relativas a la suscripción de los convenios para el Acceso y Uso de Infraestructura.</w:t>
      </w:r>
    </w:p>
    <w:p w14:paraId="09953111" w14:textId="77777777" w:rsidR="0071127F" w:rsidRDefault="0071127F" w:rsidP="0071127F">
      <w:pPr>
        <w:spacing w:line="276" w:lineRule="auto"/>
        <w:jc w:val="both"/>
        <w:rPr>
          <w:rFonts w:ascii="ITC Avant Garde" w:hAnsi="ITC Avant Garde"/>
          <w:sz w:val="22"/>
          <w:szCs w:val="22"/>
        </w:rPr>
      </w:pPr>
    </w:p>
    <w:p w14:paraId="2F303551" w14:textId="503E2CC9" w:rsidR="00B35E14" w:rsidRPr="00520014" w:rsidRDefault="00B35E14" w:rsidP="005B2961">
      <w:pPr>
        <w:ind w:right="72"/>
        <w:jc w:val="both"/>
        <w:rPr>
          <w:rFonts w:ascii="ITC Avant Garde" w:hAnsi="ITC Avant Garde"/>
          <w:sz w:val="14"/>
          <w:szCs w:val="14"/>
        </w:rPr>
      </w:pPr>
      <w:r w:rsidRPr="00520014">
        <w:rPr>
          <w:rFonts w:ascii="ITC Avant Garde" w:hAnsi="ITC Avant Garde"/>
          <w:sz w:val="14"/>
          <w:szCs w:val="14"/>
        </w:rPr>
        <w:t>El presente Acuerdo fue aprobado por el Pleno del Instituto Federal de Telecomunicaciones en su XXV Sesión Ordinaria celebrada el 17 de agosto de 2016, por mayoría de votos de los Comisionados presentes Gabriel Oswaldo Contreras Saldívar, Ernesto Estrada González, Adriana Sofía Labardini Inzunza, Mario Germán Fromow Rangel y Adolfo Cuevas Teja;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P/IFT/170816/429.</w:t>
      </w:r>
    </w:p>
    <w:sectPr w:rsidR="00B35E14" w:rsidRPr="00520014" w:rsidSect="003B4BBA">
      <w:footerReference w:type="default" r:id="rId11"/>
      <w:pgSz w:w="12240" w:h="15840"/>
      <w:pgMar w:top="2127" w:right="1701" w:bottom="1417" w:left="1701"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59900" w14:textId="77777777" w:rsidR="000B365F" w:rsidRDefault="000B365F" w:rsidP="00A46617">
      <w:r>
        <w:separator/>
      </w:r>
    </w:p>
  </w:endnote>
  <w:endnote w:type="continuationSeparator" w:id="0">
    <w:p w14:paraId="0CE932C7" w14:textId="77777777" w:rsidR="000B365F" w:rsidRDefault="000B365F" w:rsidP="00A4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439665"/>
      <w:docPartObj>
        <w:docPartGallery w:val="Page Numbers (Bottom of Page)"/>
        <w:docPartUnique/>
      </w:docPartObj>
    </w:sdtPr>
    <w:sdtEndPr>
      <w:rPr>
        <w:rFonts w:ascii="ITC Avant Garde" w:hAnsi="ITC Avant Garde"/>
        <w:sz w:val="20"/>
        <w:szCs w:val="20"/>
      </w:rPr>
    </w:sdtEndPr>
    <w:sdtContent>
      <w:p w14:paraId="3215D6C8" w14:textId="77777777" w:rsidR="00416EAA" w:rsidRPr="003B4BBA" w:rsidRDefault="00416EAA">
        <w:pPr>
          <w:pStyle w:val="Piedepgina"/>
          <w:jc w:val="right"/>
          <w:rPr>
            <w:rFonts w:ascii="ITC Avant Garde" w:hAnsi="ITC Avant Garde"/>
            <w:sz w:val="20"/>
            <w:szCs w:val="20"/>
          </w:rPr>
        </w:pPr>
        <w:r w:rsidRPr="003B4BBA">
          <w:rPr>
            <w:rFonts w:ascii="ITC Avant Garde" w:hAnsi="ITC Avant Garde"/>
            <w:sz w:val="20"/>
            <w:szCs w:val="20"/>
          </w:rPr>
          <w:fldChar w:fldCharType="begin"/>
        </w:r>
        <w:r w:rsidRPr="003B4BBA">
          <w:rPr>
            <w:rFonts w:ascii="ITC Avant Garde" w:hAnsi="ITC Avant Garde"/>
            <w:sz w:val="20"/>
            <w:szCs w:val="20"/>
          </w:rPr>
          <w:instrText>PAGE   \* MERGEFORMAT</w:instrText>
        </w:r>
        <w:r w:rsidRPr="003B4BBA">
          <w:rPr>
            <w:rFonts w:ascii="ITC Avant Garde" w:hAnsi="ITC Avant Garde"/>
            <w:sz w:val="20"/>
            <w:szCs w:val="20"/>
          </w:rPr>
          <w:fldChar w:fldCharType="separate"/>
        </w:r>
        <w:r w:rsidR="005B2961" w:rsidRPr="005B2961">
          <w:rPr>
            <w:rFonts w:ascii="ITC Avant Garde" w:hAnsi="ITC Avant Garde"/>
            <w:noProof/>
            <w:sz w:val="20"/>
            <w:szCs w:val="20"/>
            <w:lang w:val="es-ES"/>
          </w:rPr>
          <w:t>24</w:t>
        </w:r>
        <w:r w:rsidRPr="003B4B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3A36E" w14:textId="77777777" w:rsidR="000B365F" w:rsidRDefault="000B365F" w:rsidP="00A46617">
      <w:r>
        <w:separator/>
      </w:r>
    </w:p>
  </w:footnote>
  <w:footnote w:type="continuationSeparator" w:id="0">
    <w:p w14:paraId="4014AB85" w14:textId="77777777" w:rsidR="000B365F" w:rsidRDefault="000B365F" w:rsidP="00A46617">
      <w:r>
        <w:continuationSeparator/>
      </w:r>
    </w:p>
  </w:footnote>
  <w:footnote w:id="1">
    <w:p w14:paraId="766ECDE6" w14:textId="0DC5766F" w:rsidR="00AC6F55" w:rsidRPr="00016E6C" w:rsidRDefault="00AC6F55">
      <w:pPr>
        <w:pStyle w:val="Textonotapie"/>
        <w:rPr>
          <w:sz w:val="16"/>
          <w:szCs w:val="16"/>
        </w:rPr>
      </w:pPr>
      <w:r w:rsidRPr="00016E6C">
        <w:rPr>
          <w:rStyle w:val="Refdenotaalpie"/>
          <w:sz w:val="16"/>
          <w:szCs w:val="16"/>
        </w:rPr>
        <w:footnoteRef/>
      </w:r>
      <w:r w:rsidRPr="00016E6C">
        <w:rPr>
          <w:sz w:val="16"/>
          <w:szCs w:val="16"/>
        </w:rPr>
        <w:t xml:space="preserve"> </w:t>
      </w:r>
      <w:r w:rsidRPr="00016E6C">
        <w:rPr>
          <w:rFonts w:ascii="ITC Avant Garde" w:hAnsi="ITC Avant Garde"/>
          <w:sz w:val="16"/>
          <w:szCs w:val="16"/>
        </w:rPr>
        <w:t xml:space="preserve">Comisión Federal de Telecomunicaciones, </w:t>
      </w:r>
      <w:r w:rsidRPr="00016E6C">
        <w:rPr>
          <w:rFonts w:ascii="ITC Avant Garde" w:eastAsia="Arial" w:hAnsi="ITC Avant Garde" w:cs="Arial"/>
          <w:i/>
          <w:sz w:val="16"/>
          <w:szCs w:val="16"/>
          <w:lang w:val="es-ES_tradnl"/>
        </w:rPr>
        <w:t>Red Nacional de Transporte</w:t>
      </w:r>
      <w:r w:rsidRPr="00016E6C">
        <w:rPr>
          <w:rFonts w:ascii="ITC Avant Garde" w:eastAsia="Arial" w:hAnsi="ITC Avant Garde" w:cs="Arial"/>
          <w:sz w:val="16"/>
          <w:szCs w:val="16"/>
          <w:lang w:val="es-ES_tradnl"/>
        </w:rPr>
        <w:t xml:space="preserve"> [en línea]</w:t>
      </w:r>
      <w:r w:rsidRPr="00016E6C">
        <w:rPr>
          <w:rFonts w:ascii="ITC Avant Garde" w:hAnsi="ITC Avant Garde"/>
          <w:sz w:val="16"/>
          <w:szCs w:val="16"/>
        </w:rPr>
        <w:t xml:space="preserve"> Ciudad de México. Disponible en: ‹http://www.ift.org.mx/sites/default/files/industria/politica-regulatoria/red_nacional_de_transporte1.pdf›</w:t>
      </w:r>
    </w:p>
  </w:footnote>
  <w:footnote w:id="2">
    <w:p w14:paraId="2A3DD40D" w14:textId="77777777" w:rsidR="00416EAA" w:rsidRPr="00EA1785" w:rsidRDefault="00416EAA" w:rsidP="00C75083">
      <w:pPr>
        <w:pStyle w:val="Textonotapie"/>
        <w:rPr>
          <w:rFonts w:ascii="ITC Avant Garde" w:hAnsi="ITC Avant Garde"/>
          <w:lang w:val="en-US"/>
        </w:rPr>
      </w:pPr>
      <w:r w:rsidRPr="00016E6C">
        <w:rPr>
          <w:rStyle w:val="Refdenotaalpie"/>
          <w:rFonts w:ascii="ITC Avant Garde" w:hAnsi="ITC Avant Garde"/>
          <w:sz w:val="16"/>
        </w:rPr>
        <w:footnoteRef/>
      </w:r>
      <w:r w:rsidRPr="00016E6C">
        <w:rPr>
          <w:rFonts w:ascii="ITC Avant Garde" w:hAnsi="ITC Avant Garde"/>
          <w:sz w:val="16"/>
          <w:lang w:val="en-US"/>
        </w:rPr>
        <w:t xml:space="preserve"> Dense Wavelength Division Multiplexing.</w:t>
      </w:r>
    </w:p>
  </w:footnote>
  <w:footnote w:id="3">
    <w:p w14:paraId="4441C70B" w14:textId="74D20C06" w:rsidR="00CD2003" w:rsidRPr="00016E6C" w:rsidRDefault="00CD2003">
      <w:pPr>
        <w:pStyle w:val="Textonotapie"/>
        <w:rPr>
          <w:rFonts w:ascii="ITC Avant Garde" w:hAnsi="ITC Avant Garde"/>
          <w:sz w:val="18"/>
          <w:szCs w:val="18"/>
        </w:rPr>
      </w:pPr>
      <w:r w:rsidRPr="00016E6C">
        <w:rPr>
          <w:rStyle w:val="Refdenotaalpie"/>
          <w:rFonts w:ascii="ITC Avant Garde" w:hAnsi="ITC Avant Garde"/>
          <w:sz w:val="16"/>
          <w:szCs w:val="18"/>
        </w:rPr>
        <w:footnoteRef/>
      </w:r>
      <w:r w:rsidRPr="00016E6C">
        <w:rPr>
          <w:rFonts w:ascii="ITC Avant Garde" w:hAnsi="ITC Avant Garde"/>
          <w:sz w:val="16"/>
          <w:szCs w:val="18"/>
        </w:rPr>
        <w:t xml:space="preserve"> Telecomunicaciones de México, </w:t>
      </w:r>
      <w:r w:rsidRPr="00016E6C">
        <w:rPr>
          <w:rFonts w:ascii="ITC Avant Garde" w:eastAsia="Arial" w:hAnsi="ITC Avant Garde" w:cs="Arial"/>
          <w:i/>
          <w:sz w:val="16"/>
          <w:szCs w:val="18"/>
          <w:lang w:val="es-ES_tradnl"/>
        </w:rPr>
        <w:t>Programa Institucional 2014-2018</w:t>
      </w:r>
      <w:r w:rsidRPr="00016E6C">
        <w:rPr>
          <w:rFonts w:ascii="ITC Avant Garde" w:eastAsia="Arial" w:hAnsi="ITC Avant Garde" w:cs="Arial"/>
          <w:sz w:val="16"/>
          <w:szCs w:val="18"/>
          <w:lang w:val="es-ES_tradnl"/>
        </w:rPr>
        <w:t xml:space="preserve"> </w:t>
      </w:r>
      <w:r w:rsidR="003C0694" w:rsidRPr="00016E6C">
        <w:rPr>
          <w:rFonts w:ascii="ITC Avant Garde" w:eastAsia="Arial" w:hAnsi="ITC Avant Garde" w:cs="Arial"/>
          <w:sz w:val="16"/>
          <w:szCs w:val="18"/>
          <w:lang w:val="es-ES_tradnl"/>
        </w:rPr>
        <w:t xml:space="preserve">p. 37 </w:t>
      </w:r>
      <w:r w:rsidRPr="00016E6C">
        <w:rPr>
          <w:rFonts w:ascii="ITC Avant Garde" w:eastAsia="Arial" w:hAnsi="ITC Avant Garde" w:cs="Arial"/>
          <w:sz w:val="16"/>
          <w:szCs w:val="18"/>
          <w:lang w:val="es-ES_tradnl"/>
        </w:rPr>
        <w:t>[en línea]</w:t>
      </w:r>
      <w:r w:rsidRPr="00016E6C">
        <w:rPr>
          <w:rFonts w:ascii="ITC Avant Garde" w:hAnsi="ITC Avant Garde"/>
          <w:sz w:val="16"/>
          <w:szCs w:val="18"/>
        </w:rPr>
        <w:t xml:space="preserve"> </w:t>
      </w:r>
      <w:r w:rsidR="003C0694" w:rsidRPr="00016E6C">
        <w:rPr>
          <w:rFonts w:ascii="ITC Avant Garde" w:hAnsi="ITC Avant Garde"/>
          <w:sz w:val="16"/>
          <w:szCs w:val="18"/>
        </w:rPr>
        <w:t>Ciudad de México. Disponible en: ‹</w:t>
      </w:r>
      <w:r w:rsidRPr="00016E6C">
        <w:rPr>
          <w:rFonts w:ascii="ITC Avant Garde" w:hAnsi="ITC Avant Garde"/>
          <w:sz w:val="16"/>
          <w:szCs w:val="18"/>
        </w:rPr>
        <w:t>http://www.telecomm.gob.mx/telecomm/dmdocuments/programa_institucional_2008-2014.pdf</w:t>
      </w:r>
      <w:r w:rsidR="003C0694" w:rsidRPr="00016E6C">
        <w:rPr>
          <w:rFonts w:ascii="ITC Avant Garde" w:hAnsi="ITC Avant Garde"/>
          <w:sz w:val="16"/>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3B8"/>
    <w:multiLevelType w:val="hybridMultilevel"/>
    <w:tmpl w:val="3992ED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E7964"/>
    <w:multiLevelType w:val="multilevel"/>
    <w:tmpl w:val="AA109148"/>
    <w:lvl w:ilvl="0">
      <w:start w:val="1"/>
      <w:numFmt w:val="lowerLetter"/>
      <w:lvlText w:val="%1)"/>
      <w:lvlJc w:val="left"/>
      <w:pPr>
        <w:tabs>
          <w:tab w:val="num" w:pos="1077"/>
        </w:tabs>
        <w:ind w:left="1077" w:hanging="510"/>
      </w:pPr>
      <w:rPr>
        <w:rFonts w:hint="default"/>
        <w:b/>
        <w:sz w:val="20"/>
        <w:szCs w:val="20"/>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287"/>
        </w:tabs>
        <w:ind w:left="1287" w:hanging="720"/>
      </w:pPr>
      <w:rPr>
        <w:rFonts w:cs="Times New Roman" w:hint="default"/>
        <w:sz w:val="20"/>
        <w:szCs w:val="20"/>
      </w:rPr>
    </w:lvl>
    <w:lvl w:ilvl="3">
      <w:start w:val="1"/>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2007"/>
        </w:tabs>
        <w:ind w:left="2007" w:hanging="144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367"/>
        </w:tabs>
        <w:ind w:left="2367" w:hanging="1800"/>
      </w:pPr>
      <w:rPr>
        <w:rFonts w:cs="Times New Roman" w:hint="default"/>
      </w:rPr>
    </w:lvl>
    <w:lvl w:ilvl="8">
      <w:start w:val="1"/>
      <w:numFmt w:val="decimal"/>
      <w:lvlText w:val="%1.%2.%3.%4.%5.%6.%7.%8.%9."/>
      <w:lvlJc w:val="left"/>
      <w:pPr>
        <w:tabs>
          <w:tab w:val="num" w:pos="2727"/>
        </w:tabs>
        <w:ind w:left="2727" w:hanging="2160"/>
      </w:pPr>
      <w:rPr>
        <w:rFonts w:cs="Times New Roman" w:hint="default"/>
      </w:rPr>
    </w:lvl>
  </w:abstractNum>
  <w:abstractNum w:abstractNumId="2" w15:restartNumberingAfterBreak="0">
    <w:nsid w:val="0BB8321F"/>
    <w:multiLevelType w:val="hybridMultilevel"/>
    <w:tmpl w:val="1F4C1A2E"/>
    <w:lvl w:ilvl="0" w:tplc="080A0017">
      <w:start w:val="1"/>
      <w:numFmt w:val="lowerLetter"/>
      <w:lvlText w:val="%1)"/>
      <w:lvlJc w:val="left"/>
      <w:pPr>
        <w:ind w:left="1116" w:hanging="360"/>
      </w:pPr>
    </w:lvl>
    <w:lvl w:ilvl="1" w:tplc="080A0019" w:tentative="1">
      <w:start w:val="1"/>
      <w:numFmt w:val="lowerLetter"/>
      <w:lvlText w:val="%2."/>
      <w:lvlJc w:val="left"/>
      <w:pPr>
        <w:ind w:left="1836" w:hanging="360"/>
      </w:pPr>
    </w:lvl>
    <w:lvl w:ilvl="2" w:tplc="080A001B" w:tentative="1">
      <w:start w:val="1"/>
      <w:numFmt w:val="lowerRoman"/>
      <w:lvlText w:val="%3."/>
      <w:lvlJc w:val="right"/>
      <w:pPr>
        <w:ind w:left="2556" w:hanging="180"/>
      </w:pPr>
    </w:lvl>
    <w:lvl w:ilvl="3" w:tplc="080A000F" w:tentative="1">
      <w:start w:val="1"/>
      <w:numFmt w:val="decimal"/>
      <w:lvlText w:val="%4."/>
      <w:lvlJc w:val="left"/>
      <w:pPr>
        <w:ind w:left="3276" w:hanging="360"/>
      </w:pPr>
    </w:lvl>
    <w:lvl w:ilvl="4" w:tplc="080A0019" w:tentative="1">
      <w:start w:val="1"/>
      <w:numFmt w:val="lowerLetter"/>
      <w:lvlText w:val="%5."/>
      <w:lvlJc w:val="left"/>
      <w:pPr>
        <w:ind w:left="3996" w:hanging="360"/>
      </w:pPr>
    </w:lvl>
    <w:lvl w:ilvl="5" w:tplc="080A001B" w:tentative="1">
      <w:start w:val="1"/>
      <w:numFmt w:val="lowerRoman"/>
      <w:lvlText w:val="%6."/>
      <w:lvlJc w:val="right"/>
      <w:pPr>
        <w:ind w:left="4716" w:hanging="180"/>
      </w:pPr>
    </w:lvl>
    <w:lvl w:ilvl="6" w:tplc="080A000F" w:tentative="1">
      <w:start w:val="1"/>
      <w:numFmt w:val="decimal"/>
      <w:lvlText w:val="%7."/>
      <w:lvlJc w:val="left"/>
      <w:pPr>
        <w:ind w:left="5436" w:hanging="360"/>
      </w:pPr>
    </w:lvl>
    <w:lvl w:ilvl="7" w:tplc="080A0019" w:tentative="1">
      <w:start w:val="1"/>
      <w:numFmt w:val="lowerLetter"/>
      <w:lvlText w:val="%8."/>
      <w:lvlJc w:val="left"/>
      <w:pPr>
        <w:ind w:left="6156" w:hanging="360"/>
      </w:pPr>
    </w:lvl>
    <w:lvl w:ilvl="8" w:tplc="080A001B" w:tentative="1">
      <w:start w:val="1"/>
      <w:numFmt w:val="lowerRoman"/>
      <w:lvlText w:val="%9."/>
      <w:lvlJc w:val="right"/>
      <w:pPr>
        <w:ind w:left="6876" w:hanging="180"/>
      </w:pPr>
    </w:lvl>
  </w:abstractNum>
  <w:abstractNum w:abstractNumId="3" w15:restartNumberingAfterBreak="0">
    <w:nsid w:val="0E9654BA"/>
    <w:multiLevelType w:val="hybridMultilevel"/>
    <w:tmpl w:val="5FFCB41A"/>
    <w:lvl w:ilvl="0" w:tplc="080A0017">
      <w:start w:val="1"/>
      <w:numFmt w:val="lowerLetter"/>
      <w:lvlText w:val="%1)"/>
      <w:lvlJc w:val="left"/>
      <w:pPr>
        <w:ind w:left="870" w:hanging="360"/>
      </w:pPr>
      <w:rPr>
        <w:rFonts w:hint="default"/>
      </w:rPr>
    </w:lvl>
    <w:lvl w:ilvl="1" w:tplc="080A0003" w:tentative="1">
      <w:start w:val="1"/>
      <w:numFmt w:val="bullet"/>
      <w:lvlText w:val="o"/>
      <w:lvlJc w:val="left"/>
      <w:pPr>
        <w:ind w:left="1590" w:hanging="360"/>
      </w:pPr>
      <w:rPr>
        <w:rFonts w:ascii="Courier New" w:hAnsi="Courier New" w:cs="Courier New" w:hint="default"/>
      </w:rPr>
    </w:lvl>
    <w:lvl w:ilvl="2" w:tplc="080A0005" w:tentative="1">
      <w:start w:val="1"/>
      <w:numFmt w:val="bullet"/>
      <w:lvlText w:val=""/>
      <w:lvlJc w:val="left"/>
      <w:pPr>
        <w:ind w:left="2310" w:hanging="360"/>
      </w:pPr>
      <w:rPr>
        <w:rFonts w:ascii="Wingdings" w:hAnsi="Wingdings" w:hint="default"/>
      </w:rPr>
    </w:lvl>
    <w:lvl w:ilvl="3" w:tplc="080A0001" w:tentative="1">
      <w:start w:val="1"/>
      <w:numFmt w:val="bullet"/>
      <w:lvlText w:val=""/>
      <w:lvlJc w:val="left"/>
      <w:pPr>
        <w:ind w:left="3030" w:hanging="360"/>
      </w:pPr>
      <w:rPr>
        <w:rFonts w:ascii="Symbol" w:hAnsi="Symbol" w:hint="default"/>
      </w:rPr>
    </w:lvl>
    <w:lvl w:ilvl="4" w:tplc="080A0003" w:tentative="1">
      <w:start w:val="1"/>
      <w:numFmt w:val="bullet"/>
      <w:lvlText w:val="o"/>
      <w:lvlJc w:val="left"/>
      <w:pPr>
        <w:ind w:left="3750" w:hanging="360"/>
      </w:pPr>
      <w:rPr>
        <w:rFonts w:ascii="Courier New" w:hAnsi="Courier New" w:cs="Courier New" w:hint="default"/>
      </w:rPr>
    </w:lvl>
    <w:lvl w:ilvl="5" w:tplc="080A0005" w:tentative="1">
      <w:start w:val="1"/>
      <w:numFmt w:val="bullet"/>
      <w:lvlText w:val=""/>
      <w:lvlJc w:val="left"/>
      <w:pPr>
        <w:ind w:left="4470" w:hanging="360"/>
      </w:pPr>
      <w:rPr>
        <w:rFonts w:ascii="Wingdings" w:hAnsi="Wingdings" w:hint="default"/>
      </w:rPr>
    </w:lvl>
    <w:lvl w:ilvl="6" w:tplc="080A0001" w:tentative="1">
      <w:start w:val="1"/>
      <w:numFmt w:val="bullet"/>
      <w:lvlText w:val=""/>
      <w:lvlJc w:val="left"/>
      <w:pPr>
        <w:ind w:left="5190" w:hanging="360"/>
      </w:pPr>
      <w:rPr>
        <w:rFonts w:ascii="Symbol" w:hAnsi="Symbol" w:hint="default"/>
      </w:rPr>
    </w:lvl>
    <w:lvl w:ilvl="7" w:tplc="080A0003" w:tentative="1">
      <w:start w:val="1"/>
      <w:numFmt w:val="bullet"/>
      <w:lvlText w:val="o"/>
      <w:lvlJc w:val="left"/>
      <w:pPr>
        <w:ind w:left="5910" w:hanging="360"/>
      </w:pPr>
      <w:rPr>
        <w:rFonts w:ascii="Courier New" w:hAnsi="Courier New" w:cs="Courier New" w:hint="default"/>
      </w:rPr>
    </w:lvl>
    <w:lvl w:ilvl="8" w:tplc="080A0005" w:tentative="1">
      <w:start w:val="1"/>
      <w:numFmt w:val="bullet"/>
      <w:lvlText w:val=""/>
      <w:lvlJc w:val="left"/>
      <w:pPr>
        <w:ind w:left="6630" w:hanging="360"/>
      </w:pPr>
      <w:rPr>
        <w:rFonts w:ascii="Wingdings" w:hAnsi="Wingdings" w:hint="default"/>
      </w:rPr>
    </w:lvl>
  </w:abstractNum>
  <w:abstractNum w:abstractNumId="4" w15:restartNumberingAfterBreak="0">
    <w:nsid w:val="10134D16"/>
    <w:multiLevelType w:val="multilevel"/>
    <w:tmpl w:val="E9307384"/>
    <w:lvl w:ilvl="0">
      <w:start w:val="1"/>
      <w:numFmt w:val="lowerLetter"/>
      <w:lvlText w:val="%1)"/>
      <w:lvlJc w:val="left"/>
      <w:pPr>
        <w:tabs>
          <w:tab w:val="num" w:pos="1020"/>
        </w:tabs>
        <w:ind w:left="1020" w:hanging="510"/>
      </w:pPr>
      <w:rPr>
        <w:rFonts w:hint="default"/>
        <w:b/>
        <w:sz w:val="20"/>
        <w:szCs w:val="20"/>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230"/>
        </w:tabs>
        <w:ind w:left="1230" w:hanging="720"/>
      </w:pPr>
      <w:rPr>
        <w:rFonts w:cs="Times New Roman" w:hint="default"/>
        <w:sz w:val="20"/>
        <w:szCs w:val="20"/>
      </w:rPr>
    </w:lvl>
    <w:lvl w:ilvl="3">
      <w:start w:val="1"/>
      <w:numFmt w:val="decimal"/>
      <w:lvlText w:val="%1.%2.%3.%4."/>
      <w:lvlJc w:val="left"/>
      <w:pPr>
        <w:tabs>
          <w:tab w:val="num" w:pos="1590"/>
        </w:tabs>
        <w:ind w:left="1590" w:hanging="1080"/>
      </w:pPr>
      <w:rPr>
        <w:rFonts w:cs="Times New Roman" w:hint="default"/>
      </w:rPr>
    </w:lvl>
    <w:lvl w:ilvl="4">
      <w:start w:val="1"/>
      <w:numFmt w:val="decimal"/>
      <w:lvlText w:val="%1.%2.%3.%4.%5."/>
      <w:lvlJc w:val="left"/>
      <w:pPr>
        <w:tabs>
          <w:tab w:val="num" w:pos="1590"/>
        </w:tabs>
        <w:ind w:left="1590" w:hanging="1080"/>
      </w:pPr>
      <w:rPr>
        <w:rFonts w:cs="Times New Roman" w:hint="default"/>
      </w:rPr>
    </w:lvl>
    <w:lvl w:ilvl="5">
      <w:start w:val="1"/>
      <w:numFmt w:val="decimal"/>
      <w:lvlText w:val="%1.%2.%3.%4.%5.%6."/>
      <w:lvlJc w:val="left"/>
      <w:pPr>
        <w:tabs>
          <w:tab w:val="num" w:pos="1950"/>
        </w:tabs>
        <w:ind w:left="1950" w:hanging="1440"/>
      </w:pPr>
      <w:rPr>
        <w:rFonts w:cs="Times New Roman" w:hint="default"/>
      </w:rPr>
    </w:lvl>
    <w:lvl w:ilvl="6">
      <w:start w:val="1"/>
      <w:numFmt w:val="decimal"/>
      <w:lvlText w:val="%1.%2.%3.%4.%5.%6.%7."/>
      <w:lvlJc w:val="left"/>
      <w:pPr>
        <w:tabs>
          <w:tab w:val="num" w:pos="1950"/>
        </w:tabs>
        <w:ind w:left="1950" w:hanging="1440"/>
      </w:pPr>
      <w:rPr>
        <w:rFonts w:cs="Times New Roman" w:hint="default"/>
      </w:rPr>
    </w:lvl>
    <w:lvl w:ilvl="7">
      <w:start w:val="1"/>
      <w:numFmt w:val="decimal"/>
      <w:lvlText w:val="%1.%2.%3.%4.%5.%6.%7.%8."/>
      <w:lvlJc w:val="left"/>
      <w:pPr>
        <w:tabs>
          <w:tab w:val="num" w:pos="2310"/>
        </w:tabs>
        <w:ind w:left="2310" w:hanging="1800"/>
      </w:pPr>
      <w:rPr>
        <w:rFonts w:cs="Times New Roman" w:hint="default"/>
      </w:rPr>
    </w:lvl>
    <w:lvl w:ilvl="8">
      <w:start w:val="1"/>
      <w:numFmt w:val="decimal"/>
      <w:lvlText w:val="%1.%2.%3.%4.%5.%6.%7.%8.%9."/>
      <w:lvlJc w:val="left"/>
      <w:pPr>
        <w:tabs>
          <w:tab w:val="num" w:pos="2670"/>
        </w:tabs>
        <w:ind w:left="2670" w:hanging="2160"/>
      </w:pPr>
      <w:rPr>
        <w:rFonts w:cs="Times New Roman" w:hint="default"/>
      </w:rPr>
    </w:lvl>
  </w:abstractNum>
  <w:abstractNum w:abstractNumId="5" w15:restartNumberingAfterBreak="0">
    <w:nsid w:val="14BC1572"/>
    <w:multiLevelType w:val="multilevel"/>
    <w:tmpl w:val="E9307384"/>
    <w:lvl w:ilvl="0">
      <w:start w:val="1"/>
      <w:numFmt w:val="lowerLetter"/>
      <w:lvlText w:val="%1)"/>
      <w:lvlJc w:val="left"/>
      <w:pPr>
        <w:tabs>
          <w:tab w:val="num" w:pos="1020"/>
        </w:tabs>
        <w:ind w:left="1020" w:hanging="510"/>
      </w:pPr>
      <w:rPr>
        <w:rFonts w:hint="default"/>
        <w:b/>
        <w:sz w:val="20"/>
        <w:szCs w:val="20"/>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230"/>
        </w:tabs>
        <w:ind w:left="1230" w:hanging="720"/>
      </w:pPr>
      <w:rPr>
        <w:rFonts w:cs="Times New Roman" w:hint="default"/>
        <w:sz w:val="20"/>
        <w:szCs w:val="20"/>
      </w:rPr>
    </w:lvl>
    <w:lvl w:ilvl="3">
      <w:start w:val="1"/>
      <w:numFmt w:val="decimal"/>
      <w:lvlText w:val="%1.%2.%3.%4."/>
      <w:lvlJc w:val="left"/>
      <w:pPr>
        <w:tabs>
          <w:tab w:val="num" w:pos="1590"/>
        </w:tabs>
        <w:ind w:left="1590" w:hanging="1080"/>
      </w:pPr>
      <w:rPr>
        <w:rFonts w:cs="Times New Roman" w:hint="default"/>
      </w:rPr>
    </w:lvl>
    <w:lvl w:ilvl="4">
      <w:start w:val="1"/>
      <w:numFmt w:val="decimal"/>
      <w:lvlText w:val="%1.%2.%3.%4.%5."/>
      <w:lvlJc w:val="left"/>
      <w:pPr>
        <w:tabs>
          <w:tab w:val="num" w:pos="1590"/>
        </w:tabs>
        <w:ind w:left="1590" w:hanging="1080"/>
      </w:pPr>
      <w:rPr>
        <w:rFonts w:cs="Times New Roman" w:hint="default"/>
      </w:rPr>
    </w:lvl>
    <w:lvl w:ilvl="5">
      <w:start w:val="1"/>
      <w:numFmt w:val="decimal"/>
      <w:lvlText w:val="%1.%2.%3.%4.%5.%6."/>
      <w:lvlJc w:val="left"/>
      <w:pPr>
        <w:tabs>
          <w:tab w:val="num" w:pos="1950"/>
        </w:tabs>
        <w:ind w:left="1950" w:hanging="1440"/>
      </w:pPr>
      <w:rPr>
        <w:rFonts w:cs="Times New Roman" w:hint="default"/>
      </w:rPr>
    </w:lvl>
    <w:lvl w:ilvl="6">
      <w:start w:val="1"/>
      <w:numFmt w:val="decimal"/>
      <w:lvlText w:val="%1.%2.%3.%4.%5.%6.%7."/>
      <w:lvlJc w:val="left"/>
      <w:pPr>
        <w:tabs>
          <w:tab w:val="num" w:pos="1950"/>
        </w:tabs>
        <w:ind w:left="1950" w:hanging="1440"/>
      </w:pPr>
      <w:rPr>
        <w:rFonts w:cs="Times New Roman" w:hint="default"/>
      </w:rPr>
    </w:lvl>
    <w:lvl w:ilvl="7">
      <w:start w:val="1"/>
      <w:numFmt w:val="decimal"/>
      <w:lvlText w:val="%1.%2.%3.%4.%5.%6.%7.%8."/>
      <w:lvlJc w:val="left"/>
      <w:pPr>
        <w:tabs>
          <w:tab w:val="num" w:pos="2310"/>
        </w:tabs>
        <w:ind w:left="2310" w:hanging="1800"/>
      </w:pPr>
      <w:rPr>
        <w:rFonts w:cs="Times New Roman" w:hint="default"/>
      </w:rPr>
    </w:lvl>
    <w:lvl w:ilvl="8">
      <w:start w:val="1"/>
      <w:numFmt w:val="decimal"/>
      <w:lvlText w:val="%1.%2.%3.%4.%5.%6.%7.%8.%9."/>
      <w:lvlJc w:val="left"/>
      <w:pPr>
        <w:tabs>
          <w:tab w:val="num" w:pos="2670"/>
        </w:tabs>
        <w:ind w:left="2670" w:hanging="2160"/>
      </w:pPr>
      <w:rPr>
        <w:rFonts w:cs="Times New Roman" w:hint="default"/>
      </w:rPr>
    </w:lvl>
  </w:abstractNum>
  <w:abstractNum w:abstractNumId="6" w15:restartNumberingAfterBreak="0">
    <w:nsid w:val="151E4C5B"/>
    <w:multiLevelType w:val="hybridMultilevel"/>
    <w:tmpl w:val="1F3246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81095"/>
    <w:multiLevelType w:val="hybridMultilevel"/>
    <w:tmpl w:val="1F3246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5254B"/>
    <w:multiLevelType w:val="hybridMultilevel"/>
    <w:tmpl w:val="B6CC48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5E3EC1"/>
    <w:multiLevelType w:val="hybridMultilevel"/>
    <w:tmpl w:val="1F3246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0B1886"/>
    <w:multiLevelType w:val="hybridMultilevel"/>
    <w:tmpl w:val="1F3246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548D5"/>
    <w:multiLevelType w:val="hybridMultilevel"/>
    <w:tmpl w:val="DAD0EE5C"/>
    <w:lvl w:ilvl="0" w:tplc="01BA7C9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E04CB"/>
    <w:multiLevelType w:val="hybridMultilevel"/>
    <w:tmpl w:val="33D279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D2D477E"/>
    <w:multiLevelType w:val="hybridMultilevel"/>
    <w:tmpl w:val="D4F65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DA4AF4"/>
    <w:multiLevelType w:val="hybridMultilevel"/>
    <w:tmpl w:val="90D23696"/>
    <w:lvl w:ilvl="0" w:tplc="72AA3DB2">
      <w:start w:val="1"/>
      <w:numFmt w:val="lowerLetter"/>
      <w:lvlText w:val="%1)"/>
      <w:lvlJc w:val="left"/>
      <w:pPr>
        <w:ind w:left="1620" w:hanging="360"/>
      </w:pPr>
      <w:rPr>
        <w:b/>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5" w15:restartNumberingAfterBreak="0">
    <w:nsid w:val="3A4D4C30"/>
    <w:multiLevelType w:val="hybridMultilevel"/>
    <w:tmpl w:val="DAD0EE5C"/>
    <w:lvl w:ilvl="0" w:tplc="01BA7C9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81288F"/>
    <w:multiLevelType w:val="hybridMultilevel"/>
    <w:tmpl w:val="44A00284"/>
    <w:lvl w:ilvl="0" w:tplc="5D446E0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B766DE2"/>
    <w:multiLevelType w:val="hybridMultilevel"/>
    <w:tmpl w:val="5FFCB41A"/>
    <w:lvl w:ilvl="0" w:tplc="080A0017">
      <w:start w:val="1"/>
      <w:numFmt w:val="lowerLetter"/>
      <w:lvlText w:val="%1)"/>
      <w:lvlJc w:val="left"/>
      <w:pPr>
        <w:ind w:left="870" w:hanging="360"/>
      </w:pPr>
      <w:rPr>
        <w:rFonts w:hint="default"/>
      </w:rPr>
    </w:lvl>
    <w:lvl w:ilvl="1" w:tplc="080A0003" w:tentative="1">
      <w:start w:val="1"/>
      <w:numFmt w:val="bullet"/>
      <w:lvlText w:val="o"/>
      <w:lvlJc w:val="left"/>
      <w:pPr>
        <w:ind w:left="1590" w:hanging="360"/>
      </w:pPr>
      <w:rPr>
        <w:rFonts w:ascii="Courier New" w:hAnsi="Courier New" w:cs="Courier New" w:hint="default"/>
      </w:rPr>
    </w:lvl>
    <w:lvl w:ilvl="2" w:tplc="080A0005" w:tentative="1">
      <w:start w:val="1"/>
      <w:numFmt w:val="bullet"/>
      <w:lvlText w:val=""/>
      <w:lvlJc w:val="left"/>
      <w:pPr>
        <w:ind w:left="2310" w:hanging="360"/>
      </w:pPr>
      <w:rPr>
        <w:rFonts w:ascii="Wingdings" w:hAnsi="Wingdings" w:hint="default"/>
      </w:rPr>
    </w:lvl>
    <w:lvl w:ilvl="3" w:tplc="080A0001" w:tentative="1">
      <w:start w:val="1"/>
      <w:numFmt w:val="bullet"/>
      <w:lvlText w:val=""/>
      <w:lvlJc w:val="left"/>
      <w:pPr>
        <w:ind w:left="3030" w:hanging="360"/>
      </w:pPr>
      <w:rPr>
        <w:rFonts w:ascii="Symbol" w:hAnsi="Symbol" w:hint="default"/>
      </w:rPr>
    </w:lvl>
    <w:lvl w:ilvl="4" w:tplc="080A0003" w:tentative="1">
      <w:start w:val="1"/>
      <w:numFmt w:val="bullet"/>
      <w:lvlText w:val="o"/>
      <w:lvlJc w:val="left"/>
      <w:pPr>
        <w:ind w:left="3750" w:hanging="360"/>
      </w:pPr>
      <w:rPr>
        <w:rFonts w:ascii="Courier New" w:hAnsi="Courier New" w:cs="Courier New" w:hint="default"/>
      </w:rPr>
    </w:lvl>
    <w:lvl w:ilvl="5" w:tplc="080A0005" w:tentative="1">
      <w:start w:val="1"/>
      <w:numFmt w:val="bullet"/>
      <w:lvlText w:val=""/>
      <w:lvlJc w:val="left"/>
      <w:pPr>
        <w:ind w:left="4470" w:hanging="360"/>
      </w:pPr>
      <w:rPr>
        <w:rFonts w:ascii="Wingdings" w:hAnsi="Wingdings" w:hint="default"/>
      </w:rPr>
    </w:lvl>
    <w:lvl w:ilvl="6" w:tplc="080A0001" w:tentative="1">
      <w:start w:val="1"/>
      <w:numFmt w:val="bullet"/>
      <w:lvlText w:val=""/>
      <w:lvlJc w:val="left"/>
      <w:pPr>
        <w:ind w:left="5190" w:hanging="360"/>
      </w:pPr>
      <w:rPr>
        <w:rFonts w:ascii="Symbol" w:hAnsi="Symbol" w:hint="default"/>
      </w:rPr>
    </w:lvl>
    <w:lvl w:ilvl="7" w:tplc="080A0003" w:tentative="1">
      <w:start w:val="1"/>
      <w:numFmt w:val="bullet"/>
      <w:lvlText w:val="o"/>
      <w:lvlJc w:val="left"/>
      <w:pPr>
        <w:ind w:left="5910" w:hanging="360"/>
      </w:pPr>
      <w:rPr>
        <w:rFonts w:ascii="Courier New" w:hAnsi="Courier New" w:cs="Courier New" w:hint="default"/>
      </w:rPr>
    </w:lvl>
    <w:lvl w:ilvl="8" w:tplc="080A0005" w:tentative="1">
      <w:start w:val="1"/>
      <w:numFmt w:val="bullet"/>
      <w:lvlText w:val=""/>
      <w:lvlJc w:val="left"/>
      <w:pPr>
        <w:ind w:left="6630" w:hanging="360"/>
      </w:pPr>
      <w:rPr>
        <w:rFonts w:ascii="Wingdings" w:hAnsi="Wingdings" w:hint="default"/>
      </w:rPr>
    </w:lvl>
  </w:abstractNum>
  <w:abstractNum w:abstractNumId="19" w15:restartNumberingAfterBreak="0">
    <w:nsid w:val="3E5D4415"/>
    <w:multiLevelType w:val="hybridMultilevel"/>
    <w:tmpl w:val="32322C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A1473C"/>
    <w:multiLevelType w:val="multilevel"/>
    <w:tmpl w:val="21D0AE8C"/>
    <w:lvl w:ilvl="0">
      <w:start w:val="1"/>
      <w:numFmt w:val="lowerLetter"/>
      <w:lvlText w:val="%1)"/>
      <w:lvlJc w:val="left"/>
      <w:pPr>
        <w:tabs>
          <w:tab w:val="num" w:pos="510"/>
        </w:tabs>
        <w:ind w:left="510" w:hanging="510"/>
      </w:pPr>
      <w:rPr>
        <w:rFonts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09D0F9B"/>
    <w:multiLevelType w:val="hybridMultilevel"/>
    <w:tmpl w:val="BB10D31C"/>
    <w:lvl w:ilvl="0" w:tplc="5658BE40">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50511A5"/>
    <w:multiLevelType w:val="hybridMultilevel"/>
    <w:tmpl w:val="1F3246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D56A10"/>
    <w:multiLevelType w:val="hybridMultilevel"/>
    <w:tmpl w:val="06B8FF8A"/>
    <w:lvl w:ilvl="0" w:tplc="0AFE094A">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0A103B5"/>
    <w:multiLevelType w:val="hybridMultilevel"/>
    <w:tmpl w:val="D4846F72"/>
    <w:lvl w:ilvl="0" w:tplc="5658BE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CA3AA2"/>
    <w:multiLevelType w:val="hybridMultilevel"/>
    <w:tmpl w:val="44A27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C16586"/>
    <w:multiLevelType w:val="hybridMultilevel"/>
    <w:tmpl w:val="0138F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652A88"/>
    <w:multiLevelType w:val="hybridMultilevel"/>
    <w:tmpl w:val="FD1A814E"/>
    <w:lvl w:ilvl="0" w:tplc="2DBC0C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25264C"/>
    <w:multiLevelType w:val="hybridMultilevel"/>
    <w:tmpl w:val="FD1A814E"/>
    <w:lvl w:ilvl="0" w:tplc="2DBC0C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383BBF"/>
    <w:multiLevelType w:val="hybridMultilevel"/>
    <w:tmpl w:val="1F4C1A2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DE23AAB"/>
    <w:multiLevelType w:val="multilevel"/>
    <w:tmpl w:val="E9307384"/>
    <w:lvl w:ilvl="0">
      <w:start w:val="1"/>
      <w:numFmt w:val="lowerLetter"/>
      <w:lvlText w:val="%1)"/>
      <w:lvlJc w:val="left"/>
      <w:pPr>
        <w:tabs>
          <w:tab w:val="num" w:pos="1020"/>
        </w:tabs>
        <w:ind w:left="1020" w:hanging="510"/>
      </w:pPr>
      <w:rPr>
        <w:rFonts w:hint="default"/>
        <w:b/>
        <w:sz w:val="20"/>
        <w:szCs w:val="20"/>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230"/>
        </w:tabs>
        <w:ind w:left="1230" w:hanging="720"/>
      </w:pPr>
      <w:rPr>
        <w:rFonts w:cs="Times New Roman" w:hint="default"/>
        <w:sz w:val="20"/>
        <w:szCs w:val="20"/>
      </w:rPr>
    </w:lvl>
    <w:lvl w:ilvl="3">
      <w:start w:val="1"/>
      <w:numFmt w:val="decimal"/>
      <w:lvlText w:val="%1.%2.%3.%4."/>
      <w:lvlJc w:val="left"/>
      <w:pPr>
        <w:tabs>
          <w:tab w:val="num" w:pos="1590"/>
        </w:tabs>
        <w:ind w:left="1590" w:hanging="1080"/>
      </w:pPr>
      <w:rPr>
        <w:rFonts w:cs="Times New Roman" w:hint="default"/>
      </w:rPr>
    </w:lvl>
    <w:lvl w:ilvl="4">
      <w:start w:val="1"/>
      <w:numFmt w:val="decimal"/>
      <w:lvlText w:val="%1.%2.%3.%4.%5."/>
      <w:lvlJc w:val="left"/>
      <w:pPr>
        <w:tabs>
          <w:tab w:val="num" w:pos="1590"/>
        </w:tabs>
        <w:ind w:left="1590" w:hanging="1080"/>
      </w:pPr>
      <w:rPr>
        <w:rFonts w:cs="Times New Roman" w:hint="default"/>
      </w:rPr>
    </w:lvl>
    <w:lvl w:ilvl="5">
      <w:start w:val="1"/>
      <w:numFmt w:val="decimal"/>
      <w:lvlText w:val="%1.%2.%3.%4.%5.%6."/>
      <w:lvlJc w:val="left"/>
      <w:pPr>
        <w:tabs>
          <w:tab w:val="num" w:pos="1950"/>
        </w:tabs>
        <w:ind w:left="1950" w:hanging="1440"/>
      </w:pPr>
      <w:rPr>
        <w:rFonts w:cs="Times New Roman" w:hint="default"/>
      </w:rPr>
    </w:lvl>
    <w:lvl w:ilvl="6">
      <w:start w:val="1"/>
      <w:numFmt w:val="decimal"/>
      <w:lvlText w:val="%1.%2.%3.%4.%5.%6.%7."/>
      <w:lvlJc w:val="left"/>
      <w:pPr>
        <w:tabs>
          <w:tab w:val="num" w:pos="1950"/>
        </w:tabs>
        <w:ind w:left="1950" w:hanging="1440"/>
      </w:pPr>
      <w:rPr>
        <w:rFonts w:cs="Times New Roman" w:hint="default"/>
      </w:rPr>
    </w:lvl>
    <w:lvl w:ilvl="7">
      <w:start w:val="1"/>
      <w:numFmt w:val="decimal"/>
      <w:lvlText w:val="%1.%2.%3.%4.%5.%6.%7.%8."/>
      <w:lvlJc w:val="left"/>
      <w:pPr>
        <w:tabs>
          <w:tab w:val="num" w:pos="2310"/>
        </w:tabs>
        <w:ind w:left="2310" w:hanging="1800"/>
      </w:pPr>
      <w:rPr>
        <w:rFonts w:cs="Times New Roman" w:hint="default"/>
      </w:rPr>
    </w:lvl>
    <w:lvl w:ilvl="8">
      <w:start w:val="1"/>
      <w:numFmt w:val="decimal"/>
      <w:lvlText w:val="%1.%2.%3.%4.%5.%6.%7.%8.%9."/>
      <w:lvlJc w:val="left"/>
      <w:pPr>
        <w:tabs>
          <w:tab w:val="num" w:pos="2670"/>
        </w:tabs>
        <w:ind w:left="2670" w:hanging="2160"/>
      </w:pPr>
      <w:rPr>
        <w:rFonts w:cs="Times New Roman" w:hint="default"/>
      </w:rPr>
    </w:lvl>
  </w:abstractNum>
  <w:abstractNum w:abstractNumId="31" w15:restartNumberingAfterBreak="0">
    <w:nsid w:val="75AA3A2E"/>
    <w:multiLevelType w:val="multilevel"/>
    <w:tmpl w:val="4EB290F2"/>
    <w:lvl w:ilvl="0">
      <w:start w:val="1"/>
      <w:numFmt w:val="upperRoman"/>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76125791"/>
    <w:multiLevelType w:val="hybridMultilevel"/>
    <w:tmpl w:val="84ECD816"/>
    <w:lvl w:ilvl="0" w:tplc="47E6B712">
      <w:start w:val="1"/>
      <w:numFmt w:val="lowerLetter"/>
      <w:lvlText w:val="%1)"/>
      <w:lvlJc w:val="left"/>
      <w:pPr>
        <w:ind w:left="1230" w:hanging="360"/>
      </w:pPr>
      <w:rPr>
        <w:rFonts w:ascii="ITC Avant Garde" w:hAnsi="ITC Avant Garde" w:hint="default"/>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3" w15:restartNumberingAfterBreak="0">
    <w:nsid w:val="79D23B1F"/>
    <w:multiLevelType w:val="hybridMultilevel"/>
    <w:tmpl w:val="47EA6CA8"/>
    <w:lvl w:ilvl="0" w:tplc="06C2AFCE">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7"/>
  </w:num>
  <w:num w:numId="2">
    <w:abstractNumId w:val="1"/>
  </w:num>
  <w:num w:numId="3">
    <w:abstractNumId w:val="3"/>
  </w:num>
  <w:num w:numId="4">
    <w:abstractNumId w:val="21"/>
  </w:num>
  <w:num w:numId="5">
    <w:abstractNumId w:val="16"/>
  </w:num>
  <w:num w:numId="6">
    <w:abstractNumId w:val="5"/>
  </w:num>
  <w:num w:numId="7">
    <w:abstractNumId w:val="4"/>
  </w:num>
  <w:num w:numId="8">
    <w:abstractNumId w:val="30"/>
  </w:num>
  <w:num w:numId="9">
    <w:abstractNumId w:val="20"/>
  </w:num>
  <w:num w:numId="10">
    <w:abstractNumId w:val="19"/>
  </w:num>
  <w:num w:numId="11">
    <w:abstractNumId w:val="3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28"/>
  </w:num>
  <w:num w:numId="16">
    <w:abstractNumId w:val="32"/>
  </w:num>
  <w:num w:numId="17">
    <w:abstractNumId w:val="23"/>
  </w:num>
  <w:num w:numId="18">
    <w:abstractNumId w:val="27"/>
  </w:num>
  <w:num w:numId="19">
    <w:abstractNumId w:val="24"/>
  </w:num>
  <w:num w:numId="20">
    <w:abstractNumId w:val="31"/>
  </w:num>
  <w:num w:numId="21">
    <w:abstractNumId w:val="14"/>
  </w:num>
  <w:num w:numId="22">
    <w:abstractNumId w:val="10"/>
  </w:num>
  <w:num w:numId="23">
    <w:abstractNumId w:val="9"/>
  </w:num>
  <w:num w:numId="24">
    <w:abstractNumId w:val="7"/>
  </w:num>
  <w:num w:numId="25">
    <w:abstractNumId w:val="12"/>
  </w:num>
  <w:num w:numId="26">
    <w:abstractNumId w:val="6"/>
  </w:num>
  <w:num w:numId="27">
    <w:abstractNumId w:val="22"/>
  </w:num>
  <w:num w:numId="28">
    <w:abstractNumId w:val="8"/>
  </w:num>
  <w:num w:numId="29">
    <w:abstractNumId w:val="25"/>
  </w:num>
  <w:num w:numId="30">
    <w:abstractNumId w:val="15"/>
  </w:num>
  <w:num w:numId="31">
    <w:abstractNumId w:val="26"/>
  </w:num>
  <w:num w:numId="32">
    <w:abstractNumId w:val="13"/>
  </w:num>
  <w:num w:numId="33">
    <w:abstractNumId w:val="0"/>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10"/>
    <w:rsid w:val="00000595"/>
    <w:rsid w:val="000045B6"/>
    <w:rsid w:val="00010788"/>
    <w:rsid w:val="00011457"/>
    <w:rsid w:val="00011766"/>
    <w:rsid w:val="00011F30"/>
    <w:rsid w:val="00015121"/>
    <w:rsid w:val="0001636B"/>
    <w:rsid w:val="00016E6C"/>
    <w:rsid w:val="00017A59"/>
    <w:rsid w:val="000231A8"/>
    <w:rsid w:val="00024B88"/>
    <w:rsid w:val="00030699"/>
    <w:rsid w:val="00031683"/>
    <w:rsid w:val="00031D20"/>
    <w:rsid w:val="00032389"/>
    <w:rsid w:val="00034A73"/>
    <w:rsid w:val="00037227"/>
    <w:rsid w:val="0004070D"/>
    <w:rsid w:val="00040D5C"/>
    <w:rsid w:val="00041CDB"/>
    <w:rsid w:val="0004345D"/>
    <w:rsid w:val="00045A1C"/>
    <w:rsid w:val="00047937"/>
    <w:rsid w:val="00050119"/>
    <w:rsid w:val="00050966"/>
    <w:rsid w:val="000509F4"/>
    <w:rsid w:val="00051884"/>
    <w:rsid w:val="00051D82"/>
    <w:rsid w:val="000542DE"/>
    <w:rsid w:val="00056445"/>
    <w:rsid w:val="00056B33"/>
    <w:rsid w:val="00060C35"/>
    <w:rsid w:val="0006109C"/>
    <w:rsid w:val="0006264D"/>
    <w:rsid w:val="000626B6"/>
    <w:rsid w:val="000627F0"/>
    <w:rsid w:val="000640A7"/>
    <w:rsid w:val="00064715"/>
    <w:rsid w:val="00064CB0"/>
    <w:rsid w:val="0006605A"/>
    <w:rsid w:val="00067D12"/>
    <w:rsid w:val="00067FE9"/>
    <w:rsid w:val="00071528"/>
    <w:rsid w:val="000731C8"/>
    <w:rsid w:val="00075EFC"/>
    <w:rsid w:val="000767FB"/>
    <w:rsid w:val="00081439"/>
    <w:rsid w:val="00081CC7"/>
    <w:rsid w:val="00082E74"/>
    <w:rsid w:val="00083742"/>
    <w:rsid w:val="00085CA4"/>
    <w:rsid w:val="00086503"/>
    <w:rsid w:val="00086E2D"/>
    <w:rsid w:val="00087CC5"/>
    <w:rsid w:val="00091B59"/>
    <w:rsid w:val="00094210"/>
    <w:rsid w:val="0009497F"/>
    <w:rsid w:val="000971B6"/>
    <w:rsid w:val="000973DD"/>
    <w:rsid w:val="000977B4"/>
    <w:rsid w:val="000A1628"/>
    <w:rsid w:val="000A1B15"/>
    <w:rsid w:val="000A2D99"/>
    <w:rsid w:val="000A376F"/>
    <w:rsid w:val="000A57B8"/>
    <w:rsid w:val="000A612C"/>
    <w:rsid w:val="000B05A8"/>
    <w:rsid w:val="000B1692"/>
    <w:rsid w:val="000B178A"/>
    <w:rsid w:val="000B365F"/>
    <w:rsid w:val="000B40F6"/>
    <w:rsid w:val="000C0587"/>
    <w:rsid w:val="000C14FB"/>
    <w:rsid w:val="000C3A5D"/>
    <w:rsid w:val="000C3CBC"/>
    <w:rsid w:val="000C5131"/>
    <w:rsid w:val="000C5F07"/>
    <w:rsid w:val="000C7017"/>
    <w:rsid w:val="000D005C"/>
    <w:rsid w:val="000D14B7"/>
    <w:rsid w:val="000D3D84"/>
    <w:rsid w:val="000D53DA"/>
    <w:rsid w:val="000D603C"/>
    <w:rsid w:val="000D60D6"/>
    <w:rsid w:val="000D633E"/>
    <w:rsid w:val="000D727C"/>
    <w:rsid w:val="000E018F"/>
    <w:rsid w:val="000E1C06"/>
    <w:rsid w:val="000E4E5D"/>
    <w:rsid w:val="000E614F"/>
    <w:rsid w:val="000E76B3"/>
    <w:rsid w:val="000E7B90"/>
    <w:rsid w:val="000F3175"/>
    <w:rsid w:val="000F3A6D"/>
    <w:rsid w:val="000F3B81"/>
    <w:rsid w:val="000F44D3"/>
    <w:rsid w:val="000F74AD"/>
    <w:rsid w:val="000F7C06"/>
    <w:rsid w:val="00100CA4"/>
    <w:rsid w:val="0010425B"/>
    <w:rsid w:val="00105C75"/>
    <w:rsid w:val="00105F4C"/>
    <w:rsid w:val="00107765"/>
    <w:rsid w:val="00111014"/>
    <w:rsid w:val="00113053"/>
    <w:rsid w:val="00114C4F"/>
    <w:rsid w:val="00114D1C"/>
    <w:rsid w:val="001161BE"/>
    <w:rsid w:val="001164A2"/>
    <w:rsid w:val="00117B84"/>
    <w:rsid w:val="001220CE"/>
    <w:rsid w:val="00123F54"/>
    <w:rsid w:val="00124B28"/>
    <w:rsid w:val="00124FF9"/>
    <w:rsid w:val="001310A7"/>
    <w:rsid w:val="0013126B"/>
    <w:rsid w:val="001324BD"/>
    <w:rsid w:val="00135AFE"/>
    <w:rsid w:val="001363BC"/>
    <w:rsid w:val="00137285"/>
    <w:rsid w:val="0014088D"/>
    <w:rsid w:val="00142C39"/>
    <w:rsid w:val="00143927"/>
    <w:rsid w:val="00145A8A"/>
    <w:rsid w:val="0014618B"/>
    <w:rsid w:val="00147BBB"/>
    <w:rsid w:val="00152B3C"/>
    <w:rsid w:val="001538D0"/>
    <w:rsid w:val="00154832"/>
    <w:rsid w:val="00154DD1"/>
    <w:rsid w:val="0015667C"/>
    <w:rsid w:val="00156EF2"/>
    <w:rsid w:val="0015753D"/>
    <w:rsid w:val="001609C8"/>
    <w:rsid w:val="00160AD2"/>
    <w:rsid w:val="001611C7"/>
    <w:rsid w:val="00161467"/>
    <w:rsid w:val="00161715"/>
    <w:rsid w:val="001623D8"/>
    <w:rsid w:val="00162684"/>
    <w:rsid w:val="0016294F"/>
    <w:rsid w:val="001631ED"/>
    <w:rsid w:val="001633B5"/>
    <w:rsid w:val="00163D81"/>
    <w:rsid w:val="0016490B"/>
    <w:rsid w:val="001649E5"/>
    <w:rsid w:val="0016503D"/>
    <w:rsid w:val="00165CF4"/>
    <w:rsid w:val="001677EB"/>
    <w:rsid w:val="0017319D"/>
    <w:rsid w:val="00174A27"/>
    <w:rsid w:val="001757B7"/>
    <w:rsid w:val="00177A10"/>
    <w:rsid w:val="00182DCC"/>
    <w:rsid w:val="001847CB"/>
    <w:rsid w:val="001856A9"/>
    <w:rsid w:val="001861A3"/>
    <w:rsid w:val="001871BE"/>
    <w:rsid w:val="0018773A"/>
    <w:rsid w:val="00196EF2"/>
    <w:rsid w:val="001A030E"/>
    <w:rsid w:val="001A08BD"/>
    <w:rsid w:val="001A0B7B"/>
    <w:rsid w:val="001A0FEE"/>
    <w:rsid w:val="001A2D63"/>
    <w:rsid w:val="001A30EE"/>
    <w:rsid w:val="001B1A7C"/>
    <w:rsid w:val="001B1B7C"/>
    <w:rsid w:val="001B1C9F"/>
    <w:rsid w:val="001B30AD"/>
    <w:rsid w:val="001B455E"/>
    <w:rsid w:val="001B5E65"/>
    <w:rsid w:val="001B5EAE"/>
    <w:rsid w:val="001C05DB"/>
    <w:rsid w:val="001C3693"/>
    <w:rsid w:val="001C55BD"/>
    <w:rsid w:val="001C61B2"/>
    <w:rsid w:val="001C6E4D"/>
    <w:rsid w:val="001D0BD0"/>
    <w:rsid w:val="001D51F6"/>
    <w:rsid w:val="001D6900"/>
    <w:rsid w:val="001E0121"/>
    <w:rsid w:val="001E0211"/>
    <w:rsid w:val="001E2853"/>
    <w:rsid w:val="001E2989"/>
    <w:rsid w:val="001E4074"/>
    <w:rsid w:val="001E6157"/>
    <w:rsid w:val="001F1377"/>
    <w:rsid w:val="001F198E"/>
    <w:rsid w:val="001F1C07"/>
    <w:rsid w:val="001F2BA1"/>
    <w:rsid w:val="001F3793"/>
    <w:rsid w:val="001F48DD"/>
    <w:rsid w:val="001F79ED"/>
    <w:rsid w:val="0020053C"/>
    <w:rsid w:val="00202A7C"/>
    <w:rsid w:val="00202C50"/>
    <w:rsid w:val="00203D83"/>
    <w:rsid w:val="00204A02"/>
    <w:rsid w:val="00204F53"/>
    <w:rsid w:val="00204F75"/>
    <w:rsid w:val="0020631E"/>
    <w:rsid w:val="0020781C"/>
    <w:rsid w:val="00211A2D"/>
    <w:rsid w:val="002137A5"/>
    <w:rsid w:val="00213824"/>
    <w:rsid w:val="0021478A"/>
    <w:rsid w:val="00214E19"/>
    <w:rsid w:val="0021543E"/>
    <w:rsid w:val="00217E10"/>
    <w:rsid w:val="0022073B"/>
    <w:rsid w:val="00224E80"/>
    <w:rsid w:val="00227F09"/>
    <w:rsid w:val="00230BDB"/>
    <w:rsid w:val="00233507"/>
    <w:rsid w:val="00235136"/>
    <w:rsid w:val="00236BC7"/>
    <w:rsid w:val="00240E8F"/>
    <w:rsid w:val="00241B36"/>
    <w:rsid w:val="00245E19"/>
    <w:rsid w:val="0024797D"/>
    <w:rsid w:val="00250115"/>
    <w:rsid w:val="00250B08"/>
    <w:rsid w:val="0025331F"/>
    <w:rsid w:val="00263A6B"/>
    <w:rsid w:val="00267517"/>
    <w:rsid w:val="002676B0"/>
    <w:rsid w:val="0027177F"/>
    <w:rsid w:val="002728DA"/>
    <w:rsid w:val="00273529"/>
    <w:rsid w:val="00277A17"/>
    <w:rsid w:val="00284523"/>
    <w:rsid w:val="00284C60"/>
    <w:rsid w:val="0028632D"/>
    <w:rsid w:val="00287B9F"/>
    <w:rsid w:val="00290AB5"/>
    <w:rsid w:val="002922A6"/>
    <w:rsid w:val="002A0251"/>
    <w:rsid w:val="002A5D69"/>
    <w:rsid w:val="002A5EFA"/>
    <w:rsid w:val="002A6129"/>
    <w:rsid w:val="002A7DF6"/>
    <w:rsid w:val="002B0B77"/>
    <w:rsid w:val="002B1093"/>
    <w:rsid w:val="002B4A09"/>
    <w:rsid w:val="002B4EB9"/>
    <w:rsid w:val="002B6F32"/>
    <w:rsid w:val="002B7E0F"/>
    <w:rsid w:val="002B7F7B"/>
    <w:rsid w:val="002C175C"/>
    <w:rsid w:val="002C1EFB"/>
    <w:rsid w:val="002C2D22"/>
    <w:rsid w:val="002C5D9E"/>
    <w:rsid w:val="002C6525"/>
    <w:rsid w:val="002C7C6A"/>
    <w:rsid w:val="002D2F12"/>
    <w:rsid w:val="002D3668"/>
    <w:rsid w:val="002D5D00"/>
    <w:rsid w:val="002D785F"/>
    <w:rsid w:val="002E27C1"/>
    <w:rsid w:val="002E3003"/>
    <w:rsid w:val="002E4BC8"/>
    <w:rsid w:val="002E69B8"/>
    <w:rsid w:val="002E77F6"/>
    <w:rsid w:val="002F1005"/>
    <w:rsid w:val="002F4A63"/>
    <w:rsid w:val="002F6AF7"/>
    <w:rsid w:val="003007F1"/>
    <w:rsid w:val="00300E52"/>
    <w:rsid w:val="003010A2"/>
    <w:rsid w:val="003019C9"/>
    <w:rsid w:val="00301EF8"/>
    <w:rsid w:val="00310594"/>
    <w:rsid w:val="0031256B"/>
    <w:rsid w:val="00313945"/>
    <w:rsid w:val="003145BE"/>
    <w:rsid w:val="003158BD"/>
    <w:rsid w:val="00315EFC"/>
    <w:rsid w:val="00315F9F"/>
    <w:rsid w:val="00316533"/>
    <w:rsid w:val="00322FF3"/>
    <w:rsid w:val="00327395"/>
    <w:rsid w:val="003279DE"/>
    <w:rsid w:val="00331066"/>
    <w:rsid w:val="00332292"/>
    <w:rsid w:val="003336F7"/>
    <w:rsid w:val="00334EC1"/>
    <w:rsid w:val="00335AC6"/>
    <w:rsid w:val="0033657C"/>
    <w:rsid w:val="00337F28"/>
    <w:rsid w:val="003400C4"/>
    <w:rsid w:val="00341ADE"/>
    <w:rsid w:val="00344988"/>
    <w:rsid w:val="003461DA"/>
    <w:rsid w:val="00346AC1"/>
    <w:rsid w:val="0035040F"/>
    <w:rsid w:val="00354562"/>
    <w:rsid w:val="00354DA8"/>
    <w:rsid w:val="003600D2"/>
    <w:rsid w:val="0036150E"/>
    <w:rsid w:val="00365230"/>
    <w:rsid w:val="00366A41"/>
    <w:rsid w:val="00367D1D"/>
    <w:rsid w:val="00371166"/>
    <w:rsid w:val="00372408"/>
    <w:rsid w:val="003727C5"/>
    <w:rsid w:val="003751D7"/>
    <w:rsid w:val="003765DD"/>
    <w:rsid w:val="003818F6"/>
    <w:rsid w:val="00381ED6"/>
    <w:rsid w:val="00384614"/>
    <w:rsid w:val="003856E8"/>
    <w:rsid w:val="00386317"/>
    <w:rsid w:val="00387280"/>
    <w:rsid w:val="00387CB8"/>
    <w:rsid w:val="00392661"/>
    <w:rsid w:val="00393BBB"/>
    <w:rsid w:val="00395793"/>
    <w:rsid w:val="00397546"/>
    <w:rsid w:val="00397E37"/>
    <w:rsid w:val="00397EB7"/>
    <w:rsid w:val="003A037D"/>
    <w:rsid w:val="003A3634"/>
    <w:rsid w:val="003A550E"/>
    <w:rsid w:val="003A5A25"/>
    <w:rsid w:val="003B1C6F"/>
    <w:rsid w:val="003B4BBA"/>
    <w:rsid w:val="003B64AF"/>
    <w:rsid w:val="003B7737"/>
    <w:rsid w:val="003B7896"/>
    <w:rsid w:val="003C0694"/>
    <w:rsid w:val="003C187A"/>
    <w:rsid w:val="003C31AD"/>
    <w:rsid w:val="003C4932"/>
    <w:rsid w:val="003C5529"/>
    <w:rsid w:val="003D1FF9"/>
    <w:rsid w:val="003D700E"/>
    <w:rsid w:val="003D7613"/>
    <w:rsid w:val="003E09D6"/>
    <w:rsid w:val="003E2405"/>
    <w:rsid w:val="003E4C26"/>
    <w:rsid w:val="003E5802"/>
    <w:rsid w:val="003E6764"/>
    <w:rsid w:val="003E7E58"/>
    <w:rsid w:val="003F2AC3"/>
    <w:rsid w:val="003F3B8E"/>
    <w:rsid w:val="003F3F21"/>
    <w:rsid w:val="003F55EE"/>
    <w:rsid w:val="003F5DE8"/>
    <w:rsid w:val="003F660E"/>
    <w:rsid w:val="003F6F28"/>
    <w:rsid w:val="00401941"/>
    <w:rsid w:val="00403CBE"/>
    <w:rsid w:val="00405C3B"/>
    <w:rsid w:val="00405DD3"/>
    <w:rsid w:val="00406EC6"/>
    <w:rsid w:val="004076F4"/>
    <w:rsid w:val="004100B4"/>
    <w:rsid w:val="0041017B"/>
    <w:rsid w:val="00410C90"/>
    <w:rsid w:val="0041165A"/>
    <w:rsid w:val="004120CB"/>
    <w:rsid w:val="00413531"/>
    <w:rsid w:val="00413567"/>
    <w:rsid w:val="00413E6A"/>
    <w:rsid w:val="00414E76"/>
    <w:rsid w:val="00415C61"/>
    <w:rsid w:val="00416EAA"/>
    <w:rsid w:val="00422783"/>
    <w:rsid w:val="00424899"/>
    <w:rsid w:val="00426257"/>
    <w:rsid w:val="004268EF"/>
    <w:rsid w:val="00433FB6"/>
    <w:rsid w:val="00434664"/>
    <w:rsid w:val="00436B8F"/>
    <w:rsid w:val="004403B9"/>
    <w:rsid w:val="00440F01"/>
    <w:rsid w:val="0044288E"/>
    <w:rsid w:val="004447AD"/>
    <w:rsid w:val="00444A83"/>
    <w:rsid w:val="00446132"/>
    <w:rsid w:val="004466BD"/>
    <w:rsid w:val="004468E4"/>
    <w:rsid w:val="00452024"/>
    <w:rsid w:val="0045391F"/>
    <w:rsid w:val="00453BF7"/>
    <w:rsid w:val="00455222"/>
    <w:rsid w:val="00455AB0"/>
    <w:rsid w:val="00456A38"/>
    <w:rsid w:val="004601BA"/>
    <w:rsid w:val="00466366"/>
    <w:rsid w:val="00466A05"/>
    <w:rsid w:val="00467CEC"/>
    <w:rsid w:val="004713AB"/>
    <w:rsid w:val="00471816"/>
    <w:rsid w:val="00471B37"/>
    <w:rsid w:val="00473362"/>
    <w:rsid w:val="004745D7"/>
    <w:rsid w:val="00474B2B"/>
    <w:rsid w:val="00477124"/>
    <w:rsid w:val="004814CF"/>
    <w:rsid w:val="00481889"/>
    <w:rsid w:val="00481CDE"/>
    <w:rsid w:val="004826B4"/>
    <w:rsid w:val="00485315"/>
    <w:rsid w:val="0049433B"/>
    <w:rsid w:val="0049484E"/>
    <w:rsid w:val="004970A7"/>
    <w:rsid w:val="004A1CAD"/>
    <w:rsid w:val="004A3096"/>
    <w:rsid w:val="004A3D2D"/>
    <w:rsid w:val="004A4E1B"/>
    <w:rsid w:val="004A7438"/>
    <w:rsid w:val="004B1A53"/>
    <w:rsid w:val="004B5ACE"/>
    <w:rsid w:val="004B6614"/>
    <w:rsid w:val="004C3D9B"/>
    <w:rsid w:val="004C60A7"/>
    <w:rsid w:val="004C73EC"/>
    <w:rsid w:val="004C7BB8"/>
    <w:rsid w:val="004D14B2"/>
    <w:rsid w:val="004D20B1"/>
    <w:rsid w:val="004D79BA"/>
    <w:rsid w:val="004E0034"/>
    <w:rsid w:val="004F15CF"/>
    <w:rsid w:val="004F160F"/>
    <w:rsid w:val="004F1FB4"/>
    <w:rsid w:val="004F459D"/>
    <w:rsid w:val="004F4E9C"/>
    <w:rsid w:val="004F55F2"/>
    <w:rsid w:val="004F77B6"/>
    <w:rsid w:val="00501F39"/>
    <w:rsid w:val="00504078"/>
    <w:rsid w:val="00510480"/>
    <w:rsid w:val="00510FBC"/>
    <w:rsid w:val="005157DE"/>
    <w:rsid w:val="00517014"/>
    <w:rsid w:val="0051790D"/>
    <w:rsid w:val="00520014"/>
    <w:rsid w:val="005215CF"/>
    <w:rsid w:val="00521656"/>
    <w:rsid w:val="00521EEB"/>
    <w:rsid w:val="005221AC"/>
    <w:rsid w:val="00522752"/>
    <w:rsid w:val="005241C7"/>
    <w:rsid w:val="005243A0"/>
    <w:rsid w:val="005244D2"/>
    <w:rsid w:val="00530D72"/>
    <w:rsid w:val="0053130A"/>
    <w:rsid w:val="00534A56"/>
    <w:rsid w:val="00540BE3"/>
    <w:rsid w:val="005416F0"/>
    <w:rsid w:val="005439AE"/>
    <w:rsid w:val="00544661"/>
    <w:rsid w:val="00544FAC"/>
    <w:rsid w:val="0054657D"/>
    <w:rsid w:val="0055192A"/>
    <w:rsid w:val="00553578"/>
    <w:rsid w:val="00554EE2"/>
    <w:rsid w:val="00557385"/>
    <w:rsid w:val="00557393"/>
    <w:rsid w:val="00557B4A"/>
    <w:rsid w:val="00560D7F"/>
    <w:rsid w:val="00560F93"/>
    <w:rsid w:val="005631DA"/>
    <w:rsid w:val="00565271"/>
    <w:rsid w:val="005657A1"/>
    <w:rsid w:val="00566638"/>
    <w:rsid w:val="00570367"/>
    <w:rsid w:val="00584DFC"/>
    <w:rsid w:val="0058661A"/>
    <w:rsid w:val="00586826"/>
    <w:rsid w:val="00590868"/>
    <w:rsid w:val="005909F1"/>
    <w:rsid w:val="0059158B"/>
    <w:rsid w:val="00591830"/>
    <w:rsid w:val="0059454E"/>
    <w:rsid w:val="005956F3"/>
    <w:rsid w:val="00595ADB"/>
    <w:rsid w:val="00595FB8"/>
    <w:rsid w:val="0059662E"/>
    <w:rsid w:val="005A2C1B"/>
    <w:rsid w:val="005A5140"/>
    <w:rsid w:val="005A6F95"/>
    <w:rsid w:val="005B047F"/>
    <w:rsid w:val="005B1130"/>
    <w:rsid w:val="005B27A4"/>
    <w:rsid w:val="005B2830"/>
    <w:rsid w:val="005B28DD"/>
    <w:rsid w:val="005B2961"/>
    <w:rsid w:val="005B3D07"/>
    <w:rsid w:val="005B47AA"/>
    <w:rsid w:val="005B4A22"/>
    <w:rsid w:val="005B630D"/>
    <w:rsid w:val="005C025B"/>
    <w:rsid w:val="005C053C"/>
    <w:rsid w:val="005C08F0"/>
    <w:rsid w:val="005C1365"/>
    <w:rsid w:val="005C1A67"/>
    <w:rsid w:val="005C2725"/>
    <w:rsid w:val="005C466F"/>
    <w:rsid w:val="005C4B9B"/>
    <w:rsid w:val="005D05E6"/>
    <w:rsid w:val="005D1CA1"/>
    <w:rsid w:val="005D5411"/>
    <w:rsid w:val="005E0870"/>
    <w:rsid w:val="005E24BA"/>
    <w:rsid w:val="005E7F56"/>
    <w:rsid w:val="005F04D4"/>
    <w:rsid w:val="005F0ECB"/>
    <w:rsid w:val="005F2231"/>
    <w:rsid w:val="005F3009"/>
    <w:rsid w:val="005F37C1"/>
    <w:rsid w:val="005F471A"/>
    <w:rsid w:val="005F5556"/>
    <w:rsid w:val="005F6F53"/>
    <w:rsid w:val="005F7049"/>
    <w:rsid w:val="005F7F62"/>
    <w:rsid w:val="00602E79"/>
    <w:rsid w:val="00603218"/>
    <w:rsid w:val="00605CE7"/>
    <w:rsid w:val="00610298"/>
    <w:rsid w:val="00614489"/>
    <w:rsid w:val="00614C63"/>
    <w:rsid w:val="006170F0"/>
    <w:rsid w:val="00623D64"/>
    <w:rsid w:val="006258F6"/>
    <w:rsid w:val="00626EC6"/>
    <w:rsid w:val="006272AB"/>
    <w:rsid w:val="00640F49"/>
    <w:rsid w:val="00641906"/>
    <w:rsid w:val="00641BCF"/>
    <w:rsid w:val="00642421"/>
    <w:rsid w:val="00645E10"/>
    <w:rsid w:val="00646085"/>
    <w:rsid w:val="00653641"/>
    <w:rsid w:val="006552CE"/>
    <w:rsid w:val="00655B0B"/>
    <w:rsid w:val="0066084F"/>
    <w:rsid w:val="006624CF"/>
    <w:rsid w:val="0066526F"/>
    <w:rsid w:val="006704CC"/>
    <w:rsid w:val="00670782"/>
    <w:rsid w:val="006741E3"/>
    <w:rsid w:val="0067460A"/>
    <w:rsid w:val="00675A95"/>
    <w:rsid w:val="00676662"/>
    <w:rsid w:val="00676EE0"/>
    <w:rsid w:val="00677589"/>
    <w:rsid w:val="006823EA"/>
    <w:rsid w:val="00682C2B"/>
    <w:rsid w:val="00683F9C"/>
    <w:rsid w:val="006874F1"/>
    <w:rsid w:val="0069096B"/>
    <w:rsid w:val="00691B24"/>
    <w:rsid w:val="00691FAB"/>
    <w:rsid w:val="00693B3F"/>
    <w:rsid w:val="00693DD0"/>
    <w:rsid w:val="006A34E1"/>
    <w:rsid w:val="006A42FD"/>
    <w:rsid w:val="006A64B8"/>
    <w:rsid w:val="006B062A"/>
    <w:rsid w:val="006B0C19"/>
    <w:rsid w:val="006B4684"/>
    <w:rsid w:val="006B6793"/>
    <w:rsid w:val="006C1587"/>
    <w:rsid w:val="006C1A34"/>
    <w:rsid w:val="006C7AA9"/>
    <w:rsid w:val="006D0247"/>
    <w:rsid w:val="006D0E4B"/>
    <w:rsid w:val="006D25F2"/>
    <w:rsid w:val="006D2696"/>
    <w:rsid w:val="006D6396"/>
    <w:rsid w:val="006D64AA"/>
    <w:rsid w:val="006E26D5"/>
    <w:rsid w:val="006E3BFA"/>
    <w:rsid w:val="006F04D3"/>
    <w:rsid w:val="006F35E3"/>
    <w:rsid w:val="006F36E5"/>
    <w:rsid w:val="006F49C0"/>
    <w:rsid w:val="006F4EF4"/>
    <w:rsid w:val="006F5719"/>
    <w:rsid w:val="006F6148"/>
    <w:rsid w:val="007015C1"/>
    <w:rsid w:val="0070178D"/>
    <w:rsid w:val="007028D1"/>
    <w:rsid w:val="007037B5"/>
    <w:rsid w:val="0070575E"/>
    <w:rsid w:val="007074F5"/>
    <w:rsid w:val="0071127F"/>
    <w:rsid w:val="00711A6F"/>
    <w:rsid w:val="00715837"/>
    <w:rsid w:val="00715D5A"/>
    <w:rsid w:val="007221CE"/>
    <w:rsid w:val="00723AE4"/>
    <w:rsid w:val="007272E3"/>
    <w:rsid w:val="0073054F"/>
    <w:rsid w:val="0073305C"/>
    <w:rsid w:val="007330E8"/>
    <w:rsid w:val="00742E34"/>
    <w:rsid w:val="00743F80"/>
    <w:rsid w:val="00745213"/>
    <w:rsid w:val="00745953"/>
    <w:rsid w:val="00745D42"/>
    <w:rsid w:val="007467F9"/>
    <w:rsid w:val="0074730A"/>
    <w:rsid w:val="00747463"/>
    <w:rsid w:val="00747DBF"/>
    <w:rsid w:val="0075462E"/>
    <w:rsid w:val="00755C44"/>
    <w:rsid w:val="00756D44"/>
    <w:rsid w:val="00760C3B"/>
    <w:rsid w:val="0076195A"/>
    <w:rsid w:val="00762089"/>
    <w:rsid w:val="0076227D"/>
    <w:rsid w:val="00765A90"/>
    <w:rsid w:val="007671FD"/>
    <w:rsid w:val="00772ED2"/>
    <w:rsid w:val="00773F93"/>
    <w:rsid w:val="00782C39"/>
    <w:rsid w:val="00782F91"/>
    <w:rsid w:val="007873E4"/>
    <w:rsid w:val="00794136"/>
    <w:rsid w:val="00794D01"/>
    <w:rsid w:val="00797AD5"/>
    <w:rsid w:val="00797B31"/>
    <w:rsid w:val="007A0F93"/>
    <w:rsid w:val="007A36DD"/>
    <w:rsid w:val="007A7B49"/>
    <w:rsid w:val="007A7E89"/>
    <w:rsid w:val="007B0C15"/>
    <w:rsid w:val="007B2051"/>
    <w:rsid w:val="007B4822"/>
    <w:rsid w:val="007C0F4F"/>
    <w:rsid w:val="007C2C60"/>
    <w:rsid w:val="007C47EF"/>
    <w:rsid w:val="007C5277"/>
    <w:rsid w:val="007C67B0"/>
    <w:rsid w:val="007C6944"/>
    <w:rsid w:val="007C7E06"/>
    <w:rsid w:val="007D09B1"/>
    <w:rsid w:val="007D0BD5"/>
    <w:rsid w:val="007D1316"/>
    <w:rsid w:val="007D13E2"/>
    <w:rsid w:val="007D14F0"/>
    <w:rsid w:val="007D3471"/>
    <w:rsid w:val="007D797C"/>
    <w:rsid w:val="007E09EF"/>
    <w:rsid w:val="007E24ED"/>
    <w:rsid w:val="007E3EEF"/>
    <w:rsid w:val="007E42CC"/>
    <w:rsid w:val="007E5252"/>
    <w:rsid w:val="007E5F3D"/>
    <w:rsid w:val="007E6DD0"/>
    <w:rsid w:val="007E7771"/>
    <w:rsid w:val="007F039B"/>
    <w:rsid w:val="007F05F6"/>
    <w:rsid w:val="007F0A7B"/>
    <w:rsid w:val="007F0B0D"/>
    <w:rsid w:val="007F2AF8"/>
    <w:rsid w:val="007F2DEC"/>
    <w:rsid w:val="007F5B54"/>
    <w:rsid w:val="007F5CDA"/>
    <w:rsid w:val="007F61E0"/>
    <w:rsid w:val="007F63FA"/>
    <w:rsid w:val="00802459"/>
    <w:rsid w:val="008036B4"/>
    <w:rsid w:val="0080597A"/>
    <w:rsid w:val="00805F1E"/>
    <w:rsid w:val="00810474"/>
    <w:rsid w:val="00811672"/>
    <w:rsid w:val="00813566"/>
    <w:rsid w:val="008137F1"/>
    <w:rsid w:val="00813A25"/>
    <w:rsid w:val="008147C0"/>
    <w:rsid w:val="008172C8"/>
    <w:rsid w:val="008201A4"/>
    <w:rsid w:val="00821FA4"/>
    <w:rsid w:val="00823855"/>
    <w:rsid w:val="00823DAB"/>
    <w:rsid w:val="00824A1E"/>
    <w:rsid w:val="00826361"/>
    <w:rsid w:val="008315F9"/>
    <w:rsid w:val="00835E05"/>
    <w:rsid w:val="008372EC"/>
    <w:rsid w:val="00844535"/>
    <w:rsid w:val="00844B09"/>
    <w:rsid w:val="00845674"/>
    <w:rsid w:val="008528B6"/>
    <w:rsid w:val="00857516"/>
    <w:rsid w:val="00857EA7"/>
    <w:rsid w:val="00860925"/>
    <w:rsid w:val="008615CB"/>
    <w:rsid w:val="00863399"/>
    <w:rsid w:val="00865D36"/>
    <w:rsid w:val="008662E5"/>
    <w:rsid w:val="00866C7E"/>
    <w:rsid w:val="00867FC5"/>
    <w:rsid w:val="008732F1"/>
    <w:rsid w:val="00873A8D"/>
    <w:rsid w:val="008767ED"/>
    <w:rsid w:val="00876BFB"/>
    <w:rsid w:val="0087789E"/>
    <w:rsid w:val="00880212"/>
    <w:rsid w:val="00884E2D"/>
    <w:rsid w:val="008907F0"/>
    <w:rsid w:val="008912AC"/>
    <w:rsid w:val="00891B3D"/>
    <w:rsid w:val="00894BF2"/>
    <w:rsid w:val="00895571"/>
    <w:rsid w:val="008A46F0"/>
    <w:rsid w:val="008B1F3B"/>
    <w:rsid w:val="008B3751"/>
    <w:rsid w:val="008B4AF3"/>
    <w:rsid w:val="008B592F"/>
    <w:rsid w:val="008B78B7"/>
    <w:rsid w:val="008B7C8C"/>
    <w:rsid w:val="008C09E2"/>
    <w:rsid w:val="008C19FB"/>
    <w:rsid w:val="008C41C2"/>
    <w:rsid w:val="008C47CB"/>
    <w:rsid w:val="008C684F"/>
    <w:rsid w:val="008D1F31"/>
    <w:rsid w:val="008D24AD"/>
    <w:rsid w:val="008D4136"/>
    <w:rsid w:val="008D54BD"/>
    <w:rsid w:val="008D54FA"/>
    <w:rsid w:val="008D6A91"/>
    <w:rsid w:val="008E17BD"/>
    <w:rsid w:val="008E32A6"/>
    <w:rsid w:val="008E6E04"/>
    <w:rsid w:val="008F0851"/>
    <w:rsid w:val="008F1FD0"/>
    <w:rsid w:val="008F1FE0"/>
    <w:rsid w:val="008F24D5"/>
    <w:rsid w:val="008F3A76"/>
    <w:rsid w:val="008F4517"/>
    <w:rsid w:val="008F5B1D"/>
    <w:rsid w:val="008F70EB"/>
    <w:rsid w:val="008F779D"/>
    <w:rsid w:val="00900F4E"/>
    <w:rsid w:val="009031BF"/>
    <w:rsid w:val="0090338F"/>
    <w:rsid w:val="00903801"/>
    <w:rsid w:val="00905324"/>
    <w:rsid w:val="0090604B"/>
    <w:rsid w:val="0090644F"/>
    <w:rsid w:val="00906A98"/>
    <w:rsid w:val="00906B57"/>
    <w:rsid w:val="0090752C"/>
    <w:rsid w:val="009126D8"/>
    <w:rsid w:val="009144CB"/>
    <w:rsid w:val="009158EE"/>
    <w:rsid w:val="00920897"/>
    <w:rsid w:val="009209FA"/>
    <w:rsid w:val="00921D9B"/>
    <w:rsid w:val="00922CEA"/>
    <w:rsid w:val="009230DA"/>
    <w:rsid w:val="0092504B"/>
    <w:rsid w:val="009256B5"/>
    <w:rsid w:val="009267D5"/>
    <w:rsid w:val="0092686E"/>
    <w:rsid w:val="009269E2"/>
    <w:rsid w:val="0093008D"/>
    <w:rsid w:val="00932BE8"/>
    <w:rsid w:val="00937072"/>
    <w:rsid w:val="009373F7"/>
    <w:rsid w:val="00941765"/>
    <w:rsid w:val="009426AE"/>
    <w:rsid w:val="00942B93"/>
    <w:rsid w:val="00943851"/>
    <w:rsid w:val="00952E4B"/>
    <w:rsid w:val="009549DD"/>
    <w:rsid w:val="00955A6D"/>
    <w:rsid w:val="00955EBC"/>
    <w:rsid w:val="0095646F"/>
    <w:rsid w:val="00961AE5"/>
    <w:rsid w:val="00961F62"/>
    <w:rsid w:val="00964BC9"/>
    <w:rsid w:val="0096608C"/>
    <w:rsid w:val="00966EFB"/>
    <w:rsid w:val="009701ED"/>
    <w:rsid w:val="00970FE2"/>
    <w:rsid w:val="00971B2D"/>
    <w:rsid w:val="009725E4"/>
    <w:rsid w:val="00975F82"/>
    <w:rsid w:val="009818A4"/>
    <w:rsid w:val="00982DB1"/>
    <w:rsid w:val="009848C3"/>
    <w:rsid w:val="00985494"/>
    <w:rsid w:val="009907D8"/>
    <w:rsid w:val="00990D0F"/>
    <w:rsid w:val="00992A58"/>
    <w:rsid w:val="00995643"/>
    <w:rsid w:val="009A135D"/>
    <w:rsid w:val="009A66FD"/>
    <w:rsid w:val="009A6FCF"/>
    <w:rsid w:val="009A7202"/>
    <w:rsid w:val="009B16DC"/>
    <w:rsid w:val="009B21EA"/>
    <w:rsid w:val="009B2316"/>
    <w:rsid w:val="009B2F54"/>
    <w:rsid w:val="009B454E"/>
    <w:rsid w:val="009B5600"/>
    <w:rsid w:val="009B58C2"/>
    <w:rsid w:val="009B7331"/>
    <w:rsid w:val="009C1284"/>
    <w:rsid w:val="009C170B"/>
    <w:rsid w:val="009C3BED"/>
    <w:rsid w:val="009C3DB6"/>
    <w:rsid w:val="009D10B5"/>
    <w:rsid w:val="009D183F"/>
    <w:rsid w:val="009D2131"/>
    <w:rsid w:val="009D49F7"/>
    <w:rsid w:val="009D59EA"/>
    <w:rsid w:val="009D6256"/>
    <w:rsid w:val="009D687D"/>
    <w:rsid w:val="009D71DE"/>
    <w:rsid w:val="009D73D0"/>
    <w:rsid w:val="009D7A0F"/>
    <w:rsid w:val="009E3DBE"/>
    <w:rsid w:val="009E3DC7"/>
    <w:rsid w:val="009E413C"/>
    <w:rsid w:val="009E432F"/>
    <w:rsid w:val="009E55AB"/>
    <w:rsid w:val="009E5C42"/>
    <w:rsid w:val="009F21E6"/>
    <w:rsid w:val="009F7D97"/>
    <w:rsid w:val="00A036F5"/>
    <w:rsid w:val="00A03981"/>
    <w:rsid w:val="00A061F9"/>
    <w:rsid w:val="00A07A30"/>
    <w:rsid w:val="00A11935"/>
    <w:rsid w:val="00A17DDB"/>
    <w:rsid w:val="00A17EB9"/>
    <w:rsid w:val="00A20836"/>
    <w:rsid w:val="00A22AB2"/>
    <w:rsid w:val="00A23F7A"/>
    <w:rsid w:val="00A246E7"/>
    <w:rsid w:val="00A2551C"/>
    <w:rsid w:val="00A259DF"/>
    <w:rsid w:val="00A336BE"/>
    <w:rsid w:val="00A34771"/>
    <w:rsid w:val="00A34A9B"/>
    <w:rsid w:val="00A356D1"/>
    <w:rsid w:val="00A3572C"/>
    <w:rsid w:val="00A436B5"/>
    <w:rsid w:val="00A4378D"/>
    <w:rsid w:val="00A453E1"/>
    <w:rsid w:val="00A46617"/>
    <w:rsid w:val="00A54C52"/>
    <w:rsid w:val="00A55BF8"/>
    <w:rsid w:val="00A55FA7"/>
    <w:rsid w:val="00A5718F"/>
    <w:rsid w:val="00A575F7"/>
    <w:rsid w:val="00A622B2"/>
    <w:rsid w:val="00A63B54"/>
    <w:rsid w:val="00A64CC9"/>
    <w:rsid w:val="00A66077"/>
    <w:rsid w:val="00A70965"/>
    <w:rsid w:val="00A71B60"/>
    <w:rsid w:val="00A72264"/>
    <w:rsid w:val="00A722E6"/>
    <w:rsid w:val="00A748B6"/>
    <w:rsid w:val="00A80665"/>
    <w:rsid w:val="00A81B7A"/>
    <w:rsid w:val="00A821FB"/>
    <w:rsid w:val="00A83246"/>
    <w:rsid w:val="00A83852"/>
    <w:rsid w:val="00A83B42"/>
    <w:rsid w:val="00A84D99"/>
    <w:rsid w:val="00A850C5"/>
    <w:rsid w:val="00A8538B"/>
    <w:rsid w:val="00A90F60"/>
    <w:rsid w:val="00A918E9"/>
    <w:rsid w:val="00A92EA2"/>
    <w:rsid w:val="00A95889"/>
    <w:rsid w:val="00A96132"/>
    <w:rsid w:val="00A96DAA"/>
    <w:rsid w:val="00AA0DBB"/>
    <w:rsid w:val="00AA152E"/>
    <w:rsid w:val="00AA2716"/>
    <w:rsid w:val="00AA400F"/>
    <w:rsid w:val="00AA5FDF"/>
    <w:rsid w:val="00AB4615"/>
    <w:rsid w:val="00AB4C0D"/>
    <w:rsid w:val="00AB714F"/>
    <w:rsid w:val="00AC1288"/>
    <w:rsid w:val="00AC2083"/>
    <w:rsid w:val="00AC63DE"/>
    <w:rsid w:val="00AC6F55"/>
    <w:rsid w:val="00AC7FBB"/>
    <w:rsid w:val="00AD2218"/>
    <w:rsid w:val="00AD4C44"/>
    <w:rsid w:val="00AD5146"/>
    <w:rsid w:val="00AD5F79"/>
    <w:rsid w:val="00AD65BD"/>
    <w:rsid w:val="00AD7663"/>
    <w:rsid w:val="00AD7BEB"/>
    <w:rsid w:val="00AE2A20"/>
    <w:rsid w:val="00AE2CB4"/>
    <w:rsid w:val="00AE2D4D"/>
    <w:rsid w:val="00AE4329"/>
    <w:rsid w:val="00AF0F1D"/>
    <w:rsid w:val="00AF139F"/>
    <w:rsid w:val="00AF322D"/>
    <w:rsid w:val="00AF346B"/>
    <w:rsid w:val="00AF5E49"/>
    <w:rsid w:val="00AF6492"/>
    <w:rsid w:val="00AF6C57"/>
    <w:rsid w:val="00AF760C"/>
    <w:rsid w:val="00B04FCB"/>
    <w:rsid w:val="00B06498"/>
    <w:rsid w:val="00B12DD5"/>
    <w:rsid w:val="00B1485F"/>
    <w:rsid w:val="00B14C99"/>
    <w:rsid w:val="00B1796A"/>
    <w:rsid w:val="00B22606"/>
    <w:rsid w:val="00B255A9"/>
    <w:rsid w:val="00B303A6"/>
    <w:rsid w:val="00B3255F"/>
    <w:rsid w:val="00B35E14"/>
    <w:rsid w:val="00B37A14"/>
    <w:rsid w:val="00B37EC0"/>
    <w:rsid w:val="00B4071A"/>
    <w:rsid w:val="00B40FE9"/>
    <w:rsid w:val="00B42CE4"/>
    <w:rsid w:val="00B44177"/>
    <w:rsid w:val="00B4675F"/>
    <w:rsid w:val="00B54342"/>
    <w:rsid w:val="00B54B23"/>
    <w:rsid w:val="00B55FB3"/>
    <w:rsid w:val="00B57674"/>
    <w:rsid w:val="00B62B87"/>
    <w:rsid w:val="00B65B91"/>
    <w:rsid w:val="00B70288"/>
    <w:rsid w:val="00B71FB0"/>
    <w:rsid w:val="00B72598"/>
    <w:rsid w:val="00B731C2"/>
    <w:rsid w:val="00B732FF"/>
    <w:rsid w:val="00B74AFD"/>
    <w:rsid w:val="00B74B8C"/>
    <w:rsid w:val="00B762BB"/>
    <w:rsid w:val="00B77104"/>
    <w:rsid w:val="00B772F7"/>
    <w:rsid w:val="00B8006A"/>
    <w:rsid w:val="00B80D17"/>
    <w:rsid w:val="00B81506"/>
    <w:rsid w:val="00B84A75"/>
    <w:rsid w:val="00B85A5F"/>
    <w:rsid w:val="00B86A1E"/>
    <w:rsid w:val="00B876D4"/>
    <w:rsid w:val="00B92C62"/>
    <w:rsid w:val="00B92D0F"/>
    <w:rsid w:val="00BA1499"/>
    <w:rsid w:val="00BA2B34"/>
    <w:rsid w:val="00BA6F50"/>
    <w:rsid w:val="00BA726B"/>
    <w:rsid w:val="00BB15C4"/>
    <w:rsid w:val="00BB23C8"/>
    <w:rsid w:val="00BB2B5E"/>
    <w:rsid w:val="00BB4389"/>
    <w:rsid w:val="00BB60F6"/>
    <w:rsid w:val="00BB6934"/>
    <w:rsid w:val="00BC11B2"/>
    <w:rsid w:val="00BC375A"/>
    <w:rsid w:val="00BC3C3D"/>
    <w:rsid w:val="00BC40BE"/>
    <w:rsid w:val="00BC7533"/>
    <w:rsid w:val="00BD0BDF"/>
    <w:rsid w:val="00BD204A"/>
    <w:rsid w:val="00BD262E"/>
    <w:rsid w:val="00BD31BC"/>
    <w:rsid w:val="00BE122C"/>
    <w:rsid w:val="00BE2FEF"/>
    <w:rsid w:val="00BF04D0"/>
    <w:rsid w:val="00BF18DC"/>
    <w:rsid w:val="00BF1A95"/>
    <w:rsid w:val="00BF3560"/>
    <w:rsid w:val="00BF72C7"/>
    <w:rsid w:val="00C004BB"/>
    <w:rsid w:val="00C0081A"/>
    <w:rsid w:val="00C01CB6"/>
    <w:rsid w:val="00C01F3C"/>
    <w:rsid w:val="00C03BB8"/>
    <w:rsid w:val="00C0464A"/>
    <w:rsid w:val="00C0509E"/>
    <w:rsid w:val="00C055AC"/>
    <w:rsid w:val="00C057F5"/>
    <w:rsid w:val="00C06C0C"/>
    <w:rsid w:val="00C07820"/>
    <w:rsid w:val="00C10594"/>
    <w:rsid w:val="00C1180D"/>
    <w:rsid w:val="00C129A3"/>
    <w:rsid w:val="00C13C40"/>
    <w:rsid w:val="00C15258"/>
    <w:rsid w:val="00C179D6"/>
    <w:rsid w:val="00C20CA5"/>
    <w:rsid w:val="00C23417"/>
    <w:rsid w:val="00C25803"/>
    <w:rsid w:val="00C274E4"/>
    <w:rsid w:val="00C27B9F"/>
    <w:rsid w:val="00C33E83"/>
    <w:rsid w:val="00C35148"/>
    <w:rsid w:val="00C35F4A"/>
    <w:rsid w:val="00C36CE6"/>
    <w:rsid w:val="00C406FD"/>
    <w:rsid w:val="00C41258"/>
    <w:rsid w:val="00C412D4"/>
    <w:rsid w:val="00C414DA"/>
    <w:rsid w:val="00C426C6"/>
    <w:rsid w:val="00C43266"/>
    <w:rsid w:val="00C4333F"/>
    <w:rsid w:val="00C4403A"/>
    <w:rsid w:val="00C45A14"/>
    <w:rsid w:val="00C476E6"/>
    <w:rsid w:val="00C5056C"/>
    <w:rsid w:val="00C51F3B"/>
    <w:rsid w:val="00C56571"/>
    <w:rsid w:val="00C61755"/>
    <w:rsid w:val="00C665F9"/>
    <w:rsid w:val="00C66C16"/>
    <w:rsid w:val="00C672E2"/>
    <w:rsid w:val="00C70CB9"/>
    <w:rsid w:val="00C71519"/>
    <w:rsid w:val="00C71CEC"/>
    <w:rsid w:val="00C72559"/>
    <w:rsid w:val="00C7259A"/>
    <w:rsid w:val="00C73421"/>
    <w:rsid w:val="00C74DEF"/>
    <w:rsid w:val="00C75083"/>
    <w:rsid w:val="00C7525D"/>
    <w:rsid w:val="00C77ED8"/>
    <w:rsid w:val="00C77FF2"/>
    <w:rsid w:val="00C81035"/>
    <w:rsid w:val="00C8244D"/>
    <w:rsid w:val="00C85611"/>
    <w:rsid w:val="00C867CC"/>
    <w:rsid w:val="00C90C8B"/>
    <w:rsid w:val="00C931E3"/>
    <w:rsid w:val="00C932F9"/>
    <w:rsid w:val="00C9603C"/>
    <w:rsid w:val="00CA0F9C"/>
    <w:rsid w:val="00CA1052"/>
    <w:rsid w:val="00CA2977"/>
    <w:rsid w:val="00CA420F"/>
    <w:rsid w:val="00CA7027"/>
    <w:rsid w:val="00CB3ACE"/>
    <w:rsid w:val="00CB724D"/>
    <w:rsid w:val="00CB78BD"/>
    <w:rsid w:val="00CB79C4"/>
    <w:rsid w:val="00CC339C"/>
    <w:rsid w:val="00CC4379"/>
    <w:rsid w:val="00CC532E"/>
    <w:rsid w:val="00CC7A27"/>
    <w:rsid w:val="00CD1092"/>
    <w:rsid w:val="00CD2003"/>
    <w:rsid w:val="00CD2F85"/>
    <w:rsid w:val="00CD3896"/>
    <w:rsid w:val="00CD3DAB"/>
    <w:rsid w:val="00CD45BC"/>
    <w:rsid w:val="00CD4CCC"/>
    <w:rsid w:val="00CD668E"/>
    <w:rsid w:val="00CE1D5A"/>
    <w:rsid w:val="00CE2053"/>
    <w:rsid w:val="00CF2137"/>
    <w:rsid w:val="00CF2D48"/>
    <w:rsid w:val="00CF3A08"/>
    <w:rsid w:val="00CF3C5E"/>
    <w:rsid w:val="00CF3CDE"/>
    <w:rsid w:val="00CF47E9"/>
    <w:rsid w:val="00CF648A"/>
    <w:rsid w:val="00D004F7"/>
    <w:rsid w:val="00D01CC6"/>
    <w:rsid w:val="00D06DD6"/>
    <w:rsid w:val="00D07D59"/>
    <w:rsid w:val="00D11217"/>
    <w:rsid w:val="00D113D1"/>
    <w:rsid w:val="00D12268"/>
    <w:rsid w:val="00D12B30"/>
    <w:rsid w:val="00D16685"/>
    <w:rsid w:val="00D23772"/>
    <w:rsid w:val="00D2595E"/>
    <w:rsid w:val="00D25D97"/>
    <w:rsid w:val="00D279B4"/>
    <w:rsid w:val="00D31DC0"/>
    <w:rsid w:val="00D33BAE"/>
    <w:rsid w:val="00D342FB"/>
    <w:rsid w:val="00D361F9"/>
    <w:rsid w:val="00D370FB"/>
    <w:rsid w:val="00D37AB2"/>
    <w:rsid w:val="00D4271C"/>
    <w:rsid w:val="00D455A4"/>
    <w:rsid w:val="00D45842"/>
    <w:rsid w:val="00D46F67"/>
    <w:rsid w:val="00D47D20"/>
    <w:rsid w:val="00D54497"/>
    <w:rsid w:val="00D556B6"/>
    <w:rsid w:val="00D57046"/>
    <w:rsid w:val="00D57498"/>
    <w:rsid w:val="00D62A4C"/>
    <w:rsid w:val="00D65CBF"/>
    <w:rsid w:val="00D66B7D"/>
    <w:rsid w:val="00D66FC5"/>
    <w:rsid w:val="00D70F17"/>
    <w:rsid w:val="00D7144F"/>
    <w:rsid w:val="00D72D1B"/>
    <w:rsid w:val="00D73637"/>
    <w:rsid w:val="00D75D69"/>
    <w:rsid w:val="00D77CE7"/>
    <w:rsid w:val="00D807B5"/>
    <w:rsid w:val="00D8254F"/>
    <w:rsid w:val="00D82DEF"/>
    <w:rsid w:val="00D83198"/>
    <w:rsid w:val="00D84636"/>
    <w:rsid w:val="00D872B5"/>
    <w:rsid w:val="00D91C76"/>
    <w:rsid w:val="00D9446F"/>
    <w:rsid w:val="00D96639"/>
    <w:rsid w:val="00DA34DD"/>
    <w:rsid w:val="00DA3A77"/>
    <w:rsid w:val="00DA6C2E"/>
    <w:rsid w:val="00DB08E6"/>
    <w:rsid w:val="00DB0A82"/>
    <w:rsid w:val="00DB2402"/>
    <w:rsid w:val="00DB2510"/>
    <w:rsid w:val="00DB5807"/>
    <w:rsid w:val="00DB7FCF"/>
    <w:rsid w:val="00DB7FD1"/>
    <w:rsid w:val="00DC0D22"/>
    <w:rsid w:val="00DC23DB"/>
    <w:rsid w:val="00DC4E9E"/>
    <w:rsid w:val="00DC522C"/>
    <w:rsid w:val="00DC7188"/>
    <w:rsid w:val="00DD0F0E"/>
    <w:rsid w:val="00DD1655"/>
    <w:rsid w:val="00DD6F59"/>
    <w:rsid w:val="00DD6F8F"/>
    <w:rsid w:val="00DD780C"/>
    <w:rsid w:val="00DD7FC7"/>
    <w:rsid w:val="00DE0084"/>
    <w:rsid w:val="00DE0E4B"/>
    <w:rsid w:val="00DE36EB"/>
    <w:rsid w:val="00DE3775"/>
    <w:rsid w:val="00DE5705"/>
    <w:rsid w:val="00DF0FAA"/>
    <w:rsid w:val="00DF1714"/>
    <w:rsid w:val="00DF47DC"/>
    <w:rsid w:val="00E002E0"/>
    <w:rsid w:val="00E00FE4"/>
    <w:rsid w:val="00E01D9F"/>
    <w:rsid w:val="00E02E11"/>
    <w:rsid w:val="00E030C8"/>
    <w:rsid w:val="00E05CA4"/>
    <w:rsid w:val="00E10233"/>
    <w:rsid w:val="00E11392"/>
    <w:rsid w:val="00E12046"/>
    <w:rsid w:val="00E12726"/>
    <w:rsid w:val="00E13718"/>
    <w:rsid w:val="00E14BD4"/>
    <w:rsid w:val="00E14D25"/>
    <w:rsid w:val="00E21B47"/>
    <w:rsid w:val="00E23A78"/>
    <w:rsid w:val="00E23EF5"/>
    <w:rsid w:val="00E2506D"/>
    <w:rsid w:val="00E25B28"/>
    <w:rsid w:val="00E26C99"/>
    <w:rsid w:val="00E350EE"/>
    <w:rsid w:val="00E35DAF"/>
    <w:rsid w:val="00E3717B"/>
    <w:rsid w:val="00E37AE0"/>
    <w:rsid w:val="00E43270"/>
    <w:rsid w:val="00E4720A"/>
    <w:rsid w:val="00E50731"/>
    <w:rsid w:val="00E51622"/>
    <w:rsid w:val="00E5312E"/>
    <w:rsid w:val="00E5382B"/>
    <w:rsid w:val="00E556AB"/>
    <w:rsid w:val="00E57D75"/>
    <w:rsid w:val="00E62BA0"/>
    <w:rsid w:val="00E6477B"/>
    <w:rsid w:val="00E6579E"/>
    <w:rsid w:val="00E6786C"/>
    <w:rsid w:val="00E7092C"/>
    <w:rsid w:val="00E71167"/>
    <w:rsid w:val="00E7130E"/>
    <w:rsid w:val="00E71806"/>
    <w:rsid w:val="00E71F41"/>
    <w:rsid w:val="00E720A8"/>
    <w:rsid w:val="00E728EF"/>
    <w:rsid w:val="00E734AF"/>
    <w:rsid w:val="00E74D54"/>
    <w:rsid w:val="00E750B4"/>
    <w:rsid w:val="00E820F6"/>
    <w:rsid w:val="00E825FB"/>
    <w:rsid w:val="00E841D6"/>
    <w:rsid w:val="00E8514F"/>
    <w:rsid w:val="00E854D3"/>
    <w:rsid w:val="00E85E7A"/>
    <w:rsid w:val="00E87031"/>
    <w:rsid w:val="00E9047D"/>
    <w:rsid w:val="00E90BF2"/>
    <w:rsid w:val="00E9426C"/>
    <w:rsid w:val="00E94CE8"/>
    <w:rsid w:val="00EA1785"/>
    <w:rsid w:val="00EA1FC1"/>
    <w:rsid w:val="00EA25F5"/>
    <w:rsid w:val="00EA2ECC"/>
    <w:rsid w:val="00EA4F8E"/>
    <w:rsid w:val="00EA53BE"/>
    <w:rsid w:val="00EA59D7"/>
    <w:rsid w:val="00EA7200"/>
    <w:rsid w:val="00EA7BF0"/>
    <w:rsid w:val="00EB09AF"/>
    <w:rsid w:val="00EB1161"/>
    <w:rsid w:val="00EB1A85"/>
    <w:rsid w:val="00EB3744"/>
    <w:rsid w:val="00EB3E4E"/>
    <w:rsid w:val="00EB5E82"/>
    <w:rsid w:val="00EB7183"/>
    <w:rsid w:val="00EB775D"/>
    <w:rsid w:val="00EB7915"/>
    <w:rsid w:val="00EC389A"/>
    <w:rsid w:val="00EC3A72"/>
    <w:rsid w:val="00EC3AA8"/>
    <w:rsid w:val="00EC7409"/>
    <w:rsid w:val="00ED4A34"/>
    <w:rsid w:val="00ED5A1B"/>
    <w:rsid w:val="00ED6E89"/>
    <w:rsid w:val="00ED7D12"/>
    <w:rsid w:val="00EE0F92"/>
    <w:rsid w:val="00EE2BFD"/>
    <w:rsid w:val="00EE364A"/>
    <w:rsid w:val="00EE440C"/>
    <w:rsid w:val="00EE52A5"/>
    <w:rsid w:val="00EE5A1D"/>
    <w:rsid w:val="00EE7CE7"/>
    <w:rsid w:val="00EF01B4"/>
    <w:rsid w:val="00EF1CF5"/>
    <w:rsid w:val="00EF4C52"/>
    <w:rsid w:val="00EF529E"/>
    <w:rsid w:val="00EF539D"/>
    <w:rsid w:val="00EF731D"/>
    <w:rsid w:val="00F0605E"/>
    <w:rsid w:val="00F1024C"/>
    <w:rsid w:val="00F11078"/>
    <w:rsid w:val="00F1306E"/>
    <w:rsid w:val="00F15335"/>
    <w:rsid w:val="00F15EF3"/>
    <w:rsid w:val="00F17C51"/>
    <w:rsid w:val="00F2078E"/>
    <w:rsid w:val="00F20A28"/>
    <w:rsid w:val="00F20B31"/>
    <w:rsid w:val="00F211F8"/>
    <w:rsid w:val="00F22260"/>
    <w:rsid w:val="00F233E8"/>
    <w:rsid w:val="00F257C7"/>
    <w:rsid w:val="00F300DA"/>
    <w:rsid w:val="00F304D0"/>
    <w:rsid w:val="00F36678"/>
    <w:rsid w:val="00F44139"/>
    <w:rsid w:val="00F4614B"/>
    <w:rsid w:val="00F466C4"/>
    <w:rsid w:val="00F508F4"/>
    <w:rsid w:val="00F5148D"/>
    <w:rsid w:val="00F52345"/>
    <w:rsid w:val="00F534BC"/>
    <w:rsid w:val="00F53AC3"/>
    <w:rsid w:val="00F54BC3"/>
    <w:rsid w:val="00F54D96"/>
    <w:rsid w:val="00F559BB"/>
    <w:rsid w:val="00F57A45"/>
    <w:rsid w:val="00F603FE"/>
    <w:rsid w:val="00F61A79"/>
    <w:rsid w:val="00F623B6"/>
    <w:rsid w:val="00F62727"/>
    <w:rsid w:val="00F63CBC"/>
    <w:rsid w:val="00F64A69"/>
    <w:rsid w:val="00F710BC"/>
    <w:rsid w:val="00F73B5E"/>
    <w:rsid w:val="00F74823"/>
    <w:rsid w:val="00F7548C"/>
    <w:rsid w:val="00F76916"/>
    <w:rsid w:val="00F80C8E"/>
    <w:rsid w:val="00F8602A"/>
    <w:rsid w:val="00F864A6"/>
    <w:rsid w:val="00F86805"/>
    <w:rsid w:val="00F87C92"/>
    <w:rsid w:val="00F91199"/>
    <w:rsid w:val="00F91611"/>
    <w:rsid w:val="00F92181"/>
    <w:rsid w:val="00F95AFF"/>
    <w:rsid w:val="00FA1115"/>
    <w:rsid w:val="00FA289D"/>
    <w:rsid w:val="00FA2F6A"/>
    <w:rsid w:val="00FA4444"/>
    <w:rsid w:val="00FA46F7"/>
    <w:rsid w:val="00FA593B"/>
    <w:rsid w:val="00FA5F6C"/>
    <w:rsid w:val="00FB0207"/>
    <w:rsid w:val="00FB084A"/>
    <w:rsid w:val="00FB2588"/>
    <w:rsid w:val="00FB53E9"/>
    <w:rsid w:val="00FB54C7"/>
    <w:rsid w:val="00FB758F"/>
    <w:rsid w:val="00FC007B"/>
    <w:rsid w:val="00FC085B"/>
    <w:rsid w:val="00FC2C71"/>
    <w:rsid w:val="00FC413C"/>
    <w:rsid w:val="00FD1200"/>
    <w:rsid w:val="00FD22BD"/>
    <w:rsid w:val="00FD5473"/>
    <w:rsid w:val="00FD60FE"/>
    <w:rsid w:val="00FD70ED"/>
    <w:rsid w:val="00FD7DD9"/>
    <w:rsid w:val="00FE0FFB"/>
    <w:rsid w:val="00FE1AC3"/>
    <w:rsid w:val="00FE2140"/>
    <w:rsid w:val="00FF0E07"/>
    <w:rsid w:val="00FF5FE6"/>
    <w:rsid w:val="00FF6679"/>
    <w:rsid w:val="00FF66CA"/>
  </w:rsids>
  <m:mathPr>
    <m:mathFont m:val="Cambria Math"/>
    <m:brkBin m:val="before"/>
    <m:brkBinSub m:val="--"/>
    <m:smallFrac m:val="0"/>
    <m:dispDef/>
    <m:lMargin m:val="0"/>
    <m:rMargin m:val="0"/>
    <m:defJc m:val="centerGroup"/>
    <m:wrapIndent m:val="1440"/>
    <m:intLim m:val="subSup"/>
    <m:naryLim m:val="undOvr"/>
  </m:mathPr>
  <w:themeFontLang w:val="es-MX"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CE8CC"/>
  <w15:docId w15:val="{7B0F1C7A-89E0-4A82-AD1C-1CF8C42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E1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B29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B2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B2961"/>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uiPriority w:val="99"/>
    <w:rsid w:val="00217E10"/>
    <w:pPr>
      <w:spacing w:before="100" w:beforeAutospacing="1" w:after="100" w:afterAutospacing="1"/>
    </w:pPr>
  </w:style>
  <w:style w:type="paragraph" w:styleId="Prrafodelista">
    <w:name w:val="List Paragraph"/>
    <w:basedOn w:val="Normal"/>
    <w:link w:val="PrrafodelistaCar"/>
    <w:uiPriority w:val="34"/>
    <w:qFormat/>
    <w:rsid w:val="00217E10"/>
    <w:pPr>
      <w:ind w:left="708"/>
    </w:pPr>
    <w:rPr>
      <w:sz w:val="20"/>
      <w:szCs w:val="20"/>
      <w:lang w:val="es-ES_tradnl" w:eastAsia="es-ES"/>
    </w:rPr>
  </w:style>
  <w:style w:type="character" w:customStyle="1" w:styleId="PrrafodelistaCar">
    <w:name w:val="Párrafo de lista Car"/>
    <w:link w:val="Prrafodelista"/>
    <w:uiPriority w:val="34"/>
    <w:locked/>
    <w:rsid w:val="00217E10"/>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217E10"/>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uiPriority w:val="99"/>
    <w:rsid w:val="00217E10"/>
    <w:rPr>
      <w:rFonts w:ascii="Arial" w:eastAsia="Times New Roman" w:hAnsi="Arial" w:cs="Times New Roman"/>
      <w:sz w:val="24"/>
      <w:szCs w:val="20"/>
      <w:lang w:val="es-ES_tradnl" w:eastAsia="es-ES"/>
    </w:rPr>
  </w:style>
  <w:style w:type="paragraph" w:customStyle="1" w:styleId="IFT1">
    <w:name w:val="IFT 1"/>
    <w:basedOn w:val="Normal"/>
    <w:link w:val="IFT1Car"/>
    <w:qFormat/>
    <w:rsid w:val="00217E10"/>
    <w:pPr>
      <w:spacing w:after="200" w:line="276" w:lineRule="auto"/>
      <w:jc w:val="both"/>
    </w:pPr>
    <w:rPr>
      <w:rFonts w:ascii="ITC Avant Garde" w:hAnsi="ITC Avant Garde"/>
      <w:iCs/>
      <w:sz w:val="22"/>
      <w:szCs w:val="22"/>
      <w:lang w:eastAsia="en-US"/>
    </w:rPr>
  </w:style>
  <w:style w:type="character" w:customStyle="1" w:styleId="IFT1Car">
    <w:name w:val="IFT 1 Car"/>
    <w:link w:val="IFT1"/>
    <w:rsid w:val="00217E10"/>
    <w:rPr>
      <w:rFonts w:ascii="ITC Avant Garde" w:eastAsia="Times New Roman" w:hAnsi="ITC Avant Garde" w:cs="Times New Roman"/>
      <w:iCs/>
    </w:rPr>
  </w:style>
  <w:style w:type="paragraph" w:styleId="Sinespaciado">
    <w:name w:val="No Spacing"/>
    <w:uiPriority w:val="1"/>
    <w:qFormat/>
    <w:rsid w:val="00217E10"/>
    <w:pPr>
      <w:spacing w:after="0" w:line="240" w:lineRule="auto"/>
    </w:pPr>
  </w:style>
  <w:style w:type="paragraph" w:styleId="Textodeglobo">
    <w:name w:val="Balloon Text"/>
    <w:basedOn w:val="Normal"/>
    <w:link w:val="TextodegloboCar"/>
    <w:uiPriority w:val="99"/>
    <w:semiHidden/>
    <w:unhideWhenUsed/>
    <w:rsid w:val="008F70E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F70EB"/>
    <w:rPr>
      <w:rFonts w:ascii="Lucida Grande" w:eastAsia="Times New Roman" w:hAnsi="Lucida Grande" w:cs="Lucida Grande"/>
      <w:sz w:val="18"/>
      <w:szCs w:val="18"/>
      <w:lang w:eastAsia="es-MX"/>
    </w:rPr>
  </w:style>
  <w:style w:type="character" w:styleId="Refdecomentario">
    <w:name w:val="annotation reference"/>
    <w:basedOn w:val="Fuentedeprrafopredeter"/>
    <w:uiPriority w:val="99"/>
    <w:semiHidden/>
    <w:unhideWhenUsed/>
    <w:rsid w:val="008F70EB"/>
    <w:rPr>
      <w:sz w:val="18"/>
      <w:szCs w:val="18"/>
    </w:rPr>
  </w:style>
  <w:style w:type="paragraph" w:styleId="Textocomentario">
    <w:name w:val="annotation text"/>
    <w:basedOn w:val="Normal"/>
    <w:link w:val="TextocomentarioCar"/>
    <w:uiPriority w:val="99"/>
    <w:unhideWhenUsed/>
    <w:rsid w:val="008F70EB"/>
  </w:style>
  <w:style w:type="character" w:customStyle="1" w:styleId="TextocomentarioCar">
    <w:name w:val="Texto comentario Car"/>
    <w:basedOn w:val="Fuentedeprrafopredeter"/>
    <w:link w:val="Textocomentario"/>
    <w:uiPriority w:val="99"/>
    <w:rsid w:val="008F70EB"/>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8F70EB"/>
    <w:rPr>
      <w:b/>
      <w:bCs/>
      <w:sz w:val="20"/>
      <w:szCs w:val="20"/>
    </w:rPr>
  </w:style>
  <w:style w:type="character" w:customStyle="1" w:styleId="AsuntodelcomentarioCar">
    <w:name w:val="Asunto del comentario Car"/>
    <w:basedOn w:val="TextocomentarioCar"/>
    <w:link w:val="Asuntodelcomentario"/>
    <w:uiPriority w:val="99"/>
    <w:semiHidden/>
    <w:rsid w:val="008F70EB"/>
    <w:rPr>
      <w:rFonts w:ascii="Times New Roman" w:eastAsia="Times New Roman" w:hAnsi="Times New Roman" w:cs="Times New Roman"/>
      <w:b/>
      <w:bCs/>
      <w:sz w:val="20"/>
      <w:szCs w:val="20"/>
      <w:lang w:eastAsia="es-MX"/>
    </w:rPr>
  </w:style>
  <w:style w:type="paragraph" w:styleId="Revisin">
    <w:name w:val="Revision"/>
    <w:hidden/>
    <w:uiPriority w:val="99"/>
    <w:semiHidden/>
    <w:rsid w:val="00C4333F"/>
    <w:pPr>
      <w:spacing w:after="0" w:line="240" w:lineRule="auto"/>
    </w:pPr>
    <w:rPr>
      <w:rFonts w:ascii="Times New Roman" w:eastAsia="Times New Roman" w:hAnsi="Times New Roman" w:cs="Times New Roman"/>
      <w:sz w:val="24"/>
      <w:szCs w:val="24"/>
      <w:lang w:eastAsia="es-MX"/>
    </w:rPr>
  </w:style>
  <w:style w:type="paragraph" w:customStyle="1" w:styleId="Normal1">
    <w:name w:val="Normal1"/>
    <w:rsid w:val="00A46617"/>
    <w:rPr>
      <w:rFonts w:ascii="Calibri" w:eastAsia="Calibri" w:hAnsi="Calibri" w:cs="Calibri"/>
      <w:color w:val="000000"/>
      <w:szCs w:val="20"/>
      <w:lang w:eastAsia="es-ES"/>
    </w:rPr>
  </w:style>
  <w:style w:type="paragraph" w:styleId="Textonotapie">
    <w:name w:val="footnote text"/>
    <w:basedOn w:val="Normal"/>
    <w:link w:val="TextonotapieCar"/>
    <w:uiPriority w:val="99"/>
    <w:semiHidden/>
    <w:unhideWhenUsed/>
    <w:rsid w:val="00A4661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A46617"/>
    <w:rPr>
      <w:sz w:val="20"/>
      <w:szCs w:val="20"/>
    </w:rPr>
  </w:style>
  <w:style w:type="character" w:styleId="Refdenotaalpie">
    <w:name w:val="footnote reference"/>
    <w:basedOn w:val="Fuentedeprrafopredeter"/>
    <w:uiPriority w:val="99"/>
    <w:unhideWhenUsed/>
    <w:rsid w:val="00A46617"/>
    <w:rPr>
      <w:vertAlign w:val="superscript"/>
    </w:rPr>
  </w:style>
  <w:style w:type="paragraph" w:styleId="Textonotaalfinal">
    <w:name w:val="endnote text"/>
    <w:basedOn w:val="Normal"/>
    <w:link w:val="TextonotaalfinalCar"/>
    <w:uiPriority w:val="99"/>
    <w:semiHidden/>
    <w:unhideWhenUsed/>
    <w:rsid w:val="001677EB"/>
    <w:rPr>
      <w:sz w:val="20"/>
      <w:szCs w:val="20"/>
    </w:rPr>
  </w:style>
  <w:style w:type="character" w:customStyle="1" w:styleId="TextonotaalfinalCar">
    <w:name w:val="Texto nota al final Car"/>
    <w:basedOn w:val="Fuentedeprrafopredeter"/>
    <w:link w:val="Textonotaalfinal"/>
    <w:uiPriority w:val="99"/>
    <w:semiHidden/>
    <w:rsid w:val="001677EB"/>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1677EB"/>
    <w:rPr>
      <w:vertAlign w:val="superscript"/>
    </w:rPr>
  </w:style>
  <w:style w:type="paragraph" w:styleId="Encabezado">
    <w:name w:val="header"/>
    <w:basedOn w:val="Normal"/>
    <w:link w:val="EncabezadoCar"/>
    <w:uiPriority w:val="99"/>
    <w:unhideWhenUsed/>
    <w:rsid w:val="00EA59D7"/>
    <w:pPr>
      <w:tabs>
        <w:tab w:val="center" w:pos="4419"/>
        <w:tab w:val="right" w:pos="8838"/>
      </w:tabs>
    </w:pPr>
  </w:style>
  <w:style w:type="character" w:customStyle="1" w:styleId="EncabezadoCar">
    <w:name w:val="Encabezado Car"/>
    <w:basedOn w:val="Fuentedeprrafopredeter"/>
    <w:link w:val="Encabezado"/>
    <w:uiPriority w:val="99"/>
    <w:rsid w:val="00EA59D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A59D7"/>
    <w:pPr>
      <w:tabs>
        <w:tab w:val="center" w:pos="4419"/>
        <w:tab w:val="right" w:pos="8838"/>
      </w:tabs>
    </w:pPr>
  </w:style>
  <w:style w:type="character" w:customStyle="1" w:styleId="PiedepginaCar">
    <w:name w:val="Pie de página Car"/>
    <w:basedOn w:val="Fuentedeprrafopredeter"/>
    <w:link w:val="Piedepgina"/>
    <w:uiPriority w:val="99"/>
    <w:rsid w:val="00EA59D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B0C19"/>
    <w:rPr>
      <w:color w:val="0563C1" w:themeColor="hyperlink"/>
      <w:u w:val="single"/>
    </w:rPr>
  </w:style>
  <w:style w:type="character" w:customStyle="1" w:styleId="Ttulo1Car">
    <w:name w:val="Título 1 Car"/>
    <w:basedOn w:val="Fuentedeprrafopredeter"/>
    <w:link w:val="Ttulo1"/>
    <w:uiPriority w:val="9"/>
    <w:rsid w:val="005B2961"/>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5B2961"/>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9"/>
    <w:rsid w:val="005B2961"/>
    <w:rPr>
      <w:rFonts w:asciiTheme="majorHAnsi" w:eastAsiaTheme="majorEastAsia" w:hAnsiTheme="majorHAnsi" w:cstheme="majorBidi"/>
      <w:color w:val="1F4D78" w:themeColor="accent1" w:themeShade="7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18199">
      <w:bodyDiv w:val="1"/>
      <w:marLeft w:val="0"/>
      <w:marRight w:val="0"/>
      <w:marTop w:val="0"/>
      <w:marBottom w:val="0"/>
      <w:divBdr>
        <w:top w:val="none" w:sz="0" w:space="0" w:color="auto"/>
        <w:left w:val="none" w:sz="0" w:space="0" w:color="auto"/>
        <w:bottom w:val="none" w:sz="0" w:space="0" w:color="auto"/>
        <w:right w:val="none" w:sz="0" w:space="0" w:color="auto"/>
      </w:divBdr>
    </w:div>
    <w:div w:id="629239162">
      <w:bodyDiv w:val="1"/>
      <w:marLeft w:val="0"/>
      <w:marRight w:val="0"/>
      <w:marTop w:val="0"/>
      <w:marBottom w:val="0"/>
      <w:divBdr>
        <w:top w:val="none" w:sz="0" w:space="0" w:color="auto"/>
        <w:left w:val="none" w:sz="0" w:space="0" w:color="auto"/>
        <w:bottom w:val="none" w:sz="0" w:space="0" w:color="auto"/>
        <w:right w:val="none" w:sz="0" w:space="0" w:color="auto"/>
      </w:divBdr>
    </w:div>
    <w:div w:id="749080983">
      <w:bodyDiv w:val="1"/>
      <w:marLeft w:val="0"/>
      <w:marRight w:val="0"/>
      <w:marTop w:val="0"/>
      <w:marBottom w:val="0"/>
      <w:divBdr>
        <w:top w:val="none" w:sz="0" w:space="0" w:color="auto"/>
        <w:left w:val="none" w:sz="0" w:space="0" w:color="auto"/>
        <w:bottom w:val="none" w:sz="0" w:space="0" w:color="auto"/>
        <w:right w:val="none" w:sz="0" w:space="0" w:color="auto"/>
      </w:divBdr>
    </w:div>
    <w:div w:id="1085109835">
      <w:bodyDiv w:val="1"/>
      <w:marLeft w:val="0"/>
      <w:marRight w:val="0"/>
      <w:marTop w:val="0"/>
      <w:marBottom w:val="0"/>
      <w:divBdr>
        <w:top w:val="none" w:sz="0" w:space="0" w:color="auto"/>
        <w:left w:val="none" w:sz="0" w:space="0" w:color="auto"/>
        <w:bottom w:val="none" w:sz="0" w:space="0" w:color="auto"/>
        <w:right w:val="none" w:sz="0" w:space="0" w:color="auto"/>
      </w:divBdr>
    </w:div>
    <w:div w:id="1225796012">
      <w:bodyDiv w:val="1"/>
      <w:marLeft w:val="0"/>
      <w:marRight w:val="0"/>
      <w:marTop w:val="0"/>
      <w:marBottom w:val="0"/>
      <w:divBdr>
        <w:top w:val="none" w:sz="0" w:space="0" w:color="auto"/>
        <w:left w:val="none" w:sz="0" w:space="0" w:color="auto"/>
        <w:bottom w:val="none" w:sz="0" w:space="0" w:color="auto"/>
        <w:right w:val="none" w:sz="0" w:space="0" w:color="auto"/>
      </w:divBdr>
    </w:div>
    <w:div w:id="14159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369F0E7252EE478C203756C5F856DE" ma:contentTypeVersion="0" ma:contentTypeDescription="Crear nuevo documento." ma:contentTypeScope="" ma:versionID="4aa11592ba6d1231efc10b3d62b62f9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5599-CE82-4694-9294-324C52456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F3FBBC-71BB-44E5-88AB-72CBE4ECCFA2}">
  <ds:schemaRefs>
    <ds:schemaRef ds:uri="http://schemas.microsoft.com/sharepoint/v3/contenttype/forms"/>
  </ds:schemaRefs>
</ds:datastoreItem>
</file>

<file path=customXml/itemProps3.xml><?xml version="1.0" encoding="utf-8"?>
<ds:datastoreItem xmlns:ds="http://schemas.openxmlformats.org/officeDocument/2006/customXml" ds:itemID="{1E5ECB70-25F0-43BB-AEAF-DC88D5CF18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F763D8-3E1B-4791-BA8F-C8DADAA1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8461</Words>
  <Characters>46541</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Salazar Altamirano</dc:creator>
  <cp:lastModifiedBy>Maria del Consuelo Gonzalez Moreno</cp:lastModifiedBy>
  <cp:revision>5</cp:revision>
  <cp:lastPrinted>2016-06-09T00:04:00Z</cp:lastPrinted>
  <dcterms:created xsi:type="dcterms:W3CDTF">2016-08-25T20:16:00Z</dcterms:created>
  <dcterms:modified xsi:type="dcterms:W3CDTF">2016-09-06T22:10:00Z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0x010100C8369F0E7252EE478C203756C5F856DE</vt:lpwstr>
  </property>
</Properties>
</file>