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8ADAA" w14:textId="77777777" w:rsidR="00B90A60" w:rsidRPr="00B90A60" w:rsidRDefault="00892701" w:rsidP="00B90A60">
      <w:pPr>
        <w:pStyle w:val="Ttulo1"/>
        <w:spacing w:after="240" w:line="240" w:lineRule="auto"/>
        <w:jc w:val="both"/>
        <w:rPr>
          <w:rFonts w:ascii="ITC Avant Garde" w:hAnsi="ITC Avant Garde"/>
          <w:b/>
          <w:color w:val="000000" w:themeColor="text1"/>
          <w:sz w:val="24"/>
          <w:szCs w:val="24"/>
          <w:lang w:eastAsia="es-MX"/>
        </w:rPr>
      </w:pPr>
      <w:r w:rsidRPr="00B90A60">
        <w:rPr>
          <w:rFonts w:ascii="ITC Avant Garde" w:hAnsi="ITC Avant Garde"/>
          <w:b/>
          <w:color w:val="000000" w:themeColor="text1"/>
          <w:sz w:val="24"/>
          <w:szCs w:val="24"/>
          <w:lang w:eastAsia="es-MX"/>
        </w:rPr>
        <w:t xml:space="preserve">ACUERDO MEDIANTE EL CUAL EL PLENO DEL INSTITUTO FEDERAL DE TELECOMUNICACIONES </w:t>
      </w:r>
      <w:r w:rsidR="00FA1F22" w:rsidRPr="00B90A60">
        <w:rPr>
          <w:rFonts w:ascii="ITC Avant Garde" w:hAnsi="ITC Avant Garde"/>
          <w:b/>
          <w:color w:val="000000" w:themeColor="text1"/>
          <w:sz w:val="24"/>
          <w:szCs w:val="24"/>
          <w:lang w:eastAsia="es-MX"/>
        </w:rPr>
        <w:t xml:space="preserve">AMPLÍA EL PLAZO DE LA CONSULTA PÚBLICA ESTABLECIDO EN EL </w:t>
      </w:r>
      <w:r w:rsidR="00BC3F88" w:rsidRPr="00B90A60">
        <w:rPr>
          <w:rFonts w:ascii="ITC Avant Garde" w:hAnsi="ITC Avant Garde"/>
          <w:b/>
          <w:color w:val="000000" w:themeColor="text1"/>
          <w:sz w:val="24"/>
          <w:szCs w:val="24"/>
          <w:lang w:eastAsia="es-MX"/>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p>
    <w:p w14:paraId="6EEE3ABA" w14:textId="3C961AA3" w:rsidR="00B90A60" w:rsidRPr="00B90A60" w:rsidRDefault="00AD55DE" w:rsidP="00B90A60">
      <w:pPr>
        <w:pStyle w:val="Ttulo2"/>
        <w:spacing w:after="240"/>
        <w:jc w:val="center"/>
        <w:rPr>
          <w:rFonts w:ascii="ITC Avant Garde" w:hAnsi="ITC Avant Garde"/>
          <w:b/>
          <w:color w:val="000000" w:themeColor="text1"/>
          <w:sz w:val="22"/>
          <w:szCs w:val="22"/>
        </w:rPr>
      </w:pPr>
      <w:r w:rsidRPr="00B90A60">
        <w:rPr>
          <w:rFonts w:ascii="ITC Avant Garde" w:hAnsi="ITC Avant Garde"/>
          <w:b/>
          <w:color w:val="000000" w:themeColor="text1"/>
          <w:sz w:val="22"/>
          <w:szCs w:val="22"/>
        </w:rPr>
        <w:t>ANTECEDENTES</w:t>
      </w:r>
    </w:p>
    <w:p w14:paraId="453561B7" w14:textId="77777777" w:rsidR="00B90A60" w:rsidRDefault="00D00E71" w:rsidP="00B90A60">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11 de junio de 2013 se publicó en </w:t>
      </w:r>
      <w:r w:rsidR="008A5F01" w:rsidRPr="0070085A">
        <w:rPr>
          <w:rFonts w:ascii="ITC Avant Garde" w:hAnsi="ITC Avant Garde"/>
          <w:sz w:val="22"/>
          <w:szCs w:val="22"/>
          <w:lang w:val="es-ES"/>
        </w:rPr>
        <w:t xml:space="preserve">el Diario Oficial de la Federación (en lo sucesivo, </w:t>
      </w:r>
      <w:r w:rsidRPr="0070085A">
        <w:rPr>
          <w:rFonts w:ascii="ITC Avant Garde" w:hAnsi="ITC Avant Garde"/>
          <w:sz w:val="22"/>
          <w:szCs w:val="22"/>
          <w:lang w:val="es-ES"/>
        </w:rPr>
        <w:t xml:space="preserve">el </w:t>
      </w:r>
      <w:r w:rsidR="008A5F01" w:rsidRPr="0070085A">
        <w:rPr>
          <w:rFonts w:ascii="ITC Avant Garde" w:hAnsi="ITC Avant Garde"/>
          <w:sz w:val="22"/>
          <w:szCs w:val="22"/>
          <w:lang w:val="es-ES"/>
        </w:rPr>
        <w:t>“</w:t>
      </w:r>
      <w:r w:rsidRPr="0070085A">
        <w:rPr>
          <w:rFonts w:ascii="ITC Avant Garde" w:hAnsi="ITC Avant Garde"/>
          <w:sz w:val="22"/>
          <w:szCs w:val="22"/>
          <w:lang w:val="es-ES"/>
        </w:rPr>
        <w:t>DOF</w:t>
      </w:r>
      <w:r w:rsidR="008A5F01" w:rsidRPr="0070085A">
        <w:rPr>
          <w:rFonts w:ascii="ITC Avant Garde" w:hAnsi="ITC Avant Garde"/>
          <w:sz w:val="22"/>
          <w:szCs w:val="22"/>
          <w:lang w:val="es-ES"/>
        </w:rPr>
        <w:t>”)</w:t>
      </w:r>
      <w:r w:rsidR="008D1966" w:rsidRPr="0070085A">
        <w:rPr>
          <w:rFonts w:ascii="ITC Avant Garde" w:hAnsi="ITC Avant Garde"/>
          <w:sz w:val="22"/>
          <w:szCs w:val="22"/>
          <w:lang w:val="es-ES"/>
        </w:rPr>
        <w:t xml:space="preserve"> </w:t>
      </w:r>
      <w:r w:rsidRPr="0070085A">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11AD5213" w14:textId="77777777" w:rsidR="00B90A60" w:rsidRDefault="00D00E71" w:rsidP="00B90A60">
      <w:pPr>
        <w:pStyle w:val="Prrafodelista"/>
        <w:numPr>
          <w:ilvl w:val="0"/>
          <w:numId w:val="12"/>
        </w:numPr>
        <w:spacing w:before="240" w:after="240" w:line="276" w:lineRule="auto"/>
        <w:jc w:val="both"/>
        <w:rPr>
          <w:rFonts w:ascii="ITC Avant Garde" w:hAnsi="ITC Avant Garde"/>
          <w:bCs/>
          <w:sz w:val="22"/>
          <w:szCs w:val="22"/>
          <w:lang w:val="es-ES_tradnl" w:eastAsia="es-MX"/>
        </w:rPr>
      </w:pPr>
      <w:r w:rsidRPr="0070085A">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70085A">
        <w:rPr>
          <w:rFonts w:ascii="ITC Avant Garde" w:hAnsi="ITC Avant Garde"/>
          <w:sz w:val="22"/>
          <w:szCs w:val="22"/>
          <w:lang w:val="es-ES"/>
        </w:rPr>
        <w:t xml:space="preserve">a los </w:t>
      </w:r>
      <w:r w:rsidRPr="0070085A">
        <w:rPr>
          <w:rFonts w:ascii="ITC Avant Garde" w:hAnsi="ITC Avant Garde"/>
          <w:sz w:val="22"/>
          <w:szCs w:val="22"/>
          <w:lang w:val="es-ES"/>
        </w:rPr>
        <w:t xml:space="preserve">treinta días naturales siguientes a su publicación, esto es, el 13 de agosto de 2014. </w:t>
      </w:r>
    </w:p>
    <w:p w14:paraId="46FCCCCF" w14:textId="77777777" w:rsidR="00B90A60" w:rsidRDefault="00D00E71" w:rsidP="00B90A60">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w:t>
      </w:r>
      <w:r w:rsidR="00367CE9" w:rsidRPr="0070085A">
        <w:rPr>
          <w:rFonts w:ascii="ITC Avant Garde" w:hAnsi="ITC Avant Garde"/>
          <w:sz w:val="22"/>
          <w:szCs w:val="22"/>
          <w:lang w:val="es-ES"/>
        </w:rPr>
        <w:t>el DOF el 17 de octubre de 2014 y el 17 de octubre de 2016, respectivamente.</w:t>
      </w:r>
    </w:p>
    <w:p w14:paraId="123E88A4" w14:textId="77777777" w:rsidR="00B90A60" w:rsidRDefault="00E72CD9" w:rsidP="00B90A60">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sz w:val="22"/>
          <w:szCs w:val="22"/>
          <w:lang w:val="es-ES"/>
        </w:rPr>
        <w:t xml:space="preserve">El 8 de </w:t>
      </w:r>
      <w:r w:rsidR="00892701" w:rsidRPr="0070085A">
        <w:rPr>
          <w:rFonts w:ascii="ITC Avant Garde" w:hAnsi="ITC Avant Garde"/>
          <w:sz w:val="22"/>
          <w:szCs w:val="22"/>
          <w:lang w:val="es-ES"/>
        </w:rPr>
        <w:t xml:space="preserve">diciembre </w:t>
      </w:r>
      <w:r w:rsidRPr="0070085A">
        <w:rPr>
          <w:rFonts w:ascii="ITC Avant Garde" w:hAnsi="ITC Avant Garde"/>
          <w:sz w:val="22"/>
          <w:szCs w:val="22"/>
          <w:lang w:val="es-ES"/>
        </w:rPr>
        <w:t>de 201</w:t>
      </w:r>
      <w:r w:rsidR="00892701" w:rsidRPr="0070085A">
        <w:rPr>
          <w:rFonts w:ascii="ITC Avant Garde" w:hAnsi="ITC Avant Garde"/>
          <w:sz w:val="22"/>
          <w:szCs w:val="22"/>
          <w:lang w:val="es-ES"/>
        </w:rPr>
        <w:t>6</w:t>
      </w:r>
      <w:r w:rsidRPr="0070085A">
        <w:rPr>
          <w:rFonts w:ascii="ITC Avant Garde" w:hAnsi="ITC Avant Garde"/>
          <w:sz w:val="22"/>
          <w:szCs w:val="22"/>
          <w:lang w:val="es-ES"/>
        </w:rPr>
        <w:t>, el Pleno del Instituto aprobó  por unanimidad de votos, en su X</w:t>
      </w:r>
      <w:r w:rsidR="00892701" w:rsidRPr="0070085A">
        <w:rPr>
          <w:rFonts w:ascii="ITC Avant Garde" w:hAnsi="ITC Avant Garde"/>
          <w:sz w:val="22"/>
          <w:szCs w:val="22"/>
          <w:lang w:val="es-ES"/>
        </w:rPr>
        <w:t xml:space="preserve">LIV </w:t>
      </w:r>
      <w:r w:rsidRPr="0070085A">
        <w:rPr>
          <w:rFonts w:ascii="ITC Avant Garde" w:hAnsi="ITC Avant Garde"/>
          <w:sz w:val="22"/>
          <w:szCs w:val="22"/>
          <w:lang w:val="es-ES"/>
        </w:rPr>
        <w:t xml:space="preserve">Sesión Ordinaria </w:t>
      </w:r>
      <w:r w:rsidR="00C03BCE" w:rsidRPr="0070085A">
        <w:rPr>
          <w:rFonts w:ascii="ITC Avant Garde" w:hAnsi="ITC Avant Garde"/>
          <w:sz w:val="22"/>
          <w:szCs w:val="22"/>
          <w:lang w:val="es-ES"/>
        </w:rPr>
        <w:t xml:space="preserve">someter </w:t>
      </w:r>
      <w:r w:rsidR="00F1280F" w:rsidRPr="0070085A">
        <w:rPr>
          <w:rFonts w:ascii="ITC Avant Garde" w:hAnsi="ITC Avant Garde"/>
          <w:sz w:val="22"/>
          <w:szCs w:val="22"/>
          <w:lang w:val="es-ES"/>
        </w:rPr>
        <w:t>a consulta pública el</w:t>
      </w:r>
      <w:r w:rsidR="00F5206A" w:rsidRPr="0070085A">
        <w:rPr>
          <w:rFonts w:ascii="ITC Avant Garde" w:hAnsi="ITC Avant Garde"/>
          <w:sz w:val="22"/>
          <w:szCs w:val="22"/>
          <w:lang w:val="es-ES"/>
        </w:rPr>
        <w:t xml:space="preserve"> </w:t>
      </w:r>
      <w:r w:rsidR="00A14184" w:rsidRPr="0070085A">
        <w:rPr>
          <w:rFonts w:ascii="ITC Avant Garde" w:hAnsi="ITC Avant Garde"/>
          <w:sz w:val="22"/>
          <w:szCs w:val="22"/>
          <w:lang w:val="es-ES"/>
        </w:rPr>
        <w:t>“</w:t>
      </w:r>
      <w:r w:rsidR="00BC3F88" w:rsidRPr="0070085A">
        <w:rPr>
          <w:rFonts w:ascii="ITC Avant Garde" w:hAnsi="ITC Avant Garde" w:cs="Tahoma"/>
          <w:bCs/>
          <w:color w:val="000000"/>
          <w:sz w:val="22"/>
          <w:szCs w:val="22"/>
        </w:rPr>
        <w:t xml:space="preserve">ACUERDO MEDIANTE EL CUAL EL PLENO DEL INSTITUTO FEDERAL DE </w:t>
      </w:r>
      <w:r w:rsidR="00BC3F88" w:rsidRPr="0070085A">
        <w:rPr>
          <w:rFonts w:ascii="ITC Avant Garde" w:hAnsi="ITC Avant Garde" w:cs="Tahoma"/>
          <w:bCs/>
          <w:color w:val="000000"/>
          <w:sz w:val="22"/>
          <w:szCs w:val="22"/>
        </w:rPr>
        <w:lastRenderedPageBreak/>
        <w:t>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00A14184" w:rsidRPr="0070085A">
        <w:rPr>
          <w:rFonts w:ascii="ITC Avant Garde" w:hAnsi="ITC Avant Garde" w:cs="Arial"/>
          <w:sz w:val="22"/>
          <w:szCs w:val="22"/>
        </w:rPr>
        <w:t xml:space="preserve"> (en lo sucesivo, el “Acuerdo”)</w:t>
      </w:r>
      <w:r w:rsidR="00B455AE" w:rsidRPr="0070085A">
        <w:rPr>
          <w:rFonts w:ascii="ITC Avant Garde" w:hAnsi="ITC Avant Garde" w:cs="Arial"/>
          <w:sz w:val="22"/>
          <w:szCs w:val="22"/>
        </w:rPr>
        <w:t>, por un periodo de 20 días hábiles.</w:t>
      </w:r>
    </w:p>
    <w:p w14:paraId="778D27C5" w14:textId="77777777" w:rsidR="00B90A60" w:rsidRDefault="00F04177" w:rsidP="00B90A60">
      <w:pPr>
        <w:pStyle w:val="Prrafodelista"/>
        <w:numPr>
          <w:ilvl w:val="0"/>
          <w:numId w:val="12"/>
        </w:numPr>
        <w:spacing w:before="240" w:after="240" w:line="276" w:lineRule="auto"/>
        <w:jc w:val="both"/>
        <w:rPr>
          <w:rFonts w:ascii="ITC Avant Garde" w:hAnsi="ITC Avant Garde"/>
          <w:sz w:val="22"/>
          <w:szCs w:val="22"/>
          <w:lang w:val="es-ES"/>
        </w:rPr>
      </w:pPr>
      <w:r w:rsidRPr="0070085A">
        <w:rPr>
          <w:rFonts w:ascii="ITC Avant Garde" w:hAnsi="ITC Avant Garde" w:cs="Arial"/>
          <w:sz w:val="22"/>
          <w:szCs w:val="22"/>
        </w:rPr>
        <w:t xml:space="preserve">El 13 de enero de 2017, </w:t>
      </w:r>
      <w:r w:rsidRPr="0070085A">
        <w:rPr>
          <w:rFonts w:ascii="ITC Avant Garde" w:eastAsia="MS Mincho" w:hAnsi="ITC Avant Garde"/>
          <w:bCs/>
          <w:color w:val="000000"/>
          <w:sz w:val="22"/>
          <w:szCs w:val="22"/>
          <w:lang w:val="es-ES_tradnl" w:eastAsia="es-MX"/>
        </w:rPr>
        <w:t>la GSMA a través de su oficina regional en Latinoamérica, solicitó mediante el correo electrónico designado para la consulta pública así como al Pleno del Instituto Federal de Telecomunicaciones, la extensión del plazo de consulta pública por al menos 20 días hábiles.</w:t>
      </w:r>
    </w:p>
    <w:p w14:paraId="5C704F7C" w14:textId="77777777" w:rsidR="00B90A60" w:rsidRDefault="00D00E71" w:rsidP="00B90A60">
      <w:pPr>
        <w:pStyle w:val="Default"/>
        <w:tabs>
          <w:tab w:val="left" w:pos="0"/>
        </w:tabs>
        <w:spacing w:before="240" w:after="240" w:line="276" w:lineRule="auto"/>
        <w:rPr>
          <w:rFonts w:ascii="ITC Avant Garde" w:eastAsia="Times New Roman" w:hAnsi="ITC Avant Garde"/>
          <w:color w:val="auto"/>
          <w:sz w:val="22"/>
          <w:szCs w:val="22"/>
          <w:lang w:val="es-ES" w:eastAsia="es-ES"/>
        </w:rPr>
      </w:pPr>
      <w:r w:rsidRPr="0070085A">
        <w:rPr>
          <w:rFonts w:ascii="ITC Avant Garde" w:eastAsia="Times New Roman" w:hAnsi="ITC Avant Garde"/>
          <w:color w:val="auto"/>
          <w:sz w:val="22"/>
          <w:szCs w:val="22"/>
          <w:lang w:val="es-ES" w:eastAsia="es-ES"/>
        </w:rPr>
        <w:t xml:space="preserve">En atención a los </w:t>
      </w:r>
      <w:r w:rsidR="001211C1" w:rsidRPr="0070085A">
        <w:rPr>
          <w:rFonts w:ascii="ITC Avant Garde" w:eastAsia="Times New Roman" w:hAnsi="ITC Avant Garde"/>
          <w:color w:val="auto"/>
          <w:sz w:val="22"/>
          <w:szCs w:val="22"/>
          <w:lang w:val="es-ES" w:eastAsia="es-ES"/>
        </w:rPr>
        <w:t xml:space="preserve">antecedentes anteriores y, </w:t>
      </w:r>
    </w:p>
    <w:p w14:paraId="795E04E5" w14:textId="634475DB" w:rsidR="00B90A60" w:rsidRPr="00B90A60" w:rsidRDefault="0070085A" w:rsidP="00B90A60">
      <w:pPr>
        <w:pStyle w:val="Ttulo2"/>
        <w:spacing w:after="240"/>
        <w:jc w:val="center"/>
        <w:rPr>
          <w:rFonts w:ascii="ITC Avant Garde" w:hAnsi="ITC Avant Garde"/>
          <w:b/>
          <w:color w:val="000000" w:themeColor="text1"/>
          <w:sz w:val="22"/>
          <w:szCs w:val="22"/>
        </w:rPr>
      </w:pPr>
      <w:r w:rsidRPr="00B90A60">
        <w:rPr>
          <w:rFonts w:ascii="ITC Avant Garde" w:hAnsi="ITC Avant Garde"/>
          <w:b/>
          <w:color w:val="000000" w:themeColor="text1"/>
          <w:sz w:val="22"/>
          <w:szCs w:val="22"/>
        </w:rPr>
        <w:t>C</w:t>
      </w:r>
      <w:r w:rsidR="00B90A60">
        <w:rPr>
          <w:rFonts w:ascii="ITC Avant Garde" w:hAnsi="ITC Avant Garde"/>
          <w:b/>
          <w:color w:val="000000" w:themeColor="text1"/>
          <w:sz w:val="22"/>
          <w:szCs w:val="22"/>
        </w:rPr>
        <w:t>ONSIDERANDO</w:t>
      </w:r>
    </w:p>
    <w:p w14:paraId="2E9C4218" w14:textId="77777777" w:rsidR="00B90A60" w:rsidRDefault="00662D3C" w:rsidP="00B90A60">
      <w:pPr>
        <w:spacing w:before="240" w:after="240" w:line="276" w:lineRule="auto"/>
        <w:jc w:val="both"/>
        <w:rPr>
          <w:rFonts w:ascii="ITC Avant Garde" w:hAnsi="ITC Avant Garde" w:cs="Arial"/>
          <w:sz w:val="22"/>
          <w:szCs w:val="22"/>
        </w:rPr>
      </w:pPr>
      <w:r w:rsidRPr="0070085A">
        <w:rPr>
          <w:rFonts w:ascii="ITC Avant Garde" w:hAnsi="ITC Avant Garde"/>
          <w:b/>
          <w:bCs/>
          <w:sz w:val="22"/>
          <w:szCs w:val="22"/>
          <w:lang w:val="es-ES_tradnl" w:eastAsia="es-MX"/>
        </w:rPr>
        <w:t>PRIMERO</w:t>
      </w:r>
      <w:r w:rsidR="00AD55DE" w:rsidRPr="0070085A">
        <w:rPr>
          <w:rFonts w:ascii="ITC Avant Garde" w:hAnsi="ITC Avant Garde"/>
          <w:b/>
          <w:bCs/>
          <w:sz w:val="22"/>
          <w:szCs w:val="22"/>
          <w:lang w:val="es-ES_tradnl" w:eastAsia="es-MX"/>
        </w:rPr>
        <w:t xml:space="preserve">.- Competencia del Instituto. </w:t>
      </w:r>
      <w:r w:rsidR="00224DFC" w:rsidRPr="0070085A">
        <w:rPr>
          <w:rFonts w:ascii="ITC Avant Garde" w:hAnsi="ITC Avant Garde" w:cs="Arial"/>
          <w:sz w:val="22"/>
          <w:szCs w:val="22"/>
        </w:rPr>
        <w:t>Que d</w:t>
      </w:r>
      <w:r w:rsidR="00110A96" w:rsidRPr="0070085A">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70085A">
        <w:rPr>
          <w:rFonts w:ascii="ITC Avant Garde" w:hAnsi="ITC Avant Garde" w:cs="Arial"/>
          <w:sz w:val="22"/>
          <w:szCs w:val="22"/>
        </w:rPr>
        <w:t xml:space="preserve">la </w:t>
      </w:r>
      <w:r w:rsidR="00110A96" w:rsidRPr="0070085A">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14F8958C" w14:textId="77777777" w:rsidR="00B90A60" w:rsidRDefault="00A85CD9" w:rsidP="00B90A60">
      <w:pPr>
        <w:spacing w:before="240" w:after="240" w:line="276" w:lineRule="auto"/>
        <w:jc w:val="both"/>
        <w:rPr>
          <w:rFonts w:ascii="ITC Avant Garde" w:hAnsi="ITC Avant Garde" w:cs="Arial"/>
          <w:sz w:val="22"/>
          <w:szCs w:val="22"/>
        </w:rPr>
      </w:pPr>
      <w:r w:rsidRPr="0070085A">
        <w:rPr>
          <w:rFonts w:ascii="ITC Avant Garde" w:hAnsi="ITC Avant Garde" w:cs="Arial"/>
          <w:sz w:val="22"/>
          <w:szCs w:val="22"/>
        </w:rPr>
        <w:t>D</w:t>
      </w:r>
      <w:r w:rsidR="00900463" w:rsidRPr="0070085A">
        <w:rPr>
          <w:rFonts w:ascii="ITC Avant Garde" w:hAnsi="ITC Avant Garde" w:cs="Arial"/>
          <w:sz w:val="22"/>
          <w:szCs w:val="22"/>
        </w:rPr>
        <w:t xml:space="preserve">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1DFECBED" w14:textId="77777777" w:rsidR="00B90A60" w:rsidRDefault="00DC1A4C" w:rsidP="00B90A60">
      <w:pPr>
        <w:spacing w:before="240" w:after="240" w:line="276" w:lineRule="auto"/>
        <w:jc w:val="both"/>
        <w:rPr>
          <w:rFonts w:ascii="ITC Avant Garde" w:hAnsi="ITC Avant Garde" w:cs="Arial"/>
          <w:bCs/>
          <w:sz w:val="22"/>
          <w:szCs w:val="22"/>
        </w:rPr>
      </w:pPr>
      <w:r w:rsidRPr="0070085A">
        <w:rPr>
          <w:rFonts w:ascii="ITC Avant Garde" w:hAnsi="ITC Avant Garde" w:cs="Arial"/>
          <w:bCs/>
          <w:sz w:val="22"/>
          <w:szCs w:val="22"/>
        </w:rPr>
        <w:lastRenderedPageBreak/>
        <w:t>Por otra parte, los artículos 15 fracción XL y 51 de la LFTR, establecen que el Pleno del Instituto podrá realizar consultas públicas en cualquier caso que así lo determine, y estas deberán llevarse a cabo bajo los principios de transparencia y participación ciudadana.</w:t>
      </w:r>
    </w:p>
    <w:p w14:paraId="4391C1FF" w14:textId="77777777" w:rsidR="00B90A60" w:rsidRDefault="00A85CD9" w:rsidP="00B90A60">
      <w:pPr>
        <w:spacing w:before="240" w:after="240" w:line="276" w:lineRule="auto"/>
        <w:jc w:val="both"/>
        <w:rPr>
          <w:rFonts w:ascii="ITC Avant Garde" w:hAnsi="ITC Avant Garde" w:cs="Arial"/>
          <w:sz w:val="22"/>
          <w:szCs w:val="22"/>
        </w:rPr>
      </w:pPr>
      <w:r w:rsidRPr="0070085A">
        <w:rPr>
          <w:rFonts w:ascii="ITC Avant Garde" w:eastAsia="MS Mincho" w:hAnsi="ITC Avant Garde"/>
          <w:bCs/>
          <w:color w:val="000000"/>
          <w:sz w:val="22"/>
          <w:szCs w:val="22"/>
          <w:lang w:val="es-ES_tradnl" w:eastAsia="es-MX"/>
        </w:rPr>
        <w:t xml:space="preserve">Por lo anterior, el Instituto determinó someter a consulta el </w:t>
      </w:r>
      <w:r w:rsidRPr="0070085A">
        <w:rPr>
          <w:rFonts w:ascii="ITC Avant Garde" w:hAnsi="ITC Avant Garde" w:cs="Arial"/>
          <w:sz w:val="22"/>
          <w:szCs w:val="22"/>
        </w:rPr>
        <w:t>“</w:t>
      </w:r>
      <w:r w:rsidRPr="0070085A">
        <w:rPr>
          <w:rFonts w:ascii="ITC Avant Garde" w:hAnsi="ITC Avant Garde"/>
          <w:sz w:val="22"/>
          <w:szCs w:val="22"/>
        </w:rPr>
        <w:t>A</w:t>
      </w:r>
      <w:r w:rsidRPr="0070085A">
        <w:rPr>
          <w:rFonts w:ascii="ITC Avant Garde" w:hAnsi="ITC Avant Garde" w:cs="Tahoma"/>
          <w:bCs/>
          <w:color w:val="000000"/>
          <w:sz w:val="22"/>
          <w:szCs w:val="22"/>
        </w:rPr>
        <w:t>NTEPROYECTO DE DISPOSICIÓN TÉCNICA IFT-007-2016:</w:t>
      </w:r>
      <w:r w:rsidRPr="0070085A">
        <w:rPr>
          <w:rFonts w:ascii="ITC Avant Garde" w:hAnsi="ITC Avant Garde" w:cs="Tahoma"/>
          <w:b/>
          <w:bCs/>
          <w:color w:val="000000"/>
          <w:sz w:val="22"/>
          <w:szCs w:val="22"/>
        </w:rPr>
        <w:t xml:space="preserve"> </w:t>
      </w:r>
      <w:r w:rsidRPr="0070085A">
        <w:rPr>
          <w:rFonts w:ascii="ITC Avant Garde" w:hAnsi="ITC Avant Garde" w:cs="Tahoma"/>
          <w:bCs/>
          <w:color w:val="000000"/>
          <w:sz w:val="22"/>
          <w:szCs w:val="22"/>
        </w:rPr>
        <w:t xml:space="preserve">LÍMITES DE </w:t>
      </w:r>
      <w:r w:rsidRPr="0070085A">
        <w:rPr>
          <w:rFonts w:ascii="ITC Avant Garde" w:hAnsi="ITC Avant Garde" w:cs="Arial"/>
          <w:sz w:val="22"/>
          <w:szCs w:val="22"/>
        </w:rPr>
        <w:t xml:space="preserve">EXPOSICIÓN MÁXIMA PARA SERES HUMANOS A RADIACIONES ELECTROMAGNÉTICAS DE RADIOFRECUENCIA NO IONIZANTES EN EL INTERVALO DE 100 kHz  A 300 GHz EN EL ENTORNO DE ESTACIONES DE RADIOCOMUNICACIONES” (en lo sucesivo, el “Anteproyecto”), propuesto por la Unidad de Política Regulatoria, conforme las atribuciones conferidas </w:t>
      </w:r>
      <w:r w:rsidRPr="0070085A">
        <w:rPr>
          <w:rFonts w:ascii="ITC Avant Garde" w:hAnsi="ITC Avant Garde"/>
          <w:bCs/>
          <w:sz w:val="22"/>
          <w:szCs w:val="22"/>
        </w:rPr>
        <w:t>en los artículos 21 y 23, fracción IX del</w:t>
      </w:r>
      <w:r w:rsidRPr="0070085A">
        <w:rPr>
          <w:rFonts w:ascii="ITC Avant Garde" w:hAnsi="ITC Avant Garde" w:cs="Arial"/>
          <w:sz w:val="22"/>
          <w:szCs w:val="22"/>
        </w:rPr>
        <w:t xml:space="preserve"> Estatuto Orgánico del Instituto</w:t>
      </w:r>
      <w:r w:rsidR="00224DFC" w:rsidRPr="0070085A">
        <w:rPr>
          <w:rFonts w:ascii="ITC Avant Garde" w:hAnsi="ITC Avant Garde" w:cs="Arial"/>
          <w:sz w:val="22"/>
          <w:szCs w:val="22"/>
        </w:rPr>
        <w:t>;</w:t>
      </w:r>
      <w:r w:rsidRPr="0070085A">
        <w:rPr>
          <w:rFonts w:ascii="ITC Avant Garde" w:hAnsi="ITC Avant Garde" w:cs="Arial"/>
          <w:sz w:val="22"/>
          <w:szCs w:val="22"/>
        </w:rPr>
        <w:t xml:space="preserve"> con la finalidad de recabar comentarios de los concesionarios, permisionarios, especialistas en la materia y del público en general, que permitan nutrir la determinación que tome sobre dicha disposición.</w:t>
      </w:r>
    </w:p>
    <w:p w14:paraId="35F9F586" w14:textId="77777777" w:rsidR="00B90A60" w:rsidRDefault="00A85CD9" w:rsidP="00B90A60">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rPr>
        <w:t>Para estos efectos, se determinó un plazo de 20 (veinte días) hábiles de consulta pública que comprende del periodo del 13 de diciembre de 2016 al 23 de enero de 2017</w:t>
      </w:r>
      <w:r w:rsidR="00224DFC" w:rsidRPr="0070085A">
        <w:rPr>
          <w:rFonts w:ascii="ITC Avant Garde" w:hAnsi="ITC Avant Garde"/>
          <w:bCs/>
          <w:sz w:val="22"/>
          <w:szCs w:val="22"/>
        </w:rPr>
        <w:t>.</w:t>
      </w:r>
    </w:p>
    <w:p w14:paraId="0DA7C8D9" w14:textId="77777777" w:rsidR="00B90A60" w:rsidRDefault="00662D3C" w:rsidP="00B90A60">
      <w:pPr>
        <w:spacing w:before="240" w:after="240" w:line="276" w:lineRule="auto"/>
        <w:jc w:val="both"/>
        <w:rPr>
          <w:rFonts w:ascii="ITC Avant Garde" w:eastAsia="MS Mincho" w:hAnsi="ITC Avant Garde"/>
          <w:bCs/>
          <w:color w:val="000000"/>
          <w:sz w:val="22"/>
          <w:szCs w:val="22"/>
          <w:lang w:val="es-ES_tradnl" w:eastAsia="es-MX"/>
        </w:rPr>
      </w:pPr>
      <w:r w:rsidRPr="0070085A">
        <w:rPr>
          <w:rFonts w:ascii="ITC Avant Garde" w:hAnsi="ITC Avant Garde" w:cs="Arial"/>
          <w:b/>
          <w:sz w:val="22"/>
          <w:szCs w:val="22"/>
        </w:rPr>
        <w:t>SEGUNDO</w:t>
      </w:r>
      <w:r w:rsidR="00C95170" w:rsidRPr="0070085A">
        <w:rPr>
          <w:rFonts w:ascii="ITC Avant Garde" w:hAnsi="ITC Avant Garde" w:cs="Arial"/>
          <w:sz w:val="22"/>
          <w:szCs w:val="22"/>
        </w:rPr>
        <w:t>.-</w:t>
      </w:r>
      <w:r w:rsidRPr="0070085A">
        <w:rPr>
          <w:rFonts w:ascii="ITC Avant Garde" w:hAnsi="ITC Avant Garde" w:cs="Arial"/>
          <w:sz w:val="22"/>
          <w:szCs w:val="22"/>
        </w:rPr>
        <w:t xml:space="preserve"> </w:t>
      </w:r>
      <w:r w:rsidRPr="0070085A">
        <w:rPr>
          <w:rFonts w:ascii="ITC Avant Garde" w:hAnsi="ITC Avant Garde" w:cs="Arial"/>
          <w:b/>
          <w:sz w:val="22"/>
          <w:szCs w:val="22"/>
        </w:rPr>
        <w:t>Solicitud de extensión de plazo</w:t>
      </w:r>
      <w:r w:rsidR="00622F1D" w:rsidRPr="0070085A">
        <w:rPr>
          <w:rFonts w:ascii="ITC Avant Garde" w:eastAsia="MS Mincho" w:hAnsi="ITC Avant Garde"/>
          <w:bCs/>
          <w:color w:val="000000"/>
          <w:sz w:val="22"/>
          <w:szCs w:val="22"/>
          <w:lang w:val="es-ES_tradnl" w:eastAsia="es-MX"/>
        </w:rPr>
        <w:t>.</w:t>
      </w:r>
      <w:r w:rsidR="00F90030"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Que como parte del proceso</w:t>
      </w:r>
      <w:r w:rsidR="00A14184" w:rsidRPr="0070085A">
        <w:rPr>
          <w:rFonts w:ascii="ITC Avant Garde" w:eastAsia="MS Mincho" w:hAnsi="ITC Avant Garde"/>
          <w:bCs/>
          <w:color w:val="000000"/>
          <w:sz w:val="22"/>
          <w:szCs w:val="22"/>
          <w:lang w:val="es-ES_tradnl" w:eastAsia="es-MX"/>
        </w:rPr>
        <w:t xml:space="preserve"> de consulta pública del </w:t>
      </w:r>
      <w:r w:rsidR="00A85CD9" w:rsidRPr="0070085A">
        <w:rPr>
          <w:rFonts w:ascii="ITC Avant Garde" w:eastAsia="MS Mincho" w:hAnsi="ITC Avant Garde"/>
          <w:bCs/>
          <w:color w:val="000000"/>
          <w:sz w:val="22"/>
          <w:szCs w:val="22"/>
          <w:lang w:val="es-ES_tradnl" w:eastAsia="es-MX"/>
        </w:rPr>
        <w:t>Anteproyecto</w:t>
      </w:r>
      <w:r w:rsidR="00530E9B" w:rsidRPr="0070085A">
        <w:rPr>
          <w:rFonts w:ascii="ITC Avant Garde" w:eastAsia="MS Mincho" w:hAnsi="ITC Avant Garde"/>
          <w:bCs/>
          <w:color w:val="000000"/>
          <w:sz w:val="22"/>
          <w:szCs w:val="22"/>
          <w:lang w:val="es-ES_tradnl" w:eastAsia="es-MX"/>
        </w:rPr>
        <w:t xml:space="preserve">, </w:t>
      </w:r>
      <w:r w:rsidR="00106602" w:rsidRPr="0070085A">
        <w:rPr>
          <w:rFonts w:ascii="ITC Avant Garde" w:eastAsia="MS Mincho" w:hAnsi="ITC Avant Garde"/>
          <w:bCs/>
          <w:color w:val="000000"/>
          <w:sz w:val="22"/>
          <w:szCs w:val="22"/>
          <w:lang w:val="es-ES_tradnl" w:eastAsia="es-MX"/>
        </w:rPr>
        <w:t>la GSM</w:t>
      </w:r>
      <w:r w:rsidR="00295E0F" w:rsidRPr="0070085A">
        <w:rPr>
          <w:rFonts w:ascii="ITC Avant Garde" w:eastAsia="MS Mincho" w:hAnsi="ITC Avant Garde"/>
          <w:bCs/>
          <w:color w:val="000000"/>
          <w:sz w:val="22"/>
          <w:szCs w:val="22"/>
          <w:lang w:val="es-ES_tradnl" w:eastAsia="es-MX"/>
        </w:rPr>
        <w:t>A</w:t>
      </w:r>
      <w:r w:rsidR="00106602" w:rsidRPr="0070085A">
        <w:rPr>
          <w:rFonts w:ascii="ITC Avant Garde" w:eastAsia="MS Mincho" w:hAnsi="ITC Avant Garde"/>
          <w:bCs/>
          <w:color w:val="000000"/>
          <w:sz w:val="22"/>
          <w:szCs w:val="22"/>
          <w:lang w:val="es-ES_tradnl" w:eastAsia="es-MX"/>
        </w:rPr>
        <w:t xml:space="preserve"> como </w:t>
      </w:r>
      <w:r w:rsidR="00075D68" w:rsidRPr="0070085A">
        <w:rPr>
          <w:rFonts w:ascii="ITC Avant Garde" w:eastAsia="MS Mincho" w:hAnsi="ITC Avant Garde"/>
          <w:bCs/>
          <w:color w:val="000000"/>
          <w:sz w:val="22"/>
          <w:szCs w:val="22"/>
          <w:lang w:val="es-ES_tradnl" w:eastAsia="es-MX"/>
        </w:rPr>
        <w:t>asociación que agrupa, entre otros, a los operadores móviles y a los fabricantes de equipos terminales móviles</w:t>
      </w:r>
      <w:r w:rsidR="00625659" w:rsidRPr="0070085A">
        <w:rPr>
          <w:rFonts w:ascii="ITC Avant Garde" w:eastAsia="MS Mincho" w:hAnsi="ITC Avant Garde"/>
          <w:bCs/>
          <w:color w:val="000000"/>
          <w:sz w:val="22"/>
          <w:szCs w:val="22"/>
          <w:lang w:val="es-ES_tradnl" w:eastAsia="es-MX"/>
        </w:rPr>
        <w:t>,</w:t>
      </w:r>
      <w:r w:rsidR="00224DFC" w:rsidRPr="0070085A">
        <w:rPr>
          <w:rFonts w:ascii="ITC Avant Garde" w:eastAsia="MS Mincho" w:hAnsi="ITC Avant Garde"/>
          <w:bCs/>
          <w:color w:val="000000"/>
          <w:sz w:val="22"/>
          <w:szCs w:val="22"/>
          <w:lang w:val="es-ES_tradnl" w:eastAsia="es-MX"/>
        </w:rPr>
        <w:t xml:space="preserve"> </w:t>
      </w:r>
      <w:r w:rsidR="00075D68" w:rsidRPr="0070085A">
        <w:rPr>
          <w:rFonts w:ascii="ITC Avant Garde" w:eastAsia="MS Mincho" w:hAnsi="ITC Avant Garde"/>
          <w:bCs/>
          <w:color w:val="000000"/>
          <w:sz w:val="22"/>
          <w:szCs w:val="22"/>
          <w:lang w:val="es-ES_tradnl" w:eastAsia="es-MX"/>
        </w:rPr>
        <w:t>a través de su oficina regional en Latinoamérica</w:t>
      </w:r>
      <w:r w:rsidR="00295E0F"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w:t>
      </w:r>
      <w:r w:rsidR="00224DFC" w:rsidRPr="0070085A">
        <w:rPr>
          <w:rFonts w:ascii="ITC Avant Garde" w:eastAsia="MS Mincho" w:hAnsi="ITC Avant Garde"/>
          <w:bCs/>
          <w:color w:val="000000"/>
          <w:sz w:val="22"/>
          <w:szCs w:val="22"/>
          <w:lang w:val="es-ES_tradnl" w:eastAsia="es-MX"/>
        </w:rPr>
        <w:t xml:space="preserve">el 13 de enero del 2017, solicitó </w:t>
      </w:r>
      <w:r w:rsidR="00B455AE" w:rsidRPr="0070085A">
        <w:rPr>
          <w:rFonts w:ascii="ITC Avant Garde" w:eastAsia="MS Mincho" w:hAnsi="ITC Avant Garde"/>
          <w:bCs/>
          <w:color w:val="000000"/>
          <w:sz w:val="22"/>
          <w:szCs w:val="22"/>
          <w:lang w:val="es-ES_tradnl" w:eastAsia="es-MX"/>
        </w:rPr>
        <w:t xml:space="preserve">mediante el correo electrónico designado para la consulta pública así como </w:t>
      </w:r>
      <w:r w:rsidR="00625659" w:rsidRPr="0070085A">
        <w:rPr>
          <w:rFonts w:ascii="ITC Avant Garde" w:eastAsia="MS Mincho" w:hAnsi="ITC Avant Garde"/>
          <w:bCs/>
          <w:color w:val="000000"/>
          <w:sz w:val="22"/>
          <w:szCs w:val="22"/>
          <w:lang w:val="es-ES_tradnl" w:eastAsia="es-MX"/>
        </w:rPr>
        <w:t>al P</w:t>
      </w:r>
      <w:r w:rsidR="00075D68" w:rsidRPr="0070085A">
        <w:rPr>
          <w:rFonts w:ascii="ITC Avant Garde" w:eastAsia="MS Mincho" w:hAnsi="ITC Avant Garde"/>
          <w:bCs/>
          <w:color w:val="000000"/>
          <w:sz w:val="22"/>
          <w:szCs w:val="22"/>
          <w:lang w:val="es-ES_tradnl" w:eastAsia="es-MX"/>
        </w:rPr>
        <w:t>leno del Instituto Federal de Telecomunicaciones</w:t>
      </w:r>
      <w:r w:rsidR="00B455AE" w:rsidRPr="0070085A">
        <w:rPr>
          <w:rFonts w:ascii="ITC Avant Garde" w:eastAsia="MS Mincho" w:hAnsi="ITC Avant Garde"/>
          <w:bCs/>
          <w:color w:val="000000"/>
          <w:sz w:val="22"/>
          <w:szCs w:val="22"/>
          <w:lang w:val="es-ES_tradnl" w:eastAsia="es-MX"/>
        </w:rPr>
        <w:t>,</w:t>
      </w:r>
      <w:r w:rsidR="00075D68" w:rsidRPr="0070085A">
        <w:rPr>
          <w:rFonts w:ascii="ITC Avant Garde" w:eastAsia="MS Mincho" w:hAnsi="ITC Avant Garde"/>
          <w:bCs/>
          <w:color w:val="000000"/>
          <w:sz w:val="22"/>
          <w:szCs w:val="22"/>
          <w:lang w:val="es-ES_tradnl" w:eastAsia="es-MX"/>
        </w:rPr>
        <w:t xml:space="preserve"> la extensión del plazo de consulta pública por al m</w:t>
      </w:r>
      <w:r w:rsidR="00A85CD9" w:rsidRPr="0070085A">
        <w:rPr>
          <w:rFonts w:ascii="ITC Avant Garde" w:eastAsia="MS Mincho" w:hAnsi="ITC Avant Garde"/>
          <w:bCs/>
          <w:color w:val="000000"/>
          <w:sz w:val="22"/>
          <w:szCs w:val="22"/>
          <w:lang w:val="es-ES_tradnl" w:eastAsia="es-MX"/>
        </w:rPr>
        <w:t xml:space="preserve">enos 20 días hábiles, </w:t>
      </w:r>
      <w:r w:rsidR="00075D68" w:rsidRPr="0070085A">
        <w:rPr>
          <w:rFonts w:ascii="ITC Avant Garde" w:eastAsia="MS Mincho" w:hAnsi="ITC Avant Garde"/>
          <w:bCs/>
          <w:color w:val="000000"/>
          <w:sz w:val="22"/>
          <w:szCs w:val="22"/>
          <w:lang w:val="es-ES_tradnl" w:eastAsia="es-MX"/>
        </w:rPr>
        <w:t>a fin de contar con más tiempo para realizar comentarios pertinentes en la materia y aportar la mayor cantidad posible de información que permita reflejar todas las condiciones de la industria al respecto.</w:t>
      </w:r>
    </w:p>
    <w:p w14:paraId="010BDEEF" w14:textId="77777777" w:rsidR="00B90A60" w:rsidRDefault="004C47D5" w:rsidP="00B90A60">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
          <w:sz w:val="22"/>
          <w:szCs w:val="22"/>
          <w:lang w:val="es-ES_tradnl"/>
        </w:rPr>
        <w:t>TERCERO.- Consulta Pública.</w:t>
      </w:r>
      <w:r w:rsidRPr="0070085A">
        <w:rPr>
          <w:rFonts w:ascii="ITC Avant Garde" w:hAnsi="ITC Avant Garde"/>
          <w:sz w:val="22"/>
          <w:szCs w:val="22"/>
          <w:lang w:val="es-ES_tradnl"/>
        </w:rPr>
        <w:t xml:space="preserve"> </w:t>
      </w:r>
      <w:r w:rsidRPr="0070085A">
        <w:rPr>
          <w:rFonts w:ascii="ITC Avant Garde" w:hAnsi="ITC Avant Garde"/>
          <w:bCs/>
          <w:sz w:val="22"/>
          <w:szCs w:val="22"/>
          <w:lang w:val="es-ES_tradnl"/>
        </w:rPr>
        <w:t>Que los procesos de consulta pública realizados por el Instituto le han permitido asegurar plena transparencia en el proceso de elaboración de nuevas regulaciones, el mejoramiento de sus instrumentos regulatorios, una mayor participación y sociabilización de los temas de su interés con los ciudadanos y agentes regulados, así como un mejor entendimiento sobre los posibles impactos que se pueden desprender a razón de la entrada en vigor de las medidas regulatorias que propone.</w:t>
      </w:r>
    </w:p>
    <w:p w14:paraId="676213D1" w14:textId="77777777" w:rsidR="00B90A60" w:rsidRDefault="00155F57" w:rsidP="00B90A60">
      <w:pPr>
        <w:pStyle w:val="Default"/>
        <w:tabs>
          <w:tab w:val="left" w:pos="0"/>
        </w:tabs>
        <w:spacing w:before="240" w:after="240" w:line="276" w:lineRule="auto"/>
        <w:jc w:val="both"/>
        <w:rPr>
          <w:rFonts w:ascii="ITC Avant Garde" w:hAnsi="ITC Avant Garde"/>
          <w:color w:val="auto"/>
          <w:sz w:val="22"/>
          <w:szCs w:val="22"/>
        </w:rPr>
      </w:pPr>
      <w:r w:rsidRPr="0070085A">
        <w:rPr>
          <w:rFonts w:ascii="ITC Avant Garde" w:hAnsi="ITC Avant Garde"/>
          <w:sz w:val="22"/>
          <w:szCs w:val="22"/>
          <w:lang w:val="es-ES_tradnl"/>
        </w:rPr>
        <w:t>En este tenor, e</w:t>
      </w:r>
      <w:r w:rsidR="004C47D5" w:rsidRPr="0070085A">
        <w:rPr>
          <w:rFonts w:ascii="ITC Avant Garde" w:hAnsi="ITC Avant Garde"/>
          <w:sz w:val="22"/>
          <w:szCs w:val="22"/>
          <w:lang w:val="es-ES_tradnl"/>
        </w:rPr>
        <w:t>l Resolutivo Primero del Acuerdo establece someter a consulta pública el “</w:t>
      </w:r>
      <w:r w:rsidR="004C47D5" w:rsidRPr="0070085A">
        <w:rPr>
          <w:rFonts w:ascii="ITC Avant Garde" w:hAnsi="ITC Avant Garde"/>
          <w:sz w:val="22"/>
          <w:szCs w:val="22"/>
        </w:rPr>
        <w:t>A</w:t>
      </w:r>
      <w:r w:rsidR="004C47D5" w:rsidRPr="0070085A">
        <w:rPr>
          <w:rFonts w:ascii="ITC Avant Garde" w:hAnsi="ITC Avant Garde" w:cs="Tahoma"/>
          <w:bCs/>
          <w:sz w:val="22"/>
          <w:szCs w:val="22"/>
        </w:rPr>
        <w:t>NTEPROYECTO DE DISPOSICIÓN TÉCNICA IFT-007-2016:</w:t>
      </w:r>
      <w:r w:rsidR="004C47D5" w:rsidRPr="0070085A">
        <w:rPr>
          <w:rFonts w:ascii="ITC Avant Garde" w:hAnsi="ITC Avant Garde" w:cs="Tahoma"/>
          <w:b/>
          <w:bCs/>
          <w:sz w:val="22"/>
          <w:szCs w:val="22"/>
        </w:rPr>
        <w:t xml:space="preserve"> </w:t>
      </w:r>
      <w:r w:rsidR="004C47D5" w:rsidRPr="0070085A">
        <w:rPr>
          <w:rFonts w:ascii="ITC Avant Garde" w:hAnsi="ITC Avant Garde" w:cs="Tahoma"/>
          <w:bCs/>
          <w:sz w:val="22"/>
          <w:szCs w:val="22"/>
        </w:rPr>
        <w:t xml:space="preserve">LÍMITES DE </w:t>
      </w:r>
      <w:r w:rsidR="004C47D5" w:rsidRPr="0070085A">
        <w:rPr>
          <w:rFonts w:ascii="ITC Avant Garde" w:hAnsi="ITC Avant Garde" w:cs="Tahoma"/>
          <w:bCs/>
          <w:sz w:val="22"/>
          <w:szCs w:val="22"/>
        </w:rPr>
        <w:lastRenderedPageBreak/>
        <w:t xml:space="preserve">EXPOSICIÓN MÁXIMA </w:t>
      </w:r>
      <w:r w:rsidR="004C47D5" w:rsidRPr="0070085A">
        <w:rPr>
          <w:rFonts w:ascii="ITC Avant Garde" w:hAnsi="ITC Avant Garde" w:cs="Tahoma"/>
          <w:bCs/>
          <w:sz w:val="22"/>
          <w:szCs w:val="22"/>
          <w:lang w:val="es-ES_tradnl"/>
        </w:rPr>
        <w:t>PARA SERES HUMANOS A RADIACIONES ELECTROMAGNÉTICAS DE RADIOFRECUENCIA NO IONIZANTES EN EL INTERVALO DE 100 kHz  A 300 GHz EN EL ENTORNO DE ESTACIONES DE RADIOCOMUNICACIONES</w:t>
      </w:r>
      <w:r w:rsidR="004C47D5" w:rsidRPr="0070085A">
        <w:rPr>
          <w:rFonts w:ascii="ITC Avant Garde" w:hAnsi="ITC Avant Garde"/>
          <w:sz w:val="22"/>
          <w:szCs w:val="22"/>
          <w:lang w:val="es-ES_tradnl"/>
        </w:rPr>
        <w:t xml:space="preserve">”, por un plazo de </w:t>
      </w:r>
      <w:r w:rsidR="00E3442C" w:rsidRPr="0070085A">
        <w:rPr>
          <w:rFonts w:ascii="ITC Avant Garde" w:hAnsi="ITC Avant Garde"/>
          <w:sz w:val="22"/>
          <w:szCs w:val="22"/>
          <w:lang w:val="es-ES_tradnl"/>
        </w:rPr>
        <w:t>2</w:t>
      </w:r>
      <w:r w:rsidR="004C47D5" w:rsidRPr="0070085A">
        <w:rPr>
          <w:rFonts w:ascii="ITC Avant Garde" w:hAnsi="ITC Avant Garde"/>
          <w:sz w:val="22"/>
          <w:szCs w:val="22"/>
          <w:lang w:val="es-ES_tradnl"/>
        </w:rPr>
        <w:t>0 días hábiles</w:t>
      </w:r>
      <w:r w:rsidR="00E3442C" w:rsidRPr="0070085A">
        <w:rPr>
          <w:rFonts w:ascii="ITC Avant Garde" w:hAnsi="ITC Avant Garde"/>
          <w:sz w:val="22"/>
          <w:szCs w:val="22"/>
          <w:lang w:val="es-ES_tradnl"/>
        </w:rPr>
        <w:t xml:space="preserve"> contados a partir de su publicación en el portal de Internet del Instituto</w:t>
      </w:r>
      <w:r w:rsidR="004C47D5" w:rsidRPr="0070085A">
        <w:rPr>
          <w:rFonts w:ascii="ITC Avant Garde" w:hAnsi="ITC Avant Garde"/>
          <w:sz w:val="22"/>
          <w:szCs w:val="22"/>
          <w:lang w:val="es-ES_tradnl"/>
        </w:rPr>
        <w:t xml:space="preserve">, esto es, del </w:t>
      </w:r>
      <w:r w:rsidR="00E3442C" w:rsidRPr="0070085A">
        <w:rPr>
          <w:rFonts w:ascii="ITC Avant Garde" w:hAnsi="ITC Avant Garde"/>
          <w:color w:val="auto"/>
          <w:sz w:val="22"/>
          <w:szCs w:val="22"/>
        </w:rPr>
        <w:t xml:space="preserve">13 de diciembre de 2016 al 23 de enero de </w:t>
      </w:r>
      <w:r w:rsidR="004C47D5" w:rsidRPr="0070085A">
        <w:rPr>
          <w:rFonts w:ascii="ITC Avant Garde" w:hAnsi="ITC Avant Garde"/>
          <w:color w:val="auto"/>
          <w:sz w:val="22"/>
          <w:szCs w:val="22"/>
        </w:rPr>
        <w:t>201</w:t>
      </w:r>
      <w:r w:rsidR="00E3442C" w:rsidRPr="0070085A">
        <w:rPr>
          <w:rFonts w:ascii="ITC Avant Garde" w:hAnsi="ITC Avant Garde"/>
          <w:color w:val="auto"/>
          <w:sz w:val="22"/>
          <w:szCs w:val="22"/>
        </w:rPr>
        <w:t>7</w:t>
      </w:r>
      <w:r w:rsidR="004C47D5" w:rsidRPr="0070085A">
        <w:rPr>
          <w:rFonts w:ascii="ITC Avant Garde" w:hAnsi="ITC Avant Garde"/>
          <w:color w:val="auto"/>
          <w:sz w:val="22"/>
          <w:szCs w:val="22"/>
        </w:rPr>
        <w:t>.</w:t>
      </w:r>
    </w:p>
    <w:p w14:paraId="4A54D2BA" w14:textId="77777777" w:rsidR="00B90A60" w:rsidRDefault="00E3442C" w:rsidP="00B90A60">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Dada la </w:t>
      </w:r>
      <w:r w:rsidR="00295E0F" w:rsidRPr="0070085A">
        <w:rPr>
          <w:rFonts w:ascii="ITC Avant Garde" w:hAnsi="ITC Avant Garde"/>
          <w:bCs/>
          <w:sz w:val="22"/>
          <w:szCs w:val="22"/>
          <w:lang w:val="es-ES_tradnl"/>
        </w:rPr>
        <w:t>importan</w:t>
      </w:r>
      <w:r w:rsidR="00625659" w:rsidRPr="0070085A">
        <w:rPr>
          <w:rFonts w:ascii="ITC Avant Garde" w:hAnsi="ITC Avant Garde"/>
          <w:bCs/>
          <w:sz w:val="22"/>
          <w:szCs w:val="22"/>
          <w:lang w:val="es-ES_tradnl"/>
        </w:rPr>
        <w:t>cia de los comentarios que pudiera</w:t>
      </w:r>
      <w:r w:rsidR="00295E0F" w:rsidRPr="0070085A">
        <w:rPr>
          <w:rFonts w:ascii="ITC Avant Garde" w:hAnsi="ITC Avant Garde"/>
          <w:bCs/>
          <w:sz w:val="22"/>
          <w:szCs w:val="22"/>
          <w:lang w:val="es-ES_tradnl"/>
        </w:rPr>
        <w:t xml:space="preserve"> aportar la GSMA sobre los temas contemplados en el Acuerdo, e</w:t>
      </w:r>
      <w:r w:rsidRPr="0070085A">
        <w:rPr>
          <w:rFonts w:ascii="ITC Avant Garde" w:hAnsi="ITC Avant Garde"/>
          <w:bCs/>
          <w:sz w:val="22"/>
          <w:szCs w:val="22"/>
          <w:lang w:val="es-ES_tradnl"/>
        </w:rPr>
        <w:t>l Pleno del Instituto ha considerado oportuno y conveniente ampliar el plazo de dicha consulta pública a efecto de permitir a todos los interesados un mayor periodo de tiempo para el análisis de las medidas propuestas por el Instituto, así como en la formulación de comentarios, opiniones y aportaciones a propósito de esos temas.</w:t>
      </w:r>
    </w:p>
    <w:p w14:paraId="2F457634" w14:textId="77777777" w:rsidR="00B90A60" w:rsidRDefault="00E3442C" w:rsidP="00B90A60">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 xml:space="preserve">En virtud de lo anteriormente expuesto, el Pleno del Instituto ha considerado procedente prorrogar por un término de </w:t>
      </w:r>
      <w:r w:rsidR="00C92004" w:rsidRPr="0070085A">
        <w:rPr>
          <w:rFonts w:ascii="ITC Avant Garde" w:hAnsi="ITC Avant Garde"/>
          <w:bCs/>
          <w:sz w:val="22"/>
          <w:szCs w:val="22"/>
          <w:lang w:val="es-ES_tradnl"/>
        </w:rPr>
        <w:t>20</w:t>
      </w:r>
      <w:r w:rsidRPr="0070085A">
        <w:rPr>
          <w:rFonts w:ascii="ITC Avant Garde" w:hAnsi="ITC Avant Garde"/>
          <w:bCs/>
          <w:sz w:val="22"/>
          <w:szCs w:val="22"/>
          <w:lang w:val="es-ES_tradnl"/>
        </w:rPr>
        <w:t xml:space="preserve"> días hábiles el plazo de la consulta pública en comento, ello, a través de la modificación del plazo originalmente otorgado, previsto en el Resolutivo Primero del A</w:t>
      </w:r>
      <w:r w:rsidR="00295E0F" w:rsidRPr="0070085A">
        <w:rPr>
          <w:rFonts w:ascii="ITC Avant Garde" w:hAnsi="ITC Avant Garde"/>
          <w:bCs/>
          <w:sz w:val="22"/>
          <w:szCs w:val="22"/>
          <w:lang w:val="es-ES_tradnl"/>
        </w:rPr>
        <w:t>cuerdo</w:t>
      </w:r>
      <w:r w:rsidRPr="0070085A">
        <w:rPr>
          <w:rFonts w:ascii="ITC Avant Garde" w:hAnsi="ITC Avant Garde"/>
          <w:bCs/>
          <w:sz w:val="22"/>
          <w:szCs w:val="22"/>
          <w:lang w:val="es-ES_tradnl"/>
        </w:rPr>
        <w:t>.</w:t>
      </w:r>
    </w:p>
    <w:p w14:paraId="70CABB90" w14:textId="77777777" w:rsidR="00B90A60" w:rsidRDefault="00E3442C" w:rsidP="00B90A60">
      <w:pPr>
        <w:pStyle w:val="Default"/>
        <w:tabs>
          <w:tab w:val="left" w:pos="0"/>
        </w:tabs>
        <w:spacing w:before="240" w:after="240" w:line="276" w:lineRule="auto"/>
        <w:jc w:val="both"/>
        <w:rPr>
          <w:rFonts w:ascii="ITC Avant Garde" w:hAnsi="ITC Avant Garde"/>
          <w:bCs/>
          <w:sz w:val="22"/>
          <w:szCs w:val="22"/>
          <w:lang w:val="es-ES_tradnl"/>
        </w:rPr>
      </w:pPr>
      <w:r w:rsidRPr="0070085A">
        <w:rPr>
          <w:rFonts w:ascii="ITC Avant Garde" w:hAnsi="ITC Avant Garde"/>
          <w:bCs/>
          <w:sz w:val="22"/>
          <w:szCs w:val="22"/>
          <w:lang w:val="es-ES_tradnl"/>
        </w:rPr>
        <w:t>Por lo que, el Pleno del Instituto Federal de Telecomunicaciones con fundamento en lo dispuesto por los artículos 28, párrafo</w:t>
      </w:r>
      <w:r w:rsidRPr="0070085A">
        <w:rPr>
          <w:rFonts w:ascii="ITC Avant Garde" w:hAnsi="ITC Avant Garde" w:cs="Arial"/>
          <w:sz w:val="22"/>
          <w:szCs w:val="22"/>
        </w:rPr>
        <w:t xml:space="preserve"> décimo quinto</w:t>
      </w:r>
      <w:r w:rsidRPr="0070085A">
        <w:rPr>
          <w:rFonts w:ascii="ITC Avant Garde" w:hAnsi="ITC Avant Garde"/>
          <w:bCs/>
          <w:sz w:val="22"/>
          <w:szCs w:val="22"/>
          <w:lang w:val="es-ES_tradnl"/>
        </w:rPr>
        <w:t xml:space="preserve"> de la Constitución Política de los Estados Unidos Mexicanos;</w:t>
      </w:r>
      <w:r w:rsidR="007F15DA"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1, 2, 6, 7, 15 fracción XL</w:t>
      </w:r>
      <w:r w:rsidRPr="0070085A">
        <w:rPr>
          <w:rFonts w:ascii="ITC Avant Garde" w:hAnsi="ITC Avant Garde"/>
          <w:bCs/>
          <w:sz w:val="22"/>
          <w:szCs w:val="22"/>
          <w:lang w:val="es-ES_tradnl"/>
        </w:rPr>
        <w:t xml:space="preserve">, </w:t>
      </w:r>
      <w:r w:rsidR="00DC1A4C" w:rsidRPr="0070085A">
        <w:rPr>
          <w:rFonts w:ascii="ITC Avant Garde" w:hAnsi="ITC Avant Garde"/>
          <w:bCs/>
          <w:sz w:val="22"/>
          <w:szCs w:val="22"/>
          <w:lang w:val="es-ES_tradnl"/>
        </w:rPr>
        <w:t xml:space="preserve">51 y </w:t>
      </w:r>
      <w:r w:rsidR="007F15DA" w:rsidRPr="0070085A">
        <w:rPr>
          <w:rFonts w:ascii="ITC Avant Garde" w:hAnsi="ITC Avant Garde"/>
          <w:bCs/>
          <w:sz w:val="22"/>
          <w:szCs w:val="22"/>
          <w:lang w:val="es-ES_tradnl"/>
        </w:rPr>
        <w:t xml:space="preserve">65 </w:t>
      </w:r>
      <w:r w:rsidRPr="0070085A">
        <w:rPr>
          <w:rFonts w:ascii="ITC Avant Garde" w:hAnsi="ITC Avant Garde"/>
          <w:bCs/>
          <w:sz w:val="22"/>
          <w:szCs w:val="22"/>
          <w:lang w:val="es-ES_tradnl"/>
        </w:rPr>
        <w:t xml:space="preserve">de la Ley Federal de Telecomunicaciones y Radiodifusión; así como 1, 22 y 23 </w:t>
      </w:r>
      <w:r w:rsidRPr="0070085A">
        <w:rPr>
          <w:rFonts w:ascii="ITC Avant Garde" w:hAnsi="ITC Avant Garde"/>
          <w:bCs/>
          <w:color w:val="auto"/>
          <w:sz w:val="22"/>
          <w:szCs w:val="22"/>
          <w:lang w:val="es-ES_tradnl"/>
        </w:rPr>
        <w:t xml:space="preserve">fracción IX del Estatuto </w:t>
      </w:r>
      <w:r w:rsidRPr="0070085A">
        <w:rPr>
          <w:rFonts w:ascii="ITC Avant Garde" w:hAnsi="ITC Avant Garde"/>
          <w:bCs/>
          <w:sz w:val="22"/>
          <w:szCs w:val="22"/>
          <w:lang w:val="es-ES_tradnl"/>
        </w:rPr>
        <w:t>Orgánico del Instituto Federal de Telecomunicaciones, expide el siguiente:</w:t>
      </w:r>
    </w:p>
    <w:p w14:paraId="54A2C1A3" w14:textId="77777777" w:rsidR="00B90A60" w:rsidRPr="00B90A60" w:rsidRDefault="00E3442C" w:rsidP="00B90A60">
      <w:pPr>
        <w:pStyle w:val="Ttulo2"/>
        <w:spacing w:after="240"/>
        <w:jc w:val="center"/>
        <w:rPr>
          <w:rFonts w:ascii="ITC Avant Garde" w:hAnsi="ITC Avant Garde"/>
          <w:b/>
          <w:color w:val="000000" w:themeColor="text1"/>
          <w:sz w:val="22"/>
          <w:szCs w:val="22"/>
        </w:rPr>
      </w:pPr>
      <w:r w:rsidRPr="00B90A60">
        <w:rPr>
          <w:rFonts w:ascii="ITC Avant Garde" w:hAnsi="ITC Avant Garde"/>
          <w:b/>
          <w:color w:val="000000" w:themeColor="text1"/>
          <w:sz w:val="22"/>
          <w:szCs w:val="22"/>
        </w:rPr>
        <w:t>ACUERDO</w:t>
      </w:r>
    </w:p>
    <w:p w14:paraId="1F723055" w14:textId="77777777" w:rsidR="00B90A60" w:rsidRDefault="00E3442C" w:rsidP="00B90A60">
      <w:pPr>
        <w:autoSpaceDE w:val="0"/>
        <w:autoSpaceDN w:val="0"/>
        <w:adjustRightInd w:val="0"/>
        <w:spacing w:before="240" w:after="240" w:line="276" w:lineRule="auto"/>
        <w:jc w:val="both"/>
        <w:rPr>
          <w:rFonts w:ascii="ITC Avant Garde" w:hAnsi="ITC Avant Garde" w:cs="Tahoma"/>
          <w:bCs/>
          <w:color w:val="000000"/>
          <w:sz w:val="22"/>
          <w:szCs w:val="22"/>
          <w:lang w:eastAsia="es-MX"/>
        </w:rPr>
      </w:pPr>
      <w:r w:rsidRPr="0070085A">
        <w:rPr>
          <w:rFonts w:ascii="ITC Avant Garde" w:hAnsi="ITC Avant Garde" w:cs="Tahoma"/>
          <w:b/>
          <w:bCs/>
          <w:color w:val="000000"/>
          <w:sz w:val="22"/>
          <w:szCs w:val="22"/>
          <w:lang w:eastAsia="es-MX"/>
        </w:rPr>
        <w:t>PRIMERO</w:t>
      </w:r>
      <w:r w:rsidRPr="0070085A">
        <w:rPr>
          <w:rFonts w:ascii="ITC Avant Garde" w:hAnsi="ITC Avant Garde" w:cs="Tahoma"/>
          <w:bCs/>
          <w:color w:val="000000"/>
          <w:sz w:val="22"/>
          <w:szCs w:val="22"/>
          <w:lang w:eastAsia="es-MX"/>
        </w:rPr>
        <w:t xml:space="preserve">.- </w:t>
      </w:r>
      <w:r w:rsidR="00FA1F22" w:rsidRPr="0070085A">
        <w:rPr>
          <w:rFonts w:ascii="ITC Avant Garde" w:hAnsi="ITC Avant Garde" w:cs="Arial"/>
          <w:bCs/>
          <w:sz w:val="22"/>
          <w:szCs w:val="22"/>
        </w:rPr>
        <w:t>Se amplía 20 (veinte) días hábiles el plazo de la consulta pública establecido originalmente en el “</w:t>
      </w:r>
      <w:r w:rsidR="00BC3F88" w:rsidRPr="0070085A">
        <w:rPr>
          <w:rFonts w:ascii="ITC Avant Garde" w:hAnsi="ITC Avant Garde" w:cs="Tahoma"/>
          <w:bCs/>
          <w:color w:val="000000"/>
          <w:sz w:val="22"/>
          <w:szCs w:val="22"/>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w:t>
      </w:r>
      <w:r w:rsidR="00155F57" w:rsidRPr="0070085A">
        <w:rPr>
          <w:rFonts w:ascii="ITC Avant Garde" w:hAnsi="ITC Avant Garde" w:cs="Tahoma"/>
          <w:bCs/>
          <w:color w:val="000000"/>
          <w:sz w:val="22"/>
          <w:szCs w:val="22"/>
        </w:rPr>
        <w:t>CIONES DE  RADIOCOMUNICACIONES”,</w:t>
      </w:r>
      <w:r w:rsidR="00FA1F22" w:rsidRPr="0070085A">
        <w:rPr>
          <w:rFonts w:ascii="ITC Avant Garde" w:hAnsi="ITC Avant Garde" w:cs="Arial"/>
          <w:bCs/>
          <w:sz w:val="22"/>
          <w:szCs w:val="22"/>
        </w:rPr>
        <w:t xml:space="preserve"> mismo que finalizará el 21 de febrero de 2017.</w:t>
      </w:r>
    </w:p>
    <w:p w14:paraId="0A7FAFAC" w14:textId="77777777" w:rsidR="00B90A60" w:rsidRDefault="00193ACE" w:rsidP="00B90A60">
      <w:pPr>
        <w:spacing w:before="240" w:after="240" w:line="276" w:lineRule="auto"/>
        <w:jc w:val="both"/>
        <w:rPr>
          <w:rFonts w:ascii="ITC Avant Garde" w:hAnsi="ITC Avant Garde" w:cs="Arial"/>
          <w:sz w:val="22"/>
          <w:szCs w:val="22"/>
        </w:rPr>
      </w:pPr>
      <w:r w:rsidRPr="0070085A">
        <w:rPr>
          <w:rFonts w:ascii="ITC Avant Garde" w:hAnsi="ITC Avant Garde" w:cs="Tahoma"/>
          <w:b/>
          <w:bCs/>
          <w:color w:val="000000"/>
          <w:sz w:val="22"/>
          <w:szCs w:val="22"/>
          <w:lang w:eastAsia="es-MX"/>
        </w:rPr>
        <w:t>SEGUNDO.</w:t>
      </w:r>
      <w:r w:rsidRPr="0070085A">
        <w:rPr>
          <w:rFonts w:ascii="ITC Avant Garde" w:hAnsi="ITC Avant Garde" w:cs="Tahoma"/>
          <w:bCs/>
          <w:color w:val="000000"/>
          <w:sz w:val="22"/>
          <w:szCs w:val="22"/>
          <w:lang w:eastAsia="es-MX"/>
        </w:rPr>
        <w:t xml:space="preserve">- </w:t>
      </w:r>
      <w:r w:rsidRPr="0070085A">
        <w:rPr>
          <w:rFonts w:ascii="ITC Avant Garde" w:hAnsi="ITC Avant Garde" w:cs="Arial"/>
          <w:sz w:val="22"/>
          <w:szCs w:val="22"/>
        </w:rPr>
        <w:t>Se instruye a la Coordinación  General de Mejora Regulatoria a realizar los ajustes y adecuaciones que correspondan en el portal de Internet, a fin de actualizar el plazo originalmente previsto en la consulta pública referida en el numeral que antecede.</w:t>
      </w:r>
    </w:p>
    <w:p w14:paraId="10A8250B" w14:textId="77777777" w:rsidR="00B90A60" w:rsidRDefault="00F51400" w:rsidP="00B90A60">
      <w:pPr>
        <w:autoSpaceDE w:val="0"/>
        <w:autoSpaceDN w:val="0"/>
        <w:adjustRightInd w:val="0"/>
        <w:spacing w:before="240" w:after="240" w:line="276" w:lineRule="auto"/>
        <w:jc w:val="both"/>
        <w:rPr>
          <w:rFonts w:ascii="ITC Avant Garde" w:hAnsi="ITC Avant Garde" w:cs="Arial"/>
          <w:sz w:val="22"/>
          <w:szCs w:val="22"/>
        </w:rPr>
      </w:pPr>
      <w:bookmarkStart w:id="0" w:name="_GoBack"/>
      <w:bookmarkEnd w:id="0"/>
      <w:r w:rsidRPr="0070085A">
        <w:rPr>
          <w:rFonts w:ascii="ITC Avant Garde" w:hAnsi="ITC Avant Garde" w:cs="Arial"/>
          <w:b/>
          <w:sz w:val="22"/>
          <w:szCs w:val="22"/>
        </w:rPr>
        <w:lastRenderedPageBreak/>
        <w:t xml:space="preserve">TERCERO.- </w:t>
      </w:r>
      <w:r w:rsidR="00AD55DE" w:rsidRPr="0070085A">
        <w:rPr>
          <w:rFonts w:ascii="ITC Avant Garde" w:hAnsi="ITC Avant Garde" w:cs="Arial"/>
          <w:sz w:val="22"/>
          <w:szCs w:val="22"/>
        </w:rPr>
        <w:t xml:space="preserve">Publíquese </w:t>
      </w:r>
      <w:r w:rsidR="002367EE" w:rsidRPr="0070085A">
        <w:rPr>
          <w:rFonts w:ascii="ITC Avant Garde" w:hAnsi="ITC Avant Garde" w:cs="Arial"/>
          <w:sz w:val="22"/>
          <w:szCs w:val="22"/>
        </w:rPr>
        <w:t xml:space="preserve">en la página de Internet </w:t>
      </w:r>
      <w:r w:rsidRPr="0070085A">
        <w:rPr>
          <w:rFonts w:ascii="ITC Avant Garde" w:hAnsi="ITC Avant Garde" w:cs="Arial"/>
          <w:sz w:val="22"/>
          <w:szCs w:val="22"/>
        </w:rPr>
        <w:t>del Instituto Federal de Telecomunicaciones.</w:t>
      </w:r>
    </w:p>
    <w:p w14:paraId="09335429" w14:textId="5BA62A0D" w:rsidR="0082434B" w:rsidRPr="00B90A60" w:rsidRDefault="008A4AF1" w:rsidP="00B90A60">
      <w:pPr>
        <w:spacing w:before="240" w:after="240" w:line="276" w:lineRule="auto"/>
        <w:jc w:val="both"/>
        <w:rPr>
          <w:rFonts w:ascii="ITC Avant Garde" w:hAnsi="ITC Avant Garde" w:cs="Tahoma"/>
          <w:bCs/>
          <w:sz w:val="14"/>
          <w:szCs w:val="14"/>
        </w:rPr>
      </w:pPr>
      <w:r w:rsidRPr="008A4AF1">
        <w:rPr>
          <w:rFonts w:ascii="ITC Avant Garde" w:hAnsi="ITC Avant Garde" w:cs="Tahoma"/>
          <w:bCs/>
          <w:sz w:val="14"/>
          <w:szCs w:val="14"/>
        </w:rPr>
        <w:t>El presente Acuerdo fue aprobado por el Pleno del Instituto Federal de Telecomunicaciones en su I Sesión Ordinaria celebrada el 16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P/IFT/160117/7.</w:t>
      </w:r>
    </w:p>
    <w:sectPr w:rsidR="0082434B" w:rsidRPr="00B90A60" w:rsidSect="008A4AF1">
      <w:footerReference w:type="default" r:id="rId8"/>
      <w:pgSz w:w="12240" w:h="15840"/>
      <w:pgMar w:top="2127" w:right="1699" w:bottom="1135" w:left="1699" w:header="706" w:footer="5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6F91" w14:textId="77777777" w:rsidR="00093939" w:rsidRDefault="00093939">
      <w:r>
        <w:separator/>
      </w:r>
    </w:p>
  </w:endnote>
  <w:endnote w:type="continuationSeparator" w:id="0">
    <w:p w14:paraId="5603DC9F" w14:textId="77777777" w:rsidR="00093939" w:rsidRDefault="0009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758902"/>
      <w:docPartObj>
        <w:docPartGallery w:val="Page Numbers (Bottom of Page)"/>
        <w:docPartUnique/>
      </w:docPartObj>
    </w:sdtPr>
    <w:sdtEndPr>
      <w:rPr>
        <w:rFonts w:ascii="ITC Avant Garde" w:hAnsi="ITC Avant Garde"/>
        <w:sz w:val="20"/>
        <w:szCs w:val="20"/>
      </w:rPr>
    </w:sdtEndPr>
    <w:sdtContent>
      <w:p w14:paraId="099F744E" w14:textId="2AF31F2B"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B90A60" w:rsidRPr="00B90A60">
          <w:rPr>
            <w:rFonts w:ascii="ITC Avant Garde" w:hAnsi="ITC Avant Garde"/>
            <w:noProof/>
            <w:sz w:val="20"/>
            <w:szCs w:val="20"/>
            <w:lang w:val="es-ES"/>
          </w:rPr>
          <w:t>4</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2ED2B" w14:textId="77777777" w:rsidR="00093939" w:rsidRDefault="00093939">
      <w:r>
        <w:separator/>
      </w:r>
    </w:p>
  </w:footnote>
  <w:footnote w:type="continuationSeparator" w:id="0">
    <w:p w14:paraId="3E25B343" w14:textId="77777777" w:rsidR="00093939" w:rsidRDefault="00093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15F75"/>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32228"/>
    <w:multiLevelType w:val="hybridMultilevel"/>
    <w:tmpl w:val="E0C80E00"/>
    <w:lvl w:ilvl="0" w:tplc="8C120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1"/>
  </w:num>
  <w:num w:numId="5">
    <w:abstractNumId w:val="5"/>
  </w:num>
  <w:num w:numId="6">
    <w:abstractNumId w:val="12"/>
  </w:num>
  <w:num w:numId="7">
    <w:abstractNumId w:val="10"/>
  </w:num>
  <w:num w:numId="8">
    <w:abstractNumId w:val="9"/>
  </w:num>
  <w:num w:numId="9">
    <w:abstractNumId w:val="13"/>
  </w:num>
  <w:num w:numId="10">
    <w:abstractNumId w:val="0"/>
  </w:num>
  <w:num w:numId="11">
    <w:abstractNumId w:val="2"/>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C94"/>
    <w:rsid w:val="00005B2B"/>
    <w:rsid w:val="00014BB7"/>
    <w:rsid w:val="00020680"/>
    <w:rsid w:val="00025B73"/>
    <w:rsid w:val="0003078E"/>
    <w:rsid w:val="00032CE8"/>
    <w:rsid w:val="00051C56"/>
    <w:rsid w:val="0005421F"/>
    <w:rsid w:val="000553EF"/>
    <w:rsid w:val="000727A5"/>
    <w:rsid w:val="00075D68"/>
    <w:rsid w:val="00093939"/>
    <w:rsid w:val="000A7D43"/>
    <w:rsid w:val="000B2E4B"/>
    <w:rsid w:val="000D51BE"/>
    <w:rsid w:val="000E45A5"/>
    <w:rsid w:val="000F136B"/>
    <w:rsid w:val="000F6509"/>
    <w:rsid w:val="000F6AF4"/>
    <w:rsid w:val="000F70A1"/>
    <w:rsid w:val="000F7B64"/>
    <w:rsid w:val="00106602"/>
    <w:rsid w:val="00110A96"/>
    <w:rsid w:val="001211C1"/>
    <w:rsid w:val="00121FDF"/>
    <w:rsid w:val="00122663"/>
    <w:rsid w:val="00137D65"/>
    <w:rsid w:val="0014291C"/>
    <w:rsid w:val="00143654"/>
    <w:rsid w:val="00151463"/>
    <w:rsid w:val="00155F57"/>
    <w:rsid w:val="00161065"/>
    <w:rsid w:val="001640FC"/>
    <w:rsid w:val="00170158"/>
    <w:rsid w:val="00175246"/>
    <w:rsid w:val="00177A17"/>
    <w:rsid w:val="00183EBB"/>
    <w:rsid w:val="00193ACE"/>
    <w:rsid w:val="001A4ACD"/>
    <w:rsid w:val="001A621F"/>
    <w:rsid w:val="001A6D56"/>
    <w:rsid w:val="001C31F6"/>
    <w:rsid w:val="001D206B"/>
    <w:rsid w:val="001D3E86"/>
    <w:rsid w:val="001E26AF"/>
    <w:rsid w:val="001E272C"/>
    <w:rsid w:val="001E2765"/>
    <w:rsid w:val="001E446E"/>
    <w:rsid w:val="001E7E83"/>
    <w:rsid w:val="001F028B"/>
    <w:rsid w:val="001F18DD"/>
    <w:rsid w:val="00220DA4"/>
    <w:rsid w:val="00224DFC"/>
    <w:rsid w:val="002367EE"/>
    <w:rsid w:val="00245EB0"/>
    <w:rsid w:val="002517B0"/>
    <w:rsid w:val="0025760B"/>
    <w:rsid w:val="00266B27"/>
    <w:rsid w:val="002808A8"/>
    <w:rsid w:val="00282A20"/>
    <w:rsid w:val="00286C0F"/>
    <w:rsid w:val="00295E0F"/>
    <w:rsid w:val="0029702A"/>
    <w:rsid w:val="002B0CE5"/>
    <w:rsid w:val="002B2594"/>
    <w:rsid w:val="002B336B"/>
    <w:rsid w:val="002C3821"/>
    <w:rsid w:val="002C3AAE"/>
    <w:rsid w:val="002C4704"/>
    <w:rsid w:val="002D22E7"/>
    <w:rsid w:val="00317CE8"/>
    <w:rsid w:val="00321952"/>
    <w:rsid w:val="003274A9"/>
    <w:rsid w:val="00340DDC"/>
    <w:rsid w:val="003605C6"/>
    <w:rsid w:val="00367CE9"/>
    <w:rsid w:val="003A41B1"/>
    <w:rsid w:val="003B1B1B"/>
    <w:rsid w:val="003B26EE"/>
    <w:rsid w:val="003C0915"/>
    <w:rsid w:val="003D7511"/>
    <w:rsid w:val="003E25F3"/>
    <w:rsid w:val="003F0842"/>
    <w:rsid w:val="003F1808"/>
    <w:rsid w:val="00402396"/>
    <w:rsid w:val="00412C90"/>
    <w:rsid w:val="00427E5C"/>
    <w:rsid w:val="00437E5E"/>
    <w:rsid w:val="00443596"/>
    <w:rsid w:val="004475AB"/>
    <w:rsid w:val="004625B3"/>
    <w:rsid w:val="00471C79"/>
    <w:rsid w:val="004813C6"/>
    <w:rsid w:val="004978D9"/>
    <w:rsid w:val="004C47D5"/>
    <w:rsid w:val="004D176E"/>
    <w:rsid w:val="005055E1"/>
    <w:rsid w:val="00530E9B"/>
    <w:rsid w:val="00531DEE"/>
    <w:rsid w:val="00546892"/>
    <w:rsid w:val="0054691A"/>
    <w:rsid w:val="00553DC3"/>
    <w:rsid w:val="00562D98"/>
    <w:rsid w:val="00565825"/>
    <w:rsid w:val="00565E88"/>
    <w:rsid w:val="005810AF"/>
    <w:rsid w:val="00587EC5"/>
    <w:rsid w:val="00592EE7"/>
    <w:rsid w:val="005A62AA"/>
    <w:rsid w:val="005D387D"/>
    <w:rsid w:val="005E5830"/>
    <w:rsid w:val="005E6F56"/>
    <w:rsid w:val="005E7BEB"/>
    <w:rsid w:val="005F051C"/>
    <w:rsid w:val="00622F1D"/>
    <w:rsid w:val="00625659"/>
    <w:rsid w:val="00633649"/>
    <w:rsid w:val="0064104D"/>
    <w:rsid w:val="00644117"/>
    <w:rsid w:val="006520A1"/>
    <w:rsid w:val="00660800"/>
    <w:rsid w:val="00662D3C"/>
    <w:rsid w:val="006659C0"/>
    <w:rsid w:val="006909B8"/>
    <w:rsid w:val="006948E9"/>
    <w:rsid w:val="006C0C52"/>
    <w:rsid w:val="006C1BAE"/>
    <w:rsid w:val="006E0437"/>
    <w:rsid w:val="0070085A"/>
    <w:rsid w:val="00722C39"/>
    <w:rsid w:val="00744EC1"/>
    <w:rsid w:val="00751213"/>
    <w:rsid w:val="00752ABB"/>
    <w:rsid w:val="0077173D"/>
    <w:rsid w:val="00773B55"/>
    <w:rsid w:val="007816F1"/>
    <w:rsid w:val="00784F2B"/>
    <w:rsid w:val="0079037D"/>
    <w:rsid w:val="007B578D"/>
    <w:rsid w:val="007D0DA8"/>
    <w:rsid w:val="007E04F7"/>
    <w:rsid w:val="007F15DA"/>
    <w:rsid w:val="00807195"/>
    <w:rsid w:val="0082434B"/>
    <w:rsid w:val="00825E44"/>
    <w:rsid w:val="00852002"/>
    <w:rsid w:val="008620AC"/>
    <w:rsid w:val="0086699E"/>
    <w:rsid w:val="0087085E"/>
    <w:rsid w:val="008808B5"/>
    <w:rsid w:val="00882E9E"/>
    <w:rsid w:val="00891385"/>
    <w:rsid w:val="00892701"/>
    <w:rsid w:val="008A4AF1"/>
    <w:rsid w:val="008A5F01"/>
    <w:rsid w:val="008B1A87"/>
    <w:rsid w:val="008B54F1"/>
    <w:rsid w:val="008B6CD1"/>
    <w:rsid w:val="008C5731"/>
    <w:rsid w:val="008C6C31"/>
    <w:rsid w:val="008C721F"/>
    <w:rsid w:val="008D1966"/>
    <w:rsid w:val="008D39C8"/>
    <w:rsid w:val="008F3699"/>
    <w:rsid w:val="00900463"/>
    <w:rsid w:val="009026F6"/>
    <w:rsid w:val="0090463B"/>
    <w:rsid w:val="00910588"/>
    <w:rsid w:val="00924503"/>
    <w:rsid w:val="00935532"/>
    <w:rsid w:val="0096647C"/>
    <w:rsid w:val="00972901"/>
    <w:rsid w:val="00985C0F"/>
    <w:rsid w:val="009B3271"/>
    <w:rsid w:val="009C7F55"/>
    <w:rsid w:val="009D6690"/>
    <w:rsid w:val="009E74B3"/>
    <w:rsid w:val="009F53ED"/>
    <w:rsid w:val="00A06EBB"/>
    <w:rsid w:val="00A14184"/>
    <w:rsid w:val="00A15D79"/>
    <w:rsid w:val="00A25594"/>
    <w:rsid w:val="00A27745"/>
    <w:rsid w:val="00A43B8E"/>
    <w:rsid w:val="00A474E0"/>
    <w:rsid w:val="00A72ADE"/>
    <w:rsid w:val="00A80479"/>
    <w:rsid w:val="00A808EF"/>
    <w:rsid w:val="00A809F7"/>
    <w:rsid w:val="00A8223F"/>
    <w:rsid w:val="00A84A8A"/>
    <w:rsid w:val="00A85CD9"/>
    <w:rsid w:val="00A9437E"/>
    <w:rsid w:val="00A9602A"/>
    <w:rsid w:val="00AA4061"/>
    <w:rsid w:val="00AC1CAC"/>
    <w:rsid w:val="00AC56A0"/>
    <w:rsid w:val="00AD486C"/>
    <w:rsid w:val="00AD55DE"/>
    <w:rsid w:val="00AD676E"/>
    <w:rsid w:val="00AE1C09"/>
    <w:rsid w:val="00AF3ACD"/>
    <w:rsid w:val="00AF50FF"/>
    <w:rsid w:val="00B004CA"/>
    <w:rsid w:val="00B02B73"/>
    <w:rsid w:val="00B07204"/>
    <w:rsid w:val="00B12B31"/>
    <w:rsid w:val="00B13FB0"/>
    <w:rsid w:val="00B173DF"/>
    <w:rsid w:val="00B41E4D"/>
    <w:rsid w:val="00B455AE"/>
    <w:rsid w:val="00B60197"/>
    <w:rsid w:val="00B76DDC"/>
    <w:rsid w:val="00B90A60"/>
    <w:rsid w:val="00B97833"/>
    <w:rsid w:val="00BA6FE5"/>
    <w:rsid w:val="00BA7259"/>
    <w:rsid w:val="00BA7D20"/>
    <w:rsid w:val="00BC1BA3"/>
    <w:rsid w:val="00BC3F88"/>
    <w:rsid w:val="00BC64C2"/>
    <w:rsid w:val="00BD1096"/>
    <w:rsid w:val="00BD4430"/>
    <w:rsid w:val="00BD5B2E"/>
    <w:rsid w:val="00BF4B40"/>
    <w:rsid w:val="00C03BCE"/>
    <w:rsid w:val="00C05ABA"/>
    <w:rsid w:val="00C26F2C"/>
    <w:rsid w:val="00C27136"/>
    <w:rsid w:val="00C30790"/>
    <w:rsid w:val="00C35C3C"/>
    <w:rsid w:val="00C445DE"/>
    <w:rsid w:val="00C52E5B"/>
    <w:rsid w:val="00C540F7"/>
    <w:rsid w:val="00C56CFD"/>
    <w:rsid w:val="00C609FE"/>
    <w:rsid w:val="00C67095"/>
    <w:rsid w:val="00C72DC1"/>
    <w:rsid w:val="00C75AEB"/>
    <w:rsid w:val="00C90116"/>
    <w:rsid w:val="00C92004"/>
    <w:rsid w:val="00C933B7"/>
    <w:rsid w:val="00C95170"/>
    <w:rsid w:val="00CC6ED5"/>
    <w:rsid w:val="00CE0202"/>
    <w:rsid w:val="00CE1854"/>
    <w:rsid w:val="00CE52D1"/>
    <w:rsid w:val="00CF3F00"/>
    <w:rsid w:val="00D00E71"/>
    <w:rsid w:val="00D259BD"/>
    <w:rsid w:val="00D32E38"/>
    <w:rsid w:val="00D54247"/>
    <w:rsid w:val="00D661D2"/>
    <w:rsid w:val="00D803B2"/>
    <w:rsid w:val="00D9006E"/>
    <w:rsid w:val="00DA38A4"/>
    <w:rsid w:val="00DA5C47"/>
    <w:rsid w:val="00DA660C"/>
    <w:rsid w:val="00DA6931"/>
    <w:rsid w:val="00DC1A4C"/>
    <w:rsid w:val="00DD0FD4"/>
    <w:rsid w:val="00DD2AA8"/>
    <w:rsid w:val="00DD4071"/>
    <w:rsid w:val="00DE1315"/>
    <w:rsid w:val="00DF3236"/>
    <w:rsid w:val="00DF3748"/>
    <w:rsid w:val="00E11CB5"/>
    <w:rsid w:val="00E14990"/>
    <w:rsid w:val="00E3442C"/>
    <w:rsid w:val="00E3650A"/>
    <w:rsid w:val="00E42B4D"/>
    <w:rsid w:val="00E55F50"/>
    <w:rsid w:val="00E64777"/>
    <w:rsid w:val="00E729A4"/>
    <w:rsid w:val="00E72CD9"/>
    <w:rsid w:val="00E803F7"/>
    <w:rsid w:val="00E84CAC"/>
    <w:rsid w:val="00E924EE"/>
    <w:rsid w:val="00E92887"/>
    <w:rsid w:val="00E92F0A"/>
    <w:rsid w:val="00E966D5"/>
    <w:rsid w:val="00E97105"/>
    <w:rsid w:val="00EB228E"/>
    <w:rsid w:val="00EB2308"/>
    <w:rsid w:val="00EC14B1"/>
    <w:rsid w:val="00EC6A45"/>
    <w:rsid w:val="00EC7633"/>
    <w:rsid w:val="00ED0332"/>
    <w:rsid w:val="00EF2324"/>
    <w:rsid w:val="00EF3852"/>
    <w:rsid w:val="00EF7305"/>
    <w:rsid w:val="00F04177"/>
    <w:rsid w:val="00F05404"/>
    <w:rsid w:val="00F06518"/>
    <w:rsid w:val="00F1280F"/>
    <w:rsid w:val="00F26F62"/>
    <w:rsid w:val="00F33F91"/>
    <w:rsid w:val="00F4282C"/>
    <w:rsid w:val="00F51400"/>
    <w:rsid w:val="00F51A9F"/>
    <w:rsid w:val="00F5206A"/>
    <w:rsid w:val="00F529BA"/>
    <w:rsid w:val="00F63269"/>
    <w:rsid w:val="00F64A29"/>
    <w:rsid w:val="00F669BE"/>
    <w:rsid w:val="00F71D0E"/>
    <w:rsid w:val="00F7525F"/>
    <w:rsid w:val="00F75521"/>
    <w:rsid w:val="00F80866"/>
    <w:rsid w:val="00F8432C"/>
    <w:rsid w:val="00F86A8E"/>
    <w:rsid w:val="00F90030"/>
    <w:rsid w:val="00F958D2"/>
    <w:rsid w:val="00F95C41"/>
    <w:rsid w:val="00F96725"/>
    <w:rsid w:val="00FA1F22"/>
    <w:rsid w:val="00FC74CA"/>
    <w:rsid w:val="00FD0F65"/>
    <w:rsid w:val="00FE29E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64CC9"/>
  <w15:docId w15:val="{08244D1D-C6ED-4CC2-BC01-2D8A7861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90A60"/>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B90A60"/>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character" w:customStyle="1" w:styleId="Ttulo1Car">
    <w:name w:val="Título 1 Car"/>
    <w:basedOn w:val="Fuentedeprrafopredeter"/>
    <w:link w:val="Ttulo1"/>
    <w:uiPriority w:val="9"/>
    <w:rsid w:val="00B90A6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90A6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C58ADB4D-5571-466A-8897-D2FC4CBA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1564</Words>
  <Characters>8603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Maria del Consuelo Gonzalez Moreno</cp:lastModifiedBy>
  <cp:revision>5</cp:revision>
  <cp:lastPrinted>2016-03-01T20:06:00Z</cp:lastPrinted>
  <dcterms:created xsi:type="dcterms:W3CDTF">2017-01-17T01:26:00Z</dcterms:created>
  <dcterms:modified xsi:type="dcterms:W3CDTF">2017-01-31T18:23:00Z</dcterms:modified>
</cp:coreProperties>
</file>