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8D101" w14:textId="77777777" w:rsidR="00D83932" w:rsidRPr="002765CC" w:rsidRDefault="00D83932" w:rsidP="00D83932">
      <w:pPr>
        <w:pStyle w:val="Ttulo1"/>
        <w:spacing w:after="240" w:line="240" w:lineRule="auto"/>
        <w:jc w:val="both"/>
        <w:rPr>
          <w:rFonts w:ascii="ITC Avant Garde" w:hAnsi="ITC Avant Garde"/>
          <w:b/>
          <w:color w:val="000000" w:themeColor="text1"/>
          <w:sz w:val="22"/>
          <w:szCs w:val="22"/>
        </w:rPr>
      </w:pPr>
      <w:r w:rsidRPr="002765CC">
        <w:rPr>
          <w:rFonts w:ascii="ITC Avant Garde" w:hAnsi="ITC Avant Garde"/>
          <w:b/>
          <w:color w:val="000000" w:themeColor="text1"/>
          <w:sz w:val="22"/>
          <w:szCs w:val="22"/>
        </w:rPr>
        <w:t>ACUERDO MEDIANTE EL CUAL EL PLENO DEL INSTITUTO FEDERAL DE TELECOMUNICACIONES DETERMINA SOMETER A CONSULTA PÚBLICA EL “ANTEPROYECTO DE LINEAMIENTOS QUE ESTABLECEN LOS PARÁMETROS MÍNIMOS DE BANDA ANCHA A QUE DEBERÁN SUJETARSE LOS PRESTADORES DEL SERVICIO DE ACCESO A INTERNET”</w:t>
      </w:r>
    </w:p>
    <w:p w14:paraId="3296F778" w14:textId="77777777" w:rsidR="00D83932" w:rsidRPr="002765CC" w:rsidRDefault="00D83932" w:rsidP="00D83932">
      <w:pPr>
        <w:pStyle w:val="Ttulo2"/>
        <w:spacing w:after="240"/>
        <w:jc w:val="center"/>
        <w:rPr>
          <w:rFonts w:ascii="ITC Avant Garde" w:hAnsi="ITC Avant Garde"/>
          <w:b/>
          <w:color w:val="000000" w:themeColor="text1"/>
          <w:sz w:val="22"/>
          <w:szCs w:val="22"/>
        </w:rPr>
      </w:pPr>
      <w:r w:rsidRPr="002765CC">
        <w:rPr>
          <w:rFonts w:ascii="ITC Avant Garde" w:hAnsi="ITC Avant Garde"/>
          <w:b/>
          <w:color w:val="000000" w:themeColor="text1"/>
          <w:sz w:val="22"/>
          <w:szCs w:val="22"/>
        </w:rPr>
        <w:t>ANTECEDENTES</w:t>
      </w:r>
    </w:p>
    <w:p w14:paraId="64A083D8" w14:textId="77777777" w:rsidR="00D83932" w:rsidRDefault="00D83932" w:rsidP="00D83932">
      <w:pPr>
        <w:spacing w:before="240"/>
        <w:jc w:val="both"/>
        <w:rPr>
          <w:rFonts w:ascii="ITC Avant Garde" w:hAnsi="ITC Avant Garde"/>
        </w:rPr>
      </w:pPr>
      <w:r w:rsidRPr="00B47BD9">
        <w:rPr>
          <w:rFonts w:ascii="ITC Avant Garde" w:hAnsi="ITC Avant Garde"/>
          <w:b/>
        </w:rPr>
        <w:t>I.-</w:t>
      </w:r>
      <w:r w:rsidRPr="00B47BD9">
        <w:rPr>
          <w:rFonts w:ascii="ITC Avant Garde" w:hAnsi="ITC Avant Garde"/>
        </w:rPr>
        <w:t xml:space="preserve"> El 11 de junio de 2013, se creó el Instituto Federal de Telecomunicaciones (</w:t>
      </w:r>
      <w:r w:rsidRPr="00356C2B">
        <w:rPr>
          <w:rFonts w:ascii="ITC Avant Garde" w:hAnsi="ITC Avant Garde"/>
        </w:rPr>
        <w:t>en lo sucesivo, el “Instituto”</w:t>
      </w:r>
      <w:r w:rsidRPr="00B47BD9">
        <w:rPr>
          <w:rFonts w:ascii="ITC Avant Garde" w:hAnsi="ITC Avant Garde"/>
        </w:rPr>
        <w:t xml:space="preserve">) como un órgano autónomo con personalidad jurídica y patrimonio propio, </w:t>
      </w:r>
      <w:r>
        <w:rPr>
          <w:rFonts w:ascii="ITC Avant Garde" w:hAnsi="ITC Avant Garde"/>
        </w:rPr>
        <w:t xml:space="preserve">cuyo objeto es </w:t>
      </w:r>
      <w:r w:rsidRPr="00B47BD9">
        <w:rPr>
          <w:rFonts w:ascii="ITC Avant Garde" w:hAnsi="ITC Avant Garde"/>
        </w:rPr>
        <w:t xml:space="preserve">regular, promover y supervisar el uso, aprovechamiento y explotación </w:t>
      </w:r>
      <w:r w:rsidRPr="00F73389">
        <w:rPr>
          <w:rFonts w:ascii="ITC Avant Garde" w:eastAsia="Times New Roman" w:hAnsi="ITC Avant Garde" w:cs="Times New Roman"/>
          <w:lang w:val="es-ES" w:eastAsia="es-ES"/>
        </w:rPr>
        <w:t xml:space="preserve">del espectro radioeléctrico, las redes y la prestación </w:t>
      </w:r>
      <w:r>
        <w:rPr>
          <w:rFonts w:ascii="ITC Avant Garde" w:eastAsia="Times New Roman" w:hAnsi="ITC Avant Garde" w:cs="Times New Roman"/>
          <w:lang w:val="es-ES" w:eastAsia="es-ES"/>
        </w:rPr>
        <w:t xml:space="preserve"> </w:t>
      </w:r>
      <w:r w:rsidRPr="00B47BD9">
        <w:rPr>
          <w:rFonts w:ascii="ITC Avant Garde" w:hAnsi="ITC Avant Garde"/>
        </w:rPr>
        <w:t xml:space="preserve">de los servicios de </w:t>
      </w:r>
      <w:r w:rsidRPr="005A5433">
        <w:rPr>
          <w:rFonts w:ascii="ITC Avant Garde" w:hAnsi="ITC Avant Garde"/>
        </w:rPr>
        <w:t>radiodifusión</w:t>
      </w:r>
      <w:r w:rsidRPr="00B47BD9">
        <w:rPr>
          <w:rFonts w:ascii="ITC Avant Garde" w:hAnsi="ITC Avant Garde"/>
        </w:rPr>
        <w:t xml:space="preserve"> y telecomunicaciones, además de ser la autoridad en materia de competencia económica en los sectores de los servicios antes aludidos, conforme a lo dispuesto en el </w:t>
      </w:r>
      <w:r w:rsidRPr="007C6EF6">
        <w:rPr>
          <w:rFonts w:ascii="ITC Avant Garde" w:hAnsi="ITC Avant Garde"/>
        </w:rPr>
        <w:t>“Decreto por el que se reforman y adicionan diversas disposiciones de los artículos 6o., 7o., 27, 28, 73, 78, 94 y 105 de la Constitución Política de los Estados Unidos Mexicanos, en materia de telecomunicaciones”</w:t>
      </w:r>
      <w:r w:rsidRPr="00B47BD9">
        <w:rPr>
          <w:rFonts w:ascii="ITC Avant Garde" w:hAnsi="ITC Avant Garde"/>
        </w:rPr>
        <w:t xml:space="preserve"> (en lo sucesivo, el “Decreto”)</w:t>
      </w:r>
      <w:r>
        <w:rPr>
          <w:rFonts w:ascii="ITC Avant Garde" w:hAnsi="ITC Avant Garde"/>
        </w:rPr>
        <w:t xml:space="preserve"> publicado en el</w:t>
      </w:r>
      <w:r w:rsidRPr="00B47BD9">
        <w:rPr>
          <w:rFonts w:ascii="ITC Avant Garde" w:hAnsi="ITC Avant Garde"/>
        </w:rPr>
        <w:t xml:space="preserve"> Diario Oficial de la Federación (en lo sucesivo, DOF)</w:t>
      </w:r>
      <w:r>
        <w:rPr>
          <w:rFonts w:ascii="ITC Avant Garde" w:hAnsi="ITC Avant Garde"/>
        </w:rPr>
        <w:t xml:space="preserve"> en la fecha antes señalada y el cual entró en vigor al día siguiente de su publicación, es decir el día 12 de junio de 2013.</w:t>
      </w:r>
    </w:p>
    <w:p w14:paraId="7CEED9B8" w14:textId="77777777" w:rsidR="00D83932" w:rsidRDefault="00D83932" w:rsidP="00D83932">
      <w:pPr>
        <w:spacing w:before="240"/>
        <w:jc w:val="both"/>
        <w:rPr>
          <w:rFonts w:ascii="ITC Avant Garde" w:hAnsi="ITC Avant Garde"/>
        </w:rPr>
      </w:pPr>
      <w:r w:rsidRPr="00B47BD9">
        <w:rPr>
          <w:rFonts w:ascii="ITC Avant Garde" w:hAnsi="ITC Avant Garde"/>
          <w:b/>
        </w:rPr>
        <w:t>II.-</w:t>
      </w:r>
      <w:r w:rsidRPr="00B47BD9">
        <w:rPr>
          <w:rFonts w:ascii="ITC Avant Garde" w:hAnsi="ITC Avant Garde"/>
        </w:rPr>
        <w:t xml:space="preserve"> El 14 de julio de 2014, se publicó en el</w:t>
      </w:r>
      <w:r>
        <w:rPr>
          <w:rFonts w:ascii="ITC Avant Garde" w:hAnsi="ITC Avant Garde"/>
        </w:rPr>
        <w:t xml:space="preserve"> DOF</w:t>
      </w:r>
      <w:r w:rsidRPr="00B47BD9">
        <w:rPr>
          <w:rFonts w:ascii="ITC Avant Garde" w:hAnsi="ITC Avant Garde"/>
        </w:rPr>
        <w:t xml:space="preserve">, el </w:t>
      </w:r>
      <w:r w:rsidRPr="007C6EF6">
        <w:rPr>
          <w:rFonts w:ascii="ITC Avant Garde" w:hAnsi="ITC Avant Garde"/>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47BD9">
        <w:rPr>
          <w:rFonts w:ascii="ITC Avant Garde" w:hAnsi="ITC Avant Garde"/>
        </w:rPr>
        <w:t>, ordenamientos que entraron en vigor treinta días naturales siguientes a su publicación, es decir, el 13 de agosto de 2014.</w:t>
      </w:r>
    </w:p>
    <w:p w14:paraId="72236964" w14:textId="77777777" w:rsidR="00D83932" w:rsidRDefault="00D83932" w:rsidP="00D83932">
      <w:pPr>
        <w:spacing w:before="240"/>
        <w:jc w:val="both"/>
        <w:rPr>
          <w:rFonts w:ascii="ITC Avant Garde" w:hAnsi="ITC Avant Garde"/>
        </w:rPr>
      </w:pPr>
      <w:r w:rsidRPr="00B47BD9">
        <w:rPr>
          <w:rFonts w:ascii="ITC Avant Garde" w:hAnsi="ITC Avant Garde"/>
          <w:b/>
        </w:rPr>
        <w:t>III</w:t>
      </w:r>
      <w:r w:rsidRPr="00B47BD9">
        <w:rPr>
          <w:rFonts w:ascii="ITC Avant Garde" w:hAnsi="ITC Avant Garde"/>
        </w:rPr>
        <w:t>.- El 4 de septiembre de 2014, se publicó en el DOF el Estatuto Orgánico del Instituto</w:t>
      </w:r>
      <w:r>
        <w:rPr>
          <w:rFonts w:ascii="ITC Avant Garde" w:hAnsi="ITC Avant Garde"/>
        </w:rPr>
        <w:t xml:space="preserve"> Federal de Telecomunicaciones</w:t>
      </w:r>
      <w:r w:rsidRPr="00B47BD9">
        <w:rPr>
          <w:rFonts w:ascii="ITC Avant Garde" w:hAnsi="ITC Avant Garde"/>
        </w:rPr>
        <w:t xml:space="preserve"> (en lo sucesivo, el “Estatuto”), mismo que entró en vigor el 26 de septiembre de 2014</w:t>
      </w:r>
      <w:r>
        <w:rPr>
          <w:rFonts w:ascii="ITC Avant Garde" w:hAnsi="ITC Avant Garde"/>
        </w:rPr>
        <w:t>; el 20 de julio de 2017 se publicó en el DOF su última modificación.</w:t>
      </w:r>
    </w:p>
    <w:p w14:paraId="538F23C7" w14:textId="77777777" w:rsidR="00D83932" w:rsidRDefault="00D83932" w:rsidP="00D83932">
      <w:pPr>
        <w:pStyle w:val="Default"/>
        <w:tabs>
          <w:tab w:val="left" w:pos="0"/>
        </w:tabs>
        <w:spacing w:before="240" w:after="160" w:line="276" w:lineRule="auto"/>
        <w:rPr>
          <w:rFonts w:ascii="ITC Avant Garde" w:hAnsi="ITC Avant Garde"/>
          <w:bCs/>
          <w:color w:val="auto"/>
          <w:sz w:val="22"/>
          <w:szCs w:val="22"/>
          <w:lang w:val="es-ES_tradnl"/>
        </w:rPr>
      </w:pPr>
      <w:r w:rsidRPr="00B47BD9">
        <w:rPr>
          <w:rFonts w:ascii="ITC Avant Garde" w:hAnsi="ITC Avant Garde"/>
          <w:bCs/>
          <w:color w:val="auto"/>
          <w:sz w:val="22"/>
          <w:szCs w:val="22"/>
          <w:lang w:val="es-ES_tradnl"/>
        </w:rPr>
        <w:t xml:space="preserve">Derivado de lo anterior y </w:t>
      </w:r>
    </w:p>
    <w:p w14:paraId="355C6C46" w14:textId="77777777" w:rsidR="00D83932" w:rsidRPr="002765CC" w:rsidRDefault="00D83932" w:rsidP="00D83932">
      <w:pPr>
        <w:pStyle w:val="Ttulo2"/>
        <w:spacing w:after="240"/>
        <w:jc w:val="center"/>
        <w:rPr>
          <w:rFonts w:ascii="ITC Avant Garde" w:hAnsi="ITC Avant Garde"/>
          <w:b/>
          <w:color w:val="000000" w:themeColor="text1"/>
          <w:sz w:val="22"/>
          <w:szCs w:val="22"/>
        </w:rPr>
      </w:pPr>
      <w:r w:rsidRPr="002765CC">
        <w:rPr>
          <w:rFonts w:ascii="ITC Avant Garde" w:hAnsi="ITC Avant Garde"/>
          <w:b/>
          <w:color w:val="000000" w:themeColor="text1"/>
          <w:sz w:val="22"/>
          <w:szCs w:val="22"/>
        </w:rPr>
        <w:t>CONSIDERANDO</w:t>
      </w:r>
    </w:p>
    <w:p w14:paraId="35B2913F" w14:textId="77777777" w:rsidR="00D83932" w:rsidRDefault="00D83932" w:rsidP="00D83932">
      <w:pPr>
        <w:spacing w:before="240"/>
        <w:jc w:val="both"/>
        <w:rPr>
          <w:rFonts w:ascii="ITC Avant Garde" w:hAnsi="ITC Avant Garde"/>
        </w:rPr>
      </w:pPr>
      <w:r w:rsidRPr="001853A9">
        <w:rPr>
          <w:rFonts w:ascii="ITC Avant Garde" w:hAnsi="ITC Avant Garde"/>
          <w:b/>
        </w:rPr>
        <w:t>P</w:t>
      </w:r>
      <w:r>
        <w:rPr>
          <w:rFonts w:ascii="ITC Avant Garde" w:hAnsi="ITC Avant Garde"/>
          <w:b/>
        </w:rPr>
        <w:t>RIMERO</w:t>
      </w:r>
      <w:r w:rsidRPr="00501D3C">
        <w:rPr>
          <w:rFonts w:ascii="ITC Avant Garde" w:hAnsi="ITC Avant Garde"/>
          <w:b/>
        </w:rPr>
        <w:t>.-</w:t>
      </w:r>
      <w:r>
        <w:rPr>
          <w:rFonts w:ascii="ITC Avant Garde" w:hAnsi="ITC Avant Garde"/>
          <w:b/>
        </w:rPr>
        <w:t xml:space="preserve"> </w:t>
      </w:r>
      <w:r w:rsidRPr="002A186E">
        <w:rPr>
          <w:rFonts w:ascii="ITC Avant Garde" w:hAnsi="ITC Avant Garde"/>
          <w:b/>
        </w:rPr>
        <w:t>COMPETENCIA DEL INSTITUTO.</w:t>
      </w:r>
      <w:r w:rsidRPr="004237D0">
        <w:rPr>
          <w:rFonts w:ascii="ITC Avant Garde" w:hAnsi="ITC Avant Garde"/>
          <w:color w:val="7030A0"/>
        </w:rPr>
        <w:t xml:space="preserve"> </w:t>
      </w:r>
      <w:r w:rsidRPr="00356C2B">
        <w:rPr>
          <w:rFonts w:ascii="ITC Avant Garde" w:hAnsi="ITC Avant Garde"/>
        </w:rPr>
        <w:t xml:space="preserve">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w:t>
      </w:r>
      <w:r w:rsidRPr="00356C2B">
        <w:rPr>
          <w:rFonts w:ascii="ITC Avant Garde" w:hAnsi="ITC Avant Garde"/>
        </w:rPr>
        <w:lastRenderedPageBreak/>
        <w:t xml:space="preserve">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w:t>
      </w:r>
      <w:proofErr w:type="spellStart"/>
      <w:r w:rsidRPr="00356C2B">
        <w:rPr>
          <w:rFonts w:ascii="ITC Avant Garde" w:hAnsi="ITC Avant Garde"/>
        </w:rPr>
        <w:t>concesionamiento</w:t>
      </w:r>
      <w:proofErr w:type="spellEnd"/>
      <w:r w:rsidRPr="00356C2B">
        <w:rPr>
          <w:rFonts w:ascii="ITC Avant Garde" w:hAnsi="ITC Avant Garde"/>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1E7AF33B" w14:textId="77777777" w:rsidR="00D83932" w:rsidRDefault="00D83932" w:rsidP="00D83932">
      <w:pPr>
        <w:spacing w:before="240"/>
        <w:jc w:val="both"/>
        <w:rPr>
          <w:rFonts w:ascii="ITC Avant Garde" w:eastAsia="Times New Roman" w:hAnsi="ITC Avant Garde"/>
          <w:lang w:eastAsia="es-ES"/>
        </w:rPr>
      </w:pPr>
      <w:r w:rsidRPr="00F73389">
        <w:rPr>
          <w:rFonts w:ascii="ITC Avant Garde" w:eastAsia="Times New Roman" w:hAnsi="ITC Avant Garde" w:cs="Times New Roman"/>
          <w:bCs/>
        </w:rPr>
        <w:t>Asimismo, l</w:t>
      </w:r>
      <w:r w:rsidRPr="00F73389">
        <w:rPr>
          <w:rFonts w:ascii="ITC Avant Garde" w:eastAsia="Times New Roman" w:hAnsi="ITC Avant Garde"/>
          <w:lang w:eastAsia="es-ES"/>
        </w:rPr>
        <w:t>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6DD1F400" w14:textId="77777777" w:rsidR="00D83932" w:rsidRDefault="00D83932" w:rsidP="00D83932">
      <w:pPr>
        <w:spacing w:before="240"/>
        <w:jc w:val="both"/>
        <w:rPr>
          <w:rFonts w:ascii="ITC Avant Garde" w:hAnsi="ITC Avant Garde"/>
          <w:bCs/>
          <w:highlight w:val="yellow"/>
        </w:rPr>
      </w:pPr>
      <w:r>
        <w:rPr>
          <w:rFonts w:ascii="ITC Avant Garde" w:hAnsi="ITC Avant Garde"/>
        </w:rPr>
        <w:t xml:space="preserve">Por lo anterior, el Instituto es competente </w:t>
      </w:r>
      <w:r w:rsidRPr="00501D3C">
        <w:rPr>
          <w:rFonts w:ascii="ITC Avant Garde" w:hAnsi="ITC Avant Garde"/>
        </w:rPr>
        <w:t>para emitir el presente Acuerdo y realizar una consulta pública respecto</w:t>
      </w:r>
      <w:r w:rsidRPr="002A186E">
        <w:rPr>
          <w:rFonts w:ascii="ITC Avant Garde" w:hAnsi="ITC Avant Garde"/>
        </w:rPr>
        <w:t xml:space="preserve"> del </w:t>
      </w:r>
      <w:r>
        <w:rPr>
          <w:rFonts w:ascii="ITC Avant Garde" w:hAnsi="ITC Avant Garde"/>
        </w:rPr>
        <w:t>“</w:t>
      </w:r>
      <w:r w:rsidRPr="00AB78F2">
        <w:rPr>
          <w:rFonts w:ascii="ITC Avant Garde" w:hAnsi="ITC Avant Garde"/>
        </w:rPr>
        <w:t xml:space="preserve">ANTEPROYECTO DE LINEAMIENTOS QUE ESTABLECEN LOS PARÁMETROS </w:t>
      </w:r>
      <w:r>
        <w:rPr>
          <w:rFonts w:ascii="ITC Avant Garde" w:hAnsi="ITC Avant Garde"/>
        </w:rPr>
        <w:t xml:space="preserve">MÍNIMOS </w:t>
      </w:r>
      <w:r w:rsidRPr="00AB78F2">
        <w:rPr>
          <w:rFonts w:ascii="ITC Avant Garde" w:hAnsi="ITC Avant Garde"/>
        </w:rPr>
        <w:t>DE BANDA ANCHA A QUE DEBERÁN SUJETARSE LOS PRESTADORES DEL SERVICIO DE ACCESO A INTERNET</w:t>
      </w:r>
      <w:r>
        <w:rPr>
          <w:rFonts w:ascii="ITC Avant Garde" w:hAnsi="ITC Avant Garde"/>
        </w:rPr>
        <w:t>”</w:t>
      </w:r>
      <w:r w:rsidRPr="00AB78F2">
        <w:rPr>
          <w:rFonts w:ascii="ITC Avant Garde" w:hAnsi="ITC Avant Garde"/>
        </w:rPr>
        <w:t xml:space="preserve"> </w:t>
      </w:r>
      <w:r w:rsidRPr="00501D3C">
        <w:rPr>
          <w:rFonts w:ascii="ITC Avant Garde" w:hAnsi="ITC Avant Garde"/>
          <w:bCs/>
        </w:rPr>
        <w:t xml:space="preserve">(en lo sucesivo, el “Anteproyecto”), propuesto por la Unidad de Política Regulatoria, conforme las atribuciones conferidas en </w:t>
      </w:r>
      <w:r w:rsidRPr="00B7298D">
        <w:rPr>
          <w:rFonts w:ascii="ITC Avant Garde" w:hAnsi="ITC Avant Garde"/>
          <w:bCs/>
        </w:rPr>
        <w:t>los artículos 15 fracción I,</w:t>
      </w:r>
      <w:r w:rsidRPr="00553D74">
        <w:rPr>
          <w:b/>
        </w:rPr>
        <w:t xml:space="preserve"> </w:t>
      </w:r>
      <w:r w:rsidRPr="0018640D">
        <w:rPr>
          <w:rFonts w:ascii="ITC Avant Garde" w:hAnsi="ITC Avant Garde"/>
          <w:bCs/>
        </w:rPr>
        <w:t>XLIX</w:t>
      </w:r>
      <w:r>
        <w:rPr>
          <w:rFonts w:ascii="ITC Avant Garde" w:hAnsi="ITC Avant Garde"/>
          <w:bCs/>
        </w:rPr>
        <w:t xml:space="preserve">, </w:t>
      </w:r>
      <w:r w:rsidRPr="00B7298D">
        <w:rPr>
          <w:rFonts w:ascii="ITC Avant Garde" w:hAnsi="ITC Avant Garde"/>
          <w:bCs/>
        </w:rPr>
        <w:t xml:space="preserve"> </w:t>
      </w:r>
      <w:r w:rsidRPr="00356C2B">
        <w:rPr>
          <w:rFonts w:ascii="ITC Avant Garde" w:hAnsi="ITC Avant Garde"/>
          <w:bCs/>
        </w:rPr>
        <w:t>y 51</w:t>
      </w:r>
      <w:r>
        <w:rPr>
          <w:rFonts w:ascii="ITC Avant Garde" w:hAnsi="ITC Avant Garde"/>
          <w:bCs/>
        </w:rPr>
        <w:t xml:space="preserve">  de la LFTR</w:t>
      </w:r>
      <w:r w:rsidRPr="00B7298D">
        <w:rPr>
          <w:rFonts w:ascii="ITC Avant Garde" w:hAnsi="ITC Avant Garde"/>
          <w:bCs/>
        </w:rPr>
        <w:t xml:space="preserve"> y los artículos 22 fracción I, 23 fracción I</w:t>
      </w:r>
      <w:r>
        <w:rPr>
          <w:rFonts w:ascii="ITC Avant Garde" w:hAnsi="ITC Avant Garde"/>
          <w:bCs/>
        </w:rPr>
        <w:t xml:space="preserve"> y</w:t>
      </w:r>
      <w:r w:rsidRPr="00B7298D">
        <w:rPr>
          <w:rFonts w:ascii="ITC Avant Garde" w:hAnsi="ITC Avant Garde"/>
          <w:bCs/>
        </w:rPr>
        <w:t xml:space="preserve"> II</w:t>
      </w:r>
      <w:r w:rsidRPr="00B7298D">
        <w:rPr>
          <w:rFonts w:ascii="ITC Avant Garde" w:hAnsi="ITC Avant Garde"/>
          <w:b/>
          <w:bCs/>
        </w:rPr>
        <w:t xml:space="preserve"> </w:t>
      </w:r>
      <w:r w:rsidRPr="00B7298D">
        <w:rPr>
          <w:rFonts w:ascii="ITC Avant Garde" w:hAnsi="ITC Avant Garde"/>
          <w:bCs/>
        </w:rPr>
        <w:t>del Estatuto.</w:t>
      </w:r>
      <w:r w:rsidRPr="00501D3C">
        <w:rPr>
          <w:rFonts w:ascii="ITC Avant Garde" w:hAnsi="ITC Avant Garde"/>
        </w:rPr>
        <w:t xml:space="preserve"> </w:t>
      </w:r>
    </w:p>
    <w:p w14:paraId="2A8A8E7A" w14:textId="77777777" w:rsidR="00D83932" w:rsidRDefault="00D83932" w:rsidP="00D83932">
      <w:pPr>
        <w:pStyle w:val="Default"/>
        <w:tabs>
          <w:tab w:val="left" w:pos="0"/>
        </w:tabs>
        <w:spacing w:before="240" w:after="160" w:line="276" w:lineRule="auto"/>
        <w:jc w:val="both"/>
        <w:rPr>
          <w:rFonts w:ascii="ITC Avant Garde" w:eastAsia="Times New Roman" w:hAnsi="ITC Avant Garde" w:cs="Arial"/>
          <w:color w:val="auto"/>
          <w:sz w:val="22"/>
          <w:szCs w:val="22"/>
          <w:lang w:val="es-ES_tradnl" w:eastAsia="es-ES"/>
        </w:rPr>
      </w:pPr>
      <w:r w:rsidRPr="00F660DE">
        <w:rPr>
          <w:rFonts w:ascii="ITC Avant Garde" w:hAnsi="ITC Avant Garde"/>
          <w:b/>
          <w:bCs/>
          <w:sz w:val="22"/>
          <w:szCs w:val="22"/>
          <w:lang w:val="es-ES_tradnl"/>
        </w:rPr>
        <w:t xml:space="preserve">SEGUNDO.- </w:t>
      </w:r>
      <w:r w:rsidRPr="00077E18">
        <w:rPr>
          <w:rFonts w:ascii="ITC Avant Garde" w:hAnsi="ITC Avant Garde"/>
          <w:b/>
          <w:bCs/>
          <w:color w:val="auto"/>
          <w:sz w:val="22"/>
          <w:szCs w:val="22"/>
          <w:lang w:val="es-ES_tradnl"/>
        </w:rPr>
        <w:t xml:space="preserve">MOTIVACIÓN PARA LA EXPEDICIÓN DE LOS LINEAMIENTOS. </w:t>
      </w:r>
      <w:r w:rsidRPr="00250EF5">
        <w:rPr>
          <w:rFonts w:ascii="ITC Avant Garde" w:eastAsia="Times New Roman" w:hAnsi="ITC Avant Garde" w:cs="Arial"/>
          <w:color w:val="auto"/>
          <w:sz w:val="22"/>
          <w:szCs w:val="22"/>
          <w:lang w:val="es-ES_tradnl" w:eastAsia="es-ES"/>
        </w:rPr>
        <w:t xml:space="preserve">El Instituto tiene </w:t>
      </w:r>
      <w:r>
        <w:rPr>
          <w:rFonts w:ascii="ITC Avant Garde" w:eastAsia="Times New Roman" w:hAnsi="ITC Avant Garde" w:cs="Arial"/>
          <w:color w:val="auto"/>
          <w:sz w:val="22"/>
          <w:szCs w:val="22"/>
          <w:lang w:val="es-ES_tradnl" w:eastAsia="es-ES"/>
        </w:rPr>
        <w:t>a su cargo</w:t>
      </w:r>
      <w:r w:rsidRPr="00250EF5">
        <w:rPr>
          <w:rFonts w:ascii="ITC Avant Garde" w:eastAsia="Times New Roman" w:hAnsi="ITC Avant Garde" w:cs="Arial"/>
          <w:color w:val="auto"/>
          <w:sz w:val="22"/>
          <w:szCs w:val="22"/>
          <w:lang w:val="es-ES_tradnl" w:eastAsia="es-ES"/>
        </w:rPr>
        <w:t xml:space="preserve"> </w:t>
      </w:r>
      <w:r>
        <w:rPr>
          <w:rFonts w:ascii="ITC Avant Garde" w:eastAsia="Times New Roman" w:hAnsi="ITC Avant Garde" w:cs="Arial"/>
          <w:color w:val="auto"/>
          <w:sz w:val="22"/>
          <w:szCs w:val="22"/>
          <w:lang w:val="es-ES_tradnl" w:eastAsia="es-ES"/>
        </w:rPr>
        <w:t xml:space="preserve">garantizar la prestación de los </w:t>
      </w:r>
      <w:r w:rsidRPr="00250EF5">
        <w:rPr>
          <w:rFonts w:ascii="ITC Avant Garde" w:eastAsia="Times New Roman" w:hAnsi="ITC Avant Garde" w:cs="Arial"/>
          <w:color w:val="auto"/>
          <w:sz w:val="22"/>
          <w:szCs w:val="22"/>
          <w:lang w:val="es-ES_tradnl" w:eastAsia="es-ES"/>
        </w:rPr>
        <w:t xml:space="preserve">servicios públicos de telecomunicaciones y radiodifusión </w:t>
      </w:r>
      <w:r>
        <w:rPr>
          <w:rFonts w:ascii="ITC Avant Garde" w:eastAsia="Times New Roman" w:hAnsi="ITC Avant Garde" w:cs="Arial"/>
          <w:color w:val="auto"/>
          <w:sz w:val="22"/>
          <w:szCs w:val="22"/>
          <w:lang w:val="es-ES_tradnl" w:eastAsia="es-ES"/>
        </w:rPr>
        <w:t>los que deben prestarse bajo los parámetros que el mismo Instituto fije, verificando que se proporcione al público información completa y veraz sobre dichos servicios</w:t>
      </w:r>
      <w:r w:rsidRPr="00250EF5">
        <w:rPr>
          <w:rFonts w:ascii="ITC Avant Garde" w:eastAsia="Times New Roman" w:hAnsi="ITC Avant Garde" w:cs="Arial"/>
          <w:color w:val="auto"/>
          <w:sz w:val="22"/>
          <w:szCs w:val="22"/>
          <w:lang w:val="es-ES_tradnl" w:eastAsia="es-ES"/>
        </w:rPr>
        <w:t xml:space="preserve">. Es por ello que se trabaja intensamente en desarrollar eficientemente los sectores regulados. </w:t>
      </w:r>
    </w:p>
    <w:p w14:paraId="20889625" w14:textId="77777777" w:rsidR="00D83932" w:rsidRDefault="00D83932" w:rsidP="00D83932">
      <w:pPr>
        <w:pStyle w:val="Default"/>
        <w:tabs>
          <w:tab w:val="left" w:pos="0"/>
        </w:tabs>
        <w:spacing w:before="240" w:after="160" w:line="276" w:lineRule="auto"/>
        <w:jc w:val="both"/>
        <w:rPr>
          <w:rFonts w:ascii="ITC Avant Garde" w:eastAsia="Times New Roman" w:hAnsi="ITC Avant Garde" w:cs="Arial"/>
          <w:color w:val="auto"/>
          <w:sz w:val="22"/>
          <w:szCs w:val="22"/>
          <w:lang w:val="es-ES_tradnl" w:eastAsia="es-ES"/>
        </w:rPr>
      </w:pPr>
      <w:r>
        <w:rPr>
          <w:rFonts w:ascii="ITC Avant Garde" w:eastAsia="Times New Roman" w:hAnsi="ITC Avant Garde" w:cs="Arial"/>
          <w:color w:val="auto"/>
          <w:sz w:val="22"/>
          <w:szCs w:val="22"/>
          <w:lang w:val="es-ES_tradnl" w:eastAsia="es-ES"/>
        </w:rPr>
        <w:t xml:space="preserve">Al respecto, </w:t>
      </w:r>
      <w:r w:rsidRPr="00BF64D4">
        <w:rPr>
          <w:rFonts w:ascii="ITC Avant Garde" w:eastAsia="Times New Roman" w:hAnsi="ITC Avant Garde" w:cs="Arial"/>
          <w:color w:val="auto"/>
          <w:sz w:val="22"/>
          <w:szCs w:val="22"/>
          <w:lang w:val="es-ES_tradnl" w:eastAsia="es-ES"/>
        </w:rPr>
        <w:t xml:space="preserve">el artículo 15 </w:t>
      </w:r>
      <w:proofErr w:type="gramStart"/>
      <w:r w:rsidRPr="00BF64D4">
        <w:rPr>
          <w:rFonts w:ascii="ITC Avant Garde" w:eastAsia="Times New Roman" w:hAnsi="ITC Avant Garde" w:cs="Arial"/>
          <w:color w:val="auto"/>
          <w:sz w:val="22"/>
          <w:szCs w:val="22"/>
          <w:lang w:val="es-ES_tradnl" w:eastAsia="es-ES"/>
        </w:rPr>
        <w:t>fracción</w:t>
      </w:r>
      <w:proofErr w:type="gramEnd"/>
      <w:r w:rsidRPr="00BF64D4">
        <w:rPr>
          <w:rFonts w:ascii="ITC Avant Garde" w:eastAsia="Times New Roman" w:hAnsi="ITC Avant Garde" w:cs="Arial"/>
          <w:color w:val="auto"/>
          <w:sz w:val="22"/>
          <w:szCs w:val="22"/>
          <w:lang w:val="es-ES_tradnl" w:eastAsia="es-ES"/>
        </w:rPr>
        <w:t xml:space="preserve"> XLIX de la LFTR mandata al Instituto el establecer las metodología y métricas para lograr las condiciones idóneas de cobertura y </w:t>
      </w:r>
      <w:r w:rsidRPr="00BF64D4">
        <w:rPr>
          <w:rFonts w:ascii="ITC Avant Garde" w:eastAsia="Times New Roman" w:hAnsi="ITC Avant Garde" w:cs="Arial"/>
          <w:color w:val="auto"/>
          <w:sz w:val="22"/>
          <w:szCs w:val="22"/>
          <w:lang w:val="es-ES_tradnl" w:eastAsia="es-ES"/>
        </w:rPr>
        <w:lastRenderedPageBreak/>
        <w:t>capacidad para la provisión de servicios de banda ancha</w:t>
      </w:r>
      <w:r>
        <w:rPr>
          <w:rFonts w:ascii="ITC Avant Garde" w:eastAsia="Times New Roman" w:hAnsi="ITC Avant Garde" w:cs="Arial"/>
          <w:color w:val="auto"/>
          <w:sz w:val="22"/>
          <w:szCs w:val="22"/>
          <w:lang w:val="es-ES_tradnl" w:eastAsia="es-ES"/>
        </w:rPr>
        <w:t xml:space="preserve">.  </w:t>
      </w:r>
      <w:r w:rsidRPr="00250EF5">
        <w:rPr>
          <w:rFonts w:ascii="ITC Avant Garde" w:eastAsia="Times New Roman" w:hAnsi="ITC Avant Garde" w:cs="Arial"/>
          <w:color w:val="auto"/>
          <w:sz w:val="22"/>
          <w:szCs w:val="22"/>
          <w:lang w:val="es-ES_tradnl" w:eastAsia="es-ES"/>
        </w:rPr>
        <w:t xml:space="preserve">Por esa razón, se incluyó en el Programa Anual de Trabajo </w:t>
      </w:r>
      <w:r>
        <w:rPr>
          <w:rFonts w:ascii="ITC Avant Garde" w:eastAsia="Times New Roman" w:hAnsi="ITC Avant Garde" w:cs="Arial"/>
          <w:color w:val="auto"/>
          <w:sz w:val="22"/>
          <w:szCs w:val="22"/>
          <w:lang w:val="es-ES_tradnl" w:eastAsia="es-ES"/>
        </w:rPr>
        <w:t xml:space="preserve">2017 </w:t>
      </w:r>
      <w:r w:rsidRPr="00250EF5">
        <w:rPr>
          <w:rFonts w:ascii="ITC Avant Garde" w:eastAsia="Times New Roman" w:hAnsi="ITC Avant Garde" w:cs="Arial"/>
          <w:color w:val="auto"/>
          <w:sz w:val="22"/>
          <w:szCs w:val="22"/>
          <w:lang w:val="es-ES_tradnl" w:eastAsia="es-ES"/>
        </w:rPr>
        <w:t xml:space="preserve">del Instituto, dentro de los proyectos estratégicos alineados al cumplimiento del Objetivo 3 de “Garantizar que la prestación de los servicios de las telecomunicaciones y la radiodifusión que recibe la población sea acorde con los niveles de calidad bajo parámetros internacionales” se encuentra el de proponer los Lineamientos que establecen los parámetros de banda ancha a que deberán sujetarse los prestadores del servicio de acceso a Internet, con su emisión se busca: </w:t>
      </w:r>
    </w:p>
    <w:p w14:paraId="32F4C948" w14:textId="77777777" w:rsidR="00D83932" w:rsidRPr="009012E2" w:rsidRDefault="00D83932" w:rsidP="00D83932">
      <w:pPr>
        <w:pStyle w:val="Default"/>
        <w:numPr>
          <w:ilvl w:val="0"/>
          <w:numId w:val="9"/>
        </w:numPr>
        <w:tabs>
          <w:tab w:val="left" w:pos="0"/>
        </w:tabs>
        <w:spacing w:before="240" w:after="160" w:line="276" w:lineRule="auto"/>
        <w:jc w:val="both"/>
        <w:rPr>
          <w:rFonts w:ascii="ITC Avant Garde" w:eastAsia="Times New Roman" w:hAnsi="ITC Avant Garde" w:cs="Arial"/>
          <w:color w:val="auto"/>
          <w:sz w:val="22"/>
          <w:szCs w:val="22"/>
          <w:lang w:val="es-ES_tradnl" w:eastAsia="es-ES"/>
        </w:rPr>
      </w:pPr>
      <w:r w:rsidRPr="009012E2">
        <w:rPr>
          <w:rFonts w:ascii="ITC Avant Garde" w:eastAsia="Times New Roman" w:hAnsi="ITC Avant Garde" w:cs="Arial"/>
          <w:color w:val="auto"/>
          <w:sz w:val="22"/>
          <w:szCs w:val="22"/>
          <w:lang w:val="es-ES_tradnl" w:eastAsia="es-ES"/>
        </w:rPr>
        <w:t xml:space="preserve">Fijar los parámetros de banda ancha y las condiciones bajo las cuales se deberá cumplir con dichos parámetros; </w:t>
      </w:r>
    </w:p>
    <w:p w14:paraId="73DA9FB4" w14:textId="77777777" w:rsidR="00D83932" w:rsidRPr="009012E2" w:rsidRDefault="00D83932" w:rsidP="00D83932">
      <w:pPr>
        <w:pStyle w:val="Default"/>
        <w:numPr>
          <w:ilvl w:val="0"/>
          <w:numId w:val="9"/>
        </w:numPr>
        <w:tabs>
          <w:tab w:val="left" w:pos="0"/>
        </w:tabs>
        <w:spacing w:before="240" w:after="160" w:line="276" w:lineRule="auto"/>
        <w:jc w:val="both"/>
        <w:rPr>
          <w:rFonts w:ascii="ITC Avant Garde" w:eastAsia="Times New Roman" w:hAnsi="ITC Avant Garde" w:cs="Arial"/>
          <w:color w:val="auto"/>
          <w:sz w:val="22"/>
          <w:szCs w:val="22"/>
          <w:lang w:val="es-ES_tradnl" w:eastAsia="es-ES"/>
        </w:rPr>
      </w:pPr>
      <w:r w:rsidRPr="009012E2">
        <w:rPr>
          <w:rFonts w:ascii="ITC Avant Garde" w:eastAsia="Times New Roman" w:hAnsi="ITC Avant Garde" w:cs="Arial"/>
          <w:color w:val="auto"/>
          <w:sz w:val="22"/>
          <w:szCs w:val="22"/>
          <w:lang w:val="es-ES_tradnl" w:eastAsia="es-ES"/>
        </w:rPr>
        <w:t xml:space="preserve">Permitir que los servicios </w:t>
      </w:r>
      <w:r>
        <w:rPr>
          <w:rFonts w:ascii="ITC Avant Garde" w:eastAsia="Times New Roman" w:hAnsi="ITC Avant Garde" w:cs="Arial"/>
          <w:color w:val="auto"/>
          <w:sz w:val="22"/>
          <w:szCs w:val="22"/>
          <w:lang w:val="es-ES_tradnl" w:eastAsia="es-ES"/>
        </w:rPr>
        <w:t xml:space="preserve">de banda ancha </w:t>
      </w:r>
      <w:r w:rsidRPr="009012E2">
        <w:rPr>
          <w:rFonts w:ascii="ITC Avant Garde" w:eastAsia="Times New Roman" w:hAnsi="ITC Avant Garde" w:cs="Arial"/>
          <w:color w:val="auto"/>
          <w:sz w:val="22"/>
          <w:szCs w:val="22"/>
          <w:lang w:val="es-ES_tradnl" w:eastAsia="es-ES"/>
        </w:rPr>
        <w:t>sean prestados a los usuarios finales en condiciones acorde a las tecnologías y a la evolución del sector, y</w:t>
      </w:r>
    </w:p>
    <w:p w14:paraId="252DA059" w14:textId="77777777" w:rsidR="00D83932" w:rsidRDefault="00D83932" w:rsidP="00D83932">
      <w:pPr>
        <w:pStyle w:val="Default"/>
        <w:numPr>
          <w:ilvl w:val="0"/>
          <w:numId w:val="9"/>
        </w:numPr>
        <w:tabs>
          <w:tab w:val="left" w:pos="0"/>
        </w:tabs>
        <w:spacing w:before="240" w:after="160" w:line="276" w:lineRule="auto"/>
        <w:jc w:val="both"/>
        <w:rPr>
          <w:rFonts w:ascii="ITC Avant Garde" w:eastAsia="Times New Roman" w:hAnsi="ITC Avant Garde" w:cs="Arial"/>
          <w:color w:val="auto"/>
          <w:sz w:val="22"/>
          <w:szCs w:val="22"/>
          <w:lang w:val="es-ES_tradnl" w:eastAsia="es-ES"/>
        </w:rPr>
      </w:pPr>
      <w:r w:rsidRPr="009012E2">
        <w:rPr>
          <w:rFonts w:ascii="ITC Avant Garde" w:eastAsia="Times New Roman" w:hAnsi="ITC Avant Garde" w:cs="Arial"/>
          <w:color w:val="auto"/>
          <w:sz w:val="22"/>
          <w:szCs w:val="22"/>
          <w:lang w:val="es-ES_tradnl" w:eastAsia="es-ES"/>
        </w:rPr>
        <w:t>Brindar certeza jurídica a los Concesionarios y Autorizados detallando el proceso de la verificación de los parámetros establecidos.</w:t>
      </w:r>
    </w:p>
    <w:p w14:paraId="626D35CB" w14:textId="77777777" w:rsidR="00D83932" w:rsidRDefault="00D83932" w:rsidP="00D83932">
      <w:pPr>
        <w:pStyle w:val="Default"/>
        <w:tabs>
          <w:tab w:val="left" w:pos="0"/>
        </w:tabs>
        <w:spacing w:before="240" w:after="160" w:line="276" w:lineRule="auto"/>
        <w:jc w:val="both"/>
        <w:rPr>
          <w:rFonts w:ascii="ITC Avant Garde" w:eastAsia="Times New Roman" w:hAnsi="ITC Avant Garde" w:cs="Arial"/>
          <w:color w:val="auto"/>
          <w:sz w:val="22"/>
          <w:szCs w:val="22"/>
          <w:lang w:val="es-ES_tradnl" w:eastAsia="es-ES"/>
        </w:rPr>
      </w:pPr>
      <w:r w:rsidRPr="00D606FC">
        <w:rPr>
          <w:rFonts w:ascii="ITC Avant Garde" w:hAnsi="ITC Avant Garde"/>
          <w:b/>
          <w:bCs/>
          <w:sz w:val="22"/>
          <w:szCs w:val="22"/>
          <w:lang w:val="es-ES_tradnl"/>
        </w:rPr>
        <w:t xml:space="preserve">TERCERO.- </w:t>
      </w:r>
      <w:r>
        <w:rPr>
          <w:rFonts w:ascii="ITC Avant Garde" w:hAnsi="ITC Avant Garde"/>
          <w:b/>
          <w:sz w:val="22"/>
          <w:szCs w:val="22"/>
          <w:lang w:val="es-ES_tradnl"/>
        </w:rPr>
        <w:t>Consulta Pública sobre los</w:t>
      </w:r>
      <w:r w:rsidRPr="00AD11CB">
        <w:t xml:space="preserve"> </w:t>
      </w:r>
      <w:r w:rsidRPr="00AD11CB">
        <w:rPr>
          <w:rFonts w:ascii="ITC Avant Garde" w:hAnsi="ITC Avant Garde"/>
          <w:b/>
          <w:sz w:val="22"/>
          <w:szCs w:val="22"/>
          <w:lang w:val="es-ES_tradnl"/>
        </w:rPr>
        <w:t xml:space="preserve">Lineamientos que establecen los parámetros </w:t>
      </w:r>
      <w:r>
        <w:rPr>
          <w:rFonts w:ascii="ITC Avant Garde" w:hAnsi="ITC Avant Garde"/>
          <w:b/>
          <w:sz w:val="22"/>
          <w:szCs w:val="22"/>
          <w:lang w:val="es-ES_tradnl"/>
        </w:rPr>
        <w:t xml:space="preserve">mínimos </w:t>
      </w:r>
      <w:r w:rsidRPr="00AD11CB">
        <w:rPr>
          <w:rFonts w:ascii="ITC Avant Garde" w:hAnsi="ITC Avant Garde"/>
          <w:b/>
          <w:sz w:val="22"/>
          <w:szCs w:val="22"/>
          <w:lang w:val="es-ES_tradnl"/>
        </w:rPr>
        <w:t>de banda ancha a que deberán sujetarse los prestadores del servicio de acceso a internet</w:t>
      </w:r>
      <w:r>
        <w:rPr>
          <w:rFonts w:ascii="ITC Avant Garde" w:hAnsi="ITC Avant Garde"/>
          <w:b/>
          <w:sz w:val="22"/>
          <w:szCs w:val="22"/>
          <w:lang w:val="es-ES_tradnl"/>
        </w:rPr>
        <w:t>.</w:t>
      </w:r>
      <w:r w:rsidRPr="00501D3C">
        <w:rPr>
          <w:rFonts w:ascii="ITC Avant Garde" w:hAnsi="ITC Avant Garde"/>
          <w:sz w:val="22"/>
          <w:szCs w:val="22"/>
          <w:lang w:val="es-ES_tradnl"/>
        </w:rPr>
        <w:t xml:space="preserve"> </w:t>
      </w:r>
      <w:r w:rsidRPr="009012E2">
        <w:rPr>
          <w:rFonts w:ascii="ITC Avant Garde" w:eastAsia="Times New Roman" w:hAnsi="ITC Avant Garde" w:cs="Arial"/>
          <w:color w:val="auto"/>
          <w:sz w:val="22"/>
          <w:szCs w:val="22"/>
          <w:lang w:val="es-ES_tradnl" w:eastAsia="es-ES"/>
        </w:rPr>
        <w:t xml:space="preserve">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12B5A72F" w14:textId="77777777" w:rsidR="00D83932" w:rsidRDefault="00D83932" w:rsidP="00D83932">
      <w:pPr>
        <w:pStyle w:val="Default"/>
        <w:tabs>
          <w:tab w:val="left" w:pos="0"/>
        </w:tabs>
        <w:spacing w:before="240" w:after="160" w:line="276" w:lineRule="auto"/>
        <w:jc w:val="both"/>
        <w:rPr>
          <w:rFonts w:ascii="ITC Avant Garde" w:hAnsi="ITC Avant Garde"/>
          <w:sz w:val="22"/>
          <w:szCs w:val="22"/>
          <w:lang w:val="es-ES_tradnl"/>
        </w:rPr>
      </w:pPr>
      <w:r w:rsidRPr="00D63E54">
        <w:rPr>
          <w:rFonts w:ascii="ITC Avant Garde" w:hAnsi="ITC Avant Garde"/>
          <w:sz w:val="22"/>
          <w:szCs w:val="22"/>
          <w:lang w:val="es-ES_tradnl"/>
        </w:rPr>
        <w:t>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5DDB61E8" w14:textId="77777777" w:rsidR="00D83932" w:rsidRDefault="00D83932" w:rsidP="00D83932">
      <w:pPr>
        <w:pStyle w:val="Default"/>
        <w:tabs>
          <w:tab w:val="left" w:pos="0"/>
        </w:tabs>
        <w:spacing w:before="240" w:after="160" w:line="276" w:lineRule="auto"/>
        <w:jc w:val="both"/>
        <w:rPr>
          <w:rFonts w:ascii="ITC Avant Garde" w:hAnsi="ITC Avant Garde"/>
          <w:sz w:val="22"/>
          <w:szCs w:val="22"/>
          <w:lang w:val="es-ES_tradnl"/>
        </w:rPr>
      </w:pPr>
      <w:r w:rsidRPr="00D63E54">
        <w:rPr>
          <w:rFonts w:ascii="ITC Avant Garde" w:hAnsi="ITC Avant Garde"/>
          <w:sz w:val="22"/>
          <w:szCs w:val="22"/>
          <w:lang w:val="es-ES_tradnl"/>
        </w:rPr>
        <w:t>En el caso del “ANTEPROYECTO DE LINEAMIENTOS QUE ESTABLECEN LOS PARÁMETROS</w:t>
      </w:r>
      <w:r>
        <w:rPr>
          <w:rFonts w:ascii="ITC Avant Garde" w:hAnsi="ITC Avant Garde"/>
          <w:sz w:val="22"/>
          <w:szCs w:val="22"/>
          <w:lang w:val="es-ES_tradnl"/>
        </w:rPr>
        <w:t xml:space="preserve"> MÍNIMOS</w:t>
      </w:r>
      <w:r w:rsidRPr="00D63E54">
        <w:rPr>
          <w:rFonts w:ascii="ITC Avant Garde" w:hAnsi="ITC Avant Garde"/>
          <w:sz w:val="22"/>
          <w:szCs w:val="22"/>
          <w:lang w:val="es-ES_tradnl"/>
        </w:rPr>
        <w:t xml:space="preserve"> DE BANDA ANCHA A QUE DEBERÁN SUJETARSE LOS PRESTADORES DEL SERVICIO DE ACCESO A INTERNET”, se considera que su publicidad no compromete los efectos que se pretenden resolver y tampoco es </w:t>
      </w:r>
      <w:r w:rsidRPr="00D63E54">
        <w:rPr>
          <w:rFonts w:ascii="ITC Avant Garde" w:hAnsi="ITC Avant Garde"/>
          <w:sz w:val="22"/>
          <w:szCs w:val="22"/>
          <w:lang w:val="es-ES_tradnl"/>
        </w:rPr>
        <w:lastRenderedPageBreak/>
        <w:t>necesario prevenir alguna situación de emergencia. Se considera que con la consulta pública del Anteproyecto se</w:t>
      </w:r>
      <w:r>
        <w:rPr>
          <w:rFonts w:ascii="ITC Avant Garde" w:hAnsi="ITC Avant Garde"/>
          <w:sz w:val="22"/>
          <w:szCs w:val="22"/>
          <w:lang w:val="es-ES_tradnl"/>
        </w:rPr>
        <w:t xml:space="preserve"> alcanzarán</w:t>
      </w:r>
      <w:r w:rsidRPr="00D63E54">
        <w:rPr>
          <w:rFonts w:ascii="ITC Avant Garde" w:hAnsi="ITC Avant Garde"/>
          <w:sz w:val="22"/>
          <w:szCs w:val="22"/>
          <w:lang w:val="es-ES_tradnl"/>
        </w:rPr>
        <w:t xml:space="preserve"> los siguientes objetivos:</w:t>
      </w:r>
    </w:p>
    <w:p w14:paraId="4447E516" w14:textId="77777777" w:rsidR="00D83932" w:rsidRPr="00501D3C" w:rsidRDefault="00D83932" w:rsidP="00D83932">
      <w:pPr>
        <w:pStyle w:val="Default"/>
        <w:numPr>
          <w:ilvl w:val="0"/>
          <w:numId w:val="8"/>
        </w:numPr>
        <w:tabs>
          <w:tab w:val="left" w:pos="0"/>
        </w:tabs>
        <w:spacing w:before="240" w:after="160" w:line="276" w:lineRule="auto"/>
        <w:jc w:val="both"/>
        <w:rPr>
          <w:rFonts w:ascii="ITC Avant Garde" w:hAnsi="ITC Avant Garde"/>
          <w:sz w:val="22"/>
          <w:szCs w:val="22"/>
          <w:lang w:val="es-ES_tradnl"/>
        </w:rPr>
      </w:pPr>
      <w:r w:rsidRPr="00501D3C">
        <w:rPr>
          <w:rFonts w:ascii="ITC Avant Garde" w:hAnsi="ITC Avant Garde"/>
          <w:sz w:val="22"/>
          <w:szCs w:val="22"/>
          <w:lang w:val="es-ES_tradnl"/>
        </w:rPr>
        <w:t>Fortalecer el principio de tr</w:t>
      </w:r>
      <w:r>
        <w:rPr>
          <w:rFonts w:ascii="ITC Avant Garde" w:hAnsi="ITC Avant Garde"/>
          <w:sz w:val="22"/>
          <w:szCs w:val="22"/>
          <w:lang w:val="es-ES_tradnl"/>
        </w:rPr>
        <w:t>ansparencia en la emisión de lineamientos</w:t>
      </w:r>
      <w:r w:rsidRPr="003301B4">
        <w:rPr>
          <w:rFonts w:ascii="ITC Avant Garde" w:hAnsi="ITC Avant Garde"/>
          <w:sz w:val="22"/>
          <w:szCs w:val="22"/>
          <w:lang w:val="es-ES_tradnl"/>
        </w:rPr>
        <w:t xml:space="preserve"> </w:t>
      </w:r>
      <w:r w:rsidRPr="00501D3C">
        <w:rPr>
          <w:rFonts w:ascii="ITC Avant Garde" w:hAnsi="ITC Avant Garde"/>
          <w:sz w:val="22"/>
          <w:szCs w:val="22"/>
          <w:lang w:val="es-ES_tradnl"/>
        </w:rPr>
        <w:t>que impacta a todo el sector de las telecomunicaciones</w:t>
      </w:r>
      <w:r w:rsidRPr="00E9247F">
        <w:rPr>
          <w:rFonts w:ascii="ITC Avant Garde" w:hAnsi="ITC Avant Garde"/>
          <w:bCs/>
          <w:color w:val="auto"/>
          <w:sz w:val="22"/>
          <w:szCs w:val="22"/>
          <w:lang w:val="es-ES_tradnl"/>
        </w:rPr>
        <w:t>.</w:t>
      </w:r>
    </w:p>
    <w:p w14:paraId="152C54BC" w14:textId="77777777" w:rsidR="00D83932" w:rsidRDefault="00D83932" w:rsidP="00D83932">
      <w:pPr>
        <w:pStyle w:val="Default"/>
        <w:numPr>
          <w:ilvl w:val="0"/>
          <w:numId w:val="8"/>
        </w:numPr>
        <w:tabs>
          <w:tab w:val="left" w:pos="0"/>
        </w:tabs>
        <w:spacing w:before="240" w:after="160" w:line="276" w:lineRule="auto"/>
        <w:jc w:val="both"/>
        <w:rPr>
          <w:rFonts w:ascii="ITC Avant Garde" w:hAnsi="ITC Avant Garde"/>
          <w:sz w:val="22"/>
          <w:szCs w:val="22"/>
          <w:lang w:val="es-ES_tradnl"/>
        </w:rPr>
      </w:pPr>
      <w:r w:rsidRPr="00403CD1">
        <w:rPr>
          <w:rFonts w:ascii="ITC Avant Garde" w:hAnsi="ITC Avant Garde"/>
          <w:sz w:val="22"/>
          <w:szCs w:val="22"/>
          <w:lang w:val="es-ES_tradnl"/>
        </w:rPr>
        <w:t>Fortalecer los planteamientos expuestos en el Anteproyecto</w:t>
      </w:r>
      <w:r>
        <w:rPr>
          <w:rFonts w:ascii="ITC Avant Garde" w:hAnsi="ITC Avant Garde"/>
          <w:sz w:val="22"/>
          <w:szCs w:val="22"/>
          <w:lang w:val="es-ES_tradnl"/>
        </w:rPr>
        <w:t xml:space="preserve"> </w:t>
      </w:r>
      <w:r w:rsidRPr="00403CD1">
        <w:rPr>
          <w:rFonts w:ascii="ITC Avant Garde" w:hAnsi="ITC Avant Garde"/>
          <w:sz w:val="22"/>
          <w:szCs w:val="22"/>
          <w:lang w:val="es-ES_tradnl"/>
        </w:rPr>
        <w:t>mediante la participación ciudadana, generando así un documento más robusto y eficiente qu</w:t>
      </w:r>
      <w:r>
        <w:rPr>
          <w:rFonts w:ascii="ITC Avant Garde" w:hAnsi="ITC Avant Garde"/>
          <w:sz w:val="22"/>
          <w:szCs w:val="22"/>
          <w:lang w:val="es-ES_tradnl"/>
        </w:rPr>
        <w:t xml:space="preserve">e busque brindar </w:t>
      </w:r>
      <w:r w:rsidRPr="00E9247F">
        <w:rPr>
          <w:rFonts w:ascii="ITC Avant Garde" w:hAnsi="ITC Avant Garde"/>
          <w:sz w:val="22"/>
          <w:szCs w:val="22"/>
          <w:lang w:val="es-ES_tradnl"/>
        </w:rPr>
        <w:t>una cobertura óptima</w:t>
      </w:r>
      <w:r w:rsidRPr="00403CD1">
        <w:rPr>
          <w:rFonts w:ascii="ITC Avant Garde" w:hAnsi="ITC Avant Garde"/>
          <w:sz w:val="22"/>
          <w:szCs w:val="22"/>
          <w:lang w:val="es-ES_tradnl"/>
        </w:rPr>
        <w:t xml:space="preserve"> a las necesidades y sugerencias en beneficio de todo el sector.</w:t>
      </w:r>
      <w:r w:rsidRPr="00501D3C">
        <w:rPr>
          <w:rFonts w:ascii="ITC Avant Garde" w:hAnsi="ITC Avant Garde"/>
          <w:sz w:val="22"/>
          <w:szCs w:val="22"/>
          <w:lang w:val="es-ES_tradnl"/>
        </w:rPr>
        <w:t xml:space="preserve"> </w:t>
      </w:r>
    </w:p>
    <w:p w14:paraId="60BB7EAC" w14:textId="77777777" w:rsidR="00D83932" w:rsidRDefault="00D83932" w:rsidP="00D83932">
      <w:pPr>
        <w:pStyle w:val="Default"/>
        <w:tabs>
          <w:tab w:val="left" w:pos="0"/>
        </w:tabs>
        <w:spacing w:before="240" w:after="160" w:line="276" w:lineRule="auto"/>
        <w:jc w:val="both"/>
        <w:rPr>
          <w:rFonts w:ascii="ITC Avant Garde" w:hAnsi="ITC Avant Garde"/>
          <w:bCs/>
          <w:sz w:val="22"/>
          <w:szCs w:val="22"/>
          <w:lang w:val="es-ES_tradnl"/>
        </w:rPr>
      </w:pPr>
      <w:r w:rsidRPr="00D63E54">
        <w:rPr>
          <w:rFonts w:ascii="ITC Avant Garde" w:hAnsi="ITC Avant Garde"/>
          <w:bCs/>
          <w:sz w:val="22"/>
          <w:szCs w:val="22"/>
          <w:lang w:val="es-ES_tradnl"/>
        </w:rPr>
        <w:t>En este sentido, el Pleno del Instituto estima conveniente someter a consulta pública el “ANTEPROYECTO DE LINEAMIENTOS QUE ESTABLECEN LOS PARÁMETROS</w:t>
      </w:r>
      <w:r>
        <w:rPr>
          <w:rFonts w:ascii="ITC Avant Garde" w:hAnsi="ITC Avant Garde"/>
          <w:bCs/>
          <w:sz w:val="22"/>
          <w:szCs w:val="22"/>
          <w:lang w:val="es-ES_tradnl"/>
        </w:rPr>
        <w:t xml:space="preserve"> MÍNIMOS</w:t>
      </w:r>
      <w:r w:rsidRPr="00D63E54">
        <w:rPr>
          <w:rFonts w:ascii="ITC Avant Garde" w:hAnsi="ITC Avant Garde"/>
          <w:bCs/>
          <w:sz w:val="22"/>
          <w:szCs w:val="22"/>
          <w:lang w:val="es-ES_tradnl"/>
        </w:rPr>
        <w:t xml:space="preserve"> DE BANDA ANCHA A QUE DEBERÁN SUJETARSE LOS PRESTADORES DEL SERVICIO DE ACCESO A INTERNET”; Anteproyecto que a su vez le fue propuesto por la Unidad de Política Regulatoria</w:t>
      </w:r>
      <w:r>
        <w:rPr>
          <w:rFonts w:ascii="ITC Avant Garde" w:hAnsi="ITC Avant Garde"/>
          <w:bCs/>
          <w:sz w:val="22"/>
          <w:szCs w:val="22"/>
          <w:lang w:val="es-ES_tradnl"/>
        </w:rPr>
        <w:t xml:space="preserve">, el cual </w:t>
      </w:r>
      <w:r w:rsidRPr="00A06BDC">
        <w:rPr>
          <w:rFonts w:ascii="ITC Avant Garde" w:hAnsi="ITC Avant Garde"/>
          <w:bCs/>
          <w:sz w:val="22"/>
          <w:szCs w:val="22"/>
          <w:lang w:val="es-ES_tradnl"/>
        </w:rPr>
        <w:t>se adjunta al presente Acuerdo como Anexo Único y forma parte integral de éste; al efecto, una vez concluido el plazo de consulta respectivo, se publicar</w:t>
      </w:r>
      <w:r>
        <w:rPr>
          <w:rFonts w:ascii="ITC Avant Garde" w:hAnsi="ITC Avant Garde"/>
          <w:bCs/>
          <w:sz w:val="22"/>
          <w:szCs w:val="22"/>
          <w:lang w:val="es-ES_tradnl"/>
        </w:rPr>
        <w:t>á</w:t>
      </w:r>
      <w:r w:rsidRPr="00A06BDC">
        <w:rPr>
          <w:rFonts w:ascii="ITC Avant Garde" w:hAnsi="ITC Avant Garde"/>
          <w:bCs/>
          <w:sz w:val="22"/>
          <w:szCs w:val="22"/>
          <w:lang w:val="es-ES_tradnl"/>
        </w:rPr>
        <w:t xml:space="preserve">n en el portal de Internet del Instituto todos y cada uno de los comentarios, opiniones y propuestas recibidas. </w:t>
      </w:r>
    </w:p>
    <w:p w14:paraId="13F7662D" w14:textId="77777777" w:rsidR="00D83932" w:rsidRDefault="00D83932" w:rsidP="00D83932">
      <w:pPr>
        <w:pStyle w:val="Default"/>
        <w:tabs>
          <w:tab w:val="left" w:pos="0"/>
        </w:tabs>
        <w:spacing w:before="240" w:after="160" w:line="276" w:lineRule="auto"/>
        <w:jc w:val="both"/>
        <w:rPr>
          <w:rFonts w:ascii="ITC Avant Garde" w:hAnsi="ITC Avant Garde"/>
          <w:bCs/>
          <w:sz w:val="22"/>
          <w:szCs w:val="22"/>
          <w:lang w:val="es-ES_tradnl"/>
        </w:rPr>
      </w:pPr>
      <w:r w:rsidRPr="00A06BDC" w:rsidDel="00D63E54">
        <w:rPr>
          <w:rFonts w:ascii="ITC Avant Garde" w:hAnsi="ITC Avant Garde"/>
          <w:bCs/>
          <w:sz w:val="22"/>
          <w:szCs w:val="22"/>
          <w:lang w:val="es-ES_tradnl"/>
        </w:rPr>
        <w:t>Lo anterior</w:t>
      </w:r>
      <w:r>
        <w:rPr>
          <w:rFonts w:ascii="ITC Avant Garde" w:hAnsi="ITC Avant Garde"/>
          <w:bCs/>
          <w:sz w:val="22"/>
          <w:szCs w:val="22"/>
          <w:lang w:val="es-ES_tradnl"/>
        </w:rPr>
        <w:t>,</w:t>
      </w:r>
      <w:r w:rsidRPr="00A06BDC" w:rsidDel="00D63E54">
        <w:rPr>
          <w:rFonts w:ascii="ITC Avant Garde" w:hAnsi="ITC Avant Garde"/>
          <w:bCs/>
          <w:sz w:val="22"/>
          <w:szCs w:val="22"/>
          <w:lang w:val="es-ES_tradnl"/>
        </w:rPr>
        <w:t xml:space="preserve"> sin perjuicio de que en su momento, el Instituto realice y haga público el correspondiente análisis de impacto regulatorio, conforme a lo dispuesto en el párrafo segundo del artículo 51 de la L</w:t>
      </w:r>
      <w:r w:rsidDel="00D63E54">
        <w:rPr>
          <w:rFonts w:ascii="ITC Avant Garde" w:hAnsi="ITC Avant Garde"/>
          <w:bCs/>
          <w:sz w:val="22"/>
          <w:szCs w:val="22"/>
          <w:lang w:val="es-ES_tradnl"/>
        </w:rPr>
        <w:t>FTR</w:t>
      </w:r>
      <w:r w:rsidRPr="00A06BDC" w:rsidDel="00D63E54">
        <w:rPr>
          <w:rFonts w:ascii="ITC Avant Garde" w:hAnsi="ITC Avant Garde"/>
          <w:bCs/>
          <w:sz w:val="22"/>
          <w:szCs w:val="22"/>
          <w:lang w:val="es-ES_tradnl"/>
        </w:rPr>
        <w:t xml:space="preserve">. </w:t>
      </w:r>
    </w:p>
    <w:p w14:paraId="15179016" w14:textId="77777777" w:rsidR="00D83932" w:rsidRDefault="00D83932" w:rsidP="00D83932">
      <w:pPr>
        <w:pStyle w:val="Default"/>
        <w:tabs>
          <w:tab w:val="left" w:pos="0"/>
        </w:tabs>
        <w:spacing w:before="240" w:after="160" w:line="276" w:lineRule="auto"/>
        <w:jc w:val="both"/>
        <w:rPr>
          <w:rFonts w:ascii="ITC Avant Garde" w:hAnsi="ITC Avant Garde"/>
          <w:bCs/>
          <w:color w:val="auto"/>
          <w:sz w:val="22"/>
          <w:szCs w:val="22"/>
          <w:lang w:val="es-ES_tradnl"/>
        </w:rPr>
      </w:pPr>
      <w:r w:rsidRPr="001853A9">
        <w:rPr>
          <w:rFonts w:ascii="ITC Avant Garde" w:hAnsi="ITC Avant Garde"/>
          <w:bCs/>
          <w:sz w:val="22"/>
          <w:szCs w:val="22"/>
          <w:lang w:val="es-ES_tradnl"/>
        </w:rPr>
        <w:t xml:space="preserve">Por lo anterior, </w:t>
      </w:r>
      <w:r w:rsidRPr="00E9247F">
        <w:rPr>
          <w:rFonts w:ascii="ITC Avant Garde" w:hAnsi="ITC Avant Garde"/>
          <w:bCs/>
          <w:color w:val="auto"/>
          <w:sz w:val="22"/>
          <w:szCs w:val="22"/>
          <w:lang w:val="es-ES_tradnl"/>
        </w:rPr>
        <w:t xml:space="preserve">el Pleno del Instituto determina que </w:t>
      </w:r>
      <w:r w:rsidRPr="001853A9">
        <w:rPr>
          <w:rFonts w:ascii="ITC Avant Garde" w:hAnsi="ITC Avant Garde"/>
          <w:bCs/>
          <w:sz w:val="22"/>
          <w:szCs w:val="22"/>
          <w:lang w:val="es-ES_tradnl"/>
        </w:rPr>
        <w:t xml:space="preserve">el Anteproyecto propuesto por la Unidad de Política Regulatoria debe estar sujeto a un proceso de consulta pública por un periodo </w:t>
      </w:r>
      <w:r w:rsidRPr="00077E18">
        <w:rPr>
          <w:rFonts w:ascii="ITC Avant Garde" w:hAnsi="ITC Avant Garde"/>
          <w:bCs/>
          <w:color w:val="auto"/>
          <w:sz w:val="22"/>
          <w:szCs w:val="22"/>
          <w:lang w:val="es-ES_tradnl"/>
        </w:rPr>
        <w:t xml:space="preserve">de </w:t>
      </w:r>
      <w:r w:rsidRPr="0018640D">
        <w:rPr>
          <w:rFonts w:ascii="ITC Avant Garde" w:hAnsi="ITC Avant Garde"/>
          <w:b/>
          <w:bCs/>
          <w:color w:val="auto"/>
          <w:sz w:val="22"/>
          <w:szCs w:val="22"/>
          <w:lang w:val="es-ES_tradnl"/>
        </w:rPr>
        <w:t>cuarenta días</w:t>
      </w:r>
      <w:r w:rsidRPr="00E402B9">
        <w:rPr>
          <w:rFonts w:ascii="ITC Avant Garde" w:hAnsi="ITC Avant Garde"/>
          <w:b/>
          <w:bCs/>
          <w:color w:val="auto"/>
          <w:sz w:val="22"/>
          <w:szCs w:val="22"/>
          <w:lang w:val="es-ES_tradnl"/>
        </w:rPr>
        <w:t xml:space="preserve"> </w:t>
      </w:r>
      <w:r w:rsidRPr="0018640D">
        <w:rPr>
          <w:rFonts w:ascii="ITC Avant Garde" w:hAnsi="ITC Avant Garde"/>
          <w:b/>
          <w:bCs/>
          <w:color w:val="auto"/>
          <w:sz w:val="22"/>
          <w:szCs w:val="22"/>
          <w:lang w:val="es-ES_tradnl"/>
        </w:rPr>
        <w:t>hábiles</w:t>
      </w:r>
      <w:r w:rsidRPr="00E9247F">
        <w:rPr>
          <w:rFonts w:ascii="ITC Avant Garde" w:hAnsi="ITC Avant Garde"/>
          <w:bCs/>
          <w:color w:val="auto"/>
          <w:sz w:val="22"/>
          <w:szCs w:val="22"/>
          <w:lang w:val="es-ES_tradnl"/>
        </w:rPr>
        <w:t xml:space="preserve"> </w:t>
      </w:r>
      <w:r w:rsidRPr="001853A9">
        <w:rPr>
          <w:rFonts w:ascii="ITC Avant Garde" w:hAnsi="ITC Avant Garde"/>
          <w:bCs/>
          <w:sz w:val="22"/>
          <w:szCs w:val="22"/>
          <w:lang w:val="es-ES_tradnl"/>
        </w:rPr>
        <w:t>a fin de transparentar y promover la participación ciudadana en lo</w:t>
      </w:r>
      <w:r w:rsidRPr="00BE1556">
        <w:rPr>
          <w:rFonts w:ascii="ITC Avant Garde" w:hAnsi="ITC Avant Garde"/>
          <w:bCs/>
          <w:sz w:val="22"/>
          <w:szCs w:val="22"/>
          <w:lang w:val="es-ES_tradnl"/>
        </w:rPr>
        <w:t xml:space="preserve">s procesos de emisión de disposiciones de carácter general que genere el Instituto, a efecto </w:t>
      </w:r>
      <w:r w:rsidRPr="00BE1556">
        <w:rPr>
          <w:rFonts w:ascii="ITC Avant Garde" w:hAnsi="ITC Avant Garde"/>
          <w:bCs/>
          <w:color w:val="auto"/>
          <w:sz w:val="22"/>
          <w:szCs w:val="22"/>
          <w:lang w:val="es-ES_tradnl"/>
        </w:rPr>
        <w:t>de dar cabal cumplimiento a lo establecido en el dispositivo legal señalado.</w:t>
      </w:r>
      <w:r w:rsidRPr="001853A9">
        <w:rPr>
          <w:rFonts w:ascii="ITC Avant Garde" w:hAnsi="ITC Avant Garde"/>
          <w:bCs/>
          <w:color w:val="auto"/>
          <w:sz w:val="22"/>
          <w:szCs w:val="22"/>
          <w:lang w:val="es-ES_tradnl"/>
        </w:rPr>
        <w:t xml:space="preserve"> </w:t>
      </w:r>
    </w:p>
    <w:p w14:paraId="43FF5743" w14:textId="77777777" w:rsidR="00D83932" w:rsidRDefault="00D83932" w:rsidP="00D83932">
      <w:pPr>
        <w:autoSpaceDE w:val="0"/>
        <w:autoSpaceDN w:val="0"/>
        <w:adjustRightInd w:val="0"/>
        <w:spacing w:before="240"/>
        <w:jc w:val="both"/>
        <w:rPr>
          <w:rFonts w:ascii="ITC Avant Garde" w:hAnsi="ITC Avant Garde" w:cs="Tahoma"/>
          <w:b/>
          <w:bCs/>
        </w:rPr>
      </w:pPr>
      <w:r w:rsidRPr="00476392">
        <w:rPr>
          <w:rFonts w:ascii="ITC Avant Garde" w:hAnsi="ITC Avant Garde"/>
          <w:bCs/>
        </w:rPr>
        <w:t xml:space="preserve">Por las razones expuestas con fundamento en los artículos 6o. y 28, párrafos décimo quinto y vigésimo, fracción IV, de la Constitución Política de los Estados Unidos Mexicanos; 1, 2, 7, 15, fracción I, </w:t>
      </w:r>
      <w:r>
        <w:rPr>
          <w:rFonts w:ascii="ITC Avant Garde" w:hAnsi="ITC Avant Garde"/>
          <w:bCs/>
        </w:rPr>
        <w:t>XLIX,</w:t>
      </w:r>
      <w:r w:rsidRPr="00476392">
        <w:rPr>
          <w:rFonts w:ascii="ITC Avant Garde" w:hAnsi="ITC Avant Garde"/>
          <w:bCs/>
        </w:rPr>
        <w:t xml:space="preserve"> y </w:t>
      </w:r>
      <w:r>
        <w:rPr>
          <w:rFonts w:ascii="ITC Avant Garde" w:hAnsi="ITC Avant Garde"/>
          <w:bCs/>
        </w:rPr>
        <w:t>51</w:t>
      </w:r>
      <w:r w:rsidRPr="00476392">
        <w:rPr>
          <w:rFonts w:ascii="ITC Avant Garde" w:hAnsi="ITC Avant Garde"/>
          <w:bCs/>
        </w:rPr>
        <w:t xml:space="preserve"> de la Ley Federal de Telecomunicaciones y Radiodifusión, 1, 4, fracción I y 6 fracción XXXVIII del Estatuto Orgánico del Instituto, el Pleno del Instituto Federal de Telecomunicaciones emite el siguiente:</w:t>
      </w:r>
    </w:p>
    <w:p w14:paraId="35C372D1" w14:textId="77777777" w:rsidR="00D83932" w:rsidRPr="002765CC" w:rsidRDefault="00D83932" w:rsidP="00D83932">
      <w:pPr>
        <w:pStyle w:val="Ttulo2"/>
        <w:spacing w:after="240"/>
        <w:jc w:val="center"/>
        <w:rPr>
          <w:rFonts w:ascii="ITC Avant Garde" w:hAnsi="ITC Avant Garde"/>
          <w:b/>
          <w:color w:val="000000" w:themeColor="text1"/>
          <w:sz w:val="22"/>
          <w:szCs w:val="22"/>
        </w:rPr>
      </w:pPr>
      <w:r w:rsidRPr="002765CC">
        <w:rPr>
          <w:rFonts w:ascii="ITC Avant Garde" w:hAnsi="ITC Avant Garde"/>
          <w:b/>
          <w:color w:val="000000" w:themeColor="text1"/>
          <w:sz w:val="22"/>
          <w:szCs w:val="22"/>
        </w:rPr>
        <w:t>ACUERDO</w:t>
      </w:r>
    </w:p>
    <w:p w14:paraId="26188EB9" w14:textId="77777777" w:rsidR="00D83932" w:rsidRDefault="00D83932" w:rsidP="00D83932">
      <w:pPr>
        <w:autoSpaceDE w:val="0"/>
        <w:autoSpaceDN w:val="0"/>
        <w:adjustRightInd w:val="0"/>
        <w:spacing w:before="240"/>
        <w:jc w:val="both"/>
        <w:rPr>
          <w:rFonts w:ascii="ITC Avant Garde" w:hAnsi="ITC Avant Garde"/>
          <w:bCs/>
        </w:rPr>
      </w:pPr>
      <w:r w:rsidRPr="001853A9">
        <w:rPr>
          <w:rFonts w:ascii="ITC Avant Garde" w:hAnsi="ITC Avant Garde" w:cs="Tahoma"/>
          <w:b/>
          <w:bCs/>
        </w:rPr>
        <w:t>PRIMERO</w:t>
      </w:r>
      <w:r w:rsidRPr="001853A9">
        <w:rPr>
          <w:rFonts w:ascii="ITC Avant Garde" w:hAnsi="ITC Avant Garde" w:cs="Tahoma"/>
          <w:bCs/>
        </w:rPr>
        <w:t xml:space="preserve">.- Se </w:t>
      </w:r>
      <w:r>
        <w:rPr>
          <w:rFonts w:ascii="ITC Avant Garde" w:hAnsi="ITC Avant Garde" w:cs="Tahoma"/>
          <w:bCs/>
        </w:rPr>
        <w:t xml:space="preserve">determina </w:t>
      </w:r>
      <w:r w:rsidRPr="001853A9">
        <w:rPr>
          <w:rFonts w:ascii="ITC Avant Garde" w:hAnsi="ITC Avant Garde" w:cs="Tahoma"/>
          <w:bCs/>
        </w:rPr>
        <w:t>someter a consulta pública el</w:t>
      </w:r>
      <w:r>
        <w:rPr>
          <w:rFonts w:ascii="ITC Avant Garde" w:hAnsi="ITC Avant Garde" w:cs="Tahoma"/>
          <w:bCs/>
        </w:rPr>
        <w:t xml:space="preserve"> </w:t>
      </w:r>
      <w:r w:rsidRPr="00E9247F">
        <w:rPr>
          <w:rFonts w:ascii="ITC Avant Garde" w:hAnsi="ITC Avant Garde" w:cs="Tahoma"/>
          <w:bCs/>
        </w:rPr>
        <w:t>“</w:t>
      </w:r>
      <w:r w:rsidRPr="00E52DDF">
        <w:rPr>
          <w:rFonts w:ascii="ITC Avant Garde" w:hAnsi="ITC Avant Garde" w:cs="Tahoma"/>
          <w:bCs/>
        </w:rPr>
        <w:t>ANTEPROYECTO DE LINEAMIENTOS QUE ESTABLECEN LOS PARÁMETROS</w:t>
      </w:r>
      <w:r>
        <w:rPr>
          <w:rFonts w:ascii="ITC Avant Garde" w:hAnsi="ITC Avant Garde" w:cs="Tahoma"/>
          <w:bCs/>
        </w:rPr>
        <w:t xml:space="preserve"> MÍNIMOS</w:t>
      </w:r>
      <w:r w:rsidRPr="00E52DDF">
        <w:rPr>
          <w:rFonts w:ascii="ITC Avant Garde" w:hAnsi="ITC Avant Garde" w:cs="Tahoma"/>
          <w:bCs/>
        </w:rPr>
        <w:t xml:space="preserve"> DE BANDA ANCHA A QUE DEBERÁN SUJETARSE LOS PRESTADORES DEL SERVICIO DE ACCESO A INTERNET</w:t>
      </w:r>
      <w:r w:rsidRPr="00E9247F">
        <w:rPr>
          <w:rFonts w:ascii="ITC Avant Garde" w:hAnsi="ITC Avant Garde" w:cs="Tahoma"/>
          <w:bCs/>
        </w:rPr>
        <w:t xml:space="preserve">”, </w:t>
      </w:r>
      <w:r w:rsidRPr="001853A9">
        <w:rPr>
          <w:rFonts w:ascii="ITC Avant Garde" w:hAnsi="ITC Avant Garde" w:cs="Tahoma"/>
          <w:bCs/>
        </w:rPr>
        <w:lastRenderedPageBreak/>
        <w:t>el cual se adjunta al presente como Anexo Único</w:t>
      </w:r>
      <w:r>
        <w:rPr>
          <w:rFonts w:ascii="ITC Avant Garde" w:hAnsi="ITC Avant Garde" w:cs="Tahoma"/>
          <w:bCs/>
        </w:rPr>
        <w:t>.</w:t>
      </w:r>
      <w:r w:rsidRPr="001853A9">
        <w:rPr>
          <w:rFonts w:ascii="ITC Avant Garde" w:hAnsi="ITC Avant Garde" w:cs="Tahoma"/>
          <w:bCs/>
        </w:rPr>
        <w:t xml:space="preserve"> </w:t>
      </w:r>
      <w:r>
        <w:rPr>
          <w:rFonts w:ascii="ITC Avant Garde" w:hAnsi="ITC Avant Garde" w:cs="Tahoma"/>
          <w:bCs/>
        </w:rPr>
        <w:t>D</w:t>
      </w:r>
      <w:r w:rsidRPr="001853A9">
        <w:rPr>
          <w:rFonts w:ascii="ITC Avant Garde" w:hAnsi="ITC Avant Garde" w:cs="Tahoma"/>
          <w:bCs/>
        </w:rPr>
        <w:t xml:space="preserve">icha consulta pública se realizará durante </w:t>
      </w:r>
      <w:r w:rsidRPr="00BF64D4">
        <w:rPr>
          <w:rFonts w:ascii="ITC Avant Garde" w:hAnsi="ITC Avant Garde" w:cs="Tahoma"/>
          <w:b/>
          <w:bCs/>
        </w:rPr>
        <w:t>cuarenta días hábiles</w:t>
      </w:r>
      <w:r w:rsidRPr="00E9247F">
        <w:rPr>
          <w:rFonts w:ascii="ITC Avant Garde" w:hAnsi="ITC Avant Garde" w:cs="Tahoma"/>
          <w:bCs/>
        </w:rPr>
        <w:t xml:space="preserve"> </w:t>
      </w:r>
      <w:r w:rsidRPr="002822C7">
        <w:rPr>
          <w:rFonts w:ascii="ITC Avant Garde" w:hAnsi="ITC Avant Garde" w:cs="Tahoma"/>
          <w:bCs/>
        </w:rPr>
        <w:t>a partir de su publicación en el portal de Internet</w:t>
      </w:r>
      <w:r w:rsidRPr="009313E7">
        <w:rPr>
          <w:rFonts w:ascii="ITC Avant Garde" w:hAnsi="ITC Avant Garde"/>
          <w:bCs/>
        </w:rPr>
        <w:t xml:space="preserve"> del Instituto</w:t>
      </w:r>
      <w:r>
        <w:rPr>
          <w:rFonts w:ascii="ITC Avant Garde" w:hAnsi="ITC Avant Garde"/>
          <w:bCs/>
        </w:rPr>
        <w:t xml:space="preserve"> Federal de Telecomunicaciones</w:t>
      </w:r>
      <w:r w:rsidRPr="009313E7">
        <w:rPr>
          <w:rFonts w:ascii="ITC Avant Garde" w:hAnsi="ITC Avant Garde"/>
          <w:bCs/>
        </w:rPr>
        <w:t>.</w:t>
      </w:r>
    </w:p>
    <w:p w14:paraId="17281E09" w14:textId="77777777" w:rsidR="00D83932" w:rsidRDefault="00D83932" w:rsidP="00D83932">
      <w:pPr>
        <w:autoSpaceDE w:val="0"/>
        <w:autoSpaceDN w:val="0"/>
        <w:adjustRightInd w:val="0"/>
        <w:spacing w:before="240"/>
        <w:jc w:val="both"/>
        <w:rPr>
          <w:rFonts w:ascii="ITC Avant Garde" w:hAnsi="ITC Avant Garde" w:cs="Tahoma"/>
          <w:bCs/>
        </w:rPr>
      </w:pPr>
      <w:r w:rsidRPr="002822C7">
        <w:rPr>
          <w:rFonts w:ascii="ITC Avant Garde" w:hAnsi="ITC Avant Garde" w:cs="Tahoma"/>
          <w:b/>
          <w:bCs/>
        </w:rPr>
        <w:t>SEGUNDO</w:t>
      </w:r>
      <w:r w:rsidRPr="002822C7">
        <w:rPr>
          <w:rFonts w:ascii="ITC Avant Garde" w:hAnsi="ITC Avant Garde" w:cs="Tahoma"/>
          <w:bCs/>
        </w:rPr>
        <w:t>.</w:t>
      </w:r>
      <w:r w:rsidRPr="001853A9">
        <w:rPr>
          <w:rFonts w:ascii="ITC Avant Garde" w:hAnsi="ITC Avant Garde" w:cs="Tahoma"/>
          <w:bCs/>
        </w:rPr>
        <w:t xml:space="preserve">- </w:t>
      </w:r>
      <w:r w:rsidRPr="00A06BDC">
        <w:rPr>
          <w:rFonts w:ascii="ITC Avant Garde" w:hAnsi="ITC Avant Garde" w:cs="Tahoma"/>
          <w:bCs/>
        </w:rPr>
        <w:t>Se instruye a la Unidad de Política Regulatoria</w:t>
      </w:r>
      <w:r w:rsidRPr="00E9247F">
        <w:rPr>
          <w:rFonts w:ascii="ITC Avant Garde" w:hAnsi="ITC Avant Garde" w:cs="Tahoma"/>
          <w:bCs/>
        </w:rPr>
        <w:t>, por conducto de la Dirección General de Regulación Técnica</w:t>
      </w:r>
      <w:r>
        <w:rPr>
          <w:rFonts w:ascii="ITC Avant Garde" w:hAnsi="ITC Avant Garde" w:cs="Tahoma"/>
          <w:bCs/>
        </w:rPr>
        <w:t xml:space="preserve">, a recibir y a dar la </w:t>
      </w:r>
      <w:r w:rsidRPr="00A06BDC">
        <w:rPr>
          <w:rFonts w:ascii="ITC Avant Garde" w:hAnsi="ITC Avant Garde" w:cs="Tahoma"/>
          <w:bCs/>
        </w:rPr>
        <w:t xml:space="preserve">atención que corresponda a las opiniones que sean vertidas con motivo de la </w:t>
      </w:r>
      <w:r>
        <w:rPr>
          <w:rFonts w:ascii="ITC Avant Garde" w:hAnsi="ITC Avant Garde" w:cs="Tahoma"/>
          <w:bCs/>
        </w:rPr>
        <w:t xml:space="preserve">misma. </w:t>
      </w:r>
    </w:p>
    <w:p w14:paraId="7914F60A" w14:textId="77777777" w:rsidR="00D83932" w:rsidRDefault="00D83932" w:rsidP="00D83932">
      <w:pPr>
        <w:autoSpaceDE w:val="0"/>
        <w:autoSpaceDN w:val="0"/>
        <w:adjustRightInd w:val="0"/>
        <w:spacing w:before="240"/>
        <w:jc w:val="both"/>
        <w:rPr>
          <w:rFonts w:ascii="ITC Avant Garde" w:hAnsi="ITC Avant Garde" w:cs="Tahoma"/>
          <w:bCs/>
        </w:rPr>
      </w:pPr>
      <w:r w:rsidRPr="001853A9">
        <w:rPr>
          <w:rFonts w:ascii="ITC Avant Garde" w:hAnsi="ITC Avant Garde" w:cs="Tahoma"/>
          <w:bCs/>
        </w:rPr>
        <w:t>T</w:t>
      </w:r>
      <w:r w:rsidRPr="001853A9">
        <w:rPr>
          <w:rFonts w:ascii="ITC Avant Garde" w:hAnsi="ITC Avant Garde" w:cs="Tahoma"/>
          <w:b/>
          <w:bCs/>
        </w:rPr>
        <w:t>ERCERO.-</w:t>
      </w:r>
      <w:r w:rsidRPr="001853A9">
        <w:rPr>
          <w:rFonts w:ascii="ITC Avant Garde" w:hAnsi="ITC Avant Garde" w:cs="Tahoma"/>
          <w:bCs/>
        </w:rPr>
        <w:t xml:space="preserve"> Publíquese en </w:t>
      </w:r>
      <w:r>
        <w:rPr>
          <w:rFonts w:ascii="ITC Avant Garde" w:hAnsi="ITC Avant Garde" w:cs="Tahoma"/>
          <w:bCs/>
        </w:rPr>
        <w:t xml:space="preserve">el portal </w:t>
      </w:r>
      <w:r w:rsidRPr="001853A9">
        <w:rPr>
          <w:rFonts w:ascii="ITC Avant Garde" w:hAnsi="ITC Avant Garde" w:cs="Tahoma"/>
          <w:bCs/>
        </w:rPr>
        <w:t xml:space="preserve">de Internet del Instituto Federal de Telecomunicaciones.  </w:t>
      </w:r>
    </w:p>
    <w:p w14:paraId="342FD55F" w14:textId="77777777" w:rsidR="00D83932" w:rsidRPr="002765CC" w:rsidRDefault="00D83932" w:rsidP="00D83932">
      <w:pPr>
        <w:pStyle w:val="Prrafodelista"/>
        <w:spacing w:before="240" w:line="240" w:lineRule="auto"/>
        <w:ind w:left="0"/>
        <w:jc w:val="both"/>
        <w:rPr>
          <w:rFonts w:ascii="ITC Avant Garde" w:hAnsi="ITC Avant Garde"/>
          <w:bCs/>
          <w:sz w:val="14"/>
        </w:rPr>
      </w:pPr>
      <w:r w:rsidRPr="009D15C7">
        <w:rPr>
          <w:rFonts w:ascii="ITC Avant Garde" w:hAnsi="ITC Avant Garde"/>
          <w:sz w:val="14"/>
          <w:lang w:val="es-ES_tradnl"/>
        </w:rPr>
        <w:t xml:space="preserve">El presente Acuerdo fue aprobado por el Pleno del Instituto Federal de Telecomunicaciones en su XLVII Sesión Ordinaria celebrada el 15 de noviembre de 2017, </w:t>
      </w:r>
      <w:r w:rsidRPr="009D15C7">
        <w:rPr>
          <w:rFonts w:ascii="ITC Avant Garde" w:hAnsi="ITC Avant Garde"/>
          <w:bCs/>
          <w:sz w:val="14"/>
          <w:lang w:val="es-ES_tradnl"/>
        </w:rPr>
        <w:t>por unanimidad</w:t>
      </w:r>
      <w:r w:rsidRPr="009D15C7">
        <w:rPr>
          <w:rFonts w:ascii="ITC Avant Garde" w:hAnsi="ITC Avant Garde"/>
          <w:sz w:val="14"/>
          <w:lang w:val="es-ES_tradnl"/>
        </w:rPr>
        <w:t xml:space="preserve"> de votos de los Comisionados Gabriel Oswaldo Contreras Saldívar, Adriana Sofía </w:t>
      </w:r>
      <w:proofErr w:type="spellStart"/>
      <w:r w:rsidRPr="009D15C7">
        <w:rPr>
          <w:rFonts w:ascii="ITC Avant Garde" w:hAnsi="ITC Avant Garde"/>
          <w:sz w:val="14"/>
          <w:lang w:val="es-ES_tradnl"/>
        </w:rPr>
        <w:t>Labardini</w:t>
      </w:r>
      <w:proofErr w:type="spellEnd"/>
      <w:r w:rsidRPr="009D15C7">
        <w:rPr>
          <w:rFonts w:ascii="ITC Avant Garde" w:hAnsi="ITC Avant Garde"/>
          <w:sz w:val="14"/>
          <w:lang w:val="es-ES_tradnl"/>
        </w:rPr>
        <w:t xml:space="preserve"> </w:t>
      </w:r>
      <w:proofErr w:type="spellStart"/>
      <w:r w:rsidRPr="009D15C7">
        <w:rPr>
          <w:rFonts w:ascii="ITC Avant Garde" w:hAnsi="ITC Avant Garde"/>
          <w:sz w:val="14"/>
          <w:lang w:val="es-ES_tradnl"/>
        </w:rPr>
        <w:t>Inzunza</w:t>
      </w:r>
      <w:proofErr w:type="spellEnd"/>
      <w:r w:rsidRPr="009D15C7">
        <w:rPr>
          <w:rFonts w:ascii="ITC Avant Garde" w:hAnsi="ITC Avant Garde"/>
          <w:sz w:val="14"/>
          <w:lang w:val="es-ES_tradnl"/>
        </w:rPr>
        <w:t xml:space="preserve">, María Elena </w:t>
      </w:r>
      <w:proofErr w:type="spellStart"/>
      <w:r w:rsidRPr="009D15C7">
        <w:rPr>
          <w:rFonts w:ascii="ITC Avant Garde" w:hAnsi="ITC Avant Garde"/>
          <w:sz w:val="14"/>
          <w:lang w:val="es-ES_tradnl"/>
        </w:rPr>
        <w:t>Estavillo</w:t>
      </w:r>
      <w:proofErr w:type="spellEnd"/>
      <w:r w:rsidRPr="009D15C7">
        <w:rPr>
          <w:rFonts w:ascii="ITC Avant Garde" w:hAnsi="ITC Avant Garde"/>
          <w:sz w:val="14"/>
          <w:lang w:val="es-ES_tradnl"/>
        </w:rPr>
        <w:t xml:space="preserve"> Flores, Mario Germán </w:t>
      </w:r>
      <w:proofErr w:type="spellStart"/>
      <w:r w:rsidRPr="009D15C7">
        <w:rPr>
          <w:rFonts w:ascii="ITC Avant Garde" w:hAnsi="ITC Avant Garde"/>
          <w:sz w:val="14"/>
          <w:lang w:val="es-ES_tradnl"/>
        </w:rPr>
        <w:t>Fromow</w:t>
      </w:r>
      <w:proofErr w:type="spellEnd"/>
      <w:r w:rsidRPr="009D15C7">
        <w:rPr>
          <w:rFonts w:ascii="ITC Avant Garde" w:hAnsi="ITC Avant Garde"/>
          <w:sz w:val="14"/>
          <w:lang w:val="es-ES_tradnl"/>
        </w:rPr>
        <w:t xml:space="preserve"> Rangel, Adolfo Cuevas Teja, Javier Juárez Mojica y Arturo Robles </w:t>
      </w:r>
      <w:proofErr w:type="spellStart"/>
      <w:r w:rsidRPr="009D15C7">
        <w:rPr>
          <w:rFonts w:ascii="ITC Avant Garde" w:hAnsi="ITC Avant Garde"/>
          <w:sz w:val="14"/>
          <w:lang w:val="es-ES_tradnl"/>
        </w:rPr>
        <w:t>Rovalo</w:t>
      </w:r>
      <w:proofErr w:type="spellEnd"/>
      <w:r w:rsidRPr="009D15C7">
        <w:rPr>
          <w:rFonts w:ascii="ITC Avant Garde" w:hAnsi="ITC Avant Garde"/>
          <w:sz w:val="14"/>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P/IFT/151117/711.</w:t>
      </w:r>
    </w:p>
    <w:p w14:paraId="0A27A270" w14:textId="77777777" w:rsidR="00D83932" w:rsidRDefault="00D83932" w:rsidP="00D83932">
      <w:pPr>
        <w:pStyle w:val="Ttulo1"/>
        <w:spacing w:after="240"/>
        <w:jc w:val="both"/>
        <w:rPr>
          <w:rFonts w:ascii="ITC Avant Garde" w:hAnsi="ITC Avant Garde"/>
          <w:b/>
          <w:color w:val="auto"/>
          <w:sz w:val="22"/>
          <w:szCs w:val="22"/>
        </w:rPr>
        <w:sectPr w:rsidR="00D83932" w:rsidSect="005C3A2B">
          <w:footerReference w:type="default" r:id="rId13"/>
          <w:pgSz w:w="12240" w:h="15840"/>
          <w:pgMar w:top="1985" w:right="1701" w:bottom="1418" w:left="1701" w:header="709" w:footer="709" w:gutter="0"/>
          <w:cols w:space="708"/>
          <w:docGrid w:linePitch="360"/>
        </w:sectPr>
      </w:pPr>
    </w:p>
    <w:p w14:paraId="35870A39" w14:textId="4D03141E" w:rsidR="00D83932" w:rsidRDefault="002F589C" w:rsidP="00D83932">
      <w:pPr>
        <w:pStyle w:val="Ttulo1"/>
        <w:spacing w:after="240"/>
        <w:jc w:val="both"/>
        <w:rPr>
          <w:rFonts w:ascii="ITC Avant Garde" w:hAnsi="ITC Avant Garde"/>
          <w:b/>
          <w:color w:val="auto"/>
          <w:sz w:val="22"/>
          <w:szCs w:val="22"/>
        </w:rPr>
      </w:pPr>
      <w:r w:rsidRPr="00B110BE">
        <w:rPr>
          <w:rFonts w:ascii="ITC Avant Garde" w:hAnsi="ITC Avant Garde"/>
          <w:b/>
          <w:color w:val="auto"/>
          <w:sz w:val="22"/>
          <w:szCs w:val="22"/>
        </w:rPr>
        <w:lastRenderedPageBreak/>
        <w:t xml:space="preserve">ANTEPROYECTO DE </w:t>
      </w:r>
      <w:r w:rsidR="00FF3D7D" w:rsidRPr="00B110BE">
        <w:rPr>
          <w:rFonts w:ascii="ITC Avant Garde" w:hAnsi="ITC Avant Garde"/>
          <w:b/>
          <w:color w:val="auto"/>
          <w:sz w:val="22"/>
          <w:szCs w:val="22"/>
        </w:rPr>
        <w:t>LINEAMIENTOS QUE ESTABLECEN LOS PARÁMETROS</w:t>
      </w:r>
      <w:r w:rsidR="00A90932" w:rsidRPr="00B110BE">
        <w:rPr>
          <w:rFonts w:ascii="ITC Avant Garde" w:hAnsi="ITC Avant Garde"/>
          <w:b/>
          <w:color w:val="auto"/>
          <w:sz w:val="22"/>
          <w:szCs w:val="22"/>
        </w:rPr>
        <w:t xml:space="preserve"> MÍNIMOS</w:t>
      </w:r>
      <w:r w:rsidR="00FF3D7D" w:rsidRPr="00B110BE">
        <w:rPr>
          <w:rFonts w:ascii="ITC Avant Garde" w:hAnsi="ITC Avant Garde"/>
          <w:b/>
          <w:color w:val="auto"/>
          <w:sz w:val="22"/>
          <w:szCs w:val="22"/>
        </w:rPr>
        <w:t xml:space="preserve"> DE BANDA ANCHA</w:t>
      </w:r>
      <w:r w:rsidR="002A65CE" w:rsidRPr="00B110BE">
        <w:rPr>
          <w:rFonts w:ascii="ITC Avant Garde" w:hAnsi="ITC Avant Garde"/>
          <w:b/>
          <w:color w:val="auto"/>
          <w:sz w:val="22"/>
          <w:szCs w:val="22"/>
        </w:rPr>
        <w:t xml:space="preserve"> A QUE DEBERÁN </w:t>
      </w:r>
      <w:r w:rsidR="0083157D" w:rsidRPr="00B110BE">
        <w:rPr>
          <w:rFonts w:ascii="ITC Avant Garde" w:hAnsi="ITC Avant Garde"/>
          <w:b/>
          <w:color w:val="auto"/>
          <w:sz w:val="22"/>
          <w:szCs w:val="22"/>
        </w:rPr>
        <w:t xml:space="preserve">SUJETARSE </w:t>
      </w:r>
      <w:r w:rsidR="009077C1" w:rsidRPr="00B110BE">
        <w:rPr>
          <w:rFonts w:ascii="ITC Avant Garde" w:hAnsi="ITC Avant Garde"/>
          <w:b/>
          <w:color w:val="auto"/>
          <w:sz w:val="22"/>
          <w:szCs w:val="22"/>
        </w:rPr>
        <w:t>LOS PRESTADORES D</w:t>
      </w:r>
      <w:r w:rsidR="002A65CE" w:rsidRPr="00B110BE">
        <w:rPr>
          <w:rFonts w:ascii="ITC Avant Garde" w:hAnsi="ITC Avant Garde"/>
          <w:b/>
          <w:color w:val="auto"/>
          <w:sz w:val="22"/>
          <w:szCs w:val="22"/>
        </w:rPr>
        <w:t>E</w:t>
      </w:r>
      <w:r w:rsidR="00104945" w:rsidRPr="00B110BE">
        <w:rPr>
          <w:rFonts w:ascii="ITC Avant Garde" w:hAnsi="ITC Avant Garde"/>
          <w:b/>
          <w:color w:val="auto"/>
          <w:sz w:val="22"/>
          <w:szCs w:val="22"/>
        </w:rPr>
        <w:t>L SERVICIO DE ACCESO A INTERNET.</w:t>
      </w:r>
    </w:p>
    <w:p w14:paraId="6F44C53D" w14:textId="16863409" w:rsidR="00FF3D7D" w:rsidRPr="00110D95"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t>CAPÍTULO I</w:t>
      </w:r>
    </w:p>
    <w:p w14:paraId="4B8A38AA" w14:textId="77777777" w:rsidR="00D83932" w:rsidRDefault="00FF3D7D" w:rsidP="00D83932">
      <w:pPr>
        <w:spacing w:after="240"/>
        <w:jc w:val="center"/>
        <w:rPr>
          <w:rFonts w:ascii="ITC Avant Garde" w:hAnsi="ITC Avant Garde"/>
          <w:b/>
        </w:rPr>
      </w:pPr>
      <w:r w:rsidRPr="00793B06">
        <w:rPr>
          <w:rFonts w:ascii="ITC Avant Garde" w:hAnsi="ITC Avant Garde"/>
          <w:b/>
        </w:rPr>
        <w:t>DISPOSICIONES GENERALES</w:t>
      </w:r>
    </w:p>
    <w:p w14:paraId="4B59BD17" w14:textId="77777777" w:rsidR="00D83932" w:rsidRDefault="00FF3D7D" w:rsidP="00D83932">
      <w:pPr>
        <w:spacing w:after="240"/>
        <w:jc w:val="both"/>
        <w:rPr>
          <w:rFonts w:ascii="ITC Avant Garde" w:hAnsi="ITC Avant Garde"/>
        </w:rPr>
      </w:pPr>
      <w:r w:rsidRPr="00793B06">
        <w:rPr>
          <w:rFonts w:ascii="ITC Avant Garde" w:hAnsi="ITC Avant Garde"/>
          <w:b/>
        </w:rPr>
        <w:t>PRIMERO.</w:t>
      </w:r>
      <w:r w:rsidRPr="00793B06">
        <w:rPr>
          <w:rFonts w:ascii="ITC Avant Garde" w:hAnsi="ITC Avant Garde"/>
        </w:rPr>
        <w:t xml:space="preserve"> Los presentes lineamientos tienen por objeto fijar los </w:t>
      </w:r>
      <w:r w:rsidR="00F824DB" w:rsidRPr="00793B06">
        <w:rPr>
          <w:rFonts w:ascii="ITC Avant Garde" w:hAnsi="ITC Avant Garde"/>
        </w:rPr>
        <w:t xml:space="preserve">parámetros </w:t>
      </w:r>
      <w:r w:rsidR="006E3E31">
        <w:rPr>
          <w:rFonts w:ascii="ITC Avant Garde" w:hAnsi="ITC Avant Garde"/>
        </w:rPr>
        <w:t xml:space="preserve">mínimos </w:t>
      </w:r>
      <w:r w:rsidR="00DE4774" w:rsidRPr="00793B06">
        <w:rPr>
          <w:rFonts w:ascii="ITC Avant Garde" w:hAnsi="ITC Avant Garde"/>
        </w:rPr>
        <w:t>de</w:t>
      </w:r>
      <w:r w:rsidR="009236ED" w:rsidRPr="00793B06">
        <w:rPr>
          <w:rFonts w:ascii="ITC Avant Garde" w:hAnsi="ITC Avant Garde"/>
        </w:rPr>
        <w:t xml:space="preserve"> </w:t>
      </w:r>
      <w:r w:rsidR="00F824DB" w:rsidRPr="00793B06">
        <w:rPr>
          <w:rFonts w:ascii="ITC Avant Garde" w:hAnsi="ITC Avant Garde"/>
        </w:rPr>
        <w:t>banda ancha</w:t>
      </w:r>
      <w:r w:rsidR="003E3B65" w:rsidRPr="00793B06">
        <w:rPr>
          <w:rFonts w:ascii="ITC Avant Garde" w:hAnsi="ITC Avant Garde"/>
        </w:rPr>
        <w:t>.</w:t>
      </w:r>
    </w:p>
    <w:p w14:paraId="4865EF6A" w14:textId="77777777" w:rsidR="00D83932" w:rsidRDefault="00563EEE" w:rsidP="00D83932">
      <w:pPr>
        <w:spacing w:after="240"/>
        <w:jc w:val="both"/>
        <w:rPr>
          <w:rFonts w:ascii="ITC Avant Garde" w:hAnsi="ITC Avant Garde"/>
          <w:b/>
        </w:rPr>
      </w:pPr>
      <w:r w:rsidRPr="00793B06">
        <w:rPr>
          <w:rFonts w:ascii="ITC Avant Garde" w:hAnsi="ITC Avant Garde"/>
          <w:b/>
        </w:rPr>
        <w:t xml:space="preserve">SEGUNDO. </w:t>
      </w:r>
      <w:r w:rsidR="007A5F48" w:rsidRPr="00793B06">
        <w:rPr>
          <w:rFonts w:ascii="ITC Avant Garde" w:hAnsi="ITC Avant Garde"/>
        </w:rPr>
        <w:t xml:space="preserve">Las disposiciones establecidas en los presentes lineamientos son de observancia obligatoria para </w:t>
      </w:r>
      <w:r w:rsidR="00DE4774" w:rsidRPr="00793B06">
        <w:rPr>
          <w:rFonts w:ascii="ITC Avant Garde" w:hAnsi="ITC Avant Garde"/>
        </w:rPr>
        <w:t xml:space="preserve">los </w:t>
      </w:r>
      <w:r w:rsidR="00327EC2">
        <w:rPr>
          <w:rFonts w:ascii="ITC Avant Garde" w:hAnsi="ITC Avant Garde"/>
        </w:rPr>
        <w:t>prestadores</w:t>
      </w:r>
      <w:r w:rsidR="00DE4774" w:rsidRPr="00793B06">
        <w:rPr>
          <w:rFonts w:ascii="ITC Avant Garde" w:hAnsi="ITC Avant Garde"/>
        </w:rPr>
        <w:t xml:space="preserve"> </w:t>
      </w:r>
      <w:r w:rsidR="00327EC2">
        <w:rPr>
          <w:rFonts w:ascii="ITC Avant Garde" w:hAnsi="ITC Avant Garde"/>
        </w:rPr>
        <w:t>d</w:t>
      </w:r>
      <w:r w:rsidR="00DE4774" w:rsidRPr="00793B06">
        <w:rPr>
          <w:rFonts w:ascii="ITC Avant Garde" w:hAnsi="ITC Avant Garde"/>
        </w:rPr>
        <w:t xml:space="preserve">el servicio de acceso a Internet </w:t>
      </w:r>
      <w:r w:rsidR="00A80BC1">
        <w:rPr>
          <w:rFonts w:ascii="ITC Avant Garde" w:hAnsi="ITC Avant Garde"/>
        </w:rPr>
        <w:t>del servicio fijo</w:t>
      </w:r>
      <w:r w:rsidR="00E63900">
        <w:rPr>
          <w:rFonts w:ascii="ITC Avant Garde" w:hAnsi="ITC Avant Garde"/>
        </w:rPr>
        <w:t xml:space="preserve"> o</w:t>
      </w:r>
      <w:r w:rsidR="00A80BC1" w:rsidRPr="00793B06">
        <w:rPr>
          <w:rFonts w:ascii="ITC Avant Garde" w:hAnsi="ITC Avant Garde"/>
        </w:rPr>
        <w:t xml:space="preserve"> </w:t>
      </w:r>
      <w:r w:rsidR="00A80BC1">
        <w:rPr>
          <w:rFonts w:ascii="ITC Avant Garde" w:hAnsi="ITC Avant Garde"/>
        </w:rPr>
        <w:t>móvil</w:t>
      </w:r>
      <w:r w:rsidR="00371548">
        <w:rPr>
          <w:rFonts w:ascii="ITC Avant Garde" w:hAnsi="ITC Avant Garde"/>
        </w:rPr>
        <w:t xml:space="preserve"> </w:t>
      </w:r>
      <w:r w:rsidR="00DE4774" w:rsidRPr="00793B06">
        <w:rPr>
          <w:rFonts w:ascii="ITC Avant Garde" w:hAnsi="ITC Avant Garde"/>
        </w:rPr>
        <w:t>mediante redes públicas de telecomunicaciones</w:t>
      </w:r>
      <w:r w:rsidR="00FB34C4" w:rsidRPr="00793B06">
        <w:rPr>
          <w:rFonts w:ascii="ITC Avant Garde" w:hAnsi="ITC Avant Garde"/>
        </w:rPr>
        <w:t xml:space="preserve">. </w:t>
      </w:r>
    </w:p>
    <w:p w14:paraId="4ED1AD08" w14:textId="4CB7F605" w:rsidR="00FF3D7D" w:rsidRPr="00110D95"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t>CAPÍTULO II</w:t>
      </w:r>
    </w:p>
    <w:p w14:paraId="21D187CF" w14:textId="77777777" w:rsidR="00D83932" w:rsidRDefault="00FF3D7D" w:rsidP="00D83932">
      <w:pPr>
        <w:spacing w:after="240"/>
        <w:jc w:val="center"/>
        <w:rPr>
          <w:rFonts w:ascii="ITC Avant Garde" w:hAnsi="ITC Avant Garde"/>
          <w:b/>
        </w:rPr>
      </w:pPr>
      <w:r w:rsidRPr="00793B06">
        <w:rPr>
          <w:rFonts w:ascii="ITC Avant Garde" w:hAnsi="ITC Avant Garde"/>
          <w:b/>
        </w:rPr>
        <w:t>DEFINICIONES</w:t>
      </w:r>
    </w:p>
    <w:p w14:paraId="721B8C43" w14:textId="77777777" w:rsidR="00D83932" w:rsidRDefault="004B0B33" w:rsidP="00D83932">
      <w:pPr>
        <w:spacing w:after="240"/>
        <w:jc w:val="both"/>
        <w:rPr>
          <w:rFonts w:ascii="ITC Avant Garde" w:hAnsi="ITC Avant Garde"/>
        </w:rPr>
      </w:pPr>
      <w:r w:rsidRPr="00793B06">
        <w:rPr>
          <w:rFonts w:ascii="ITC Avant Garde" w:hAnsi="ITC Avant Garde"/>
          <w:b/>
        </w:rPr>
        <w:t>TERCERO</w:t>
      </w:r>
      <w:r w:rsidR="00F824DB" w:rsidRPr="00793B06">
        <w:rPr>
          <w:rFonts w:ascii="ITC Avant Garde" w:hAnsi="ITC Avant Garde"/>
          <w:b/>
        </w:rPr>
        <w:t>.</w:t>
      </w:r>
      <w:r w:rsidR="00F824DB" w:rsidRPr="00793B06">
        <w:rPr>
          <w:rFonts w:ascii="ITC Avant Garde" w:hAnsi="ITC Avant Garde"/>
        </w:rPr>
        <w:t xml:space="preserve"> Para los efectos de los presentes Lineamientos, además de las definiciones previstas en la Ley Federal de Telecomunicaciones y Radiodifusión, </w:t>
      </w:r>
      <w:r w:rsidR="00386480" w:rsidRPr="00793B06">
        <w:rPr>
          <w:rFonts w:ascii="ITC Avant Garde" w:hAnsi="ITC Avant Garde"/>
        </w:rPr>
        <w:t>se entenderá por</w:t>
      </w:r>
      <w:r w:rsidR="00F824DB" w:rsidRPr="00793B06">
        <w:rPr>
          <w:rFonts w:ascii="ITC Avant Garde" w:hAnsi="ITC Avant Garde"/>
        </w:rPr>
        <w:t>:</w:t>
      </w:r>
    </w:p>
    <w:p w14:paraId="3FB3BCF0" w14:textId="7E53DB93" w:rsidR="00164E20" w:rsidRDefault="00164E20" w:rsidP="00D83932">
      <w:pPr>
        <w:pStyle w:val="Prrafodelista"/>
        <w:numPr>
          <w:ilvl w:val="0"/>
          <w:numId w:val="1"/>
        </w:numPr>
        <w:spacing w:after="240"/>
        <w:jc w:val="both"/>
        <w:rPr>
          <w:rFonts w:ascii="ITC Avant Garde" w:hAnsi="ITC Avant Garde"/>
        </w:rPr>
      </w:pPr>
      <w:r w:rsidRPr="00793B06">
        <w:rPr>
          <w:rFonts w:ascii="ITC Avant Garde" w:hAnsi="ITC Avant Garde"/>
          <w:b/>
        </w:rPr>
        <w:t>Ejercicio de Medición:</w:t>
      </w:r>
      <w:r w:rsidRPr="00793B06">
        <w:rPr>
          <w:rFonts w:ascii="ITC Avant Garde" w:hAnsi="ITC Avant Garde"/>
        </w:rPr>
        <w:t xml:space="preserve"> Programa determinado por el Instituto Federal de Telecomunicaciones para efectuar las mediciones, </w:t>
      </w:r>
      <w:proofErr w:type="spellStart"/>
      <w:r w:rsidRPr="00793B06">
        <w:rPr>
          <w:rFonts w:ascii="ITC Avant Garde" w:hAnsi="ITC Avant Garde"/>
        </w:rPr>
        <w:t>posproceso</w:t>
      </w:r>
      <w:proofErr w:type="spellEnd"/>
      <w:r w:rsidRPr="00793B06">
        <w:rPr>
          <w:rFonts w:ascii="ITC Avant Garde" w:hAnsi="ITC Avant Garde"/>
        </w:rPr>
        <w:t xml:space="preserve"> y análisis de </w:t>
      </w:r>
      <w:r w:rsidR="00A90932">
        <w:rPr>
          <w:rFonts w:ascii="ITC Avant Garde" w:hAnsi="ITC Avant Garde"/>
        </w:rPr>
        <w:t>la información</w:t>
      </w:r>
      <w:r w:rsidR="00455FA8" w:rsidRPr="00793B06">
        <w:rPr>
          <w:rFonts w:ascii="ITC Avant Garde" w:hAnsi="ITC Avant Garde"/>
        </w:rPr>
        <w:t xml:space="preserve"> </w:t>
      </w:r>
      <w:r w:rsidR="00A90932">
        <w:rPr>
          <w:rFonts w:ascii="ITC Avant Garde" w:hAnsi="ITC Avant Garde"/>
        </w:rPr>
        <w:t>con el fin de</w:t>
      </w:r>
      <w:r w:rsidR="00A90932" w:rsidRPr="00793B06">
        <w:rPr>
          <w:rFonts w:ascii="ITC Avant Garde" w:hAnsi="ITC Avant Garde"/>
        </w:rPr>
        <w:t xml:space="preserve"> </w:t>
      </w:r>
      <w:r w:rsidR="00455FA8" w:rsidRPr="00793B06">
        <w:rPr>
          <w:rFonts w:ascii="ITC Avant Garde" w:hAnsi="ITC Avant Garde"/>
        </w:rPr>
        <w:t>v</w:t>
      </w:r>
      <w:r w:rsidR="00D7533A" w:rsidRPr="00793B06">
        <w:rPr>
          <w:rFonts w:ascii="ITC Avant Garde" w:hAnsi="ITC Avant Garde"/>
        </w:rPr>
        <w:t>erificar el cumplimiento de los</w:t>
      </w:r>
      <w:r w:rsidR="00D7533A">
        <w:rPr>
          <w:rFonts w:ascii="ITC Avant Garde" w:hAnsi="ITC Avant Garde"/>
        </w:rPr>
        <w:t xml:space="preserve"> </w:t>
      </w:r>
      <w:r w:rsidR="006E62CC">
        <w:rPr>
          <w:rFonts w:ascii="ITC Avant Garde" w:hAnsi="ITC Avant Garde"/>
        </w:rPr>
        <w:t>P</w:t>
      </w:r>
      <w:r w:rsidDel="00455FA8">
        <w:rPr>
          <w:rFonts w:ascii="ITC Avant Garde" w:hAnsi="ITC Avant Garde"/>
        </w:rPr>
        <w:t>arámetros</w:t>
      </w:r>
      <w:r w:rsidR="00A90932">
        <w:rPr>
          <w:rFonts w:ascii="ITC Avant Garde" w:hAnsi="ITC Avant Garde"/>
        </w:rPr>
        <w:t xml:space="preserve"> mínimos</w:t>
      </w:r>
      <w:r w:rsidDel="00455FA8">
        <w:rPr>
          <w:rFonts w:ascii="ITC Avant Garde" w:hAnsi="ITC Avant Garde"/>
        </w:rPr>
        <w:t xml:space="preserve"> de </w:t>
      </w:r>
      <w:r w:rsidR="006E62CC">
        <w:rPr>
          <w:rFonts w:ascii="ITC Avant Garde" w:hAnsi="ITC Avant Garde"/>
        </w:rPr>
        <w:t>B</w:t>
      </w:r>
      <w:r w:rsidR="0094669B">
        <w:rPr>
          <w:rFonts w:ascii="ITC Avant Garde" w:hAnsi="ITC Avant Garde"/>
        </w:rPr>
        <w:t xml:space="preserve">anda </w:t>
      </w:r>
      <w:r w:rsidR="006E62CC">
        <w:rPr>
          <w:rFonts w:ascii="ITC Avant Garde" w:hAnsi="ITC Avant Garde"/>
        </w:rPr>
        <w:t>A</w:t>
      </w:r>
      <w:r w:rsidR="0094669B">
        <w:rPr>
          <w:rFonts w:ascii="ITC Avant Garde" w:hAnsi="ITC Avant Garde"/>
        </w:rPr>
        <w:t>ncha</w:t>
      </w:r>
      <w:r w:rsidR="00ED0668" w:rsidRPr="00793B06" w:rsidDel="00455FA8">
        <w:rPr>
          <w:rFonts w:ascii="ITC Avant Garde" w:hAnsi="ITC Avant Garde"/>
        </w:rPr>
        <w:t>;</w:t>
      </w:r>
      <w:r w:rsidR="00643E3B" w:rsidRPr="00643E3B" w:rsidDel="00455FA8">
        <w:rPr>
          <w:rFonts w:ascii="ITC Avant Garde" w:hAnsi="ITC Avant Garde"/>
        </w:rPr>
        <w:t xml:space="preserve"> </w:t>
      </w:r>
    </w:p>
    <w:p w14:paraId="6D6416A8" w14:textId="716E4ED6" w:rsidR="0094669B" w:rsidRPr="0094669B" w:rsidRDefault="0094669B" w:rsidP="00D83932">
      <w:pPr>
        <w:pStyle w:val="Normal1"/>
        <w:numPr>
          <w:ilvl w:val="0"/>
          <w:numId w:val="1"/>
        </w:numPr>
        <w:spacing w:after="240"/>
        <w:contextualSpacing/>
        <w:jc w:val="both"/>
        <w:rPr>
          <w:rFonts w:ascii="ITC Avant Garde" w:hAnsi="ITC Avant Garde"/>
          <w:szCs w:val="22"/>
          <w:lang w:val="es-ES_tradnl"/>
        </w:rPr>
      </w:pPr>
      <w:r w:rsidRPr="006E2C54">
        <w:rPr>
          <w:rFonts w:ascii="ITC Avant Garde" w:hAnsi="ITC Avant Garde"/>
          <w:b/>
          <w:szCs w:val="22"/>
          <w:lang w:val="es-ES_tradnl"/>
        </w:rPr>
        <w:t>Equipo Terminal Móvil:</w:t>
      </w:r>
      <w:r w:rsidR="004A0B96" w:rsidRPr="004A0B96">
        <w:rPr>
          <w:rFonts w:ascii="ITC Avant Garde" w:hAnsi="ITC Avant Garde"/>
          <w:lang w:val="es-ES_tradnl"/>
        </w:rPr>
        <w:t xml:space="preserve"> </w:t>
      </w:r>
      <w:r w:rsidR="004A0B96" w:rsidRPr="00FE6BB3">
        <w:rPr>
          <w:rFonts w:ascii="ITC Avant Garde" w:hAnsi="ITC Avant Garde"/>
          <w:lang w:val="es-ES_tradnl"/>
        </w:rPr>
        <w:t xml:space="preserve">Equipo que utiliza el usuario para conectarse </w:t>
      </w:r>
      <w:r w:rsidR="004A0B96">
        <w:rPr>
          <w:rFonts w:ascii="ITC Avant Garde" w:hAnsi="ITC Avant Garde"/>
          <w:lang w:val="es-ES_tradnl"/>
        </w:rPr>
        <w:t>más allá del punto de conexión terminal de</w:t>
      </w:r>
      <w:r w:rsidR="004A0B96" w:rsidRPr="00FE6BB3">
        <w:rPr>
          <w:rFonts w:ascii="ITC Avant Garde" w:hAnsi="ITC Avant Garde"/>
          <w:lang w:val="es-ES_tradnl"/>
        </w:rPr>
        <w:t xml:space="preserve"> una red pública con el propósito de tener acceso y/o recibir </w:t>
      </w:r>
      <w:r w:rsidR="004A0B96">
        <w:rPr>
          <w:rFonts w:ascii="ITC Avant Garde" w:hAnsi="ITC Avant Garde"/>
          <w:lang w:val="es-ES_tradnl"/>
        </w:rPr>
        <w:t xml:space="preserve">uno o más </w:t>
      </w:r>
      <w:r w:rsidR="004A0B96" w:rsidRPr="00FE6BB3">
        <w:rPr>
          <w:rFonts w:ascii="ITC Avant Garde" w:hAnsi="ITC Avant Garde"/>
          <w:lang w:val="es-ES_tradnl"/>
        </w:rPr>
        <w:t xml:space="preserve"> servicio</w:t>
      </w:r>
      <w:r w:rsidR="004A0B96">
        <w:rPr>
          <w:rFonts w:ascii="ITC Avant Garde" w:hAnsi="ITC Avant Garde"/>
          <w:lang w:val="es-ES_tradnl"/>
        </w:rPr>
        <w:t>s</w:t>
      </w:r>
      <w:r w:rsidR="004A0B96" w:rsidRPr="00FE6BB3">
        <w:rPr>
          <w:rFonts w:ascii="ITC Avant Garde" w:hAnsi="ITC Avant Garde"/>
          <w:lang w:val="es-ES_tradnl"/>
        </w:rPr>
        <w:t xml:space="preserve"> </w:t>
      </w:r>
      <w:r w:rsidR="004A0B96">
        <w:rPr>
          <w:rFonts w:ascii="ITC Avant Garde" w:hAnsi="ITC Avant Garde"/>
          <w:lang w:val="es-ES_tradnl"/>
        </w:rPr>
        <w:t>de telecomunicaciones</w:t>
      </w:r>
      <w:r w:rsidRPr="006E2C54">
        <w:rPr>
          <w:rFonts w:ascii="ITC Avant Garde" w:hAnsi="ITC Avant Garde"/>
          <w:color w:val="222222"/>
          <w:szCs w:val="22"/>
          <w:highlight w:val="white"/>
          <w:lang w:val="es-ES_tradnl"/>
        </w:rPr>
        <w:t>;</w:t>
      </w:r>
    </w:p>
    <w:p w14:paraId="33C61235" w14:textId="2FD36699" w:rsidR="00164E20" w:rsidRPr="00793B06" w:rsidRDefault="00164E20" w:rsidP="00D83932">
      <w:pPr>
        <w:pStyle w:val="Prrafodelista"/>
        <w:numPr>
          <w:ilvl w:val="0"/>
          <w:numId w:val="1"/>
        </w:numPr>
        <w:spacing w:after="240"/>
        <w:jc w:val="both"/>
        <w:rPr>
          <w:rFonts w:ascii="ITC Avant Garde" w:hAnsi="ITC Avant Garde"/>
        </w:rPr>
      </w:pPr>
      <w:r w:rsidRPr="00793B06">
        <w:rPr>
          <w:rFonts w:ascii="ITC Avant Garde" w:hAnsi="ITC Avant Garde"/>
          <w:b/>
        </w:rPr>
        <w:t>Evento:</w:t>
      </w:r>
      <w:r w:rsidRPr="00793B06">
        <w:rPr>
          <w:rFonts w:ascii="ITC Avant Garde" w:hAnsi="ITC Avant Garde"/>
        </w:rPr>
        <w:t xml:space="preserve"> Cada uno de los intentos de </w:t>
      </w:r>
      <w:r w:rsidR="006E62CC">
        <w:rPr>
          <w:rFonts w:ascii="ITC Avant Garde" w:hAnsi="ITC Avant Garde"/>
        </w:rPr>
        <w:t>M</w:t>
      </w:r>
      <w:r w:rsidRPr="00793B06">
        <w:rPr>
          <w:rFonts w:ascii="ITC Avant Garde" w:hAnsi="ITC Avant Garde"/>
        </w:rPr>
        <w:t xml:space="preserve">edición programados durante </w:t>
      </w:r>
      <w:r w:rsidR="00A90932">
        <w:rPr>
          <w:rFonts w:ascii="ITC Avant Garde" w:hAnsi="ITC Avant Garde"/>
        </w:rPr>
        <w:t xml:space="preserve">el </w:t>
      </w:r>
      <w:r w:rsidRPr="00793B06">
        <w:rPr>
          <w:rFonts w:ascii="ITC Avant Garde" w:hAnsi="ITC Avant Garde"/>
        </w:rPr>
        <w:t>Ejercicio de Medición;</w:t>
      </w:r>
    </w:p>
    <w:p w14:paraId="50B559BD" w14:textId="77777777" w:rsidR="00F824DB" w:rsidRPr="00793B06" w:rsidRDefault="00F824DB" w:rsidP="00D83932">
      <w:pPr>
        <w:pStyle w:val="Prrafodelista"/>
        <w:numPr>
          <w:ilvl w:val="0"/>
          <w:numId w:val="1"/>
        </w:numPr>
        <w:spacing w:after="240"/>
        <w:jc w:val="both"/>
        <w:rPr>
          <w:rFonts w:ascii="ITC Avant Garde" w:hAnsi="ITC Avant Garde"/>
        </w:rPr>
      </w:pPr>
      <w:r w:rsidRPr="00793B06">
        <w:rPr>
          <w:rFonts w:ascii="ITC Avant Garde" w:hAnsi="ITC Avant Garde"/>
          <w:b/>
        </w:rPr>
        <w:t>Instituto:</w:t>
      </w:r>
      <w:r w:rsidRPr="00793B06">
        <w:rPr>
          <w:rFonts w:ascii="ITC Avant Garde" w:hAnsi="ITC Avant Garde"/>
        </w:rPr>
        <w:t xml:space="preserve"> Instituto Federal de Telecomunicaciones;</w:t>
      </w:r>
    </w:p>
    <w:p w14:paraId="5840835F" w14:textId="77777777" w:rsidR="00DD6428" w:rsidRPr="00793B06" w:rsidRDefault="00DD6428" w:rsidP="00D83932">
      <w:pPr>
        <w:pStyle w:val="Prrafodelista"/>
        <w:numPr>
          <w:ilvl w:val="0"/>
          <w:numId w:val="1"/>
        </w:numPr>
        <w:spacing w:after="240"/>
        <w:jc w:val="both"/>
        <w:rPr>
          <w:rFonts w:ascii="ITC Avant Garde" w:hAnsi="ITC Avant Garde"/>
        </w:rPr>
      </w:pPr>
      <w:r w:rsidRPr="00793B06">
        <w:rPr>
          <w:rFonts w:ascii="ITC Avant Garde" w:hAnsi="ITC Avant Garde"/>
          <w:b/>
        </w:rPr>
        <w:t>IP:</w:t>
      </w:r>
      <w:r w:rsidRPr="00793B06">
        <w:rPr>
          <w:rFonts w:ascii="ITC Avant Garde" w:hAnsi="ITC Avant Garde"/>
        </w:rPr>
        <w:t xml:space="preserve"> Protocolo de Internet (del inglés, </w:t>
      </w:r>
      <w:r w:rsidRPr="00793B06">
        <w:rPr>
          <w:rFonts w:ascii="ITC Avant Garde" w:hAnsi="ITC Avant Garde"/>
          <w:i/>
        </w:rPr>
        <w:t xml:space="preserve">Internet </w:t>
      </w:r>
      <w:proofErr w:type="spellStart"/>
      <w:r w:rsidRPr="00793B06">
        <w:rPr>
          <w:rFonts w:ascii="ITC Avant Garde" w:hAnsi="ITC Avant Garde"/>
          <w:i/>
        </w:rPr>
        <w:t>Protocol</w:t>
      </w:r>
      <w:proofErr w:type="spellEnd"/>
      <w:r w:rsidRPr="00793B06">
        <w:rPr>
          <w:rFonts w:ascii="ITC Avant Garde" w:hAnsi="ITC Avant Garde"/>
        </w:rPr>
        <w:t>);</w:t>
      </w:r>
    </w:p>
    <w:p w14:paraId="3DFCB9F0" w14:textId="77777777" w:rsidR="00F824DB" w:rsidRDefault="00F824DB" w:rsidP="00D83932">
      <w:pPr>
        <w:pStyle w:val="Prrafodelista"/>
        <w:numPr>
          <w:ilvl w:val="0"/>
          <w:numId w:val="1"/>
        </w:numPr>
        <w:spacing w:after="240"/>
        <w:jc w:val="both"/>
        <w:rPr>
          <w:rFonts w:ascii="ITC Avant Garde" w:hAnsi="ITC Avant Garde"/>
        </w:rPr>
      </w:pPr>
      <w:r w:rsidRPr="00793B06">
        <w:rPr>
          <w:rFonts w:ascii="ITC Avant Garde" w:hAnsi="ITC Avant Garde"/>
          <w:b/>
        </w:rPr>
        <w:t xml:space="preserve">LFTR: </w:t>
      </w:r>
      <w:r w:rsidRPr="00793B06">
        <w:rPr>
          <w:rFonts w:ascii="ITC Avant Garde" w:hAnsi="ITC Avant Garde"/>
        </w:rPr>
        <w:t>Ley Federal de Telecomunicaciones y Radiodifusión;</w:t>
      </w:r>
    </w:p>
    <w:p w14:paraId="237611A4" w14:textId="77777777" w:rsidR="008D2B55" w:rsidRPr="00793B06" w:rsidRDefault="008D2B55" w:rsidP="00D83932">
      <w:pPr>
        <w:pStyle w:val="Prrafodelista"/>
        <w:numPr>
          <w:ilvl w:val="0"/>
          <w:numId w:val="1"/>
        </w:numPr>
        <w:spacing w:after="240"/>
        <w:jc w:val="both"/>
        <w:rPr>
          <w:rFonts w:ascii="ITC Avant Garde" w:hAnsi="ITC Avant Garde"/>
        </w:rPr>
      </w:pPr>
      <w:r>
        <w:rPr>
          <w:rFonts w:ascii="ITC Avant Garde" w:hAnsi="ITC Avant Garde"/>
          <w:b/>
        </w:rPr>
        <w:t>Lineamientos:</w:t>
      </w:r>
      <w:r>
        <w:rPr>
          <w:rFonts w:ascii="ITC Avant Garde" w:hAnsi="ITC Avant Garde"/>
        </w:rPr>
        <w:t xml:space="preserve"> Los presentes </w:t>
      </w:r>
      <w:r w:rsidR="009315C0">
        <w:rPr>
          <w:rFonts w:ascii="ITC Avant Garde" w:hAnsi="ITC Avant Garde"/>
        </w:rPr>
        <w:t>L</w:t>
      </w:r>
      <w:r w:rsidR="009315C0" w:rsidRPr="009315C0">
        <w:rPr>
          <w:rFonts w:ascii="ITC Avant Garde" w:hAnsi="ITC Avant Garde"/>
        </w:rPr>
        <w:t>ineamientos que establecen los parámetros de banda ancha a que deberán sujetarse los presta</w:t>
      </w:r>
      <w:r w:rsidR="009315C0">
        <w:rPr>
          <w:rFonts w:ascii="ITC Avant Garde" w:hAnsi="ITC Avant Garde"/>
        </w:rPr>
        <w:t>dores del servicio de acceso a I</w:t>
      </w:r>
      <w:r w:rsidR="009315C0" w:rsidRPr="009315C0">
        <w:rPr>
          <w:rFonts w:ascii="ITC Avant Garde" w:hAnsi="ITC Avant Garde"/>
        </w:rPr>
        <w:t>nternet</w:t>
      </w:r>
      <w:r w:rsidR="009315C0">
        <w:rPr>
          <w:rFonts w:ascii="ITC Avant Garde" w:hAnsi="ITC Avant Garde"/>
        </w:rPr>
        <w:t>.</w:t>
      </w:r>
    </w:p>
    <w:p w14:paraId="038F982C" w14:textId="5C13C2FD" w:rsidR="00256F39" w:rsidRPr="00793B06" w:rsidRDefault="00256F39" w:rsidP="00D83932">
      <w:pPr>
        <w:pStyle w:val="Prrafodelista"/>
        <w:numPr>
          <w:ilvl w:val="0"/>
          <w:numId w:val="1"/>
        </w:numPr>
        <w:spacing w:after="240"/>
        <w:jc w:val="both"/>
        <w:rPr>
          <w:rFonts w:ascii="ITC Avant Garde" w:hAnsi="ITC Avant Garde"/>
        </w:rPr>
      </w:pPr>
      <w:r w:rsidRPr="00793B06">
        <w:rPr>
          <w:rFonts w:ascii="ITC Avant Garde" w:hAnsi="ITC Avant Garde"/>
          <w:b/>
        </w:rPr>
        <w:t>LTE:</w:t>
      </w:r>
      <w:r w:rsidRPr="00793B06">
        <w:rPr>
          <w:rFonts w:ascii="ITC Avant Garde" w:hAnsi="ITC Avant Garde"/>
        </w:rPr>
        <w:t xml:space="preserve"> Evolución </w:t>
      </w:r>
      <w:r w:rsidR="00A90932">
        <w:rPr>
          <w:rFonts w:ascii="ITC Avant Garde" w:hAnsi="ITC Avant Garde"/>
        </w:rPr>
        <w:t>de</w:t>
      </w:r>
      <w:r w:rsidRPr="00793B06">
        <w:rPr>
          <w:rFonts w:ascii="ITC Avant Garde" w:hAnsi="ITC Avant Garde"/>
        </w:rPr>
        <w:t xml:space="preserve"> largo plazo (del inglés, </w:t>
      </w:r>
      <w:r w:rsidRPr="00793B06">
        <w:rPr>
          <w:rFonts w:ascii="ITC Avant Garde" w:hAnsi="ITC Avant Garde"/>
          <w:i/>
        </w:rPr>
        <w:t xml:space="preserve">Long </w:t>
      </w:r>
      <w:proofErr w:type="spellStart"/>
      <w:r w:rsidRPr="00793B06">
        <w:rPr>
          <w:rFonts w:ascii="ITC Avant Garde" w:hAnsi="ITC Avant Garde"/>
          <w:i/>
        </w:rPr>
        <w:t>Term</w:t>
      </w:r>
      <w:proofErr w:type="spellEnd"/>
      <w:r w:rsidRPr="00793B06">
        <w:rPr>
          <w:rFonts w:ascii="ITC Avant Garde" w:hAnsi="ITC Avant Garde"/>
          <w:i/>
        </w:rPr>
        <w:t xml:space="preserve"> </w:t>
      </w:r>
      <w:proofErr w:type="spellStart"/>
      <w:r w:rsidRPr="00793B06">
        <w:rPr>
          <w:rFonts w:ascii="ITC Avant Garde" w:hAnsi="ITC Avant Garde"/>
          <w:i/>
        </w:rPr>
        <w:t>Evolution</w:t>
      </w:r>
      <w:proofErr w:type="spellEnd"/>
      <w:r w:rsidRPr="00793B06">
        <w:rPr>
          <w:rFonts w:ascii="ITC Avant Garde" w:hAnsi="ITC Avant Garde"/>
        </w:rPr>
        <w:t>);</w:t>
      </w:r>
    </w:p>
    <w:p w14:paraId="36CD906C" w14:textId="77777777" w:rsidR="00B20F5D" w:rsidRPr="00793B06" w:rsidRDefault="00B20F5D" w:rsidP="00D83932">
      <w:pPr>
        <w:pStyle w:val="Prrafodelista"/>
        <w:numPr>
          <w:ilvl w:val="0"/>
          <w:numId w:val="1"/>
        </w:numPr>
        <w:spacing w:after="240"/>
        <w:jc w:val="both"/>
        <w:rPr>
          <w:rFonts w:ascii="ITC Avant Garde" w:hAnsi="ITC Avant Garde"/>
          <w:b/>
        </w:rPr>
      </w:pPr>
      <w:r w:rsidRPr="00793B06">
        <w:rPr>
          <w:rFonts w:ascii="ITC Avant Garde" w:hAnsi="ITC Avant Garde"/>
          <w:b/>
          <w:lang w:val="es-ES_tradnl"/>
        </w:rPr>
        <w:lastRenderedPageBreak/>
        <w:t xml:space="preserve">Medición: </w:t>
      </w:r>
      <w:r w:rsidRPr="00793B06">
        <w:rPr>
          <w:rFonts w:ascii="ITC Avant Garde" w:hAnsi="ITC Avant Garde"/>
          <w:lang w:val="es-ES_tradnl"/>
        </w:rPr>
        <w:t xml:space="preserve">Función que comprende el registro, recolección, almacenamiento y procesamiento de información con respecto a los </w:t>
      </w:r>
      <w:r w:rsidR="006E62CC">
        <w:rPr>
          <w:rFonts w:ascii="ITC Avant Garde" w:hAnsi="ITC Avant Garde"/>
          <w:lang w:val="es-ES_tradnl"/>
        </w:rPr>
        <w:t>P</w:t>
      </w:r>
      <w:r w:rsidRPr="00793B06">
        <w:rPr>
          <w:rFonts w:ascii="ITC Avant Garde" w:hAnsi="ITC Avant Garde"/>
          <w:lang w:val="es-ES_tradnl"/>
        </w:rPr>
        <w:t xml:space="preserve">arámetros </w:t>
      </w:r>
      <w:r w:rsidR="00A90932">
        <w:rPr>
          <w:rFonts w:ascii="ITC Avant Garde" w:hAnsi="ITC Avant Garde"/>
          <w:lang w:val="es-ES_tradnl"/>
        </w:rPr>
        <w:t xml:space="preserve">mínimos </w:t>
      </w:r>
      <w:r w:rsidRPr="00793B06">
        <w:rPr>
          <w:rFonts w:ascii="ITC Avant Garde" w:hAnsi="ITC Avant Garde"/>
          <w:lang w:val="es-ES_tradnl"/>
        </w:rPr>
        <w:t xml:space="preserve">de </w:t>
      </w:r>
      <w:r w:rsidR="006E62CC">
        <w:rPr>
          <w:rFonts w:ascii="ITC Avant Garde" w:hAnsi="ITC Avant Garde"/>
          <w:lang w:val="es-ES_tradnl"/>
        </w:rPr>
        <w:t>B</w:t>
      </w:r>
      <w:r w:rsidRPr="00793B06">
        <w:rPr>
          <w:rFonts w:ascii="ITC Avant Garde" w:hAnsi="ITC Avant Garde"/>
          <w:lang w:val="es-ES_tradnl"/>
        </w:rPr>
        <w:t xml:space="preserve">anda </w:t>
      </w:r>
      <w:r w:rsidR="006E62CC">
        <w:rPr>
          <w:rFonts w:ascii="ITC Avant Garde" w:hAnsi="ITC Avant Garde"/>
          <w:lang w:val="es-ES_tradnl"/>
        </w:rPr>
        <w:t>A</w:t>
      </w:r>
      <w:r w:rsidRPr="00793B06">
        <w:rPr>
          <w:rFonts w:ascii="ITC Avant Garde" w:hAnsi="ITC Avant Garde"/>
          <w:lang w:val="es-ES_tradnl"/>
        </w:rPr>
        <w:t>ncha establecidos en los presentes lineamientos;</w:t>
      </w:r>
    </w:p>
    <w:p w14:paraId="072A612B" w14:textId="77777777" w:rsidR="00DD6428" w:rsidRPr="00793B06" w:rsidRDefault="00DD6428" w:rsidP="00D83932">
      <w:pPr>
        <w:pStyle w:val="Prrafodelista"/>
        <w:numPr>
          <w:ilvl w:val="0"/>
          <w:numId w:val="1"/>
        </w:numPr>
        <w:spacing w:after="240"/>
        <w:jc w:val="both"/>
        <w:rPr>
          <w:rFonts w:ascii="ITC Avant Garde" w:hAnsi="ITC Avant Garde"/>
          <w:b/>
        </w:rPr>
      </w:pPr>
      <w:r w:rsidRPr="00793B06">
        <w:rPr>
          <w:rFonts w:ascii="ITC Avant Garde" w:hAnsi="ITC Avant Garde"/>
          <w:b/>
        </w:rPr>
        <w:t>Medio de Transmisió</w:t>
      </w:r>
      <w:r w:rsidR="00A178EA" w:rsidRPr="00793B06">
        <w:rPr>
          <w:rFonts w:ascii="ITC Avant Garde" w:hAnsi="ITC Avant Garde"/>
          <w:b/>
        </w:rPr>
        <w:t>n</w:t>
      </w:r>
      <w:r w:rsidRPr="00793B06">
        <w:rPr>
          <w:rFonts w:ascii="ITC Avant Garde" w:hAnsi="ITC Avant Garde"/>
          <w:b/>
        </w:rPr>
        <w:t>:</w:t>
      </w:r>
      <w:r w:rsidR="00DD03B4" w:rsidRPr="00DD03B4">
        <w:t xml:space="preserve"> </w:t>
      </w:r>
      <w:r w:rsidR="001911D1" w:rsidRPr="00793B06">
        <w:rPr>
          <w:rFonts w:ascii="ITC Avant Garde" w:hAnsi="ITC Avant Garde"/>
        </w:rPr>
        <w:t xml:space="preserve"> </w:t>
      </w:r>
      <w:r w:rsidR="00AE1D63">
        <w:rPr>
          <w:rFonts w:ascii="ITC Avant Garde" w:hAnsi="ITC Avant Garde"/>
        </w:rPr>
        <w:t>Medio físico</w:t>
      </w:r>
      <w:r w:rsidR="00191538">
        <w:rPr>
          <w:rFonts w:ascii="ITC Avant Garde" w:hAnsi="ITC Avant Garde"/>
        </w:rPr>
        <w:t xml:space="preserve"> a través d</w:t>
      </w:r>
      <w:r w:rsidR="00597B9C" w:rsidRPr="00793B06">
        <w:rPr>
          <w:rFonts w:ascii="ITC Avant Garde" w:hAnsi="ITC Avant Garde"/>
        </w:rPr>
        <w:t>e</w:t>
      </w:r>
      <w:r w:rsidR="00191538">
        <w:rPr>
          <w:rFonts w:ascii="ITC Avant Garde" w:hAnsi="ITC Avant Garde"/>
        </w:rPr>
        <w:t xml:space="preserve"> </w:t>
      </w:r>
      <w:r w:rsidR="00597B9C" w:rsidRPr="00793B06">
        <w:rPr>
          <w:rFonts w:ascii="ITC Avant Garde" w:hAnsi="ITC Avant Garde"/>
        </w:rPr>
        <w:t>l</w:t>
      </w:r>
      <w:r w:rsidR="00191538">
        <w:rPr>
          <w:rFonts w:ascii="ITC Avant Garde" w:hAnsi="ITC Avant Garde"/>
        </w:rPr>
        <w:t>a</w:t>
      </w:r>
      <w:r w:rsidR="00597B9C" w:rsidRPr="00793B06">
        <w:rPr>
          <w:rFonts w:ascii="ITC Avant Garde" w:hAnsi="ITC Avant Garde"/>
        </w:rPr>
        <w:t xml:space="preserve"> cual se</w:t>
      </w:r>
      <w:r w:rsidR="001158F9" w:rsidRPr="00793B06">
        <w:rPr>
          <w:rFonts w:ascii="ITC Avant Garde" w:hAnsi="ITC Avant Garde"/>
        </w:rPr>
        <w:t xml:space="preserve"> puede</w:t>
      </w:r>
      <w:r w:rsidR="004C4896">
        <w:rPr>
          <w:rFonts w:ascii="ITC Avant Garde" w:hAnsi="ITC Avant Garde"/>
        </w:rPr>
        <w:t>n</w:t>
      </w:r>
      <w:r w:rsidR="00597B9C" w:rsidRPr="00793B06">
        <w:rPr>
          <w:rFonts w:ascii="ITC Avant Garde" w:hAnsi="ITC Avant Garde"/>
        </w:rPr>
        <w:t xml:space="preserve"> transporta</w:t>
      </w:r>
      <w:r w:rsidR="001158F9" w:rsidRPr="00793B06">
        <w:rPr>
          <w:rFonts w:ascii="ITC Avant Garde" w:hAnsi="ITC Avant Garde"/>
        </w:rPr>
        <w:t xml:space="preserve">r señales </w:t>
      </w:r>
      <w:r w:rsidR="000B5AE3" w:rsidRPr="00793B06">
        <w:rPr>
          <w:rFonts w:ascii="ITC Avant Garde" w:hAnsi="ITC Avant Garde"/>
        </w:rPr>
        <w:t>de información</w:t>
      </w:r>
      <w:r w:rsidR="001158F9" w:rsidRPr="00793B06">
        <w:rPr>
          <w:rFonts w:ascii="ITC Avant Garde" w:hAnsi="ITC Avant Garde"/>
        </w:rPr>
        <w:t xml:space="preserve"> </w:t>
      </w:r>
      <w:r w:rsidR="00DD03B4" w:rsidRPr="00793B06">
        <w:rPr>
          <w:rFonts w:ascii="ITC Avant Garde" w:hAnsi="ITC Avant Garde"/>
        </w:rPr>
        <w:t xml:space="preserve">que incluye, entre otros, fibra óptica, cable coaxial, </w:t>
      </w:r>
      <w:r w:rsidR="00DD03B4" w:rsidRPr="00371548">
        <w:rPr>
          <w:rFonts w:ascii="ITC Avant Garde" w:hAnsi="ITC Avant Garde"/>
        </w:rPr>
        <w:t>radioenlaces</w:t>
      </w:r>
      <w:r w:rsidR="00C33F01" w:rsidRPr="00371548">
        <w:rPr>
          <w:rFonts w:ascii="ITC Avant Garde" w:hAnsi="ITC Avant Garde"/>
        </w:rPr>
        <w:t xml:space="preserve"> o enlaces satelitales</w:t>
      </w:r>
      <w:r w:rsidR="00DD03B4" w:rsidRPr="00371548">
        <w:rPr>
          <w:rFonts w:ascii="ITC Avant Garde" w:hAnsi="ITC Avant Garde"/>
        </w:rPr>
        <w:t>;</w:t>
      </w:r>
    </w:p>
    <w:p w14:paraId="7FDE719A" w14:textId="77777777" w:rsidR="00A71BFB" w:rsidRPr="00793B06" w:rsidRDefault="00A71BFB" w:rsidP="00D83932">
      <w:pPr>
        <w:pStyle w:val="Prrafodelista"/>
        <w:numPr>
          <w:ilvl w:val="0"/>
          <w:numId w:val="1"/>
        </w:numPr>
        <w:spacing w:after="240"/>
        <w:jc w:val="both"/>
        <w:rPr>
          <w:rFonts w:ascii="ITC Avant Garde" w:hAnsi="ITC Avant Garde"/>
          <w:b/>
        </w:rPr>
      </w:pPr>
      <w:r w:rsidRPr="00793B06">
        <w:rPr>
          <w:rFonts w:ascii="ITC Avant Garde" w:hAnsi="ITC Avant Garde"/>
          <w:b/>
        </w:rPr>
        <w:t xml:space="preserve">Parámetros </w:t>
      </w:r>
      <w:r w:rsidR="00A90932">
        <w:rPr>
          <w:rFonts w:ascii="ITC Avant Garde" w:hAnsi="ITC Avant Garde"/>
          <w:b/>
        </w:rPr>
        <w:t xml:space="preserve">mínimos </w:t>
      </w:r>
      <w:r w:rsidRPr="00793B06">
        <w:rPr>
          <w:rFonts w:ascii="ITC Avant Garde" w:hAnsi="ITC Avant Garde"/>
          <w:b/>
        </w:rPr>
        <w:t>de Banda Ancha:</w:t>
      </w:r>
      <w:r w:rsidR="00FD1130" w:rsidRPr="00793B06">
        <w:rPr>
          <w:rFonts w:ascii="ITC Avant Garde" w:hAnsi="ITC Avant Garde"/>
          <w:b/>
        </w:rPr>
        <w:t xml:space="preserve"> </w:t>
      </w:r>
      <w:r w:rsidR="00DE201A" w:rsidRPr="00793B06">
        <w:rPr>
          <w:rFonts w:ascii="ITC Avant Garde" w:hAnsi="ITC Avant Garde"/>
        </w:rPr>
        <w:t>T</w:t>
      </w:r>
      <w:r w:rsidR="00AA5201" w:rsidRPr="00793B06">
        <w:rPr>
          <w:rFonts w:ascii="ITC Avant Garde" w:hAnsi="ITC Avant Garde"/>
        </w:rPr>
        <w:t>asa</w:t>
      </w:r>
      <w:r w:rsidR="00DE201A" w:rsidRPr="00793B06">
        <w:rPr>
          <w:rFonts w:ascii="ITC Avant Garde" w:hAnsi="ITC Avant Garde"/>
        </w:rPr>
        <w:t>s</w:t>
      </w:r>
      <w:r w:rsidR="00AA5201" w:rsidRPr="00793B06">
        <w:rPr>
          <w:rFonts w:ascii="ITC Avant Garde" w:hAnsi="ITC Avant Garde"/>
        </w:rPr>
        <w:t xml:space="preserve"> </w:t>
      </w:r>
      <w:r w:rsidR="00A80BC1" w:rsidRPr="00793B06">
        <w:rPr>
          <w:rFonts w:ascii="ITC Avant Garde" w:hAnsi="ITC Avant Garde"/>
        </w:rPr>
        <w:t>mínimas garantizadas</w:t>
      </w:r>
      <w:r w:rsidR="00A80BC1" w:rsidRPr="00B629D7">
        <w:rPr>
          <w:rFonts w:ascii="ITC Avant Garde" w:hAnsi="ITC Avant Garde"/>
        </w:rPr>
        <w:t xml:space="preserve"> </w:t>
      </w:r>
      <w:r w:rsidR="00AA5201" w:rsidRPr="00793B06">
        <w:rPr>
          <w:rFonts w:ascii="ITC Avant Garde" w:hAnsi="ITC Avant Garde"/>
        </w:rPr>
        <w:t xml:space="preserve">de transmisión de datos a los usuarios finales en cada dirección (carga y descarga) </w:t>
      </w:r>
      <w:r w:rsidR="00DE201A" w:rsidRPr="00793B06">
        <w:rPr>
          <w:rFonts w:ascii="ITC Avant Garde" w:hAnsi="ITC Avant Garde"/>
        </w:rPr>
        <w:t xml:space="preserve">para </w:t>
      </w:r>
      <w:r w:rsidR="003E7123" w:rsidRPr="00793B06">
        <w:rPr>
          <w:rFonts w:ascii="ITC Avant Garde" w:hAnsi="ITC Avant Garde"/>
        </w:rPr>
        <w:t xml:space="preserve">cualquier </w:t>
      </w:r>
      <w:r w:rsidR="00AA5201" w:rsidRPr="00793B06">
        <w:rPr>
          <w:rFonts w:ascii="ITC Avant Garde" w:hAnsi="ITC Avant Garde"/>
        </w:rPr>
        <w:t>tipo de medio</w:t>
      </w:r>
      <w:r w:rsidR="00DE201A" w:rsidRPr="00793B06">
        <w:rPr>
          <w:rFonts w:ascii="ITC Avant Garde" w:hAnsi="ITC Avant Garde"/>
        </w:rPr>
        <w:t>s</w:t>
      </w:r>
      <w:r w:rsidR="00AA5201" w:rsidRPr="00793B06">
        <w:rPr>
          <w:rFonts w:ascii="ITC Avant Garde" w:hAnsi="ITC Avant Garde"/>
        </w:rPr>
        <w:t xml:space="preserve"> de transmisión</w:t>
      </w:r>
      <w:r w:rsidR="00DE201A" w:rsidRPr="00793B06">
        <w:rPr>
          <w:rFonts w:ascii="ITC Avant Garde" w:hAnsi="ITC Avant Garde"/>
        </w:rPr>
        <w:t xml:space="preserve"> </w:t>
      </w:r>
      <w:r w:rsidR="00643E3B">
        <w:rPr>
          <w:rFonts w:ascii="ITC Avant Garde" w:hAnsi="ITC Avant Garde"/>
        </w:rPr>
        <w:t xml:space="preserve">utilizados en el servicio </w:t>
      </w:r>
      <w:r w:rsidR="00A80BC1">
        <w:rPr>
          <w:rFonts w:ascii="ITC Avant Garde" w:hAnsi="ITC Avant Garde"/>
        </w:rPr>
        <w:t>de</w:t>
      </w:r>
      <w:r w:rsidR="00371548">
        <w:rPr>
          <w:rFonts w:ascii="ITC Avant Garde" w:hAnsi="ITC Avant Garde"/>
        </w:rPr>
        <w:t xml:space="preserve"> acceso a </w:t>
      </w:r>
      <w:r w:rsidR="00A80BC1">
        <w:rPr>
          <w:rFonts w:ascii="ITC Avant Garde" w:hAnsi="ITC Avant Garde"/>
        </w:rPr>
        <w:t xml:space="preserve"> internet</w:t>
      </w:r>
      <w:r w:rsidR="00643E3B">
        <w:rPr>
          <w:rFonts w:ascii="ITC Avant Garde" w:hAnsi="ITC Avant Garde"/>
        </w:rPr>
        <w:t xml:space="preserve"> </w:t>
      </w:r>
      <w:r w:rsidR="00DE201A" w:rsidRPr="00793B06">
        <w:rPr>
          <w:rFonts w:ascii="ITC Avant Garde" w:hAnsi="ITC Avant Garde"/>
        </w:rPr>
        <w:t>fijo</w:t>
      </w:r>
      <w:r w:rsidR="00F012DA">
        <w:rPr>
          <w:rFonts w:ascii="ITC Avant Garde" w:hAnsi="ITC Avant Garde"/>
        </w:rPr>
        <w:t xml:space="preserve"> o</w:t>
      </w:r>
      <w:r w:rsidR="00DE201A" w:rsidRPr="00793B06">
        <w:rPr>
          <w:rFonts w:ascii="ITC Avant Garde" w:hAnsi="ITC Avant Garde"/>
        </w:rPr>
        <w:t xml:space="preserve"> móvil</w:t>
      </w:r>
      <w:r w:rsidR="00FD1130" w:rsidRPr="00793B06">
        <w:rPr>
          <w:rFonts w:ascii="ITC Avant Garde" w:hAnsi="ITC Avant Garde"/>
        </w:rPr>
        <w:t>;</w:t>
      </w:r>
    </w:p>
    <w:p w14:paraId="13B92FFD" w14:textId="77777777" w:rsidR="003D2EEC" w:rsidRPr="002B25E1" w:rsidRDefault="003D2EEC" w:rsidP="00D83932">
      <w:pPr>
        <w:pStyle w:val="Prrafodelista"/>
        <w:numPr>
          <w:ilvl w:val="0"/>
          <w:numId w:val="1"/>
        </w:numPr>
        <w:spacing w:after="240"/>
        <w:jc w:val="both"/>
        <w:rPr>
          <w:rFonts w:ascii="ITC Avant Garde" w:hAnsi="ITC Avant Garde"/>
        </w:rPr>
      </w:pPr>
      <w:r w:rsidRPr="00793B06">
        <w:rPr>
          <w:rFonts w:ascii="ITC Avant Garde" w:hAnsi="ITC Avant Garde"/>
          <w:b/>
        </w:rPr>
        <w:t xml:space="preserve">Prestadores del Servicio </w:t>
      </w:r>
      <w:r w:rsidR="0005762F" w:rsidRPr="00793B06">
        <w:rPr>
          <w:rFonts w:ascii="ITC Avant Garde" w:hAnsi="ITC Avant Garde"/>
          <w:b/>
        </w:rPr>
        <w:t xml:space="preserve">de Acceso a Internet: </w:t>
      </w:r>
      <w:r w:rsidR="00386480" w:rsidRPr="00793B06">
        <w:rPr>
          <w:rFonts w:ascii="ITC Avant Garde" w:hAnsi="ITC Avant Garde"/>
        </w:rPr>
        <w:t>Todos los</w:t>
      </w:r>
      <w:r w:rsidR="00386480" w:rsidRPr="00793B06">
        <w:rPr>
          <w:rFonts w:ascii="ITC Avant Garde" w:hAnsi="ITC Avant Garde"/>
          <w:b/>
        </w:rPr>
        <w:t xml:space="preserve"> </w:t>
      </w:r>
      <w:r w:rsidR="00386480" w:rsidRPr="00793B06">
        <w:rPr>
          <w:rFonts w:ascii="ITC Avant Garde" w:eastAsia="Times New Roman" w:hAnsi="ITC Avant Garde"/>
        </w:rPr>
        <w:t>c</w:t>
      </w:r>
      <w:r w:rsidR="0005762F" w:rsidRPr="00793B06">
        <w:rPr>
          <w:rFonts w:ascii="ITC Avant Garde" w:eastAsia="Times New Roman" w:hAnsi="ITC Avant Garde"/>
        </w:rPr>
        <w:t>oncesionario</w:t>
      </w:r>
      <w:r w:rsidR="00386480" w:rsidRPr="00793B06">
        <w:rPr>
          <w:rFonts w:ascii="ITC Avant Garde" w:eastAsia="Times New Roman" w:hAnsi="ITC Avant Garde"/>
        </w:rPr>
        <w:t>s</w:t>
      </w:r>
      <w:r w:rsidR="00F2755F">
        <w:rPr>
          <w:rFonts w:ascii="ITC Avant Garde" w:eastAsia="Times New Roman" w:hAnsi="ITC Avant Garde"/>
        </w:rPr>
        <w:t xml:space="preserve"> </w:t>
      </w:r>
      <w:r w:rsidR="00386480" w:rsidRPr="00793B06">
        <w:rPr>
          <w:rFonts w:ascii="ITC Avant Garde" w:eastAsia="Times New Roman" w:hAnsi="ITC Avant Garde"/>
        </w:rPr>
        <w:t>y</w:t>
      </w:r>
      <w:r w:rsidR="0005762F" w:rsidRPr="00793B06">
        <w:rPr>
          <w:rFonts w:ascii="ITC Avant Garde" w:eastAsia="Times New Roman" w:hAnsi="ITC Avant Garde"/>
        </w:rPr>
        <w:t xml:space="preserve"> autorizado</w:t>
      </w:r>
      <w:r w:rsidR="00386480" w:rsidRPr="00793B06">
        <w:rPr>
          <w:rFonts w:ascii="ITC Avant Garde" w:eastAsia="Times New Roman" w:hAnsi="ITC Avant Garde"/>
        </w:rPr>
        <w:t>s</w:t>
      </w:r>
      <w:r w:rsidR="0005762F" w:rsidRPr="00793B06">
        <w:rPr>
          <w:rFonts w:ascii="ITC Avant Garde" w:eastAsia="Times New Roman" w:hAnsi="ITC Avant Garde"/>
        </w:rPr>
        <w:t xml:space="preserve"> </w:t>
      </w:r>
      <w:r w:rsidR="00122B91" w:rsidRPr="00793B06">
        <w:rPr>
          <w:rFonts w:ascii="ITC Avant Garde" w:eastAsia="Times New Roman" w:hAnsi="ITC Avant Garde"/>
        </w:rPr>
        <w:t>habilitado</w:t>
      </w:r>
      <w:r w:rsidR="006B521D">
        <w:rPr>
          <w:rFonts w:ascii="ITC Avant Garde" w:eastAsia="Times New Roman" w:hAnsi="ITC Avant Garde"/>
        </w:rPr>
        <w:t>s</w:t>
      </w:r>
      <w:r w:rsidR="00122B91" w:rsidRPr="00793B06">
        <w:rPr>
          <w:rFonts w:ascii="ITC Avant Garde" w:eastAsia="Times New Roman" w:hAnsi="ITC Avant Garde"/>
        </w:rPr>
        <w:t xml:space="preserve"> para </w:t>
      </w:r>
      <w:r w:rsidR="0005762F" w:rsidRPr="00793B06">
        <w:rPr>
          <w:rFonts w:ascii="ITC Avant Garde" w:eastAsia="Times New Roman" w:hAnsi="ITC Avant Garde"/>
          <w:bCs/>
        </w:rPr>
        <w:t>presta</w:t>
      </w:r>
      <w:r w:rsidR="00122B91" w:rsidRPr="00793B06">
        <w:rPr>
          <w:rFonts w:ascii="ITC Avant Garde" w:eastAsia="Times New Roman" w:hAnsi="ITC Avant Garde"/>
          <w:bCs/>
        </w:rPr>
        <w:t>r</w:t>
      </w:r>
      <w:r w:rsidR="0005762F" w:rsidRPr="00793B06">
        <w:rPr>
          <w:rFonts w:ascii="ITC Avant Garde" w:eastAsia="Times New Roman" w:hAnsi="ITC Avant Garde"/>
          <w:bCs/>
        </w:rPr>
        <w:t xml:space="preserve"> el </w:t>
      </w:r>
      <w:r w:rsidR="00A16469">
        <w:rPr>
          <w:rFonts w:ascii="ITC Avant Garde" w:eastAsia="Times New Roman" w:hAnsi="ITC Avant Garde"/>
          <w:bCs/>
        </w:rPr>
        <w:t>S</w:t>
      </w:r>
      <w:r w:rsidR="0005762F" w:rsidRPr="00793B06">
        <w:rPr>
          <w:rFonts w:ascii="ITC Avant Garde" w:eastAsia="Times New Roman" w:hAnsi="ITC Avant Garde"/>
          <w:bCs/>
        </w:rPr>
        <w:t xml:space="preserve">ervicio de </w:t>
      </w:r>
      <w:r w:rsidR="00A16469">
        <w:rPr>
          <w:rFonts w:ascii="ITC Avant Garde" w:eastAsia="Times New Roman" w:hAnsi="ITC Avant Garde"/>
          <w:bCs/>
        </w:rPr>
        <w:t>A</w:t>
      </w:r>
      <w:r w:rsidR="0005762F" w:rsidRPr="00793B06">
        <w:rPr>
          <w:rFonts w:ascii="ITC Avant Garde" w:eastAsia="Times New Roman" w:hAnsi="ITC Avant Garde"/>
          <w:bCs/>
        </w:rPr>
        <w:t xml:space="preserve">cceso a </w:t>
      </w:r>
      <w:r w:rsidR="0005762F" w:rsidRPr="00793B06">
        <w:rPr>
          <w:rFonts w:ascii="ITC Avant Garde" w:eastAsia="Times New Roman" w:hAnsi="ITC Avant Garde"/>
        </w:rPr>
        <w:t>Internet a usuarios finales</w:t>
      </w:r>
      <w:r w:rsidR="0005762F" w:rsidRPr="00793B06">
        <w:rPr>
          <w:rFonts w:ascii="ITC Avant Garde" w:eastAsia="Times New Roman" w:hAnsi="ITC Avant Garde"/>
          <w:bCs/>
        </w:rPr>
        <w:t>;</w:t>
      </w:r>
    </w:p>
    <w:p w14:paraId="4272A6F2" w14:textId="77777777" w:rsidR="00570EC9" w:rsidRPr="002B25E1" w:rsidRDefault="00570EC9" w:rsidP="00D83932">
      <w:pPr>
        <w:pStyle w:val="Prrafodelista"/>
        <w:numPr>
          <w:ilvl w:val="0"/>
          <w:numId w:val="1"/>
        </w:numPr>
        <w:spacing w:after="240"/>
        <w:jc w:val="both"/>
        <w:rPr>
          <w:rFonts w:ascii="ITC Avant Garde" w:hAnsi="ITC Avant Garde"/>
        </w:rPr>
      </w:pPr>
      <w:r w:rsidRPr="00B073BB">
        <w:rPr>
          <w:rFonts w:ascii="ITC Avant Garde" w:hAnsi="ITC Avant Garde"/>
          <w:b/>
        </w:rPr>
        <w:t>Puerta de Enlace:</w:t>
      </w:r>
      <w:r>
        <w:rPr>
          <w:rFonts w:ascii="ITC Avant Garde" w:hAnsi="ITC Avant Garde"/>
        </w:rPr>
        <w:t xml:space="preserve"> Dispositivos de red de área l</w:t>
      </w:r>
      <w:r w:rsidRPr="00B073BB">
        <w:rPr>
          <w:rFonts w:ascii="ITC Avant Garde" w:hAnsi="ITC Avant Garde"/>
        </w:rPr>
        <w:t xml:space="preserve">ocal que permiten el intercambio de Paquetes de datos con otras redes </w:t>
      </w:r>
      <w:r>
        <w:rPr>
          <w:rFonts w:ascii="ITC Avant Garde" w:hAnsi="ITC Avant Garde"/>
        </w:rPr>
        <w:t xml:space="preserve">fijas </w:t>
      </w:r>
      <w:r w:rsidRPr="00B073BB">
        <w:rPr>
          <w:rFonts w:ascii="ITC Avant Garde" w:hAnsi="ITC Avant Garde"/>
        </w:rPr>
        <w:t>además de realizar funciones de enrutamiento;</w:t>
      </w:r>
    </w:p>
    <w:p w14:paraId="437B67EF" w14:textId="77777777" w:rsidR="004B0B33" w:rsidRPr="00793B06" w:rsidRDefault="004B0B33" w:rsidP="00D83932">
      <w:pPr>
        <w:pStyle w:val="Prrafodelista"/>
        <w:numPr>
          <w:ilvl w:val="0"/>
          <w:numId w:val="1"/>
        </w:numPr>
        <w:spacing w:after="240"/>
        <w:jc w:val="both"/>
        <w:rPr>
          <w:rFonts w:ascii="ITC Avant Garde" w:hAnsi="ITC Avant Garde"/>
        </w:rPr>
      </w:pPr>
      <w:r w:rsidRPr="00793B06">
        <w:rPr>
          <w:rFonts w:ascii="ITC Avant Garde" w:hAnsi="ITC Avant Garde"/>
          <w:b/>
        </w:rPr>
        <w:t>Servicio de Acceso a Internet:</w:t>
      </w:r>
      <w:r w:rsidRPr="00793B06">
        <w:rPr>
          <w:rFonts w:ascii="ITC Avant Garde" w:hAnsi="ITC Avant Garde"/>
        </w:rPr>
        <w:t xml:space="preserve"> </w:t>
      </w:r>
      <w:r w:rsidR="001F3C4B" w:rsidRPr="00793B06">
        <w:rPr>
          <w:rFonts w:ascii="ITC Avant Garde" w:hAnsi="ITC Avant Garde"/>
        </w:rPr>
        <w:t xml:space="preserve">Servicio </w:t>
      </w:r>
      <w:r w:rsidR="00D03E44" w:rsidRPr="00793B06">
        <w:rPr>
          <w:rFonts w:ascii="ITC Avant Garde" w:hAnsi="ITC Avant Garde"/>
        </w:rPr>
        <w:t xml:space="preserve">público </w:t>
      </w:r>
      <w:r w:rsidR="001F3C4B" w:rsidRPr="00793B06">
        <w:rPr>
          <w:rFonts w:ascii="ITC Avant Garde" w:hAnsi="ITC Avant Garde"/>
        </w:rPr>
        <w:t xml:space="preserve">de telecomunicaciones que permite </w:t>
      </w:r>
      <w:r w:rsidR="00ED0668" w:rsidRPr="00793B06">
        <w:rPr>
          <w:rFonts w:ascii="ITC Avant Garde" w:hAnsi="ITC Avant Garde"/>
        </w:rPr>
        <w:t xml:space="preserve">la carga y descarga de datos </w:t>
      </w:r>
      <w:r w:rsidR="001F3C4B" w:rsidRPr="00793B06">
        <w:rPr>
          <w:rFonts w:ascii="ITC Avant Garde" w:hAnsi="ITC Avant Garde"/>
        </w:rPr>
        <w:t>mediante la utilización del protocolo de comunicación de Internet IP</w:t>
      </w:r>
      <w:r w:rsidR="00D03E44" w:rsidRPr="00793B06">
        <w:rPr>
          <w:rFonts w:ascii="ITC Avant Garde" w:eastAsia="Times New Roman" w:hAnsi="ITC Avant Garde"/>
        </w:rPr>
        <w:t>, permitiendo a los usuarios finales acceder a contenidos, aplicaciones o servicios disponibles en Internet</w:t>
      </w:r>
      <w:r w:rsidRPr="00793B06">
        <w:rPr>
          <w:rFonts w:ascii="ITC Avant Garde" w:hAnsi="ITC Avant Garde"/>
        </w:rPr>
        <w:t>;</w:t>
      </w:r>
    </w:p>
    <w:p w14:paraId="704F0361" w14:textId="6C57EAF7" w:rsidR="00793B06" w:rsidRPr="00793B06" w:rsidRDefault="00793B06" w:rsidP="00D83932">
      <w:pPr>
        <w:pStyle w:val="Prrafodelista"/>
        <w:numPr>
          <w:ilvl w:val="0"/>
          <w:numId w:val="1"/>
        </w:numPr>
        <w:spacing w:after="240"/>
        <w:jc w:val="both"/>
        <w:rPr>
          <w:rFonts w:ascii="ITC Avant Garde" w:hAnsi="ITC Avant Garde"/>
          <w:b/>
        </w:rPr>
      </w:pPr>
      <w:r w:rsidRPr="008647EB">
        <w:rPr>
          <w:rFonts w:ascii="ITC Avant Garde" w:hAnsi="ITC Avant Garde"/>
          <w:b/>
        </w:rPr>
        <w:t>Servicio Fijo:</w:t>
      </w:r>
      <w:r w:rsidR="0094669B">
        <w:rPr>
          <w:rFonts w:ascii="ITC Avant Garde" w:hAnsi="ITC Avant Garde"/>
          <w:b/>
        </w:rPr>
        <w:t xml:space="preserve"> </w:t>
      </w:r>
      <w:r w:rsidR="00724A4A" w:rsidRPr="00427106">
        <w:rPr>
          <w:rFonts w:ascii="ITC Avant Garde" w:hAnsi="ITC Avant Garde"/>
          <w:color w:val="auto"/>
          <w:lang w:val="es-ES_tradnl"/>
        </w:rPr>
        <w:t xml:space="preserve">Servicio de telecomunicaciones que, de acuerdo a los títulos de concesión </w:t>
      </w:r>
      <w:r w:rsidR="00D106A1">
        <w:rPr>
          <w:rFonts w:ascii="ITC Avant Garde" w:hAnsi="ITC Avant Garde"/>
          <w:color w:val="auto"/>
          <w:lang w:val="es-ES_tradnl"/>
        </w:rPr>
        <w:t>o</w:t>
      </w:r>
      <w:r w:rsidR="00443FA9">
        <w:rPr>
          <w:rFonts w:ascii="ITC Avant Garde" w:hAnsi="ITC Avant Garde"/>
          <w:color w:val="auto"/>
          <w:lang w:val="es-ES_tradnl"/>
        </w:rPr>
        <w:t xml:space="preserve"> </w:t>
      </w:r>
      <w:r w:rsidR="00724A4A" w:rsidRPr="00427106">
        <w:rPr>
          <w:rFonts w:ascii="ITC Avant Garde" w:hAnsi="ITC Avant Garde"/>
          <w:color w:val="auto"/>
          <w:lang w:val="es-ES_tradnl"/>
        </w:rPr>
        <w:t xml:space="preserve">autorización, permite prestar a usuarios finales </w:t>
      </w:r>
      <w:r w:rsidR="00724A4A">
        <w:rPr>
          <w:rFonts w:ascii="ITC Avant Garde" w:hAnsi="ITC Avant Garde"/>
          <w:color w:val="auto"/>
          <w:lang w:val="es-ES_tradnl"/>
        </w:rPr>
        <w:t>el s</w:t>
      </w:r>
      <w:r w:rsidR="00724A4A" w:rsidRPr="00427106">
        <w:rPr>
          <w:rFonts w:ascii="ITC Avant Garde" w:hAnsi="ITC Avant Garde"/>
          <w:color w:val="auto"/>
          <w:lang w:val="es-ES_tradnl"/>
        </w:rPr>
        <w:t xml:space="preserve">ervicio de </w:t>
      </w:r>
      <w:r w:rsidR="00724A4A">
        <w:rPr>
          <w:rFonts w:ascii="ITC Avant Garde" w:hAnsi="ITC Avant Garde"/>
          <w:color w:val="auto"/>
          <w:lang w:val="es-ES_tradnl"/>
        </w:rPr>
        <w:t>t</w:t>
      </w:r>
      <w:r w:rsidR="00724A4A" w:rsidRPr="00427106">
        <w:rPr>
          <w:rFonts w:ascii="ITC Avant Garde" w:hAnsi="ITC Avant Garde"/>
          <w:color w:val="auto"/>
          <w:lang w:val="es-ES_tradnl"/>
        </w:rPr>
        <w:t xml:space="preserve">elefonía </w:t>
      </w:r>
      <w:r w:rsidR="00724A4A">
        <w:rPr>
          <w:rFonts w:ascii="ITC Avant Garde" w:hAnsi="ITC Avant Garde"/>
          <w:color w:val="auto"/>
          <w:lang w:val="es-ES_tradnl"/>
        </w:rPr>
        <w:t>f</w:t>
      </w:r>
      <w:r w:rsidR="00724A4A" w:rsidRPr="00427106">
        <w:rPr>
          <w:rFonts w:ascii="ITC Avant Garde" w:hAnsi="ITC Avant Garde"/>
          <w:color w:val="auto"/>
          <w:lang w:val="es-ES_tradnl"/>
        </w:rPr>
        <w:t>ija y/o el Servicio de Acceso a Internet en una ubicación geográfica determinada;</w:t>
      </w:r>
      <w:r w:rsidR="00724A4A">
        <w:rPr>
          <w:rFonts w:ascii="ITC Avant Garde" w:hAnsi="ITC Avant Garde"/>
          <w:color w:val="auto"/>
          <w:lang w:val="es-ES_tradnl"/>
        </w:rPr>
        <w:tab/>
      </w:r>
    </w:p>
    <w:p w14:paraId="22418BFD" w14:textId="7185D395" w:rsidR="00793B06" w:rsidRPr="00793B06" w:rsidRDefault="00793B06" w:rsidP="00D83932">
      <w:pPr>
        <w:pStyle w:val="Prrafodelista"/>
        <w:numPr>
          <w:ilvl w:val="0"/>
          <w:numId w:val="1"/>
        </w:numPr>
        <w:spacing w:after="240"/>
        <w:jc w:val="both"/>
        <w:rPr>
          <w:rFonts w:ascii="ITC Avant Garde" w:hAnsi="ITC Avant Garde"/>
          <w:b/>
        </w:rPr>
      </w:pPr>
      <w:r w:rsidRPr="00793B06">
        <w:rPr>
          <w:rFonts w:ascii="ITC Avant Garde" w:hAnsi="ITC Avant Garde"/>
          <w:b/>
        </w:rPr>
        <w:t xml:space="preserve">Servicio Móvil: </w:t>
      </w:r>
      <w:r w:rsidRPr="00793B06">
        <w:rPr>
          <w:rFonts w:ascii="ITC Avant Garde" w:hAnsi="ITC Avant Garde"/>
        </w:rPr>
        <w:t>Servicio de telecomunicaciones prestado a usuarios finales a través de Equipos Terminales Móviles que no tienen una ubicación geográfica determinada;</w:t>
      </w:r>
    </w:p>
    <w:p w14:paraId="47A4242E" w14:textId="77777777" w:rsidR="00F36C00" w:rsidRPr="00793B06" w:rsidRDefault="00F36C00" w:rsidP="00D83932">
      <w:pPr>
        <w:pStyle w:val="Prrafodelista"/>
        <w:numPr>
          <w:ilvl w:val="0"/>
          <w:numId w:val="1"/>
        </w:numPr>
        <w:spacing w:after="240"/>
        <w:jc w:val="both"/>
        <w:rPr>
          <w:rFonts w:ascii="ITC Avant Garde" w:hAnsi="ITC Avant Garde"/>
          <w:b/>
        </w:rPr>
      </w:pPr>
      <w:r w:rsidRPr="00793B06">
        <w:rPr>
          <w:rFonts w:ascii="ITC Avant Garde" w:hAnsi="ITC Avant Garde"/>
          <w:b/>
        </w:rPr>
        <w:t>Tasa de Transmisión de Datos:</w:t>
      </w:r>
      <w:r w:rsidR="003F100D" w:rsidRPr="00793B06">
        <w:rPr>
          <w:rFonts w:ascii="ITC Avant Garde" w:hAnsi="ITC Avant Garde"/>
        </w:rPr>
        <w:t xml:space="preserve"> </w:t>
      </w:r>
      <w:r w:rsidR="003F100D" w:rsidRPr="00793B06">
        <w:rPr>
          <w:rFonts w:ascii="ITC Avant Garde" w:hAnsi="ITC Avant Garde"/>
          <w:lang w:val="es-ES_tradnl"/>
        </w:rPr>
        <w:t xml:space="preserve">Parámetro que describe el número de bits </w:t>
      </w:r>
      <w:r w:rsidR="00A90932">
        <w:rPr>
          <w:rFonts w:ascii="ITC Avant Garde" w:hAnsi="ITC Avant Garde"/>
          <w:lang w:val="es-ES_tradnl"/>
        </w:rPr>
        <w:t xml:space="preserve">efectivamente </w:t>
      </w:r>
      <w:r w:rsidR="003F100D" w:rsidRPr="00793B06">
        <w:rPr>
          <w:rFonts w:ascii="ITC Avant Garde" w:hAnsi="ITC Avant Garde"/>
          <w:lang w:val="es-ES_tradnl"/>
        </w:rPr>
        <w:t xml:space="preserve">transmitidos en una dirección entre </w:t>
      </w:r>
      <w:r w:rsidR="00213326" w:rsidRPr="00793B06">
        <w:rPr>
          <w:rFonts w:ascii="ITC Avant Garde" w:hAnsi="ITC Avant Garde"/>
          <w:lang w:val="es-ES_tradnl"/>
        </w:rPr>
        <w:t>dos</w:t>
      </w:r>
      <w:r w:rsidR="003F100D" w:rsidRPr="00793B06">
        <w:rPr>
          <w:rFonts w:ascii="ITC Avant Garde" w:hAnsi="ITC Avant Garde"/>
          <w:lang w:val="es-ES_tradnl"/>
        </w:rPr>
        <w:t xml:space="preserve"> puntos específicos de una red pública de telecomunicaciones por unidad de tiempo, también llamada velocidad de transferencia </w:t>
      </w:r>
      <w:r w:rsidR="00804B18">
        <w:rPr>
          <w:rFonts w:ascii="ITC Avant Garde" w:hAnsi="ITC Avant Garde"/>
          <w:lang w:val="es-ES_tradnl"/>
        </w:rPr>
        <w:t>(</w:t>
      </w:r>
      <w:r w:rsidR="003F100D" w:rsidRPr="00793B06">
        <w:rPr>
          <w:rFonts w:ascii="ITC Avant Garde" w:hAnsi="ITC Avant Garde"/>
          <w:lang w:val="es-ES_tradnl"/>
        </w:rPr>
        <w:t xml:space="preserve">del inglés, </w:t>
      </w:r>
      <w:proofErr w:type="spellStart"/>
      <w:r w:rsidR="003F100D" w:rsidRPr="00793B06">
        <w:rPr>
          <w:rFonts w:ascii="ITC Avant Garde" w:hAnsi="ITC Avant Garde"/>
          <w:i/>
          <w:lang w:val="es-ES_tradnl"/>
        </w:rPr>
        <w:t>Throughput</w:t>
      </w:r>
      <w:proofErr w:type="spellEnd"/>
      <w:r w:rsidR="00804B18" w:rsidRPr="00804B18">
        <w:rPr>
          <w:rFonts w:ascii="ITC Avant Garde" w:hAnsi="ITC Avant Garde"/>
          <w:lang w:val="es-ES_tradnl"/>
        </w:rPr>
        <w:t>)</w:t>
      </w:r>
      <w:r w:rsidR="003F100D" w:rsidRPr="00793B06">
        <w:rPr>
          <w:rFonts w:ascii="ITC Avant Garde" w:hAnsi="ITC Avant Garde"/>
          <w:lang w:val="es-ES_tradnl"/>
        </w:rPr>
        <w:t>;</w:t>
      </w:r>
      <w:r w:rsidR="004A4527" w:rsidRPr="00793B06">
        <w:rPr>
          <w:rFonts w:ascii="ITC Avant Garde" w:hAnsi="ITC Avant Garde"/>
        </w:rPr>
        <w:t xml:space="preserve"> </w:t>
      </w:r>
    </w:p>
    <w:p w14:paraId="7F0CC62F" w14:textId="75A809D0" w:rsidR="0067694D" w:rsidRPr="00793B06" w:rsidRDefault="0067694D" w:rsidP="00D83932">
      <w:pPr>
        <w:pStyle w:val="Prrafodelista"/>
        <w:numPr>
          <w:ilvl w:val="0"/>
          <w:numId w:val="1"/>
        </w:numPr>
        <w:spacing w:after="240"/>
        <w:jc w:val="both"/>
        <w:rPr>
          <w:rFonts w:ascii="ITC Avant Garde" w:hAnsi="ITC Avant Garde"/>
          <w:b/>
        </w:rPr>
      </w:pPr>
      <w:r w:rsidRPr="00793B06">
        <w:rPr>
          <w:rFonts w:ascii="ITC Avant Garde" w:hAnsi="ITC Avant Garde"/>
          <w:b/>
        </w:rPr>
        <w:t>Tecnología de Acceso:</w:t>
      </w:r>
      <w:r w:rsidRPr="00793B06">
        <w:rPr>
          <w:rFonts w:ascii="ITC Avant Garde" w:hAnsi="ITC Avant Garde"/>
        </w:rPr>
        <w:t xml:space="preserve"> Tipo de tecnología que se utiliza en las redes del </w:t>
      </w:r>
      <w:r w:rsidR="00804B18">
        <w:rPr>
          <w:rFonts w:ascii="ITC Avant Garde" w:hAnsi="ITC Avant Garde"/>
        </w:rPr>
        <w:t>S</w:t>
      </w:r>
      <w:r w:rsidRPr="00793B06">
        <w:rPr>
          <w:rFonts w:ascii="ITC Avant Garde" w:hAnsi="ITC Avant Garde"/>
        </w:rPr>
        <w:t xml:space="preserve">ervicio </w:t>
      </w:r>
      <w:r w:rsidR="00804B18">
        <w:rPr>
          <w:rFonts w:ascii="ITC Avant Garde" w:hAnsi="ITC Avant Garde"/>
        </w:rPr>
        <w:t>F</w:t>
      </w:r>
      <w:r w:rsidR="00256F39" w:rsidRPr="00793B06">
        <w:rPr>
          <w:rFonts w:ascii="ITC Avant Garde" w:hAnsi="ITC Avant Garde"/>
        </w:rPr>
        <w:t xml:space="preserve">ijo o </w:t>
      </w:r>
      <w:r w:rsidR="00804B18">
        <w:rPr>
          <w:rFonts w:ascii="ITC Avant Garde" w:hAnsi="ITC Avant Garde"/>
        </w:rPr>
        <w:t>M</w:t>
      </w:r>
      <w:r w:rsidRPr="00793B06">
        <w:rPr>
          <w:rFonts w:ascii="ITC Avant Garde" w:hAnsi="ITC Avant Garde"/>
        </w:rPr>
        <w:t xml:space="preserve">óvil para que el usuario final acceda a los servicios </w:t>
      </w:r>
      <w:r w:rsidR="00261DA9">
        <w:rPr>
          <w:rFonts w:ascii="ITC Avant Garde" w:hAnsi="ITC Avant Garde"/>
        </w:rPr>
        <w:t>que brindan</w:t>
      </w:r>
      <w:r w:rsidR="00BC6266" w:rsidRPr="00793B06">
        <w:rPr>
          <w:rFonts w:ascii="ITC Avant Garde" w:hAnsi="ITC Avant Garde"/>
        </w:rPr>
        <w:t xml:space="preserve"> los Prestadores del Servicio de Acceso a Internet</w:t>
      </w:r>
      <w:r w:rsidR="00703358" w:rsidRPr="00793B06">
        <w:rPr>
          <w:rFonts w:ascii="ITC Avant Garde" w:hAnsi="ITC Avant Garde"/>
        </w:rPr>
        <w:t>;</w:t>
      </w:r>
    </w:p>
    <w:p w14:paraId="281BF23C" w14:textId="742DAE82" w:rsidR="003E3B65" w:rsidRPr="00793B06" w:rsidRDefault="003E3B65" w:rsidP="00D83932">
      <w:pPr>
        <w:pStyle w:val="Prrafodelista"/>
        <w:numPr>
          <w:ilvl w:val="0"/>
          <w:numId w:val="1"/>
        </w:numPr>
        <w:spacing w:after="240"/>
        <w:jc w:val="both"/>
        <w:rPr>
          <w:rFonts w:ascii="ITC Avant Garde" w:hAnsi="ITC Avant Garde"/>
          <w:b/>
        </w:rPr>
      </w:pPr>
      <w:r w:rsidRPr="00793B06">
        <w:rPr>
          <w:rFonts w:ascii="ITC Avant Garde" w:hAnsi="ITC Avant Garde"/>
          <w:b/>
        </w:rPr>
        <w:t xml:space="preserve">Velocidad de Carga: </w:t>
      </w:r>
      <w:r w:rsidR="00CE5182" w:rsidRPr="00793B06">
        <w:rPr>
          <w:rFonts w:ascii="ITC Avant Garde" w:hAnsi="ITC Avant Garde"/>
        </w:rPr>
        <w:t xml:space="preserve">Tasa de Transmisión de Datos en la dirección </w:t>
      </w:r>
      <w:r w:rsidR="006E3E31">
        <w:rPr>
          <w:rFonts w:ascii="ITC Avant Garde" w:hAnsi="ITC Avant Garde"/>
        </w:rPr>
        <w:t xml:space="preserve">del usuario </w:t>
      </w:r>
      <w:r w:rsidR="00570EC9">
        <w:rPr>
          <w:rFonts w:ascii="ITC Avant Garde" w:hAnsi="ITC Avant Garde"/>
        </w:rPr>
        <w:t xml:space="preserve">final </w:t>
      </w:r>
      <w:r w:rsidR="00CE5182" w:rsidRPr="00793B06">
        <w:rPr>
          <w:rFonts w:ascii="ITC Avant Garde" w:hAnsi="ITC Avant Garde"/>
        </w:rPr>
        <w:t>hacia una red pública de telecomunicaciones;</w:t>
      </w:r>
    </w:p>
    <w:p w14:paraId="5328B6B2" w14:textId="3036F53E" w:rsidR="003E3B65" w:rsidRPr="00793B06" w:rsidRDefault="003E3B65" w:rsidP="00D83932">
      <w:pPr>
        <w:pStyle w:val="Prrafodelista"/>
        <w:numPr>
          <w:ilvl w:val="0"/>
          <w:numId w:val="1"/>
        </w:numPr>
        <w:spacing w:after="240"/>
        <w:jc w:val="both"/>
        <w:rPr>
          <w:rFonts w:ascii="ITC Avant Garde" w:hAnsi="ITC Avant Garde"/>
          <w:b/>
        </w:rPr>
      </w:pPr>
      <w:r w:rsidRPr="00793B06">
        <w:rPr>
          <w:rFonts w:ascii="ITC Avant Garde" w:hAnsi="ITC Avant Garde"/>
          <w:b/>
        </w:rPr>
        <w:t>Velocidad de Descarga:</w:t>
      </w:r>
      <w:r w:rsidRPr="00793B06">
        <w:rPr>
          <w:rFonts w:ascii="ITC Avant Garde" w:hAnsi="ITC Avant Garde"/>
        </w:rPr>
        <w:t xml:space="preserve"> </w:t>
      </w:r>
      <w:r w:rsidR="00CE5182" w:rsidRPr="00793B06">
        <w:rPr>
          <w:rFonts w:ascii="ITC Avant Garde" w:hAnsi="ITC Avant Garde"/>
        </w:rPr>
        <w:t xml:space="preserve">Tasa de Transmisión de Datos en la dirección de una red pública de telecomunicaciones hacia el </w:t>
      </w:r>
      <w:r w:rsidR="00570EC9">
        <w:rPr>
          <w:rFonts w:ascii="ITC Avant Garde" w:hAnsi="ITC Avant Garde"/>
        </w:rPr>
        <w:t>usuario final</w:t>
      </w:r>
      <w:r w:rsidR="00804B18">
        <w:rPr>
          <w:rFonts w:ascii="ITC Avant Garde" w:hAnsi="ITC Avant Garde"/>
        </w:rPr>
        <w:t>, y</w:t>
      </w:r>
    </w:p>
    <w:p w14:paraId="3E61069C" w14:textId="4DC3522D" w:rsidR="00D83932" w:rsidRDefault="00DD6428" w:rsidP="00D83932">
      <w:pPr>
        <w:pStyle w:val="Prrafodelista"/>
        <w:numPr>
          <w:ilvl w:val="0"/>
          <w:numId w:val="1"/>
        </w:numPr>
        <w:spacing w:after="240"/>
        <w:jc w:val="both"/>
      </w:pPr>
      <w:r w:rsidRPr="00793B06">
        <w:rPr>
          <w:rFonts w:ascii="ITC Avant Garde" w:hAnsi="ITC Avant Garde"/>
          <w:b/>
        </w:rPr>
        <w:lastRenderedPageBreak/>
        <w:t>Velocidad de Transferencia de Datos Publicitada:</w:t>
      </w:r>
      <w:r w:rsidRPr="00793B06">
        <w:rPr>
          <w:rFonts w:ascii="ITC Avant Garde" w:hAnsi="ITC Avant Garde"/>
        </w:rPr>
        <w:t xml:space="preserve"> </w:t>
      </w:r>
      <w:r w:rsidR="00F36C00" w:rsidRPr="00793B06">
        <w:rPr>
          <w:rFonts w:ascii="ITC Avant Garde" w:hAnsi="ITC Avant Garde"/>
        </w:rPr>
        <w:t xml:space="preserve">Tasa de Transmisión de Datos </w:t>
      </w:r>
      <w:r w:rsidRPr="00793B06">
        <w:rPr>
          <w:rFonts w:ascii="ITC Avant Garde" w:hAnsi="ITC Avant Garde"/>
        </w:rPr>
        <w:t>con la que los Prestadores del Servicio de Acceso a Internet anuncian al público en general en sus centros de atención, portal de Internet, o cualquier otro medio, que proporcionan sus servicios materia de los presentes lineamientos</w:t>
      </w:r>
      <w:r w:rsidR="00A90932">
        <w:rPr>
          <w:rFonts w:ascii="ITC Avant Garde" w:hAnsi="ITC Avant Garde"/>
        </w:rPr>
        <w:t xml:space="preserve"> y que cumplen con los parámetros mínimos de banda ancha establecidos en los mismos</w:t>
      </w:r>
      <w:r w:rsidRPr="00793B06">
        <w:rPr>
          <w:rFonts w:ascii="ITC Avant Garde" w:hAnsi="ITC Avant Garde"/>
        </w:rPr>
        <w:t>.</w:t>
      </w:r>
    </w:p>
    <w:p w14:paraId="6A314169" w14:textId="77777777" w:rsidR="00D83932" w:rsidRDefault="002826A4" w:rsidP="00D83932">
      <w:pPr>
        <w:spacing w:after="240"/>
        <w:ind w:left="709"/>
        <w:jc w:val="both"/>
        <w:rPr>
          <w:rFonts w:ascii="ITC Avant Garde" w:hAnsi="ITC Avant Garde"/>
          <w:b/>
        </w:rPr>
      </w:pPr>
      <w:r w:rsidRPr="009402BF">
        <w:rPr>
          <w:rFonts w:ascii="ITC Avant Garde" w:hAnsi="ITC Avant Garde"/>
          <w:lang w:val="es-ES_tradnl"/>
        </w:rPr>
        <w:t>Estas definiciones podrán ser utilizadas en singular o en plural, en masculino o en femenino, de forma indistinta.</w:t>
      </w:r>
    </w:p>
    <w:p w14:paraId="7DC8844E" w14:textId="2B475269" w:rsidR="00FF3D7D" w:rsidRPr="00110D95"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t>CAPÍTULO III</w:t>
      </w:r>
    </w:p>
    <w:p w14:paraId="73413257" w14:textId="77777777" w:rsidR="00D83932" w:rsidRDefault="00FF3D7D" w:rsidP="00D83932">
      <w:pPr>
        <w:spacing w:after="240"/>
        <w:jc w:val="center"/>
        <w:rPr>
          <w:rFonts w:ascii="ITC Avant Garde" w:hAnsi="ITC Avant Garde"/>
          <w:b/>
        </w:rPr>
      </w:pPr>
      <w:r w:rsidRPr="00793B06">
        <w:rPr>
          <w:rFonts w:ascii="ITC Avant Garde" w:hAnsi="ITC Avant Garde"/>
          <w:b/>
        </w:rPr>
        <w:t xml:space="preserve"> DE LOS PARÁMETROS DE BANDA ANCHA</w:t>
      </w:r>
    </w:p>
    <w:p w14:paraId="3D6DB0D4" w14:textId="77777777" w:rsidR="00D83932" w:rsidRDefault="004B0B33" w:rsidP="00D83932">
      <w:pPr>
        <w:spacing w:after="240"/>
        <w:jc w:val="both"/>
        <w:rPr>
          <w:rFonts w:ascii="ITC Avant Garde" w:hAnsi="ITC Avant Garde"/>
        </w:rPr>
      </w:pPr>
      <w:r w:rsidRPr="00793B06">
        <w:rPr>
          <w:rFonts w:ascii="ITC Avant Garde" w:hAnsi="ITC Avant Garde"/>
          <w:b/>
        </w:rPr>
        <w:t>CUARTO.</w:t>
      </w:r>
      <w:r w:rsidRPr="00793B06">
        <w:rPr>
          <w:rFonts w:ascii="ITC Avant Garde" w:hAnsi="ITC Avant Garde"/>
        </w:rPr>
        <w:t xml:space="preserve"> </w:t>
      </w:r>
      <w:r w:rsidR="00A71BFB" w:rsidRPr="00793B06">
        <w:rPr>
          <w:rFonts w:ascii="ITC Avant Garde" w:hAnsi="ITC Avant Garde"/>
        </w:rPr>
        <w:t>S</w:t>
      </w:r>
      <w:r w:rsidR="006608FE" w:rsidRPr="00793B06">
        <w:rPr>
          <w:rFonts w:ascii="ITC Avant Garde" w:hAnsi="ITC Avant Garde"/>
        </w:rPr>
        <w:t xml:space="preserve">e establecen </w:t>
      </w:r>
      <w:r w:rsidR="00A71BFB" w:rsidRPr="00793B06">
        <w:rPr>
          <w:rFonts w:ascii="ITC Avant Garde" w:hAnsi="ITC Avant Garde"/>
        </w:rPr>
        <w:t>los</w:t>
      </w:r>
      <w:r w:rsidR="006608FE" w:rsidRPr="00793B06">
        <w:rPr>
          <w:rFonts w:ascii="ITC Avant Garde" w:hAnsi="ITC Avant Garde"/>
        </w:rPr>
        <w:t xml:space="preserve"> </w:t>
      </w:r>
      <w:r w:rsidR="00FD1130" w:rsidRPr="00793B06">
        <w:rPr>
          <w:rFonts w:ascii="ITC Avant Garde" w:hAnsi="ITC Avant Garde"/>
        </w:rPr>
        <w:t xml:space="preserve">Parámetros </w:t>
      </w:r>
      <w:r w:rsidR="00A90932">
        <w:rPr>
          <w:rFonts w:ascii="ITC Avant Garde" w:hAnsi="ITC Avant Garde"/>
        </w:rPr>
        <w:t xml:space="preserve">mínimos </w:t>
      </w:r>
      <w:r w:rsidR="00FD1130" w:rsidRPr="00793B06">
        <w:rPr>
          <w:rFonts w:ascii="ITC Avant Garde" w:hAnsi="ITC Avant Garde"/>
        </w:rPr>
        <w:t>de</w:t>
      </w:r>
      <w:r w:rsidR="006608FE" w:rsidRPr="00793B06">
        <w:rPr>
          <w:rFonts w:ascii="ITC Avant Garde" w:hAnsi="ITC Avant Garde"/>
        </w:rPr>
        <w:t xml:space="preserve"> Banda Ancha</w:t>
      </w:r>
      <w:r w:rsidR="00CB1400" w:rsidRPr="00793B06">
        <w:rPr>
          <w:rFonts w:ascii="ITC Avant Garde" w:hAnsi="ITC Avant Garde"/>
        </w:rPr>
        <w:t xml:space="preserve"> </w:t>
      </w:r>
      <w:r w:rsidR="00A71BFB" w:rsidRPr="00793B06">
        <w:rPr>
          <w:rFonts w:ascii="ITC Avant Garde" w:hAnsi="ITC Avant Garde"/>
        </w:rPr>
        <w:t xml:space="preserve">que serán evaluados </w:t>
      </w:r>
      <w:r w:rsidR="00643E3B">
        <w:rPr>
          <w:rFonts w:ascii="ITC Avant Garde" w:hAnsi="ITC Avant Garde"/>
        </w:rPr>
        <w:t xml:space="preserve">por el Instituto </w:t>
      </w:r>
      <w:r w:rsidR="00A71BFB" w:rsidRPr="00793B06">
        <w:rPr>
          <w:rFonts w:ascii="ITC Avant Garde" w:hAnsi="ITC Avant Garde"/>
        </w:rPr>
        <w:t xml:space="preserve">de acuerdo a </w:t>
      </w:r>
      <w:r w:rsidR="00643E3B" w:rsidRPr="00793B06">
        <w:rPr>
          <w:rFonts w:ascii="ITC Avant Garde" w:hAnsi="ITC Avant Garde"/>
        </w:rPr>
        <w:t>l</w:t>
      </w:r>
      <w:r w:rsidR="00643E3B">
        <w:rPr>
          <w:rFonts w:ascii="ITC Avant Garde" w:hAnsi="ITC Avant Garde"/>
        </w:rPr>
        <w:t>o</w:t>
      </w:r>
      <w:r w:rsidR="00643E3B" w:rsidRPr="00793B06">
        <w:rPr>
          <w:rFonts w:ascii="ITC Avant Garde" w:hAnsi="ITC Avant Garde"/>
        </w:rPr>
        <w:t xml:space="preserve"> </w:t>
      </w:r>
      <w:r w:rsidR="00A71BFB" w:rsidRPr="00793B06">
        <w:rPr>
          <w:rFonts w:ascii="ITC Avant Garde" w:hAnsi="ITC Avant Garde"/>
        </w:rPr>
        <w:t>siguiente:</w:t>
      </w:r>
    </w:p>
    <w:p w14:paraId="1F0EA2EF" w14:textId="77777777" w:rsidR="00D83932" w:rsidRDefault="007247D4" w:rsidP="00D83932">
      <w:pPr>
        <w:pStyle w:val="Prrafodelista"/>
        <w:numPr>
          <w:ilvl w:val="0"/>
          <w:numId w:val="2"/>
        </w:numPr>
        <w:spacing w:after="240"/>
        <w:jc w:val="both"/>
        <w:rPr>
          <w:rFonts w:ascii="Tahoma" w:hAnsi="Tahoma"/>
        </w:rPr>
      </w:pPr>
      <w:r w:rsidRPr="00793B06">
        <w:rPr>
          <w:rFonts w:ascii="ITC Avant Garde" w:hAnsi="ITC Avant Garde"/>
          <w:b/>
        </w:rPr>
        <w:t>Ba</w:t>
      </w:r>
      <w:r w:rsidR="00BF279B" w:rsidRPr="00793B06">
        <w:rPr>
          <w:rFonts w:ascii="ITC Avant Garde" w:hAnsi="ITC Avant Garde"/>
          <w:b/>
        </w:rPr>
        <w:t>nda Ancha Móvil</w:t>
      </w:r>
      <w:r w:rsidR="004B0B33" w:rsidRPr="00793B06">
        <w:rPr>
          <w:rFonts w:ascii="ITC Avant Garde" w:hAnsi="ITC Avant Garde"/>
          <w:b/>
        </w:rPr>
        <w:t>:</w:t>
      </w:r>
      <w:r w:rsidR="004B0B33" w:rsidRPr="00793B06">
        <w:rPr>
          <w:rFonts w:ascii="ITC Avant Garde" w:hAnsi="ITC Avant Garde"/>
        </w:rPr>
        <w:t xml:space="preserve"> Conexión</w:t>
      </w:r>
      <w:r w:rsidRPr="00793B06">
        <w:rPr>
          <w:rFonts w:ascii="ITC Avant Garde" w:hAnsi="ITC Avant Garde"/>
        </w:rPr>
        <w:t xml:space="preserve"> inalámbrica </w:t>
      </w:r>
      <w:r w:rsidRPr="002826A4">
        <w:rPr>
          <w:rFonts w:ascii="ITC Avant Garde" w:hAnsi="ITC Avant Garde"/>
        </w:rPr>
        <w:t xml:space="preserve">a la red </w:t>
      </w:r>
      <w:r w:rsidR="00AA4F95" w:rsidRPr="002826A4">
        <w:rPr>
          <w:rFonts w:ascii="ITC Avant Garde" w:hAnsi="ITC Avant Garde"/>
        </w:rPr>
        <w:t>pública</w:t>
      </w:r>
      <w:r w:rsidR="001911D1" w:rsidRPr="002826A4">
        <w:rPr>
          <w:rFonts w:ascii="ITC Avant Garde" w:hAnsi="ITC Avant Garde"/>
        </w:rPr>
        <w:t xml:space="preserve"> de telecomunicaciones </w:t>
      </w:r>
      <w:r w:rsidR="00ED0668" w:rsidRPr="002826A4">
        <w:rPr>
          <w:rFonts w:ascii="ITC Avant Garde" w:hAnsi="ITC Avant Garde"/>
        </w:rPr>
        <w:t>a través de Tecnologías de Acceso LTE o superiore</w:t>
      </w:r>
      <w:r w:rsidR="00EE4BDE" w:rsidRPr="002826A4">
        <w:rPr>
          <w:rFonts w:ascii="ITC Avant Garde" w:hAnsi="ITC Avant Garde"/>
        </w:rPr>
        <w:t>s</w:t>
      </w:r>
      <w:r w:rsidR="00EE4BDE" w:rsidRPr="00793B06">
        <w:rPr>
          <w:rFonts w:ascii="ITC Avant Garde" w:hAnsi="ITC Avant Garde"/>
        </w:rPr>
        <w:t xml:space="preserve">, </w:t>
      </w:r>
      <w:r w:rsidRPr="00793B06">
        <w:rPr>
          <w:rFonts w:ascii="ITC Avant Garde" w:hAnsi="ITC Avant Garde"/>
        </w:rPr>
        <w:t>para trans</w:t>
      </w:r>
      <w:r w:rsidR="009315C0">
        <w:rPr>
          <w:rFonts w:ascii="ITC Avant Garde" w:hAnsi="ITC Avant Garde"/>
        </w:rPr>
        <w:t>mitir y recibir</w:t>
      </w:r>
      <w:r w:rsidRPr="00793B06">
        <w:rPr>
          <w:rFonts w:ascii="ITC Avant Garde" w:hAnsi="ITC Avant Garde"/>
        </w:rPr>
        <w:t xml:space="preserve"> información</w:t>
      </w:r>
      <w:r w:rsidR="0071513F" w:rsidRPr="00793B06">
        <w:rPr>
          <w:rFonts w:ascii="ITC Avant Garde" w:hAnsi="ITC Avant Garde"/>
        </w:rPr>
        <w:t xml:space="preserve">, </w:t>
      </w:r>
      <w:r w:rsidRPr="00793B06">
        <w:rPr>
          <w:rFonts w:ascii="ITC Avant Garde" w:hAnsi="ITC Avant Garde"/>
        </w:rPr>
        <w:t xml:space="preserve">que permite el acceso a </w:t>
      </w:r>
      <w:r w:rsidR="00A71BFB" w:rsidRPr="00793B06">
        <w:rPr>
          <w:rFonts w:ascii="ITC Avant Garde" w:hAnsi="ITC Avant Garde"/>
        </w:rPr>
        <w:t>I</w:t>
      </w:r>
      <w:r w:rsidRPr="00793B06">
        <w:rPr>
          <w:rFonts w:ascii="ITC Avant Garde" w:hAnsi="ITC Avant Garde"/>
        </w:rPr>
        <w:t>nternet</w:t>
      </w:r>
      <w:r w:rsidR="00D03E44" w:rsidRPr="00793B06">
        <w:rPr>
          <w:rFonts w:ascii="ITC Avant Garde" w:hAnsi="ITC Avant Garde"/>
        </w:rPr>
        <w:t xml:space="preserve"> </w:t>
      </w:r>
      <w:r w:rsidRPr="00793B06">
        <w:rPr>
          <w:rFonts w:ascii="ITC Avant Garde" w:hAnsi="ITC Avant Garde"/>
        </w:rPr>
        <w:t xml:space="preserve">a </w:t>
      </w:r>
      <w:r w:rsidR="00703358" w:rsidRPr="00793B06">
        <w:rPr>
          <w:rFonts w:ascii="ITC Avant Garde" w:hAnsi="ITC Avant Garde"/>
        </w:rPr>
        <w:t>V</w:t>
      </w:r>
      <w:r w:rsidRPr="00793B06">
        <w:rPr>
          <w:rFonts w:ascii="ITC Avant Garde" w:hAnsi="ITC Avant Garde"/>
        </w:rPr>
        <w:t xml:space="preserve">elocidades </w:t>
      </w:r>
      <w:r w:rsidR="00703358" w:rsidRPr="00793B06">
        <w:rPr>
          <w:rFonts w:ascii="ITC Avant Garde" w:hAnsi="ITC Avant Garde"/>
        </w:rPr>
        <w:t xml:space="preserve">de </w:t>
      </w:r>
      <w:r w:rsidR="00703358" w:rsidRPr="000F1F3D">
        <w:rPr>
          <w:rFonts w:ascii="ITC Avant Garde" w:hAnsi="ITC Avant Garde"/>
        </w:rPr>
        <w:t xml:space="preserve">Descarga </w:t>
      </w:r>
      <w:r w:rsidRPr="000F1F3D">
        <w:rPr>
          <w:rFonts w:ascii="ITC Avant Garde" w:hAnsi="ITC Avant Garde"/>
        </w:rPr>
        <w:t xml:space="preserve">iguales o superiores a </w:t>
      </w:r>
      <w:r w:rsidR="00E3322E" w:rsidRPr="000F1F3D">
        <w:rPr>
          <w:rFonts w:ascii="ITC Avant Garde" w:hAnsi="ITC Avant Garde"/>
        </w:rPr>
        <w:t>10</w:t>
      </w:r>
      <w:r w:rsidRPr="000F1F3D">
        <w:rPr>
          <w:rFonts w:ascii="ITC Avant Garde" w:hAnsi="ITC Avant Garde"/>
        </w:rPr>
        <w:t xml:space="preserve"> Mbps y</w:t>
      </w:r>
      <w:r w:rsidR="00703358" w:rsidRPr="000F1F3D">
        <w:rPr>
          <w:rFonts w:ascii="ITC Avant Garde" w:hAnsi="ITC Avant Garde"/>
        </w:rPr>
        <w:t xml:space="preserve"> Velocidades de Carga iguales o superiores a</w:t>
      </w:r>
      <w:r w:rsidRPr="000F1F3D">
        <w:rPr>
          <w:rFonts w:ascii="ITC Avant Garde" w:hAnsi="ITC Avant Garde"/>
        </w:rPr>
        <w:t xml:space="preserve"> </w:t>
      </w:r>
      <w:r w:rsidR="00E3322E" w:rsidRPr="000F1F3D">
        <w:rPr>
          <w:rFonts w:ascii="ITC Avant Garde" w:hAnsi="ITC Avant Garde"/>
        </w:rPr>
        <w:t>5</w:t>
      </w:r>
      <w:r w:rsidRPr="000F1F3D">
        <w:rPr>
          <w:rFonts w:ascii="ITC Avant Garde" w:hAnsi="ITC Avant Garde"/>
        </w:rPr>
        <w:t xml:space="preserve"> Mbps.</w:t>
      </w:r>
    </w:p>
    <w:p w14:paraId="3DA99EAC" w14:textId="77777777" w:rsidR="00D83932" w:rsidRDefault="007247D4" w:rsidP="00D83932">
      <w:pPr>
        <w:pStyle w:val="Prrafodelista"/>
        <w:numPr>
          <w:ilvl w:val="0"/>
          <w:numId w:val="2"/>
        </w:numPr>
        <w:spacing w:after="240"/>
        <w:jc w:val="both"/>
        <w:rPr>
          <w:rFonts w:ascii="ITC Avant Garde" w:hAnsi="ITC Avant Garde"/>
        </w:rPr>
      </w:pPr>
      <w:r w:rsidRPr="00D27A43">
        <w:rPr>
          <w:rFonts w:ascii="ITC Avant Garde" w:hAnsi="ITC Avant Garde"/>
          <w:b/>
        </w:rPr>
        <w:t>Banda Ancha Fija</w:t>
      </w:r>
      <w:r w:rsidR="004B0B33" w:rsidRPr="00D27A43">
        <w:rPr>
          <w:rFonts w:ascii="ITC Avant Garde" w:hAnsi="ITC Avant Garde"/>
          <w:b/>
        </w:rPr>
        <w:t>:</w:t>
      </w:r>
      <w:r w:rsidR="00B8388B" w:rsidRPr="00D27A43">
        <w:rPr>
          <w:rFonts w:ascii="ITC Avant Garde" w:hAnsi="ITC Avant Garde"/>
          <w:b/>
        </w:rPr>
        <w:t xml:space="preserve"> </w:t>
      </w:r>
      <w:r w:rsidR="004B0B33" w:rsidRPr="00D27A43">
        <w:rPr>
          <w:rFonts w:ascii="ITC Avant Garde" w:hAnsi="ITC Avant Garde"/>
        </w:rPr>
        <w:t>C</w:t>
      </w:r>
      <w:r w:rsidRPr="00D27A43">
        <w:rPr>
          <w:rFonts w:ascii="ITC Avant Garde" w:hAnsi="ITC Avant Garde"/>
        </w:rPr>
        <w:t xml:space="preserve">onexión a la red </w:t>
      </w:r>
      <w:r w:rsidR="00AA4F95" w:rsidRPr="00D27A43">
        <w:rPr>
          <w:rFonts w:ascii="ITC Avant Garde" w:hAnsi="ITC Avant Garde"/>
        </w:rPr>
        <w:t>pública de telecomunicaciones</w:t>
      </w:r>
      <w:r w:rsidR="00570EC9">
        <w:rPr>
          <w:rFonts w:ascii="ITC Avant Garde" w:hAnsi="ITC Avant Garde"/>
        </w:rPr>
        <w:t xml:space="preserve">, </w:t>
      </w:r>
      <w:r w:rsidR="00D03E44" w:rsidRPr="00D27A43">
        <w:rPr>
          <w:rFonts w:ascii="ITC Avant Garde" w:hAnsi="ITC Avant Garde"/>
        </w:rPr>
        <w:t xml:space="preserve">a través de </w:t>
      </w:r>
      <w:r w:rsidR="00570EC9">
        <w:rPr>
          <w:rFonts w:ascii="ITC Avant Garde" w:hAnsi="ITC Avant Garde"/>
        </w:rPr>
        <w:t>una Puerta de Enlace</w:t>
      </w:r>
      <w:r w:rsidR="00570EC9" w:rsidRPr="00D27A43">
        <w:rPr>
          <w:rFonts w:ascii="ITC Avant Garde" w:hAnsi="ITC Avant Garde"/>
        </w:rPr>
        <w:t xml:space="preserve"> </w:t>
      </w:r>
      <w:r w:rsidR="00570EC9">
        <w:rPr>
          <w:rFonts w:ascii="ITC Avant Garde" w:hAnsi="ITC Avant Garde"/>
        </w:rPr>
        <w:t xml:space="preserve">y </w:t>
      </w:r>
      <w:r w:rsidR="00D03E44" w:rsidRPr="00D27A43">
        <w:rPr>
          <w:rFonts w:ascii="ITC Avant Garde" w:hAnsi="ITC Avant Garde"/>
        </w:rPr>
        <w:t>algún Medio de Transmisión alámbrico</w:t>
      </w:r>
      <w:r w:rsidR="00570EC9">
        <w:rPr>
          <w:rFonts w:ascii="ITC Avant Garde" w:hAnsi="ITC Avant Garde"/>
        </w:rPr>
        <w:t>, inalámbrico</w:t>
      </w:r>
      <w:r w:rsidR="00CD767E" w:rsidRPr="00D27A43">
        <w:rPr>
          <w:rFonts w:ascii="ITC Avant Garde" w:hAnsi="ITC Avant Garde"/>
        </w:rPr>
        <w:t xml:space="preserve"> o satelital</w:t>
      </w:r>
      <w:r w:rsidR="0071513F" w:rsidRPr="00D27A43">
        <w:rPr>
          <w:rFonts w:ascii="ITC Avant Garde" w:hAnsi="ITC Avant Garde"/>
        </w:rPr>
        <w:t>,</w:t>
      </w:r>
      <w:r w:rsidRPr="00D27A43">
        <w:rPr>
          <w:rFonts w:ascii="ITC Avant Garde" w:hAnsi="ITC Avant Garde"/>
        </w:rPr>
        <w:t xml:space="preserve"> para trans</w:t>
      </w:r>
      <w:r w:rsidR="009315C0">
        <w:rPr>
          <w:rFonts w:ascii="ITC Avant Garde" w:hAnsi="ITC Avant Garde"/>
        </w:rPr>
        <w:t>mitir y recibir</w:t>
      </w:r>
      <w:r w:rsidRPr="00D27A43">
        <w:rPr>
          <w:rFonts w:ascii="ITC Avant Garde" w:hAnsi="ITC Avant Garde"/>
        </w:rPr>
        <w:t xml:space="preserve"> información</w:t>
      </w:r>
      <w:r w:rsidR="0071513F" w:rsidRPr="00D27A43">
        <w:rPr>
          <w:rFonts w:ascii="ITC Avant Garde" w:hAnsi="ITC Avant Garde"/>
        </w:rPr>
        <w:t xml:space="preserve">, </w:t>
      </w:r>
      <w:r w:rsidRPr="00D27A43">
        <w:rPr>
          <w:rFonts w:ascii="ITC Avant Garde" w:hAnsi="ITC Avant Garde"/>
        </w:rPr>
        <w:t xml:space="preserve">que permite el acceso a </w:t>
      </w:r>
      <w:r w:rsidR="00A71BFB" w:rsidRPr="00D27A43">
        <w:rPr>
          <w:rFonts w:ascii="ITC Avant Garde" w:hAnsi="ITC Avant Garde"/>
        </w:rPr>
        <w:t>I</w:t>
      </w:r>
      <w:r w:rsidRPr="00D27A43">
        <w:rPr>
          <w:rFonts w:ascii="ITC Avant Garde" w:hAnsi="ITC Avant Garde"/>
        </w:rPr>
        <w:t xml:space="preserve">nternet a </w:t>
      </w:r>
      <w:r w:rsidR="00703358" w:rsidRPr="00D27A43">
        <w:rPr>
          <w:rFonts w:ascii="ITC Avant Garde" w:hAnsi="ITC Avant Garde"/>
        </w:rPr>
        <w:t>V</w:t>
      </w:r>
      <w:r w:rsidRPr="00D27A43">
        <w:rPr>
          <w:rFonts w:ascii="ITC Avant Garde" w:hAnsi="ITC Avant Garde"/>
        </w:rPr>
        <w:t xml:space="preserve">elocidades </w:t>
      </w:r>
      <w:r w:rsidR="00703358" w:rsidRPr="00D27A43">
        <w:rPr>
          <w:rFonts w:ascii="ITC Avant Garde" w:hAnsi="ITC Avant Garde"/>
        </w:rPr>
        <w:t xml:space="preserve">de Descarga </w:t>
      </w:r>
      <w:r w:rsidRPr="00D27A43">
        <w:rPr>
          <w:rFonts w:ascii="ITC Avant Garde" w:hAnsi="ITC Avant Garde"/>
        </w:rPr>
        <w:t xml:space="preserve">iguales o superiores a </w:t>
      </w:r>
      <w:r w:rsidR="00E3322E" w:rsidRPr="00D27A43">
        <w:rPr>
          <w:rFonts w:ascii="ITC Avant Garde" w:hAnsi="ITC Avant Garde"/>
        </w:rPr>
        <w:t>25</w:t>
      </w:r>
      <w:r w:rsidRPr="00D27A43">
        <w:rPr>
          <w:rFonts w:ascii="ITC Avant Garde" w:hAnsi="ITC Avant Garde"/>
        </w:rPr>
        <w:t xml:space="preserve"> Mbps y</w:t>
      </w:r>
      <w:r w:rsidR="00703358" w:rsidRPr="00D27A43">
        <w:rPr>
          <w:rFonts w:ascii="ITC Avant Garde" w:hAnsi="ITC Avant Garde"/>
        </w:rPr>
        <w:t xml:space="preserve"> Velocidades de Carga iguales o superiores a</w:t>
      </w:r>
      <w:r w:rsidRPr="00D27A43">
        <w:rPr>
          <w:rFonts w:ascii="ITC Avant Garde" w:hAnsi="ITC Avant Garde"/>
        </w:rPr>
        <w:t xml:space="preserve"> </w:t>
      </w:r>
      <w:r w:rsidR="00E3322E" w:rsidRPr="00D27A43">
        <w:rPr>
          <w:rFonts w:ascii="ITC Avant Garde" w:hAnsi="ITC Avant Garde"/>
        </w:rPr>
        <w:t>5</w:t>
      </w:r>
      <w:r w:rsidRPr="00D27A43">
        <w:rPr>
          <w:rFonts w:ascii="ITC Avant Garde" w:hAnsi="ITC Avant Garde"/>
        </w:rPr>
        <w:t xml:space="preserve"> Mbps.</w:t>
      </w:r>
    </w:p>
    <w:p w14:paraId="149DC16D" w14:textId="0F8D6007" w:rsidR="00FF3D7D" w:rsidRPr="00110D95"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t xml:space="preserve">CAPÍTULO </w:t>
      </w:r>
      <w:r w:rsidR="00CE5182" w:rsidRPr="00110D95">
        <w:rPr>
          <w:rFonts w:ascii="ITC Avant Garde" w:hAnsi="ITC Avant Garde"/>
          <w:b/>
          <w:color w:val="auto"/>
          <w:sz w:val="22"/>
          <w:szCs w:val="22"/>
        </w:rPr>
        <w:t>I</w:t>
      </w:r>
      <w:r w:rsidRPr="00110D95">
        <w:rPr>
          <w:rFonts w:ascii="ITC Avant Garde" w:hAnsi="ITC Avant Garde"/>
          <w:b/>
          <w:color w:val="auto"/>
          <w:sz w:val="22"/>
          <w:szCs w:val="22"/>
        </w:rPr>
        <w:t>V</w:t>
      </w:r>
    </w:p>
    <w:p w14:paraId="36EE6FC5" w14:textId="77777777" w:rsidR="00D83932" w:rsidRDefault="00FF3D7D" w:rsidP="00D83932">
      <w:pPr>
        <w:spacing w:after="240"/>
        <w:jc w:val="center"/>
        <w:rPr>
          <w:rFonts w:ascii="ITC Avant Garde" w:hAnsi="ITC Avant Garde"/>
          <w:b/>
        </w:rPr>
      </w:pPr>
      <w:r w:rsidRPr="00793B06">
        <w:rPr>
          <w:rFonts w:ascii="ITC Avant Garde" w:hAnsi="ITC Avant Garde"/>
          <w:b/>
        </w:rPr>
        <w:t xml:space="preserve">DE LA </w:t>
      </w:r>
      <w:r w:rsidR="00122B91" w:rsidRPr="00793B06">
        <w:rPr>
          <w:rFonts w:ascii="ITC Avant Garde" w:hAnsi="ITC Avant Garde"/>
          <w:b/>
        </w:rPr>
        <w:t>INFORMACIÓN AL USUARIO FINAL</w:t>
      </w:r>
    </w:p>
    <w:p w14:paraId="275E046C" w14:textId="2F38F3D1" w:rsidR="00296637" w:rsidRPr="00793B06" w:rsidRDefault="000F2D03" w:rsidP="00D83932">
      <w:pPr>
        <w:spacing w:after="240"/>
        <w:jc w:val="both"/>
        <w:rPr>
          <w:rFonts w:ascii="ITC Avant Garde" w:hAnsi="ITC Avant Garde"/>
        </w:rPr>
      </w:pPr>
      <w:r>
        <w:rPr>
          <w:rFonts w:ascii="ITC Avant Garde" w:hAnsi="ITC Avant Garde"/>
          <w:b/>
        </w:rPr>
        <w:t>QUINTO</w:t>
      </w:r>
      <w:r w:rsidR="00296637" w:rsidRPr="00793B06">
        <w:rPr>
          <w:rFonts w:ascii="ITC Avant Garde" w:hAnsi="ITC Avant Garde"/>
          <w:b/>
        </w:rPr>
        <w:t>.</w:t>
      </w:r>
      <w:r w:rsidR="00296637" w:rsidRPr="00793B06">
        <w:rPr>
          <w:rFonts w:ascii="ITC Avant Garde" w:hAnsi="ITC Avant Garde"/>
        </w:rPr>
        <w:t xml:space="preserve"> </w:t>
      </w:r>
      <w:r w:rsidR="00E46EAE" w:rsidRPr="00793B06">
        <w:rPr>
          <w:rFonts w:ascii="ITC Avant Garde" w:hAnsi="ITC Avant Garde"/>
        </w:rPr>
        <w:t>L</w:t>
      </w:r>
      <w:r w:rsidR="00296637" w:rsidRPr="00793B06">
        <w:rPr>
          <w:rFonts w:ascii="ITC Avant Garde" w:hAnsi="ITC Avant Garde"/>
        </w:rPr>
        <w:t xml:space="preserve">os Prestadores del Servicio de Acceso a Internet </w:t>
      </w:r>
      <w:r w:rsidR="00E46EAE" w:rsidRPr="00793B06">
        <w:rPr>
          <w:rFonts w:ascii="ITC Avant Garde" w:hAnsi="ITC Avant Garde"/>
        </w:rPr>
        <w:t xml:space="preserve">deberán </w:t>
      </w:r>
      <w:r w:rsidR="00296637" w:rsidRPr="00793B06">
        <w:rPr>
          <w:rFonts w:ascii="ITC Avant Garde" w:hAnsi="ITC Avant Garde"/>
        </w:rPr>
        <w:t>proporcion</w:t>
      </w:r>
      <w:r w:rsidR="00E46EAE" w:rsidRPr="00793B06">
        <w:rPr>
          <w:rFonts w:ascii="ITC Avant Garde" w:hAnsi="ITC Avant Garde"/>
        </w:rPr>
        <w:t>ar</w:t>
      </w:r>
      <w:r w:rsidR="00296637" w:rsidRPr="00793B06">
        <w:rPr>
          <w:rFonts w:ascii="ITC Avant Garde" w:hAnsi="ITC Avant Garde"/>
        </w:rPr>
        <w:t xml:space="preserve"> al público información</w:t>
      </w:r>
      <w:r w:rsidR="00A178EA">
        <w:rPr>
          <w:rFonts w:ascii="ITC Avant Garde" w:hAnsi="ITC Avant Garde"/>
        </w:rPr>
        <w:t xml:space="preserve"> completa y veraz</w:t>
      </w:r>
      <w:r w:rsidR="00296637" w:rsidRPr="00793B06">
        <w:rPr>
          <w:rFonts w:ascii="ITC Avant Garde" w:hAnsi="ITC Avant Garde"/>
        </w:rPr>
        <w:t xml:space="preserve"> sobre la </w:t>
      </w:r>
      <w:r w:rsidR="00296637" w:rsidRPr="000F1F3D">
        <w:rPr>
          <w:rFonts w:ascii="ITC Avant Garde" w:hAnsi="ITC Avant Garde"/>
        </w:rPr>
        <w:t>Velocidad de Transferencia de Datos Publicitada</w:t>
      </w:r>
      <w:r w:rsidR="00750279" w:rsidRPr="00793B06">
        <w:rPr>
          <w:rFonts w:ascii="ITC Avant Garde" w:hAnsi="ITC Avant Garde"/>
        </w:rPr>
        <w:t xml:space="preserve">, la cual deberá cumplir con </w:t>
      </w:r>
      <w:r w:rsidR="00A178EA" w:rsidRPr="00793B06">
        <w:rPr>
          <w:rFonts w:ascii="ITC Avant Garde" w:hAnsi="ITC Avant Garde"/>
        </w:rPr>
        <w:t>l</w:t>
      </w:r>
      <w:r w:rsidR="00A178EA">
        <w:rPr>
          <w:rFonts w:ascii="ITC Avant Garde" w:hAnsi="ITC Avant Garde"/>
        </w:rPr>
        <w:t>o</w:t>
      </w:r>
      <w:r w:rsidR="00A178EA" w:rsidRPr="00793B06">
        <w:rPr>
          <w:rFonts w:ascii="ITC Avant Garde" w:hAnsi="ITC Avant Garde"/>
        </w:rPr>
        <w:t>s</w:t>
      </w:r>
      <w:r w:rsidR="00A178EA">
        <w:rPr>
          <w:rFonts w:ascii="ITC Avant Garde" w:hAnsi="ITC Avant Garde"/>
        </w:rPr>
        <w:t xml:space="preserve"> presentes Lineamientos y las</w:t>
      </w:r>
      <w:r w:rsidR="00A178EA" w:rsidRPr="00793B06">
        <w:rPr>
          <w:rFonts w:ascii="ITC Avant Garde" w:hAnsi="ITC Avant Garde"/>
        </w:rPr>
        <w:t xml:space="preserve"> </w:t>
      </w:r>
      <w:r w:rsidR="00750279" w:rsidRPr="00793B06">
        <w:rPr>
          <w:rFonts w:ascii="ITC Avant Garde" w:hAnsi="ITC Avant Garde"/>
        </w:rPr>
        <w:t xml:space="preserve">disposiciones </w:t>
      </w:r>
      <w:r w:rsidR="00A178EA">
        <w:rPr>
          <w:rFonts w:ascii="ITC Avant Garde" w:hAnsi="ITC Avant Garde"/>
        </w:rPr>
        <w:t xml:space="preserve">administrativas relacionadas con la publicación de información para el usuario </w:t>
      </w:r>
      <w:r w:rsidR="00750279" w:rsidRPr="00793B06">
        <w:rPr>
          <w:rFonts w:ascii="ITC Avant Garde" w:hAnsi="ITC Avant Garde"/>
        </w:rPr>
        <w:t>que al efecto emita el Instituto</w:t>
      </w:r>
      <w:r w:rsidR="00A178EA" w:rsidRPr="00793B06">
        <w:rPr>
          <w:rFonts w:ascii="ITC Avant Garde" w:hAnsi="ITC Avant Garde"/>
        </w:rPr>
        <w:t>.</w:t>
      </w:r>
    </w:p>
    <w:p w14:paraId="2AC94139" w14:textId="10B400B8" w:rsidR="00110D95" w:rsidRDefault="00110D95" w:rsidP="00D83932">
      <w:pPr>
        <w:spacing w:after="240" w:line="259" w:lineRule="auto"/>
        <w:rPr>
          <w:rFonts w:ascii="ITC Avant Garde" w:hAnsi="ITC Avant Garde"/>
          <w:b/>
        </w:rPr>
      </w:pPr>
      <w:r>
        <w:rPr>
          <w:rFonts w:ascii="ITC Avant Garde" w:hAnsi="ITC Avant Garde"/>
          <w:b/>
        </w:rPr>
        <w:br w:type="page"/>
      </w:r>
    </w:p>
    <w:p w14:paraId="7602752B" w14:textId="77777777" w:rsidR="00FF3D7D" w:rsidRPr="00110D95"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lastRenderedPageBreak/>
        <w:t>CAPÍTULO V</w:t>
      </w:r>
    </w:p>
    <w:p w14:paraId="3B02D123" w14:textId="77777777" w:rsidR="00D83932" w:rsidRDefault="00FF3D7D" w:rsidP="00D83932">
      <w:pPr>
        <w:spacing w:after="240"/>
        <w:jc w:val="center"/>
        <w:rPr>
          <w:rFonts w:ascii="ITC Avant Garde" w:hAnsi="ITC Avant Garde"/>
          <w:b/>
        </w:rPr>
      </w:pPr>
      <w:r w:rsidRPr="00793B06">
        <w:rPr>
          <w:rFonts w:ascii="ITC Avant Garde" w:hAnsi="ITC Avant Garde"/>
          <w:b/>
        </w:rPr>
        <w:t>DE LA VERIFICACIÓN DEL CUMPLIMIENTO</w:t>
      </w:r>
    </w:p>
    <w:p w14:paraId="7A8E15D2" w14:textId="77777777" w:rsidR="00D83932" w:rsidRDefault="000F2D03" w:rsidP="00D83932">
      <w:pPr>
        <w:spacing w:after="240"/>
        <w:jc w:val="both"/>
        <w:rPr>
          <w:rFonts w:ascii="ITC Avant Garde" w:hAnsi="ITC Avant Garde"/>
          <w:b/>
        </w:rPr>
      </w:pPr>
      <w:r>
        <w:rPr>
          <w:rFonts w:ascii="ITC Avant Garde" w:hAnsi="ITC Avant Garde"/>
          <w:b/>
        </w:rPr>
        <w:t>SEXTO</w:t>
      </w:r>
      <w:r w:rsidR="00762051" w:rsidRPr="00793B06">
        <w:rPr>
          <w:rFonts w:ascii="ITC Avant Garde" w:hAnsi="ITC Avant Garde"/>
          <w:b/>
        </w:rPr>
        <w:t>.</w:t>
      </w:r>
      <w:r w:rsidR="00762051" w:rsidRPr="00793B06">
        <w:rPr>
          <w:rFonts w:ascii="ITC Avant Garde" w:hAnsi="ITC Avant Garde"/>
        </w:rPr>
        <w:t xml:space="preserve"> El Instituto podrá verificar y supervisar el cumplimiento de los Parámetros de Banda Ancha de acuerdo con lo establecido en las disposiciones administrativas aplicables en materia de calidad de servicio. Para tales efectos, se deberá verificar que los servicios ofrecidos como Banda Ancha cumplan </w:t>
      </w:r>
      <w:r w:rsidR="00724A4A" w:rsidRPr="00793B06">
        <w:rPr>
          <w:rFonts w:ascii="ITC Avant Garde" w:hAnsi="ITC Avant Garde"/>
        </w:rPr>
        <w:t>con los</w:t>
      </w:r>
      <w:r w:rsidR="00762051" w:rsidRPr="00793B06">
        <w:rPr>
          <w:rFonts w:ascii="ITC Avant Garde" w:hAnsi="ITC Avant Garde"/>
        </w:rPr>
        <w:t xml:space="preserve"> Parámetros de Banda </w:t>
      </w:r>
      <w:r w:rsidR="001C433E" w:rsidRPr="00793B06">
        <w:rPr>
          <w:rFonts w:ascii="ITC Avant Garde" w:hAnsi="ITC Avant Garde"/>
        </w:rPr>
        <w:t xml:space="preserve">Ancha establecidos en los presentes lineamientos </w:t>
      </w:r>
      <w:r w:rsidR="00762051" w:rsidRPr="00793B06">
        <w:rPr>
          <w:rFonts w:ascii="ITC Avant Garde" w:hAnsi="ITC Avant Garde"/>
        </w:rPr>
        <w:t>en</w:t>
      </w:r>
      <w:r w:rsidR="00762051" w:rsidRPr="00793B06" w:rsidDel="002A0570">
        <w:rPr>
          <w:rFonts w:ascii="ITC Avant Garde" w:hAnsi="ITC Avant Garde"/>
        </w:rPr>
        <w:t xml:space="preserve"> </w:t>
      </w:r>
      <w:r w:rsidR="00762051" w:rsidRPr="000F1F3D" w:rsidDel="002A0570">
        <w:rPr>
          <w:rFonts w:ascii="ITC Avant Garde" w:hAnsi="ITC Avant Garde"/>
        </w:rPr>
        <w:t>al menos</w:t>
      </w:r>
      <w:r w:rsidR="000E4467" w:rsidRPr="000F1F3D">
        <w:rPr>
          <w:rFonts w:ascii="ITC Avant Garde" w:hAnsi="ITC Avant Garde"/>
        </w:rPr>
        <w:t>,</w:t>
      </w:r>
      <w:r w:rsidR="00762051" w:rsidRPr="000F1F3D" w:rsidDel="002A0570">
        <w:rPr>
          <w:rFonts w:ascii="ITC Avant Garde" w:hAnsi="ITC Avant Garde"/>
        </w:rPr>
        <w:t xml:space="preserve"> el 95% de </w:t>
      </w:r>
      <w:r w:rsidR="00762051" w:rsidRPr="000F1F3D">
        <w:rPr>
          <w:rFonts w:ascii="ITC Avant Garde" w:hAnsi="ITC Avant Garde"/>
        </w:rPr>
        <w:t>la totalidad de los Eventos realizados durante cada Ejercicio de Medición</w:t>
      </w:r>
      <w:r w:rsidR="00B540C4" w:rsidRPr="000F1F3D">
        <w:rPr>
          <w:rFonts w:ascii="ITC Avant Garde" w:hAnsi="ITC Avant Garde"/>
        </w:rPr>
        <w:t xml:space="preserve"> </w:t>
      </w:r>
      <w:r w:rsidR="001C433E" w:rsidRPr="000F1F3D">
        <w:rPr>
          <w:rFonts w:ascii="ITC Avant Garde" w:hAnsi="ITC Avant Garde"/>
        </w:rPr>
        <w:t>de los índices de calidad</w:t>
      </w:r>
      <w:r w:rsidR="00B540C4" w:rsidRPr="000F1F3D">
        <w:rPr>
          <w:rFonts w:ascii="ITC Avant Garde" w:hAnsi="ITC Avant Garde"/>
        </w:rPr>
        <w:t xml:space="preserve"> </w:t>
      </w:r>
      <w:r w:rsidR="006223AD" w:rsidRPr="000F1F3D">
        <w:rPr>
          <w:rFonts w:ascii="ITC Avant Garde" w:hAnsi="ITC Avant Garde"/>
        </w:rPr>
        <w:t>del Servicio Fijo y Móvil</w:t>
      </w:r>
      <w:r w:rsidR="00B540C4" w:rsidRPr="00793B06">
        <w:rPr>
          <w:rFonts w:ascii="ITC Avant Garde" w:hAnsi="ITC Avant Garde"/>
        </w:rPr>
        <w:t xml:space="preserve"> </w:t>
      </w:r>
      <w:r w:rsidR="00D4616F" w:rsidRPr="00793B06">
        <w:rPr>
          <w:rFonts w:ascii="ITC Avant Garde" w:hAnsi="ITC Avant Garde"/>
        </w:rPr>
        <w:t xml:space="preserve">siguiendo la metodología de mediciones que se defina </w:t>
      </w:r>
      <w:r w:rsidR="001C433E" w:rsidRPr="00793B06">
        <w:rPr>
          <w:rFonts w:ascii="ITC Avant Garde" w:hAnsi="ITC Avant Garde"/>
        </w:rPr>
        <w:t xml:space="preserve">conforme a </w:t>
      </w:r>
      <w:r w:rsidR="00B540C4" w:rsidRPr="00793B06">
        <w:rPr>
          <w:rFonts w:ascii="ITC Avant Garde" w:hAnsi="ITC Avant Garde"/>
        </w:rPr>
        <w:t xml:space="preserve">lo establecido en las disposiciones administrativas </w:t>
      </w:r>
      <w:r w:rsidR="00852B1B" w:rsidRPr="00793B06">
        <w:rPr>
          <w:rFonts w:ascii="ITC Avant Garde" w:hAnsi="ITC Avant Garde"/>
        </w:rPr>
        <w:t>correspondiente</w:t>
      </w:r>
      <w:r w:rsidR="00852B1B">
        <w:rPr>
          <w:rFonts w:ascii="ITC Avant Garde" w:hAnsi="ITC Avant Garde"/>
        </w:rPr>
        <w:t>s</w:t>
      </w:r>
      <w:r w:rsidR="00852B1B" w:rsidRPr="00793B06">
        <w:rPr>
          <w:rFonts w:ascii="ITC Avant Garde" w:hAnsi="ITC Avant Garde"/>
        </w:rPr>
        <w:t xml:space="preserve"> </w:t>
      </w:r>
      <w:r w:rsidR="00B36292" w:rsidRPr="00793B06">
        <w:rPr>
          <w:rFonts w:ascii="ITC Avant Garde" w:hAnsi="ITC Avant Garde"/>
        </w:rPr>
        <w:t>en materia de calidad de</w:t>
      </w:r>
      <w:r w:rsidR="001C433E" w:rsidRPr="00793B06">
        <w:rPr>
          <w:rFonts w:ascii="ITC Avant Garde" w:hAnsi="ITC Avant Garde"/>
        </w:rPr>
        <w:t>l</w:t>
      </w:r>
      <w:r w:rsidR="00B36292" w:rsidRPr="00793B06">
        <w:rPr>
          <w:rFonts w:ascii="ITC Avant Garde" w:hAnsi="ITC Avant Garde"/>
        </w:rPr>
        <w:t xml:space="preserve"> </w:t>
      </w:r>
      <w:r w:rsidR="00443FA9">
        <w:rPr>
          <w:rFonts w:ascii="ITC Avant Garde" w:hAnsi="ITC Avant Garde"/>
        </w:rPr>
        <w:t>S</w:t>
      </w:r>
      <w:r w:rsidR="00B36292" w:rsidRPr="00793B06">
        <w:rPr>
          <w:rFonts w:ascii="ITC Avant Garde" w:hAnsi="ITC Avant Garde"/>
        </w:rPr>
        <w:t>ervicio</w:t>
      </w:r>
      <w:r w:rsidR="00443FA9">
        <w:rPr>
          <w:rFonts w:ascii="ITC Avant Garde" w:hAnsi="ITC Avant Garde"/>
        </w:rPr>
        <w:t xml:space="preserve"> Fijo y Móvil</w:t>
      </w:r>
      <w:r w:rsidR="00762051" w:rsidRPr="00793B06">
        <w:rPr>
          <w:rFonts w:ascii="ITC Avant Garde" w:hAnsi="ITC Avant Garde"/>
        </w:rPr>
        <w:t>.</w:t>
      </w:r>
    </w:p>
    <w:p w14:paraId="5E3DC77C" w14:textId="77777777" w:rsidR="00D83932" w:rsidRDefault="000F2D03" w:rsidP="00D83932">
      <w:pPr>
        <w:spacing w:after="240"/>
        <w:jc w:val="both"/>
        <w:rPr>
          <w:rFonts w:ascii="ITC Avant Garde" w:hAnsi="ITC Avant Garde"/>
        </w:rPr>
      </w:pPr>
      <w:r>
        <w:rPr>
          <w:rFonts w:ascii="ITC Avant Garde" w:hAnsi="ITC Avant Garde"/>
          <w:b/>
        </w:rPr>
        <w:t>SÉPTIMO</w:t>
      </w:r>
      <w:r w:rsidR="0040386E" w:rsidRPr="00793B06">
        <w:rPr>
          <w:rFonts w:ascii="ITC Avant Garde" w:hAnsi="ITC Avant Garde"/>
          <w:b/>
        </w:rPr>
        <w:t xml:space="preserve">. </w:t>
      </w:r>
      <w:r w:rsidR="0040386E" w:rsidRPr="00793B06">
        <w:rPr>
          <w:rFonts w:ascii="ITC Avant Garde" w:hAnsi="ITC Avant Garde"/>
        </w:rPr>
        <w:t xml:space="preserve">Los resultados de las verificaciones del cumplimiento de los </w:t>
      </w:r>
      <w:r w:rsidR="00AD66F8" w:rsidRPr="00793B06">
        <w:rPr>
          <w:rFonts w:ascii="ITC Avant Garde" w:hAnsi="ITC Avant Garde"/>
        </w:rPr>
        <w:t>P</w:t>
      </w:r>
      <w:r w:rsidR="0040386E" w:rsidRPr="00793B06">
        <w:rPr>
          <w:rFonts w:ascii="ITC Avant Garde" w:hAnsi="ITC Avant Garde"/>
        </w:rPr>
        <w:t xml:space="preserve">arámetros </w:t>
      </w:r>
      <w:r w:rsidR="00A90932">
        <w:rPr>
          <w:rFonts w:ascii="ITC Avant Garde" w:hAnsi="ITC Avant Garde"/>
        </w:rPr>
        <w:t xml:space="preserve">mínimos </w:t>
      </w:r>
      <w:r w:rsidR="0040386E" w:rsidRPr="00793B06">
        <w:rPr>
          <w:rFonts w:ascii="ITC Avant Garde" w:hAnsi="ITC Avant Garde"/>
        </w:rPr>
        <w:t>de Banda Ancha</w:t>
      </w:r>
      <w:r w:rsidR="00BA1057">
        <w:rPr>
          <w:rFonts w:ascii="ITC Avant Garde" w:hAnsi="ITC Avant Garde"/>
        </w:rPr>
        <w:t xml:space="preserve"> </w:t>
      </w:r>
      <w:r w:rsidR="00BA1057" w:rsidRPr="00F97D3A">
        <w:rPr>
          <w:rFonts w:ascii="ITC Avant Garde" w:hAnsi="ITC Avant Garde"/>
        </w:rPr>
        <w:t>de conformidad con lo que establ</w:t>
      </w:r>
      <w:r w:rsidR="005A1732" w:rsidRPr="00F97D3A">
        <w:rPr>
          <w:rFonts w:ascii="ITC Avant Garde" w:hAnsi="ITC Avant Garde"/>
        </w:rPr>
        <w:t>e</w:t>
      </w:r>
      <w:r w:rsidR="00BA1057" w:rsidRPr="00F97D3A">
        <w:rPr>
          <w:rFonts w:ascii="ITC Avant Garde" w:hAnsi="ITC Avant Garde"/>
        </w:rPr>
        <w:t>ce la Ley General de Transparencia y Acceso a la Información Pública</w:t>
      </w:r>
      <w:r w:rsidR="0040386E" w:rsidRPr="00793B06">
        <w:rPr>
          <w:rFonts w:ascii="ITC Avant Garde" w:hAnsi="ITC Avant Garde"/>
        </w:rPr>
        <w:t xml:space="preserve"> serán publicados dentro del portal del Instituto</w:t>
      </w:r>
      <w:r w:rsidR="00762051" w:rsidRPr="00793B06">
        <w:rPr>
          <w:rFonts w:ascii="ITC Avant Garde" w:hAnsi="ITC Avant Garde"/>
        </w:rPr>
        <w:t xml:space="preserve"> dentro de los </w:t>
      </w:r>
      <w:r w:rsidR="00122B91" w:rsidRPr="00793B06">
        <w:rPr>
          <w:rFonts w:ascii="ITC Avant Garde" w:hAnsi="ITC Avant Garde"/>
        </w:rPr>
        <w:t xml:space="preserve">veinte </w:t>
      </w:r>
      <w:r w:rsidR="00762051" w:rsidRPr="00793B06">
        <w:rPr>
          <w:rFonts w:ascii="ITC Avant Garde" w:hAnsi="ITC Avant Garde"/>
        </w:rPr>
        <w:t>días hábiles posteriores a cada verificación</w:t>
      </w:r>
      <w:r w:rsidR="0040386E" w:rsidRPr="00793B06">
        <w:rPr>
          <w:rFonts w:ascii="ITC Avant Garde" w:hAnsi="ITC Avant Garde"/>
        </w:rPr>
        <w:t>.</w:t>
      </w:r>
    </w:p>
    <w:p w14:paraId="35FC7CBC" w14:textId="37E81A17" w:rsidR="00FF3D7D" w:rsidRPr="00110D95"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t>CAPÍTULO VI</w:t>
      </w:r>
    </w:p>
    <w:p w14:paraId="35231693" w14:textId="77777777" w:rsidR="00D83932" w:rsidRDefault="00FF3D7D" w:rsidP="00D83932">
      <w:pPr>
        <w:spacing w:after="240"/>
        <w:jc w:val="center"/>
        <w:rPr>
          <w:rFonts w:ascii="ITC Avant Garde" w:hAnsi="ITC Avant Garde"/>
          <w:b/>
        </w:rPr>
      </w:pPr>
      <w:r w:rsidRPr="00793B06">
        <w:rPr>
          <w:rFonts w:ascii="ITC Avant Garde" w:hAnsi="ITC Avant Garde"/>
          <w:b/>
        </w:rPr>
        <w:t>DE LAS SANCIONES</w:t>
      </w:r>
    </w:p>
    <w:p w14:paraId="2D6B1C47" w14:textId="77777777" w:rsidR="00D83932" w:rsidRDefault="00AD66F8" w:rsidP="00D83932">
      <w:pPr>
        <w:spacing w:after="240"/>
        <w:jc w:val="both"/>
        <w:rPr>
          <w:rFonts w:ascii="ITC Avant Garde" w:hAnsi="ITC Avant Garde"/>
        </w:rPr>
      </w:pPr>
      <w:r w:rsidRPr="00793B06">
        <w:rPr>
          <w:rFonts w:ascii="ITC Avant Garde" w:hAnsi="ITC Avant Garde"/>
          <w:b/>
        </w:rPr>
        <w:t>O</w:t>
      </w:r>
      <w:r w:rsidR="000F2D03">
        <w:rPr>
          <w:rFonts w:ascii="ITC Avant Garde" w:hAnsi="ITC Avant Garde"/>
          <w:b/>
        </w:rPr>
        <w:t>CTAVO</w:t>
      </w:r>
      <w:r w:rsidR="00FF465B" w:rsidRPr="00793B06">
        <w:rPr>
          <w:rFonts w:ascii="ITC Avant Garde" w:hAnsi="ITC Avant Garde"/>
          <w:b/>
        </w:rPr>
        <w:t xml:space="preserve">. </w:t>
      </w:r>
      <w:r w:rsidR="00FF465B" w:rsidRPr="00793B06">
        <w:rPr>
          <w:rFonts w:ascii="ITC Avant Garde" w:hAnsi="ITC Avant Garde"/>
        </w:rPr>
        <w:t xml:space="preserve">Las infracciones a lo dispuesto en los presentes </w:t>
      </w:r>
      <w:r w:rsidR="00BA1057">
        <w:rPr>
          <w:rFonts w:ascii="ITC Avant Garde" w:hAnsi="ITC Avant Garde"/>
        </w:rPr>
        <w:t>l</w:t>
      </w:r>
      <w:r w:rsidR="00FF465B" w:rsidRPr="00793B06">
        <w:rPr>
          <w:rFonts w:ascii="ITC Avant Garde" w:hAnsi="ITC Avant Garde"/>
        </w:rPr>
        <w:t xml:space="preserve">ineamientos serán sancionadas </w:t>
      </w:r>
      <w:r w:rsidR="00FF465B" w:rsidRPr="000F1F3D">
        <w:rPr>
          <w:rFonts w:ascii="ITC Avant Garde" w:hAnsi="ITC Avant Garde"/>
        </w:rPr>
        <w:t xml:space="preserve">conforme a lo dispuesto en el Título Décimo Quinto de la </w:t>
      </w:r>
      <w:r w:rsidR="004B0B33" w:rsidRPr="000F1F3D">
        <w:rPr>
          <w:rFonts w:ascii="ITC Avant Garde" w:hAnsi="ITC Avant Garde"/>
        </w:rPr>
        <w:t>LFTR</w:t>
      </w:r>
      <w:r w:rsidR="00FF465B" w:rsidRPr="00793B06">
        <w:rPr>
          <w:rFonts w:ascii="ITC Avant Garde" w:hAnsi="ITC Avant Garde"/>
        </w:rPr>
        <w:t xml:space="preserve">. </w:t>
      </w:r>
    </w:p>
    <w:p w14:paraId="0EDB4AB8" w14:textId="77777777" w:rsidR="00D83932" w:rsidRDefault="00FF3D7D" w:rsidP="00D83932">
      <w:pPr>
        <w:pStyle w:val="Ttulo2"/>
        <w:spacing w:after="240"/>
        <w:jc w:val="center"/>
        <w:rPr>
          <w:rFonts w:ascii="ITC Avant Garde" w:hAnsi="ITC Avant Garde"/>
          <w:b/>
          <w:color w:val="auto"/>
          <w:sz w:val="22"/>
          <w:szCs w:val="22"/>
        </w:rPr>
      </w:pPr>
      <w:r w:rsidRPr="00110D95">
        <w:rPr>
          <w:rFonts w:ascii="ITC Avant Garde" w:hAnsi="ITC Avant Garde"/>
          <w:b/>
          <w:color w:val="auto"/>
          <w:sz w:val="22"/>
          <w:szCs w:val="22"/>
        </w:rPr>
        <w:t>TRANSITORIOS</w:t>
      </w:r>
    </w:p>
    <w:p w14:paraId="389D3296" w14:textId="77777777" w:rsidR="00D83932" w:rsidRDefault="00FF3D7D" w:rsidP="00D83932">
      <w:pPr>
        <w:spacing w:after="240"/>
        <w:jc w:val="both"/>
        <w:rPr>
          <w:rFonts w:ascii="ITC Avant Garde" w:hAnsi="ITC Avant Garde"/>
        </w:rPr>
      </w:pPr>
      <w:r w:rsidRPr="00793B06">
        <w:rPr>
          <w:rFonts w:ascii="ITC Avant Garde" w:hAnsi="ITC Avant Garde"/>
          <w:b/>
        </w:rPr>
        <w:t xml:space="preserve">PRIMERO. </w:t>
      </w:r>
      <w:r w:rsidR="00B8388B" w:rsidRPr="00793B06">
        <w:rPr>
          <w:rFonts w:ascii="ITC Avant Garde" w:hAnsi="ITC Avant Garde"/>
        </w:rPr>
        <w:t>Los presentes lineamientos entrarán en vigor a los 60 días</w:t>
      </w:r>
      <w:r w:rsidR="00DE4774" w:rsidRPr="00793B06">
        <w:rPr>
          <w:rFonts w:ascii="ITC Avant Garde" w:hAnsi="ITC Avant Garde"/>
        </w:rPr>
        <w:t xml:space="preserve"> naturales contados a partir</w:t>
      </w:r>
      <w:r w:rsidR="00B8388B" w:rsidRPr="00793B06">
        <w:rPr>
          <w:rFonts w:ascii="ITC Avant Garde" w:hAnsi="ITC Avant Garde"/>
        </w:rPr>
        <w:t xml:space="preserve"> de</w:t>
      </w:r>
      <w:r w:rsidR="00DE4774" w:rsidRPr="00793B06">
        <w:rPr>
          <w:rFonts w:ascii="ITC Avant Garde" w:hAnsi="ITC Avant Garde"/>
        </w:rPr>
        <w:t>l día siguiente de</w:t>
      </w:r>
      <w:r w:rsidR="00B8388B" w:rsidRPr="00793B06">
        <w:rPr>
          <w:rFonts w:ascii="ITC Avant Garde" w:hAnsi="ITC Avant Garde"/>
        </w:rPr>
        <w:t xml:space="preserve"> su publicación en el Diario Oficial de la Federación</w:t>
      </w:r>
      <w:r w:rsidR="00712CA8">
        <w:rPr>
          <w:rFonts w:ascii="ITC Avant Garde" w:hAnsi="ITC Avant Garde"/>
        </w:rPr>
        <w:t>, sin perjuicio de lo previsto en los siguientes artículos transitorios</w:t>
      </w:r>
      <w:r w:rsidR="00B8388B" w:rsidRPr="00793B06">
        <w:rPr>
          <w:rFonts w:ascii="ITC Avant Garde" w:hAnsi="ITC Avant Garde"/>
        </w:rPr>
        <w:t>.</w:t>
      </w:r>
    </w:p>
    <w:p w14:paraId="640885AF" w14:textId="0DCE263A" w:rsidR="00434229" w:rsidRDefault="00750279" w:rsidP="00D83932">
      <w:pPr>
        <w:spacing w:after="240"/>
        <w:jc w:val="both"/>
        <w:rPr>
          <w:rFonts w:ascii="ITC Avant Garde" w:hAnsi="ITC Avant Garde"/>
        </w:rPr>
      </w:pPr>
      <w:r w:rsidRPr="00793B06" w:rsidDel="00874930">
        <w:rPr>
          <w:rFonts w:ascii="ITC Avant Garde" w:hAnsi="ITC Avant Garde"/>
          <w:b/>
        </w:rPr>
        <w:t>SEGUNDO</w:t>
      </w:r>
      <w:r w:rsidR="00D64F20" w:rsidRPr="00793B06">
        <w:rPr>
          <w:rFonts w:ascii="ITC Avant Garde" w:hAnsi="ITC Avant Garde"/>
          <w:b/>
        </w:rPr>
        <w:t xml:space="preserve">. </w:t>
      </w:r>
      <w:r w:rsidR="008E75BC" w:rsidRPr="00793B06">
        <w:rPr>
          <w:rFonts w:ascii="ITC Avant Garde" w:hAnsi="ITC Avant Garde"/>
        </w:rPr>
        <w:t xml:space="preserve">Los </w:t>
      </w:r>
      <w:r w:rsidR="006E62CC">
        <w:rPr>
          <w:rFonts w:ascii="ITC Avant Garde" w:hAnsi="ITC Avant Garde"/>
        </w:rPr>
        <w:t>P</w:t>
      </w:r>
      <w:r w:rsidR="00C057FF" w:rsidRPr="00793B06">
        <w:rPr>
          <w:rFonts w:ascii="ITC Avant Garde" w:hAnsi="ITC Avant Garde"/>
        </w:rPr>
        <w:t xml:space="preserve">arámetros </w:t>
      </w:r>
      <w:r w:rsidR="00A90932">
        <w:rPr>
          <w:rFonts w:ascii="ITC Avant Garde" w:hAnsi="ITC Avant Garde"/>
        </w:rPr>
        <w:t xml:space="preserve">mínimos </w:t>
      </w:r>
      <w:r w:rsidR="00C057FF" w:rsidRPr="00793B06">
        <w:rPr>
          <w:rFonts w:ascii="ITC Avant Garde" w:hAnsi="ITC Avant Garde"/>
        </w:rPr>
        <w:t xml:space="preserve">de Banda Ancha Móvil en relación con el lineamiento </w:t>
      </w:r>
      <w:r w:rsidR="006223AD" w:rsidRPr="00793B06">
        <w:rPr>
          <w:rFonts w:ascii="ITC Avant Garde" w:hAnsi="ITC Avant Garde"/>
        </w:rPr>
        <w:t>Cuarto</w:t>
      </w:r>
      <w:r w:rsidR="00F97D3A">
        <w:rPr>
          <w:rFonts w:ascii="ITC Avant Garde" w:hAnsi="ITC Avant Garde"/>
        </w:rPr>
        <w:t>,</w:t>
      </w:r>
      <w:r w:rsidR="006223AD" w:rsidRPr="00793B06">
        <w:rPr>
          <w:rFonts w:ascii="ITC Avant Garde" w:hAnsi="ITC Avant Garde"/>
        </w:rPr>
        <w:t xml:space="preserve"> fracción</w:t>
      </w:r>
      <w:r w:rsidR="00C057FF" w:rsidRPr="00793B06">
        <w:rPr>
          <w:rFonts w:ascii="ITC Avant Garde" w:hAnsi="ITC Avant Garde"/>
        </w:rPr>
        <w:t xml:space="preserve"> I</w:t>
      </w:r>
      <w:r w:rsidR="00F97D3A" w:rsidRPr="000F1F3D">
        <w:rPr>
          <w:rFonts w:ascii="ITC Avant Garde" w:hAnsi="ITC Avant Garde"/>
        </w:rPr>
        <w:t>,</w:t>
      </w:r>
      <w:r w:rsidR="00C057FF" w:rsidRPr="000F1F3D">
        <w:rPr>
          <w:rFonts w:ascii="ITC Avant Garde" w:hAnsi="ITC Avant Garde"/>
        </w:rPr>
        <w:t xml:space="preserve"> deberán ser </w:t>
      </w:r>
      <w:r w:rsidR="00BD5572" w:rsidRPr="000F1F3D">
        <w:rPr>
          <w:rFonts w:ascii="ITC Avant Garde" w:hAnsi="ITC Avant Garde"/>
        </w:rPr>
        <w:t xml:space="preserve">iguales o </w:t>
      </w:r>
      <w:r w:rsidR="00C057FF" w:rsidRPr="000F1F3D">
        <w:rPr>
          <w:rFonts w:ascii="ITC Avant Garde" w:hAnsi="ITC Avant Garde"/>
        </w:rPr>
        <w:t xml:space="preserve">mayores a 1 Mbps de carga y a 4 Mbps de descarga para el 2018, </w:t>
      </w:r>
      <w:r w:rsidR="00D64F20" w:rsidRPr="000F1F3D">
        <w:rPr>
          <w:rFonts w:ascii="ITC Avant Garde" w:hAnsi="ITC Avant Garde"/>
        </w:rPr>
        <w:t xml:space="preserve">con aumentos de 3 Mbps anuales </w:t>
      </w:r>
      <w:r w:rsidR="006223AD" w:rsidRPr="000F1F3D">
        <w:rPr>
          <w:rFonts w:ascii="ITC Avant Garde" w:hAnsi="ITC Avant Garde"/>
        </w:rPr>
        <w:t>para la Velocidad de descarga y 2 Mbps para la Velocidad de carga</w:t>
      </w:r>
      <w:r w:rsidR="00D64F20" w:rsidRPr="000F1F3D">
        <w:rPr>
          <w:rFonts w:ascii="ITC Avant Garde" w:hAnsi="ITC Avant Garde"/>
        </w:rPr>
        <w:t xml:space="preserve"> hasta alcanzar 5 Mbps de carga y 10 Mbps</w:t>
      </w:r>
      <w:r w:rsidR="00874930" w:rsidRPr="000F1F3D">
        <w:rPr>
          <w:rFonts w:ascii="ITC Avant Garde" w:hAnsi="ITC Avant Garde"/>
        </w:rPr>
        <w:t xml:space="preserve"> de </w:t>
      </w:r>
      <w:r w:rsidR="00D64F20" w:rsidRPr="000F1F3D">
        <w:rPr>
          <w:rFonts w:ascii="ITC Avant Garde" w:hAnsi="ITC Avant Garde"/>
        </w:rPr>
        <w:t xml:space="preserve">descarga </w:t>
      </w:r>
      <w:r w:rsidR="000A61A7" w:rsidRPr="000F1F3D">
        <w:rPr>
          <w:rFonts w:ascii="ITC Avant Garde" w:hAnsi="ITC Avant Garde"/>
        </w:rPr>
        <w:t>en 2020</w:t>
      </w:r>
      <w:r w:rsidR="00F97D3A" w:rsidRPr="000F1F3D">
        <w:rPr>
          <w:rFonts w:ascii="ITC Avant Garde" w:hAnsi="ITC Avant Garde"/>
        </w:rPr>
        <w:t>,</w:t>
      </w:r>
      <w:r w:rsidR="000A61A7" w:rsidRPr="00793B06">
        <w:rPr>
          <w:rFonts w:ascii="ITC Avant Garde" w:hAnsi="ITC Avant Garde"/>
        </w:rPr>
        <w:t xml:space="preserve"> </w:t>
      </w:r>
      <w:r w:rsidR="00D64F20" w:rsidRPr="00793B06">
        <w:rPr>
          <w:rFonts w:ascii="ITC Avant Garde" w:hAnsi="ITC Avant Garde"/>
        </w:rPr>
        <w:t>como se muestra en la siguiente tabla:</w:t>
      </w:r>
    </w:p>
    <w:tbl>
      <w:tblPr>
        <w:tblStyle w:val="Tablaconcuadrcula"/>
        <w:tblW w:w="0" w:type="auto"/>
        <w:jc w:val="center"/>
        <w:tblLook w:val="04A0" w:firstRow="1" w:lastRow="0" w:firstColumn="1" w:lastColumn="0" w:noHBand="0" w:noVBand="1"/>
        <w:tblCaption w:val="Tabla"/>
        <w:tblDescription w:val="Los Parámetros mínimos de Banda Ancha Móvil "/>
      </w:tblPr>
      <w:tblGrid>
        <w:gridCol w:w="2122"/>
        <w:gridCol w:w="2623"/>
        <w:gridCol w:w="2623"/>
      </w:tblGrid>
      <w:tr w:rsidR="00D64F20" w:rsidRPr="00B119AD" w14:paraId="7B6EEF8E" w14:textId="77777777" w:rsidTr="00FD73CF">
        <w:trPr>
          <w:trHeight w:val="163"/>
          <w:tblHeader/>
          <w:jc w:val="center"/>
        </w:trPr>
        <w:tc>
          <w:tcPr>
            <w:tcW w:w="2122" w:type="dxa"/>
            <w:vAlign w:val="center"/>
          </w:tcPr>
          <w:p w14:paraId="55B72008" w14:textId="77777777" w:rsidR="00D64F20" w:rsidRPr="00793B06" w:rsidRDefault="00D64F20" w:rsidP="00D83932">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lastRenderedPageBreak/>
              <w:t>Año</w:t>
            </w:r>
          </w:p>
        </w:tc>
        <w:tc>
          <w:tcPr>
            <w:tcW w:w="2623" w:type="dxa"/>
            <w:vAlign w:val="center"/>
          </w:tcPr>
          <w:p w14:paraId="6D54B536" w14:textId="77777777" w:rsidR="00D64F20" w:rsidRPr="00793B06" w:rsidRDefault="00D64F20" w:rsidP="00D83932">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C</w:t>
            </w:r>
            <w:r w:rsidRPr="00793B06">
              <w:rPr>
                <w:rFonts w:ascii="ITC Avant Garde" w:hAnsi="ITC Avant Garde"/>
                <w:b/>
                <w:sz w:val="22"/>
                <w:szCs w:val="22"/>
                <w:lang w:val="es-ES_tradnl"/>
              </w:rPr>
              <w:t>arga</w:t>
            </w:r>
          </w:p>
        </w:tc>
        <w:tc>
          <w:tcPr>
            <w:tcW w:w="2623" w:type="dxa"/>
            <w:vAlign w:val="center"/>
          </w:tcPr>
          <w:p w14:paraId="65B8BE71" w14:textId="77777777" w:rsidR="00D64F20" w:rsidRPr="00793B06" w:rsidRDefault="00D64F20" w:rsidP="00D83932">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D</w:t>
            </w:r>
            <w:r w:rsidR="006223AD" w:rsidRPr="00793B06">
              <w:rPr>
                <w:rFonts w:ascii="ITC Avant Garde" w:hAnsi="ITC Avant Garde"/>
                <w:b/>
                <w:sz w:val="22"/>
                <w:szCs w:val="22"/>
                <w:lang w:val="es-ES_tradnl"/>
              </w:rPr>
              <w:t>escarga</w:t>
            </w:r>
            <w:r w:rsidRPr="00793B06">
              <w:rPr>
                <w:rFonts w:ascii="ITC Avant Garde" w:hAnsi="ITC Avant Garde"/>
                <w:sz w:val="22"/>
                <w:szCs w:val="22"/>
                <w:lang w:val="es-ES_tradnl"/>
              </w:rPr>
              <w:t xml:space="preserve"> </w:t>
            </w:r>
          </w:p>
        </w:tc>
      </w:tr>
      <w:tr w:rsidR="00D64F20" w:rsidRPr="00B119AD" w14:paraId="50049380" w14:textId="77777777" w:rsidTr="00B27EF3">
        <w:trPr>
          <w:trHeight w:val="163"/>
          <w:jc w:val="center"/>
        </w:trPr>
        <w:tc>
          <w:tcPr>
            <w:tcW w:w="2122" w:type="dxa"/>
          </w:tcPr>
          <w:p w14:paraId="69E91A1D"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2018</w:t>
            </w:r>
          </w:p>
        </w:tc>
        <w:tc>
          <w:tcPr>
            <w:tcW w:w="2623" w:type="dxa"/>
          </w:tcPr>
          <w:p w14:paraId="2E9BAA5F"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 Mbps</w:t>
            </w:r>
          </w:p>
        </w:tc>
        <w:tc>
          <w:tcPr>
            <w:tcW w:w="2623" w:type="dxa"/>
          </w:tcPr>
          <w:p w14:paraId="24E3BE34"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4 Mbps</w:t>
            </w:r>
          </w:p>
        </w:tc>
      </w:tr>
      <w:tr w:rsidR="00D64F20" w:rsidRPr="00B119AD" w14:paraId="0AF021FB" w14:textId="77777777" w:rsidTr="00B27EF3">
        <w:trPr>
          <w:trHeight w:val="163"/>
          <w:jc w:val="center"/>
        </w:trPr>
        <w:tc>
          <w:tcPr>
            <w:tcW w:w="2122" w:type="dxa"/>
          </w:tcPr>
          <w:p w14:paraId="5A9B81B2"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2019</w:t>
            </w:r>
          </w:p>
        </w:tc>
        <w:tc>
          <w:tcPr>
            <w:tcW w:w="2623" w:type="dxa"/>
          </w:tcPr>
          <w:p w14:paraId="1ACB6E98"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3 Mbps</w:t>
            </w:r>
          </w:p>
        </w:tc>
        <w:tc>
          <w:tcPr>
            <w:tcW w:w="2623" w:type="dxa"/>
          </w:tcPr>
          <w:p w14:paraId="095E8A66"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7 Mbps</w:t>
            </w:r>
          </w:p>
        </w:tc>
      </w:tr>
      <w:tr w:rsidR="00D64F20" w:rsidRPr="00B119AD" w14:paraId="308CA6DB" w14:textId="77777777" w:rsidTr="00B27EF3">
        <w:trPr>
          <w:trHeight w:val="163"/>
          <w:jc w:val="center"/>
        </w:trPr>
        <w:tc>
          <w:tcPr>
            <w:tcW w:w="2122" w:type="dxa"/>
          </w:tcPr>
          <w:p w14:paraId="39545321"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2020</w:t>
            </w:r>
          </w:p>
        </w:tc>
        <w:tc>
          <w:tcPr>
            <w:tcW w:w="2623" w:type="dxa"/>
          </w:tcPr>
          <w:p w14:paraId="7305F49F"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5 Mbps</w:t>
            </w:r>
          </w:p>
        </w:tc>
        <w:tc>
          <w:tcPr>
            <w:tcW w:w="2623" w:type="dxa"/>
          </w:tcPr>
          <w:p w14:paraId="46867D95"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10 Mbps</w:t>
            </w:r>
          </w:p>
        </w:tc>
      </w:tr>
    </w:tbl>
    <w:p w14:paraId="6878596E" w14:textId="77777777" w:rsidR="00D64F20" w:rsidRPr="00793B06" w:rsidRDefault="00D64F20" w:rsidP="00D83932">
      <w:pPr>
        <w:spacing w:before="240" w:after="240"/>
        <w:jc w:val="both"/>
        <w:rPr>
          <w:rFonts w:ascii="ITC Avant Garde" w:hAnsi="ITC Avant Garde"/>
        </w:rPr>
      </w:pPr>
      <w:r w:rsidRPr="00793B06">
        <w:rPr>
          <w:rFonts w:ascii="ITC Avant Garde" w:hAnsi="ITC Avant Garde"/>
          <w:b/>
        </w:rPr>
        <w:t xml:space="preserve">TERCERO. </w:t>
      </w:r>
      <w:r w:rsidRPr="00793B06">
        <w:rPr>
          <w:rFonts w:ascii="ITC Avant Garde" w:hAnsi="ITC Avant Garde"/>
        </w:rPr>
        <w:t xml:space="preserve">Los </w:t>
      </w:r>
      <w:r w:rsidR="006E62CC">
        <w:rPr>
          <w:rFonts w:ascii="ITC Avant Garde" w:hAnsi="ITC Avant Garde"/>
        </w:rPr>
        <w:t>P</w:t>
      </w:r>
      <w:r w:rsidRPr="00793B06">
        <w:rPr>
          <w:rFonts w:ascii="ITC Avant Garde" w:hAnsi="ITC Avant Garde"/>
        </w:rPr>
        <w:t xml:space="preserve">arámetros </w:t>
      </w:r>
      <w:r w:rsidR="00A90932">
        <w:rPr>
          <w:rFonts w:ascii="ITC Avant Garde" w:hAnsi="ITC Avant Garde"/>
        </w:rPr>
        <w:t xml:space="preserve">mínimos </w:t>
      </w:r>
      <w:r w:rsidRPr="00793B06">
        <w:rPr>
          <w:rFonts w:ascii="ITC Avant Garde" w:hAnsi="ITC Avant Garde"/>
        </w:rPr>
        <w:t xml:space="preserve">de Banda Ancha </w:t>
      </w:r>
      <w:r w:rsidR="00874930" w:rsidRPr="00793B06">
        <w:rPr>
          <w:rFonts w:ascii="ITC Avant Garde" w:hAnsi="ITC Avant Garde"/>
        </w:rPr>
        <w:t>Fija</w:t>
      </w:r>
      <w:r w:rsidRPr="00793B06">
        <w:rPr>
          <w:rFonts w:ascii="ITC Avant Garde" w:hAnsi="ITC Avant Garde"/>
        </w:rPr>
        <w:t xml:space="preserve"> en relación con el lineamiento </w:t>
      </w:r>
      <w:r w:rsidR="006223AD" w:rsidRPr="00793B06">
        <w:rPr>
          <w:rFonts w:ascii="ITC Avant Garde" w:hAnsi="ITC Avant Garde"/>
        </w:rPr>
        <w:t>Cuarto, fracción</w:t>
      </w:r>
      <w:r w:rsidRPr="00793B06">
        <w:rPr>
          <w:rFonts w:ascii="ITC Avant Garde" w:hAnsi="ITC Avant Garde"/>
        </w:rPr>
        <w:t xml:space="preserve"> II deberán ser </w:t>
      </w:r>
      <w:r w:rsidR="00BD5572">
        <w:rPr>
          <w:rFonts w:ascii="ITC Avant Garde" w:hAnsi="ITC Avant Garde"/>
        </w:rPr>
        <w:t xml:space="preserve">iguales o </w:t>
      </w:r>
      <w:r w:rsidRPr="00793B06">
        <w:rPr>
          <w:rFonts w:ascii="ITC Avant Garde" w:hAnsi="ITC Avant Garde"/>
        </w:rPr>
        <w:t xml:space="preserve">mayores </w:t>
      </w:r>
      <w:r w:rsidRPr="000F1F3D">
        <w:rPr>
          <w:rFonts w:ascii="ITC Avant Garde" w:hAnsi="ITC Avant Garde"/>
        </w:rPr>
        <w:t xml:space="preserve">a </w:t>
      </w:r>
      <w:r w:rsidR="0030658C">
        <w:rPr>
          <w:rFonts w:ascii="ITC Avant Garde" w:hAnsi="ITC Avant Garde"/>
        </w:rPr>
        <w:t>1</w:t>
      </w:r>
      <w:r w:rsidRPr="000F1F3D">
        <w:rPr>
          <w:rFonts w:ascii="ITC Avant Garde" w:hAnsi="ITC Avant Garde"/>
        </w:rPr>
        <w:t xml:space="preserve"> Mbps</w:t>
      </w:r>
      <w:r w:rsidRPr="00793B06">
        <w:rPr>
          <w:rFonts w:ascii="ITC Avant Garde" w:hAnsi="ITC Avant Garde"/>
        </w:rPr>
        <w:t xml:space="preserve"> de carga y a </w:t>
      </w:r>
      <w:r w:rsidR="000A61A7" w:rsidRPr="00793B06">
        <w:rPr>
          <w:rFonts w:ascii="ITC Avant Garde" w:hAnsi="ITC Avant Garde"/>
        </w:rPr>
        <w:t>10</w:t>
      </w:r>
      <w:r w:rsidRPr="00793B06">
        <w:rPr>
          <w:rFonts w:ascii="ITC Avant Garde" w:hAnsi="ITC Avant Garde"/>
        </w:rPr>
        <w:t xml:space="preserve"> Mbps de descarga para el 2018, con aumentos anuales hasta alcanzar </w:t>
      </w:r>
      <w:r w:rsidR="00874930" w:rsidRPr="00793B06">
        <w:rPr>
          <w:rFonts w:ascii="ITC Avant Garde" w:hAnsi="ITC Avant Garde"/>
        </w:rPr>
        <w:t>5</w:t>
      </w:r>
      <w:r w:rsidRPr="00793B06">
        <w:rPr>
          <w:rFonts w:ascii="ITC Avant Garde" w:hAnsi="ITC Avant Garde"/>
        </w:rPr>
        <w:t xml:space="preserve"> Mbps de carga y </w:t>
      </w:r>
      <w:r w:rsidR="000A61A7" w:rsidRPr="00793B06">
        <w:rPr>
          <w:rFonts w:ascii="ITC Avant Garde" w:hAnsi="ITC Avant Garde"/>
        </w:rPr>
        <w:t>25</w:t>
      </w:r>
      <w:r w:rsidRPr="00793B06">
        <w:rPr>
          <w:rFonts w:ascii="ITC Avant Garde" w:hAnsi="ITC Avant Garde"/>
        </w:rPr>
        <w:t xml:space="preserve"> Mbps de descarga </w:t>
      </w:r>
      <w:r w:rsidR="000A61A7" w:rsidRPr="00793B06">
        <w:rPr>
          <w:rFonts w:ascii="ITC Avant Garde" w:hAnsi="ITC Avant Garde"/>
        </w:rPr>
        <w:t>en 2020</w:t>
      </w:r>
      <w:r w:rsidR="00F97D3A">
        <w:rPr>
          <w:rFonts w:ascii="ITC Avant Garde" w:hAnsi="ITC Avant Garde"/>
        </w:rPr>
        <w:t>,</w:t>
      </w:r>
      <w:r w:rsidR="000A61A7" w:rsidRPr="00793B06">
        <w:rPr>
          <w:rFonts w:ascii="ITC Avant Garde" w:hAnsi="ITC Avant Garde"/>
        </w:rPr>
        <w:t xml:space="preserve"> </w:t>
      </w:r>
      <w:r w:rsidRPr="00793B06">
        <w:rPr>
          <w:rFonts w:ascii="ITC Avant Garde" w:hAnsi="ITC Avant Garde"/>
        </w:rPr>
        <w:t>como se muestra en la siguiente tabla:</w:t>
      </w:r>
    </w:p>
    <w:tbl>
      <w:tblPr>
        <w:tblStyle w:val="Tablaconcuadrcula"/>
        <w:tblW w:w="0" w:type="auto"/>
        <w:jc w:val="center"/>
        <w:tblLook w:val="04A0" w:firstRow="1" w:lastRow="0" w:firstColumn="1" w:lastColumn="0" w:noHBand="0" w:noVBand="1"/>
        <w:tblCaption w:val="Tabla"/>
        <w:tblDescription w:val="Los Parámetros mínimos de Banda Ancha Fija"/>
      </w:tblPr>
      <w:tblGrid>
        <w:gridCol w:w="2122"/>
        <w:gridCol w:w="2623"/>
        <w:gridCol w:w="2623"/>
      </w:tblGrid>
      <w:tr w:rsidR="00D64F20" w:rsidRPr="00B119AD" w14:paraId="238A1751" w14:textId="77777777" w:rsidTr="00FD73CF">
        <w:trPr>
          <w:trHeight w:val="163"/>
          <w:tblHeader/>
          <w:jc w:val="center"/>
        </w:trPr>
        <w:tc>
          <w:tcPr>
            <w:tcW w:w="2122" w:type="dxa"/>
            <w:vAlign w:val="center"/>
          </w:tcPr>
          <w:p w14:paraId="17A140C4" w14:textId="77777777" w:rsidR="00D64F20" w:rsidRPr="00793B06" w:rsidRDefault="00D64F20" w:rsidP="00D83932">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Año</w:t>
            </w:r>
          </w:p>
        </w:tc>
        <w:tc>
          <w:tcPr>
            <w:tcW w:w="2623" w:type="dxa"/>
            <w:vAlign w:val="center"/>
          </w:tcPr>
          <w:p w14:paraId="203E675D" w14:textId="77777777" w:rsidR="00D64F20" w:rsidRPr="00793B06" w:rsidRDefault="00D64F20" w:rsidP="00D83932">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C</w:t>
            </w:r>
            <w:r w:rsidRPr="00793B06">
              <w:rPr>
                <w:rFonts w:ascii="ITC Avant Garde" w:hAnsi="ITC Avant Garde"/>
                <w:b/>
                <w:sz w:val="22"/>
                <w:szCs w:val="22"/>
                <w:lang w:val="es-ES_tradnl"/>
              </w:rPr>
              <w:t>arga</w:t>
            </w:r>
          </w:p>
        </w:tc>
        <w:tc>
          <w:tcPr>
            <w:tcW w:w="2623" w:type="dxa"/>
            <w:vAlign w:val="center"/>
          </w:tcPr>
          <w:p w14:paraId="15100B31" w14:textId="77777777" w:rsidR="00D64F20" w:rsidRPr="00793B06" w:rsidRDefault="00D64F20" w:rsidP="00D83932">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D</w:t>
            </w:r>
            <w:r w:rsidR="006223AD" w:rsidRPr="00793B06">
              <w:rPr>
                <w:rFonts w:ascii="ITC Avant Garde" w:hAnsi="ITC Avant Garde"/>
                <w:b/>
                <w:sz w:val="22"/>
                <w:szCs w:val="22"/>
                <w:lang w:val="es-ES_tradnl"/>
              </w:rPr>
              <w:t>escarga</w:t>
            </w:r>
            <w:r w:rsidRPr="00793B06">
              <w:rPr>
                <w:rFonts w:ascii="ITC Avant Garde" w:hAnsi="ITC Avant Garde"/>
                <w:sz w:val="22"/>
                <w:szCs w:val="22"/>
                <w:lang w:val="es-ES_tradnl"/>
              </w:rPr>
              <w:t xml:space="preserve"> </w:t>
            </w:r>
          </w:p>
        </w:tc>
      </w:tr>
      <w:tr w:rsidR="00D64F20" w:rsidRPr="00B119AD" w14:paraId="43DBA5DE" w14:textId="77777777" w:rsidTr="00F27317">
        <w:trPr>
          <w:trHeight w:val="163"/>
          <w:jc w:val="center"/>
        </w:trPr>
        <w:tc>
          <w:tcPr>
            <w:tcW w:w="2122" w:type="dxa"/>
          </w:tcPr>
          <w:p w14:paraId="03AD40F7"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2018</w:t>
            </w:r>
          </w:p>
        </w:tc>
        <w:tc>
          <w:tcPr>
            <w:tcW w:w="2623" w:type="dxa"/>
          </w:tcPr>
          <w:p w14:paraId="28A20299" w14:textId="77777777" w:rsidR="00D64F20" w:rsidRPr="00793B06" w:rsidRDefault="0087493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w:t>
            </w:r>
            <w:r w:rsidR="00D64F20" w:rsidRPr="00793B06">
              <w:rPr>
                <w:rFonts w:ascii="ITC Avant Garde" w:hAnsi="ITC Avant Garde"/>
                <w:sz w:val="22"/>
                <w:szCs w:val="22"/>
                <w:lang w:val="es-ES_tradnl"/>
              </w:rPr>
              <w:t xml:space="preserve"> Mbps</w:t>
            </w:r>
          </w:p>
        </w:tc>
        <w:tc>
          <w:tcPr>
            <w:tcW w:w="2623" w:type="dxa"/>
          </w:tcPr>
          <w:p w14:paraId="6A4A6A44" w14:textId="77777777" w:rsidR="00D64F20" w:rsidRPr="00793B06" w:rsidRDefault="00466A3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10</w:t>
            </w:r>
            <w:r w:rsidR="00D64F20" w:rsidRPr="00793B06">
              <w:rPr>
                <w:rFonts w:ascii="ITC Avant Garde" w:hAnsi="ITC Avant Garde"/>
                <w:sz w:val="22"/>
                <w:szCs w:val="22"/>
                <w:lang w:val="es-ES_tradnl"/>
              </w:rPr>
              <w:t xml:space="preserve"> Mbps</w:t>
            </w:r>
          </w:p>
        </w:tc>
      </w:tr>
      <w:tr w:rsidR="00D64F20" w:rsidRPr="00B119AD" w14:paraId="7B5A53E5" w14:textId="77777777" w:rsidTr="00F27317">
        <w:trPr>
          <w:trHeight w:val="163"/>
          <w:jc w:val="center"/>
        </w:trPr>
        <w:tc>
          <w:tcPr>
            <w:tcW w:w="2122" w:type="dxa"/>
          </w:tcPr>
          <w:p w14:paraId="5C771674"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2019</w:t>
            </w:r>
          </w:p>
        </w:tc>
        <w:tc>
          <w:tcPr>
            <w:tcW w:w="2623" w:type="dxa"/>
          </w:tcPr>
          <w:p w14:paraId="5FA5540E" w14:textId="77777777" w:rsidR="00D64F20" w:rsidRPr="00793B06" w:rsidRDefault="0087493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3</w:t>
            </w:r>
            <w:r w:rsidR="00D64F20" w:rsidRPr="00793B06">
              <w:rPr>
                <w:rFonts w:ascii="ITC Avant Garde" w:hAnsi="ITC Avant Garde"/>
                <w:sz w:val="22"/>
                <w:szCs w:val="22"/>
                <w:lang w:val="es-ES_tradnl"/>
              </w:rPr>
              <w:t xml:space="preserve"> Mbps</w:t>
            </w:r>
          </w:p>
        </w:tc>
        <w:tc>
          <w:tcPr>
            <w:tcW w:w="2623" w:type="dxa"/>
          </w:tcPr>
          <w:p w14:paraId="649676D9" w14:textId="77777777" w:rsidR="00D64F20" w:rsidRPr="00793B06" w:rsidRDefault="00466A3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w:t>
            </w:r>
            <w:r w:rsidR="00D64F20" w:rsidRPr="00793B06">
              <w:rPr>
                <w:rFonts w:ascii="ITC Avant Garde" w:hAnsi="ITC Avant Garde"/>
                <w:sz w:val="22"/>
                <w:szCs w:val="22"/>
                <w:lang w:val="es-ES_tradnl"/>
              </w:rPr>
              <w:t xml:space="preserve"> Mbps</w:t>
            </w:r>
          </w:p>
        </w:tc>
      </w:tr>
      <w:tr w:rsidR="00D64F20" w:rsidRPr="00B119AD" w14:paraId="35ADD7A9" w14:textId="77777777" w:rsidTr="00F27317">
        <w:trPr>
          <w:trHeight w:val="163"/>
          <w:jc w:val="center"/>
        </w:trPr>
        <w:tc>
          <w:tcPr>
            <w:tcW w:w="2122" w:type="dxa"/>
          </w:tcPr>
          <w:p w14:paraId="53517C10" w14:textId="77777777" w:rsidR="00D64F20" w:rsidRPr="00793B06" w:rsidRDefault="00D64F2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2020</w:t>
            </w:r>
          </w:p>
        </w:tc>
        <w:tc>
          <w:tcPr>
            <w:tcW w:w="2623" w:type="dxa"/>
          </w:tcPr>
          <w:p w14:paraId="78116606" w14:textId="77777777" w:rsidR="00D64F20" w:rsidRPr="00793B06" w:rsidRDefault="0087493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5</w:t>
            </w:r>
            <w:r w:rsidR="00D64F20" w:rsidRPr="00793B06">
              <w:rPr>
                <w:rFonts w:ascii="ITC Avant Garde" w:hAnsi="ITC Avant Garde"/>
                <w:sz w:val="22"/>
                <w:szCs w:val="22"/>
                <w:lang w:val="es-ES_tradnl"/>
              </w:rPr>
              <w:t xml:space="preserve"> Mbps</w:t>
            </w:r>
          </w:p>
        </w:tc>
        <w:tc>
          <w:tcPr>
            <w:tcW w:w="2623" w:type="dxa"/>
          </w:tcPr>
          <w:p w14:paraId="4E83E9D1" w14:textId="77777777" w:rsidR="00D64F20" w:rsidRPr="00793B06" w:rsidRDefault="00466A30" w:rsidP="00D83932">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25</w:t>
            </w:r>
            <w:r w:rsidR="00D64F20" w:rsidRPr="00793B06">
              <w:rPr>
                <w:rFonts w:ascii="ITC Avant Garde" w:hAnsi="ITC Avant Garde"/>
                <w:sz w:val="22"/>
                <w:szCs w:val="22"/>
                <w:lang w:val="es-ES_tradnl"/>
              </w:rPr>
              <w:t xml:space="preserve"> Mbps</w:t>
            </w:r>
          </w:p>
        </w:tc>
      </w:tr>
    </w:tbl>
    <w:p w14:paraId="0129CDC8" w14:textId="77777777" w:rsidR="00D83932" w:rsidRDefault="0023488E" w:rsidP="00D83932">
      <w:pPr>
        <w:spacing w:before="240" w:after="240"/>
        <w:jc w:val="both"/>
        <w:rPr>
          <w:rFonts w:ascii="ITC Avant Garde" w:hAnsi="ITC Avant Garde"/>
        </w:rPr>
      </w:pPr>
      <w:r>
        <w:rPr>
          <w:rFonts w:ascii="ITC Avant Garde" w:hAnsi="ITC Avant Garde"/>
          <w:b/>
        </w:rPr>
        <w:t>CUARTO</w:t>
      </w:r>
      <w:r w:rsidRPr="00793B06">
        <w:rPr>
          <w:rFonts w:ascii="ITC Avant Garde" w:hAnsi="ITC Avant Garde"/>
          <w:b/>
        </w:rPr>
        <w:t xml:space="preserve">. </w:t>
      </w:r>
      <w:r w:rsidR="00D0730F">
        <w:rPr>
          <w:rFonts w:ascii="ITC Avant Garde" w:hAnsi="ITC Avant Garde"/>
        </w:rPr>
        <w:t xml:space="preserve">En tanto existan </w:t>
      </w:r>
      <w:r>
        <w:rPr>
          <w:rFonts w:ascii="ITC Avant Garde" w:hAnsi="ITC Avant Garde"/>
        </w:rPr>
        <w:t xml:space="preserve">permisionarios que </w:t>
      </w:r>
      <w:r w:rsidRPr="0023488E">
        <w:rPr>
          <w:rFonts w:ascii="ITC Avant Garde" w:hAnsi="ITC Avant Garde"/>
        </w:rPr>
        <w:t>presten el servicio de acceso a Internet mediante redes públicas de telecomunicaciones del servicio fij</w:t>
      </w:r>
      <w:r>
        <w:rPr>
          <w:rFonts w:ascii="ITC Avant Garde" w:hAnsi="ITC Avant Garde"/>
        </w:rPr>
        <w:t>o</w:t>
      </w:r>
      <w:r w:rsidR="006B2304">
        <w:rPr>
          <w:rFonts w:ascii="ITC Avant Garde" w:hAnsi="ITC Avant Garde"/>
        </w:rPr>
        <w:t xml:space="preserve"> </w:t>
      </w:r>
      <w:r w:rsidR="00570EC9">
        <w:rPr>
          <w:rFonts w:ascii="ITC Avant Garde" w:hAnsi="ITC Avant Garde"/>
        </w:rPr>
        <w:t>o móvil</w:t>
      </w:r>
      <w:r>
        <w:rPr>
          <w:rFonts w:ascii="ITC Avant Garde" w:hAnsi="ITC Avant Garde"/>
        </w:rPr>
        <w:t xml:space="preserve"> deberán cumplir con los presentes Lineamientos.</w:t>
      </w:r>
    </w:p>
    <w:p w14:paraId="1E8800AA" w14:textId="01AA6678" w:rsidR="002D0BAE" w:rsidRDefault="002D0BAE" w:rsidP="00D83932">
      <w:pPr>
        <w:spacing w:after="240"/>
        <w:jc w:val="both"/>
        <w:rPr>
          <w:rFonts w:ascii="ITC Avant Garde" w:hAnsi="ITC Avant Garde"/>
        </w:rPr>
      </w:pPr>
      <w:r w:rsidRPr="00D27A43">
        <w:rPr>
          <w:rFonts w:ascii="ITC Avant Garde" w:hAnsi="ITC Avant Garde"/>
          <w:b/>
        </w:rPr>
        <w:t>QUINTO.</w:t>
      </w:r>
      <w:r>
        <w:rPr>
          <w:rFonts w:ascii="ITC Avant Garde" w:hAnsi="ITC Avant Garde"/>
        </w:rPr>
        <w:t xml:space="preserve"> Los</w:t>
      </w:r>
      <w:r w:rsidRPr="002D0BAE">
        <w:rPr>
          <w:rFonts w:ascii="ITC Avant Garde" w:hAnsi="ITC Avant Garde"/>
        </w:rPr>
        <w:t xml:space="preserve"> presente</w:t>
      </w:r>
      <w:r>
        <w:rPr>
          <w:rFonts w:ascii="ITC Avant Garde" w:hAnsi="ITC Avant Garde"/>
        </w:rPr>
        <w:t>s Lineamientos</w:t>
      </w:r>
      <w:r w:rsidRPr="002D0BAE">
        <w:rPr>
          <w:rFonts w:ascii="ITC Avant Garde" w:hAnsi="ITC Avant Garde"/>
        </w:rPr>
        <w:t xml:space="preserve"> será</w:t>
      </w:r>
      <w:r>
        <w:rPr>
          <w:rFonts w:ascii="ITC Avant Garde" w:hAnsi="ITC Avant Garde"/>
        </w:rPr>
        <w:t>n revisados</w:t>
      </w:r>
      <w:r w:rsidRPr="002D0BAE">
        <w:rPr>
          <w:rFonts w:ascii="ITC Avant Garde" w:hAnsi="ITC Avant Garde"/>
        </w:rPr>
        <w:t xml:space="preserve"> por el Instituto al menos a los </w:t>
      </w:r>
      <w:r>
        <w:rPr>
          <w:rFonts w:ascii="ITC Avant Garde" w:hAnsi="ITC Avant Garde"/>
        </w:rPr>
        <w:t>tres</w:t>
      </w:r>
      <w:r w:rsidRPr="002D0BAE">
        <w:rPr>
          <w:rFonts w:ascii="ITC Avant Garde" w:hAnsi="ITC Avant Garde"/>
        </w:rPr>
        <w:t xml:space="preserve"> años contados a partir de su entrada en vigor. Lo anterior, de ninguna manera limita las atribuciones del Instituto para realizar dicha revisión en cualquier momento, dentro del periodo establecido.</w:t>
      </w:r>
      <w:bookmarkStart w:id="0" w:name="_GoBack"/>
      <w:bookmarkEnd w:id="0"/>
    </w:p>
    <w:sectPr w:rsidR="002D0BAE" w:rsidSect="00D83932">
      <w:footerReference w:type="default" r:id="rId14"/>
      <w:pgSz w:w="12240" w:h="15840"/>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A3A55" w14:textId="77777777" w:rsidR="002A1C32" w:rsidRDefault="002A1C32" w:rsidP="007247D4">
      <w:pPr>
        <w:spacing w:line="240" w:lineRule="auto"/>
      </w:pPr>
      <w:r>
        <w:separator/>
      </w:r>
    </w:p>
  </w:endnote>
  <w:endnote w:type="continuationSeparator" w:id="0">
    <w:p w14:paraId="3FAF59E5" w14:textId="77777777" w:rsidR="002A1C32" w:rsidRDefault="002A1C32" w:rsidP="007247D4">
      <w:pPr>
        <w:spacing w:line="240" w:lineRule="auto"/>
      </w:pPr>
      <w:r>
        <w:continuationSeparator/>
      </w:r>
    </w:p>
  </w:endnote>
  <w:endnote w:type="continuationNotice" w:id="1">
    <w:p w14:paraId="55316464" w14:textId="77777777" w:rsidR="002A1C32" w:rsidRDefault="002A1C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01104"/>
      <w:docPartObj>
        <w:docPartGallery w:val="Page Numbers (Bottom of Page)"/>
        <w:docPartUnique/>
      </w:docPartObj>
    </w:sdtPr>
    <w:sdtEndPr>
      <w:rPr>
        <w:rFonts w:ascii="ITC Avant Garde" w:hAnsi="ITC Avant Garde"/>
        <w:sz w:val="20"/>
        <w:szCs w:val="20"/>
      </w:rPr>
    </w:sdtEndPr>
    <w:sdtContent>
      <w:p w14:paraId="51283843" w14:textId="5162DEFF" w:rsidR="00512CEC" w:rsidRPr="00D83932" w:rsidRDefault="00512CEC" w:rsidP="00D83932">
        <w:pPr>
          <w:pStyle w:val="Piedepgina"/>
          <w:jc w:val="right"/>
          <w:rPr>
            <w:rFonts w:ascii="ITC Avant Garde" w:hAnsi="ITC Avant Garde"/>
            <w:sz w:val="20"/>
            <w:szCs w:val="20"/>
          </w:rPr>
        </w:pPr>
        <w:r w:rsidRPr="00512CEC">
          <w:rPr>
            <w:rFonts w:ascii="ITC Avant Garde" w:hAnsi="ITC Avant Garde"/>
            <w:sz w:val="20"/>
            <w:szCs w:val="20"/>
          </w:rPr>
          <w:fldChar w:fldCharType="begin"/>
        </w:r>
        <w:r w:rsidRPr="00512CEC">
          <w:rPr>
            <w:rFonts w:ascii="ITC Avant Garde" w:hAnsi="ITC Avant Garde"/>
            <w:sz w:val="20"/>
            <w:szCs w:val="20"/>
          </w:rPr>
          <w:instrText>PAGE   \* MERGEFORMAT</w:instrText>
        </w:r>
        <w:r w:rsidRPr="00512CEC">
          <w:rPr>
            <w:rFonts w:ascii="ITC Avant Garde" w:hAnsi="ITC Avant Garde"/>
            <w:sz w:val="20"/>
            <w:szCs w:val="20"/>
          </w:rPr>
          <w:fldChar w:fldCharType="separate"/>
        </w:r>
        <w:r w:rsidR="00D83932" w:rsidRPr="00D83932">
          <w:rPr>
            <w:rFonts w:ascii="ITC Avant Garde" w:hAnsi="ITC Avant Garde"/>
            <w:noProof/>
            <w:sz w:val="20"/>
            <w:szCs w:val="20"/>
            <w:lang w:val="es-ES"/>
          </w:rPr>
          <w:t>5</w:t>
        </w:r>
        <w:r w:rsidRPr="00512CEC">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73284"/>
      <w:docPartObj>
        <w:docPartGallery w:val="Page Numbers (Bottom of Page)"/>
        <w:docPartUnique/>
      </w:docPartObj>
    </w:sdtPr>
    <w:sdtEndPr>
      <w:rPr>
        <w:rFonts w:ascii="ITC Avant Garde" w:hAnsi="ITC Avant Garde"/>
        <w:sz w:val="20"/>
        <w:szCs w:val="20"/>
      </w:rPr>
    </w:sdtEndPr>
    <w:sdtContent>
      <w:p w14:paraId="7BA262E5" w14:textId="77777777" w:rsidR="00D83932" w:rsidRPr="00D83932" w:rsidRDefault="00D83932" w:rsidP="00D83932">
        <w:pPr>
          <w:pStyle w:val="Piedepgina"/>
          <w:jc w:val="right"/>
          <w:rPr>
            <w:rFonts w:ascii="ITC Avant Garde" w:hAnsi="ITC Avant Garde"/>
            <w:sz w:val="20"/>
            <w:szCs w:val="20"/>
          </w:rPr>
        </w:pPr>
        <w:r w:rsidRPr="00512CEC">
          <w:rPr>
            <w:rFonts w:ascii="ITC Avant Garde" w:hAnsi="ITC Avant Garde"/>
            <w:sz w:val="20"/>
            <w:szCs w:val="20"/>
          </w:rPr>
          <w:fldChar w:fldCharType="begin"/>
        </w:r>
        <w:r w:rsidRPr="00512CEC">
          <w:rPr>
            <w:rFonts w:ascii="ITC Avant Garde" w:hAnsi="ITC Avant Garde"/>
            <w:sz w:val="20"/>
            <w:szCs w:val="20"/>
          </w:rPr>
          <w:instrText>PAGE   \* MERGEFORMAT</w:instrText>
        </w:r>
        <w:r w:rsidRPr="00512CEC">
          <w:rPr>
            <w:rFonts w:ascii="ITC Avant Garde" w:hAnsi="ITC Avant Garde"/>
            <w:sz w:val="20"/>
            <w:szCs w:val="20"/>
          </w:rPr>
          <w:fldChar w:fldCharType="separate"/>
        </w:r>
        <w:r w:rsidRPr="00D83932">
          <w:rPr>
            <w:rFonts w:ascii="ITC Avant Garde" w:hAnsi="ITC Avant Garde"/>
            <w:noProof/>
            <w:sz w:val="20"/>
            <w:szCs w:val="20"/>
            <w:lang w:val="es-ES"/>
          </w:rPr>
          <w:t>4</w:t>
        </w:r>
        <w:r w:rsidRPr="00512CE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1C660" w14:textId="77777777" w:rsidR="002A1C32" w:rsidRDefault="002A1C32" w:rsidP="007247D4">
      <w:pPr>
        <w:spacing w:line="240" w:lineRule="auto"/>
      </w:pPr>
      <w:r>
        <w:separator/>
      </w:r>
    </w:p>
  </w:footnote>
  <w:footnote w:type="continuationSeparator" w:id="0">
    <w:p w14:paraId="66ECFDAD" w14:textId="77777777" w:rsidR="002A1C32" w:rsidRDefault="002A1C32" w:rsidP="007247D4">
      <w:pPr>
        <w:spacing w:line="240" w:lineRule="auto"/>
      </w:pPr>
      <w:r>
        <w:continuationSeparator/>
      </w:r>
    </w:p>
  </w:footnote>
  <w:footnote w:type="continuationNotice" w:id="1">
    <w:p w14:paraId="47EF1165" w14:textId="77777777" w:rsidR="002A1C32" w:rsidRDefault="002A1C3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335369"/>
    <w:multiLevelType w:val="hybridMultilevel"/>
    <w:tmpl w:val="6AC6C9DC"/>
    <w:lvl w:ilvl="0" w:tplc="5610F9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1821A9"/>
    <w:multiLevelType w:val="hybridMultilevel"/>
    <w:tmpl w:val="1BD2B962"/>
    <w:lvl w:ilvl="0" w:tplc="53CC21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A9633F"/>
    <w:multiLevelType w:val="multilevel"/>
    <w:tmpl w:val="45DC5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6F63ED"/>
    <w:multiLevelType w:val="hybridMultilevel"/>
    <w:tmpl w:val="5C3495AA"/>
    <w:lvl w:ilvl="0" w:tplc="24042D3E">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5C37B0"/>
    <w:multiLevelType w:val="hybridMultilevel"/>
    <w:tmpl w:val="7714B596"/>
    <w:lvl w:ilvl="0" w:tplc="080A0001">
      <w:start w:val="1"/>
      <w:numFmt w:val="bullet"/>
      <w:lvlText w:val=""/>
      <w:lvlJc w:val="left"/>
      <w:pPr>
        <w:ind w:left="720" w:hanging="360"/>
      </w:pPr>
      <w:rPr>
        <w:rFonts w:ascii="Symbol" w:hAnsi="Symbol" w:hint="default"/>
      </w:rPr>
    </w:lvl>
    <w:lvl w:ilvl="1" w:tplc="080A0015">
      <w:start w:val="1"/>
      <w:numFmt w:val="upp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165AD"/>
    <w:multiLevelType w:val="hybridMultilevel"/>
    <w:tmpl w:val="0D5A8E08"/>
    <w:lvl w:ilvl="0" w:tplc="6AA25F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0"/>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9C"/>
    <w:rsid w:val="00000F89"/>
    <w:rsid w:val="00003F84"/>
    <w:rsid w:val="000040C0"/>
    <w:rsid w:val="0000462D"/>
    <w:rsid w:val="00007C02"/>
    <w:rsid w:val="0002553D"/>
    <w:rsid w:val="00031CFB"/>
    <w:rsid w:val="00036F24"/>
    <w:rsid w:val="00037024"/>
    <w:rsid w:val="00043951"/>
    <w:rsid w:val="000454E1"/>
    <w:rsid w:val="00051C2E"/>
    <w:rsid w:val="00052AF2"/>
    <w:rsid w:val="00056967"/>
    <w:rsid w:val="0005762F"/>
    <w:rsid w:val="00064E57"/>
    <w:rsid w:val="00074B60"/>
    <w:rsid w:val="00075DF3"/>
    <w:rsid w:val="0008118A"/>
    <w:rsid w:val="0009155E"/>
    <w:rsid w:val="0009724C"/>
    <w:rsid w:val="000A619E"/>
    <w:rsid w:val="000A61A7"/>
    <w:rsid w:val="000A740C"/>
    <w:rsid w:val="000B584D"/>
    <w:rsid w:val="000B5AE3"/>
    <w:rsid w:val="000C768D"/>
    <w:rsid w:val="000D45E6"/>
    <w:rsid w:val="000D6106"/>
    <w:rsid w:val="000E4467"/>
    <w:rsid w:val="000F04B5"/>
    <w:rsid w:val="000F1F3D"/>
    <w:rsid w:val="000F2D03"/>
    <w:rsid w:val="000F65D4"/>
    <w:rsid w:val="00104945"/>
    <w:rsid w:val="001104C6"/>
    <w:rsid w:val="00110D95"/>
    <w:rsid w:val="001125D1"/>
    <w:rsid w:val="001158F9"/>
    <w:rsid w:val="00117FFE"/>
    <w:rsid w:val="00121C1C"/>
    <w:rsid w:val="00122B91"/>
    <w:rsid w:val="00124483"/>
    <w:rsid w:val="001249C5"/>
    <w:rsid w:val="001265C7"/>
    <w:rsid w:val="00130609"/>
    <w:rsid w:val="00130C18"/>
    <w:rsid w:val="00133FC8"/>
    <w:rsid w:val="0013779C"/>
    <w:rsid w:val="001438A5"/>
    <w:rsid w:val="00143A42"/>
    <w:rsid w:val="00146CDE"/>
    <w:rsid w:val="0015145A"/>
    <w:rsid w:val="00151AF8"/>
    <w:rsid w:val="001557C8"/>
    <w:rsid w:val="0016293B"/>
    <w:rsid w:val="00164E20"/>
    <w:rsid w:val="00165A85"/>
    <w:rsid w:val="00165ACF"/>
    <w:rsid w:val="001807A3"/>
    <w:rsid w:val="00180D03"/>
    <w:rsid w:val="00183498"/>
    <w:rsid w:val="001837F2"/>
    <w:rsid w:val="00185AD0"/>
    <w:rsid w:val="00185F15"/>
    <w:rsid w:val="00187936"/>
    <w:rsid w:val="001911D1"/>
    <w:rsid w:val="00191538"/>
    <w:rsid w:val="00193845"/>
    <w:rsid w:val="0019503A"/>
    <w:rsid w:val="001A4221"/>
    <w:rsid w:val="001C1972"/>
    <w:rsid w:val="001C433E"/>
    <w:rsid w:val="001C5147"/>
    <w:rsid w:val="001C6061"/>
    <w:rsid w:val="001C7270"/>
    <w:rsid w:val="001C7A87"/>
    <w:rsid w:val="001C7C7A"/>
    <w:rsid w:val="001E1F38"/>
    <w:rsid w:val="001E44A0"/>
    <w:rsid w:val="001E4A70"/>
    <w:rsid w:val="001F1C1F"/>
    <w:rsid w:val="001F2E84"/>
    <w:rsid w:val="001F392B"/>
    <w:rsid w:val="001F3C4B"/>
    <w:rsid w:val="001F3E9C"/>
    <w:rsid w:val="001F7707"/>
    <w:rsid w:val="00206F9C"/>
    <w:rsid w:val="00213326"/>
    <w:rsid w:val="0021626F"/>
    <w:rsid w:val="00220506"/>
    <w:rsid w:val="0023488E"/>
    <w:rsid w:val="0023644D"/>
    <w:rsid w:val="002369D0"/>
    <w:rsid w:val="00241538"/>
    <w:rsid w:val="0024227B"/>
    <w:rsid w:val="00247133"/>
    <w:rsid w:val="00251CE9"/>
    <w:rsid w:val="00253279"/>
    <w:rsid w:val="00256F39"/>
    <w:rsid w:val="0025718F"/>
    <w:rsid w:val="00257328"/>
    <w:rsid w:val="00261DA9"/>
    <w:rsid w:val="00262C6A"/>
    <w:rsid w:val="00263257"/>
    <w:rsid w:val="002666EE"/>
    <w:rsid w:val="00266E30"/>
    <w:rsid w:val="00267B82"/>
    <w:rsid w:val="002808F5"/>
    <w:rsid w:val="00281421"/>
    <w:rsid w:val="00281622"/>
    <w:rsid w:val="002826A4"/>
    <w:rsid w:val="002833AF"/>
    <w:rsid w:val="00295B65"/>
    <w:rsid w:val="00295BF1"/>
    <w:rsid w:val="00296637"/>
    <w:rsid w:val="002A0570"/>
    <w:rsid w:val="002A1C32"/>
    <w:rsid w:val="002A3004"/>
    <w:rsid w:val="002A65CE"/>
    <w:rsid w:val="002B25E1"/>
    <w:rsid w:val="002C20E0"/>
    <w:rsid w:val="002C5B36"/>
    <w:rsid w:val="002C5E28"/>
    <w:rsid w:val="002D0BAE"/>
    <w:rsid w:val="002D2AFB"/>
    <w:rsid w:val="002D2B9F"/>
    <w:rsid w:val="002D4924"/>
    <w:rsid w:val="002D685F"/>
    <w:rsid w:val="002D7060"/>
    <w:rsid w:val="002E1EAD"/>
    <w:rsid w:val="002E2C80"/>
    <w:rsid w:val="002E6F73"/>
    <w:rsid w:val="002F24E8"/>
    <w:rsid w:val="002F3EAF"/>
    <w:rsid w:val="002F5508"/>
    <w:rsid w:val="002F589C"/>
    <w:rsid w:val="002F59FF"/>
    <w:rsid w:val="002F7146"/>
    <w:rsid w:val="0030038F"/>
    <w:rsid w:val="0030658C"/>
    <w:rsid w:val="003110D2"/>
    <w:rsid w:val="00322238"/>
    <w:rsid w:val="00323DEC"/>
    <w:rsid w:val="00324793"/>
    <w:rsid w:val="003267C2"/>
    <w:rsid w:val="00327EC2"/>
    <w:rsid w:val="00330E69"/>
    <w:rsid w:val="003312D7"/>
    <w:rsid w:val="003360A2"/>
    <w:rsid w:val="00351A34"/>
    <w:rsid w:val="00371548"/>
    <w:rsid w:val="00371674"/>
    <w:rsid w:val="003732BA"/>
    <w:rsid w:val="00373B7A"/>
    <w:rsid w:val="0038192F"/>
    <w:rsid w:val="00385C41"/>
    <w:rsid w:val="00386480"/>
    <w:rsid w:val="00386D86"/>
    <w:rsid w:val="00394CA5"/>
    <w:rsid w:val="003A0DB4"/>
    <w:rsid w:val="003A1772"/>
    <w:rsid w:val="003A38D9"/>
    <w:rsid w:val="003A68CE"/>
    <w:rsid w:val="003A6DAC"/>
    <w:rsid w:val="003A7E49"/>
    <w:rsid w:val="003B021B"/>
    <w:rsid w:val="003C1C27"/>
    <w:rsid w:val="003C2ABF"/>
    <w:rsid w:val="003C6219"/>
    <w:rsid w:val="003D026A"/>
    <w:rsid w:val="003D0C19"/>
    <w:rsid w:val="003D1032"/>
    <w:rsid w:val="003D1240"/>
    <w:rsid w:val="003D1722"/>
    <w:rsid w:val="003D2EEC"/>
    <w:rsid w:val="003D4208"/>
    <w:rsid w:val="003D7A87"/>
    <w:rsid w:val="003E0094"/>
    <w:rsid w:val="003E3A82"/>
    <w:rsid w:val="003E3B65"/>
    <w:rsid w:val="003E6826"/>
    <w:rsid w:val="003E7123"/>
    <w:rsid w:val="003E7BFD"/>
    <w:rsid w:val="003F0769"/>
    <w:rsid w:val="003F100D"/>
    <w:rsid w:val="003F55B2"/>
    <w:rsid w:val="003F6FA7"/>
    <w:rsid w:val="0040386E"/>
    <w:rsid w:val="00405F85"/>
    <w:rsid w:val="00406EC1"/>
    <w:rsid w:val="00416CF1"/>
    <w:rsid w:val="00425770"/>
    <w:rsid w:val="00425D00"/>
    <w:rsid w:val="0042779C"/>
    <w:rsid w:val="004333C2"/>
    <w:rsid w:val="00434229"/>
    <w:rsid w:val="00440BDA"/>
    <w:rsid w:val="00442316"/>
    <w:rsid w:val="00443FA9"/>
    <w:rsid w:val="00446E3A"/>
    <w:rsid w:val="0045462B"/>
    <w:rsid w:val="00455FA8"/>
    <w:rsid w:val="00460DD7"/>
    <w:rsid w:val="00462B81"/>
    <w:rsid w:val="00466A30"/>
    <w:rsid w:val="00466A4F"/>
    <w:rsid w:val="004675CE"/>
    <w:rsid w:val="00473A3D"/>
    <w:rsid w:val="00474561"/>
    <w:rsid w:val="004761FB"/>
    <w:rsid w:val="004809C5"/>
    <w:rsid w:val="004837D0"/>
    <w:rsid w:val="00483C3F"/>
    <w:rsid w:val="00492E53"/>
    <w:rsid w:val="00494C37"/>
    <w:rsid w:val="00496D16"/>
    <w:rsid w:val="004A0B96"/>
    <w:rsid w:val="004A3460"/>
    <w:rsid w:val="004A4527"/>
    <w:rsid w:val="004A4FA5"/>
    <w:rsid w:val="004B0B33"/>
    <w:rsid w:val="004B10CB"/>
    <w:rsid w:val="004B1845"/>
    <w:rsid w:val="004B24D4"/>
    <w:rsid w:val="004B4B00"/>
    <w:rsid w:val="004C3DFC"/>
    <w:rsid w:val="004C4896"/>
    <w:rsid w:val="004D28F8"/>
    <w:rsid w:val="004D6F43"/>
    <w:rsid w:val="004D79C1"/>
    <w:rsid w:val="004E5512"/>
    <w:rsid w:val="004E5836"/>
    <w:rsid w:val="004F20F2"/>
    <w:rsid w:val="004F2C7C"/>
    <w:rsid w:val="004F39B9"/>
    <w:rsid w:val="004F575D"/>
    <w:rsid w:val="00501CB8"/>
    <w:rsid w:val="00504E35"/>
    <w:rsid w:val="00506A85"/>
    <w:rsid w:val="00512379"/>
    <w:rsid w:val="00512C0A"/>
    <w:rsid w:val="00512CEC"/>
    <w:rsid w:val="00514F80"/>
    <w:rsid w:val="00516C69"/>
    <w:rsid w:val="00524075"/>
    <w:rsid w:val="0052539F"/>
    <w:rsid w:val="005304E0"/>
    <w:rsid w:val="00532DBD"/>
    <w:rsid w:val="005401AC"/>
    <w:rsid w:val="00541B4C"/>
    <w:rsid w:val="00542F35"/>
    <w:rsid w:val="00546DE7"/>
    <w:rsid w:val="00551CE3"/>
    <w:rsid w:val="0055745F"/>
    <w:rsid w:val="00561897"/>
    <w:rsid w:val="00563287"/>
    <w:rsid w:val="00563EEE"/>
    <w:rsid w:val="00570DCA"/>
    <w:rsid w:val="00570EC9"/>
    <w:rsid w:val="00575B9F"/>
    <w:rsid w:val="00577FFC"/>
    <w:rsid w:val="005804D9"/>
    <w:rsid w:val="0058454C"/>
    <w:rsid w:val="00592E50"/>
    <w:rsid w:val="00596314"/>
    <w:rsid w:val="00597B9C"/>
    <w:rsid w:val="005A1732"/>
    <w:rsid w:val="005A1BA9"/>
    <w:rsid w:val="005A2B59"/>
    <w:rsid w:val="005A55CE"/>
    <w:rsid w:val="005B544E"/>
    <w:rsid w:val="005B7834"/>
    <w:rsid w:val="005C13F2"/>
    <w:rsid w:val="005C3A2B"/>
    <w:rsid w:val="005C77D2"/>
    <w:rsid w:val="005D3D0B"/>
    <w:rsid w:val="005E094C"/>
    <w:rsid w:val="005E23C0"/>
    <w:rsid w:val="005E357A"/>
    <w:rsid w:val="005E5E32"/>
    <w:rsid w:val="005F3302"/>
    <w:rsid w:val="005F664C"/>
    <w:rsid w:val="006022A2"/>
    <w:rsid w:val="006022BA"/>
    <w:rsid w:val="00605E93"/>
    <w:rsid w:val="0061040D"/>
    <w:rsid w:val="006140F5"/>
    <w:rsid w:val="00614597"/>
    <w:rsid w:val="00620831"/>
    <w:rsid w:val="006223AD"/>
    <w:rsid w:val="006232A5"/>
    <w:rsid w:val="00626981"/>
    <w:rsid w:val="00631C53"/>
    <w:rsid w:val="00643E3B"/>
    <w:rsid w:val="00651A97"/>
    <w:rsid w:val="00653C09"/>
    <w:rsid w:val="00654FBD"/>
    <w:rsid w:val="00655F50"/>
    <w:rsid w:val="006608FE"/>
    <w:rsid w:val="00660D28"/>
    <w:rsid w:val="0066104A"/>
    <w:rsid w:val="006613B0"/>
    <w:rsid w:val="0066330F"/>
    <w:rsid w:val="006652B5"/>
    <w:rsid w:val="00665E56"/>
    <w:rsid w:val="00666F18"/>
    <w:rsid w:val="00673820"/>
    <w:rsid w:val="006750DF"/>
    <w:rsid w:val="0067694D"/>
    <w:rsid w:val="00682170"/>
    <w:rsid w:val="006825A1"/>
    <w:rsid w:val="00682FA7"/>
    <w:rsid w:val="00686423"/>
    <w:rsid w:val="0069317F"/>
    <w:rsid w:val="00693297"/>
    <w:rsid w:val="006959F5"/>
    <w:rsid w:val="006A05BF"/>
    <w:rsid w:val="006A1BCC"/>
    <w:rsid w:val="006A5541"/>
    <w:rsid w:val="006B2304"/>
    <w:rsid w:val="006B521D"/>
    <w:rsid w:val="006C0B56"/>
    <w:rsid w:val="006C23B2"/>
    <w:rsid w:val="006C3A59"/>
    <w:rsid w:val="006D0B2C"/>
    <w:rsid w:val="006D12FB"/>
    <w:rsid w:val="006D1DF1"/>
    <w:rsid w:val="006D5AF9"/>
    <w:rsid w:val="006E3E31"/>
    <w:rsid w:val="006E419B"/>
    <w:rsid w:val="006E47E3"/>
    <w:rsid w:val="006E62CC"/>
    <w:rsid w:val="006F2601"/>
    <w:rsid w:val="006F5485"/>
    <w:rsid w:val="00700A24"/>
    <w:rsid w:val="00703358"/>
    <w:rsid w:val="0070347A"/>
    <w:rsid w:val="00705454"/>
    <w:rsid w:val="00706EBA"/>
    <w:rsid w:val="00707110"/>
    <w:rsid w:val="007118A1"/>
    <w:rsid w:val="007120EB"/>
    <w:rsid w:val="00712CA8"/>
    <w:rsid w:val="0071513F"/>
    <w:rsid w:val="00721EAD"/>
    <w:rsid w:val="00723B69"/>
    <w:rsid w:val="007247D4"/>
    <w:rsid w:val="00724A4A"/>
    <w:rsid w:val="00725726"/>
    <w:rsid w:val="00725873"/>
    <w:rsid w:val="007304AC"/>
    <w:rsid w:val="0073255C"/>
    <w:rsid w:val="007348D7"/>
    <w:rsid w:val="007404CF"/>
    <w:rsid w:val="00743FE3"/>
    <w:rsid w:val="00746372"/>
    <w:rsid w:val="00747130"/>
    <w:rsid w:val="0074752C"/>
    <w:rsid w:val="00750279"/>
    <w:rsid w:val="00751B23"/>
    <w:rsid w:val="00754D6D"/>
    <w:rsid w:val="00757664"/>
    <w:rsid w:val="00757F43"/>
    <w:rsid w:val="0076039B"/>
    <w:rsid w:val="00762051"/>
    <w:rsid w:val="00764051"/>
    <w:rsid w:val="007661BE"/>
    <w:rsid w:val="007746D5"/>
    <w:rsid w:val="00775B9E"/>
    <w:rsid w:val="0077623E"/>
    <w:rsid w:val="007762C3"/>
    <w:rsid w:val="00783A84"/>
    <w:rsid w:val="00784A28"/>
    <w:rsid w:val="00790F11"/>
    <w:rsid w:val="00793850"/>
    <w:rsid w:val="00793B06"/>
    <w:rsid w:val="0079509D"/>
    <w:rsid w:val="0079751A"/>
    <w:rsid w:val="007A2FA9"/>
    <w:rsid w:val="007A3228"/>
    <w:rsid w:val="007A3D12"/>
    <w:rsid w:val="007A3E5C"/>
    <w:rsid w:val="007A4BD9"/>
    <w:rsid w:val="007A59B5"/>
    <w:rsid w:val="007A5F48"/>
    <w:rsid w:val="007A7BE3"/>
    <w:rsid w:val="007B0155"/>
    <w:rsid w:val="007B0542"/>
    <w:rsid w:val="007B20FA"/>
    <w:rsid w:val="007B2A36"/>
    <w:rsid w:val="007B3F53"/>
    <w:rsid w:val="007B4891"/>
    <w:rsid w:val="007C05BF"/>
    <w:rsid w:val="007C0718"/>
    <w:rsid w:val="007C2F0F"/>
    <w:rsid w:val="007C772E"/>
    <w:rsid w:val="007D091A"/>
    <w:rsid w:val="007D7996"/>
    <w:rsid w:val="007E0A0F"/>
    <w:rsid w:val="007E5D49"/>
    <w:rsid w:val="007E6CAA"/>
    <w:rsid w:val="007F0B50"/>
    <w:rsid w:val="007F19EF"/>
    <w:rsid w:val="007F2205"/>
    <w:rsid w:val="007F4D59"/>
    <w:rsid w:val="008016A7"/>
    <w:rsid w:val="00801EC5"/>
    <w:rsid w:val="008046D2"/>
    <w:rsid w:val="00804941"/>
    <w:rsid w:val="00804B18"/>
    <w:rsid w:val="0080516E"/>
    <w:rsid w:val="00813CC6"/>
    <w:rsid w:val="008144BB"/>
    <w:rsid w:val="00816385"/>
    <w:rsid w:val="00823E6F"/>
    <w:rsid w:val="00826F36"/>
    <w:rsid w:val="0083157D"/>
    <w:rsid w:val="00831A7B"/>
    <w:rsid w:val="00831EA7"/>
    <w:rsid w:val="00837F83"/>
    <w:rsid w:val="00840196"/>
    <w:rsid w:val="008416F7"/>
    <w:rsid w:val="008423AE"/>
    <w:rsid w:val="00846A11"/>
    <w:rsid w:val="00846CA9"/>
    <w:rsid w:val="00847D2C"/>
    <w:rsid w:val="00852B1B"/>
    <w:rsid w:val="00854194"/>
    <w:rsid w:val="008616F7"/>
    <w:rsid w:val="0086296B"/>
    <w:rsid w:val="008647EB"/>
    <w:rsid w:val="008704AB"/>
    <w:rsid w:val="00874930"/>
    <w:rsid w:val="00874D5E"/>
    <w:rsid w:val="008773A9"/>
    <w:rsid w:val="008776F9"/>
    <w:rsid w:val="008818D2"/>
    <w:rsid w:val="008828EA"/>
    <w:rsid w:val="008833F9"/>
    <w:rsid w:val="00884E8D"/>
    <w:rsid w:val="00885BAF"/>
    <w:rsid w:val="008920E9"/>
    <w:rsid w:val="008932F1"/>
    <w:rsid w:val="008940CE"/>
    <w:rsid w:val="00895EEB"/>
    <w:rsid w:val="008A44A6"/>
    <w:rsid w:val="008A790C"/>
    <w:rsid w:val="008B24B2"/>
    <w:rsid w:val="008B48FB"/>
    <w:rsid w:val="008B593E"/>
    <w:rsid w:val="008C078C"/>
    <w:rsid w:val="008C2BEC"/>
    <w:rsid w:val="008C5C33"/>
    <w:rsid w:val="008C64E8"/>
    <w:rsid w:val="008C7E2C"/>
    <w:rsid w:val="008C7F7B"/>
    <w:rsid w:val="008D0058"/>
    <w:rsid w:val="008D1E59"/>
    <w:rsid w:val="008D2B55"/>
    <w:rsid w:val="008D34EA"/>
    <w:rsid w:val="008D64CC"/>
    <w:rsid w:val="008D758C"/>
    <w:rsid w:val="008E75BC"/>
    <w:rsid w:val="008F6E24"/>
    <w:rsid w:val="009000DE"/>
    <w:rsid w:val="00907711"/>
    <w:rsid w:val="009077C1"/>
    <w:rsid w:val="00912B5E"/>
    <w:rsid w:val="009137EB"/>
    <w:rsid w:val="00913D0F"/>
    <w:rsid w:val="00914315"/>
    <w:rsid w:val="00922FB7"/>
    <w:rsid w:val="009236ED"/>
    <w:rsid w:val="00923848"/>
    <w:rsid w:val="00924042"/>
    <w:rsid w:val="00926DEF"/>
    <w:rsid w:val="00926F2E"/>
    <w:rsid w:val="00927308"/>
    <w:rsid w:val="009315C0"/>
    <w:rsid w:val="00935B06"/>
    <w:rsid w:val="00935B72"/>
    <w:rsid w:val="00945470"/>
    <w:rsid w:val="009454F8"/>
    <w:rsid w:val="00945D08"/>
    <w:rsid w:val="0094669B"/>
    <w:rsid w:val="00946DC0"/>
    <w:rsid w:val="00956217"/>
    <w:rsid w:val="00971203"/>
    <w:rsid w:val="00973565"/>
    <w:rsid w:val="009739AB"/>
    <w:rsid w:val="00981959"/>
    <w:rsid w:val="00990D98"/>
    <w:rsid w:val="00995ED1"/>
    <w:rsid w:val="0099611E"/>
    <w:rsid w:val="00997A3F"/>
    <w:rsid w:val="009A61A6"/>
    <w:rsid w:val="009A7057"/>
    <w:rsid w:val="009B31BB"/>
    <w:rsid w:val="009B4188"/>
    <w:rsid w:val="009B6AB6"/>
    <w:rsid w:val="009C19A8"/>
    <w:rsid w:val="009D2510"/>
    <w:rsid w:val="009D28F8"/>
    <w:rsid w:val="009D2EBC"/>
    <w:rsid w:val="009E2917"/>
    <w:rsid w:val="009E3F33"/>
    <w:rsid w:val="009E5639"/>
    <w:rsid w:val="009E5950"/>
    <w:rsid w:val="009E5F11"/>
    <w:rsid w:val="009E6A89"/>
    <w:rsid w:val="009E7552"/>
    <w:rsid w:val="009F2CD9"/>
    <w:rsid w:val="009F3EE1"/>
    <w:rsid w:val="009F6778"/>
    <w:rsid w:val="00A0066C"/>
    <w:rsid w:val="00A03E88"/>
    <w:rsid w:val="00A04137"/>
    <w:rsid w:val="00A058A4"/>
    <w:rsid w:val="00A077CA"/>
    <w:rsid w:val="00A07C21"/>
    <w:rsid w:val="00A07D04"/>
    <w:rsid w:val="00A10F89"/>
    <w:rsid w:val="00A16469"/>
    <w:rsid w:val="00A16784"/>
    <w:rsid w:val="00A170CA"/>
    <w:rsid w:val="00A178EA"/>
    <w:rsid w:val="00A24524"/>
    <w:rsid w:val="00A279EF"/>
    <w:rsid w:val="00A318C5"/>
    <w:rsid w:val="00A32DF9"/>
    <w:rsid w:val="00A366CA"/>
    <w:rsid w:val="00A374D7"/>
    <w:rsid w:val="00A40B91"/>
    <w:rsid w:val="00A44378"/>
    <w:rsid w:val="00A45420"/>
    <w:rsid w:val="00A46610"/>
    <w:rsid w:val="00A53C0C"/>
    <w:rsid w:val="00A55D8A"/>
    <w:rsid w:val="00A61B4A"/>
    <w:rsid w:val="00A623CA"/>
    <w:rsid w:val="00A626DC"/>
    <w:rsid w:val="00A639A2"/>
    <w:rsid w:val="00A63E67"/>
    <w:rsid w:val="00A676F7"/>
    <w:rsid w:val="00A71BFB"/>
    <w:rsid w:val="00A7201C"/>
    <w:rsid w:val="00A74A48"/>
    <w:rsid w:val="00A76BCC"/>
    <w:rsid w:val="00A80BC1"/>
    <w:rsid w:val="00A83AE6"/>
    <w:rsid w:val="00A86619"/>
    <w:rsid w:val="00A870ED"/>
    <w:rsid w:val="00A8726D"/>
    <w:rsid w:val="00A90932"/>
    <w:rsid w:val="00A93998"/>
    <w:rsid w:val="00A95E3C"/>
    <w:rsid w:val="00A9630F"/>
    <w:rsid w:val="00AA1901"/>
    <w:rsid w:val="00AA30A5"/>
    <w:rsid w:val="00AA4F95"/>
    <w:rsid w:val="00AA5201"/>
    <w:rsid w:val="00AA59E6"/>
    <w:rsid w:val="00AB1100"/>
    <w:rsid w:val="00AB3572"/>
    <w:rsid w:val="00AB5131"/>
    <w:rsid w:val="00AB6488"/>
    <w:rsid w:val="00AB6F41"/>
    <w:rsid w:val="00AC1752"/>
    <w:rsid w:val="00AC49A6"/>
    <w:rsid w:val="00AC50F9"/>
    <w:rsid w:val="00AD29B0"/>
    <w:rsid w:val="00AD35D8"/>
    <w:rsid w:val="00AD66F8"/>
    <w:rsid w:val="00AD6C9A"/>
    <w:rsid w:val="00AE1D63"/>
    <w:rsid w:val="00AE61B5"/>
    <w:rsid w:val="00AE6482"/>
    <w:rsid w:val="00AF1755"/>
    <w:rsid w:val="00AF2580"/>
    <w:rsid w:val="00AF32A1"/>
    <w:rsid w:val="00AF65A0"/>
    <w:rsid w:val="00B0001E"/>
    <w:rsid w:val="00B05621"/>
    <w:rsid w:val="00B05A37"/>
    <w:rsid w:val="00B073BB"/>
    <w:rsid w:val="00B110BE"/>
    <w:rsid w:val="00B119AD"/>
    <w:rsid w:val="00B15755"/>
    <w:rsid w:val="00B15FB6"/>
    <w:rsid w:val="00B20F5D"/>
    <w:rsid w:val="00B311ED"/>
    <w:rsid w:val="00B36292"/>
    <w:rsid w:val="00B37148"/>
    <w:rsid w:val="00B540C4"/>
    <w:rsid w:val="00B5720D"/>
    <w:rsid w:val="00B61ACD"/>
    <w:rsid w:val="00B629D7"/>
    <w:rsid w:val="00B72621"/>
    <w:rsid w:val="00B7561F"/>
    <w:rsid w:val="00B8388B"/>
    <w:rsid w:val="00B86419"/>
    <w:rsid w:val="00B916D5"/>
    <w:rsid w:val="00B9290E"/>
    <w:rsid w:val="00B92C78"/>
    <w:rsid w:val="00B97697"/>
    <w:rsid w:val="00BA0779"/>
    <w:rsid w:val="00BA0B96"/>
    <w:rsid w:val="00BA1057"/>
    <w:rsid w:val="00BA10E9"/>
    <w:rsid w:val="00BA23DC"/>
    <w:rsid w:val="00BA27DF"/>
    <w:rsid w:val="00BB1116"/>
    <w:rsid w:val="00BB3114"/>
    <w:rsid w:val="00BB43B8"/>
    <w:rsid w:val="00BB6346"/>
    <w:rsid w:val="00BB783A"/>
    <w:rsid w:val="00BC1958"/>
    <w:rsid w:val="00BC2531"/>
    <w:rsid w:val="00BC42D2"/>
    <w:rsid w:val="00BC5CBE"/>
    <w:rsid w:val="00BC5F06"/>
    <w:rsid w:val="00BC6266"/>
    <w:rsid w:val="00BD2A81"/>
    <w:rsid w:val="00BD5572"/>
    <w:rsid w:val="00BD69EB"/>
    <w:rsid w:val="00BE4964"/>
    <w:rsid w:val="00BE4F91"/>
    <w:rsid w:val="00BE7937"/>
    <w:rsid w:val="00BF0A01"/>
    <w:rsid w:val="00BF13A6"/>
    <w:rsid w:val="00BF17E6"/>
    <w:rsid w:val="00BF279B"/>
    <w:rsid w:val="00BF4EE2"/>
    <w:rsid w:val="00BF67F6"/>
    <w:rsid w:val="00C0123E"/>
    <w:rsid w:val="00C04302"/>
    <w:rsid w:val="00C04FF4"/>
    <w:rsid w:val="00C057FF"/>
    <w:rsid w:val="00C074AB"/>
    <w:rsid w:val="00C16156"/>
    <w:rsid w:val="00C1659F"/>
    <w:rsid w:val="00C16CC7"/>
    <w:rsid w:val="00C2236E"/>
    <w:rsid w:val="00C2668A"/>
    <w:rsid w:val="00C32E78"/>
    <w:rsid w:val="00C33F01"/>
    <w:rsid w:val="00C42AD2"/>
    <w:rsid w:val="00C52767"/>
    <w:rsid w:val="00C53C64"/>
    <w:rsid w:val="00C54B17"/>
    <w:rsid w:val="00C55DE7"/>
    <w:rsid w:val="00C560C5"/>
    <w:rsid w:val="00C56842"/>
    <w:rsid w:val="00C56D82"/>
    <w:rsid w:val="00C610B2"/>
    <w:rsid w:val="00C62D30"/>
    <w:rsid w:val="00C74685"/>
    <w:rsid w:val="00C76C1F"/>
    <w:rsid w:val="00C76C69"/>
    <w:rsid w:val="00C774DF"/>
    <w:rsid w:val="00C8046E"/>
    <w:rsid w:val="00C879F0"/>
    <w:rsid w:val="00C974C6"/>
    <w:rsid w:val="00CA351C"/>
    <w:rsid w:val="00CB1400"/>
    <w:rsid w:val="00CC1046"/>
    <w:rsid w:val="00CC1635"/>
    <w:rsid w:val="00CD473B"/>
    <w:rsid w:val="00CD66A5"/>
    <w:rsid w:val="00CD6B66"/>
    <w:rsid w:val="00CD767E"/>
    <w:rsid w:val="00CE0386"/>
    <w:rsid w:val="00CE5182"/>
    <w:rsid w:val="00CE558D"/>
    <w:rsid w:val="00CF2A7B"/>
    <w:rsid w:val="00CF2FC8"/>
    <w:rsid w:val="00CF334B"/>
    <w:rsid w:val="00CF759F"/>
    <w:rsid w:val="00CF766B"/>
    <w:rsid w:val="00D02B99"/>
    <w:rsid w:val="00D03E44"/>
    <w:rsid w:val="00D0408F"/>
    <w:rsid w:val="00D04957"/>
    <w:rsid w:val="00D0730F"/>
    <w:rsid w:val="00D106A1"/>
    <w:rsid w:val="00D17229"/>
    <w:rsid w:val="00D27A43"/>
    <w:rsid w:val="00D304DA"/>
    <w:rsid w:val="00D32228"/>
    <w:rsid w:val="00D32495"/>
    <w:rsid w:val="00D345A8"/>
    <w:rsid w:val="00D414D4"/>
    <w:rsid w:val="00D41FB9"/>
    <w:rsid w:val="00D4616F"/>
    <w:rsid w:val="00D5289C"/>
    <w:rsid w:val="00D53C46"/>
    <w:rsid w:val="00D56ACE"/>
    <w:rsid w:val="00D60FC8"/>
    <w:rsid w:val="00D6380A"/>
    <w:rsid w:val="00D64F20"/>
    <w:rsid w:val="00D710AE"/>
    <w:rsid w:val="00D72630"/>
    <w:rsid w:val="00D7533A"/>
    <w:rsid w:val="00D76559"/>
    <w:rsid w:val="00D7713E"/>
    <w:rsid w:val="00D77507"/>
    <w:rsid w:val="00D807D8"/>
    <w:rsid w:val="00D80EF2"/>
    <w:rsid w:val="00D83932"/>
    <w:rsid w:val="00D8528D"/>
    <w:rsid w:val="00D85A27"/>
    <w:rsid w:val="00D87CB1"/>
    <w:rsid w:val="00DA0C70"/>
    <w:rsid w:val="00DA1E38"/>
    <w:rsid w:val="00DC0342"/>
    <w:rsid w:val="00DC4DF4"/>
    <w:rsid w:val="00DC51F1"/>
    <w:rsid w:val="00DC6842"/>
    <w:rsid w:val="00DD00EF"/>
    <w:rsid w:val="00DD03B4"/>
    <w:rsid w:val="00DD190B"/>
    <w:rsid w:val="00DD2042"/>
    <w:rsid w:val="00DD5680"/>
    <w:rsid w:val="00DD6428"/>
    <w:rsid w:val="00DD6DC9"/>
    <w:rsid w:val="00DE0EE3"/>
    <w:rsid w:val="00DE201A"/>
    <w:rsid w:val="00DE2D86"/>
    <w:rsid w:val="00DE4774"/>
    <w:rsid w:val="00DE70E9"/>
    <w:rsid w:val="00DF01E8"/>
    <w:rsid w:val="00DF31B1"/>
    <w:rsid w:val="00DF78B2"/>
    <w:rsid w:val="00E055BC"/>
    <w:rsid w:val="00E128C5"/>
    <w:rsid w:val="00E14359"/>
    <w:rsid w:val="00E15E77"/>
    <w:rsid w:val="00E1716D"/>
    <w:rsid w:val="00E210B2"/>
    <w:rsid w:val="00E21673"/>
    <w:rsid w:val="00E3322E"/>
    <w:rsid w:val="00E33C79"/>
    <w:rsid w:val="00E3658A"/>
    <w:rsid w:val="00E37122"/>
    <w:rsid w:val="00E401B5"/>
    <w:rsid w:val="00E45A29"/>
    <w:rsid w:val="00E46EAE"/>
    <w:rsid w:val="00E52680"/>
    <w:rsid w:val="00E638A6"/>
    <w:rsid w:val="00E63900"/>
    <w:rsid w:val="00E63D3D"/>
    <w:rsid w:val="00E67543"/>
    <w:rsid w:val="00E707A3"/>
    <w:rsid w:val="00E76790"/>
    <w:rsid w:val="00E775BC"/>
    <w:rsid w:val="00E85B88"/>
    <w:rsid w:val="00EA198E"/>
    <w:rsid w:val="00EA4E42"/>
    <w:rsid w:val="00EB2F3E"/>
    <w:rsid w:val="00EB37F8"/>
    <w:rsid w:val="00EB44AD"/>
    <w:rsid w:val="00EC1BFA"/>
    <w:rsid w:val="00EC297D"/>
    <w:rsid w:val="00EC650C"/>
    <w:rsid w:val="00EC6864"/>
    <w:rsid w:val="00ED0668"/>
    <w:rsid w:val="00ED19C1"/>
    <w:rsid w:val="00ED725E"/>
    <w:rsid w:val="00EE11D9"/>
    <w:rsid w:val="00EE233F"/>
    <w:rsid w:val="00EE25A7"/>
    <w:rsid w:val="00EE4BDE"/>
    <w:rsid w:val="00EE55CE"/>
    <w:rsid w:val="00F012DA"/>
    <w:rsid w:val="00F01EAC"/>
    <w:rsid w:val="00F025FC"/>
    <w:rsid w:val="00F05486"/>
    <w:rsid w:val="00F06506"/>
    <w:rsid w:val="00F11AA4"/>
    <w:rsid w:val="00F13775"/>
    <w:rsid w:val="00F13F3F"/>
    <w:rsid w:val="00F15C1F"/>
    <w:rsid w:val="00F238B7"/>
    <w:rsid w:val="00F2755F"/>
    <w:rsid w:val="00F363F4"/>
    <w:rsid w:val="00F36C00"/>
    <w:rsid w:val="00F37067"/>
    <w:rsid w:val="00F42AD3"/>
    <w:rsid w:val="00F459A9"/>
    <w:rsid w:val="00F537F9"/>
    <w:rsid w:val="00F577BA"/>
    <w:rsid w:val="00F63CDF"/>
    <w:rsid w:val="00F717BB"/>
    <w:rsid w:val="00F75B45"/>
    <w:rsid w:val="00F7763B"/>
    <w:rsid w:val="00F824DB"/>
    <w:rsid w:val="00F838F2"/>
    <w:rsid w:val="00F845CF"/>
    <w:rsid w:val="00F86DA7"/>
    <w:rsid w:val="00F9119C"/>
    <w:rsid w:val="00F9222D"/>
    <w:rsid w:val="00F92C91"/>
    <w:rsid w:val="00F95EE2"/>
    <w:rsid w:val="00F97D3A"/>
    <w:rsid w:val="00FA2F0A"/>
    <w:rsid w:val="00FA726F"/>
    <w:rsid w:val="00FB0816"/>
    <w:rsid w:val="00FB14D9"/>
    <w:rsid w:val="00FB34C4"/>
    <w:rsid w:val="00FB3EC6"/>
    <w:rsid w:val="00FB4015"/>
    <w:rsid w:val="00FB4CA0"/>
    <w:rsid w:val="00FB5741"/>
    <w:rsid w:val="00FC03C0"/>
    <w:rsid w:val="00FC3F0A"/>
    <w:rsid w:val="00FC58AE"/>
    <w:rsid w:val="00FC608F"/>
    <w:rsid w:val="00FC7AB1"/>
    <w:rsid w:val="00FD1130"/>
    <w:rsid w:val="00FD22C3"/>
    <w:rsid w:val="00FD401D"/>
    <w:rsid w:val="00FD73CF"/>
    <w:rsid w:val="00FF382F"/>
    <w:rsid w:val="00FF3D7D"/>
    <w:rsid w:val="00FF465B"/>
    <w:rsid w:val="00FF7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F681"/>
  <w15:chartTrackingRefBased/>
  <w15:docId w15:val="{A50A6AB9-3C57-4EAE-B5EA-CAAA1E5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488E"/>
    <w:pPr>
      <w:spacing w:after="0" w:line="276" w:lineRule="auto"/>
    </w:pPr>
    <w:rPr>
      <w:rFonts w:ascii="Arial" w:eastAsia="Arial" w:hAnsi="Arial" w:cs="Arial"/>
      <w:color w:val="000000"/>
      <w:lang w:eastAsia="es-MX"/>
    </w:rPr>
  </w:style>
  <w:style w:type="paragraph" w:styleId="Ttulo1">
    <w:name w:val="heading 1"/>
    <w:basedOn w:val="Normal"/>
    <w:next w:val="Normal"/>
    <w:link w:val="Ttulo1Car"/>
    <w:uiPriority w:val="9"/>
    <w:qFormat/>
    <w:rsid w:val="00B110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10D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4 Viñ 1nivel,Cuadrícula media 1 - Énfasis 21,Bullet List,FooterText,numbered,List Paragraph1,Paragraphe de liste1,Bulletr List Paragraph,列出段落,列出段落1,Cuadros,Lista general"/>
    <w:basedOn w:val="Normal"/>
    <w:link w:val="PrrafodelistaCar"/>
    <w:uiPriority w:val="34"/>
    <w:qFormat/>
    <w:rsid w:val="002F589C"/>
    <w:pPr>
      <w:ind w:left="720"/>
      <w:contextualSpacing/>
    </w:pPr>
  </w:style>
  <w:style w:type="paragraph" w:customStyle="1" w:styleId="Normal1">
    <w:name w:val="Normal1"/>
    <w:rsid w:val="00AF32A1"/>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unhideWhenUsed/>
    <w:rsid w:val="00AF32A1"/>
    <w:rPr>
      <w:sz w:val="16"/>
      <w:szCs w:val="16"/>
    </w:rPr>
  </w:style>
  <w:style w:type="paragraph" w:styleId="Textocomentario">
    <w:name w:val="annotation text"/>
    <w:basedOn w:val="Normal"/>
    <w:link w:val="TextocomentarioCar"/>
    <w:uiPriority w:val="99"/>
    <w:unhideWhenUsed/>
    <w:rsid w:val="00AF32A1"/>
    <w:pPr>
      <w:spacing w:line="240" w:lineRule="auto"/>
    </w:pPr>
    <w:rPr>
      <w:sz w:val="20"/>
      <w:szCs w:val="20"/>
    </w:rPr>
  </w:style>
  <w:style w:type="character" w:customStyle="1" w:styleId="TextocomentarioCar">
    <w:name w:val="Texto comentario Car"/>
    <w:basedOn w:val="Fuentedeprrafopredeter"/>
    <w:link w:val="Textocomentario"/>
    <w:uiPriority w:val="99"/>
    <w:rsid w:val="00AF32A1"/>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F32A1"/>
    <w:rPr>
      <w:b/>
      <w:bCs/>
    </w:rPr>
  </w:style>
  <w:style w:type="character" w:customStyle="1" w:styleId="AsuntodelcomentarioCar">
    <w:name w:val="Asunto del comentario Car"/>
    <w:basedOn w:val="TextocomentarioCar"/>
    <w:link w:val="Asuntodelcomentario"/>
    <w:uiPriority w:val="99"/>
    <w:semiHidden/>
    <w:rsid w:val="00AF32A1"/>
    <w:rPr>
      <w:rFonts w:ascii="Arial" w:eastAsia="Arial" w:hAnsi="Arial" w:cs="Arial"/>
      <w:b/>
      <w:bCs/>
      <w:color w:val="000000"/>
      <w:sz w:val="20"/>
      <w:szCs w:val="20"/>
      <w:lang w:eastAsia="es-MX"/>
    </w:rPr>
  </w:style>
  <w:style w:type="paragraph" w:styleId="Textodeglobo">
    <w:name w:val="Balloon Text"/>
    <w:basedOn w:val="Normal"/>
    <w:link w:val="TextodegloboCar"/>
    <w:uiPriority w:val="99"/>
    <w:semiHidden/>
    <w:unhideWhenUsed/>
    <w:rsid w:val="00AF32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2A1"/>
    <w:rPr>
      <w:rFonts w:ascii="Segoe UI" w:eastAsia="Arial" w:hAnsi="Segoe UI" w:cs="Segoe UI"/>
      <w:color w:val="000000"/>
      <w:sz w:val="18"/>
      <w:szCs w:val="18"/>
      <w:lang w:eastAsia="es-MX"/>
    </w:rPr>
  </w:style>
  <w:style w:type="paragraph" w:customStyle="1" w:styleId="Default">
    <w:name w:val="Default"/>
    <w:rsid w:val="00B916D5"/>
    <w:pPr>
      <w:autoSpaceDE w:val="0"/>
      <w:autoSpaceDN w:val="0"/>
      <w:adjustRightInd w:val="0"/>
      <w:spacing w:after="0" w:line="240" w:lineRule="auto"/>
    </w:pPr>
    <w:rPr>
      <w:rFonts w:ascii="Verdana" w:hAnsi="Verdana" w:cs="Verdana"/>
      <w:color w:val="000000"/>
      <w:sz w:val="24"/>
      <w:szCs w:val="24"/>
    </w:rPr>
  </w:style>
  <w:style w:type="table" w:customStyle="1" w:styleId="Tabladecuadrcula4-nfasis51">
    <w:name w:val="Tabla de cuadrícula 4 - Énfasis 51"/>
    <w:basedOn w:val="Tablanormal"/>
    <w:uiPriority w:val="49"/>
    <w:rsid w:val="00605E93"/>
    <w:pPr>
      <w:spacing w:after="0" w:line="240" w:lineRule="auto"/>
    </w:pPr>
    <w:rPr>
      <w:rFonts w:ascii="Arial" w:eastAsia="Arial" w:hAnsi="Arial" w:cs="Arial"/>
      <w:color w:val="000000"/>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3">
    <w:name w:val="Plain Table 3"/>
    <w:basedOn w:val="Tablanormal"/>
    <w:uiPriority w:val="43"/>
    <w:rsid w:val="00A866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7concolores-nfasis3">
    <w:name w:val="Grid Table 7 Colorful Accent 3"/>
    <w:basedOn w:val="Tablanormal"/>
    <w:uiPriority w:val="52"/>
    <w:rsid w:val="00A8661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extonotapie">
    <w:name w:val="footnote text"/>
    <w:basedOn w:val="Normal"/>
    <w:link w:val="TextonotapieCar"/>
    <w:uiPriority w:val="99"/>
    <w:semiHidden/>
    <w:unhideWhenUsed/>
    <w:rsid w:val="007247D4"/>
    <w:pPr>
      <w:spacing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247D4"/>
    <w:rPr>
      <w:sz w:val="20"/>
      <w:szCs w:val="20"/>
    </w:rPr>
  </w:style>
  <w:style w:type="character" w:styleId="Refdenotaalpie">
    <w:name w:val="footnote reference"/>
    <w:basedOn w:val="Fuentedeprrafopredeter"/>
    <w:uiPriority w:val="99"/>
    <w:semiHidden/>
    <w:unhideWhenUsed/>
    <w:rsid w:val="007247D4"/>
    <w:rPr>
      <w:vertAlign w:val="superscript"/>
    </w:rPr>
  </w:style>
  <w:style w:type="character" w:customStyle="1" w:styleId="reference-text">
    <w:name w:val="reference-text"/>
    <w:basedOn w:val="Fuentedeprrafopredeter"/>
    <w:rsid w:val="007247D4"/>
  </w:style>
  <w:style w:type="paragraph" w:styleId="Encabezado">
    <w:name w:val="header"/>
    <w:basedOn w:val="Normal"/>
    <w:link w:val="EncabezadoCar"/>
    <w:uiPriority w:val="99"/>
    <w:unhideWhenUsed/>
    <w:rsid w:val="00405F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5F85"/>
    <w:rPr>
      <w:rFonts w:ascii="Arial" w:eastAsia="Arial" w:hAnsi="Arial" w:cs="Arial"/>
      <w:color w:val="000000"/>
      <w:lang w:eastAsia="es-MX"/>
    </w:rPr>
  </w:style>
  <w:style w:type="paragraph" w:styleId="Piedepgina">
    <w:name w:val="footer"/>
    <w:basedOn w:val="Normal"/>
    <w:link w:val="PiedepginaCar"/>
    <w:uiPriority w:val="99"/>
    <w:unhideWhenUsed/>
    <w:rsid w:val="00405F8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5F85"/>
    <w:rPr>
      <w:rFonts w:ascii="Arial" w:eastAsia="Arial" w:hAnsi="Arial" w:cs="Arial"/>
      <w:color w:val="000000"/>
      <w:lang w:eastAsia="es-MX"/>
    </w:rPr>
  </w:style>
  <w:style w:type="paragraph" w:styleId="NormalWeb">
    <w:name w:val="Normal (Web)"/>
    <w:basedOn w:val="Normal"/>
    <w:uiPriority w:val="99"/>
    <w:semiHidden/>
    <w:unhideWhenUsed/>
    <w:rsid w:val="004038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rrafodelistaCar">
    <w:name w:val="Párrafo de lista Car"/>
    <w:aliases w:val="Numeración 1 Car,4 Viñ 1nivel Car,Cuadrícula media 1 - Énfasis 21 Car,Bullet List Car,FooterText Car,numbered Car,List Paragraph1 Car,Paragraphe de liste1 Car,Bulletr List Paragraph Car,列出段落 Car,列出段落1 Car,Cuadros Car"/>
    <w:link w:val="Prrafodelista"/>
    <w:uiPriority w:val="34"/>
    <w:locked/>
    <w:rsid w:val="00BC5CBE"/>
    <w:rPr>
      <w:rFonts w:ascii="Arial" w:eastAsia="Arial" w:hAnsi="Arial" w:cs="Arial"/>
      <w:color w:val="000000"/>
      <w:lang w:eastAsia="es-MX"/>
    </w:rPr>
  </w:style>
  <w:style w:type="paragraph" w:customStyle="1" w:styleId="n2">
    <w:name w:val="n2"/>
    <w:basedOn w:val="Normal"/>
    <w:rsid w:val="00654F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654FBD"/>
  </w:style>
  <w:style w:type="character" w:styleId="nfasis">
    <w:name w:val="Emphasis"/>
    <w:basedOn w:val="Fuentedeprrafopredeter"/>
    <w:uiPriority w:val="20"/>
    <w:qFormat/>
    <w:rsid w:val="00654FBD"/>
    <w:rPr>
      <w:i/>
      <w:iCs/>
    </w:rPr>
  </w:style>
  <w:style w:type="paragraph" w:customStyle="1" w:styleId="j">
    <w:name w:val="j"/>
    <w:basedOn w:val="Normal"/>
    <w:rsid w:val="00654F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cep">
    <w:name w:val="n_acep"/>
    <w:basedOn w:val="Fuentedeprrafopredeter"/>
    <w:rsid w:val="00654FBD"/>
  </w:style>
  <w:style w:type="character" w:customStyle="1" w:styleId="h">
    <w:name w:val="h"/>
    <w:basedOn w:val="Fuentedeprrafopredeter"/>
    <w:rsid w:val="00654FBD"/>
  </w:style>
  <w:style w:type="paragraph" w:styleId="Revisin">
    <w:name w:val="Revision"/>
    <w:hidden/>
    <w:uiPriority w:val="99"/>
    <w:semiHidden/>
    <w:rsid w:val="00C610B2"/>
    <w:pPr>
      <w:spacing w:after="0" w:line="240" w:lineRule="auto"/>
    </w:pPr>
    <w:rPr>
      <w:rFonts w:ascii="Arial" w:eastAsia="Arial" w:hAnsi="Arial" w:cs="Arial"/>
      <w:color w:val="000000"/>
      <w:lang w:eastAsia="es-MX"/>
    </w:rPr>
  </w:style>
  <w:style w:type="paragraph" w:customStyle="1" w:styleId="Texto">
    <w:name w:val="Texto"/>
    <w:basedOn w:val="Normal"/>
    <w:link w:val="TextoCar"/>
    <w:rsid w:val="00D85A27"/>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D85A27"/>
    <w:rPr>
      <w:rFonts w:ascii="Arial" w:eastAsia="Times New Roman" w:hAnsi="Arial" w:cs="Arial"/>
      <w:sz w:val="18"/>
      <w:szCs w:val="20"/>
      <w:lang w:val="es-ES" w:eastAsia="es-ES"/>
    </w:rPr>
  </w:style>
  <w:style w:type="table" w:styleId="Tablaconcuadrcula">
    <w:name w:val="Table Grid"/>
    <w:basedOn w:val="Tablanormal"/>
    <w:uiPriority w:val="59"/>
    <w:rsid w:val="00750279"/>
    <w:pPr>
      <w:spacing w:after="0" w:line="240" w:lineRule="auto"/>
    </w:pPr>
    <w:rPr>
      <w:rFonts w:ascii="Cambria" w:eastAsia="MS Mincho" w:hAnsi="Cambri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54B17"/>
    <w:rPr>
      <w:b/>
      <w:bCs/>
    </w:rPr>
  </w:style>
  <w:style w:type="paragraph" w:styleId="Sinespaciado">
    <w:name w:val="No Spacing"/>
    <w:uiPriority w:val="1"/>
    <w:qFormat/>
    <w:rsid w:val="008C2BE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8C2BEC"/>
    <w:rPr>
      <w:color w:val="0563C1" w:themeColor="hyperlink"/>
      <w:u w:val="single"/>
    </w:rPr>
  </w:style>
  <w:style w:type="character" w:styleId="Hipervnculovisitado">
    <w:name w:val="FollowedHyperlink"/>
    <w:basedOn w:val="Fuentedeprrafopredeter"/>
    <w:uiPriority w:val="99"/>
    <w:semiHidden/>
    <w:unhideWhenUsed/>
    <w:rsid w:val="00516C69"/>
    <w:rPr>
      <w:color w:val="954F72" w:themeColor="followedHyperlink"/>
      <w:u w:val="single"/>
    </w:rPr>
  </w:style>
  <w:style w:type="character" w:customStyle="1" w:styleId="Ttulo1Car">
    <w:name w:val="Título 1 Car"/>
    <w:basedOn w:val="Fuentedeprrafopredeter"/>
    <w:link w:val="Ttulo1"/>
    <w:uiPriority w:val="9"/>
    <w:rsid w:val="00B110BE"/>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10D95"/>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77982">
      <w:bodyDiv w:val="1"/>
      <w:marLeft w:val="0"/>
      <w:marRight w:val="0"/>
      <w:marTop w:val="0"/>
      <w:marBottom w:val="0"/>
      <w:divBdr>
        <w:top w:val="none" w:sz="0" w:space="0" w:color="auto"/>
        <w:left w:val="none" w:sz="0" w:space="0" w:color="auto"/>
        <w:bottom w:val="none" w:sz="0" w:space="0" w:color="auto"/>
        <w:right w:val="none" w:sz="0" w:space="0" w:color="auto"/>
      </w:divBdr>
      <w:divsChild>
        <w:div w:id="1474104986">
          <w:marLeft w:val="0"/>
          <w:marRight w:val="0"/>
          <w:marTop w:val="0"/>
          <w:marBottom w:val="240"/>
          <w:divBdr>
            <w:top w:val="none" w:sz="0" w:space="0" w:color="auto"/>
            <w:left w:val="none" w:sz="0" w:space="0" w:color="auto"/>
            <w:bottom w:val="none" w:sz="0" w:space="0" w:color="auto"/>
            <w:right w:val="none" w:sz="0" w:space="0" w:color="auto"/>
          </w:divBdr>
        </w:div>
      </w:divsChild>
    </w:div>
    <w:div w:id="1033464423">
      <w:bodyDiv w:val="1"/>
      <w:marLeft w:val="0"/>
      <w:marRight w:val="0"/>
      <w:marTop w:val="0"/>
      <w:marBottom w:val="0"/>
      <w:divBdr>
        <w:top w:val="none" w:sz="0" w:space="0" w:color="auto"/>
        <w:left w:val="none" w:sz="0" w:space="0" w:color="auto"/>
        <w:bottom w:val="none" w:sz="0" w:space="0" w:color="auto"/>
        <w:right w:val="none" w:sz="0" w:space="0" w:color="auto"/>
      </w:divBdr>
      <w:divsChild>
        <w:div w:id="1372072230">
          <w:marLeft w:val="720"/>
          <w:marRight w:val="0"/>
          <w:marTop w:val="0"/>
          <w:marBottom w:val="0"/>
          <w:divBdr>
            <w:top w:val="none" w:sz="0" w:space="0" w:color="auto"/>
            <w:left w:val="none" w:sz="0" w:space="0" w:color="auto"/>
            <w:bottom w:val="none" w:sz="0" w:space="0" w:color="auto"/>
            <w:right w:val="none" w:sz="0" w:space="0" w:color="auto"/>
          </w:divBdr>
        </w:div>
      </w:divsChild>
    </w:div>
    <w:div w:id="1867862395">
      <w:bodyDiv w:val="1"/>
      <w:marLeft w:val="0"/>
      <w:marRight w:val="0"/>
      <w:marTop w:val="0"/>
      <w:marBottom w:val="0"/>
      <w:divBdr>
        <w:top w:val="none" w:sz="0" w:space="0" w:color="auto"/>
        <w:left w:val="none" w:sz="0" w:space="0" w:color="auto"/>
        <w:bottom w:val="none" w:sz="0" w:space="0" w:color="auto"/>
        <w:right w:val="none" w:sz="0" w:space="0" w:color="auto"/>
      </w:divBdr>
    </w:div>
    <w:div w:id="20120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FFD671392FB8144DBE8C962A260A6E1D" ma:contentTypeVersion="0" ma:contentTypeDescription="Crear nuevo documento." ma:contentTypeScope="" ma:versionID="68bfd4a2646644a356bc2b796405ec4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C0036-5C8B-4067-B916-52E6A2454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3058E-2C42-4EF3-9A67-89E43C05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2F392D-17D5-4949-8CBA-9E9971C7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DAF495-6998-42B2-814B-7E5B580BDD10}">
  <ds:schemaRefs>
    <ds:schemaRef ds:uri="http://schemas.microsoft.com/sharepoint/v3/contenttype/forms"/>
  </ds:schemaRefs>
</ds:datastoreItem>
</file>

<file path=customXml/itemProps5.xml><?xml version="1.0" encoding="utf-8"?>
<ds:datastoreItem xmlns:ds="http://schemas.openxmlformats.org/officeDocument/2006/customXml" ds:itemID="{7FD6CC6A-1894-4A53-A75C-9521C4B9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905AD7FC-42C3-4293-B00C-C8979DB0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3060</Words>
  <Characters>16832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Maria del Consuelo Gonzalez Moreno</cp:lastModifiedBy>
  <cp:revision>11</cp:revision>
  <dcterms:created xsi:type="dcterms:W3CDTF">2017-11-21T21:33:00Z</dcterms:created>
  <dcterms:modified xsi:type="dcterms:W3CDTF">2018-01-04T17:04:00Z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0x010100C217EAEA52169245A5DADC40A7407967</vt:lpwstr>
  </property>
</Properties>
</file>