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58012" w14:textId="77777777" w:rsidR="00A3174D" w:rsidRDefault="00A3174D" w:rsidP="00A3174D">
      <w:pPr>
        <w:spacing w:after="120" w:line="240" w:lineRule="auto"/>
        <w:jc w:val="both"/>
        <w:rPr>
          <w:rFonts w:ascii="ITC Avant Garde" w:hAnsi="ITC Avant Garde"/>
        </w:rPr>
      </w:pPr>
      <w:r>
        <w:rPr>
          <w:rFonts w:ascii="ITC Avant Garde" w:hAnsi="ITC Avant Garde"/>
        </w:rPr>
        <w:t>Ciudad de México</w:t>
      </w:r>
      <w:r w:rsidRPr="00AC36CC">
        <w:rPr>
          <w:rFonts w:ascii="ITC Avant Garde" w:hAnsi="ITC Avant Garde"/>
        </w:rPr>
        <w:t xml:space="preserve">, </w:t>
      </w:r>
      <w:r w:rsidRPr="005A7878">
        <w:rPr>
          <w:rFonts w:ascii="ITC Avant Garde" w:hAnsi="ITC Avant Garde"/>
        </w:rPr>
        <w:t>a quince de marzo de dos mil diecisiete</w:t>
      </w:r>
      <w:r w:rsidRPr="00AC36CC">
        <w:rPr>
          <w:rFonts w:ascii="ITC Avant Garde" w:hAnsi="ITC Avant Garde"/>
        </w:rPr>
        <w:t>.- Visto</w:t>
      </w:r>
      <w:r>
        <w:rPr>
          <w:rFonts w:ascii="ITC Avant Garde" w:hAnsi="ITC Avant Garde"/>
        </w:rPr>
        <w:t>s:</w:t>
      </w:r>
    </w:p>
    <w:p w14:paraId="74EF1A03" w14:textId="77777777" w:rsidR="00A3174D" w:rsidRPr="009A092E" w:rsidRDefault="00A3174D" w:rsidP="00A3174D">
      <w:pPr>
        <w:autoSpaceDE w:val="0"/>
        <w:autoSpaceDN w:val="0"/>
        <w:adjustRightInd w:val="0"/>
        <w:spacing w:line="240" w:lineRule="auto"/>
        <w:jc w:val="both"/>
        <w:rPr>
          <w:rFonts w:ascii="ITC Avant Garde" w:hAnsi="ITC Avant Garde" w:cs="Helvetica"/>
        </w:rPr>
      </w:pPr>
      <w:r w:rsidRPr="006550EF">
        <w:rPr>
          <w:rFonts w:ascii="ITC Avant Garde" w:hAnsi="ITC Avant Garde"/>
          <w:b/>
        </w:rPr>
        <w:t>i)</w:t>
      </w:r>
      <w:r w:rsidRPr="00AC36CC">
        <w:rPr>
          <w:rFonts w:ascii="ITC Avant Garde" w:hAnsi="ITC Avant Garde"/>
        </w:rPr>
        <w:t xml:space="preserve"> </w:t>
      </w:r>
      <w:r w:rsidRPr="009A092E">
        <w:rPr>
          <w:rFonts w:ascii="ITC Avant Garde" w:hAnsi="ITC Avant Garde" w:cs="Helvetica"/>
        </w:rPr>
        <w:t xml:space="preserve">El acuerdo </w:t>
      </w:r>
      <w:r>
        <w:rPr>
          <w:rFonts w:ascii="ITC Avant Garde" w:hAnsi="ITC Avant Garde" w:cs="Helvetica"/>
        </w:rPr>
        <w:t xml:space="preserve">de inicio de investigación emitido el cuatro de diciembre de dos mil trece por </w:t>
      </w:r>
      <w:r w:rsidRPr="009A092E">
        <w:rPr>
          <w:rFonts w:ascii="ITC Avant Garde" w:hAnsi="ITC Avant Garde" w:cs="Helvetica"/>
        </w:rPr>
        <w:t>la Jefa de la Unidad de Competencia Económica del Instituto Federal de Telecomunicaciones (Instituto),</w:t>
      </w:r>
      <w:r>
        <w:rPr>
          <w:rStyle w:val="Refdenotaalpie"/>
          <w:rFonts w:ascii="ITC Avant Garde" w:hAnsi="ITC Avant Garde" w:cs="Helvetica"/>
        </w:rPr>
        <w:footnoteReference w:id="1"/>
      </w:r>
      <w:r w:rsidRPr="009A092E">
        <w:rPr>
          <w:rFonts w:ascii="ITC Avant Garde" w:hAnsi="ITC Avant Garde" w:cs="Helvetica"/>
        </w:rPr>
        <w:t xml:space="preserve"> por la posible </w:t>
      </w:r>
      <w:r>
        <w:rPr>
          <w:rFonts w:ascii="ITC Avant Garde" w:hAnsi="ITC Avant Garde" w:cs="Helvetica"/>
        </w:rPr>
        <w:t xml:space="preserve">realización de una </w:t>
      </w:r>
      <w:r w:rsidRPr="009A092E">
        <w:rPr>
          <w:rFonts w:ascii="ITC Avant Garde" w:hAnsi="ITC Avant Garde" w:cs="Helvetica"/>
        </w:rPr>
        <w:t>concentración prohibida</w:t>
      </w:r>
      <w:r>
        <w:rPr>
          <w:rFonts w:ascii="ITC Avant Garde" w:hAnsi="ITC Avant Garde" w:cs="Helvetica"/>
        </w:rPr>
        <w:t xml:space="preserve"> en términos de los artículos 16 y 17 de la </w:t>
      </w:r>
      <w:r>
        <w:rPr>
          <w:rFonts w:ascii="ITC Avant Garde" w:hAnsi="ITC Avant Garde"/>
        </w:rPr>
        <w:t>Ley Federal de Competencia Económica (LFCE),</w:t>
      </w:r>
      <w:r>
        <w:rPr>
          <w:rStyle w:val="Refdenotaalpie"/>
          <w:rFonts w:ascii="ITC Avant Garde" w:hAnsi="ITC Avant Garde"/>
        </w:rPr>
        <w:footnoteReference w:id="2"/>
      </w:r>
      <w:r>
        <w:rPr>
          <w:rFonts w:ascii="ITC Avant Garde" w:hAnsi="ITC Avant Garde"/>
        </w:rPr>
        <w:t xml:space="preserve"> con el número de expediente </w:t>
      </w:r>
      <w:r w:rsidRPr="00CD32E9">
        <w:rPr>
          <w:rFonts w:ascii="ITC Avant Garde" w:hAnsi="ITC Avant Garde"/>
        </w:rPr>
        <w:t>E-IFT/UC/DGIPM/CP/0003/2013</w:t>
      </w:r>
      <w:r>
        <w:rPr>
          <w:rFonts w:ascii="ITC Avant Garde" w:hAnsi="ITC Avant Garde"/>
        </w:rPr>
        <w:t xml:space="preserve"> (Expediente).</w:t>
      </w:r>
    </w:p>
    <w:p w14:paraId="13C5DF73" w14:textId="77777777" w:rsidR="00A3174D" w:rsidRPr="009A092E" w:rsidRDefault="00A3174D" w:rsidP="00A3174D">
      <w:pPr>
        <w:autoSpaceDE w:val="0"/>
        <w:autoSpaceDN w:val="0"/>
        <w:adjustRightInd w:val="0"/>
        <w:spacing w:line="240" w:lineRule="auto"/>
        <w:jc w:val="both"/>
        <w:rPr>
          <w:rFonts w:ascii="ITC Avant Garde" w:hAnsi="ITC Avant Garde"/>
        </w:rPr>
      </w:pPr>
      <w:r w:rsidRPr="009A092E">
        <w:rPr>
          <w:rFonts w:ascii="ITC Avant Garde" w:hAnsi="ITC Avant Garde" w:cs="Helvetica"/>
          <w:b/>
        </w:rPr>
        <w:t xml:space="preserve">ii) </w:t>
      </w:r>
      <w:r w:rsidRPr="009A092E">
        <w:rPr>
          <w:rFonts w:ascii="ITC Avant Garde" w:hAnsi="ITC Avant Garde" w:cs="Helvetica"/>
        </w:rPr>
        <w:t xml:space="preserve">El Oficio de Probable Responsabilidad emitido </w:t>
      </w:r>
      <w:r>
        <w:rPr>
          <w:rFonts w:ascii="ITC Avant Garde" w:hAnsi="ITC Avant Garde" w:cs="Helvetica"/>
        </w:rPr>
        <w:t xml:space="preserve">el dieciocho de octubre de dos mil dieciséis por </w:t>
      </w:r>
      <w:r w:rsidRPr="009A092E">
        <w:rPr>
          <w:rFonts w:ascii="ITC Avant Garde" w:hAnsi="ITC Avant Garde" w:cs="Helvetica"/>
        </w:rPr>
        <w:t>el Titular de la Autoridad Investigadora</w:t>
      </w:r>
      <w:r>
        <w:rPr>
          <w:rFonts w:ascii="ITC Avant Garde" w:hAnsi="ITC Avant Garde" w:cs="Helvetica"/>
        </w:rPr>
        <w:t xml:space="preserve"> del Instituto</w:t>
      </w:r>
      <w:r w:rsidRPr="009A092E">
        <w:rPr>
          <w:rFonts w:ascii="ITC Avant Garde" w:hAnsi="ITC Avant Garde" w:cs="Helvetica"/>
        </w:rPr>
        <w:t xml:space="preserve">, </w:t>
      </w:r>
      <w:r>
        <w:rPr>
          <w:rFonts w:ascii="ITC Avant Garde" w:hAnsi="ITC Avant Garde" w:cs="Helvetica"/>
        </w:rPr>
        <w:t xml:space="preserve">mediante el cual se imputó a </w:t>
      </w:r>
      <w:r w:rsidRPr="00A369EC">
        <w:rPr>
          <w:rFonts w:ascii="ITC Avant Garde" w:hAnsi="ITC Avant Garde"/>
          <w:b/>
        </w:rPr>
        <w:t>Grupo Televisa, S.A.B.</w:t>
      </w:r>
      <w:r>
        <w:rPr>
          <w:rFonts w:ascii="ITC Avant Garde" w:hAnsi="ITC Avant Garde"/>
          <w:b/>
        </w:rPr>
        <w:t xml:space="preserve"> </w:t>
      </w:r>
      <w:r>
        <w:rPr>
          <w:rFonts w:ascii="ITC Avant Garde" w:hAnsi="ITC Avant Garde"/>
        </w:rPr>
        <w:t>(GTV)</w:t>
      </w:r>
      <w:r>
        <w:rPr>
          <w:rFonts w:ascii="ITC Avant Garde" w:hAnsi="ITC Avant Garde"/>
          <w:b/>
        </w:rPr>
        <w:t xml:space="preserve">, </w:t>
      </w:r>
      <w:r w:rsidRPr="00476CDF">
        <w:rPr>
          <w:rFonts w:ascii="ITC Avant Garde" w:hAnsi="ITC Avant Garde"/>
          <w:b/>
          <w:color w:val="000000"/>
        </w:rPr>
        <w:t>Arretis, S.A.P.I. de C.V</w:t>
      </w:r>
      <w:r>
        <w:rPr>
          <w:rFonts w:ascii="ITC Avant Garde" w:hAnsi="ITC Avant Garde"/>
          <w:b/>
          <w:color w:val="000000"/>
        </w:rPr>
        <w:t xml:space="preserve">. </w:t>
      </w:r>
      <w:r>
        <w:rPr>
          <w:rFonts w:ascii="ITC Avant Garde" w:hAnsi="ITC Avant Garde"/>
          <w:color w:val="000000"/>
        </w:rPr>
        <w:t xml:space="preserve">(Arretis) y </w:t>
      </w:r>
      <w:r w:rsidRPr="00476CDF">
        <w:rPr>
          <w:rFonts w:ascii="ITC Avant Garde" w:hAnsi="ITC Avant Garde"/>
          <w:b/>
          <w:color w:val="000000"/>
        </w:rPr>
        <w:t>Tenedora Ares, S.A.P.I. de C.V</w:t>
      </w:r>
      <w:r>
        <w:rPr>
          <w:rFonts w:ascii="ITC Avant Garde" w:hAnsi="ITC Avant Garde"/>
          <w:b/>
          <w:color w:val="000000"/>
        </w:rPr>
        <w:t xml:space="preserve"> </w:t>
      </w:r>
      <w:r w:rsidRPr="00162238">
        <w:rPr>
          <w:rFonts w:ascii="ITC Avant Garde" w:hAnsi="ITC Avant Garde"/>
          <w:color w:val="000000"/>
        </w:rPr>
        <w:t>(</w:t>
      </w:r>
      <w:r>
        <w:rPr>
          <w:rFonts w:ascii="ITC Avant Garde" w:hAnsi="ITC Avant Garde"/>
          <w:color w:val="000000"/>
        </w:rPr>
        <w:t>Tenedora Ares</w:t>
      </w:r>
      <w:r w:rsidRPr="00162238">
        <w:rPr>
          <w:rFonts w:ascii="ITC Avant Garde" w:hAnsi="ITC Avant Garde"/>
          <w:color w:val="000000"/>
        </w:rPr>
        <w:t>)</w:t>
      </w:r>
      <w:r>
        <w:rPr>
          <w:rFonts w:ascii="ITC Avant Garde" w:hAnsi="ITC Avant Garde"/>
        </w:rPr>
        <w:t>:</w:t>
      </w:r>
      <w:r>
        <w:rPr>
          <w:rStyle w:val="Refdenotaalpie"/>
          <w:rFonts w:ascii="ITC Avant Garde" w:hAnsi="ITC Avant Garde"/>
        </w:rPr>
        <w:footnoteReference w:id="3"/>
      </w:r>
      <w:r>
        <w:rPr>
          <w:rFonts w:ascii="ITC Avant Garde" w:hAnsi="ITC Avant Garde"/>
        </w:rPr>
        <w:t xml:space="preserve"> la omisión de notificar una concentración que en su caso, podría ser prohibida en términos de la LFCE</w:t>
      </w:r>
      <w:r w:rsidRPr="009A092E">
        <w:rPr>
          <w:rFonts w:ascii="ITC Avant Garde" w:hAnsi="ITC Avant Garde"/>
        </w:rPr>
        <w:t>.</w:t>
      </w:r>
      <w:r w:rsidRPr="009A092E">
        <w:rPr>
          <w:rStyle w:val="Refdenotaalpie"/>
          <w:rFonts w:ascii="ITC Avant Garde" w:hAnsi="ITC Avant Garde"/>
        </w:rPr>
        <w:footnoteReference w:id="4"/>
      </w:r>
    </w:p>
    <w:p w14:paraId="291A0A15" w14:textId="385BD21A" w:rsidR="00A3174D" w:rsidRDefault="00A3174D" w:rsidP="00A3174D">
      <w:pPr>
        <w:jc w:val="both"/>
        <w:rPr>
          <w:rFonts w:ascii="ITC Avant Garde" w:hAnsi="ITC Avant Garde"/>
        </w:rPr>
      </w:pPr>
      <w:r w:rsidRPr="00A92539">
        <w:rPr>
          <w:rFonts w:ascii="ITC Avant Garde" w:hAnsi="ITC Avant Garde"/>
          <w:b/>
        </w:rPr>
        <w:t>iii)</w:t>
      </w:r>
      <w:r>
        <w:rPr>
          <w:rFonts w:ascii="ITC Avant Garde" w:hAnsi="ITC Avant Garde"/>
        </w:rPr>
        <w:t xml:space="preserve"> El</w:t>
      </w:r>
      <w:r w:rsidRPr="00AC36CC">
        <w:rPr>
          <w:rFonts w:ascii="ITC Avant Garde" w:hAnsi="ITC Avant Garde"/>
        </w:rPr>
        <w:t xml:space="preserve"> </w:t>
      </w:r>
      <w:r>
        <w:rPr>
          <w:rFonts w:ascii="ITC Avant Garde" w:hAnsi="ITC Avant Garde"/>
        </w:rPr>
        <w:t>escrito presentado el primero</w:t>
      </w:r>
      <w:r w:rsidRPr="008334A2">
        <w:rPr>
          <w:rFonts w:ascii="ITC Avant Garde" w:hAnsi="ITC Avant Garde"/>
        </w:rPr>
        <w:t xml:space="preserve"> </w:t>
      </w:r>
      <w:r>
        <w:rPr>
          <w:rFonts w:ascii="ITC Avant Garde" w:hAnsi="ITC Avant Garde"/>
        </w:rPr>
        <w:t>de marzo de dos mil diecisiete, en la oficialía de partes del Instituto, signado por María del Pilar Mata Fernández, autorizada por</w:t>
      </w:r>
      <w:r w:rsidRPr="00A369EC">
        <w:rPr>
          <w:rFonts w:ascii="ITC Avant Garde" w:hAnsi="ITC Avant Garde"/>
          <w:b/>
        </w:rPr>
        <w:t xml:space="preserve"> </w:t>
      </w:r>
      <w:r>
        <w:rPr>
          <w:rFonts w:ascii="ITC Avant Garde" w:hAnsi="ITC Avant Garde"/>
        </w:rPr>
        <w:t>GTV</w:t>
      </w:r>
      <w:r>
        <w:rPr>
          <w:rFonts w:ascii="ITC Avant Garde" w:hAnsi="ITC Avant Garde"/>
          <w:b/>
        </w:rPr>
        <w:t xml:space="preserve">, </w:t>
      </w:r>
      <w:r>
        <w:rPr>
          <w:rFonts w:ascii="ITC Avant Garde" w:hAnsi="ITC Avant Garde"/>
          <w:color w:val="000000"/>
        </w:rPr>
        <w:t>Arretis y Tenedora Ares</w:t>
      </w:r>
      <w:r>
        <w:rPr>
          <w:rFonts w:ascii="ITC Avant Garde" w:hAnsi="ITC Avant Garde"/>
        </w:rPr>
        <w:t>,</w:t>
      </w:r>
      <w:r>
        <w:rPr>
          <w:rStyle w:val="Refdenotaalpie"/>
          <w:rFonts w:ascii="ITC Avant Garde" w:hAnsi="ITC Avant Garde"/>
        </w:rPr>
        <w:footnoteReference w:id="5"/>
      </w:r>
      <w:r>
        <w:rPr>
          <w:rFonts w:ascii="ITC Avant Garde" w:hAnsi="ITC Avant Garde"/>
        </w:rPr>
        <w:t xml:space="preserve"> mediante el cual solicitó la celebración de una a</w:t>
      </w:r>
      <w:r w:rsidR="002E6CC2">
        <w:rPr>
          <w:rFonts w:ascii="ITC Avant Garde" w:hAnsi="ITC Avant Garde"/>
        </w:rPr>
        <w:t>udiencia oral en el Expediente</w:t>
      </w:r>
      <w:r>
        <w:rPr>
          <w:rFonts w:ascii="ITC Avant Garde" w:hAnsi="ITC Avant Garde"/>
        </w:rPr>
        <w:t>; y</w:t>
      </w:r>
    </w:p>
    <w:p w14:paraId="67019028" w14:textId="77777777" w:rsidR="00A3174D" w:rsidRDefault="00A3174D" w:rsidP="00A3174D">
      <w:pPr>
        <w:spacing w:after="120" w:line="240" w:lineRule="auto"/>
        <w:jc w:val="both"/>
        <w:rPr>
          <w:rFonts w:ascii="ITC Avant Garde" w:hAnsi="ITC Avant Garde"/>
        </w:rPr>
      </w:pPr>
      <w:r w:rsidRPr="00A92539">
        <w:rPr>
          <w:rFonts w:ascii="ITC Avant Garde" w:hAnsi="ITC Avant Garde"/>
          <w:b/>
        </w:rPr>
        <w:t>iv)</w:t>
      </w:r>
      <w:r>
        <w:rPr>
          <w:rFonts w:ascii="ITC Avant Garde" w:hAnsi="ITC Avant Garde"/>
        </w:rPr>
        <w:t xml:space="preserve"> El acuerdo emitido </w:t>
      </w:r>
      <w:r w:rsidRPr="00AC36CC">
        <w:rPr>
          <w:rFonts w:ascii="ITC Avant Garde" w:hAnsi="ITC Avant Garde"/>
        </w:rPr>
        <w:t>por el Director General de Procedimientos de Competencia</w:t>
      </w:r>
      <w:r>
        <w:rPr>
          <w:rFonts w:ascii="ITC Avant Garde" w:hAnsi="ITC Avant Garde"/>
        </w:rPr>
        <w:t xml:space="preserve"> del Instituto, el tres de marzo de dos mil diecisiete, mediante el cual reservó al Pleno del Instituto el pronunciamiento sobre la petición formulada por </w:t>
      </w:r>
      <w:r>
        <w:rPr>
          <w:rFonts w:ascii="ITC Avant Garde" w:hAnsi="ITC Avant Garde"/>
          <w:lang w:val="es-ES"/>
        </w:rPr>
        <w:t>GTV, Arretis y Tenedora Ares</w:t>
      </w:r>
      <w:r>
        <w:rPr>
          <w:rFonts w:ascii="ITC Avant Garde" w:hAnsi="ITC Avant Garde"/>
        </w:rPr>
        <w:t>.</w:t>
      </w:r>
    </w:p>
    <w:p w14:paraId="42044824" w14:textId="77777777" w:rsidR="00A3174D" w:rsidRDefault="00A3174D" w:rsidP="00A3174D">
      <w:pPr>
        <w:spacing w:after="120" w:line="240" w:lineRule="auto"/>
        <w:jc w:val="both"/>
        <w:rPr>
          <w:rFonts w:ascii="ITC Avant Garde" w:hAnsi="ITC Avant Garde"/>
        </w:rPr>
      </w:pPr>
      <w:r>
        <w:rPr>
          <w:rFonts w:ascii="ITC Avant Garde" w:hAnsi="ITC Avant Garde"/>
        </w:rPr>
        <w:t>Al respecto, el Pleno del Instituto, de conformidad con lo establecido en los artículos 28, párrafos décimo sexto y vigésimo, de la Constitución Política de los Estados Unidos Mexicanos; 33, fracción VI, párrafo cuarto de la LFCE, 4, fracción I, 6, fracción XI, 7, 8, 9 y 12 del Estatuto Orgánico del Instituto.</w:t>
      </w:r>
      <w:r>
        <w:rPr>
          <w:rStyle w:val="Refdenotaalpie"/>
          <w:rFonts w:ascii="ITC Avant Garde" w:hAnsi="ITC Avant Garde"/>
        </w:rPr>
        <w:footnoteReference w:id="6"/>
      </w:r>
    </w:p>
    <w:p w14:paraId="39505F5A" w14:textId="77777777" w:rsidR="00A3174D" w:rsidRPr="0073288F" w:rsidRDefault="00A3174D" w:rsidP="0073288F">
      <w:pPr>
        <w:pStyle w:val="Ttulo2"/>
        <w:spacing w:after="240"/>
        <w:jc w:val="center"/>
        <w:rPr>
          <w:rFonts w:ascii="ITC Avant Garde" w:hAnsi="ITC Avant Garde"/>
          <w:b/>
          <w:color w:val="000000" w:themeColor="text1"/>
          <w:sz w:val="22"/>
          <w:szCs w:val="22"/>
        </w:rPr>
      </w:pPr>
      <w:bookmarkStart w:id="0" w:name="_GoBack"/>
      <w:r w:rsidRPr="0073288F">
        <w:rPr>
          <w:rFonts w:ascii="ITC Avant Garde" w:hAnsi="ITC Avant Garde"/>
          <w:b/>
          <w:color w:val="000000" w:themeColor="text1"/>
          <w:sz w:val="22"/>
          <w:szCs w:val="22"/>
        </w:rPr>
        <w:lastRenderedPageBreak/>
        <w:t>ACUERDA:</w:t>
      </w:r>
    </w:p>
    <w:bookmarkEnd w:id="0"/>
    <w:p w14:paraId="107E136F" w14:textId="77777777" w:rsidR="00A3174D" w:rsidRPr="00262937" w:rsidRDefault="00A3174D" w:rsidP="00A3174D">
      <w:pPr>
        <w:jc w:val="both"/>
        <w:rPr>
          <w:rFonts w:ascii="ITC Avant Garde" w:hAnsi="ITC Avant Garde"/>
        </w:rPr>
      </w:pPr>
      <w:r>
        <w:rPr>
          <w:rFonts w:ascii="ITC Avant Garde" w:hAnsi="ITC Avant Garde"/>
          <w:b/>
        </w:rPr>
        <w:t>PRIMERO</w:t>
      </w:r>
      <w:r w:rsidRPr="003E0DB2">
        <w:rPr>
          <w:rFonts w:ascii="ITC Avant Garde" w:hAnsi="ITC Avant Garde"/>
          <w:b/>
        </w:rPr>
        <w:t xml:space="preserve">.- </w:t>
      </w:r>
      <w:r w:rsidRPr="00262937">
        <w:rPr>
          <w:rFonts w:ascii="ITC Avant Garde" w:hAnsi="ITC Avant Garde"/>
        </w:rPr>
        <w:t xml:space="preserve">Tener por presentado en tiempo el escrito de solicitud de audiencia oral de </w:t>
      </w:r>
      <w:r>
        <w:rPr>
          <w:rFonts w:ascii="ITC Avant Garde" w:hAnsi="ITC Avant Garde"/>
        </w:rPr>
        <w:t>GTV</w:t>
      </w:r>
      <w:r w:rsidRPr="00D90A50">
        <w:rPr>
          <w:rFonts w:ascii="ITC Avant Garde" w:hAnsi="ITC Avant Garde"/>
        </w:rPr>
        <w:t xml:space="preserve">, </w:t>
      </w:r>
      <w:r w:rsidRPr="00D90A50">
        <w:rPr>
          <w:rFonts w:ascii="ITC Avant Garde" w:hAnsi="ITC Avant Garde"/>
          <w:color w:val="000000"/>
        </w:rPr>
        <w:t>Arretis y Tenedora Ares</w:t>
      </w:r>
      <w:r w:rsidRPr="00262937">
        <w:rPr>
          <w:rFonts w:ascii="ITC Avant Garde" w:hAnsi="ITC Avant Garde"/>
        </w:rPr>
        <w:t>.</w:t>
      </w:r>
      <w:r w:rsidRPr="00262937">
        <w:rPr>
          <w:rStyle w:val="Refdenotaalpie"/>
          <w:rFonts w:ascii="ITC Avant Garde" w:hAnsi="ITC Avant Garde"/>
        </w:rPr>
        <w:footnoteReference w:id="7"/>
      </w:r>
    </w:p>
    <w:p w14:paraId="4FBC31B6" w14:textId="77777777" w:rsidR="00A3174D" w:rsidRPr="00B66F06" w:rsidRDefault="00A3174D" w:rsidP="00A3174D">
      <w:pPr>
        <w:spacing w:after="120" w:line="240" w:lineRule="auto"/>
        <w:jc w:val="both"/>
        <w:rPr>
          <w:rFonts w:ascii="ITC Avant Garde" w:hAnsi="ITC Avant Garde"/>
        </w:rPr>
      </w:pPr>
      <w:r>
        <w:rPr>
          <w:rFonts w:ascii="ITC Avant Garde" w:hAnsi="ITC Avant Garde"/>
          <w:b/>
        </w:rPr>
        <w:t xml:space="preserve">SEGUNDO.- </w:t>
      </w:r>
      <w:r>
        <w:rPr>
          <w:rFonts w:ascii="ITC Avant Garde" w:hAnsi="ITC Avant Garde"/>
        </w:rPr>
        <w:t>Conceder a GTV</w:t>
      </w:r>
      <w:r w:rsidRPr="00D90A50">
        <w:rPr>
          <w:rFonts w:ascii="ITC Avant Garde" w:hAnsi="ITC Avant Garde"/>
        </w:rPr>
        <w:t xml:space="preserve">, </w:t>
      </w:r>
      <w:r w:rsidRPr="00D90A50">
        <w:rPr>
          <w:rFonts w:ascii="ITC Avant Garde" w:hAnsi="ITC Avant Garde"/>
          <w:color w:val="000000"/>
        </w:rPr>
        <w:t>Arretis y Tenedora Ares</w:t>
      </w:r>
      <w:r>
        <w:rPr>
          <w:rFonts w:ascii="ITC Avant Garde" w:hAnsi="ITC Avant Garde"/>
        </w:rPr>
        <w:t xml:space="preserve">, la audiencia oral solicitada, de conformidad con el artículo 33, fracción VI, párrafo cuarto de la LFCE, para que los agentes económicos con interés jurídico en el Expediente realicen las aclaraciones que consideren pertinentes, únicamente respecto de los argumentos expuestos en la contestación al oficio de probable </w:t>
      </w:r>
      <w:r w:rsidRPr="00B66F06">
        <w:rPr>
          <w:rFonts w:ascii="ITC Avant Garde" w:hAnsi="ITC Avant Garde"/>
        </w:rPr>
        <w:t>responsabilidad, las pruebas ofrecidas por los probables responsables y su desahogo, los alegatos, así como los documentos que obren en el Expediente.</w:t>
      </w:r>
    </w:p>
    <w:p w14:paraId="01CBE94A" w14:textId="31889F16" w:rsidR="00A3174D" w:rsidRPr="00B66F06" w:rsidRDefault="00A3174D" w:rsidP="00A3174D">
      <w:pPr>
        <w:spacing w:after="120" w:line="240" w:lineRule="auto"/>
        <w:jc w:val="both"/>
        <w:rPr>
          <w:rFonts w:ascii="ITC Avant Garde" w:hAnsi="ITC Avant Garde"/>
        </w:rPr>
      </w:pPr>
      <w:r>
        <w:rPr>
          <w:rFonts w:ascii="ITC Avant Garde" w:hAnsi="ITC Avant Garde"/>
          <w:b/>
        </w:rPr>
        <w:t>TERCERO</w:t>
      </w:r>
      <w:r w:rsidRPr="00B66F06">
        <w:rPr>
          <w:rFonts w:ascii="ITC Avant Garde" w:hAnsi="ITC Avant Garde"/>
          <w:b/>
        </w:rPr>
        <w:t xml:space="preserve">.- </w:t>
      </w:r>
      <w:r w:rsidRPr="00B66F06">
        <w:rPr>
          <w:rFonts w:ascii="ITC Avant Garde" w:hAnsi="ITC Avant Garde"/>
        </w:rPr>
        <w:t xml:space="preserve">Citar a los agentes económicos con interés jurídico en el Expediente a una audiencia oral que se celebrará en </w:t>
      </w:r>
      <w:r w:rsidRPr="00F86368">
        <w:rPr>
          <w:rFonts w:ascii="ITC Avant Garde" w:hAnsi="ITC Avant Garde"/>
        </w:rPr>
        <w:t xml:space="preserve">fecha veintiuno de marzo de dos mil diecisiete, la cual dará inicio a las </w:t>
      </w:r>
      <w:r w:rsidR="00FC5B2D">
        <w:rPr>
          <w:rFonts w:ascii="ITC Avant Garde" w:hAnsi="ITC Avant Garde"/>
        </w:rPr>
        <w:t>doce</w:t>
      </w:r>
      <w:r w:rsidRPr="00F86368">
        <w:rPr>
          <w:rFonts w:ascii="ITC Avant Garde" w:hAnsi="ITC Avant Garde"/>
        </w:rPr>
        <w:t xml:space="preserve"> horas e</w:t>
      </w:r>
      <w:r w:rsidRPr="00B66F06">
        <w:rPr>
          <w:rFonts w:ascii="ITC Avant Garde" w:hAnsi="ITC Avant Garde"/>
        </w:rPr>
        <w:t>n el domicilio de este Instituto, ubicado en Insurgentes Sur 1143</w:t>
      </w:r>
      <w:r>
        <w:rPr>
          <w:rFonts w:ascii="ITC Avant Garde" w:hAnsi="ITC Avant Garde"/>
        </w:rPr>
        <w:t xml:space="preserve"> (mil ciento cuarenta y tres)</w:t>
      </w:r>
      <w:r w:rsidRPr="00B66F06">
        <w:rPr>
          <w:rFonts w:ascii="ITC Avant Garde" w:hAnsi="ITC Avant Garde"/>
        </w:rPr>
        <w:t xml:space="preserve">, décimo primer piso, colonia Noche Buena, </w:t>
      </w:r>
      <w:r>
        <w:rPr>
          <w:rFonts w:ascii="ITC Avant Garde" w:hAnsi="ITC Avant Garde"/>
        </w:rPr>
        <w:t xml:space="preserve">C.P. </w:t>
      </w:r>
      <w:r w:rsidRPr="00B66F06">
        <w:rPr>
          <w:rFonts w:ascii="ITC Avant Garde" w:hAnsi="ITC Avant Garde"/>
        </w:rPr>
        <w:t>03720</w:t>
      </w:r>
      <w:r>
        <w:rPr>
          <w:rFonts w:ascii="ITC Avant Garde" w:hAnsi="ITC Avant Garde"/>
        </w:rPr>
        <w:t>, Delegación Benito Juárez</w:t>
      </w:r>
      <w:r w:rsidRPr="00B66F06">
        <w:rPr>
          <w:rFonts w:ascii="ITC Avant Garde" w:hAnsi="ITC Avant Garde"/>
        </w:rPr>
        <w:t>, Ciudad de México.</w:t>
      </w:r>
      <w:r>
        <w:rPr>
          <w:rFonts w:ascii="ITC Avant Garde" w:hAnsi="ITC Avant Garde"/>
        </w:rPr>
        <w:t xml:space="preserve"> Las instalaciones del Instituto en donde se realizará la audiencia oral cuentan con el equipo de proyección para exposiciones.</w:t>
      </w:r>
    </w:p>
    <w:p w14:paraId="06C16B04" w14:textId="77777777" w:rsidR="00A3174D" w:rsidRDefault="00A3174D" w:rsidP="00A3174D">
      <w:pPr>
        <w:spacing w:after="120" w:line="240" w:lineRule="auto"/>
        <w:jc w:val="both"/>
        <w:rPr>
          <w:rFonts w:ascii="ITC Avant Garde" w:hAnsi="ITC Avant Garde"/>
        </w:rPr>
      </w:pPr>
      <w:r w:rsidRPr="00F23717">
        <w:rPr>
          <w:rFonts w:ascii="ITC Avant Garde" w:hAnsi="ITC Avant Garde"/>
          <w:b/>
        </w:rPr>
        <w:t xml:space="preserve">CUARTO.- </w:t>
      </w:r>
      <w:r>
        <w:rPr>
          <w:rFonts w:ascii="ITC Avant Garde" w:hAnsi="ITC Avant Garde"/>
        </w:rPr>
        <w:t>Señalar a GTV</w:t>
      </w:r>
      <w:r w:rsidRPr="00D90A50">
        <w:rPr>
          <w:rFonts w:ascii="ITC Avant Garde" w:hAnsi="ITC Avant Garde"/>
        </w:rPr>
        <w:t xml:space="preserve">, </w:t>
      </w:r>
      <w:r w:rsidRPr="00D90A50">
        <w:rPr>
          <w:rFonts w:ascii="ITC Avant Garde" w:hAnsi="ITC Avant Garde"/>
          <w:color w:val="000000"/>
        </w:rPr>
        <w:t>Arretis y Tenedora Ares</w:t>
      </w:r>
      <w:r>
        <w:rPr>
          <w:rFonts w:ascii="ITC Avant Garde" w:hAnsi="ITC Avant Garde"/>
        </w:rPr>
        <w:t xml:space="preserve"> que al inicio de la audiencia se les indicarán las reglas bajo las cuales se desahogará la misma. </w:t>
      </w:r>
    </w:p>
    <w:p w14:paraId="45333599" w14:textId="77777777" w:rsidR="00A3174D" w:rsidRDefault="00A3174D" w:rsidP="00A3174D">
      <w:pPr>
        <w:spacing w:after="120" w:line="240" w:lineRule="auto"/>
        <w:jc w:val="both"/>
        <w:rPr>
          <w:rFonts w:ascii="ITC Avant Garde" w:hAnsi="ITC Avant Garde"/>
        </w:rPr>
      </w:pPr>
      <w:r w:rsidRPr="00F23717">
        <w:rPr>
          <w:rFonts w:ascii="ITC Avant Garde" w:hAnsi="ITC Avant Garde"/>
          <w:b/>
        </w:rPr>
        <w:t>QUINTO.-</w:t>
      </w:r>
      <w:r>
        <w:rPr>
          <w:rFonts w:ascii="ITC Avant Garde" w:hAnsi="ITC Avant Garde"/>
        </w:rPr>
        <w:t xml:space="preserve"> Los agentes económicos con interés jurídico en el procedimiento tramitado en el Expediente podrán designar por escrito a la o las personas que fungirán como comparecientes a la audiencia oral, hasta un día hábil previo a su celebración, los cuales deberán tener por acreditada la personalidad en el Expediente como representantes legales o autorizados en términos del artículo 8, del Reglamento de la Ley Federal de Competencia Económica.</w:t>
      </w:r>
      <w:r>
        <w:rPr>
          <w:rStyle w:val="Refdenotaalpie"/>
          <w:rFonts w:ascii="ITC Avant Garde" w:hAnsi="ITC Avant Garde"/>
        </w:rPr>
        <w:footnoteReference w:id="8"/>
      </w:r>
    </w:p>
    <w:p w14:paraId="589C0171" w14:textId="77777777" w:rsidR="00A3174D" w:rsidRPr="00B66F06" w:rsidRDefault="00A3174D" w:rsidP="00A3174D">
      <w:pPr>
        <w:spacing w:after="120" w:line="240" w:lineRule="auto"/>
        <w:jc w:val="both"/>
        <w:rPr>
          <w:rFonts w:ascii="ITC Avant Garde" w:hAnsi="ITC Avant Garde"/>
        </w:rPr>
      </w:pPr>
      <w:r w:rsidRPr="00F23717">
        <w:rPr>
          <w:rFonts w:ascii="ITC Avant Garde" w:hAnsi="ITC Avant Garde"/>
          <w:b/>
        </w:rPr>
        <w:t>SEXTO.-</w:t>
      </w:r>
      <w:r>
        <w:rPr>
          <w:rFonts w:ascii="ITC Avant Garde" w:hAnsi="ITC Avant Garde"/>
        </w:rPr>
        <w:t xml:space="preserve"> </w:t>
      </w:r>
      <w:r w:rsidRPr="00B66F06">
        <w:rPr>
          <w:rFonts w:ascii="ITC Avant Garde" w:hAnsi="ITC Avant Garde"/>
        </w:rPr>
        <w:t>Las personas designadas como comparecientes deberán presentarse con al menos</w:t>
      </w:r>
      <w:r>
        <w:rPr>
          <w:rFonts w:ascii="ITC Avant Garde" w:hAnsi="ITC Avant Garde"/>
        </w:rPr>
        <w:t xml:space="preserve"> </w:t>
      </w:r>
      <w:r w:rsidRPr="00B66F06">
        <w:rPr>
          <w:rFonts w:ascii="ITC Avant Garde" w:hAnsi="ITC Avant Garde"/>
        </w:rPr>
        <w:t xml:space="preserve">treinta minutos de anticipación </w:t>
      </w:r>
      <w:r>
        <w:rPr>
          <w:rFonts w:ascii="ITC Avant Garde" w:hAnsi="ITC Avant Garde"/>
        </w:rPr>
        <w:t>al inicio de la audiencia en el domicilio de este Instituto</w:t>
      </w:r>
      <w:r w:rsidRPr="00B66F06">
        <w:rPr>
          <w:rFonts w:ascii="ITC Avant Garde" w:hAnsi="ITC Avant Garde"/>
        </w:rPr>
        <w:t>, exhibiendo una</w:t>
      </w:r>
      <w:r>
        <w:rPr>
          <w:rFonts w:ascii="ITC Avant Garde" w:hAnsi="ITC Avant Garde"/>
        </w:rPr>
        <w:t xml:space="preserve"> </w:t>
      </w:r>
      <w:r w:rsidRPr="00B66F06">
        <w:rPr>
          <w:rFonts w:ascii="ITC Avant Garde" w:hAnsi="ITC Avant Garde"/>
        </w:rPr>
        <w:t>identificación oficial vigente. Su inasistencia no invalida la audiencia oral.</w:t>
      </w:r>
    </w:p>
    <w:p w14:paraId="73F038EB" w14:textId="77777777" w:rsidR="00A3174D" w:rsidRDefault="00A3174D" w:rsidP="00A3174D">
      <w:pPr>
        <w:spacing w:after="120" w:line="240" w:lineRule="auto"/>
        <w:jc w:val="both"/>
        <w:rPr>
          <w:rFonts w:ascii="ITC Avant Garde" w:hAnsi="ITC Avant Garde"/>
        </w:rPr>
      </w:pPr>
      <w:r w:rsidRPr="00B66F06">
        <w:rPr>
          <w:rFonts w:ascii="ITC Avant Garde" w:hAnsi="ITC Avant Garde"/>
          <w:b/>
        </w:rPr>
        <w:lastRenderedPageBreak/>
        <w:t xml:space="preserve">Notifíquese </w:t>
      </w:r>
      <w:r>
        <w:rPr>
          <w:rFonts w:ascii="ITC Avant Garde" w:hAnsi="ITC Avant Garde"/>
          <w:b/>
        </w:rPr>
        <w:t>personalmente</w:t>
      </w:r>
      <w:r w:rsidRPr="00B66F06">
        <w:rPr>
          <w:rFonts w:ascii="ITC Avant Garde" w:hAnsi="ITC Avant Garde"/>
          <w:b/>
        </w:rPr>
        <w:t>.-</w:t>
      </w:r>
      <w:r w:rsidRPr="00B66F06">
        <w:rPr>
          <w:rFonts w:ascii="ITC Avant Garde" w:hAnsi="ITC Avant Garde"/>
        </w:rPr>
        <w:t xml:space="preserve"> Así lo acordó y firma el </w:t>
      </w:r>
      <w:r>
        <w:rPr>
          <w:rFonts w:ascii="ITC Avant Garde" w:hAnsi="ITC Avant Garde"/>
        </w:rPr>
        <w:t xml:space="preserve">Pleno </w:t>
      </w:r>
      <w:r w:rsidRPr="00B66F06">
        <w:rPr>
          <w:rFonts w:ascii="ITC Avant Garde" w:hAnsi="ITC Avant Garde"/>
        </w:rPr>
        <w:t xml:space="preserve">del Instituto Federal de Telecomunicaciones, </w:t>
      </w:r>
      <w:r>
        <w:rPr>
          <w:rFonts w:ascii="ITC Avant Garde" w:hAnsi="ITC Avant Garde"/>
        </w:rPr>
        <w:t xml:space="preserve">con fundamento en los artículos </w:t>
      </w:r>
      <w:r w:rsidRPr="00B66F06">
        <w:rPr>
          <w:rFonts w:ascii="ITC Avant Garde" w:hAnsi="ITC Avant Garde"/>
        </w:rPr>
        <w:t xml:space="preserve">citados </w:t>
      </w:r>
      <w:r>
        <w:rPr>
          <w:rFonts w:ascii="ITC Avant Garde" w:hAnsi="ITC Avant Garde"/>
        </w:rPr>
        <w:t>anteriormente</w:t>
      </w:r>
      <w:r w:rsidRPr="00B66F06">
        <w:rPr>
          <w:rFonts w:ascii="ITC Avant Garde" w:hAnsi="ITC Avant Garde"/>
        </w:rPr>
        <w:t xml:space="preserve">, así como en los artículos 65, fracción </w:t>
      </w:r>
      <w:r>
        <w:rPr>
          <w:rFonts w:ascii="ITC Avant Garde" w:hAnsi="ITC Avant Garde"/>
        </w:rPr>
        <w:t>I y 66, fracción VIII</w:t>
      </w:r>
      <w:r w:rsidRPr="00B66F06">
        <w:rPr>
          <w:rFonts w:ascii="ITC Avant Garde" w:hAnsi="ITC Avant Garde"/>
        </w:rPr>
        <w:t xml:space="preserve"> del Reglamento de la Ley F</w:t>
      </w:r>
      <w:r>
        <w:rPr>
          <w:rFonts w:ascii="ITC Avant Garde" w:hAnsi="ITC Avant Garde"/>
        </w:rPr>
        <w:t>ederal de Competencia Económica.</w:t>
      </w:r>
    </w:p>
    <w:p w14:paraId="3CEAD759" w14:textId="704C326A" w:rsidR="00F86368" w:rsidRPr="0073288F" w:rsidRDefault="00F86368" w:rsidP="0073288F">
      <w:pPr>
        <w:pStyle w:val="Prrafodelista"/>
        <w:spacing w:after="0" w:line="240" w:lineRule="auto"/>
        <w:ind w:left="0"/>
        <w:jc w:val="both"/>
        <w:rPr>
          <w:sz w:val="14"/>
          <w:szCs w:val="14"/>
        </w:rPr>
      </w:pPr>
      <w:r w:rsidRPr="00F86368">
        <w:rPr>
          <w:rFonts w:ascii="ITC Avant Garde" w:hAnsi="ITC Avant Garde"/>
          <w:sz w:val="14"/>
          <w:szCs w:val="14"/>
        </w:rPr>
        <w:t xml:space="preserve">El presente Acuerdo fue aprobado por el Pleno del Instituto Federal de Telecomunicaciones en su XI Sesión Ordinaria celebrada el 15 de marzo de 2017, </w:t>
      </w:r>
      <w:r w:rsidRPr="00F86368">
        <w:rPr>
          <w:rFonts w:ascii="ITC Avant Garde" w:hAnsi="ITC Avant Garde"/>
          <w:bCs/>
          <w:sz w:val="14"/>
          <w:szCs w:val="14"/>
        </w:rPr>
        <w:t>por unanimidad</w:t>
      </w:r>
      <w:r w:rsidRPr="00F86368">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P/IFT/150317/141.</w:t>
      </w:r>
    </w:p>
    <w:sectPr w:rsidR="00F86368" w:rsidRPr="0073288F" w:rsidSect="0073288F">
      <w:footerReference w:type="default" r:id="rId6"/>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623CC" w14:textId="77777777" w:rsidR="00A54D04" w:rsidRDefault="00A54D04" w:rsidP="00A3174D">
      <w:pPr>
        <w:spacing w:after="0" w:line="240" w:lineRule="auto"/>
      </w:pPr>
      <w:r>
        <w:separator/>
      </w:r>
    </w:p>
  </w:endnote>
  <w:endnote w:type="continuationSeparator" w:id="0">
    <w:p w14:paraId="42444035" w14:textId="77777777" w:rsidR="00A54D04" w:rsidRDefault="00A54D04" w:rsidP="00A3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6"/>
        <w:szCs w:val="16"/>
      </w:rPr>
      <w:id w:val="-208812096"/>
      <w:docPartObj>
        <w:docPartGallery w:val="Page Numbers (Bottom of Page)"/>
        <w:docPartUnique/>
      </w:docPartObj>
    </w:sdtPr>
    <w:sdtEndPr/>
    <w:sdtContent>
      <w:sdt>
        <w:sdtPr>
          <w:rPr>
            <w:rFonts w:ascii="ITC Avant Garde" w:hAnsi="ITC Avant Garde"/>
            <w:sz w:val="16"/>
            <w:szCs w:val="16"/>
          </w:rPr>
          <w:id w:val="2050033088"/>
          <w:docPartObj>
            <w:docPartGallery w:val="Page Numbers (Top of Page)"/>
            <w:docPartUnique/>
          </w:docPartObj>
        </w:sdtPr>
        <w:sdtEndPr/>
        <w:sdtContent>
          <w:p w14:paraId="4E4BD91E" w14:textId="59F867A1" w:rsidR="00C57272" w:rsidRPr="00894599" w:rsidRDefault="00A3174D" w:rsidP="0073288F">
            <w:pPr>
              <w:pStyle w:val="Piedepgina"/>
              <w:jc w:val="right"/>
              <w:rPr>
                <w:rFonts w:ascii="ITC Avant Garde" w:hAnsi="ITC Avant Garde"/>
                <w:sz w:val="16"/>
                <w:szCs w:val="16"/>
              </w:rPr>
            </w:pPr>
            <w:r w:rsidRPr="00894599">
              <w:rPr>
                <w:rFonts w:ascii="ITC Avant Garde" w:hAnsi="ITC Avant Garde"/>
                <w:sz w:val="16"/>
                <w:szCs w:val="16"/>
                <w:lang w:val="es-ES"/>
              </w:rPr>
              <w:t xml:space="preserve">Página </w:t>
            </w:r>
            <w:r w:rsidRPr="00894599">
              <w:rPr>
                <w:rFonts w:ascii="ITC Avant Garde" w:hAnsi="ITC Avant Garde"/>
                <w:b/>
                <w:bCs/>
                <w:sz w:val="16"/>
                <w:szCs w:val="16"/>
              </w:rPr>
              <w:fldChar w:fldCharType="begin"/>
            </w:r>
            <w:r w:rsidRPr="00894599">
              <w:rPr>
                <w:rFonts w:ascii="ITC Avant Garde" w:hAnsi="ITC Avant Garde"/>
                <w:b/>
                <w:bCs/>
                <w:sz w:val="16"/>
                <w:szCs w:val="16"/>
              </w:rPr>
              <w:instrText>PAGE</w:instrText>
            </w:r>
            <w:r w:rsidRPr="00894599">
              <w:rPr>
                <w:rFonts w:ascii="ITC Avant Garde" w:hAnsi="ITC Avant Garde"/>
                <w:b/>
                <w:bCs/>
                <w:sz w:val="16"/>
                <w:szCs w:val="16"/>
              </w:rPr>
              <w:fldChar w:fldCharType="separate"/>
            </w:r>
            <w:r w:rsidR="0073288F">
              <w:rPr>
                <w:rFonts w:ascii="ITC Avant Garde" w:hAnsi="ITC Avant Garde"/>
                <w:b/>
                <w:bCs/>
                <w:noProof/>
                <w:sz w:val="16"/>
                <w:szCs w:val="16"/>
              </w:rPr>
              <w:t>3</w:t>
            </w:r>
            <w:r w:rsidRPr="00894599">
              <w:rPr>
                <w:rFonts w:ascii="ITC Avant Garde" w:hAnsi="ITC Avant Garde"/>
                <w:b/>
                <w:bCs/>
                <w:sz w:val="16"/>
                <w:szCs w:val="16"/>
              </w:rPr>
              <w:fldChar w:fldCharType="end"/>
            </w:r>
            <w:r w:rsidRPr="00894599">
              <w:rPr>
                <w:rFonts w:ascii="ITC Avant Garde" w:hAnsi="ITC Avant Garde"/>
                <w:sz w:val="16"/>
                <w:szCs w:val="16"/>
                <w:lang w:val="es-ES"/>
              </w:rPr>
              <w:t xml:space="preserve"> de </w:t>
            </w:r>
            <w:r w:rsidRPr="002520E0">
              <w:rPr>
                <w:rFonts w:ascii="ITC Avant Garde" w:hAnsi="ITC Avant Garde"/>
                <w:b/>
                <w:sz w:val="16"/>
                <w:szCs w:val="16"/>
                <w:lang w:val="es-ES"/>
              </w:rPr>
              <w:t>3</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EA37D" w14:textId="77777777" w:rsidR="00A54D04" w:rsidRDefault="00A54D04" w:rsidP="00A3174D">
      <w:pPr>
        <w:spacing w:after="0" w:line="240" w:lineRule="auto"/>
      </w:pPr>
      <w:r>
        <w:separator/>
      </w:r>
    </w:p>
  </w:footnote>
  <w:footnote w:type="continuationSeparator" w:id="0">
    <w:p w14:paraId="5E3DBDF0" w14:textId="77777777" w:rsidR="00A54D04" w:rsidRDefault="00A54D04" w:rsidP="00A3174D">
      <w:pPr>
        <w:spacing w:after="0" w:line="240" w:lineRule="auto"/>
      </w:pPr>
      <w:r>
        <w:continuationSeparator/>
      </w:r>
    </w:p>
  </w:footnote>
  <w:footnote w:id="1">
    <w:p w14:paraId="7AE2CC13"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Actuando de conformidad con los artículos 4, fracción IV inciso “f” y fracción V inciso “k”, 22, fracciones II, VI, VII y XII, 23, fracción V, y 29, primer párrafo y fracciones I, III, XII, XIX y XX, del Estatuto Orgánico del Instituto Federal de Telecomunicaciones, emitido por el Pleno del Instituto el veintitrés de septiembre de dos mil trece,  el cual se encontraba en vigor al momento de iniciar la investigación, otorgando a la Unidad de Competencia Económica el ejercicio de dichas facultades; previo a la entrada en vigor de la Ley Federal de Competencia Económica expedida mediante Decreto publicado en el DOF el veintitrés de mayo de dos mil catorce.</w:t>
      </w:r>
    </w:p>
  </w:footnote>
  <w:footnote w:id="2">
    <w:p w14:paraId="69BBFF5E"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Ley Federal de Competencia Económica expedida mediante Decreto publicado en el Diario Oficial de la Federación (DOF) el veinticuatro de diciembre de mil novecientos noventa y dos, la cual fue reformada mediante Decreto publicado en el DOF el nueve de abril de dos mil doce.</w:t>
      </w:r>
    </w:p>
  </w:footnote>
  <w:footnote w:id="3">
    <w:p w14:paraId="6C40ACC3"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Personalidad que tiene debidamente acreditada en el Expediente, mediante acuerdo de fecha siete de diciembre de dos mil dieciséis. Visible a folios 33842 a 33848.</w:t>
      </w:r>
    </w:p>
  </w:footnote>
  <w:footnote w:id="4">
    <w:p w14:paraId="08309919"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Folios 22944 a 23177 del Expediente.</w:t>
      </w:r>
    </w:p>
  </w:footnote>
  <w:footnote w:id="5">
    <w:p w14:paraId="4B6E090E"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Personalidad que tiene debidamente acreditada en el Expediente, mediante acuerdo de fecha siete de diciembre de dos mil dieciséis. Visible a folios 33842 a 33848.</w:t>
      </w:r>
    </w:p>
  </w:footnote>
  <w:footnote w:id="6">
    <w:p w14:paraId="575E4809"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Estatuto Orgánico del Instituto publicado en el DOF el cuatro de septiembre de dos mil catorce y modificado mediante Acuerdo publicado en el DOF el diecisiete de octubre de dos mil dieciséis.</w:t>
      </w:r>
    </w:p>
  </w:footnote>
  <w:footnote w:id="7">
    <w:p w14:paraId="56FE54F7"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Mediante acuerdo de fecha quince de febrero de dos mil diecisiete, se tuvo por integrado el Expediente al día catorce de febrero de dos mil diecisiete, por tanto el plazo para solicitar la celebración de la audiencia oral inició el quince de febrero de dos mil diecisiete y feneció el veintiocho de febrero del presente año. El Escrito fue recibido por transmisión electrónica el día de su vencimiento en la dirección de correo electrónico </w:t>
      </w:r>
      <w:hyperlink r:id="rId1" w:history="1">
        <w:r w:rsidRPr="00B0561E">
          <w:rPr>
            <w:rStyle w:val="Hipervnculo"/>
            <w:rFonts w:ascii="ITC Avant Garde" w:hAnsi="ITC Avant Garde"/>
            <w:sz w:val="18"/>
            <w:szCs w:val="18"/>
          </w:rPr>
          <w:t>oficialiacompetencia@ift.org.mx</w:t>
        </w:r>
      </w:hyperlink>
      <w:r w:rsidRPr="00B0561E">
        <w:rPr>
          <w:rFonts w:ascii="ITC Avant Garde" w:hAnsi="ITC Avant Garde"/>
          <w:sz w:val="18"/>
          <w:szCs w:val="18"/>
        </w:rPr>
        <w:t>, de conformidad con lo establecido en el artículo 4 del Reglamento de la LFCE publicado en el DOF el doce de octubre de dos mil siete, el cual es admisible dado que el acuse de recibo de la transmisión electrónica fue presentado en la oficialía de partes del Instituto al día hábil siguiente de haberse efectuado la transmisión y que este no difiere con lo presentado el primero de marzo de dos mil diecisiete.</w:t>
      </w:r>
    </w:p>
  </w:footnote>
  <w:footnote w:id="8">
    <w:p w14:paraId="760E5D72" w14:textId="77777777" w:rsidR="00A3174D" w:rsidRPr="00B0561E" w:rsidRDefault="00A3174D" w:rsidP="00A3174D">
      <w:pPr>
        <w:pStyle w:val="Textonotapie"/>
        <w:jc w:val="both"/>
        <w:rPr>
          <w:rFonts w:ascii="ITC Avant Garde" w:hAnsi="ITC Avant Garde"/>
          <w:sz w:val="18"/>
          <w:szCs w:val="18"/>
        </w:rPr>
      </w:pPr>
      <w:r w:rsidRPr="00B0561E">
        <w:rPr>
          <w:rStyle w:val="Refdenotaalpie"/>
          <w:rFonts w:ascii="ITC Avant Garde" w:eastAsiaTheme="minorEastAsia" w:hAnsi="ITC Avant Garde"/>
          <w:sz w:val="18"/>
          <w:szCs w:val="18"/>
        </w:rPr>
        <w:footnoteRef/>
      </w:r>
      <w:r w:rsidRPr="00B0561E">
        <w:rPr>
          <w:rFonts w:ascii="ITC Avant Garde" w:hAnsi="ITC Avant Garde"/>
          <w:sz w:val="18"/>
          <w:szCs w:val="18"/>
        </w:rPr>
        <w:t xml:space="preserve"> Publicado en el DOF el doce de octubre de dos mil siete.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3"/>
    <w:rsid w:val="002E6CC2"/>
    <w:rsid w:val="0073288F"/>
    <w:rsid w:val="00867B03"/>
    <w:rsid w:val="00922A9A"/>
    <w:rsid w:val="00A3174D"/>
    <w:rsid w:val="00A4523A"/>
    <w:rsid w:val="00A54D04"/>
    <w:rsid w:val="00D7606D"/>
    <w:rsid w:val="00F86368"/>
    <w:rsid w:val="00FC5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52CC6"/>
  <w15:chartTrackingRefBased/>
  <w15:docId w15:val="{FE683DC7-B170-4CBA-ADD0-17010CF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3288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174D"/>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A3174D"/>
    <w:rPr>
      <w:rFonts w:eastAsiaTheme="minorEastAsia"/>
      <w:lang w:eastAsia="es-MX"/>
    </w:rPr>
  </w:style>
  <w:style w:type="paragraph" w:styleId="Piedepgina">
    <w:name w:val="footer"/>
    <w:basedOn w:val="Normal"/>
    <w:link w:val="PiedepginaCar"/>
    <w:uiPriority w:val="99"/>
    <w:unhideWhenUsed/>
    <w:rsid w:val="00A3174D"/>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A3174D"/>
    <w:rPr>
      <w:rFonts w:eastAsiaTheme="minorEastAsia"/>
      <w:lang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qFormat/>
    <w:rsid w:val="00A3174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3174D"/>
    <w:rPr>
      <w:rFonts w:ascii="Times New Roman" w:eastAsia="Times New Roman" w:hAnsi="Times New Roman" w:cs="Times New Roman"/>
      <w:sz w:val="20"/>
      <w:szCs w:val="20"/>
      <w:lang w:eastAsia="es-ES"/>
    </w:rPr>
  </w:style>
  <w:style w:type="character" w:styleId="Refdenotaalpie">
    <w:name w:val="footnote reference"/>
    <w:aliases w:val="Ref,de nota al pie,Ref. de nota al pie 2,Texto de nota al pie,Footnotes refss,Appel note de bas de page,Footnote number,referencia nota al pie,BVI fnr,f,4_G,16 Point,Superscript 6 Point,Texto nota al pie,ftref"/>
    <w:basedOn w:val="Fuentedeprrafopredeter"/>
    <w:uiPriority w:val="99"/>
    <w:qFormat/>
    <w:rsid w:val="00A3174D"/>
    <w:rPr>
      <w:vertAlign w:val="superscript"/>
    </w:rPr>
  </w:style>
  <w:style w:type="character" w:styleId="Refdecomentario">
    <w:name w:val="annotation reference"/>
    <w:basedOn w:val="Fuentedeprrafopredeter"/>
    <w:uiPriority w:val="99"/>
    <w:semiHidden/>
    <w:unhideWhenUsed/>
    <w:rsid w:val="00A3174D"/>
    <w:rPr>
      <w:sz w:val="16"/>
      <w:szCs w:val="16"/>
    </w:rPr>
  </w:style>
  <w:style w:type="paragraph" w:styleId="Textocomentario">
    <w:name w:val="annotation text"/>
    <w:basedOn w:val="Normal"/>
    <w:link w:val="TextocomentarioCar"/>
    <w:uiPriority w:val="99"/>
    <w:unhideWhenUsed/>
    <w:rsid w:val="00A3174D"/>
    <w:pPr>
      <w:spacing w:after="200" w:line="240" w:lineRule="auto"/>
    </w:pPr>
    <w:rPr>
      <w:rFonts w:eastAsiaTheme="minorEastAsia"/>
      <w:sz w:val="20"/>
      <w:szCs w:val="20"/>
      <w:lang w:eastAsia="es-MX"/>
    </w:rPr>
  </w:style>
  <w:style w:type="character" w:customStyle="1" w:styleId="TextocomentarioCar">
    <w:name w:val="Texto comentario Car"/>
    <w:basedOn w:val="Fuentedeprrafopredeter"/>
    <w:link w:val="Textocomentario"/>
    <w:uiPriority w:val="99"/>
    <w:rsid w:val="00A3174D"/>
    <w:rPr>
      <w:rFonts w:eastAsiaTheme="minorEastAsia"/>
      <w:sz w:val="20"/>
      <w:szCs w:val="20"/>
      <w:lang w:eastAsia="es-MX"/>
    </w:rPr>
  </w:style>
  <w:style w:type="paragraph" w:customStyle="1" w:styleId="estilo30">
    <w:name w:val="estilo30"/>
    <w:basedOn w:val="Normal"/>
    <w:rsid w:val="00A317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3174D"/>
    <w:rPr>
      <w:color w:val="0563C1" w:themeColor="hyperlink"/>
      <w:u w:val="single"/>
    </w:rPr>
  </w:style>
  <w:style w:type="paragraph" w:styleId="Textodeglobo">
    <w:name w:val="Balloon Text"/>
    <w:basedOn w:val="Normal"/>
    <w:link w:val="TextodegloboCar"/>
    <w:uiPriority w:val="99"/>
    <w:semiHidden/>
    <w:unhideWhenUsed/>
    <w:rsid w:val="00A317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74D"/>
    <w:rPr>
      <w:rFonts w:ascii="Segoe UI" w:hAnsi="Segoe UI" w:cs="Segoe UI"/>
      <w:sz w:val="18"/>
      <w:szCs w:val="18"/>
    </w:rPr>
  </w:style>
  <w:style w:type="paragraph" w:styleId="Prrafodelista">
    <w:name w:val="List Paragraph"/>
    <w:basedOn w:val="Normal"/>
    <w:link w:val="PrrafodelistaCar"/>
    <w:uiPriority w:val="34"/>
    <w:qFormat/>
    <w:rsid w:val="00F86368"/>
    <w:pPr>
      <w:ind w:left="720"/>
      <w:contextualSpacing/>
    </w:pPr>
  </w:style>
  <w:style w:type="character" w:customStyle="1" w:styleId="PrrafodelistaCar">
    <w:name w:val="Párrafo de lista Car"/>
    <w:basedOn w:val="Fuentedeprrafopredeter"/>
    <w:link w:val="Prrafodelista"/>
    <w:uiPriority w:val="34"/>
    <w:locked/>
    <w:rsid w:val="00F86368"/>
  </w:style>
  <w:style w:type="character" w:customStyle="1" w:styleId="Ttulo2Car">
    <w:name w:val="Título 2 Car"/>
    <w:basedOn w:val="Fuentedeprrafopredeter"/>
    <w:link w:val="Ttulo2"/>
    <w:uiPriority w:val="9"/>
    <w:rsid w:val="007328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oficialiacompetencia@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Sanabria Cedillo</dc:creator>
  <cp:keywords/>
  <dc:description/>
  <cp:lastModifiedBy>Maria del Consuelo Gonzalez Moreno</cp:lastModifiedBy>
  <cp:revision>7</cp:revision>
  <dcterms:created xsi:type="dcterms:W3CDTF">2017-03-15T18:44:00Z</dcterms:created>
  <dcterms:modified xsi:type="dcterms:W3CDTF">2017-03-16T02:53:00Z</dcterms:modified>
</cp:coreProperties>
</file>